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5"/>
        <w:spacing w:line="276" w:lineRule="auto"/>
        <w:rPr>
          <w:lang w:val="es-UY"/>
        </w:rPr>
      </w:pPr>
      <w:r>
        <w:rPr>
          <w:lang w:val="es-UY"/>
        </w:rPr>
      </w:r>
    </w:p>
    <w:p>
      <w:pPr>
        <w:pStyle w:val="style35"/>
        <w:spacing w:line="276" w:lineRule="auto"/>
        <w:rPr>
          <w:lang w:val="es-UY"/>
        </w:rPr>
      </w:pPr>
      <w:r>
        <w:rPr>
          <w:lang w:val="es-UY"/>
        </w:rPr>
        <w:t>PODER JUDICIAL</w:t>
      </w:r>
    </w:p>
    <w:p>
      <w:pPr>
        <w:pStyle w:val="style0"/>
        <w:spacing w:line="276" w:lineRule="auto"/>
        <w:jc w:val="center"/>
        <w:rPr>
          <w:b/>
          <w:bCs/>
          <w:sz w:val="22"/>
          <w:szCs w:val="22"/>
          <w:lang w:val="es-UY"/>
        </w:rPr>
      </w:pPr>
      <w:r>
        <w:rPr>
          <w:b/>
          <w:bCs/>
          <w:sz w:val="22"/>
          <w:szCs w:val="22"/>
          <w:lang w:val="es-UY"/>
        </w:rPr>
        <w:t>DEPARTAMENTO DE ADQUISICIONES</w:t>
      </w:r>
    </w:p>
    <w:p>
      <w:pPr>
        <w:pStyle w:val="style0"/>
        <w:spacing w:line="276" w:lineRule="auto"/>
        <w:jc w:val="center"/>
        <w:rPr>
          <w:b/>
          <w:bCs/>
          <w:sz w:val="22"/>
          <w:szCs w:val="22"/>
          <w:shd w:fill="FFFF00" w:val="clear"/>
          <w:lang w:val="es-UY"/>
        </w:rPr>
      </w:pPr>
      <w:r>
        <w:rPr>
          <w:b/>
          <w:bCs/>
          <w:sz w:val="22"/>
          <w:szCs w:val="22"/>
          <w:lang w:val="es-UY"/>
        </w:rPr>
        <w:t xml:space="preserve">LICITACIÓN ABREVIADA N° </w:t>
      </w:r>
      <w:r>
        <w:rPr>
          <w:b/>
          <w:bCs/>
          <w:sz w:val="22"/>
          <w:szCs w:val="22"/>
          <w:shd w:fill="FFFF00" w:val="clear"/>
          <w:lang w:val="es-UY"/>
        </w:rPr>
        <w:t>XX/2022</w:t>
      </w:r>
    </w:p>
    <w:p>
      <w:pPr>
        <w:pStyle w:val="style1"/>
        <w:spacing w:line="276" w:lineRule="auto"/>
        <w:jc w:val="center"/>
        <w:rPr>
          <w:rFonts w:ascii="Bookman Old Style" w:cs="Bookman Old Style" w:hAnsi="Bookman Old Style"/>
          <w:sz w:val="22"/>
          <w:szCs w:val="22"/>
          <w:lang w:val="es-UY"/>
        </w:rPr>
      </w:pPr>
      <w:r>
        <w:rPr>
          <w:rFonts w:ascii="Bookman Old Style" w:cs="Bookman Old Style" w:hAnsi="Bookman Old Style"/>
          <w:sz w:val="22"/>
          <w:szCs w:val="22"/>
          <w:lang w:val="es-UY"/>
        </w:rPr>
        <w:t>Inciso 16</w:t>
      </w:r>
    </w:p>
    <w:p>
      <w:pPr>
        <w:pStyle w:val="style0"/>
        <w:spacing w:line="276" w:lineRule="auto"/>
        <w:jc w:val="both"/>
        <w:rPr>
          <w:bCs/>
          <w:sz w:val="22"/>
          <w:szCs w:val="22"/>
          <w:u w:val="single"/>
          <w:lang w:val="es-UY"/>
        </w:rPr>
      </w:pPr>
      <w:r>
        <w:rPr>
          <w:bCs/>
          <w:sz w:val="22"/>
          <w:szCs w:val="22"/>
          <w:u w:val="single"/>
          <w:lang w:val="es-UY"/>
        </w:rPr>
        <w:t>Pliego sin costo</w:t>
      </w:r>
    </w:p>
    <w:p>
      <w:pPr>
        <w:pStyle w:val="style0"/>
        <w:spacing w:line="276" w:lineRule="auto"/>
        <w:jc w:val="both"/>
        <w:rPr>
          <w:rFonts w:eastAsia="Bookman Old Style"/>
          <w:sz w:val="22"/>
          <w:szCs w:val="22"/>
          <w:lang w:val="es-UY"/>
        </w:rPr>
      </w:pPr>
      <w:r>
        <w:rPr>
          <w:rFonts w:eastAsia="Bookman Old Style"/>
          <w:sz w:val="22"/>
          <w:szCs w:val="22"/>
          <w:lang w:val="es-UY"/>
        </w:rPr>
      </w:r>
    </w:p>
    <w:p>
      <w:pPr>
        <w:pStyle w:val="style0"/>
        <w:numPr>
          <w:ilvl w:val="0"/>
          <w:numId w:val="5"/>
        </w:numPr>
        <w:suppressAutoHyphens w:val="false"/>
        <w:spacing w:after="0" w:before="0" w:line="276" w:lineRule="auto"/>
        <w:contextualSpacing/>
        <w:rPr>
          <w:rFonts w:cs="Times New Roman"/>
          <w:sz w:val="22"/>
          <w:szCs w:val="22"/>
        </w:rPr>
      </w:pPr>
      <w:r>
        <w:rPr>
          <w:rFonts w:cs="Times New Roman"/>
          <w:sz w:val="22"/>
          <w:szCs w:val="22"/>
        </w:rPr>
        <w:t xml:space="preserve">El presente llamado se regirá por lo establecido en  las siguientes disposiciones: </w:t>
      </w:r>
    </w:p>
    <w:p>
      <w:pPr>
        <w:pStyle w:val="style0"/>
        <w:numPr>
          <w:ilvl w:val="0"/>
          <w:numId w:val="5"/>
        </w:numPr>
        <w:suppressAutoHyphens w:val="false"/>
        <w:spacing w:after="0" w:before="0" w:line="276" w:lineRule="auto"/>
        <w:contextualSpacing/>
        <w:rPr>
          <w:rFonts w:cs="Times New Roman"/>
          <w:sz w:val="22"/>
          <w:szCs w:val="22"/>
        </w:rPr>
      </w:pPr>
      <w:r>
        <w:rPr>
          <w:rFonts w:cs="Times New Roman"/>
          <w:sz w:val="22"/>
          <w:szCs w:val="22"/>
        </w:rPr>
        <w:t>T.O.C.A.F. aprobado por Decreto N° 150/012 de 11 de mayo de 2012,</w:t>
      </w:r>
    </w:p>
    <w:p>
      <w:pPr>
        <w:pStyle w:val="style0"/>
        <w:numPr>
          <w:ilvl w:val="0"/>
          <w:numId w:val="5"/>
        </w:numPr>
        <w:suppressAutoHyphens w:val="false"/>
        <w:spacing w:after="0" w:before="0" w:line="276" w:lineRule="auto"/>
        <w:contextualSpacing/>
        <w:rPr>
          <w:rFonts w:cs="Times New Roman"/>
          <w:sz w:val="22"/>
          <w:szCs w:val="22"/>
        </w:rPr>
      </w:pPr>
      <w:r>
        <w:rPr>
          <w:rFonts w:cs="Times New Roman"/>
          <w:sz w:val="22"/>
          <w:szCs w:val="22"/>
        </w:rPr>
        <w:t>Decreto Nº 155/013,</w:t>
      </w:r>
    </w:p>
    <w:p>
      <w:pPr>
        <w:pStyle w:val="style0"/>
        <w:numPr>
          <w:ilvl w:val="0"/>
          <w:numId w:val="5"/>
        </w:numPr>
        <w:suppressAutoHyphens w:val="false"/>
        <w:spacing w:after="0" w:before="0" w:line="276" w:lineRule="auto"/>
        <w:contextualSpacing/>
        <w:rPr>
          <w:rFonts w:cs="Times New Roman"/>
          <w:sz w:val="22"/>
          <w:szCs w:val="22"/>
        </w:rPr>
      </w:pPr>
      <w:r>
        <w:rPr>
          <w:rFonts w:cs="Times New Roman"/>
          <w:sz w:val="22"/>
          <w:szCs w:val="22"/>
        </w:rPr>
        <w:t>Acordada Nº 7400 de 27 de junio de 2000,</w:t>
      </w:r>
    </w:p>
    <w:p>
      <w:pPr>
        <w:pStyle w:val="style0"/>
        <w:numPr>
          <w:ilvl w:val="0"/>
          <w:numId w:val="5"/>
        </w:numPr>
        <w:suppressAutoHyphens w:val="false"/>
        <w:spacing w:after="0" w:before="0" w:line="276" w:lineRule="auto"/>
        <w:contextualSpacing/>
        <w:rPr>
          <w:rFonts w:cs="Times New Roman"/>
          <w:sz w:val="22"/>
          <w:szCs w:val="22"/>
        </w:rPr>
      </w:pPr>
      <w:r>
        <w:rPr>
          <w:rFonts w:cs="Times New Roman"/>
          <w:sz w:val="22"/>
          <w:szCs w:val="22"/>
        </w:rPr>
        <w:t>Decreto Nº 131/2014: Pliego Único de Bases y Condiciones      Generales para Contratos de Suministros y Servicios No Personales,</w:t>
      </w:r>
    </w:p>
    <w:p>
      <w:pPr>
        <w:pStyle w:val="style0"/>
        <w:numPr>
          <w:ilvl w:val="0"/>
          <w:numId w:val="5"/>
        </w:numPr>
        <w:suppressAutoHyphens w:val="false"/>
        <w:spacing w:after="0" w:before="0" w:line="276" w:lineRule="auto"/>
        <w:contextualSpacing/>
        <w:rPr>
          <w:rFonts w:cs="Times New Roman"/>
          <w:sz w:val="22"/>
          <w:szCs w:val="22"/>
        </w:rPr>
      </w:pPr>
      <w:r>
        <w:rPr>
          <w:rFonts w:cs="Times New Roman"/>
          <w:sz w:val="22"/>
          <w:szCs w:val="22"/>
        </w:rPr>
        <w:t>Ley Nº 19.889 de 9 de julio de 2020.</w:t>
      </w:r>
    </w:p>
    <w:p>
      <w:pPr>
        <w:pStyle w:val="style0"/>
        <w:numPr>
          <w:ilvl w:val="0"/>
          <w:numId w:val="5"/>
        </w:numPr>
        <w:suppressAutoHyphens w:val="false"/>
        <w:spacing w:after="0" w:before="0" w:line="276" w:lineRule="auto"/>
        <w:contextualSpacing/>
        <w:rPr>
          <w:rFonts w:cs="Times New Roman"/>
          <w:sz w:val="22"/>
          <w:szCs w:val="22"/>
        </w:rPr>
      </w:pPr>
      <w:r>
        <w:rPr>
          <w:rFonts w:cs="Times New Roman"/>
          <w:sz w:val="22"/>
          <w:szCs w:val="22"/>
        </w:rPr>
        <w:t>Leyes, decretos y resoluciones vigentes a la fecha de aperturas de la licitación, en tanto fueren aplicables.</w:t>
      </w:r>
    </w:p>
    <w:p>
      <w:pPr>
        <w:pStyle w:val="style43"/>
        <w:spacing w:line="276" w:lineRule="auto"/>
        <w:jc w:val="both"/>
        <w:rPr>
          <w:rFonts w:ascii="Bookman Old Style" w:cs="Times New Roman" w:hAnsi="Bookman Old Style"/>
          <w:b/>
          <w:bCs/>
          <w:sz w:val="22"/>
          <w:szCs w:val="22"/>
          <w:lang w:val="es-UY"/>
        </w:rPr>
      </w:pPr>
      <w:r>
        <w:rPr>
          <w:rFonts w:ascii="Bookman Old Style" w:cs="Times New Roman" w:hAnsi="Bookman Old Style"/>
          <w:b/>
          <w:bCs/>
          <w:sz w:val="22"/>
          <w:szCs w:val="22"/>
          <w:lang w:val="es-UY"/>
        </w:rPr>
      </w:r>
    </w:p>
    <w:p>
      <w:pPr>
        <w:pStyle w:val="style0"/>
        <w:tabs>
          <w:tab w:leader="none" w:pos="360" w:val="left"/>
        </w:tabs>
        <w:spacing w:line="276" w:lineRule="auto"/>
        <w:jc w:val="both"/>
        <w:rPr>
          <w:sz w:val="22"/>
          <w:szCs w:val="22"/>
          <w:lang w:val="es-UY"/>
        </w:rPr>
      </w:pPr>
      <w:r>
        <w:rPr>
          <w:sz w:val="22"/>
          <w:szCs w:val="22"/>
          <w:lang w:val="es-UY"/>
        </w:rPr>
      </w:r>
    </w:p>
    <w:p>
      <w:pPr>
        <w:pStyle w:val="style4"/>
        <w:spacing w:line="276" w:lineRule="auto"/>
        <w:rPr>
          <w:rFonts w:cs="Times New Roman"/>
          <w:lang w:val="es-UY"/>
        </w:rPr>
      </w:pPr>
      <w:r>
        <w:rPr>
          <w:rFonts w:cs="Times New Roman"/>
          <w:lang w:val="es-UY"/>
        </w:rPr>
        <w:t>Art. 1.- OBJETO DEL CONTRATO Y REQUERIMIENTOS ESPECIALES.</w:t>
      </w:r>
    </w:p>
    <w:p>
      <w:pPr>
        <w:pStyle w:val="style0"/>
        <w:suppressAutoHyphens w:val="false"/>
        <w:spacing w:line="276" w:lineRule="auto"/>
        <w:jc w:val="both"/>
        <w:rPr>
          <w:rFonts w:cs="Times New Roman"/>
          <w:b/>
          <w:sz w:val="22"/>
          <w:szCs w:val="22"/>
          <w:lang w:eastAsia="es-UY" w:val="es-UY"/>
        </w:rPr>
      </w:pPr>
      <w:r>
        <w:rPr>
          <w:rFonts w:cs="Times New Roman"/>
          <w:b/>
          <w:sz w:val="22"/>
          <w:szCs w:val="22"/>
          <w:lang w:eastAsia="es-UY" w:val="es-UY"/>
        </w:rPr>
      </w:r>
    </w:p>
    <w:p>
      <w:pPr>
        <w:pStyle w:val="style0"/>
        <w:suppressAutoHyphens w:val="false"/>
        <w:spacing w:line="276" w:lineRule="auto"/>
        <w:jc w:val="both"/>
        <w:rPr>
          <w:rFonts w:cs="Times New Roman"/>
          <w:sz w:val="22"/>
          <w:szCs w:val="22"/>
          <w:lang w:eastAsia="es-UY" w:val="es-UY"/>
        </w:rPr>
      </w:pPr>
      <w:r>
        <w:rPr>
          <w:rFonts w:cs="Times New Roman"/>
          <w:b/>
          <w:sz w:val="22"/>
          <w:szCs w:val="22"/>
          <w:lang w:eastAsia="es-UY" w:val="es-UY"/>
        </w:rPr>
        <w:t>Contratación de servicio de carga y traslado de mobiliario de oficina, tales como armarios metálicos, escritorios, estanterías metálicas, sillas y afines, desde la ciudad de Montevideo hacia las Sedes del Poder Judicial en el Interior del País</w:t>
      </w:r>
      <w:r>
        <w:rPr>
          <w:rFonts w:cs="Times New Roman"/>
          <w:b/>
          <w:bCs/>
          <w:i/>
          <w:iCs/>
          <w:sz w:val="22"/>
          <w:szCs w:val="22"/>
          <w:lang w:eastAsia="es-UY" w:val="es-UY"/>
        </w:rPr>
        <w:t>.</w:t>
      </w:r>
      <w:r>
        <w:rPr>
          <w:rFonts w:cs="Times New Roman"/>
          <w:sz w:val="22"/>
          <w:szCs w:val="22"/>
          <w:lang w:eastAsia="es-UY" w:val="es-UY"/>
        </w:rPr>
        <w:t xml:space="preserve"> </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r>
    </w:p>
    <w:p>
      <w:pPr>
        <w:pStyle w:val="style38"/>
        <w:numPr>
          <w:ilvl w:val="0"/>
          <w:numId w:val="6"/>
        </w:numPr>
        <w:suppressAutoHyphens w:val="false"/>
        <w:spacing w:line="276" w:lineRule="auto"/>
        <w:jc w:val="both"/>
        <w:rPr>
          <w:rFonts w:cs="Times New Roman"/>
          <w:sz w:val="22"/>
          <w:szCs w:val="22"/>
          <w:lang w:eastAsia="es-UY" w:val="es-UY"/>
        </w:rPr>
      </w:pPr>
      <w:r>
        <w:rPr>
          <w:rFonts w:cs="Times New Roman"/>
          <w:sz w:val="22"/>
          <w:szCs w:val="22"/>
          <w:lang w:eastAsia="es-UY" w:val="es-UY"/>
        </w:rPr>
        <w:t xml:space="preserve">Sólo serán consideradas las empresas transportistas que se encuentren </w:t>
      </w:r>
      <w:r>
        <w:rPr>
          <w:rFonts w:cs="Times New Roman"/>
          <w:b/>
          <w:sz w:val="22"/>
          <w:szCs w:val="22"/>
          <w:lang w:eastAsia="es-UY" w:val="es-UY"/>
        </w:rPr>
        <w:t>inscriptas en el Centro Integral de Registro y Habilitación de Empresas (CIRHE) a cargo del Ministerio de Transporte y Obras Públicas (MTOP) y vigente</w:t>
      </w:r>
      <w:r>
        <w:rPr>
          <w:rFonts w:cs="Times New Roman"/>
          <w:sz w:val="22"/>
          <w:szCs w:val="22"/>
          <w:lang w:eastAsia="es-UY" w:val="es-UY"/>
        </w:rPr>
        <w:t>. Las empresas deberán adjuntar dicho certificado a su oferta.</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r>
    </w:p>
    <w:p>
      <w:pPr>
        <w:pStyle w:val="style38"/>
        <w:numPr>
          <w:ilvl w:val="0"/>
          <w:numId w:val="6"/>
        </w:numPr>
        <w:suppressAutoHyphens w:val="false"/>
        <w:spacing w:line="276" w:lineRule="auto"/>
        <w:rPr>
          <w:rFonts w:cs="Times New Roman"/>
          <w:bCs/>
          <w:sz w:val="22"/>
          <w:szCs w:val="22"/>
          <w:lang w:eastAsia="es-UY" w:val="es-UY"/>
        </w:rPr>
      </w:pPr>
      <w:r>
        <w:rPr>
          <w:rFonts w:cs="Times New Roman"/>
          <w:sz w:val="22"/>
          <w:szCs w:val="22"/>
          <w:lang w:eastAsia="es-UY" w:val="es-UY"/>
        </w:rPr>
        <w:t xml:space="preserve">A efectos de considerar la cotización se enumera el </w:t>
      </w:r>
      <w:r>
        <w:rPr>
          <w:rFonts w:cs="Times New Roman"/>
          <w:b/>
          <w:bCs/>
          <w:sz w:val="22"/>
          <w:szCs w:val="22"/>
          <w:u w:val="single"/>
          <w:lang w:eastAsia="es-UY" w:val="es-UY"/>
        </w:rPr>
        <w:t>mobiliario a transportar</w:t>
      </w:r>
      <w:r>
        <w:rPr>
          <w:rFonts w:cs="Times New Roman"/>
          <w:bCs/>
          <w:sz w:val="22"/>
          <w:szCs w:val="22"/>
          <w:lang w:eastAsia="es-UY" w:val="es-UY"/>
        </w:rPr>
        <w:t xml:space="preserve"> y </w:t>
      </w:r>
      <w:r>
        <w:rPr>
          <w:rFonts w:cs="Times New Roman"/>
          <w:sz w:val="22"/>
          <w:szCs w:val="22"/>
          <w:lang w:eastAsia="es-UY" w:val="es-UY"/>
        </w:rPr>
        <w:t xml:space="preserve">medidas </w:t>
      </w:r>
      <w:r>
        <w:rPr>
          <w:rFonts w:cs="Times New Roman"/>
          <w:bCs/>
          <w:sz w:val="22"/>
          <w:szCs w:val="22"/>
          <w:lang w:eastAsia="es-UY" w:val="es-UY"/>
        </w:rPr>
        <w:t xml:space="preserve">aproximadas. </w:t>
      </w:r>
    </w:p>
    <w:p>
      <w:pPr>
        <w:pStyle w:val="style38"/>
        <w:numPr>
          <w:ilvl w:val="0"/>
          <w:numId w:val="6"/>
        </w:numPr>
        <w:suppressAutoHyphens w:val="false"/>
        <w:spacing w:line="276" w:lineRule="auto"/>
        <w:rPr>
          <w:rFonts w:cs="Times New Roman"/>
          <w:b/>
          <w:bCs/>
          <w:sz w:val="22"/>
          <w:szCs w:val="22"/>
          <w:lang w:eastAsia="es-UY" w:val="es-UY"/>
        </w:rPr>
      </w:pPr>
      <w:r>
        <w:rPr>
          <w:rFonts w:cs="Times New Roman"/>
          <w:color w:val="000000"/>
          <w:sz w:val="22"/>
          <w:szCs w:val="22"/>
          <w:lang w:eastAsia="es-UY" w:val="es-UY"/>
        </w:rPr>
        <w:t xml:space="preserve">Se deberá </w:t>
      </w:r>
      <w:r>
        <w:rPr>
          <w:rFonts w:cs="Times New Roman"/>
          <w:b/>
          <w:color w:val="000000"/>
          <w:sz w:val="22"/>
          <w:szCs w:val="22"/>
          <w:u w:val="single"/>
          <w:lang w:eastAsia="es-UY" w:val="es-UY"/>
        </w:rPr>
        <w:t>cotizar precio unitario por ítem</w:t>
      </w:r>
      <w:r>
        <w:rPr>
          <w:rFonts w:cs="Times New Roman"/>
          <w:color w:val="000000"/>
          <w:sz w:val="22"/>
          <w:szCs w:val="22"/>
          <w:lang w:eastAsia="es-UY" w:val="es-UY"/>
        </w:rPr>
        <w:t>, sin considerar el lugar de destino y los kilómetros recorridos, es decir que se cotiza por tipo de mobiliario.</w:t>
      </w:r>
      <w:r>
        <w:rPr>
          <w:rFonts w:cs="Times New Roman"/>
          <w:b/>
          <w:bCs/>
          <w:sz w:val="22"/>
          <w:szCs w:val="22"/>
          <w:lang w:eastAsia="es-UY" w:val="es-UY"/>
        </w:rPr>
        <w:t xml:space="preserve"> </w:t>
      </w:r>
    </w:p>
    <w:p>
      <w:pPr>
        <w:pStyle w:val="style38"/>
        <w:numPr>
          <w:ilvl w:val="0"/>
          <w:numId w:val="6"/>
        </w:numPr>
        <w:suppressAutoHyphens w:val="false"/>
        <w:spacing w:line="276" w:lineRule="auto"/>
        <w:jc w:val="both"/>
        <w:rPr>
          <w:rFonts w:cs="Times New Roman"/>
          <w:bCs/>
          <w:sz w:val="22"/>
          <w:szCs w:val="22"/>
          <w:lang w:eastAsia="es-UY" w:val="es-UY"/>
        </w:rPr>
      </w:pPr>
      <w:r>
        <w:rPr>
          <w:rFonts w:cs="Times New Roman"/>
          <w:bCs/>
          <w:sz w:val="22"/>
          <w:szCs w:val="22"/>
          <w:lang w:eastAsia="es-UY" w:val="es-UY"/>
        </w:rPr>
        <w:t xml:space="preserve">La cantidad indica por ítem es el estimado anual de traslados de dicho mobiliario, debiendo ofertar como se indica a continuación: </w:t>
      </w:r>
    </w:p>
    <w:p>
      <w:pPr>
        <w:pStyle w:val="style0"/>
        <w:suppressAutoHyphens w:val="false"/>
        <w:spacing w:line="276" w:lineRule="auto"/>
        <w:rPr>
          <w:rFonts w:cs="Times New Roman"/>
          <w:b/>
          <w:bCs/>
          <w:sz w:val="22"/>
          <w:szCs w:val="22"/>
          <w:lang w:eastAsia="es-UY" w:val="es-UY"/>
        </w:rPr>
      </w:pPr>
      <w:r>
        <w:rPr>
          <w:rFonts w:cs="Times New Roman"/>
          <w:b/>
          <w:bCs/>
          <w:sz w:val="22"/>
          <w:szCs w:val="22"/>
          <w:lang w:eastAsia="es-UY" w:val="es-UY"/>
        </w:rPr>
      </w:r>
    </w:p>
    <w:p>
      <w:pPr>
        <w:pStyle w:val="style0"/>
        <w:suppressAutoHyphens w:val="false"/>
        <w:spacing w:line="276" w:lineRule="auto"/>
        <w:rPr>
          <w:rFonts w:cs="Times New Roman"/>
          <w:b/>
          <w:bCs/>
          <w:sz w:val="22"/>
          <w:szCs w:val="22"/>
          <w:lang w:eastAsia="es-UY" w:val="es-UY"/>
        </w:rPr>
      </w:pPr>
      <w:r>
        <w:rPr>
          <w:rFonts w:cs="Times New Roman"/>
          <w:b/>
          <w:bCs/>
          <w:sz w:val="22"/>
          <w:szCs w:val="22"/>
          <w:lang w:eastAsia="es-UY" w:val="es-UY"/>
        </w:rPr>
        <w:t>Mobiliario de madera</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 Hasta 20 Estantería de madera con reparticiones 1.60 mt x 0.90 mts x 0.45 mts de profundidad.</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2.- Hasta 50 Mesa auxiliar-1 mt de largo x 0,60 x 0,72 alto.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3- Hasta 50 Mesas 60*60.</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4.- Hasta 50 Escritorio de funcionario -1,20 mt de largo x 0,70 x 0,72 alto.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5.- Hasta 50 Escritorio de técnico-1,40 mt de largo x 0.70 x 0,72 alto.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6.- Hasta 20 Escritorio de magistrado -1,60 mt de largo x 0,80 x 0,72 alto.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7.- Hasta 10 Escritorio de magistrado (1) -1,80 mt de largo x 0,80 mt de ancho x 0,72 alto.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8.- Hasta 130 Cajonera de madera con ruedas 0,45 mt x 0,45 mt x 0,60 de alto.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9.- Hasta 20 Módulos de baranda 1,20 mt x 0,50 mt x 1 mt alto.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10.- Hasta 30 Estantería librera de madera tres estantes 0.70  mt x 1,20 mt x 0.43 de profundidad.</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11 Hasta 10 Cuadros de Artigas. Medidas 1,00 mt alto *0.70 largo y 0.01 mts de profundidad.</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12- hasta 20 Mesas de computadora de dos niveles de 1.20 mts..</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rPr>
          <w:rFonts w:cs="Times New Roman"/>
          <w:b/>
          <w:bCs/>
          <w:color w:val="000000"/>
          <w:sz w:val="22"/>
          <w:szCs w:val="22"/>
          <w:lang w:eastAsia="es-UY" w:val="es-UY"/>
        </w:rPr>
      </w:pPr>
      <w:r>
        <w:rPr>
          <w:rFonts w:cs="Times New Roman"/>
          <w:b/>
          <w:bCs/>
          <w:color w:val="000000"/>
          <w:sz w:val="22"/>
          <w:szCs w:val="22"/>
          <w:lang w:eastAsia="es-UY" w:val="es-UY"/>
        </w:rPr>
        <w:t>Sillas y Sillones</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13.- Hasta 100 Silla de metal tapizada.</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14.- Hasta 50 Silla giratoria con ruedas para computadora.</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15.- Hasta 50 Sillones giratorios con posabrazos y con ruedas respaldo alto y/o bajo.</w:t>
      </w:r>
    </w:p>
    <w:p>
      <w:pPr>
        <w:pStyle w:val="style0"/>
        <w:suppressAutoHyphens w:val="false"/>
        <w:spacing w:line="276" w:lineRule="auto"/>
        <w:rPr>
          <w:rFonts w:cs="Times New Roman"/>
          <w:b/>
          <w:bCs/>
          <w:sz w:val="22"/>
          <w:szCs w:val="22"/>
          <w:lang w:eastAsia="es-UY" w:val="es-UY"/>
        </w:rPr>
      </w:pPr>
      <w:r>
        <w:rPr>
          <w:rFonts w:cs="Times New Roman"/>
          <w:b/>
          <w:bCs/>
          <w:sz w:val="22"/>
          <w:szCs w:val="22"/>
          <w:lang w:eastAsia="es-UY" w:val="es-UY"/>
        </w:rPr>
      </w:r>
    </w:p>
    <w:p>
      <w:pPr>
        <w:pStyle w:val="style0"/>
        <w:suppressAutoHyphens w:val="false"/>
        <w:spacing w:line="276" w:lineRule="auto"/>
        <w:rPr>
          <w:rFonts w:cs="Times New Roman"/>
          <w:b/>
          <w:bCs/>
          <w:sz w:val="22"/>
          <w:szCs w:val="22"/>
          <w:lang w:eastAsia="es-UY" w:val="es-UY"/>
        </w:rPr>
      </w:pPr>
      <w:r>
        <w:rPr>
          <w:rFonts w:cs="Times New Roman"/>
          <w:b/>
          <w:bCs/>
          <w:sz w:val="22"/>
          <w:szCs w:val="22"/>
          <w:lang w:eastAsia="es-UY" w:val="es-UY"/>
        </w:rPr>
        <w:t>Mobiliario metálico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16.- Hasta 30 Armario metálico con puertas de 1 mt de ancho x 1,85 mt de alto x 0,40 mt de profundidad.</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17.- Hasta 100 Estanterías metálicas de 1 mt de ancho x 2 mt de alto x 0,40 de profundidad.</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18.- Hasta 20 Silla de metal en módulos metálicos (tandem tres asientos) 1,80 mt x 0,70 mt x 0.80 mt de alto.</w:t>
      </w:r>
    </w:p>
    <w:p>
      <w:pPr>
        <w:pStyle w:val="style0"/>
        <w:suppressAutoHyphens w:val="false"/>
        <w:spacing w:line="276" w:lineRule="auto"/>
        <w:rPr>
          <w:rFonts w:cs="Times New Roman"/>
          <w:b/>
          <w:sz w:val="22"/>
          <w:szCs w:val="22"/>
          <w:lang w:eastAsia="es-UY" w:val="es-UY"/>
        </w:rPr>
      </w:pPr>
      <w:r>
        <w:rPr>
          <w:rFonts w:cs="Times New Roman"/>
          <w:b/>
          <w:sz w:val="22"/>
          <w:szCs w:val="22"/>
          <w:lang w:eastAsia="es-UY" w:val="es-UY"/>
        </w:rPr>
      </w:r>
    </w:p>
    <w:p>
      <w:pPr>
        <w:pStyle w:val="style0"/>
        <w:suppressAutoHyphens w:val="false"/>
        <w:spacing w:line="276" w:lineRule="auto"/>
        <w:rPr>
          <w:rFonts w:cs="Times New Roman"/>
          <w:b/>
          <w:sz w:val="22"/>
          <w:szCs w:val="22"/>
          <w:lang w:eastAsia="es-UY" w:val="es-UY"/>
        </w:rPr>
      </w:pPr>
      <w:r>
        <w:rPr>
          <w:rFonts w:cs="Times New Roman"/>
          <w:b/>
          <w:sz w:val="22"/>
          <w:szCs w:val="22"/>
          <w:lang w:eastAsia="es-UY" w:val="es-UY"/>
        </w:rPr>
        <w:t>Otro Mobiliario</w:t>
      </w:r>
    </w:p>
    <w:p>
      <w:pPr>
        <w:pStyle w:val="style0"/>
        <w:suppressAutoHyphens w:val="false"/>
        <w:spacing w:line="276" w:lineRule="auto"/>
        <w:rPr>
          <w:rFonts w:cs="Times New Roman"/>
          <w:b/>
          <w:sz w:val="22"/>
          <w:szCs w:val="22"/>
          <w:lang w:eastAsia="es-UY" w:val="es-UY"/>
        </w:rPr>
      </w:pPr>
      <w:r>
        <w:rPr>
          <w:rFonts w:cs="Times New Roman"/>
          <w:b/>
          <w:sz w:val="22"/>
          <w:szCs w:val="22"/>
          <w:lang w:eastAsia="es-UY" w:val="es-UY"/>
        </w:rPr>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w:t>
      </w:r>
      <w:bookmarkStart w:id="0" w:name="_GoBack"/>
      <w:bookmarkEnd w:id="0"/>
      <w:r>
        <w:rPr>
          <w:rFonts w:cs="Times New Roman"/>
          <w:sz w:val="22"/>
          <w:szCs w:val="22"/>
          <w:lang w:eastAsia="es-UY" w:val="es-UY"/>
        </w:rPr>
        <w:t xml:space="preserve"> 19- hasta 10 motos.</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jc w:val="both"/>
        <w:rPr>
          <w:rFonts w:cs="Times New Roman"/>
          <w:b/>
          <w:bCs/>
          <w:sz w:val="22"/>
          <w:szCs w:val="22"/>
          <w:lang w:eastAsia="es-UY" w:val="es-UY"/>
        </w:rPr>
      </w:pPr>
      <w:r>
        <w:rPr>
          <w:rFonts w:cs="Times New Roman"/>
          <w:bCs/>
          <w:sz w:val="22"/>
          <w:szCs w:val="22"/>
          <w:lang w:eastAsia="es-UY" w:val="es-UY"/>
        </w:rPr>
        <w:t>La presentación a la convocatoria implica la</w:t>
      </w:r>
      <w:r>
        <w:rPr>
          <w:rFonts w:cs="Times New Roman"/>
          <w:b/>
          <w:bCs/>
          <w:sz w:val="22"/>
          <w:szCs w:val="22"/>
          <w:lang w:eastAsia="es-UY" w:val="es-UY"/>
        </w:rPr>
        <w:t xml:space="preserve"> aceptación por parte del oferente</w:t>
      </w:r>
      <w:r>
        <w:rPr>
          <w:rFonts w:cs="Times New Roman"/>
          <w:bCs/>
          <w:sz w:val="22"/>
          <w:szCs w:val="22"/>
          <w:lang w:eastAsia="es-UY" w:val="es-UY"/>
        </w:rPr>
        <w:t xml:space="preserve"> que</w:t>
      </w:r>
      <w:r>
        <w:rPr>
          <w:rFonts w:cs="Times New Roman"/>
          <w:b/>
          <w:bCs/>
          <w:sz w:val="22"/>
          <w:szCs w:val="22"/>
          <w:lang w:eastAsia="es-UY" w:val="es-UY"/>
        </w:rPr>
        <w:t xml:space="preserve">: </w:t>
      </w:r>
    </w:p>
    <w:p>
      <w:pPr>
        <w:pStyle w:val="style38"/>
        <w:numPr>
          <w:ilvl w:val="0"/>
          <w:numId w:val="2"/>
        </w:numPr>
        <w:suppressAutoHyphens w:val="false"/>
        <w:spacing w:line="276" w:lineRule="auto"/>
        <w:jc w:val="both"/>
        <w:rPr>
          <w:rFonts w:cs="Times New Roman"/>
          <w:sz w:val="22"/>
          <w:szCs w:val="22"/>
          <w:lang w:eastAsia="es-UY" w:val="es-UY"/>
        </w:rPr>
      </w:pPr>
      <w:r>
        <w:rPr>
          <w:rFonts w:cs="Times New Roman"/>
          <w:bCs/>
          <w:sz w:val="22"/>
          <w:szCs w:val="22"/>
          <w:lang w:eastAsia="es-UY" w:val="es-UY"/>
        </w:rPr>
        <w:t>D</w:t>
      </w:r>
      <w:r>
        <w:rPr>
          <w:rFonts w:cs="Times New Roman"/>
          <w:sz w:val="22"/>
          <w:szCs w:val="22"/>
          <w:lang w:eastAsia="es-UY" w:val="es-UY"/>
        </w:rPr>
        <w:t>eberá proporcionar el personal para la carga del mobiliario lo que se efectuará en los depósitos del Departamento de Proveeduría sito en Montevideo en la calle Río Branco 1470 y/o en la calle Tacuarembó1629.</w:t>
      </w:r>
    </w:p>
    <w:p>
      <w:pPr>
        <w:pStyle w:val="style38"/>
        <w:numPr>
          <w:ilvl w:val="0"/>
          <w:numId w:val="2"/>
        </w:numPr>
        <w:suppressAutoHyphens w:val="false"/>
        <w:spacing w:line="276" w:lineRule="auto"/>
        <w:jc w:val="both"/>
        <w:rPr>
          <w:rFonts w:cs="Times New Roman"/>
          <w:sz w:val="22"/>
          <w:szCs w:val="22"/>
          <w:lang w:eastAsia="es-UY" w:val="es-UY"/>
        </w:rPr>
      </w:pPr>
      <w:r>
        <w:rPr>
          <w:rFonts w:cs="Times New Roman"/>
          <w:sz w:val="22"/>
          <w:szCs w:val="22"/>
          <w:lang w:eastAsia="es-UY" w:val="es-UY"/>
        </w:rPr>
        <w:t xml:space="preserve">El personal de la empresa es a los efectos de carga y descarga en origen y en destino, no siendo necesario su traslado en el camión. </w:t>
      </w:r>
    </w:p>
    <w:p>
      <w:pPr>
        <w:pStyle w:val="style38"/>
        <w:numPr>
          <w:ilvl w:val="0"/>
          <w:numId w:val="2"/>
        </w:numPr>
        <w:suppressAutoHyphens w:val="false"/>
        <w:spacing w:line="276" w:lineRule="auto"/>
        <w:jc w:val="both"/>
        <w:rPr>
          <w:rFonts w:cs="Times New Roman"/>
          <w:sz w:val="22"/>
          <w:szCs w:val="22"/>
          <w:lang w:eastAsia="es-UY" w:val="es-UY"/>
        </w:rPr>
      </w:pPr>
      <w:r>
        <w:rPr>
          <w:rFonts w:cs="Times New Roman"/>
          <w:sz w:val="22"/>
          <w:szCs w:val="22"/>
          <w:lang w:eastAsia="es-UY" w:val="es-UY"/>
        </w:rPr>
        <w:t xml:space="preserve">El personal de la empresa será de su cargo, lo que implica cumplir los requerimientos, exigencias y condiciones establecidas en leyes, decretos, laudos, convenios colectivos, etc. para el cumplimiento de la tarea, así como contar con seguro de accidentes de trabajo y asumir las  cargas por los aportes fiscales y de seguridad social. </w:t>
      </w:r>
    </w:p>
    <w:p>
      <w:pPr>
        <w:pStyle w:val="style38"/>
        <w:numPr>
          <w:ilvl w:val="0"/>
          <w:numId w:val="2"/>
        </w:numPr>
        <w:suppressAutoHyphens w:val="false"/>
        <w:spacing w:line="276" w:lineRule="auto"/>
        <w:jc w:val="both"/>
        <w:rPr>
          <w:rFonts w:cs="Times New Roman"/>
          <w:bCs/>
          <w:sz w:val="22"/>
          <w:szCs w:val="22"/>
          <w:lang w:eastAsia="es-UY"/>
        </w:rPr>
      </w:pPr>
      <w:r>
        <w:rPr>
          <w:rFonts w:cs="Times New Roman"/>
          <w:bCs/>
          <w:sz w:val="22"/>
          <w:szCs w:val="22"/>
          <w:lang w:eastAsia="es-UY"/>
        </w:rPr>
        <w:t xml:space="preserve">El servicio será a demanda y necesidad del Poder Judicial, no pudiendo condicionar el cumplimiento. </w:t>
      </w:r>
    </w:p>
    <w:p>
      <w:pPr>
        <w:pStyle w:val="style38"/>
        <w:numPr>
          <w:ilvl w:val="0"/>
          <w:numId w:val="2"/>
        </w:numPr>
        <w:suppressAutoHyphens w:val="false"/>
        <w:spacing w:line="276" w:lineRule="auto"/>
        <w:jc w:val="both"/>
        <w:rPr>
          <w:rFonts w:cs="Times New Roman"/>
          <w:bCs/>
          <w:sz w:val="22"/>
          <w:szCs w:val="22"/>
          <w:lang w:eastAsia="es-UY"/>
        </w:rPr>
      </w:pPr>
      <w:r>
        <w:rPr>
          <w:rFonts w:cs="Times New Roman"/>
          <w:bCs/>
          <w:sz w:val="22"/>
          <w:szCs w:val="22"/>
          <w:lang w:eastAsia="es-UY"/>
        </w:rPr>
        <w:t>El servicio se podrá cumplir de lunes a sábado y será coordinado por el Departamento de Proveeduría de División Administración.</w:t>
      </w:r>
    </w:p>
    <w:p>
      <w:pPr>
        <w:pStyle w:val="style38"/>
        <w:numPr>
          <w:ilvl w:val="0"/>
          <w:numId w:val="2"/>
        </w:numPr>
        <w:suppressAutoHyphens w:val="false"/>
        <w:spacing w:line="276" w:lineRule="auto"/>
        <w:jc w:val="both"/>
        <w:rPr>
          <w:rFonts w:cs="Times New Roman"/>
          <w:sz w:val="22"/>
          <w:szCs w:val="22"/>
          <w:lang w:eastAsia="es-UY"/>
        </w:rPr>
      </w:pPr>
      <w:r>
        <w:rPr>
          <w:rFonts w:cs="Times New Roman"/>
          <w:bCs/>
          <w:sz w:val="22"/>
          <w:szCs w:val="22"/>
          <w:lang w:eastAsia="es-UY"/>
        </w:rPr>
        <w:t>El mobiliario deberá llegar a destino en un plazo máximo de diez (10) d</w:t>
      </w:r>
      <w:r>
        <w:rPr>
          <w:rFonts w:cs="Times New Roman"/>
          <w:sz w:val="22"/>
          <w:szCs w:val="22"/>
          <w:lang w:eastAsia="es-UY"/>
        </w:rPr>
        <w:t xml:space="preserve">ías a contar de la recepción por el transportista. </w:t>
      </w:r>
    </w:p>
    <w:p>
      <w:pPr>
        <w:pStyle w:val="style37"/>
        <w:numPr>
          <w:ilvl w:val="0"/>
          <w:numId w:val="2"/>
        </w:numPr>
        <w:spacing w:after="0" w:before="0" w:line="276" w:lineRule="auto"/>
        <w:contextualSpacing w:val="false"/>
        <w:jc w:val="both"/>
        <w:rPr>
          <w:rFonts w:ascii="Bookman Old Style" w:hAnsi="Bookman Old Style"/>
          <w:bCs/>
          <w:sz w:val="22"/>
          <w:szCs w:val="22"/>
        </w:rPr>
      </w:pPr>
      <w:r>
        <w:rPr>
          <w:rFonts w:ascii="Bookman Old Style" w:hAnsi="Bookman Old Style"/>
          <w:bCs/>
          <w:sz w:val="22"/>
          <w:szCs w:val="22"/>
        </w:rPr>
        <w:t>El Poder Judicial no asume responsabilidad alguna derivada por el uso del vehículo, ya sea por daños causados a terceros, a la Administración o sus empleados y por los efectos transportados, a su propio personal.</w:t>
      </w:r>
    </w:p>
    <w:p>
      <w:pPr>
        <w:pStyle w:val="style37"/>
        <w:numPr>
          <w:ilvl w:val="0"/>
          <w:numId w:val="2"/>
        </w:numPr>
        <w:spacing w:after="0" w:before="0" w:line="276" w:lineRule="auto"/>
        <w:contextualSpacing w:val="false"/>
        <w:jc w:val="both"/>
        <w:rPr>
          <w:rFonts w:ascii="Bookman Old Style" w:hAnsi="Bookman Old Style"/>
          <w:bCs/>
          <w:sz w:val="22"/>
          <w:szCs w:val="22"/>
        </w:rPr>
      </w:pPr>
      <w:r>
        <w:rPr>
          <w:rFonts w:ascii="Bookman Old Style" w:hAnsi="Bookman Old Style"/>
          <w:bCs/>
          <w:sz w:val="22"/>
          <w:szCs w:val="22"/>
        </w:rPr>
        <w:t xml:space="preserve">El Poder Judicial entregará el mobiliario a trasladar embalado de origen o por el Depto. de Proveeduría del Poder Judicial y estará individualizado correctamente indicando lugar de destino, dirección y remitente. </w:t>
      </w:r>
    </w:p>
    <w:p>
      <w:pPr>
        <w:pStyle w:val="style37"/>
        <w:numPr>
          <w:ilvl w:val="0"/>
          <w:numId w:val="2"/>
        </w:numPr>
        <w:spacing w:after="0" w:before="0" w:line="276" w:lineRule="auto"/>
        <w:contextualSpacing w:val="false"/>
        <w:jc w:val="both"/>
        <w:rPr>
          <w:rFonts w:ascii="Bookman Old Style" w:hAnsi="Bookman Old Style"/>
          <w:bCs/>
          <w:sz w:val="22"/>
          <w:szCs w:val="22"/>
        </w:rPr>
      </w:pPr>
      <w:r>
        <w:rPr>
          <w:rFonts w:ascii="Bookman Old Style" w:hAnsi="Bookman Old Style"/>
          <w:bCs/>
          <w:sz w:val="22"/>
          <w:szCs w:val="22"/>
        </w:rPr>
        <w:t xml:space="preserve">El mobiliario transportado deberá llegar a destino en las mismas condiciones que se constate al momento de su carga. </w:t>
      </w:r>
    </w:p>
    <w:p>
      <w:pPr>
        <w:pStyle w:val="style37"/>
        <w:numPr>
          <w:ilvl w:val="0"/>
          <w:numId w:val="2"/>
        </w:numPr>
        <w:suppressAutoHyphens w:val="false"/>
        <w:spacing w:after="0" w:before="0" w:line="276" w:lineRule="auto"/>
        <w:contextualSpacing w:val="false"/>
        <w:jc w:val="both"/>
        <w:rPr>
          <w:rFonts w:ascii="Bookman Old Style" w:hAnsi="Bookman Old Style"/>
          <w:color w:val="000000"/>
          <w:sz w:val="22"/>
          <w:szCs w:val="22"/>
          <w:lang w:eastAsia="es-UY"/>
        </w:rPr>
      </w:pPr>
      <w:r>
        <w:rPr>
          <w:rFonts w:ascii="Bookman Old Style" w:hAnsi="Bookman Old Style"/>
          <w:bCs/>
          <w:sz w:val="22"/>
          <w:szCs w:val="22"/>
        </w:rPr>
        <w:t xml:space="preserve"> </w:t>
      </w:r>
      <w:r>
        <w:rPr>
          <w:rFonts w:ascii="Bookman Old Style" w:hAnsi="Bookman Old Style"/>
          <w:color w:val="000000"/>
          <w:sz w:val="22"/>
          <w:szCs w:val="22"/>
          <w:lang w:eastAsia="es-UY"/>
        </w:rPr>
        <w:t xml:space="preserve">A los solos efectos de que el oferente tenga una referencia de los lugares de destino a los que podrán ser remitidos el mobiliario que integra cada ítem, se ajunta </w:t>
      </w:r>
      <w:r>
        <w:rPr>
          <w:rFonts w:ascii="Bookman Old Style" w:hAnsi="Bookman Old Style"/>
          <w:b/>
          <w:color w:val="000000"/>
          <w:sz w:val="22"/>
          <w:szCs w:val="22"/>
          <w:lang w:eastAsia="es-UY"/>
        </w:rPr>
        <w:t>Anexo I</w:t>
      </w:r>
      <w:r>
        <w:rPr>
          <w:rFonts w:ascii="Bookman Old Style" w:hAnsi="Bookman Old Style"/>
          <w:color w:val="000000"/>
          <w:sz w:val="22"/>
          <w:szCs w:val="22"/>
          <w:lang w:eastAsia="es-UY"/>
        </w:rPr>
        <w:t xml:space="preserve"> con el listado de las localidades donde están las sedes judiciales. </w:t>
      </w:r>
    </w:p>
    <w:p>
      <w:pPr>
        <w:pStyle w:val="style0"/>
        <w:widowControl w:val="false"/>
        <w:numPr>
          <w:ilvl w:val="0"/>
          <w:numId w:val="2"/>
        </w:numPr>
        <w:spacing w:line="276" w:lineRule="auto"/>
        <w:ind w:hanging="360" w:left="720" w:right="27"/>
        <w:jc w:val="both"/>
        <w:rPr>
          <w:sz w:val="22"/>
          <w:szCs w:val="22"/>
        </w:rPr>
      </w:pPr>
      <w:r>
        <w:rPr>
          <w:sz w:val="22"/>
          <w:szCs w:val="22"/>
        </w:rPr>
        <w:t xml:space="preserve">La empresa que resulte adjudicataria deberá de firmar el </w:t>
      </w:r>
      <w:r>
        <w:rPr>
          <w:b/>
          <w:sz w:val="22"/>
          <w:szCs w:val="22"/>
        </w:rPr>
        <w:t>anexo II,</w:t>
      </w:r>
      <w:r>
        <w:rPr>
          <w:sz w:val="22"/>
          <w:szCs w:val="22"/>
        </w:rPr>
        <w:t xml:space="preserve"> ante los Servicios Notariales del Poder Judicial, luego de 10 días corridos desde la notificación.</w:t>
      </w:r>
    </w:p>
    <w:p>
      <w:pPr>
        <w:pStyle w:val="style37"/>
        <w:spacing w:after="0" w:before="280" w:line="276" w:lineRule="auto"/>
        <w:contextualSpacing w:val="false"/>
        <w:jc w:val="both"/>
        <w:rPr>
          <w:rFonts w:ascii="Bookman Old Style" w:hAnsi="Bookman Old Style"/>
          <w:b/>
          <w:sz w:val="22"/>
          <w:szCs w:val="22"/>
        </w:rPr>
      </w:pPr>
      <w:r>
        <w:rPr>
          <w:rFonts w:ascii="Bookman Old Style" w:hAnsi="Bookman Old Style"/>
          <w:b/>
          <w:sz w:val="22"/>
          <w:szCs w:val="22"/>
        </w:rPr>
        <w:t>Art. 2.- COMUNICACIONES.</w:t>
      </w:r>
    </w:p>
    <w:p>
      <w:pPr>
        <w:pStyle w:val="style31"/>
        <w:spacing w:line="276" w:lineRule="auto"/>
        <w:rPr>
          <w:rFonts w:ascii="Bookman Old Style" w:hAnsi="Bookman Old Style"/>
          <w:sz w:val="22"/>
          <w:szCs w:val="22"/>
          <w:lang w:val="es-UY"/>
        </w:rPr>
      </w:pPr>
      <w:r>
        <w:rPr>
          <w:rFonts w:ascii="Bookman Old Style" w:cs="Times New Roman" w:hAnsi="Bookman Old Style"/>
          <w:sz w:val="22"/>
          <w:szCs w:val="22"/>
          <w:lang w:val="es-UY"/>
        </w:rPr>
        <w:tab/>
      </w:r>
      <w:r>
        <w:rPr>
          <w:rFonts w:ascii="Bookman Old Style" w:hAnsi="Bookman Old Style"/>
          <w:sz w:val="22"/>
          <w:szCs w:val="22"/>
          <w:lang w:val="es-UY"/>
        </w:rPr>
        <w:t xml:space="preserve">Todas las comunicaciones referidas al presente llamado </w:t>
      </w:r>
      <w:r>
        <w:rPr>
          <w:rFonts w:ascii="Bookman Old Style" w:hAnsi="Bookman Old Style"/>
          <w:b/>
          <w:sz w:val="22"/>
          <w:szCs w:val="22"/>
          <w:lang w:val="es-UY"/>
        </w:rPr>
        <w:t>deberán dirigirse al Departamento de Adquisiciones</w:t>
      </w:r>
      <w:r>
        <w:rPr>
          <w:rFonts w:ascii="Bookman Old Style" w:hAnsi="Bookman Old Style"/>
          <w:sz w:val="22"/>
          <w:szCs w:val="22"/>
          <w:lang w:val="es-UY"/>
        </w:rPr>
        <w:t xml:space="preserve"> del Poder Judicial: </w:t>
      </w:r>
    </w:p>
    <w:p>
      <w:pPr>
        <w:pStyle w:val="style0"/>
        <w:spacing w:line="276" w:lineRule="auto"/>
        <w:rPr>
          <w:rFonts w:cs="Times New Roman"/>
          <w:sz w:val="22"/>
          <w:szCs w:val="22"/>
          <w:lang w:val="es-UY"/>
        </w:rPr>
      </w:pPr>
      <w:r>
        <w:rPr>
          <w:rFonts w:cs="Times New Roman"/>
          <w:sz w:val="22"/>
          <w:szCs w:val="22"/>
          <w:lang w:val="es-UY"/>
        </w:rPr>
        <w:t xml:space="preserve">Dirección: calle Soriano 1210, Montevideo. </w:t>
      </w:r>
    </w:p>
    <w:p>
      <w:pPr>
        <w:pStyle w:val="style0"/>
        <w:spacing w:line="276" w:lineRule="auto"/>
        <w:rPr>
          <w:rFonts w:cs="Times New Roman"/>
          <w:sz w:val="22"/>
          <w:szCs w:val="22"/>
          <w:lang w:val="es-UY"/>
        </w:rPr>
      </w:pPr>
      <w:r>
        <w:rPr>
          <w:rFonts w:cs="Times New Roman"/>
          <w:sz w:val="22"/>
          <w:szCs w:val="22"/>
          <w:lang w:val="es-UY"/>
        </w:rPr>
        <w:t xml:space="preserve">Tel.: 2 902.13.59 – 2 908.93.97 y 1907 interno 4554. </w:t>
      </w:r>
    </w:p>
    <w:p>
      <w:pPr>
        <w:pStyle w:val="style0"/>
        <w:spacing w:line="276" w:lineRule="auto"/>
        <w:rPr>
          <w:rFonts w:cs="Times New Roman"/>
          <w:sz w:val="22"/>
          <w:szCs w:val="22"/>
          <w:lang w:val="es-UY"/>
        </w:rPr>
      </w:pPr>
      <w:r>
        <w:rPr>
          <w:rFonts w:cs="Times New Roman"/>
          <w:sz w:val="22"/>
          <w:szCs w:val="22"/>
          <w:lang w:val="es-UY"/>
        </w:rPr>
      </w:r>
    </w:p>
    <w:p>
      <w:pPr>
        <w:pStyle w:val="style0"/>
        <w:spacing w:line="276" w:lineRule="auto"/>
        <w:rPr>
          <w:rFonts w:cs="Times New Roman"/>
          <w:sz w:val="22"/>
          <w:szCs w:val="22"/>
          <w:lang w:val="es-UY"/>
        </w:rPr>
      </w:pPr>
      <w:r>
        <w:rPr>
          <w:rFonts w:cs="Times New Roman"/>
          <w:sz w:val="22"/>
          <w:szCs w:val="22"/>
          <w:lang w:val="es-UY"/>
        </w:rPr>
        <w:t xml:space="preserve">Correo Electrónico: </w:t>
      </w:r>
      <w:hyperlink r:id="rId2">
        <w:r>
          <w:rPr>
            <w:rStyle w:val="style19"/>
            <w:rFonts w:cs="Times New Roman"/>
            <w:sz w:val="22"/>
            <w:szCs w:val="22"/>
          </w:rPr>
          <w:t>adquisiciones@poderjudicial.gub.u</w:t>
        </w:r>
      </w:hyperlink>
      <w:r>
        <w:rPr>
          <w:rFonts w:cs="Times New Roman"/>
          <w:sz w:val="22"/>
          <w:szCs w:val="22"/>
          <w:lang w:val="es-UY"/>
        </w:rPr>
        <w:t>y</w:t>
      </w:r>
    </w:p>
    <w:p>
      <w:pPr>
        <w:pStyle w:val="style0"/>
        <w:spacing w:line="276" w:lineRule="auto"/>
        <w:rPr>
          <w:rFonts w:cs="Times New Roman"/>
          <w:sz w:val="22"/>
          <w:szCs w:val="22"/>
        </w:rPr>
      </w:pPr>
      <w:r>
        <w:rPr>
          <w:rFonts w:cs="Times New Roman"/>
          <w:b/>
          <w:bCs/>
          <w:sz w:val="22"/>
          <w:szCs w:val="22"/>
          <w:lang w:val="es-UY"/>
        </w:rPr>
        <w:tab/>
      </w:r>
      <w:r>
        <w:rPr>
          <w:rFonts w:cs="Times New Roman"/>
          <w:b/>
          <w:sz w:val="22"/>
          <w:szCs w:val="22"/>
        </w:rPr>
        <w:t>Las consultas</w:t>
      </w:r>
      <w:r>
        <w:rPr>
          <w:rFonts w:cs="Times New Roman"/>
          <w:sz w:val="22"/>
          <w:szCs w:val="22"/>
        </w:rPr>
        <w:t xml:space="preserve"> de los oferentes podrán realizarse por el siguiente medio: correo electrónico.</w:t>
      </w:r>
    </w:p>
    <w:p>
      <w:pPr>
        <w:pStyle w:val="style0"/>
        <w:widowControl w:val="false"/>
        <w:spacing w:line="276" w:lineRule="auto"/>
        <w:ind w:firstLine="709" w:left="0" w:right="0"/>
        <w:textAlignment w:val="baseline"/>
        <w:rPr>
          <w:rFonts w:cs="Times New Roman" w:eastAsia="Bookman Old Style"/>
          <w:sz w:val="22"/>
          <w:szCs w:val="22"/>
          <w:lang w:bidi="hi-IN" w:eastAsia="hi-IN"/>
        </w:rPr>
      </w:pPr>
      <w:r>
        <w:rPr>
          <w:rFonts w:cs="Times New Roman" w:eastAsia="Bookman Old Style"/>
          <w:b/>
          <w:sz w:val="22"/>
          <w:szCs w:val="22"/>
          <w:lang w:bidi="hi-IN" w:eastAsia="hi-IN"/>
        </w:rPr>
        <w:t>Las respuestas</w:t>
      </w:r>
      <w:r>
        <w:rPr>
          <w:rFonts w:cs="Times New Roman" w:eastAsia="Bookman Old Style"/>
          <w:sz w:val="22"/>
          <w:szCs w:val="22"/>
          <w:lang w:bidi="hi-IN" w:eastAsia="hi-IN"/>
        </w:rPr>
        <w:t xml:space="preserve"> a los oferentes que impliquen aclaraciones y/o modificaciones al pliego, serán evacuadas a través del </w:t>
      </w:r>
      <w:r>
        <w:rPr>
          <w:rFonts w:cs="Times New Roman" w:eastAsia="Bookman Old Style"/>
          <w:b/>
          <w:sz w:val="22"/>
          <w:szCs w:val="22"/>
          <w:lang w:bidi="hi-IN" w:eastAsia="hi-IN"/>
        </w:rPr>
        <w:t>Sistema de Compras Estatales</w:t>
      </w:r>
      <w:r>
        <w:rPr>
          <w:rFonts w:cs="Times New Roman" w:eastAsia="Bookman Old Style"/>
          <w:sz w:val="22"/>
          <w:szCs w:val="22"/>
          <w:lang w:bidi="hi-IN" w:eastAsia="hi-IN"/>
        </w:rPr>
        <w:t xml:space="preserve"> (SICE-Aclaraciones).</w:t>
      </w:r>
    </w:p>
    <w:p>
      <w:pPr>
        <w:pStyle w:val="style31"/>
        <w:spacing w:line="276" w:lineRule="auto"/>
        <w:rPr>
          <w:rFonts w:ascii="Bookman Old Style" w:cs="Times New Roman" w:hAnsi="Bookman Old Style"/>
          <w:sz w:val="22"/>
          <w:szCs w:val="22"/>
        </w:rPr>
      </w:pPr>
      <w:r>
        <w:rPr>
          <w:rFonts w:ascii="Bookman Old Style" w:cs="Times New Roman" w:hAnsi="Bookman Old Style"/>
          <w:sz w:val="22"/>
          <w:szCs w:val="22"/>
        </w:rPr>
      </w:r>
    </w:p>
    <w:p>
      <w:pPr>
        <w:pStyle w:val="style1"/>
        <w:spacing w:line="276" w:lineRule="auto"/>
        <w:rPr>
          <w:rFonts w:ascii="Bookman Old Style" w:cs="Times New Roman" w:hAnsi="Bookman Old Style"/>
          <w:sz w:val="22"/>
          <w:szCs w:val="22"/>
          <w:lang w:val="es-UY"/>
        </w:rPr>
      </w:pPr>
      <w:r>
        <w:rPr>
          <w:rFonts w:ascii="Bookman Old Style" w:cs="Times New Roman" w:hAnsi="Bookman Old Style"/>
          <w:sz w:val="22"/>
          <w:szCs w:val="22"/>
          <w:lang w:val="es-UY"/>
        </w:rPr>
        <w:t>Art. 3.- ACLARACIONES Y CONSULTAS.</w:t>
      </w:r>
    </w:p>
    <w:p>
      <w:pPr>
        <w:pStyle w:val="style0"/>
        <w:spacing w:line="276" w:lineRule="auto"/>
        <w:jc w:val="both"/>
        <w:rPr>
          <w:rFonts w:cs="Times New Roman"/>
          <w:sz w:val="22"/>
          <w:szCs w:val="22"/>
          <w:lang w:val="es-UY"/>
        </w:rPr>
      </w:pPr>
      <w:r>
        <w:rPr>
          <w:rFonts w:cs="Times New Roman"/>
          <w:b/>
          <w:bCs/>
          <w:sz w:val="22"/>
          <w:szCs w:val="22"/>
          <w:lang w:val="es-UY"/>
        </w:rPr>
        <w:tab/>
      </w:r>
      <w:r>
        <w:rPr>
          <w:rFonts w:cs="Times New Roman"/>
          <w:sz w:val="22"/>
          <w:szCs w:val="22"/>
          <w:lang w:val="es-UY"/>
        </w:rPr>
        <w:t xml:space="preserve">Cualquier oferente podrá solicitar al Departamento de Adquisiciones, por cualquiera de los medios mencionados en el artículo precedente, </w:t>
      </w:r>
      <w:r>
        <w:rPr>
          <w:rFonts w:cs="Times New Roman"/>
          <w:b/>
          <w:sz w:val="22"/>
          <w:szCs w:val="22"/>
          <w:lang w:val="es-UY"/>
        </w:rPr>
        <w:t>aclaraciones o consultas específicas</w:t>
      </w:r>
      <w:r>
        <w:rPr>
          <w:rFonts w:cs="Times New Roman"/>
          <w:sz w:val="22"/>
          <w:szCs w:val="22"/>
          <w:lang w:val="es-UY"/>
        </w:rPr>
        <w:t xml:space="preserve">, dirigida hasta </w:t>
      </w:r>
      <w:r>
        <w:rPr>
          <w:rFonts w:cs="Times New Roman"/>
          <w:b/>
          <w:sz w:val="22"/>
          <w:szCs w:val="22"/>
          <w:lang w:val="es-UY"/>
        </w:rPr>
        <w:t>2 días</w:t>
      </w:r>
      <w:r>
        <w:rPr>
          <w:rFonts w:cs="Times New Roman"/>
          <w:sz w:val="22"/>
          <w:szCs w:val="22"/>
          <w:lang w:val="es-UY"/>
        </w:rPr>
        <w:t xml:space="preserve"> </w:t>
      </w:r>
      <w:r>
        <w:rPr>
          <w:rFonts w:cs="Times New Roman"/>
          <w:b/>
          <w:sz w:val="22"/>
          <w:szCs w:val="22"/>
          <w:lang w:val="es-UY"/>
        </w:rPr>
        <w:t>antes de la fecha establecida para el acto de apertura de las ofertas</w:t>
      </w:r>
      <w:r>
        <w:rPr>
          <w:rFonts w:cs="Times New Roman"/>
          <w:sz w:val="22"/>
          <w:szCs w:val="22"/>
          <w:lang w:val="es-UY"/>
        </w:rPr>
        <w:t>. Vencido dicho término, la Administración no estará obligada a proporcionar datos aclaratorios. Las consultas serán contestadas por el Departamento de Adquisiciones, en el plazo máximo de 48 horas a partir de su recepción.</w:t>
      </w:r>
    </w:p>
    <w:p>
      <w:pPr>
        <w:pStyle w:val="style0"/>
        <w:spacing w:line="276" w:lineRule="auto"/>
        <w:jc w:val="both"/>
        <w:rPr>
          <w:rFonts w:cs="Times New Roman"/>
          <w:sz w:val="22"/>
          <w:szCs w:val="22"/>
          <w:lang w:val="es-UY"/>
        </w:rPr>
      </w:pPr>
      <w:r>
        <w:rPr>
          <w:rFonts w:cs="Times New Roman"/>
          <w:sz w:val="22"/>
          <w:szCs w:val="22"/>
          <w:lang w:val="es-UY"/>
        </w:rPr>
      </w:r>
    </w:p>
    <w:p>
      <w:pPr>
        <w:pStyle w:val="style0"/>
        <w:spacing w:line="276" w:lineRule="auto"/>
        <w:jc w:val="both"/>
        <w:rPr>
          <w:b/>
          <w:bCs/>
          <w:sz w:val="22"/>
          <w:szCs w:val="22"/>
        </w:rPr>
      </w:pPr>
      <w:r>
        <w:rPr>
          <w:b/>
          <w:bCs/>
          <w:sz w:val="22"/>
          <w:szCs w:val="22"/>
        </w:rPr>
        <w:t>Art. 4.- CONTRALOR  DE LA OBLIGATORIEDAD DEL VOTO.</w:t>
      </w:r>
    </w:p>
    <w:p>
      <w:pPr>
        <w:pStyle w:val="style0"/>
        <w:spacing w:line="276" w:lineRule="auto"/>
        <w:ind w:firstLine="567" w:left="0" w:right="0"/>
        <w:jc w:val="both"/>
        <w:rPr>
          <w:bCs/>
          <w:sz w:val="22"/>
          <w:szCs w:val="22"/>
        </w:rPr>
      </w:pPr>
      <w:r>
        <w:rPr>
          <w:bCs/>
          <w:sz w:val="22"/>
          <w:szCs w:val="22"/>
        </w:rPr>
        <w:t xml:space="preserve">A partir  del 25/07/2022  y hasta el 21/011/2022, inclusive, se deberá </w:t>
      </w:r>
      <w:r>
        <w:rPr>
          <w:b/>
          <w:bCs/>
          <w:sz w:val="22"/>
          <w:szCs w:val="22"/>
        </w:rPr>
        <w:t>acreditar el voto del firmante de la oferta</w:t>
      </w:r>
      <w:r>
        <w:rPr>
          <w:bCs/>
          <w:sz w:val="22"/>
          <w:szCs w:val="22"/>
        </w:rPr>
        <w:t xml:space="preserve">, en el </w:t>
      </w:r>
      <w:r>
        <w:rPr>
          <w:b/>
          <w:bCs/>
          <w:sz w:val="22"/>
          <w:szCs w:val="22"/>
          <w:u w:val="single"/>
        </w:rPr>
        <w:t>Referendum 2022</w:t>
      </w:r>
      <w:r>
        <w:rPr>
          <w:bCs/>
          <w:sz w:val="22"/>
          <w:szCs w:val="22"/>
        </w:rPr>
        <w:t xml:space="preserve">, presentando la constancia respectiva expedida a esos efectos. </w:t>
      </w:r>
    </w:p>
    <w:p>
      <w:pPr>
        <w:pStyle w:val="style0"/>
        <w:spacing w:line="276" w:lineRule="auto"/>
        <w:ind w:firstLine="567" w:left="0" w:right="0"/>
        <w:jc w:val="both"/>
        <w:rPr>
          <w:bCs/>
          <w:sz w:val="22"/>
          <w:szCs w:val="22"/>
        </w:rPr>
      </w:pPr>
      <w:r>
        <w:rPr>
          <w:bCs/>
          <w:sz w:val="22"/>
          <w:szCs w:val="22"/>
        </w:rPr>
        <w:t>En caso de no haber votado, se presentará la constancia de pago de la multa correspondiente, o la constancia de la justificación de su incumplimiento, expedida por la Corte Electoral.</w:t>
      </w:r>
    </w:p>
    <w:p>
      <w:pPr>
        <w:pStyle w:val="style0"/>
        <w:spacing w:line="276" w:lineRule="auto"/>
        <w:ind w:firstLine="567" w:left="0" w:right="0"/>
        <w:jc w:val="both"/>
        <w:rPr>
          <w:bCs/>
          <w:sz w:val="22"/>
          <w:szCs w:val="22"/>
        </w:rPr>
      </w:pPr>
      <w:r>
        <w:rPr>
          <w:bCs/>
          <w:sz w:val="22"/>
          <w:szCs w:val="22"/>
        </w:rPr>
        <w:t>Quedan exceptuadas las personas que ya lo tengan acreditado en el RUPE y aquellas personas que no se encuentren comprendidas en las disposiciones legales vigentes.</w:t>
      </w:r>
    </w:p>
    <w:p>
      <w:pPr>
        <w:pStyle w:val="style0"/>
        <w:spacing w:line="276" w:lineRule="auto"/>
        <w:ind w:firstLine="567" w:left="0" w:right="0"/>
        <w:jc w:val="both"/>
        <w:rPr>
          <w:bCs/>
          <w:sz w:val="22"/>
          <w:szCs w:val="22"/>
        </w:rPr>
      </w:pPr>
      <w:r>
        <w:rPr>
          <w:bCs/>
          <w:sz w:val="22"/>
          <w:szCs w:val="22"/>
          <w:u w:val="single"/>
        </w:rPr>
        <w:t xml:space="preserve">En caso de no acreditarse el voto </w:t>
      </w:r>
      <w:r>
        <w:rPr>
          <w:bCs/>
          <w:sz w:val="22"/>
          <w:szCs w:val="22"/>
        </w:rPr>
        <w:t xml:space="preserve">de los firmantes, se observará la omisión otorgándose un </w:t>
      </w:r>
      <w:r>
        <w:rPr>
          <w:b/>
          <w:bCs/>
          <w:sz w:val="22"/>
          <w:szCs w:val="22"/>
        </w:rPr>
        <w:t>plazo de dos días hábiles</w:t>
      </w:r>
      <w:r>
        <w:rPr>
          <w:bCs/>
          <w:sz w:val="22"/>
          <w:szCs w:val="22"/>
        </w:rPr>
        <w:t xml:space="preserve"> para su subsanación.</w:t>
      </w:r>
    </w:p>
    <w:p>
      <w:pPr>
        <w:pStyle w:val="style0"/>
        <w:spacing w:line="276" w:lineRule="auto"/>
        <w:jc w:val="both"/>
        <w:rPr>
          <w:rFonts w:cs="Times New Roman"/>
          <w:sz w:val="22"/>
          <w:szCs w:val="22"/>
        </w:rPr>
      </w:pPr>
      <w:r>
        <w:rPr>
          <w:rFonts w:cs="Times New Roman"/>
          <w:sz w:val="22"/>
          <w:szCs w:val="22"/>
        </w:rPr>
      </w:r>
    </w:p>
    <w:p>
      <w:pPr>
        <w:pStyle w:val="style0"/>
        <w:spacing w:line="276" w:lineRule="auto"/>
        <w:jc w:val="both"/>
        <w:rPr>
          <w:rFonts w:cs="Times New Roman"/>
          <w:b/>
          <w:bCs/>
          <w:sz w:val="22"/>
          <w:szCs w:val="22"/>
          <w:lang w:val="es-UY"/>
        </w:rPr>
      </w:pPr>
      <w:r>
        <w:rPr>
          <w:rFonts w:cs="Times New Roman"/>
          <w:b/>
          <w:bCs/>
          <w:sz w:val="22"/>
          <w:szCs w:val="22"/>
          <w:lang w:val="es-UY"/>
        </w:rPr>
        <w:t>Art. 5.- DOCUMENTACION A PRESENTAR POR EL OFERENTE.</w:t>
      </w:r>
    </w:p>
    <w:p>
      <w:pPr>
        <w:pStyle w:val="style36"/>
        <w:spacing w:line="276" w:lineRule="auto"/>
        <w:jc w:val="both"/>
        <w:rPr>
          <w:rFonts w:ascii="Bookman Old Style" w:hAnsi="Bookman Old Style"/>
          <w:bCs/>
          <w:sz w:val="22"/>
          <w:szCs w:val="22"/>
          <w:lang w:val="es-UY"/>
        </w:rPr>
      </w:pPr>
      <w:r>
        <w:rPr>
          <w:rFonts w:ascii="Bookman Old Style" w:hAnsi="Bookman Old Style"/>
          <w:sz w:val="22"/>
          <w:szCs w:val="22"/>
          <w:lang w:val="es-UY"/>
        </w:rPr>
        <w:tab/>
      </w:r>
      <w:r>
        <w:rPr>
          <w:rFonts w:ascii="Bookman Old Style" w:hAnsi="Bookman Old Style"/>
          <w:b/>
          <w:bCs/>
          <w:sz w:val="22"/>
          <w:szCs w:val="22"/>
          <w:lang w:val="es-UY"/>
        </w:rPr>
        <w:t>Junto a su cotización</w:t>
      </w:r>
      <w:r>
        <w:rPr>
          <w:rFonts w:ascii="Bookman Old Style" w:hAnsi="Bookman Old Style"/>
          <w:bCs/>
          <w:sz w:val="22"/>
          <w:szCs w:val="22"/>
          <w:lang w:val="es-UY"/>
        </w:rPr>
        <w:t>, los oferentes deberán presentar la documentación que sea necesaria para acreditar los extremos exigidos en la presente convocatoria:</w:t>
      </w:r>
    </w:p>
    <w:p>
      <w:pPr>
        <w:pStyle w:val="style36"/>
        <w:spacing w:line="276" w:lineRule="auto"/>
        <w:jc w:val="both"/>
        <w:rPr>
          <w:rFonts w:ascii="Bookman Old Style" w:hAnsi="Bookman Old Style"/>
          <w:b/>
          <w:sz w:val="22"/>
          <w:szCs w:val="22"/>
          <w:lang w:eastAsia="es-UY" w:val="es-UY"/>
        </w:rPr>
      </w:pPr>
      <w:r>
        <w:rPr>
          <w:rFonts w:ascii="Bookman Old Style" w:hAnsi="Bookman Old Style"/>
          <w:b/>
          <w:sz w:val="22"/>
          <w:szCs w:val="22"/>
          <w:lang w:eastAsia="es-UY" w:val="es-UY"/>
        </w:rPr>
      </w:r>
    </w:p>
    <w:p>
      <w:pPr>
        <w:pStyle w:val="style36"/>
        <w:numPr>
          <w:ilvl w:val="0"/>
          <w:numId w:val="4"/>
        </w:numPr>
        <w:spacing w:line="276" w:lineRule="auto"/>
        <w:jc w:val="both"/>
        <w:rPr>
          <w:rFonts w:ascii="Bookman Old Style" w:hAnsi="Bookman Old Style"/>
          <w:bCs/>
          <w:sz w:val="22"/>
          <w:szCs w:val="22"/>
          <w:lang w:val="es-UY"/>
        </w:rPr>
      </w:pPr>
      <w:r>
        <w:rPr>
          <w:rFonts w:ascii="Bookman Old Style" w:hAnsi="Bookman Old Style"/>
          <w:bCs/>
          <w:sz w:val="22"/>
          <w:szCs w:val="22"/>
          <w:lang w:val="es-UY"/>
        </w:rPr>
        <w:t>Constancia de voto, como se indica en el art. 4  del presente.</w:t>
      </w:r>
    </w:p>
    <w:p>
      <w:pPr>
        <w:pStyle w:val="style36"/>
        <w:spacing w:line="276" w:lineRule="auto"/>
        <w:ind w:hanging="0" w:left="360" w:right="0"/>
        <w:jc w:val="both"/>
        <w:rPr>
          <w:rFonts w:ascii="Bookman Old Style" w:hAnsi="Bookman Old Style"/>
          <w:bCs/>
          <w:sz w:val="22"/>
          <w:szCs w:val="22"/>
          <w:lang w:val="es-UY"/>
        </w:rPr>
      </w:pPr>
      <w:r>
        <w:rPr>
          <w:rFonts w:ascii="Bookman Old Style" w:hAnsi="Bookman Old Style"/>
          <w:bCs/>
          <w:sz w:val="22"/>
          <w:szCs w:val="22"/>
          <w:lang w:val="es-UY"/>
        </w:rPr>
      </w:r>
    </w:p>
    <w:p>
      <w:pPr>
        <w:pStyle w:val="style36"/>
        <w:numPr>
          <w:ilvl w:val="0"/>
          <w:numId w:val="4"/>
        </w:numPr>
        <w:spacing w:line="276" w:lineRule="auto"/>
        <w:jc w:val="both"/>
        <w:rPr>
          <w:rFonts w:ascii="Bookman Old Style" w:hAnsi="Bookman Old Style"/>
          <w:b/>
          <w:sz w:val="22"/>
          <w:szCs w:val="22"/>
          <w:lang w:eastAsia="es-UY" w:val="es-UY"/>
        </w:rPr>
      </w:pPr>
      <w:r>
        <w:rPr>
          <w:rFonts w:ascii="Bookman Old Style" w:hAnsi="Bookman Old Style"/>
          <w:b/>
          <w:sz w:val="22"/>
          <w:szCs w:val="22"/>
          <w:lang w:eastAsia="es-UY" w:val="es-UY"/>
        </w:rPr>
        <w:t>Certificado de inscripción en el Centro Integral de Registro y Habilitación de Empresas (CIRHE) a cargo del Ministerio de Transporte y Obras Públicas (MTOP</w:t>
      </w:r>
    </w:p>
    <w:p>
      <w:pPr>
        <w:pStyle w:val="style36"/>
        <w:spacing w:line="276" w:lineRule="auto"/>
        <w:ind w:firstLine="708" w:left="0" w:right="0"/>
        <w:jc w:val="both"/>
        <w:rPr>
          <w:rFonts w:ascii="Bookman Old Style" w:hAnsi="Bookman Old Style"/>
          <w:bCs/>
          <w:sz w:val="22"/>
          <w:szCs w:val="22"/>
          <w:lang w:val="es-UY"/>
        </w:rPr>
      </w:pPr>
      <w:r>
        <w:rPr>
          <w:rFonts w:ascii="Bookman Old Style" w:hAnsi="Bookman Old Style"/>
          <w:bCs/>
          <w:sz w:val="22"/>
          <w:szCs w:val="22"/>
          <w:lang w:val="es-UY"/>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pPr>
        <w:pStyle w:val="style0"/>
        <w:spacing w:line="276" w:lineRule="auto"/>
        <w:jc w:val="both"/>
        <w:rPr>
          <w:rFonts w:cs="Times New Roman"/>
          <w:sz w:val="22"/>
          <w:szCs w:val="22"/>
          <w:lang w:val="es-UY"/>
        </w:rPr>
      </w:pPr>
      <w:r>
        <w:rPr>
          <w:rFonts w:cs="Times New Roman"/>
          <w:sz w:val="22"/>
          <w:szCs w:val="22"/>
          <w:lang w:val="es-UY"/>
        </w:rPr>
      </w:r>
    </w:p>
    <w:p>
      <w:pPr>
        <w:pStyle w:val="style0"/>
        <w:spacing w:line="276" w:lineRule="auto"/>
        <w:jc w:val="both"/>
        <w:rPr>
          <w:rFonts w:cs="Times New Roman"/>
          <w:sz w:val="22"/>
          <w:szCs w:val="22"/>
          <w:lang w:val="es-UY"/>
        </w:rPr>
      </w:pPr>
      <w:r>
        <w:rPr>
          <w:rFonts w:cs="Times New Roman"/>
          <w:b/>
          <w:bCs/>
          <w:sz w:val="22"/>
          <w:szCs w:val="22"/>
          <w:lang w:val="es-UY"/>
        </w:rPr>
        <w:t>Art. 6.-</w:t>
      </w:r>
      <w:r>
        <w:rPr>
          <w:rFonts w:cs="Times New Roman"/>
          <w:sz w:val="22"/>
          <w:szCs w:val="22"/>
          <w:lang w:val="es-UY"/>
        </w:rPr>
        <w:t xml:space="preserve"> </w:t>
      </w:r>
      <w:r>
        <w:rPr>
          <w:rFonts w:cs="Times New Roman"/>
          <w:b/>
          <w:bCs/>
          <w:sz w:val="22"/>
          <w:szCs w:val="22"/>
          <w:lang w:val="es-UY"/>
        </w:rPr>
        <w:t>FORMA Y MONEDA DE COTIZACION</w:t>
      </w:r>
      <w:r>
        <w:rPr>
          <w:rFonts w:cs="Times New Roman"/>
          <w:sz w:val="22"/>
          <w:szCs w:val="22"/>
          <w:lang w:val="es-UY"/>
        </w:rPr>
        <w:t>.</w:t>
      </w:r>
    </w:p>
    <w:p>
      <w:pPr>
        <w:pStyle w:val="style0"/>
        <w:spacing w:line="276" w:lineRule="auto"/>
        <w:ind w:firstLine="708" w:left="0" w:right="0"/>
        <w:jc w:val="both"/>
        <w:rPr>
          <w:rFonts w:cs="Times New Roman"/>
          <w:sz w:val="22"/>
          <w:szCs w:val="22"/>
          <w:lang w:val="es-UY"/>
        </w:rPr>
      </w:pPr>
      <w:r>
        <w:rPr>
          <w:rFonts w:cs="Times New Roman"/>
          <w:sz w:val="22"/>
          <w:szCs w:val="22"/>
          <w:lang w:val="es-UY"/>
        </w:rPr>
        <w:t xml:space="preserve">Precio de </w:t>
      </w:r>
      <w:r>
        <w:rPr>
          <w:rFonts w:cs="Times New Roman"/>
          <w:b/>
          <w:sz w:val="22"/>
          <w:szCs w:val="22"/>
          <w:lang w:val="es-UY"/>
        </w:rPr>
        <w:t xml:space="preserve">plaza </w:t>
      </w:r>
      <w:r>
        <w:rPr>
          <w:rFonts w:cs="Times New Roman"/>
          <w:sz w:val="22"/>
          <w:szCs w:val="22"/>
          <w:lang w:val="es-UY"/>
        </w:rPr>
        <w:t xml:space="preserve">en </w:t>
      </w:r>
      <w:r>
        <w:rPr>
          <w:rFonts w:cs="Times New Roman"/>
          <w:b/>
          <w:sz w:val="22"/>
          <w:szCs w:val="22"/>
          <w:lang w:val="es-UY"/>
        </w:rPr>
        <w:t>moneda nacional</w:t>
      </w:r>
      <w:r>
        <w:rPr>
          <w:rFonts w:cs="Times New Roman"/>
          <w:sz w:val="22"/>
          <w:szCs w:val="22"/>
          <w:lang w:val="es-UY"/>
        </w:rPr>
        <w:t>. Se deberá cotizar por ítem, indicando el precio por unitario con iva incluido y cumpliendo lo dispuesto en el artículo 7 del presente.</w:t>
      </w:r>
    </w:p>
    <w:p>
      <w:pPr>
        <w:pStyle w:val="style0"/>
        <w:spacing w:line="276" w:lineRule="auto"/>
        <w:jc w:val="both"/>
        <w:rPr>
          <w:rFonts w:cs="Times New Roman"/>
          <w:sz w:val="22"/>
          <w:szCs w:val="22"/>
          <w:lang w:val="es-UY"/>
        </w:rPr>
      </w:pPr>
      <w:r>
        <w:rPr>
          <w:rFonts w:cs="Times New Roman"/>
          <w:sz w:val="22"/>
          <w:szCs w:val="22"/>
          <w:lang w:val="es-UY"/>
        </w:rPr>
      </w:r>
    </w:p>
    <w:p>
      <w:pPr>
        <w:pStyle w:val="style0"/>
        <w:spacing w:line="276" w:lineRule="auto"/>
        <w:jc w:val="both"/>
        <w:rPr>
          <w:rFonts w:cs="Times New Roman"/>
          <w:b/>
          <w:bCs/>
          <w:sz w:val="22"/>
          <w:szCs w:val="22"/>
          <w:lang w:val="es-UY"/>
        </w:rPr>
      </w:pPr>
      <w:r>
        <w:rPr>
          <w:rFonts w:cs="Times New Roman"/>
          <w:b/>
          <w:bCs/>
          <w:sz w:val="22"/>
          <w:szCs w:val="22"/>
          <w:lang w:val="es-UY"/>
        </w:rPr>
        <w:t>Art. 7.- PRESENTACIÓN DE LAS OFERTAS.</w:t>
      </w:r>
    </w:p>
    <w:p>
      <w:pPr>
        <w:pStyle w:val="style0"/>
        <w:spacing w:line="276" w:lineRule="auto"/>
        <w:jc w:val="both"/>
        <w:rPr>
          <w:sz w:val="22"/>
          <w:szCs w:val="22"/>
        </w:rPr>
      </w:pPr>
      <w:r>
        <w:rPr>
          <w:rFonts w:cs="Times New Roman"/>
          <w:sz w:val="22"/>
          <w:szCs w:val="22"/>
          <w:lang w:val="es-UY"/>
        </w:rPr>
        <w:tab/>
      </w:r>
      <w:r>
        <w:rPr>
          <w:sz w:val="22"/>
          <w:szCs w:val="22"/>
        </w:rPr>
        <w:t xml:space="preserve">Las ofertas deberán presentarse en el Dpto. de Adquisiciones por uno de los siguientes medios (art. 63 inc. 5 del TOCAF): </w:t>
      </w:r>
    </w:p>
    <w:p>
      <w:pPr>
        <w:pStyle w:val="style0"/>
        <w:spacing w:line="276" w:lineRule="auto"/>
        <w:jc w:val="both"/>
        <w:rPr>
          <w:sz w:val="22"/>
          <w:szCs w:val="22"/>
        </w:rPr>
      </w:pPr>
      <w:r>
        <w:rPr>
          <w:sz w:val="22"/>
          <w:szCs w:val="22"/>
        </w:rPr>
        <w:t>-</w:t>
        <w:tab/>
        <w:t xml:space="preserve">correo electrónico, </w:t>
      </w:r>
    </w:p>
    <w:p>
      <w:pPr>
        <w:pStyle w:val="style0"/>
        <w:spacing w:line="276" w:lineRule="auto"/>
        <w:jc w:val="both"/>
        <w:rPr>
          <w:sz w:val="22"/>
          <w:szCs w:val="22"/>
        </w:rPr>
      </w:pPr>
      <w:r>
        <w:rPr>
          <w:sz w:val="22"/>
          <w:szCs w:val="22"/>
        </w:rPr>
        <w:t>-</w:t>
        <w:tab/>
        <w:t>en línea en el sistema SICE.</w:t>
      </w:r>
    </w:p>
    <w:p>
      <w:pPr>
        <w:pStyle w:val="style0"/>
        <w:spacing w:line="276" w:lineRule="auto"/>
        <w:jc w:val="both"/>
        <w:rPr>
          <w:sz w:val="22"/>
          <w:szCs w:val="22"/>
        </w:rPr>
      </w:pPr>
      <w:r>
        <w:rPr>
          <w:sz w:val="22"/>
          <w:szCs w:val="22"/>
        </w:rPr>
        <w:t xml:space="preserve">Se solicita utilizar un único medio de los ofrecidos. </w:t>
      </w:r>
    </w:p>
    <w:p>
      <w:pPr>
        <w:pStyle w:val="style0"/>
        <w:spacing w:line="276" w:lineRule="auto"/>
        <w:ind w:firstLine="708" w:left="0" w:right="0"/>
        <w:jc w:val="both"/>
        <w:rPr>
          <w:sz w:val="22"/>
          <w:szCs w:val="22"/>
        </w:rPr>
      </w:pPr>
      <w:r>
        <w:rPr>
          <w:sz w:val="22"/>
          <w:szCs w:val="22"/>
        </w:rPr>
        <w:t>En caso de que el oferente presente su oferta a través del SICE y no coincidiera el archivo adjunto con la cotización en línea, se le dará validez al archivo adjunto.</w:t>
      </w:r>
    </w:p>
    <w:p>
      <w:pPr>
        <w:pStyle w:val="style0"/>
        <w:spacing w:line="276" w:lineRule="auto"/>
        <w:jc w:val="both"/>
        <w:rPr>
          <w:b/>
          <w:sz w:val="22"/>
          <w:szCs w:val="22"/>
          <w:u w:val="single"/>
        </w:rPr>
      </w:pPr>
      <w:r>
        <w:rPr>
          <w:sz w:val="22"/>
          <w:szCs w:val="22"/>
        </w:rPr>
        <w:tab/>
      </w:r>
      <w:r>
        <w:rPr>
          <w:b/>
          <w:sz w:val="22"/>
          <w:szCs w:val="22"/>
          <w:u w:val="single"/>
        </w:rPr>
        <w:t>En caso de cotizarse por correo electrónico o en línea SICE deberá, adicionalmente, adjuntarse en todos los casos, archivo con la oferta económica escaneada, firmada (con aclaración) por representante o apoderado registrado en el Registro Único de Proveedores del Estado (RUPE).</w:t>
      </w:r>
    </w:p>
    <w:p>
      <w:pPr>
        <w:pStyle w:val="style0"/>
        <w:spacing w:line="276" w:lineRule="auto"/>
        <w:jc w:val="both"/>
        <w:rPr>
          <w:sz w:val="22"/>
          <w:szCs w:val="22"/>
        </w:rPr>
      </w:pPr>
      <w:r>
        <w:rPr>
          <w:sz w:val="22"/>
          <w:szCs w:val="22"/>
        </w:rPr>
        <w:tab/>
        <w:t>Se admitirá la presentación de ofertas a aquellas empresas que se encuentren en estado “Activo”.</w:t>
      </w:r>
    </w:p>
    <w:p>
      <w:pPr>
        <w:pStyle w:val="style0"/>
        <w:spacing w:line="276" w:lineRule="auto"/>
        <w:ind w:firstLine="708" w:left="0" w:right="0"/>
        <w:jc w:val="both"/>
        <w:rPr>
          <w:sz w:val="22"/>
          <w:szCs w:val="22"/>
        </w:rPr>
      </w:pPr>
      <w:r>
        <w:rPr>
          <w:sz w:val="22"/>
          <w:szCs w:val="22"/>
        </w:rPr>
        <w:t>Los precios cotizados deberán indicar todos los tributos que correspondan al oferente y su porcentaje, especialmente el I.V.A., en forma clara y precisa, manifestando si los referidos tributos están o no incluidos en los precios. En caso de no establecerse esta circunstancia, se considerará que los precios son con todos los tributos incluidos.</w:t>
      </w:r>
    </w:p>
    <w:p>
      <w:pPr>
        <w:pStyle w:val="style0"/>
        <w:spacing w:line="276" w:lineRule="auto"/>
        <w:jc w:val="both"/>
        <w:rPr>
          <w:rFonts w:cs="Times New Roman"/>
          <w:sz w:val="22"/>
          <w:szCs w:val="22"/>
        </w:rPr>
      </w:pPr>
      <w:r>
        <w:rPr>
          <w:rFonts w:cs="Times New Roman"/>
          <w:sz w:val="22"/>
          <w:szCs w:val="22"/>
        </w:rPr>
      </w:r>
    </w:p>
    <w:p>
      <w:pPr>
        <w:pStyle w:val="style36"/>
        <w:spacing w:line="276" w:lineRule="auto"/>
        <w:jc w:val="both"/>
        <w:rPr>
          <w:rStyle w:val="style20"/>
          <w:rFonts w:ascii="Bookman Old Style" w:hAnsi="Bookman Old Style"/>
          <w:b/>
          <w:sz w:val="22"/>
          <w:szCs w:val="22"/>
          <w:lang w:val="es-UY"/>
        </w:rPr>
      </w:pPr>
      <w:r>
        <w:rPr>
          <w:rStyle w:val="style20"/>
          <w:rFonts w:ascii="Bookman Old Style" w:hAnsi="Bookman Old Style"/>
          <w:b/>
          <w:sz w:val="22"/>
          <w:szCs w:val="22"/>
          <w:lang w:val="es-UY"/>
        </w:rPr>
        <w:t>Art. 8.-</w:t>
      </w:r>
      <w:r>
        <w:rPr>
          <w:rStyle w:val="style20"/>
          <w:rFonts w:ascii="Bookman Old Style" w:hAnsi="Bookman Old Style"/>
          <w:sz w:val="22"/>
          <w:szCs w:val="22"/>
          <w:lang w:val="es-UY"/>
        </w:rPr>
        <w:t xml:space="preserve"> </w:t>
      </w:r>
      <w:r>
        <w:rPr>
          <w:rStyle w:val="style20"/>
          <w:rFonts w:ascii="Bookman Old Style" w:hAnsi="Bookman Old Style"/>
          <w:b/>
          <w:sz w:val="22"/>
          <w:szCs w:val="22"/>
          <w:lang w:val="es-UY"/>
        </w:rPr>
        <w:t>LUGAR  Y FECHA DE APERTURA</w:t>
      </w:r>
    </w:p>
    <w:p>
      <w:pPr>
        <w:pStyle w:val="style36"/>
        <w:spacing w:line="276" w:lineRule="auto"/>
        <w:jc w:val="both"/>
        <w:rPr>
          <w:rFonts w:ascii="Bookman Old Style" w:hAnsi="Bookman Old Style"/>
          <w:sz w:val="22"/>
          <w:szCs w:val="22"/>
          <w:lang w:val="es-UY"/>
        </w:rPr>
      </w:pPr>
      <w:r>
        <w:rPr>
          <w:rFonts w:ascii="Bookman Old Style" w:hAnsi="Bookman Old Style"/>
          <w:sz w:val="22"/>
          <w:szCs w:val="22"/>
          <w:lang w:val="es-UY"/>
        </w:rPr>
      </w:r>
    </w:p>
    <w:p>
      <w:pPr>
        <w:pStyle w:val="style36"/>
        <w:spacing w:line="276" w:lineRule="auto"/>
        <w:jc w:val="both"/>
        <w:rPr>
          <w:rFonts w:ascii="Bookman Old Style" w:hAnsi="Bookman Old Style"/>
          <w:b/>
          <w:sz w:val="22"/>
          <w:szCs w:val="22"/>
          <w:lang w:val="es-UY"/>
        </w:rPr>
      </w:pPr>
      <w:r>
        <w:rPr>
          <w:rStyle w:val="style20"/>
          <w:rFonts w:ascii="Bookman Old Style" w:hAnsi="Bookman Old Style"/>
          <w:sz w:val="22"/>
          <w:szCs w:val="22"/>
          <w:lang w:val="es-UY"/>
        </w:rPr>
        <w:tab/>
        <w:t xml:space="preserve">a) Fecha: </w:t>
      </w:r>
      <w:r>
        <w:rPr>
          <w:rStyle w:val="style20"/>
          <w:rFonts w:ascii="Bookman Old Style" w:hAnsi="Bookman Old Style"/>
          <w:b/>
          <w:sz w:val="22"/>
          <w:szCs w:val="22"/>
          <w:shd w:fill="FFFF00" w:val="clear"/>
          <w:lang w:val="es-UY"/>
        </w:rPr>
        <w:t>xx de xx de 2022</w:t>
      </w:r>
      <w:r>
        <w:rPr>
          <w:rFonts w:ascii="Bookman Old Style" w:hAnsi="Bookman Old Style"/>
          <w:b/>
          <w:sz w:val="22"/>
          <w:szCs w:val="22"/>
          <w:shd w:fill="FFFF00" w:val="clear"/>
          <w:lang w:val="es-UY"/>
        </w:rPr>
        <w:t>.</w:t>
      </w:r>
      <w:r>
        <w:rPr>
          <w:rFonts w:ascii="Bookman Old Style" w:hAnsi="Bookman Old Style"/>
          <w:b/>
          <w:sz w:val="22"/>
          <w:szCs w:val="22"/>
          <w:lang w:val="es-UY"/>
        </w:rPr>
        <w:tab/>
      </w:r>
    </w:p>
    <w:p>
      <w:pPr>
        <w:pStyle w:val="style36"/>
        <w:spacing w:line="276" w:lineRule="auto"/>
        <w:jc w:val="both"/>
        <w:rPr>
          <w:rFonts w:ascii="Bookman Old Style" w:hAnsi="Bookman Old Style"/>
          <w:sz w:val="22"/>
          <w:szCs w:val="22"/>
          <w:lang w:val="es-UY"/>
        </w:rPr>
      </w:pPr>
      <w:r>
        <w:rPr>
          <w:rFonts w:ascii="Bookman Old Style" w:hAnsi="Bookman Old Style"/>
          <w:sz w:val="22"/>
          <w:szCs w:val="22"/>
          <w:lang w:val="es-UY"/>
        </w:rPr>
        <w:tab/>
        <w:t xml:space="preserve">b) Hora: </w:t>
      </w:r>
      <w:r>
        <w:rPr>
          <w:rFonts w:ascii="Bookman Old Style" w:hAnsi="Bookman Old Style"/>
          <w:b/>
          <w:sz w:val="22"/>
          <w:szCs w:val="22"/>
          <w:lang w:val="es-UY"/>
        </w:rPr>
        <w:t>15:00 hs</w:t>
      </w:r>
      <w:r>
        <w:rPr>
          <w:rFonts w:ascii="Bookman Old Style" w:hAnsi="Bookman Old Style"/>
          <w:sz w:val="22"/>
          <w:szCs w:val="22"/>
          <w:lang w:val="es-UY"/>
        </w:rPr>
        <w:t>.</w:t>
      </w:r>
    </w:p>
    <w:p>
      <w:pPr>
        <w:pStyle w:val="style36"/>
        <w:spacing w:line="276" w:lineRule="auto"/>
        <w:ind w:firstLine="709" w:left="0" w:right="0"/>
        <w:jc w:val="both"/>
        <w:rPr>
          <w:rFonts w:ascii="Bookman Old Style" w:hAnsi="Bookman Old Style"/>
          <w:sz w:val="22"/>
          <w:szCs w:val="22"/>
          <w:lang w:val="es-UY"/>
        </w:rPr>
      </w:pPr>
      <w:r>
        <w:rPr>
          <w:rFonts w:ascii="Bookman Old Style" w:hAnsi="Bookman Old Style"/>
          <w:sz w:val="22"/>
          <w:szCs w:val="22"/>
          <w:lang w:val="es-UY"/>
        </w:rPr>
        <w:t xml:space="preserve">c) Lugar: </w:t>
      </w:r>
      <w:r>
        <w:rPr>
          <w:rFonts w:ascii="Bookman Old Style" w:hAnsi="Bookman Old Style"/>
          <w:b/>
          <w:sz w:val="22"/>
          <w:szCs w:val="22"/>
          <w:lang w:val="es-UY"/>
        </w:rPr>
        <w:t>Departamento de Adquisiciones</w:t>
      </w:r>
      <w:r>
        <w:rPr>
          <w:rFonts w:ascii="Bookman Old Style" w:hAnsi="Bookman Old Style"/>
          <w:sz w:val="22"/>
          <w:szCs w:val="22"/>
          <w:lang w:val="es-UY"/>
        </w:rPr>
        <w:t xml:space="preserve"> del Poder Judicial.</w:t>
      </w:r>
    </w:p>
    <w:p>
      <w:pPr>
        <w:pStyle w:val="style0"/>
        <w:spacing w:line="276" w:lineRule="auto"/>
        <w:jc w:val="both"/>
        <w:rPr>
          <w:rFonts w:cs="Times New Roman"/>
          <w:b/>
          <w:bCs/>
          <w:sz w:val="22"/>
          <w:szCs w:val="22"/>
          <w:lang w:val="es-UY"/>
        </w:rPr>
      </w:pPr>
      <w:r>
        <w:rPr>
          <w:rFonts w:cs="Times New Roman"/>
          <w:b/>
          <w:bCs/>
          <w:sz w:val="22"/>
          <w:szCs w:val="22"/>
          <w:lang w:val="es-UY"/>
        </w:rPr>
      </w:r>
    </w:p>
    <w:p>
      <w:pPr>
        <w:pStyle w:val="style1"/>
        <w:spacing w:line="276" w:lineRule="auto"/>
        <w:rPr>
          <w:rFonts w:ascii="Bookman Old Style" w:cs="Times New Roman" w:hAnsi="Bookman Old Style"/>
          <w:sz w:val="22"/>
          <w:szCs w:val="22"/>
          <w:lang w:val="es-UY"/>
        </w:rPr>
      </w:pPr>
      <w:r>
        <w:rPr>
          <w:rFonts w:ascii="Bookman Old Style" w:cs="Times New Roman" w:hAnsi="Bookman Old Style"/>
          <w:sz w:val="22"/>
          <w:szCs w:val="22"/>
          <w:lang w:val="es-UY"/>
        </w:rPr>
        <w:t>Art. 9.- APERTURA DE OFERTAS.</w:t>
      </w:r>
    </w:p>
    <w:p>
      <w:pPr>
        <w:pStyle w:val="style0"/>
        <w:spacing w:line="276" w:lineRule="auto"/>
        <w:ind w:firstLine="709" w:left="0" w:right="0"/>
        <w:jc w:val="both"/>
        <w:rPr>
          <w:rFonts w:eastAsia="Bookman Old Style"/>
          <w:sz w:val="22"/>
          <w:szCs w:val="22"/>
          <w:lang w:bidi="hi-IN" w:eastAsia="hi-IN"/>
        </w:rPr>
      </w:pPr>
      <w:r>
        <w:rPr>
          <w:rFonts w:eastAsia="Bookman Old Style"/>
          <w:sz w:val="22"/>
          <w:szCs w:val="22"/>
          <w:lang w:bidi="hi-IN" w:eastAsia="hi-IN"/>
        </w:rPr>
        <w:t xml:space="preserve">El ACTO DE APERTURA NO SE REALIZARA EN FORMA PRESENCIAL. </w:t>
      </w:r>
    </w:p>
    <w:p>
      <w:pPr>
        <w:pStyle w:val="style0"/>
        <w:spacing w:line="276" w:lineRule="auto"/>
        <w:ind w:firstLine="709" w:left="0" w:right="0"/>
        <w:jc w:val="both"/>
        <w:rPr>
          <w:rFonts w:eastAsia="Bookman Old Style"/>
          <w:sz w:val="22"/>
          <w:szCs w:val="22"/>
          <w:lang w:bidi="hi-IN" w:eastAsia="hi-IN"/>
        </w:rPr>
      </w:pPr>
      <w:r>
        <w:rPr>
          <w:rFonts w:eastAsia="Bookman Old Style"/>
          <w:sz w:val="22"/>
          <w:szCs w:val="22"/>
          <w:lang w:bidi="hi-IN" w:eastAsia="hi-I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pPr>
        <w:pStyle w:val="style0"/>
        <w:spacing w:line="276" w:lineRule="auto"/>
        <w:ind w:firstLine="709" w:left="0" w:right="0"/>
        <w:jc w:val="both"/>
        <w:rPr>
          <w:rStyle w:val="style19"/>
          <w:rFonts w:eastAsia="Bookman Old Style"/>
          <w:color w:val="000080"/>
          <w:sz w:val="22"/>
          <w:szCs w:val="22"/>
          <w:u w:val="single"/>
        </w:rPr>
      </w:pPr>
      <w:r>
        <w:rPr>
          <w:rFonts w:eastAsia="Bookman Old Style"/>
          <w:sz w:val="22"/>
          <w:szCs w:val="22"/>
          <w:lang w:bidi="hi-IN" w:eastAsia="hi-IN"/>
        </w:rPr>
        <w:t xml:space="preserve">Aquellos oferentes que tengan interés en ver las ofertas contarán con un plazo de 4 días a contar de la notificación, para lo cual deberán agendarse previamente al correo electrónico </w:t>
      </w:r>
      <w:hyperlink r:id="rId3">
        <w:r>
          <w:rPr>
            <w:rStyle w:val="style19"/>
            <w:rFonts w:eastAsia="Bookman Old Style"/>
            <w:color w:val="000080"/>
            <w:sz w:val="22"/>
            <w:szCs w:val="22"/>
            <w:u w:val="single"/>
          </w:rPr>
          <w:t>adquisiciones@poderjudicial.gub.uy</w:t>
        </w:r>
      </w:hyperlink>
    </w:p>
    <w:p>
      <w:pPr>
        <w:pStyle w:val="style0"/>
        <w:spacing w:line="276" w:lineRule="auto"/>
        <w:ind w:firstLine="709" w:left="0" w:right="0"/>
        <w:jc w:val="both"/>
        <w:rPr>
          <w:rFonts w:eastAsia="Bookman Old Style"/>
          <w:sz w:val="22"/>
          <w:szCs w:val="22"/>
          <w:lang w:bidi="hi-IN" w:eastAsia="hi-IN"/>
        </w:rPr>
      </w:pPr>
      <w:r>
        <w:rPr>
          <w:rFonts w:eastAsia="Bookman Old Style"/>
          <w:sz w:val="22"/>
          <w:szCs w:val="22"/>
          <w:lang w:bidi="hi-IN" w:eastAsia="hi-I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pPr>
        <w:pStyle w:val="style0"/>
        <w:spacing w:line="276" w:lineRule="auto"/>
        <w:ind w:firstLine="709" w:left="0" w:right="0"/>
        <w:jc w:val="both"/>
        <w:rPr>
          <w:rFonts w:eastAsia="Bookman Old Style"/>
          <w:sz w:val="22"/>
          <w:szCs w:val="22"/>
          <w:lang w:bidi="hi-IN" w:eastAsia="hi-IN"/>
        </w:rPr>
      </w:pPr>
      <w:r>
        <w:rPr>
          <w:rFonts w:eastAsia="Bookman Old Style"/>
          <w:sz w:val="22"/>
          <w:szCs w:val="22"/>
          <w:lang w:bidi="hi-IN" w:eastAsia="hi-IN"/>
        </w:rPr>
        <w:t xml:space="preserve">Se deja constancia que en el presente procedimiento no se utiliza la modalidad de apertura electrónica. </w:t>
      </w:r>
    </w:p>
    <w:p>
      <w:pPr>
        <w:pStyle w:val="style0"/>
        <w:spacing w:line="276" w:lineRule="auto"/>
        <w:jc w:val="both"/>
        <w:rPr>
          <w:rFonts w:cs="Times New Roman"/>
          <w:b/>
          <w:bCs/>
          <w:sz w:val="22"/>
          <w:szCs w:val="22"/>
        </w:rPr>
      </w:pPr>
      <w:r>
        <w:rPr>
          <w:rFonts w:cs="Times New Roman"/>
          <w:b/>
          <w:bCs/>
          <w:sz w:val="22"/>
          <w:szCs w:val="22"/>
        </w:rPr>
      </w:r>
    </w:p>
    <w:p>
      <w:pPr>
        <w:pStyle w:val="style0"/>
        <w:spacing w:line="276" w:lineRule="auto"/>
        <w:jc w:val="both"/>
        <w:rPr>
          <w:rFonts w:cs="Times New Roman"/>
          <w:b/>
          <w:sz w:val="22"/>
          <w:szCs w:val="22"/>
          <w:lang w:val="es-UY"/>
        </w:rPr>
      </w:pPr>
      <w:r>
        <w:rPr>
          <w:rFonts w:cs="Times New Roman"/>
          <w:b/>
          <w:bCs/>
          <w:sz w:val="22"/>
          <w:szCs w:val="22"/>
          <w:lang w:val="es-UY"/>
        </w:rPr>
        <w:t>Art. 10.-</w:t>
      </w:r>
      <w:r>
        <w:rPr>
          <w:rFonts w:cs="Times New Roman"/>
          <w:sz w:val="22"/>
          <w:szCs w:val="22"/>
          <w:lang w:val="es-UY"/>
        </w:rPr>
        <w:t xml:space="preserve"> </w:t>
      </w:r>
      <w:r>
        <w:rPr>
          <w:rFonts w:cs="Times New Roman"/>
          <w:b/>
          <w:bCs/>
          <w:sz w:val="22"/>
          <w:szCs w:val="22"/>
          <w:lang w:val="es-UY"/>
        </w:rPr>
        <w:t>PLAZO DE MANTENIMIENTO DE OFERTA</w:t>
      </w:r>
      <w:r>
        <w:rPr>
          <w:rFonts w:cs="Times New Roman"/>
          <w:sz w:val="22"/>
          <w:szCs w:val="22"/>
          <w:lang w:val="es-UY"/>
        </w:rPr>
        <w:t xml:space="preserve"> </w:t>
      </w:r>
      <w:r>
        <w:rPr>
          <w:rFonts w:cs="Times New Roman"/>
          <w:b/>
          <w:sz w:val="22"/>
          <w:szCs w:val="22"/>
          <w:lang w:val="es-UY"/>
        </w:rPr>
        <w:t>Y PRECIO.</w:t>
      </w:r>
    </w:p>
    <w:p>
      <w:pPr>
        <w:pStyle w:val="style0"/>
        <w:spacing w:line="276" w:lineRule="auto"/>
        <w:ind w:firstLine="600" w:left="0" w:right="0"/>
        <w:jc w:val="both"/>
        <w:rPr>
          <w:rFonts w:cs="Times New Roman"/>
          <w:sz w:val="22"/>
          <w:szCs w:val="22"/>
          <w:lang w:val="es-UY"/>
        </w:rPr>
      </w:pPr>
      <w:r>
        <w:rPr>
          <w:rFonts w:cs="Times New Roman"/>
          <w:b/>
          <w:sz w:val="22"/>
          <w:szCs w:val="22"/>
          <w:lang w:val="es-UY"/>
        </w:rPr>
        <w:t>No inferior a 180 días.</w:t>
      </w:r>
      <w:r>
        <w:rPr>
          <w:rFonts w:cs="Times New Roman"/>
          <w:sz w:val="22"/>
          <w:szCs w:val="22"/>
          <w:lang w:val="es-UY"/>
        </w:rPr>
        <w:t xml:space="preserve"> Se entiende  por tal el lapso durante el cual la empresa se obliga a mantener las condiciones de su oferta y el precio cotizado.</w:t>
      </w:r>
    </w:p>
    <w:p>
      <w:pPr>
        <w:pStyle w:val="style0"/>
        <w:spacing w:line="276" w:lineRule="auto"/>
        <w:jc w:val="both"/>
        <w:rPr>
          <w:rFonts w:cs="Times New Roman"/>
          <w:sz w:val="22"/>
          <w:szCs w:val="22"/>
          <w:lang w:val="es-UY"/>
        </w:rPr>
      </w:pPr>
      <w:r>
        <w:rPr>
          <w:rFonts w:cs="Times New Roman"/>
          <w:sz w:val="22"/>
          <w:szCs w:val="22"/>
          <w:lang w:val="es-UY"/>
        </w:rPr>
        <w:tab/>
        <w:t>El vencimiento del plazo establecido precedentemente no liberará al oferente, salvo que medie notificación escrita a la Administración, manifestando su decisión de retirar la oferta, antes de la notificación de la adjudicación de la misma.</w:t>
      </w:r>
    </w:p>
    <w:p>
      <w:pPr>
        <w:pStyle w:val="style0"/>
        <w:spacing w:line="276" w:lineRule="auto"/>
        <w:jc w:val="both"/>
        <w:rPr>
          <w:rFonts w:cs="Times New Roman"/>
          <w:b/>
          <w:bCs/>
          <w:sz w:val="22"/>
          <w:szCs w:val="22"/>
          <w:lang w:val="es-UY"/>
        </w:rPr>
      </w:pPr>
      <w:r>
        <w:rPr>
          <w:rFonts w:cs="Times New Roman"/>
          <w:b/>
          <w:bCs/>
          <w:sz w:val="22"/>
          <w:szCs w:val="22"/>
          <w:lang w:val="es-UY"/>
        </w:rPr>
      </w:r>
    </w:p>
    <w:p>
      <w:pPr>
        <w:pStyle w:val="style0"/>
        <w:spacing w:line="276" w:lineRule="auto"/>
        <w:jc w:val="both"/>
        <w:rPr>
          <w:rFonts w:cs="Times New Roman"/>
          <w:b/>
          <w:bCs/>
          <w:sz w:val="22"/>
          <w:szCs w:val="22"/>
          <w:lang w:val="es-UY"/>
        </w:rPr>
      </w:pPr>
      <w:r>
        <w:rPr>
          <w:rFonts w:cs="Times New Roman"/>
          <w:b/>
          <w:bCs/>
          <w:sz w:val="22"/>
          <w:szCs w:val="22"/>
          <w:lang w:val="es-UY"/>
        </w:rPr>
        <w:t>Art. 11.- NOTIFICACIÓN DE RESOLUCIÓN Y NORMAS CONTRACTUALES.</w:t>
      </w:r>
    </w:p>
    <w:p>
      <w:pPr>
        <w:pStyle w:val="style36"/>
        <w:spacing w:line="276" w:lineRule="auto"/>
        <w:jc w:val="both"/>
        <w:rPr>
          <w:rFonts w:ascii="Bookman Old Style" w:eastAsia="SimSun" w:hAnsi="Bookman Old Style"/>
          <w:sz w:val="22"/>
          <w:szCs w:val="22"/>
          <w:lang w:bidi="hi-IN"/>
        </w:rPr>
      </w:pPr>
      <w:r>
        <w:rPr>
          <w:rFonts w:ascii="Bookman Old Style" w:hAnsi="Bookman Old Style"/>
          <w:bCs/>
          <w:sz w:val="22"/>
          <w:szCs w:val="22"/>
          <w:lang w:val="es-UY"/>
        </w:rPr>
        <w:tab/>
      </w:r>
      <w:r>
        <w:rPr>
          <w:rFonts w:ascii="Bookman Old Style" w:eastAsia="SimSun" w:hAnsi="Bookman Old Style"/>
          <w:sz w:val="22"/>
          <w:szCs w:val="22"/>
          <w:lang w:bidi="hi-IN"/>
        </w:rPr>
        <w:t xml:space="preserve">La </w:t>
      </w:r>
      <w:r>
        <w:rPr>
          <w:rFonts w:ascii="Bookman Old Style" w:eastAsia="SimSun" w:hAnsi="Bookman Old Style"/>
          <w:b/>
          <w:sz w:val="22"/>
          <w:szCs w:val="22"/>
          <w:lang w:bidi="hi-IN"/>
        </w:rPr>
        <w:t>notificación de la resolución</w:t>
      </w:r>
      <w:r>
        <w:rPr>
          <w:rFonts w:ascii="Bookman Old Style" w:eastAsia="SimSun" w:hAnsi="Bookman Old Style"/>
          <w:sz w:val="22"/>
          <w:szCs w:val="22"/>
          <w:lang w:bidi="hi-IN"/>
        </w:rPr>
        <w:t xml:space="preserve"> de adjudicación a la firma adjudicataria constituirá, a todos los efectos legales, el </w:t>
      </w:r>
      <w:r>
        <w:rPr>
          <w:rFonts w:ascii="Bookman Old Style" w:eastAsia="SimSun" w:hAnsi="Bookman Old Style"/>
          <w:b/>
          <w:sz w:val="22"/>
          <w:szCs w:val="22"/>
          <w:lang w:bidi="hi-IN"/>
        </w:rPr>
        <w:t>perfeccionamiento del contrato</w:t>
      </w:r>
      <w:r>
        <w:rPr>
          <w:rFonts w:ascii="Bookman Old Style" w:eastAsia="SimSun" w:hAnsi="Bookman Old Style"/>
          <w:sz w:val="22"/>
          <w:szCs w:val="22"/>
          <w:lang w:bidi="hi-IN"/>
        </w:rPr>
        <w:t xml:space="preserve"> correspondiente, siendo las obligaciones y derechos del contratista las que surgen de las normas jurídicas aplicables, los Pliegos y su oferta. </w:t>
      </w:r>
    </w:p>
    <w:p>
      <w:pPr>
        <w:pStyle w:val="style0"/>
        <w:spacing w:line="276" w:lineRule="auto"/>
        <w:jc w:val="both"/>
        <w:rPr>
          <w:rFonts w:cs="Times New Roman"/>
          <w:b/>
          <w:bCs/>
          <w:sz w:val="22"/>
          <w:szCs w:val="22"/>
          <w:lang w:val="es-UY"/>
        </w:rPr>
      </w:pPr>
      <w:r>
        <w:rPr>
          <w:rFonts w:cs="Times New Roman"/>
          <w:b/>
          <w:bCs/>
          <w:sz w:val="22"/>
          <w:szCs w:val="22"/>
          <w:lang w:val="es-UY"/>
        </w:rPr>
      </w:r>
    </w:p>
    <w:p>
      <w:pPr>
        <w:pStyle w:val="style0"/>
        <w:spacing w:line="276" w:lineRule="auto"/>
        <w:jc w:val="both"/>
        <w:rPr>
          <w:rFonts w:cs="Times New Roman"/>
          <w:b/>
          <w:bCs/>
          <w:sz w:val="22"/>
          <w:szCs w:val="22"/>
          <w:lang w:val="es-UY"/>
        </w:rPr>
      </w:pPr>
      <w:r>
        <w:rPr>
          <w:rFonts w:cs="Times New Roman"/>
          <w:b/>
          <w:bCs/>
          <w:sz w:val="22"/>
          <w:szCs w:val="22"/>
          <w:lang w:val="es-UY"/>
        </w:rPr>
        <w:t>Art. 12.- CÓMPUTO DE PLAZOS.</w:t>
      </w:r>
    </w:p>
    <w:p>
      <w:pPr>
        <w:pStyle w:val="style0"/>
        <w:spacing w:line="276" w:lineRule="auto"/>
        <w:ind w:firstLine="708" w:left="0" w:right="0"/>
        <w:jc w:val="both"/>
        <w:rPr>
          <w:rFonts w:cs="Times New Roman"/>
          <w:sz w:val="22"/>
          <w:szCs w:val="22"/>
          <w:lang w:val="es-UY"/>
        </w:rPr>
      </w:pPr>
      <w:r>
        <w:rPr>
          <w:rFonts w:cs="Times New Roman"/>
          <w:sz w:val="22"/>
          <w:szCs w:val="22"/>
          <w:lang w:val="es-UY"/>
        </w:rPr>
        <w:t xml:space="preserve">Todos los plazos serán computados en </w:t>
      </w:r>
      <w:r>
        <w:rPr>
          <w:rFonts w:cs="Times New Roman"/>
          <w:b/>
          <w:sz w:val="22"/>
          <w:szCs w:val="22"/>
          <w:lang w:val="es-UY"/>
        </w:rPr>
        <w:t>días hábiles</w:t>
      </w:r>
      <w:r>
        <w:rPr>
          <w:rFonts w:cs="Times New Roman"/>
          <w:sz w:val="22"/>
          <w:szCs w:val="22"/>
          <w:lang w:val="es-UY"/>
        </w:rPr>
        <w:t>, salvo especificación en contrario.</w:t>
      </w:r>
    </w:p>
    <w:p>
      <w:pPr>
        <w:pStyle w:val="style0"/>
        <w:spacing w:line="276" w:lineRule="auto"/>
        <w:jc w:val="both"/>
        <w:rPr>
          <w:rFonts w:cs="Times New Roman"/>
          <w:b/>
          <w:bCs/>
          <w:sz w:val="22"/>
          <w:szCs w:val="22"/>
          <w:lang w:val="es-UY"/>
        </w:rPr>
      </w:pPr>
      <w:r>
        <w:rPr>
          <w:rFonts w:cs="Times New Roman"/>
          <w:b/>
          <w:bCs/>
          <w:sz w:val="22"/>
          <w:szCs w:val="22"/>
          <w:lang w:val="es-UY"/>
        </w:rPr>
      </w:r>
    </w:p>
    <w:p>
      <w:pPr>
        <w:pStyle w:val="style0"/>
        <w:spacing w:line="276" w:lineRule="auto"/>
        <w:jc w:val="both"/>
        <w:rPr>
          <w:rFonts w:cs="Times New Roman"/>
          <w:b/>
          <w:bCs/>
          <w:sz w:val="22"/>
          <w:szCs w:val="22"/>
          <w:lang w:val="es-UY"/>
        </w:rPr>
      </w:pPr>
      <w:r>
        <w:rPr>
          <w:rFonts w:cs="Times New Roman"/>
          <w:b/>
          <w:bCs/>
          <w:sz w:val="22"/>
          <w:szCs w:val="22"/>
          <w:lang w:val="es-UY"/>
        </w:rPr>
        <w:t>Art. 13.- FORMA DE PAGO.</w:t>
      </w:r>
    </w:p>
    <w:p>
      <w:pPr>
        <w:pStyle w:val="style0"/>
        <w:spacing w:line="276" w:lineRule="auto"/>
        <w:ind w:firstLine="708" w:left="0" w:right="0"/>
        <w:jc w:val="both"/>
        <w:rPr>
          <w:rFonts w:cs="Times New Roman"/>
          <w:sz w:val="22"/>
          <w:szCs w:val="22"/>
          <w:lang w:val="es-UY"/>
        </w:rPr>
      </w:pPr>
      <w:r>
        <w:rPr>
          <w:rFonts w:cs="Times New Roman"/>
          <w:sz w:val="22"/>
          <w:szCs w:val="22"/>
          <w:lang w:val="es-UY"/>
        </w:rPr>
        <w:t xml:space="preserve">La propuesta deberá considerar que el </w:t>
      </w:r>
      <w:r>
        <w:rPr>
          <w:rFonts w:cs="Times New Roman"/>
          <w:b/>
          <w:sz w:val="22"/>
          <w:szCs w:val="22"/>
          <w:lang w:val="es-UY"/>
        </w:rPr>
        <w:t xml:space="preserve">plazo mínimo de crédito es de 60 días </w:t>
      </w:r>
      <w:r>
        <w:rPr>
          <w:rFonts w:cs="Times New Roman"/>
          <w:sz w:val="22"/>
          <w:szCs w:val="22"/>
          <w:lang w:val="es-UY"/>
        </w:rPr>
        <w:t>contados a partir de la recepción en División Contaduría de la</w:t>
      </w:r>
      <w:r>
        <w:rPr>
          <w:rFonts w:cs="Times New Roman"/>
          <w:b/>
          <w:sz w:val="22"/>
          <w:szCs w:val="22"/>
          <w:lang w:val="es-UY"/>
        </w:rPr>
        <w:t xml:space="preserve"> factura conformada</w:t>
      </w:r>
      <w:r>
        <w:rPr>
          <w:rFonts w:cs="Times New Roman"/>
          <w:sz w:val="22"/>
          <w:szCs w:val="22"/>
          <w:lang w:val="es-UY"/>
        </w:rPr>
        <w:t>.</w:t>
      </w:r>
    </w:p>
    <w:p>
      <w:pPr>
        <w:pStyle w:val="style0"/>
        <w:spacing w:line="276" w:lineRule="auto"/>
        <w:jc w:val="both"/>
        <w:rPr>
          <w:rFonts w:cs="Times New Roman"/>
          <w:sz w:val="22"/>
          <w:szCs w:val="22"/>
          <w:lang w:val="es-UY"/>
        </w:rPr>
      </w:pPr>
      <w:r>
        <w:rPr>
          <w:rFonts w:cs="Times New Roman"/>
          <w:sz w:val="22"/>
          <w:szCs w:val="22"/>
          <w:lang w:val="es-UY"/>
        </w:rPr>
      </w:r>
    </w:p>
    <w:p>
      <w:pPr>
        <w:pStyle w:val="style0"/>
        <w:spacing w:line="276" w:lineRule="auto"/>
        <w:jc w:val="both"/>
        <w:rPr>
          <w:rFonts w:cs="Times New Roman"/>
          <w:b/>
          <w:bCs/>
          <w:sz w:val="22"/>
          <w:szCs w:val="22"/>
          <w:lang w:val="es-UY"/>
        </w:rPr>
      </w:pPr>
      <w:r>
        <w:rPr>
          <w:rFonts w:cs="Times New Roman"/>
          <w:b/>
          <w:bCs/>
          <w:sz w:val="22"/>
          <w:szCs w:val="22"/>
          <w:lang w:val="es-UY"/>
        </w:rPr>
        <w:t>Art. 14.-</w:t>
      </w:r>
      <w:r>
        <w:rPr>
          <w:rFonts w:cs="Times New Roman"/>
          <w:sz w:val="22"/>
          <w:szCs w:val="22"/>
          <w:lang w:val="es-UY"/>
        </w:rPr>
        <w:t xml:space="preserve"> </w:t>
      </w:r>
      <w:r>
        <w:rPr>
          <w:rFonts w:cs="Times New Roman"/>
          <w:b/>
          <w:bCs/>
          <w:sz w:val="22"/>
          <w:szCs w:val="22"/>
          <w:lang w:val="es-UY"/>
        </w:rPr>
        <w:t>PLAZO.</w:t>
      </w:r>
    </w:p>
    <w:p>
      <w:pPr>
        <w:pStyle w:val="style0"/>
        <w:spacing w:line="276" w:lineRule="auto"/>
        <w:jc w:val="both"/>
        <w:rPr>
          <w:rFonts w:cs="Times New Roman" w:eastAsia="Bookman Old Style"/>
          <w:b/>
          <w:sz w:val="22"/>
          <w:szCs w:val="22"/>
          <w:lang w:bidi="es-ES" w:eastAsia="es-ES" w:val="es-UY"/>
        </w:rPr>
      </w:pPr>
      <w:r>
        <w:rPr>
          <w:rFonts w:cs="Times New Roman" w:eastAsia="Bookman Old Style"/>
          <w:sz w:val="22"/>
          <w:szCs w:val="22"/>
          <w:lang w:bidi="es-ES" w:eastAsia="es-ES" w:val="es-UY"/>
        </w:rPr>
        <w:tab/>
      </w:r>
      <w:r>
        <w:rPr>
          <w:rFonts w:cs="Times New Roman" w:eastAsia="Bookman Old Style"/>
          <w:b/>
          <w:sz w:val="22"/>
          <w:szCs w:val="22"/>
          <w:lang w:bidi="es-ES" w:eastAsia="es-ES" w:val="es-UY"/>
        </w:rPr>
        <w:t>El plazo del contrato será desde el 1º de enero próximo o desde la fecha de la notificación de la resolución si ocurriere después de dicha fecha y hasta el 31 de diciembre de 2023, con prórroga automática por hasta dos periodos anuales y consecutivos.</w:t>
      </w:r>
    </w:p>
    <w:p>
      <w:pPr>
        <w:pStyle w:val="style40"/>
        <w:spacing w:line="276" w:lineRule="auto"/>
        <w:ind w:firstLine="708" w:left="0" w:right="0"/>
        <w:jc w:val="both"/>
        <w:rPr>
          <w:rFonts w:ascii="Bookman Old Style" w:hAnsi="Bookman Old Style"/>
          <w:bCs/>
          <w:sz w:val="22"/>
          <w:szCs w:val="22"/>
        </w:rPr>
      </w:pPr>
      <w:r>
        <w:rPr>
          <w:rFonts w:ascii="Bookman Old Style" w:hAnsi="Bookman Old Style"/>
          <w:bCs/>
          <w:sz w:val="22"/>
          <w:szCs w:val="22"/>
        </w:rPr>
      </w:r>
    </w:p>
    <w:p>
      <w:pPr>
        <w:pStyle w:val="style40"/>
        <w:spacing w:line="276" w:lineRule="auto"/>
        <w:ind w:firstLine="708" w:left="0" w:right="0"/>
        <w:jc w:val="both"/>
        <w:rPr>
          <w:rFonts w:ascii="Bookman Old Style" w:hAnsi="Bookman Old Style"/>
          <w:sz w:val="22"/>
          <w:szCs w:val="22"/>
        </w:rPr>
      </w:pPr>
      <w:r>
        <w:rPr>
          <w:rFonts w:ascii="Bookman Old Style" w:hAnsi="Bookman Old Style"/>
          <w:bCs/>
          <w:sz w:val="22"/>
          <w:szCs w:val="22"/>
        </w:rPr>
        <w:t>Las prórrogas serán automáticas por hasta el período establecido en el presente artículo, a partir</w:t>
      </w:r>
      <w:r>
        <w:rPr>
          <w:rFonts w:ascii="Bookman Old Style" w:hAnsi="Bookman Old Style"/>
          <w:b/>
          <w:bCs/>
          <w:sz w:val="22"/>
          <w:szCs w:val="22"/>
        </w:rPr>
        <w:t xml:space="preserve"> </w:t>
      </w:r>
      <w:r>
        <w:rPr>
          <w:rFonts w:ascii="Bookman Old Style" w:hAnsi="Bookman Old Style"/>
          <w:sz w:val="22"/>
          <w:szCs w:val="22"/>
        </w:rPr>
        <w:t xml:space="preserve">de su vencimiento inicial o sus prórrogas en su caso, si las partes no lo denuncian mediante telegrama colacionado 60 días antes de la fecha de los vencimientos respectivos. </w:t>
      </w:r>
    </w:p>
    <w:p>
      <w:pPr>
        <w:pStyle w:val="style0"/>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r>
    </w:p>
    <w:p>
      <w:pPr>
        <w:pStyle w:val="style0"/>
        <w:spacing w:line="276" w:lineRule="auto"/>
        <w:ind w:firstLine="708" w:left="0" w:right="0"/>
        <w:jc w:val="both"/>
        <w:rPr>
          <w:rFonts w:cs="Times New Roman" w:eastAsia="Bookman Old Style"/>
          <w:sz w:val="22"/>
          <w:szCs w:val="22"/>
          <w:lang w:bidi="es-ES" w:eastAsia="es-ES" w:val="es-UY"/>
        </w:rPr>
      </w:pPr>
      <w:r>
        <w:rPr>
          <w:rFonts w:cs="Times New Roman" w:eastAsia="Bookman Old Style"/>
          <w:sz w:val="22"/>
          <w:szCs w:val="22"/>
          <w:lang w:bidi="es-ES" w:eastAsia="es-ES" w:val="es-UY"/>
        </w:rPr>
        <w:t xml:space="preserve">El Poder Judicial podrá en cualquier momento y sin expresión de causa, rescindir unilateralmente el contrato oportunamente suscrito, en forma total o parcial, con un preaviso no inferior a 15 días, por telegrama colacionado u otro medio auténtico. </w:t>
      </w:r>
    </w:p>
    <w:p>
      <w:pPr>
        <w:pStyle w:val="style0"/>
        <w:spacing w:line="276" w:lineRule="auto"/>
        <w:jc w:val="both"/>
        <w:rPr>
          <w:rFonts w:cs="Times New Roman"/>
          <w:b/>
          <w:bCs/>
          <w:sz w:val="22"/>
          <w:szCs w:val="22"/>
          <w:lang w:val="es-UY"/>
        </w:rPr>
      </w:pPr>
      <w:r>
        <w:rPr>
          <w:rFonts w:cs="Times New Roman"/>
          <w:b/>
          <w:bCs/>
          <w:sz w:val="22"/>
          <w:szCs w:val="22"/>
          <w:lang w:val="es-UY"/>
        </w:rPr>
      </w:r>
    </w:p>
    <w:p>
      <w:pPr>
        <w:pStyle w:val="style0"/>
        <w:spacing w:line="276" w:lineRule="auto"/>
        <w:jc w:val="both"/>
        <w:rPr>
          <w:rFonts w:cs="Times New Roman"/>
          <w:b/>
          <w:bCs/>
          <w:sz w:val="22"/>
          <w:szCs w:val="22"/>
          <w:lang w:val="es-UY"/>
        </w:rPr>
      </w:pPr>
      <w:r>
        <w:rPr>
          <w:rFonts w:cs="Times New Roman"/>
          <w:b/>
          <w:bCs/>
          <w:sz w:val="22"/>
          <w:szCs w:val="22"/>
          <w:lang w:val="es-UY"/>
        </w:rPr>
        <w:t>Art. 15.- AJUSTE DE PRECIOS.</w:t>
      </w:r>
    </w:p>
    <w:p>
      <w:pPr>
        <w:pStyle w:val="style0"/>
        <w:spacing w:line="276" w:lineRule="auto"/>
        <w:jc w:val="both"/>
        <w:rPr>
          <w:rFonts w:cs="Times New Roman"/>
          <w:sz w:val="22"/>
          <w:szCs w:val="22"/>
          <w:lang w:val="es-UY"/>
        </w:rPr>
      </w:pPr>
      <w:r>
        <w:rPr>
          <w:rFonts w:cs="Times New Roman"/>
          <w:sz w:val="22"/>
          <w:szCs w:val="22"/>
          <w:lang w:val="es-UY"/>
        </w:rPr>
        <w:tab/>
        <w:t xml:space="preserve">El precio de la contratación se mantendrá fijo por el primer año y luego se reajustará </w:t>
      </w:r>
      <w:r>
        <w:rPr>
          <w:rFonts w:cs="Times New Roman"/>
          <w:b/>
          <w:sz w:val="22"/>
          <w:szCs w:val="22"/>
          <w:lang w:val="es-UY"/>
        </w:rPr>
        <w:t xml:space="preserve">anualmente por el Índice de Precios al Consumos </w:t>
      </w:r>
      <w:r>
        <w:rPr>
          <w:rFonts w:cs="Times New Roman"/>
          <w:sz w:val="22"/>
          <w:szCs w:val="22"/>
          <w:lang w:val="es-UY"/>
        </w:rPr>
        <w:t>(IPC) el primero de enero de cada año. El primer reajuste operará el 1/1/2024.</w:t>
      </w:r>
    </w:p>
    <w:p>
      <w:pPr>
        <w:pStyle w:val="style0"/>
        <w:spacing w:line="276" w:lineRule="auto"/>
        <w:jc w:val="both"/>
        <w:rPr>
          <w:rFonts w:cs="Times New Roman"/>
          <w:b/>
          <w:bCs/>
          <w:sz w:val="22"/>
          <w:szCs w:val="22"/>
          <w:lang w:val="es-UY"/>
        </w:rPr>
      </w:pPr>
      <w:r>
        <w:rPr>
          <w:rFonts w:cs="Times New Roman"/>
          <w:b/>
          <w:bCs/>
          <w:sz w:val="22"/>
          <w:szCs w:val="22"/>
          <w:lang w:val="es-UY"/>
        </w:rPr>
      </w:r>
    </w:p>
    <w:p>
      <w:pPr>
        <w:pStyle w:val="style0"/>
        <w:spacing w:line="276" w:lineRule="auto"/>
        <w:jc w:val="both"/>
        <w:rPr>
          <w:rFonts w:cs="Times New Roman"/>
          <w:b/>
          <w:bCs/>
          <w:sz w:val="22"/>
          <w:szCs w:val="22"/>
          <w:lang w:val="es-UY"/>
        </w:rPr>
      </w:pPr>
      <w:r>
        <w:rPr>
          <w:rFonts w:cs="Times New Roman"/>
          <w:b/>
          <w:bCs/>
          <w:sz w:val="22"/>
          <w:szCs w:val="22"/>
          <w:lang w:val="es-UY"/>
        </w:rPr>
        <w:t>Art. 16.-</w:t>
      </w:r>
      <w:r>
        <w:rPr>
          <w:rFonts w:cs="Times New Roman"/>
          <w:sz w:val="22"/>
          <w:szCs w:val="22"/>
          <w:lang w:val="es-UY"/>
        </w:rPr>
        <w:t xml:space="preserve"> </w:t>
      </w:r>
      <w:r>
        <w:rPr>
          <w:rFonts w:cs="Times New Roman"/>
          <w:b/>
          <w:bCs/>
          <w:sz w:val="22"/>
          <w:szCs w:val="22"/>
          <w:lang w:val="es-UY"/>
        </w:rPr>
        <w:t>ESTUDIO DE LAS OFERTAS.</w:t>
      </w:r>
    </w:p>
    <w:p>
      <w:pPr>
        <w:pStyle w:val="style0"/>
        <w:spacing w:line="276" w:lineRule="auto"/>
        <w:ind w:firstLine="360" w:left="0" w:right="0"/>
        <w:jc w:val="both"/>
        <w:rPr>
          <w:rFonts w:cs="Times New Roman"/>
          <w:b/>
          <w:bCs/>
          <w:sz w:val="22"/>
          <w:szCs w:val="22"/>
          <w:lang w:val="es-UY"/>
        </w:rPr>
      </w:pPr>
      <w:r>
        <w:rPr>
          <w:rFonts w:cs="Times New Roman"/>
          <w:sz w:val="22"/>
          <w:szCs w:val="22"/>
          <w:lang w:val="es-UY"/>
        </w:rPr>
        <w:t>Para la presente convocatoria</w:t>
      </w:r>
      <w:r>
        <w:rPr>
          <w:rFonts w:cs="Times New Roman"/>
          <w:b/>
          <w:bCs/>
          <w:sz w:val="22"/>
          <w:szCs w:val="22"/>
          <w:lang w:val="es-UY"/>
        </w:rPr>
        <w:t>, habiendo cumplido con los requisitos exigidos en el  presente pliego, se ponderará de la siguiente manera:</w:t>
      </w:r>
    </w:p>
    <w:p>
      <w:pPr>
        <w:pStyle w:val="style0"/>
        <w:spacing w:line="276" w:lineRule="auto"/>
        <w:ind w:firstLine="360" w:left="0" w:right="0"/>
        <w:jc w:val="both"/>
        <w:rPr>
          <w:rFonts w:cs="Times New Roman"/>
          <w:b/>
          <w:bCs/>
          <w:sz w:val="22"/>
          <w:szCs w:val="22"/>
          <w:lang w:val="es-UY"/>
        </w:rPr>
      </w:pPr>
      <w:r>
        <w:rPr>
          <w:rFonts w:cs="Times New Roman"/>
          <w:b/>
          <w:bCs/>
          <w:sz w:val="22"/>
          <w:szCs w:val="22"/>
          <w:lang w:val="es-UY"/>
        </w:rPr>
      </w:r>
    </w:p>
    <w:p>
      <w:pPr>
        <w:pStyle w:val="style0"/>
        <w:numPr>
          <w:ilvl w:val="0"/>
          <w:numId w:val="1"/>
        </w:numPr>
        <w:suppressAutoHyphens w:val="false"/>
        <w:spacing w:line="276" w:lineRule="auto"/>
        <w:jc w:val="both"/>
        <w:rPr>
          <w:rFonts w:cs="Times New Roman"/>
          <w:sz w:val="22"/>
          <w:szCs w:val="22"/>
          <w:lang w:eastAsia="es-UY" w:val="es-UY"/>
        </w:rPr>
      </w:pPr>
      <w:r>
        <w:rPr>
          <w:rFonts w:cs="Times New Roman"/>
          <w:b/>
          <w:bCs/>
          <w:sz w:val="22"/>
          <w:szCs w:val="22"/>
          <w:u w:val="single"/>
          <w:lang w:val="es-UY"/>
        </w:rPr>
        <w:t>Precios</w:t>
      </w:r>
      <w:r>
        <w:rPr>
          <w:rFonts w:cs="Times New Roman"/>
          <w:b/>
          <w:bCs/>
          <w:sz w:val="22"/>
          <w:szCs w:val="22"/>
          <w:lang w:val="es-UY"/>
        </w:rPr>
        <w:t xml:space="preserve"> </w:t>
      </w:r>
      <w:r>
        <w:rPr>
          <w:rFonts w:cs="Times New Roman"/>
          <w:b/>
          <w:bCs/>
          <w:sz w:val="22"/>
          <w:szCs w:val="22"/>
          <w:lang w:eastAsia="es-UY" w:val="es-UY"/>
        </w:rPr>
        <w:t>presentados por el oferente 70 %</w:t>
      </w:r>
      <w:r>
        <w:rPr>
          <w:rFonts w:cs="Times New Roman"/>
          <w:sz w:val="22"/>
          <w:szCs w:val="22"/>
          <w:lang w:eastAsia="es-UY" w:val="es-UY"/>
        </w:rPr>
        <w:t xml:space="preserve"> (Aplicando la siguiente formula 70*(precio de la oferta más baja/ precio de la oferta que se está evaluando).</w:t>
      </w:r>
    </w:p>
    <w:p>
      <w:pPr>
        <w:pStyle w:val="style0"/>
        <w:suppressAutoHyphens w:val="false"/>
        <w:spacing w:line="276" w:lineRule="auto"/>
        <w:ind w:hanging="0" w:left="720" w:right="0"/>
        <w:jc w:val="both"/>
        <w:rPr>
          <w:rFonts w:cs="Times New Roman"/>
          <w:sz w:val="22"/>
          <w:szCs w:val="22"/>
          <w:lang w:eastAsia="es-UY" w:val="es-UY"/>
        </w:rPr>
      </w:pPr>
      <w:r>
        <w:rPr>
          <w:rFonts w:cs="Times New Roman"/>
          <w:sz w:val="22"/>
          <w:szCs w:val="22"/>
          <w:lang w:eastAsia="es-UY" w:val="es-UY"/>
        </w:rPr>
      </w:r>
    </w:p>
    <w:p>
      <w:pPr>
        <w:pStyle w:val="style0"/>
        <w:numPr>
          <w:ilvl w:val="0"/>
          <w:numId w:val="3"/>
        </w:numPr>
        <w:suppressAutoHyphens w:val="false"/>
        <w:spacing w:line="276" w:lineRule="auto"/>
        <w:rPr>
          <w:rFonts w:cs="Times New Roman"/>
          <w:bCs/>
          <w:sz w:val="22"/>
          <w:szCs w:val="22"/>
          <w:lang w:eastAsia="es-UY" w:val="es-UY"/>
        </w:rPr>
      </w:pPr>
      <w:r>
        <w:rPr>
          <w:rFonts w:cs="Times New Roman"/>
          <w:b/>
          <w:bCs/>
          <w:sz w:val="22"/>
          <w:szCs w:val="22"/>
          <w:u w:val="single"/>
          <w:lang w:eastAsia="es-UY" w:val="es-UY"/>
        </w:rPr>
        <w:t>Antigüedad</w:t>
      </w:r>
      <w:r>
        <w:rPr>
          <w:rFonts w:cs="Times New Roman"/>
          <w:b/>
          <w:bCs/>
          <w:sz w:val="22"/>
          <w:szCs w:val="22"/>
          <w:lang w:eastAsia="es-UY" w:val="es-UY"/>
        </w:rPr>
        <w:t xml:space="preserve"> en el ramo de transportes 30% (</w:t>
      </w:r>
      <w:r>
        <w:rPr>
          <w:rFonts w:cs="Times New Roman"/>
          <w:bCs/>
          <w:sz w:val="22"/>
          <w:szCs w:val="22"/>
          <w:lang w:eastAsia="es-UY" w:val="es-UY"/>
        </w:rPr>
        <w:t>dicha información será verificada en el RUPE, por lo que los oferentes deberán tener actualizada la misma).</w:t>
      </w:r>
    </w:p>
    <w:p>
      <w:pPr>
        <w:pStyle w:val="style0"/>
        <w:suppressAutoHyphens w:val="false"/>
        <w:spacing w:line="276" w:lineRule="auto"/>
        <w:ind w:hanging="0" w:left="720" w:right="0"/>
        <w:rPr>
          <w:rFonts w:cs="Times New Roman"/>
          <w:sz w:val="22"/>
          <w:szCs w:val="22"/>
          <w:lang w:eastAsia="es-UY" w:val="es-UY"/>
        </w:rPr>
      </w:pPr>
      <w:r>
        <w:rPr>
          <w:rFonts w:cs="Times New Roman"/>
          <w:bCs/>
          <w:sz w:val="22"/>
          <w:szCs w:val="22"/>
          <w:lang w:eastAsia="es-UY" w:val="es-UY"/>
        </w:rPr>
        <w:t>A tales efectos</w:t>
      </w:r>
      <w:r>
        <w:rPr>
          <w:rFonts w:cs="Times New Roman"/>
          <w:b/>
          <w:bCs/>
          <w:sz w:val="22"/>
          <w:szCs w:val="22"/>
          <w:lang w:eastAsia="es-UY" w:val="es-UY"/>
        </w:rPr>
        <w:t xml:space="preserve"> se computará de la siguiente </w:t>
      </w:r>
      <w:r>
        <w:rPr>
          <w:rFonts w:cs="Times New Roman"/>
          <w:sz w:val="22"/>
          <w:szCs w:val="22"/>
          <w:lang w:eastAsia="es-UY" w:val="es-UY"/>
        </w:rPr>
        <w:t>forma.</w:t>
      </w:r>
    </w:p>
    <w:p>
      <w:pPr>
        <w:pStyle w:val="style0"/>
        <w:suppressAutoHyphens w:val="false"/>
        <w:spacing w:line="276" w:lineRule="auto"/>
        <w:ind w:firstLine="1701" w:left="0" w:right="0"/>
        <w:rPr>
          <w:rFonts w:cs="Times New Roman"/>
          <w:sz w:val="22"/>
          <w:szCs w:val="22"/>
          <w:lang w:eastAsia="es-UY" w:val="es-UY"/>
        </w:rPr>
      </w:pPr>
      <w:r>
        <w:rPr>
          <w:rFonts w:cs="Times New Roman"/>
          <w:sz w:val="22"/>
          <w:szCs w:val="22"/>
          <w:lang w:eastAsia="es-UY" w:val="es-UY"/>
        </w:rPr>
        <w:t>De 5 a 10 años 10 %</w:t>
      </w:r>
    </w:p>
    <w:p>
      <w:pPr>
        <w:pStyle w:val="style0"/>
        <w:suppressAutoHyphens w:val="false"/>
        <w:spacing w:line="276" w:lineRule="auto"/>
        <w:ind w:firstLine="1701" w:left="0" w:right="0"/>
        <w:rPr>
          <w:rFonts w:cs="Times New Roman"/>
          <w:sz w:val="22"/>
          <w:szCs w:val="22"/>
          <w:lang w:eastAsia="es-UY" w:val="es-UY"/>
        </w:rPr>
      </w:pPr>
      <w:r>
        <w:rPr>
          <w:rFonts w:cs="Times New Roman"/>
          <w:sz w:val="22"/>
          <w:szCs w:val="22"/>
          <w:lang w:eastAsia="es-UY" w:val="es-UY"/>
        </w:rPr>
        <w:t>De 11 a 16 años 20 %</w:t>
      </w:r>
    </w:p>
    <w:p>
      <w:pPr>
        <w:pStyle w:val="style0"/>
        <w:suppressAutoHyphens w:val="false"/>
        <w:spacing w:line="276" w:lineRule="auto"/>
        <w:ind w:firstLine="1701" w:left="0" w:right="0"/>
        <w:rPr>
          <w:rFonts w:cs="Times New Roman"/>
          <w:sz w:val="22"/>
          <w:szCs w:val="22"/>
          <w:lang w:eastAsia="es-UY" w:val="es-UY"/>
        </w:rPr>
      </w:pPr>
      <w:r>
        <w:rPr>
          <w:rFonts w:cs="Times New Roman"/>
          <w:sz w:val="22"/>
          <w:szCs w:val="22"/>
          <w:lang w:eastAsia="es-UY" w:val="es-UY"/>
        </w:rPr>
        <w:t>De más de 16 años 30 %</w:t>
      </w:r>
    </w:p>
    <w:p>
      <w:pPr>
        <w:pStyle w:val="style0"/>
        <w:suppressAutoHyphens w:val="false"/>
        <w:spacing w:line="276" w:lineRule="auto"/>
        <w:ind w:firstLine="708" w:left="0" w:right="0"/>
        <w:rPr>
          <w:rFonts w:cs="Times New Roman"/>
          <w:sz w:val="22"/>
          <w:szCs w:val="22"/>
          <w:lang w:eastAsia="es-UY" w:val="es-UY"/>
        </w:rPr>
      </w:pPr>
      <w:r>
        <w:rPr>
          <w:rFonts w:cs="Times New Roman"/>
          <w:sz w:val="22"/>
          <w:szCs w:val="22"/>
          <w:lang w:eastAsia="es-UY" w:val="es-UY"/>
        </w:rPr>
        <w:t>Los años se computarán año civil completo</w:t>
      </w:r>
    </w:p>
    <w:p>
      <w:pPr>
        <w:pStyle w:val="style0"/>
        <w:suppressAutoHyphens w:val="false"/>
        <w:spacing w:line="276" w:lineRule="auto"/>
        <w:ind w:firstLine="426" w:left="0" w:right="0"/>
        <w:jc w:val="both"/>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ind w:firstLine="426" w:left="0" w:right="0"/>
        <w:jc w:val="both"/>
        <w:rPr>
          <w:rFonts w:cs="Times New Roman"/>
          <w:b/>
          <w:sz w:val="22"/>
          <w:szCs w:val="22"/>
          <w:lang w:eastAsia="es-UY" w:val="es-UY"/>
        </w:rPr>
      </w:pPr>
      <w:r>
        <w:rPr>
          <w:rFonts w:cs="Times New Roman"/>
          <w:sz w:val="22"/>
          <w:szCs w:val="22"/>
          <w:lang w:eastAsia="es-UY" w:val="es-UY"/>
        </w:rPr>
        <w:t xml:space="preserve">Se adjudicará </w:t>
      </w:r>
      <w:r>
        <w:rPr>
          <w:rFonts w:cs="Times New Roman"/>
          <w:b/>
          <w:sz w:val="22"/>
          <w:szCs w:val="22"/>
          <w:lang w:eastAsia="es-UY" w:val="es-UY"/>
        </w:rPr>
        <w:t>a una única empresa.</w:t>
      </w:r>
    </w:p>
    <w:p>
      <w:pPr>
        <w:pStyle w:val="style3"/>
        <w:spacing w:line="276" w:lineRule="auto"/>
        <w:ind w:hanging="0" w:left="0" w:right="0"/>
        <w:jc w:val="both"/>
        <w:rPr>
          <w:rFonts w:cs="Times New Roman"/>
          <w:sz w:val="22"/>
          <w:szCs w:val="22"/>
          <w:lang w:val="es-UY"/>
        </w:rPr>
      </w:pPr>
      <w:r>
        <w:rPr>
          <w:rFonts w:cs="Times New Roman"/>
          <w:sz w:val="22"/>
          <w:szCs w:val="22"/>
          <w:lang w:val="es-UY"/>
        </w:rPr>
      </w:r>
    </w:p>
    <w:p>
      <w:pPr>
        <w:pStyle w:val="style3"/>
        <w:spacing w:line="276" w:lineRule="auto"/>
        <w:ind w:hanging="0" w:left="0" w:right="0"/>
        <w:jc w:val="both"/>
        <w:rPr>
          <w:rFonts w:cs="Times New Roman"/>
          <w:sz w:val="22"/>
          <w:szCs w:val="22"/>
          <w:lang w:val="es-UY"/>
        </w:rPr>
      </w:pPr>
      <w:r>
        <w:rPr>
          <w:rFonts w:cs="Times New Roman"/>
          <w:sz w:val="22"/>
          <w:szCs w:val="22"/>
          <w:lang w:val="es-UY"/>
        </w:rPr>
        <w:t>Art. 17.- DECLARACION Y VALOR DE LA INFORMACIÓN TÉCNICA PRESENTADA.</w:t>
      </w:r>
    </w:p>
    <w:p>
      <w:pPr>
        <w:pStyle w:val="style0"/>
        <w:spacing w:line="276" w:lineRule="auto"/>
        <w:ind w:firstLine="426" w:left="0" w:right="0"/>
        <w:jc w:val="both"/>
        <w:rPr>
          <w:rFonts w:cs="Times New Roman"/>
          <w:sz w:val="22"/>
          <w:szCs w:val="22"/>
          <w:lang w:eastAsia="es-ES"/>
        </w:rPr>
      </w:pPr>
      <w:r>
        <w:rPr>
          <w:rFonts w:cs="Times New Roman"/>
          <w:sz w:val="22"/>
          <w:szCs w:val="22"/>
          <w:lang w:eastAsia="es-ES"/>
        </w:rPr>
        <w:t xml:space="preserve">La sola </w:t>
      </w:r>
      <w:r>
        <w:rPr>
          <w:rFonts w:cs="Times New Roman"/>
          <w:b/>
          <w:sz w:val="22"/>
          <w:szCs w:val="22"/>
          <w:lang w:eastAsia="es-ES"/>
        </w:rPr>
        <w:t>presentación de cotización</w:t>
      </w:r>
      <w:r>
        <w:rPr>
          <w:rFonts w:cs="Times New Roman"/>
          <w:sz w:val="22"/>
          <w:szCs w:val="22"/>
          <w:lang w:eastAsia="es-ES"/>
        </w:rPr>
        <w:t xml:space="preserve"> se considerará como declaración de la empresa oferente de encontrarse en </w:t>
      </w:r>
      <w:r>
        <w:rPr>
          <w:rFonts w:cs="Times New Roman"/>
          <w:b/>
          <w:sz w:val="22"/>
          <w:szCs w:val="22"/>
          <w:lang w:eastAsia="es-ES"/>
        </w:rPr>
        <w:t>condiciones legales de contratar con el Estado</w:t>
      </w:r>
      <w:r>
        <w:rPr>
          <w:rFonts w:cs="Times New Roman"/>
          <w:sz w:val="22"/>
          <w:szCs w:val="22"/>
          <w:lang w:eastAsia="es-ES"/>
        </w:rPr>
        <w:t xml:space="preserve"> (art. 46 del TOCAF) y aceptar todas las condiciones establecidas en la convocatoria</w:t>
      </w:r>
    </w:p>
    <w:p>
      <w:pPr>
        <w:pStyle w:val="style0"/>
        <w:spacing w:line="276" w:lineRule="auto"/>
        <w:ind w:firstLine="426" w:left="0" w:right="0"/>
        <w:jc w:val="both"/>
        <w:rPr>
          <w:rFonts w:cs="Times New Roman" w:eastAsia="Bookman Old Style"/>
          <w:sz w:val="22"/>
          <w:szCs w:val="22"/>
          <w:lang w:bidi="es-ES" w:eastAsia="es-ES" w:val="es-UY"/>
        </w:rPr>
      </w:pPr>
      <w:r>
        <w:rPr>
          <w:rFonts w:cs="Times New Roman" w:eastAsia="Bookman Old Style"/>
          <w:sz w:val="22"/>
          <w:szCs w:val="22"/>
          <w:lang w:bidi="es-ES" w:eastAsia="es-ES" w:val="es-UY"/>
        </w:rPr>
        <w:t xml:space="preserve">Todos </w:t>
      </w:r>
      <w:r>
        <w:rPr>
          <w:rFonts w:cs="Times New Roman" w:eastAsia="Bookman Old Style"/>
          <w:b/>
          <w:sz w:val="22"/>
          <w:szCs w:val="22"/>
          <w:lang w:bidi="es-ES" w:eastAsia="es-ES" w:val="es-UY"/>
        </w:rPr>
        <w:t>los datos indicados por el proponente referidos a los elementos contenidos en la oferta tendrán carácter de compromiso</w:t>
      </w:r>
      <w:r>
        <w:rPr>
          <w:rFonts w:cs="Times New Roman" w:eastAsia="Bookman Old Style"/>
          <w:sz w:val="22"/>
          <w:szCs w:val="22"/>
          <w:lang w:bidi="es-ES" w:eastAsia="es-ES" w:val="es-UY"/>
        </w:rPr>
        <w:t>. Si se verifica que no responden estrictamente a lo establecido en la propuesta, la Administración podrá rechazarlos de plano, rescindiendo el contrato respectivo, sin que ello de lugar a reclamación de clase alguna.</w:t>
      </w:r>
    </w:p>
    <w:p>
      <w:pPr>
        <w:pStyle w:val="style0"/>
        <w:spacing w:line="276" w:lineRule="auto"/>
        <w:ind w:firstLine="426" w:left="0" w:right="0"/>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b/>
          <w:bCs/>
          <w:sz w:val="22"/>
          <w:szCs w:val="22"/>
          <w:lang w:bidi="es-ES" w:eastAsia="es-ES" w:val="es-UY"/>
        </w:rPr>
      </w:pPr>
      <w:r>
        <w:rPr>
          <w:rFonts w:cs="Times New Roman" w:eastAsia="Bookman Old Style"/>
          <w:b/>
          <w:bCs/>
          <w:sz w:val="22"/>
          <w:szCs w:val="22"/>
          <w:lang w:bidi="es-ES" w:eastAsia="es-ES" w:val="es-UY"/>
        </w:rPr>
        <w:t>Art. 18.- GARANTIA DE FIEL CUMPLIMIENTO DEL CONTRATO.</w:t>
      </w:r>
    </w:p>
    <w:p>
      <w:pPr>
        <w:pStyle w:val="style0"/>
        <w:widowControl w:val="false"/>
        <w:spacing w:line="276" w:lineRule="auto"/>
        <w:ind w:firstLine="426" w:left="0" w:right="0"/>
        <w:jc w:val="both"/>
        <w:rPr>
          <w:rFonts w:cs="Times New Roman" w:eastAsia="Bookman Old Style"/>
          <w:b/>
          <w:sz w:val="22"/>
          <w:szCs w:val="22"/>
          <w:lang w:bidi="es-ES" w:eastAsia="es-ES" w:val="es-UY"/>
        </w:rPr>
      </w:pPr>
      <w:r>
        <w:rPr>
          <w:rFonts w:cs="Times New Roman" w:eastAsia="Bookman Old Style"/>
          <w:sz w:val="22"/>
          <w:szCs w:val="22"/>
          <w:lang w:bidi="es-ES" w:eastAsia="es-ES" w:val="es-UY"/>
        </w:rPr>
        <w:t xml:space="preserve">Si correspondiere, dentro de los </w:t>
      </w:r>
      <w:r>
        <w:rPr>
          <w:rFonts w:cs="Times New Roman" w:eastAsia="Bookman Old Style"/>
          <w:b/>
          <w:bCs/>
          <w:sz w:val="22"/>
          <w:szCs w:val="22"/>
          <w:lang w:bidi="es-ES" w:eastAsia="es-ES" w:val="es-UY"/>
        </w:rPr>
        <w:t xml:space="preserve">cinco </w:t>
      </w:r>
      <w:r>
        <w:rPr>
          <w:rFonts w:cs="Times New Roman" w:eastAsia="Bookman Old Style"/>
          <w:b/>
          <w:sz w:val="22"/>
          <w:szCs w:val="22"/>
          <w:lang w:bidi="es-ES" w:eastAsia="es-ES" w:val="es-UY"/>
        </w:rPr>
        <w:t>días siguientes a la notificación de la adjudicación</w:t>
      </w:r>
      <w:r>
        <w:rPr>
          <w:rFonts w:cs="Times New Roman" w:eastAsia="Bookman Old Style"/>
          <w:sz w:val="22"/>
          <w:szCs w:val="22"/>
          <w:lang w:bidi="es-ES" w:eastAsia="es-ES" w:val="es-UY"/>
        </w:rPr>
        <w:t xml:space="preserve"> o su ampliación, el adjudicatario deberá justificar la constitución de la </w:t>
      </w:r>
      <w:r>
        <w:rPr>
          <w:rFonts w:cs="Times New Roman" w:eastAsia="Bookman Old Style"/>
          <w:b/>
          <w:sz w:val="22"/>
          <w:szCs w:val="22"/>
          <w:lang w:bidi="es-ES" w:eastAsia="es-ES" w:val="es-UY"/>
        </w:rPr>
        <w:t>garantía de cumplimiento de contrato</w:t>
      </w:r>
      <w:r>
        <w:rPr>
          <w:rFonts w:cs="Times New Roman" w:eastAsia="Bookman Old Style"/>
          <w:sz w:val="22"/>
          <w:szCs w:val="22"/>
          <w:lang w:bidi="es-ES" w:eastAsia="es-ES" w:val="es-UY"/>
        </w:rPr>
        <w:t>, por un mínimo del</w:t>
      </w:r>
      <w:r>
        <w:rPr>
          <w:rFonts w:cs="Times New Roman" w:eastAsia="Bookman Old Style"/>
          <w:b/>
          <w:bCs/>
          <w:sz w:val="22"/>
          <w:szCs w:val="22"/>
          <w:lang w:bidi="es-ES" w:eastAsia="es-ES" w:val="es-UY"/>
        </w:rPr>
        <w:t xml:space="preserve"> 5% </w:t>
      </w:r>
      <w:r>
        <w:rPr>
          <w:rFonts w:cs="Times New Roman" w:eastAsia="Bookman Old Style"/>
          <w:sz w:val="22"/>
          <w:szCs w:val="22"/>
          <w:lang w:bidi="es-ES" w:eastAsia="es-ES" w:val="es-UY"/>
        </w:rPr>
        <w:t xml:space="preserve">de la contratación, en los términos y condiciones previsto en el </w:t>
      </w:r>
      <w:r>
        <w:rPr>
          <w:rFonts w:cs="Times New Roman" w:eastAsia="Bookman Old Style"/>
          <w:b/>
          <w:sz w:val="22"/>
          <w:szCs w:val="22"/>
          <w:lang w:bidi="es-ES" w:eastAsia="es-ES" w:val="es-UY"/>
        </w:rPr>
        <w:t>art. 64 del T.O.C.A.F.</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t xml:space="preserve">Todas las garantías se presentarán en el </w:t>
      </w:r>
      <w:r>
        <w:rPr>
          <w:rFonts w:cs="Times New Roman" w:eastAsia="Bookman Old Style"/>
          <w:b/>
          <w:bCs/>
          <w:sz w:val="22"/>
          <w:szCs w:val="22"/>
          <w:lang w:bidi="es-ES" w:eastAsia="es-ES" w:val="es-UY"/>
        </w:rPr>
        <w:t>Departamento de Tesorería del Poder Judicial sito en la calle San José Nº 1132 2do. Piso, en el horario de 13 a 17 horas.</w:t>
      </w:r>
      <w:r>
        <w:rPr>
          <w:rFonts w:cs="Times New Roman" w:eastAsia="Bookman Old Style"/>
          <w:sz w:val="22"/>
          <w:szCs w:val="22"/>
          <w:lang w:bidi="es-ES" w:eastAsia="es-ES" w:val="es-UY"/>
        </w:rPr>
        <w:t xml:space="preserve"> Deberán ser emitidas con cláusulas que contemplen su vigencia hasta el cumplimiento total de las obligaciones contractuales que ampara.</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t>La Administración se reserva el derecho de aceptar o rechazar, a su exclusivo juicio, los documentos que constituyan garantías.</w:t>
      </w:r>
    </w:p>
    <w:p>
      <w:pPr>
        <w:pStyle w:val="style0"/>
        <w:widowControl w:val="false"/>
        <w:spacing w:line="276" w:lineRule="auto"/>
        <w:jc w:val="both"/>
        <w:rPr>
          <w:rFonts w:cs="Times New Roman" w:eastAsia="Bookman Old Style"/>
          <w:b/>
          <w:bCs/>
          <w:sz w:val="22"/>
          <w:szCs w:val="22"/>
          <w:lang w:bidi="es-ES" w:eastAsia="es-ES" w:val="es-UY"/>
        </w:rPr>
      </w:pPr>
      <w:r>
        <w:rPr>
          <w:rFonts w:cs="Times New Roman" w:eastAsia="Bookman Old Style"/>
          <w:sz w:val="22"/>
          <w:szCs w:val="22"/>
          <w:lang w:bidi="es-ES" w:eastAsia="es-ES" w:val="es-UY"/>
        </w:rPr>
        <w:tab/>
        <w:t xml:space="preserve">Las garantías se constituirán a la orden del Poder Judicial, y podrán consistir en depósito en efectivo, fianza, aval bancario o póliza de seguro de fianza. </w:t>
      </w:r>
      <w:r>
        <w:rPr>
          <w:rFonts w:cs="Times New Roman" w:eastAsia="Bookman Old Style"/>
          <w:b/>
          <w:bCs/>
          <w:sz w:val="22"/>
          <w:szCs w:val="22"/>
          <w:lang w:bidi="es-ES" w:eastAsia="es-ES" w:val="es-UY"/>
        </w:rPr>
        <w:t xml:space="preserve">No se admitirán garantías personales de especie alguna. </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t>Se podrá integrar la garantía en más de una de las modalidades indicadas, siempre que todas ellas sean constituidas a nombre del Poder Judicial y que cubran la cantidad exigida en cada relación contractual.</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t>El documento justificativo de la constitución de garantías deberá contener necesariamente el número de licitación y el organismo que realizó el llamado.</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t xml:space="preserve">Para el caso de corresponder </w:t>
      </w:r>
      <w:r>
        <w:rPr>
          <w:rFonts w:cs="Times New Roman" w:eastAsia="Bookman Old Style"/>
          <w:b/>
          <w:sz w:val="22"/>
          <w:szCs w:val="22"/>
          <w:lang w:bidi="es-ES" w:eastAsia="es-ES" w:val="es-UY"/>
        </w:rPr>
        <w:t>devolución de garantías</w:t>
      </w:r>
      <w:r>
        <w:rPr>
          <w:rFonts w:cs="Times New Roman" w:eastAsia="Bookman Old Style"/>
          <w:sz w:val="22"/>
          <w:szCs w:val="22"/>
          <w:lang w:bidi="es-ES" w:eastAsia="es-ES" w:val="es-UY"/>
        </w:rPr>
        <w:t xml:space="preserve"> se procederá de la siguiente manera: </w:t>
      </w:r>
    </w:p>
    <w:p>
      <w:pPr>
        <w:pStyle w:val="style41"/>
        <w:spacing w:line="276" w:lineRule="auto"/>
        <w:jc w:val="both"/>
        <w:rPr>
          <w:rFonts w:cs="Times New Roman"/>
          <w:sz w:val="22"/>
          <w:szCs w:val="22"/>
          <w:lang w:bidi="es-ES" w:eastAsia="es-ES" w:val="es-UY"/>
        </w:rPr>
      </w:pPr>
      <w:r>
        <w:rPr>
          <w:rFonts w:cs="Times New Roman"/>
          <w:b/>
          <w:bCs/>
          <w:sz w:val="22"/>
          <w:szCs w:val="22"/>
        </w:rPr>
        <w:tab/>
      </w:r>
      <w:r>
        <w:rPr>
          <w:rFonts w:cs="Times New Roman"/>
          <w:bCs/>
          <w:sz w:val="22"/>
          <w:szCs w:val="22"/>
          <w:lang w:bidi="es-ES" w:eastAsia="es-ES" w:val="es-UY"/>
        </w:rPr>
        <w:t>I)</w:t>
      </w:r>
      <w:r>
        <w:rPr>
          <w:rFonts w:cs="Times New Roman"/>
          <w:b/>
          <w:bCs/>
          <w:sz w:val="22"/>
          <w:szCs w:val="22"/>
          <w:lang w:bidi="es-ES" w:eastAsia="es-ES" w:val="es-UY"/>
        </w:rPr>
        <w:t xml:space="preserve"> </w:t>
      </w:r>
      <w:r>
        <w:rPr>
          <w:rFonts w:cs="Times New Roman"/>
          <w:sz w:val="22"/>
          <w:szCs w:val="22"/>
          <w:lang w:bidi="es-ES" w:eastAsia="es-ES" w:val="es-UY"/>
        </w:rPr>
        <w:t>En caso que el oferente no sea adjudicataria o que se haya perfeccionado el cumplimiento del presente llamado, la empresa dispondrá de un plazo de 90 días para poder retirar el depósito de garantía. Si así no lo hiciera, el Departamento de Tesorería podrá disponer el archivo de los mismos.</w:t>
      </w:r>
    </w:p>
    <w:p>
      <w:pPr>
        <w:pStyle w:val="style0"/>
        <w:spacing w:line="276" w:lineRule="auto"/>
        <w:jc w:val="both"/>
        <w:rPr>
          <w:rFonts w:cs="Times New Roman" w:eastAsia="Bookman Old Style"/>
          <w:bCs/>
          <w:sz w:val="22"/>
          <w:szCs w:val="22"/>
          <w:lang w:bidi="es-ES" w:eastAsia="es-ES" w:val="es-UY"/>
        </w:rPr>
      </w:pPr>
      <w:r>
        <w:rPr>
          <w:rFonts w:cs="Times New Roman" w:eastAsia="Bookman Old Style"/>
          <w:b/>
          <w:bCs/>
          <w:sz w:val="22"/>
          <w:szCs w:val="22"/>
          <w:lang w:bidi="es-ES" w:eastAsia="es-ES" w:val="es-UY"/>
        </w:rPr>
        <w:tab/>
      </w:r>
      <w:r>
        <w:rPr>
          <w:rFonts w:cs="Times New Roman" w:eastAsia="Bookman Old Style"/>
          <w:bCs/>
          <w:sz w:val="22"/>
          <w:szCs w:val="22"/>
          <w:lang w:bidi="es-ES" w:eastAsia="es-ES" w:val="es-UY"/>
        </w:rPr>
        <w:t>II)</w:t>
      </w:r>
      <w:r>
        <w:rPr>
          <w:rFonts w:cs="Times New Roman" w:eastAsia="Bookman Old Style"/>
          <w:b/>
          <w:bCs/>
          <w:sz w:val="22"/>
          <w:szCs w:val="22"/>
          <w:lang w:bidi="es-ES" w:eastAsia="es-ES" w:val="es-UY"/>
        </w:rPr>
        <w:t xml:space="preserve"> </w:t>
      </w:r>
      <w:r>
        <w:rPr>
          <w:rFonts w:cs="Times New Roman" w:eastAsia="Bookman Old Style"/>
          <w:bCs/>
          <w:sz w:val="22"/>
          <w:szCs w:val="22"/>
          <w:lang w:bidi="es-ES" w:eastAsia="es-ES" w:val="es-UY"/>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keepNext/>
        <w:widowControl w:val="false"/>
        <w:spacing w:line="276" w:lineRule="auto"/>
        <w:jc w:val="both"/>
        <w:rPr>
          <w:rFonts w:cs="Times New Roman" w:eastAsia="Bookman Old Style"/>
          <w:b/>
          <w:bCs/>
          <w:sz w:val="22"/>
          <w:szCs w:val="22"/>
          <w:lang w:bidi="es-ES" w:eastAsia="es-ES" w:val="es-UY"/>
        </w:rPr>
      </w:pPr>
      <w:r>
        <w:rPr>
          <w:rFonts w:cs="Times New Roman" w:eastAsia="Bookman Old Style"/>
          <w:b/>
          <w:bCs/>
          <w:sz w:val="22"/>
          <w:szCs w:val="22"/>
          <w:lang w:bidi="es-ES" w:eastAsia="es-ES" w:val="es-UY"/>
        </w:rPr>
        <w:t xml:space="preserve">Art. 19.- EXENCIÓN DE RESPONSABILIDAD E INTERPRETACION. </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b/>
          <w:bCs/>
          <w:sz w:val="22"/>
          <w:szCs w:val="22"/>
          <w:lang w:bidi="es-ES" w:eastAsia="es-ES" w:val="es-UY"/>
        </w:rPr>
        <w:tab/>
      </w:r>
      <w:r>
        <w:rPr>
          <w:rFonts w:cs="Times New Roman" w:eastAsia="Bookman Old Style"/>
          <w:b/>
          <w:sz w:val="22"/>
          <w:szCs w:val="22"/>
          <w:lang w:bidi="es-ES" w:eastAsia="es-ES" w:val="es-UY"/>
        </w:rPr>
        <w:t>La Administración podrá desistir del llamado en cualquier etapa de su realización</w:t>
      </w:r>
      <w:r>
        <w:rPr>
          <w:rFonts w:cs="Times New Roman" w:eastAsia="Bookman Old Style"/>
          <w:sz w:val="22"/>
          <w:szCs w:val="22"/>
          <w:lang w:bidi="es-ES" w:eastAsia="es-ES" w:val="es-UY"/>
        </w:rPr>
        <w:t xml:space="preserve">, o podrá desestimar todas las ofertas. Ninguna de estas decisiones generará derecho alguno de los participantes a reclamar por gastos, honorarios o indemnizaciones por daños y perjuicios. </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t>Toda cláusula imprecisa, ambigua, contradictoria u oscura a criterio de la Administración, se interpretará en el sentido más favorable a ésta.</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suppressAutoHyphens w:val="false"/>
        <w:spacing w:line="276" w:lineRule="auto"/>
        <w:jc w:val="both"/>
        <w:rPr>
          <w:rFonts w:cs="Times New Roman"/>
          <w:b/>
          <w:bCs/>
          <w:sz w:val="22"/>
          <w:szCs w:val="22"/>
          <w:u w:val="single"/>
          <w:lang w:eastAsia="es-UY" w:val="es-UY"/>
        </w:rPr>
      </w:pPr>
      <w:r>
        <w:rPr>
          <w:rFonts w:cs="Times New Roman"/>
          <w:b/>
          <w:bCs/>
          <w:sz w:val="22"/>
          <w:szCs w:val="22"/>
          <w:u w:val="single"/>
          <w:lang w:eastAsia="es-UY" w:val="es-UY"/>
        </w:rPr>
        <w:t>ANEXO I</w:t>
      </w:r>
    </w:p>
    <w:p>
      <w:pPr>
        <w:pStyle w:val="style0"/>
        <w:suppressAutoHyphens w:val="false"/>
        <w:spacing w:line="276" w:lineRule="auto"/>
        <w:jc w:val="both"/>
        <w:rPr>
          <w:rFonts w:cs="Times New Roman"/>
          <w:b/>
          <w:bCs/>
          <w:sz w:val="22"/>
          <w:szCs w:val="22"/>
          <w:u w:val="single"/>
          <w:lang w:eastAsia="es-UY" w:val="es-UY"/>
        </w:rPr>
      </w:pPr>
      <w:r>
        <w:rPr>
          <w:rFonts w:cs="Times New Roman"/>
          <w:b/>
          <w:bCs/>
          <w:sz w:val="22"/>
          <w:szCs w:val="22"/>
          <w:u w:val="single"/>
          <w:lang w:eastAsia="es-UY" w:val="es-UY"/>
        </w:rPr>
        <w:t>Ciudades hacia donde se realizarán los traslados:</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Artigas, Departamento de Artigas</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Bella Unión, Departamento de Artigas</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Melo, Departamento de Cerro Largo</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Rio Branco, Departamento de Cerro Largo</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Colonia, Departamento de Colonia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Carmelo, Departamento de Colonia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Rosario, Departamento de Colonia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Colonia Valdense, Departamento de Colonia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Juan Lacaze, Departamento de Colonia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Nueva Helvecia, Departamento de Colonia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Nueva Palmira, Departamento de Colonia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Durazno, Departamento de Durazno</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Trinidad, Departamento de Flores</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Florida, Departamento de Florida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Minas, Departamento de Lavalleja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Maldonado, Departamento de Maldonado</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San Carlos, Departamento de Maldonado</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Pan de Azúcar, Departamento de Maldonado</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Piriápolis, Departamento de Maldonado</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Paysandú, Departamento de Paysandú</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Guichón, Departamento de Paysandú</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Fray Bentos, Departamento de Rio Negro</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Young, Departamento de Rio Negro</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Rivera, Departamento de Rivera</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Rocha, Departamento de Rocha</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Chuy, Departamento de Rocha</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Lascano, Departamento de Rocha</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Castillos, Departamento de Rocha</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La Paloma, Departamento de Rocha</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Salto, Departamento de Salto</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San José, Departamento de San José</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Libertad, Departamento de San José</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Ecilda Paullier, Departamento de San José</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Mercedes, Departamento de Soriano</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Dolores, Departamento de Soriano</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Tacuarembó, Departamento de Tacuarembó</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Paso de los Toros, Departamento de Tacuarembó</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San Gregorio del Polanco, Departamento de Tacuarembó</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r>
    </w:p>
    <w:p>
      <w:pPr>
        <w:pStyle w:val="style0"/>
        <w:spacing w:line="276" w:lineRule="auto"/>
        <w:jc w:val="both"/>
        <w:rPr>
          <w:b/>
          <w:bCs/>
          <w:sz w:val="22"/>
          <w:szCs w:val="22"/>
        </w:rPr>
      </w:pPr>
      <w:r>
        <w:rPr>
          <w:b/>
          <w:bCs/>
          <w:sz w:val="22"/>
          <w:szCs w:val="22"/>
        </w:rPr>
        <w:t>ANEXO II</w:t>
      </w:r>
    </w:p>
    <w:p>
      <w:pPr>
        <w:pStyle w:val="style0"/>
        <w:spacing w:line="276" w:lineRule="auto"/>
        <w:jc w:val="both"/>
        <w:rPr>
          <w:bCs/>
          <w:sz w:val="22"/>
          <w:szCs w:val="22"/>
        </w:rPr>
      </w:pPr>
      <w:r>
        <w:rPr>
          <w:bCs/>
          <w:sz w:val="22"/>
          <w:szCs w:val="22"/>
        </w:rPr>
      </w:r>
    </w:p>
    <w:p>
      <w:pPr>
        <w:pStyle w:val="style0"/>
        <w:spacing w:line="276" w:lineRule="auto"/>
        <w:jc w:val="both"/>
        <w:rPr>
          <w:bCs/>
          <w:sz w:val="22"/>
          <w:szCs w:val="22"/>
        </w:rPr>
      </w:pPr>
      <w:r>
        <w:rPr>
          <w:bCs/>
          <w:sz w:val="22"/>
          <w:szCs w:val="22"/>
          <w:u w:val="single"/>
        </w:rPr>
        <w:t>CLAUSULAS CONTRACTUALES</w:t>
      </w:r>
      <w:r>
        <w:rPr>
          <w:bCs/>
          <w:sz w:val="22"/>
          <w:szCs w:val="22"/>
        </w:rPr>
        <w:t>:</w:t>
      </w:r>
    </w:p>
    <w:p>
      <w:pPr>
        <w:pStyle w:val="style0"/>
        <w:spacing w:line="276" w:lineRule="auto"/>
        <w:jc w:val="both"/>
        <w:rPr>
          <w:bCs/>
          <w:sz w:val="22"/>
          <w:szCs w:val="22"/>
        </w:rPr>
      </w:pPr>
      <w:r>
        <w:rPr>
          <w:bCs/>
          <w:sz w:val="22"/>
          <w:szCs w:val="22"/>
        </w:rPr>
      </w:r>
    </w:p>
    <w:p>
      <w:pPr>
        <w:pStyle w:val="style0"/>
        <w:spacing w:line="276" w:lineRule="auto"/>
        <w:jc w:val="both"/>
        <w:rPr>
          <w:bCs/>
          <w:sz w:val="22"/>
          <w:szCs w:val="22"/>
        </w:rPr>
      </w:pPr>
      <w:r>
        <w:rPr>
          <w:bCs/>
          <w:sz w:val="22"/>
          <w:szCs w:val="22"/>
        </w:rPr>
        <w:t>(A)</w:t>
        <w:tab/>
        <w:t xml:space="preserve">Se estipula: (a) la mora automática para todas las obligaciones, (b) la validez del telegrama colacionado como forma de notificación auténtica, (c) una pena para el caso de incumplimiento de cualquiera de las partes equivalente a dos veces el monto fijado en el Numeral 5, (d) la pena será por todo concepto, (e) los indicados al inicio constituyen domicilios especiales a todo efecto derivado de este contrato.-  </w:t>
      </w:r>
    </w:p>
    <w:p>
      <w:pPr>
        <w:pStyle w:val="style0"/>
        <w:spacing w:line="276" w:lineRule="auto"/>
        <w:jc w:val="both"/>
        <w:rPr>
          <w:bCs/>
          <w:sz w:val="22"/>
          <w:szCs w:val="22"/>
        </w:rPr>
      </w:pPr>
      <w:r>
        <w:rPr>
          <w:bCs/>
          <w:sz w:val="22"/>
          <w:szCs w:val="22"/>
        </w:rPr>
      </w:r>
    </w:p>
    <w:p>
      <w:pPr>
        <w:pStyle w:val="style0"/>
        <w:spacing w:line="276" w:lineRule="auto"/>
        <w:jc w:val="both"/>
        <w:rPr>
          <w:bCs/>
          <w:sz w:val="22"/>
          <w:szCs w:val="22"/>
        </w:rPr>
      </w:pPr>
      <w:r>
        <w:rPr>
          <w:bCs/>
          <w:sz w:val="22"/>
          <w:szCs w:val="22"/>
        </w:rPr>
        <w:t>(B)</w:t>
        <w:tab/>
        <w:t>DECLARACION JURADA: Forma de prestación del servicio:</w:t>
      </w:r>
    </w:p>
    <w:p>
      <w:pPr>
        <w:pStyle w:val="style0"/>
        <w:spacing w:line="276" w:lineRule="auto"/>
        <w:jc w:val="both"/>
        <w:rPr>
          <w:bCs/>
          <w:sz w:val="22"/>
          <w:szCs w:val="22"/>
        </w:rPr>
      </w:pPr>
      <w:r>
        <w:rPr>
          <w:bCs/>
          <w:sz w:val="22"/>
          <w:szCs w:val="22"/>
        </w:rPr>
      </w:r>
    </w:p>
    <w:p>
      <w:pPr>
        <w:pStyle w:val="style0"/>
        <w:spacing w:line="276" w:lineRule="auto"/>
        <w:jc w:val="both"/>
        <w:rPr>
          <w:bCs/>
          <w:sz w:val="22"/>
          <w:szCs w:val="22"/>
        </w:rPr>
      </w:pPr>
      <w:r>
        <w:rPr>
          <w:bCs/>
          <w:sz w:val="22"/>
          <w:szCs w:val="22"/>
        </w:rPr>
        <w:t>OPCION 1: La Empresa contratada declara bajo juramento que prestará el servicio contratado en forma personal, el que por ende, no podrá ser prestado por personal dependiente o subcontratado y, en el caso de que así fuere a serlo, deberá comunicarlo en forma previa y escrita al Poder Judicial. El incumplimiento permitirá al Poder Judicial optar por la rescisión unilateral e  inmediata de este contrato, sin perjuicio de que la empresa sufra las responsabilidades y perjuicios aparejados por aquél.-</w:t>
      </w:r>
    </w:p>
    <w:p>
      <w:pPr>
        <w:pStyle w:val="style0"/>
        <w:spacing w:line="276" w:lineRule="auto"/>
        <w:jc w:val="both"/>
        <w:rPr>
          <w:bCs/>
          <w:sz w:val="22"/>
          <w:szCs w:val="22"/>
        </w:rPr>
      </w:pPr>
      <w:r>
        <w:rPr>
          <w:bCs/>
          <w:sz w:val="22"/>
          <w:szCs w:val="22"/>
        </w:rPr>
      </w:r>
    </w:p>
    <w:p>
      <w:pPr>
        <w:pStyle w:val="style0"/>
        <w:spacing w:line="276" w:lineRule="auto"/>
        <w:jc w:val="both"/>
        <w:rPr>
          <w:bCs/>
          <w:sz w:val="22"/>
          <w:szCs w:val="22"/>
        </w:rPr>
      </w:pPr>
      <w:r>
        <w:rPr>
          <w:bCs/>
          <w:sz w:val="22"/>
          <w:szCs w:val="22"/>
        </w:rPr>
        <w:t>OPCION 2: Cuando el servicio prestado mediante personal dependiente, intermediario o subcontratado:</w:t>
      </w:r>
    </w:p>
    <w:p>
      <w:pPr>
        <w:pStyle w:val="style0"/>
        <w:spacing w:line="276" w:lineRule="auto"/>
        <w:jc w:val="both"/>
        <w:rPr>
          <w:bCs/>
          <w:sz w:val="22"/>
          <w:szCs w:val="22"/>
        </w:rPr>
      </w:pPr>
      <w:r>
        <w:rPr>
          <w:bCs/>
          <w:sz w:val="22"/>
          <w:szCs w:val="22"/>
        </w:rPr>
        <w:t>La empresa contratada: a) Declara que cumplirá el servicio mediante personal dependiente, intermediario o subcontratado y en los siguientes días y horarios: a determinar con la oficina. b) Se obliga a presentar, en el momento en que el Poder Judicial así lo solicite, información actualizada del Registro de Actos Personales y certificados vigentes y que acrediten su situación regular ante la Dirección General Impositiva y el Banco de Previsión Social. Lo antedicho se extiende a cualquier otra documentación que le fuere solicitada (incluso nómina del personal utilizado y período durante el cual prestó funciones) y que tengan vinculación con planillas de trabajo del Ministerio de Trabajo y Seguridad Social, laudos de los Consejos de salarios, Convenios colectivos o decretos del Poder Ejecutivo para su categoría. c) Se obliga, además a, comunicar por escrito a cada uno de sus dependientes, intermediarios o subcontratados, acerca de las condiciones de empleo y salario, y la circunstancia de que prestará servicios para el Poder Judicial.-</w:t>
      </w:r>
    </w:p>
    <w:p>
      <w:pPr>
        <w:pStyle w:val="style0"/>
        <w:spacing w:line="276" w:lineRule="auto"/>
        <w:jc w:val="both"/>
        <w:rPr>
          <w:bCs/>
          <w:sz w:val="22"/>
          <w:szCs w:val="22"/>
        </w:rPr>
      </w:pPr>
      <w:r>
        <w:rPr>
          <w:bCs/>
          <w:sz w:val="22"/>
          <w:szCs w:val="22"/>
        </w:rPr>
        <w:t xml:space="preserve">        </w:t>
      </w:r>
    </w:p>
    <w:p>
      <w:pPr>
        <w:pStyle w:val="style0"/>
        <w:spacing w:line="276" w:lineRule="auto"/>
        <w:jc w:val="both"/>
        <w:rPr>
          <w:bCs/>
          <w:sz w:val="22"/>
          <w:szCs w:val="22"/>
        </w:rPr>
      </w:pPr>
      <w:r>
        <w:rPr>
          <w:bCs/>
          <w:sz w:val="22"/>
          <w:szCs w:val="22"/>
        </w:rPr>
        <w:t>(G): Obligaciones de la empresa. Procedimiento. Ley 18.251, art. 4º.</w:t>
      </w:r>
    </w:p>
    <w:p>
      <w:pPr>
        <w:pStyle w:val="style0"/>
        <w:spacing w:line="276" w:lineRule="auto"/>
        <w:jc w:val="both"/>
        <w:rPr>
          <w:bCs/>
          <w:sz w:val="22"/>
          <w:szCs w:val="22"/>
        </w:rPr>
      </w:pPr>
      <w:r>
        <w:rPr>
          <w:bCs/>
          <w:sz w:val="22"/>
          <w:szCs w:val="22"/>
        </w:rPr>
      </w:r>
    </w:p>
    <w:p>
      <w:pPr>
        <w:pStyle w:val="style0"/>
        <w:spacing w:line="276" w:lineRule="auto"/>
        <w:jc w:val="both"/>
        <w:rPr>
          <w:bCs/>
          <w:sz w:val="22"/>
          <w:szCs w:val="22"/>
        </w:rPr>
      </w:pPr>
      <w:r>
        <w:rPr>
          <w:bCs/>
          <w:sz w:val="22"/>
          <w:szCs w:val="22"/>
        </w:rPr>
        <w:t>1. La empresa tiene plazo hasta el último día hábil de cada mes para entregar al Departamento de Inventarios, el Formulario de Servicio Prestado por la empresa, del mes anterior, más los recibos de sueldo firmados por cada empleado que estuvo afectado al servicio, las liquidaciones de los pagos a BPS, y estar al día con los certificados de BSE, BPS y DGI (en los casos que estén vencidos).</w:t>
      </w:r>
    </w:p>
    <w:p>
      <w:pPr>
        <w:pStyle w:val="style0"/>
        <w:spacing w:line="276" w:lineRule="auto"/>
        <w:jc w:val="both"/>
        <w:rPr>
          <w:b/>
          <w:bCs/>
          <w:sz w:val="22"/>
          <w:szCs w:val="22"/>
        </w:rPr>
      </w:pPr>
      <w:r>
        <w:rPr>
          <w:bCs/>
          <w:sz w:val="22"/>
          <w:szCs w:val="22"/>
        </w:rPr>
        <w:t>2. El Departamento de Inventarios del Poder Judicial, durante el mes siguiente, corroborará que la documentación esté en forma, verificará la información que</w:t>
      </w:r>
      <w:r>
        <w:rPr>
          <w:b/>
          <w:bCs/>
          <w:sz w:val="22"/>
          <w:szCs w:val="22"/>
        </w:rPr>
        <w:t xml:space="preserve"> estime pertinente, liquidaciones, laudos, pago a BPS, vencimientos de certificados y formularios, para dar cumplimiento al artículo 4 de la ley 18.251.</w:t>
      </w:r>
    </w:p>
    <w:p>
      <w:pPr>
        <w:pStyle w:val="style0"/>
        <w:spacing w:line="276" w:lineRule="auto"/>
        <w:jc w:val="both"/>
        <w:rPr>
          <w:b/>
          <w:bCs/>
          <w:sz w:val="22"/>
          <w:szCs w:val="22"/>
        </w:rPr>
      </w:pPr>
      <w:r>
        <w:rPr>
          <w:b/>
          <w:bCs/>
          <w:sz w:val="22"/>
          <w:szCs w:val="22"/>
        </w:rPr>
        <w:t>3. En los primeros diez días del siguiente mes, luego de estudiada toda la documentación de cada una de las empresas, se confeccionará una lista de aquellas que no cumplieron con los requisitos. Se les notificará vía mail o vía fax que, por incumplimiento de la documentación exigida, se le realizará retención de pagos; con copia de los mismos al Departamento de Gastos de División Contaduría.</w:t>
      </w:r>
    </w:p>
    <w:p>
      <w:pPr>
        <w:pStyle w:val="style0"/>
        <w:spacing w:line="276" w:lineRule="auto"/>
        <w:jc w:val="both"/>
        <w:rPr>
          <w:b/>
          <w:bCs/>
          <w:sz w:val="22"/>
          <w:szCs w:val="22"/>
        </w:rPr>
      </w:pPr>
      <w:r>
        <w:rPr>
          <w:b/>
          <w:bCs/>
          <w:sz w:val="22"/>
          <w:szCs w:val="22"/>
        </w:rPr>
        <w:t>4. Luego de comunicado a las empresas el día 20 del mismo mes, se realizará un informe vía mail al Departamento de Gastos de D. Contaduría, para que se retenga el pago a aquellas empresas que no regularizaron su documentación. A vía de ejemplo: se retendrá el pago del mes de marzo al no haberse cumplido con la entrega de la documentación del mes de enero.</w:t>
      </w:r>
    </w:p>
    <w:p>
      <w:pPr>
        <w:pStyle w:val="style0"/>
        <w:spacing w:line="276" w:lineRule="auto"/>
        <w:jc w:val="both"/>
        <w:rPr>
          <w:b/>
          <w:bCs/>
          <w:sz w:val="22"/>
          <w:szCs w:val="22"/>
        </w:rPr>
      </w:pPr>
      <w:r>
        <w:rPr>
          <w:b/>
          <w:bCs/>
          <w:sz w:val="22"/>
          <w:szCs w:val="22"/>
        </w:rPr>
        <w:t>5. El Departamento de Inventarios realizará un informe que será enviado a la Dirección General de los Servicios Administrativos de aquellas empresas que no cumplan en más de cuatro oportunidades con la documentación en fecha.</w:t>
      </w:r>
    </w:p>
    <w:p>
      <w:pPr>
        <w:pStyle w:val="style0"/>
        <w:spacing w:line="276" w:lineRule="auto"/>
        <w:jc w:val="both"/>
        <w:rPr>
          <w:b/>
          <w:bCs/>
          <w:sz w:val="22"/>
          <w:szCs w:val="22"/>
        </w:rPr>
      </w:pPr>
      <w:r>
        <w:rPr>
          <w:b/>
          <w:bCs/>
          <w:sz w:val="22"/>
          <w:szCs w:val="22"/>
        </w:rPr>
        <w:t>6. Dicho incumplimiento será tenido en cuenta en futuras licitaciones y en caso de incumplimiento en forma permanente, podrá llegarse a la rescisión del contrato.</w:t>
      </w:r>
    </w:p>
    <w:p>
      <w:pPr>
        <w:pStyle w:val="style0"/>
        <w:spacing w:line="276" w:lineRule="auto"/>
        <w:jc w:val="both"/>
        <w:rPr>
          <w:b/>
          <w:bCs/>
          <w:sz w:val="22"/>
          <w:szCs w:val="22"/>
        </w:rPr>
      </w:pPr>
      <w:r>
        <w:rPr>
          <w:b/>
          <w:bCs/>
          <w:sz w:val="22"/>
          <w:szCs w:val="22"/>
        </w:rPr>
        <w:t xml:space="preserve">                  </w:t>
      </w:r>
    </w:p>
    <w:p>
      <w:pPr>
        <w:pStyle w:val="style0"/>
        <w:spacing w:line="276" w:lineRule="auto"/>
        <w:jc w:val="both"/>
        <w:rPr>
          <w:b/>
          <w:bCs/>
          <w:sz w:val="22"/>
          <w:szCs w:val="22"/>
        </w:rPr>
      </w:pPr>
      <w:r>
        <w:rPr>
          <w:b/>
          <w:bCs/>
          <w:sz w:val="22"/>
          <w:szCs w:val="22"/>
        </w:rPr>
        <w:t>El incumplimiento de cualquiera  de las obligaciones arriba establecidas permitirá al Poder Judicial optar por la rescisión unilateral e inmediata de este contrato sin perjuicio de que la empresa sufra las responsabilidades y perjuicios aparejados por aquel. En ningún caso se podrá ceder este contrato sin previa autorización conferida por el Poder Judicial.-</w:t>
      </w:r>
    </w:p>
    <w:p>
      <w:pPr>
        <w:pStyle w:val="style5"/>
        <w:spacing w:line="276" w:lineRule="auto"/>
        <w:ind w:hanging="0" w:left="0" w:right="680"/>
        <w:rPr>
          <w:rFonts w:ascii="Bookman Old Style" w:hAnsi="Bookman Old Style"/>
          <w:sz w:val="22"/>
          <w:szCs w:val="22"/>
        </w:rPr>
      </w:pPr>
      <w:r>
        <w:rPr>
          <w:rFonts w:ascii="Bookman Old Style" w:hAnsi="Bookman Old Style"/>
          <w:sz w:val="22"/>
          <w:szCs w:val="22"/>
        </w:rPr>
      </w:r>
    </w:p>
    <w:p>
      <w:pPr>
        <w:pStyle w:val="style5"/>
        <w:spacing w:line="276" w:lineRule="auto"/>
        <w:ind w:hanging="0" w:left="0" w:right="680"/>
        <w:rPr>
          <w:rFonts w:ascii="Bookman Old Style" w:hAnsi="Bookman Old Style"/>
          <w:sz w:val="22"/>
          <w:szCs w:val="22"/>
        </w:rPr>
      </w:pPr>
      <w:r>
        <w:rPr>
          <w:rFonts w:ascii="Bookman Old Style" w:hAnsi="Bookman Old Style"/>
          <w:sz w:val="22"/>
          <w:szCs w:val="22"/>
        </w:rPr>
      </w:r>
    </w:p>
    <w:p>
      <w:pPr>
        <w:pStyle w:val="style5"/>
        <w:spacing w:line="276" w:lineRule="auto"/>
        <w:ind w:hanging="0" w:left="0" w:right="680"/>
        <w:rPr>
          <w:rFonts w:ascii="Bookman Old Style" w:hAnsi="Bookman Old Style"/>
          <w:sz w:val="22"/>
          <w:szCs w:val="22"/>
        </w:rPr>
      </w:pPr>
      <w:r>
        <w:rPr>
          <w:rFonts w:ascii="Bookman Old Style" w:hAnsi="Bookman Old Style"/>
          <w:sz w:val="22"/>
          <w:szCs w:val="22"/>
        </w:rPr>
      </w:r>
    </w:p>
    <w:p>
      <w:pPr>
        <w:pStyle w:val="style0"/>
        <w:widowControl w:val="false"/>
        <w:spacing w:line="276" w:lineRule="auto"/>
        <w:jc w:val="both"/>
        <w:rPr>
          <w:rFonts w:cs="Times New Roman" w:eastAsia="Bookman Old Style"/>
          <w:sz w:val="22"/>
          <w:szCs w:val="22"/>
          <w:lang w:bidi="es-ES" w:eastAsia="es-ES"/>
        </w:rPr>
      </w:pPr>
      <w:r>
        <w:rPr>
          <w:rFonts w:cs="Times New Roman" w:eastAsia="Bookman Old Style"/>
          <w:sz w:val="22"/>
          <w:szCs w:val="22"/>
          <w:lang w:bidi="es-ES" w:eastAsia="es-ES"/>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spacing w:line="276" w:lineRule="auto"/>
        <w:rPr/>
      </w:pPr>
      <w:r>
        <w:rPr/>
      </w:r>
    </w:p>
    <w:sectPr>
      <w:type w:val="nextPage"/>
      <w:pgSz w:h="16838" w:w="11906"/>
      <w:pgMar w:bottom="1134" w:footer="0" w:gutter="0" w:header="0" w:left="2381" w:right="907" w:top="238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Bookman Old Style">
    <w:charset w:val="00"/>
    <w:family w:val="roman"/>
    <w:pitch w:val="variable"/>
  </w:font>
  <w:font w:name="Courier">
    <w:altName w:val="Courier New"/>
    <w:charset w:val="00"/>
    <w:family w:val="roman"/>
    <w:pitch w:val="variable"/>
  </w:font>
  <w:font w:name="Cambria">
    <w:charset w:val="00"/>
    <w:family w:val="roman"/>
    <w:pitch w:val="variable"/>
  </w:font>
  <w:font w:name="Arial">
    <w:charset w:val="00"/>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szCs w:val="24"/>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
    <w:lvl w:ilvl="0">
      <w:start w:val="1"/>
      <w:numFmt w:val="lowerLetter"/>
      <w:lvlText w:val="%1)"/>
      <w:lvlJc w:val="left"/>
      <w:pPr>
        <w:ind w:hanging="360" w:left="720"/>
      </w:pPr>
      <w:rPr>
        <w:szCs w:val="24"/>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720" w:val="num"/>
        </w:tabs>
        <w:ind w:hanging="360" w:left="720"/>
      </w:pPr>
      <w:rPr>
        <w:rFonts w:ascii="Symbol" w:cs="Symbol" w:hAnsi="Symbol" w:hint="default"/>
        <w:sz w:val="20"/>
        <w:szCs w:val="24"/>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4">
    <w:lvl w:ilvl="0">
      <w:start w:val="1"/>
      <w:numFmt w:val="bullet"/>
      <w:lvlText w:val=""/>
      <w:lvlJc w:val="left"/>
      <w:pPr>
        <w:ind w:hanging="360" w:left="720"/>
      </w:pPr>
      <w:rPr>
        <w:rFonts w:ascii="Wingdings" w:cs="Wingdings" w:hAnsi="Wingdings"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Bookman Old Style" w:cs="Bookman Old Style" w:eastAsia="Times New Roman" w:hAnsi="Bookman Old Style"/>
      <w:color w:val="auto"/>
      <w:sz w:val="24"/>
      <w:szCs w:val="20"/>
      <w:lang w:bidi="ar-SA" w:eastAsia="zh-CN" w:val="es-ES"/>
    </w:rPr>
  </w:style>
  <w:style w:styleId="style1" w:type="paragraph">
    <w:name w:val="Encabezado 1"/>
    <w:basedOn w:val="style0"/>
    <w:next w:val="style1"/>
    <w:pPr>
      <w:keepNext/>
      <w:tabs>
        <w:tab w:leader="none" w:pos="432" w:val="left"/>
      </w:tabs>
      <w:spacing w:line="240" w:lineRule="exact"/>
      <w:ind w:hanging="432" w:left="432" w:right="0"/>
      <w:jc w:val="both"/>
    </w:pPr>
    <w:rPr>
      <w:rFonts w:ascii="Courier" w:cs="Courier" w:hAnsi="Courier"/>
      <w:b/>
      <w:bCs/>
      <w:szCs w:val="24"/>
    </w:rPr>
  </w:style>
  <w:style w:styleId="style3" w:type="paragraph">
    <w:name w:val="Encabezado 3"/>
    <w:basedOn w:val="style0"/>
    <w:next w:val="style3"/>
    <w:pPr>
      <w:keepNext/>
      <w:tabs>
        <w:tab w:leader="none" w:pos="720" w:val="left"/>
      </w:tabs>
      <w:ind w:hanging="720" w:left="720" w:right="0"/>
    </w:pPr>
    <w:rPr>
      <w:b/>
      <w:bCs/>
      <w:szCs w:val="24"/>
      <w:lang w:val="es-ES"/>
    </w:rPr>
  </w:style>
  <w:style w:styleId="style4" w:type="paragraph">
    <w:name w:val="Encabezado 4"/>
    <w:basedOn w:val="style0"/>
    <w:next w:val="style4"/>
    <w:pPr>
      <w:keepNext/>
      <w:tabs>
        <w:tab w:leader="none" w:pos="864" w:val="left"/>
      </w:tabs>
      <w:spacing w:line="260" w:lineRule="exact"/>
      <w:ind w:hanging="864" w:left="864" w:right="0"/>
      <w:jc w:val="both"/>
    </w:pPr>
    <w:rPr>
      <w:b/>
      <w:bCs/>
      <w:sz w:val="22"/>
      <w:szCs w:val="22"/>
    </w:rPr>
  </w:style>
  <w:style w:styleId="style5" w:type="paragraph">
    <w:name w:val="Encabezado 5"/>
    <w:basedOn w:val="style0"/>
    <w:next w:val="style5"/>
    <w:pPr>
      <w:keepNext/>
      <w:keepLines/>
      <w:spacing w:after="0" w:before="200"/>
      <w:contextualSpacing w:val="false"/>
    </w:pPr>
    <w:rPr>
      <w:rFonts w:ascii="Cambria" w:cs="" w:hAnsi="Cambria"/>
      <w:color w:val="243F60"/>
    </w:rPr>
  </w:style>
  <w:style w:styleId="style15" w:type="character">
    <w:name w:val="Default Paragraph Font"/>
    <w:next w:val="style15"/>
    <w:rPr/>
  </w:style>
  <w:style w:styleId="style16" w:type="character">
    <w:name w:val="Título 1 Car"/>
    <w:basedOn w:val="style15"/>
    <w:next w:val="style16"/>
    <w:rPr>
      <w:rFonts w:ascii="Courier" w:cs="Courier" w:eastAsia="Times New Roman" w:hAnsi="Courier"/>
      <w:b/>
      <w:bCs/>
      <w:sz w:val="24"/>
      <w:szCs w:val="24"/>
      <w:lang w:eastAsia="zh-CN" w:val="es-ES"/>
    </w:rPr>
  </w:style>
  <w:style w:styleId="style17" w:type="character">
    <w:name w:val="Título 3 Car"/>
    <w:basedOn w:val="style15"/>
    <w:next w:val="style17"/>
    <w:rPr>
      <w:rFonts w:ascii="Bookman Old Style" w:cs="Bookman Old Style" w:eastAsia="Times New Roman" w:hAnsi="Bookman Old Style"/>
      <w:b/>
      <w:bCs/>
      <w:sz w:val="24"/>
      <w:szCs w:val="24"/>
      <w:lang w:eastAsia="zh-CN" w:val="es-ES"/>
    </w:rPr>
  </w:style>
  <w:style w:styleId="style18" w:type="character">
    <w:name w:val="Título 4 Car"/>
    <w:basedOn w:val="style15"/>
    <w:next w:val="style18"/>
    <w:rPr>
      <w:rFonts w:ascii="Bookman Old Style" w:cs="Bookman Old Style" w:eastAsia="Times New Roman" w:hAnsi="Bookman Old Style"/>
      <w:b/>
      <w:bCs/>
      <w:lang w:eastAsia="zh-CN" w:val="es-ES"/>
    </w:rPr>
  </w:style>
  <w:style w:styleId="style19" w:type="character">
    <w:name w:val="Enlace de Internet"/>
    <w:next w:val="style19"/>
    <w:rPr>
      <w:color w:val="0000FF"/>
      <w:u w:val="single"/>
      <w:lang w:bidi="zxx-" w:eastAsia="zxx-" w:val="zxx-"/>
    </w:rPr>
  </w:style>
  <w:style w:styleId="style20" w:type="character">
    <w:name w:val="Fuente de párrafo predeter.2"/>
    <w:next w:val="style20"/>
    <w:rPr/>
  </w:style>
  <w:style w:styleId="style21" w:type="character">
    <w:name w:val="Texto independiente Car"/>
    <w:basedOn w:val="style15"/>
    <w:next w:val="style21"/>
    <w:rPr>
      <w:rFonts w:ascii="Courier" w:cs="Courier" w:eastAsia="Times New Roman" w:hAnsi="Courier"/>
      <w:sz w:val="24"/>
      <w:szCs w:val="24"/>
      <w:lang w:eastAsia="zh-CN" w:val="es-ES"/>
    </w:rPr>
  </w:style>
  <w:style w:styleId="style22" w:type="character">
    <w:name w:val="Subtítulo Car"/>
    <w:basedOn w:val="style15"/>
    <w:next w:val="style22"/>
    <w:rPr>
      <w:rFonts w:ascii="Cambria" w:cs="" w:hAnsi="Cambria"/>
      <w:i/>
      <w:iCs/>
      <w:color w:val="4F81BD"/>
      <w:spacing w:val="15"/>
      <w:sz w:val="24"/>
      <w:szCs w:val="24"/>
      <w:lang w:eastAsia="zh-CN" w:val="es-ES"/>
    </w:rPr>
  </w:style>
  <w:style w:styleId="style23" w:type="character">
    <w:name w:val="Título 5 Car"/>
    <w:basedOn w:val="style15"/>
    <w:next w:val="style23"/>
    <w:rPr>
      <w:rFonts w:ascii="Cambria" w:cs="" w:hAnsi="Cambria"/>
      <w:color w:val="243F60"/>
      <w:sz w:val="24"/>
      <w:szCs w:val="20"/>
      <w:lang w:eastAsia="zh-CN" w:val="es-ES"/>
    </w:rPr>
  </w:style>
  <w:style w:styleId="style24" w:type="character">
    <w:name w:val="ListLabel 1"/>
    <w:next w:val="style24"/>
    <w:rPr>
      <w:rFonts w:cs="Symbol"/>
      <w:sz w:val="20"/>
      <w:szCs w:val="24"/>
      <w:lang w:eastAsia="es-UY" w:val="es-UY"/>
    </w:rPr>
  </w:style>
  <w:style w:styleId="style25" w:type="character">
    <w:name w:val="ListLabel 2"/>
    <w:next w:val="style25"/>
    <w:rPr>
      <w:rFonts w:cs="Courier New"/>
      <w:sz w:val="20"/>
    </w:rPr>
  </w:style>
  <w:style w:styleId="style26" w:type="character">
    <w:name w:val="ListLabel 3"/>
    <w:next w:val="style26"/>
    <w:rPr>
      <w:rFonts w:cs="Wingdings"/>
      <w:sz w:val="20"/>
    </w:rPr>
  </w:style>
  <w:style w:styleId="style27" w:type="character">
    <w:name w:val="ListLabel 4"/>
    <w:next w:val="style27"/>
    <w:rPr>
      <w:rFonts w:cs="Wingdings"/>
    </w:rPr>
  </w:style>
  <w:style w:styleId="style28" w:type="character">
    <w:name w:val="ListLabel 5"/>
    <w:next w:val="style28"/>
    <w:rPr>
      <w:rFonts w:cs="Times New Roman"/>
      <w:szCs w:val="24"/>
      <w:lang w:eastAsia="es-UY" w:val="es-UY"/>
    </w:rPr>
  </w:style>
  <w:style w:styleId="style29" w:type="character">
    <w:name w:val="ListLabel 6"/>
    <w:next w:val="style29"/>
    <w:rPr>
      <w:rFonts w:cs="Courier New"/>
    </w:rPr>
  </w:style>
  <w:style w:styleId="style30" w:type="paragraph">
    <w:name w:val="Encabezado"/>
    <w:basedOn w:val="style0"/>
    <w:next w:val="style31"/>
    <w:pPr>
      <w:keepNext/>
      <w:spacing w:after="120" w:before="240"/>
      <w:contextualSpacing w:val="false"/>
    </w:pPr>
    <w:rPr>
      <w:rFonts w:ascii="Arial" w:cs="Droid Sans Devanagari" w:eastAsia="Droid Sans Fallback" w:hAnsi="Arial"/>
      <w:sz w:val="28"/>
      <w:szCs w:val="28"/>
    </w:rPr>
  </w:style>
  <w:style w:styleId="style31" w:type="paragraph">
    <w:name w:val="Cuerpo de texto"/>
    <w:basedOn w:val="style0"/>
    <w:next w:val="style31"/>
    <w:pPr>
      <w:spacing w:line="240" w:lineRule="exact"/>
      <w:jc w:val="both"/>
    </w:pPr>
    <w:rPr>
      <w:rFonts w:ascii="Courier" w:cs="Courier" w:hAnsi="Courier"/>
      <w:szCs w:val="24"/>
    </w:rPr>
  </w:style>
  <w:style w:styleId="style32" w:type="paragraph">
    <w:name w:val="Lista"/>
    <w:basedOn w:val="style31"/>
    <w:next w:val="style32"/>
    <w:pPr/>
    <w:rPr>
      <w:rFonts w:cs="Droid Sans Devanagari"/>
    </w:rPr>
  </w:style>
  <w:style w:styleId="style33" w:type="paragraph">
    <w:name w:val="Pie"/>
    <w:basedOn w:val="style0"/>
    <w:next w:val="style33"/>
    <w:pPr>
      <w:suppressLineNumbers/>
      <w:spacing w:after="120" w:before="120"/>
      <w:contextualSpacing w:val="false"/>
    </w:pPr>
    <w:rPr>
      <w:rFonts w:cs="Droid Sans Devanagari"/>
      <w:i/>
      <w:iCs/>
      <w:sz w:val="24"/>
      <w:szCs w:val="24"/>
    </w:rPr>
  </w:style>
  <w:style w:styleId="style34" w:type="paragraph">
    <w:name w:val="Índice"/>
    <w:basedOn w:val="style0"/>
    <w:next w:val="style34"/>
    <w:pPr>
      <w:suppressLineNumbers/>
    </w:pPr>
    <w:rPr>
      <w:rFonts w:cs="Droid Sans Devanagari"/>
    </w:rPr>
  </w:style>
  <w:style w:styleId="style35" w:type="paragraph">
    <w:name w:val="Encabezado1"/>
    <w:basedOn w:val="style0"/>
    <w:next w:val="style35"/>
    <w:pPr>
      <w:spacing w:line="260" w:lineRule="exact"/>
      <w:jc w:val="center"/>
    </w:pPr>
    <w:rPr>
      <w:b/>
      <w:bCs/>
      <w:sz w:val="22"/>
      <w:szCs w:val="22"/>
    </w:rPr>
  </w:style>
  <w:style w:styleId="style36" w:type="paragraph">
    <w:name w:val="Normal1"/>
    <w:next w:val="style36"/>
    <w:pPr>
      <w:widowControl/>
      <w:suppressAutoHyphens w:val="true"/>
      <w:spacing w:after="0" w:before="0" w:line="100" w:lineRule="atLeast"/>
      <w:contextualSpacing w:val="false"/>
    </w:pPr>
    <w:rPr>
      <w:rFonts w:ascii="Times New Roman" w:cs="Times New Roman" w:eastAsia="Arial" w:hAnsi="Times New Roman"/>
      <w:color w:val="auto"/>
      <w:sz w:val="24"/>
      <w:szCs w:val="20"/>
      <w:lang w:bidi="ar-SA" w:eastAsia="zh-CN" w:val="es-ES"/>
    </w:rPr>
  </w:style>
  <w:style w:styleId="style37" w:type="paragraph">
    <w:name w:val="Normal (Web)"/>
    <w:basedOn w:val="style0"/>
    <w:next w:val="style37"/>
    <w:pPr>
      <w:spacing w:after="119" w:before="280"/>
      <w:contextualSpacing w:val="false"/>
    </w:pPr>
    <w:rPr>
      <w:rFonts w:ascii="Times New Roman" w:cs="Times New Roman" w:hAnsi="Times New Roman"/>
      <w:szCs w:val="24"/>
      <w:lang w:val="es-UY"/>
    </w:rPr>
  </w:style>
  <w:style w:styleId="style38" w:type="paragraph">
    <w:name w:val="List Paragraph"/>
    <w:basedOn w:val="style0"/>
    <w:next w:val="style38"/>
    <w:pPr>
      <w:ind w:hanging="0" w:left="708" w:right="0"/>
    </w:pPr>
    <w:rPr/>
  </w:style>
  <w:style w:styleId="style39" w:type="paragraph">
    <w:name w:val="Standard (user)"/>
    <w:next w:val="style39"/>
    <w:pPr>
      <w:widowControl w:val="false"/>
      <w:suppressAutoHyphens w:val="true"/>
      <w:spacing w:after="0" w:before="0" w:line="100" w:lineRule="atLeast"/>
      <w:contextualSpacing w:val="false"/>
      <w:textAlignment w:val="baseline"/>
    </w:pPr>
    <w:rPr>
      <w:rFonts w:ascii="Bookman Old Style" w:cs="Bookman Old Style" w:eastAsia="Bookman Old Style" w:hAnsi="Bookman Old Style"/>
      <w:color w:val="auto"/>
      <w:sz w:val="24"/>
      <w:szCs w:val="24"/>
      <w:lang w:bidi="hi-IN" w:eastAsia="zh-CN" w:val="es-ES"/>
    </w:rPr>
  </w:style>
  <w:style w:styleId="style40" w:type="paragraph">
    <w:name w:val="Default"/>
    <w:next w:val="style40"/>
    <w:pPr>
      <w:widowControl/>
      <w:suppressAutoHyphens w:val="true"/>
      <w:spacing w:after="0" w:before="0" w:line="100" w:lineRule="atLeast"/>
      <w:contextualSpacing w:val="false"/>
    </w:pPr>
    <w:rPr>
      <w:rFonts w:ascii="Times New Roman" w:cs="Times New Roman" w:eastAsia="Calibri" w:hAnsi="Times New Roman"/>
      <w:color w:val="000000"/>
      <w:sz w:val="24"/>
      <w:szCs w:val="24"/>
      <w:lang w:bidi="ar-SA" w:eastAsia="zh-CN" w:val="es-UY"/>
    </w:rPr>
  </w:style>
  <w:style w:styleId="style41" w:type="paragraph">
    <w:name w:val="Standard"/>
    <w:next w:val="style41"/>
    <w:pPr>
      <w:widowControl w:val="false"/>
      <w:suppressAutoHyphens w:val="true"/>
      <w:spacing w:after="0" w:before="0" w:line="100" w:lineRule="atLeast"/>
      <w:contextualSpacing w:val="false"/>
      <w:textAlignment w:val="baseline"/>
    </w:pPr>
    <w:rPr>
      <w:rFonts w:ascii="Bookman Old Style" w:cs="Bookman Old Style" w:eastAsia="Bookman Old Style" w:hAnsi="Bookman Old Style"/>
      <w:color w:val="auto"/>
      <w:sz w:val="24"/>
      <w:szCs w:val="24"/>
      <w:lang w:bidi="hi-IN" w:eastAsia="zh-CN" w:val="es-ES"/>
    </w:rPr>
  </w:style>
  <w:style w:styleId="style42" w:type="paragraph">
    <w:name w:val="Subtítulo"/>
    <w:basedOn w:val="style0"/>
    <w:next w:val="style42"/>
    <w:pPr>
      <w:jc w:val="left"/>
    </w:pPr>
    <w:rPr>
      <w:rFonts w:ascii="Cambria" w:cs="" w:hAnsi="Cambria"/>
      <w:i/>
      <w:iCs/>
      <w:color w:val="4F81BD"/>
      <w:spacing w:val="15"/>
      <w:szCs w:val="24"/>
    </w:rPr>
  </w:style>
  <w:style w:styleId="style43" w:type="paragraph">
    <w:name w:val="Texto independiente 22"/>
    <w:basedOn w:val="style0"/>
    <w:next w:val="style43"/>
    <w:pPr/>
    <w:rPr>
      <w:rFonts w:ascii="Arial" w:cs="Arial" w:hAnsi="Arial"/>
      <w:szCs w:val="24"/>
      <w:lang w:eastAsia="ar-SA"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quisiciones@poderjudicial.gub.uy" TargetMode="External"/><Relationship Id="rId3" Type="http://schemas.openxmlformats.org/officeDocument/2006/relationships/hyperlink" Target="mailto:adquisiciones@poderjudicial.gub.uy"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2022-07-20T18:44:00Z</dcterms:created>
  <dc:creator>BASSO</dc:creator>
  <cp:lastModifiedBy>Gisel Contreras</cp:lastModifiedBy>
  <dcterms:modified xsi:type="dcterms:W3CDTF">2022-07-20T18:44:00Z</dcterms:modified>
  <cp:revision>2</cp:revision>
</cp:coreProperties>
</file>