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D4186" w:rsidRDefault="0053445C" w:rsidP="0053445C">
      <w:pPr>
        <w:jc w:val="center"/>
        <w:rPr>
          <w:rFonts w:ascii="Arial" w:hAnsi="Arial" w:cs="Arial"/>
          <w:b/>
          <w:bCs/>
          <w:color w:val="0000FF"/>
          <w:sz w:val="28"/>
          <w:szCs w:val="28"/>
          <w:u w:val="single"/>
          <w:lang w:val="es-ES_tradnl"/>
        </w:rPr>
      </w:pPr>
      <w:r w:rsidRPr="00ED4186">
        <w:rPr>
          <w:rFonts w:ascii="Arial" w:hAnsi="Arial" w:cs="Arial"/>
          <w:b/>
          <w:bCs/>
          <w:color w:val="0000FF"/>
          <w:sz w:val="28"/>
          <w:szCs w:val="28"/>
          <w:u w:val="single"/>
          <w:lang w:val="es-ES_tradnl"/>
        </w:rPr>
        <w:t xml:space="preserve">LICITACION ABREVIADA Nº </w:t>
      </w:r>
      <w:r w:rsidR="001F00A1">
        <w:rPr>
          <w:rFonts w:ascii="Arial" w:hAnsi="Arial" w:cs="Arial"/>
          <w:b/>
          <w:bCs/>
          <w:color w:val="0000FF"/>
          <w:sz w:val="28"/>
          <w:szCs w:val="28"/>
          <w:u w:val="single"/>
          <w:lang w:val="es-ES_tradnl"/>
        </w:rPr>
        <w:t>0</w:t>
      </w:r>
      <w:r w:rsidR="00783B56">
        <w:rPr>
          <w:rFonts w:ascii="Arial" w:hAnsi="Arial" w:cs="Arial"/>
          <w:b/>
          <w:bCs/>
          <w:color w:val="0000FF"/>
          <w:sz w:val="28"/>
          <w:szCs w:val="28"/>
          <w:u w:val="single"/>
          <w:lang w:val="es-ES_tradnl"/>
        </w:rPr>
        <w:t>8</w:t>
      </w:r>
      <w:r w:rsidR="001F00A1">
        <w:rPr>
          <w:rFonts w:ascii="Arial" w:hAnsi="Arial" w:cs="Arial"/>
          <w:b/>
          <w:bCs/>
          <w:color w:val="0000FF"/>
          <w:sz w:val="28"/>
          <w:szCs w:val="28"/>
          <w:u w:val="single"/>
          <w:lang w:val="es-ES_tradnl"/>
        </w:rPr>
        <w:t>/</w:t>
      </w:r>
      <w:r w:rsidR="004A6856">
        <w:rPr>
          <w:rFonts w:ascii="Arial" w:hAnsi="Arial" w:cs="Arial"/>
          <w:b/>
          <w:bCs/>
          <w:color w:val="0000FF"/>
          <w:sz w:val="28"/>
          <w:szCs w:val="28"/>
          <w:u w:val="single"/>
          <w:lang w:val="es-ES_tradnl"/>
        </w:rPr>
        <w:t>22</w:t>
      </w:r>
      <w:r w:rsidRPr="00ED4186">
        <w:rPr>
          <w:rFonts w:ascii="Arial" w:hAnsi="Arial" w:cs="Arial"/>
          <w:b/>
          <w:bCs/>
          <w:color w:val="0000FF"/>
          <w:sz w:val="28"/>
          <w:szCs w:val="28"/>
          <w:u w:val="single"/>
          <w:lang w:val="es-ES_tradnl"/>
        </w:rPr>
        <w:t>.</w:t>
      </w:r>
    </w:p>
    <w:p w:rsidR="008B7EA1" w:rsidRPr="00ED4186" w:rsidRDefault="008B7EA1" w:rsidP="0053445C">
      <w:pPr>
        <w:jc w:val="center"/>
        <w:rPr>
          <w:rFonts w:ascii="Arial" w:hAnsi="Arial" w:cs="Arial"/>
          <w:b/>
          <w:bCs/>
          <w:color w:val="0000FF"/>
          <w:sz w:val="28"/>
          <w:szCs w:val="28"/>
          <w:lang w:val="es-ES_tradnl"/>
        </w:rPr>
      </w:pPr>
    </w:p>
    <w:p w:rsidR="00B16CCD" w:rsidRPr="00821A20" w:rsidRDefault="003B433B" w:rsidP="00B16CCD">
      <w:pPr>
        <w:jc w:val="center"/>
        <w:outlineLvl w:val="0"/>
        <w:rPr>
          <w:rFonts w:ascii="Arial" w:hAnsi="Arial" w:cs="Arial"/>
          <w:b/>
          <w:sz w:val="28"/>
          <w:szCs w:val="28"/>
          <w:u w:val="single"/>
          <w:lang w:val="es-UY"/>
        </w:rPr>
      </w:pPr>
      <w:bookmarkStart w:id="0" w:name="_Toc99369814"/>
      <w:r>
        <w:rPr>
          <w:rFonts w:ascii="Arial" w:hAnsi="Arial" w:cs="Arial"/>
          <w:b/>
          <w:sz w:val="28"/>
          <w:szCs w:val="28"/>
          <w:u w:val="single"/>
          <w:lang w:val="es-UY"/>
        </w:rPr>
        <w:t>LICENCIAS MICROSOFT</w:t>
      </w:r>
      <w:bookmarkEnd w:id="0"/>
    </w:p>
    <w:p w:rsidR="008B7EA1" w:rsidRPr="00ED4186" w:rsidRDefault="008B7EA1" w:rsidP="00486A39">
      <w:pPr>
        <w:jc w:val="both"/>
        <w:rPr>
          <w:rFonts w:ascii="Arial" w:hAnsi="Arial" w:cs="Arial"/>
          <w:b/>
          <w:bCs/>
          <w:lang w:val="es-ES_tradnl"/>
        </w:rPr>
      </w:pPr>
    </w:p>
    <w:p w:rsidR="00486A39" w:rsidRPr="00ED4186" w:rsidRDefault="0053445C" w:rsidP="00486A39">
      <w:pPr>
        <w:jc w:val="both"/>
        <w:rPr>
          <w:rFonts w:ascii="Arial" w:hAnsi="Arial" w:cs="Arial"/>
        </w:rPr>
      </w:pPr>
      <w:r w:rsidRPr="00ED4186">
        <w:rPr>
          <w:rFonts w:ascii="Arial" w:hAnsi="Arial" w:cs="Arial"/>
          <w:b/>
          <w:bCs/>
          <w:lang w:val="es-ES_tradnl"/>
        </w:rPr>
        <w:t>============================================================</w:t>
      </w:r>
      <w:r w:rsidR="009061B4" w:rsidRPr="00ED4186">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D4186" w:rsidRDefault="0053445C" w:rsidP="00486A39">
      <w:pPr>
        <w:jc w:val="both"/>
        <w:rPr>
          <w:rFonts w:ascii="Arial" w:hAnsi="Arial" w:cs="Arial"/>
          <w:lang w:val="es-ES_tradnl"/>
        </w:rPr>
      </w:pPr>
      <w:r w:rsidRPr="00ED4186">
        <w:rPr>
          <w:rFonts w:ascii="Arial" w:hAnsi="Arial" w:cs="Arial"/>
          <w:b/>
          <w:bCs/>
        </w:rPr>
        <w:t>========================================================</w:t>
      </w:r>
    </w:p>
    <w:p w:rsidR="00D74A0C" w:rsidRDefault="00D74A0C" w:rsidP="0053445C">
      <w:pPr>
        <w:jc w:val="both"/>
        <w:rPr>
          <w:rFonts w:ascii="Arial" w:hAnsi="Arial" w:cs="Arial"/>
          <w:b/>
          <w:bCs/>
        </w:rPr>
      </w:pPr>
    </w:p>
    <w:sdt>
      <w:sdtPr>
        <w:rPr>
          <w:rFonts w:ascii="Times New Roman" w:eastAsia="Times New Roman" w:hAnsi="Times New Roman" w:cs="Times New Roman"/>
          <w:color w:val="auto"/>
          <w:sz w:val="24"/>
          <w:szCs w:val="24"/>
          <w:lang w:val="es-ES" w:eastAsia="es-ES"/>
        </w:rPr>
        <w:id w:val="-1870976543"/>
        <w:docPartObj>
          <w:docPartGallery w:val="Table of Contents"/>
          <w:docPartUnique/>
        </w:docPartObj>
      </w:sdtPr>
      <w:sdtEndPr>
        <w:rPr>
          <w:b/>
          <w:bCs/>
        </w:rPr>
      </w:sdtEndPr>
      <w:sdtContent>
        <w:p w:rsidR="00E12FDE" w:rsidRDefault="00E12FDE">
          <w:pPr>
            <w:pStyle w:val="TtuloTDC"/>
          </w:pPr>
          <w:r>
            <w:rPr>
              <w:lang w:val="es-ES"/>
            </w:rPr>
            <w:t>Contenido</w:t>
          </w:r>
        </w:p>
        <w:p w:rsidR="000B1396" w:rsidRDefault="00E12FDE">
          <w:pPr>
            <w:pStyle w:val="TDC1"/>
            <w:tabs>
              <w:tab w:val="right" w:leader="dot" w:pos="8494"/>
            </w:tabs>
            <w:rPr>
              <w:rFonts w:asciiTheme="minorHAnsi" w:eastAsiaTheme="minorEastAsia" w:hAnsiTheme="minorHAnsi" w:cstheme="minorBidi"/>
              <w:noProof/>
              <w:sz w:val="22"/>
              <w:szCs w:val="22"/>
              <w:lang w:val="es-UY" w:eastAsia="es-UY"/>
            </w:rPr>
          </w:pPr>
          <w:r>
            <w:fldChar w:fldCharType="begin"/>
          </w:r>
          <w:r>
            <w:instrText xml:space="preserve"> TOC \o "1-3" \h \z \u </w:instrText>
          </w:r>
          <w:r>
            <w:fldChar w:fldCharType="separate"/>
          </w:r>
          <w:hyperlink w:anchor="_Toc99369814" w:history="1">
            <w:r w:rsidR="000B1396" w:rsidRPr="008C721D">
              <w:rPr>
                <w:rStyle w:val="Hipervnculo"/>
                <w:rFonts w:ascii="Arial" w:hAnsi="Arial" w:cs="Arial"/>
                <w:b/>
                <w:noProof/>
                <w:lang w:val="es-UY"/>
              </w:rPr>
              <w:t>LICENCIAS MICROSOFT</w:t>
            </w:r>
            <w:r w:rsidR="000B1396">
              <w:rPr>
                <w:noProof/>
                <w:webHidden/>
              </w:rPr>
              <w:tab/>
            </w:r>
            <w:r w:rsidR="000B1396">
              <w:rPr>
                <w:noProof/>
                <w:webHidden/>
              </w:rPr>
              <w:fldChar w:fldCharType="begin"/>
            </w:r>
            <w:r w:rsidR="000B1396">
              <w:rPr>
                <w:noProof/>
                <w:webHidden/>
              </w:rPr>
              <w:instrText xml:space="preserve"> PAGEREF _Toc99369814 \h </w:instrText>
            </w:r>
            <w:r w:rsidR="000B1396">
              <w:rPr>
                <w:noProof/>
                <w:webHidden/>
              </w:rPr>
            </w:r>
            <w:r w:rsidR="000B1396">
              <w:rPr>
                <w:noProof/>
                <w:webHidden/>
              </w:rPr>
              <w:fldChar w:fldCharType="separate"/>
            </w:r>
            <w:r w:rsidR="000B1396">
              <w:rPr>
                <w:noProof/>
                <w:webHidden/>
              </w:rPr>
              <w:t>1</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15" w:history="1">
            <w:r w:rsidR="000B1396" w:rsidRPr="008C721D">
              <w:rPr>
                <w:rStyle w:val="Hipervnculo"/>
                <w:b/>
                <w:noProof/>
              </w:rPr>
              <w:t>Art. 1.   OBJETO.</w:t>
            </w:r>
            <w:r w:rsidR="000B1396">
              <w:rPr>
                <w:noProof/>
                <w:webHidden/>
              </w:rPr>
              <w:tab/>
            </w:r>
            <w:r w:rsidR="000B1396">
              <w:rPr>
                <w:noProof/>
                <w:webHidden/>
              </w:rPr>
              <w:fldChar w:fldCharType="begin"/>
            </w:r>
            <w:r w:rsidR="000B1396">
              <w:rPr>
                <w:noProof/>
                <w:webHidden/>
              </w:rPr>
              <w:instrText xml:space="preserve"> PAGEREF _Toc99369815 \h </w:instrText>
            </w:r>
            <w:r w:rsidR="000B1396">
              <w:rPr>
                <w:noProof/>
                <w:webHidden/>
              </w:rPr>
            </w:r>
            <w:r w:rsidR="000B1396">
              <w:rPr>
                <w:noProof/>
                <w:webHidden/>
              </w:rPr>
              <w:fldChar w:fldCharType="separate"/>
            </w:r>
            <w:r w:rsidR="000B1396">
              <w:rPr>
                <w:noProof/>
                <w:webHidden/>
              </w:rPr>
              <w:t>2</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16" w:history="1">
            <w:r w:rsidR="000B1396" w:rsidRPr="008C721D">
              <w:rPr>
                <w:rStyle w:val="Hipervnculo"/>
                <w:b/>
                <w:noProof/>
              </w:rPr>
              <w:t>Art. 2.  REQUISITOS EXCLUYENTES.</w:t>
            </w:r>
            <w:r w:rsidR="000B1396">
              <w:rPr>
                <w:noProof/>
                <w:webHidden/>
              </w:rPr>
              <w:tab/>
            </w:r>
            <w:r w:rsidR="000B1396">
              <w:rPr>
                <w:noProof/>
                <w:webHidden/>
              </w:rPr>
              <w:fldChar w:fldCharType="begin"/>
            </w:r>
            <w:r w:rsidR="000B1396">
              <w:rPr>
                <w:noProof/>
                <w:webHidden/>
              </w:rPr>
              <w:instrText xml:space="preserve"> PAGEREF _Toc99369816 \h </w:instrText>
            </w:r>
            <w:r w:rsidR="000B1396">
              <w:rPr>
                <w:noProof/>
                <w:webHidden/>
              </w:rPr>
            </w:r>
            <w:r w:rsidR="000B1396">
              <w:rPr>
                <w:noProof/>
                <w:webHidden/>
              </w:rPr>
              <w:fldChar w:fldCharType="separate"/>
            </w:r>
            <w:r w:rsidR="000B1396">
              <w:rPr>
                <w:noProof/>
                <w:webHidden/>
              </w:rPr>
              <w:t>3</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17" w:history="1">
            <w:r w:rsidR="000B1396" w:rsidRPr="008C721D">
              <w:rPr>
                <w:rStyle w:val="Hipervnculo"/>
                <w:b/>
                <w:noProof/>
              </w:rPr>
              <w:t>Art. 3.   COTIZACIÓN.</w:t>
            </w:r>
            <w:r w:rsidR="000B1396">
              <w:rPr>
                <w:noProof/>
                <w:webHidden/>
              </w:rPr>
              <w:tab/>
            </w:r>
            <w:r w:rsidR="000B1396">
              <w:rPr>
                <w:noProof/>
                <w:webHidden/>
              </w:rPr>
              <w:fldChar w:fldCharType="begin"/>
            </w:r>
            <w:r w:rsidR="000B1396">
              <w:rPr>
                <w:noProof/>
                <w:webHidden/>
              </w:rPr>
              <w:instrText xml:space="preserve"> PAGEREF _Toc99369817 \h </w:instrText>
            </w:r>
            <w:r w:rsidR="000B1396">
              <w:rPr>
                <w:noProof/>
                <w:webHidden/>
              </w:rPr>
            </w:r>
            <w:r w:rsidR="000B1396">
              <w:rPr>
                <w:noProof/>
                <w:webHidden/>
              </w:rPr>
              <w:fldChar w:fldCharType="separate"/>
            </w:r>
            <w:r w:rsidR="000B1396">
              <w:rPr>
                <w:noProof/>
                <w:webHidden/>
              </w:rPr>
              <w:t>3</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18" w:history="1">
            <w:r w:rsidR="000B1396" w:rsidRPr="008C721D">
              <w:rPr>
                <w:rStyle w:val="Hipervnculo"/>
                <w:b/>
                <w:noProof/>
              </w:rPr>
              <w:t>Art. 4.  SOLICITUDES DE PRÓRROGA.</w:t>
            </w:r>
            <w:r w:rsidR="000B1396">
              <w:rPr>
                <w:noProof/>
                <w:webHidden/>
              </w:rPr>
              <w:tab/>
            </w:r>
            <w:r w:rsidR="000B1396">
              <w:rPr>
                <w:noProof/>
                <w:webHidden/>
              </w:rPr>
              <w:fldChar w:fldCharType="begin"/>
            </w:r>
            <w:r w:rsidR="000B1396">
              <w:rPr>
                <w:noProof/>
                <w:webHidden/>
              </w:rPr>
              <w:instrText xml:space="preserve"> PAGEREF _Toc99369818 \h </w:instrText>
            </w:r>
            <w:r w:rsidR="000B1396">
              <w:rPr>
                <w:noProof/>
                <w:webHidden/>
              </w:rPr>
            </w:r>
            <w:r w:rsidR="000B1396">
              <w:rPr>
                <w:noProof/>
                <w:webHidden/>
              </w:rPr>
              <w:fldChar w:fldCharType="separate"/>
            </w:r>
            <w:r w:rsidR="000B1396">
              <w:rPr>
                <w:noProof/>
                <w:webHidden/>
              </w:rPr>
              <w:t>4</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19" w:history="1">
            <w:r w:rsidR="000B1396" w:rsidRPr="008C721D">
              <w:rPr>
                <w:rStyle w:val="Hipervnculo"/>
                <w:b/>
                <w:noProof/>
              </w:rPr>
              <w:t>Art. 5.   MANTENIMIENTO DE OFERTA.</w:t>
            </w:r>
            <w:r w:rsidR="000B1396">
              <w:rPr>
                <w:noProof/>
                <w:webHidden/>
              </w:rPr>
              <w:tab/>
            </w:r>
            <w:r w:rsidR="000B1396">
              <w:rPr>
                <w:noProof/>
                <w:webHidden/>
              </w:rPr>
              <w:fldChar w:fldCharType="begin"/>
            </w:r>
            <w:r w:rsidR="000B1396">
              <w:rPr>
                <w:noProof/>
                <w:webHidden/>
              </w:rPr>
              <w:instrText xml:space="preserve"> PAGEREF _Toc99369819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0" w:history="1">
            <w:r w:rsidR="000B1396" w:rsidRPr="008C721D">
              <w:rPr>
                <w:rStyle w:val="Hipervnculo"/>
                <w:b/>
                <w:noProof/>
              </w:rPr>
              <w:t>Art. 6.   GARANTÍA DE MANTENIMIENTO DE OFERTA.</w:t>
            </w:r>
            <w:r w:rsidR="000B1396">
              <w:rPr>
                <w:noProof/>
                <w:webHidden/>
              </w:rPr>
              <w:tab/>
            </w:r>
            <w:r w:rsidR="000B1396">
              <w:rPr>
                <w:noProof/>
                <w:webHidden/>
              </w:rPr>
              <w:fldChar w:fldCharType="begin"/>
            </w:r>
            <w:r w:rsidR="000B1396">
              <w:rPr>
                <w:noProof/>
                <w:webHidden/>
              </w:rPr>
              <w:instrText xml:space="preserve"> PAGEREF _Toc99369820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1" w:history="1">
            <w:r w:rsidR="000B1396" w:rsidRPr="008C721D">
              <w:rPr>
                <w:rStyle w:val="Hipervnculo"/>
                <w:b/>
                <w:noProof/>
              </w:rPr>
              <w:t>Art. 7.   CONSULTAS Y ACLARACIONES.</w:t>
            </w:r>
            <w:r w:rsidR="000B1396">
              <w:rPr>
                <w:noProof/>
                <w:webHidden/>
              </w:rPr>
              <w:tab/>
            </w:r>
            <w:r w:rsidR="000B1396">
              <w:rPr>
                <w:noProof/>
                <w:webHidden/>
              </w:rPr>
              <w:fldChar w:fldCharType="begin"/>
            </w:r>
            <w:r w:rsidR="000B1396">
              <w:rPr>
                <w:noProof/>
                <w:webHidden/>
              </w:rPr>
              <w:instrText xml:space="preserve"> PAGEREF _Toc99369821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2" w:history="1">
            <w:r w:rsidR="000B1396" w:rsidRPr="008C721D">
              <w:rPr>
                <w:rStyle w:val="Hipervnculo"/>
                <w:b/>
                <w:noProof/>
              </w:rPr>
              <w:t>Art. 8.   DE LAS NOTIFICACIONES.</w:t>
            </w:r>
            <w:r w:rsidR="000B1396">
              <w:rPr>
                <w:noProof/>
                <w:webHidden/>
              </w:rPr>
              <w:tab/>
            </w:r>
            <w:r w:rsidR="000B1396">
              <w:rPr>
                <w:noProof/>
                <w:webHidden/>
              </w:rPr>
              <w:fldChar w:fldCharType="begin"/>
            </w:r>
            <w:r w:rsidR="000B1396">
              <w:rPr>
                <w:noProof/>
                <w:webHidden/>
              </w:rPr>
              <w:instrText xml:space="preserve"> PAGEREF _Toc99369822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3" w:history="1">
            <w:r w:rsidR="000B1396" w:rsidRPr="008C721D">
              <w:rPr>
                <w:rStyle w:val="Hipervnculo"/>
                <w:b/>
                <w:bCs/>
                <w:noProof/>
                <w:lang w:val="es-UY"/>
              </w:rPr>
              <w:t xml:space="preserve">Art. 9. </w:t>
            </w:r>
            <w:r w:rsidR="000B1396" w:rsidRPr="008C721D">
              <w:rPr>
                <w:rStyle w:val="Hipervnculo"/>
                <w:b/>
                <w:bCs/>
                <w:noProof/>
                <w:spacing w:val="-3"/>
                <w:lang w:val="es-ES_tradnl"/>
              </w:rPr>
              <w:t>OFERTAS: PRESENTACIÓN DE OFERTAS. INFORMACIÓN CONFIDENCIAL Y DATOS PERSONALES</w:t>
            </w:r>
            <w:r w:rsidR="000B1396">
              <w:rPr>
                <w:noProof/>
                <w:webHidden/>
              </w:rPr>
              <w:tab/>
            </w:r>
            <w:r w:rsidR="000B1396">
              <w:rPr>
                <w:noProof/>
                <w:webHidden/>
              </w:rPr>
              <w:fldChar w:fldCharType="begin"/>
            </w:r>
            <w:r w:rsidR="000B1396">
              <w:rPr>
                <w:noProof/>
                <w:webHidden/>
              </w:rPr>
              <w:instrText xml:space="preserve"> PAGEREF _Toc99369823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4" w:history="1">
            <w:r w:rsidR="000B1396" w:rsidRPr="008C721D">
              <w:rPr>
                <w:rStyle w:val="Hipervnculo"/>
                <w:b/>
                <w:noProof/>
              </w:rPr>
              <w:t>Art. 10. FACTORES PARA EVALUAR LAS PROPUESTAS.</w:t>
            </w:r>
            <w:r w:rsidR="000B1396">
              <w:rPr>
                <w:noProof/>
                <w:webHidden/>
              </w:rPr>
              <w:tab/>
            </w:r>
            <w:r w:rsidR="000B1396">
              <w:rPr>
                <w:noProof/>
                <w:webHidden/>
              </w:rPr>
              <w:fldChar w:fldCharType="begin"/>
            </w:r>
            <w:r w:rsidR="000B1396">
              <w:rPr>
                <w:noProof/>
                <w:webHidden/>
              </w:rPr>
              <w:instrText xml:space="preserve"> PAGEREF _Toc99369824 \h </w:instrText>
            </w:r>
            <w:r w:rsidR="000B1396">
              <w:rPr>
                <w:noProof/>
                <w:webHidden/>
              </w:rPr>
            </w:r>
            <w:r w:rsidR="000B1396">
              <w:rPr>
                <w:noProof/>
                <w:webHidden/>
              </w:rPr>
              <w:fldChar w:fldCharType="separate"/>
            </w:r>
            <w:r w:rsidR="000B1396">
              <w:rPr>
                <w:noProof/>
                <w:webHidden/>
              </w:rPr>
              <w:t>8</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5" w:history="1">
            <w:r w:rsidR="000B1396" w:rsidRPr="008C721D">
              <w:rPr>
                <w:rStyle w:val="Hipervnculo"/>
                <w:b/>
                <w:noProof/>
              </w:rPr>
              <w:t>Art. 11. PROPUESTAS ALTERNATIVAS</w:t>
            </w:r>
            <w:r w:rsidR="000B1396">
              <w:rPr>
                <w:noProof/>
                <w:webHidden/>
              </w:rPr>
              <w:tab/>
            </w:r>
            <w:r w:rsidR="000B1396">
              <w:rPr>
                <w:noProof/>
                <w:webHidden/>
              </w:rPr>
              <w:fldChar w:fldCharType="begin"/>
            </w:r>
            <w:r w:rsidR="000B1396">
              <w:rPr>
                <w:noProof/>
                <w:webHidden/>
              </w:rPr>
              <w:instrText xml:space="preserve"> PAGEREF _Toc99369825 \h </w:instrText>
            </w:r>
            <w:r w:rsidR="000B1396">
              <w:rPr>
                <w:noProof/>
                <w:webHidden/>
              </w:rPr>
            </w:r>
            <w:r w:rsidR="000B1396">
              <w:rPr>
                <w:noProof/>
                <w:webHidden/>
              </w:rPr>
              <w:fldChar w:fldCharType="separate"/>
            </w:r>
            <w:r w:rsidR="000B1396">
              <w:rPr>
                <w:noProof/>
                <w:webHidden/>
              </w:rPr>
              <w:t>8</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6" w:history="1">
            <w:r w:rsidR="000B1396" w:rsidRPr="008C721D">
              <w:rPr>
                <w:rStyle w:val="Hipervnculo"/>
                <w:b/>
                <w:noProof/>
              </w:rPr>
              <w:t>Art. 12. MEJORA DE OFERTA Y NEGOCIACIONES.</w:t>
            </w:r>
            <w:r w:rsidR="000B1396">
              <w:rPr>
                <w:noProof/>
                <w:webHidden/>
              </w:rPr>
              <w:tab/>
            </w:r>
            <w:r w:rsidR="000B1396">
              <w:rPr>
                <w:noProof/>
                <w:webHidden/>
              </w:rPr>
              <w:fldChar w:fldCharType="begin"/>
            </w:r>
            <w:r w:rsidR="000B1396">
              <w:rPr>
                <w:noProof/>
                <w:webHidden/>
              </w:rPr>
              <w:instrText xml:space="preserve"> PAGEREF _Toc99369826 \h </w:instrText>
            </w:r>
            <w:r w:rsidR="000B1396">
              <w:rPr>
                <w:noProof/>
                <w:webHidden/>
              </w:rPr>
            </w:r>
            <w:r w:rsidR="000B1396">
              <w:rPr>
                <w:noProof/>
                <w:webHidden/>
              </w:rPr>
              <w:fldChar w:fldCharType="separate"/>
            </w:r>
            <w:r w:rsidR="000B1396">
              <w:rPr>
                <w:noProof/>
                <w:webHidden/>
              </w:rPr>
              <w:t>8</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7" w:history="1">
            <w:r w:rsidR="000B1396" w:rsidRPr="008C721D">
              <w:rPr>
                <w:rStyle w:val="Hipervnculo"/>
                <w:b/>
                <w:noProof/>
              </w:rPr>
              <w:t>Art. 13. ADJUDICACIÓN.</w:t>
            </w:r>
            <w:r w:rsidR="000B1396">
              <w:rPr>
                <w:noProof/>
                <w:webHidden/>
              </w:rPr>
              <w:tab/>
            </w:r>
            <w:r w:rsidR="000B1396">
              <w:rPr>
                <w:noProof/>
                <w:webHidden/>
              </w:rPr>
              <w:fldChar w:fldCharType="begin"/>
            </w:r>
            <w:r w:rsidR="000B1396">
              <w:rPr>
                <w:noProof/>
                <w:webHidden/>
              </w:rPr>
              <w:instrText xml:space="preserve"> PAGEREF _Toc99369827 \h </w:instrText>
            </w:r>
            <w:r w:rsidR="000B1396">
              <w:rPr>
                <w:noProof/>
                <w:webHidden/>
              </w:rPr>
            </w:r>
            <w:r w:rsidR="000B1396">
              <w:rPr>
                <w:noProof/>
                <w:webHidden/>
              </w:rPr>
              <w:fldChar w:fldCharType="separate"/>
            </w:r>
            <w:r w:rsidR="000B1396">
              <w:rPr>
                <w:noProof/>
                <w:webHidden/>
              </w:rPr>
              <w:t>9</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8" w:history="1">
            <w:r w:rsidR="000B1396" w:rsidRPr="008C721D">
              <w:rPr>
                <w:rStyle w:val="Hipervnculo"/>
                <w:b/>
                <w:noProof/>
              </w:rPr>
              <w:t>Art. 14. GARANTÍA DE FIEL CUMPLIMIENTO DE CONTRATO.</w:t>
            </w:r>
            <w:r w:rsidR="000B1396">
              <w:rPr>
                <w:noProof/>
                <w:webHidden/>
              </w:rPr>
              <w:tab/>
            </w:r>
            <w:r w:rsidR="000B1396">
              <w:rPr>
                <w:noProof/>
                <w:webHidden/>
              </w:rPr>
              <w:fldChar w:fldCharType="begin"/>
            </w:r>
            <w:r w:rsidR="000B1396">
              <w:rPr>
                <w:noProof/>
                <w:webHidden/>
              </w:rPr>
              <w:instrText xml:space="preserve"> PAGEREF _Toc99369828 \h </w:instrText>
            </w:r>
            <w:r w:rsidR="000B1396">
              <w:rPr>
                <w:noProof/>
                <w:webHidden/>
              </w:rPr>
            </w:r>
            <w:r w:rsidR="000B1396">
              <w:rPr>
                <w:noProof/>
                <w:webHidden/>
              </w:rPr>
              <w:fldChar w:fldCharType="separate"/>
            </w:r>
            <w:r w:rsidR="000B1396">
              <w:rPr>
                <w:noProof/>
                <w:webHidden/>
              </w:rPr>
              <w:t>10</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29" w:history="1">
            <w:r w:rsidR="000B1396" w:rsidRPr="008C721D">
              <w:rPr>
                <w:rStyle w:val="Hipervnculo"/>
                <w:b/>
                <w:noProof/>
              </w:rPr>
              <w:t>Art. 15. PLAZO DEL CONTRATO y RESCISIÓN.</w:t>
            </w:r>
            <w:r w:rsidR="000B1396">
              <w:rPr>
                <w:noProof/>
                <w:webHidden/>
              </w:rPr>
              <w:tab/>
            </w:r>
            <w:r w:rsidR="000B1396">
              <w:rPr>
                <w:noProof/>
                <w:webHidden/>
              </w:rPr>
              <w:fldChar w:fldCharType="begin"/>
            </w:r>
            <w:r w:rsidR="000B1396">
              <w:rPr>
                <w:noProof/>
                <w:webHidden/>
              </w:rPr>
              <w:instrText xml:space="preserve"> PAGEREF _Toc99369829 \h </w:instrText>
            </w:r>
            <w:r w:rsidR="000B1396">
              <w:rPr>
                <w:noProof/>
                <w:webHidden/>
              </w:rPr>
            </w:r>
            <w:r w:rsidR="000B1396">
              <w:rPr>
                <w:noProof/>
                <w:webHidden/>
              </w:rPr>
              <w:fldChar w:fldCharType="separate"/>
            </w:r>
            <w:r w:rsidR="000B1396">
              <w:rPr>
                <w:noProof/>
                <w:webHidden/>
              </w:rPr>
              <w:t>10</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30" w:history="1">
            <w:r w:rsidR="000B1396" w:rsidRPr="008C721D">
              <w:rPr>
                <w:rStyle w:val="Hipervnculo"/>
                <w:b/>
                <w:noProof/>
              </w:rPr>
              <w:t>Art. 16. FORMA DE PAGO.</w:t>
            </w:r>
            <w:r w:rsidR="000B1396">
              <w:rPr>
                <w:noProof/>
                <w:webHidden/>
              </w:rPr>
              <w:tab/>
            </w:r>
            <w:r w:rsidR="000B1396">
              <w:rPr>
                <w:noProof/>
                <w:webHidden/>
              </w:rPr>
              <w:fldChar w:fldCharType="begin"/>
            </w:r>
            <w:r w:rsidR="000B1396">
              <w:rPr>
                <w:noProof/>
                <w:webHidden/>
              </w:rPr>
              <w:instrText xml:space="preserve"> PAGEREF _Toc99369830 \h </w:instrText>
            </w:r>
            <w:r w:rsidR="000B1396">
              <w:rPr>
                <w:noProof/>
                <w:webHidden/>
              </w:rPr>
            </w:r>
            <w:r w:rsidR="000B1396">
              <w:rPr>
                <w:noProof/>
                <w:webHidden/>
              </w:rPr>
              <w:fldChar w:fldCharType="separate"/>
            </w:r>
            <w:r w:rsidR="000B1396">
              <w:rPr>
                <w:noProof/>
                <w:webHidden/>
              </w:rPr>
              <w:t>11</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31" w:history="1">
            <w:r w:rsidR="000B1396" w:rsidRPr="008C721D">
              <w:rPr>
                <w:rStyle w:val="Hipervnculo"/>
                <w:b/>
                <w:noProof/>
              </w:rPr>
              <w:t>Art. 17. MORA AUTOMÁTICA.</w:t>
            </w:r>
            <w:r w:rsidR="000B1396">
              <w:rPr>
                <w:noProof/>
                <w:webHidden/>
              </w:rPr>
              <w:tab/>
            </w:r>
            <w:r w:rsidR="000B1396">
              <w:rPr>
                <w:noProof/>
                <w:webHidden/>
              </w:rPr>
              <w:fldChar w:fldCharType="begin"/>
            </w:r>
            <w:r w:rsidR="000B1396">
              <w:rPr>
                <w:noProof/>
                <w:webHidden/>
              </w:rPr>
              <w:instrText xml:space="preserve"> PAGEREF _Toc99369831 \h </w:instrText>
            </w:r>
            <w:r w:rsidR="000B1396">
              <w:rPr>
                <w:noProof/>
                <w:webHidden/>
              </w:rPr>
            </w:r>
            <w:r w:rsidR="000B1396">
              <w:rPr>
                <w:noProof/>
                <w:webHidden/>
              </w:rPr>
              <w:fldChar w:fldCharType="separate"/>
            </w:r>
            <w:r w:rsidR="000B1396">
              <w:rPr>
                <w:noProof/>
                <w:webHidden/>
              </w:rPr>
              <w:t>11</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32" w:history="1">
            <w:r w:rsidR="000B1396" w:rsidRPr="008C721D">
              <w:rPr>
                <w:rStyle w:val="Hipervnculo"/>
                <w:b/>
                <w:noProof/>
              </w:rPr>
              <w:t>Art. 18. MULTAS.</w:t>
            </w:r>
            <w:r w:rsidR="000B1396">
              <w:rPr>
                <w:noProof/>
                <w:webHidden/>
              </w:rPr>
              <w:tab/>
            </w:r>
            <w:r w:rsidR="000B1396">
              <w:rPr>
                <w:noProof/>
                <w:webHidden/>
              </w:rPr>
              <w:fldChar w:fldCharType="begin"/>
            </w:r>
            <w:r w:rsidR="000B1396">
              <w:rPr>
                <w:noProof/>
                <w:webHidden/>
              </w:rPr>
              <w:instrText xml:space="preserve"> PAGEREF _Toc99369832 \h </w:instrText>
            </w:r>
            <w:r w:rsidR="000B1396">
              <w:rPr>
                <w:noProof/>
                <w:webHidden/>
              </w:rPr>
            </w:r>
            <w:r w:rsidR="000B1396">
              <w:rPr>
                <w:noProof/>
                <w:webHidden/>
              </w:rPr>
              <w:fldChar w:fldCharType="separate"/>
            </w:r>
            <w:r w:rsidR="000B1396">
              <w:rPr>
                <w:noProof/>
                <w:webHidden/>
              </w:rPr>
              <w:t>11</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33" w:history="1">
            <w:r w:rsidR="000B1396" w:rsidRPr="008C721D">
              <w:rPr>
                <w:rStyle w:val="Hipervnculo"/>
                <w:b/>
                <w:noProof/>
              </w:rPr>
              <w:t>Art. 19. SUBCONTRATACIÓN Y CESIÓN DEL CONTRATO.</w:t>
            </w:r>
            <w:r w:rsidR="000B1396">
              <w:rPr>
                <w:noProof/>
                <w:webHidden/>
              </w:rPr>
              <w:tab/>
            </w:r>
            <w:r w:rsidR="000B1396">
              <w:rPr>
                <w:noProof/>
                <w:webHidden/>
              </w:rPr>
              <w:fldChar w:fldCharType="begin"/>
            </w:r>
            <w:r w:rsidR="000B1396">
              <w:rPr>
                <w:noProof/>
                <w:webHidden/>
              </w:rPr>
              <w:instrText xml:space="preserve"> PAGEREF _Toc99369833 \h </w:instrText>
            </w:r>
            <w:r w:rsidR="000B1396">
              <w:rPr>
                <w:noProof/>
                <w:webHidden/>
              </w:rPr>
            </w:r>
            <w:r w:rsidR="000B1396">
              <w:rPr>
                <w:noProof/>
                <w:webHidden/>
              </w:rPr>
              <w:fldChar w:fldCharType="separate"/>
            </w:r>
            <w:r w:rsidR="000B1396">
              <w:rPr>
                <w:noProof/>
                <w:webHidden/>
              </w:rPr>
              <w:t>12</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34" w:history="1">
            <w:r w:rsidR="000B1396" w:rsidRPr="008C721D">
              <w:rPr>
                <w:rStyle w:val="Hipervnculo"/>
                <w:b/>
                <w:noProof/>
              </w:rPr>
              <w:t>Art. 20. CONFIDENCIALIDAD.</w:t>
            </w:r>
            <w:r w:rsidR="000B1396">
              <w:rPr>
                <w:noProof/>
                <w:webHidden/>
              </w:rPr>
              <w:tab/>
            </w:r>
            <w:r w:rsidR="000B1396">
              <w:rPr>
                <w:noProof/>
                <w:webHidden/>
              </w:rPr>
              <w:fldChar w:fldCharType="begin"/>
            </w:r>
            <w:r w:rsidR="000B1396">
              <w:rPr>
                <w:noProof/>
                <w:webHidden/>
              </w:rPr>
              <w:instrText xml:space="preserve"> PAGEREF _Toc99369834 \h </w:instrText>
            </w:r>
            <w:r w:rsidR="000B1396">
              <w:rPr>
                <w:noProof/>
                <w:webHidden/>
              </w:rPr>
            </w:r>
            <w:r w:rsidR="000B1396">
              <w:rPr>
                <w:noProof/>
                <w:webHidden/>
              </w:rPr>
              <w:fldChar w:fldCharType="separate"/>
            </w:r>
            <w:r w:rsidR="000B1396">
              <w:rPr>
                <w:noProof/>
                <w:webHidden/>
              </w:rPr>
              <w:t>12</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35" w:history="1">
            <w:r w:rsidR="000B1396" w:rsidRPr="008C721D">
              <w:rPr>
                <w:rStyle w:val="Hipervnculo"/>
                <w:b/>
                <w:noProof/>
              </w:rPr>
              <w:t>Art. 21. COSTO DE LOS PLIEGOS.</w:t>
            </w:r>
            <w:r w:rsidR="000B1396">
              <w:rPr>
                <w:noProof/>
                <w:webHidden/>
              </w:rPr>
              <w:tab/>
            </w:r>
            <w:r w:rsidR="000B1396">
              <w:rPr>
                <w:noProof/>
                <w:webHidden/>
              </w:rPr>
              <w:fldChar w:fldCharType="begin"/>
            </w:r>
            <w:r w:rsidR="000B1396">
              <w:rPr>
                <w:noProof/>
                <w:webHidden/>
              </w:rPr>
              <w:instrText xml:space="preserve"> PAGEREF _Toc99369835 \h </w:instrText>
            </w:r>
            <w:r w:rsidR="000B1396">
              <w:rPr>
                <w:noProof/>
                <w:webHidden/>
              </w:rPr>
            </w:r>
            <w:r w:rsidR="000B1396">
              <w:rPr>
                <w:noProof/>
                <w:webHidden/>
              </w:rPr>
              <w:fldChar w:fldCharType="separate"/>
            </w:r>
            <w:r w:rsidR="000B1396">
              <w:rPr>
                <w:noProof/>
                <w:webHidden/>
              </w:rPr>
              <w:t>12</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36" w:history="1">
            <w:r w:rsidR="000B1396" w:rsidRPr="008C721D">
              <w:rPr>
                <w:rStyle w:val="Hipervnculo"/>
                <w:b/>
                <w:noProof/>
              </w:rPr>
              <w:t>MEMORIA DESCRIPTIVA</w:t>
            </w:r>
            <w:r w:rsidR="000B1396">
              <w:rPr>
                <w:noProof/>
                <w:webHidden/>
              </w:rPr>
              <w:tab/>
            </w:r>
            <w:r w:rsidR="000B1396">
              <w:rPr>
                <w:noProof/>
                <w:webHidden/>
              </w:rPr>
              <w:fldChar w:fldCharType="begin"/>
            </w:r>
            <w:r w:rsidR="000B1396">
              <w:rPr>
                <w:noProof/>
                <w:webHidden/>
              </w:rPr>
              <w:instrText xml:space="preserve"> PAGEREF _Toc99369836 \h </w:instrText>
            </w:r>
            <w:r w:rsidR="000B1396">
              <w:rPr>
                <w:noProof/>
                <w:webHidden/>
              </w:rPr>
            </w:r>
            <w:r w:rsidR="000B1396">
              <w:rPr>
                <w:noProof/>
                <w:webHidden/>
              </w:rPr>
              <w:fldChar w:fldCharType="separate"/>
            </w:r>
            <w:r w:rsidR="000B1396">
              <w:rPr>
                <w:noProof/>
                <w:webHidden/>
              </w:rPr>
              <w:t>14</w:t>
            </w:r>
            <w:r w:rsidR="000B1396">
              <w:rPr>
                <w:noProof/>
                <w:webHidden/>
              </w:rPr>
              <w:fldChar w:fldCharType="end"/>
            </w:r>
          </w:hyperlink>
        </w:p>
        <w:p w:rsidR="000B1396" w:rsidRDefault="00A160FB">
          <w:pPr>
            <w:pStyle w:val="TDC1"/>
            <w:tabs>
              <w:tab w:val="right" w:leader="dot" w:pos="8494"/>
            </w:tabs>
            <w:rPr>
              <w:rFonts w:asciiTheme="minorHAnsi" w:eastAsiaTheme="minorEastAsia" w:hAnsiTheme="minorHAnsi" w:cstheme="minorBidi"/>
              <w:noProof/>
              <w:sz w:val="22"/>
              <w:szCs w:val="22"/>
              <w:lang w:val="es-UY" w:eastAsia="es-UY"/>
            </w:rPr>
          </w:pPr>
          <w:hyperlink w:anchor="_Toc99369837" w:history="1">
            <w:r w:rsidR="000B1396" w:rsidRPr="008C721D">
              <w:rPr>
                <w:rStyle w:val="Hipervnculo"/>
                <w:b/>
                <w:noProof/>
              </w:rPr>
              <w:t>Anexo Nº I - Formulario de Identificación del Oferente</w:t>
            </w:r>
            <w:r w:rsidR="000B1396">
              <w:rPr>
                <w:noProof/>
                <w:webHidden/>
              </w:rPr>
              <w:tab/>
            </w:r>
            <w:r w:rsidR="000B1396">
              <w:rPr>
                <w:noProof/>
                <w:webHidden/>
              </w:rPr>
              <w:fldChar w:fldCharType="begin"/>
            </w:r>
            <w:r w:rsidR="000B1396">
              <w:rPr>
                <w:noProof/>
                <w:webHidden/>
              </w:rPr>
              <w:instrText xml:space="preserve"> PAGEREF _Toc99369837 \h </w:instrText>
            </w:r>
            <w:r w:rsidR="000B1396">
              <w:rPr>
                <w:noProof/>
                <w:webHidden/>
              </w:rPr>
            </w:r>
            <w:r w:rsidR="000B1396">
              <w:rPr>
                <w:noProof/>
                <w:webHidden/>
              </w:rPr>
              <w:fldChar w:fldCharType="separate"/>
            </w:r>
            <w:r w:rsidR="000B1396">
              <w:rPr>
                <w:noProof/>
                <w:webHidden/>
              </w:rPr>
              <w:t>16</w:t>
            </w:r>
            <w:r w:rsidR="000B1396">
              <w:rPr>
                <w:noProof/>
                <w:webHidden/>
              </w:rPr>
              <w:fldChar w:fldCharType="end"/>
            </w:r>
          </w:hyperlink>
        </w:p>
        <w:p w:rsidR="00E12FDE" w:rsidRDefault="00E12FDE">
          <w:r>
            <w:rPr>
              <w:b/>
              <w:bCs/>
            </w:rPr>
            <w:fldChar w:fldCharType="end"/>
          </w:r>
        </w:p>
      </w:sdtContent>
    </w:sdt>
    <w:p w:rsidR="00E12FDE" w:rsidRPr="00ED4186" w:rsidRDefault="00E12FDE" w:rsidP="0053445C">
      <w:pPr>
        <w:jc w:val="both"/>
        <w:rPr>
          <w:rFonts w:ascii="Arial" w:hAnsi="Arial" w:cs="Arial"/>
          <w:b/>
          <w:bCs/>
        </w:rPr>
      </w:pPr>
    </w:p>
    <w:p w:rsidR="0053445C" w:rsidRPr="00671001" w:rsidRDefault="0053445C" w:rsidP="00671001">
      <w:pPr>
        <w:pStyle w:val="Ttulo1"/>
        <w:rPr>
          <w:b/>
        </w:rPr>
      </w:pPr>
      <w:bookmarkStart w:id="1" w:name="_Toc99369815"/>
      <w:r w:rsidRPr="00671001">
        <w:rPr>
          <w:b/>
        </w:rPr>
        <w:lastRenderedPageBreak/>
        <w:t>Art. 1.   OBJETO.</w:t>
      </w:r>
      <w:bookmarkEnd w:id="1"/>
      <w:r w:rsidR="00133E10" w:rsidRPr="00671001">
        <w:rPr>
          <w:b/>
        </w:rPr>
        <w:t xml:space="preserve"> </w:t>
      </w:r>
    </w:p>
    <w:p w:rsidR="006115F7" w:rsidRDefault="006115F7" w:rsidP="0053445C">
      <w:pPr>
        <w:jc w:val="both"/>
        <w:rPr>
          <w:rFonts w:ascii="Arial" w:hAnsi="Arial" w:cs="Arial"/>
          <w:b/>
          <w:bCs/>
        </w:rPr>
      </w:pPr>
    </w:p>
    <w:p w:rsidR="006115F7" w:rsidRDefault="006115F7" w:rsidP="006115F7">
      <w:pPr>
        <w:rPr>
          <w:rFonts w:ascii="Arial" w:hAnsi="Arial" w:cs="Arial"/>
          <w:sz w:val="22"/>
          <w:szCs w:val="22"/>
          <w:lang w:val="es-UY" w:eastAsia="es-UY"/>
        </w:rPr>
      </w:pPr>
      <w:r>
        <w:rPr>
          <w:rFonts w:ascii="Arial" w:hAnsi="Arial" w:cs="Arial"/>
        </w:rPr>
        <w:t>Renovación de c</w:t>
      </w:r>
      <w:r w:rsidR="00C17316">
        <w:rPr>
          <w:rFonts w:ascii="Arial" w:hAnsi="Arial" w:cs="Arial"/>
        </w:rPr>
        <w:t>obertura de software assurance y</w:t>
      </w:r>
      <w:r>
        <w:rPr>
          <w:rFonts w:ascii="Arial" w:hAnsi="Arial" w:cs="Arial"/>
        </w:rPr>
        <w:t xml:space="preserve"> renovación de suscri</w:t>
      </w:r>
      <w:r w:rsidR="00A93E2A">
        <w:rPr>
          <w:rFonts w:ascii="Arial" w:hAnsi="Arial" w:cs="Arial"/>
        </w:rPr>
        <w:t>pciones para software Microsoft de acuerdo al siguiente detalle:</w:t>
      </w:r>
    </w:p>
    <w:p w:rsidR="006115F7" w:rsidRPr="00133E10" w:rsidRDefault="006115F7" w:rsidP="0053445C">
      <w:pPr>
        <w:jc w:val="both"/>
        <w:rPr>
          <w:rFonts w:ascii="Arial" w:hAnsi="Arial" w:cs="Arial"/>
          <w:b/>
          <w:bCs/>
          <w:color w:val="FF0000"/>
        </w:rPr>
      </w:pPr>
    </w:p>
    <w:p w:rsidR="00B16CCD" w:rsidRDefault="00A93E2A" w:rsidP="00B16CCD">
      <w:pPr>
        <w:jc w:val="both"/>
        <w:rPr>
          <w:rFonts w:ascii="Arial" w:hAnsi="Arial" w:cs="Arial"/>
          <w:bCs/>
        </w:rPr>
      </w:pPr>
      <w:r>
        <w:rPr>
          <w:noProof/>
          <w:lang w:val="es-UY" w:eastAsia="es-UY"/>
        </w:rPr>
        <w:drawing>
          <wp:inline distT="0" distB="0" distL="0" distR="0" wp14:anchorId="3A6743B5" wp14:editId="7DD035E0">
            <wp:extent cx="3638550" cy="4857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550" cy="4857750"/>
                    </a:xfrm>
                    <a:prstGeom prst="rect">
                      <a:avLst/>
                    </a:prstGeom>
                  </pic:spPr>
                </pic:pic>
              </a:graphicData>
            </a:graphic>
          </wp:inline>
        </w:drawing>
      </w:r>
    </w:p>
    <w:p w:rsidR="00A93E2A" w:rsidRDefault="00A93E2A" w:rsidP="00B16CCD">
      <w:pPr>
        <w:jc w:val="both"/>
        <w:rPr>
          <w:rFonts w:ascii="Arial" w:hAnsi="Arial" w:cs="Arial"/>
          <w:bCs/>
        </w:rPr>
      </w:pPr>
    </w:p>
    <w:p w:rsidR="00314D58" w:rsidRPr="00314D58" w:rsidRDefault="00314D58" w:rsidP="00314D58">
      <w:pPr>
        <w:jc w:val="both"/>
        <w:rPr>
          <w:rFonts w:ascii="Arial" w:hAnsi="Arial" w:cs="Arial"/>
        </w:rPr>
      </w:pPr>
      <w:r w:rsidRPr="00314D58">
        <w:rPr>
          <w:rFonts w:ascii="Arial" w:hAnsi="Arial" w:cs="Arial"/>
        </w:rPr>
        <w:t>A efectos de la conformidad de la compra</w:t>
      </w:r>
      <w:r w:rsidR="00882F2E">
        <w:rPr>
          <w:rFonts w:ascii="Arial" w:hAnsi="Arial" w:cs="Arial"/>
        </w:rPr>
        <w:t>,</w:t>
      </w:r>
      <w:r w:rsidRPr="00314D58">
        <w:rPr>
          <w:rFonts w:ascii="Arial" w:hAnsi="Arial" w:cs="Arial"/>
        </w:rPr>
        <w:t xml:space="preserve"> las renovaciones deben quedar asociadas y ser visibles (ítem, cantidad, período de vigencia) a través de alguna de las cuentas corporativas del BSE para licenciamiento Microsoft</w:t>
      </w:r>
      <w:r w:rsidR="00903F8C">
        <w:rPr>
          <w:rFonts w:ascii="Arial" w:hAnsi="Arial" w:cs="Arial"/>
        </w:rPr>
        <w:t xml:space="preserve"> que se detallan a continuación</w:t>
      </w:r>
      <w:r w:rsidRPr="00314D58">
        <w:rPr>
          <w:rFonts w:ascii="Arial" w:hAnsi="Arial" w:cs="Arial"/>
        </w:rPr>
        <w:t>:</w:t>
      </w:r>
    </w:p>
    <w:p w:rsidR="00314D58" w:rsidRDefault="00314D58" w:rsidP="00314D58">
      <w:pPr>
        <w:rPr>
          <w:color w:val="1F497D"/>
        </w:rPr>
      </w:pPr>
    </w:p>
    <w:tbl>
      <w:tblPr>
        <w:tblW w:w="7238" w:type="dxa"/>
        <w:tblInd w:w="55" w:type="dxa"/>
        <w:tblCellMar>
          <w:left w:w="70" w:type="dxa"/>
          <w:right w:w="70" w:type="dxa"/>
        </w:tblCellMar>
        <w:tblLook w:val="04A0" w:firstRow="1" w:lastRow="0" w:firstColumn="1" w:lastColumn="0" w:noHBand="0" w:noVBand="1"/>
      </w:tblPr>
      <w:tblGrid>
        <w:gridCol w:w="3101"/>
        <w:gridCol w:w="4312"/>
      </w:tblGrid>
      <w:tr w:rsidR="00A93E2A" w:rsidRPr="00B438F5" w:rsidTr="000B1396">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3E2A" w:rsidRPr="00B438F5" w:rsidRDefault="00A93E2A" w:rsidP="000B1396">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A93E2A" w:rsidRPr="00B438F5" w:rsidRDefault="00A93E2A" w:rsidP="000B1396">
            <w:pPr>
              <w:rPr>
                <w:b/>
                <w:bCs/>
                <w:color w:val="000000"/>
                <w:lang w:eastAsia="es-UY"/>
              </w:rPr>
            </w:pPr>
            <w:r w:rsidRPr="00B438F5">
              <w:rPr>
                <w:b/>
                <w:bCs/>
                <w:color w:val="000000"/>
                <w:lang w:eastAsia="es-UY"/>
              </w:rPr>
              <w:t>Usuario corporativo</w:t>
            </w:r>
          </w:p>
        </w:tc>
      </w:tr>
      <w:tr w:rsidR="00A93E2A"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A93E2A" w:rsidRPr="00B438F5" w:rsidRDefault="00A93E2A" w:rsidP="000B1396">
            <w:pPr>
              <w:rPr>
                <w:color w:val="000000"/>
                <w:lang w:eastAsia="es-UY"/>
              </w:rPr>
            </w:pPr>
            <w:r w:rsidRPr="00B438F5">
              <w:rPr>
                <w:color w:val="000000"/>
                <w:lang w:eastAsia="es-UY"/>
              </w:rPr>
              <w:t>Microsoft Business Center</w:t>
            </w:r>
          </w:p>
        </w:tc>
        <w:tc>
          <w:tcPr>
            <w:tcW w:w="4137" w:type="dxa"/>
            <w:tcBorders>
              <w:top w:val="nil"/>
              <w:left w:val="nil"/>
              <w:bottom w:val="single" w:sz="8" w:space="0" w:color="auto"/>
              <w:right w:val="single" w:sz="8" w:space="0" w:color="auto"/>
            </w:tcBorders>
            <w:shd w:val="clear" w:color="auto" w:fill="auto"/>
            <w:noWrap/>
            <w:vAlign w:val="bottom"/>
            <w:hideMark/>
          </w:tcPr>
          <w:p w:rsidR="00A93E2A" w:rsidRPr="00B438F5" w:rsidRDefault="00A160FB" w:rsidP="000B1396">
            <w:pPr>
              <w:rPr>
                <w:rFonts w:ascii="Calibri" w:hAnsi="Calibri" w:cs="Calibri"/>
                <w:color w:val="0000FF"/>
                <w:u w:val="single"/>
                <w:lang w:eastAsia="es-UY"/>
              </w:rPr>
            </w:pPr>
            <w:hyperlink r:id="rId9" w:history="1">
              <w:r w:rsidR="00A93E2A" w:rsidRPr="00B438F5">
                <w:rPr>
                  <w:rFonts w:ascii="Calibri" w:hAnsi="Calibri" w:cs="Calibri"/>
                  <w:color w:val="0000FF"/>
                  <w:u w:val="single"/>
                  <w:lang w:eastAsia="es-UY"/>
                </w:rPr>
                <w:t>salaluf@bancodeseguros.onmicrosoft.com</w:t>
              </w:r>
            </w:hyperlink>
          </w:p>
        </w:tc>
      </w:tr>
      <w:tr w:rsidR="00A93E2A"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tcPr>
          <w:p w:rsidR="00A93E2A" w:rsidRPr="00B438F5" w:rsidRDefault="00A93E2A" w:rsidP="000B1396">
            <w:pPr>
              <w:rPr>
                <w:color w:val="000000"/>
                <w:lang w:eastAsia="es-UY"/>
              </w:rPr>
            </w:pPr>
            <w:r w:rsidRPr="00B438F5">
              <w:rPr>
                <w:color w:val="000000"/>
                <w:lang w:eastAsia="es-UY"/>
              </w:rPr>
              <w:t>Volume License Service Center</w:t>
            </w:r>
          </w:p>
        </w:tc>
        <w:tc>
          <w:tcPr>
            <w:tcW w:w="4137" w:type="dxa"/>
            <w:tcBorders>
              <w:top w:val="nil"/>
              <w:left w:val="nil"/>
              <w:bottom w:val="single" w:sz="8" w:space="0" w:color="auto"/>
              <w:right w:val="single" w:sz="8" w:space="0" w:color="auto"/>
            </w:tcBorders>
            <w:shd w:val="clear" w:color="auto" w:fill="auto"/>
            <w:noWrap/>
            <w:vAlign w:val="bottom"/>
          </w:tcPr>
          <w:p w:rsidR="00A93E2A" w:rsidRDefault="00A160FB" w:rsidP="000B1396">
            <w:hyperlink r:id="rId10" w:history="1">
              <w:r w:rsidR="00A93E2A" w:rsidRPr="00B438F5">
                <w:rPr>
                  <w:rFonts w:ascii="Calibri" w:hAnsi="Calibri" w:cs="Calibri"/>
                  <w:color w:val="0000FF"/>
                  <w:u w:val="single"/>
                  <w:lang w:eastAsia="es-UY"/>
                </w:rPr>
                <w:t>salaluf@bancodeseguros.onmicrosoft.com</w:t>
              </w:r>
            </w:hyperlink>
          </w:p>
        </w:tc>
      </w:tr>
      <w:tr w:rsidR="00A93E2A"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A93E2A" w:rsidRPr="00B438F5" w:rsidRDefault="00A93E2A" w:rsidP="000B1396">
            <w:pPr>
              <w:rPr>
                <w:color w:val="000000"/>
                <w:lang w:eastAsia="es-UY"/>
              </w:rPr>
            </w:pPr>
            <w:r w:rsidRPr="00423E6C">
              <w:t>Centro de administración de Microsoft 365</w:t>
            </w:r>
          </w:p>
        </w:tc>
        <w:tc>
          <w:tcPr>
            <w:tcW w:w="4137" w:type="dxa"/>
            <w:tcBorders>
              <w:top w:val="nil"/>
              <w:left w:val="nil"/>
              <w:bottom w:val="single" w:sz="8" w:space="0" w:color="auto"/>
              <w:right w:val="single" w:sz="8" w:space="0" w:color="auto"/>
            </w:tcBorders>
            <w:shd w:val="clear" w:color="auto" w:fill="auto"/>
            <w:noWrap/>
            <w:vAlign w:val="bottom"/>
            <w:hideMark/>
          </w:tcPr>
          <w:p w:rsidR="00A93E2A" w:rsidRPr="00B438F5" w:rsidRDefault="00A160FB" w:rsidP="000B1396">
            <w:pPr>
              <w:rPr>
                <w:rFonts w:ascii="Calibri" w:hAnsi="Calibri" w:cs="Calibri"/>
                <w:color w:val="0000FF"/>
                <w:u w:val="single"/>
                <w:lang w:eastAsia="es-UY"/>
              </w:rPr>
            </w:pPr>
            <w:hyperlink r:id="rId11" w:history="1">
              <w:r w:rsidR="00A93E2A" w:rsidRPr="00B438F5">
                <w:rPr>
                  <w:rFonts w:ascii="Calibri" w:hAnsi="Calibri" w:cs="Calibri"/>
                  <w:color w:val="0000FF"/>
                  <w:u w:val="single"/>
                  <w:lang w:eastAsia="es-UY"/>
                </w:rPr>
                <w:t>salaluf@bancodeseguros.onmicrosoft.com</w:t>
              </w:r>
            </w:hyperlink>
          </w:p>
        </w:tc>
      </w:tr>
    </w:tbl>
    <w:p w:rsidR="00314D58" w:rsidRDefault="00314D58" w:rsidP="00314D58">
      <w:pPr>
        <w:rPr>
          <w:rFonts w:ascii="Calibri" w:eastAsiaTheme="minorHAnsi" w:hAnsi="Calibri" w:cs="Calibri"/>
          <w:color w:val="1F497D"/>
          <w:sz w:val="22"/>
          <w:szCs w:val="22"/>
        </w:rPr>
      </w:pPr>
    </w:p>
    <w:p w:rsidR="002868EA" w:rsidRDefault="002868EA" w:rsidP="00B16CCD">
      <w:pPr>
        <w:jc w:val="both"/>
        <w:rPr>
          <w:rFonts w:ascii="Arial" w:hAnsi="Arial" w:cs="Arial"/>
          <w:b/>
          <w:bCs/>
        </w:rPr>
      </w:pPr>
    </w:p>
    <w:p w:rsidR="0053445C" w:rsidRPr="00ED4186" w:rsidRDefault="0053445C" w:rsidP="0053445C">
      <w:pPr>
        <w:jc w:val="both"/>
        <w:rPr>
          <w:rFonts w:ascii="Arial" w:hAnsi="Arial" w:cs="Arial"/>
          <w:lang w:val="es-ES_tradnl"/>
        </w:rPr>
      </w:pPr>
      <w:r w:rsidRPr="00ED4186">
        <w:rPr>
          <w:rFonts w:ascii="Arial" w:hAnsi="Arial" w:cs="Arial"/>
          <w:lang w:val="es-ES_tradnl"/>
        </w:rPr>
        <w:t xml:space="preserve">  </w:t>
      </w:r>
    </w:p>
    <w:p w:rsidR="0053445C" w:rsidRPr="00671001" w:rsidRDefault="0053445C" w:rsidP="00671001">
      <w:pPr>
        <w:pStyle w:val="Ttulo1"/>
        <w:rPr>
          <w:b/>
        </w:rPr>
      </w:pPr>
      <w:bookmarkStart w:id="2" w:name="_Toc99369816"/>
      <w:r w:rsidRPr="00671001">
        <w:rPr>
          <w:b/>
        </w:rPr>
        <w:lastRenderedPageBreak/>
        <w:t xml:space="preserve">Art. 2.  REQUISITOS </w:t>
      </w:r>
      <w:r w:rsidR="0079641A" w:rsidRPr="00671001">
        <w:rPr>
          <w:b/>
        </w:rPr>
        <w:t>EXCLUYENTE</w:t>
      </w:r>
      <w:r w:rsidR="001420D6" w:rsidRPr="00671001">
        <w:rPr>
          <w:b/>
        </w:rPr>
        <w:t>S</w:t>
      </w:r>
      <w:r w:rsidRPr="00671001">
        <w:rPr>
          <w:b/>
        </w:rPr>
        <w:t>.</w:t>
      </w:r>
      <w:bookmarkEnd w:id="2"/>
      <w:r w:rsidRPr="00671001">
        <w:rPr>
          <w:b/>
        </w:rPr>
        <w:t xml:space="preserve"> </w:t>
      </w:r>
    </w:p>
    <w:p w:rsidR="0053445C" w:rsidRPr="00ED4186" w:rsidRDefault="0053445C" w:rsidP="0053445C">
      <w:pPr>
        <w:jc w:val="both"/>
        <w:rPr>
          <w:rFonts w:ascii="Arial" w:hAnsi="Arial" w:cs="Arial"/>
          <w:b/>
          <w:bCs/>
        </w:rPr>
      </w:pPr>
    </w:p>
    <w:p w:rsidR="0053445C" w:rsidRPr="00ED4186" w:rsidRDefault="001420D6" w:rsidP="0053445C">
      <w:pPr>
        <w:jc w:val="both"/>
        <w:rPr>
          <w:rFonts w:ascii="Arial" w:hAnsi="Arial" w:cs="Arial"/>
          <w:bCs/>
        </w:rPr>
      </w:pPr>
      <w:r w:rsidRPr="00ED4186">
        <w:rPr>
          <w:rFonts w:ascii="Arial" w:hAnsi="Arial" w:cs="Arial"/>
          <w:bCs/>
        </w:rPr>
        <w:t xml:space="preserve">La empresa oferente deberá: </w:t>
      </w:r>
    </w:p>
    <w:p w:rsidR="001420D6" w:rsidRPr="00ED4186" w:rsidRDefault="001420D6" w:rsidP="0053445C">
      <w:pPr>
        <w:jc w:val="both"/>
        <w:rPr>
          <w:rFonts w:ascii="Arial" w:hAnsi="Arial" w:cs="Arial"/>
          <w:b/>
          <w:bCs/>
        </w:rPr>
      </w:pPr>
    </w:p>
    <w:p w:rsidR="0053445C" w:rsidRPr="00ED4186" w:rsidRDefault="0053445C" w:rsidP="0053445C">
      <w:pPr>
        <w:suppressAutoHyphens/>
        <w:ind w:firstLine="851"/>
        <w:jc w:val="both"/>
        <w:rPr>
          <w:rFonts w:ascii="Arial" w:hAnsi="Arial" w:cs="Arial"/>
        </w:rPr>
      </w:pPr>
      <w:r w:rsidRPr="00ED4186">
        <w:rPr>
          <w:rFonts w:ascii="Arial" w:hAnsi="Arial" w:cs="Arial"/>
          <w:b/>
        </w:rPr>
        <w:t>2.1.</w:t>
      </w:r>
      <w:r w:rsidRPr="00ED4186">
        <w:rPr>
          <w:rFonts w:ascii="Arial" w:hAnsi="Arial" w:cs="Arial"/>
        </w:rPr>
        <w:t xml:space="preserve"> </w:t>
      </w:r>
      <w:r w:rsidR="001420D6" w:rsidRPr="00ED4186">
        <w:rPr>
          <w:rFonts w:ascii="Arial" w:hAnsi="Arial" w:cs="Arial"/>
        </w:rPr>
        <w:t>C</w:t>
      </w:r>
      <w:r w:rsidRPr="00ED4186">
        <w:rPr>
          <w:rFonts w:ascii="Arial" w:hAnsi="Arial" w:cs="Arial"/>
        </w:rPr>
        <w:t>umplir con los requisitos formales de la oferta: redacción, domicilio e identificación, previstos en el numeral 8 del Pliego Único de Bases y Condiciones Generales.</w:t>
      </w:r>
    </w:p>
    <w:p w:rsidR="009225F8" w:rsidRPr="00ED4186" w:rsidRDefault="009225F8" w:rsidP="0053445C">
      <w:pPr>
        <w:suppressAutoHyphens/>
        <w:ind w:firstLine="851"/>
        <w:jc w:val="both"/>
        <w:rPr>
          <w:rFonts w:ascii="Arial" w:hAnsi="Arial" w:cs="Arial"/>
        </w:rPr>
      </w:pPr>
    </w:p>
    <w:p w:rsidR="009225F8" w:rsidRPr="00ED4186" w:rsidRDefault="009225F8" w:rsidP="0053445C">
      <w:pPr>
        <w:suppressAutoHyphens/>
        <w:ind w:firstLine="851"/>
        <w:jc w:val="both"/>
        <w:rPr>
          <w:rFonts w:ascii="Arial" w:hAnsi="Arial" w:cs="Arial"/>
        </w:rPr>
      </w:pPr>
      <w:r w:rsidRPr="00A93E2A">
        <w:rPr>
          <w:rFonts w:ascii="Arial" w:hAnsi="Arial" w:cs="Arial"/>
          <w:b/>
        </w:rPr>
        <w:t>2.2.</w:t>
      </w:r>
      <w:r w:rsidRPr="00ED4186">
        <w:rPr>
          <w:rFonts w:ascii="Arial" w:hAnsi="Arial" w:cs="Arial"/>
        </w:rPr>
        <w:t xml:space="preserve"> </w:t>
      </w:r>
      <w:r w:rsidR="001420D6" w:rsidRPr="00ED4186">
        <w:rPr>
          <w:rFonts w:ascii="Arial" w:hAnsi="Arial" w:cs="Arial"/>
        </w:rPr>
        <w:t xml:space="preserve">Estar </w:t>
      </w:r>
      <w:r w:rsidRPr="00ED4186">
        <w:rPr>
          <w:rFonts w:ascii="Arial" w:hAnsi="Arial" w:cs="Arial"/>
        </w:rPr>
        <w:t>inscript</w:t>
      </w:r>
      <w:r w:rsidR="001420D6" w:rsidRPr="00ED4186">
        <w:rPr>
          <w:rFonts w:ascii="Arial" w:hAnsi="Arial" w:cs="Arial"/>
        </w:rPr>
        <w:t>o</w:t>
      </w:r>
      <w:r w:rsidRPr="00ED4186">
        <w:rPr>
          <w:rFonts w:ascii="Arial" w:hAnsi="Arial" w:cs="Arial"/>
        </w:rPr>
        <w:t xml:space="preserve"> en</w:t>
      </w:r>
      <w:r w:rsidR="001420D6" w:rsidRPr="00ED4186">
        <w:rPr>
          <w:rFonts w:ascii="Arial" w:hAnsi="Arial" w:cs="Arial"/>
        </w:rPr>
        <w:t xml:space="preserve"> el</w:t>
      </w:r>
      <w:r w:rsidRPr="00ED4186">
        <w:rPr>
          <w:rFonts w:ascii="Arial" w:hAnsi="Arial" w:cs="Arial"/>
        </w:rPr>
        <w:t xml:space="preserve"> R</w:t>
      </w:r>
      <w:r w:rsidR="004905A3" w:rsidRPr="00ED4186">
        <w:rPr>
          <w:rFonts w:ascii="Arial" w:hAnsi="Arial" w:cs="Arial"/>
        </w:rPr>
        <w:t xml:space="preserve">egistro Único de </w:t>
      </w:r>
      <w:r w:rsidRPr="00ED4186">
        <w:rPr>
          <w:rFonts w:ascii="Arial" w:hAnsi="Arial" w:cs="Arial"/>
        </w:rPr>
        <w:t>P</w:t>
      </w:r>
      <w:r w:rsidR="004905A3" w:rsidRPr="00ED4186">
        <w:rPr>
          <w:rFonts w:ascii="Arial" w:hAnsi="Arial" w:cs="Arial"/>
        </w:rPr>
        <w:t xml:space="preserve">roveedores del </w:t>
      </w:r>
      <w:r w:rsidRPr="00ED4186">
        <w:rPr>
          <w:rFonts w:ascii="Arial" w:hAnsi="Arial" w:cs="Arial"/>
        </w:rPr>
        <w:t>E</w:t>
      </w:r>
      <w:r w:rsidR="004905A3" w:rsidRPr="00ED4186">
        <w:rPr>
          <w:rFonts w:ascii="Arial" w:hAnsi="Arial" w:cs="Arial"/>
        </w:rPr>
        <w:t>stado (RUPE)</w:t>
      </w:r>
      <w:r w:rsidRPr="00ED4186">
        <w:rPr>
          <w:rFonts w:ascii="Arial" w:hAnsi="Arial" w:cs="Arial"/>
        </w:rPr>
        <w:t xml:space="preserve"> en alguno de</w:t>
      </w:r>
      <w:r w:rsidR="004905A3" w:rsidRPr="00ED4186">
        <w:rPr>
          <w:rFonts w:ascii="Arial" w:hAnsi="Arial" w:cs="Arial"/>
        </w:rPr>
        <w:t xml:space="preserve"> estos</w:t>
      </w:r>
      <w:r w:rsidRPr="00ED4186">
        <w:rPr>
          <w:rFonts w:ascii="Arial" w:hAnsi="Arial" w:cs="Arial"/>
        </w:rPr>
        <w:t xml:space="preserve"> tres estados</w:t>
      </w:r>
      <w:r w:rsidR="004905A3" w:rsidRPr="00ED4186">
        <w:rPr>
          <w:rFonts w:ascii="Arial" w:hAnsi="Arial" w:cs="Arial"/>
        </w:rPr>
        <w:t>: ACTIVO, EN INGRESO e INGRESO SIIF.</w:t>
      </w:r>
    </w:p>
    <w:p w:rsidR="009225F8" w:rsidRPr="00ED4186" w:rsidRDefault="009225F8" w:rsidP="0053445C">
      <w:pPr>
        <w:suppressAutoHyphens/>
        <w:ind w:firstLine="851"/>
        <w:jc w:val="both"/>
        <w:rPr>
          <w:rFonts w:ascii="Arial" w:hAnsi="Arial" w:cs="Arial"/>
        </w:rPr>
      </w:pPr>
    </w:p>
    <w:p w:rsidR="009225F8" w:rsidRPr="00ED4186" w:rsidRDefault="004905A3" w:rsidP="009225F8">
      <w:pPr>
        <w:ind w:firstLine="840"/>
        <w:jc w:val="both"/>
        <w:rPr>
          <w:rFonts w:ascii="Arial" w:hAnsi="Arial" w:cs="Arial"/>
        </w:rPr>
      </w:pPr>
      <w:r w:rsidRPr="00ED4186">
        <w:rPr>
          <w:rFonts w:ascii="Arial" w:hAnsi="Arial" w:cs="Arial"/>
          <w:b/>
        </w:rPr>
        <w:t>2.3.</w:t>
      </w:r>
      <w:r w:rsidR="001420D6" w:rsidRPr="00ED4186">
        <w:rPr>
          <w:rFonts w:ascii="Arial" w:hAnsi="Arial" w:cs="Arial"/>
          <w:b/>
        </w:rPr>
        <w:t xml:space="preserve"> </w:t>
      </w:r>
      <w:r w:rsidR="001420D6" w:rsidRPr="00ED4186">
        <w:rPr>
          <w:rFonts w:ascii="Arial" w:hAnsi="Arial" w:cs="Arial"/>
        </w:rPr>
        <w:t>Presentar</w:t>
      </w:r>
      <w:r w:rsidR="009225F8" w:rsidRPr="00ED4186">
        <w:rPr>
          <w:rFonts w:ascii="Arial" w:hAnsi="Arial" w:cs="Arial"/>
        </w:rPr>
        <w:t xml:space="preserve"> Formulario de </w:t>
      </w:r>
      <w:r w:rsidR="001420D6" w:rsidRPr="00ED4186">
        <w:rPr>
          <w:rFonts w:ascii="Arial" w:hAnsi="Arial" w:cs="Arial"/>
        </w:rPr>
        <w:t>I</w:t>
      </w:r>
      <w:r w:rsidR="009225F8" w:rsidRPr="00ED4186">
        <w:rPr>
          <w:rFonts w:ascii="Arial" w:hAnsi="Arial" w:cs="Arial"/>
        </w:rPr>
        <w:t xml:space="preserve">dentificación del </w:t>
      </w:r>
      <w:r w:rsidR="001420D6" w:rsidRPr="00ED4186">
        <w:rPr>
          <w:rFonts w:ascii="Arial" w:hAnsi="Arial" w:cs="Arial"/>
        </w:rPr>
        <w:t>O</w:t>
      </w:r>
      <w:r w:rsidR="009225F8" w:rsidRPr="00ED4186">
        <w:rPr>
          <w:rFonts w:ascii="Arial" w:hAnsi="Arial" w:cs="Arial"/>
        </w:rPr>
        <w:t>ferente</w:t>
      </w:r>
      <w:r w:rsidR="00B813AE" w:rsidRPr="00ED4186">
        <w:rPr>
          <w:rFonts w:ascii="Arial" w:hAnsi="Arial" w:cs="Arial"/>
        </w:rPr>
        <w:t xml:space="preserve"> </w:t>
      </w:r>
      <w:r w:rsidR="00B813AE" w:rsidRPr="00ED4186">
        <w:rPr>
          <w:rFonts w:ascii="Arial" w:hAnsi="Arial" w:cs="Arial"/>
          <w:u w:val="single"/>
        </w:rPr>
        <w:t>debidamente firmado por quien tenga poderes suficientes</w:t>
      </w:r>
      <w:r w:rsidR="00B813AE" w:rsidRPr="00ED4186">
        <w:rPr>
          <w:rFonts w:ascii="Arial" w:hAnsi="Arial" w:cs="Arial"/>
        </w:rPr>
        <w:t xml:space="preserve"> para representar a la empresa</w:t>
      </w:r>
      <w:r w:rsidR="009225F8" w:rsidRPr="00ED4186">
        <w:rPr>
          <w:rFonts w:ascii="Arial" w:hAnsi="Arial" w:cs="Arial"/>
        </w:rPr>
        <w:t>. (Anexo I)</w:t>
      </w:r>
    </w:p>
    <w:p w:rsidR="00772E60" w:rsidRPr="00ED4186" w:rsidRDefault="00772E60" w:rsidP="009225F8">
      <w:pPr>
        <w:ind w:firstLine="840"/>
        <w:jc w:val="both"/>
        <w:rPr>
          <w:rFonts w:ascii="Arial" w:hAnsi="Arial" w:cs="Arial"/>
        </w:rPr>
      </w:pPr>
    </w:p>
    <w:p w:rsidR="0079641A" w:rsidRPr="00ED4186" w:rsidRDefault="00772E60" w:rsidP="0079641A">
      <w:pPr>
        <w:ind w:firstLine="840"/>
        <w:jc w:val="both"/>
        <w:rPr>
          <w:rFonts w:ascii="Arial" w:hAnsi="Arial" w:cs="Arial"/>
        </w:rPr>
      </w:pPr>
      <w:r w:rsidRPr="00A93E2A">
        <w:rPr>
          <w:rFonts w:ascii="Arial" w:hAnsi="Arial" w:cs="Arial"/>
          <w:b/>
        </w:rPr>
        <w:t>2.4.</w:t>
      </w:r>
      <w:r w:rsidRPr="00ED4186">
        <w:rPr>
          <w:rFonts w:ascii="Arial" w:hAnsi="Arial" w:cs="Arial"/>
        </w:rPr>
        <w:t xml:space="preserve"> No estar comprendido en las causales que expresamente impiden contratar con el Estado, en consonancia con el Artículo 46 del TOCAF.</w:t>
      </w:r>
    </w:p>
    <w:p w:rsidR="0095606F" w:rsidRPr="00ED4186" w:rsidRDefault="0095606F" w:rsidP="009225F8">
      <w:pPr>
        <w:ind w:firstLine="840"/>
        <w:jc w:val="both"/>
        <w:rPr>
          <w:rFonts w:ascii="Arial" w:hAnsi="Arial" w:cs="Arial"/>
        </w:rPr>
      </w:pPr>
    </w:p>
    <w:p w:rsidR="0079641A" w:rsidRPr="00ED4186" w:rsidRDefault="0053445C" w:rsidP="0053445C">
      <w:pPr>
        <w:ind w:firstLine="840"/>
        <w:jc w:val="both"/>
        <w:rPr>
          <w:rFonts w:ascii="Arial" w:hAnsi="Arial" w:cs="Arial"/>
        </w:rPr>
      </w:pPr>
      <w:r w:rsidRPr="00ED4186">
        <w:rPr>
          <w:rFonts w:ascii="Arial" w:hAnsi="Arial" w:cs="Arial"/>
          <w:b/>
        </w:rPr>
        <w:t>2.</w:t>
      </w:r>
      <w:r w:rsidR="006C1E40" w:rsidRPr="00ED4186">
        <w:rPr>
          <w:rFonts w:ascii="Arial" w:hAnsi="Arial" w:cs="Arial"/>
          <w:b/>
        </w:rPr>
        <w:t>5</w:t>
      </w:r>
      <w:r w:rsidRPr="00ED4186">
        <w:rPr>
          <w:rFonts w:ascii="Arial" w:hAnsi="Arial" w:cs="Arial"/>
          <w:b/>
        </w:rPr>
        <w:t>.</w:t>
      </w:r>
      <w:r w:rsidRPr="00ED4186">
        <w:rPr>
          <w:rFonts w:ascii="Arial" w:hAnsi="Arial" w:cs="Arial"/>
        </w:rPr>
        <w:t xml:space="preserve"> </w:t>
      </w:r>
      <w:r w:rsidR="00BC6188" w:rsidRPr="00ED4186">
        <w:rPr>
          <w:rFonts w:ascii="Arial" w:hAnsi="Arial" w:cs="Arial"/>
        </w:rPr>
        <w:t>Los identificados como tales en la memoria descriptiva.</w:t>
      </w:r>
    </w:p>
    <w:p w:rsidR="00120615" w:rsidRPr="00ED4186" w:rsidRDefault="00120615" w:rsidP="0053445C">
      <w:pPr>
        <w:ind w:firstLine="840"/>
        <w:jc w:val="both"/>
        <w:rPr>
          <w:rFonts w:ascii="Arial" w:hAnsi="Arial" w:cs="Arial"/>
        </w:rPr>
      </w:pPr>
    </w:p>
    <w:p w:rsidR="0079641A" w:rsidRPr="00ED4186" w:rsidRDefault="001420D6" w:rsidP="0053445C">
      <w:pPr>
        <w:ind w:firstLine="840"/>
        <w:jc w:val="both"/>
        <w:rPr>
          <w:rFonts w:ascii="Arial" w:hAnsi="Arial" w:cs="Arial"/>
          <w:u w:val="single"/>
        </w:rPr>
      </w:pPr>
      <w:r w:rsidRPr="00ED4186">
        <w:rPr>
          <w:rFonts w:ascii="Arial" w:hAnsi="Arial" w:cs="Arial"/>
          <w:u w:val="single"/>
        </w:rPr>
        <w:t xml:space="preserve">El no cumplimiento </w:t>
      </w:r>
      <w:r w:rsidR="00967053" w:rsidRPr="00ED4186">
        <w:rPr>
          <w:rFonts w:ascii="Arial" w:hAnsi="Arial" w:cs="Arial"/>
          <w:u w:val="single"/>
        </w:rPr>
        <w:t xml:space="preserve">de </w:t>
      </w:r>
      <w:r w:rsidR="0079641A" w:rsidRPr="00ED4186">
        <w:rPr>
          <w:rFonts w:ascii="Arial" w:hAnsi="Arial" w:cs="Arial"/>
          <w:u w:val="single"/>
        </w:rPr>
        <w:t>cualquiera de estos requisitos implicará la desestimación de la oferta.</w:t>
      </w:r>
    </w:p>
    <w:p w:rsidR="008B7EA1" w:rsidRPr="00ED4186" w:rsidRDefault="008B7EA1" w:rsidP="0053445C">
      <w:pPr>
        <w:jc w:val="both"/>
        <w:rPr>
          <w:rFonts w:ascii="Arial" w:hAnsi="Arial" w:cs="Arial"/>
          <w:b/>
          <w:bCs/>
        </w:rPr>
      </w:pPr>
    </w:p>
    <w:p w:rsidR="008B7EA1" w:rsidRPr="00ED4186" w:rsidRDefault="008B7EA1" w:rsidP="0053445C">
      <w:pPr>
        <w:jc w:val="both"/>
        <w:rPr>
          <w:rFonts w:ascii="Arial" w:hAnsi="Arial" w:cs="Arial"/>
          <w:b/>
          <w:bCs/>
        </w:rPr>
      </w:pPr>
    </w:p>
    <w:p w:rsidR="0053445C" w:rsidRPr="00671001" w:rsidRDefault="00967053" w:rsidP="00671001">
      <w:pPr>
        <w:pStyle w:val="Ttulo1"/>
        <w:rPr>
          <w:b/>
        </w:rPr>
      </w:pPr>
      <w:bookmarkStart w:id="3" w:name="_Toc99369817"/>
      <w:r w:rsidRPr="00671001">
        <w:rPr>
          <w:b/>
        </w:rPr>
        <w:t>Art. 3.   COTIZACIÓ</w:t>
      </w:r>
      <w:r w:rsidR="0053445C" w:rsidRPr="00671001">
        <w:rPr>
          <w:b/>
        </w:rPr>
        <w:t>N.</w:t>
      </w:r>
      <w:bookmarkEnd w:id="3"/>
    </w:p>
    <w:p w:rsidR="00107997" w:rsidRPr="00ED4186" w:rsidRDefault="00107997" w:rsidP="007A639C">
      <w:pPr>
        <w:ind w:firstLine="840"/>
        <w:jc w:val="both"/>
        <w:rPr>
          <w:rFonts w:ascii="Arial" w:hAnsi="Arial" w:cs="Arial"/>
        </w:rPr>
      </w:pPr>
    </w:p>
    <w:p w:rsidR="00140140" w:rsidRDefault="00756EDB" w:rsidP="002463E6">
      <w:pPr>
        <w:pStyle w:val="Textoindependiente"/>
        <w:spacing w:line="276" w:lineRule="auto"/>
        <w:ind w:firstLine="851"/>
        <w:jc w:val="both"/>
        <w:rPr>
          <w:rFonts w:ascii="Arial" w:hAnsi="Arial" w:cs="Arial"/>
          <w:bCs/>
          <w:kern w:val="0"/>
          <w:lang w:val="es-ES" w:eastAsia="es-ES" w:bidi="ar-SA"/>
        </w:rPr>
      </w:pPr>
      <w:r w:rsidRPr="00A82AF8">
        <w:rPr>
          <w:rFonts w:ascii="Arial" w:hAnsi="Arial" w:cs="Arial"/>
          <w:bCs/>
          <w:kern w:val="0"/>
          <w:lang w:val="es-ES" w:eastAsia="es-ES" w:bidi="ar-SA"/>
        </w:rPr>
        <w:t xml:space="preserve">Se deberá proporcionar cotización en dólares americanos. </w:t>
      </w:r>
    </w:p>
    <w:p w:rsidR="00756EDB" w:rsidRDefault="00756EDB" w:rsidP="00167F10">
      <w:pPr>
        <w:ind w:firstLine="840"/>
        <w:jc w:val="both"/>
        <w:rPr>
          <w:rFonts w:ascii="Arial" w:hAnsi="Arial" w:cs="Arial"/>
          <w:bCs/>
        </w:rPr>
      </w:pPr>
      <w:r>
        <w:rPr>
          <w:rFonts w:ascii="Arial" w:hAnsi="Arial" w:cs="Arial"/>
          <w:bCs/>
        </w:rPr>
        <w:t xml:space="preserve">El precio será al firme y no se </w:t>
      </w:r>
      <w:r w:rsidR="00445E05">
        <w:rPr>
          <w:rFonts w:ascii="Arial" w:hAnsi="Arial" w:cs="Arial"/>
          <w:bCs/>
        </w:rPr>
        <w:t xml:space="preserve">aplicarán </w:t>
      </w:r>
      <w:r>
        <w:rPr>
          <w:rFonts w:ascii="Arial" w:hAnsi="Arial" w:cs="Arial"/>
          <w:bCs/>
        </w:rPr>
        <w:t>fórmulas paramétricas.</w:t>
      </w:r>
      <w:r w:rsidR="00167F10">
        <w:rPr>
          <w:rFonts w:ascii="Arial" w:hAnsi="Arial" w:cs="Arial"/>
          <w:bCs/>
        </w:rPr>
        <w:t xml:space="preserve"> En caso de presentar fórmulas paramétricas, las mismas no serán tenidas en cuenta.</w:t>
      </w:r>
      <w:r>
        <w:rPr>
          <w:rFonts w:ascii="Arial" w:hAnsi="Arial" w:cs="Arial"/>
          <w:bCs/>
        </w:rPr>
        <w:t xml:space="preserve"> </w:t>
      </w:r>
      <w:r w:rsidRPr="007D5BAE">
        <w:rPr>
          <w:rFonts w:ascii="Arial" w:hAnsi="Arial" w:cs="Arial"/>
          <w:b/>
          <w:bCs/>
        </w:rPr>
        <w:t>No es obligatorio cotizar todos los Renglones</w:t>
      </w:r>
      <w:r>
        <w:rPr>
          <w:rFonts w:ascii="Arial" w:hAnsi="Arial" w:cs="Arial"/>
          <w:bCs/>
        </w:rPr>
        <w:t>.</w:t>
      </w:r>
    </w:p>
    <w:p w:rsidR="00756EDB" w:rsidRDefault="00756EDB" w:rsidP="00756EDB">
      <w:pPr>
        <w:ind w:firstLine="840"/>
        <w:jc w:val="both"/>
        <w:rPr>
          <w:rFonts w:ascii="Arial" w:hAnsi="Arial" w:cs="Arial"/>
          <w:bCs/>
        </w:rPr>
      </w:pPr>
    </w:p>
    <w:p w:rsidR="00756EDB" w:rsidRDefault="00756EDB" w:rsidP="00756EDB">
      <w:pPr>
        <w:ind w:firstLine="840"/>
        <w:jc w:val="both"/>
        <w:rPr>
          <w:rFonts w:ascii="Arial" w:hAnsi="Arial" w:cs="Arial"/>
          <w:bCs/>
        </w:rPr>
      </w:pPr>
    </w:p>
    <w:p w:rsidR="00167F10" w:rsidRDefault="00756EDB" w:rsidP="00756EDB">
      <w:pPr>
        <w:jc w:val="both"/>
        <w:rPr>
          <w:rFonts w:ascii="Arial" w:hAnsi="Arial" w:cs="Arial"/>
          <w:bCs/>
        </w:rPr>
      </w:pPr>
      <w:r>
        <w:rPr>
          <w:rFonts w:ascii="Arial" w:hAnsi="Arial" w:cs="Arial"/>
          <w:bCs/>
        </w:rPr>
        <w:t>En cada uno de los renglones se deberá cotizar el precio por el periodo que corresponde al mismo. Inicio de Vigencia a Fin de Vigencia.</w:t>
      </w:r>
    </w:p>
    <w:p w:rsidR="00A93E2A" w:rsidRDefault="00A93E2A" w:rsidP="00756EDB">
      <w:pPr>
        <w:jc w:val="both"/>
        <w:rPr>
          <w:rFonts w:ascii="Arial" w:hAnsi="Arial" w:cs="Arial"/>
          <w:bCs/>
        </w:rPr>
      </w:pPr>
    </w:p>
    <w:p w:rsidR="00A93E2A" w:rsidRDefault="003C6601" w:rsidP="00756EDB">
      <w:pPr>
        <w:jc w:val="both"/>
        <w:rPr>
          <w:rFonts w:ascii="Arial" w:hAnsi="Arial" w:cs="Arial"/>
          <w:bCs/>
        </w:rPr>
      </w:pPr>
      <w:r>
        <w:rPr>
          <w:noProof/>
          <w:lang w:val="es-UY" w:eastAsia="es-UY"/>
        </w:rPr>
        <w:lastRenderedPageBreak/>
        <w:drawing>
          <wp:inline distT="0" distB="0" distL="0" distR="0" wp14:anchorId="7510A80A" wp14:editId="6C299EB2">
            <wp:extent cx="5400040" cy="48869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4886960"/>
                    </a:xfrm>
                    <a:prstGeom prst="rect">
                      <a:avLst/>
                    </a:prstGeom>
                  </pic:spPr>
                </pic:pic>
              </a:graphicData>
            </a:graphic>
          </wp:inline>
        </w:drawing>
      </w:r>
    </w:p>
    <w:p w:rsidR="00D41623" w:rsidRPr="00D41623" w:rsidRDefault="00D41623" w:rsidP="006B165E">
      <w:pPr>
        <w:ind w:firstLine="851"/>
        <w:jc w:val="both"/>
        <w:rPr>
          <w:rFonts w:ascii="Arial" w:hAnsi="Arial" w:cs="Arial"/>
        </w:rPr>
      </w:pPr>
    </w:p>
    <w:p w:rsidR="006B165E" w:rsidRPr="00D41623" w:rsidRDefault="006B165E" w:rsidP="006B165E">
      <w:pPr>
        <w:ind w:firstLine="851"/>
        <w:jc w:val="both"/>
        <w:rPr>
          <w:rFonts w:ascii="Arial" w:hAnsi="Arial" w:cs="Arial"/>
          <w:lang w:val="es-ES_tradnl"/>
        </w:rPr>
      </w:pPr>
    </w:p>
    <w:p w:rsidR="009800DF" w:rsidRPr="00671001" w:rsidRDefault="006B4D57" w:rsidP="00671001">
      <w:pPr>
        <w:pStyle w:val="Ttulo1"/>
        <w:rPr>
          <w:b/>
        </w:rPr>
      </w:pPr>
      <w:bookmarkStart w:id="4" w:name="_Toc99369818"/>
      <w:r w:rsidRPr="00671001">
        <w:rPr>
          <w:b/>
        </w:rPr>
        <w:t>Art. 4</w:t>
      </w:r>
      <w:r w:rsidR="006B165E" w:rsidRPr="00671001">
        <w:rPr>
          <w:b/>
        </w:rPr>
        <w:t>.  SOLICITUDES DE PRÓ</w:t>
      </w:r>
      <w:r w:rsidR="009800DF" w:rsidRPr="00671001">
        <w:rPr>
          <w:b/>
        </w:rPr>
        <w:t>RROGA.</w:t>
      </w:r>
      <w:bookmarkEnd w:id="4"/>
      <w:r w:rsidR="009800DF" w:rsidRPr="00671001">
        <w:rPr>
          <w:b/>
        </w:rPr>
        <w:t xml:space="preserve"> </w:t>
      </w:r>
    </w:p>
    <w:p w:rsidR="009800DF" w:rsidRPr="00ED4186" w:rsidRDefault="009800DF" w:rsidP="009800DF">
      <w:pPr>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De solicitarse prórroga para la apertura de esta Licitación, la misma deberá ser presentada por escrito</w:t>
      </w:r>
      <w:r w:rsidR="006B165E" w:rsidRPr="00ED4186">
        <w:rPr>
          <w:rFonts w:ascii="Arial" w:hAnsi="Arial" w:cs="Arial"/>
          <w:bCs/>
        </w:rPr>
        <w:t xml:space="preserve"> </w:t>
      </w:r>
      <w:r w:rsidR="00A41EDC" w:rsidRPr="00ED4186">
        <w:rPr>
          <w:rFonts w:ascii="Arial" w:hAnsi="Arial" w:cs="Arial"/>
          <w:bCs/>
        </w:rPr>
        <w:t>ante</w:t>
      </w:r>
      <w:r w:rsidRPr="00ED4186">
        <w:rPr>
          <w:rFonts w:ascii="Arial" w:hAnsi="Arial" w:cs="Arial"/>
          <w:bCs/>
        </w:rPr>
        <w:t xml:space="preserve"> el Dpto. de Compras Central del BSE </w:t>
      </w:r>
      <w:r w:rsidR="00A41EDC" w:rsidRPr="00ED4186">
        <w:rPr>
          <w:rFonts w:ascii="Arial" w:hAnsi="Arial" w:cs="Arial"/>
          <w:bCs/>
        </w:rPr>
        <w:t xml:space="preserve">o a la dirección electrónica </w:t>
      </w:r>
      <w:hyperlink r:id="rId13" w:history="1">
        <w:r w:rsidR="00A41EDC" w:rsidRPr="00ED4186">
          <w:rPr>
            <w:rStyle w:val="Hipervnculo"/>
            <w:rFonts w:ascii="Arial" w:hAnsi="Arial" w:cs="Arial"/>
            <w:bCs/>
            <w:color w:val="1F497D" w:themeColor="text2"/>
          </w:rPr>
          <w:t>licitaciones@bse.com.uy</w:t>
        </w:r>
      </w:hyperlink>
      <w:r w:rsidR="00A41EDC" w:rsidRPr="00ED4186">
        <w:rPr>
          <w:rFonts w:ascii="Arial" w:hAnsi="Arial" w:cs="Arial"/>
          <w:bCs/>
        </w:rPr>
        <w:t xml:space="preserve"> </w:t>
      </w:r>
      <w:r w:rsidRPr="00ED4186">
        <w:rPr>
          <w:rFonts w:ascii="Arial" w:hAnsi="Arial" w:cs="Arial"/>
          <w:bCs/>
        </w:rPr>
        <w:t>no menos de cinco días hábiles  antes de la fecha fij</w:t>
      </w:r>
      <w:r w:rsidR="00A41EDC" w:rsidRPr="00ED4186">
        <w:rPr>
          <w:rFonts w:ascii="Arial" w:hAnsi="Arial" w:cs="Arial"/>
          <w:bCs/>
        </w:rPr>
        <w:t>ada para la apertura</w:t>
      </w:r>
      <w:r w:rsidR="00D74A0C" w:rsidRPr="00ED4186">
        <w:rPr>
          <w:rFonts w:ascii="Arial" w:hAnsi="Arial" w:cs="Arial"/>
          <w:bCs/>
        </w:rPr>
        <w:t>.</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Vencido dicho plazo, no se dará trámite a ninguna solicitud de prórroga.</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 xml:space="preserve">Sin perjuicio de lo expuesto, el BSE podrá resolver a su sólo arbitrio </w:t>
      </w:r>
      <w:r w:rsidR="00D74A0C" w:rsidRPr="00ED4186">
        <w:rPr>
          <w:rFonts w:ascii="Arial" w:hAnsi="Arial" w:cs="Arial"/>
          <w:bCs/>
        </w:rPr>
        <w:t>prorrogar la fecha de apertura.</w:t>
      </w:r>
    </w:p>
    <w:p w:rsidR="00D74A0C" w:rsidRPr="00ED4186" w:rsidRDefault="00D74A0C" w:rsidP="00190D08">
      <w:pPr>
        <w:ind w:firstLine="851"/>
        <w:jc w:val="both"/>
        <w:rPr>
          <w:rFonts w:ascii="Arial" w:hAnsi="Arial" w:cs="Arial"/>
          <w:bCs/>
        </w:rPr>
      </w:pPr>
    </w:p>
    <w:p w:rsidR="009800DF" w:rsidRDefault="009800DF" w:rsidP="00190D08">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8068C4" w:rsidRDefault="008068C4" w:rsidP="00190D08">
      <w:pPr>
        <w:ind w:firstLine="851"/>
        <w:jc w:val="both"/>
        <w:rPr>
          <w:rFonts w:ascii="Arial" w:hAnsi="Arial" w:cs="Arial"/>
          <w:bCs/>
        </w:rPr>
      </w:pPr>
    </w:p>
    <w:p w:rsidR="00167F10" w:rsidRDefault="00167F10" w:rsidP="00190D08">
      <w:pPr>
        <w:ind w:firstLine="851"/>
        <w:jc w:val="both"/>
        <w:rPr>
          <w:rFonts w:ascii="Arial" w:hAnsi="Arial" w:cs="Arial"/>
          <w:bCs/>
        </w:rPr>
      </w:pPr>
    </w:p>
    <w:p w:rsidR="00167F10" w:rsidRDefault="00167F10" w:rsidP="00190D08">
      <w:pPr>
        <w:ind w:firstLine="851"/>
        <w:jc w:val="both"/>
        <w:rPr>
          <w:rFonts w:ascii="Arial" w:hAnsi="Arial" w:cs="Arial"/>
          <w:bCs/>
        </w:rPr>
      </w:pPr>
    </w:p>
    <w:p w:rsidR="0053445C" w:rsidRPr="00671001" w:rsidRDefault="0053445C" w:rsidP="00671001">
      <w:pPr>
        <w:pStyle w:val="Ttulo1"/>
        <w:rPr>
          <w:b/>
        </w:rPr>
      </w:pPr>
      <w:bookmarkStart w:id="5" w:name="_Toc99369819"/>
      <w:r w:rsidRPr="00671001">
        <w:rPr>
          <w:b/>
        </w:rPr>
        <w:lastRenderedPageBreak/>
        <w:t xml:space="preserve">Art. </w:t>
      </w:r>
      <w:r w:rsidR="006B4D57" w:rsidRPr="00671001">
        <w:rPr>
          <w:b/>
        </w:rPr>
        <w:t>5</w:t>
      </w:r>
      <w:r w:rsidRPr="00671001">
        <w:rPr>
          <w:b/>
        </w:rPr>
        <w:t>.   MANTENIMIENTO DE OFERTA.</w:t>
      </w:r>
      <w:bookmarkEnd w:id="5"/>
      <w:r w:rsidR="00E92433" w:rsidRPr="00671001">
        <w:rPr>
          <w:b/>
        </w:rPr>
        <w:t xml:space="preserve"> </w:t>
      </w:r>
    </w:p>
    <w:p w:rsidR="00E92433" w:rsidRPr="00ED4186" w:rsidRDefault="00E92433" w:rsidP="0053445C">
      <w:pPr>
        <w:rPr>
          <w:rFonts w:ascii="Arial" w:hAnsi="Arial" w:cs="Arial"/>
          <w:b/>
          <w:bCs/>
        </w:rPr>
      </w:pPr>
    </w:p>
    <w:p w:rsidR="009800DF" w:rsidRPr="00ED4186" w:rsidRDefault="009800DF" w:rsidP="009800DF">
      <w:pPr>
        <w:ind w:firstLine="851"/>
        <w:jc w:val="both"/>
        <w:rPr>
          <w:rFonts w:ascii="Arial" w:hAnsi="Arial" w:cs="Arial"/>
        </w:rPr>
      </w:pPr>
      <w:r w:rsidRPr="00ED4186">
        <w:rPr>
          <w:rFonts w:ascii="Arial" w:hAnsi="Arial" w:cs="Arial"/>
        </w:rPr>
        <w:t xml:space="preserve">Los oferentes mantendrán la validez de sus ofertas por un plazo mínimo de noventa días calendario, contados a partir de la fecha de apertura de las propuestas. </w:t>
      </w:r>
    </w:p>
    <w:p w:rsidR="00D74A0C" w:rsidRPr="00ED4186" w:rsidRDefault="00D74A0C" w:rsidP="009800DF">
      <w:pPr>
        <w:ind w:firstLine="851"/>
        <w:jc w:val="both"/>
        <w:rPr>
          <w:rFonts w:ascii="Arial" w:hAnsi="Arial" w:cs="Arial"/>
        </w:rPr>
      </w:pPr>
    </w:p>
    <w:p w:rsidR="0053445C" w:rsidRPr="00ED4186" w:rsidRDefault="009800DF" w:rsidP="009800DF">
      <w:pPr>
        <w:ind w:firstLine="851"/>
        <w:jc w:val="both"/>
        <w:rPr>
          <w:rFonts w:ascii="Arial" w:hAnsi="Arial" w:cs="Arial"/>
        </w:rPr>
      </w:pPr>
      <w:r w:rsidRPr="00ED4186">
        <w:rPr>
          <w:rFonts w:ascii="Arial" w:hAnsi="Arial" w:cs="Arial"/>
        </w:rPr>
        <w:t>Vencido dicho período sin que se hubiera producido resolución por parte del BSE, las ofertas se considerarán vigentes, salvo que los interesados manifiesten por escrito su voluntad en contrario.</w:t>
      </w:r>
      <w:r w:rsidR="0053445C" w:rsidRPr="00ED4186">
        <w:rPr>
          <w:rFonts w:ascii="Arial" w:hAnsi="Arial" w:cs="Arial"/>
        </w:rPr>
        <w:t xml:space="preserve"> </w:t>
      </w:r>
    </w:p>
    <w:p w:rsidR="0053445C" w:rsidRPr="00ED4186" w:rsidRDefault="0053445C" w:rsidP="0053445C">
      <w:pPr>
        <w:rPr>
          <w:rFonts w:ascii="Arial" w:hAnsi="Arial" w:cs="Arial"/>
          <w:b/>
          <w:bCs/>
        </w:rPr>
      </w:pPr>
    </w:p>
    <w:p w:rsidR="0053445C" w:rsidRPr="00671001" w:rsidRDefault="0053445C" w:rsidP="00671001">
      <w:pPr>
        <w:pStyle w:val="Ttulo1"/>
        <w:rPr>
          <w:b/>
        </w:rPr>
      </w:pPr>
      <w:bookmarkStart w:id="6" w:name="_Toc99369820"/>
      <w:r w:rsidRPr="00671001">
        <w:rPr>
          <w:b/>
        </w:rPr>
        <w:t xml:space="preserve">Art. </w:t>
      </w:r>
      <w:r w:rsidR="006B4D57" w:rsidRPr="00671001">
        <w:rPr>
          <w:b/>
        </w:rPr>
        <w:t>6</w:t>
      </w:r>
      <w:r w:rsidRPr="00671001">
        <w:rPr>
          <w:b/>
        </w:rPr>
        <w:t>.   GARANT</w:t>
      </w:r>
      <w:r w:rsidR="006744C7" w:rsidRPr="00671001">
        <w:rPr>
          <w:b/>
        </w:rPr>
        <w:t>Í</w:t>
      </w:r>
      <w:r w:rsidRPr="00671001">
        <w:rPr>
          <w:b/>
        </w:rPr>
        <w:t>A DE MANTENIMIENTO DE OFERTA.</w:t>
      </w:r>
      <w:bookmarkEnd w:id="6"/>
    </w:p>
    <w:p w:rsidR="0053445C" w:rsidRPr="00ED4186" w:rsidRDefault="0053445C" w:rsidP="0053445C">
      <w:pPr>
        <w:jc w:val="both"/>
        <w:rPr>
          <w:rFonts w:ascii="Arial" w:hAnsi="Arial" w:cs="Arial"/>
        </w:rPr>
      </w:pPr>
    </w:p>
    <w:p w:rsidR="009800DF" w:rsidRDefault="009800DF" w:rsidP="009800DF">
      <w:pPr>
        <w:ind w:firstLine="851"/>
        <w:jc w:val="both"/>
        <w:rPr>
          <w:rFonts w:ascii="Arial" w:hAnsi="Arial" w:cs="Arial"/>
        </w:rPr>
      </w:pPr>
      <w:r w:rsidRPr="00ED4186">
        <w:rPr>
          <w:rFonts w:ascii="Arial" w:hAnsi="Arial" w:cs="Arial"/>
        </w:rPr>
        <w:t xml:space="preserve">En el presente llamado no se exigirá la constitución de garantía de mantenimiento de oferta. </w:t>
      </w:r>
    </w:p>
    <w:p w:rsidR="00311843" w:rsidRPr="00ED4186" w:rsidRDefault="00311843" w:rsidP="009800DF">
      <w:pPr>
        <w:ind w:firstLine="851"/>
        <w:jc w:val="both"/>
        <w:rPr>
          <w:rFonts w:ascii="Arial" w:hAnsi="Arial" w:cs="Arial"/>
        </w:rPr>
      </w:pPr>
    </w:p>
    <w:p w:rsidR="0053445C" w:rsidRPr="00ED4186" w:rsidRDefault="009800DF" w:rsidP="009800DF">
      <w:pPr>
        <w:ind w:firstLine="851"/>
        <w:jc w:val="both"/>
        <w:rPr>
          <w:rFonts w:ascii="Arial" w:hAnsi="Arial" w:cs="Arial"/>
          <w:b/>
          <w:bCs/>
          <w:sz w:val="28"/>
          <w:szCs w:val="28"/>
        </w:rPr>
      </w:pPr>
      <w:r w:rsidRPr="00ED4186">
        <w:rPr>
          <w:rFonts w:ascii="Arial" w:hAnsi="Arial" w:cs="Arial"/>
        </w:rPr>
        <w:t>No obstante, en caso de incumplimiento por parte del proponente de su obligación de mantener su oferta, se aplicará la multa establecida en el Artículo N° 64 del TOCAF.</w:t>
      </w:r>
    </w:p>
    <w:p w:rsidR="0053445C" w:rsidRPr="00ED4186" w:rsidRDefault="0053445C" w:rsidP="0053445C">
      <w:pPr>
        <w:jc w:val="both"/>
        <w:rPr>
          <w:rFonts w:ascii="Arial" w:hAnsi="Arial" w:cs="Arial"/>
          <w:b/>
          <w:bCs/>
        </w:rPr>
      </w:pPr>
    </w:p>
    <w:p w:rsidR="0053445C" w:rsidRPr="00671001" w:rsidRDefault="006B4D57" w:rsidP="00671001">
      <w:pPr>
        <w:pStyle w:val="Ttulo1"/>
        <w:rPr>
          <w:b/>
        </w:rPr>
      </w:pPr>
      <w:bookmarkStart w:id="7" w:name="_Toc99369821"/>
      <w:r w:rsidRPr="00671001">
        <w:rPr>
          <w:b/>
        </w:rPr>
        <w:t>Art. 7</w:t>
      </w:r>
      <w:r w:rsidR="0053445C" w:rsidRPr="00671001">
        <w:rPr>
          <w:b/>
        </w:rPr>
        <w:t>.   CONSULTAS Y ACLARACIONES.</w:t>
      </w:r>
      <w:bookmarkEnd w:id="7"/>
    </w:p>
    <w:p w:rsidR="0053445C" w:rsidRPr="00ED4186" w:rsidRDefault="0053445C" w:rsidP="0053445C">
      <w:pPr>
        <w:jc w:val="both"/>
        <w:rPr>
          <w:rFonts w:ascii="Arial" w:hAnsi="Arial" w:cs="Arial"/>
        </w:rPr>
      </w:pPr>
    </w:p>
    <w:p w:rsidR="00297CC2" w:rsidRPr="00E555D7" w:rsidRDefault="00297CC2" w:rsidP="00297CC2">
      <w:pPr>
        <w:jc w:val="both"/>
        <w:rPr>
          <w:rFonts w:ascii="Arial" w:hAnsi="Arial" w:cs="Arial"/>
          <w:sz w:val="22"/>
          <w:szCs w:val="22"/>
        </w:rPr>
      </w:pPr>
      <w:r>
        <w:rPr>
          <w:rFonts w:ascii="Arial" w:hAnsi="Arial" w:cs="Arial"/>
          <w:sz w:val="22"/>
          <w:szCs w:val="22"/>
        </w:rPr>
        <w:t>Se establecen la</w:t>
      </w:r>
      <w:r w:rsidRPr="00E555D7">
        <w:rPr>
          <w:rFonts w:ascii="Arial" w:hAnsi="Arial" w:cs="Arial"/>
          <w:sz w:val="22"/>
          <w:szCs w:val="22"/>
        </w:rPr>
        <w:t xml:space="preserve"> siguiente vía de comunicación a efectos de realizar consultas y solicitar aclaraciones por</w:t>
      </w:r>
      <w:r>
        <w:rPr>
          <w:rFonts w:ascii="Arial" w:hAnsi="Arial" w:cs="Arial"/>
          <w:sz w:val="22"/>
          <w:szCs w:val="22"/>
        </w:rPr>
        <w:t xml:space="preserve"> parte de las firmas oferentes </w:t>
      </w:r>
      <w:r w:rsidRPr="00E555D7">
        <w:rPr>
          <w:rFonts w:ascii="Arial" w:hAnsi="Arial" w:cs="Arial"/>
          <w:b/>
          <w:sz w:val="22"/>
          <w:szCs w:val="22"/>
        </w:rPr>
        <w:t>E-mail:</w:t>
      </w:r>
      <w:r w:rsidRPr="00E555D7">
        <w:rPr>
          <w:rFonts w:ascii="Arial" w:hAnsi="Arial" w:cs="Arial"/>
          <w:sz w:val="22"/>
          <w:szCs w:val="22"/>
        </w:rPr>
        <w:t xml:space="preserve"> </w:t>
      </w:r>
      <w:r w:rsidRPr="00E555D7">
        <w:rPr>
          <w:rFonts w:ascii="Arial" w:hAnsi="Arial" w:cs="Arial"/>
          <w:b/>
          <w:sz w:val="22"/>
          <w:szCs w:val="22"/>
        </w:rPr>
        <w:t>licitaciones</w:t>
      </w:r>
      <w:r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Pr="00E555D7">
        <w:rPr>
          <w:rFonts w:ascii="Arial" w:hAnsi="Arial" w:cs="Arial"/>
          <w:b/>
          <w:sz w:val="22"/>
          <w:szCs w:val="22"/>
        </w:rPr>
        <w:fldChar w:fldCharType="end"/>
      </w:r>
      <w:r w:rsidRPr="00E555D7">
        <w:rPr>
          <w:rFonts w:ascii="Arial" w:hAnsi="Arial" w:cs="Arial"/>
          <w:b/>
          <w:sz w:val="22"/>
          <w:szCs w:val="22"/>
        </w:rPr>
        <w:t>@bse.com.uy</w:t>
      </w:r>
      <w:r w:rsidRPr="00E555D7">
        <w:rPr>
          <w:rFonts w:ascii="Arial" w:hAnsi="Arial" w:cs="Arial"/>
          <w:sz w:val="22"/>
          <w:szCs w:val="22"/>
        </w:rPr>
        <w:t>, hasta 5 (cinco) días hábiles antes del día fijado para la apertura.</w:t>
      </w:r>
    </w:p>
    <w:p w:rsidR="002D5940" w:rsidRPr="00ED4186" w:rsidRDefault="002D5940" w:rsidP="00E04C34">
      <w:pPr>
        <w:pStyle w:val="Textosinformato"/>
        <w:ind w:firstLine="993"/>
        <w:jc w:val="both"/>
        <w:rPr>
          <w:rFonts w:ascii="Arial" w:eastAsia="Times New Roman" w:hAnsi="Arial" w:cs="Arial"/>
          <w:b/>
          <w:color w:val="FF0000"/>
          <w:sz w:val="24"/>
          <w:szCs w:val="24"/>
          <w:lang w:val="es-ES" w:eastAsia="es-ES"/>
        </w:rPr>
      </w:pPr>
    </w:p>
    <w:p w:rsidR="002D5940" w:rsidRPr="00671001" w:rsidRDefault="006B4D57" w:rsidP="00671001">
      <w:pPr>
        <w:pStyle w:val="Ttulo1"/>
        <w:rPr>
          <w:b/>
        </w:rPr>
      </w:pPr>
      <w:bookmarkStart w:id="8" w:name="_Toc99369822"/>
      <w:r w:rsidRPr="00671001">
        <w:rPr>
          <w:b/>
        </w:rPr>
        <w:t>Art. 8</w:t>
      </w:r>
      <w:r w:rsidR="002D5940" w:rsidRPr="00671001">
        <w:rPr>
          <w:b/>
        </w:rPr>
        <w:t>.   DE LAS NOTIFICACIONES.</w:t>
      </w:r>
      <w:bookmarkEnd w:id="8"/>
    </w:p>
    <w:p w:rsidR="00BD04BC" w:rsidRPr="00ED4186" w:rsidRDefault="00BD04BC" w:rsidP="002D5940">
      <w:pPr>
        <w:jc w:val="both"/>
        <w:rPr>
          <w:rFonts w:ascii="Arial" w:hAnsi="Arial" w:cs="Arial"/>
          <w:b/>
          <w:bCs/>
        </w:rPr>
      </w:pPr>
    </w:p>
    <w:p w:rsidR="00BD04BC" w:rsidRPr="000F7A0D" w:rsidRDefault="00BD04BC" w:rsidP="00BD04BC">
      <w:pPr>
        <w:spacing w:after="120"/>
        <w:jc w:val="both"/>
        <w:rPr>
          <w:rFonts w:ascii="Arial" w:hAnsi="Arial" w:cs="Arial"/>
        </w:rPr>
      </w:pPr>
      <w:r w:rsidRPr="000F7A0D">
        <w:rPr>
          <w:rFonts w:ascii="Arial" w:hAnsi="Arial" w:cs="Arial"/>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0F7A0D">
        <w:rPr>
          <w:rFonts w:ascii="Arial" w:hAnsi="Arial" w:cs="Arial"/>
          <w:b/>
        </w:rPr>
        <w:t>licitaciones</w:t>
      </w:r>
      <w:r w:rsidR="00F90815" w:rsidRPr="000F7A0D">
        <w:rPr>
          <w:rFonts w:ascii="Arial" w:hAnsi="Arial" w:cs="Arial"/>
          <w:b/>
        </w:rPr>
        <w:fldChar w:fldCharType="begin"/>
      </w:r>
      <w:r w:rsidRPr="000F7A0D">
        <w:rPr>
          <w:rFonts w:ascii="Arial" w:hAnsi="Arial" w:cs="Arial"/>
          <w:b/>
        </w:rPr>
        <w:instrText>TC  \l 5 "           Se establece el numero de teléfono 901.08.62 y de fax 901.93.25, a los efectos de realizar consultas y solicitar las aclaraciones necesarias por parte de las firmas oferentes."</w:instrText>
      </w:r>
      <w:r w:rsidR="00F90815" w:rsidRPr="000F7A0D">
        <w:rPr>
          <w:rFonts w:ascii="Arial" w:hAnsi="Arial" w:cs="Arial"/>
          <w:b/>
        </w:rPr>
        <w:fldChar w:fldCharType="end"/>
      </w:r>
      <w:r w:rsidRPr="000F7A0D">
        <w:rPr>
          <w:rFonts w:ascii="Arial" w:hAnsi="Arial" w:cs="Arial"/>
          <w:b/>
        </w:rPr>
        <w:t>@bse.com.uy</w:t>
      </w:r>
      <w:r w:rsidR="00F90815" w:rsidRPr="000F7A0D">
        <w:rPr>
          <w:rFonts w:ascii="Arial" w:hAnsi="Arial" w:cs="Arial"/>
        </w:rPr>
        <w:fldChar w:fldCharType="begin"/>
      </w:r>
      <w:r w:rsidRPr="000F7A0D">
        <w:rPr>
          <w:rFonts w:ascii="Arial" w:hAnsi="Arial" w:cs="Arial"/>
        </w:rPr>
        <w:instrText>TC  \l 5 "           Se establece el numero de teléfono 901.08.62 y de fax 901.93.25, a los efectos de realizar consultas y solicitar las aclaraciones necesarias por parte de las firmas oferentes."</w:instrText>
      </w:r>
      <w:r w:rsidR="00F90815" w:rsidRPr="000F7A0D">
        <w:rPr>
          <w:rFonts w:ascii="Arial" w:hAnsi="Arial" w:cs="Arial"/>
        </w:rPr>
        <w:fldChar w:fldCharType="end"/>
      </w:r>
      <w:r w:rsidRPr="000F7A0D">
        <w:rPr>
          <w:rFonts w:ascii="Arial" w:hAnsi="Arial" w:cs="Arial"/>
        </w:rPr>
        <w:t xml:space="preserve">. </w:t>
      </w:r>
    </w:p>
    <w:p w:rsidR="00BD04BC" w:rsidRPr="000F7A0D" w:rsidRDefault="00BD04BC" w:rsidP="00BD04BC">
      <w:pPr>
        <w:spacing w:after="120"/>
        <w:jc w:val="both"/>
        <w:rPr>
          <w:rFonts w:ascii="Arial" w:hAnsi="Arial" w:cs="Arial"/>
        </w:rPr>
      </w:pPr>
      <w:r w:rsidRPr="000F7A0D">
        <w:rPr>
          <w:rFonts w:ascii="Arial" w:hAnsi="Arial" w:cs="Arial"/>
        </w:rPr>
        <w:t>Los oferentes aceptan como forma de notificación v</w:t>
      </w:r>
      <w:r>
        <w:rPr>
          <w:rFonts w:ascii="Arial" w:hAnsi="Arial" w:cs="Arial"/>
        </w:rPr>
        <w:t>á</w:t>
      </w:r>
      <w:r w:rsidRPr="000F7A0D">
        <w:rPr>
          <w:rFonts w:ascii="Arial" w:hAnsi="Arial" w:cs="Arial"/>
        </w:rPr>
        <w:t xml:space="preserve">lida y eficaz por parte del BSE los siguientes medios: nota con acuse de recibo, correo electrónico con constancia de envío, telegrama colacionado con acuse de recibo, notificación mediante acta notarial y cualquier otro medio de comunicación fehaciente. </w:t>
      </w:r>
    </w:p>
    <w:p w:rsidR="00BD04BC" w:rsidRDefault="00BD04BC" w:rsidP="00BD04BC">
      <w:pPr>
        <w:spacing w:after="120"/>
        <w:jc w:val="both"/>
        <w:rPr>
          <w:rFonts w:ascii="Arial" w:hAnsi="Arial" w:cs="Arial"/>
          <w:b/>
          <w:bCs/>
          <w:lang w:val="es-ES_tradnl"/>
        </w:rPr>
      </w:pPr>
      <w:r w:rsidRPr="000F7A0D">
        <w:rPr>
          <w:rFonts w:ascii="Arial" w:hAnsi="Arial" w:cs="Arial"/>
        </w:rPr>
        <w:t>En caso de rescisión del contrato, se requerirá telegrama colacionado con acuse de recibo  o acta notarial, cualquiera sea la parte que lo rescinda</w:t>
      </w:r>
      <w:r>
        <w:rPr>
          <w:rFonts w:ascii="Arial" w:hAnsi="Arial" w:cs="Arial"/>
        </w:rPr>
        <w:t>.</w:t>
      </w:r>
    </w:p>
    <w:p w:rsidR="0053445C" w:rsidRPr="00ED4186" w:rsidRDefault="0053445C" w:rsidP="00671001">
      <w:pPr>
        <w:pStyle w:val="Ttulo1"/>
      </w:pPr>
    </w:p>
    <w:p w:rsidR="006453AB" w:rsidRPr="00ED4186" w:rsidRDefault="0053445C" w:rsidP="00671001">
      <w:pPr>
        <w:pStyle w:val="Ttulo1"/>
        <w:rPr>
          <w:b/>
          <w:bCs/>
          <w:spacing w:val="-3"/>
          <w:lang w:val="es-ES_tradnl"/>
        </w:rPr>
      </w:pPr>
      <w:bookmarkStart w:id="9" w:name="_Toc99369823"/>
      <w:r w:rsidRPr="00ED4186">
        <w:rPr>
          <w:b/>
          <w:bCs/>
          <w:lang w:val="es-UY"/>
        </w:rPr>
        <w:t xml:space="preserve">Art. </w:t>
      </w:r>
      <w:r w:rsidR="006B4D57">
        <w:rPr>
          <w:b/>
          <w:bCs/>
          <w:lang w:val="es-UY"/>
        </w:rPr>
        <w:t>9</w:t>
      </w:r>
      <w:r w:rsidRPr="00ED4186">
        <w:rPr>
          <w:b/>
          <w:bCs/>
          <w:lang w:val="es-UY"/>
        </w:rPr>
        <w:t>.</w:t>
      </w:r>
      <w:r w:rsidR="006453AB" w:rsidRPr="00ED4186">
        <w:rPr>
          <w:b/>
          <w:bCs/>
          <w:lang w:val="es-UY"/>
        </w:rPr>
        <w:t xml:space="preserve"> </w:t>
      </w:r>
      <w:r w:rsidR="006453AB" w:rsidRPr="00ED4186">
        <w:rPr>
          <w:b/>
          <w:bCs/>
          <w:spacing w:val="-3"/>
          <w:lang w:val="es-ES_tradnl"/>
        </w:rPr>
        <w:t>OFERTAS: PRESENTACIÓN DE OFERTAS. INFORMACIÓN CONFIDENCIAL Y DATOS PERSONALES</w:t>
      </w:r>
      <w:bookmarkEnd w:id="9"/>
    </w:p>
    <w:p w:rsidR="006453AB" w:rsidRPr="00ED4186" w:rsidRDefault="006453AB" w:rsidP="00FB2AC1">
      <w:pPr>
        <w:jc w:val="both"/>
        <w:rPr>
          <w:rFonts w:ascii="Arial" w:hAnsi="Arial" w:cs="Arial"/>
          <w:b/>
          <w:bCs/>
          <w:lang w:val="es-ES_tradnl"/>
        </w:rPr>
      </w:pPr>
    </w:p>
    <w:p w:rsidR="006453AB" w:rsidRPr="00ED4186" w:rsidRDefault="006453AB" w:rsidP="00FB2AC1">
      <w:pPr>
        <w:jc w:val="both"/>
        <w:rPr>
          <w:rFonts w:ascii="Arial" w:hAnsi="Arial" w:cs="Arial"/>
          <w:b/>
          <w:bCs/>
          <w:lang w:val="es-UY"/>
        </w:rPr>
      </w:pPr>
    </w:p>
    <w:p w:rsidR="00D8455E" w:rsidRPr="008D4D12" w:rsidRDefault="00D8455E" w:rsidP="00D8455E">
      <w:pPr>
        <w:ind w:firstLine="851"/>
        <w:jc w:val="both"/>
        <w:rPr>
          <w:rFonts w:ascii="Arial" w:hAnsi="Arial"/>
        </w:rPr>
      </w:pPr>
      <w:r w:rsidRPr="008D4D12">
        <w:rPr>
          <w:rFonts w:ascii="Arial" w:hAnsi="Arial"/>
        </w:rPr>
        <w:lastRenderedPageBreak/>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D8455E" w:rsidRPr="008D4D12" w:rsidRDefault="00D8455E" w:rsidP="00D8455E">
      <w:pPr>
        <w:ind w:firstLine="900"/>
        <w:jc w:val="both"/>
        <w:rPr>
          <w:rFonts w:ascii="Arial" w:hAnsi="Arial"/>
        </w:rPr>
      </w:pPr>
    </w:p>
    <w:p w:rsidR="00D8455E" w:rsidRDefault="00D8455E" w:rsidP="00D8455E">
      <w:pPr>
        <w:ind w:firstLine="851"/>
        <w:jc w:val="both"/>
        <w:rPr>
          <w:rFonts w:ascii="Arial" w:hAnsi="Arial"/>
        </w:rPr>
      </w:pPr>
      <w:r w:rsidRPr="008D4D12">
        <w:rPr>
          <w:rFonts w:ascii="Arial" w:hAnsi="Arial"/>
        </w:rPr>
        <w:t xml:space="preserve">El </w:t>
      </w:r>
      <w:r>
        <w:rPr>
          <w:rFonts w:ascii="Arial" w:hAnsi="Arial"/>
        </w:rPr>
        <w:t>BSE</w:t>
      </w:r>
      <w:r w:rsidRPr="008D4D12">
        <w:rPr>
          <w:rFonts w:ascii="Arial" w:hAnsi="Arial"/>
        </w:rPr>
        <w:t xml:space="preserve"> no será responsable por los problemas que puedan ocurrir en la modalidad correo certificado. </w:t>
      </w:r>
    </w:p>
    <w:p w:rsidR="00D8455E" w:rsidRDefault="00D8455E" w:rsidP="00D8455E">
      <w:pPr>
        <w:ind w:firstLine="851"/>
        <w:jc w:val="both"/>
        <w:rPr>
          <w:rFonts w:ascii="Arial" w:hAnsi="Arial"/>
        </w:rPr>
      </w:pPr>
    </w:p>
    <w:p w:rsidR="00D8455E" w:rsidRPr="008D4D12" w:rsidRDefault="00D8455E" w:rsidP="00D8455E">
      <w:pPr>
        <w:ind w:firstLine="851"/>
        <w:jc w:val="both"/>
        <w:rPr>
          <w:rFonts w:ascii="Arial" w:hAnsi="Arial"/>
          <w:b/>
        </w:rPr>
      </w:pPr>
      <w:r w:rsidRPr="008D4D12">
        <w:rPr>
          <w:rFonts w:ascii="Arial" w:hAnsi="Arial"/>
        </w:rPr>
        <w:t xml:space="preserve">La apertura de las </w:t>
      </w:r>
      <w:r>
        <w:rPr>
          <w:rFonts w:ascii="Arial" w:hAnsi="Arial"/>
        </w:rPr>
        <w:t xml:space="preserve">ofertas se llevará a cabo en la </w:t>
      </w:r>
      <w:r w:rsidRPr="00143388">
        <w:rPr>
          <w:rFonts w:ascii="Arial" w:hAnsi="Arial"/>
          <w:b/>
        </w:rPr>
        <w:t xml:space="preserve">Sala de Reuniones de la Comisión Asesora (CAA) </w:t>
      </w:r>
      <w:r w:rsidRPr="008D4D12">
        <w:rPr>
          <w:rFonts w:ascii="Arial" w:hAnsi="Arial"/>
        </w:rPr>
        <w:t xml:space="preserve">del edificio sito en Av. Libertador Brig. Gral. Lavalleja 1464, 1er. piso, </w:t>
      </w:r>
      <w:r w:rsidRPr="008D4D12">
        <w:rPr>
          <w:rFonts w:ascii="Arial" w:hAnsi="Arial"/>
          <w:b/>
        </w:rPr>
        <w:t xml:space="preserve">el día </w:t>
      </w:r>
      <w:r w:rsidR="00835A7C">
        <w:rPr>
          <w:rFonts w:ascii="Arial" w:hAnsi="Arial"/>
          <w:b/>
        </w:rPr>
        <w:t>2</w:t>
      </w:r>
      <w:r w:rsidR="000003EE">
        <w:rPr>
          <w:rFonts w:ascii="Arial" w:hAnsi="Arial"/>
          <w:b/>
        </w:rPr>
        <w:t xml:space="preserve"> de ma</w:t>
      </w:r>
      <w:r w:rsidR="00835A7C">
        <w:rPr>
          <w:rFonts w:ascii="Arial" w:hAnsi="Arial"/>
          <w:b/>
        </w:rPr>
        <w:t>y</w:t>
      </w:r>
      <w:bookmarkStart w:id="10" w:name="_GoBack"/>
      <w:bookmarkEnd w:id="10"/>
      <w:r w:rsidR="000003EE">
        <w:rPr>
          <w:rFonts w:ascii="Arial" w:hAnsi="Arial"/>
          <w:b/>
        </w:rPr>
        <w:t xml:space="preserve">o </w:t>
      </w:r>
      <w:r>
        <w:rPr>
          <w:rFonts w:ascii="Arial" w:hAnsi="Arial"/>
          <w:b/>
        </w:rPr>
        <w:t>de 20</w:t>
      </w:r>
      <w:r w:rsidR="00DE2C03">
        <w:rPr>
          <w:rFonts w:ascii="Arial" w:hAnsi="Arial"/>
          <w:b/>
        </w:rPr>
        <w:t>2</w:t>
      </w:r>
      <w:r w:rsidR="007729C9">
        <w:rPr>
          <w:rFonts w:ascii="Arial" w:hAnsi="Arial"/>
          <w:b/>
        </w:rPr>
        <w:t>2</w:t>
      </w:r>
      <w:r w:rsidRPr="008D4D12">
        <w:rPr>
          <w:rFonts w:ascii="Arial" w:hAnsi="Arial"/>
          <w:b/>
        </w:rPr>
        <w:t>,</w:t>
      </w:r>
      <w:r w:rsidRPr="008D4D12">
        <w:rPr>
          <w:rFonts w:ascii="Arial" w:hAnsi="Arial"/>
        </w:rPr>
        <w:t xml:space="preserve"> </w:t>
      </w:r>
      <w:r w:rsidRPr="008D4D12">
        <w:rPr>
          <w:rFonts w:ascii="Arial" w:hAnsi="Arial"/>
          <w:b/>
        </w:rPr>
        <w:t xml:space="preserve">a las </w:t>
      </w:r>
      <w:r w:rsidR="000003EE">
        <w:rPr>
          <w:rFonts w:ascii="Arial" w:hAnsi="Arial"/>
          <w:b/>
        </w:rPr>
        <w:t>13</w:t>
      </w:r>
      <w:r>
        <w:rPr>
          <w:rFonts w:ascii="Arial" w:hAnsi="Arial"/>
          <w:b/>
        </w:rPr>
        <w:t>:00</w:t>
      </w:r>
      <w:r w:rsidRPr="008D4D12">
        <w:rPr>
          <w:rFonts w:ascii="Arial" w:hAnsi="Arial"/>
          <w:b/>
        </w:rPr>
        <w:t xml:space="preserve"> horas. </w:t>
      </w:r>
    </w:p>
    <w:p w:rsidR="00D8455E" w:rsidRPr="008D4D12" w:rsidRDefault="00D8455E" w:rsidP="00D8455E">
      <w:pPr>
        <w:ind w:firstLine="900"/>
        <w:jc w:val="both"/>
        <w:rPr>
          <w:rFonts w:ascii="Arial" w:hAnsi="Arial"/>
        </w:rPr>
      </w:pPr>
    </w:p>
    <w:p w:rsidR="00D8455E" w:rsidRPr="008D4D12" w:rsidRDefault="00932618" w:rsidP="00D8455E">
      <w:pPr>
        <w:ind w:firstLine="851"/>
        <w:jc w:val="both"/>
        <w:rPr>
          <w:rFonts w:ascii="Arial" w:hAnsi="Arial"/>
        </w:rPr>
      </w:pPr>
      <w:r>
        <w:rPr>
          <w:rFonts w:ascii="Arial" w:hAnsi="Arial"/>
        </w:rPr>
        <w:t>Las ofertas que no lleguen hasta la hora estipulada no serán recibidas.</w:t>
      </w:r>
    </w:p>
    <w:p w:rsidR="00564750" w:rsidRPr="00ED4186" w:rsidRDefault="00564750" w:rsidP="00F04DF5">
      <w:pPr>
        <w:pStyle w:val="Prrafodelista"/>
        <w:suppressAutoHyphens/>
        <w:spacing w:line="360" w:lineRule="auto"/>
        <w:ind w:left="1353"/>
        <w:jc w:val="both"/>
        <w:rPr>
          <w:rFonts w:ascii="Arial" w:hAnsi="Arial" w:cs="Arial"/>
          <w:b/>
          <w:bCs/>
          <w:spacing w:val="-3"/>
        </w:rPr>
      </w:pPr>
    </w:p>
    <w:p w:rsidR="00F04DF5" w:rsidRPr="00ED4186" w:rsidRDefault="00F04DF5" w:rsidP="00FB2AC1">
      <w:pPr>
        <w:pStyle w:val="Prrafodelista"/>
        <w:numPr>
          <w:ilvl w:val="0"/>
          <w:numId w:val="4"/>
        </w:numPr>
        <w:suppressAutoHyphens/>
        <w:spacing w:line="360" w:lineRule="auto"/>
        <w:rPr>
          <w:rFonts w:ascii="Arial" w:hAnsi="Arial" w:cs="Arial"/>
          <w:b/>
          <w:bCs/>
          <w:spacing w:val="-3"/>
        </w:rPr>
      </w:pPr>
      <w:r w:rsidRPr="00ED4186">
        <w:rPr>
          <w:rFonts w:ascii="Arial" w:hAnsi="Arial" w:cs="Arial"/>
          <w:b/>
          <w:bCs/>
          <w:spacing w:val="-3"/>
        </w:rPr>
        <w:t>INFORMACIÓN CONFIDENCIAL Y DATOS PERSONALES</w:t>
      </w:r>
    </w:p>
    <w:p w:rsidR="00F04DF5" w:rsidRPr="00ED4186" w:rsidRDefault="00F04DF5" w:rsidP="00F04DF5">
      <w:pPr>
        <w:suppressAutoHyphens/>
        <w:spacing w:line="360" w:lineRule="auto"/>
        <w:ind w:firstLine="993"/>
        <w:jc w:val="both"/>
        <w:rPr>
          <w:rFonts w:ascii="Arial" w:hAnsi="Arial" w:cs="Arial"/>
          <w:b/>
          <w:bCs/>
          <w:spacing w:val="-3"/>
        </w:rPr>
      </w:pPr>
    </w:p>
    <w:p w:rsidR="00F04DF5" w:rsidRPr="00ED4186" w:rsidRDefault="00F04DF5" w:rsidP="00F04DF5">
      <w:pPr>
        <w:pStyle w:val="Default"/>
        <w:spacing w:after="200" w:line="276" w:lineRule="auto"/>
        <w:ind w:firstLine="993"/>
        <w:jc w:val="both"/>
        <w:rPr>
          <w:rFonts w:eastAsia="Times New Roman"/>
          <w:color w:val="auto"/>
          <w:kern w:val="0"/>
          <w:lang w:val="es-ES" w:eastAsia="es-ES" w:bidi="ar-SA"/>
        </w:rPr>
      </w:pPr>
      <w:r w:rsidRPr="00ED4186">
        <w:rPr>
          <w:rFonts w:eastAsia="Times New Roman"/>
          <w:color w:val="auto"/>
          <w:kern w:val="0"/>
          <w:lang w:val="es-ES" w:eastAsia="es-ES" w:bidi="ar-SA"/>
        </w:rPr>
        <w:t xml:space="preserve">En caso de que los oferentes </w:t>
      </w:r>
      <w:r w:rsidRPr="00ED4186">
        <w:rPr>
          <w:rFonts w:eastAsia="Times New Roman"/>
          <w:b/>
          <w:color w:val="auto"/>
          <w:kern w:val="0"/>
          <w:lang w:val="es-ES" w:eastAsia="es-ES" w:bidi="ar-SA"/>
        </w:rPr>
        <w:t>presentaren información considerada confidencial</w:t>
      </w:r>
      <w:r w:rsidRPr="00ED4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w:t>
      </w:r>
      <w:r w:rsidR="00D8455E">
        <w:rPr>
          <w:rFonts w:eastAsia="Times New Roman"/>
          <w:color w:val="auto"/>
          <w:kern w:val="0"/>
          <w:lang w:val="es-ES" w:eastAsia="es-ES" w:bidi="ar-SA"/>
        </w:rPr>
        <w:t xml:space="preserve">indicar </w:t>
      </w:r>
      <w:r w:rsidRPr="00ED4186">
        <w:rPr>
          <w:rFonts w:eastAsia="Times New Roman"/>
          <w:color w:val="auto"/>
          <w:kern w:val="0"/>
          <w:lang w:val="es-ES" w:eastAsia="es-ES" w:bidi="ar-SA"/>
        </w:rPr>
        <w:t xml:space="preserve">expresamente tal carácter y en </w:t>
      </w:r>
      <w:r w:rsidR="00D8455E">
        <w:rPr>
          <w:rFonts w:eastAsia="Times New Roman"/>
          <w:color w:val="auto"/>
          <w:kern w:val="0"/>
          <w:lang w:val="es-ES" w:eastAsia="es-ES" w:bidi="ar-SA"/>
        </w:rPr>
        <w:t>sobre</w:t>
      </w:r>
      <w:r w:rsidRPr="00ED4186">
        <w:rPr>
          <w:rFonts w:eastAsia="Times New Roman"/>
          <w:color w:val="auto"/>
          <w:kern w:val="0"/>
          <w:lang w:val="es-ES" w:eastAsia="es-ES" w:bidi="ar-SA"/>
        </w:rPr>
        <w:t xml:space="preserve"> separado a la parte pública de su oferta. </w:t>
      </w:r>
    </w:p>
    <w:p w:rsidR="00F04DF5" w:rsidRPr="00ED4186" w:rsidRDefault="00F04DF5" w:rsidP="00F04DF5">
      <w:pPr>
        <w:pStyle w:val="Default"/>
        <w:spacing w:after="200" w:line="276" w:lineRule="auto"/>
        <w:jc w:val="both"/>
        <w:rPr>
          <w:rFonts w:eastAsia="Times New Roman"/>
          <w:color w:val="auto"/>
          <w:kern w:val="0"/>
          <w:lang w:val="es-ES" w:eastAsia="es-ES" w:bidi="ar-SA"/>
        </w:rPr>
      </w:pPr>
      <w:r w:rsidRPr="00ED4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Información confidencial </w:t>
            </w:r>
          </w:p>
        </w:tc>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Información no confidencial</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sus clientes.</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los precios.</w:t>
            </w:r>
          </w:p>
        </w:tc>
      </w:tr>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pueda ser objeto de propiedad intelectual.</w:t>
            </w:r>
          </w:p>
        </w:tc>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descripción de bienes y servicios ofertados.</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refiera al patrimonio del oferente.</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Las condiciones generales de la oferta.</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comprenda hechos o actos de carácter económico, contable, jurídico o administrativo, relativos al oferente, que pudiera ser útil para un competidor.</w:t>
            </w:r>
          </w:p>
        </w:tc>
      </w:tr>
      <w:tr w:rsidR="00F04DF5" w:rsidRPr="00ED4186" w:rsidTr="000E401B">
        <w:trPr>
          <w:gridAfter w:val="1"/>
          <w:wAfter w:w="4479" w:type="dxa"/>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esté amparada en una cláusula contractual de confidencialidad.</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 xml:space="preserve">Información de naturaleza similar conforme a lo dispuesto en la Ley de Acceso a la Información (Ley Nº </w:t>
            </w:r>
            <w:r w:rsidRPr="00ED4186">
              <w:rPr>
                <w:bCs/>
                <w:sz w:val="22"/>
                <w:szCs w:val="22"/>
              </w:rPr>
              <w:lastRenderedPageBreak/>
              <w:t>18.381), y demás normas concordantes y complementarias.</w:t>
            </w:r>
          </w:p>
        </w:tc>
      </w:tr>
    </w:tbl>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r w:rsidRPr="00ED4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Identificación</w:t>
            </w:r>
          </w:p>
        </w:tc>
        <w:tc>
          <w:tcPr>
            <w:tcW w:w="6582"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Detalle</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Resto de los oferentes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No tendrán acceso a la misma.</w:t>
            </w:r>
          </w:p>
        </w:tc>
      </w:tr>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Administración contratante </w:t>
            </w:r>
          </w:p>
        </w:tc>
        <w:tc>
          <w:tcPr>
            <w:tcW w:w="6582"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Tribunal de Cuentas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bl>
    <w:p w:rsidR="00F04DF5" w:rsidRPr="00ED4186" w:rsidRDefault="00F04DF5" w:rsidP="00F04DF5">
      <w:pPr>
        <w:pStyle w:val="Default"/>
        <w:spacing w:after="200" w:line="276" w:lineRule="auto"/>
        <w:jc w:val="both"/>
        <w:rPr>
          <w:b/>
          <w:bCs/>
          <w:sz w:val="22"/>
          <w:szCs w:val="22"/>
          <w:u w:val="single"/>
        </w:rPr>
      </w:pPr>
    </w:p>
    <w:p w:rsidR="00F04DF5" w:rsidRPr="00ED4186" w:rsidRDefault="00F04DF5" w:rsidP="00F04DF5">
      <w:pPr>
        <w:pStyle w:val="Default"/>
        <w:spacing w:after="200" w:line="276" w:lineRule="auto"/>
        <w:ind w:firstLine="1134"/>
        <w:jc w:val="both"/>
        <w:rPr>
          <w:bCs/>
        </w:rPr>
      </w:pPr>
      <w:r w:rsidRPr="00ED4186">
        <w:rPr>
          <w:b/>
          <w:bCs/>
          <w:u w:val="single"/>
        </w:rPr>
        <w:t>Notas:</w:t>
      </w:r>
      <w:r w:rsidRPr="00ED4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ED4186" w:rsidRDefault="00F04DF5" w:rsidP="00F04DF5">
      <w:pPr>
        <w:pStyle w:val="Default"/>
        <w:spacing w:after="200" w:line="276" w:lineRule="auto"/>
        <w:ind w:firstLine="1134"/>
        <w:jc w:val="both"/>
        <w:rPr>
          <w:bCs/>
        </w:rPr>
      </w:pPr>
      <w:r w:rsidRPr="00ED4186">
        <w:rPr>
          <w:b/>
          <w:bCs/>
        </w:rPr>
        <w:t>La clasificación de la documentación en carácter de confidencial es de exclusiva responsabilidad del proveedor.</w:t>
      </w:r>
      <w:r w:rsidRPr="00ED4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D4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D4186" w:rsidTr="000E401B">
        <w:trPr>
          <w:trHeight w:val="567"/>
        </w:trPr>
        <w:tc>
          <w:tcPr>
            <w:tcW w:w="2218" w:type="dxa"/>
          </w:tcPr>
          <w:p w:rsidR="00F04DF5" w:rsidRPr="00ED4186" w:rsidRDefault="00F04DF5" w:rsidP="000E401B">
            <w:pPr>
              <w:pStyle w:val="Default"/>
              <w:spacing w:after="200" w:line="276" w:lineRule="auto"/>
              <w:rPr>
                <w:color w:val="00000A"/>
                <w:sz w:val="22"/>
                <w:szCs w:val="22"/>
              </w:rPr>
            </w:pPr>
            <w:r w:rsidRPr="00ED4186">
              <w:rPr>
                <w:color w:val="00000A"/>
                <w:sz w:val="22"/>
                <w:szCs w:val="22"/>
              </w:rPr>
              <w:lastRenderedPageBreak/>
              <w:t>Resumen no confidencial</w:t>
            </w:r>
          </w:p>
        </w:tc>
        <w:tc>
          <w:tcPr>
            <w:tcW w:w="6590" w:type="dxa"/>
          </w:tcPr>
          <w:p w:rsidR="00F04DF5" w:rsidRPr="00ED4186" w:rsidRDefault="00F04DF5" w:rsidP="000E401B">
            <w:pPr>
              <w:pStyle w:val="Default"/>
              <w:spacing w:after="200" w:line="276" w:lineRule="auto"/>
              <w:rPr>
                <w:color w:val="00000A"/>
                <w:sz w:val="22"/>
                <w:szCs w:val="22"/>
              </w:rPr>
            </w:pPr>
            <w:r w:rsidRPr="00ED4186">
              <w:rPr>
                <w:bCs/>
                <w:sz w:val="22"/>
                <w:szCs w:val="22"/>
              </w:rPr>
              <w:t xml:space="preserve">Deberá presentarse en la parte pública de su oferta un </w:t>
            </w:r>
            <w:r w:rsidRPr="00ED4186">
              <w:rPr>
                <w:bCs/>
                <w:sz w:val="22"/>
                <w:szCs w:val="22"/>
                <w:u w:val="single"/>
              </w:rPr>
              <w:t xml:space="preserve">“resumen no confidencial”, breve y conciso, que especifique a qué refiere la información calificada como confidencial </w:t>
            </w:r>
            <w:r w:rsidRPr="00ED4186">
              <w:rPr>
                <w:bCs/>
                <w:sz w:val="22"/>
                <w:szCs w:val="22"/>
              </w:rPr>
              <w:t>(Decreto N° 232/010 de 2 de agosto de 2010).</w:t>
            </w:r>
          </w:p>
        </w:tc>
      </w:tr>
    </w:tbl>
    <w:p w:rsidR="0053445C" w:rsidRPr="00ED4186" w:rsidRDefault="0053445C" w:rsidP="0053445C">
      <w:pPr>
        <w:ind w:firstLine="900"/>
        <w:jc w:val="both"/>
        <w:rPr>
          <w:rFonts w:ascii="Arial" w:hAnsi="Arial" w:cs="Arial"/>
        </w:rPr>
      </w:pPr>
    </w:p>
    <w:p w:rsidR="00783232" w:rsidRDefault="00783232" w:rsidP="00941332">
      <w:pPr>
        <w:jc w:val="both"/>
        <w:rPr>
          <w:rFonts w:ascii="Arial" w:hAnsi="Arial" w:cs="Arial"/>
          <w:b/>
        </w:rPr>
      </w:pPr>
    </w:p>
    <w:p w:rsidR="002B4504" w:rsidRPr="00ED4186" w:rsidRDefault="002B4504" w:rsidP="0053445C">
      <w:pPr>
        <w:ind w:firstLine="900"/>
        <w:jc w:val="both"/>
        <w:rPr>
          <w:rFonts w:ascii="Arial" w:hAnsi="Arial" w:cs="Arial"/>
          <w:b/>
          <w:bCs/>
        </w:rPr>
      </w:pPr>
    </w:p>
    <w:p w:rsidR="00B52ECE" w:rsidRPr="00ED4186" w:rsidRDefault="00B52ECE" w:rsidP="0053445C">
      <w:pPr>
        <w:jc w:val="both"/>
        <w:rPr>
          <w:rFonts w:ascii="Arial" w:hAnsi="Arial" w:cs="Arial"/>
          <w:b/>
          <w:bCs/>
        </w:rPr>
      </w:pPr>
    </w:p>
    <w:p w:rsidR="0053445C" w:rsidRPr="00671001" w:rsidRDefault="0053445C" w:rsidP="00671001">
      <w:pPr>
        <w:pStyle w:val="Ttulo1"/>
        <w:rPr>
          <w:b/>
        </w:rPr>
      </w:pPr>
      <w:bookmarkStart w:id="11" w:name="_Toc99369824"/>
      <w:r w:rsidRPr="00671001">
        <w:rPr>
          <w:b/>
        </w:rPr>
        <w:t>Art. 1</w:t>
      </w:r>
      <w:r w:rsidR="006B4D57" w:rsidRPr="00671001">
        <w:rPr>
          <w:b/>
        </w:rPr>
        <w:t>0</w:t>
      </w:r>
      <w:r w:rsidRPr="00671001">
        <w:rPr>
          <w:b/>
        </w:rPr>
        <w:t>. FACTORES PARA EVALUAR LAS PROPUESTAS.</w:t>
      </w:r>
      <w:bookmarkEnd w:id="11"/>
      <w:r w:rsidRPr="00671001">
        <w:rPr>
          <w:b/>
        </w:rPr>
        <w:t xml:space="preserve"> </w:t>
      </w:r>
    </w:p>
    <w:p w:rsidR="0053445C" w:rsidRPr="00ED4186" w:rsidRDefault="0053445C" w:rsidP="0053445C">
      <w:pPr>
        <w:jc w:val="both"/>
        <w:rPr>
          <w:rFonts w:ascii="Arial" w:hAnsi="Arial" w:cs="Arial"/>
        </w:rPr>
      </w:pPr>
    </w:p>
    <w:p w:rsidR="007E48CD" w:rsidRPr="00ED4186" w:rsidRDefault="007E48CD" w:rsidP="006E66F4">
      <w:pPr>
        <w:tabs>
          <w:tab w:val="left" w:pos="-720"/>
        </w:tabs>
        <w:suppressAutoHyphens/>
        <w:ind w:firstLine="851"/>
        <w:jc w:val="both"/>
        <w:rPr>
          <w:rFonts w:ascii="Arial" w:hAnsi="Arial" w:cs="Arial"/>
        </w:rPr>
      </w:pPr>
    </w:p>
    <w:p w:rsidR="006E66F4" w:rsidRPr="006D5300" w:rsidRDefault="00056838" w:rsidP="006D5300">
      <w:pPr>
        <w:tabs>
          <w:tab w:val="left" w:pos="-720"/>
        </w:tabs>
        <w:suppressAutoHyphens/>
        <w:jc w:val="both"/>
        <w:rPr>
          <w:rFonts w:ascii="Arial" w:hAnsi="Arial" w:cs="Arial"/>
        </w:rPr>
      </w:pPr>
      <w:r w:rsidRPr="006D5300">
        <w:rPr>
          <w:rFonts w:ascii="Arial" w:hAnsi="Arial" w:cs="Arial"/>
          <w:b/>
        </w:rPr>
        <w:t>Precio:</w:t>
      </w:r>
      <w:r w:rsidRPr="006D5300">
        <w:rPr>
          <w:rFonts w:ascii="Arial" w:hAnsi="Arial" w:cs="Arial"/>
        </w:rPr>
        <w:t xml:space="preserve"> – hasta </w:t>
      </w:r>
      <w:r w:rsidR="00167F10" w:rsidRPr="006D5300">
        <w:rPr>
          <w:rFonts w:ascii="Arial" w:hAnsi="Arial" w:cs="Arial"/>
        </w:rPr>
        <w:t>100</w:t>
      </w:r>
      <w:r w:rsidRPr="006D5300">
        <w:rPr>
          <w:rFonts w:ascii="Arial" w:hAnsi="Arial" w:cs="Arial"/>
        </w:rPr>
        <w:t xml:space="preserve"> puntos, se adjudicará el máximo puntaje a la oferta más económica y se prorratearán las restantes.</w:t>
      </w:r>
    </w:p>
    <w:p w:rsidR="00297CC2" w:rsidRDefault="00297CC2" w:rsidP="00167F10">
      <w:pPr>
        <w:pStyle w:val="Prrafodelista"/>
        <w:tabs>
          <w:tab w:val="left" w:pos="-720"/>
        </w:tabs>
        <w:suppressAutoHyphens/>
        <w:ind w:left="1080"/>
        <w:jc w:val="both"/>
        <w:rPr>
          <w:rFonts w:ascii="Arial" w:hAnsi="Arial" w:cs="Arial"/>
        </w:rPr>
      </w:pPr>
    </w:p>
    <w:p w:rsidR="006D5300" w:rsidRPr="00BD384B" w:rsidRDefault="007729C9" w:rsidP="006D5300">
      <w:pPr>
        <w:pStyle w:val="Prrafobsico"/>
        <w:suppressAutoHyphens/>
        <w:ind w:right="-149"/>
        <w:jc w:val="both"/>
        <w:rPr>
          <w:rFonts w:ascii="Arial" w:hAnsi="Arial" w:cs="Arial"/>
        </w:rPr>
      </w:pPr>
      <w:r w:rsidRPr="007729C9">
        <w:rPr>
          <w:rFonts w:ascii="Arial" w:hAnsi="Arial" w:cs="Arial"/>
          <w:b/>
        </w:rPr>
        <w:t>Antecedentes negativos</w:t>
      </w:r>
      <w:r>
        <w:rPr>
          <w:rFonts w:ascii="Arial" w:hAnsi="Arial" w:cs="Arial"/>
          <w:b/>
        </w:rPr>
        <w:t xml:space="preserve">: </w:t>
      </w:r>
      <w:r w:rsidR="006D5300" w:rsidRPr="00BD384B">
        <w:rPr>
          <w:rFonts w:ascii="Arial" w:hAnsi="Arial" w:cs="Arial"/>
        </w:rPr>
        <w:t>En caso de contar con antecedentes negativos en el RUPE, se realizarán los siguientes descuentos:</w:t>
      </w:r>
    </w:p>
    <w:p w:rsidR="006D5300" w:rsidRPr="00BD384B" w:rsidRDefault="006D5300" w:rsidP="006D5300">
      <w:pPr>
        <w:pStyle w:val="Prrafobsico"/>
        <w:numPr>
          <w:ilvl w:val="0"/>
          <w:numId w:val="22"/>
        </w:numPr>
        <w:suppressAutoHyphens/>
        <w:ind w:right="-149"/>
        <w:jc w:val="both"/>
        <w:rPr>
          <w:rFonts w:ascii="Arial" w:hAnsi="Arial" w:cs="Arial"/>
        </w:rPr>
      </w:pPr>
      <w:r w:rsidRPr="00BD384B">
        <w:rPr>
          <w:rFonts w:ascii="Arial" w:hAnsi="Arial" w:cs="Arial"/>
        </w:rPr>
        <w:t>Advertencia. 1 punto.</w:t>
      </w:r>
    </w:p>
    <w:p w:rsidR="006D5300" w:rsidRPr="00BD384B" w:rsidRDefault="006D5300" w:rsidP="006D5300">
      <w:pPr>
        <w:pStyle w:val="Prrafobsico"/>
        <w:numPr>
          <w:ilvl w:val="0"/>
          <w:numId w:val="22"/>
        </w:numPr>
        <w:suppressAutoHyphens/>
        <w:ind w:right="-149"/>
        <w:jc w:val="both"/>
        <w:rPr>
          <w:rFonts w:ascii="Arial" w:hAnsi="Arial" w:cs="Arial"/>
        </w:rPr>
      </w:pPr>
      <w:r w:rsidRPr="00BD384B">
        <w:rPr>
          <w:rFonts w:ascii="Arial" w:hAnsi="Arial" w:cs="Arial"/>
        </w:rPr>
        <w:t>Suspensión. 2</w:t>
      </w:r>
      <w:r>
        <w:rPr>
          <w:rFonts w:ascii="Arial" w:hAnsi="Arial" w:cs="Arial"/>
        </w:rPr>
        <w:t xml:space="preserve"> </w:t>
      </w:r>
      <w:r w:rsidRPr="00BD384B">
        <w:rPr>
          <w:rFonts w:ascii="Arial" w:hAnsi="Arial" w:cs="Arial"/>
        </w:rPr>
        <w:t>puntos.</w:t>
      </w:r>
    </w:p>
    <w:p w:rsidR="006D5300" w:rsidRPr="00BD384B" w:rsidRDefault="006D5300" w:rsidP="006D5300">
      <w:pPr>
        <w:pStyle w:val="Prrafobsico"/>
        <w:numPr>
          <w:ilvl w:val="0"/>
          <w:numId w:val="22"/>
        </w:numPr>
        <w:suppressAutoHyphens/>
        <w:ind w:right="-149"/>
        <w:jc w:val="both"/>
        <w:rPr>
          <w:rFonts w:ascii="Arial" w:hAnsi="Arial" w:cs="Arial"/>
        </w:rPr>
      </w:pPr>
      <w:r w:rsidRPr="00BD384B">
        <w:rPr>
          <w:rFonts w:ascii="Arial" w:hAnsi="Arial" w:cs="Arial"/>
        </w:rPr>
        <w:t>Eliminación del infractor como proveedor de</w:t>
      </w:r>
      <w:r>
        <w:rPr>
          <w:rFonts w:ascii="Arial" w:hAnsi="Arial" w:cs="Arial"/>
        </w:rPr>
        <w:t xml:space="preserve"> un organismo</w:t>
      </w:r>
      <w:r w:rsidRPr="00BD384B">
        <w:rPr>
          <w:rFonts w:ascii="Arial" w:hAnsi="Arial" w:cs="Arial"/>
        </w:rPr>
        <w:t xml:space="preserve">. </w:t>
      </w:r>
      <w:r>
        <w:rPr>
          <w:rFonts w:ascii="Arial" w:hAnsi="Arial" w:cs="Arial"/>
        </w:rPr>
        <w:t xml:space="preserve">4 </w:t>
      </w:r>
      <w:r w:rsidRPr="00BD384B">
        <w:rPr>
          <w:rFonts w:ascii="Arial" w:hAnsi="Arial" w:cs="Arial"/>
        </w:rPr>
        <w:t>puntos.</w:t>
      </w:r>
    </w:p>
    <w:p w:rsidR="006D5300" w:rsidRDefault="006D5300" w:rsidP="006D5300">
      <w:pPr>
        <w:pStyle w:val="Prrafobsico"/>
        <w:suppressAutoHyphens/>
        <w:ind w:right="-149"/>
        <w:jc w:val="both"/>
        <w:rPr>
          <w:rFonts w:ascii="Arial" w:hAnsi="Arial" w:cs="Arial"/>
        </w:rPr>
      </w:pPr>
    </w:p>
    <w:p w:rsidR="006D5300" w:rsidRPr="00BD384B" w:rsidRDefault="006D5300" w:rsidP="006D5300">
      <w:pPr>
        <w:pStyle w:val="Prrafobsico"/>
        <w:suppressAutoHyphens/>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rsidR="006D5300" w:rsidRDefault="006D5300" w:rsidP="006D5300">
      <w:pPr>
        <w:pStyle w:val="Prrafobsico"/>
        <w:suppressAutoHyphens/>
        <w:ind w:right="-149"/>
        <w:jc w:val="both"/>
        <w:rPr>
          <w:rFonts w:ascii="Arial" w:hAnsi="Arial" w:cs="Arial"/>
        </w:rPr>
      </w:pPr>
    </w:p>
    <w:p w:rsidR="006D5300" w:rsidRPr="00BD384B" w:rsidRDefault="006D5300" w:rsidP="006D5300">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últimos </w:t>
      </w:r>
      <w:r>
        <w:rPr>
          <w:rFonts w:ascii="Arial" w:hAnsi="Arial" w:cs="Arial"/>
        </w:rPr>
        <w:t>5</w:t>
      </w:r>
      <w:r w:rsidRPr="00BD384B">
        <w:rPr>
          <w:rFonts w:ascii="Arial" w:hAnsi="Arial" w:cs="Arial"/>
        </w:rPr>
        <w:t xml:space="preserve"> años y no se descontarán, sumando todas las sancione</w:t>
      </w:r>
      <w:r>
        <w:rPr>
          <w:rFonts w:ascii="Arial" w:hAnsi="Arial" w:cs="Arial"/>
        </w:rPr>
        <w:t>s inscriptas, más de 15 puntos</w:t>
      </w:r>
    </w:p>
    <w:p w:rsidR="006D5300" w:rsidRDefault="006D5300" w:rsidP="00167F10">
      <w:pPr>
        <w:pStyle w:val="Prrafodelista"/>
        <w:tabs>
          <w:tab w:val="left" w:pos="-720"/>
        </w:tabs>
        <w:suppressAutoHyphens/>
        <w:ind w:left="1080"/>
        <w:jc w:val="both"/>
        <w:rPr>
          <w:rFonts w:ascii="Arial" w:hAnsi="Arial" w:cs="Arial"/>
          <w:b/>
        </w:rPr>
      </w:pPr>
    </w:p>
    <w:p w:rsidR="006D5300" w:rsidRPr="007729C9" w:rsidRDefault="006D5300" w:rsidP="00167F10">
      <w:pPr>
        <w:pStyle w:val="Prrafodelista"/>
        <w:tabs>
          <w:tab w:val="left" w:pos="-720"/>
        </w:tabs>
        <w:suppressAutoHyphens/>
        <w:ind w:left="1080"/>
        <w:jc w:val="both"/>
        <w:rPr>
          <w:rFonts w:ascii="Arial" w:hAnsi="Arial" w:cs="Arial"/>
          <w:b/>
        </w:rPr>
      </w:pPr>
    </w:p>
    <w:p w:rsidR="00297CC2" w:rsidRDefault="00297CC2" w:rsidP="00297CC2">
      <w:pPr>
        <w:tabs>
          <w:tab w:val="left" w:pos="-720"/>
        </w:tabs>
        <w:suppressAutoHyphens/>
        <w:jc w:val="both"/>
        <w:rPr>
          <w:rFonts w:ascii="Arial" w:hAnsi="Arial" w:cs="Arial"/>
        </w:rPr>
      </w:pPr>
    </w:p>
    <w:p w:rsidR="00297CC2" w:rsidRPr="00671001" w:rsidRDefault="00297CC2" w:rsidP="00671001">
      <w:pPr>
        <w:pStyle w:val="Ttulo1"/>
        <w:rPr>
          <w:b/>
        </w:rPr>
      </w:pPr>
      <w:bookmarkStart w:id="12" w:name="_Toc99369825"/>
      <w:r w:rsidRPr="00671001">
        <w:rPr>
          <w:b/>
        </w:rPr>
        <w:t>Art. 11. PROPUESTAS ALTERNATIVAS</w:t>
      </w:r>
      <w:bookmarkEnd w:id="12"/>
    </w:p>
    <w:p w:rsidR="00297CC2" w:rsidRPr="00C91B41" w:rsidRDefault="00297CC2" w:rsidP="00297CC2">
      <w:pPr>
        <w:jc w:val="both"/>
        <w:rPr>
          <w:rFonts w:ascii="Arial" w:hAnsi="Arial" w:cs="Arial"/>
          <w:b/>
          <w:bCs/>
          <w:sz w:val="22"/>
          <w:szCs w:val="22"/>
        </w:rPr>
      </w:pPr>
    </w:p>
    <w:p w:rsidR="00297CC2" w:rsidRDefault="00297CC2" w:rsidP="00297CC2">
      <w:pPr>
        <w:jc w:val="both"/>
        <w:rPr>
          <w:rFonts w:ascii="Arial" w:hAnsi="Arial" w:cs="Arial"/>
          <w:bCs/>
          <w:sz w:val="22"/>
          <w:szCs w:val="22"/>
        </w:rPr>
      </w:pPr>
      <w:r w:rsidRPr="00C91B41">
        <w:rPr>
          <w:rFonts w:ascii="Arial" w:hAnsi="Arial" w:cs="Arial"/>
          <w:bCs/>
          <w:sz w:val="22"/>
          <w:szCs w:val="22"/>
        </w:rPr>
        <w:t xml:space="preserve">           Podrán presentarse modificaciones, alternativas o variantes a la propuesta básica regulada en este pliego en aplicación del Art. 63 inciso 4 del T.O.C.A.F.</w:t>
      </w:r>
    </w:p>
    <w:p w:rsidR="007E48CD" w:rsidRPr="00ED4186" w:rsidRDefault="007E48CD" w:rsidP="007E48CD">
      <w:pPr>
        <w:pStyle w:val="Prrafodelista"/>
        <w:tabs>
          <w:tab w:val="left" w:pos="-720"/>
        </w:tabs>
        <w:suppressAutoHyphens/>
        <w:ind w:left="1440"/>
        <w:jc w:val="both"/>
        <w:rPr>
          <w:rFonts w:ascii="Arial" w:hAnsi="Arial" w:cs="Arial"/>
        </w:rPr>
      </w:pPr>
    </w:p>
    <w:p w:rsidR="0053445C" w:rsidRPr="00ED4186" w:rsidRDefault="0053445C" w:rsidP="0053445C">
      <w:pPr>
        <w:ind w:firstLine="840"/>
        <w:jc w:val="both"/>
        <w:rPr>
          <w:rFonts w:ascii="Arial" w:hAnsi="Arial" w:cs="Arial"/>
          <w:lang w:val="es-ES_tradnl"/>
        </w:rPr>
      </w:pPr>
    </w:p>
    <w:p w:rsidR="0053445C" w:rsidRPr="00671001" w:rsidRDefault="0053445C" w:rsidP="00671001">
      <w:pPr>
        <w:pStyle w:val="Ttulo1"/>
        <w:rPr>
          <w:b/>
        </w:rPr>
      </w:pPr>
      <w:bookmarkStart w:id="13" w:name="_Toc99369826"/>
      <w:r w:rsidRPr="00671001">
        <w:rPr>
          <w:b/>
        </w:rPr>
        <w:t xml:space="preserve">Art. </w:t>
      </w:r>
      <w:r w:rsidR="006B4D57" w:rsidRPr="00671001">
        <w:rPr>
          <w:b/>
        </w:rPr>
        <w:t>1</w:t>
      </w:r>
      <w:r w:rsidR="00297CC2" w:rsidRPr="00671001">
        <w:rPr>
          <w:b/>
        </w:rPr>
        <w:t>2</w:t>
      </w:r>
      <w:r w:rsidRPr="00671001">
        <w:rPr>
          <w:b/>
        </w:rPr>
        <w:t>. MEJORA DE OFERTA Y NEGOCIACIONES.</w:t>
      </w:r>
      <w:bookmarkEnd w:id="13"/>
    </w:p>
    <w:p w:rsidR="0053445C" w:rsidRPr="00ED4186" w:rsidRDefault="0053445C" w:rsidP="0053445C">
      <w:pPr>
        <w:jc w:val="both"/>
        <w:rPr>
          <w:rFonts w:ascii="Arial" w:hAnsi="Arial" w:cs="Arial"/>
          <w:sz w:val="20"/>
          <w:szCs w:val="20"/>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De acuerdo con los términos definidos por el Art. N° 66 del T.O.C.A.F.,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invitar a los oferentes respectivos a mejorar sus ofertas, otorgando a esos efectos un plazo no menor a dos días para presentarla.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lastRenderedPageBreak/>
        <w:t xml:space="preserve">En caso de existir ofertas similares,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entablar negociaciones con aquellas oferentes que precalifiquen a tal efecto, a fin de obtener mejores condiciones técnicas de precio, plazo o precio.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D4186">
          <w:rPr>
            <w:rFonts w:ascii="Arial" w:hAnsi="Arial" w:cs="Arial"/>
            <w:lang w:val="es-ES_tradnl"/>
          </w:rPr>
          <w:t>la Comisión Asesora</w:t>
        </w:r>
      </w:smartTag>
      <w:r w:rsidRPr="00ED4186">
        <w:rPr>
          <w:rFonts w:ascii="Arial" w:hAnsi="Arial" w:cs="Arial"/>
          <w:lang w:val="es-ES_tradnl"/>
        </w:rPr>
        <w:t xml:space="preserve"> de Adjudicaciones podrá entablar negociaciones tendientes a la mejora de ofertas con aquellos que la misma seleccione a tal efecto.</w:t>
      </w: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p>
    <w:p w:rsidR="0053445C" w:rsidRPr="00671001" w:rsidRDefault="0053445C" w:rsidP="00671001">
      <w:pPr>
        <w:pStyle w:val="Ttulo1"/>
        <w:rPr>
          <w:b/>
        </w:rPr>
      </w:pPr>
      <w:bookmarkStart w:id="14" w:name="_Toc99369827"/>
      <w:r w:rsidRPr="00671001">
        <w:rPr>
          <w:b/>
        </w:rPr>
        <w:t>Art. 1</w:t>
      </w:r>
      <w:r w:rsidR="00297CC2" w:rsidRPr="00671001">
        <w:rPr>
          <w:b/>
        </w:rPr>
        <w:t>3</w:t>
      </w:r>
      <w:r w:rsidRPr="00671001">
        <w:rPr>
          <w:b/>
        </w:rPr>
        <w:t>. AD</w:t>
      </w:r>
      <w:r w:rsidR="00135556" w:rsidRPr="00671001">
        <w:rPr>
          <w:b/>
        </w:rPr>
        <w:t>JUDICACIÓ</w:t>
      </w:r>
      <w:r w:rsidRPr="00671001">
        <w:rPr>
          <w:b/>
        </w:rPr>
        <w:t>N.</w:t>
      </w:r>
      <w:bookmarkEnd w:id="14"/>
    </w:p>
    <w:p w:rsidR="0053445C" w:rsidRPr="00ED4186" w:rsidRDefault="0053445C" w:rsidP="0053445C">
      <w:pPr>
        <w:ind w:firstLine="851"/>
        <w:jc w:val="both"/>
        <w:rPr>
          <w:rFonts w:ascii="Arial" w:hAnsi="Arial" w:cs="Arial"/>
        </w:rPr>
      </w:pPr>
    </w:p>
    <w:p w:rsidR="00AB0ED0" w:rsidRDefault="00135556" w:rsidP="00AB0ED0">
      <w:pPr>
        <w:ind w:firstLine="851"/>
        <w:jc w:val="both"/>
        <w:rPr>
          <w:rFonts w:ascii="Arial" w:hAnsi="Arial" w:cs="Arial"/>
          <w:lang w:val="es-ES_tradnl"/>
        </w:rPr>
      </w:pPr>
      <w:r w:rsidRPr="008068C4">
        <w:rPr>
          <w:rFonts w:ascii="Arial" w:hAnsi="Arial" w:cs="Arial"/>
          <w:lang w:val="es-ES_tradnl"/>
        </w:rPr>
        <w:t>La adjudicación se hará</w:t>
      </w:r>
      <w:r w:rsidR="004E5FAA" w:rsidRPr="008068C4">
        <w:rPr>
          <w:rFonts w:ascii="Arial" w:hAnsi="Arial" w:cs="Arial"/>
          <w:lang w:val="es-ES_tradnl"/>
        </w:rPr>
        <w:t xml:space="preserve"> por Renglón</w:t>
      </w:r>
      <w:r w:rsidRPr="008068C4">
        <w:rPr>
          <w:rFonts w:ascii="Arial" w:hAnsi="Arial" w:cs="Arial"/>
          <w:lang w:val="es-ES_tradnl"/>
        </w:rPr>
        <w:t xml:space="preserve"> de acuerdo al factor de evaluación que surge del </w:t>
      </w:r>
      <w:r w:rsidR="004E5FAA" w:rsidRPr="008068C4">
        <w:rPr>
          <w:rFonts w:ascii="Arial" w:hAnsi="Arial" w:cs="Arial"/>
          <w:lang w:val="es-ES_tradnl"/>
        </w:rPr>
        <w:t>artículo</w:t>
      </w:r>
      <w:r w:rsidRPr="008068C4">
        <w:rPr>
          <w:rFonts w:ascii="Arial" w:hAnsi="Arial" w:cs="Arial"/>
          <w:lang w:val="es-ES_tradnl"/>
        </w:rPr>
        <w:t xml:space="preserve"> 1</w:t>
      </w:r>
      <w:r w:rsidR="008068C4" w:rsidRPr="008068C4">
        <w:rPr>
          <w:rFonts w:ascii="Arial" w:hAnsi="Arial" w:cs="Arial"/>
          <w:lang w:val="es-ES_tradnl"/>
        </w:rPr>
        <w:t>0</w:t>
      </w:r>
      <w:r w:rsidRPr="008068C4">
        <w:rPr>
          <w:rFonts w:ascii="Arial" w:hAnsi="Arial" w:cs="Arial"/>
          <w:lang w:val="es-ES_tradnl"/>
        </w:rPr>
        <w:t>.</w:t>
      </w:r>
    </w:p>
    <w:p w:rsidR="00A75D52" w:rsidRPr="00ED4186" w:rsidRDefault="00A75D52" w:rsidP="00AB0ED0">
      <w:pPr>
        <w:ind w:firstLine="851"/>
        <w:jc w:val="both"/>
        <w:rPr>
          <w:rFonts w:ascii="Arial" w:hAnsi="Arial" w:cs="Arial"/>
          <w:lang w:val="es-ES_tradnl"/>
        </w:rPr>
      </w:pP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En el caso de que a juicio</w:t>
      </w:r>
      <w:r w:rsidR="00135556">
        <w:rPr>
          <w:rFonts w:ascii="Arial" w:hAnsi="Arial" w:cs="Arial"/>
          <w:lang w:val="es-ES_tradnl"/>
        </w:rPr>
        <w:t xml:space="preserve"> del BSE</w:t>
      </w:r>
      <w:r w:rsidRPr="00ED4186">
        <w:rPr>
          <w:rFonts w:ascii="Arial" w:hAnsi="Arial" w:cs="Arial"/>
          <w:lang w:val="es-ES_tradnl"/>
        </w:rPr>
        <w:t xml:space="preserve"> las propuestas no satisfagan sus requerimientos o resulten manifiestamente inconvenientes, podrá rechazar la totalidad de las ofertas presentadas, sin que implique responsabilidad </w:t>
      </w:r>
      <w:r w:rsidR="00135556">
        <w:rPr>
          <w:rFonts w:ascii="Arial" w:hAnsi="Arial" w:cs="Arial"/>
          <w:lang w:val="es-ES_tradnl"/>
        </w:rPr>
        <w:t>alguna del BSE</w:t>
      </w:r>
      <w:r w:rsidRPr="00ED4186">
        <w:rPr>
          <w:rFonts w:ascii="Arial" w:hAnsi="Arial" w:cs="Arial"/>
          <w:lang w:val="es-ES_tradnl"/>
        </w:rPr>
        <w:t>.</w:t>
      </w:r>
    </w:p>
    <w:p w:rsidR="00A75D52" w:rsidRDefault="00A75D52" w:rsidP="00AB0ED0">
      <w:pPr>
        <w:ind w:firstLine="851"/>
        <w:jc w:val="both"/>
        <w:rPr>
          <w:rFonts w:ascii="Arial" w:hAnsi="Arial" w:cs="Arial"/>
          <w:lang w:val="es-ES_tradnl"/>
        </w:rPr>
      </w:pPr>
    </w:p>
    <w:p w:rsidR="00AB0ED0" w:rsidRDefault="00AB0ED0" w:rsidP="00AB0ED0">
      <w:pPr>
        <w:ind w:firstLine="851"/>
        <w:jc w:val="both"/>
        <w:rPr>
          <w:rFonts w:ascii="Arial" w:hAnsi="Arial" w:cs="Arial"/>
          <w:lang w:val="es-ES_tradnl"/>
        </w:rPr>
      </w:pPr>
      <w:r w:rsidRPr="00ED4186">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D4186" w:rsidRDefault="00A75D52" w:rsidP="00AB0ED0">
      <w:pPr>
        <w:ind w:firstLine="851"/>
        <w:jc w:val="both"/>
        <w:rPr>
          <w:rFonts w:ascii="Arial" w:hAnsi="Arial" w:cs="Arial"/>
          <w:lang w:val="es-ES_tradnl"/>
        </w:rPr>
      </w:pPr>
    </w:p>
    <w:p w:rsidR="00AB0ED0" w:rsidRPr="00ED4186" w:rsidRDefault="00A75D52" w:rsidP="00AB0ED0">
      <w:pPr>
        <w:ind w:firstLine="851"/>
        <w:jc w:val="both"/>
        <w:rPr>
          <w:rFonts w:ascii="Arial" w:hAnsi="Arial" w:cs="Arial"/>
          <w:lang w:val="es-ES_tradnl"/>
        </w:rPr>
      </w:pPr>
      <w:r>
        <w:rPr>
          <w:rFonts w:ascii="Arial" w:hAnsi="Arial" w:cs="Arial"/>
          <w:lang w:val="es-ES_tradnl"/>
        </w:rPr>
        <w:t>De acuerdo a lo establecido por la Ley N° 17</w:t>
      </w:r>
      <w:r w:rsidR="00A85C6A">
        <w:rPr>
          <w:rFonts w:ascii="Arial" w:hAnsi="Arial" w:cs="Arial"/>
          <w:lang w:val="es-ES_tradnl"/>
        </w:rPr>
        <w:t>.</w:t>
      </w:r>
      <w:r>
        <w:rPr>
          <w:rFonts w:ascii="Arial" w:hAnsi="Arial" w:cs="Arial"/>
          <w:lang w:val="es-ES_tradnl"/>
        </w:rPr>
        <w:t>957,</w:t>
      </w:r>
      <w:r w:rsidR="00AB0ED0" w:rsidRPr="00ED4186">
        <w:rPr>
          <w:rFonts w:ascii="Arial" w:hAnsi="Arial" w:cs="Arial"/>
          <w:lang w:val="es-ES_tradnl"/>
        </w:rPr>
        <w:t xml:space="preserve"> </w:t>
      </w:r>
      <w:r>
        <w:rPr>
          <w:rFonts w:ascii="Arial" w:hAnsi="Arial" w:cs="Arial"/>
          <w:lang w:val="es-ES_tradnl"/>
        </w:rPr>
        <w:t>el BSE</w:t>
      </w:r>
      <w:r w:rsidR="00AB0ED0" w:rsidRPr="00ED4186">
        <w:rPr>
          <w:rFonts w:ascii="Arial" w:hAnsi="Arial" w:cs="Arial"/>
          <w:lang w:val="es-ES_tradnl"/>
        </w:rPr>
        <w:t xml:space="preserve"> en forma previa a la adjudicación, verificará si los posibles contratantes o cualquiera de s</w:t>
      </w:r>
      <w:r w:rsidR="009B02AD">
        <w:rPr>
          <w:rFonts w:ascii="Arial" w:hAnsi="Arial" w:cs="Arial"/>
          <w:lang w:val="es-ES_tradnl"/>
        </w:rPr>
        <w:t>us directores o administradores (</w:t>
      </w:r>
      <w:r w:rsidR="00AB0ED0" w:rsidRPr="00ED4186">
        <w:rPr>
          <w:rFonts w:ascii="Arial" w:hAnsi="Arial" w:cs="Arial"/>
          <w:lang w:val="es-ES_tradnl"/>
        </w:rPr>
        <w:t>cuando</w:t>
      </w:r>
      <w:r w:rsidR="009B02AD">
        <w:rPr>
          <w:rFonts w:ascii="Arial" w:hAnsi="Arial" w:cs="Arial"/>
          <w:lang w:val="es-ES_tradnl"/>
        </w:rPr>
        <w:t xml:space="preserve"> se trate de personas jurídicas)</w:t>
      </w:r>
      <w:r w:rsidR="00AB0ED0" w:rsidRPr="00ED4186">
        <w:rPr>
          <w:rFonts w:ascii="Arial" w:hAnsi="Arial" w:cs="Arial"/>
          <w:lang w:val="es-ES_tradnl"/>
        </w:rPr>
        <w:t xml:space="preserve"> se encuentran inscriptos como deudores alimentarios en el Registro Nacional de Actos Personales - Sección Interdicciones.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 xml:space="preserve">Si alguno de ellos figurare en dicho Registro, el BSE no podrá adjudicar el llamado al deudor según lo dispuesto por el Art. 6° de la citada Ley.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La Institución quedará facultada a contratar con el siguiente oferente que se halle en las condiciones exigibles.</w:t>
      </w:r>
    </w:p>
    <w:p w:rsidR="0053445C" w:rsidRPr="00ED4186" w:rsidRDefault="0053445C" w:rsidP="0053445C">
      <w:pPr>
        <w:ind w:firstLine="851"/>
        <w:jc w:val="both"/>
        <w:rPr>
          <w:rFonts w:ascii="Arial" w:hAnsi="Arial" w:cs="Arial"/>
        </w:rPr>
      </w:pPr>
    </w:p>
    <w:p w:rsidR="0053445C" w:rsidRPr="00671001" w:rsidRDefault="00354BAF" w:rsidP="00671001">
      <w:pPr>
        <w:pStyle w:val="Subttulo"/>
        <w:rPr>
          <w:b/>
        </w:rPr>
      </w:pPr>
      <w:r w:rsidRPr="00671001">
        <w:rPr>
          <w:b/>
        </w:rPr>
        <w:t>1</w:t>
      </w:r>
      <w:r w:rsidR="00297CC2" w:rsidRPr="00671001">
        <w:rPr>
          <w:b/>
        </w:rPr>
        <w:t>3</w:t>
      </w:r>
      <w:r w:rsidR="0053445C" w:rsidRPr="00671001">
        <w:rPr>
          <w:b/>
        </w:rPr>
        <w:t>.1. Requisitos formales a acreditar por el Adjudicatario:</w:t>
      </w:r>
    </w:p>
    <w:p w:rsidR="0053445C" w:rsidRPr="00ED4186" w:rsidRDefault="0053445C" w:rsidP="0053445C">
      <w:pPr>
        <w:ind w:firstLine="900"/>
        <w:rPr>
          <w:rFonts w:ascii="Arial" w:hAnsi="Arial" w:cs="Arial"/>
          <w:b/>
        </w:rPr>
      </w:pPr>
    </w:p>
    <w:p w:rsidR="0053445C" w:rsidRPr="00ED4186" w:rsidRDefault="0053445C" w:rsidP="0053445C">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Único de la Dirección General Impositiva</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Común del Banco de Previsión Social</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lastRenderedPageBreak/>
              <w:t>Vigencia del Certificado Banco de Seguros del Estado que acredite el cumplimiento de la Ley Nº 16.074 de 10 de octubre de 1989 sobre Accidentes de Trabajo y Enfermedades Profesionales</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Ausencia de elementos que inhiban su contratación y la existencia de sanciones según corresponda.</w:t>
            </w:r>
          </w:p>
        </w:tc>
      </w:tr>
    </w:tbl>
    <w:p w:rsidR="0053445C" w:rsidRPr="00ED4186" w:rsidRDefault="0053445C" w:rsidP="0053445C">
      <w:pPr>
        <w:jc w:val="both"/>
        <w:rPr>
          <w:rFonts w:ascii="Arial" w:hAnsi="Arial" w:cs="Arial"/>
          <w:b/>
          <w:spacing w:val="-3"/>
          <w:highlight w:val="yellow"/>
        </w:rPr>
      </w:pPr>
    </w:p>
    <w:p w:rsidR="0053445C" w:rsidRPr="00ED4186" w:rsidRDefault="0053445C" w:rsidP="0053445C">
      <w:pPr>
        <w:jc w:val="both"/>
        <w:rPr>
          <w:rFonts w:ascii="Arial" w:hAnsi="Arial" w:cs="Arial"/>
          <w:b/>
          <w:color w:val="0070C0"/>
          <w:spacing w:val="-3"/>
          <w:highlight w:val="yellow"/>
        </w:rPr>
      </w:pPr>
    </w:p>
    <w:p w:rsidR="0053445C" w:rsidRPr="00671001" w:rsidRDefault="0053445C" w:rsidP="00671001">
      <w:pPr>
        <w:pStyle w:val="Subttulo"/>
        <w:rPr>
          <w:b/>
        </w:rPr>
      </w:pPr>
      <w:r w:rsidRPr="00671001">
        <w:rPr>
          <w:b/>
        </w:rPr>
        <w:t>1</w:t>
      </w:r>
      <w:r w:rsidR="00297CC2" w:rsidRPr="00671001">
        <w:rPr>
          <w:b/>
        </w:rPr>
        <w:t>3</w:t>
      </w:r>
      <w:r w:rsidRPr="00671001">
        <w:rPr>
          <w:b/>
        </w:rPr>
        <w:t>.2. Notificación sobre código de ética y conducta del BSE:</w:t>
      </w: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rPr>
      </w:pPr>
      <w:r w:rsidRPr="00ED4186">
        <w:rPr>
          <w:rFonts w:ascii="Arial" w:hAnsi="Arial" w:cs="Arial"/>
          <w:spacing w:val="-3"/>
        </w:rPr>
        <w:t xml:space="preserve">La adjudicataria deberá notificarse del código de ética y conducta del BSE. Puede acceder a los documentos mencionados en el siguiente link: </w:t>
      </w:r>
      <w:hyperlink r:id="rId14" w:history="1">
        <w:r w:rsidRPr="00ED4186">
          <w:rPr>
            <w:rStyle w:val="Hipervnculo"/>
            <w:rFonts w:ascii="Arial" w:hAnsi="Arial" w:cs="Arial"/>
            <w:spacing w:val="-3"/>
          </w:rPr>
          <w:t>http://www.bse.com.uy/inicio/institucional/Transparencia/</w:t>
        </w:r>
      </w:hyperlink>
    </w:p>
    <w:p w:rsidR="0053445C" w:rsidRPr="00ED4186" w:rsidRDefault="0053445C" w:rsidP="0053445C">
      <w:pPr>
        <w:ind w:firstLine="851"/>
        <w:jc w:val="both"/>
        <w:rPr>
          <w:rFonts w:ascii="Arial" w:hAnsi="Arial" w:cs="Arial"/>
          <w:spacing w:val="-3"/>
        </w:rPr>
      </w:pPr>
    </w:p>
    <w:p w:rsidR="0053445C" w:rsidRPr="00ED4186" w:rsidRDefault="00235208" w:rsidP="00EF5626">
      <w:pPr>
        <w:jc w:val="both"/>
        <w:rPr>
          <w:rStyle w:val="Hipervnculo"/>
          <w:rFonts w:ascii="Arial" w:hAnsi="Arial" w:cs="Arial"/>
          <w:spacing w:val="-3"/>
        </w:rPr>
      </w:pPr>
      <w:r w:rsidRPr="00ED4186">
        <w:rPr>
          <w:rStyle w:val="Hipervnculo"/>
          <w:rFonts w:ascii="Arial" w:hAnsi="Arial" w:cs="Arial"/>
          <w:spacing w:val="-3"/>
        </w:rPr>
        <w:t xml:space="preserve"> </w:t>
      </w:r>
    </w:p>
    <w:p w:rsidR="0053445C" w:rsidRPr="00ED4186" w:rsidRDefault="0053445C" w:rsidP="0053445C">
      <w:pPr>
        <w:ind w:firstLine="851"/>
        <w:jc w:val="both"/>
        <w:rPr>
          <w:rFonts w:ascii="Arial" w:hAnsi="Arial" w:cs="Arial"/>
          <w:spacing w:val="-3"/>
        </w:rPr>
      </w:pPr>
    </w:p>
    <w:p w:rsidR="0053445C" w:rsidRPr="00ED4186" w:rsidRDefault="0053445C" w:rsidP="0053445C">
      <w:pPr>
        <w:ind w:left="142" w:firstLine="709"/>
        <w:rPr>
          <w:rFonts w:ascii="Arial" w:hAnsi="Arial" w:cs="Arial"/>
          <w:b/>
          <w:bCs/>
          <w:sz w:val="28"/>
          <w:szCs w:val="28"/>
        </w:rPr>
      </w:pPr>
    </w:p>
    <w:p w:rsidR="0053445C" w:rsidRPr="00671001" w:rsidRDefault="0053445C" w:rsidP="00671001">
      <w:pPr>
        <w:pStyle w:val="Ttulo1"/>
        <w:rPr>
          <w:b/>
        </w:rPr>
      </w:pPr>
      <w:bookmarkStart w:id="15" w:name="_Toc99369828"/>
      <w:r w:rsidRPr="00671001">
        <w:rPr>
          <w:b/>
        </w:rPr>
        <w:t>Art. 1</w:t>
      </w:r>
      <w:r w:rsidR="00297CC2" w:rsidRPr="00671001">
        <w:rPr>
          <w:b/>
        </w:rPr>
        <w:t>4</w:t>
      </w:r>
      <w:r w:rsidR="004E5FAA" w:rsidRPr="00671001">
        <w:rPr>
          <w:b/>
        </w:rPr>
        <w:t>. GARANTÍ</w:t>
      </w:r>
      <w:r w:rsidRPr="00671001">
        <w:rPr>
          <w:b/>
        </w:rPr>
        <w:t>A DE FIEL CUMPLIMIENTO DE CONTRATO.</w:t>
      </w:r>
      <w:bookmarkEnd w:id="15"/>
    </w:p>
    <w:p w:rsidR="0053445C" w:rsidRPr="00ED4186" w:rsidRDefault="0053445C" w:rsidP="0053445C">
      <w:pPr>
        <w:rPr>
          <w:rFonts w:ascii="Arial" w:hAnsi="Arial" w:cs="Arial"/>
          <w:b/>
          <w:bCs/>
        </w:rPr>
      </w:pPr>
    </w:p>
    <w:p w:rsidR="0053445C" w:rsidRPr="00ED4186" w:rsidRDefault="0053445C" w:rsidP="0053445C">
      <w:pPr>
        <w:ind w:firstLine="851"/>
        <w:jc w:val="both"/>
        <w:rPr>
          <w:rFonts w:ascii="Arial" w:hAnsi="Arial" w:cs="Arial"/>
        </w:rPr>
      </w:pPr>
      <w:r w:rsidRPr="00ED4186">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ED4186">
          <w:rPr>
            <w:rFonts w:ascii="Arial" w:hAnsi="Arial" w:cs="Arial"/>
          </w:rPr>
          <w:t>la Garantía</w:t>
        </w:r>
      </w:smartTag>
      <w:r w:rsidRPr="00ED4186">
        <w:rPr>
          <w:rFonts w:ascii="Arial" w:hAnsi="Arial" w:cs="Arial"/>
        </w:rPr>
        <w:t xml:space="preserve"> de Mantenimiento de Oferta (Art. 5).</w:t>
      </w:r>
    </w:p>
    <w:p w:rsidR="0053445C" w:rsidRPr="00ED4186" w:rsidRDefault="0053445C" w:rsidP="0053445C">
      <w:pPr>
        <w:ind w:firstLine="1134"/>
        <w:jc w:val="both"/>
        <w:rPr>
          <w:rFonts w:ascii="Arial" w:hAnsi="Arial" w:cs="Arial"/>
          <w:color w:val="FF0000"/>
        </w:rPr>
      </w:pPr>
    </w:p>
    <w:p w:rsidR="00297CC2" w:rsidRPr="00E624B0" w:rsidRDefault="00297CC2" w:rsidP="00297CC2">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Pr>
          <w:rFonts w:ascii="Arial" w:hAnsi="Arial" w:cs="Arial"/>
          <w:b/>
        </w:rPr>
        <w:t>2</w:t>
      </w:r>
      <w:r w:rsidRPr="00E624B0">
        <w:rPr>
          <w:rFonts w:ascii="Arial" w:hAnsi="Arial" w:cs="Arial"/>
          <w:b/>
        </w:rPr>
        <w:t xml:space="preserve">: </w:t>
      </w:r>
      <w:r>
        <w:rPr>
          <w:rFonts w:ascii="Arial" w:hAnsi="Arial" w:cs="Arial"/>
          <w:b/>
        </w:rPr>
        <w:t>$ 4.405</w:t>
      </w:r>
      <w:r w:rsidRPr="00E624B0">
        <w:rPr>
          <w:rFonts w:ascii="Arial" w:hAnsi="Arial" w:cs="Arial"/>
          <w:b/>
        </w:rPr>
        <w:t xml:space="preserve">.000 (pesos uruguayos cuatro millones </w:t>
      </w:r>
      <w:r>
        <w:rPr>
          <w:rFonts w:ascii="Arial" w:hAnsi="Arial" w:cs="Arial"/>
          <w:b/>
        </w:rPr>
        <w:t>cuatrocientos cinco mil</w:t>
      </w:r>
      <w:r w:rsidRPr="00E624B0">
        <w:rPr>
          <w:rFonts w:ascii="Arial" w:hAnsi="Arial" w:cs="Arial"/>
          <w:b/>
        </w:rPr>
        <w:t>) o su equivalente en moneda extranjera.</w:t>
      </w:r>
    </w:p>
    <w:p w:rsidR="00337358" w:rsidRPr="00ED4186" w:rsidRDefault="00337358" w:rsidP="0053445C">
      <w:pPr>
        <w:ind w:firstLine="900"/>
        <w:jc w:val="both"/>
        <w:rPr>
          <w:rFonts w:ascii="Arial" w:hAnsi="Arial" w:cs="Arial"/>
          <w:b/>
        </w:rPr>
      </w:pPr>
    </w:p>
    <w:p w:rsidR="0053445C" w:rsidRPr="00671001" w:rsidRDefault="0053445C" w:rsidP="00671001">
      <w:pPr>
        <w:pStyle w:val="Ttulo1"/>
        <w:rPr>
          <w:b/>
        </w:rPr>
      </w:pPr>
      <w:bookmarkStart w:id="16" w:name="_Toc99369829"/>
      <w:r w:rsidRPr="00671001">
        <w:rPr>
          <w:b/>
        </w:rPr>
        <w:t>Art. 1</w:t>
      </w:r>
      <w:r w:rsidR="00297CC2" w:rsidRPr="00671001">
        <w:rPr>
          <w:b/>
        </w:rPr>
        <w:t>5</w:t>
      </w:r>
      <w:r w:rsidRPr="00671001">
        <w:rPr>
          <w:b/>
        </w:rPr>
        <w:t xml:space="preserve">. </w:t>
      </w:r>
      <w:r w:rsidR="00805D2C" w:rsidRPr="00671001">
        <w:rPr>
          <w:b/>
        </w:rPr>
        <w:t>PLAZO DEL CONTRATO y RESCISIÓ</w:t>
      </w:r>
      <w:r w:rsidRPr="00671001">
        <w:rPr>
          <w:b/>
        </w:rPr>
        <w:t>N.</w:t>
      </w:r>
      <w:bookmarkEnd w:id="16"/>
    </w:p>
    <w:p w:rsidR="0053445C" w:rsidRPr="00ED4186" w:rsidRDefault="0053445C" w:rsidP="0053445C">
      <w:pPr>
        <w:ind w:left="-284"/>
        <w:jc w:val="both"/>
        <w:rPr>
          <w:rFonts w:ascii="Arial" w:hAnsi="Arial" w:cs="Arial"/>
        </w:rPr>
      </w:pPr>
    </w:p>
    <w:p w:rsidR="003D56C4" w:rsidRPr="00ED4186" w:rsidRDefault="003D56C4" w:rsidP="003D56C4">
      <w:pPr>
        <w:ind w:left="-284"/>
        <w:jc w:val="both"/>
        <w:rPr>
          <w:rFonts w:ascii="Arial" w:hAnsi="Arial" w:cs="Arial"/>
        </w:rPr>
      </w:pPr>
    </w:p>
    <w:p w:rsidR="003D56C4" w:rsidRDefault="003D56C4" w:rsidP="003D56C4">
      <w:pPr>
        <w:ind w:firstLine="851"/>
        <w:jc w:val="both"/>
        <w:rPr>
          <w:rFonts w:ascii="Arial" w:hAnsi="Arial" w:cs="Arial"/>
          <w:lang w:val="es-ES_tradnl"/>
        </w:rPr>
      </w:pPr>
      <w:r>
        <w:rPr>
          <w:rFonts w:ascii="Arial" w:hAnsi="Arial" w:cs="Arial"/>
          <w:lang w:val="es-ES_tradnl"/>
        </w:rPr>
        <w:t>Para cada renglón e</w:t>
      </w:r>
      <w:r w:rsidRPr="00CF67DA">
        <w:rPr>
          <w:rFonts w:ascii="Arial" w:hAnsi="Arial" w:cs="Arial"/>
          <w:lang w:val="es-ES_tradnl"/>
        </w:rPr>
        <w:t>l plazo del contrato será</w:t>
      </w:r>
      <w:r>
        <w:rPr>
          <w:rFonts w:ascii="Arial" w:hAnsi="Arial" w:cs="Arial"/>
          <w:lang w:val="es-ES_tradnl"/>
        </w:rPr>
        <w:t xml:space="preserve"> desde la fecha de </w:t>
      </w:r>
      <w:r w:rsidR="00E7202F">
        <w:rPr>
          <w:rFonts w:ascii="Arial" w:hAnsi="Arial" w:cs="Arial"/>
          <w:lang w:val="es-ES_tradnl"/>
        </w:rPr>
        <w:t>inicio señalada en el Artículo 3</w:t>
      </w:r>
      <w:r>
        <w:rPr>
          <w:rFonts w:ascii="Arial" w:hAnsi="Arial" w:cs="Arial"/>
          <w:lang w:val="es-ES_tradnl"/>
        </w:rPr>
        <w:t xml:space="preserve"> </w:t>
      </w:r>
      <w:r w:rsidR="00AE7FFD">
        <w:rPr>
          <w:rFonts w:ascii="Arial" w:hAnsi="Arial" w:cs="Arial"/>
          <w:lang w:val="es-ES_tradnl"/>
        </w:rPr>
        <w:t>“</w:t>
      </w:r>
      <w:r w:rsidR="00E7202F">
        <w:rPr>
          <w:rFonts w:ascii="Arial" w:hAnsi="Arial" w:cs="Arial"/>
          <w:lang w:val="es-ES_tradnl"/>
        </w:rPr>
        <w:t>Cotización</w:t>
      </w:r>
      <w:r w:rsidR="00AE7FFD" w:rsidRPr="001F403A">
        <w:rPr>
          <w:rFonts w:ascii="Arial" w:hAnsi="Arial" w:cs="Arial"/>
          <w:lang w:val="es-ES_tradnl"/>
        </w:rPr>
        <w:t>”, al 31 de mayo de 202</w:t>
      </w:r>
      <w:r w:rsidR="000B1396" w:rsidRPr="001F403A">
        <w:rPr>
          <w:rFonts w:ascii="Arial" w:hAnsi="Arial" w:cs="Arial"/>
          <w:lang w:val="es-ES_tradnl"/>
        </w:rPr>
        <w:t>5</w:t>
      </w:r>
      <w:r w:rsidRPr="001F403A">
        <w:rPr>
          <w:rFonts w:ascii="Arial" w:hAnsi="Arial" w:cs="Arial"/>
          <w:lang w:val="es-ES_tradnl"/>
        </w:rPr>
        <w:t>.</w:t>
      </w:r>
    </w:p>
    <w:p w:rsidR="00B24232" w:rsidRDefault="00B24232" w:rsidP="003D56C4">
      <w:pPr>
        <w:ind w:firstLine="851"/>
        <w:jc w:val="both"/>
        <w:rPr>
          <w:rFonts w:ascii="Arial" w:hAnsi="Arial" w:cs="Arial"/>
          <w:lang w:val="es-ES_tradnl"/>
        </w:rPr>
      </w:pPr>
    </w:p>
    <w:p w:rsidR="00B24232" w:rsidRPr="003C538B" w:rsidRDefault="00B24232" w:rsidP="00B24232">
      <w:pPr>
        <w:jc w:val="both"/>
        <w:rPr>
          <w:rFonts w:ascii="Arial" w:hAnsi="Arial" w:cs="Arial"/>
          <w:color w:val="000000"/>
          <w:lang w:val="es-ES_tradnl"/>
        </w:rPr>
      </w:pPr>
      <w:r w:rsidRPr="003C538B">
        <w:rPr>
          <w:rFonts w:ascii="Arial" w:hAnsi="Arial" w:cs="Arial"/>
          <w:color w:val="000000"/>
          <w:lang w:val="es-ES_tradn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w:t>
      </w:r>
      <w:r w:rsidRPr="003C538B">
        <w:rPr>
          <w:rFonts w:ascii="Arial" w:hAnsi="Arial" w:cs="Arial"/>
          <w:color w:val="000000"/>
          <w:lang w:val="es-ES_tradnl"/>
        </w:rPr>
        <w:lastRenderedPageBreak/>
        <w:t xml:space="preserve">establezca, se entenderá como un incumplimiento del mantenimiento de oferta o del propio contrato, según el caso. </w:t>
      </w:r>
    </w:p>
    <w:p w:rsidR="00B24232" w:rsidRPr="003C538B" w:rsidRDefault="00B24232" w:rsidP="00B24232">
      <w:pPr>
        <w:jc w:val="both"/>
        <w:rPr>
          <w:rFonts w:ascii="Arial" w:hAnsi="Arial" w:cs="Arial"/>
          <w:sz w:val="22"/>
          <w:szCs w:val="22"/>
        </w:rPr>
      </w:pPr>
      <w:r w:rsidRPr="003C538B">
        <w:rPr>
          <w:rFonts w:ascii="Arial" w:hAnsi="Arial" w:cs="Arial"/>
          <w:color w:val="000000"/>
          <w:lang w:val="es-ES_tradnl"/>
        </w:rPr>
        <w:t>De no exigirse la formalización por escrito por la Administración, regirá siempre desde la fecha de notificación de la adjudicación</w:t>
      </w:r>
    </w:p>
    <w:p w:rsidR="00B24232" w:rsidRPr="00CF67DA" w:rsidRDefault="00B24232" w:rsidP="003D56C4">
      <w:pPr>
        <w:ind w:firstLine="851"/>
        <w:jc w:val="both"/>
        <w:rPr>
          <w:rFonts w:ascii="Arial" w:hAnsi="Arial" w:cs="Arial"/>
        </w:rPr>
      </w:pPr>
    </w:p>
    <w:p w:rsidR="003D56C4" w:rsidRPr="00CF67DA" w:rsidRDefault="003D56C4" w:rsidP="003D56C4">
      <w:pPr>
        <w:ind w:firstLine="851"/>
        <w:jc w:val="both"/>
        <w:rPr>
          <w:rFonts w:ascii="Arial" w:hAnsi="Arial" w:cs="Arial"/>
          <w:lang w:val="es-ES_tradnl"/>
        </w:rPr>
      </w:pPr>
    </w:p>
    <w:p w:rsidR="0053445C" w:rsidRPr="00ED4186" w:rsidRDefault="0053445C" w:rsidP="00337161">
      <w:pPr>
        <w:spacing w:after="120"/>
        <w:ind w:firstLine="708"/>
        <w:jc w:val="both"/>
        <w:rPr>
          <w:rFonts w:ascii="Arial" w:hAnsi="Arial" w:cs="Arial"/>
          <w:lang w:val="es-ES_tradnl"/>
        </w:rPr>
      </w:pPr>
      <w:r w:rsidRPr="00ED4186">
        <w:rPr>
          <w:rFonts w:ascii="Arial" w:hAnsi="Arial" w:cs="Arial"/>
          <w:lang w:val="es-ES_tradnl"/>
        </w:rPr>
        <w:t xml:space="preserve">El BSE se reserva el derecho de rescindirlo sin expresión de causa, en cualquier momento, con un preaviso de </w:t>
      </w:r>
      <w:r w:rsidR="008F2406" w:rsidRPr="00ED4186">
        <w:rPr>
          <w:rFonts w:ascii="Arial" w:hAnsi="Arial" w:cs="Arial"/>
          <w:lang w:val="es-ES_tradnl"/>
        </w:rPr>
        <w:t>30</w:t>
      </w:r>
      <w:r w:rsidRPr="00ED4186">
        <w:rPr>
          <w:rFonts w:ascii="Arial" w:hAnsi="Arial" w:cs="Arial"/>
          <w:lang w:val="es-ES_tradnl"/>
        </w:rPr>
        <w:t xml:space="preserve"> </w:t>
      </w:r>
      <w:r w:rsidR="008B09A8" w:rsidRPr="00ED4186">
        <w:rPr>
          <w:rFonts w:ascii="Arial" w:hAnsi="Arial" w:cs="Arial"/>
          <w:lang w:val="es-ES_tradnl"/>
        </w:rPr>
        <w:t>(treinta</w:t>
      </w:r>
      <w:r w:rsidRPr="00ED4186">
        <w:rPr>
          <w:rFonts w:ascii="Arial" w:hAnsi="Arial" w:cs="Arial"/>
          <w:lang w:val="es-ES_tradnl"/>
        </w:rPr>
        <w:t>) días</w:t>
      </w:r>
      <w:r w:rsidRPr="00ED4186">
        <w:rPr>
          <w:rFonts w:ascii="Arial" w:hAnsi="Arial" w:cs="Arial"/>
          <w:spacing w:val="-3"/>
        </w:rPr>
        <w:t xml:space="preserve"> </w:t>
      </w:r>
      <w:r w:rsidR="008F2406" w:rsidRPr="00ED4186">
        <w:rPr>
          <w:rFonts w:ascii="Arial" w:hAnsi="Arial" w:cs="Arial"/>
          <w:spacing w:val="-3"/>
        </w:rPr>
        <w:t>corridos</w:t>
      </w:r>
      <w:r w:rsidR="002B32DA" w:rsidRPr="00ED4186">
        <w:rPr>
          <w:rFonts w:ascii="Arial" w:hAnsi="Arial" w:cs="Arial"/>
          <w:spacing w:val="-3"/>
        </w:rPr>
        <w:t xml:space="preserve"> </w:t>
      </w:r>
      <w:r w:rsidRPr="00ED4186">
        <w:rPr>
          <w:rFonts w:ascii="Arial" w:hAnsi="Arial" w:cs="Arial"/>
          <w:spacing w:val="-3"/>
        </w:rPr>
        <w:t>por telegrama colacionado</w:t>
      </w:r>
      <w:r w:rsidRPr="00ED4186">
        <w:rPr>
          <w:rFonts w:ascii="Arial" w:hAnsi="Arial" w:cs="Arial"/>
          <w:lang w:val="es-ES_tradnl"/>
        </w:rPr>
        <w:t xml:space="preserve">. Esta contingencia no generará derecho alguno a reclamación por parte de la empresa adjudicataria, ni de indemnización por parte del BSE. </w:t>
      </w:r>
      <w:r w:rsidR="00711387" w:rsidRPr="00ED4186">
        <w:rPr>
          <w:rFonts w:ascii="Arial" w:hAnsi="Arial" w:cs="Arial"/>
          <w:lang w:val="es-ES_tradnl"/>
        </w:rPr>
        <w:t xml:space="preserve">Operará la rescisión inmediata en idénticos términos en los casos que el Banco Central del Uruguay instruya al BSE el cese del servicio con dicha empresa. </w:t>
      </w:r>
      <w:r w:rsidR="00025B0A">
        <w:rPr>
          <w:rFonts w:ascii="Arial" w:hAnsi="Arial" w:cs="Arial"/>
          <w:lang w:val="es-ES_tradnl"/>
        </w:rPr>
        <w:t>Asimismo, el BSE podrá promover las acciones que correspondan</w:t>
      </w:r>
      <w:r w:rsidR="00711387" w:rsidRPr="00ED4186">
        <w:rPr>
          <w:rFonts w:ascii="Arial" w:hAnsi="Arial" w:cs="Arial"/>
          <w:lang w:val="es-ES_tradnl"/>
        </w:rPr>
        <w:t xml:space="preserve"> por resarcimiento o penalidades </w:t>
      </w:r>
      <w:r w:rsidR="00025B0A">
        <w:rPr>
          <w:rFonts w:ascii="Arial" w:hAnsi="Arial" w:cs="Arial"/>
          <w:lang w:val="es-ES_tradnl"/>
        </w:rPr>
        <w:t>derivadas de incumplimientos de</w:t>
      </w:r>
      <w:r w:rsidR="00711387" w:rsidRPr="00ED4186">
        <w:rPr>
          <w:rFonts w:ascii="Arial" w:hAnsi="Arial" w:cs="Arial"/>
          <w:lang w:val="es-ES_tradnl"/>
        </w:rPr>
        <w:t>l</w:t>
      </w:r>
      <w:r w:rsidR="00025B0A">
        <w:rPr>
          <w:rFonts w:ascii="Arial" w:hAnsi="Arial" w:cs="Arial"/>
          <w:lang w:val="es-ES_tradnl"/>
        </w:rPr>
        <w:t xml:space="preserve"> adjudicatario</w:t>
      </w:r>
      <w:r w:rsidR="00711387" w:rsidRPr="00ED4186">
        <w:rPr>
          <w:rFonts w:ascii="Arial" w:hAnsi="Arial" w:cs="Arial"/>
          <w:lang w:val="es-ES_tradnl"/>
        </w:rPr>
        <w:t>.</w:t>
      </w:r>
    </w:p>
    <w:p w:rsidR="0053445C" w:rsidRPr="00ED4186" w:rsidRDefault="0053445C" w:rsidP="0053445C">
      <w:pPr>
        <w:ind w:firstLine="851"/>
        <w:jc w:val="both"/>
        <w:rPr>
          <w:rFonts w:ascii="Arial" w:hAnsi="Arial" w:cs="Arial"/>
          <w:lang w:val="es-ES_tradnl"/>
        </w:rPr>
      </w:pPr>
    </w:p>
    <w:p w:rsidR="00B64B3F" w:rsidRDefault="00B64B3F" w:rsidP="00B64B3F">
      <w:pPr>
        <w:rPr>
          <w:rFonts w:ascii="Arial" w:hAnsi="Arial" w:cs="Arial"/>
          <w:b/>
          <w:bCs/>
        </w:rPr>
      </w:pPr>
    </w:p>
    <w:p w:rsidR="0053445C" w:rsidRPr="00671001" w:rsidRDefault="0053445C" w:rsidP="00671001">
      <w:pPr>
        <w:pStyle w:val="Ttulo1"/>
        <w:rPr>
          <w:b/>
        </w:rPr>
      </w:pPr>
      <w:bookmarkStart w:id="17" w:name="_Toc99369830"/>
      <w:r w:rsidRPr="00671001">
        <w:rPr>
          <w:b/>
        </w:rPr>
        <w:t xml:space="preserve">Art. </w:t>
      </w:r>
      <w:r w:rsidR="006B4D57" w:rsidRPr="00671001">
        <w:rPr>
          <w:b/>
        </w:rPr>
        <w:t>1</w:t>
      </w:r>
      <w:r w:rsidR="00C2620A" w:rsidRPr="00671001">
        <w:rPr>
          <w:b/>
        </w:rPr>
        <w:t>6</w:t>
      </w:r>
      <w:r w:rsidRPr="00671001">
        <w:rPr>
          <w:b/>
        </w:rPr>
        <w:t>. FORMA DE PAGO.</w:t>
      </w:r>
      <w:bookmarkEnd w:id="17"/>
    </w:p>
    <w:p w:rsidR="0053445C" w:rsidRPr="00ED4186" w:rsidRDefault="0053445C" w:rsidP="0053445C">
      <w:pPr>
        <w:ind w:firstLine="851"/>
        <w:rPr>
          <w:rFonts w:ascii="Arial" w:hAnsi="Arial" w:cs="Arial"/>
          <w:lang w:val="es-ES_tradnl"/>
        </w:rPr>
      </w:pPr>
    </w:p>
    <w:p w:rsidR="00BE5A87" w:rsidRPr="00ED4186" w:rsidRDefault="00B6516D" w:rsidP="00BE5A87">
      <w:pPr>
        <w:pStyle w:val="Sangra2detindependiente"/>
        <w:spacing w:line="276" w:lineRule="auto"/>
        <w:ind w:left="0" w:firstLine="851"/>
        <w:rPr>
          <w:rFonts w:ascii="Arial" w:hAnsi="Arial" w:cs="Arial"/>
          <w:kern w:val="0"/>
          <w:szCs w:val="24"/>
          <w:lang w:val="es-ES_tradnl" w:eastAsia="es-ES" w:bidi="ar-SA"/>
        </w:rPr>
      </w:pPr>
      <w:bookmarkStart w:id="18" w:name="__RefHeading__1221_1381833221"/>
      <w:bookmarkEnd w:id="18"/>
      <w:r>
        <w:rPr>
          <w:rFonts w:ascii="Arial" w:hAnsi="Arial" w:cs="Arial"/>
          <w:kern w:val="0"/>
          <w:szCs w:val="24"/>
          <w:lang w:val="es-ES_tradnl" w:eastAsia="es-ES" w:bidi="ar-SA"/>
        </w:rPr>
        <w:t>E</w:t>
      </w:r>
      <w:r w:rsidRPr="00B6516D">
        <w:rPr>
          <w:rFonts w:ascii="Arial" w:hAnsi="Arial" w:cs="Arial"/>
          <w:kern w:val="0"/>
          <w:szCs w:val="24"/>
          <w:lang w:val="es-ES_tradnl" w:eastAsia="es-ES" w:bidi="ar-SA"/>
        </w:rPr>
        <w:t>l pago total será fraccionado en el plazo estipulado, abonándose lo correspondiente en forma anual</w:t>
      </w:r>
      <w:r w:rsidR="00BE5A87">
        <w:rPr>
          <w:rFonts w:ascii="Arial" w:hAnsi="Arial" w:cs="Arial"/>
          <w:kern w:val="0"/>
          <w:szCs w:val="24"/>
          <w:lang w:val="es-ES_tradnl" w:eastAsia="es-ES" w:bidi="ar-SA"/>
        </w:rPr>
        <w:t>,</w:t>
      </w:r>
      <w:r w:rsidR="00BE5A87" w:rsidRPr="00025B0A">
        <w:rPr>
          <w:rFonts w:ascii="Arial" w:hAnsi="Arial" w:cs="Arial"/>
          <w:kern w:val="0"/>
          <w:szCs w:val="24"/>
          <w:lang w:val="es-ES_tradnl" w:eastAsia="es-ES" w:bidi="ar-SA"/>
        </w:rPr>
        <w:t xml:space="preserve"> luego de conformada la factura,  la que deberá entregarse en la División Contable, Sector </w:t>
      </w:r>
      <w:r w:rsidR="00126057">
        <w:rPr>
          <w:rFonts w:ascii="Arial" w:hAnsi="Arial" w:cs="Arial"/>
          <w:kern w:val="0"/>
          <w:szCs w:val="24"/>
          <w:lang w:val="es-ES_tradnl" w:eastAsia="es-ES" w:bidi="ar-SA"/>
        </w:rPr>
        <w:t>Atención a Proveedores</w:t>
      </w:r>
      <w:r w:rsidR="00BE5A87" w:rsidRPr="00025B0A">
        <w:rPr>
          <w:rFonts w:ascii="Arial" w:hAnsi="Arial" w:cs="Arial"/>
          <w:kern w:val="0"/>
          <w:szCs w:val="24"/>
          <w:lang w:val="es-ES_tradnl" w:eastAsia="es-ES" w:bidi="ar-SA"/>
        </w:rPr>
        <w:t>.</w:t>
      </w:r>
      <w:r w:rsidR="00BE5A87" w:rsidRPr="00ED4186">
        <w:rPr>
          <w:rFonts w:ascii="Arial" w:hAnsi="Arial" w:cs="Arial"/>
          <w:kern w:val="0"/>
          <w:szCs w:val="24"/>
          <w:lang w:val="es-ES_tradnl" w:eastAsia="es-ES" w:bidi="ar-SA"/>
        </w:rPr>
        <w:t xml:space="preserve"> </w:t>
      </w:r>
      <w:r w:rsidR="00BE5A87" w:rsidRPr="00ED4186">
        <w:rPr>
          <w:rFonts w:ascii="Arial" w:hAnsi="Arial" w:cs="Arial"/>
          <w:lang w:val="es-ES_tradnl"/>
        </w:rPr>
        <w:t xml:space="preserve">El BSE realiza pagos todos los martes </w:t>
      </w:r>
      <w:r w:rsidR="002B7534">
        <w:rPr>
          <w:rFonts w:ascii="Arial" w:hAnsi="Arial" w:cs="Arial"/>
          <w:lang w:val="es-ES_tradnl"/>
        </w:rPr>
        <w:t xml:space="preserve">de </w:t>
      </w:r>
      <w:r w:rsidR="0052698D">
        <w:rPr>
          <w:rFonts w:ascii="Arial" w:hAnsi="Arial" w:cs="Arial"/>
          <w:lang w:val="es-ES_tradnl"/>
        </w:rPr>
        <w:t>cada</w:t>
      </w:r>
      <w:r w:rsidR="00BE5A87" w:rsidRPr="00ED4186">
        <w:rPr>
          <w:rFonts w:ascii="Arial" w:hAnsi="Arial" w:cs="Arial"/>
          <w:lang w:val="es-ES_tradnl"/>
        </w:rPr>
        <w:t xml:space="preserve"> mes.</w:t>
      </w:r>
    </w:p>
    <w:p w:rsidR="0053445C" w:rsidRPr="00ED4186" w:rsidRDefault="0053445C" w:rsidP="0053445C">
      <w:pPr>
        <w:jc w:val="both"/>
        <w:rPr>
          <w:rFonts w:ascii="Arial" w:hAnsi="Arial" w:cs="Arial"/>
          <w:b/>
          <w:bCs/>
        </w:rPr>
      </w:pPr>
    </w:p>
    <w:p w:rsidR="0053445C" w:rsidRPr="00671001" w:rsidRDefault="0053445C" w:rsidP="00671001">
      <w:pPr>
        <w:pStyle w:val="Ttulo1"/>
        <w:rPr>
          <w:b/>
        </w:rPr>
      </w:pPr>
      <w:bookmarkStart w:id="19" w:name="_Toc99369831"/>
      <w:r w:rsidRPr="00671001">
        <w:rPr>
          <w:b/>
        </w:rPr>
        <w:t xml:space="preserve">Art. </w:t>
      </w:r>
      <w:r w:rsidR="00C2620A" w:rsidRPr="00671001">
        <w:rPr>
          <w:b/>
        </w:rPr>
        <w:t>17</w:t>
      </w:r>
      <w:r w:rsidR="00805D2C" w:rsidRPr="00671001">
        <w:rPr>
          <w:b/>
        </w:rPr>
        <w:t>. MORA AUTOMÁ</w:t>
      </w:r>
      <w:r w:rsidRPr="00671001">
        <w:rPr>
          <w:b/>
        </w:rPr>
        <w:t>TICA.</w:t>
      </w:r>
      <w:bookmarkEnd w:id="19"/>
    </w:p>
    <w:p w:rsidR="0053445C" w:rsidRPr="00ED4186" w:rsidRDefault="0053445C" w:rsidP="0053445C">
      <w:pPr>
        <w:jc w:val="both"/>
        <w:rPr>
          <w:rFonts w:ascii="Arial" w:hAnsi="Arial" w:cs="Arial"/>
        </w:rPr>
      </w:pPr>
    </w:p>
    <w:p w:rsidR="0053445C" w:rsidRPr="00ED4186" w:rsidRDefault="0053445C" w:rsidP="0053445C">
      <w:pPr>
        <w:ind w:firstLine="840"/>
        <w:jc w:val="both"/>
        <w:rPr>
          <w:rFonts w:ascii="Arial" w:hAnsi="Arial" w:cs="Arial"/>
        </w:rPr>
      </w:pPr>
      <w:r w:rsidRPr="00ED4186">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Pr="00ED4186" w:rsidRDefault="0053445C" w:rsidP="0053445C">
      <w:pPr>
        <w:jc w:val="both"/>
        <w:rPr>
          <w:rFonts w:ascii="Arial" w:hAnsi="Arial" w:cs="Arial"/>
          <w:b/>
          <w:bCs/>
          <w:sz w:val="28"/>
          <w:szCs w:val="28"/>
        </w:rPr>
      </w:pPr>
    </w:p>
    <w:p w:rsidR="0053445C" w:rsidRPr="00ED4186" w:rsidRDefault="0053445C" w:rsidP="0053445C">
      <w:pPr>
        <w:jc w:val="both"/>
        <w:rPr>
          <w:rFonts w:ascii="Arial" w:hAnsi="Arial" w:cs="Arial"/>
          <w:b/>
          <w:bCs/>
        </w:rPr>
      </w:pPr>
    </w:p>
    <w:p w:rsidR="0053445C" w:rsidRPr="00671001" w:rsidRDefault="0053445C" w:rsidP="00671001">
      <w:pPr>
        <w:pStyle w:val="Ttulo1"/>
        <w:rPr>
          <w:b/>
        </w:rPr>
      </w:pPr>
      <w:bookmarkStart w:id="20" w:name="_Toc99369832"/>
      <w:r w:rsidRPr="00671001">
        <w:rPr>
          <w:b/>
        </w:rPr>
        <w:t>Art.</w:t>
      </w:r>
      <w:r w:rsidR="00C2620A" w:rsidRPr="00671001">
        <w:rPr>
          <w:b/>
        </w:rPr>
        <w:t xml:space="preserve"> 18</w:t>
      </w:r>
      <w:r w:rsidRPr="00671001">
        <w:rPr>
          <w:b/>
        </w:rPr>
        <w:t>. MULTAS.</w:t>
      </w:r>
      <w:bookmarkEnd w:id="20"/>
    </w:p>
    <w:p w:rsidR="0053445C" w:rsidRPr="00ED4186" w:rsidRDefault="0053445C" w:rsidP="00C64F10">
      <w:pPr>
        <w:ind w:firstLine="840"/>
        <w:jc w:val="both"/>
        <w:rPr>
          <w:rFonts w:ascii="Arial" w:hAnsi="Arial" w:cs="Arial"/>
          <w:b/>
          <w:bCs/>
          <w:sz w:val="28"/>
          <w:szCs w:val="28"/>
        </w:rPr>
      </w:pPr>
      <w:r w:rsidRPr="00ED4186">
        <w:rPr>
          <w:rFonts w:ascii="Arial" w:hAnsi="Arial" w:cs="Arial"/>
          <w:lang w:val="es-ES_tradnl"/>
        </w:rPr>
        <w:t xml:space="preserve">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En cualquiera de los dos casos, se devengará una multa equivalente al 10% (diez por ciento) del monto anual estimado, acumulable con los daños y perjuicios que se hubieren irrogado.</w:t>
      </w:r>
    </w:p>
    <w:p w:rsidR="0043109B" w:rsidRPr="00ED4186" w:rsidRDefault="0043109B" w:rsidP="0053445C">
      <w:pPr>
        <w:rPr>
          <w:rFonts w:ascii="Arial" w:hAnsi="Arial" w:cs="Arial"/>
          <w:b/>
          <w:bCs/>
        </w:rPr>
      </w:pPr>
    </w:p>
    <w:p w:rsidR="00773AF1" w:rsidRPr="00ED4186" w:rsidRDefault="00773AF1" w:rsidP="0043109B">
      <w:pPr>
        <w:spacing w:after="120"/>
        <w:jc w:val="both"/>
        <w:rPr>
          <w:rFonts w:ascii="Arial" w:hAnsi="Arial" w:cs="Arial"/>
          <w:color w:val="0070C0"/>
          <w:lang w:val="es-ES_tradnl"/>
        </w:rPr>
      </w:pPr>
    </w:p>
    <w:p w:rsidR="0043109B" w:rsidRPr="00671001" w:rsidRDefault="0043109B" w:rsidP="00671001">
      <w:pPr>
        <w:pStyle w:val="Ttulo1"/>
      </w:pPr>
    </w:p>
    <w:p w:rsidR="0043109B" w:rsidRPr="00671001" w:rsidRDefault="0043109B" w:rsidP="00671001">
      <w:pPr>
        <w:pStyle w:val="Ttulo1"/>
        <w:rPr>
          <w:b/>
        </w:rPr>
      </w:pPr>
      <w:bookmarkStart w:id="21" w:name="_Toc99369833"/>
      <w:r w:rsidRPr="00671001">
        <w:rPr>
          <w:b/>
        </w:rPr>
        <w:t xml:space="preserve">Art. </w:t>
      </w:r>
      <w:r w:rsidR="00C2620A" w:rsidRPr="00671001">
        <w:rPr>
          <w:b/>
        </w:rPr>
        <w:t>19</w:t>
      </w:r>
      <w:r w:rsidRPr="00671001">
        <w:rPr>
          <w:b/>
        </w:rPr>
        <w:t>. SUBCONTRATACIÓN Y CESIÓN DEL CONTRATO.</w:t>
      </w:r>
      <w:bookmarkEnd w:id="21"/>
    </w:p>
    <w:p w:rsidR="0043109B" w:rsidRPr="00ED4186"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ED4186">
        <w:rPr>
          <w:rFonts w:ascii="Arial" w:hAnsi="Arial" w:cs="Arial"/>
          <w:spacing w:val="-3"/>
        </w:rPr>
        <w:t xml:space="preserve">La adjudicataria no podrá subcontratar, ni subarrendar los servicios, total o </w:t>
      </w:r>
      <w:r w:rsidRPr="004A746E">
        <w:rPr>
          <w:rFonts w:ascii="Arial" w:hAnsi="Arial" w:cs="Arial"/>
          <w:spacing w:val="-3"/>
        </w:rPr>
        <w:t>parcialmente, ni ceder el contrato, salvo autorización expresa y por escrito del BSE y en caso de asuntos inherentes a su giro, previa autorización de la Superintendencia de Servicios Financieros del Banco Central del Uruguay.</w:t>
      </w:r>
    </w:p>
    <w:p w:rsidR="0043109B" w:rsidRPr="004A746E" w:rsidRDefault="0043109B" w:rsidP="0043109B">
      <w:pPr>
        <w:spacing w:after="120"/>
        <w:jc w:val="both"/>
        <w:rPr>
          <w:rFonts w:ascii="Arial" w:hAnsi="Arial" w:cs="Arial"/>
          <w:spacing w:val="-3"/>
        </w:rPr>
      </w:pPr>
      <w:r w:rsidRPr="004A746E">
        <w:rPr>
          <w:rFonts w:ascii="Arial" w:hAnsi="Arial" w:cs="Arial"/>
          <w:spacing w:val="-3"/>
        </w:rPr>
        <w:t>El incumplimiento de lo establecido en el presente artículo dará lugar a la recisión del contrato y al eventual reclamo por los daños y perjuicios correspondientes.</w:t>
      </w:r>
    </w:p>
    <w:p w:rsidR="0043109B" w:rsidRPr="004A746E" w:rsidRDefault="0043109B" w:rsidP="0043109B">
      <w:pPr>
        <w:spacing w:after="120"/>
        <w:jc w:val="both"/>
        <w:rPr>
          <w:rFonts w:ascii="Arial" w:hAnsi="Arial" w:cs="Arial"/>
          <w:b/>
        </w:rPr>
      </w:pPr>
    </w:p>
    <w:p w:rsidR="0043109B" w:rsidRPr="00671001" w:rsidRDefault="0043109B" w:rsidP="00671001">
      <w:pPr>
        <w:pStyle w:val="Ttulo1"/>
        <w:rPr>
          <w:b/>
        </w:rPr>
      </w:pPr>
      <w:bookmarkStart w:id="22" w:name="_Toc99369834"/>
      <w:r w:rsidRPr="00671001">
        <w:rPr>
          <w:b/>
        </w:rPr>
        <w:t xml:space="preserve">Art. </w:t>
      </w:r>
      <w:r w:rsidR="00C2620A" w:rsidRPr="00671001">
        <w:rPr>
          <w:b/>
        </w:rPr>
        <w:t>20</w:t>
      </w:r>
      <w:r w:rsidRPr="00671001">
        <w:rPr>
          <w:b/>
        </w:rPr>
        <w:t>. CONFIDENCIALIDAD.</w:t>
      </w:r>
      <w:bookmarkEnd w:id="22"/>
    </w:p>
    <w:p w:rsidR="0043109B" w:rsidRPr="004A746E"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Se considerará que dicha obligación ha sido incumplida en caso que la información sea revelada por agentes, representantes o empleados de las partes.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cesará en caso que la información proporcionada tomara estado público por motivos no imputables a los comparecientes.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permanecerá vigente aún después de finalizado el presente contrato. </w:t>
      </w:r>
    </w:p>
    <w:p w:rsidR="00B03557" w:rsidRDefault="00B03557" w:rsidP="00BA3F0E">
      <w:pPr>
        <w:rPr>
          <w:rFonts w:ascii="Arial" w:hAnsi="Arial" w:cs="Arial"/>
          <w:b/>
          <w:bCs/>
        </w:rPr>
      </w:pPr>
    </w:p>
    <w:p w:rsidR="00BA3F0E" w:rsidRPr="00671001" w:rsidRDefault="00BA3F0E" w:rsidP="00671001">
      <w:pPr>
        <w:pStyle w:val="Ttulo1"/>
        <w:rPr>
          <w:b/>
        </w:rPr>
      </w:pPr>
      <w:bookmarkStart w:id="23" w:name="_Toc99369835"/>
      <w:r w:rsidRPr="00671001">
        <w:rPr>
          <w:b/>
        </w:rPr>
        <w:t xml:space="preserve">Art. </w:t>
      </w:r>
      <w:r w:rsidR="00B03557" w:rsidRPr="00671001">
        <w:rPr>
          <w:b/>
        </w:rPr>
        <w:t>2</w:t>
      </w:r>
      <w:r w:rsidR="00C2620A" w:rsidRPr="00671001">
        <w:rPr>
          <w:b/>
        </w:rPr>
        <w:t>1</w:t>
      </w:r>
      <w:r w:rsidRPr="00671001">
        <w:rPr>
          <w:b/>
        </w:rPr>
        <w:t>. COSTO DE LOS PLIEGOS.</w:t>
      </w:r>
      <w:bookmarkEnd w:id="23"/>
    </w:p>
    <w:p w:rsidR="00BA3F0E" w:rsidRPr="00ED4186" w:rsidRDefault="00BA3F0E" w:rsidP="00BA3F0E">
      <w:pPr>
        <w:jc w:val="both"/>
        <w:rPr>
          <w:rFonts w:ascii="Arial" w:hAnsi="Arial" w:cs="Arial"/>
          <w:lang w:val="es-ES_tradnl"/>
        </w:rPr>
      </w:pPr>
    </w:p>
    <w:p w:rsidR="00BA3F0E" w:rsidRPr="00ED4186" w:rsidRDefault="00BA3F0E" w:rsidP="00BA3F0E">
      <w:pPr>
        <w:ind w:firstLine="840"/>
        <w:jc w:val="both"/>
        <w:rPr>
          <w:rFonts w:ascii="Arial" w:hAnsi="Arial" w:cs="Arial"/>
          <w:lang w:val="es-ES_tradnl"/>
        </w:rPr>
      </w:pPr>
      <w:r w:rsidRPr="00ED4186">
        <w:rPr>
          <w:rFonts w:ascii="Arial" w:hAnsi="Arial" w:cs="Arial"/>
          <w:lang w:val="es-ES_tradnl"/>
        </w:rPr>
        <w:t>El pliego no tiene costo.</w:t>
      </w:r>
    </w:p>
    <w:p w:rsidR="00BA3F0E" w:rsidRDefault="00BA3F0E" w:rsidP="0043109B">
      <w:pPr>
        <w:jc w:val="both"/>
        <w:rPr>
          <w:rFonts w:ascii="Arial" w:hAnsi="Arial" w:cs="Arial"/>
          <w:bCs/>
          <w:color w:val="0070C0"/>
        </w:rPr>
      </w:pPr>
    </w:p>
    <w:p w:rsidR="00BA3F0E" w:rsidRPr="00ED4186" w:rsidRDefault="00BA3F0E" w:rsidP="0043109B">
      <w:pPr>
        <w:jc w:val="both"/>
        <w:rPr>
          <w:rFonts w:ascii="Arial" w:hAnsi="Arial" w:cs="Arial"/>
          <w:bCs/>
          <w:color w:val="0070C0"/>
        </w:rPr>
      </w:pPr>
    </w:p>
    <w:p w:rsidR="00723019" w:rsidRPr="00ED4186" w:rsidRDefault="00723019" w:rsidP="0043109B">
      <w:pPr>
        <w:jc w:val="both"/>
        <w:rPr>
          <w:rFonts w:ascii="Arial" w:hAnsi="Arial" w:cs="Arial"/>
          <w:color w:val="0070C0"/>
          <w:lang w:val="es-ES_tradnl"/>
        </w:rPr>
      </w:pPr>
    </w:p>
    <w:p w:rsidR="0053445C" w:rsidRPr="00ED4186" w:rsidRDefault="0053445C" w:rsidP="0053445C">
      <w:pPr>
        <w:jc w:val="both"/>
        <w:rPr>
          <w:rFonts w:ascii="Arial" w:hAnsi="Arial" w:cs="Arial"/>
          <w:b/>
          <w:bCs/>
          <w:lang w:val="es-ES_tradnl"/>
        </w:rPr>
      </w:pPr>
      <w:r w:rsidRPr="00ED4186">
        <w:rPr>
          <w:rFonts w:ascii="Arial" w:hAnsi="Arial" w:cs="Arial"/>
          <w:lang w:val="es-ES_tradnl"/>
        </w:rPr>
        <w:t>Por el</w:t>
      </w:r>
      <w:r w:rsidRPr="00ED4186">
        <w:rPr>
          <w:rFonts w:ascii="Arial" w:hAnsi="Arial" w:cs="Arial"/>
          <w:b/>
          <w:bCs/>
          <w:lang w:val="es-ES_tradnl"/>
        </w:rPr>
        <w:t xml:space="preserve"> BANCO DE SEGUROS DEL ESTADO.</w:t>
      </w:r>
    </w:p>
    <w:p w:rsidR="0053445C" w:rsidRPr="00ED4186" w:rsidRDefault="0053445C" w:rsidP="0053445C">
      <w:pPr>
        <w:rPr>
          <w:rFonts w:ascii="Arial" w:hAnsi="Arial" w:cs="Arial"/>
          <w:lang w:val="es-ES_tradnl"/>
        </w:rPr>
      </w:pPr>
    </w:p>
    <w:p w:rsidR="00671001" w:rsidRDefault="0043109B">
      <w:pPr>
        <w:spacing w:after="200" w:line="276" w:lineRule="auto"/>
        <w:rPr>
          <w:rFonts w:ascii="Arial" w:hAnsi="Arial" w:cs="Arial"/>
        </w:rPr>
      </w:pPr>
      <w:r w:rsidRPr="00ED4186">
        <w:rPr>
          <w:rFonts w:ascii="Arial" w:hAnsi="Arial" w:cs="Arial"/>
        </w:rPr>
        <w:br w:type="page"/>
      </w:r>
      <w:r w:rsidR="00671001">
        <w:rPr>
          <w:rFonts w:ascii="Arial" w:hAnsi="Arial" w:cs="Arial"/>
        </w:rPr>
        <w:lastRenderedPageBreak/>
        <w:br w:type="page"/>
      </w:r>
    </w:p>
    <w:p w:rsidR="0043109B" w:rsidRPr="00671001" w:rsidRDefault="00671001" w:rsidP="00671001">
      <w:pPr>
        <w:pStyle w:val="Ttulo1"/>
        <w:rPr>
          <w:b/>
        </w:rPr>
      </w:pPr>
      <w:bookmarkStart w:id="24" w:name="_Toc99369836"/>
      <w:r w:rsidRPr="00671001">
        <w:rPr>
          <w:b/>
        </w:rPr>
        <w:lastRenderedPageBreak/>
        <w:t>MEMORIA DESCRIPTIVA</w:t>
      </w:r>
      <w:bookmarkEnd w:id="24"/>
    </w:p>
    <w:p w:rsidR="00671001" w:rsidRPr="00ED4186" w:rsidRDefault="00671001">
      <w:pPr>
        <w:spacing w:after="200" w:line="276" w:lineRule="auto"/>
        <w:rPr>
          <w:rFonts w:ascii="Arial" w:hAnsi="Arial" w:cs="Arial"/>
        </w:rPr>
      </w:pPr>
    </w:p>
    <w:tbl>
      <w:tblPr>
        <w:tblW w:w="0" w:type="auto"/>
        <w:tblInd w:w="-5" w:type="dxa"/>
        <w:tblCellMar>
          <w:left w:w="70" w:type="dxa"/>
          <w:right w:w="70" w:type="dxa"/>
        </w:tblCellMar>
        <w:tblLook w:val="04A0" w:firstRow="1" w:lastRow="0" w:firstColumn="1" w:lastColumn="0" w:noHBand="0" w:noVBand="1"/>
      </w:tblPr>
      <w:tblGrid>
        <w:gridCol w:w="957"/>
        <w:gridCol w:w="1772"/>
        <w:gridCol w:w="1725"/>
        <w:gridCol w:w="1033"/>
        <w:gridCol w:w="1549"/>
        <w:gridCol w:w="1463"/>
      </w:tblGrid>
      <w:tr w:rsidR="00C54FF3" w:rsidRPr="00462B2D" w:rsidTr="000B139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b/>
                <w:bCs/>
                <w:color w:val="000000"/>
                <w:lang w:eastAsia="es-UY"/>
              </w:rPr>
            </w:pPr>
            <w:r w:rsidRPr="00462B2D">
              <w:rPr>
                <w:rFonts w:ascii="Calibri" w:hAnsi="Calibri" w:cs="Calibri"/>
                <w:b/>
                <w:bCs/>
                <w:color w:val="000000"/>
                <w:lang w:eastAsia="es-UY"/>
              </w:rPr>
              <w:t>Renglón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b/>
                <w:bCs/>
                <w:color w:val="000000"/>
                <w:lang w:eastAsia="es-UY"/>
              </w:rPr>
            </w:pPr>
            <w:r w:rsidRPr="00462B2D">
              <w:rPr>
                <w:rFonts w:ascii="Calibri" w:hAnsi="Calibri" w:cs="Calibri"/>
                <w:b/>
                <w:bCs/>
                <w:color w:val="000000"/>
                <w:lang w:eastAsia="es-UY"/>
              </w:rPr>
              <w:t>Referencia BSE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b/>
                <w:bCs/>
                <w:color w:val="000000"/>
                <w:lang w:eastAsia="es-UY"/>
              </w:rPr>
            </w:pPr>
            <w:r w:rsidRPr="00462B2D">
              <w:rPr>
                <w:rFonts w:ascii="Calibri" w:hAnsi="Calibri" w:cs="Calibri"/>
                <w:b/>
                <w:bCs/>
                <w:color w:val="000000"/>
                <w:lang w:eastAsia="es-UY"/>
              </w:rPr>
              <w:t>Item a cotizar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b/>
                <w:bCs/>
                <w:color w:val="000000"/>
                <w:lang w:eastAsia="es-UY"/>
              </w:rPr>
            </w:pPr>
            <w:r w:rsidRPr="00462B2D">
              <w:rPr>
                <w:rFonts w:ascii="Calibri" w:hAnsi="Calibri" w:cs="Calibri"/>
                <w:b/>
                <w:bCs/>
                <w:color w:val="000000"/>
                <w:lang w:eastAsia="es-UY"/>
              </w:rPr>
              <w:t>Cantidad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b/>
                <w:bCs/>
                <w:color w:val="000000"/>
                <w:lang w:eastAsia="es-UY"/>
              </w:rPr>
            </w:pPr>
            <w:r w:rsidRPr="00462B2D">
              <w:rPr>
                <w:rFonts w:ascii="Calibri" w:hAnsi="Calibri" w:cs="Calibri"/>
                <w:b/>
                <w:bCs/>
                <w:color w:val="000000"/>
                <w:lang w:eastAsia="es-UY"/>
              </w:rPr>
              <w:t>Inicio vigencia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b/>
                <w:bCs/>
                <w:color w:val="000000"/>
                <w:lang w:eastAsia="es-UY"/>
              </w:rPr>
            </w:pPr>
            <w:r w:rsidRPr="00462B2D">
              <w:rPr>
                <w:rFonts w:ascii="Calibri" w:hAnsi="Calibri" w:cs="Calibri"/>
                <w:b/>
                <w:bCs/>
                <w:color w:val="000000"/>
                <w:lang w:eastAsia="es-UY"/>
              </w:rPr>
              <w:t>Vencimiento vigencia</w:t>
            </w:r>
          </w:p>
        </w:tc>
      </w:tr>
      <w:tr w:rsidR="00C54FF3" w:rsidRPr="00462B2D" w:rsidTr="000B139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LI-043 WINDOWS VDA  </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Suscripción Microsoft Windows 10 Enterprise E3 VDA</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100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3C6601">
            <w:pPr>
              <w:jc w:val="center"/>
              <w:rPr>
                <w:rFonts w:ascii="Calibri" w:hAnsi="Calibri" w:cs="Calibri"/>
                <w:color w:val="000000"/>
                <w:lang w:eastAsia="es-UY"/>
              </w:rPr>
            </w:pPr>
            <w:r>
              <w:rPr>
                <w:rFonts w:ascii="Calibri" w:hAnsi="Calibri" w:cs="Calibri"/>
                <w:color w:val="000000"/>
                <w:lang w:eastAsia="es-UY"/>
              </w:rPr>
              <w:t>31/5/202</w:t>
            </w:r>
            <w:r w:rsidR="003C6601">
              <w:rPr>
                <w:rFonts w:ascii="Calibri" w:hAnsi="Calibri" w:cs="Calibri"/>
                <w:color w:val="000000"/>
                <w:lang w:eastAsia="es-UY"/>
              </w:rPr>
              <w:t>5</w:t>
            </w:r>
          </w:p>
        </w:tc>
      </w:tr>
      <w:tr w:rsidR="00C54FF3" w:rsidRPr="00462B2D" w:rsidTr="000B139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2</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LI-069 OFFICE CON ASSURANCE </w:t>
            </w:r>
          </w:p>
        </w:tc>
        <w:tc>
          <w:tcPr>
            <w:tcW w:w="0" w:type="auto"/>
            <w:tcBorders>
              <w:top w:val="nil"/>
              <w:left w:val="nil"/>
              <w:bottom w:val="single" w:sz="4" w:space="0" w:color="auto"/>
              <w:right w:val="single" w:sz="4" w:space="0" w:color="auto"/>
            </w:tcBorders>
            <w:shd w:val="clear" w:color="auto" w:fill="auto"/>
            <w:vAlign w:val="center"/>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Software Assurance para licencias Microsoft Office 2016 Standard</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80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r w:rsidR="00C54FF3" w:rsidRPr="00462B2D" w:rsidTr="000B139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3</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LI-108 WINDOWS VDA </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Suscripción Microsoft Windows 10 Enterprise E3 VDA</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80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r w:rsidR="00C54FF3" w:rsidRPr="00462B2D" w:rsidTr="000B139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4</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LI-128 MICROSOFT (ex LI-084 MICROSOFT SQL SERVER)</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Software Assurance para licencias Microsoft SQL Server Standard 2 cores license.</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r w:rsidR="00C54FF3" w:rsidRPr="00462B2D" w:rsidTr="000B139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5</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LI-112 OFFICE CON ASSURANCE </w:t>
            </w:r>
          </w:p>
        </w:tc>
        <w:tc>
          <w:tcPr>
            <w:tcW w:w="0" w:type="auto"/>
            <w:tcBorders>
              <w:top w:val="nil"/>
              <w:left w:val="nil"/>
              <w:bottom w:val="single" w:sz="4" w:space="0" w:color="auto"/>
              <w:right w:val="single" w:sz="4" w:space="0" w:color="auto"/>
            </w:tcBorders>
            <w:shd w:val="clear" w:color="auto" w:fill="auto"/>
            <w:vAlign w:val="center"/>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Software Assurance para licencias Microsoft Office 2019 Standard</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60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r w:rsidR="00C54FF3" w:rsidRPr="00462B2D" w:rsidTr="000B139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6</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LI-114 WINDOWS SERVER 2019 EXTERNAL CONNECTOR CON ASSURANCE </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Software Assurance  para licencias Microsoft Windows Server 2019 External Connector</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bl>
    <w:p w:rsidR="00C54FF3" w:rsidRDefault="00C54FF3" w:rsidP="00C54FF3">
      <w:pPr>
        <w:rPr>
          <w:rFonts w:ascii="Arial" w:hAnsi="Arial" w:cs="Arial"/>
        </w:rPr>
      </w:pPr>
    </w:p>
    <w:p w:rsidR="00C54FF3" w:rsidRPr="00314D58" w:rsidRDefault="00C54FF3" w:rsidP="00C54FF3">
      <w:pPr>
        <w:jc w:val="both"/>
        <w:rPr>
          <w:rFonts w:ascii="Arial" w:hAnsi="Arial" w:cs="Arial"/>
        </w:rPr>
      </w:pPr>
      <w:r w:rsidRPr="00314D58">
        <w:rPr>
          <w:rFonts w:ascii="Arial" w:hAnsi="Arial" w:cs="Arial"/>
        </w:rPr>
        <w:t>A efectos de la conformidad de la compra</w:t>
      </w:r>
      <w:r>
        <w:rPr>
          <w:rFonts w:ascii="Arial" w:hAnsi="Arial" w:cs="Arial"/>
        </w:rPr>
        <w:t>,</w:t>
      </w:r>
      <w:r w:rsidRPr="00314D58">
        <w:rPr>
          <w:rFonts w:ascii="Arial" w:hAnsi="Arial" w:cs="Arial"/>
        </w:rPr>
        <w:t xml:space="preserve"> las renovaciones deben quedar asociadas y ser visibles (ítem, cantidad, período de vigencia) a través de alguna de las cuentas corporativas del BSE para licenciamiento Microsoft</w:t>
      </w:r>
      <w:r>
        <w:rPr>
          <w:rFonts w:ascii="Arial" w:hAnsi="Arial" w:cs="Arial"/>
        </w:rPr>
        <w:t xml:space="preserve"> que se detallan a continuación</w:t>
      </w:r>
      <w:r w:rsidRPr="00314D58">
        <w:rPr>
          <w:rFonts w:ascii="Arial" w:hAnsi="Arial" w:cs="Arial"/>
        </w:rPr>
        <w:t>:</w:t>
      </w:r>
    </w:p>
    <w:p w:rsidR="00C54FF3" w:rsidRDefault="00C54FF3" w:rsidP="00C54FF3">
      <w:pPr>
        <w:rPr>
          <w:rFonts w:ascii="Arial" w:hAnsi="Arial" w:cs="Arial"/>
          <w:lang w:eastAsia="es-UY"/>
        </w:rPr>
      </w:pPr>
    </w:p>
    <w:tbl>
      <w:tblPr>
        <w:tblW w:w="7238" w:type="dxa"/>
        <w:tblInd w:w="55" w:type="dxa"/>
        <w:tblCellMar>
          <w:left w:w="70" w:type="dxa"/>
          <w:right w:w="70" w:type="dxa"/>
        </w:tblCellMar>
        <w:tblLook w:val="04A0" w:firstRow="1" w:lastRow="0" w:firstColumn="1" w:lastColumn="0" w:noHBand="0" w:noVBand="1"/>
      </w:tblPr>
      <w:tblGrid>
        <w:gridCol w:w="3101"/>
        <w:gridCol w:w="4312"/>
      </w:tblGrid>
      <w:tr w:rsidR="00C54FF3" w:rsidRPr="00B438F5" w:rsidTr="000B1396">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4FF3" w:rsidRPr="00B438F5" w:rsidRDefault="00C54FF3" w:rsidP="000B1396">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C54FF3" w:rsidRPr="00B438F5" w:rsidRDefault="00C54FF3" w:rsidP="000B1396">
            <w:pPr>
              <w:rPr>
                <w:b/>
                <w:bCs/>
                <w:color w:val="000000"/>
                <w:lang w:eastAsia="es-UY"/>
              </w:rPr>
            </w:pPr>
            <w:r w:rsidRPr="00B438F5">
              <w:rPr>
                <w:b/>
                <w:bCs/>
                <w:color w:val="000000"/>
                <w:lang w:eastAsia="es-UY"/>
              </w:rPr>
              <w:t>Usuario corporativo</w:t>
            </w:r>
          </w:p>
        </w:tc>
      </w:tr>
      <w:tr w:rsidR="00C54FF3"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C54FF3" w:rsidRPr="00B438F5" w:rsidRDefault="00C54FF3" w:rsidP="000B1396">
            <w:pPr>
              <w:rPr>
                <w:color w:val="000000"/>
                <w:lang w:eastAsia="es-UY"/>
              </w:rPr>
            </w:pPr>
            <w:r w:rsidRPr="00B438F5">
              <w:rPr>
                <w:color w:val="000000"/>
                <w:lang w:eastAsia="es-UY"/>
              </w:rPr>
              <w:t>Microsoft Business Center</w:t>
            </w:r>
          </w:p>
        </w:tc>
        <w:tc>
          <w:tcPr>
            <w:tcW w:w="4137" w:type="dxa"/>
            <w:tcBorders>
              <w:top w:val="nil"/>
              <w:left w:val="nil"/>
              <w:bottom w:val="single" w:sz="8" w:space="0" w:color="auto"/>
              <w:right w:val="single" w:sz="8" w:space="0" w:color="auto"/>
            </w:tcBorders>
            <w:shd w:val="clear" w:color="auto" w:fill="auto"/>
            <w:noWrap/>
            <w:vAlign w:val="bottom"/>
            <w:hideMark/>
          </w:tcPr>
          <w:p w:rsidR="00C54FF3" w:rsidRPr="00B438F5" w:rsidRDefault="00A160FB" w:rsidP="000B1396">
            <w:pPr>
              <w:rPr>
                <w:rFonts w:ascii="Calibri" w:hAnsi="Calibri" w:cs="Calibri"/>
                <w:color w:val="0000FF"/>
                <w:u w:val="single"/>
                <w:lang w:eastAsia="es-UY"/>
              </w:rPr>
            </w:pPr>
            <w:hyperlink r:id="rId15" w:history="1">
              <w:r w:rsidR="00C54FF3" w:rsidRPr="00B438F5">
                <w:rPr>
                  <w:rFonts w:ascii="Calibri" w:hAnsi="Calibri" w:cs="Calibri"/>
                  <w:color w:val="0000FF"/>
                  <w:u w:val="single"/>
                  <w:lang w:eastAsia="es-UY"/>
                </w:rPr>
                <w:t>salaluf@bancodeseguros.onmicrosoft.com</w:t>
              </w:r>
            </w:hyperlink>
          </w:p>
        </w:tc>
      </w:tr>
      <w:tr w:rsidR="00C54FF3"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tcPr>
          <w:p w:rsidR="00C54FF3" w:rsidRPr="00B438F5" w:rsidRDefault="00C54FF3" w:rsidP="000B1396">
            <w:pPr>
              <w:rPr>
                <w:color w:val="000000"/>
                <w:lang w:eastAsia="es-UY"/>
              </w:rPr>
            </w:pPr>
            <w:r w:rsidRPr="00B438F5">
              <w:rPr>
                <w:color w:val="000000"/>
                <w:lang w:eastAsia="es-UY"/>
              </w:rPr>
              <w:lastRenderedPageBreak/>
              <w:t>Volume License Service Center</w:t>
            </w:r>
          </w:p>
        </w:tc>
        <w:tc>
          <w:tcPr>
            <w:tcW w:w="4137" w:type="dxa"/>
            <w:tcBorders>
              <w:top w:val="nil"/>
              <w:left w:val="nil"/>
              <w:bottom w:val="single" w:sz="8" w:space="0" w:color="auto"/>
              <w:right w:val="single" w:sz="8" w:space="0" w:color="auto"/>
            </w:tcBorders>
            <w:shd w:val="clear" w:color="auto" w:fill="auto"/>
            <w:noWrap/>
            <w:vAlign w:val="bottom"/>
          </w:tcPr>
          <w:p w:rsidR="00C54FF3" w:rsidRDefault="00A160FB" w:rsidP="000B1396">
            <w:hyperlink r:id="rId16" w:history="1">
              <w:r w:rsidR="00C54FF3" w:rsidRPr="00B438F5">
                <w:rPr>
                  <w:rFonts w:ascii="Calibri" w:hAnsi="Calibri" w:cs="Calibri"/>
                  <w:color w:val="0000FF"/>
                  <w:u w:val="single"/>
                  <w:lang w:eastAsia="es-UY"/>
                </w:rPr>
                <w:t>salaluf@bancodeseguros.onmicrosoft.com</w:t>
              </w:r>
            </w:hyperlink>
          </w:p>
        </w:tc>
      </w:tr>
      <w:tr w:rsidR="00C54FF3"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C54FF3" w:rsidRPr="00B438F5" w:rsidRDefault="00C54FF3" w:rsidP="000B1396">
            <w:pPr>
              <w:rPr>
                <w:color w:val="000000"/>
                <w:lang w:eastAsia="es-UY"/>
              </w:rPr>
            </w:pPr>
            <w:r w:rsidRPr="00423E6C">
              <w:t>Centro de administración de Microsoft 365</w:t>
            </w:r>
          </w:p>
        </w:tc>
        <w:tc>
          <w:tcPr>
            <w:tcW w:w="4137" w:type="dxa"/>
            <w:tcBorders>
              <w:top w:val="nil"/>
              <w:left w:val="nil"/>
              <w:bottom w:val="single" w:sz="8" w:space="0" w:color="auto"/>
              <w:right w:val="single" w:sz="8" w:space="0" w:color="auto"/>
            </w:tcBorders>
            <w:shd w:val="clear" w:color="auto" w:fill="auto"/>
            <w:noWrap/>
            <w:vAlign w:val="bottom"/>
            <w:hideMark/>
          </w:tcPr>
          <w:p w:rsidR="00C54FF3" w:rsidRPr="00B438F5" w:rsidRDefault="00A160FB" w:rsidP="000B1396">
            <w:pPr>
              <w:rPr>
                <w:rFonts w:ascii="Calibri" w:hAnsi="Calibri" w:cs="Calibri"/>
                <w:color w:val="0000FF"/>
                <w:u w:val="single"/>
                <w:lang w:eastAsia="es-UY"/>
              </w:rPr>
            </w:pPr>
            <w:hyperlink r:id="rId17" w:history="1">
              <w:r w:rsidR="00C54FF3" w:rsidRPr="00B438F5">
                <w:rPr>
                  <w:rFonts w:ascii="Calibri" w:hAnsi="Calibri" w:cs="Calibri"/>
                  <w:color w:val="0000FF"/>
                  <w:u w:val="single"/>
                  <w:lang w:eastAsia="es-UY"/>
                </w:rPr>
                <w:t>salaluf@bancodeseguros.onmicrosoft.com</w:t>
              </w:r>
            </w:hyperlink>
          </w:p>
        </w:tc>
      </w:tr>
    </w:tbl>
    <w:p w:rsidR="008B7EA1" w:rsidRPr="00ED4186" w:rsidRDefault="008B7EA1" w:rsidP="008B7EA1">
      <w:pPr>
        <w:jc w:val="both"/>
        <w:rPr>
          <w:rFonts w:ascii="Arial" w:hAnsi="Arial" w:cs="Arial"/>
          <w:bCs/>
          <w:u w:val="single"/>
          <w:lang w:val="en-US"/>
        </w:rPr>
      </w:pPr>
    </w:p>
    <w:p w:rsidR="00FE2C7F" w:rsidRDefault="00FE2C7F">
      <w:pPr>
        <w:spacing w:after="200" w:line="276" w:lineRule="auto"/>
        <w:rPr>
          <w:rFonts w:ascii="Arial" w:hAnsi="Arial"/>
          <w:b/>
          <w:spacing w:val="-3"/>
          <w:lang w:val="es-ES_tradnl"/>
        </w:rPr>
      </w:pPr>
      <w:bookmarkStart w:id="25" w:name="_Toc529548726"/>
      <w:r>
        <w:rPr>
          <w:rFonts w:ascii="Arial" w:hAnsi="Arial"/>
          <w:b/>
          <w:spacing w:val="-3"/>
          <w:lang w:val="es-ES_tradnl"/>
        </w:rPr>
        <w:br w:type="page"/>
      </w:r>
    </w:p>
    <w:p w:rsidR="0095696F" w:rsidRDefault="0095696F" w:rsidP="006676CC">
      <w:pPr>
        <w:suppressAutoHyphens/>
        <w:jc w:val="both"/>
        <w:rPr>
          <w:rFonts w:ascii="Arial" w:hAnsi="Arial"/>
          <w:b/>
          <w:spacing w:val="-3"/>
          <w:lang w:val="es-ES_tradnl"/>
        </w:rPr>
      </w:pPr>
    </w:p>
    <w:p w:rsidR="005F72E4" w:rsidRDefault="005F72E4" w:rsidP="00671001">
      <w:pPr>
        <w:pStyle w:val="Ttulo1"/>
        <w:rPr>
          <w:b/>
        </w:rPr>
      </w:pPr>
      <w:bookmarkStart w:id="26" w:name="_Toc99369837"/>
      <w:r w:rsidRPr="00671001">
        <w:rPr>
          <w:b/>
        </w:rPr>
        <w:t xml:space="preserve">Anexo </w:t>
      </w:r>
      <w:bookmarkEnd w:id="25"/>
      <w:r w:rsidR="00094CEE" w:rsidRPr="00671001">
        <w:rPr>
          <w:b/>
        </w:rPr>
        <w:t xml:space="preserve">Nº </w:t>
      </w:r>
      <w:r w:rsidRPr="00671001">
        <w:rPr>
          <w:b/>
        </w:rPr>
        <w:t>I</w:t>
      </w:r>
      <w:r w:rsidR="00671001" w:rsidRPr="00671001">
        <w:rPr>
          <w:b/>
        </w:rPr>
        <w:t xml:space="preserve"> - </w:t>
      </w:r>
      <w:r w:rsidRPr="00671001">
        <w:rPr>
          <w:b/>
        </w:rPr>
        <w:t>Formulario de Identificación del Oferente</w:t>
      </w:r>
      <w:bookmarkEnd w:id="26"/>
      <w:r w:rsidRPr="00671001">
        <w:rPr>
          <w:b/>
        </w:rPr>
        <w:t> </w:t>
      </w:r>
    </w:p>
    <w:p w:rsidR="00671001" w:rsidRPr="00671001" w:rsidRDefault="00671001" w:rsidP="00671001"/>
    <w:p w:rsidR="005F72E4" w:rsidRPr="00ED4186" w:rsidRDefault="005F72E4" w:rsidP="005F72E4">
      <w:pPr>
        <w:jc w:val="center"/>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El/Los que suscribe/n ______________________________ </w:t>
      </w:r>
      <w:r w:rsidRPr="00ED4186">
        <w:rPr>
          <w:rFonts w:ascii="Arial" w:hAnsi="Arial" w:cs="Arial"/>
          <w:color w:val="FF0000"/>
        </w:rPr>
        <w:t>(nombre</w:t>
      </w:r>
      <w:r w:rsidR="00BD64BB">
        <w:rPr>
          <w:rFonts w:ascii="Arial" w:hAnsi="Arial" w:cs="Arial"/>
          <w:color w:val="FF0000"/>
        </w:rPr>
        <w:t>/s y cédula de identidad</w:t>
      </w:r>
      <w:r w:rsidRPr="00ED4186">
        <w:rPr>
          <w:rFonts w:ascii="Arial" w:hAnsi="Arial" w:cs="Arial"/>
          <w:color w:val="FF0000"/>
        </w:rPr>
        <w:t xml:space="preserve"> de quien firme y tenga poderes suficientes</w:t>
      </w:r>
      <w:r w:rsidR="00BD64BB">
        <w:rPr>
          <w:rFonts w:ascii="Arial" w:hAnsi="Arial" w:cs="Arial"/>
          <w:color w:val="FF0000"/>
        </w:rPr>
        <w:t xml:space="preserve"> -</w:t>
      </w:r>
      <w:r w:rsidR="003C6601" w:rsidRPr="00ED4186">
        <w:rPr>
          <w:rFonts w:ascii="Arial" w:hAnsi="Arial" w:cs="Arial"/>
          <w:color w:val="FF0000"/>
        </w:rPr>
        <w:t xml:space="preserve"> </w:t>
      </w:r>
      <w:r w:rsidRPr="00ED4186">
        <w:rPr>
          <w:rFonts w:ascii="Arial" w:hAnsi="Arial" w:cs="Arial"/>
          <w:color w:val="FF0000"/>
        </w:rPr>
        <w:t>para representar a la empresa oferente)</w:t>
      </w:r>
      <w:r w:rsidRPr="00ED4186">
        <w:rPr>
          <w:rFonts w:ascii="Arial" w:hAnsi="Arial" w:cs="Arial"/>
        </w:rPr>
        <w:t xml:space="preserve"> en representación de ______________________________ </w:t>
      </w:r>
      <w:r w:rsidRPr="00ED4186">
        <w:rPr>
          <w:rFonts w:ascii="Arial" w:hAnsi="Arial" w:cs="Arial"/>
          <w:color w:val="FF0000"/>
        </w:rPr>
        <w:t xml:space="preserve">(nombre de la Empresa oferente) </w:t>
      </w:r>
      <w:r w:rsidRPr="00ED4186">
        <w:rPr>
          <w:rFonts w:ascii="Arial" w:hAnsi="Arial" w:cs="Arial"/>
        </w:rPr>
        <w:t>declara</w:t>
      </w:r>
      <w:r w:rsidR="00EF5626">
        <w:rPr>
          <w:rFonts w:ascii="Arial" w:hAnsi="Arial" w:cs="Arial"/>
        </w:rPr>
        <w:t xml:space="preserve"> </w:t>
      </w:r>
      <w:r w:rsidRPr="00ED4186">
        <w:rPr>
          <w:rFonts w:ascii="Arial" w:hAnsi="Arial" w:cs="Arial"/>
        </w:rPr>
        <w:t xml:space="preserve">que la oferta </w:t>
      </w:r>
      <w:r w:rsidR="00222FB1">
        <w:rPr>
          <w:rFonts w:ascii="Arial" w:hAnsi="Arial" w:cs="Arial"/>
        </w:rPr>
        <w:t>presentada</w:t>
      </w:r>
      <w:r w:rsidRPr="00ED4186">
        <w:rPr>
          <w:rFonts w:ascii="Arial" w:hAnsi="Arial" w:cs="Arial"/>
        </w:rPr>
        <w:t xml:space="preserve"> vincula a la empresa en todos sus términos y que acepta sin condiciones las disposiciones del Pliego de Condiciones Particulares del llamado  _a Licitación Abreviada N°____ </w:t>
      </w:r>
      <w:r w:rsidRPr="00ED4186">
        <w:rPr>
          <w:rFonts w:ascii="Arial" w:hAnsi="Arial" w:cs="Arial"/>
          <w:color w:val="FF0000"/>
        </w:rPr>
        <w:t>(descripción del procedimiento de contratación),</w:t>
      </w:r>
      <w:r w:rsidRPr="00ED4186">
        <w:rPr>
          <w:rFonts w:ascii="Arial" w:hAnsi="Arial" w:cs="Arial"/>
        </w:rPr>
        <w:t xml:space="preserve"> así como las restantes normas que rigen la contratación.</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r w:rsidRPr="00ED4186">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FIRMA/S:                  </w:t>
      </w:r>
      <w:r w:rsidRPr="00ED4186">
        <w:rPr>
          <w:rFonts w:ascii="Arial" w:hAnsi="Arial" w:cs="Arial"/>
          <w:shd w:val="clear" w:color="auto" w:fill="FFFFFF"/>
        </w:rPr>
        <w:t>______________________________</w:t>
      </w: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ACLARACIÓN:</w:t>
      </w:r>
      <w:r w:rsidRPr="00ED4186">
        <w:rPr>
          <w:rFonts w:ascii="Arial" w:hAnsi="Arial" w:cs="Arial"/>
          <w:shd w:val="clear" w:color="auto" w:fill="FFFFFF"/>
        </w:rPr>
        <w:t>        ______________________________</w:t>
      </w:r>
    </w:p>
    <w:p w:rsidR="005F72E4" w:rsidRDefault="005F72E4" w:rsidP="005F72E4">
      <w:pPr>
        <w:shd w:val="clear" w:color="auto" w:fill="FFFFFF"/>
        <w:spacing w:after="200" w:line="360" w:lineRule="auto"/>
        <w:jc w:val="both"/>
        <w:rPr>
          <w:rFonts w:ascii="Arial" w:hAnsi="Arial" w:cs="Arial"/>
          <w:shd w:val="clear" w:color="auto" w:fill="FFFFFF"/>
        </w:rPr>
      </w:pPr>
      <w:r w:rsidRPr="00ED4186">
        <w:rPr>
          <w:rFonts w:ascii="Arial" w:hAnsi="Arial" w:cs="Arial"/>
        </w:rPr>
        <w:t xml:space="preserve">CI.:                             </w:t>
      </w:r>
      <w:r w:rsidRPr="00ED4186">
        <w:rPr>
          <w:rFonts w:ascii="Arial" w:hAnsi="Arial" w:cs="Arial"/>
          <w:shd w:val="clear" w:color="auto" w:fill="FFFFFF"/>
        </w:rPr>
        <w:t>______________________________</w:t>
      </w:r>
    </w:p>
    <w:p w:rsidR="00C91B41" w:rsidRDefault="00C91B41" w:rsidP="005F72E4">
      <w:pPr>
        <w:shd w:val="clear" w:color="auto" w:fill="FFFFFF"/>
        <w:spacing w:after="200" w:line="360" w:lineRule="auto"/>
        <w:jc w:val="both"/>
        <w:rPr>
          <w:rFonts w:ascii="Arial" w:hAnsi="Arial" w:cs="Arial"/>
          <w:shd w:val="clear" w:color="auto" w:fill="FFFFFF"/>
        </w:rPr>
      </w:pPr>
    </w:p>
    <w:p w:rsidR="00C91B41" w:rsidRDefault="00C91B41">
      <w:pPr>
        <w:spacing w:after="200" w:line="276" w:lineRule="auto"/>
        <w:rPr>
          <w:rFonts w:ascii="Arial" w:hAnsi="Arial" w:cs="Arial"/>
          <w:shd w:val="clear" w:color="auto" w:fill="FFFFFF"/>
        </w:rPr>
      </w:pPr>
      <w:r>
        <w:rPr>
          <w:rFonts w:ascii="Arial" w:hAnsi="Arial" w:cs="Arial"/>
          <w:shd w:val="clear" w:color="auto" w:fill="FFFFFF"/>
        </w:rPr>
        <w:br w:type="page"/>
      </w:r>
    </w:p>
    <w:sectPr w:rsidR="00C91B41"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FB" w:rsidRDefault="00A160FB" w:rsidP="005F72E4">
      <w:r>
        <w:separator/>
      </w:r>
    </w:p>
  </w:endnote>
  <w:endnote w:type="continuationSeparator" w:id="0">
    <w:p w:rsidR="00A160FB" w:rsidRDefault="00A160FB"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Pro-Regular">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FB" w:rsidRDefault="00A160FB" w:rsidP="005F72E4">
      <w:r>
        <w:separator/>
      </w:r>
    </w:p>
  </w:footnote>
  <w:footnote w:type="continuationSeparator" w:id="0">
    <w:p w:rsidR="00A160FB" w:rsidRDefault="00A160FB" w:rsidP="005F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3"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8"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0" w15:restartNumberingAfterBreak="0">
    <w:nsid w:val="75896BB3"/>
    <w:multiLevelType w:val="hybridMultilevel"/>
    <w:tmpl w:val="E8FCAEFC"/>
    <w:lvl w:ilvl="0" w:tplc="9998EC7E">
      <w:numFmt w:val="bullet"/>
      <w:lvlText w:val=""/>
      <w:lvlJc w:val="left"/>
      <w:pPr>
        <w:ind w:left="720" w:hanging="360"/>
      </w:pPr>
      <w:rPr>
        <w:rFonts w:ascii="Symbol" w:eastAsiaTheme="minorHAnsi" w:hAnsi="Symbol"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
  </w:num>
  <w:num w:numId="4">
    <w:abstractNumId w:val="16"/>
  </w:num>
  <w:num w:numId="5">
    <w:abstractNumId w:val="8"/>
  </w:num>
  <w:num w:numId="6">
    <w:abstractNumId w:val="9"/>
  </w:num>
  <w:num w:numId="7">
    <w:abstractNumId w:val="13"/>
  </w:num>
  <w:num w:numId="8">
    <w:abstractNumId w:val="12"/>
  </w:num>
  <w:num w:numId="9">
    <w:abstractNumId w:val="19"/>
  </w:num>
  <w:num w:numId="10">
    <w:abstractNumId w:val="7"/>
  </w:num>
  <w:num w:numId="11">
    <w:abstractNumId w:val="5"/>
  </w:num>
  <w:num w:numId="12">
    <w:abstractNumId w:val="18"/>
  </w:num>
  <w:num w:numId="13">
    <w:abstractNumId w:val="6"/>
  </w:num>
  <w:num w:numId="14">
    <w:abstractNumId w:val="1"/>
  </w:num>
  <w:num w:numId="15">
    <w:abstractNumId w:val="11"/>
  </w:num>
  <w:num w:numId="16">
    <w:abstractNumId w:val="2"/>
  </w:num>
  <w:num w:numId="17">
    <w:abstractNumId w:val="15"/>
  </w:num>
  <w:num w:numId="18">
    <w:abstractNumId w:val="4"/>
  </w:num>
  <w:num w:numId="19">
    <w:abstractNumId w:val="10"/>
  </w:num>
  <w:num w:numId="20">
    <w:abstractNumId w:val="14"/>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03EE"/>
    <w:rsid w:val="00003F94"/>
    <w:rsid w:val="00007257"/>
    <w:rsid w:val="000106BD"/>
    <w:rsid w:val="0002193E"/>
    <w:rsid w:val="00025B0A"/>
    <w:rsid w:val="00056838"/>
    <w:rsid w:val="000804FD"/>
    <w:rsid w:val="000833A7"/>
    <w:rsid w:val="00094CEE"/>
    <w:rsid w:val="000B1396"/>
    <w:rsid w:val="000B2487"/>
    <w:rsid w:val="000C4E63"/>
    <w:rsid w:val="000D5750"/>
    <w:rsid w:val="000D5A54"/>
    <w:rsid w:val="000E401B"/>
    <w:rsid w:val="00107002"/>
    <w:rsid w:val="00107997"/>
    <w:rsid w:val="00120615"/>
    <w:rsid w:val="00126057"/>
    <w:rsid w:val="00133E10"/>
    <w:rsid w:val="00135556"/>
    <w:rsid w:val="00140140"/>
    <w:rsid w:val="001420D6"/>
    <w:rsid w:val="00143388"/>
    <w:rsid w:val="00167F10"/>
    <w:rsid w:val="00190D08"/>
    <w:rsid w:val="001A4D70"/>
    <w:rsid w:val="001B2BB4"/>
    <w:rsid w:val="001C5E95"/>
    <w:rsid w:val="001F00A1"/>
    <w:rsid w:val="001F094A"/>
    <w:rsid w:val="001F403A"/>
    <w:rsid w:val="001F4245"/>
    <w:rsid w:val="001F762B"/>
    <w:rsid w:val="00206631"/>
    <w:rsid w:val="002078CB"/>
    <w:rsid w:val="00222FB1"/>
    <w:rsid w:val="0023238A"/>
    <w:rsid w:val="00235208"/>
    <w:rsid w:val="002463E6"/>
    <w:rsid w:val="00250DC9"/>
    <w:rsid w:val="00251463"/>
    <w:rsid w:val="00255ACD"/>
    <w:rsid w:val="002868EA"/>
    <w:rsid w:val="00293287"/>
    <w:rsid w:val="00297CC2"/>
    <w:rsid w:val="00297ED0"/>
    <w:rsid w:val="002B080B"/>
    <w:rsid w:val="002B32DA"/>
    <w:rsid w:val="002B4504"/>
    <w:rsid w:val="002B7534"/>
    <w:rsid w:val="002C7B0F"/>
    <w:rsid w:val="002D451D"/>
    <w:rsid w:val="002D5940"/>
    <w:rsid w:val="002E3B78"/>
    <w:rsid w:val="002E49DC"/>
    <w:rsid w:val="002E62D7"/>
    <w:rsid w:val="00303622"/>
    <w:rsid w:val="003061A2"/>
    <w:rsid w:val="00311843"/>
    <w:rsid w:val="00314D58"/>
    <w:rsid w:val="003204DC"/>
    <w:rsid w:val="0032389C"/>
    <w:rsid w:val="00337161"/>
    <w:rsid w:val="00337358"/>
    <w:rsid w:val="00344DEF"/>
    <w:rsid w:val="00354BAF"/>
    <w:rsid w:val="00380B94"/>
    <w:rsid w:val="00385091"/>
    <w:rsid w:val="003A33B2"/>
    <w:rsid w:val="003A6045"/>
    <w:rsid w:val="003B08D4"/>
    <w:rsid w:val="003B433B"/>
    <w:rsid w:val="003C6601"/>
    <w:rsid w:val="003D177D"/>
    <w:rsid w:val="003D5275"/>
    <w:rsid w:val="003D56C4"/>
    <w:rsid w:val="003F4F56"/>
    <w:rsid w:val="0042005E"/>
    <w:rsid w:val="00421FA8"/>
    <w:rsid w:val="0043109B"/>
    <w:rsid w:val="00445E05"/>
    <w:rsid w:val="0047150D"/>
    <w:rsid w:val="00486A39"/>
    <w:rsid w:val="004905A3"/>
    <w:rsid w:val="004A497D"/>
    <w:rsid w:val="004A624D"/>
    <w:rsid w:val="004A6856"/>
    <w:rsid w:val="004A746E"/>
    <w:rsid w:val="004E18FF"/>
    <w:rsid w:val="004E213E"/>
    <w:rsid w:val="004E5FAA"/>
    <w:rsid w:val="004F25CD"/>
    <w:rsid w:val="0051256A"/>
    <w:rsid w:val="0052698D"/>
    <w:rsid w:val="0053445C"/>
    <w:rsid w:val="00564750"/>
    <w:rsid w:val="00593EFE"/>
    <w:rsid w:val="00595194"/>
    <w:rsid w:val="00597839"/>
    <w:rsid w:val="005A19EF"/>
    <w:rsid w:val="005A3EFB"/>
    <w:rsid w:val="005B1408"/>
    <w:rsid w:val="005B20CF"/>
    <w:rsid w:val="005B4858"/>
    <w:rsid w:val="005B4EB9"/>
    <w:rsid w:val="005B6507"/>
    <w:rsid w:val="005D7C9B"/>
    <w:rsid w:val="005E747D"/>
    <w:rsid w:val="005F72E4"/>
    <w:rsid w:val="006115F7"/>
    <w:rsid w:val="006202CC"/>
    <w:rsid w:val="00640725"/>
    <w:rsid w:val="00644B03"/>
    <w:rsid w:val="006453AB"/>
    <w:rsid w:val="006676CC"/>
    <w:rsid w:val="00671001"/>
    <w:rsid w:val="006744C7"/>
    <w:rsid w:val="00675C37"/>
    <w:rsid w:val="006A2186"/>
    <w:rsid w:val="006B017D"/>
    <w:rsid w:val="006B165E"/>
    <w:rsid w:val="006B2602"/>
    <w:rsid w:val="006B4D57"/>
    <w:rsid w:val="006C1E40"/>
    <w:rsid w:val="006D5300"/>
    <w:rsid w:val="006E66F4"/>
    <w:rsid w:val="00711387"/>
    <w:rsid w:val="00723019"/>
    <w:rsid w:val="007473B3"/>
    <w:rsid w:val="00754BB0"/>
    <w:rsid w:val="00755BC8"/>
    <w:rsid w:val="00756EDB"/>
    <w:rsid w:val="007612CD"/>
    <w:rsid w:val="007729C9"/>
    <w:rsid w:val="00772E60"/>
    <w:rsid w:val="00773AF1"/>
    <w:rsid w:val="00783232"/>
    <w:rsid w:val="00783B56"/>
    <w:rsid w:val="0079628F"/>
    <w:rsid w:val="0079641A"/>
    <w:rsid w:val="0079770B"/>
    <w:rsid w:val="007A639C"/>
    <w:rsid w:val="007E48CD"/>
    <w:rsid w:val="0080229E"/>
    <w:rsid w:val="00805D2C"/>
    <w:rsid w:val="008068C4"/>
    <w:rsid w:val="0081330F"/>
    <w:rsid w:val="00835421"/>
    <w:rsid w:val="00835A7C"/>
    <w:rsid w:val="00882F2E"/>
    <w:rsid w:val="00894AC1"/>
    <w:rsid w:val="008B09A8"/>
    <w:rsid w:val="008B1A72"/>
    <w:rsid w:val="008B7EA1"/>
    <w:rsid w:val="008D613E"/>
    <w:rsid w:val="008F2406"/>
    <w:rsid w:val="008F46AD"/>
    <w:rsid w:val="008F55FA"/>
    <w:rsid w:val="00903F8C"/>
    <w:rsid w:val="009049E1"/>
    <w:rsid w:val="009061B4"/>
    <w:rsid w:val="00917472"/>
    <w:rsid w:val="009225F8"/>
    <w:rsid w:val="009307C1"/>
    <w:rsid w:val="00932618"/>
    <w:rsid w:val="00935ABF"/>
    <w:rsid w:val="00941332"/>
    <w:rsid w:val="00951F70"/>
    <w:rsid w:val="0095606F"/>
    <w:rsid w:val="0095696F"/>
    <w:rsid w:val="00963FD8"/>
    <w:rsid w:val="00965D2F"/>
    <w:rsid w:val="00967053"/>
    <w:rsid w:val="009760E4"/>
    <w:rsid w:val="009800DF"/>
    <w:rsid w:val="00985A6A"/>
    <w:rsid w:val="009B02AD"/>
    <w:rsid w:val="009B3EB3"/>
    <w:rsid w:val="009B4B13"/>
    <w:rsid w:val="009C0B2F"/>
    <w:rsid w:val="009E0CCC"/>
    <w:rsid w:val="009E0E00"/>
    <w:rsid w:val="009E7BE6"/>
    <w:rsid w:val="009F771B"/>
    <w:rsid w:val="00A038F5"/>
    <w:rsid w:val="00A04B9B"/>
    <w:rsid w:val="00A160FB"/>
    <w:rsid w:val="00A201D0"/>
    <w:rsid w:val="00A37BA0"/>
    <w:rsid w:val="00A41EDC"/>
    <w:rsid w:val="00A559CE"/>
    <w:rsid w:val="00A75D52"/>
    <w:rsid w:val="00A82AF8"/>
    <w:rsid w:val="00A85C6A"/>
    <w:rsid w:val="00A93E2A"/>
    <w:rsid w:val="00AB0ED0"/>
    <w:rsid w:val="00AD4084"/>
    <w:rsid w:val="00AE2A7C"/>
    <w:rsid w:val="00AE3815"/>
    <w:rsid w:val="00AE7FFD"/>
    <w:rsid w:val="00B023CC"/>
    <w:rsid w:val="00B024C2"/>
    <w:rsid w:val="00B03557"/>
    <w:rsid w:val="00B05F6E"/>
    <w:rsid w:val="00B10187"/>
    <w:rsid w:val="00B1509C"/>
    <w:rsid w:val="00B16CCD"/>
    <w:rsid w:val="00B24232"/>
    <w:rsid w:val="00B438F5"/>
    <w:rsid w:val="00B47290"/>
    <w:rsid w:val="00B52ECE"/>
    <w:rsid w:val="00B602E6"/>
    <w:rsid w:val="00B64B3F"/>
    <w:rsid w:val="00B6516D"/>
    <w:rsid w:val="00B76992"/>
    <w:rsid w:val="00B813AE"/>
    <w:rsid w:val="00B93F1B"/>
    <w:rsid w:val="00BA3F0E"/>
    <w:rsid w:val="00BC6188"/>
    <w:rsid w:val="00BD04BC"/>
    <w:rsid w:val="00BD64BB"/>
    <w:rsid w:val="00BE1939"/>
    <w:rsid w:val="00BE49FB"/>
    <w:rsid w:val="00BE5A87"/>
    <w:rsid w:val="00BF3935"/>
    <w:rsid w:val="00C00751"/>
    <w:rsid w:val="00C17316"/>
    <w:rsid w:val="00C2620A"/>
    <w:rsid w:val="00C26E03"/>
    <w:rsid w:val="00C322AA"/>
    <w:rsid w:val="00C54FF3"/>
    <w:rsid w:val="00C64F10"/>
    <w:rsid w:val="00C65552"/>
    <w:rsid w:val="00C65F86"/>
    <w:rsid w:val="00C72AF1"/>
    <w:rsid w:val="00C732B9"/>
    <w:rsid w:val="00C91B41"/>
    <w:rsid w:val="00CB2987"/>
    <w:rsid w:val="00CC01FF"/>
    <w:rsid w:val="00CE5D8C"/>
    <w:rsid w:val="00CF67DA"/>
    <w:rsid w:val="00D11BE1"/>
    <w:rsid w:val="00D13539"/>
    <w:rsid w:val="00D3280C"/>
    <w:rsid w:val="00D36965"/>
    <w:rsid w:val="00D41623"/>
    <w:rsid w:val="00D5510E"/>
    <w:rsid w:val="00D616E4"/>
    <w:rsid w:val="00D63ADF"/>
    <w:rsid w:val="00D74A0C"/>
    <w:rsid w:val="00D838A2"/>
    <w:rsid w:val="00D8455E"/>
    <w:rsid w:val="00D966C8"/>
    <w:rsid w:val="00DC42F3"/>
    <w:rsid w:val="00DE2C03"/>
    <w:rsid w:val="00E04C34"/>
    <w:rsid w:val="00E12FDE"/>
    <w:rsid w:val="00E161F7"/>
    <w:rsid w:val="00E3284C"/>
    <w:rsid w:val="00E37382"/>
    <w:rsid w:val="00E376B4"/>
    <w:rsid w:val="00E7202F"/>
    <w:rsid w:val="00E7393A"/>
    <w:rsid w:val="00E86B1F"/>
    <w:rsid w:val="00E92433"/>
    <w:rsid w:val="00EA0BC2"/>
    <w:rsid w:val="00EC5590"/>
    <w:rsid w:val="00ED14E2"/>
    <w:rsid w:val="00ED4186"/>
    <w:rsid w:val="00EE6CEA"/>
    <w:rsid w:val="00EF5626"/>
    <w:rsid w:val="00EF6B1C"/>
    <w:rsid w:val="00F04DF5"/>
    <w:rsid w:val="00F06458"/>
    <w:rsid w:val="00F1223B"/>
    <w:rsid w:val="00F12693"/>
    <w:rsid w:val="00F37D9C"/>
    <w:rsid w:val="00F550F1"/>
    <w:rsid w:val="00F64BBC"/>
    <w:rsid w:val="00F6671D"/>
    <w:rsid w:val="00F824D1"/>
    <w:rsid w:val="00F830FE"/>
    <w:rsid w:val="00F90815"/>
    <w:rsid w:val="00FB2AC1"/>
    <w:rsid w:val="00FE1ACC"/>
    <w:rsid w:val="00FE2C7F"/>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3372B6"/>
  <w15:docId w15:val="{4878911A-A3F5-4F91-9E02-C6AC880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1B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uiPriority w:val="99"/>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customStyle="1" w:styleId="Prrafobsico">
    <w:name w:val="[Párrafo básico]"/>
    <w:basedOn w:val="Normal"/>
    <w:uiPriority w:val="99"/>
    <w:rsid w:val="00297CC2"/>
    <w:pPr>
      <w:autoSpaceDE w:val="0"/>
      <w:autoSpaceDN w:val="0"/>
      <w:adjustRightInd w:val="0"/>
      <w:spacing w:line="288" w:lineRule="auto"/>
      <w:textAlignment w:val="center"/>
    </w:pPr>
    <w:rPr>
      <w:rFonts w:ascii="MinionPro-Regular" w:eastAsiaTheme="minorHAnsi" w:hAnsi="MinionPro-Regular" w:cs="MinionPro-Regular"/>
      <w:color w:val="000000"/>
      <w:lang w:val="es-ES_tradnl" w:eastAsia="en-US"/>
    </w:rPr>
  </w:style>
  <w:style w:type="character" w:customStyle="1" w:styleId="Ttulo1Car">
    <w:name w:val="Título 1 Car"/>
    <w:basedOn w:val="Fuentedeprrafopredeter"/>
    <w:link w:val="Ttulo1"/>
    <w:uiPriority w:val="9"/>
    <w:rsid w:val="00C91B41"/>
    <w:rPr>
      <w:rFonts w:asciiTheme="majorHAnsi" w:eastAsiaTheme="majorEastAsia" w:hAnsiTheme="majorHAnsi" w:cstheme="majorBidi"/>
      <w:color w:val="365F91" w:themeColor="accent1" w:themeShade="BF"/>
      <w:sz w:val="32"/>
      <w:szCs w:val="32"/>
      <w:lang w:val="es-ES" w:eastAsia="es-ES"/>
    </w:rPr>
  </w:style>
  <w:style w:type="paragraph" w:styleId="Subttulo">
    <w:name w:val="Subtitle"/>
    <w:basedOn w:val="Normal"/>
    <w:next w:val="Normal"/>
    <w:link w:val="SubttuloCar"/>
    <w:uiPriority w:val="11"/>
    <w:qFormat/>
    <w:rsid w:val="006710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71001"/>
    <w:rPr>
      <w:rFonts w:eastAsiaTheme="minorEastAsia"/>
      <w:color w:val="5A5A5A" w:themeColor="text1" w:themeTint="A5"/>
      <w:spacing w:val="15"/>
      <w:lang w:val="es-ES" w:eastAsia="es-ES"/>
    </w:rPr>
  </w:style>
  <w:style w:type="paragraph" w:styleId="TtuloTDC">
    <w:name w:val="TOC Heading"/>
    <w:basedOn w:val="Ttulo1"/>
    <w:next w:val="Normal"/>
    <w:uiPriority w:val="39"/>
    <w:unhideWhenUsed/>
    <w:qFormat/>
    <w:rsid w:val="00E12FDE"/>
    <w:pPr>
      <w:spacing w:line="259" w:lineRule="auto"/>
      <w:outlineLvl w:val="9"/>
    </w:pPr>
    <w:rPr>
      <w:lang w:val="es-UY" w:eastAsia="es-UY"/>
    </w:rPr>
  </w:style>
  <w:style w:type="paragraph" w:styleId="TDC1">
    <w:name w:val="toc 1"/>
    <w:basedOn w:val="Normal"/>
    <w:next w:val="Normal"/>
    <w:autoRedefine/>
    <w:uiPriority w:val="39"/>
    <w:unhideWhenUsed/>
    <w:rsid w:val="00E12FD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iones@bse.com.u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alaluf@bancodeseguros.onmicrosoft.com" TargetMode="External"/><Relationship Id="rId2" Type="http://schemas.openxmlformats.org/officeDocument/2006/relationships/numbering" Target="numbering.xml"/><Relationship Id="rId16" Type="http://schemas.openxmlformats.org/officeDocument/2006/relationships/hyperlink" Target="mailto:salaluf@bancodeseguros.onmicroso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aluf@bancodeseguros.onmicrosoft.com" TargetMode="External"/><Relationship Id="rId5" Type="http://schemas.openxmlformats.org/officeDocument/2006/relationships/webSettings" Target="webSettings.xml"/><Relationship Id="rId15" Type="http://schemas.openxmlformats.org/officeDocument/2006/relationships/hyperlink" Target="mailto:salaluf@bancodeseguros.onmicrosoft.com" TargetMode="External"/><Relationship Id="rId10" Type="http://schemas.openxmlformats.org/officeDocument/2006/relationships/hyperlink" Target="mailto:salaluf@bancodeseguros.onmicrosof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aluf@bancodeseguros.onmicrosoft.com" TargetMode="External"/><Relationship Id="rId14" Type="http://schemas.openxmlformats.org/officeDocument/2006/relationships/hyperlink" Target="http://www.bse.com.uy/inicio/institucional/Transparenc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5086-EB1B-4A0D-AD2E-14402358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3616</Words>
  <Characters>19894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PERICHON FERRO, Barny Marcos</cp:lastModifiedBy>
  <cp:revision>7</cp:revision>
  <dcterms:created xsi:type="dcterms:W3CDTF">2022-03-28T17:21:00Z</dcterms:created>
  <dcterms:modified xsi:type="dcterms:W3CDTF">2022-04-25T17:02:00Z</dcterms:modified>
</cp:coreProperties>
</file>