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8"/>
          <w:szCs w:val="22"/>
        </w:rPr>
      </w:pPr>
    </w:p>
    <w:p w:rsidR="00000000" w:rsidRDefault="008C6EA1">
      <w:pPr>
        <w:pStyle w:val="Sinespaciado"/>
        <w:spacing w:line="360" w:lineRule="auto"/>
        <w:jc w:val="center"/>
      </w:pPr>
      <w:r>
        <w:rPr>
          <w:rFonts w:ascii="Arial Black" w:eastAsia="Calibri" w:hAnsi="Arial Black" w:cs="Arial Black"/>
          <w:b/>
          <w:color w:val="000000"/>
          <w:sz w:val="32"/>
          <w:szCs w:val="22"/>
        </w:rPr>
        <w:t>ARMADA NACIONAL</w:t>
      </w:r>
    </w:p>
    <w:p w:rsidR="00000000" w:rsidRDefault="003A3A72">
      <w:pPr>
        <w:pStyle w:val="Sinespaciado"/>
        <w:spacing w:line="360" w:lineRule="auto"/>
        <w:jc w:val="center"/>
      </w:pPr>
      <w:r>
        <w:rPr>
          <w:noProof/>
          <w:lang w:val="es-UY" w:eastAsia="es-UY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429895</wp:posOffset>
            </wp:positionV>
            <wp:extent cx="6821170" cy="7559040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6656" t="606656" r="606656" b="60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755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568325</wp:posOffset>
            </wp:positionV>
            <wp:extent cx="1531620" cy="1670685"/>
            <wp:effectExtent l="1905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8351" t="1924199" r="2348351" b="192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70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EA1">
        <w:rPr>
          <w:rFonts w:ascii="Arial Black" w:eastAsia="Calibri" w:hAnsi="Arial Black" w:cs="Arial Black"/>
          <w:b/>
          <w:color w:val="000000"/>
          <w:sz w:val="32"/>
          <w:szCs w:val="22"/>
        </w:rPr>
        <w:t>UNIDAD CENTRALIZADA DE COMPRAS</w:t>
      </w:r>
    </w:p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8"/>
          <w:szCs w:val="22"/>
        </w:rPr>
      </w:pPr>
    </w:p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8"/>
          <w:szCs w:val="22"/>
        </w:rPr>
      </w:pPr>
    </w:p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8"/>
          <w:szCs w:val="22"/>
        </w:rPr>
      </w:pPr>
    </w:p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8"/>
          <w:szCs w:val="22"/>
        </w:rPr>
      </w:pPr>
    </w:p>
    <w:p w:rsidR="00000000" w:rsidRDefault="008C6EA1">
      <w:pPr>
        <w:pStyle w:val="Sinespaciado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000000" w:rsidRDefault="008C6EA1">
      <w:pPr>
        <w:pStyle w:val="Sinespaciado"/>
        <w:spacing w:line="360" w:lineRule="auto"/>
        <w:jc w:val="center"/>
      </w:pPr>
      <w:r>
        <w:rPr>
          <w:rFonts w:ascii="Arial" w:eastAsia="Calibri" w:hAnsi="Arial" w:cs="Arial"/>
          <w:b/>
          <w:color w:val="000000"/>
          <w:sz w:val="36"/>
          <w:szCs w:val="22"/>
          <w:u w:val="single"/>
        </w:rPr>
        <w:t xml:space="preserve">PLIEGO DE CONDICIONES PARTICULARES </w:t>
      </w:r>
    </w:p>
    <w:p w:rsidR="00000000" w:rsidRDefault="008C6EA1">
      <w:pPr>
        <w:pStyle w:val="Sinespaciado"/>
        <w:spacing w:line="360" w:lineRule="auto"/>
        <w:jc w:val="center"/>
      </w:pPr>
      <w:r>
        <w:rPr>
          <w:rFonts w:ascii="Arial" w:eastAsia="Calibri" w:hAnsi="Arial" w:cs="Arial"/>
          <w:b/>
          <w:color w:val="000000"/>
          <w:sz w:val="36"/>
          <w:szCs w:val="22"/>
        </w:rPr>
        <w:t>L.A N°17/2022</w:t>
      </w:r>
    </w:p>
    <w:p w:rsidR="00000000" w:rsidRDefault="008C6EA1">
      <w:pPr>
        <w:pStyle w:val="Sinespaciado"/>
        <w:spacing w:line="360" w:lineRule="auto"/>
        <w:jc w:val="center"/>
      </w:pPr>
      <w:r>
        <w:rPr>
          <w:rFonts w:ascii="Arial" w:eastAsia="Calibri" w:hAnsi="Arial" w:cs="Arial"/>
          <w:b/>
          <w:color w:val="000000"/>
          <w:sz w:val="36"/>
          <w:szCs w:val="22"/>
        </w:rPr>
        <w:t>"EQUIPOS DE COMUNICACIONES"</w:t>
      </w: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Sinespaciado"/>
        <w:spacing w:after="24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000000" w:rsidRDefault="008C6EA1">
      <w:pPr>
        <w:pStyle w:val="TtulodeTDC"/>
        <w:rPr>
          <w:rFonts w:ascii="Arial" w:eastAsia="Calibri" w:hAnsi="Arial" w:cs="Arial"/>
          <w:b w:val="0"/>
          <w:bCs w:val="0"/>
          <w:color w:val="00000A"/>
          <w:sz w:val="22"/>
          <w:szCs w:val="22"/>
          <w:u w:val="single"/>
          <w:lang w:eastAsia="es-ES"/>
        </w:rPr>
      </w:pPr>
    </w:p>
    <w:p w:rsidR="00000000" w:rsidRDefault="008C6EA1">
      <w:p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134" w:bottom="567" w:left="1134" w:header="425" w:footer="0" w:gutter="0"/>
          <w:cols w:space="720"/>
          <w:titlePg/>
          <w:docGrid w:linePitch="360"/>
        </w:sectPr>
      </w:pPr>
    </w:p>
    <w:p w:rsidR="00000000" w:rsidRDefault="008C6EA1">
      <w:pPr>
        <w:pStyle w:val="Ttulo1"/>
      </w:pPr>
      <w:bookmarkStart w:id="0" w:name="__RefHeading__30_1567047773"/>
      <w:bookmarkStart w:id="1" w:name="__RefHeading__5_725448908"/>
      <w:bookmarkEnd w:id="0"/>
      <w:bookmarkEnd w:id="1"/>
      <w:r>
        <w:rPr>
          <w:rFonts w:ascii="Arial Narrow" w:eastAsia="Calibri" w:hAnsi="Arial Narrow" w:cs="Arial Narrow"/>
          <w:sz w:val="24"/>
          <w:szCs w:val="28"/>
          <w:u w:val="single"/>
        </w:rPr>
        <w:lastRenderedPageBreak/>
        <w:t>1.-  FICHA DE INFORMACIÓN PARTICULAR BÁSICA DEL PROCEDIMIENTO.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982"/>
        <w:gridCol w:w="12"/>
        <w:gridCol w:w="1709"/>
        <w:gridCol w:w="132"/>
        <w:gridCol w:w="1711"/>
        <w:gridCol w:w="104"/>
        <w:gridCol w:w="1587"/>
        <w:gridCol w:w="173"/>
        <w:gridCol w:w="1884"/>
        <w:gridCol w:w="38"/>
      </w:tblGrid>
      <w:tr w:rsidR="00000000">
        <w:trPr>
          <w:trHeight w:val="428"/>
        </w:trPr>
        <w:tc>
          <w:tcPr>
            <w:tcW w:w="10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E97"/>
            <w:vAlign w:val="center"/>
          </w:tcPr>
          <w:p w:rsidR="00000000" w:rsidRDefault="008C6EA1">
            <w:pPr>
              <w:pStyle w:val="Encabezado1"/>
              <w:jc w:val="center"/>
            </w:pPr>
            <w:r>
              <w:rPr>
                <w:rFonts w:ascii="Arial Narrow" w:hAnsi="Arial Narrow" w:cs="Arial Narrow"/>
                <w:b/>
                <w:szCs w:val="28"/>
                <w:u w:val="single"/>
              </w:rPr>
              <w:t>LA Nº 17/22</w:t>
            </w:r>
          </w:p>
          <w:p w:rsidR="00000000" w:rsidRDefault="008C6EA1">
            <w:pPr>
              <w:pStyle w:val="Encabezado1"/>
              <w:jc w:val="center"/>
            </w:pPr>
            <w:r>
              <w:rPr>
                <w:rFonts w:ascii="Arial Narrow" w:eastAsia="Arial Narrow" w:hAnsi="Arial Narrow" w:cs="Arial Narrow"/>
                <w:b/>
                <w:szCs w:val="28"/>
                <w:u w:val="single"/>
              </w:rPr>
              <w:t>“</w:t>
            </w:r>
            <w:r>
              <w:rPr>
                <w:rFonts w:ascii="Arial Narrow" w:hAnsi="Arial Narrow" w:cs="Arial Narrow"/>
                <w:b/>
                <w:szCs w:val="28"/>
                <w:u w:val="single"/>
              </w:rPr>
              <w:t>EQUIPOS DE COMUNICACIONES”</w:t>
            </w:r>
          </w:p>
        </w:tc>
      </w:tr>
      <w:tr w:rsidR="00000000">
        <w:trPr>
          <w:trHeight w:val="60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APERTU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-02-22</w:t>
            </w:r>
          </w:p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:00hs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ELECTRÓNICA A TRAVÉS DEL SISTEMA DE COMPRAS ESTATALES.</w:t>
            </w:r>
          </w:p>
        </w:tc>
      </w:tr>
      <w:tr w:rsidR="00000000">
        <w:trPr>
          <w:trHeight w:val="68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CONSULTAS HASTA: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-02-22</w:t>
            </w:r>
          </w:p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:00hs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TEL: 2915 10 70 DIVISIÓN LICITACIONES, MAIL: </w:t>
            </w:r>
            <w:r>
              <w:rPr>
                <w:rFonts w:ascii="Calibri" w:hAnsi="Calibri" w:cs="Calibri"/>
                <w:color w:val="0070C0"/>
                <w:sz w:val="20"/>
                <w:szCs w:val="20"/>
              </w:rPr>
              <w:t>uccar_compras1@armada.mil.uy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08:30hs A 12:30hs,          DE LUNES A VIERNES.</w:t>
            </w:r>
          </w:p>
        </w:tc>
      </w:tr>
      <w:tr w:rsidR="00000000">
        <w:trPr>
          <w:trHeight w:val="376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SOLICITUD PRORROGA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HASTA: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-02-22</w:t>
            </w:r>
          </w:p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:00hs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HASTA 48hs ANTES DE LA FECHA DE APERTURA.</w:t>
            </w:r>
          </w:p>
        </w:tc>
      </w:tr>
      <w:tr w:rsidR="00000000">
        <w:trPr>
          <w:trHeight w:val="619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MANTENIMIENTO DE OFERTA MÍNIMO: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DÍAS.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CONTADOS A PARTIR DE LA APERTURA DE OFERTAS</w:t>
            </w:r>
          </w:p>
        </w:tc>
      </w:tr>
      <w:tr w:rsidR="00000000">
        <w:trPr>
          <w:trHeight w:val="53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GARANTÍA, PLAZO MÍNIMO: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EXPRESADA EN EL ANEXO EN CADA ÍTEM</w:t>
            </w:r>
          </w:p>
        </w:tc>
      </w:tr>
      <w:tr w:rsidR="00000000">
        <w:trPr>
          <w:trHeight w:val="53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GARANTÍA, ALCANCE: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EXPRESADA EN EL ANEXO EN CADA ÍTEM</w:t>
            </w:r>
          </w:p>
        </w:tc>
      </w:tr>
      <w:tr w:rsidR="00000000">
        <w:trPr>
          <w:trHeight w:val="5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DAP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DÓLARES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TRAVÉS DE CARTA DE CRÉDITO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00000">
        <w:trPr>
          <w:trHeight w:val="54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PLAZO DE ENTREGA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DÍAS.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CORRIDOS DESDE EL DÍA SIGUIENTE A AQUEL EN QUE EL ADJUDICATARIO RECIBIERA LA NOTIFICACIÓN FORMAL DE LA DIVISIÓN DE RECEPCIÓN Y DESPACHO DE MERCA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DERÍA (REDEM) INFORMANDO QUE SE APROBÓ LA EXONERACIÓN TRIBUTARIA</w:t>
            </w:r>
          </w:p>
        </w:tc>
      </w:tr>
      <w:tr w:rsidR="00000000">
        <w:trPr>
          <w:trHeight w:val="87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COTIZACIÓN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DAP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DÓLARES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EXENTO DE IMPUESTOS,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CONSIDERANDO TODO COSTO NECESARIO HASTA SU EFECTIVA ENTREGA EN SU DESTINO FINAL.</w:t>
            </w:r>
          </w:p>
        </w:tc>
      </w:tr>
      <w:tr w:rsidR="00000000">
        <w:trPr>
          <w:trHeight w:val="376"/>
        </w:trPr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FACTORES DE EVALUACIÓN Y PONDERACIÓN DE OFERTAS: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ANT. NEG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</w:tr>
      <w:tr w:rsidR="00000000">
        <w:trPr>
          <w:trHeight w:val="376"/>
        </w:trPr>
        <w:tc>
          <w:tcPr>
            <w:tcW w:w="2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</w:tr>
      <w:tr w:rsidR="00000000">
        <w:trPr>
          <w:trHeight w:val="539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DESTINO FINAL:</w:t>
            </w:r>
          </w:p>
        </w:tc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Rambla 25 de Agosto S/N, Comando General de la Armada, 4to. Piso EMCOM</w:t>
            </w:r>
          </w:p>
        </w:tc>
      </w:tr>
      <w:tr w:rsidR="00000000">
        <w:trPr>
          <w:trHeight w:val="376"/>
        </w:trPr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VISITAS:</w:t>
            </w:r>
          </w:p>
          <w:p w:rsidR="00000000" w:rsidRDefault="008C6EA1">
            <w:pPr>
              <w:suppressAutoHyphens w:val="0"/>
              <w:spacing w:after="0"/>
            </w:pP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UBICACIÓN: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HORARIO: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</w:t>
            </w:r>
          </w:p>
        </w:tc>
      </w:tr>
      <w:tr w:rsidR="00000000">
        <w:trPr>
          <w:trHeight w:val="568"/>
        </w:trPr>
        <w:tc>
          <w:tcPr>
            <w:tcW w:w="2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CONTACTO: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****</w:t>
            </w:r>
          </w:p>
        </w:tc>
      </w:tr>
      <w:tr w:rsidR="00000000">
        <w:trPr>
          <w:trHeight w:val="488"/>
        </w:trPr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D9D9D9"/>
              </w:rPr>
              <w:t>ENTREGA MUESTRAS:</w:t>
            </w:r>
          </w:p>
          <w:p w:rsidR="00000000" w:rsidRDefault="008C6EA1">
            <w:pPr>
              <w:suppressAutoHyphens w:val="0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ÍTEMS: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UBICACIÓN:</w:t>
            </w:r>
          </w:p>
        </w:tc>
      </w:tr>
      <w:tr w:rsidR="00000000">
        <w:trPr>
          <w:trHeight w:val="747"/>
        </w:trPr>
        <w:tc>
          <w:tcPr>
            <w:tcW w:w="290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D9D9D9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b/>
                <w:bCs/>
              </w:rPr>
              <w:t>****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****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837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OBSERVACIONES:</w:t>
            </w:r>
          </w:p>
        </w:tc>
        <w:tc>
          <w:tcPr>
            <w:tcW w:w="7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0000" w:rsidRDefault="008C6EA1">
            <w:pPr>
              <w:spacing w:before="57" w:after="57" w:line="240" w:lineRule="auto"/>
            </w:pPr>
            <w:r>
              <w:rPr>
                <w:rFonts w:ascii="Arial" w:eastAsia="Arial Narrow" w:hAnsi="Arial" w:cs="Arial"/>
                <w:color w:val="auto"/>
                <w:sz w:val="22"/>
                <w:szCs w:val="22"/>
              </w:rPr>
              <w:t>-</w:t>
            </w:r>
            <w:r>
              <w:rPr>
                <w:rFonts w:ascii="Arial" w:eastAsia="Arial Narrow" w:hAnsi="Arial" w:cs="Arial"/>
                <w:sz w:val="22"/>
                <w:szCs w:val="22"/>
              </w:rPr>
              <w:t>El</w:t>
            </w:r>
            <w:r>
              <w:rPr>
                <w:rFonts w:ascii="Arial" w:eastAsia="Arial Narrow" w:hAnsi="Arial" w:cs="Arial"/>
                <w:sz w:val="22"/>
                <w:szCs w:val="22"/>
              </w:rPr>
              <w:t xml:space="preserve"> equipamiento ofertado deberá de ser compatible con el software que ya dispone la Armada Nacional.</w:t>
            </w:r>
          </w:p>
          <w:p w:rsidR="00000000" w:rsidRDefault="008C6EA1">
            <w:pPr>
              <w:spacing w:before="57" w:after="57" w:line="240" w:lineRule="auto"/>
            </w:pPr>
            <w:r>
              <w:rPr>
                <w:rFonts w:ascii="Arial" w:eastAsia="Arial Narrow" w:hAnsi="Arial" w:cs="Arial"/>
                <w:sz w:val="22"/>
                <w:szCs w:val="22"/>
                <w:shd w:val="clear" w:color="auto" w:fill="FFFFFF"/>
              </w:rPr>
              <w:t>-Se debe contar con service en plaza.</w:t>
            </w:r>
          </w:p>
          <w:p w:rsidR="00000000" w:rsidRDefault="008C6EA1">
            <w:pPr>
              <w:spacing w:before="57" w:after="57" w:line="240" w:lineRule="auto"/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  <w:shd w:val="clear" w:color="auto" w:fill="FFFFFF"/>
              </w:rPr>
              <w:t>-Se deben asegurar repuestos para los equipos por el período de duración de garantía de cada ÍTEM, especificado en el p</w:t>
            </w:r>
            <w:r>
              <w:rPr>
                <w:rFonts w:ascii="Arial" w:eastAsia="Arial Narrow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resente anexo. </w:t>
            </w:r>
          </w:p>
        </w:tc>
        <w:tc>
          <w:tcPr>
            <w:tcW w:w="38" w:type="dxa"/>
            <w:shd w:val="clear" w:color="auto" w:fill="auto"/>
          </w:tcPr>
          <w:p w:rsidR="00000000" w:rsidRDefault="008C6EA1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837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LUGAR DE ENTREGA FACTURACIÓN: </w:t>
            </w:r>
          </w:p>
        </w:tc>
        <w:tc>
          <w:tcPr>
            <w:tcW w:w="7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Rambla 25 de Agosto S/N, Comando General de la Armada, 4to. Piso EMLOG</w:t>
            </w:r>
          </w:p>
        </w:tc>
        <w:tc>
          <w:tcPr>
            <w:tcW w:w="38" w:type="dxa"/>
            <w:shd w:val="clear" w:color="auto" w:fill="auto"/>
          </w:tcPr>
          <w:p w:rsidR="00000000" w:rsidRDefault="008C6EA1">
            <w:pPr>
              <w:snapToGrid w:val="0"/>
            </w:pPr>
          </w:p>
        </w:tc>
      </w:tr>
    </w:tbl>
    <w:p w:rsidR="00000000" w:rsidRDefault="008C6EA1">
      <w:pPr>
        <w:pStyle w:val="Sinespaciado"/>
        <w:spacing w:after="240" w:line="360" w:lineRule="auto"/>
        <w:jc w:val="both"/>
      </w:pPr>
    </w:p>
    <w:p w:rsidR="00000000" w:rsidRDefault="008C6EA1">
      <w:pPr>
        <w:pStyle w:val="Ttulo1"/>
      </w:pPr>
      <w:bookmarkStart w:id="2" w:name="__RefHeading__32_1567047773"/>
      <w:bookmarkStart w:id="3" w:name="__RefHeading__7_725448908"/>
      <w:bookmarkEnd w:id="2"/>
      <w:bookmarkEnd w:id="3"/>
      <w:r>
        <w:rPr>
          <w:rFonts w:ascii="Calibri" w:eastAsia="Calibri" w:hAnsi="Calibri" w:cs="Calibri"/>
          <w:color w:val="000000"/>
          <w:sz w:val="22"/>
        </w:rPr>
        <w:lastRenderedPageBreak/>
        <w:t xml:space="preserve">2.-  </w:t>
      </w:r>
      <w:r>
        <w:rPr>
          <w:rFonts w:ascii="Calibri" w:eastAsia="Calibri" w:hAnsi="Calibri" w:cs="Calibri"/>
          <w:color w:val="000000"/>
          <w:sz w:val="22"/>
          <w:u w:val="single"/>
        </w:rPr>
        <w:t>REQUISITOS CON LA PRESENTACIÓN DE LA OFERTA.</w:t>
      </w:r>
    </w:p>
    <w:tbl>
      <w:tblPr>
        <w:tblW w:w="0" w:type="auto"/>
        <w:tblInd w:w="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1"/>
      </w:tblGrid>
      <w:tr w:rsidR="00000000">
        <w:trPr>
          <w:trHeight w:val="451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(EN CASO DE OMISIÓN SE PODRÁ OTORGAR UN PLAZO DE 48 HS PARA SUBSANARLO)</w:t>
            </w:r>
          </w:p>
        </w:tc>
      </w:tr>
      <w:tr w:rsidR="00000000">
        <w:trPr>
          <w:trHeight w:val="397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pacing w:after="0"/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1).-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LARIO DE IDENTIFICACIÓN DEL OFERENTE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(Anexo BRAVO)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firmado por el representante en RUPE.</w:t>
            </w:r>
          </w:p>
        </w:tc>
      </w:tr>
      <w:tr w:rsidR="00000000">
        <w:trPr>
          <w:trHeight w:val="397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</w:p>
        </w:tc>
      </w:tr>
    </w:tbl>
    <w:p w:rsidR="00000000" w:rsidRDefault="008C6EA1">
      <w:pPr>
        <w:pStyle w:val="Ttulo1"/>
      </w:pPr>
      <w:bookmarkStart w:id="4" w:name="__RefHeading__34_1567047773"/>
      <w:bookmarkStart w:id="5" w:name="__RefHeading__9_725448908"/>
      <w:bookmarkEnd w:id="4"/>
      <w:bookmarkEnd w:id="5"/>
      <w:r>
        <w:rPr>
          <w:rFonts w:ascii="Arial" w:eastAsia="Calibri" w:hAnsi="Arial" w:cs="Arial"/>
          <w:sz w:val="24"/>
          <w:szCs w:val="24"/>
        </w:rPr>
        <w:t xml:space="preserve">3.-  </w:t>
      </w:r>
      <w:r>
        <w:rPr>
          <w:rFonts w:ascii="Arial" w:eastAsia="Calibri" w:hAnsi="Arial" w:cs="Arial"/>
          <w:sz w:val="24"/>
          <w:szCs w:val="24"/>
          <w:u w:val="single"/>
        </w:rPr>
        <w:t>DOCUMENTOS A PRESENTARSE.</w:t>
      </w: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5"/>
      </w:tblGrid>
      <w:tr w:rsidR="00000000">
        <w:trPr>
          <w:trHeight w:val="360"/>
        </w:trPr>
        <w:tc>
          <w:tcPr>
            <w:tcW w:w="9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000" w:rsidRDefault="008C6EA1">
            <w:pPr>
              <w:suppressAutoHyphens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PARTICULARES DEL PROCESO</w:t>
            </w:r>
          </w:p>
        </w:tc>
      </w:tr>
      <w:tr w:rsidR="00000000">
        <w:trPr>
          <w:trHeight w:val="315"/>
        </w:trPr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uppressAutoHyphens w:val="0"/>
              <w:snapToGrid w:val="0"/>
              <w:spacing w:after="0"/>
            </w:pPr>
          </w:p>
        </w:tc>
      </w:tr>
    </w:tbl>
    <w:p w:rsidR="00000000" w:rsidRDefault="008C6EA1">
      <w:pPr>
        <w:pStyle w:val="Ttulo1"/>
      </w:pPr>
      <w:bookmarkStart w:id="6" w:name="__RefHeading__36_1567047773"/>
      <w:bookmarkStart w:id="7" w:name="__RefHeading__11_725448908"/>
      <w:bookmarkEnd w:id="6"/>
      <w:bookmarkEnd w:id="7"/>
      <w:r>
        <w:rPr>
          <w:rFonts w:ascii="Arial" w:eastAsia="Calibri" w:hAnsi="Arial" w:cs="Arial"/>
          <w:color w:val="000000"/>
          <w:sz w:val="24"/>
          <w:szCs w:val="24"/>
        </w:rPr>
        <w:t xml:space="preserve">4.-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CONSULTAS, ACLARACIONES Y PRORROGAS.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4.1 </w:t>
      </w:r>
      <w:r>
        <w:rPr>
          <w:rFonts w:ascii="Arial" w:eastAsia="Calibri" w:hAnsi="Arial" w:cs="Arial"/>
          <w:sz w:val="22"/>
          <w:szCs w:val="22"/>
          <w:lang w:val="es-UY"/>
        </w:rPr>
        <w:t>Las solicitudes de aclaraciones, podrán ser realizadas has</w:t>
      </w:r>
      <w:r>
        <w:rPr>
          <w:rFonts w:ascii="Arial" w:eastAsia="Calibri" w:hAnsi="Arial" w:cs="Arial"/>
          <w:sz w:val="22"/>
          <w:szCs w:val="22"/>
          <w:lang w:val="es-UY"/>
        </w:rPr>
        <w:t xml:space="preserve">ta las fecha indicada en numeral 1.-, </w:t>
      </w:r>
      <w:r>
        <w:rPr>
          <w:rFonts w:ascii="Arial" w:eastAsia="Calibri" w:hAnsi="Arial" w:cs="Arial"/>
          <w:color w:val="000000"/>
          <w:sz w:val="22"/>
          <w:szCs w:val="22"/>
        </w:rPr>
        <w:t>las que serán contestadas por escrito y subidas a la Web, de acuerdo a lo que prevé el Pliego Único de Bases y Condiciones Generales para los Contratos de Suministros y Servicios No Personales (Decreto 131/014).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4.2 </w:t>
      </w:r>
      <w:r>
        <w:rPr>
          <w:rFonts w:ascii="Arial" w:eastAsia="Calibri" w:hAnsi="Arial" w:cs="Arial"/>
          <w:color w:val="000000"/>
          <w:sz w:val="22"/>
          <w:szCs w:val="22"/>
        </w:rPr>
        <w:t>La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 solicitudes de prórroga, </w:t>
      </w:r>
      <w:r>
        <w:rPr>
          <w:rFonts w:ascii="Arial" w:eastAsia="Calibri" w:hAnsi="Arial" w:cs="Arial"/>
          <w:sz w:val="22"/>
          <w:szCs w:val="22"/>
          <w:lang w:val="es-UY"/>
        </w:rPr>
        <w:t>podrán efectuarse hasta las fecha indicada en numeral 1.-,             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deberán establecer las causales que la motivan, siendo facultativo de la Armada Nacional, concederlas o no.</w:t>
      </w:r>
    </w:p>
    <w:p w:rsidR="00000000" w:rsidRDefault="008C6EA1">
      <w:pPr>
        <w:pStyle w:val="Ttulo1"/>
      </w:pPr>
      <w:bookmarkStart w:id="8" w:name="__RefHeading__38_1567047773"/>
      <w:bookmarkStart w:id="9" w:name="__RefHeading__13_725448908"/>
      <w:bookmarkEnd w:id="8"/>
      <w:bookmarkEnd w:id="9"/>
      <w:r>
        <w:rPr>
          <w:rFonts w:ascii="Arial" w:eastAsia="Calibri" w:hAnsi="Arial" w:cs="Arial"/>
          <w:sz w:val="24"/>
          <w:szCs w:val="24"/>
        </w:rPr>
        <w:t xml:space="preserve">5.- </w:t>
      </w:r>
      <w:r>
        <w:rPr>
          <w:rFonts w:ascii="Arial" w:eastAsia="Calibri" w:hAnsi="Arial" w:cs="Arial"/>
          <w:sz w:val="24"/>
          <w:szCs w:val="24"/>
          <w:u w:val="single"/>
        </w:rPr>
        <w:t>OFERTA.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5.1 </w:t>
      </w:r>
      <w:r>
        <w:rPr>
          <w:rFonts w:ascii="Arial" w:eastAsia="Calibri" w:hAnsi="Arial" w:cs="Arial"/>
          <w:color w:val="000000"/>
          <w:sz w:val="22"/>
          <w:szCs w:val="22"/>
        </w:rPr>
        <w:t>Debe ser ingresada en línea a tr</w:t>
      </w:r>
      <w:r>
        <w:rPr>
          <w:rFonts w:ascii="Arial" w:eastAsia="Calibri" w:hAnsi="Arial" w:cs="Arial"/>
          <w:color w:val="000000"/>
          <w:sz w:val="22"/>
          <w:szCs w:val="22"/>
        </w:rPr>
        <w:t>avés de la plataforma electrónica de la Agencia Reguladora de Compras del Estado (ARCE).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5.2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Deberá </w:t>
      </w:r>
      <w:r>
        <w:rPr>
          <w:rFonts w:ascii="Arial" w:eastAsia="Calibri" w:hAnsi="Arial" w:cs="Arial"/>
          <w:sz w:val="22"/>
          <w:szCs w:val="22"/>
        </w:rPr>
        <w:t>redactarse en idioma español,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sin </w:t>
      </w:r>
      <w:r>
        <w:rPr>
          <w:rFonts w:ascii="Arial" w:eastAsia="Calibri" w:hAnsi="Arial" w:cs="Arial"/>
          <w:sz w:val="22"/>
          <w:szCs w:val="22"/>
        </w:rPr>
        <w:t>presentar redacciones que den lugar a distintas interpretaciones.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bCs/>
          <w:sz w:val="22"/>
          <w:szCs w:val="22"/>
        </w:rPr>
        <w:t>5.3</w:t>
      </w:r>
      <w:r>
        <w:rPr>
          <w:rFonts w:ascii="Arial" w:eastAsia="Calibri" w:hAnsi="Arial" w:cs="Arial"/>
          <w:sz w:val="22"/>
          <w:szCs w:val="22"/>
        </w:rPr>
        <w:t xml:space="preserve"> Las ofertas no podrán estar condicionadas a su confi</w:t>
      </w:r>
      <w:r>
        <w:rPr>
          <w:rFonts w:ascii="Arial" w:eastAsia="Calibri" w:hAnsi="Arial" w:cs="Arial"/>
          <w:sz w:val="22"/>
          <w:szCs w:val="22"/>
        </w:rPr>
        <w:t xml:space="preserve">rmación por el oferente, o por un tercero, ni estar supeditadas a otros factores que no sean los previstos en los Pliegos que rigen el presente procedimiento..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5.4 </w:t>
      </w:r>
      <w:r>
        <w:rPr>
          <w:rFonts w:ascii="Arial" w:eastAsia="Calibri" w:hAnsi="Arial" w:cs="Arial"/>
          <w:color w:val="000000"/>
          <w:sz w:val="22"/>
          <w:szCs w:val="22"/>
        </w:rPr>
        <w:t>Podrán adjuntarse archivos en formato DOCUMENTO y NO FOTO, con el detalle de las caracterís</w:t>
      </w:r>
      <w:r>
        <w:rPr>
          <w:rFonts w:ascii="Arial" w:eastAsia="Calibri" w:hAnsi="Arial" w:cs="Arial"/>
          <w:color w:val="000000"/>
          <w:sz w:val="22"/>
          <w:szCs w:val="22"/>
        </w:rPr>
        <w:t>ticas y las especificaciones de lo ofertado, así como especificar la Marca y el Origen (País, No Región) de los diferentes Ítems; (fotos, folletos, catálogos, etc). Los formatos aceptados son: TXT, RTF, PDF, DOC, DOCX, XLS. XLSX, ODT, ODS, ZIP, RAR, 7Z.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No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se tomaran en cuenta aquellos archivos, que aun cumpliendo con los formatos establecidos, se encuentren dañados o no puedan abrirse.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5.5 </w:t>
      </w:r>
      <w:r>
        <w:rPr>
          <w:rFonts w:ascii="Arial" w:eastAsia="Calibri" w:hAnsi="Arial" w:cs="Arial"/>
          <w:color w:val="000000"/>
          <w:sz w:val="22"/>
          <w:szCs w:val="22"/>
        </w:rPr>
        <w:t>De existir discrepancias entre la documentación adjunta y la cotización en línea, se tendrá por válida la cotización e</w:t>
      </w:r>
      <w:r>
        <w:rPr>
          <w:rFonts w:ascii="Arial" w:eastAsia="Calibri" w:hAnsi="Arial" w:cs="Arial"/>
          <w:color w:val="000000"/>
          <w:sz w:val="22"/>
          <w:szCs w:val="22"/>
        </w:rPr>
        <w:t>n línea.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5.6 </w:t>
      </w:r>
      <w:r>
        <w:rPr>
          <w:rFonts w:ascii="Arial" w:eastAsia="Calibri" w:hAnsi="Arial" w:cs="Arial"/>
          <w:sz w:val="22"/>
          <w:szCs w:val="22"/>
        </w:rPr>
        <w:t>En caso de omisiones a lo establecido en numeral 1.-, se entenderá que se cumple con los mínimos exigidos.</w:t>
      </w:r>
    </w:p>
    <w:p w:rsidR="00000000" w:rsidRDefault="008C6EA1">
      <w:pPr>
        <w:pStyle w:val="Ttulo1"/>
      </w:pPr>
      <w:bookmarkStart w:id="10" w:name="__RefHeading__40_1567047773"/>
      <w:bookmarkStart w:id="11" w:name="__RefHeading__15_725448908"/>
      <w:bookmarkEnd w:id="10"/>
      <w:bookmarkEnd w:id="11"/>
      <w:r>
        <w:rPr>
          <w:rFonts w:ascii="Arial" w:eastAsia="Calibri" w:hAnsi="Arial" w:cs="Arial"/>
          <w:sz w:val="24"/>
          <w:szCs w:val="24"/>
        </w:rPr>
        <w:t xml:space="preserve">6.-  </w:t>
      </w:r>
      <w:r>
        <w:rPr>
          <w:rFonts w:ascii="Arial" w:eastAsia="Calibri" w:hAnsi="Arial" w:cs="Arial"/>
          <w:sz w:val="24"/>
          <w:szCs w:val="24"/>
          <w:u w:val="single"/>
        </w:rPr>
        <w:t>DOCUMENTOS A PRESENTARSE.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>6.1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Deberán ser los Indicados en el Numeral </w:t>
      </w:r>
      <w:r>
        <w:rPr>
          <w:rFonts w:ascii="Arial" w:eastAsia="Calibri" w:hAnsi="Arial" w:cs="Arial"/>
          <w:color w:val="000000"/>
          <w:sz w:val="22"/>
          <w:szCs w:val="22"/>
        </w:rPr>
        <w:t>2</w:t>
      </w:r>
      <w:r>
        <w:rPr>
          <w:rFonts w:ascii="Arial" w:eastAsia="Calibri" w:hAnsi="Arial" w:cs="Arial"/>
          <w:color w:val="000000"/>
          <w:sz w:val="22"/>
          <w:szCs w:val="22"/>
        </w:rPr>
        <w:t>.-. La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Armada Nacional se reservara el derecho de solicitar </w:t>
      </w:r>
      <w:r>
        <w:rPr>
          <w:rFonts w:ascii="Arial" w:eastAsia="Calibri" w:hAnsi="Arial" w:cs="Arial"/>
          <w:color w:val="000000"/>
          <w:sz w:val="22"/>
          <w:szCs w:val="22"/>
        </w:rPr>
        <w:t>en cualquier momento documentación omitida.</w:t>
      </w:r>
    </w:p>
    <w:p w:rsidR="00000000" w:rsidRDefault="008C6EA1">
      <w:pPr>
        <w:pStyle w:val="Ttulo1"/>
      </w:pPr>
      <w:bookmarkStart w:id="12" w:name="__RefHeading__42_1567047773"/>
      <w:bookmarkStart w:id="13" w:name="__RefHeading__17_725448908"/>
      <w:bookmarkEnd w:id="12"/>
      <w:bookmarkEnd w:id="13"/>
      <w:r>
        <w:rPr>
          <w:rFonts w:ascii="Arial" w:eastAsia="Calibri" w:hAnsi="Arial" w:cs="Arial"/>
          <w:sz w:val="24"/>
          <w:szCs w:val="24"/>
        </w:rPr>
        <w:lastRenderedPageBreak/>
        <w:t xml:space="preserve">7.-  </w:t>
      </w:r>
      <w:r>
        <w:rPr>
          <w:rFonts w:ascii="Arial" w:eastAsia="Calibri" w:hAnsi="Arial" w:cs="Arial"/>
          <w:sz w:val="24"/>
          <w:szCs w:val="24"/>
          <w:u w:val="single"/>
        </w:rPr>
        <w:t>MANTENIMIENTO DE OFERTA.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7.1 </w:t>
      </w:r>
      <w:r>
        <w:rPr>
          <w:rFonts w:ascii="Arial" w:eastAsia="Calibri" w:hAnsi="Arial" w:cs="Arial"/>
          <w:color w:val="000000"/>
          <w:sz w:val="22"/>
          <w:szCs w:val="22"/>
        </w:rPr>
        <w:t>Deberá ajustarse a lo indicado en numeral 1.-. Vencido el plazo, no habiéndose notificado la resolución de adjudicación, el mismo se prorrogara automáticamente, y los oferen</w:t>
      </w:r>
      <w:r>
        <w:rPr>
          <w:rFonts w:ascii="Arial" w:eastAsia="Calibri" w:hAnsi="Arial" w:cs="Arial"/>
          <w:color w:val="000000"/>
          <w:sz w:val="22"/>
          <w:szCs w:val="22"/>
        </w:rPr>
        <w:t>tes quedarán obligados a su mantenimiento, salvo que comuniquen por escrito a la Unidad Centralizada de Compras de la Armada, la no aceptación de prorrogarlo.</w:t>
      </w:r>
    </w:p>
    <w:p w:rsidR="00000000" w:rsidRDefault="008C6EA1">
      <w:pPr>
        <w:pStyle w:val="Ttulo1"/>
      </w:pPr>
      <w:bookmarkStart w:id="14" w:name="__RefHeading__44_1567047773"/>
      <w:bookmarkStart w:id="15" w:name="__RefHeading__19_725448908"/>
      <w:bookmarkEnd w:id="14"/>
      <w:bookmarkEnd w:id="15"/>
      <w:r>
        <w:rPr>
          <w:rFonts w:ascii="Arial" w:eastAsia="Calibri" w:hAnsi="Arial" w:cs="Arial"/>
          <w:color w:val="000000"/>
          <w:sz w:val="24"/>
          <w:szCs w:val="24"/>
        </w:rPr>
        <w:t xml:space="preserve">8.- 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COTI</w:t>
      </w:r>
      <w:r>
        <w:rPr>
          <w:rFonts w:ascii="Arial" w:eastAsia="Calibri" w:hAnsi="Arial" w:cs="Arial"/>
          <w:sz w:val="24"/>
          <w:szCs w:val="24"/>
          <w:u w:val="single"/>
        </w:rPr>
        <w:t>ZACIÓN.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8.1 </w:t>
      </w:r>
      <w:r>
        <w:rPr>
          <w:rFonts w:ascii="Arial" w:eastAsia="Calibri" w:hAnsi="Arial" w:cs="Arial"/>
          <w:color w:val="000000"/>
          <w:sz w:val="22"/>
          <w:szCs w:val="22"/>
        </w:rPr>
        <w:t>Deberá ajustarse a lo indicado en numeral 1.- 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8.2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</w:t>
      </w:r>
      <w:r>
        <w:rPr>
          <w:rFonts w:ascii="Arial" w:eastAsia="Calibri" w:hAnsi="Arial" w:cs="Arial"/>
          <w:sz w:val="22"/>
          <w:szCs w:val="22"/>
        </w:rPr>
        <w:t xml:space="preserve">eberá ser </w:t>
      </w:r>
      <w:r>
        <w:rPr>
          <w:rFonts w:ascii="Arial" w:eastAsia="Calibri" w:hAnsi="Arial" w:cs="Arial"/>
          <w:b/>
          <w:sz w:val="22"/>
          <w:szCs w:val="22"/>
          <w:u w:val="single"/>
        </w:rPr>
        <w:t>exenta de Tri</w:t>
      </w:r>
      <w:r>
        <w:rPr>
          <w:rFonts w:ascii="Arial" w:eastAsia="Calibri" w:hAnsi="Arial" w:cs="Arial"/>
          <w:b/>
          <w:sz w:val="22"/>
          <w:szCs w:val="22"/>
          <w:u w:val="single"/>
        </w:rPr>
        <w:t>butos Aduaneros e Impuestos Internos, incluyendo en el precio todos los gastos que se originen hasta su efectiva entrega en  el destino final indicado en numeral 1.- .</w:t>
      </w:r>
      <w:r>
        <w:rPr>
          <w:rFonts w:ascii="Arial" w:eastAsia="Calibri" w:hAnsi="Arial" w:cs="Arial"/>
          <w:sz w:val="22"/>
          <w:szCs w:val="22"/>
        </w:rPr>
        <w:t xml:space="preserve"> En caso, que la información no surja de ello, se considerará que incluye todos los gasto</w:t>
      </w:r>
      <w:r>
        <w:rPr>
          <w:rFonts w:ascii="Arial" w:eastAsia="Calibri" w:hAnsi="Arial" w:cs="Arial"/>
          <w:sz w:val="22"/>
          <w:szCs w:val="22"/>
        </w:rPr>
        <w:t>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bCs/>
          <w:sz w:val="22"/>
          <w:szCs w:val="22"/>
        </w:rPr>
        <w:t>8.3</w:t>
      </w:r>
      <w:r>
        <w:rPr>
          <w:rFonts w:ascii="Arial" w:eastAsia="Calibri" w:hAnsi="Arial" w:cs="Arial"/>
          <w:sz w:val="22"/>
          <w:szCs w:val="22"/>
        </w:rPr>
        <w:t xml:space="preserve"> Se deberá detallar el precio unitario, costo total del Ítem, y costo total de la propuesta.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8.4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El precio cotizado deberá ser invariable hasta su efectivo pago, sin condicionamientos, desechándose las ofertas que presenten fórmulas paramétricas de a</w:t>
      </w:r>
      <w:r>
        <w:rPr>
          <w:rFonts w:ascii="Arial" w:eastAsia="Calibri" w:hAnsi="Arial" w:cs="Arial"/>
          <w:color w:val="000000"/>
          <w:sz w:val="22"/>
          <w:szCs w:val="22"/>
        </w:rPr>
        <w:t>ctualización o intereses sobre el precio.</w:t>
      </w:r>
    </w:p>
    <w:p w:rsidR="00000000" w:rsidRDefault="008C6EA1">
      <w:pPr>
        <w:pStyle w:val="Ttulo1"/>
      </w:pPr>
      <w:bookmarkStart w:id="16" w:name="__RefHeading__46_1567047773"/>
      <w:bookmarkStart w:id="17" w:name="__RefHeading__21_725448908"/>
      <w:bookmarkEnd w:id="16"/>
      <w:bookmarkEnd w:id="17"/>
      <w:r>
        <w:rPr>
          <w:rFonts w:ascii="Arial" w:eastAsia="Calibri" w:hAnsi="Arial" w:cs="Arial"/>
          <w:sz w:val="24"/>
          <w:szCs w:val="24"/>
        </w:rPr>
        <w:t xml:space="preserve">9.-  </w:t>
      </w:r>
      <w:r>
        <w:rPr>
          <w:rFonts w:ascii="Arial" w:eastAsia="Calibri" w:hAnsi="Arial" w:cs="Arial"/>
          <w:sz w:val="24"/>
          <w:szCs w:val="24"/>
          <w:u w:val="single"/>
        </w:rPr>
        <w:t>PAGO.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9.1 </w:t>
      </w:r>
      <w:r>
        <w:rPr>
          <w:rFonts w:ascii="Arial" w:eastAsia="Calibri" w:hAnsi="Arial" w:cs="Arial"/>
          <w:color w:val="000000"/>
          <w:sz w:val="22"/>
          <w:szCs w:val="22"/>
        </w:rPr>
        <w:t>Se ajustara a lo indicado en numeral 1.-.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9.2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El pago se hará mediante apertura de </w:t>
      </w:r>
      <w:r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Carta de Crédito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 pagadera a la vista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contra la presentación de la documentación requerida ante el Banco de la Repúb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lica Oriental del Uruguay (BROU).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  <w:shd w:val="clear" w:color="auto" w:fill="FFFFFF"/>
        </w:rPr>
        <w:t>9.3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El costo por comisión de apert</w:t>
      </w:r>
      <w:r>
        <w:rPr>
          <w:rFonts w:ascii="Arial" w:eastAsia="Calibri" w:hAnsi="Arial" w:cs="Arial"/>
          <w:sz w:val="22"/>
          <w:szCs w:val="22"/>
        </w:rPr>
        <w:t>ura de Carta de Crédito estará a cargo de la Armada Nacional, en caso de prórrogas o demoras imputables al adjudicatario, los gastos correrán por cuenta del mismo, los que se debitarán de</w:t>
      </w:r>
      <w:r>
        <w:rPr>
          <w:rFonts w:ascii="Arial" w:eastAsia="Calibri" w:hAnsi="Arial" w:cs="Arial"/>
          <w:sz w:val="22"/>
          <w:szCs w:val="22"/>
        </w:rPr>
        <w:t>l valor líquido de la Carta de Crédito.</w:t>
      </w:r>
    </w:p>
    <w:p w:rsidR="00000000" w:rsidRDefault="008C6EA1">
      <w:pPr>
        <w:pStyle w:val="Ttulo1"/>
      </w:pPr>
      <w:bookmarkStart w:id="18" w:name="__RefHeading__48_1567047773"/>
      <w:bookmarkStart w:id="19" w:name="__RefHeading__23_725448908"/>
      <w:bookmarkEnd w:id="18"/>
      <w:bookmarkEnd w:id="19"/>
      <w:r>
        <w:rPr>
          <w:rFonts w:ascii="Arial" w:eastAsia="Calibri" w:hAnsi="Arial" w:cs="Arial"/>
          <w:sz w:val="24"/>
          <w:szCs w:val="24"/>
        </w:rPr>
        <w:t xml:space="preserve">10.- 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DESPACHO DE MERCADERÍA.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000000" w:rsidRDefault="008C6EA1">
      <w:pPr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10.1 </w:t>
      </w:r>
      <w:r>
        <w:rPr>
          <w:rFonts w:ascii="Arial" w:eastAsia="Calibri" w:hAnsi="Arial" w:cs="Arial"/>
          <w:sz w:val="22"/>
          <w:szCs w:val="22"/>
        </w:rPr>
        <w:t>La Armada Nacional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tramitará la exageración de gravámenes de importación correspondiente y notificará al proveedor de la resolución vía e-mail, a efectos de que se tramite la</w:t>
      </w:r>
      <w:r>
        <w:rPr>
          <w:rFonts w:ascii="Arial" w:eastAsia="Calibri" w:hAnsi="Arial" w:cs="Arial"/>
          <w:sz w:val="22"/>
          <w:szCs w:val="22"/>
        </w:rPr>
        <w:t xml:space="preserve"> importación. </w:t>
      </w:r>
    </w:p>
    <w:p w:rsidR="00000000" w:rsidRDefault="008C6EA1">
      <w:pPr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10.2 </w:t>
      </w:r>
      <w:r>
        <w:rPr>
          <w:rFonts w:ascii="Arial" w:eastAsia="Calibri" w:hAnsi="Arial" w:cs="Arial"/>
          <w:sz w:val="22"/>
          <w:szCs w:val="22"/>
        </w:rPr>
        <w:t>La Armada Nacional a través de su Unidad Centralizada de Compras, actuara como Despachante de Aduanas a efectos de realizar los trámites aduaneros, los que promedian habitualmente 5 días hábiles.</w:t>
      </w:r>
    </w:p>
    <w:p w:rsidR="00000000" w:rsidRDefault="008C6EA1">
      <w:pPr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10.3 </w:t>
      </w:r>
      <w:r>
        <w:rPr>
          <w:rFonts w:ascii="Arial" w:eastAsia="Calibri" w:hAnsi="Arial" w:cs="Arial"/>
          <w:sz w:val="22"/>
          <w:szCs w:val="22"/>
        </w:rPr>
        <w:t>Para el despacho de mercadería, deb</w:t>
      </w:r>
      <w:r>
        <w:rPr>
          <w:rFonts w:ascii="Arial" w:eastAsia="Calibri" w:hAnsi="Arial" w:cs="Arial"/>
          <w:sz w:val="22"/>
          <w:szCs w:val="22"/>
        </w:rPr>
        <w:t>erá concurrir un representante de la empresa adjudicada, quien asumirá la responsabilidad de control y verificación de la misma.</w:t>
      </w:r>
    </w:p>
    <w:p w:rsidR="00000000" w:rsidRDefault="008C6EA1">
      <w:pPr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10.4 </w:t>
      </w:r>
      <w:r>
        <w:rPr>
          <w:rFonts w:ascii="Arial" w:eastAsia="Calibri" w:hAnsi="Arial" w:cs="Arial"/>
          <w:sz w:val="22"/>
          <w:szCs w:val="22"/>
        </w:rPr>
        <w:t>A modo de referencia, se citan algunos de los costos a cargo del adjudicatario, -</w:t>
      </w:r>
      <w:r>
        <w:rPr>
          <w:rFonts w:ascii="Arial" w:eastAsia="Calibri" w:hAnsi="Arial" w:cs="Arial"/>
          <w:sz w:val="22"/>
          <w:szCs w:val="22"/>
          <w:u w:val="single"/>
        </w:rPr>
        <w:t>g</w:t>
      </w:r>
      <w:r>
        <w:rPr>
          <w:rFonts w:ascii="Arial" w:eastAsia="Calibri" w:hAnsi="Arial" w:cs="Arial"/>
          <w:sz w:val="22"/>
          <w:szCs w:val="22"/>
        </w:rPr>
        <w:t>astos de depósitos, gastos en terminales</w:t>
      </w:r>
      <w:r>
        <w:rPr>
          <w:rFonts w:ascii="Arial" w:eastAsia="Calibri" w:hAnsi="Arial" w:cs="Arial"/>
          <w:sz w:val="22"/>
          <w:szCs w:val="22"/>
        </w:rPr>
        <w:t>, proventos portuarios, Certificado Último Destino, verificación y liberación de mercadería en origen, devolución de contenedor, transporte interno, etc- .</w:t>
      </w:r>
    </w:p>
    <w:p w:rsidR="00000000" w:rsidRDefault="008C6EA1">
      <w:pPr>
        <w:jc w:val="both"/>
      </w:pPr>
      <w:r>
        <w:rPr>
          <w:rFonts w:ascii="Arial" w:eastAsia="Calibri" w:hAnsi="Arial" w:cs="Arial"/>
          <w:sz w:val="22"/>
          <w:szCs w:val="22"/>
        </w:rPr>
        <w:t>EL ADJUDICATARIO NO</w:t>
      </w:r>
      <w:r>
        <w:rPr>
          <w:rFonts w:ascii="Arial" w:eastAsia="Calibri" w:hAnsi="Arial" w:cs="Arial"/>
          <w:color w:val="76923C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DEBERÁ</w:t>
      </w:r>
      <w:r>
        <w:rPr>
          <w:rFonts w:ascii="Arial" w:eastAsia="Calibri" w:hAnsi="Arial" w:cs="Arial"/>
          <w:sz w:val="22"/>
          <w:szCs w:val="22"/>
        </w:rPr>
        <w:t xml:space="preserve">  IMPORTAR, HASTA NO RECIBIR NOTIFICACIÓN FORMAL DE LA ADMINISTRACIÓN INFO</w:t>
      </w:r>
      <w:r>
        <w:rPr>
          <w:rFonts w:ascii="Arial" w:eastAsia="Calibri" w:hAnsi="Arial" w:cs="Arial"/>
          <w:sz w:val="22"/>
          <w:szCs w:val="22"/>
        </w:rPr>
        <w:t>RMANDO QUE FUE APROBADA LA EXONERACIÓN TRIBUTARIA, DE LO CONTRARIO, DEBERÁ ASUMIR TODOS LOS GASTOS QUE SE ORIGINEN HASTA SU ENTREGA.</w:t>
      </w:r>
    </w:p>
    <w:p w:rsidR="00000000" w:rsidRDefault="008C6EA1">
      <w:pPr>
        <w:pStyle w:val="Ttulo1"/>
      </w:pPr>
      <w:bookmarkStart w:id="20" w:name="__RefHeading__50_1567047773"/>
      <w:bookmarkStart w:id="21" w:name="__RefHeading__25_725448908"/>
      <w:bookmarkEnd w:id="20"/>
      <w:bookmarkEnd w:id="21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11.-  </w:t>
      </w:r>
      <w:r>
        <w:rPr>
          <w:rFonts w:ascii="Arial" w:eastAsia="Calibri" w:hAnsi="Arial" w:cs="Arial"/>
          <w:sz w:val="24"/>
          <w:szCs w:val="24"/>
          <w:u w:val="single"/>
        </w:rPr>
        <w:t>PLAZO DE ENTREGA.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ab/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sz w:val="22"/>
          <w:szCs w:val="22"/>
          <w:lang w:val="es-UY"/>
        </w:rPr>
        <w:t xml:space="preserve">11.1 </w:t>
      </w:r>
      <w:r>
        <w:rPr>
          <w:rFonts w:ascii="Arial" w:eastAsia="Calibri" w:hAnsi="Arial" w:cs="Arial"/>
          <w:sz w:val="22"/>
          <w:szCs w:val="22"/>
          <w:lang w:val="es-UY"/>
        </w:rPr>
        <w:t xml:space="preserve"> Deberá ajustarse a lo indicado en numeral 1.- .</w:t>
      </w:r>
    </w:p>
    <w:p w:rsidR="00000000" w:rsidRDefault="008C6EA1">
      <w:pPr>
        <w:pStyle w:val="Ttulo1"/>
      </w:pPr>
      <w:bookmarkStart w:id="22" w:name="__RefHeading__52_1567047773"/>
      <w:bookmarkStart w:id="23" w:name="__RefHeading__27_725448908"/>
      <w:bookmarkEnd w:id="22"/>
      <w:bookmarkEnd w:id="23"/>
      <w:r>
        <w:rPr>
          <w:rFonts w:ascii="Arial" w:eastAsia="Calibri" w:hAnsi="Arial" w:cs="Arial"/>
          <w:sz w:val="24"/>
          <w:szCs w:val="24"/>
        </w:rPr>
        <w:t xml:space="preserve">12.-  </w:t>
      </w:r>
      <w:r>
        <w:rPr>
          <w:rFonts w:ascii="Arial" w:eastAsia="Calibri" w:hAnsi="Arial" w:cs="Arial"/>
          <w:sz w:val="24"/>
          <w:szCs w:val="24"/>
          <w:u w:val="single"/>
        </w:rPr>
        <w:t>GARANTÍA.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12.1 </w:t>
      </w:r>
      <w:r>
        <w:rPr>
          <w:rFonts w:ascii="Arial" w:eastAsia="Calibri" w:hAnsi="Arial" w:cs="Arial"/>
          <w:sz w:val="22"/>
          <w:szCs w:val="22"/>
          <w:lang w:val="es-UY"/>
        </w:rPr>
        <w:t xml:space="preserve">Desde el punto de </w:t>
      </w:r>
      <w:r>
        <w:rPr>
          <w:rFonts w:ascii="Arial" w:eastAsia="Calibri" w:hAnsi="Arial" w:cs="Arial"/>
          <w:sz w:val="22"/>
          <w:szCs w:val="22"/>
          <w:lang w:val="es-UY"/>
        </w:rPr>
        <w:t>vista temporal deberá ajustarse al plazo indicado en num</w:t>
      </w:r>
      <w:r>
        <w:rPr>
          <w:rFonts w:ascii="Arial" w:eastAsia="Calibri" w:hAnsi="Arial" w:cs="Arial"/>
          <w:color w:val="000000"/>
          <w:sz w:val="22"/>
          <w:szCs w:val="22"/>
          <w:lang w:val="es-UY"/>
        </w:rPr>
        <w:t>eral 1.-.               La misma, se contara a partir de la entrega del bien o servicio requerido.</w:t>
      </w:r>
    </w:p>
    <w:p w:rsidR="00000000" w:rsidRDefault="008C6EA1">
      <w:pPr>
        <w:pStyle w:val="Ttulo1"/>
      </w:pPr>
      <w:bookmarkStart w:id="24" w:name="__RefHeading__54_1567047773"/>
      <w:bookmarkStart w:id="25" w:name="__RefHeading__29_725448908"/>
      <w:bookmarkEnd w:id="24"/>
      <w:bookmarkEnd w:id="25"/>
      <w:r>
        <w:rPr>
          <w:rFonts w:ascii="Arial" w:eastAsia="Calibri" w:hAnsi="Arial" w:cs="Arial"/>
          <w:sz w:val="24"/>
          <w:szCs w:val="24"/>
          <w:lang w:val="es-UY"/>
        </w:rPr>
        <w:t xml:space="preserve">13.-  </w:t>
      </w:r>
      <w:r>
        <w:rPr>
          <w:rFonts w:ascii="Arial" w:eastAsia="Calibri" w:hAnsi="Arial" w:cs="Arial"/>
          <w:sz w:val="24"/>
          <w:szCs w:val="24"/>
          <w:u w:val="single"/>
          <w:lang w:val="es-UY"/>
        </w:rPr>
        <w:t>REPRESENTACIÓN.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>13.1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Las firmas extranjeras sin casa comercial establecida dentro del territori</w:t>
      </w:r>
      <w:r>
        <w:rPr>
          <w:rFonts w:ascii="Arial" w:eastAsia="Calibri" w:hAnsi="Arial" w:cs="Arial"/>
          <w:color w:val="000000"/>
          <w:sz w:val="22"/>
          <w:szCs w:val="22"/>
        </w:rPr>
        <w:t>o nacional, deberán actuar por medio de un representante local, quien tendrá las mismas responsabilidades que sus representados, deberá estar inscripto en el Registro respectivo de representantes de empresas extranjeras, y estar registrado en  RUPE.</w:t>
      </w:r>
    </w:p>
    <w:p w:rsidR="00000000" w:rsidRDefault="008C6EA1">
      <w:pPr>
        <w:pStyle w:val="Ttulo1"/>
      </w:pPr>
      <w:bookmarkStart w:id="26" w:name="__RefHeading__56_1567047773"/>
      <w:bookmarkStart w:id="27" w:name="__RefHeading__31_725448908"/>
      <w:bookmarkEnd w:id="26"/>
      <w:bookmarkEnd w:id="27"/>
      <w:r>
        <w:rPr>
          <w:rFonts w:ascii="Arial" w:eastAsia="Calibri" w:hAnsi="Arial" w:cs="Arial"/>
          <w:sz w:val="24"/>
          <w:szCs w:val="24"/>
        </w:rPr>
        <w:t xml:space="preserve">14.-  </w:t>
      </w: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FACTORES DE EVALUACIÓN Y PONDERACIÓN DE OFERTAS.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>14.1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Se ajustara a lo indicado en numeral 1.- 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14.2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Para el factor Precio, y a los efectos de la comparación de ofertas, se evaluara tomando en cuenta</w:t>
      </w:r>
      <w:r>
        <w:rPr>
          <w:rFonts w:ascii="Arial" w:eastAsia="Calibri" w:hAnsi="Arial" w:cs="Arial"/>
          <w:sz w:val="22"/>
          <w:szCs w:val="22"/>
        </w:rPr>
        <w:t xml:space="preserve"> los precios unitarios sin impuestos.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bCs/>
          <w:sz w:val="22"/>
          <w:szCs w:val="22"/>
        </w:rPr>
        <w:t>14.3</w:t>
      </w:r>
      <w:r>
        <w:rPr>
          <w:rFonts w:ascii="Arial" w:eastAsia="Calibri" w:hAnsi="Arial" w:cs="Arial"/>
          <w:sz w:val="22"/>
          <w:szCs w:val="22"/>
        </w:rPr>
        <w:t xml:space="preserve"> Para el facto</w:t>
      </w:r>
      <w:r>
        <w:rPr>
          <w:rFonts w:ascii="Arial" w:eastAsia="Calibri" w:hAnsi="Arial" w:cs="Arial"/>
          <w:sz w:val="22"/>
          <w:szCs w:val="22"/>
        </w:rPr>
        <w:t>r Antecedentes Negativos, se valorara la información que surja del RUPE, obteniendo el total del 20% si no existen incumplimientos, 10% si existe uno, y en caso de poseer más de uno se otorgara 0%.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bCs/>
          <w:sz w:val="22"/>
          <w:szCs w:val="22"/>
        </w:rPr>
        <w:t>14.4</w:t>
      </w:r>
      <w:r>
        <w:rPr>
          <w:rFonts w:ascii="Arial" w:eastAsia="Calibri" w:hAnsi="Arial" w:cs="Arial"/>
          <w:sz w:val="22"/>
          <w:szCs w:val="22"/>
        </w:rPr>
        <w:t xml:space="preserve"> Para el factor Precio, 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>se evaluará otorgando mayor va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lor al menor precio ofertado de acuerdo a la siguiente fórmula: </w:t>
      </w:r>
    </w:p>
    <w:p w:rsidR="00000000" w:rsidRDefault="008C6EA1">
      <w:pPr>
        <w:pStyle w:val="NoSpacing"/>
        <w:spacing w:line="360" w:lineRule="auto"/>
        <w:ind w:left="2136" w:firstLine="696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  <w:highlight w:val="white"/>
          <w:u w:val="single"/>
        </w:rPr>
        <w:t xml:space="preserve">(Precio menor)  </w:t>
      </w:r>
      <w:r>
        <w:rPr>
          <w:rFonts w:ascii="Arial" w:eastAsia="Calibri" w:hAnsi="Arial" w:cs="Arial"/>
          <w:b/>
          <w:color w:val="000000"/>
          <w:sz w:val="22"/>
          <w:szCs w:val="22"/>
          <w:highlight w:val="white"/>
        </w:rPr>
        <w:t xml:space="preserve">     x 80 </w:t>
      </w:r>
    </w:p>
    <w:p w:rsidR="00000000" w:rsidRDefault="008C6EA1">
      <w:pPr>
        <w:pStyle w:val="Sinespaciado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</w:t>
      </w:r>
      <w:r>
        <w:rPr>
          <w:rFonts w:ascii="Arial" w:eastAsia="Calibri" w:hAnsi="Arial" w:cs="Arial"/>
          <w:b/>
          <w:color w:val="000000"/>
          <w:sz w:val="22"/>
          <w:szCs w:val="22"/>
          <w:highlight w:val="white"/>
        </w:rPr>
        <w:t>(Precio evaluado)</w:t>
      </w:r>
    </w:p>
    <w:p w:rsidR="00000000" w:rsidRDefault="008C6EA1">
      <w:pPr>
        <w:pStyle w:val="Sinespaciado"/>
      </w:pPr>
      <w:r>
        <w:rPr>
          <w:rFonts w:ascii="Arial" w:eastAsia="Calibri" w:hAnsi="Arial" w:cs="Arial"/>
          <w:sz w:val="20"/>
          <w:szCs w:val="22"/>
        </w:rPr>
        <w:t>NO SE PODRÁ CONTRATAR CON  AQUELLOS PROVEEDORES QUE REGISTREN SANCIÓN DE SUSPENSIÓN DURANTE EL PERIODO</w:t>
      </w:r>
      <w:r>
        <w:rPr>
          <w:rFonts w:ascii="Arial" w:eastAsia="Calibri" w:hAnsi="Arial" w:cs="Arial"/>
          <w:sz w:val="20"/>
          <w:szCs w:val="22"/>
        </w:rPr>
        <w:t xml:space="preserve"> QUE ABARQUE LA MISMA.</w:t>
      </w:r>
    </w:p>
    <w:p w:rsidR="00000000" w:rsidRDefault="008C6EA1">
      <w:pPr>
        <w:pStyle w:val="Ttulo1"/>
      </w:pPr>
      <w:bookmarkStart w:id="28" w:name="__RefHeading__58_1567047773"/>
      <w:bookmarkStart w:id="29" w:name="__RefHeading__33_725448908"/>
      <w:bookmarkEnd w:id="28"/>
      <w:bookmarkEnd w:id="29"/>
      <w:r>
        <w:rPr>
          <w:rFonts w:ascii="Arial" w:eastAsia="Calibri" w:hAnsi="Arial" w:cs="Arial"/>
          <w:sz w:val="24"/>
          <w:szCs w:val="24"/>
        </w:rPr>
        <w:t xml:space="preserve">15.-  </w:t>
      </w:r>
      <w:r>
        <w:rPr>
          <w:rFonts w:ascii="Arial" w:eastAsia="Calibri" w:hAnsi="Arial" w:cs="Arial"/>
          <w:sz w:val="24"/>
          <w:szCs w:val="24"/>
          <w:u w:val="single"/>
        </w:rPr>
        <w:t>EVALUACIÓN DE LAS OFERTAS.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15.1 </w:t>
      </w:r>
      <w:r>
        <w:rPr>
          <w:rFonts w:ascii="Arial" w:eastAsia="Calibri" w:hAnsi="Arial" w:cs="Arial"/>
          <w:sz w:val="22"/>
          <w:szCs w:val="22"/>
        </w:rPr>
        <w:t xml:space="preserve">Con posterioridad a la apertura de ofertas, la Armada Nacional podrá solicitar a los oferentes aclaraciones de sus propuestas, e incluso que </w:t>
      </w:r>
      <w:r>
        <w:rPr>
          <w:rFonts w:ascii="Arial" w:eastAsia="Calibri" w:hAnsi="Arial" w:cs="Arial"/>
          <w:sz w:val="22"/>
          <w:szCs w:val="22"/>
          <w:u w:val="single"/>
        </w:rPr>
        <w:t>presenten muestras y/o información complementaria</w:t>
      </w:r>
      <w:r>
        <w:rPr>
          <w:rFonts w:ascii="Arial" w:eastAsia="Calibri" w:hAnsi="Arial" w:cs="Arial"/>
          <w:sz w:val="22"/>
          <w:szCs w:val="22"/>
        </w:rPr>
        <w:t xml:space="preserve"> de l</w:t>
      </w:r>
      <w:r>
        <w:rPr>
          <w:rFonts w:ascii="Arial" w:eastAsia="Calibri" w:hAnsi="Arial" w:cs="Arial"/>
          <w:sz w:val="22"/>
          <w:szCs w:val="22"/>
        </w:rPr>
        <w:t>os ítems cotizados.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>15.2</w:t>
      </w:r>
      <w:r>
        <w:rPr>
          <w:rFonts w:ascii="Arial" w:eastAsia="Calibri" w:hAnsi="Arial" w:cs="Arial"/>
          <w:sz w:val="22"/>
          <w:szCs w:val="22"/>
        </w:rPr>
        <w:t xml:space="preserve"> La información relativa a trámites que medien entre la apertura de las ofertas y el dictamen de la Comisión Asesora de Adjudicaciones o notificación de la Resolución de la Adjudicación, serán de carácter reservado.</w:t>
      </w:r>
    </w:p>
    <w:p w:rsidR="00000000" w:rsidRDefault="008C6EA1">
      <w:pPr>
        <w:pStyle w:val="Ttulo1"/>
      </w:pPr>
      <w:bookmarkStart w:id="30" w:name="__RefHeading__60_1567047773"/>
      <w:bookmarkStart w:id="31" w:name="__RefHeading__35_725448908"/>
      <w:bookmarkEnd w:id="30"/>
      <w:bookmarkEnd w:id="31"/>
      <w:r>
        <w:rPr>
          <w:rFonts w:ascii="Arial" w:eastAsia="Calibri" w:hAnsi="Arial" w:cs="Arial"/>
          <w:sz w:val="24"/>
          <w:szCs w:val="24"/>
        </w:rPr>
        <w:t xml:space="preserve">16.-  </w:t>
      </w:r>
      <w:r>
        <w:rPr>
          <w:rFonts w:ascii="Arial" w:eastAsia="Calibri" w:hAnsi="Arial" w:cs="Arial"/>
          <w:sz w:val="24"/>
          <w:szCs w:val="24"/>
          <w:u w:val="single"/>
        </w:rPr>
        <w:t>NOTIFICACI</w:t>
      </w:r>
      <w:r>
        <w:rPr>
          <w:rFonts w:ascii="Arial" w:eastAsia="Calibri" w:hAnsi="Arial" w:cs="Arial"/>
          <w:sz w:val="24"/>
          <w:szCs w:val="24"/>
          <w:u w:val="single"/>
        </w:rPr>
        <w:t>ONES.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16.1 </w:t>
      </w:r>
      <w:r>
        <w:rPr>
          <w:rFonts w:ascii="Arial" w:eastAsia="Calibri" w:hAnsi="Arial" w:cs="Arial"/>
          <w:sz w:val="22"/>
          <w:szCs w:val="22"/>
        </w:rPr>
        <w:t>La notificación de la resolución de adjudicación a la firma adjudicataria, constituirá a todos los efectos legales el contrato correspondiente a que se refieren las disposiciones de este Pliego, siendo las obligaciones y derechos del contratist</w:t>
      </w:r>
      <w:r>
        <w:rPr>
          <w:rFonts w:ascii="Arial" w:eastAsia="Calibri" w:hAnsi="Arial" w:cs="Arial"/>
          <w:sz w:val="22"/>
          <w:szCs w:val="22"/>
        </w:rPr>
        <w:t xml:space="preserve">a las que surgen de las normas jurídicas aplicables, los Pliegos, y su oferta respectiva.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16.2 </w:t>
      </w:r>
      <w:r>
        <w:rPr>
          <w:rFonts w:ascii="Arial" w:eastAsia="Calibri" w:hAnsi="Arial" w:cs="Arial"/>
          <w:sz w:val="22"/>
          <w:szCs w:val="22"/>
        </w:rPr>
        <w:t>Si el adjudicatario o sus representantes no concurrieren a notificarse de la Resolución de Adjudicación y firmar la Constancia de Afectación de Crédito (Orden d</w:t>
      </w:r>
      <w:r>
        <w:rPr>
          <w:rFonts w:ascii="Arial" w:eastAsia="Calibri" w:hAnsi="Arial" w:cs="Arial"/>
          <w:sz w:val="22"/>
          <w:szCs w:val="22"/>
        </w:rPr>
        <w:t xml:space="preserve">e Compra) en un plazo de tres (3) días a partir de la fecha de citación, se podrá dejar sin efecto la adjudicación y adjudicar a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otra de las ofertas si resultare conveniente, o de lo contrario proceder de acuerdo lo prevé el Art. 33, Literal B) del TOCAF. </w:t>
      </w:r>
    </w:p>
    <w:p w:rsidR="00000000" w:rsidRDefault="008C6EA1">
      <w:pPr>
        <w:pStyle w:val="Ttulo1"/>
      </w:pPr>
      <w:bookmarkStart w:id="32" w:name="__RefHeading__62_1567047773"/>
      <w:bookmarkStart w:id="33" w:name="__RefHeading__37_725448908"/>
      <w:bookmarkEnd w:id="32"/>
      <w:bookmarkEnd w:id="33"/>
      <w:r>
        <w:rPr>
          <w:rFonts w:ascii="Arial" w:eastAsia="Calibri" w:hAnsi="Arial" w:cs="Arial"/>
          <w:sz w:val="24"/>
          <w:szCs w:val="24"/>
        </w:rPr>
        <w:t xml:space="preserve">17.-  </w:t>
      </w:r>
      <w:r>
        <w:rPr>
          <w:rFonts w:ascii="Arial" w:eastAsia="Calibri" w:hAnsi="Arial" w:cs="Arial"/>
          <w:sz w:val="24"/>
          <w:szCs w:val="24"/>
          <w:u w:val="single"/>
        </w:rPr>
        <w:t>ADJUDICACIÓN.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17.1 </w:t>
      </w:r>
      <w:r>
        <w:rPr>
          <w:rFonts w:ascii="Arial" w:eastAsia="Calibri" w:hAnsi="Arial" w:cs="Arial"/>
          <w:sz w:val="22"/>
          <w:szCs w:val="22"/>
        </w:rPr>
        <w:t>La Armada Nacional se reserva el derecho de adjudicar total o parcialmente los ítems solicitados, de aceptar las ofertas que más le convinieran o de rechazarlas todas a su exclusivo juicio por razones de oportunidad o conveni</w:t>
      </w:r>
      <w:r>
        <w:rPr>
          <w:rFonts w:ascii="Arial" w:eastAsia="Calibri" w:hAnsi="Arial" w:cs="Arial"/>
          <w:sz w:val="22"/>
          <w:szCs w:val="22"/>
        </w:rPr>
        <w:t xml:space="preserve">encia.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17.2 </w:t>
      </w:r>
      <w:r>
        <w:rPr>
          <w:rFonts w:ascii="Arial" w:eastAsia="Calibri" w:hAnsi="Arial" w:cs="Arial"/>
          <w:sz w:val="22"/>
          <w:szCs w:val="22"/>
        </w:rPr>
        <w:t xml:space="preserve">La Armada Nacional se reserva todos los derechos establecidos en el </w:t>
      </w:r>
      <w:r>
        <w:rPr>
          <w:rFonts w:ascii="Arial" w:eastAsia="Calibri" w:hAnsi="Arial" w:cs="Arial"/>
          <w:b/>
          <w:sz w:val="22"/>
          <w:szCs w:val="22"/>
        </w:rPr>
        <w:t>Art. 66 del TOCAF</w:t>
      </w:r>
      <w:r>
        <w:rPr>
          <w:rFonts w:ascii="Arial" w:eastAsia="Calibri" w:hAnsi="Arial" w:cs="Arial"/>
          <w:sz w:val="22"/>
          <w:szCs w:val="22"/>
        </w:rPr>
        <w:t xml:space="preserve">, inclusive de utilizar los institutos de Mejora de Ofertas y Negociaciones cuando lo considere conveniente para sus intereses al amparo de lo establecido en </w:t>
      </w:r>
      <w:r>
        <w:rPr>
          <w:rFonts w:ascii="Arial" w:eastAsia="Calibri" w:hAnsi="Arial" w:cs="Arial"/>
          <w:sz w:val="22"/>
          <w:szCs w:val="22"/>
        </w:rPr>
        <w:t>el párrafo final de esta norma. –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>17.3</w:t>
      </w:r>
      <w:r>
        <w:rPr>
          <w:rFonts w:ascii="Arial" w:eastAsia="Calibri" w:hAnsi="Arial" w:cs="Arial"/>
          <w:sz w:val="22"/>
          <w:szCs w:val="22"/>
        </w:rPr>
        <w:t xml:space="preserve"> La Administración podrá desistir del llamado en cualquier etapa de su realización, o podrá desestimar todas las ofertas. Ninguna de estas decisiones generará derecho alguno de los participantes a reclamar por gastos, </w:t>
      </w:r>
      <w:r>
        <w:rPr>
          <w:rFonts w:ascii="Arial" w:eastAsia="Calibri" w:hAnsi="Arial" w:cs="Arial"/>
          <w:sz w:val="22"/>
          <w:szCs w:val="22"/>
        </w:rPr>
        <w:t>honorarios o indemnizaciones por daños y perjuicios.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>17.4</w:t>
      </w:r>
      <w:r>
        <w:rPr>
          <w:rFonts w:ascii="Arial" w:eastAsia="Calibri" w:hAnsi="Arial" w:cs="Arial"/>
          <w:sz w:val="22"/>
          <w:szCs w:val="22"/>
        </w:rPr>
        <w:t xml:space="preserve"> Los adjudicatarios deberán estar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ACTIVOS</w:t>
      </w:r>
      <w:r>
        <w:rPr>
          <w:rFonts w:ascii="Arial" w:eastAsia="Calibri" w:hAnsi="Arial" w:cs="Arial"/>
          <w:sz w:val="22"/>
          <w:szCs w:val="22"/>
        </w:rPr>
        <w:t xml:space="preserve"> en el Registro Único de Proveedores del Estado (RUPE).</w:t>
      </w:r>
    </w:p>
    <w:p w:rsidR="00000000" w:rsidRDefault="008C6EA1">
      <w:pPr>
        <w:pStyle w:val="Ttulo1"/>
      </w:pPr>
      <w:bookmarkStart w:id="34" w:name="__RefHeading__64_1567047773"/>
      <w:bookmarkStart w:id="35" w:name="__RefHeading__39_725448908"/>
      <w:bookmarkEnd w:id="34"/>
      <w:bookmarkEnd w:id="35"/>
      <w:r>
        <w:rPr>
          <w:rFonts w:ascii="Arial" w:eastAsia="Calibri" w:hAnsi="Arial" w:cs="Arial"/>
          <w:sz w:val="24"/>
          <w:szCs w:val="24"/>
        </w:rPr>
        <w:t xml:space="preserve">18.-  </w:t>
      </w:r>
      <w:r>
        <w:rPr>
          <w:rFonts w:ascii="Arial" w:eastAsia="Calibri" w:hAnsi="Arial" w:cs="Arial"/>
          <w:sz w:val="24"/>
          <w:szCs w:val="24"/>
          <w:u w:val="single"/>
        </w:rPr>
        <w:t>RECEPCIÓN.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>18.1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La recepción de lo adjudicado se efectuará en forma provisional una vez realizad</w:t>
      </w:r>
      <w:r>
        <w:rPr>
          <w:rFonts w:ascii="Arial" w:eastAsia="Calibri" w:hAnsi="Arial" w:cs="Arial"/>
          <w:color w:val="000000"/>
          <w:sz w:val="22"/>
          <w:szCs w:val="22"/>
        </w:rPr>
        <w:t>a su entrega efectiva en el destino final indicado. Ello no exime de responsabilidad al adjudicatario, en cuanto deba responder por vicios ocultos, errores u otros defectos que se puedan constatar en las cosas con posterioridad a dicha recepción provisiona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l, como asimismo, comprobación de cantidades menores que las adquiridas, o falta de elementos componentes, considerados en la contratación. 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En caso de que algún elemento no cumpla lo establecido, el proveedor, a su costo, deberá sustituirlo por el adecuad</w:t>
      </w:r>
      <w:r>
        <w:rPr>
          <w:rFonts w:ascii="Arial" w:eastAsia="Calibri" w:hAnsi="Arial" w:cs="Arial"/>
          <w:color w:val="000000"/>
          <w:sz w:val="22"/>
          <w:szCs w:val="22"/>
        </w:rPr>
        <w:t>o, no dándose trámite a la recepción hasta que no se haya cumplido la exigencia precedente.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18.2 </w:t>
      </w:r>
      <w:r>
        <w:rPr>
          <w:rFonts w:ascii="Arial" w:eastAsia="Calibri" w:hAnsi="Arial" w:cs="Arial"/>
          <w:color w:val="000000"/>
          <w:sz w:val="22"/>
          <w:szCs w:val="22"/>
        </w:rPr>
        <w:t>Todos los datos indicados por el proponente referidos a los elementos contenidos en la oferta tendrán carácter de compromiso. Si se verifica que no corresponde</w:t>
      </w:r>
      <w:r>
        <w:rPr>
          <w:rFonts w:ascii="Arial" w:eastAsia="Calibri" w:hAnsi="Arial" w:cs="Arial"/>
          <w:color w:val="000000"/>
          <w:sz w:val="22"/>
          <w:szCs w:val="22"/>
        </w:rPr>
        <w:t>n estrictamente a lo establecido en la propuesta, la Administración podrá rechazarlo de plano, rescindiendo el contrato respectivo sin que ello dé lugar a reclamación de clase alguna. –</w:t>
      </w:r>
    </w:p>
    <w:p w:rsidR="00000000" w:rsidRDefault="008C6EA1">
      <w:pPr>
        <w:pStyle w:val="Ttulo1"/>
      </w:pPr>
      <w:bookmarkStart w:id="36" w:name="__RefHeading__66_1567047773"/>
      <w:bookmarkStart w:id="37" w:name="__RefHeading__41_725448908"/>
      <w:bookmarkEnd w:id="36"/>
      <w:bookmarkEnd w:id="37"/>
      <w:r>
        <w:rPr>
          <w:rFonts w:ascii="Arial" w:eastAsia="Calibri" w:hAnsi="Arial" w:cs="Arial"/>
          <w:sz w:val="24"/>
          <w:szCs w:val="24"/>
        </w:rPr>
        <w:t xml:space="preserve">19.-  </w:t>
      </w:r>
      <w:r>
        <w:rPr>
          <w:rFonts w:ascii="Arial" w:eastAsia="Calibri" w:hAnsi="Arial" w:cs="Arial"/>
          <w:sz w:val="24"/>
          <w:szCs w:val="24"/>
          <w:u w:val="single"/>
        </w:rPr>
        <w:t>REGÍMENES DE PREFERENCIA.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19.1 </w:t>
      </w:r>
      <w:r>
        <w:rPr>
          <w:rFonts w:ascii="Arial" w:eastAsia="Calibri" w:hAnsi="Arial" w:cs="Arial"/>
          <w:sz w:val="22"/>
          <w:szCs w:val="22"/>
        </w:rPr>
        <w:t>Los oferentes que deseen acogers</w:t>
      </w:r>
      <w:r>
        <w:rPr>
          <w:rFonts w:ascii="Arial" w:eastAsia="Calibri" w:hAnsi="Arial" w:cs="Arial"/>
          <w:sz w:val="22"/>
          <w:szCs w:val="22"/>
        </w:rPr>
        <w:t xml:space="preserve">e al Subprograma de Contratación Pública para el Desarrollo de las MIPYMES, deberán presentar Certificado de DYNAPYME (Decreto 371/010).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 xml:space="preserve">19.2 </w:t>
      </w:r>
      <w:r>
        <w:rPr>
          <w:rFonts w:ascii="Arial" w:eastAsia="Calibri" w:hAnsi="Arial" w:cs="Arial"/>
          <w:sz w:val="22"/>
          <w:szCs w:val="22"/>
        </w:rPr>
        <w:t xml:space="preserve">Los oferentes que deseen acogerse al Régimen de Preferencia a la Industria Nacional, deberán presentar </w:t>
      </w:r>
      <w:r>
        <w:rPr>
          <w:rFonts w:ascii="Arial" w:eastAsia="Calibri" w:hAnsi="Arial" w:cs="Arial"/>
          <w:sz w:val="22"/>
          <w:szCs w:val="22"/>
          <w:u w:val="single"/>
        </w:rPr>
        <w:t>declaració</w:t>
      </w:r>
      <w:r>
        <w:rPr>
          <w:rFonts w:ascii="Arial" w:eastAsia="Calibri" w:hAnsi="Arial" w:cs="Arial"/>
          <w:sz w:val="22"/>
          <w:szCs w:val="22"/>
          <w:u w:val="single"/>
        </w:rPr>
        <w:t>n jurada</w:t>
      </w:r>
      <w:r>
        <w:rPr>
          <w:rFonts w:ascii="Arial" w:eastAsia="Calibri" w:hAnsi="Arial" w:cs="Arial"/>
          <w:sz w:val="22"/>
          <w:szCs w:val="22"/>
        </w:rPr>
        <w:t xml:space="preserve"> según lo establecido en el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Pliego Único de Bases y Condiciones  Generales (Decreto 131/014), </w:t>
      </w:r>
      <w:r>
        <w:rPr>
          <w:rFonts w:ascii="Arial" w:eastAsia="Calibri" w:hAnsi="Arial" w:cs="Arial"/>
          <w:sz w:val="22"/>
          <w:szCs w:val="22"/>
        </w:rPr>
        <w:t xml:space="preserve">y </w:t>
      </w:r>
      <w:r>
        <w:rPr>
          <w:rFonts w:ascii="Arial" w:eastAsia="Calibri" w:hAnsi="Arial" w:cs="Arial"/>
          <w:color w:val="000000"/>
          <w:sz w:val="22"/>
          <w:szCs w:val="22"/>
        </w:rPr>
        <w:t>Certificado de Origen emitido por las Entidades Certificadoras, en un plazo no mayor a 15 días hábiles contados a partir de la notificación de la resolu</w:t>
      </w:r>
      <w:r>
        <w:rPr>
          <w:rFonts w:ascii="Arial" w:eastAsia="Calibri" w:hAnsi="Arial" w:cs="Arial"/>
          <w:color w:val="000000"/>
          <w:sz w:val="22"/>
          <w:szCs w:val="22"/>
        </w:rPr>
        <w:t>ción de adjudicación.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i/>
          <w:sz w:val="22"/>
          <w:szCs w:val="22"/>
          <w:u w:val="single"/>
        </w:rPr>
        <w:t xml:space="preserve">(La no presentación del Certificado DYNAPYME para la aplicación del </w:t>
      </w:r>
      <w:r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numeral 19.1</w:t>
      </w:r>
      <w:r>
        <w:rPr>
          <w:rFonts w:ascii="Arial" w:eastAsia="Calibri" w:hAnsi="Arial" w:cs="Arial"/>
          <w:i/>
          <w:sz w:val="22"/>
          <w:szCs w:val="22"/>
          <w:u w:val="single"/>
        </w:rPr>
        <w:t xml:space="preserve"> o Declaración Jurada para la aplicación del numeral 19.2, implicara perder al derecho de acogerse al beneficio correspondiente)</w:t>
      </w:r>
      <w:r>
        <w:rPr>
          <w:rFonts w:ascii="Arial" w:eastAsia="Calibri" w:hAnsi="Arial" w:cs="Arial"/>
          <w:i/>
          <w:sz w:val="22"/>
          <w:szCs w:val="22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000000" w:rsidRDefault="008C6EA1">
      <w:pPr>
        <w:pStyle w:val="Sinespaciado"/>
        <w:spacing w:after="240"/>
        <w:jc w:val="both"/>
        <w:rPr>
          <w:rFonts w:ascii="Arial" w:eastAsia="Calibri" w:hAnsi="Arial" w:cs="Arial"/>
          <w:i/>
          <w:sz w:val="22"/>
          <w:szCs w:val="22"/>
        </w:rPr>
      </w:pPr>
    </w:p>
    <w:p w:rsidR="00000000" w:rsidRDefault="008C6EA1">
      <w:pPr>
        <w:pStyle w:val="Ttulo1"/>
      </w:pPr>
      <w:bookmarkStart w:id="38" w:name="__RefHeading__68_1567047773"/>
      <w:bookmarkStart w:id="39" w:name="__RefHeading__43_725448908"/>
      <w:bookmarkEnd w:id="38"/>
      <w:bookmarkEnd w:id="39"/>
      <w:r>
        <w:rPr>
          <w:rFonts w:ascii="Arial" w:eastAsia="Calibri" w:hAnsi="Arial" w:cs="Arial"/>
          <w:sz w:val="24"/>
          <w:szCs w:val="24"/>
        </w:rPr>
        <w:lastRenderedPageBreak/>
        <w:t xml:space="preserve">20.-  </w:t>
      </w:r>
      <w:r>
        <w:rPr>
          <w:rFonts w:ascii="Arial" w:eastAsia="Calibri" w:hAnsi="Arial" w:cs="Arial"/>
          <w:sz w:val="24"/>
          <w:szCs w:val="24"/>
          <w:u w:val="single"/>
        </w:rPr>
        <w:t>INCUMPLIMIENT</w:t>
      </w:r>
      <w:r>
        <w:rPr>
          <w:rFonts w:ascii="Arial" w:eastAsia="Calibri" w:hAnsi="Arial" w:cs="Arial"/>
          <w:sz w:val="24"/>
          <w:szCs w:val="24"/>
          <w:u w:val="single"/>
        </w:rPr>
        <w:t>OS.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color w:val="000000"/>
          <w:sz w:val="22"/>
          <w:szCs w:val="22"/>
        </w:rPr>
        <w:t>20.1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En caso de atrasos en la entrega prevista, se fijara una multa</w:t>
      </w:r>
      <w:r>
        <w:rPr>
          <w:rFonts w:ascii="Arial" w:eastAsia="Calibri" w:hAnsi="Arial" w:cs="Arial"/>
          <w:sz w:val="22"/>
          <w:szCs w:val="22"/>
        </w:rPr>
        <w:t xml:space="preserve"> del 1 % del importe no entregado en el tiempo previsto y por cada día de atraso, sin perjuicio de las sanciones previstas en el Artículo 5 del Decreto Nº 342 de 26/X/99 consistentes en</w:t>
      </w:r>
      <w:r>
        <w:rPr>
          <w:rFonts w:ascii="Arial" w:eastAsia="Calibri" w:hAnsi="Arial" w:cs="Arial"/>
          <w:sz w:val="22"/>
          <w:szCs w:val="22"/>
        </w:rPr>
        <w:t xml:space="preserve">: </w:t>
      </w:r>
    </w:p>
    <w:p w:rsidR="00000000" w:rsidRDefault="008C6EA1">
      <w:pPr>
        <w:pStyle w:val="Sinespaciado"/>
        <w:numPr>
          <w:ilvl w:val="0"/>
          <w:numId w:val="2"/>
        </w:numPr>
        <w:ind w:left="993" w:hanging="141"/>
        <w:jc w:val="both"/>
      </w:pPr>
      <w:r>
        <w:rPr>
          <w:rFonts w:ascii="Arial" w:eastAsia="Calibri" w:hAnsi="Arial" w:cs="Arial"/>
          <w:sz w:val="22"/>
          <w:szCs w:val="22"/>
        </w:rPr>
        <w:t>Advertencia.</w:t>
      </w:r>
    </w:p>
    <w:p w:rsidR="00000000" w:rsidRDefault="008C6EA1">
      <w:pPr>
        <w:pStyle w:val="Sinespaciado"/>
        <w:numPr>
          <w:ilvl w:val="0"/>
          <w:numId w:val="2"/>
        </w:numPr>
        <w:ind w:left="993" w:hanging="141"/>
        <w:jc w:val="both"/>
      </w:pPr>
      <w:r>
        <w:rPr>
          <w:rFonts w:ascii="Arial" w:eastAsia="Calibri" w:hAnsi="Arial" w:cs="Arial"/>
          <w:sz w:val="22"/>
          <w:szCs w:val="22"/>
        </w:rPr>
        <w:t xml:space="preserve">Suspensión por un período que en cada caso se determine. </w:t>
      </w:r>
    </w:p>
    <w:p w:rsidR="00000000" w:rsidRDefault="008C6EA1">
      <w:pPr>
        <w:pStyle w:val="Sinespaciado"/>
        <w:numPr>
          <w:ilvl w:val="0"/>
          <w:numId w:val="2"/>
        </w:numPr>
        <w:ind w:left="993" w:hanging="141"/>
        <w:jc w:val="both"/>
      </w:pPr>
      <w:r>
        <w:rPr>
          <w:rFonts w:ascii="Arial" w:eastAsia="Calibri" w:hAnsi="Arial" w:cs="Arial"/>
          <w:sz w:val="22"/>
          <w:szCs w:val="22"/>
        </w:rPr>
        <w:t>Eliminación de la empresa como proveedora de la Unidad Ejecutora o del Inciso.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sz w:val="22"/>
          <w:szCs w:val="22"/>
        </w:rPr>
        <w:t>20.2</w:t>
      </w:r>
      <w:r>
        <w:rPr>
          <w:rFonts w:ascii="Arial" w:eastAsia="Calibri" w:hAnsi="Arial" w:cs="Arial"/>
          <w:sz w:val="22"/>
          <w:szCs w:val="22"/>
        </w:rPr>
        <w:t xml:space="preserve"> En caso de incumplimiento asociado a cantidad, calidad y demás especificaciones de los artículos q</w:t>
      </w:r>
      <w:r>
        <w:rPr>
          <w:rFonts w:ascii="Arial" w:eastAsia="Calibri" w:hAnsi="Arial" w:cs="Arial"/>
          <w:sz w:val="22"/>
          <w:szCs w:val="22"/>
        </w:rPr>
        <w:t xml:space="preserve">ue se estipularon en la presente convención y en los Pliegos de Condiciones, se podrán imponer al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proveedor multas hasta el 20 % del </w:t>
      </w:r>
      <w:r>
        <w:rPr>
          <w:rFonts w:ascii="Arial" w:eastAsia="Calibri" w:hAnsi="Arial" w:cs="Arial"/>
          <w:sz w:val="22"/>
          <w:szCs w:val="22"/>
        </w:rPr>
        <w:t>valor total de importe de los objetos que debía haber entregado en debidas condiciones, además de la obligación del vendedo</w:t>
      </w:r>
      <w:r>
        <w:rPr>
          <w:rFonts w:ascii="Arial" w:eastAsia="Calibri" w:hAnsi="Arial" w:cs="Arial"/>
          <w:sz w:val="22"/>
          <w:szCs w:val="22"/>
        </w:rPr>
        <w:t xml:space="preserve">r de entregar la mercadería en las condiciones estipuladas dentro del plazo de 24 horas a partir de la entrega indebida. </w:t>
      </w:r>
    </w:p>
    <w:p w:rsidR="00000000" w:rsidRDefault="008C6EA1">
      <w:pPr>
        <w:pStyle w:val="Sinespaciado"/>
        <w:spacing w:after="240"/>
        <w:jc w:val="both"/>
      </w:pPr>
      <w:r>
        <w:rPr>
          <w:rFonts w:ascii="Arial" w:eastAsia="Calibri" w:hAnsi="Arial" w:cs="Arial"/>
          <w:b/>
          <w:sz w:val="22"/>
          <w:szCs w:val="22"/>
        </w:rPr>
        <w:t>20.3</w:t>
      </w:r>
      <w:r>
        <w:rPr>
          <w:rFonts w:ascii="Arial" w:eastAsia="Calibri" w:hAnsi="Arial" w:cs="Arial"/>
          <w:sz w:val="22"/>
          <w:szCs w:val="22"/>
        </w:rPr>
        <w:t xml:space="preserve"> El contratista caerá en mora de pleno derecho sin necesidad de interpelación judicial o extrajudicial alguna, por el solo vencimi</w:t>
      </w:r>
      <w:r>
        <w:rPr>
          <w:rFonts w:ascii="Arial" w:eastAsia="Calibri" w:hAnsi="Arial" w:cs="Arial"/>
          <w:sz w:val="22"/>
          <w:szCs w:val="22"/>
        </w:rPr>
        <w:t xml:space="preserve">ento de los plazos pactados en que las obligaciones debieran cumplirse, o por el solo hecho de hacer algo contrario a lo estipulado, en cuyo caso se operara por daños y perjuicios derivados de tal incumplimiento.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:rsidR="00000000" w:rsidRDefault="008C6EA1">
      <w:pPr>
        <w:pStyle w:val="Ttulo1"/>
      </w:pPr>
      <w:bookmarkStart w:id="40" w:name="__RefHeading__70_1567047773"/>
      <w:bookmarkStart w:id="41" w:name="__RefHeading__45_725448908"/>
      <w:bookmarkEnd w:id="40"/>
      <w:bookmarkEnd w:id="41"/>
      <w:r>
        <w:rPr>
          <w:rFonts w:ascii="Arial" w:eastAsia="Calibri" w:hAnsi="Arial" w:cs="Arial"/>
          <w:sz w:val="24"/>
          <w:szCs w:val="24"/>
        </w:rPr>
        <w:t xml:space="preserve">21.-  </w:t>
      </w:r>
      <w:r>
        <w:rPr>
          <w:rFonts w:ascii="Arial" w:eastAsia="Calibri" w:hAnsi="Arial" w:cs="Arial"/>
          <w:sz w:val="24"/>
          <w:szCs w:val="24"/>
          <w:u w:val="single"/>
        </w:rPr>
        <w:t>NORMAS APLICABLES.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Ley N° 18.362</w:t>
      </w:r>
      <w:r>
        <w:rPr>
          <w:rFonts w:ascii="Arial" w:eastAsia="Calibri" w:hAnsi="Arial" w:cs="Arial"/>
          <w:color w:val="000000"/>
          <w:sz w:val="22"/>
          <w:szCs w:val="22"/>
        </w:rPr>
        <w:t>/08, Art. N°43 y 44. (Programa de Contratación Pública para el Desarrollo).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Ley N° 19.889/20 (Ley de Urgente Consideración, en lo relativo a Compras Públicas).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500/91 (Procedimiento Administrativo).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Decreto 395/98 (Sistema Integrado de Información </w:t>
      </w:r>
      <w:r>
        <w:rPr>
          <w:rFonts w:ascii="Arial" w:eastAsia="Calibri" w:hAnsi="Arial" w:cs="Arial"/>
          <w:color w:val="000000"/>
          <w:sz w:val="22"/>
          <w:szCs w:val="22"/>
        </w:rPr>
        <w:t>Financiera).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13/09 (Consideración Productos Nacionales).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371/10 (Sub-Programa MIPYMES).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150/12 (TOCAF).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N° 275/13 (Presentación y apertura electrónica de ofertas).</w:t>
      </w:r>
    </w:p>
    <w:p w:rsidR="00000000" w:rsidRDefault="008C6EA1">
      <w:pPr>
        <w:pStyle w:val="Sinespaciado"/>
        <w:numPr>
          <w:ilvl w:val="0"/>
          <w:numId w:val="3"/>
        </w:numPr>
        <w:ind w:hanging="1864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Decreto 155/13 (Registro Único de Proveedores del Estado).</w:t>
      </w:r>
    </w:p>
    <w:p w:rsidR="00000000" w:rsidRDefault="008C6EA1">
      <w:pPr>
        <w:pStyle w:val="Sinespaciado"/>
        <w:numPr>
          <w:ilvl w:val="0"/>
          <w:numId w:val="3"/>
        </w:numPr>
        <w:ind w:left="283" w:firstLine="0"/>
      </w:pPr>
      <w:r>
        <w:rPr>
          <w:rFonts w:ascii="Arial" w:eastAsia="Calibri" w:hAnsi="Arial" w:cs="Arial"/>
          <w:color w:val="000000"/>
          <w:sz w:val="22"/>
          <w:szCs w:val="22"/>
        </w:rPr>
        <w:t>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ecreto 131/14 (Pliego Único de Bases y Condiciones Generales para los Contratos de    Suministros y Servicios no Personales. </w:t>
      </w:r>
      <w:hyperlink r:id="rId13" w:history="1">
        <w:r>
          <w:rPr>
            <w:rStyle w:val="Hipervnculo"/>
            <w:rFonts w:ascii="Arial" w:eastAsia="Calibri" w:hAnsi="Arial" w:cs="Arial"/>
          </w:rPr>
          <w:t>http://www.comprasestatales.gub.uy</w:t>
        </w:r>
      </w:hyperlink>
      <w:r>
        <w:t xml:space="preserve"> .</w:t>
      </w:r>
    </w:p>
    <w:p w:rsidR="00000000" w:rsidRDefault="008C6EA1">
      <w:pPr>
        <w:pStyle w:val="Sinespaciado"/>
        <w:numPr>
          <w:ilvl w:val="0"/>
          <w:numId w:val="3"/>
        </w:numPr>
        <w:ind w:left="284" w:firstLine="0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El presente Pliego de Condiciones Particul</w:t>
      </w:r>
      <w:r>
        <w:rPr>
          <w:rFonts w:ascii="Arial" w:eastAsia="Calibri" w:hAnsi="Arial" w:cs="Arial"/>
          <w:color w:val="000000"/>
          <w:sz w:val="22"/>
          <w:szCs w:val="22"/>
        </w:rPr>
        <w:t>ares establecido por la Armada Nacional, (Fichas y Anexos integran el mismo).</w:t>
      </w:r>
    </w:p>
    <w:p w:rsidR="00000000" w:rsidRDefault="008C6EA1">
      <w:pPr>
        <w:pStyle w:val="Ttulo1"/>
      </w:pPr>
      <w:bookmarkStart w:id="42" w:name="__RefHeading__72_1567047773"/>
      <w:bookmarkStart w:id="43" w:name="__RefHeading__47_725448908"/>
      <w:bookmarkEnd w:id="42"/>
      <w:bookmarkEnd w:id="43"/>
      <w:r>
        <w:rPr>
          <w:rFonts w:ascii="Arial" w:eastAsia="Calibri" w:hAnsi="Arial" w:cs="Arial"/>
          <w:sz w:val="24"/>
          <w:szCs w:val="24"/>
        </w:rPr>
        <w:t xml:space="preserve">22.-  </w:t>
      </w:r>
      <w:r>
        <w:rPr>
          <w:rFonts w:ascii="Arial" w:eastAsia="Calibri" w:hAnsi="Arial" w:cs="Arial"/>
          <w:sz w:val="24"/>
          <w:szCs w:val="24"/>
          <w:u w:val="single"/>
        </w:rPr>
        <w:t>ANEXO</w:t>
      </w:r>
      <w:r>
        <w:rPr>
          <w:rFonts w:ascii="Arial" w:eastAsia="Calibri" w:hAnsi="Arial" w:cs="Arial"/>
          <w:sz w:val="24"/>
          <w:szCs w:val="24"/>
          <w:u w:val="single"/>
          <w:lang w:val="es-UY"/>
        </w:rPr>
        <w:t>S</w:t>
      </w:r>
      <w:r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sz w:val="22"/>
          <w:szCs w:val="22"/>
        </w:rPr>
        <w:t>22.1</w:t>
      </w:r>
      <w:r>
        <w:rPr>
          <w:rFonts w:ascii="Arial" w:eastAsia="Calibri" w:hAnsi="Arial" w:cs="Arial"/>
          <w:sz w:val="22"/>
          <w:szCs w:val="22"/>
        </w:rPr>
        <w:t xml:space="preserve">  Se adjunta Anexo </w:t>
      </w:r>
      <w:r>
        <w:rPr>
          <w:rFonts w:ascii="Arial" w:eastAsia="Calibri" w:hAnsi="Arial" w:cs="Arial"/>
          <w:sz w:val="22"/>
          <w:szCs w:val="22"/>
          <w:lang w:val="es-UY"/>
        </w:rPr>
        <w:t>Alfa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UY"/>
        </w:rPr>
        <w:t>"Bienes o Servicios solicitados"</w:t>
      </w:r>
      <w:r>
        <w:rPr>
          <w:rFonts w:ascii="Arial" w:eastAsia="Calibri" w:hAnsi="Arial" w:cs="Arial"/>
          <w:sz w:val="22"/>
          <w:szCs w:val="22"/>
        </w:rPr>
        <w:t>.</w:t>
      </w:r>
    </w:p>
    <w:p w:rsidR="00000000" w:rsidRDefault="008C6EA1">
      <w:pPr>
        <w:pStyle w:val="Sinespaciado"/>
        <w:jc w:val="both"/>
      </w:pPr>
      <w:r>
        <w:rPr>
          <w:rFonts w:ascii="Arial" w:eastAsia="Calibri" w:hAnsi="Arial" w:cs="Arial"/>
          <w:b/>
          <w:sz w:val="22"/>
          <w:szCs w:val="22"/>
        </w:rPr>
        <w:t>22.2</w:t>
      </w:r>
      <w:r>
        <w:rPr>
          <w:rFonts w:ascii="Arial" w:eastAsia="Calibri" w:hAnsi="Arial" w:cs="Arial"/>
          <w:sz w:val="22"/>
          <w:szCs w:val="22"/>
        </w:rPr>
        <w:t xml:space="preserve">  Se adjunta Anexo Bravo, "Ficha de Identificación del Oferente".</w:t>
      </w:r>
    </w:p>
    <w:p w:rsidR="00000000" w:rsidRDefault="008C6EA1">
      <w:pPr>
        <w:pStyle w:val="Sinespaciado"/>
        <w:jc w:val="both"/>
      </w:pPr>
    </w:p>
    <w:p w:rsidR="00000000" w:rsidRDefault="008C6EA1">
      <w:pPr>
        <w:pStyle w:val="Ttulo1"/>
      </w:pPr>
      <w:bookmarkStart w:id="44" w:name="__RefHeading__74_1567047773"/>
      <w:bookmarkStart w:id="45" w:name="__RefHeading__49_725448908"/>
      <w:bookmarkEnd w:id="44"/>
      <w:bookmarkEnd w:id="45"/>
      <w:r>
        <w:rPr>
          <w:rFonts w:eastAsia="Cambria" w:cs="Cambria"/>
        </w:rPr>
        <w:lastRenderedPageBreak/>
        <w:t xml:space="preserve">                              </w:t>
      </w:r>
      <w:r>
        <w:rPr>
          <w:rFonts w:eastAsia="Cambria" w:cs="Cambria"/>
        </w:rPr>
        <w:t xml:space="preserve">                    </w:t>
      </w:r>
      <w:r>
        <w:rPr>
          <w:rFonts w:ascii="Arial" w:eastAsia="Calibri" w:hAnsi="Arial" w:cs="Arial"/>
          <w:sz w:val="24"/>
          <w:szCs w:val="24"/>
        </w:rPr>
        <w:t xml:space="preserve">ANEXO ALFA </w:t>
      </w:r>
      <w:r>
        <w:rPr>
          <w:rFonts w:ascii="Arial" w:eastAsia="Calibri" w:hAnsi="Arial" w:cs="Arial"/>
          <w:color w:val="FFFFFF"/>
          <w:sz w:val="24"/>
          <w:szCs w:val="24"/>
        </w:rPr>
        <w:t>"BIENES O SERVICIOS SOLICITADOS"</w:t>
      </w:r>
    </w:p>
    <w:p w:rsidR="00000000" w:rsidRDefault="008C6EA1">
      <w:pPr>
        <w:pStyle w:val="Ttulo1"/>
      </w:pPr>
      <w:bookmarkStart w:id="46" w:name="__RefHeading__76_1567047773"/>
      <w:bookmarkStart w:id="47" w:name="__RefHeading__51_725448908"/>
      <w:bookmarkEnd w:id="46"/>
      <w:bookmarkEnd w:id="47"/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Calibri" w:hAnsi="Arial" w:cs="Arial"/>
          <w:sz w:val="24"/>
          <w:szCs w:val="24"/>
        </w:rPr>
        <w:t>"BIENES O SERVICIOS SOLI</w:t>
      </w:r>
      <w:r>
        <w:rPr>
          <w:rFonts w:ascii="Arial" w:eastAsia="Calibri" w:hAnsi="Arial" w:cs="Arial"/>
          <w:color w:val="000000"/>
          <w:sz w:val="24"/>
          <w:szCs w:val="24"/>
        </w:rPr>
        <w:t>CITAD</w:t>
      </w:r>
      <w:r>
        <w:rPr>
          <w:rFonts w:ascii="Arial" w:eastAsia="Calibri" w:hAnsi="Arial" w:cs="Arial"/>
          <w:sz w:val="24"/>
          <w:szCs w:val="24"/>
        </w:rPr>
        <w:t>OS"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905"/>
        <w:gridCol w:w="852"/>
        <w:gridCol w:w="2018"/>
        <w:gridCol w:w="1089"/>
        <w:gridCol w:w="3724"/>
      </w:tblGrid>
      <w:tr w:rsidR="000000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COD. SICE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CANT. HASTA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ESPECIFICACIONES DEL ARTÍCULO SOLICITADO POR LA UNIDAD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3962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EQUIPO BA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SE VHF ANALOGO/ DIGITAL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1.1 Especificaciones: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Potencial de salida :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45W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b.-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Clase A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Rango de Frecuencia:.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136 a 174 MHz,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Sistema de comunicación: semi-dúplex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 Cumple normas militares MIL STD 810 C,D,E,FyG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f.-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Presentación: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pantalla color alfanumérica y programación remota por aire OTAP.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g.-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Modo de modulación: FM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h.- compatible con TRBOnet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1.2 El equipo deberá incluir: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Fuente de alimentación (Entrada: 220VAC)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b.-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Cables 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de alimentación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Antena transceptora VHF tipo látigo, marina, de fibra de vidrio (con base y elementos de instalación incluidos)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Línea de transmisión: Coaxial CNT 400 ó RG-213 (30 metros)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Conectores y adaptadores para línea de 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transmisión y antena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f.-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Micrófono PTT (inc. con equipo)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Opcional: micrófono con teclado para envío de mensajes de texto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g.-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Kit de programación (software e interfaz para programación desde PC)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h.-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Manual de instalación y operación (en es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pañol)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1.3 Para la totalidad del Ítem se requiere: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Proveer al menos dos (2) manuales de servicio del equipo (manual técnico) detallado (preferentemente en español, en su defecto en inglés)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 xml:space="preserve">b.- 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Service en plaza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Garantí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 mínima: 3 años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14765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EQUIPO Portátil VHF ANALOGO/DIGITAL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2.1. Especificaciones: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before="100" w:after="10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RX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before="100" w:after="10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Frecuencia: 136-174 MHz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Espaciamiento de canal: 12,5 kHz / 20 kHz / 25 kHz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Estabilidad de frecuencia (Ref. -30°C, +60°C, +25°C): ± 0,5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ppm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Sensibilidad digital (BER 5%): 0,25 uV / </w:t>
            </w:r>
            <w:r>
              <w:rPr>
                <w:rFonts w:ascii="Arial" w:eastAsia="Arial Narrow" w:hAnsi="Arial" w:cs="Arial"/>
                <w:sz w:val="20"/>
                <w:szCs w:val="20"/>
              </w:rPr>
              <w:lastRenderedPageBreak/>
              <w:t>0,19 uV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Intermodulación (TIA603D): 70 dB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Selectividad de canal adyacente (TIA603D): 45 dB 12,5 kHz /70 dB  20/25 kHz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Rechazo espúreo (TIA603D): 70 dB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Audio nominal: 0,5 W</w:t>
            </w: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compatib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le con TRBOnet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Distorsión de audio en audio nomina: 5% </w:t>
            </w: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Interferencia y ruido: -40 dB 12,5 kHz -45 dB 20/25 kHz</w:t>
            </w: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Respuesta acústica: TIA603D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Emisión espúrea conducida (TIA603D): -57 dBm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Cumplir con estándares Militares MIL-STD 810 C,D,E,F,G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RX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Frecu</w:t>
            </w:r>
            <w:r>
              <w:rPr>
                <w:rFonts w:ascii="Arial" w:eastAsia="Arial Narrow" w:hAnsi="Arial" w:cs="Arial"/>
                <w:sz w:val="20"/>
                <w:szCs w:val="20"/>
              </w:rPr>
              <w:t>encia: 136-174 MHz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Espaciamiento de canal: 12,5 kHz / 20 kHz / 25 kHz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Estabilidad de frecuencia (Ref. -30°C, +60°C, +25°C): ± 0,5 ppm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Baja potencia de salida: 1 W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Alta potencia de salida: 5 W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Restricción de modulación: ± 2,5 kHz 12,5 kHz / ± 4,0 kHz 20 kHz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± 5,0 kHz 25 kHz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Interferencia y ruido en FM: 40 dB 12,5 kHz -45 dB 20/25 kHz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Emisión conducida/radiada: 36 dBm&lt; 1 GHz / -30 dBm&gt; 1 GHz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Potencia de canal adyacente: 60 dB 12,5 kHz 70 dB 20/25 kHz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Respuesta acústica: TIA603D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Distorsión de audio: 3%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Modulac</w:t>
            </w:r>
            <w:r>
              <w:rPr>
                <w:rFonts w:ascii="Arial" w:eastAsia="Arial Narrow" w:hAnsi="Arial" w:cs="Arial"/>
                <w:sz w:val="20"/>
                <w:szCs w:val="20"/>
              </w:rPr>
              <w:t>ión digital 4FSK: 12,5 kHz; Datos: 7K60F1D y 7K60FXD 12,5 kHz; Voz: 7K60F1E y 7K60FXE Combinación de voz y datos (12,5 kHz): 7K60F1W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Tipo de vocodificador digital: AMBE +2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Protocolo digital: ETSI TS 102 361-1, -2, -3</w:t>
            </w: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Equipo se deberá contar con: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Batería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>
              <w:rPr>
                <w:rFonts w:ascii="Arial" w:eastAsia="Arial Narrow" w:hAnsi="Arial" w:cs="Arial"/>
                <w:sz w:val="20"/>
                <w:szCs w:val="20"/>
              </w:rPr>
              <w:t>ntena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Clip para cinturón 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Cargador con base de carga 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Al menos 4 manuales de operación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20 de dichos equipos deberán contar con funda estanca homologada, una batería extra y micrófono PTT.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Garantía: 3 años.</w:t>
            </w: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  <w:p w:rsidR="00000000" w:rsidRDefault="008C6EA1">
            <w:pPr>
              <w:spacing w:after="0" w:line="256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 Narrow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14764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 Narrow" w:hAnsi="Arial" w:cs="Arial"/>
                <w:sz w:val="20"/>
                <w:szCs w:val="20"/>
              </w:rP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Transceptor MF /HF Fonia y DSC de bas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000000" w:rsidRDefault="008C6EA1">
            <w:pPr>
              <w:spacing w:after="0" w:line="256" w:lineRule="auto"/>
              <w:jc w:val="center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Transceptor MF /HF Fonia y DSC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3.1 Especificaciones: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a.- DSC Clase A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b.- Homologado GMDSS A3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c.- Potencia de salida (mínima) : 100W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d.- Rango de frecuencia : TX : 2Mhz- 29.9Mhz, RX: 500Khz-29,9Mhz.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e.- Sistema de comunicación : semi-duplex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f.- Ca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nales : ITU (Marítimos)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g.- Canales de usuario programables (mínimo ) : 300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h.- Presentacióndisplay LCD alfanumérico con retroiluminacion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i.- Modos de modulación. SSB/AM/CW/FSK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j.- Impedancia: 50 Oms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3.2 Cada uno de los equipos deberá incluir: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a.- Fu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ente de alimentación GMDSS (entrada:220VAC/ salida :24 VDC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b.-  Cables de alimentación 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c.- Acoplador externo de antena y cable de control (10Mts mínimo)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d.- Antena transceptora HF tipo látigo, Marina, de fibra de vidrio (con base y elementos de instalació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n incluidos)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e.- Antena para DSC HF tipo látigo, marina , de fibra de vidrio (con base y elementos de instalación incluidos)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f.- Línea de transmisión (cantidad: 2 ) : coaxial CNT 400 o RG-213 (30 Mts cada una)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g.- Conectores y adaptadores para líneas de tr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ansmisión y antenas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h.- MicrófonoHandset PTT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i.- Kit de programación (software e interfaz para programación desde PC)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j.- Manual de instalación y operación (en español)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3.3 Para la totalidad del ítem :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a.- Proveer almenos 2 (dos) manuales de servicio del e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quipo (manual técnico) detallados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b.- Service en plaza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c.- Garantía mínima: 2 años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3114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  <w:jc w:val="center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Batería para equipo portátil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before="100" w:after="10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4 Baterías litio-ion para equipo VHF Motorola DGP8550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before="100" w:after="10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b.-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44 Baterías litio-ion para equipo VHF Motorola DEP450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c.- 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6 Baterías litio-ion para equipo VHF Motorola EP350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d.- 2 Baterías litio-ion para equipo VHF Motorola EP450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napToGrid w:val="0"/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Garantía  12 meses  </w:t>
            </w:r>
          </w:p>
        </w:tc>
      </w:tr>
      <w:tr w:rsidR="000000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9201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 Narrow" w:hAnsi="Arial" w:cs="Arial"/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Antena para equipo portátil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 xml:space="preserve">5.1 Especificaciones 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Antena VHF para equipo Motorola DEP450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Garantía 12 me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ses.</w:t>
            </w:r>
          </w:p>
        </w:tc>
      </w:tr>
      <w:tr w:rsidR="000000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32540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Válvula para transmisor HF </w:t>
            </w:r>
          </w:p>
          <w:p w:rsidR="00000000" w:rsidRDefault="008C6EA1">
            <w:pPr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 Especificaciones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a.- </w:t>
            </w:r>
            <w:r>
              <w:rPr>
                <w:rFonts w:ascii="Arial" w:eastAsia="Arial" w:hAnsi="Arial" w:cs="Arial"/>
                <w:sz w:val="20"/>
                <w:szCs w:val="20"/>
              </w:rPr>
              <w:t>Nr 5 4CX350A EIMAC</w:t>
            </w:r>
          </w:p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b.- Garantía 12 meses.</w:t>
            </w:r>
          </w:p>
        </w:tc>
      </w:tr>
      <w:tr w:rsidR="000000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32486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6EA1">
            <w:pPr>
              <w:spacing w:after="0" w:line="25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tabs>
                <w:tab w:val="left" w:pos="708"/>
              </w:tabs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 para Transceptor VHF Portátil con flotabilidad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tabs>
                <w:tab w:val="left" w:pos="708"/>
              </w:tabs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6EA1">
            <w:pPr>
              <w:tabs>
                <w:tab w:val="left" w:pos="708"/>
              </w:tabs>
              <w:spacing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7.1.- Especificaciones</w:t>
            </w:r>
          </w:p>
          <w:p w:rsidR="00000000" w:rsidRDefault="008C6EA1">
            <w:pPr>
              <w:tabs>
                <w:tab w:val="left" w:pos="708"/>
              </w:tabs>
              <w:spacing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a.- Dimensiones (mínimas ):    Largo 30 cm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s, Ancho 10 cms , Alto 5 Cms</w:t>
            </w:r>
          </w:p>
          <w:p w:rsidR="00000000" w:rsidRDefault="008C6EA1">
            <w:pPr>
              <w:tabs>
                <w:tab w:val="left" w:pos="708"/>
              </w:tabs>
              <w:spacing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b.- Garantia : 1 año</w:t>
            </w:r>
          </w:p>
        </w:tc>
      </w:tr>
    </w:tbl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spacing w:line="360" w:lineRule="auto"/>
        <w:jc w:val="both"/>
      </w:pPr>
      <w:r>
        <w:rPr>
          <w:rFonts w:ascii="Arial" w:eastAsia="Arial Narrow" w:hAnsi="Arial" w:cs="Arial"/>
          <w:b/>
          <w:color w:val="000000"/>
          <w:sz w:val="22"/>
          <w:szCs w:val="22"/>
        </w:rPr>
        <w:t>Requisito excluyente:</w:t>
      </w:r>
    </w:p>
    <w:p w:rsidR="00000000" w:rsidRDefault="008C6EA1">
      <w:pPr>
        <w:spacing w:line="240" w:lineRule="auto"/>
      </w:pPr>
      <w:r>
        <w:rPr>
          <w:rFonts w:ascii="Arial" w:eastAsia="Arial Narrow" w:hAnsi="Arial" w:cs="Arial"/>
          <w:sz w:val="22"/>
          <w:szCs w:val="22"/>
        </w:rPr>
        <w:t>El equipamiento ofertado deberá de ser compatible con el software que ya dispone la Armada Nacional.</w:t>
      </w:r>
    </w:p>
    <w:p w:rsidR="00000000" w:rsidRDefault="008C6EA1">
      <w:pPr>
        <w:spacing w:line="240" w:lineRule="auto"/>
      </w:pPr>
      <w:r>
        <w:rPr>
          <w:rFonts w:ascii="Arial" w:eastAsia="Arial Narrow" w:hAnsi="Arial" w:cs="Arial"/>
          <w:sz w:val="22"/>
          <w:szCs w:val="22"/>
          <w:shd w:val="clear" w:color="auto" w:fill="FFFFFF"/>
        </w:rPr>
        <w:t>Se debe contar con service en plaza.</w:t>
      </w:r>
    </w:p>
    <w:p w:rsidR="00000000" w:rsidRDefault="008C6EA1">
      <w:pPr>
        <w:spacing w:line="240" w:lineRule="auto"/>
      </w:pPr>
      <w:r>
        <w:rPr>
          <w:rFonts w:ascii="Arial" w:eastAsia="Arial Narrow" w:hAnsi="Arial" w:cs="Arial"/>
          <w:sz w:val="22"/>
          <w:szCs w:val="22"/>
          <w:shd w:val="clear" w:color="auto" w:fill="FFFFFF"/>
        </w:rPr>
        <w:t>Se deben asegurar repuestos para los equipos</w:t>
      </w:r>
      <w:r>
        <w:rPr>
          <w:rFonts w:ascii="Arial" w:eastAsia="Arial Narrow" w:hAnsi="Arial" w:cs="Arial"/>
          <w:sz w:val="22"/>
          <w:szCs w:val="22"/>
          <w:shd w:val="clear" w:color="auto" w:fill="FFFFFF"/>
        </w:rPr>
        <w:t xml:space="preserve"> por el período de duración de garantía de cada ITEM, especificado en el presente anexo. </w:t>
      </w:r>
    </w:p>
    <w:p w:rsidR="00000000" w:rsidRDefault="008C6EA1">
      <w:pPr>
        <w:jc w:val="right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jc w:val="right"/>
        <w:rPr>
          <w:rFonts w:eastAsia="Calibri"/>
        </w:rPr>
      </w:pPr>
    </w:p>
    <w:p w:rsidR="00000000" w:rsidRDefault="008C6EA1">
      <w:pPr>
        <w:pStyle w:val="Ttulo1"/>
        <w:spacing w:before="0"/>
      </w:pPr>
      <w:bookmarkStart w:id="48" w:name="__RefHeading__78_1567047773"/>
      <w:bookmarkStart w:id="49" w:name="__RefHeading__53_725448908"/>
      <w:bookmarkEnd w:id="48"/>
      <w:bookmarkEnd w:id="49"/>
      <w:r>
        <w:rPr>
          <w:rFonts w:ascii="Times New Roman" w:hAnsi="Times New Roman"/>
          <w:b w:val="0"/>
          <w:bCs w:val="0"/>
        </w:rPr>
        <w:lastRenderedPageBreak/>
        <w:t xml:space="preserve">                                              </w:t>
      </w:r>
      <w:r>
        <w:rPr>
          <w:rFonts w:ascii="Arial" w:eastAsia="Calibri" w:hAnsi="Arial" w:cs="Arial"/>
          <w:sz w:val="24"/>
          <w:szCs w:val="24"/>
        </w:rPr>
        <w:t>ANEXO BRAVO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FFFFFF"/>
          <w:sz w:val="24"/>
          <w:szCs w:val="24"/>
        </w:rPr>
        <w:t xml:space="preserve"> "FICHA DE IDENTIFICACIÓN DEL OFERENTE  </w:t>
      </w:r>
      <w:r>
        <w:rPr>
          <w:rFonts w:ascii="Arial" w:hAnsi="Arial" w:cs="Arial"/>
          <w:color w:val="FFFFFF"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2526"/>
        <w:gridCol w:w="602"/>
        <w:gridCol w:w="302"/>
        <w:gridCol w:w="904"/>
        <w:gridCol w:w="300"/>
        <w:gridCol w:w="1658"/>
        <w:gridCol w:w="303"/>
        <w:gridCol w:w="3067"/>
      </w:tblGrid>
      <w:tr w:rsidR="00000000">
        <w:trPr>
          <w:trHeight w:val="538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pStyle w:val="Ttulo1"/>
              <w:jc w:val="center"/>
            </w:pPr>
            <w:bookmarkStart w:id="50" w:name="__RefHeading__80_1567047773"/>
            <w:bookmarkStart w:id="51" w:name="__RefHeading__55_725448908"/>
            <w:bookmarkEnd w:id="50"/>
            <w:bookmarkEnd w:id="51"/>
            <w:r>
              <w:rPr>
                <w:rFonts w:eastAsia="Arial"/>
              </w:rPr>
              <w:t>Formulario de Identificación del Oferente</w:t>
            </w:r>
          </w:p>
        </w:tc>
      </w:tr>
      <w:tr w:rsidR="00000000">
        <w:trPr>
          <w:trHeight w:val="774"/>
        </w:trPr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PROCEDI</w:t>
            </w:r>
            <w:r>
              <w:rPr>
                <w:b/>
                <w:i/>
                <w:lang w:eastAsia="ar-SA"/>
              </w:rPr>
              <w:t>MIENTO DE COMPRA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LICITACION ABREVIADA Nº XX</w:t>
            </w:r>
          </w:p>
        </w:tc>
      </w:tr>
      <w:tr w:rsidR="00000000">
        <w:trPr>
          <w:trHeight w:val="638"/>
        </w:trPr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RAZON SOCIAL DE LA EMPRESA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both"/>
            </w:pPr>
            <w:r>
              <w:rPr>
                <w:b/>
                <w:i/>
                <w:lang w:eastAsia="ar-SA"/>
              </w:rPr>
              <w:tab/>
            </w:r>
            <w:r>
              <w:rPr>
                <w:b/>
                <w:i/>
                <w:lang w:eastAsia="ar-SA"/>
              </w:rPr>
              <w:tab/>
            </w:r>
          </w:p>
        </w:tc>
      </w:tr>
      <w:tr w:rsidR="00000000">
        <w:trPr>
          <w:trHeight w:val="693"/>
        </w:trPr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NOMBRE COMERCIAL DE LA EMPRESA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397"/>
        </w:trPr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R.U.T: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298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DOMICILIO Y DEMAS DATOS A EFECTOS DE LA PRESENTE LICITACION:</w:t>
            </w:r>
          </w:p>
        </w:tc>
      </w:tr>
      <w:tr w:rsidR="00000000">
        <w:trPr>
          <w:trHeight w:val="332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center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520"/>
        </w:trPr>
        <w:tc>
          <w:tcPr>
            <w:tcW w:w="4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jc w:val="both"/>
            </w:pPr>
            <w:r>
              <w:rPr>
                <w:b/>
                <w:i/>
                <w:lang w:eastAsia="ar-SA"/>
              </w:rPr>
              <w:t xml:space="preserve">CALLE: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both"/>
            </w:pPr>
            <w:r>
              <w:rPr>
                <w:b/>
                <w:i/>
                <w:lang w:eastAsia="ar-SA"/>
              </w:rPr>
              <w:t xml:space="preserve">Nº 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jc w:val="both"/>
            </w:pPr>
            <w:r>
              <w:rPr>
                <w:b/>
                <w:i/>
                <w:lang w:eastAsia="ar-SA"/>
              </w:rPr>
              <w:t>C.Postal</w:t>
            </w:r>
          </w:p>
        </w:tc>
      </w:tr>
      <w:tr w:rsidR="00000000">
        <w:trPr>
          <w:trHeight w:val="416"/>
        </w:trPr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b/>
                <w:i/>
                <w:lang w:eastAsia="ar-SA"/>
              </w:rPr>
              <w:t>CIUDAD: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b/>
                <w:i/>
                <w:lang w:eastAsia="ar-SA"/>
              </w:rPr>
              <w:t>DEPARTAMENTO</w:t>
            </w:r>
          </w:p>
        </w:tc>
      </w:tr>
      <w:tr w:rsidR="00000000">
        <w:trPr>
          <w:trHeight w:val="35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b/>
                <w:i/>
                <w:lang w:eastAsia="ar-SA"/>
              </w:rPr>
              <w:t>TELEFONOS</w:t>
            </w:r>
          </w:p>
        </w:tc>
        <w:tc>
          <w:tcPr>
            <w:tcW w:w="7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35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b/>
                <w:i/>
                <w:lang w:eastAsia="ar-SA"/>
              </w:rPr>
              <w:t>CEL</w:t>
            </w:r>
          </w:p>
        </w:tc>
        <w:tc>
          <w:tcPr>
            <w:tcW w:w="7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7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b/>
                <w:i/>
                <w:lang w:eastAsia="ar-SA"/>
              </w:rPr>
              <w:t>E-MAIL DE NO</w:t>
            </w:r>
            <w:r>
              <w:rPr>
                <w:b/>
                <w:i/>
                <w:lang w:eastAsia="ar-SA"/>
              </w:rPr>
              <w:t>TIFICACIONES</w:t>
            </w:r>
          </w:p>
        </w:tc>
        <w:tc>
          <w:tcPr>
            <w:tcW w:w="7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485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SOCIOS O INTEGRANTES DEL DIRECTORIO  REGISTRADOS EN EL RUPE</w:t>
            </w:r>
          </w:p>
        </w:tc>
      </w:tr>
      <w:tr w:rsidR="00000000">
        <w:trPr>
          <w:trHeight w:val="275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</w:rPr>
              <w:t>Nombre:</w:t>
            </w:r>
          </w:p>
        </w:tc>
        <w:tc>
          <w:tcPr>
            <w:tcW w:w="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Cargo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center"/>
            </w:pPr>
            <w:r>
              <w:rPr>
                <w:b/>
                <w:i/>
                <w:lang w:eastAsia="ar-SA"/>
              </w:rPr>
              <w:t>Documento</w:t>
            </w:r>
          </w:p>
        </w:tc>
      </w:tr>
      <w:tr w:rsidR="00000000">
        <w:trPr>
          <w:trHeight w:val="353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373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b/>
                <w:i/>
                <w:lang w:eastAsia="ar-SA"/>
              </w:rPr>
            </w:pPr>
          </w:p>
        </w:tc>
      </w:tr>
      <w:tr w:rsidR="00000000">
        <w:trPr>
          <w:trHeight w:val="815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jc w:val="center"/>
            </w:pPr>
            <w:r>
              <w:rPr>
                <w:b/>
                <w:i/>
                <w:sz w:val="22"/>
                <w:lang w:eastAsia="ar-SA"/>
              </w:rPr>
              <w:t>DECLARO ESTAR EN CONDICIONES DE CONTRATAR CON EL ESTADO, ESTAR INSCRIPTO EN EL REGISTRO DE PROVEEDORES DEL ESTADO, SIENDO QUE TODOS LOS DATOS APORT</w:t>
            </w:r>
            <w:r>
              <w:rPr>
                <w:b/>
                <w:i/>
                <w:sz w:val="22"/>
                <w:lang w:eastAsia="ar-SA"/>
              </w:rPr>
              <w:t>ADOS TIENE VALOR DE DECLARACIÓN JURADA:</w:t>
            </w:r>
          </w:p>
        </w:tc>
      </w:tr>
      <w:tr w:rsidR="00000000">
        <w:trPr>
          <w:trHeight w:val="457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both"/>
            </w:pPr>
            <w:r>
              <w:rPr>
                <w:i/>
              </w:rPr>
              <w:t>FIRMA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i/>
              </w:rPr>
            </w:pPr>
          </w:p>
        </w:tc>
      </w:tr>
      <w:tr w:rsidR="00000000">
        <w:trPr>
          <w:trHeight w:val="503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</w:pPr>
            <w:r>
              <w:rPr>
                <w:i/>
              </w:rPr>
              <w:t>ACLARACION DE FIRMA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rPr>
                <w:i/>
              </w:rPr>
            </w:pPr>
          </w:p>
        </w:tc>
      </w:tr>
      <w:tr w:rsidR="00000000">
        <w:trPr>
          <w:trHeight w:val="392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ind w:firstLine="142"/>
              <w:jc w:val="both"/>
            </w:pPr>
            <w:r>
              <w:rPr>
                <w:i/>
              </w:rPr>
              <w:t>Cedula de Identidad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pPr>
              <w:snapToGrid w:val="0"/>
              <w:ind w:firstLine="142"/>
              <w:jc w:val="both"/>
              <w:rPr>
                <w:i/>
              </w:rPr>
            </w:pPr>
          </w:p>
        </w:tc>
      </w:tr>
      <w:tr w:rsidR="00000000">
        <w:trPr>
          <w:trHeight w:val="26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EA1">
            <w:r>
              <w:rPr>
                <w:lang w:eastAsia="ar-SA"/>
              </w:rPr>
              <w:t xml:space="preserve">(El firmante debe aclarar en calidad de que firma, si como propietario, director autorizado por contrato, representante legal autorizado u otro, según registro en </w:t>
            </w:r>
            <w:r>
              <w:rPr>
                <w:lang w:eastAsia="ar-SA"/>
              </w:rPr>
              <w:t>el RUPE)</w:t>
            </w:r>
          </w:p>
        </w:tc>
      </w:tr>
    </w:tbl>
    <w:p w:rsidR="008C6EA1" w:rsidRDefault="008C6EA1"/>
    <w:sectPr w:rsidR="008C6EA1">
      <w:type w:val="continuous"/>
      <w:pgSz w:w="11906" w:h="16838"/>
      <w:pgMar w:top="1531" w:right="1134" w:bottom="567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A1" w:rsidRDefault="008C6EA1">
      <w:pPr>
        <w:spacing w:after="0" w:line="240" w:lineRule="auto"/>
      </w:pPr>
      <w:r>
        <w:separator/>
      </w:r>
    </w:p>
  </w:endnote>
  <w:endnote w:type="continuationSeparator" w:id="1">
    <w:p w:rsidR="008C6EA1" w:rsidRDefault="008C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SC Regular"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EA1">
    <w:pPr>
      <w:pStyle w:val="Piedepgina"/>
      <w:pBdr>
        <w:top w:val="thinThickSmallGap" w:sz="24" w:space="1" w:color="8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Cambria" w:hAnsi="Cambria" w:cs="Cambria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A3A72">
      <w:rPr>
        <w:noProof/>
      </w:rPr>
      <w:t>12</w:t>
    </w:r>
    <w:r>
      <w:fldChar w:fldCharType="end"/>
    </w:r>
  </w:p>
  <w:p w:rsidR="00000000" w:rsidRDefault="008C6EA1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E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A1" w:rsidRDefault="008C6EA1">
      <w:pPr>
        <w:spacing w:after="0" w:line="240" w:lineRule="auto"/>
      </w:pPr>
      <w:r>
        <w:separator/>
      </w:r>
    </w:p>
  </w:footnote>
  <w:footnote w:type="continuationSeparator" w:id="1">
    <w:p w:rsidR="008C6EA1" w:rsidRDefault="008C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3A72">
    <w:pPr>
      <w:pStyle w:val="Encabezado1"/>
      <w:tabs>
        <w:tab w:val="left" w:pos="4300"/>
        <w:tab w:val="center" w:pos="4762"/>
      </w:tabs>
      <w:jc w:val="both"/>
    </w:pPr>
    <w:r>
      <w:rPr>
        <w:noProof/>
        <w:lang w:val="es-UY" w:eastAsia="es-UY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10160</wp:posOffset>
          </wp:positionV>
          <wp:extent cx="930910" cy="568960"/>
          <wp:effectExtent l="1905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27249" t="2217224" r="1527249" b="2217224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68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49605" cy="64452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69" t="-349" r="-369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4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EA1">
      <w:t xml:space="preserve">  </w:t>
    </w:r>
    <w:r w:rsidR="008C6EA1">
      <w:rPr>
        <w:rFonts w:ascii="Arial" w:eastAsia="Calibri" w:hAnsi="Arial" w:cs="Arial"/>
        <w:b/>
        <w:szCs w:val="22"/>
        <w:u w:val="single"/>
      </w:rPr>
      <w:t>LIC</w:t>
    </w:r>
  </w:p>
  <w:p w:rsidR="00000000" w:rsidRDefault="008C6EA1">
    <w:pPr>
      <w:pStyle w:val="Sinespaciado"/>
      <w:spacing w:after="0" w:line="240" w:lineRule="auto"/>
      <w:jc w:val="center"/>
    </w:pPr>
    <w:r>
      <w:rPr>
        <w:rFonts w:ascii="Arial" w:eastAsia="Calibri" w:hAnsi="Arial" w:cs="Arial"/>
        <w:b/>
        <w:sz w:val="28"/>
        <w:szCs w:val="22"/>
        <w:u w:val="single"/>
      </w:rPr>
      <w:t>LICITACIÓN ABREVIADA N°17/202</w:t>
    </w:r>
    <w:r>
      <w:rPr>
        <w:rFonts w:ascii="Arial" w:eastAsia="Calibri" w:hAnsi="Arial" w:cs="Arial"/>
        <w:b/>
        <w:sz w:val="28"/>
        <w:szCs w:val="22"/>
        <w:u w:val="single"/>
      </w:rPr>
      <w:t>2</w:t>
    </w:r>
    <w:r>
      <w:rPr>
        <w:rFonts w:ascii="Arial" w:eastAsia="Calibri" w:hAnsi="Arial" w:cs="Arial"/>
        <w:b/>
        <w:sz w:val="28"/>
        <w:szCs w:val="22"/>
        <w:u w:val="single"/>
      </w:rPr>
      <w:t xml:space="preserve"> </w:t>
    </w:r>
  </w:p>
  <w:p w:rsidR="00000000" w:rsidRDefault="008C6EA1">
    <w:pPr>
      <w:pStyle w:val="Sinespaciado"/>
      <w:spacing w:after="0" w:line="240" w:lineRule="auto"/>
      <w:jc w:val="center"/>
      <w:rPr>
        <w:rFonts w:ascii="Arial" w:eastAsia="Calibri" w:hAnsi="Arial" w:cs="Arial"/>
        <w:b/>
        <w:sz w:val="28"/>
        <w:szCs w:val="22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3A72">
    <w:pPr>
      <w:pStyle w:val="WW-Encabezado"/>
      <w:rPr>
        <w:lang w:val="es-UY" w:eastAsia="es-UY"/>
      </w:rPr>
    </w:pPr>
    <w:r>
      <w:rPr>
        <w:noProof/>
        <w:lang w:val="es-UY" w:eastAsia="es-UY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-127000</wp:posOffset>
          </wp:positionV>
          <wp:extent cx="649605" cy="64960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9" t="-349" r="-369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9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-90805</wp:posOffset>
          </wp:positionV>
          <wp:extent cx="930910" cy="568960"/>
          <wp:effectExtent l="1905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27249" t="2217224" r="1527249" b="2217224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68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.-"/>
      <w:lvlJc w:val="left"/>
      <w:pPr>
        <w:tabs>
          <w:tab w:val="num" w:pos="708"/>
        </w:tabs>
        <w:ind w:left="2148" w:hanging="360"/>
      </w:pPr>
      <w:rPr>
        <w:rFonts w:ascii="Arial Narrow" w:eastAsia="Calibri" w:hAnsi="Arial Narrow" w:cs="Times New Roman"/>
        <w:b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A3A72"/>
    <w:rsid w:val="003A3A72"/>
    <w:rsid w:val="008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 w:val="0"/>
      <w:sz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Calibri" w:hAnsi="Arial Narrow" w:cs="Times New Roman"/>
      <w:b/>
      <w:color w:val="000000"/>
      <w:sz w:val="22"/>
      <w:szCs w:val="22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A"/>
      <w:kern w:val="2"/>
      <w:sz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color w:val="00000A"/>
      <w:kern w:val="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  <w:sz w:val="22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  <w:sz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  <w:b/>
      <w:color w:val="000000"/>
      <w:sz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OpenSymbol"/>
      <w:sz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OpenSymbol"/>
      <w:sz w:val="22"/>
    </w:rPr>
  </w:style>
  <w:style w:type="character" w:customStyle="1" w:styleId="WW8Num23z1">
    <w:name w:val="WW8Num23z1"/>
    <w:rPr>
      <w:rFonts w:ascii="Symbol" w:hAnsi="Symbol" w:cs="OpenSymbol"/>
    </w:rPr>
  </w:style>
  <w:style w:type="character" w:customStyle="1" w:styleId="WW8Num24z0">
    <w:name w:val="WW8Num24z0"/>
    <w:rPr>
      <w:rFonts w:ascii="Arial" w:eastAsia="Calibri" w:hAnsi="Arial" w:cs="Arial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OpenSymbol"/>
      <w:sz w:val="22"/>
      <w:szCs w:val="24"/>
    </w:rPr>
  </w:style>
  <w:style w:type="character" w:customStyle="1" w:styleId="WW8Num27z1">
    <w:name w:val="WW8Num27z1"/>
    <w:rPr>
      <w:rFonts w:ascii="Symbol" w:hAnsi="Symbol" w:cs="OpenSymbol"/>
      <w:sz w:val="24"/>
      <w:szCs w:val="24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color w:val="000000"/>
      <w:sz w:val="22"/>
      <w:lang w:val="es-UY" w:bidi="ar-SA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color w:val="00000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OpenSymbol"/>
      <w:sz w:val="22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  <w:sz w:val="22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xtodegloboCar">
    <w:name w:val="Texto de globo Car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PiedepginaCar1">
    <w:name w:val="Pie de página Car1"/>
    <w:rPr>
      <w:rFonts w:ascii="Times New Roman" w:eastAsia="Times New Roman" w:hAnsi="Times New Roman" w:cs="Times New Roman"/>
      <w:color w:val="00000A"/>
      <w:sz w:val="24"/>
      <w:szCs w:val="24"/>
      <w:lang w:val="es-ES"/>
    </w:rPr>
  </w:style>
  <w:style w:type="character" w:customStyle="1" w:styleId="Fuentedeprrafopredeter6">
    <w:name w:val="Fuente de párrafo predeter.6"/>
  </w:style>
  <w:style w:type="character" w:customStyle="1" w:styleId="ListLabel1">
    <w:name w:val="ListLabel 1"/>
    <w:rPr>
      <w:rFonts w:ascii="Arial" w:hAnsi="Arial" w:cs="Symbol"/>
      <w:b/>
      <w:color w:val="00000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Arial" w:hAnsi="Arial" w:cs="Symbol"/>
      <w:sz w:val="2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Arial" w:hAnsi="Arial" w:cs="Symbol"/>
      <w:sz w:val="22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OpenSymbol"/>
      <w:sz w:val="24"/>
      <w:szCs w:val="24"/>
    </w:rPr>
  </w:style>
  <w:style w:type="character" w:customStyle="1" w:styleId="ListLabel29">
    <w:name w:val="ListLabel 29"/>
    <w:rPr>
      <w:rFonts w:cs="OpenSymbol"/>
      <w:sz w:val="24"/>
      <w:szCs w:val="24"/>
    </w:rPr>
  </w:style>
  <w:style w:type="character" w:customStyle="1" w:styleId="ListLabel30">
    <w:name w:val="ListLabel 30"/>
    <w:rPr>
      <w:rFonts w:cs="OpenSymbol"/>
      <w:sz w:val="24"/>
      <w:szCs w:val="24"/>
    </w:rPr>
  </w:style>
  <w:style w:type="character" w:customStyle="1" w:styleId="ListLabel31">
    <w:name w:val="ListLabel 31"/>
    <w:rPr>
      <w:rFonts w:cs="OpenSymbol"/>
      <w:sz w:val="24"/>
      <w:szCs w:val="24"/>
    </w:rPr>
  </w:style>
  <w:style w:type="character" w:customStyle="1" w:styleId="ListLabel32">
    <w:name w:val="ListLabel 32"/>
    <w:rPr>
      <w:rFonts w:cs="OpenSymbol"/>
      <w:sz w:val="24"/>
      <w:szCs w:val="24"/>
    </w:rPr>
  </w:style>
  <w:style w:type="character" w:customStyle="1" w:styleId="ListLabel33">
    <w:name w:val="ListLabel 33"/>
    <w:rPr>
      <w:rFonts w:cs="OpenSymbol"/>
      <w:sz w:val="24"/>
      <w:szCs w:val="24"/>
    </w:rPr>
  </w:style>
  <w:style w:type="character" w:customStyle="1" w:styleId="ListLabel34">
    <w:name w:val="ListLabel 34"/>
    <w:rPr>
      <w:rFonts w:cs="OpenSymbol"/>
      <w:sz w:val="24"/>
      <w:szCs w:val="24"/>
    </w:rPr>
  </w:style>
  <w:style w:type="character" w:customStyle="1" w:styleId="ListLabel35">
    <w:name w:val="ListLabel 35"/>
    <w:rPr>
      <w:rFonts w:cs="OpenSymbol"/>
      <w:sz w:val="24"/>
      <w:szCs w:val="24"/>
    </w:rPr>
  </w:style>
  <w:style w:type="character" w:customStyle="1" w:styleId="ListLabel36">
    <w:name w:val="ListLabel 36"/>
    <w:rPr>
      <w:rFonts w:cs="OpenSymbol"/>
      <w:sz w:val="24"/>
      <w:szCs w:val="24"/>
    </w:rPr>
  </w:style>
  <w:style w:type="character" w:customStyle="1" w:styleId="ListLabel37">
    <w:name w:val="ListLabel 37"/>
    <w:rPr>
      <w:rFonts w:cs="Symbol"/>
      <w:color w:val="00000A"/>
      <w:kern w:val="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  <w:color w:val="00000A"/>
      <w:kern w:val="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color w:val="00000A"/>
      <w:kern w:val="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hAnsi="Times New Roman"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Times New Roman" w:hAnsi="Times New Roman"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Symbol"/>
      <w:b/>
      <w:color w:val="000000"/>
      <w:lang w:val="es-UY" w:bidi="ar-SA"/>
    </w:rPr>
  </w:style>
  <w:style w:type="character" w:customStyle="1" w:styleId="ListLabel65">
    <w:name w:val="ListLabel 65"/>
    <w:rPr>
      <w:rFonts w:cs="Symbol"/>
      <w:color w:val="000000"/>
      <w:lang w:val="es-UY" w:bidi="ar-SA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  <w:color w:val="000000"/>
      <w:lang w:val="es-UY" w:bidi="ar-SA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hAnsi="Times New Roman"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ascii="Times New Roman" w:hAnsi="Times New Roman"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  <w:b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  <w:b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  <w:b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Wingdings"/>
    </w:rPr>
  </w:style>
  <w:style w:type="character" w:customStyle="1" w:styleId="ListLabel155">
    <w:name w:val="ListLabel 155"/>
    <w:rPr>
      <w:rFonts w:cs="OpenSymbol"/>
      <w:b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ascii="Arial Narrow" w:eastAsia="Times New Roman" w:hAnsi="Arial Narrow" w:cs="Times New Roman"/>
      <w:b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ascii="Arial" w:hAnsi="Arial" w:cs="Symbol"/>
      <w:b/>
      <w:color w:val="000000"/>
      <w:sz w:val="22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ascii="Arial" w:hAnsi="Arial" w:cs="Symbol"/>
      <w:sz w:val="22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ascii="Arial" w:hAnsi="Arial" w:cs="Symbol"/>
      <w:sz w:val="22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Courier New"/>
    </w:rPr>
  </w:style>
  <w:style w:type="character" w:customStyle="1" w:styleId="ListLabel218">
    <w:name w:val="ListLabel 218"/>
    <w:rPr>
      <w:rFonts w:cs="Wingdings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OpenSymbol"/>
      <w:sz w:val="24"/>
      <w:szCs w:val="24"/>
    </w:rPr>
  </w:style>
  <w:style w:type="character" w:customStyle="1" w:styleId="ListLabel223">
    <w:name w:val="ListLabel 223"/>
    <w:rPr>
      <w:rFonts w:cs="OpenSymbol"/>
      <w:sz w:val="24"/>
      <w:szCs w:val="24"/>
    </w:rPr>
  </w:style>
  <w:style w:type="character" w:customStyle="1" w:styleId="ListLabel224">
    <w:name w:val="ListLabel 224"/>
    <w:rPr>
      <w:rFonts w:cs="OpenSymbol"/>
      <w:sz w:val="24"/>
      <w:szCs w:val="24"/>
    </w:rPr>
  </w:style>
  <w:style w:type="character" w:customStyle="1" w:styleId="ListLabel225">
    <w:name w:val="ListLabel 225"/>
    <w:rPr>
      <w:rFonts w:cs="OpenSymbol"/>
      <w:sz w:val="24"/>
      <w:szCs w:val="24"/>
    </w:rPr>
  </w:style>
  <w:style w:type="character" w:customStyle="1" w:styleId="ListLabel226">
    <w:name w:val="ListLabel 226"/>
    <w:rPr>
      <w:rFonts w:cs="OpenSymbol"/>
      <w:sz w:val="24"/>
      <w:szCs w:val="24"/>
    </w:rPr>
  </w:style>
  <w:style w:type="character" w:customStyle="1" w:styleId="ListLabel227">
    <w:name w:val="ListLabel 227"/>
    <w:rPr>
      <w:rFonts w:cs="OpenSymbol"/>
      <w:sz w:val="24"/>
      <w:szCs w:val="24"/>
    </w:rPr>
  </w:style>
  <w:style w:type="character" w:customStyle="1" w:styleId="ListLabel228">
    <w:name w:val="ListLabel 228"/>
    <w:rPr>
      <w:rFonts w:cs="OpenSymbol"/>
      <w:sz w:val="24"/>
      <w:szCs w:val="24"/>
    </w:rPr>
  </w:style>
  <w:style w:type="character" w:customStyle="1" w:styleId="ListLabel229">
    <w:name w:val="ListLabel 229"/>
    <w:rPr>
      <w:rFonts w:cs="OpenSymbol"/>
      <w:sz w:val="24"/>
      <w:szCs w:val="24"/>
    </w:rPr>
  </w:style>
  <w:style w:type="character" w:customStyle="1" w:styleId="ListLabel230">
    <w:name w:val="ListLabel 230"/>
    <w:rPr>
      <w:rFonts w:cs="OpenSymbol"/>
      <w:sz w:val="24"/>
      <w:szCs w:val="24"/>
    </w:rPr>
  </w:style>
  <w:style w:type="character" w:customStyle="1" w:styleId="ListLabel231">
    <w:name w:val="ListLabel 231"/>
    <w:rPr>
      <w:rFonts w:cs="Symbol"/>
      <w:color w:val="00000A"/>
      <w:kern w:val="2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  <w:color w:val="00000A"/>
      <w:kern w:val="2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cs="Symbol"/>
      <w:color w:val="00000A"/>
      <w:kern w:val="2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40">
    <w:name w:val="ListLabel 240"/>
    <w:rPr>
      <w:rFonts w:ascii="Times New Roman" w:hAnsi="Times New Roman"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ascii="Times New Roman" w:hAnsi="Times New Roman"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Symbol"/>
      <w:b/>
      <w:color w:val="000000"/>
      <w:lang w:val="es-UY" w:bidi="ar-SA"/>
    </w:rPr>
  </w:style>
  <w:style w:type="character" w:customStyle="1" w:styleId="ListLabel259">
    <w:name w:val="ListLabel 259"/>
    <w:rPr>
      <w:rFonts w:cs="Symbol"/>
      <w:color w:val="000000"/>
      <w:lang w:val="es-UY" w:bidi="ar-SA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  <w:color w:val="000000"/>
      <w:lang w:val="es-UY" w:bidi="ar-SA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ascii="Times New Roman" w:hAnsi="Times New Roman"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ascii="Times New Roman" w:hAnsi="Times New Roman"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  <w:b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  <w:b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  <w:b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OpenSymbol"/>
      <w:b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cs="OpenSymbol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ascii="Arial Narrow" w:hAnsi="Arial Narrow" w:cs="Times New Roman"/>
      <w:b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Courier New"/>
    </w:rPr>
  </w:style>
  <w:style w:type="character" w:customStyle="1" w:styleId="ListLabel393">
    <w:name w:val="ListLabel 393"/>
    <w:rPr>
      <w:rFonts w:cs="Wingdings"/>
    </w:rPr>
  </w:style>
  <w:style w:type="character" w:customStyle="1" w:styleId="ListLabel394">
    <w:name w:val="ListLabel 394"/>
    <w:rPr>
      <w:rFonts w:ascii="Arial" w:hAnsi="Arial" w:cs="Symbol"/>
      <w:b/>
      <w:color w:val="000000"/>
      <w:sz w:val="22"/>
    </w:rPr>
  </w:style>
  <w:style w:type="character" w:customStyle="1" w:styleId="ListLabel395">
    <w:name w:val="ListLabel 395"/>
    <w:rPr>
      <w:rFonts w:cs="Courier New"/>
    </w:rPr>
  </w:style>
  <w:style w:type="character" w:customStyle="1" w:styleId="ListLabel396">
    <w:name w:val="ListLabel 396"/>
    <w:rPr>
      <w:rFonts w:cs="Wingdings"/>
    </w:rPr>
  </w:style>
  <w:style w:type="character" w:customStyle="1" w:styleId="ListLabel397">
    <w:name w:val="ListLabel 397"/>
    <w:rPr>
      <w:rFonts w:cs="Symbol"/>
    </w:rPr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  <w:rPr>
      <w:rFonts w:cs="Wingdings"/>
    </w:rPr>
  </w:style>
  <w:style w:type="character" w:customStyle="1" w:styleId="ListLabel403">
    <w:name w:val="ListLabel 403"/>
    <w:rPr>
      <w:rFonts w:ascii="Arial" w:hAnsi="Arial" w:cs="Symbol"/>
      <w:sz w:val="22"/>
    </w:rPr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  <w:rPr>
      <w:rFonts w:cs="Wingdings"/>
    </w:rPr>
  </w:style>
  <w:style w:type="character" w:customStyle="1" w:styleId="ListLabel406">
    <w:name w:val="ListLabel 406"/>
    <w:rPr>
      <w:rFonts w:cs="Symbol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ascii="Arial" w:hAnsi="Arial" w:cs="Symbol"/>
      <w:sz w:val="22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Courier New"/>
    </w:rPr>
  </w:style>
  <w:style w:type="character" w:customStyle="1" w:styleId="ListLabel417">
    <w:name w:val="ListLabel 417"/>
    <w:rPr>
      <w:rFonts w:cs="Wingdings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Courier New"/>
    </w:rPr>
  </w:style>
  <w:style w:type="character" w:customStyle="1" w:styleId="ListLabel420">
    <w:name w:val="ListLabel 420"/>
    <w:rPr>
      <w:rFonts w:cs="Wingdings"/>
    </w:rPr>
  </w:style>
  <w:style w:type="character" w:customStyle="1" w:styleId="ListLabel421">
    <w:name w:val="ListLabel 421"/>
    <w:rPr>
      <w:rFonts w:ascii="Arial" w:hAnsi="Arial" w:cs="OpenSymbol"/>
      <w:sz w:val="22"/>
      <w:szCs w:val="24"/>
    </w:rPr>
  </w:style>
  <w:style w:type="character" w:customStyle="1" w:styleId="ListLabel422">
    <w:name w:val="ListLabel 422"/>
    <w:rPr>
      <w:rFonts w:cs="OpenSymbol"/>
      <w:sz w:val="24"/>
      <w:szCs w:val="24"/>
    </w:rPr>
  </w:style>
  <w:style w:type="character" w:customStyle="1" w:styleId="ListLabel423">
    <w:name w:val="ListLabel 423"/>
    <w:rPr>
      <w:rFonts w:cs="OpenSymbol"/>
      <w:sz w:val="24"/>
      <w:szCs w:val="24"/>
    </w:rPr>
  </w:style>
  <w:style w:type="character" w:customStyle="1" w:styleId="ListLabel424">
    <w:name w:val="ListLabel 424"/>
    <w:rPr>
      <w:rFonts w:cs="OpenSymbol"/>
      <w:sz w:val="24"/>
      <w:szCs w:val="24"/>
    </w:rPr>
  </w:style>
  <w:style w:type="character" w:customStyle="1" w:styleId="ListLabel425">
    <w:name w:val="ListLabel 425"/>
    <w:rPr>
      <w:rFonts w:cs="OpenSymbol"/>
      <w:sz w:val="24"/>
      <w:szCs w:val="24"/>
    </w:rPr>
  </w:style>
  <w:style w:type="character" w:customStyle="1" w:styleId="ListLabel426">
    <w:name w:val="ListLabel 426"/>
    <w:rPr>
      <w:rFonts w:cs="OpenSymbol"/>
      <w:sz w:val="24"/>
      <w:szCs w:val="24"/>
    </w:rPr>
  </w:style>
  <w:style w:type="character" w:customStyle="1" w:styleId="ListLabel427">
    <w:name w:val="ListLabel 427"/>
    <w:rPr>
      <w:rFonts w:cs="OpenSymbol"/>
      <w:sz w:val="24"/>
      <w:szCs w:val="24"/>
    </w:rPr>
  </w:style>
  <w:style w:type="character" w:customStyle="1" w:styleId="ListLabel428">
    <w:name w:val="ListLabel 428"/>
    <w:rPr>
      <w:rFonts w:cs="OpenSymbol"/>
      <w:sz w:val="24"/>
      <w:szCs w:val="24"/>
    </w:rPr>
  </w:style>
  <w:style w:type="character" w:customStyle="1" w:styleId="ListLabel429">
    <w:name w:val="ListLabel 429"/>
    <w:rPr>
      <w:rFonts w:cs="OpenSymbol"/>
      <w:sz w:val="24"/>
      <w:szCs w:val="24"/>
    </w:rPr>
  </w:style>
  <w:style w:type="character" w:customStyle="1" w:styleId="ListLabel430">
    <w:name w:val="ListLabel 430"/>
    <w:rPr>
      <w:rFonts w:ascii="Arial" w:hAnsi="Arial" w:cs="Symbol"/>
      <w:color w:val="00000A"/>
      <w:kern w:val="2"/>
      <w:sz w:val="22"/>
    </w:rPr>
  </w:style>
  <w:style w:type="character" w:customStyle="1" w:styleId="ListLabel431">
    <w:name w:val="ListLabel 431"/>
    <w:rPr>
      <w:rFonts w:cs="Courier New"/>
    </w:rPr>
  </w:style>
  <w:style w:type="character" w:customStyle="1" w:styleId="ListLabel432">
    <w:name w:val="ListLabel 432"/>
    <w:rPr>
      <w:rFonts w:cs="Wingdings"/>
    </w:rPr>
  </w:style>
  <w:style w:type="character" w:customStyle="1" w:styleId="ListLabel433">
    <w:name w:val="ListLabel 433"/>
    <w:rPr>
      <w:rFonts w:cs="Symbol"/>
      <w:color w:val="00000A"/>
      <w:kern w:val="2"/>
    </w:rPr>
  </w:style>
  <w:style w:type="character" w:customStyle="1" w:styleId="ListLabel434">
    <w:name w:val="ListLabel 434"/>
    <w:rPr>
      <w:rFonts w:cs="Courier New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Symbol"/>
      <w:color w:val="00000A"/>
      <w:kern w:val="2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ascii="Times New Roman" w:hAnsi="Times New Roman" w:cs="OpenSymbol"/>
      <w:sz w:val="22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OpenSymbol"/>
    </w:rPr>
  </w:style>
  <w:style w:type="character" w:customStyle="1" w:styleId="ListLabel442">
    <w:name w:val="ListLabel 442"/>
    <w:rPr>
      <w:rFonts w:cs="OpenSymbol"/>
    </w:rPr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cs="OpenSymbol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cs="OpenSymbol"/>
    </w:rPr>
  </w:style>
  <w:style w:type="character" w:customStyle="1" w:styleId="ListLabel447">
    <w:name w:val="ListLabel 447"/>
    <w:rPr>
      <w:rFonts w:cs="OpenSymbol"/>
    </w:rPr>
  </w:style>
  <w:style w:type="character" w:customStyle="1" w:styleId="ListLabel448">
    <w:name w:val="ListLabel 448"/>
    <w:rPr>
      <w:rFonts w:ascii="Times New Roman" w:hAnsi="Times New Roman"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  <w:rPr>
      <w:rFonts w:cs="OpenSymbol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ascii="Arial" w:hAnsi="Arial" w:cs="Symbol"/>
      <w:b/>
      <w:color w:val="000000"/>
      <w:sz w:val="22"/>
      <w:lang w:val="es-UY" w:bidi="ar-SA"/>
    </w:rPr>
  </w:style>
  <w:style w:type="character" w:customStyle="1" w:styleId="ListLabel458">
    <w:name w:val="ListLabel 458"/>
    <w:rPr>
      <w:rFonts w:cs="Symbol"/>
      <w:color w:val="000000"/>
      <w:lang w:val="es-UY" w:bidi="ar-SA"/>
    </w:rPr>
  </w:style>
  <w:style w:type="character" w:customStyle="1" w:styleId="ListLabel459">
    <w:name w:val="ListLabel 459"/>
    <w:rPr>
      <w:rFonts w:cs="Courier New"/>
    </w:rPr>
  </w:style>
  <w:style w:type="character" w:customStyle="1" w:styleId="ListLabel460">
    <w:name w:val="ListLabel 460"/>
    <w:rPr>
      <w:rFonts w:cs="Wingdings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ascii="Arial" w:hAnsi="Arial" w:cs="Symbol"/>
      <w:color w:val="000000"/>
      <w:sz w:val="22"/>
      <w:lang w:val="es-UY" w:bidi="ar-SA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cs="Courier New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cs="Courier New"/>
    </w:rPr>
  </w:style>
  <w:style w:type="character" w:customStyle="1" w:styleId="ListLabel475">
    <w:name w:val="ListLabel 475"/>
    <w:rPr>
      <w:rFonts w:cs="Wingdings"/>
    </w:rPr>
  </w:style>
  <w:style w:type="character" w:customStyle="1" w:styleId="ListLabel476">
    <w:name w:val="ListLabel 476"/>
    <w:rPr>
      <w:rFonts w:ascii="Arial" w:hAnsi="Arial" w:cs="OpenSymbol"/>
      <w:sz w:val="22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cs="OpenSymbol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ascii="Arial" w:hAnsi="Arial" w:cs="OpenSymbol"/>
      <w:sz w:val="22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  <w:rPr>
      <w:rFonts w:cs="OpenSymbol"/>
    </w:rPr>
  </w:style>
  <w:style w:type="character" w:customStyle="1" w:styleId="ListLabel488">
    <w:name w:val="ListLabel 488"/>
    <w:rPr>
      <w:rFonts w:cs="OpenSymbol"/>
    </w:rPr>
  </w:style>
  <w:style w:type="character" w:customStyle="1" w:styleId="ListLabel489">
    <w:name w:val="ListLabel 489"/>
    <w:rPr>
      <w:rFonts w:cs="OpenSymbol"/>
    </w:rPr>
  </w:style>
  <w:style w:type="character" w:customStyle="1" w:styleId="ListLabel490">
    <w:name w:val="ListLabel 490"/>
    <w:rPr>
      <w:rFonts w:cs="OpenSymbol"/>
    </w:rPr>
  </w:style>
  <w:style w:type="character" w:customStyle="1" w:styleId="ListLabel491">
    <w:name w:val="ListLabel 491"/>
    <w:rPr>
      <w:rFonts w:cs="OpenSymbol"/>
    </w:rPr>
  </w:style>
  <w:style w:type="character" w:customStyle="1" w:styleId="ListLabel492">
    <w:name w:val="ListLabel 492"/>
    <w:rPr>
      <w:rFonts w:cs="OpenSymbol"/>
    </w:rPr>
  </w:style>
  <w:style w:type="character" w:customStyle="1" w:styleId="ListLabel493">
    <w:name w:val="ListLabel 493"/>
    <w:rPr>
      <w:rFonts w:cs="OpenSymbol"/>
    </w:rPr>
  </w:style>
  <w:style w:type="character" w:customStyle="1" w:styleId="ListLabel494">
    <w:name w:val="ListLabel 494"/>
    <w:rPr>
      <w:rFonts w:ascii="Times New Roman" w:hAnsi="Times New Roman"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  <w:b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cs="Symbol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  <w:b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cs="Symbol"/>
    </w:rPr>
  </w:style>
  <w:style w:type="character" w:customStyle="1" w:styleId="ListLabel516">
    <w:name w:val="ListLabel 516"/>
    <w:rPr>
      <w:rFonts w:cs="Courier New"/>
    </w:rPr>
  </w:style>
  <w:style w:type="character" w:customStyle="1" w:styleId="ListLabel517">
    <w:name w:val="ListLabel 517"/>
    <w:rPr>
      <w:rFonts w:cs="Wingdings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Courier New"/>
    </w:rPr>
  </w:style>
  <w:style w:type="character" w:customStyle="1" w:styleId="ListLabel520">
    <w:name w:val="ListLabel 520"/>
    <w:rPr>
      <w:rFonts w:cs="Wingdings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Courier New"/>
    </w:rPr>
  </w:style>
  <w:style w:type="character" w:customStyle="1" w:styleId="ListLabel523">
    <w:name w:val="ListLabel 523"/>
    <w:rPr>
      <w:rFonts w:cs="Wingdings"/>
    </w:rPr>
  </w:style>
  <w:style w:type="character" w:customStyle="1" w:styleId="ListLabel524">
    <w:name w:val="ListLabel 524"/>
    <w:rPr>
      <w:rFonts w:cs="Symbol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  <w:b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cs="Symbol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cs="Symbol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ascii="Arial" w:hAnsi="Arial" w:cs="OpenSymbol"/>
      <w:b/>
      <w:sz w:val="22"/>
    </w:rPr>
  </w:style>
  <w:style w:type="character" w:customStyle="1" w:styleId="ListLabel549">
    <w:name w:val="ListLabel 549"/>
    <w:rPr>
      <w:rFonts w:cs="Open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Open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ascii="Arial" w:hAnsi="Arial" w:cs="OpenSymbol"/>
      <w:sz w:val="22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  <w:rPr>
      <w:rFonts w:cs="OpenSymbol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cs="OpenSymbol"/>
    </w:rPr>
  </w:style>
  <w:style w:type="character" w:customStyle="1" w:styleId="ListLabel564">
    <w:name w:val="ListLabel 564"/>
    <w:rPr>
      <w:rFonts w:cs="OpenSymbol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ascii="Arial" w:hAnsi="Arial" w:cs="OpenSymbol"/>
      <w:sz w:val="22"/>
    </w:rPr>
  </w:style>
  <w:style w:type="character" w:customStyle="1" w:styleId="ListLabel567">
    <w:name w:val="ListLabel 567"/>
    <w:rPr>
      <w:rFonts w:cs="OpenSymbol"/>
    </w:rPr>
  </w:style>
  <w:style w:type="character" w:customStyle="1" w:styleId="ListLabel568">
    <w:name w:val="ListLabel 568"/>
    <w:rPr>
      <w:rFonts w:cs="OpenSymbol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cs="OpenSymbol"/>
    </w:rPr>
  </w:style>
  <w:style w:type="character" w:customStyle="1" w:styleId="ListLabel573">
    <w:name w:val="ListLabel 573"/>
    <w:rPr>
      <w:rFonts w:cs="OpenSymbol"/>
    </w:rPr>
  </w:style>
  <w:style w:type="character" w:customStyle="1" w:styleId="ListLabel574">
    <w:name w:val="ListLabel 574"/>
    <w:rPr>
      <w:rFonts w:cs="OpenSymbol"/>
    </w:rPr>
  </w:style>
  <w:style w:type="character" w:customStyle="1" w:styleId="ListLabel575">
    <w:name w:val="ListLabel 575"/>
    <w:rPr>
      <w:rFonts w:ascii="Arial" w:hAnsi="Arial" w:cs="OpenSymbol"/>
      <w:sz w:val="22"/>
    </w:rPr>
  </w:style>
  <w:style w:type="character" w:customStyle="1" w:styleId="ListLabel576">
    <w:name w:val="ListLabel 576"/>
    <w:rPr>
      <w:rFonts w:cs="OpenSymbol"/>
    </w:rPr>
  </w:style>
  <w:style w:type="character" w:customStyle="1" w:styleId="ListLabel577">
    <w:name w:val="ListLabel 577"/>
    <w:rPr>
      <w:rFonts w:cs="OpenSymbol"/>
    </w:rPr>
  </w:style>
  <w:style w:type="character" w:customStyle="1" w:styleId="ListLabel578">
    <w:name w:val="ListLabel 578"/>
    <w:rPr>
      <w:rFonts w:cs="OpenSymbol"/>
    </w:rPr>
  </w:style>
  <w:style w:type="character" w:customStyle="1" w:styleId="ListLabel579">
    <w:name w:val="ListLabel 579"/>
    <w:rPr>
      <w:rFonts w:cs="OpenSymbol"/>
    </w:rPr>
  </w:style>
  <w:style w:type="character" w:customStyle="1" w:styleId="ListLabel580">
    <w:name w:val="ListLabel 580"/>
    <w:rPr>
      <w:rFonts w:cs="OpenSymbol"/>
    </w:rPr>
  </w:style>
  <w:style w:type="character" w:customStyle="1" w:styleId="ListLabel581">
    <w:name w:val="ListLabel 581"/>
    <w:rPr>
      <w:rFonts w:cs="OpenSymbol"/>
    </w:rPr>
  </w:style>
  <w:style w:type="character" w:customStyle="1" w:styleId="ListLabel582">
    <w:name w:val="ListLabel 582"/>
    <w:rPr>
      <w:rFonts w:cs="OpenSymbol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Times New Roman"/>
      <w:b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iceouttxt20">
    <w:name w:val="iceouttxt20"/>
    <w:rPr>
      <w:rFonts w:ascii="Arial" w:hAnsi="Arial" w:cs="Arial"/>
      <w:color w:val="000000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PiedepginaCar2">
    <w:name w:val="Pie de página Car2"/>
    <w:rPr>
      <w:rFonts w:ascii="Times New Roman" w:eastAsia="Times New Roman" w:hAnsi="Times New Roman" w:cs="Times New Roman"/>
      <w:color w:val="00000A"/>
      <w:sz w:val="24"/>
      <w:szCs w:val="24"/>
      <w:lang w:val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00000A"/>
      <w:kern w:val="2"/>
      <w:sz w:val="32"/>
      <w:szCs w:val="32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Enlacedelndice">
    <w:name w:val="Enlace del índice"/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oindependiente1">
    <w:name w:val="Texto independiente1"/>
    <w:basedOn w:val="Normal"/>
    <w:pPr>
      <w:spacing w:after="140"/>
    </w:p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beceraypie">
    <w:name w:val="Cabecera y pie"/>
    <w:basedOn w:val="Normal"/>
  </w:style>
  <w:style w:type="paragraph" w:customStyle="1" w:styleId="Encabezado1">
    <w:name w:val="Encabezado1"/>
    <w:basedOn w:val="Normal"/>
    <w:pPr>
      <w:spacing w:after="0"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Piedepgina1">
    <w:name w:val="Pie de página1"/>
    <w:basedOn w:val="Normal"/>
    <w:pPr>
      <w:spacing w:after="0"/>
    </w:p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styleId="Sinespaciado">
    <w:name w:val="No Spacing"/>
    <w:qFormat/>
    <w:pPr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</w:style>
  <w:style w:type="paragraph" w:customStyle="1" w:styleId="Piedepgina2">
    <w:name w:val="Pie de página2"/>
    <w:basedOn w:val="Normal"/>
    <w:pPr>
      <w:spacing w:after="0" w:line="240" w:lineRule="auto"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Mangal"/>
      <w:color w:val="00000A"/>
      <w:kern w:val="2"/>
      <w:sz w:val="24"/>
      <w:szCs w:val="24"/>
      <w:lang w:val="es-ES" w:eastAsia="zh-CN"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kern w:val="2"/>
      <w:lang w:val="es-US"/>
    </w:rPr>
  </w:style>
  <w:style w:type="paragraph" w:customStyle="1" w:styleId="WW-Encabezado">
    <w:name w:val="WW-Encabezado"/>
    <w:basedOn w:val="Normal"/>
  </w:style>
  <w:style w:type="paragraph" w:styleId="Piedepgina">
    <w:name w:val="footer"/>
    <w:basedOn w:val="Normal"/>
    <w:pPr>
      <w:spacing w:after="0" w:line="240" w:lineRule="auto"/>
    </w:pPr>
  </w:style>
  <w:style w:type="paragraph" w:styleId="TtulodeTDC">
    <w:name w:val="TOC Heading"/>
    <w:basedOn w:val="Ttulo1"/>
    <w:next w:val="Normal"/>
    <w:qFormat/>
    <w:pPr>
      <w:keepLines/>
      <w:numPr>
        <w:numId w:val="0"/>
      </w:numPr>
      <w:suppressAutoHyphens w:val="0"/>
      <w:spacing w:before="480" w:after="0"/>
    </w:pPr>
    <w:rPr>
      <w:color w:val="365F91"/>
      <w:sz w:val="28"/>
      <w:szCs w:val="28"/>
    </w:rPr>
  </w:style>
  <w:style w:type="paragraph" w:styleId="TDC1">
    <w:name w:val="toc 1"/>
    <w:basedOn w:val="Normal"/>
    <w:next w:val="Normal"/>
  </w:style>
  <w:style w:type="paragraph" w:styleId="TDC2">
    <w:name w:val="toc 2"/>
    <w:basedOn w:val="ndice"/>
    <w:pPr>
      <w:tabs>
        <w:tab w:val="right" w:leader="dot" w:pos="9355"/>
      </w:tabs>
      <w:ind w:left="283"/>
    </w:p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DC4">
    <w:name w:val="toc 4"/>
    <w:basedOn w:val="ndice"/>
    <w:pPr>
      <w:tabs>
        <w:tab w:val="right" w:leader="dot" w:pos="8789"/>
      </w:tabs>
      <w:ind w:left="849"/>
    </w:pPr>
  </w:style>
  <w:style w:type="paragraph" w:styleId="TDC5">
    <w:name w:val="toc 5"/>
    <w:basedOn w:val="ndice"/>
    <w:pPr>
      <w:tabs>
        <w:tab w:val="right" w:leader="dot" w:pos="8506"/>
      </w:tabs>
      <w:ind w:left="1132"/>
    </w:pPr>
  </w:style>
  <w:style w:type="paragraph" w:styleId="TDC6">
    <w:name w:val="toc 6"/>
    <w:basedOn w:val="ndice"/>
    <w:pPr>
      <w:tabs>
        <w:tab w:val="right" w:leader="dot" w:pos="8223"/>
      </w:tabs>
      <w:ind w:left="1415"/>
    </w:pPr>
  </w:style>
  <w:style w:type="paragraph" w:styleId="TDC7">
    <w:name w:val="toc 7"/>
    <w:basedOn w:val="ndice"/>
    <w:pPr>
      <w:tabs>
        <w:tab w:val="right" w:leader="dot" w:pos="7940"/>
      </w:tabs>
      <w:ind w:left="1698"/>
    </w:pPr>
  </w:style>
  <w:style w:type="paragraph" w:styleId="TDC8">
    <w:name w:val="toc 8"/>
    <w:basedOn w:val="ndice"/>
    <w:pPr>
      <w:tabs>
        <w:tab w:val="right" w:leader="dot" w:pos="7657"/>
      </w:tabs>
      <w:ind w:left="1981"/>
    </w:pPr>
  </w:style>
  <w:style w:type="paragraph" w:styleId="TDC9">
    <w:name w:val="toc 9"/>
    <w:basedOn w:val="ndice"/>
    <w:pPr>
      <w:tabs>
        <w:tab w:val="right" w:leader="dot" w:pos="7374"/>
      </w:tabs>
      <w:ind w:left="2264"/>
    </w:pPr>
  </w:style>
  <w:style w:type="paragraph" w:customStyle="1" w:styleId="ndice10">
    <w:name w:val="Índice 10"/>
    <w:basedOn w:val="ndice"/>
    <w:pPr>
      <w:tabs>
        <w:tab w:val="right" w:leader="dot" w:pos="7091"/>
      </w:tabs>
      <w:ind w:left="254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color w:val="00000A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mprasestatales.gub.u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3270</Words>
  <Characters>17989</Characters>
  <Application>Microsoft Office Word</Application>
  <DocSecurity>0</DocSecurity>
  <Lines>149</Lines>
  <Paragraphs>42</Paragraphs>
  <ScaleCrop>false</ScaleCrop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2021-09-03T16:57:00Z</cp:lastPrinted>
  <dcterms:created xsi:type="dcterms:W3CDTF">2022-01-26T12:10:00Z</dcterms:created>
  <dcterms:modified xsi:type="dcterms:W3CDTF">2022-01-26T12:10:00Z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