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FD17BF">
      <w:pPr>
        <w:jc w:val="center"/>
      </w:pPr>
      <w:r>
        <w:rPr>
          <w:rFonts w:ascii="Arial Narrow" w:hAnsi="Arial Narrow" w:cs="Arial Narrow"/>
          <w:b/>
          <w:bCs/>
          <w:spacing w:val="-3"/>
          <w:sz w:val="28"/>
          <w:szCs w:val="28"/>
        </w:rPr>
        <w:t xml:space="preserve">Licitación Abreviada </w:t>
      </w:r>
      <w:r w:rsidR="00C8644B">
        <w:rPr>
          <w:rFonts w:ascii="Arial Narrow" w:hAnsi="Arial Narrow" w:cs="Arial Narrow"/>
          <w:b/>
          <w:bCs/>
          <w:spacing w:val="-3"/>
          <w:sz w:val="28"/>
          <w:szCs w:val="28"/>
        </w:rPr>
        <w:t xml:space="preserve"> N°  </w:t>
      </w:r>
      <w:r w:rsidR="00831FF9">
        <w:rPr>
          <w:rFonts w:ascii="Arial Narrow" w:hAnsi="Arial Narrow" w:cs="Arial Narrow"/>
          <w:b/>
          <w:bCs/>
          <w:spacing w:val="-3"/>
          <w:sz w:val="28"/>
          <w:szCs w:val="28"/>
        </w:rPr>
        <w:t xml:space="preserve">6974 </w:t>
      </w:r>
      <w:r w:rsidR="00831FF9">
        <w:rPr>
          <w:rFonts w:ascii="Arial Narrow" w:hAnsi="Arial Narrow" w:cs="Arial Narrow"/>
          <w:b/>
          <w:bCs/>
          <w:spacing w:val="-3"/>
          <w:sz w:val="28"/>
          <w:szCs w:val="28"/>
        </w:rPr>
        <w:tab/>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831FF9">
        <w:rPr>
          <w:rFonts w:ascii="Arial Narrow" w:hAnsi="Arial Narrow" w:cs="Arial Narrow"/>
          <w:b/>
          <w:spacing w:val="-3"/>
          <w:sz w:val="28"/>
          <w:szCs w:val="28"/>
        </w:rPr>
        <w:t>12</w:t>
      </w:r>
      <w:r>
        <w:rPr>
          <w:rFonts w:ascii="Arial Narrow" w:hAnsi="Arial Narrow" w:cs="Arial Narrow"/>
          <w:b/>
          <w:spacing w:val="-3"/>
          <w:sz w:val="28"/>
          <w:szCs w:val="28"/>
        </w:rPr>
        <w:t>/</w:t>
      </w:r>
      <w:r w:rsidR="00FD17BF">
        <w:rPr>
          <w:rFonts w:ascii="Arial Narrow" w:hAnsi="Arial Narrow" w:cs="Arial Narrow"/>
          <w:b/>
          <w:spacing w:val="-3"/>
          <w:sz w:val="28"/>
          <w:szCs w:val="28"/>
        </w:rPr>
        <w:t>1</w:t>
      </w:r>
      <w:r w:rsidR="00831FF9">
        <w:rPr>
          <w:rFonts w:ascii="Arial Narrow" w:hAnsi="Arial Narrow" w:cs="Arial Narrow"/>
          <w:b/>
          <w:spacing w:val="-3"/>
          <w:sz w:val="28"/>
          <w:szCs w:val="28"/>
        </w:rPr>
        <w:t>1</w:t>
      </w:r>
      <w:r>
        <w:rPr>
          <w:rFonts w:ascii="Arial Narrow" w:hAnsi="Arial Narrow" w:cs="Arial Narrow"/>
          <w:b/>
          <w:spacing w:val="-3"/>
          <w:sz w:val="28"/>
          <w:szCs w:val="28"/>
        </w:rPr>
        <w:t>/</w:t>
      </w:r>
      <w:r w:rsidR="00FD17BF">
        <w:rPr>
          <w:rFonts w:ascii="Arial Narrow" w:hAnsi="Arial Narrow" w:cs="Arial Narrow"/>
          <w:b/>
          <w:spacing w:val="-3"/>
          <w:sz w:val="28"/>
          <w:szCs w:val="28"/>
        </w:rPr>
        <w:t>2021</w:t>
      </w:r>
    </w:p>
    <w:p w:rsidR="00C8644B" w:rsidRPr="00FD17BF" w:rsidRDefault="00C8644B" w:rsidP="00FD17BF">
      <w:pPr>
        <w:jc w:val="center"/>
      </w:pPr>
      <w:r>
        <w:rPr>
          <w:rFonts w:ascii="Arial Narrow" w:hAnsi="Arial Narrow" w:cs="Arial Narrow"/>
          <w:b/>
          <w:spacing w:val="-3"/>
          <w:sz w:val="28"/>
          <w:szCs w:val="28"/>
        </w:rPr>
        <w:t xml:space="preserve">Hora: </w:t>
      </w:r>
      <w:r w:rsidR="00FD17BF">
        <w:rPr>
          <w:rFonts w:ascii="Arial Narrow" w:hAnsi="Arial Narrow" w:cs="Arial Narrow"/>
          <w:b/>
          <w:spacing w:val="-3"/>
          <w:sz w:val="28"/>
          <w:szCs w:val="28"/>
        </w:rPr>
        <w:t>12</w:t>
      </w:r>
      <w:r>
        <w:rPr>
          <w:rFonts w:ascii="Arial Narrow" w:hAnsi="Arial Narrow" w:cs="Arial Narrow"/>
          <w:b/>
          <w:spacing w:val="-3"/>
          <w:sz w:val="28"/>
          <w:szCs w:val="28"/>
        </w:rPr>
        <w:t>:</w:t>
      </w:r>
      <w:r w:rsidR="00FD17BF">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6A05C8" w:rsidRDefault="006A05C8" w:rsidP="00FD17BF">
      <w:pPr>
        <w:rPr>
          <w:rFonts w:ascii="Arial Narrow" w:hAnsi="Arial Narrow" w:cs="Arial Narrow"/>
          <w:sz w:val="28"/>
          <w:szCs w:val="28"/>
        </w:rPr>
      </w:pPr>
    </w:p>
    <w:p w:rsid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831FF9" w:rsidRDefault="00831FF9" w:rsidP="00831FF9">
      <w:pPr>
        <w:pStyle w:val="Ttulo"/>
        <w:jc w:val="left"/>
        <w:rPr>
          <w:rFonts w:eastAsia="Batang"/>
          <w:color w:val="000000"/>
          <w:u w:val="single"/>
        </w:rPr>
      </w:pPr>
    </w:p>
    <w:p w:rsidR="00831FF9" w:rsidRPr="00831FF9" w:rsidRDefault="00831FF9" w:rsidP="00831FF9">
      <w:pPr>
        <w:pStyle w:val="Ttulo"/>
        <w:jc w:val="left"/>
        <w:rPr>
          <w:rFonts w:eastAsia="Batang"/>
          <w:color w:val="000000"/>
          <w:u w:val="single"/>
        </w:rPr>
      </w:pPr>
      <w:r>
        <w:rPr>
          <w:rFonts w:eastAsia="Batang"/>
          <w:color w:val="000000"/>
          <w:u w:val="single"/>
        </w:rPr>
        <w:t>ADQUISICIÓN DE SOBRES DE VOTACIÓN PARA ELECCIÓN DE ANEP, CODICEN Y CFE.-</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FD17BF" w:rsidRDefault="00FD17BF">
      <w:pPr>
        <w:spacing w:before="120" w:after="120"/>
        <w:jc w:val="center"/>
        <w:rPr>
          <w:rFonts w:ascii="Arial Narrow" w:hAnsi="Arial Narrow" w:cs="Arial Narrow"/>
          <w:b/>
          <w:sz w:val="28"/>
          <w:szCs w:val="28"/>
          <w:u w:val="single"/>
        </w:rPr>
      </w:pPr>
    </w:p>
    <w:p w:rsidR="00FD17BF" w:rsidRDefault="00FD17BF">
      <w:pPr>
        <w:spacing w:before="120" w:after="120"/>
        <w:jc w:val="center"/>
        <w:rPr>
          <w:rFonts w:ascii="Arial Narrow" w:hAnsi="Arial Narrow" w:cs="Arial Narrow"/>
          <w:b/>
          <w:sz w:val="28"/>
          <w:szCs w:val="28"/>
          <w:u w:val="single"/>
        </w:rPr>
      </w:pPr>
    </w:p>
    <w:p w:rsidR="00FD17BF" w:rsidRDefault="00FD17BF">
      <w:pPr>
        <w:spacing w:before="120" w:after="120"/>
        <w:jc w:val="center"/>
        <w:rPr>
          <w:rFonts w:ascii="Arial Narrow" w:hAnsi="Arial Narrow" w:cs="Arial Narrow"/>
          <w:b/>
          <w:sz w:val="28"/>
          <w:szCs w:val="28"/>
          <w:u w:val="single"/>
        </w:rPr>
      </w:pPr>
    </w:p>
    <w:p w:rsidR="00FD17BF" w:rsidRDefault="00FD17BF">
      <w:pPr>
        <w:spacing w:before="120" w:after="120"/>
        <w:jc w:val="center"/>
        <w:rPr>
          <w:rFonts w:ascii="Arial Narrow" w:hAnsi="Arial Narrow" w:cs="Arial Narrow"/>
          <w:b/>
          <w:sz w:val="28"/>
          <w:szCs w:val="28"/>
          <w:u w:val="single"/>
        </w:rPr>
      </w:pPr>
    </w:p>
    <w:p w:rsidR="00FD17BF" w:rsidRDefault="00FD17BF">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831FF9" w:rsidRDefault="00C8644B" w:rsidP="00831FF9">
      <w:pPr>
        <w:pStyle w:val="Prrafodelista"/>
        <w:numPr>
          <w:ilvl w:val="0"/>
          <w:numId w:val="9"/>
        </w:numPr>
        <w:tabs>
          <w:tab w:val="left" w:pos="284"/>
          <w:tab w:val="left" w:pos="1560"/>
        </w:tabs>
        <w:jc w:val="both"/>
      </w:pPr>
      <w:r w:rsidRPr="00831FF9">
        <w:rPr>
          <w:rFonts w:ascii="Arial Narrow" w:eastAsia="Batang" w:hAnsi="Arial Narrow" w:cs="Arial Narrow"/>
          <w:b/>
          <w:bCs/>
          <w:i/>
          <w:iCs/>
          <w:sz w:val="28"/>
          <w:szCs w:val="28"/>
          <w:u w:val="single"/>
          <w:lang w:val="pt-BR"/>
        </w:rPr>
        <w:t xml:space="preserve">DETALLE DEL </w:t>
      </w:r>
      <w:proofErr w:type="gramStart"/>
      <w:r w:rsidRPr="00831FF9">
        <w:rPr>
          <w:rFonts w:ascii="Arial Narrow" w:eastAsia="Batang" w:hAnsi="Arial Narrow" w:cs="Arial Narrow"/>
          <w:b/>
          <w:bCs/>
          <w:i/>
          <w:iCs/>
          <w:sz w:val="28"/>
          <w:szCs w:val="28"/>
          <w:u w:val="single"/>
          <w:lang w:val="pt-BR"/>
        </w:rPr>
        <w:t>OBJETO.</w:t>
      </w:r>
      <w:proofErr w:type="gramEnd"/>
      <w:r w:rsidRPr="00831FF9">
        <w:rPr>
          <w:rFonts w:ascii="Arial Narrow" w:eastAsia="Batang" w:hAnsi="Arial Narrow" w:cs="Arial Narrow"/>
          <w:b/>
          <w:bCs/>
          <w:i/>
          <w:iCs/>
          <w:sz w:val="28"/>
          <w:szCs w:val="28"/>
          <w:u w:val="single"/>
          <w:lang w:val="pt-BR"/>
        </w:rPr>
        <w:t>-</w:t>
      </w:r>
    </w:p>
    <w:p w:rsidR="00831FF9" w:rsidRPr="00831FF9" w:rsidRDefault="00831FF9" w:rsidP="00831FF9">
      <w:pPr>
        <w:pStyle w:val="Prrafodelista"/>
        <w:tabs>
          <w:tab w:val="left" w:pos="284"/>
          <w:tab w:val="left" w:pos="1560"/>
        </w:tabs>
        <w:jc w:val="both"/>
      </w:pPr>
      <w:r w:rsidRPr="00831FF9">
        <w:rPr>
          <w:rFonts w:eastAsia="Batang"/>
        </w:rPr>
        <w:t xml:space="preserve">Se convoca a participar en la LICITACIÓN ABREVIADA 6974/21  para la adquisición de: </w:t>
      </w:r>
    </w:p>
    <w:p w:rsidR="00831FF9" w:rsidRDefault="00831FF9" w:rsidP="00831FF9">
      <w:pPr>
        <w:spacing w:line="276" w:lineRule="auto"/>
        <w:ind w:firstLine="709"/>
        <w:jc w:val="both"/>
      </w:pPr>
      <w:r w:rsidRPr="00C5204D">
        <w:rPr>
          <w:b/>
          <w:u w:val="single"/>
        </w:rPr>
        <w:t>- 301.500 sobres de votación con tirilla</w:t>
      </w:r>
      <w:r>
        <w:t xml:space="preserve">, impresos con escudo y según modelo que se adjunta y con las siguientes características: </w:t>
      </w:r>
    </w:p>
    <w:p w:rsidR="00831FF9" w:rsidRPr="00A15389" w:rsidRDefault="00831FF9" w:rsidP="00831FF9">
      <w:pPr>
        <w:pStyle w:val="Prrafodelista"/>
        <w:numPr>
          <w:ilvl w:val="0"/>
          <w:numId w:val="6"/>
        </w:numPr>
        <w:suppressAutoHyphens w:val="0"/>
        <w:spacing w:line="276" w:lineRule="auto"/>
        <w:jc w:val="both"/>
        <w:rPr>
          <w:bCs/>
        </w:rPr>
      </w:pPr>
      <w:r>
        <w:t xml:space="preserve">papel </w:t>
      </w:r>
      <w:proofErr w:type="spellStart"/>
      <w:r>
        <w:t>kraft</w:t>
      </w:r>
      <w:proofErr w:type="spellEnd"/>
      <w:r>
        <w:t xml:space="preserve"> 80/90 gr, áspero de modo que admita reimpresión. </w:t>
      </w:r>
    </w:p>
    <w:p w:rsidR="00831FF9" w:rsidRPr="00A15389" w:rsidRDefault="00831FF9" w:rsidP="00831FF9">
      <w:pPr>
        <w:pStyle w:val="Prrafodelista"/>
        <w:numPr>
          <w:ilvl w:val="0"/>
          <w:numId w:val="6"/>
        </w:numPr>
        <w:suppressAutoHyphens w:val="0"/>
        <w:spacing w:line="276" w:lineRule="auto"/>
        <w:jc w:val="both"/>
        <w:rPr>
          <w:bCs/>
        </w:rPr>
      </w:pPr>
      <w:r>
        <w:t xml:space="preserve">medidas: 17 cm de ancho por 14 cm de largo, con solapa engomada de 3 cm de ancho. </w:t>
      </w:r>
    </w:p>
    <w:p w:rsidR="00831FF9" w:rsidRPr="00A15389" w:rsidRDefault="00831FF9" w:rsidP="00831FF9">
      <w:pPr>
        <w:pStyle w:val="Prrafodelista"/>
        <w:numPr>
          <w:ilvl w:val="0"/>
          <w:numId w:val="6"/>
        </w:numPr>
        <w:suppressAutoHyphens w:val="0"/>
        <w:spacing w:line="276" w:lineRule="auto"/>
        <w:jc w:val="both"/>
        <w:rPr>
          <w:bCs/>
        </w:rPr>
      </w:pPr>
      <w:r>
        <w:t xml:space="preserve">con tirilla de 5,5 cm, puntillada y numerada según muestra. </w:t>
      </w:r>
    </w:p>
    <w:p w:rsidR="00831FF9" w:rsidRPr="00A15389" w:rsidRDefault="00831FF9" w:rsidP="00831FF9">
      <w:pPr>
        <w:pStyle w:val="Prrafodelista"/>
        <w:numPr>
          <w:ilvl w:val="0"/>
          <w:numId w:val="6"/>
        </w:numPr>
        <w:suppressAutoHyphens w:val="0"/>
        <w:spacing w:line="276" w:lineRule="auto"/>
        <w:jc w:val="both"/>
        <w:rPr>
          <w:bCs/>
        </w:rPr>
      </w:pPr>
      <w:r>
        <w:t xml:space="preserve">impresos en color negro, con escudo. </w:t>
      </w:r>
    </w:p>
    <w:p w:rsidR="00831FF9" w:rsidRDefault="00831FF9" w:rsidP="00831FF9">
      <w:pPr>
        <w:spacing w:line="276" w:lineRule="auto"/>
        <w:ind w:firstLine="709"/>
        <w:jc w:val="both"/>
      </w:pPr>
      <w:r w:rsidRPr="00831FF9">
        <w:rPr>
          <w:u w:val="single"/>
        </w:rPr>
        <w:t>Presentación</w:t>
      </w:r>
      <w:r>
        <w:t xml:space="preserve">: </w:t>
      </w:r>
    </w:p>
    <w:p w:rsidR="00831FF9" w:rsidRPr="00C5204D" w:rsidRDefault="00831FF9" w:rsidP="00831FF9">
      <w:pPr>
        <w:pStyle w:val="Prrafodelista"/>
        <w:numPr>
          <w:ilvl w:val="0"/>
          <w:numId w:val="7"/>
        </w:numPr>
        <w:suppressAutoHyphens w:val="0"/>
        <w:spacing w:line="276" w:lineRule="auto"/>
        <w:jc w:val="both"/>
        <w:rPr>
          <w:bCs/>
        </w:rPr>
      </w:pPr>
      <w:r>
        <w:t xml:space="preserve">en cajas de cartón de primera de 450 sobres c/u ordenados correlativamente según numeración en la tirilla del 001 al 450, rotuladas según su contenido, resistente a la estiba mínima de 10 cajas en su altura sin deformación. Formato de la caja: 31.5cm de largo por 22 cm de ancho por 19 cm de alto. </w:t>
      </w:r>
    </w:p>
    <w:p w:rsidR="00831FF9" w:rsidRPr="00C5204D" w:rsidRDefault="00831FF9" w:rsidP="00831FF9">
      <w:pPr>
        <w:spacing w:line="276" w:lineRule="auto"/>
        <w:jc w:val="both"/>
        <w:rPr>
          <w:bCs/>
        </w:rPr>
      </w:pPr>
      <w:r>
        <w:rPr>
          <w:bCs/>
          <w:noProof/>
          <w:lang w:eastAsia="es-UY"/>
        </w:rPr>
        <w:drawing>
          <wp:inline distT="0" distB="0" distL="0" distR="0">
            <wp:extent cx="6305550" cy="4333369"/>
            <wp:effectExtent l="1905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6305550" cy="4333369"/>
                    </a:xfrm>
                    <a:prstGeom prst="rect">
                      <a:avLst/>
                    </a:prstGeom>
                    <a:noFill/>
                    <a:ln w="9525">
                      <a:noFill/>
                      <a:miter lim="800000"/>
                      <a:headEnd/>
                      <a:tailEnd/>
                    </a:ln>
                  </pic:spPr>
                </pic:pic>
              </a:graphicData>
            </a:graphic>
          </wp:inline>
        </w:drawing>
      </w:r>
    </w:p>
    <w:p w:rsidR="00831FF9" w:rsidRDefault="00831FF9" w:rsidP="00831FF9">
      <w:pPr>
        <w:spacing w:line="276" w:lineRule="auto"/>
        <w:jc w:val="both"/>
        <w:rPr>
          <w:bCs/>
        </w:rPr>
      </w:pPr>
    </w:p>
    <w:p w:rsidR="00831FF9" w:rsidRDefault="00831FF9" w:rsidP="00831FF9">
      <w:pPr>
        <w:spacing w:line="276" w:lineRule="auto"/>
        <w:jc w:val="both"/>
        <w:rPr>
          <w:bCs/>
        </w:rPr>
      </w:pPr>
    </w:p>
    <w:p w:rsidR="00831FF9" w:rsidRPr="00A15389" w:rsidRDefault="00831FF9" w:rsidP="00831FF9">
      <w:pPr>
        <w:spacing w:line="276" w:lineRule="auto"/>
        <w:jc w:val="both"/>
        <w:rPr>
          <w:bCs/>
        </w:rPr>
      </w:pPr>
    </w:p>
    <w:p w:rsidR="00831FF9" w:rsidRDefault="00831FF9" w:rsidP="00831FF9">
      <w:pPr>
        <w:spacing w:line="276" w:lineRule="auto"/>
        <w:ind w:firstLine="709"/>
        <w:jc w:val="both"/>
      </w:pPr>
      <w:r w:rsidRPr="00A15389">
        <w:rPr>
          <w:b/>
          <w:u w:val="single"/>
        </w:rPr>
        <w:t>- 40.000 sobres para votos observados en color azul</w:t>
      </w:r>
      <w:r>
        <w:t xml:space="preserve">, impresos según muestra que se adjunta y con las siguientes características: </w:t>
      </w:r>
    </w:p>
    <w:p w:rsidR="00831FF9" w:rsidRPr="00A15389" w:rsidRDefault="00831FF9" w:rsidP="00831FF9">
      <w:pPr>
        <w:pStyle w:val="Prrafodelista"/>
        <w:numPr>
          <w:ilvl w:val="0"/>
          <w:numId w:val="7"/>
        </w:numPr>
        <w:suppressAutoHyphens w:val="0"/>
        <w:spacing w:line="276" w:lineRule="auto"/>
        <w:jc w:val="both"/>
        <w:rPr>
          <w:bCs/>
        </w:rPr>
      </w:pPr>
      <w:r>
        <w:t xml:space="preserve">En papel estraza o </w:t>
      </w:r>
      <w:proofErr w:type="spellStart"/>
      <w:r>
        <w:t>kraft</w:t>
      </w:r>
      <w:proofErr w:type="spellEnd"/>
      <w:r>
        <w:t xml:space="preserve"> azul, áspero de modo que admita reimpresión (no puede ser satinado y con el color impreso) </w:t>
      </w:r>
    </w:p>
    <w:p w:rsidR="00831FF9" w:rsidRPr="00A15389" w:rsidRDefault="00831FF9" w:rsidP="00831FF9">
      <w:pPr>
        <w:pStyle w:val="Prrafodelista"/>
        <w:numPr>
          <w:ilvl w:val="0"/>
          <w:numId w:val="7"/>
        </w:numPr>
        <w:suppressAutoHyphens w:val="0"/>
        <w:spacing w:line="276" w:lineRule="auto"/>
        <w:jc w:val="both"/>
        <w:rPr>
          <w:bCs/>
        </w:rPr>
      </w:pPr>
      <w:r>
        <w:t xml:space="preserve">medidas: 18,5cm de ancho por 15cm de alto, con solapa triangular engomada de 8 cm. </w:t>
      </w:r>
    </w:p>
    <w:p w:rsidR="00831FF9" w:rsidRPr="00A15389" w:rsidRDefault="00831FF9" w:rsidP="00831FF9">
      <w:pPr>
        <w:pStyle w:val="Prrafodelista"/>
        <w:numPr>
          <w:ilvl w:val="0"/>
          <w:numId w:val="7"/>
        </w:numPr>
        <w:suppressAutoHyphens w:val="0"/>
        <w:spacing w:line="276" w:lineRule="auto"/>
        <w:jc w:val="both"/>
        <w:rPr>
          <w:bCs/>
        </w:rPr>
      </w:pPr>
      <w:r>
        <w:t>impresos en color negro según muestra.</w:t>
      </w:r>
    </w:p>
    <w:p w:rsidR="00831FF9" w:rsidRDefault="00831FF9" w:rsidP="00831FF9">
      <w:pPr>
        <w:spacing w:line="276" w:lineRule="auto"/>
        <w:jc w:val="both"/>
        <w:rPr>
          <w:bCs/>
        </w:rPr>
      </w:pPr>
    </w:p>
    <w:p w:rsidR="00831FF9" w:rsidRDefault="00831FF9" w:rsidP="00831FF9">
      <w:pPr>
        <w:spacing w:line="276" w:lineRule="auto"/>
        <w:jc w:val="both"/>
        <w:rPr>
          <w:bCs/>
        </w:rPr>
      </w:pPr>
    </w:p>
    <w:p w:rsidR="00831FF9" w:rsidRPr="00A15389" w:rsidRDefault="00831FF9" w:rsidP="00831FF9">
      <w:pPr>
        <w:spacing w:line="276" w:lineRule="auto"/>
        <w:jc w:val="both"/>
        <w:rPr>
          <w:bCs/>
        </w:rPr>
      </w:pPr>
      <w:r>
        <w:rPr>
          <w:bCs/>
          <w:noProof/>
          <w:lang w:eastAsia="es-UY"/>
        </w:rPr>
        <w:drawing>
          <wp:inline distT="0" distB="0" distL="0" distR="0">
            <wp:extent cx="6543675" cy="4886325"/>
            <wp:effectExtent l="19050" t="0" r="9525"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543675" cy="4886325"/>
                    </a:xfrm>
                    <a:prstGeom prst="rect">
                      <a:avLst/>
                    </a:prstGeom>
                    <a:noFill/>
                    <a:ln w="9525">
                      <a:noFill/>
                      <a:miter lim="800000"/>
                      <a:headEnd/>
                      <a:tailEnd/>
                    </a:ln>
                  </pic:spPr>
                </pic:pic>
              </a:graphicData>
            </a:graphic>
          </wp:inline>
        </w:drawing>
      </w:r>
    </w:p>
    <w:p w:rsidR="00831FF9" w:rsidRDefault="00831FF9" w:rsidP="00831FF9">
      <w:pPr>
        <w:spacing w:line="276" w:lineRule="auto"/>
        <w:ind w:firstLine="709"/>
        <w:jc w:val="both"/>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rPr>
          <w:b/>
          <w:u w:val="single"/>
        </w:rPr>
      </w:pPr>
    </w:p>
    <w:p w:rsidR="00831FF9" w:rsidRDefault="00831FF9" w:rsidP="00831FF9">
      <w:pPr>
        <w:spacing w:line="276" w:lineRule="auto"/>
        <w:ind w:firstLine="709"/>
        <w:jc w:val="both"/>
      </w:pPr>
      <w:r w:rsidRPr="00A15389">
        <w:rPr>
          <w:b/>
          <w:u w:val="single"/>
        </w:rPr>
        <w:t>- 17.000 sobres exteriores para voto por correspondencia</w:t>
      </w:r>
      <w:r>
        <w:t xml:space="preserve">, según muestra que se adjunta y con las siguientes características: </w:t>
      </w:r>
    </w:p>
    <w:p w:rsidR="00831FF9" w:rsidRPr="00A15389" w:rsidRDefault="00831FF9" w:rsidP="00831FF9">
      <w:pPr>
        <w:pStyle w:val="Prrafodelista"/>
        <w:numPr>
          <w:ilvl w:val="0"/>
          <w:numId w:val="8"/>
        </w:numPr>
        <w:suppressAutoHyphens w:val="0"/>
        <w:spacing w:line="276" w:lineRule="auto"/>
        <w:jc w:val="both"/>
        <w:rPr>
          <w:bCs/>
        </w:rPr>
      </w:pPr>
      <w:r>
        <w:t xml:space="preserve">En papel </w:t>
      </w:r>
      <w:proofErr w:type="spellStart"/>
      <w:r>
        <w:t>kraft</w:t>
      </w:r>
      <w:proofErr w:type="spellEnd"/>
      <w:r>
        <w:t xml:space="preserve"> 80/90 gr, áspero de modo que admita reimpresión. </w:t>
      </w:r>
    </w:p>
    <w:p w:rsidR="00831FF9" w:rsidRPr="00A15389" w:rsidRDefault="00831FF9" w:rsidP="00831FF9">
      <w:pPr>
        <w:pStyle w:val="Prrafodelista"/>
        <w:numPr>
          <w:ilvl w:val="0"/>
          <w:numId w:val="8"/>
        </w:numPr>
        <w:suppressAutoHyphens w:val="0"/>
        <w:spacing w:line="276" w:lineRule="auto"/>
        <w:jc w:val="both"/>
        <w:rPr>
          <w:bCs/>
        </w:rPr>
      </w:pPr>
      <w:r>
        <w:t xml:space="preserve">medidas: 19,5 cm de ancho por 21,5 cm de largo, con solapa engomada de 4 cm de ancho. </w:t>
      </w:r>
    </w:p>
    <w:p w:rsidR="00831FF9" w:rsidRPr="00A15389" w:rsidRDefault="00831FF9" w:rsidP="00831FF9">
      <w:pPr>
        <w:pStyle w:val="Prrafodelista"/>
        <w:numPr>
          <w:ilvl w:val="0"/>
          <w:numId w:val="8"/>
        </w:numPr>
        <w:suppressAutoHyphens w:val="0"/>
        <w:spacing w:line="276" w:lineRule="auto"/>
        <w:jc w:val="both"/>
        <w:rPr>
          <w:bCs/>
        </w:rPr>
      </w:pPr>
      <w:r>
        <w:t>con tirilla de 5 cm de ancho, puntillada.</w:t>
      </w:r>
    </w:p>
    <w:p w:rsidR="00831FF9" w:rsidRDefault="00831FF9" w:rsidP="00831FF9">
      <w:pPr>
        <w:spacing w:line="276" w:lineRule="auto"/>
        <w:jc w:val="both"/>
        <w:rPr>
          <w:bCs/>
        </w:rPr>
      </w:pPr>
    </w:p>
    <w:p w:rsidR="00831FF9" w:rsidRPr="00A15389" w:rsidRDefault="00831FF9" w:rsidP="00831FF9">
      <w:pPr>
        <w:spacing w:line="276" w:lineRule="auto"/>
        <w:jc w:val="both"/>
        <w:rPr>
          <w:bCs/>
        </w:rPr>
      </w:pPr>
      <w:r>
        <w:rPr>
          <w:bCs/>
          <w:noProof/>
          <w:lang w:eastAsia="es-UY"/>
        </w:rPr>
        <w:drawing>
          <wp:inline distT="0" distB="0" distL="0" distR="0">
            <wp:extent cx="6638925" cy="4295775"/>
            <wp:effectExtent l="19050" t="0" r="9525"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638925" cy="4295775"/>
                    </a:xfrm>
                    <a:prstGeom prst="rect">
                      <a:avLst/>
                    </a:prstGeom>
                    <a:noFill/>
                    <a:ln w="9525">
                      <a:noFill/>
                      <a:miter lim="800000"/>
                      <a:headEnd/>
                      <a:tailEnd/>
                    </a:ln>
                  </pic:spPr>
                </pic:pic>
              </a:graphicData>
            </a:graphic>
          </wp:inline>
        </w:drawing>
      </w:r>
    </w:p>
    <w:p w:rsidR="00831FF9" w:rsidRDefault="00831FF9" w:rsidP="00831FF9">
      <w:pPr>
        <w:spacing w:line="276" w:lineRule="auto"/>
        <w:jc w:val="both"/>
        <w:rPr>
          <w:bCs/>
        </w:rPr>
      </w:pPr>
    </w:p>
    <w:p w:rsidR="00831FF9" w:rsidRPr="00A15389" w:rsidRDefault="00831FF9" w:rsidP="00831FF9">
      <w:pPr>
        <w:spacing w:line="276" w:lineRule="auto"/>
        <w:jc w:val="both"/>
        <w:rPr>
          <w:bCs/>
        </w:rPr>
      </w:pPr>
    </w:p>
    <w:p w:rsidR="00831FF9" w:rsidRDefault="00831FF9" w:rsidP="00831FF9">
      <w:pPr>
        <w:pStyle w:val="Prrafodelista"/>
        <w:spacing w:line="276" w:lineRule="auto"/>
        <w:jc w:val="both"/>
        <w:rPr>
          <w:bCs/>
        </w:rPr>
      </w:pPr>
      <w:r w:rsidRPr="00221B19">
        <w:rPr>
          <w:b/>
          <w:bCs/>
        </w:rPr>
        <w:t>Lugar de entrega</w:t>
      </w:r>
      <w:r>
        <w:rPr>
          <w:bCs/>
        </w:rPr>
        <w:t>:</w:t>
      </w:r>
      <w:r w:rsidRPr="00221B19">
        <w:rPr>
          <w:bCs/>
        </w:rPr>
        <w:t xml:space="preserve"> </w:t>
      </w:r>
      <w:r>
        <w:rPr>
          <w:bCs/>
        </w:rPr>
        <w:t>M</w:t>
      </w:r>
      <w:r w:rsidRPr="00221B19">
        <w:rPr>
          <w:bCs/>
        </w:rPr>
        <w:t xml:space="preserve">arcelino </w:t>
      </w:r>
      <w:r>
        <w:rPr>
          <w:bCs/>
        </w:rPr>
        <w:t>S</w:t>
      </w:r>
      <w:r w:rsidRPr="00221B19">
        <w:rPr>
          <w:bCs/>
        </w:rPr>
        <w:t xml:space="preserve">osa  2069 </w:t>
      </w:r>
      <w:r>
        <w:rPr>
          <w:bCs/>
        </w:rPr>
        <w:t>esq. avda. Agraciada</w:t>
      </w:r>
      <w:r w:rsidRPr="00221B19">
        <w:rPr>
          <w:bCs/>
        </w:rPr>
        <w:t>.</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10"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11"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lastRenderedPageBreak/>
        <w:t xml:space="preserve">Deberán cotizar a través de la página </w:t>
      </w:r>
      <w:hyperlink r:id="rId12"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lastRenderedPageBreak/>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lastRenderedPageBreak/>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lastRenderedPageBreak/>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3"/>
      <w:footerReference w:type="defaul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ED" w:rsidRDefault="00BE24ED">
      <w:r>
        <w:separator/>
      </w:r>
    </w:p>
  </w:endnote>
  <w:endnote w:type="continuationSeparator" w:id="1">
    <w:p w:rsidR="00BE24ED" w:rsidRDefault="00BE24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BC344C">
    <w:pPr>
      <w:pStyle w:val="Piedepgina"/>
      <w:tabs>
        <w:tab w:val="right" w:pos="8222"/>
      </w:tabs>
      <w:ind w:right="360"/>
      <w:rPr>
        <w:color w:val="808080"/>
        <w:sz w:val="18"/>
        <w:szCs w:val="18"/>
      </w:rPr>
    </w:pPr>
    <w:r w:rsidRPr="00BC344C">
      <w:pict>
        <v:shapetype id="_x0000_t202" coordsize="21600,21600" o:spt="202" path="m,l,21600r21600,l21600,xe">
          <v:stroke joinstyle="miter"/>
          <v:path gradientshapeok="t" o:connecttype="rect"/>
        </v:shapetype>
        <v:shape id="_x0000_s1025" type="#_x0000_t202" style="position:absolute;margin-left:419.35pt;margin-top:.05pt;width:6.7pt;height:13.75pt;z-index:251657728;mso-wrap-distance-left:0;mso-wrap-distance-right:0;mso-position-horizontal:right;mso-position-horizontal-relative:page" stroked="f">
          <v:fill opacity="0" color2="black"/>
          <v:textbox inset="0,0,0,0">
            <w:txbxContent>
              <w:p w:rsidR="00C8644B" w:rsidRDefault="00BC344C">
                <w:pPr>
                  <w:pStyle w:val="Piedepgina"/>
                </w:pPr>
                <w:r>
                  <w:rPr>
                    <w:rStyle w:val="Nmerodepgina"/>
                  </w:rPr>
                  <w:fldChar w:fldCharType="begin"/>
                </w:r>
                <w:r w:rsidR="00C8644B">
                  <w:rPr>
                    <w:rStyle w:val="Nmerodepgina"/>
                  </w:rPr>
                  <w:instrText xml:space="preserve"> PAGE </w:instrText>
                </w:r>
                <w:r>
                  <w:rPr>
                    <w:rStyle w:val="Nmerodepgina"/>
                  </w:rPr>
                  <w:fldChar w:fldCharType="separate"/>
                </w:r>
                <w:r w:rsidR="00831FF9">
                  <w:rPr>
                    <w:rStyle w:val="Nmerodepgina"/>
                    <w:noProof/>
                  </w:rPr>
                  <w:t>1</w:t>
                </w:r>
                <w:r>
                  <w:rPr>
                    <w:rStyle w:val="Nmerodepgina"/>
                  </w:rPr>
                  <w:fldChar w:fldCharType="end"/>
                </w:r>
              </w:p>
            </w:txbxContent>
          </v:textbox>
          <w10:wrap type="square" side="largest" anchorx="page"/>
        </v:shape>
      </w:pict>
    </w:r>
    <w:r w:rsidR="00C8644B">
      <w:cr/>
    </w:r>
    <w:r w:rsidR="00C8644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ED" w:rsidRDefault="00BE24ED">
      <w:r>
        <w:separator/>
      </w:r>
    </w:p>
  </w:footnote>
  <w:footnote w:type="continuationSeparator" w:id="1">
    <w:p w:rsidR="00BE24ED" w:rsidRDefault="00BE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5828A4">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C8644B" w:rsidRDefault="00C8644B">
    <w:pPr>
      <w:pStyle w:val="Encabezado"/>
      <w:jc w:val="center"/>
    </w:pPr>
  </w:p>
  <w:p w:rsidR="00C8644B" w:rsidRDefault="00C8644B">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28AE5BCB"/>
    <w:multiLevelType w:val="hybridMultilevel"/>
    <w:tmpl w:val="D0862F78"/>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6">
    <w:nsid w:val="35006DBE"/>
    <w:multiLevelType w:val="hybridMultilevel"/>
    <w:tmpl w:val="A7FE3A8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nsid w:val="3D71599E"/>
    <w:multiLevelType w:val="hybridMultilevel"/>
    <w:tmpl w:val="AFA6035E"/>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8">
    <w:nsid w:val="7F3C6305"/>
    <w:multiLevelType w:val="hybridMultilevel"/>
    <w:tmpl w:val="BCEC1D56"/>
    <w:lvl w:ilvl="0" w:tplc="F2DEF5D0">
      <w:start w:val="1"/>
      <w:numFmt w:val="decimal"/>
      <w:lvlText w:val="%1."/>
      <w:lvlJc w:val="left"/>
      <w:pPr>
        <w:ind w:left="720" w:hanging="360"/>
      </w:pPr>
      <w:rPr>
        <w:rFonts w:ascii="Arial Narrow" w:eastAsia="Batang" w:hAnsi="Arial Narrow" w:cs="Arial Narrow" w:hint="default"/>
        <w:b/>
        <w:i/>
        <w:sz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5828A4"/>
    <w:rsid w:val="006A05C8"/>
    <w:rsid w:val="00831FF9"/>
    <w:rsid w:val="00964C9A"/>
    <w:rsid w:val="00A14380"/>
    <w:rsid w:val="00BC344C"/>
    <w:rsid w:val="00BE24ED"/>
    <w:rsid w:val="00C8644B"/>
    <w:rsid w:val="00CF0534"/>
    <w:rsid w:val="00D671F5"/>
    <w:rsid w:val="00FD17BF"/>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 w:type="paragraph" w:styleId="Ttulo">
    <w:name w:val="Title"/>
    <w:basedOn w:val="Normal"/>
    <w:link w:val="TtuloCar"/>
    <w:qFormat/>
    <w:rsid w:val="00831FF9"/>
    <w:pPr>
      <w:suppressAutoHyphens w:val="0"/>
      <w:jc w:val="center"/>
    </w:pPr>
    <w:rPr>
      <w:b/>
      <w:bCs/>
      <w:lang w:eastAsia="es-ES"/>
    </w:rPr>
  </w:style>
  <w:style w:type="character" w:customStyle="1" w:styleId="TtuloCar">
    <w:name w:val="Título Car"/>
    <w:basedOn w:val="Fuentedeprrafopredeter"/>
    <w:link w:val="Ttulo"/>
    <w:rsid w:val="00831FF9"/>
    <w:rPr>
      <w:rFonts w:ascii="Arial" w:hAnsi="Arial" w:cs="Arial"/>
      <w:b/>
      <w:bCs/>
      <w:sz w:val="24"/>
      <w:szCs w:val="24"/>
      <w:lang w:val="es-UY"/>
    </w:rPr>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omprasestatales.gub.u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quisiciones@corteelectoral.gub.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2648</Words>
  <Characters>14565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17179</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2</cp:revision>
  <cp:lastPrinted>2021-09-22T12:50:00Z</cp:lastPrinted>
  <dcterms:created xsi:type="dcterms:W3CDTF">2021-10-27T12:39:00Z</dcterms:created>
  <dcterms:modified xsi:type="dcterms:W3CDTF">2021-10-27T12:39:00Z</dcterms:modified>
</cp:coreProperties>
</file>