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line="276" w:lineRule="auto"/>
        <w:rPr>
          <w:sz w:val="24"/>
          <w:szCs w:val="24"/>
        </w:rPr>
      </w:pPr>
      <w:r>
        <w:rPr>
          <w:sz w:val="24"/>
          <w:szCs w:val="24"/>
        </w:rPr>
        <w:t>PODER JUDICIAL</w:t>
      </w:r>
    </w:p>
    <w:p>
      <w:pPr>
        <w:pStyle w:val="style0"/>
        <w:spacing w:line="276" w:lineRule="auto"/>
        <w:rPr>
          <w:szCs w:val="24"/>
        </w:rPr>
      </w:pPr>
      <w:r>
        <w:rPr>
          <w:szCs w:val="24"/>
        </w:rPr>
      </w:r>
    </w:p>
    <w:p>
      <w:pPr>
        <w:pStyle w:val="style0"/>
        <w:spacing w:line="276" w:lineRule="auto"/>
        <w:jc w:val="center"/>
        <w:rPr>
          <w:b/>
          <w:bCs/>
          <w:szCs w:val="24"/>
        </w:rPr>
      </w:pPr>
      <w:r>
        <w:rPr>
          <w:b/>
          <w:bCs/>
          <w:szCs w:val="24"/>
        </w:rPr>
        <w:t>DEPARTAMENTO DE ADQUISICIONES</w:t>
      </w:r>
    </w:p>
    <w:p>
      <w:pPr>
        <w:pStyle w:val="style44"/>
        <w:spacing w:line="276" w:lineRule="auto"/>
        <w:rPr>
          <w:sz w:val="24"/>
          <w:szCs w:val="24"/>
        </w:rPr>
      </w:pPr>
      <w:r>
        <w:rPr>
          <w:sz w:val="24"/>
          <w:szCs w:val="24"/>
        </w:rPr>
      </w:r>
    </w:p>
    <w:p>
      <w:pPr>
        <w:pStyle w:val="style44"/>
        <w:spacing w:line="276" w:lineRule="auto"/>
        <w:rPr>
          <w:sz w:val="24"/>
          <w:szCs w:val="24"/>
        </w:rPr>
      </w:pPr>
      <w:r>
        <w:rPr>
          <w:sz w:val="24"/>
          <w:szCs w:val="24"/>
        </w:rPr>
        <w:t>CONCURSO DE PRECIOS Nº 1/202</w:t>
      </w:r>
      <w:r>
        <w:rPr>
          <w:sz w:val="24"/>
          <w:szCs w:val="24"/>
        </w:rPr>
        <w:t>1</w:t>
      </w:r>
      <w:r>
        <w:rPr>
          <w:sz w:val="24"/>
          <w:szCs w:val="24"/>
        </w:rPr>
        <w:t xml:space="preserve"> </w:t>
      </w:r>
    </w:p>
    <w:p>
      <w:pPr>
        <w:pStyle w:val="style0"/>
        <w:spacing w:line="276" w:lineRule="auto"/>
        <w:jc w:val="center"/>
        <w:rPr>
          <w:b/>
          <w:bCs/>
          <w:szCs w:val="24"/>
          <w:u w:val="single"/>
        </w:rPr>
      </w:pPr>
      <w:r>
        <w:rPr>
          <w:b/>
          <w:bCs/>
          <w:szCs w:val="24"/>
          <w:u w:val="single"/>
        </w:rPr>
      </w:r>
    </w:p>
    <w:p>
      <w:pPr>
        <w:pStyle w:val="style0"/>
        <w:spacing w:line="276" w:lineRule="auto"/>
        <w:jc w:val="center"/>
        <w:rPr>
          <w:b/>
          <w:bCs/>
          <w:szCs w:val="24"/>
          <w:u w:val="single"/>
        </w:rPr>
      </w:pPr>
      <w:r>
        <w:rPr>
          <w:b/>
          <w:bCs/>
          <w:szCs w:val="24"/>
          <w:u w:val="single"/>
        </w:rPr>
        <w:t>INCISO 16</w:t>
      </w:r>
    </w:p>
    <w:p>
      <w:pPr>
        <w:pStyle w:val="style0"/>
        <w:spacing w:line="276" w:lineRule="auto"/>
        <w:jc w:val="center"/>
        <w:rPr>
          <w:b/>
          <w:bCs/>
          <w:szCs w:val="24"/>
          <w:u w:val="single"/>
        </w:rPr>
      </w:pPr>
      <w:r>
        <w:rPr>
          <w:b/>
          <w:bCs/>
          <w:szCs w:val="24"/>
          <w:u w:val="single"/>
        </w:rPr>
      </w:r>
    </w:p>
    <w:p>
      <w:pPr>
        <w:pStyle w:val="style0"/>
        <w:spacing w:line="276" w:lineRule="auto"/>
        <w:jc w:val="both"/>
        <w:rPr>
          <w:b/>
          <w:szCs w:val="24"/>
        </w:rPr>
      </w:pPr>
      <w:r>
        <w:rPr>
          <w:b/>
          <w:szCs w:val="24"/>
        </w:rPr>
        <w:t xml:space="preserve">Costo del Pliego: SIN COSTO </w:t>
      </w:r>
    </w:p>
    <w:p>
      <w:pPr>
        <w:pStyle w:val="style47"/>
        <w:numPr>
          <w:ilvl w:val="0"/>
          <w:numId w:val="1"/>
        </w:numPr>
        <w:suppressAutoHyphens w:val="false"/>
        <w:spacing w:after="0" w:before="0" w:line="276" w:lineRule="auto"/>
        <w:contextualSpacing/>
        <w:jc w:val="both"/>
        <w:rPr>
          <w:szCs w:val="24"/>
        </w:rPr>
      </w:pPr>
      <w:r>
        <w:rPr>
          <w:szCs w:val="24"/>
        </w:rPr>
        <w:t xml:space="preserve">El presente llamado se regirá por lo establecido en las siguientes disposiciones: </w:t>
      </w:r>
    </w:p>
    <w:p>
      <w:pPr>
        <w:pStyle w:val="style47"/>
        <w:numPr>
          <w:ilvl w:val="0"/>
          <w:numId w:val="1"/>
        </w:numPr>
        <w:suppressAutoHyphens w:val="false"/>
        <w:spacing w:after="0" w:before="0" w:line="276" w:lineRule="auto"/>
        <w:contextualSpacing/>
        <w:jc w:val="both"/>
        <w:rPr>
          <w:szCs w:val="24"/>
        </w:rPr>
      </w:pPr>
      <w:r>
        <w:rPr>
          <w:szCs w:val="24"/>
        </w:rPr>
        <w:t>T.O.C.A.F. aprobado por Decreto N° 150/012 de 11 de mayo de 2012,</w:t>
      </w:r>
    </w:p>
    <w:p>
      <w:pPr>
        <w:pStyle w:val="style47"/>
        <w:numPr>
          <w:ilvl w:val="0"/>
          <w:numId w:val="1"/>
        </w:numPr>
        <w:suppressAutoHyphens w:val="false"/>
        <w:spacing w:after="0" w:before="0" w:line="276" w:lineRule="auto"/>
        <w:contextualSpacing/>
        <w:jc w:val="both"/>
        <w:rPr>
          <w:szCs w:val="24"/>
        </w:rPr>
      </w:pPr>
      <w:r>
        <w:rPr>
          <w:szCs w:val="24"/>
        </w:rPr>
        <w:t>Decreto Nº 155/013,</w:t>
      </w:r>
    </w:p>
    <w:p>
      <w:pPr>
        <w:pStyle w:val="style47"/>
        <w:numPr>
          <w:ilvl w:val="0"/>
          <w:numId w:val="1"/>
        </w:numPr>
        <w:suppressAutoHyphens w:val="false"/>
        <w:spacing w:after="0" w:before="0" w:line="276" w:lineRule="auto"/>
        <w:contextualSpacing/>
        <w:jc w:val="both"/>
        <w:rPr>
          <w:szCs w:val="24"/>
        </w:rPr>
      </w:pPr>
      <w:r>
        <w:rPr>
          <w:szCs w:val="24"/>
        </w:rPr>
        <w:t>Acordada Nº 7400 de 27 de junio de 2000,</w:t>
      </w:r>
    </w:p>
    <w:p>
      <w:pPr>
        <w:pStyle w:val="style47"/>
        <w:numPr>
          <w:ilvl w:val="0"/>
          <w:numId w:val="1"/>
        </w:numPr>
        <w:suppressAutoHyphens w:val="false"/>
        <w:spacing w:after="0" w:before="0" w:line="276" w:lineRule="auto"/>
        <w:contextualSpacing/>
        <w:jc w:val="both"/>
        <w:rPr>
          <w:szCs w:val="24"/>
        </w:rPr>
      </w:pPr>
      <w:r>
        <w:rPr>
          <w:szCs w:val="24"/>
        </w:rPr>
        <w:t>Decreto Nº 131/2014: Pliego Único de Bases y Condiciones Generales para Contratos de Suministros y Servicios No Personales,</w:t>
      </w:r>
    </w:p>
    <w:p>
      <w:pPr>
        <w:pStyle w:val="style47"/>
        <w:numPr>
          <w:ilvl w:val="0"/>
          <w:numId w:val="1"/>
        </w:numPr>
        <w:suppressAutoHyphens w:val="false"/>
        <w:spacing w:after="0" w:before="0" w:line="276" w:lineRule="auto"/>
        <w:contextualSpacing/>
        <w:jc w:val="both"/>
        <w:rPr>
          <w:szCs w:val="24"/>
        </w:rPr>
      </w:pPr>
      <w:r>
        <w:rPr>
          <w:szCs w:val="24"/>
        </w:rPr>
        <w:t>Ley 19.889 de 9 de julio de 2020.</w:t>
      </w:r>
    </w:p>
    <w:p>
      <w:pPr>
        <w:pStyle w:val="style47"/>
        <w:numPr>
          <w:ilvl w:val="0"/>
          <w:numId w:val="1"/>
        </w:numPr>
        <w:suppressAutoHyphens w:val="false"/>
        <w:spacing w:after="0" w:before="0" w:line="276" w:lineRule="auto"/>
        <w:contextualSpacing/>
        <w:jc w:val="both"/>
        <w:rPr>
          <w:szCs w:val="24"/>
        </w:rPr>
      </w:pPr>
      <w:r>
        <w:rPr>
          <w:szCs w:val="24"/>
        </w:rPr>
        <w:t>Leyes, decretos y resoluciones vigentes a la fecha de apertura de la licitación, en tanto fueren aplicables.</w:t>
      </w:r>
    </w:p>
    <w:p>
      <w:pPr>
        <w:pStyle w:val="style0"/>
        <w:spacing w:line="276" w:lineRule="auto"/>
        <w:jc w:val="both"/>
        <w:rPr>
          <w:szCs w:val="24"/>
        </w:rPr>
      </w:pPr>
      <w:r>
        <w:rPr>
          <w:szCs w:val="24"/>
        </w:rPr>
      </w:r>
    </w:p>
    <w:p>
      <w:pPr>
        <w:pStyle w:val="style0"/>
        <w:spacing w:line="276" w:lineRule="auto"/>
        <w:jc w:val="both"/>
        <w:rPr>
          <w:b/>
          <w:szCs w:val="24"/>
        </w:rPr>
      </w:pPr>
      <w:r>
        <w:rPr>
          <w:b/>
          <w:szCs w:val="24"/>
        </w:rPr>
        <w:t>Art. 1.- OBJETO DEL CONTRATO Y CARACTERISTICAS ESPECIALES.</w:t>
      </w:r>
    </w:p>
    <w:p>
      <w:pPr>
        <w:pStyle w:val="style0"/>
        <w:spacing w:line="276" w:lineRule="auto"/>
        <w:jc w:val="both"/>
        <w:rPr>
          <w:b/>
          <w:szCs w:val="24"/>
        </w:rPr>
      </w:pPr>
      <w:r>
        <w:rPr>
          <w:b/>
          <w:szCs w:val="24"/>
        </w:rPr>
      </w:r>
    </w:p>
    <w:p>
      <w:pPr>
        <w:pStyle w:val="style0"/>
        <w:spacing w:line="276" w:lineRule="auto"/>
        <w:jc w:val="both"/>
        <w:rPr>
          <w:b/>
          <w:szCs w:val="24"/>
        </w:rPr>
      </w:pPr>
      <w:r>
        <w:rPr>
          <w:b/>
          <w:szCs w:val="24"/>
        </w:rPr>
      </w:r>
    </w:p>
    <w:p>
      <w:pPr>
        <w:pStyle w:val="style50"/>
        <w:spacing w:line="276" w:lineRule="auto"/>
        <w:ind w:firstLine="709" w:left="0" w:right="0"/>
        <w:jc w:val="both"/>
        <w:rPr>
          <w:rFonts w:cs="Times New Roman"/>
        </w:rPr>
      </w:pPr>
      <w:r>
        <w:rPr>
          <w:rFonts w:cs="Times New Roman"/>
          <w:b/>
        </w:rPr>
        <w:t>1.1.-</w:t>
      </w:r>
      <w:r>
        <w:rPr>
          <w:rFonts w:cs="Times New Roman"/>
        </w:rPr>
        <w:t xml:space="preserve"> Contratación de servicios de mantenimiento y reparación de vehículos pertenecientes al Departamento de Transporte del Poder Judicial (2021) de acuerdo a los requerimientos solicitados en las características especiales.</w:t>
      </w:r>
    </w:p>
    <w:p>
      <w:pPr>
        <w:pStyle w:val="style50"/>
        <w:spacing w:line="276" w:lineRule="auto"/>
        <w:ind w:firstLine="709" w:left="0" w:right="0"/>
        <w:jc w:val="both"/>
        <w:rPr>
          <w:rFonts w:cs="Times New Roman"/>
        </w:rPr>
      </w:pPr>
      <w:r>
        <w:rPr>
          <w:rFonts w:cs="Times New Roman"/>
        </w:rPr>
        <w:t>ITEMS comprendidos en el presente procedimiento:</w:t>
      </w:r>
    </w:p>
    <w:p>
      <w:pPr>
        <w:pStyle w:val="style50"/>
        <w:spacing w:line="276" w:lineRule="auto"/>
        <w:ind w:firstLine="709" w:left="0" w:right="0"/>
        <w:jc w:val="both"/>
        <w:rPr>
          <w:rFonts w:cs="Times New Roman"/>
        </w:rPr>
      </w:pPr>
      <w:r>
        <w:rPr>
          <w:rFonts w:cs="Times New Roman"/>
        </w:rPr>
      </w:r>
    </w:p>
    <w:p>
      <w:pPr>
        <w:pStyle w:val="style50"/>
        <w:spacing w:line="276" w:lineRule="auto"/>
        <w:ind w:firstLine="708" w:left="0" w:right="0"/>
        <w:jc w:val="both"/>
        <w:rPr>
          <w:b/>
          <w:bCs/>
          <w:i/>
        </w:rPr>
      </w:pPr>
      <w:r>
        <w:rPr>
          <w:rFonts w:cs="Times New Roman"/>
          <w:b/>
          <w:sz w:val="22"/>
          <w:szCs w:val="22"/>
        </w:rPr>
        <w:t xml:space="preserve">ITEM 1. </w:t>
      </w:r>
      <w:r>
        <w:rPr>
          <w:rFonts w:cs="Times New Roman" w:eastAsia="Calibri"/>
          <w:b/>
          <w:bCs/>
          <w:sz w:val="22"/>
          <w:szCs w:val="22"/>
          <w:u w:val="single"/>
          <w:lang w:eastAsia="en-US" w:val="es-UY"/>
        </w:rPr>
        <w:t xml:space="preserve">HASTA 120 HORAS </w:t>
      </w:r>
      <w:r>
        <w:rPr>
          <w:rFonts w:cs="Times New Roman" w:eastAsia="Calibri"/>
          <w:b/>
          <w:bCs/>
          <w:sz w:val="22"/>
          <w:szCs w:val="22"/>
          <w:u w:val="single"/>
          <w:lang w:eastAsia="en-US"/>
        </w:rPr>
        <w:t xml:space="preserve">(mano de obra) </w:t>
      </w:r>
      <w:r>
        <w:rPr>
          <w:rFonts w:cs="Times New Roman" w:eastAsia="Calibri"/>
          <w:b/>
          <w:bCs/>
          <w:sz w:val="22"/>
          <w:szCs w:val="22"/>
          <w:u w:val="single"/>
          <w:lang w:eastAsia="en-US" w:val="es-UY"/>
        </w:rPr>
        <w:t xml:space="preserve">DE TALLER PARA SERVICIO DE MANTENIMIENTO </w:t>
      </w:r>
      <w:r>
        <w:rPr>
          <w:rFonts w:cs="Times New Roman" w:eastAsia="Calibri"/>
          <w:b/>
          <w:bCs/>
          <w:sz w:val="22"/>
          <w:szCs w:val="22"/>
          <w:u w:val="single"/>
          <w:lang w:eastAsia="en-US"/>
        </w:rPr>
        <w:t>Y REPARACION</w:t>
      </w:r>
      <w:r>
        <w:rPr>
          <w:rFonts w:cs="ArialMT"/>
        </w:rPr>
        <w:t xml:space="preserve"> (Cód. SICE: </w:t>
      </w:r>
      <w:r>
        <w:rPr>
          <w:rStyle w:val="style30"/>
        </w:rPr>
        <w:t xml:space="preserve">26534) </w:t>
      </w:r>
      <w:r>
        <w:rPr>
          <w:rFonts w:cs="Times New Roman" w:eastAsia="Calibri"/>
          <w:b/>
          <w:bCs/>
          <w:sz w:val="22"/>
          <w:szCs w:val="22"/>
          <w:u w:val="single"/>
          <w:lang w:eastAsia="en-US"/>
        </w:rPr>
        <w:t xml:space="preserve">(no incluye </w:t>
      </w:r>
      <w:r>
        <w:rPr>
          <w:rFonts w:cs="Times New Roman" w:eastAsia="Calibri"/>
          <w:b/>
          <w:sz w:val="22"/>
          <w:szCs w:val="22"/>
          <w:u w:val="single"/>
          <w:lang w:eastAsia="en-US"/>
        </w:rPr>
        <w:t>insumos y/o repuestos</w:t>
      </w:r>
      <w:bookmarkStart w:id="0" w:name="_GoBack"/>
      <w:bookmarkEnd w:id="0"/>
      <w:r>
        <w:rPr>
          <w:rFonts w:cs="Times New Roman" w:eastAsia="Calibri"/>
          <w:b/>
          <w:sz w:val="22"/>
          <w:szCs w:val="22"/>
          <w:u w:val="single"/>
          <w:lang w:eastAsia="en-US"/>
        </w:rPr>
        <w:t>) de los siguientes vehículos</w:t>
      </w:r>
      <w:r>
        <w:rPr>
          <w:rFonts w:cs="Times New Roman" w:eastAsia="Calibri"/>
          <w:b/>
          <w:sz w:val="22"/>
          <w:szCs w:val="22"/>
          <w:lang w:eastAsia="en-US"/>
        </w:rPr>
        <w:t xml:space="preserve">: </w:t>
      </w:r>
      <w:r>
        <w:rPr>
          <w:b/>
          <w:bCs/>
          <w:i/>
        </w:rPr>
        <w:t xml:space="preserve">TOTAL 15. </w:t>
      </w:r>
    </w:p>
    <w:p>
      <w:pPr>
        <w:pStyle w:val="style50"/>
        <w:spacing w:line="276" w:lineRule="auto"/>
        <w:jc w:val="both"/>
        <w:rPr>
          <w:rFonts w:cs="Times New Roman" w:eastAsia="Calibri"/>
          <w:i/>
          <w:sz w:val="22"/>
          <w:szCs w:val="22"/>
          <w:lang w:eastAsia="en-US"/>
        </w:rPr>
      </w:pPr>
      <w:r>
        <w:rPr>
          <w:rFonts w:cs="Times New Roman" w:eastAsia="Calibri"/>
          <w:i/>
          <w:sz w:val="22"/>
          <w:szCs w:val="22"/>
          <w:lang w:eastAsia="en-US"/>
        </w:rPr>
      </w:r>
    </w:p>
    <w:tbl>
      <w:tblPr>
        <w:jc w:val="left"/>
        <w:tblInd w:type="dxa" w:w="59"/>
        <w:tblBorders>
          <w:top w:color="00000A" w:space="0" w:sz="8" w:val="single"/>
          <w:left w:color="00000A" w:space="0" w:sz="4" w:val="single"/>
          <w:bottom w:color="00000A" w:space="0" w:sz="8" w:val="single"/>
          <w:insideH w:color="00000A" w:space="0" w:sz="8" w:val="single"/>
          <w:right w:color="00000A" w:space="0" w:sz="4" w:val="single"/>
          <w:insideV w:color="00000A" w:space="0" w:sz="4" w:val="single"/>
        </w:tblBorders>
        <w:tblCellMar>
          <w:top w:type="dxa" w:w="0"/>
          <w:left w:type="dxa" w:w="55"/>
          <w:bottom w:type="dxa" w:w="0"/>
          <w:right w:type="dxa" w:w="70"/>
        </w:tblCellMar>
      </w:tblPr>
      <w:tblGrid>
        <w:gridCol w:w="1355"/>
        <w:gridCol w:w="1407"/>
        <w:gridCol w:w="1126"/>
        <w:gridCol w:w="1032"/>
        <w:gridCol w:w="697"/>
        <w:gridCol w:w="1552"/>
        <w:gridCol w:w="1714"/>
      </w:tblGrid>
      <w:tr>
        <w:trPr>
          <w:trHeight w:hRule="atLeast" w:val="315"/>
          <w:cantSplit w:val="false"/>
        </w:trPr>
        <w:tc>
          <w:tcPr>
            <w:tcW w:type="dxa" w:w="1355"/>
            <w:tcBorders>
              <w:top w:color="00000A" w:space="0" w:sz="8" w:val="single"/>
              <w:left w:color="00000A" w:space="0" w:sz="4" w:val="single"/>
              <w:bottom w:color="00000A" w:space="0" w:sz="8" w:val="single"/>
              <w:right w:color="00000A" w:space="0" w:sz="4" w:val="single"/>
            </w:tcBorders>
            <w:shd w:fill="FFFFFF" w:val="clear"/>
            <w:tcMar>
              <w:left w:type="dxa" w:w="55"/>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CANTIDADES</w:t>
            </w:r>
          </w:p>
        </w:tc>
        <w:tc>
          <w:tcPr>
            <w:tcW w:type="dxa" w:w="1407"/>
            <w:tcBorders>
              <w:top w:color="00000A" w:space="0" w:sz="8" w:val="single"/>
              <w:left w:val="nil"/>
              <w:bottom w:color="00000A" w:space="0" w:sz="8" w:val="single"/>
              <w:right w:color="00000A" w:space="0" w:sz="4"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TIPO DE VEHÍCULO</w:t>
            </w:r>
          </w:p>
        </w:tc>
        <w:tc>
          <w:tcPr>
            <w:tcW w:type="dxa" w:w="1126"/>
            <w:tcBorders>
              <w:top w:color="00000A" w:space="0" w:sz="8" w:val="single"/>
              <w:left w:val="nil"/>
              <w:bottom w:color="00000A" w:space="0" w:sz="8" w:val="single"/>
              <w:right w:color="00000A" w:space="0" w:sz="4"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MARCA</w:t>
            </w:r>
          </w:p>
        </w:tc>
        <w:tc>
          <w:tcPr>
            <w:tcW w:type="dxa" w:w="1032"/>
            <w:tcBorders>
              <w:top w:color="00000A" w:space="0" w:sz="8" w:val="single"/>
              <w:left w:val="nil"/>
              <w:bottom w:color="00000A" w:space="0" w:sz="8" w:val="single"/>
              <w:right w:color="00000A" w:space="0" w:sz="4"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MODELO</w:t>
            </w:r>
          </w:p>
        </w:tc>
        <w:tc>
          <w:tcPr>
            <w:tcW w:type="dxa" w:w="697"/>
            <w:tcBorders>
              <w:top w:color="00000A" w:space="0" w:sz="8" w:val="single"/>
              <w:left w:val="nil"/>
              <w:bottom w:color="00000A" w:space="0" w:sz="8" w:val="single"/>
              <w:right w:color="00000A" w:space="0" w:sz="4"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AÑO</w:t>
            </w:r>
          </w:p>
        </w:tc>
        <w:tc>
          <w:tcPr>
            <w:tcW w:type="dxa" w:w="1552"/>
            <w:tcBorders>
              <w:top w:color="00000A" w:space="0" w:sz="8" w:val="single"/>
              <w:left w:val="nil"/>
              <w:bottom w:color="00000A" w:space="0" w:sz="8" w:val="single"/>
              <w:right w:color="00000A" w:space="0" w:sz="4"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COMBUSTIBLE</w:t>
            </w:r>
          </w:p>
        </w:tc>
        <w:tc>
          <w:tcPr>
            <w:tcW w:type="dxa" w:w="1714"/>
            <w:tcBorders>
              <w:top w:color="00000A" w:space="0" w:sz="8" w:val="single"/>
              <w:left w:val="nil"/>
              <w:bottom w:color="00000A" w:space="0" w:sz="8" w:val="single"/>
              <w:right w:color="00000A" w:space="0" w:sz="8"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KILOMETRAJE</w:t>
            </w:r>
          </w:p>
        </w:tc>
      </w:tr>
      <w:tr>
        <w:trPr>
          <w:trHeight w:hRule="atLeast" w:val="300"/>
          <w:cantSplit w:val="false"/>
        </w:trPr>
        <w:tc>
          <w:tcPr>
            <w:tcW w:type="dxa" w:w="1355"/>
            <w:vMerge w:val="restart"/>
            <w:tcBorders>
              <w:top w:val="nil"/>
              <w:left w:color="00000A" w:space="0" w:sz="8" w:val="single"/>
              <w:bottom w:color="000001" w:space="0" w:sz="8" w:val="single"/>
              <w:right w:color="00000A" w:space="0" w:sz="4" w:val="single"/>
            </w:tcBorders>
            <w:shd w:fill="FFFFFF" w:val="clear"/>
            <w:tcMar>
              <w:left w:type="dxa" w:w="40"/>
            </w:tcMar>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2</w:t>
            </w:r>
          </w:p>
        </w:tc>
        <w:tc>
          <w:tcPr>
            <w:tcW w:type="dxa" w:w="1407"/>
            <w:vMerge w:val="restart"/>
            <w:tcBorders>
              <w:top w:val="nil"/>
              <w:left w:color="00000A" w:space="0" w:sz="4" w:val="single"/>
              <w:bottom w:color="000001" w:space="0" w:sz="8" w:val="single"/>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CAMIONETA</w:t>
            </w:r>
          </w:p>
        </w:tc>
        <w:tc>
          <w:tcPr>
            <w:tcW w:type="dxa" w:w="1126"/>
            <w:vMerge w:val="restart"/>
            <w:tcBorders>
              <w:top w:val="nil"/>
              <w:left w:color="00000A" w:space="0" w:sz="4" w:val="single"/>
              <w:bottom w:color="000001" w:space="0" w:sz="8" w:val="single"/>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PEUGEOT</w:t>
            </w:r>
          </w:p>
        </w:tc>
        <w:tc>
          <w:tcPr>
            <w:tcW w:type="dxa" w:w="1032"/>
            <w:vMerge w:val="restart"/>
            <w:tcBorders>
              <w:top w:val="nil"/>
              <w:left w:color="00000A" w:space="0" w:sz="4" w:val="single"/>
              <w:bottom w:color="000001" w:space="0" w:sz="8" w:val="single"/>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308 SW 1.4 T9</w:t>
            </w:r>
          </w:p>
        </w:tc>
        <w:tc>
          <w:tcPr>
            <w:tcW w:type="dxa" w:w="697"/>
            <w:vMerge w:val="restart"/>
            <w:tcBorders>
              <w:top w:val="nil"/>
              <w:left w:color="00000A" w:space="0" w:sz="4" w:val="single"/>
              <w:bottom w:color="000001" w:space="0" w:sz="8" w:val="single"/>
              <w:right w:color="00000A" w:space="0" w:sz="4" w:val="single"/>
            </w:tcBorders>
            <w:shd w:fill="FFFFFF" w:val="clear"/>
            <w:tcMar>
              <w:left w:type="dxa" w:w="55"/>
            </w:tcMar>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2018</w:t>
            </w:r>
          </w:p>
        </w:tc>
        <w:tc>
          <w:tcPr>
            <w:tcW w:type="dxa" w:w="1552"/>
            <w:vMerge w:val="restart"/>
            <w:tcBorders>
              <w:top w:val="nil"/>
              <w:left w:color="00000A" w:space="0" w:sz="4" w:val="single"/>
              <w:bottom w:color="000001" w:space="0" w:sz="8" w:val="single"/>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NAFTA</w:t>
            </w:r>
          </w:p>
        </w:tc>
        <w:tc>
          <w:tcPr>
            <w:tcW w:type="dxa" w:w="1714"/>
            <w:tcBorders>
              <w:top w:val="nil"/>
              <w:left w:val="nil"/>
              <w:bottom w:color="00000A" w:space="0" w:sz="4" w:val="single"/>
              <w:right w:color="00000A" w:space="0" w:sz="8"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84000</w:t>
            </w:r>
          </w:p>
        </w:tc>
      </w:tr>
      <w:tr>
        <w:trPr>
          <w:trHeight w:hRule="atLeast" w:val="315"/>
          <w:cantSplit w:val="false"/>
        </w:trPr>
        <w:tc>
          <w:tcPr>
            <w:tcW w:type="dxa" w:w="1355"/>
            <w:vMerge w:val="continue"/>
            <w:tcBorders>
              <w:top w:val="nil"/>
              <w:left w:color="00000A" w:space="0" w:sz="8" w:val="single"/>
              <w:bottom w:color="000001" w:space="0" w:sz="8" w:val="single"/>
              <w:right w:color="00000A" w:space="0" w:sz="4" w:val="single"/>
            </w:tcBorders>
            <w:shd w:fill="FFFFFF" w:val="clear"/>
            <w:tcMar>
              <w:left w:type="dxa" w:w="40"/>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407"/>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126"/>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032"/>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697"/>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552"/>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714"/>
            <w:tcBorders>
              <w:top w:val="nil"/>
              <w:left w:val="nil"/>
              <w:bottom w:color="00000A" w:space="0" w:sz="8" w:val="single"/>
              <w:right w:color="00000A" w:space="0" w:sz="8"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42000</w:t>
            </w:r>
          </w:p>
        </w:tc>
      </w:tr>
      <w:tr>
        <w:trPr>
          <w:trHeight w:hRule="atLeast" w:val="300"/>
          <w:cantSplit w:val="false"/>
        </w:trPr>
        <w:tc>
          <w:tcPr>
            <w:tcW w:type="dxa" w:w="1355"/>
            <w:vMerge w:val="restart"/>
            <w:tcBorders>
              <w:top w:val="nil"/>
              <w:left w:color="00000A" w:space="0" w:sz="8" w:val="single"/>
              <w:bottom w:color="000001" w:space="0" w:sz="8" w:val="single"/>
              <w:right w:color="00000A" w:space="0" w:sz="4" w:val="single"/>
            </w:tcBorders>
            <w:shd w:fill="FFFFFF" w:val="clear"/>
            <w:tcMar>
              <w:left w:type="dxa" w:w="40"/>
            </w:tcMar>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2</w:t>
            </w:r>
          </w:p>
        </w:tc>
        <w:tc>
          <w:tcPr>
            <w:tcW w:type="dxa" w:w="1407"/>
            <w:vMerge w:val="restart"/>
            <w:tcBorders>
              <w:top w:val="nil"/>
              <w:left w:color="00000A" w:space="0" w:sz="4" w:val="single"/>
              <w:bottom w:color="000001" w:space="0" w:sz="8" w:val="single"/>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AUTOMÓVIL</w:t>
            </w:r>
          </w:p>
        </w:tc>
        <w:tc>
          <w:tcPr>
            <w:tcW w:type="dxa" w:w="1126"/>
            <w:vMerge w:val="restart"/>
            <w:tcBorders>
              <w:top w:val="nil"/>
              <w:left w:color="00000A" w:space="0" w:sz="4" w:val="single"/>
              <w:bottom w:color="000001" w:space="0" w:sz="8" w:val="single"/>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xml:space="preserve">PEUGEOT </w:t>
            </w:r>
          </w:p>
        </w:tc>
        <w:tc>
          <w:tcPr>
            <w:tcW w:type="dxa" w:w="1032"/>
            <w:vMerge w:val="restart"/>
            <w:tcBorders>
              <w:top w:val="nil"/>
              <w:left w:color="00000A" w:space="0" w:sz="4" w:val="single"/>
              <w:bottom w:color="000001" w:space="0" w:sz="8" w:val="single"/>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301 SEDAN</w:t>
            </w:r>
          </w:p>
        </w:tc>
        <w:tc>
          <w:tcPr>
            <w:tcW w:type="dxa" w:w="697"/>
            <w:vMerge w:val="restart"/>
            <w:tcBorders>
              <w:top w:val="nil"/>
              <w:left w:color="00000A" w:space="0" w:sz="4" w:val="single"/>
              <w:bottom w:color="000001" w:space="0" w:sz="8" w:val="single"/>
              <w:right w:color="00000A" w:space="0" w:sz="4" w:val="single"/>
            </w:tcBorders>
            <w:shd w:fill="FFFFFF" w:val="clear"/>
            <w:tcMar>
              <w:left w:type="dxa" w:w="55"/>
            </w:tcMar>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2018</w:t>
            </w:r>
          </w:p>
        </w:tc>
        <w:tc>
          <w:tcPr>
            <w:tcW w:type="dxa" w:w="1552"/>
            <w:vMerge w:val="restart"/>
            <w:tcBorders>
              <w:top w:val="nil"/>
              <w:left w:color="00000A" w:space="0" w:sz="4" w:val="single"/>
              <w:bottom w:color="000001" w:space="0" w:sz="8" w:val="single"/>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NAFTA</w:t>
            </w:r>
          </w:p>
        </w:tc>
        <w:tc>
          <w:tcPr>
            <w:tcW w:type="dxa" w:w="1714"/>
            <w:tcBorders>
              <w:top w:val="nil"/>
              <w:left w:val="nil"/>
              <w:bottom w:color="00000A" w:space="0" w:sz="4" w:val="single"/>
              <w:right w:color="00000A" w:space="0" w:sz="8"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56000</w:t>
            </w:r>
          </w:p>
        </w:tc>
      </w:tr>
      <w:tr>
        <w:trPr>
          <w:trHeight w:hRule="atLeast" w:val="315"/>
          <w:cantSplit w:val="false"/>
        </w:trPr>
        <w:tc>
          <w:tcPr>
            <w:tcW w:type="dxa" w:w="1355"/>
            <w:vMerge w:val="continue"/>
            <w:tcBorders>
              <w:top w:val="nil"/>
              <w:left w:color="00000A" w:space="0" w:sz="8" w:val="single"/>
              <w:bottom w:color="000001" w:space="0" w:sz="8" w:val="single"/>
              <w:right w:color="00000A" w:space="0" w:sz="4" w:val="single"/>
            </w:tcBorders>
            <w:shd w:fill="FFFFFF" w:val="clear"/>
            <w:tcMar>
              <w:left w:type="dxa" w:w="40"/>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407"/>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126"/>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032"/>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697"/>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552"/>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714"/>
            <w:tcBorders>
              <w:top w:val="nil"/>
              <w:left w:val="nil"/>
              <w:bottom w:color="00000A" w:space="0" w:sz="8" w:val="single"/>
              <w:right w:color="00000A" w:space="0" w:sz="8"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52000</w:t>
            </w:r>
          </w:p>
        </w:tc>
      </w:tr>
      <w:tr>
        <w:trPr>
          <w:trHeight w:hRule="atLeast" w:val="300"/>
          <w:cantSplit w:val="false"/>
        </w:trPr>
        <w:tc>
          <w:tcPr>
            <w:tcW w:type="dxa" w:w="1355"/>
            <w:vMerge w:val="restart"/>
            <w:tcBorders>
              <w:top w:val="nil"/>
              <w:left w:color="00000A" w:space="0" w:sz="8" w:val="single"/>
              <w:bottom w:color="000001" w:space="0" w:sz="8" w:val="single"/>
              <w:right w:color="00000A" w:space="0" w:sz="4" w:val="single"/>
            </w:tcBorders>
            <w:shd w:fill="FFFFFF" w:val="clear"/>
            <w:tcMar>
              <w:left w:type="dxa" w:w="40"/>
            </w:tcMar>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6</w:t>
            </w:r>
          </w:p>
        </w:tc>
        <w:tc>
          <w:tcPr>
            <w:tcW w:type="dxa" w:w="1407"/>
            <w:vMerge w:val="restart"/>
            <w:tcBorders>
              <w:top w:val="nil"/>
              <w:left w:color="00000A" w:space="0" w:sz="4" w:val="single"/>
              <w:bottom w:color="000001" w:space="0" w:sz="8" w:val="single"/>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CAMIONETA</w:t>
            </w:r>
          </w:p>
        </w:tc>
        <w:tc>
          <w:tcPr>
            <w:tcW w:type="dxa" w:w="1126"/>
            <w:vMerge w:val="restart"/>
            <w:tcBorders>
              <w:top w:val="nil"/>
              <w:left w:color="00000A" w:space="0" w:sz="4" w:val="single"/>
              <w:bottom w:color="000001" w:space="0" w:sz="8" w:val="single"/>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PEUGEOT</w:t>
            </w:r>
          </w:p>
        </w:tc>
        <w:tc>
          <w:tcPr>
            <w:tcW w:type="dxa" w:w="1032"/>
            <w:vMerge w:val="restart"/>
            <w:tcBorders>
              <w:top w:val="nil"/>
              <w:left w:color="00000A" w:space="0" w:sz="4" w:val="single"/>
              <w:bottom w:color="000001" w:space="0" w:sz="8" w:val="single"/>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PARTNER M 59</w:t>
            </w:r>
          </w:p>
        </w:tc>
        <w:tc>
          <w:tcPr>
            <w:tcW w:type="dxa" w:w="697"/>
            <w:vMerge w:val="restart"/>
            <w:tcBorders>
              <w:top w:val="nil"/>
              <w:left w:color="00000A" w:space="0" w:sz="4" w:val="single"/>
              <w:bottom w:color="000001" w:space="0" w:sz="8" w:val="single"/>
              <w:right w:color="00000A" w:space="0" w:sz="4" w:val="single"/>
            </w:tcBorders>
            <w:shd w:fill="FFFFFF" w:val="clear"/>
            <w:tcMar>
              <w:left w:type="dxa" w:w="55"/>
            </w:tcMar>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2018</w:t>
            </w:r>
          </w:p>
        </w:tc>
        <w:tc>
          <w:tcPr>
            <w:tcW w:type="dxa" w:w="1552"/>
            <w:vMerge w:val="restart"/>
            <w:tcBorders>
              <w:top w:val="nil"/>
              <w:left w:color="00000A" w:space="0" w:sz="4" w:val="single"/>
              <w:bottom w:color="000001" w:space="0" w:sz="8" w:val="single"/>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NAFTA</w:t>
            </w:r>
          </w:p>
        </w:tc>
        <w:tc>
          <w:tcPr>
            <w:tcW w:type="dxa" w:w="1714"/>
            <w:tcBorders>
              <w:top w:val="nil"/>
              <w:left w:val="nil"/>
              <w:bottom w:color="00000A" w:space="0" w:sz="4" w:val="single"/>
              <w:right w:color="00000A" w:space="0" w:sz="8"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33000</w:t>
            </w:r>
          </w:p>
        </w:tc>
      </w:tr>
      <w:tr>
        <w:trPr>
          <w:trHeight w:hRule="atLeast" w:val="300"/>
          <w:cantSplit w:val="false"/>
        </w:trPr>
        <w:tc>
          <w:tcPr>
            <w:tcW w:type="dxa" w:w="1355"/>
            <w:vMerge w:val="continue"/>
            <w:tcBorders>
              <w:top w:val="nil"/>
              <w:left w:color="00000A" w:space="0" w:sz="8" w:val="single"/>
              <w:bottom w:color="000001" w:space="0" w:sz="8" w:val="single"/>
              <w:right w:color="00000A" w:space="0" w:sz="4" w:val="single"/>
            </w:tcBorders>
            <w:shd w:fill="FFFFFF" w:val="clear"/>
            <w:tcMar>
              <w:left w:type="dxa" w:w="40"/>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407"/>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126"/>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032"/>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697"/>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552"/>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714"/>
            <w:tcBorders>
              <w:top w:val="nil"/>
              <w:left w:val="nil"/>
              <w:bottom w:color="00000A" w:space="0" w:sz="4" w:val="single"/>
              <w:right w:color="00000A" w:space="0" w:sz="8"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35000</w:t>
            </w:r>
          </w:p>
        </w:tc>
      </w:tr>
      <w:tr>
        <w:trPr>
          <w:trHeight w:hRule="atLeast" w:val="300"/>
          <w:cantSplit w:val="false"/>
        </w:trPr>
        <w:tc>
          <w:tcPr>
            <w:tcW w:type="dxa" w:w="1355"/>
            <w:vMerge w:val="continue"/>
            <w:tcBorders>
              <w:top w:val="nil"/>
              <w:left w:color="00000A" w:space="0" w:sz="8" w:val="single"/>
              <w:bottom w:color="000001" w:space="0" w:sz="8" w:val="single"/>
              <w:right w:color="00000A" w:space="0" w:sz="4" w:val="single"/>
            </w:tcBorders>
            <w:shd w:fill="FFFFFF" w:val="clear"/>
            <w:tcMar>
              <w:left w:type="dxa" w:w="40"/>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407"/>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126"/>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032"/>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697"/>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552"/>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714"/>
            <w:tcBorders>
              <w:top w:val="nil"/>
              <w:left w:val="nil"/>
              <w:bottom w:color="00000A" w:space="0" w:sz="4" w:val="single"/>
              <w:right w:color="00000A" w:space="0" w:sz="8"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33000</w:t>
            </w:r>
          </w:p>
        </w:tc>
      </w:tr>
      <w:tr>
        <w:trPr>
          <w:trHeight w:hRule="atLeast" w:val="300"/>
          <w:cantSplit w:val="false"/>
        </w:trPr>
        <w:tc>
          <w:tcPr>
            <w:tcW w:type="dxa" w:w="1355"/>
            <w:vMerge w:val="continue"/>
            <w:tcBorders>
              <w:top w:val="nil"/>
              <w:left w:color="00000A" w:space="0" w:sz="8" w:val="single"/>
              <w:bottom w:color="000001" w:space="0" w:sz="8" w:val="single"/>
              <w:right w:color="00000A" w:space="0" w:sz="4" w:val="single"/>
            </w:tcBorders>
            <w:shd w:fill="FFFFFF" w:val="clear"/>
            <w:tcMar>
              <w:left w:type="dxa" w:w="40"/>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407"/>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126"/>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032"/>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697"/>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552"/>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714"/>
            <w:tcBorders>
              <w:top w:val="nil"/>
              <w:left w:val="nil"/>
              <w:bottom w:color="00000A" w:space="0" w:sz="4" w:val="single"/>
              <w:right w:color="00000A" w:space="0" w:sz="8"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36000</w:t>
            </w:r>
          </w:p>
        </w:tc>
      </w:tr>
      <w:tr>
        <w:trPr>
          <w:trHeight w:hRule="atLeast" w:val="300"/>
          <w:cantSplit w:val="false"/>
        </w:trPr>
        <w:tc>
          <w:tcPr>
            <w:tcW w:type="dxa" w:w="1355"/>
            <w:vMerge w:val="continue"/>
            <w:tcBorders>
              <w:top w:val="nil"/>
              <w:left w:color="00000A" w:space="0" w:sz="8" w:val="single"/>
              <w:bottom w:color="000001" w:space="0" w:sz="8" w:val="single"/>
              <w:right w:color="00000A" w:space="0" w:sz="4" w:val="single"/>
            </w:tcBorders>
            <w:shd w:fill="FFFFFF" w:val="clear"/>
            <w:tcMar>
              <w:left w:type="dxa" w:w="40"/>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407"/>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126"/>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032"/>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697"/>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552"/>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714"/>
            <w:tcBorders>
              <w:top w:val="nil"/>
              <w:left w:val="nil"/>
              <w:bottom w:color="00000A" w:space="0" w:sz="4" w:val="single"/>
              <w:right w:color="00000A" w:space="0" w:sz="8"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30000</w:t>
            </w:r>
          </w:p>
        </w:tc>
      </w:tr>
      <w:tr>
        <w:trPr>
          <w:trHeight w:hRule="atLeast" w:val="315"/>
          <w:cantSplit w:val="false"/>
        </w:trPr>
        <w:tc>
          <w:tcPr>
            <w:tcW w:type="dxa" w:w="1355"/>
            <w:vMerge w:val="continue"/>
            <w:tcBorders>
              <w:top w:val="nil"/>
              <w:left w:color="00000A" w:space="0" w:sz="8" w:val="single"/>
              <w:bottom w:color="000001" w:space="0" w:sz="8" w:val="single"/>
              <w:right w:color="00000A" w:space="0" w:sz="4" w:val="single"/>
            </w:tcBorders>
            <w:shd w:fill="FFFFFF" w:val="clear"/>
            <w:tcMar>
              <w:left w:type="dxa" w:w="40"/>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407"/>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126"/>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032"/>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697"/>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552"/>
            <w:vMerge w:val="continue"/>
            <w:tcBorders>
              <w:top w:val="nil"/>
              <w:left w:color="00000A" w:space="0" w:sz="4" w:val="single"/>
              <w:bottom w:color="000001" w:space="0" w:sz="8"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714"/>
            <w:tcBorders>
              <w:top w:val="nil"/>
              <w:left w:val="nil"/>
              <w:bottom w:color="00000A" w:space="0" w:sz="8" w:val="single"/>
              <w:right w:color="00000A" w:space="0" w:sz="8"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16000</w:t>
            </w:r>
          </w:p>
        </w:tc>
      </w:tr>
      <w:tr>
        <w:trPr>
          <w:trHeight w:hRule="atLeast" w:val="315"/>
          <w:cantSplit w:val="false"/>
        </w:trPr>
        <w:tc>
          <w:tcPr>
            <w:tcW w:type="dxa" w:w="1355"/>
            <w:tcBorders>
              <w:top w:val="nil"/>
              <w:left w:color="00000A" w:space="0" w:sz="8" w:val="single"/>
              <w:bottom w:color="00000A" w:space="0" w:sz="8" w:val="single"/>
              <w:right w:color="00000A" w:space="0" w:sz="4" w:val="single"/>
            </w:tcBorders>
            <w:shd w:fill="FFFFFF" w:val="clear"/>
            <w:tcMar>
              <w:left w:type="dxa" w:w="40"/>
            </w:tcMar>
            <w:vAlign w:val="bottom"/>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1</w:t>
            </w:r>
          </w:p>
        </w:tc>
        <w:tc>
          <w:tcPr>
            <w:tcW w:type="dxa" w:w="1407"/>
            <w:tcBorders>
              <w:top w:val="nil"/>
              <w:left w:val="nil"/>
              <w:bottom w:color="00000A" w:space="0" w:sz="8"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CAMIONETA</w:t>
            </w:r>
          </w:p>
        </w:tc>
        <w:tc>
          <w:tcPr>
            <w:tcW w:type="dxa" w:w="1126"/>
            <w:tcBorders>
              <w:top w:val="nil"/>
              <w:left w:val="nil"/>
              <w:bottom w:color="00000A" w:space="0" w:sz="8"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PEUGEOT</w:t>
            </w:r>
          </w:p>
        </w:tc>
        <w:tc>
          <w:tcPr>
            <w:tcW w:type="dxa" w:w="1032"/>
            <w:tcBorders>
              <w:top w:val="nil"/>
              <w:left w:val="nil"/>
              <w:bottom w:color="00000A" w:space="0" w:sz="8"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PARTNER B9</w:t>
            </w:r>
          </w:p>
        </w:tc>
        <w:tc>
          <w:tcPr>
            <w:tcW w:type="dxa" w:w="697"/>
            <w:tcBorders>
              <w:top w:val="nil"/>
              <w:left w:val="nil"/>
              <w:bottom w:color="00000A" w:space="0" w:sz="8" w:val="single"/>
              <w:right w:color="00000A" w:space="0" w:sz="4" w:val="single"/>
            </w:tcBorders>
            <w:shd w:fill="FFFFFF" w:val="clear"/>
            <w:tcMar>
              <w:left w:type="dxa" w:w="70"/>
            </w:tcMar>
            <w:vAlign w:val="bottom"/>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2018</w:t>
            </w:r>
          </w:p>
        </w:tc>
        <w:tc>
          <w:tcPr>
            <w:tcW w:type="dxa" w:w="1552"/>
            <w:tcBorders>
              <w:top w:val="nil"/>
              <w:left w:val="nil"/>
              <w:bottom w:color="00000A" w:space="0" w:sz="8"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NAFTA</w:t>
            </w:r>
          </w:p>
        </w:tc>
        <w:tc>
          <w:tcPr>
            <w:tcW w:type="dxa" w:w="1714"/>
            <w:tcBorders>
              <w:top w:val="nil"/>
              <w:left w:val="nil"/>
              <w:bottom w:color="00000A" w:space="0" w:sz="8" w:val="single"/>
              <w:right w:color="00000A" w:space="0" w:sz="8"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25000</w:t>
            </w:r>
          </w:p>
        </w:tc>
      </w:tr>
      <w:tr>
        <w:trPr>
          <w:trHeight w:hRule="atLeast" w:val="315"/>
          <w:cantSplit w:val="false"/>
        </w:trPr>
        <w:tc>
          <w:tcPr>
            <w:tcW w:type="dxa" w:w="1355"/>
            <w:tcBorders>
              <w:top w:val="nil"/>
              <w:left w:color="00000A" w:space="0" w:sz="8" w:val="single"/>
              <w:bottom w:color="00000A" w:space="0" w:sz="8" w:val="single"/>
              <w:right w:color="00000A" w:space="0" w:sz="4" w:val="single"/>
            </w:tcBorders>
            <w:shd w:fill="FFFFFF" w:val="clear"/>
            <w:tcMar>
              <w:left w:type="dxa" w:w="40"/>
            </w:tcMar>
            <w:vAlign w:val="bottom"/>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1</w:t>
            </w:r>
          </w:p>
        </w:tc>
        <w:tc>
          <w:tcPr>
            <w:tcW w:type="dxa" w:w="1407"/>
            <w:tcBorders>
              <w:top w:val="nil"/>
              <w:left w:val="nil"/>
              <w:bottom w:color="00000A" w:space="0" w:sz="8"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CAMIONETA</w:t>
            </w:r>
          </w:p>
        </w:tc>
        <w:tc>
          <w:tcPr>
            <w:tcW w:type="dxa" w:w="1126"/>
            <w:tcBorders>
              <w:top w:val="nil"/>
              <w:left w:val="nil"/>
              <w:bottom w:color="00000A" w:space="0" w:sz="8"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PEUGEOT</w:t>
            </w:r>
          </w:p>
        </w:tc>
        <w:tc>
          <w:tcPr>
            <w:tcW w:type="dxa" w:w="1032"/>
            <w:tcBorders>
              <w:top w:val="nil"/>
              <w:left w:val="nil"/>
              <w:bottom w:color="00000A" w:space="0" w:sz="8"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BOXER L2 H2</w:t>
            </w:r>
          </w:p>
        </w:tc>
        <w:tc>
          <w:tcPr>
            <w:tcW w:type="dxa" w:w="697"/>
            <w:tcBorders>
              <w:top w:val="nil"/>
              <w:left w:val="nil"/>
              <w:bottom w:color="00000A" w:space="0" w:sz="8" w:val="single"/>
              <w:right w:color="00000A" w:space="0" w:sz="4" w:val="single"/>
            </w:tcBorders>
            <w:shd w:fill="FFFFFF" w:val="clear"/>
            <w:tcMar>
              <w:left w:type="dxa" w:w="70"/>
            </w:tcMar>
            <w:vAlign w:val="bottom"/>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2018</w:t>
            </w:r>
          </w:p>
        </w:tc>
        <w:tc>
          <w:tcPr>
            <w:tcW w:type="dxa" w:w="1552"/>
            <w:tcBorders>
              <w:top w:val="nil"/>
              <w:left w:val="nil"/>
              <w:bottom w:color="00000A" w:space="0" w:sz="8"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GAS OIL</w:t>
            </w:r>
          </w:p>
        </w:tc>
        <w:tc>
          <w:tcPr>
            <w:tcW w:type="dxa" w:w="1714"/>
            <w:tcBorders>
              <w:top w:val="nil"/>
              <w:left w:val="nil"/>
              <w:bottom w:color="00000A" w:space="0" w:sz="8" w:val="single"/>
              <w:right w:color="00000A" w:space="0" w:sz="8"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53000</w:t>
            </w:r>
          </w:p>
        </w:tc>
      </w:tr>
      <w:tr>
        <w:trPr>
          <w:trHeight w:hRule="atLeast" w:val="315"/>
          <w:cantSplit w:val="false"/>
        </w:trPr>
        <w:tc>
          <w:tcPr>
            <w:tcW w:type="dxa" w:w="1355"/>
            <w:tcBorders>
              <w:top w:val="nil"/>
              <w:left w:color="00000A" w:space="0" w:sz="8" w:val="single"/>
              <w:bottom w:color="00000A" w:space="0" w:sz="8" w:val="single"/>
              <w:right w:color="00000A" w:space="0" w:sz="4" w:val="single"/>
            </w:tcBorders>
            <w:shd w:fill="FFFFFF" w:val="clear"/>
            <w:tcMar>
              <w:left w:type="dxa" w:w="40"/>
            </w:tcMar>
            <w:vAlign w:val="bottom"/>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1</w:t>
            </w:r>
          </w:p>
        </w:tc>
        <w:tc>
          <w:tcPr>
            <w:tcW w:type="dxa" w:w="1407"/>
            <w:tcBorders>
              <w:top w:val="nil"/>
              <w:left w:val="nil"/>
              <w:bottom w:color="00000A" w:space="0" w:sz="8"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CAMIONETA</w:t>
            </w:r>
          </w:p>
        </w:tc>
        <w:tc>
          <w:tcPr>
            <w:tcW w:type="dxa" w:w="1126"/>
            <w:tcBorders>
              <w:top w:val="nil"/>
              <w:left w:val="nil"/>
              <w:bottom w:color="00000A" w:space="0" w:sz="8"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BRILLANCE</w:t>
            </w:r>
          </w:p>
        </w:tc>
        <w:tc>
          <w:tcPr>
            <w:tcW w:type="dxa" w:w="1032"/>
            <w:tcBorders>
              <w:top w:val="nil"/>
              <w:left w:val="nil"/>
              <w:bottom w:color="00000A" w:space="0" w:sz="8"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JIN BEI de 9 pasajeros</w:t>
            </w:r>
          </w:p>
        </w:tc>
        <w:tc>
          <w:tcPr>
            <w:tcW w:type="dxa" w:w="697"/>
            <w:tcBorders>
              <w:top w:val="nil"/>
              <w:left w:val="nil"/>
              <w:bottom w:color="00000A" w:space="0" w:sz="8" w:val="single"/>
              <w:right w:color="00000A" w:space="0" w:sz="4" w:val="single"/>
            </w:tcBorders>
            <w:shd w:fill="FFFFFF" w:val="clear"/>
            <w:tcMar>
              <w:left w:type="dxa" w:w="70"/>
            </w:tcMar>
            <w:vAlign w:val="bottom"/>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2018</w:t>
            </w:r>
          </w:p>
        </w:tc>
        <w:tc>
          <w:tcPr>
            <w:tcW w:type="dxa" w:w="1552"/>
            <w:tcBorders>
              <w:top w:val="nil"/>
              <w:left w:val="nil"/>
              <w:bottom w:color="00000A" w:space="0" w:sz="8"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NAFTA</w:t>
            </w:r>
          </w:p>
        </w:tc>
        <w:tc>
          <w:tcPr>
            <w:tcW w:type="dxa" w:w="1714"/>
            <w:tcBorders>
              <w:top w:val="nil"/>
              <w:left w:val="nil"/>
              <w:bottom w:color="00000A" w:space="0" w:sz="8" w:val="single"/>
              <w:right w:color="00000A" w:space="0" w:sz="8"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11000</w:t>
            </w:r>
          </w:p>
        </w:tc>
      </w:tr>
      <w:tr>
        <w:trPr>
          <w:trHeight w:hRule="atLeast" w:val="300"/>
          <w:cantSplit w:val="false"/>
        </w:trPr>
        <w:tc>
          <w:tcPr>
            <w:tcW w:type="dxa" w:w="1355"/>
            <w:vMerge w:val="restart"/>
            <w:tcBorders>
              <w:top w:color="00000A" w:space="0" w:sz="8" w:val="single"/>
              <w:left w:color="00000A" w:space="0" w:sz="8" w:val="single"/>
              <w:bottom w:val="nil"/>
              <w:right w:color="00000A" w:space="0" w:sz="4" w:val="single"/>
            </w:tcBorders>
            <w:shd w:fill="FFFFFF" w:val="clear"/>
            <w:tcMar>
              <w:left w:type="dxa" w:w="40"/>
            </w:tcMar>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2</w:t>
            </w:r>
          </w:p>
        </w:tc>
        <w:tc>
          <w:tcPr>
            <w:tcW w:type="dxa" w:w="1407"/>
            <w:vMerge w:val="restart"/>
            <w:tcBorders>
              <w:top w:color="00000A" w:space="0" w:sz="8" w:val="single"/>
              <w:left w:color="00000A" w:space="0" w:sz="4" w:val="single"/>
              <w:bottom w:val="nil"/>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CAMIONETA</w:t>
            </w:r>
          </w:p>
        </w:tc>
        <w:tc>
          <w:tcPr>
            <w:tcW w:type="dxa" w:w="1126"/>
            <w:vMerge w:val="restart"/>
            <w:tcBorders>
              <w:top w:color="00000A" w:space="0" w:sz="8" w:val="single"/>
              <w:left w:color="00000A" w:space="0" w:sz="4" w:val="single"/>
              <w:bottom w:val="nil"/>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BRILLANCE</w:t>
            </w:r>
          </w:p>
        </w:tc>
        <w:tc>
          <w:tcPr>
            <w:tcW w:type="dxa" w:w="1032"/>
            <w:vMerge w:val="restart"/>
            <w:tcBorders>
              <w:top w:color="00000A" w:space="0" w:sz="8" w:val="single"/>
              <w:left w:color="00000A" w:space="0" w:sz="4" w:val="single"/>
              <w:bottom w:val="nil"/>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V5 1.6</w:t>
            </w:r>
          </w:p>
        </w:tc>
        <w:tc>
          <w:tcPr>
            <w:tcW w:type="dxa" w:w="697"/>
            <w:vMerge w:val="restart"/>
            <w:tcBorders>
              <w:top w:color="00000A" w:space="0" w:sz="8" w:val="single"/>
              <w:left w:color="00000A" w:space="0" w:sz="4" w:val="single"/>
              <w:bottom w:val="nil"/>
              <w:right w:color="00000A" w:space="0" w:sz="4" w:val="single"/>
            </w:tcBorders>
            <w:shd w:fill="FFFFFF" w:val="clear"/>
            <w:tcMar>
              <w:left w:type="dxa" w:w="55"/>
            </w:tcMar>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2013</w:t>
            </w:r>
          </w:p>
        </w:tc>
        <w:tc>
          <w:tcPr>
            <w:tcW w:type="dxa" w:w="1552"/>
            <w:vMerge w:val="restart"/>
            <w:tcBorders>
              <w:top w:color="00000A" w:space="0" w:sz="8" w:val="single"/>
              <w:left w:color="00000A" w:space="0" w:sz="4" w:val="single"/>
              <w:bottom w:val="nil"/>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NAFTA</w:t>
            </w:r>
          </w:p>
        </w:tc>
        <w:tc>
          <w:tcPr>
            <w:tcW w:type="dxa" w:w="1714"/>
            <w:tcBorders>
              <w:top w:color="00000A" w:space="0" w:sz="8" w:val="single"/>
              <w:left w:val="nil"/>
              <w:bottom w:color="00000A" w:space="0" w:sz="4" w:val="single"/>
              <w:right w:color="00000A" w:space="0" w:sz="8"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48200</w:t>
            </w:r>
          </w:p>
        </w:tc>
      </w:tr>
      <w:tr>
        <w:trPr>
          <w:trHeight w:hRule="atLeast" w:val="315"/>
          <w:cantSplit w:val="false"/>
        </w:trPr>
        <w:tc>
          <w:tcPr>
            <w:tcW w:type="dxa" w:w="1355"/>
            <w:vMerge w:val="continue"/>
            <w:tcBorders>
              <w:top w:val="nil"/>
              <w:left w:color="00000A" w:space="0" w:sz="8" w:val="single"/>
              <w:bottom w:color="00000A" w:space="0" w:sz="4" w:val="single"/>
              <w:right w:color="00000A" w:space="0" w:sz="4" w:val="single"/>
            </w:tcBorders>
            <w:shd w:fill="FFFFFF" w:val="clear"/>
            <w:tcMar>
              <w:left w:type="dxa" w:w="40"/>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407"/>
            <w:vMerge w:val="continue"/>
            <w:tcBorders>
              <w:top w:val="nil"/>
              <w:left w:color="00000A" w:space="0" w:sz="4" w:val="single"/>
              <w:bottom w:color="00000A" w:space="0" w:sz="4"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126"/>
            <w:vMerge w:val="continue"/>
            <w:tcBorders>
              <w:top w:val="nil"/>
              <w:left w:color="00000A" w:space="0" w:sz="4" w:val="single"/>
              <w:bottom w:color="00000A" w:space="0" w:sz="4"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032"/>
            <w:vMerge w:val="continue"/>
            <w:tcBorders>
              <w:top w:val="nil"/>
              <w:left w:color="00000A" w:space="0" w:sz="4" w:val="single"/>
              <w:bottom w:color="00000A" w:space="0" w:sz="4"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697"/>
            <w:vMerge w:val="continue"/>
            <w:tcBorders>
              <w:top w:val="nil"/>
              <w:left w:color="00000A" w:space="0" w:sz="4" w:val="single"/>
              <w:bottom w:color="00000A" w:space="0" w:sz="4"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552"/>
            <w:vMerge w:val="continue"/>
            <w:tcBorders>
              <w:top w:val="nil"/>
              <w:left w:color="00000A" w:space="0" w:sz="4" w:val="single"/>
              <w:bottom w:color="00000A" w:space="0" w:sz="4"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714"/>
            <w:tcBorders>
              <w:top w:val="nil"/>
              <w:left w:val="nil"/>
              <w:bottom w:color="00000A" w:space="0" w:sz="4" w:val="single"/>
              <w:right w:color="00000A" w:space="0" w:sz="8"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50000</w:t>
            </w:r>
          </w:p>
        </w:tc>
      </w:tr>
    </w:tbl>
    <w:p>
      <w:pPr>
        <w:pStyle w:val="style0"/>
        <w:shd w:fill="FFFFFF" w:val="clear"/>
        <w:spacing w:line="276" w:lineRule="auto"/>
        <w:jc w:val="both"/>
        <w:rPr>
          <w:i/>
          <w:lang w:val="en-US"/>
        </w:rPr>
      </w:pPr>
      <w:r>
        <w:rPr>
          <w:i/>
          <w:lang w:val="en-US"/>
        </w:rPr>
      </w:r>
    </w:p>
    <w:p>
      <w:pPr>
        <w:pStyle w:val="style0"/>
        <w:shd w:fill="FFFFFF" w:val="clear"/>
        <w:spacing w:line="276" w:lineRule="auto"/>
        <w:jc w:val="both"/>
        <w:rPr>
          <w:rFonts w:eastAsia="Calibri"/>
          <w:b/>
          <w:i/>
          <w:u w:val="single"/>
          <w:lang w:val="en-US"/>
        </w:rPr>
      </w:pPr>
      <w:r>
        <w:rPr>
          <w:rFonts w:eastAsia="Calibri"/>
          <w:b/>
          <w:i/>
          <w:u w:val="single"/>
          <w:lang w:val="en-US"/>
        </w:rPr>
      </w:r>
    </w:p>
    <w:p>
      <w:pPr>
        <w:pStyle w:val="style0"/>
        <w:shd w:fill="FFFFFF" w:val="clear"/>
        <w:spacing w:line="276" w:lineRule="auto"/>
        <w:jc w:val="both"/>
        <w:rPr>
          <w:b/>
          <w:bCs/>
          <w:i/>
        </w:rPr>
      </w:pPr>
      <w:r>
        <w:rPr>
          <w:rFonts w:eastAsia="Calibri"/>
          <w:b/>
          <w:u w:val="single"/>
        </w:rPr>
        <w:t>ITEM 2.- UN SERVICIO DE MANTENIMIENTO Y REPARACION DE TALLER DE VEHICULOS EN GARANTIA</w:t>
      </w:r>
      <w:r>
        <w:rPr>
          <w:rFonts w:cs="ArialMT"/>
        </w:rPr>
        <w:t xml:space="preserve">. (Cód. SICE: </w:t>
      </w:r>
      <w:r>
        <w:rPr>
          <w:rStyle w:val="style30"/>
        </w:rPr>
        <w:t xml:space="preserve">11643) </w:t>
      </w:r>
      <w:r>
        <w:rPr>
          <w:rFonts w:cs="ArialMT"/>
        </w:rPr>
        <w:t>20.000 Km. o dos años de adquirida.-.</w:t>
      </w:r>
      <w:r>
        <w:rPr>
          <w:rFonts w:eastAsia="Calibri"/>
          <w:b/>
          <w:u w:val="single"/>
        </w:rPr>
        <w:t xml:space="preserve"> (incluye mano de obra, insumos y repuestos) </w:t>
      </w:r>
      <w:r>
        <w:rPr>
          <w:rFonts w:eastAsia="Calibri"/>
          <w:b/>
          <w:sz w:val="22"/>
          <w:szCs w:val="22"/>
          <w:u w:val="single"/>
          <w:lang w:eastAsia="en-US"/>
        </w:rPr>
        <w:t>de los siguientes vehículos</w:t>
      </w:r>
      <w:r>
        <w:rPr>
          <w:rFonts w:eastAsia="Calibri"/>
          <w:b/>
        </w:rPr>
        <w:t>:</w:t>
      </w:r>
      <w:r>
        <w:rPr>
          <w:b/>
          <w:bCs/>
          <w:i/>
        </w:rPr>
        <w:t xml:space="preserve"> TOTAL 3</w:t>
      </w:r>
    </w:p>
    <w:p>
      <w:pPr>
        <w:pStyle w:val="style0"/>
        <w:shd w:fill="FFFFFF" w:val="clear"/>
        <w:suppressAutoHyphens w:val="false"/>
        <w:spacing w:after="0" w:before="0" w:line="276" w:lineRule="auto"/>
        <w:contextualSpacing/>
        <w:jc w:val="both"/>
        <w:rPr>
          <w:rFonts w:eastAsia="Calibri"/>
          <w:i/>
          <w:sz w:val="22"/>
          <w:szCs w:val="22"/>
          <w:lang w:eastAsia="en-US"/>
        </w:rPr>
      </w:pPr>
      <w:r>
        <w:rPr>
          <w:rFonts w:eastAsia="Calibri"/>
          <w:i/>
          <w:sz w:val="22"/>
          <w:szCs w:val="22"/>
          <w:lang w:eastAsia="en-US"/>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70"/>
          <w:bottom w:type="dxa" w:w="0"/>
          <w:right w:type="dxa" w:w="70"/>
        </w:tblCellMar>
      </w:tblPr>
      <w:tblGrid>
        <w:gridCol w:w="1495"/>
        <w:gridCol w:w="1405"/>
        <w:gridCol w:w="1123"/>
        <w:gridCol w:w="993"/>
        <w:gridCol w:w="686"/>
        <w:gridCol w:w="1548"/>
        <w:gridCol w:w="1688"/>
      </w:tblGrid>
      <w:tr>
        <w:trPr>
          <w:trHeight w:hRule="atLeast" w:val="281"/>
          <w:cantSplit w:val="false"/>
        </w:trPr>
        <w:tc>
          <w:tcPr>
            <w:tcW w:type="dxa" w:w="1495"/>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CANTIDADES</w:t>
            </w:r>
          </w:p>
        </w:tc>
        <w:tc>
          <w:tcPr>
            <w:tcW w:type="dxa" w:w="1405"/>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TIPO DE VEHÍCULO</w:t>
            </w:r>
          </w:p>
        </w:tc>
        <w:tc>
          <w:tcPr>
            <w:tcW w:type="dxa" w:w="112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MARCA</w:t>
            </w:r>
          </w:p>
        </w:tc>
        <w:tc>
          <w:tcPr>
            <w:tcW w:type="dxa" w:w="99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MODELO</w:t>
            </w:r>
          </w:p>
        </w:tc>
        <w:tc>
          <w:tcPr>
            <w:tcW w:type="dxa" w:w="686"/>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AÑO</w:t>
            </w:r>
          </w:p>
        </w:tc>
        <w:tc>
          <w:tcPr>
            <w:tcW w:type="dxa" w:w="1548"/>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COMBUSTIBLE</w:t>
            </w:r>
          </w:p>
        </w:tc>
        <w:tc>
          <w:tcPr>
            <w:tcW w:type="dxa" w:w="1688"/>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rPr>
                <w:rFonts w:ascii="Calibri" w:cs="Calibri" w:hAnsi="Calibri"/>
                <w:b/>
                <w:bCs/>
                <w:color w:val="000000"/>
                <w:sz w:val="22"/>
                <w:szCs w:val="22"/>
                <w:lang w:eastAsia="es-ES"/>
              </w:rPr>
            </w:pPr>
            <w:r>
              <w:rPr>
                <w:rFonts w:ascii="Calibri" w:cs="Calibri" w:hAnsi="Calibri"/>
                <w:b/>
                <w:bCs/>
                <w:color w:val="000000"/>
                <w:sz w:val="22"/>
                <w:szCs w:val="22"/>
                <w:lang w:eastAsia="es-ES"/>
              </w:rPr>
              <w:t>KILOMETRAJE</w:t>
            </w:r>
          </w:p>
        </w:tc>
      </w:tr>
      <w:tr>
        <w:trPr>
          <w:trHeight w:hRule="atLeast" w:val="281"/>
          <w:cantSplit w:val="false"/>
        </w:trPr>
        <w:tc>
          <w:tcPr>
            <w:tcW w:type="dxa" w:w="1495"/>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1</w:t>
            </w:r>
          </w:p>
        </w:tc>
        <w:tc>
          <w:tcPr>
            <w:tcW w:type="dxa" w:w="1405"/>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AUTOMÓVIL</w:t>
            </w:r>
          </w:p>
        </w:tc>
        <w:tc>
          <w:tcPr>
            <w:tcW w:type="dxa" w:w="112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PEUGEOT</w:t>
            </w:r>
          </w:p>
        </w:tc>
        <w:tc>
          <w:tcPr>
            <w:tcW w:type="dxa" w:w="99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2008 FELINE 1.6 VTI</w:t>
            </w:r>
          </w:p>
        </w:tc>
        <w:tc>
          <w:tcPr>
            <w:tcW w:type="dxa" w:w="686"/>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jc w:val="right"/>
              <w:rPr>
                <w:rFonts w:ascii="Calibri" w:cs="Calibri" w:hAnsi="Calibri"/>
                <w:color w:val="00000A"/>
                <w:sz w:val="22"/>
                <w:szCs w:val="22"/>
                <w:lang w:eastAsia="es-ES"/>
              </w:rPr>
            </w:pPr>
            <w:r>
              <w:rPr>
                <w:rFonts w:ascii="Calibri" w:cs="Calibri" w:hAnsi="Calibri"/>
                <w:color w:val="00000A"/>
                <w:sz w:val="22"/>
                <w:szCs w:val="22"/>
                <w:lang w:eastAsia="es-ES"/>
              </w:rPr>
              <w:t>2020</w:t>
            </w:r>
          </w:p>
        </w:tc>
        <w:tc>
          <w:tcPr>
            <w:tcW w:type="dxa" w:w="1548"/>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rPr>
                <w:rFonts w:ascii="Calibri" w:cs="Calibri" w:hAnsi="Calibri"/>
                <w:color w:val="00000A"/>
                <w:sz w:val="22"/>
                <w:szCs w:val="22"/>
                <w:lang w:eastAsia="es-ES"/>
              </w:rPr>
            </w:pPr>
            <w:r>
              <w:rPr>
                <w:rFonts w:ascii="Calibri" w:cs="Calibri" w:hAnsi="Calibri"/>
                <w:color w:val="00000A"/>
                <w:sz w:val="22"/>
                <w:szCs w:val="22"/>
                <w:lang w:eastAsia="es-ES"/>
              </w:rPr>
              <w:t>NAFTA</w:t>
            </w:r>
          </w:p>
        </w:tc>
        <w:tc>
          <w:tcPr>
            <w:tcW w:type="dxa" w:w="1688"/>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10000</w:t>
            </w:r>
          </w:p>
        </w:tc>
      </w:tr>
      <w:tr>
        <w:trPr>
          <w:trHeight w:hRule="atLeast" w:val="268"/>
          <w:cantSplit w:val="false"/>
        </w:trPr>
        <w:tc>
          <w:tcPr>
            <w:tcW w:type="dxa" w:w="1495"/>
            <w:vMerge w:val="restart"/>
            <w:tcBorders>
              <w:top w:color="00000A" w:space="0" w:sz="4" w:val="single"/>
              <w:left w:color="00000A" w:space="0" w:sz="4" w:val="single"/>
              <w:bottom w:color="00000A" w:space="0" w:sz="4" w:val="single"/>
              <w:right w:color="00000A" w:space="0" w:sz="4" w:val="single"/>
            </w:tcBorders>
            <w:shd w:fill="FFFFFF" w:val="clear"/>
            <w:tcMar>
              <w:left w:type="dxa" w:w="45"/>
            </w:tcMar>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2</w:t>
            </w:r>
          </w:p>
        </w:tc>
        <w:tc>
          <w:tcPr>
            <w:tcW w:type="dxa" w:w="1405"/>
            <w:vMerge w:val="restart"/>
            <w:tcBorders>
              <w:top w:color="00000A" w:space="0" w:sz="4" w:val="single"/>
              <w:left w:color="00000A" w:space="0" w:sz="4" w:val="single"/>
              <w:bottom w:color="00000A" w:space="0" w:sz="4" w:val="single"/>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CAMIONETA</w:t>
            </w:r>
          </w:p>
        </w:tc>
        <w:tc>
          <w:tcPr>
            <w:tcW w:type="dxa" w:w="1123"/>
            <w:vMerge w:val="restart"/>
            <w:tcBorders>
              <w:top w:color="00000A" w:space="0" w:sz="4" w:val="single"/>
              <w:left w:color="00000A" w:space="0" w:sz="4" w:val="single"/>
              <w:bottom w:color="00000A" w:space="0" w:sz="4" w:val="single"/>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HYUNDAI</w:t>
            </w:r>
          </w:p>
        </w:tc>
        <w:tc>
          <w:tcPr>
            <w:tcW w:type="dxa" w:w="993"/>
            <w:vMerge w:val="restart"/>
            <w:tcBorders>
              <w:top w:color="00000A" w:space="0" w:sz="4" w:val="single"/>
              <w:left w:color="00000A" w:space="0" w:sz="4" w:val="single"/>
              <w:bottom w:color="00000A" w:space="0" w:sz="4" w:val="single"/>
              <w:right w:color="00000A" w:space="0" w:sz="4" w:val="single"/>
            </w:tcBorders>
            <w:shd w:fill="FFFFFF" w:val="clear"/>
            <w:tcMar>
              <w:left w:type="dxa" w:w="55"/>
            </w:tcMar>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H1 para 8 pasajeros</w:t>
            </w:r>
          </w:p>
        </w:tc>
        <w:tc>
          <w:tcPr>
            <w:tcW w:type="dxa" w:w="686"/>
            <w:vMerge w:val="restart"/>
            <w:tcBorders>
              <w:top w:color="00000A" w:space="0" w:sz="4" w:val="single"/>
              <w:left w:color="00000A" w:space="0" w:sz="4" w:val="single"/>
              <w:bottom w:color="00000A" w:space="0" w:sz="4" w:val="single"/>
              <w:right w:color="00000A" w:space="0" w:sz="4" w:val="single"/>
            </w:tcBorders>
            <w:shd w:fill="FFFFFF" w:val="clear"/>
            <w:tcMar>
              <w:left w:type="dxa" w:w="55"/>
            </w:tcMar>
          </w:tcPr>
          <w:p>
            <w:pPr>
              <w:pStyle w:val="style0"/>
              <w:suppressAutoHyphens w:val="false"/>
              <w:jc w:val="right"/>
              <w:rPr>
                <w:rFonts w:ascii="Calibri" w:cs="Calibri" w:hAnsi="Calibri"/>
                <w:color w:val="00000A"/>
                <w:sz w:val="22"/>
                <w:szCs w:val="22"/>
                <w:lang w:eastAsia="es-ES"/>
              </w:rPr>
            </w:pPr>
            <w:r>
              <w:rPr>
                <w:rFonts w:ascii="Calibri" w:cs="Calibri" w:hAnsi="Calibri"/>
                <w:color w:val="00000A"/>
                <w:sz w:val="22"/>
                <w:szCs w:val="22"/>
                <w:lang w:eastAsia="es-ES"/>
              </w:rPr>
              <w:t>2019</w:t>
            </w:r>
          </w:p>
        </w:tc>
        <w:tc>
          <w:tcPr>
            <w:tcW w:type="dxa" w:w="1548"/>
            <w:vMerge w:val="restart"/>
            <w:tcBorders>
              <w:top w:color="00000A" w:space="0" w:sz="4" w:val="single"/>
              <w:left w:color="00000A" w:space="0" w:sz="4" w:val="single"/>
              <w:bottom w:color="00000A" w:space="0" w:sz="4" w:val="single"/>
              <w:right w:color="00000A" w:space="0" w:sz="4" w:val="single"/>
            </w:tcBorders>
            <w:shd w:fill="FFFFFF" w:val="clear"/>
            <w:tcMar>
              <w:left w:type="dxa" w:w="55"/>
            </w:tcMar>
          </w:tcPr>
          <w:p>
            <w:pPr>
              <w:pStyle w:val="style0"/>
              <w:suppressAutoHyphens w:val="false"/>
              <w:rPr>
                <w:rFonts w:ascii="Calibri" w:cs="Calibri" w:hAnsi="Calibri"/>
                <w:color w:val="00000A"/>
                <w:sz w:val="22"/>
                <w:szCs w:val="22"/>
                <w:lang w:eastAsia="es-ES"/>
              </w:rPr>
            </w:pPr>
            <w:r>
              <w:rPr>
                <w:rFonts w:ascii="Calibri" w:cs="Calibri" w:hAnsi="Calibri"/>
                <w:color w:val="00000A"/>
                <w:sz w:val="22"/>
                <w:szCs w:val="22"/>
                <w:lang w:eastAsia="es-ES"/>
              </w:rPr>
              <w:t>NAFTA</w:t>
            </w:r>
          </w:p>
        </w:tc>
        <w:tc>
          <w:tcPr>
            <w:tcW w:type="dxa" w:w="1688"/>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7000</w:t>
            </w:r>
          </w:p>
        </w:tc>
      </w:tr>
      <w:tr>
        <w:trPr>
          <w:trHeight w:hRule="atLeast" w:val="281"/>
          <w:cantSplit w:val="false"/>
        </w:trPr>
        <w:tc>
          <w:tcPr>
            <w:tcW w:type="dxa" w:w="1495"/>
            <w:vMerge w:val="continue"/>
            <w:tcBorders>
              <w:top w:color="00000A" w:space="0" w:sz="4" w:val="single"/>
              <w:left w:color="00000A" w:space="0" w:sz="4" w:val="single"/>
              <w:bottom w:color="00000A" w:space="0" w:sz="4" w:val="single"/>
              <w:right w:color="00000A" w:space="0" w:sz="4" w:val="single"/>
            </w:tcBorders>
            <w:shd w:fill="FFFFFF" w:val="clear"/>
            <w:tcMar>
              <w:left w:type="dxa" w:w="4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405"/>
            <w:vMerge w:val="continue"/>
            <w:tcBorders>
              <w:top w:color="00000A" w:space="0" w:sz="4" w:val="single"/>
              <w:left w:color="00000A" w:space="0" w:sz="4" w:val="single"/>
              <w:bottom w:color="00000A" w:space="0" w:sz="4"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123"/>
            <w:vMerge w:val="continue"/>
            <w:tcBorders>
              <w:top w:color="00000A" w:space="0" w:sz="4" w:val="single"/>
              <w:left w:color="00000A" w:space="0" w:sz="4" w:val="single"/>
              <w:bottom w:color="00000A" w:space="0" w:sz="4"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993"/>
            <w:vMerge w:val="continue"/>
            <w:tcBorders>
              <w:top w:color="00000A" w:space="0" w:sz="4" w:val="single"/>
              <w:left w:color="00000A" w:space="0" w:sz="4" w:val="single"/>
              <w:bottom w:color="00000A" w:space="0" w:sz="4"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686"/>
            <w:vMerge w:val="continue"/>
            <w:tcBorders>
              <w:top w:color="00000A" w:space="0" w:sz="4" w:val="single"/>
              <w:left w:color="00000A" w:space="0" w:sz="4" w:val="single"/>
              <w:bottom w:color="00000A" w:space="0" w:sz="4" w:val="single"/>
              <w:right w:color="00000A" w:space="0" w:sz="4" w:val="single"/>
            </w:tcBorders>
            <w:shd w:fill="FFFFFF" w:val="clear"/>
            <w:tcMar>
              <w:left w:type="dxa" w:w="55"/>
            </w:tcMar>
            <w:vAlign w:val="center"/>
          </w:tcPr>
          <w:p>
            <w:pPr>
              <w:pStyle w:val="style0"/>
              <w:suppressAutoHyphens w:val="false"/>
              <w:rPr>
                <w:rFonts w:ascii="Calibri" w:cs="Calibri" w:hAnsi="Calibri"/>
                <w:color w:val="000000"/>
                <w:szCs w:val="22"/>
                <w:lang w:eastAsia="es-ES"/>
              </w:rPr>
            </w:pPr>
            <w:r>
              <w:rPr>
                <w:rFonts w:ascii="Calibri" w:cs="Calibri" w:hAnsi="Calibri"/>
                <w:color w:val="000000"/>
                <w:szCs w:val="22"/>
                <w:lang w:eastAsia="es-ES"/>
              </w:rPr>
            </w:r>
          </w:p>
        </w:tc>
        <w:tc>
          <w:tcPr>
            <w:tcW w:type="dxa" w:w="1548"/>
            <w:vMerge w:val="continue"/>
            <w:tcBorders>
              <w:top w:color="00000A" w:space="0" w:sz="4" w:val="single"/>
              <w:left w:color="00000A" w:space="0" w:sz="4" w:val="single"/>
              <w:bottom w:color="00000A" w:space="0" w:sz="4" w:val="single"/>
              <w:right w:color="00000A" w:space="0" w:sz="4" w:val="single"/>
            </w:tcBorders>
            <w:shd w:fill="FFFFFF" w:val="clear"/>
            <w:tcMar>
              <w:left w:type="dxa" w:w="55"/>
            </w:tcMar>
            <w:vAlign w:val="center"/>
          </w:tcPr>
          <w:p>
            <w:pPr>
              <w:pStyle w:val="style0"/>
              <w:suppressAutoHyphens w:val="false"/>
              <w:rPr>
                <w:rFonts w:ascii="Calibri" w:cs="Calibri" w:hAnsi="Calibri"/>
                <w:color w:val="FF0000"/>
                <w:szCs w:val="22"/>
                <w:lang w:eastAsia="es-ES"/>
              </w:rPr>
            </w:pPr>
            <w:r>
              <w:rPr>
                <w:rFonts w:ascii="Calibri" w:cs="Calibri" w:hAnsi="Calibri"/>
                <w:color w:val="FF0000"/>
                <w:szCs w:val="22"/>
                <w:lang w:eastAsia="es-ES"/>
              </w:rPr>
            </w:r>
          </w:p>
        </w:tc>
        <w:tc>
          <w:tcPr>
            <w:tcW w:type="dxa" w:w="1688"/>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 </w:t>
            </w:r>
            <w:r>
              <w:rPr>
                <w:rFonts w:ascii="Calibri" w:cs="Calibri" w:hAnsi="Calibri"/>
                <w:color w:val="000000"/>
                <w:sz w:val="22"/>
                <w:szCs w:val="22"/>
                <w:lang w:eastAsia="es-ES"/>
              </w:rPr>
              <w:t>10000</w:t>
            </w:r>
          </w:p>
        </w:tc>
      </w:tr>
    </w:tbl>
    <w:p>
      <w:pPr>
        <w:pStyle w:val="style0"/>
        <w:shd w:fill="FFFFFF" w:val="clear"/>
        <w:suppressAutoHyphens w:val="false"/>
        <w:spacing w:after="0" w:before="0" w:line="276" w:lineRule="auto"/>
        <w:contextualSpacing/>
        <w:jc w:val="both"/>
        <w:rPr>
          <w:rFonts w:eastAsia="Calibri"/>
          <w:i/>
          <w:sz w:val="22"/>
          <w:szCs w:val="22"/>
          <w:lang w:eastAsia="en-US"/>
        </w:rPr>
      </w:pPr>
      <w:r>
        <w:rPr>
          <w:rFonts w:eastAsia="Calibri"/>
          <w:i/>
          <w:sz w:val="22"/>
          <w:szCs w:val="22"/>
          <w:lang w:eastAsia="en-US"/>
        </w:rPr>
      </w:r>
    </w:p>
    <w:p>
      <w:pPr>
        <w:pStyle w:val="style0"/>
        <w:shd w:fill="FFFFFF" w:val="clear"/>
        <w:spacing w:line="276" w:lineRule="auto"/>
        <w:jc w:val="both"/>
        <w:rPr>
          <w:rFonts w:eastAsia="Calibri"/>
          <w:b/>
          <w:bCs/>
        </w:rPr>
      </w:pPr>
      <w:r>
        <w:rPr>
          <w:rFonts w:eastAsia="Calibri"/>
          <w:b/>
          <w:bCs/>
        </w:rPr>
      </w:r>
    </w:p>
    <w:p>
      <w:pPr>
        <w:pStyle w:val="style0"/>
        <w:shd w:fill="FFFFFF" w:val="clear"/>
        <w:spacing w:line="276" w:lineRule="auto"/>
        <w:jc w:val="both"/>
        <w:rPr>
          <w:rFonts w:eastAsia="Calibri"/>
          <w:b/>
          <w:bCs/>
          <w:u w:val="single"/>
        </w:rPr>
      </w:pPr>
      <w:r>
        <w:rPr>
          <w:rFonts w:eastAsia="Calibri"/>
          <w:b/>
          <w:bCs/>
          <w:u w:val="single"/>
        </w:rPr>
        <w:t>ÍTEM 3.</w:t>
      </w:r>
      <w:r>
        <w:rPr>
          <w:rFonts w:eastAsia="Calibri"/>
          <w:b/>
          <w:bCs/>
        </w:rPr>
        <w:t xml:space="preserve">- </w:t>
      </w:r>
      <w:r>
        <w:rPr>
          <w:rFonts w:eastAsia="Calibri"/>
          <w:b/>
          <w:bCs/>
          <w:u w:val="single"/>
        </w:rPr>
        <w:t>HASTA 20 HORAS (mano de obra) DE TALLER PARA SERVICIO DE MANTENIMIENTO Y REPARACION</w:t>
      </w:r>
      <w:r>
        <w:rPr>
          <w:rFonts w:eastAsia="Calibri"/>
          <w:b/>
          <w:bCs/>
        </w:rPr>
        <w:t xml:space="preserve"> </w:t>
      </w:r>
      <w:r>
        <w:rPr>
          <w:rFonts w:cs="ArialMT"/>
        </w:rPr>
        <w:t xml:space="preserve">(Cód. SICE: </w:t>
      </w:r>
      <w:r>
        <w:rPr>
          <w:rStyle w:val="style30"/>
        </w:rPr>
        <w:t xml:space="preserve">26534) </w:t>
      </w:r>
      <w:r>
        <w:rPr>
          <w:rFonts w:eastAsia="Calibri"/>
          <w:b/>
          <w:bCs/>
          <w:u w:val="single"/>
        </w:rPr>
        <w:t xml:space="preserve">(no incluye </w:t>
      </w:r>
      <w:r>
        <w:rPr>
          <w:rFonts w:eastAsia="Calibri"/>
          <w:b/>
          <w:u w:val="single"/>
        </w:rPr>
        <w:t>insumos y/o repuestos) de los siguientes vehículos:</w:t>
      </w:r>
      <w:r>
        <w:rPr>
          <w:rFonts w:eastAsia="Calibri"/>
          <w:b/>
          <w:i/>
        </w:rPr>
        <w:t xml:space="preserve"> TOTAL 1</w:t>
      </w:r>
      <w:r>
        <w:rPr>
          <w:rFonts w:eastAsia="Calibri"/>
          <w:b/>
          <w:bCs/>
          <w:u w:val="single"/>
        </w:rPr>
        <w:t xml:space="preserve"> </w:t>
      </w:r>
    </w:p>
    <w:p>
      <w:pPr>
        <w:pStyle w:val="style0"/>
        <w:spacing w:line="276" w:lineRule="auto"/>
        <w:jc w:val="both"/>
        <w:rPr>
          <w:rFonts w:eastAsia="Calibri"/>
          <w:i/>
        </w:rPr>
      </w:pPr>
      <w:r>
        <w:rPr>
          <w:rFonts w:eastAsia="Calibri"/>
          <w:i/>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70"/>
          <w:bottom w:type="dxa" w:w="0"/>
          <w:right w:type="dxa" w:w="70"/>
        </w:tblCellMar>
      </w:tblPr>
      <w:tblGrid>
        <w:gridCol w:w="1555"/>
        <w:gridCol w:w="1413"/>
        <w:gridCol w:w="1105"/>
        <w:gridCol w:w="1060"/>
        <w:gridCol w:w="737"/>
        <w:gridCol w:w="1459"/>
        <w:gridCol w:w="1621"/>
      </w:tblGrid>
      <w:tr>
        <w:trPr>
          <w:trHeight w:hRule="atLeast" w:val="262"/>
          <w:cantSplit w:val="false"/>
        </w:trPr>
        <w:tc>
          <w:tcPr>
            <w:tcW w:type="dxa" w:w="1555"/>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CANTIDADES</w:t>
            </w:r>
          </w:p>
        </w:tc>
        <w:tc>
          <w:tcPr>
            <w:tcW w:type="dxa" w:w="14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TIPO DE VEHÍCULO</w:t>
            </w:r>
          </w:p>
        </w:tc>
        <w:tc>
          <w:tcPr>
            <w:tcW w:type="dxa" w:w="1105"/>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MARCA</w:t>
            </w:r>
          </w:p>
        </w:tc>
        <w:tc>
          <w:tcPr>
            <w:tcW w:type="dxa" w:w="1060"/>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MODELO</w:t>
            </w:r>
          </w:p>
        </w:tc>
        <w:tc>
          <w:tcPr>
            <w:tcW w:type="dxa" w:w="73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AÑO</w:t>
            </w:r>
          </w:p>
        </w:tc>
        <w:tc>
          <w:tcPr>
            <w:tcW w:type="dxa" w:w="1459"/>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jc w:val="center"/>
              <w:rPr>
                <w:rFonts w:ascii="Calibri" w:cs="Calibri" w:hAnsi="Calibri"/>
                <w:b/>
                <w:bCs/>
                <w:color w:val="000000"/>
                <w:sz w:val="22"/>
                <w:szCs w:val="22"/>
                <w:lang w:eastAsia="es-ES"/>
              </w:rPr>
            </w:pPr>
            <w:r>
              <w:rPr>
                <w:rFonts w:ascii="Calibri" w:cs="Calibri" w:hAnsi="Calibri"/>
                <w:b/>
                <w:bCs/>
                <w:color w:val="000000"/>
                <w:sz w:val="22"/>
                <w:szCs w:val="22"/>
                <w:lang w:eastAsia="es-ES"/>
              </w:rPr>
              <w:t>COMBUSTIBLE</w:t>
            </w:r>
          </w:p>
        </w:tc>
        <w:tc>
          <w:tcPr>
            <w:tcW w:type="dxa" w:w="1621"/>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rPr>
                <w:rFonts w:ascii="Calibri" w:cs="Calibri" w:hAnsi="Calibri"/>
                <w:b/>
                <w:bCs/>
                <w:color w:val="000000"/>
                <w:sz w:val="22"/>
                <w:szCs w:val="22"/>
                <w:lang w:eastAsia="es-ES"/>
              </w:rPr>
            </w:pPr>
            <w:r>
              <w:rPr>
                <w:rFonts w:ascii="Calibri" w:cs="Calibri" w:hAnsi="Calibri"/>
                <w:b/>
                <w:bCs/>
                <w:color w:val="000000"/>
                <w:sz w:val="22"/>
                <w:szCs w:val="22"/>
                <w:lang w:eastAsia="es-ES"/>
              </w:rPr>
              <w:t>KILOMETRAJE</w:t>
            </w:r>
          </w:p>
        </w:tc>
      </w:tr>
      <w:tr>
        <w:trPr>
          <w:trHeight w:hRule="atLeast" w:val="262"/>
          <w:cantSplit w:val="false"/>
        </w:trPr>
        <w:tc>
          <w:tcPr>
            <w:tcW w:type="dxa" w:w="1555"/>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1</w:t>
            </w:r>
          </w:p>
        </w:tc>
        <w:tc>
          <w:tcPr>
            <w:tcW w:type="dxa" w:w="1413"/>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CAMIONETA</w:t>
            </w:r>
          </w:p>
        </w:tc>
        <w:tc>
          <w:tcPr>
            <w:tcW w:type="dxa" w:w="1105"/>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CITROEN</w:t>
            </w:r>
          </w:p>
        </w:tc>
        <w:tc>
          <w:tcPr>
            <w:tcW w:type="dxa" w:w="1060"/>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BERLINGO</w:t>
            </w:r>
          </w:p>
        </w:tc>
        <w:tc>
          <w:tcPr>
            <w:tcW w:type="dxa" w:w="737"/>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jc w:val="right"/>
              <w:rPr>
                <w:rFonts w:ascii="Calibri" w:cs="Calibri" w:hAnsi="Calibri"/>
                <w:color w:val="000000"/>
                <w:sz w:val="22"/>
                <w:szCs w:val="22"/>
                <w:lang w:eastAsia="es-ES"/>
              </w:rPr>
            </w:pPr>
            <w:r>
              <w:rPr>
                <w:rFonts w:ascii="Calibri" w:cs="Calibri" w:hAnsi="Calibri"/>
                <w:color w:val="000000"/>
                <w:sz w:val="22"/>
                <w:szCs w:val="22"/>
                <w:lang w:eastAsia="es-ES"/>
              </w:rPr>
              <w:t>2018</w:t>
            </w:r>
          </w:p>
        </w:tc>
        <w:tc>
          <w:tcPr>
            <w:tcW w:type="dxa" w:w="1459"/>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NAFTA</w:t>
            </w:r>
          </w:p>
        </w:tc>
        <w:tc>
          <w:tcPr>
            <w:tcW w:type="dxa" w:w="1621"/>
            <w:tcBorders>
              <w:top w:color="00000A" w:space="0" w:sz="4" w:val="single"/>
              <w:left w:color="00000A" w:space="0" w:sz="4" w:val="single"/>
              <w:bottom w:color="00000A" w:space="0" w:sz="4" w:val="single"/>
              <w:right w:color="00000A" w:space="0" w:sz="4" w:val="single"/>
            </w:tcBorders>
            <w:shd w:fill="FFFFFF" w:val="clear"/>
            <w:tcMar>
              <w:left w:type="dxa" w:w="70"/>
            </w:tcMar>
            <w:vAlign w:val="bottom"/>
          </w:tcPr>
          <w:p>
            <w:pPr>
              <w:pStyle w:val="style0"/>
              <w:suppressAutoHyphens w:val="false"/>
              <w:rPr>
                <w:rFonts w:ascii="Calibri" w:cs="Calibri" w:hAnsi="Calibri"/>
                <w:color w:val="000000"/>
                <w:sz w:val="22"/>
                <w:szCs w:val="22"/>
                <w:lang w:eastAsia="es-ES"/>
              </w:rPr>
            </w:pPr>
            <w:r>
              <w:rPr>
                <w:rFonts w:ascii="Calibri" w:cs="Calibri" w:hAnsi="Calibri"/>
                <w:color w:val="000000"/>
                <w:sz w:val="22"/>
                <w:szCs w:val="22"/>
                <w:lang w:eastAsia="es-ES"/>
              </w:rPr>
              <w:t>32000</w:t>
            </w:r>
          </w:p>
        </w:tc>
      </w:tr>
    </w:tbl>
    <w:p>
      <w:pPr>
        <w:pStyle w:val="style47"/>
        <w:spacing w:line="276" w:lineRule="auto"/>
        <w:jc w:val="both"/>
        <w:rPr>
          <w:rFonts w:cs="Arial-BoldMT"/>
          <w:b/>
          <w:bCs/>
          <w:szCs w:val="24"/>
          <w:lang w:eastAsia="en-US"/>
        </w:rPr>
      </w:pPr>
      <w:r>
        <w:rPr>
          <w:rFonts w:cs="Arial-BoldMT"/>
          <w:b/>
          <w:bCs/>
          <w:szCs w:val="24"/>
          <w:lang w:eastAsia="en-US"/>
        </w:rPr>
      </w:r>
    </w:p>
    <w:p>
      <w:pPr>
        <w:pStyle w:val="style46"/>
        <w:spacing w:after="0" w:before="0"/>
        <w:ind w:firstLine="709" w:left="0" w:right="0"/>
        <w:contextualSpacing w:val="false"/>
        <w:jc w:val="both"/>
        <w:rPr>
          <w:rFonts w:ascii="Bookman Old Style" w:eastAsia="Calibri" w:hAnsi="Bookman Old Style"/>
          <w:b/>
          <w:szCs w:val="20"/>
          <w:u w:val="single"/>
          <w:lang w:val="es-ES"/>
        </w:rPr>
      </w:pPr>
      <w:r>
        <w:rPr>
          <w:rFonts w:ascii="Bookman Old Style" w:eastAsia="Calibri" w:hAnsi="Bookman Old Style"/>
          <w:b/>
          <w:szCs w:val="20"/>
          <w:u w:val="single"/>
          <w:lang w:val="es-ES"/>
        </w:rPr>
        <w:t xml:space="preserve">Podrán presentarse ofertas por uno, alguno o todos los ítems y sub-ítems, los cuales podrán ser adjudicados en forma independiente. </w:t>
      </w:r>
    </w:p>
    <w:p>
      <w:pPr>
        <w:pStyle w:val="style47"/>
        <w:spacing w:line="276" w:lineRule="auto"/>
        <w:jc w:val="both"/>
        <w:rPr>
          <w:rFonts w:cs="Arial-BoldMT"/>
          <w:b/>
          <w:bCs/>
          <w:szCs w:val="24"/>
          <w:lang w:eastAsia="en-US" w:val="es-UY"/>
        </w:rPr>
      </w:pPr>
      <w:r>
        <w:rPr>
          <w:rFonts w:cs="Arial-BoldMT"/>
          <w:b/>
          <w:bCs/>
          <w:szCs w:val="24"/>
          <w:lang w:eastAsia="en-US" w:val="es-UY"/>
        </w:rPr>
      </w:r>
    </w:p>
    <w:p>
      <w:pPr>
        <w:pStyle w:val="style0"/>
        <w:spacing w:line="276" w:lineRule="auto"/>
        <w:ind w:firstLine="708" w:left="0" w:right="0"/>
        <w:jc w:val="both"/>
        <w:rPr>
          <w:rFonts w:cs="ArialMT"/>
          <w:szCs w:val="24"/>
          <w:lang w:eastAsia="en-US"/>
        </w:rPr>
      </w:pPr>
      <w:r>
        <w:rPr>
          <w:rFonts w:cs="LiberationSerif"/>
          <w:b/>
          <w:szCs w:val="24"/>
          <w:lang w:eastAsia="en-US"/>
        </w:rPr>
        <w:t>1.2.-</w:t>
      </w:r>
      <w:r>
        <w:rPr>
          <w:rFonts w:cs="LiberationSerif"/>
          <w:szCs w:val="24"/>
          <w:lang w:eastAsia="en-US"/>
        </w:rPr>
        <w:t xml:space="preserve"> </w:t>
      </w:r>
      <w:r>
        <w:rPr>
          <w:rFonts w:cs="ArialMT"/>
          <w:szCs w:val="24"/>
          <w:lang w:eastAsia="en-US"/>
        </w:rPr>
        <w:t>Se entiende por servicio de mantenimiento, entre otros, cambios de:</w:t>
      </w:r>
    </w:p>
    <w:p>
      <w:pPr>
        <w:pStyle w:val="style0"/>
        <w:spacing w:line="276" w:lineRule="auto"/>
        <w:ind w:hanging="0" w:left="708" w:right="0"/>
        <w:jc w:val="both"/>
        <w:rPr>
          <w:rFonts w:cs="ArialMT"/>
          <w:szCs w:val="24"/>
          <w:lang w:eastAsia="en-US"/>
        </w:rPr>
      </w:pPr>
      <w:r>
        <w:rPr>
          <w:rFonts w:cs="ArialMT"/>
          <w:szCs w:val="24"/>
          <w:lang w:eastAsia="en-US"/>
        </w:rPr>
        <w:t>- Filtro de aceite, aceite, filtro de aire, y control general.</w:t>
      </w:r>
    </w:p>
    <w:p>
      <w:pPr>
        <w:pStyle w:val="style0"/>
        <w:spacing w:line="276" w:lineRule="auto"/>
        <w:ind w:hanging="0" w:left="708" w:right="0"/>
        <w:jc w:val="both"/>
        <w:rPr>
          <w:rFonts w:cs="ArialMT"/>
          <w:szCs w:val="24"/>
          <w:lang w:eastAsia="en-US"/>
        </w:rPr>
      </w:pPr>
      <w:r>
        <w:rPr>
          <w:rFonts w:cs="ArialMT"/>
          <w:szCs w:val="24"/>
          <w:lang w:eastAsia="en-US"/>
        </w:rPr>
        <w:t>- Frenos pastillas y discos de freno delantero y trasero.</w:t>
      </w:r>
    </w:p>
    <w:p>
      <w:pPr>
        <w:pStyle w:val="style0"/>
        <w:spacing w:line="276" w:lineRule="auto"/>
        <w:ind w:hanging="0" w:left="708" w:right="0"/>
        <w:jc w:val="both"/>
        <w:rPr>
          <w:rFonts w:cs="ArialMT"/>
          <w:szCs w:val="24"/>
          <w:lang w:eastAsia="en-US"/>
        </w:rPr>
      </w:pPr>
      <w:r>
        <w:rPr>
          <w:rFonts w:cs="ArialMT"/>
          <w:szCs w:val="24"/>
          <w:lang w:eastAsia="en-US"/>
        </w:rPr>
        <w:t>- Dirección tren delantero y trasero control de cremallera, amortiguadores, rotación de llantas balanceo y alineación.</w:t>
      </w:r>
    </w:p>
    <w:p>
      <w:pPr>
        <w:pStyle w:val="style0"/>
        <w:spacing w:line="276" w:lineRule="auto"/>
        <w:ind w:hanging="0" w:left="708" w:right="0"/>
        <w:jc w:val="both"/>
        <w:rPr>
          <w:rFonts w:cs="ArialMT"/>
          <w:szCs w:val="24"/>
          <w:lang w:eastAsia="en-US"/>
        </w:rPr>
      </w:pPr>
      <w:r>
        <w:rPr>
          <w:rFonts w:cs="ArialMT"/>
          <w:szCs w:val="24"/>
          <w:lang w:eastAsia="en-US"/>
        </w:rPr>
        <w:t>- Neumáticos y llantas presión, control de válvulas, desgaste y recambio.</w:t>
      </w:r>
    </w:p>
    <w:p>
      <w:pPr>
        <w:pStyle w:val="style0"/>
        <w:spacing w:line="276" w:lineRule="auto"/>
        <w:ind w:hanging="0" w:left="708" w:right="0"/>
        <w:jc w:val="both"/>
        <w:rPr>
          <w:rFonts w:cs="ArialMT"/>
          <w:szCs w:val="24"/>
          <w:lang w:eastAsia="en-US"/>
        </w:rPr>
      </w:pPr>
      <w:r>
        <w:rPr>
          <w:rFonts w:cs="ArialMT"/>
          <w:szCs w:val="24"/>
          <w:lang w:eastAsia="en-US"/>
        </w:rPr>
        <w:t>- Encendido e inyección reemplazo de filtro de combustible, control de cables de encendido y conexiones.</w:t>
      </w:r>
    </w:p>
    <w:p>
      <w:pPr>
        <w:pStyle w:val="style0"/>
        <w:spacing w:line="276" w:lineRule="auto"/>
        <w:ind w:hanging="0" w:left="708" w:right="0"/>
        <w:jc w:val="both"/>
        <w:rPr>
          <w:rFonts w:cs="ArialMT"/>
          <w:szCs w:val="24"/>
          <w:lang w:eastAsia="en-US"/>
        </w:rPr>
      </w:pPr>
      <w:r>
        <w:rPr>
          <w:rFonts w:cs="ArialMT"/>
          <w:szCs w:val="24"/>
          <w:lang w:eastAsia="en-US"/>
        </w:rPr>
        <w:t xml:space="preserve">- Iluminación control de luces y recambios, interiores y exteriores. </w:t>
      </w:r>
    </w:p>
    <w:p>
      <w:pPr>
        <w:pStyle w:val="style0"/>
        <w:spacing w:line="276" w:lineRule="auto"/>
        <w:ind w:hanging="0" w:left="708" w:right="0"/>
        <w:jc w:val="both"/>
        <w:rPr>
          <w:rFonts w:cs="ArialMT"/>
          <w:szCs w:val="24"/>
          <w:lang w:eastAsia="en-US"/>
        </w:rPr>
      </w:pPr>
      <w:r>
        <w:rPr>
          <w:rFonts w:cs="ArialMT"/>
          <w:szCs w:val="24"/>
          <w:lang w:eastAsia="en-US"/>
        </w:rPr>
        <w:t>- Control de parabrisas, retrovisores, luneta.</w:t>
      </w:r>
    </w:p>
    <w:p>
      <w:pPr>
        <w:pStyle w:val="style0"/>
        <w:spacing w:line="276" w:lineRule="auto"/>
        <w:ind w:hanging="0" w:left="708" w:right="0"/>
        <w:jc w:val="both"/>
        <w:rPr>
          <w:rFonts w:cs="ArialMT"/>
          <w:szCs w:val="24"/>
          <w:lang w:eastAsia="en-US"/>
        </w:rPr>
      </w:pPr>
      <w:r>
        <w:rPr>
          <w:rFonts w:cs="ArialMT"/>
          <w:szCs w:val="24"/>
          <w:lang w:eastAsia="en-US"/>
        </w:rPr>
        <w:t>- Control de escobillas limpia parabrisas.</w:t>
      </w:r>
    </w:p>
    <w:p>
      <w:pPr>
        <w:pStyle w:val="style0"/>
        <w:spacing w:line="276" w:lineRule="auto"/>
        <w:ind w:hanging="0" w:left="708" w:right="0"/>
        <w:jc w:val="both"/>
        <w:rPr>
          <w:rFonts w:cs="ArialMT"/>
          <w:szCs w:val="24"/>
          <w:lang w:eastAsia="en-US"/>
        </w:rPr>
      </w:pPr>
      <w:r>
        <w:rPr>
          <w:rFonts w:cs="ArialMT"/>
          <w:szCs w:val="24"/>
          <w:lang w:eastAsia="en-US"/>
        </w:rPr>
        <w:t>- Aire Acondicionado reemplazo de gas, control de rejillas de ventilación, control de caudal de frío/calor.</w:t>
      </w:r>
    </w:p>
    <w:p>
      <w:pPr>
        <w:pStyle w:val="style0"/>
        <w:spacing w:line="276" w:lineRule="auto"/>
        <w:ind w:hanging="0" w:left="708" w:right="0"/>
        <w:jc w:val="both"/>
        <w:rPr>
          <w:rFonts w:cs="ArialMT"/>
          <w:szCs w:val="24"/>
          <w:lang w:eastAsia="en-US"/>
        </w:rPr>
      </w:pPr>
      <w:r>
        <w:rPr>
          <w:rFonts w:cs="ArialMT"/>
          <w:szCs w:val="24"/>
          <w:lang w:eastAsia="en-US"/>
        </w:rPr>
        <w:t>- Batería control de carga del alternador, bornes, limpieza.</w:t>
      </w:r>
    </w:p>
    <w:p>
      <w:pPr>
        <w:pStyle w:val="style0"/>
        <w:spacing w:line="276" w:lineRule="auto"/>
        <w:ind w:hanging="0" w:left="708" w:right="0"/>
        <w:jc w:val="both"/>
        <w:rPr>
          <w:rFonts w:cs="ArialMT"/>
          <w:szCs w:val="24"/>
          <w:lang w:eastAsia="en-US"/>
        </w:rPr>
      </w:pPr>
      <w:r>
        <w:rPr>
          <w:rFonts w:cs="ArialMT"/>
          <w:szCs w:val="24"/>
          <w:lang w:eastAsia="en-US"/>
        </w:rPr>
        <w:t>- Correa de distribución, correa de accesorios, bomba de agua, líquido de freno, embrague, refrigerante.</w:t>
      </w:r>
    </w:p>
    <w:p>
      <w:pPr>
        <w:pStyle w:val="style0"/>
        <w:spacing w:line="276" w:lineRule="auto"/>
        <w:ind w:hanging="0" w:left="708" w:right="0"/>
        <w:jc w:val="both"/>
        <w:rPr>
          <w:rFonts w:cs="ArialMT"/>
          <w:szCs w:val="24"/>
          <w:lang w:eastAsia="en-US"/>
        </w:rPr>
      </w:pPr>
      <w:r>
        <w:rPr>
          <w:rFonts w:cs="ArialMT"/>
          <w:szCs w:val="24"/>
          <w:lang w:eastAsia="en-US"/>
        </w:rPr>
        <w:t xml:space="preserve"> </w:t>
      </w:r>
    </w:p>
    <w:p>
      <w:pPr>
        <w:pStyle w:val="style50"/>
        <w:spacing w:line="276" w:lineRule="auto"/>
        <w:jc w:val="both"/>
        <w:rPr>
          <w:rFonts w:cs="ArialMT"/>
          <w:lang w:eastAsia="en-US"/>
        </w:rPr>
      </w:pPr>
      <w:r>
        <w:rPr>
          <w:rFonts w:cs="ArialMT"/>
          <w:lang w:eastAsia="en-US"/>
        </w:rPr>
        <w:t>La empresa adjudicataria luego de realizado el servicio informará detalladamente el trabajo, las horas que insumió y todo otro dato que se requiera, al Departamento de Transporte.</w:t>
      </w:r>
    </w:p>
    <w:p>
      <w:pPr>
        <w:pStyle w:val="style50"/>
        <w:spacing w:line="276" w:lineRule="auto"/>
        <w:jc w:val="both"/>
        <w:rPr>
          <w:rFonts w:cs="ArialMT"/>
          <w:lang w:eastAsia="en-US"/>
        </w:rPr>
      </w:pPr>
      <w:r>
        <w:rPr>
          <w:rFonts w:cs="ArialMT"/>
          <w:lang w:eastAsia="en-US"/>
        </w:rPr>
      </w:r>
    </w:p>
    <w:p>
      <w:pPr>
        <w:pStyle w:val="style50"/>
        <w:spacing w:line="276" w:lineRule="auto"/>
        <w:ind w:firstLine="708" w:left="0" w:right="0"/>
        <w:jc w:val="both"/>
        <w:rPr>
          <w:rFonts w:cs="Times New Roman" w:eastAsia="Calibri"/>
          <w:lang w:eastAsia="en-US"/>
        </w:rPr>
      </w:pPr>
      <w:r>
        <w:rPr>
          <w:rFonts w:cs="Times New Roman"/>
          <w:b/>
        </w:rPr>
        <w:t>1.3.-</w:t>
      </w:r>
      <w:r>
        <w:rPr>
          <w:rFonts w:cs="Times New Roman"/>
        </w:rPr>
        <w:t xml:space="preserve"> Se co</w:t>
      </w:r>
      <w:r>
        <w:rPr>
          <w:rFonts w:cs="Times New Roman" w:eastAsia="Calibri"/>
          <w:lang w:eastAsia="en-US"/>
        </w:rPr>
        <w:t xml:space="preserve">nsiderarán exclusivamente </w:t>
      </w:r>
      <w:r>
        <w:rPr>
          <w:rFonts w:cs="Times New Roman" w:eastAsia="Calibri"/>
          <w:b/>
          <w:lang w:eastAsia="en-US"/>
        </w:rPr>
        <w:t xml:space="preserve">ofertas de Talleres mecánicos Oficiales y autorizados de las marcas CITROEN, BRILLANCE, PEUGEOT y HYUNDAI </w:t>
      </w:r>
      <w:r>
        <w:rPr>
          <w:rFonts w:cs="Times New Roman" w:eastAsia="Calibri"/>
          <w:lang w:eastAsia="en-US"/>
        </w:rPr>
        <w:t>ubicados en el Departamento de Montevideo y dentro del radio exigido por el presente pliego en el artículo 1.11.</w:t>
      </w:r>
    </w:p>
    <w:p>
      <w:pPr>
        <w:pStyle w:val="style50"/>
        <w:spacing w:line="276" w:lineRule="auto"/>
        <w:ind w:firstLine="708" w:left="0" w:right="0"/>
        <w:jc w:val="both"/>
        <w:rPr>
          <w:rFonts w:cs="Times New Roman" w:eastAsia="Calibri"/>
          <w:sz w:val="22"/>
          <w:szCs w:val="22"/>
          <w:lang w:eastAsia="en-US"/>
        </w:rPr>
      </w:pPr>
      <w:r>
        <w:rPr>
          <w:rFonts w:cs="Times New Roman" w:eastAsia="Calibri"/>
          <w:sz w:val="22"/>
          <w:szCs w:val="22"/>
          <w:lang w:eastAsia="en-US"/>
        </w:rPr>
        <w:t xml:space="preserve"> </w:t>
      </w:r>
    </w:p>
    <w:p>
      <w:pPr>
        <w:pStyle w:val="style50"/>
        <w:spacing w:line="276" w:lineRule="auto"/>
        <w:ind w:firstLine="708" w:left="0" w:right="0"/>
        <w:jc w:val="both"/>
        <w:rPr>
          <w:rFonts w:cs="ArialMT"/>
          <w:lang w:eastAsia="en-US"/>
        </w:rPr>
      </w:pPr>
      <w:r>
        <w:rPr>
          <w:rFonts w:cs="Times New Roman"/>
          <w:b/>
        </w:rPr>
        <w:t>1.4.-</w:t>
      </w:r>
      <w:r>
        <w:rPr>
          <w:rFonts w:cs="ArialMT"/>
          <w:lang w:eastAsia="en-US"/>
        </w:rPr>
        <w:t xml:space="preserve"> El servicio oficial ofrecido deberá contar con herramientas de diagnóstico original y ofrecer garantía por los trabajos.</w:t>
      </w:r>
    </w:p>
    <w:p>
      <w:pPr>
        <w:pStyle w:val="style50"/>
        <w:spacing w:line="276" w:lineRule="auto"/>
        <w:ind w:firstLine="708" w:left="0" w:right="0"/>
        <w:jc w:val="both"/>
        <w:rPr>
          <w:rFonts w:cs="ArialMT"/>
          <w:lang w:eastAsia="en-US"/>
        </w:rPr>
      </w:pPr>
      <w:r>
        <w:rPr>
          <w:rFonts w:cs="ArialMT"/>
          <w:lang w:eastAsia="en-US"/>
        </w:rPr>
      </w:r>
    </w:p>
    <w:p>
      <w:pPr>
        <w:pStyle w:val="style50"/>
        <w:spacing w:line="276" w:lineRule="auto"/>
        <w:ind w:firstLine="708" w:left="0" w:right="0"/>
        <w:jc w:val="both"/>
        <w:rPr>
          <w:rFonts w:cs="ArialMT"/>
          <w:lang w:eastAsia="en-US"/>
        </w:rPr>
      </w:pPr>
      <w:r>
        <w:rPr>
          <w:rFonts w:cs="ArialMT"/>
          <w:b/>
          <w:lang w:eastAsia="en-US"/>
        </w:rPr>
        <w:t>1.5.-</w:t>
      </w:r>
      <w:r>
        <w:rPr>
          <w:rFonts w:cs="ArialMT"/>
          <w:lang w:eastAsia="en-US"/>
        </w:rPr>
        <w:t xml:space="preserve"> Realizar los mantenimientos y reparaciones, según las recomendaciones del servicio oficial (incluyendo repuestos originales) de la marca </w:t>
      </w:r>
      <w:r>
        <w:rPr>
          <w:rFonts w:cs="Times New Roman" w:eastAsia="Calibri"/>
          <w:lang w:eastAsia="en-US"/>
        </w:rPr>
        <w:t>CITROEN, BRILLANCE, PEUGEOT o HYUNDAI</w:t>
      </w:r>
      <w:r>
        <w:rPr>
          <w:rFonts w:cs="ArialMT"/>
          <w:lang w:eastAsia="en-US"/>
        </w:rPr>
        <w:t xml:space="preserve"> respectivamente.</w:t>
      </w:r>
    </w:p>
    <w:p>
      <w:pPr>
        <w:pStyle w:val="style50"/>
        <w:spacing w:line="276" w:lineRule="auto"/>
        <w:ind w:firstLine="708" w:left="0" w:right="0"/>
        <w:jc w:val="both"/>
        <w:rPr>
          <w:rFonts w:cs="Times New Roman"/>
          <w:b/>
        </w:rPr>
      </w:pPr>
      <w:r>
        <w:rPr>
          <w:rFonts w:cs="Times New Roman"/>
          <w:b/>
        </w:rPr>
      </w:r>
    </w:p>
    <w:p>
      <w:pPr>
        <w:pStyle w:val="style50"/>
        <w:spacing w:line="276" w:lineRule="auto"/>
        <w:ind w:firstLine="708" w:left="0" w:right="0"/>
        <w:jc w:val="both"/>
        <w:rPr>
          <w:rFonts w:cs="Times New Roman"/>
        </w:rPr>
      </w:pPr>
      <w:r>
        <w:rPr>
          <w:rFonts w:cs="Times New Roman"/>
          <w:b/>
        </w:rPr>
        <w:t>1.6.-</w:t>
      </w:r>
      <w:r>
        <w:rPr>
          <w:rFonts w:cs="Times New Roman"/>
        </w:rPr>
        <w:t xml:space="preserve"> La ejecución del servicio será coordinado por el Departamento de Transporte del Poder Judicial y se cumplirá en forma inmediata a la coordinación.</w:t>
      </w:r>
    </w:p>
    <w:p>
      <w:pPr>
        <w:pStyle w:val="style50"/>
        <w:spacing w:line="276" w:lineRule="auto"/>
        <w:ind w:firstLine="708" w:left="0" w:right="0"/>
        <w:jc w:val="both"/>
        <w:rPr>
          <w:rFonts w:cs="ArialMT"/>
          <w:lang w:eastAsia="en-US"/>
        </w:rPr>
      </w:pPr>
      <w:r>
        <w:rPr>
          <w:rFonts w:cs="ArialMT"/>
          <w:lang w:eastAsia="en-US"/>
        </w:rPr>
      </w:r>
    </w:p>
    <w:p>
      <w:pPr>
        <w:pStyle w:val="style50"/>
        <w:spacing w:line="276" w:lineRule="auto"/>
        <w:ind w:firstLine="708" w:left="0" w:right="0"/>
        <w:jc w:val="both"/>
        <w:rPr>
          <w:rFonts w:cs="ArialMT"/>
          <w:lang w:eastAsia="en-US"/>
        </w:rPr>
      </w:pPr>
      <w:r>
        <w:rPr>
          <w:rFonts w:cs="ArialMT"/>
          <w:b/>
          <w:lang w:eastAsia="en-US"/>
        </w:rPr>
        <w:t>1.7.-</w:t>
      </w:r>
      <w:r>
        <w:rPr>
          <w:rFonts w:cs="ArialMT"/>
          <w:lang w:eastAsia="en-US"/>
        </w:rPr>
        <w:t xml:space="preserve"> El plazo para la ejecución de cada servicio por vehículo será de 72 (setenta y dos)  horas de solicitado, como plazo máximo, incluida la recepción del vehículo y entrega del mismo, pudiendo el Departamento de Transporte autorizar un plazo mayor de entenderlo pertinente. </w:t>
      </w:r>
    </w:p>
    <w:p>
      <w:pPr>
        <w:pStyle w:val="style50"/>
        <w:spacing w:line="276" w:lineRule="auto"/>
        <w:ind w:firstLine="708" w:left="0" w:right="0"/>
        <w:jc w:val="both"/>
        <w:rPr>
          <w:rFonts w:cs="ArialMT"/>
          <w:lang w:eastAsia="en-US"/>
        </w:rPr>
      </w:pPr>
      <w:r>
        <w:rPr>
          <w:rFonts w:cs="ArialMT"/>
          <w:lang w:eastAsia="en-US"/>
        </w:rPr>
      </w:r>
    </w:p>
    <w:p>
      <w:pPr>
        <w:pStyle w:val="style50"/>
        <w:spacing w:line="276" w:lineRule="auto"/>
        <w:ind w:firstLine="708" w:left="0" w:right="0"/>
        <w:jc w:val="both"/>
        <w:rPr>
          <w:rFonts w:cs="Times New Roman"/>
        </w:rPr>
      </w:pPr>
      <w:r>
        <w:rPr>
          <w:rFonts w:cs="Times New Roman"/>
          <w:b/>
        </w:rPr>
        <w:t>1.8.-</w:t>
      </w:r>
      <w:r>
        <w:rPr>
          <w:rFonts w:cs="Times New Roman"/>
        </w:rPr>
        <w:t xml:space="preserve"> Se podrá fraccionar el objeto de la presente licitación por Item o sub-item, pudiendo presentarse cotización por todos o algunos de los Items o sub-items.</w:t>
      </w:r>
    </w:p>
    <w:p>
      <w:pPr>
        <w:pStyle w:val="style50"/>
        <w:spacing w:line="276" w:lineRule="auto"/>
        <w:ind w:firstLine="708" w:left="0" w:right="0"/>
        <w:jc w:val="both"/>
        <w:rPr>
          <w:rFonts w:cs="ArialMT"/>
          <w:lang w:eastAsia="en-US"/>
        </w:rPr>
      </w:pPr>
      <w:r>
        <w:rPr>
          <w:rFonts w:cs="ArialMT"/>
          <w:lang w:eastAsia="en-US"/>
        </w:rPr>
      </w:r>
    </w:p>
    <w:p>
      <w:pPr>
        <w:pStyle w:val="style50"/>
        <w:spacing w:line="276" w:lineRule="auto"/>
        <w:ind w:firstLine="708" w:left="0" w:right="0"/>
        <w:jc w:val="both"/>
        <w:rPr>
          <w:rFonts w:cs="ArialMT"/>
          <w:lang w:eastAsia="en-US"/>
        </w:rPr>
      </w:pPr>
      <w:r>
        <w:rPr>
          <w:rFonts w:cs="ArialMT"/>
          <w:b/>
          <w:lang w:eastAsia="en-US"/>
        </w:rPr>
        <w:t>1.9.-</w:t>
      </w:r>
      <w:r>
        <w:rPr>
          <w:rFonts w:cs="ArialMT"/>
          <w:lang w:eastAsia="en-US"/>
        </w:rPr>
        <w:t xml:space="preserve"> La Administración se reserva el derecho de exigir a la empresa adjudicataria la documentación que acredite el pago de salarios y demás rubros emergentes de la relación laboral, póliza contra accidentes de trabajo, contribuciones de seguridad social. La Empresa adjudicataria se compromete a comunicar los datos personales de los trabajadores  afectados al servicio, pudiendo retener de los pagos, los salarios a los que tengan derecho los trabajadores de la empresa.</w:t>
      </w:r>
    </w:p>
    <w:p>
      <w:pPr>
        <w:pStyle w:val="style50"/>
        <w:spacing w:line="276" w:lineRule="auto"/>
        <w:ind w:firstLine="708" w:left="0" w:right="0"/>
        <w:jc w:val="both"/>
        <w:rPr>
          <w:rFonts w:cs="ArialMT"/>
          <w:lang w:eastAsia="en-US"/>
        </w:rPr>
      </w:pPr>
      <w:r>
        <w:rPr>
          <w:rFonts w:cs="ArialMT"/>
          <w:lang w:eastAsia="en-US"/>
        </w:rPr>
      </w:r>
    </w:p>
    <w:p>
      <w:pPr>
        <w:pStyle w:val="style50"/>
        <w:spacing w:line="276" w:lineRule="auto"/>
        <w:ind w:firstLine="708" w:left="0" w:right="0"/>
        <w:jc w:val="both"/>
        <w:rPr>
          <w:rFonts w:cs="ArialMT"/>
          <w:lang w:eastAsia="en-US"/>
        </w:rPr>
      </w:pPr>
      <w:r>
        <w:rPr>
          <w:rFonts w:cs="ArialMT"/>
          <w:b/>
          <w:lang w:eastAsia="en-US"/>
        </w:rPr>
        <w:t>1.10.-</w:t>
      </w:r>
      <w:r>
        <w:rPr>
          <w:rFonts w:cs="ArialMT"/>
          <w:lang w:eastAsia="en-US"/>
        </w:rPr>
        <w:t xml:space="preserve"> El adjudicatario se obliga a realizar los servicios de mantenimiento o reparación solicitados por la Administración, respetando las recomendaciones estipuladas por el fabricante para el correcto funcionamiento de los mismos, sin ningún costo adicional.</w:t>
      </w:r>
    </w:p>
    <w:p>
      <w:pPr>
        <w:pStyle w:val="style50"/>
        <w:spacing w:line="276" w:lineRule="auto"/>
        <w:ind w:firstLine="708" w:left="0" w:right="0"/>
        <w:jc w:val="both"/>
        <w:rPr>
          <w:rFonts w:cs="ArialMT"/>
          <w:lang w:eastAsia="en-US"/>
        </w:rPr>
      </w:pPr>
      <w:r>
        <w:rPr>
          <w:rFonts w:cs="ArialMT"/>
          <w:lang w:eastAsia="en-US"/>
        </w:rPr>
        <w:t>Asimismo, comunicará en forma inmediata a la Administración de cualquier anomalía no comprendida en el servicio objeto de esta licitación, remitiendo al Departamento de Transporte un informe. El no reportar inmediatamente lo percibido se tomará como un incumplimiento del contrato.</w:t>
      </w:r>
    </w:p>
    <w:p>
      <w:pPr>
        <w:pStyle w:val="style0"/>
        <w:spacing w:line="276" w:lineRule="auto"/>
        <w:ind w:firstLine="708" w:left="0" w:right="0"/>
        <w:jc w:val="both"/>
        <w:rPr>
          <w:rFonts w:cs="ArialMT"/>
          <w:szCs w:val="24"/>
          <w:lang w:eastAsia="en-US"/>
        </w:rPr>
      </w:pPr>
      <w:r>
        <w:rPr>
          <w:rFonts w:cs="ArialMT"/>
          <w:szCs w:val="24"/>
          <w:lang w:eastAsia="en-US"/>
        </w:rPr>
        <w:t>El adjudicatario será responsable, ante cualquier daño o perjuicio ocasionado a los bienes durante el cumplimiento del contrato, brindando el servicio por personal capacitado y eficiente en el cumplimiento de sus respectivas tareas.</w:t>
      </w:r>
    </w:p>
    <w:p>
      <w:pPr>
        <w:pStyle w:val="style0"/>
        <w:spacing w:line="276" w:lineRule="auto"/>
        <w:ind w:firstLine="708" w:left="0" w:right="0"/>
        <w:jc w:val="both"/>
        <w:rPr>
          <w:rFonts w:cs="ArialMT"/>
          <w:szCs w:val="24"/>
          <w:lang w:eastAsia="en-US"/>
        </w:rPr>
      </w:pPr>
      <w:r>
        <w:rPr>
          <w:rFonts w:cs="ArialMT"/>
          <w:szCs w:val="24"/>
          <w:lang w:eastAsia="en-US"/>
        </w:rPr>
      </w:r>
    </w:p>
    <w:p>
      <w:pPr>
        <w:pStyle w:val="style0"/>
        <w:spacing w:line="276" w:lineRule="auto"/>
        <w:ind w:firstLine="708" w:left="0" w:right="0"/>
        <w:jc w:val="both"/>
        <w:rPr>
          <w:rFonts w:eastAsia="Calibri"/>
          <w:szCs w:val="24"/>
          <w:lang w:eastAsia="en-US"/>
        </w:rPr>
      </w:pPr>
      <w:r>
        <w:rPr>
          <w:rFonts w:cs="ArialMT"/>
          <w:b/>
          <w:szCs w:val="24"/>
          <w:lang w:eastAsia="en-US"/>
        </w:rPr>
        <w:t>1.11.-</w:t>
      </w:r>
      <w:r>
        <w:rPr>
          <w:b/>
          <w:szCs w:val="24"/>
          <w:lang w:eastAsia="en-US"/>
        </w:rPr>
        <w:t xml:space="preserve"> </w:t>
      </w:r>
      <w:r>
        <w:rPr>
          <w:szCs w:val="24"/>
          <w:lang w:eastAsia="en-US"/>
        </w:rPr>
        <w:t>Se establece que no serán consideradas las empresas oferentes cuya ubicación no esté comprendida entre las calles</w:t>
      </w:r>
      <w:r>
        <w:rPr>
          <w:b/>
          <w:szCs w:val="24"/>
          <w:lang w:eastAsia="en-US"/>
        </w:rPr>
        <w:t xml:space="preserve">: </w:t>
      </w:r>
      <w:r>
        <w:rPr>
          <w:b/>
          <w:szCs w:val="24"/>
          <w:u w:val="single"/>
          <w:lang w:eastAsia="en-US"/>
        </w:rPr>
        <w:t>Rambla Gandhi, Bv Artigas, Nicaragua hasta Rambla Sud América</w:t>
      </w:r>
      <w:r>
        <w:rPr>
          <w:b/>
          <w:szCs w:val="24"/>
          <w:lang w:eastAsia="en-US"/>
        </w:rPr>
        <w:t xml:space="preserve">, (radio de la sede del Departamento de Transporte sito en la calle </w:t>
      </w:r>
      <w:r>
        <w:rPr>
          <w:b/>
          <w:bCs/>
          <w:szCs w:val="24"/>
        </w:rPr>
        <w:t>Tacuarembó 1629- Montevideo</w:t>
      </w:r>
      <w:r>
        <w:rPr>
          <w:b/>
          <w:szCs w:val="24"/>
          <w:lang w:eastAsia="en-US"/>
        </w:rPr>
        <w:t xml:space="preserve">). </w:t>
      </w:r>
      <w:r>
        <w:rPr>
          <w:rFonts w:eastAsia="Calibri"/>
          <w:szCs w:val="24"/>
          <w:lang w:eastAsia="en-US"/>
        </w:rPr>
        <w:t>En la propuesta se deberá establecer la ubicación exacta del taller de la empresa oferente.</w:t>
      </w:r>
    </w:p>
    <w:p>
      <w:pPr>
        <w:pStyle w:val="style0"/>
        <w:spacing w:line="276" w:lineRule="auto"/>
        <w:ind w:firstLine="708" w:left="0" w:right="0"/>
        <w:jc w:val="both"/>
        <w:rPr>
          <w:rFonts w:cs="ArialMT"/>
          <w:szCs w:val="24"/>
          <w:lang w:eastAsia="en-US"/>
        </w:rPr>
      </w:pPr>
      <w:r>
        <w:rPr>
          <w:rFonts w:cs="ArialMT"/>
          <w:szCs w:val="24"/>
          <w:lang w:eastAsia="en-US"/>
        </w:rPr>
      </w:r>
    </w:p>
    <w:p>
      <w:pPr>
        <w:pStyle w:val="style46"/>
        <w:spacing w:after="0" w:before="0" w:line="276" w:lineRule="auto"/>
        <w:contextualSpacing w:val="false"/>
        <w:jc w:val="both"/>
        <w:rPr>
          <w:rFonts w:ascii="Bookman Old Style" w:hAnsi="Bookman Old Style"/>
          <w:b/>
        </w:rPr>
      </w:pPr>
      <w:r>
        <w:rPr>
          <w:rFonts w:ascii="Bookman Old Style" w:hAnsi="Bookman Old Style"/>
          <w:b/>
        </w:rPr>
        <w:t>Art. 2.- COMUNICACIONES.</w:t>
      </w:r>
    </w:p>
    <w:p>
      <w:pPr>
        <w:pStyle w:val="style39"/>
        <w:spacing w:line="276" w:lineRule="auto"/>
        <w:rPr>
          <w:szCs w:val="24"/>
          <w:lang w:val="es-UY"/>
        </w:rPr>
      </w:pPr>
      <w:r>
        <w:rPr>
          <w:szCs w:val="24"/>
          <w:lang w:val="es-UY"/>
        </w:rPr>
        <w:tab/>
        <w:t xml:space="preserve">Todas las comunicaciones referidas al presente llamado deberán dirigirse al Departamento de Adquisiciones del Poder Judicial: </w:t>
      </w:r>
    </w:p>
    <w:p>
      <w:pPr>
        <w:pStyle w:val="style39"/>
        <w:spacing w:line="276" w:lineRule="auto"/>
        <w:ind w:firstLine="567" w:left="0" w:right="0"/>
        <w:rPr>
          <w:szCs w:val="24"/>
          <w:lang w:val="es-UY"/>
        </w:rPr>
      </w:pPr>
      <w:r>
        <w:rPr>
          <w:szCs w:val="24"/>
          <w:u w:val="single"/>
          <w:lang w:val="es-UY"/>
        </w:rPr>
        <w:t>Dirección</w:t>
      </w:r>
      <w:r>
        <w:rPr>
          <w:szCs w:val="24"/>
          <w:lang w:val="es-UY"/>
        </w:rPr>
        <w:t xml:space="preserve">: calle Soriano 1210, Montevideo. </w:t>
      </w:r>
    </w:p>
    <w:p>
      <w:pPr>
        <w:pStyle w:val="style39"/>
        <w:spacing w:line="276" w:lineRule="auto"/>
        <w:ind w:firstLine="567" w:left="0" w:right="0"/>
        <w:rPr>
          <w:szCs w:val="24"/>
          <w:lang w:val="es-UY"/>
        </w:rPr>
      </w:pPr>
      <w:r>
        <w:rPr>
          <w:szCs w:val="24"/>
          <w:u w:val="single"/>
          <w:lang w:val="es-UY"/>
        </w:rPr>
        <w:t>Teléfonos</w:t>
      </w:r>
      <w:r>
        <w:rPr>
          <w:szCs w:val="24"/>
          <w:lang w:val="es-UY"/>
        </w:rPr>
        <w:t xml:space="preserve">: 2902-1359 – 2908-9397 y 1907 interno 4554. </w:t>
      </w:r>
    </w:p>
    <w:p>
      <w:pPr>
        <w:pStyle w:val="style39"/>
        <w:spacing w:line="276" w:lineRule="auto"/>
        <w:ind w:firstLine="567" w:left="0" w:right="0"/>
        <w:rPr>
          <w:szCs w:val="24"/>
          <w:lang w:val="es-UY"/>
        </w:rPr>
      </w:pPr>
      <w:r>
        <w:rPr>
          <w:szCs w:val="24"/>
          <w:u w:val="single"/>
          <w:lang w:val="es-UY"/>
        </w:rPr>
        <w:t>Fax</w:t>
      </w:r>
      <w:r>
        <w:rPr>
          <w:szCs w:val="24"/>
          <w:lang w:val="es-UY"/>
        </w:rPr>
        <w:t>: 2902-1488.</w:t>
      </w:r>
    </w:p>
    <w:p>
      <w:pPr>
        <w:pStyle w:val="style39"/>
        <w:spacing w:line="276" w:lineRule="auto"/>
        <w:ind w:firstLine="567" w:left="0" w:right="0"/>
        <w:rPr>
          <w:rStyle w:val="style18"/>
          <w:szCs w:val="24"/>
          <w:lang w:val="es-UY"/>
        </w:rPr>
      </w:pPr>
      <w:r>
        <w:rPr>
          <w:szCs w:val="24"/>
          <w:u w:val="single"/>
          <w:lang w:val="es-UY"/>
        </w:rPr>
        <w:t>Correo Electrónico</w:t>
      </w:r>
      <w:r>
        <w:rPr>
          <w:szCs w:val="24"/>
          <w:lang w:val="es-UY"/>
        </w:rPr>
        <w:t xml:space="preserve">: </w:t>
      </w:r>
      <w:hyperlink r:id="rId2">
        <w:r>
          <w:rPr>
            <w:rStyle w:val="style18"/>
            <w:szCs w:val="24"/>
          </w:rPr>
          <w:t>adquisiciones@poderjudicial.gub.u</w:t>
        </w:r>
        <w:r>
          <w:rPr>
            <w:rStyle w:val="style18"/>
            <w:szCs w:val="24"/>
            <w:lang w:val="es-UY"/>
          </w:rPr>
          <w:t>y</w:t>
        </w:r>
      </w:hyperlink>
    </w:p>
    <w:p>
      <w:pPr>
        <w:pStyle w:val="style39"/>
        <w:spacing w:line="276" w:lineRule="auto"/>
        <w:ind w:firstLine="567" w:left="0" w:right="0"/>
        <w:rPr>
          <w:szCs w:val="24"/>
          <w:lang w:val="es-UY"/>
        </w:rPr>
      </w:pPr>
      <w:r>
        <w:rPr>
          <w:szCs w:val="24"/>
          <w:lang w:val="es-UY"/>
        </w:rPr>
      </w:r>
    </w:p>
    <w:p>
      <w:pPr>
        <w:pStyle w:val="style0"/>
        <w:spacing w:line="276" w:lineRule="auto"/>
        <w:jc w:val="both"/>
        <w:rPr>
          <w:szCs w:val="24"/>
        </w:rPr>
      </w:pPr>
      <w:r>
        <w:rPr>
          <w:b/>
          <w:bCs/>
          <w:szCs w:val="24"/>
        </w:rPr>
        <w:tab/>
      </w:r>
      <w:r>
        <w:rPr>
          <w:b/>
          <w:szCs w:val="24"/>
        </w:rPr>
        <w:t>Las consultas</w:t>
      </w:r>
      <w:r>
        <w:rPr>
          <w:szCs w:val="24"/>
        </w:rPr>
        <w:t xml:space="preserve"> de los oferentes podrán realizarse por los siguientes medios: fax o correo electrónico.</w:t>
      </w:r>
    </w:p>
    <w:p>
      <w:pPr>
        <w:pStyle w:val="style0"/>
        <w:spacing w:line="276" w:lineRule="auto"/>
        <w:ind w:firstLine="709" w:left="0" w:right="0"/>
        <w:jc w:val="both"/>
        <w:rPr>
          <w:rFonts w:cs="Times New Roman"/>
        </w:rPr>
      </w:pPr>
      <w:r>
        <w:rPr>
          <w:rFonts w:cs="Times New Roman"/>
          <w:b/>
        </w:rPr>
        <w:t>Las respuestas</w:t>
      </w:r>
      <w:r>
        <w:rPr>
          <w:rFonts w:cs="Times New Roman"/>
        </w:rPr>
        <w:t xml:space="preserve"> a los oferentes que impliquen aclaraciones y/o modificaciones al pliego, serán evacuadas a través del </w:t>
      </w:r>
      <w:r>
        <w:rPr>
          <w:rFonts w:cs="Times New Roman"/>
          <w:b/>
        </w:rPr>
        <w:t>Sistema de Compras Estatales</w:t>
      </w:r>
      <w:r>
        <w:rPr>
          <w:rFonts w:cs="Times New Roman"/>
        </w:rPr>
        <w:t xml:space="preserve"> (SICE/Aclaraciones) y publicadas en el sitio web de compras estatales.</w:t>
      </w:r>
    </w:p>
    <w:p>
      <w:pPr>
        <w:pStyle w:val="style0"/>
        <w:spacing w:line="276" w:lineRule="auto"/>
        <w:jc w:val="both"/>
        <w:rPr>
          <w:rFonts w:cs="Times New Roman"/>
        </w:rPr>
      </w:pPr>
      <w:r>
        <w:rPr>
          <w:rFonts w:cs="Times New Roman"/>
        </w:rPr>
      </w:r>
    </w:p>
    <w:p>
      <w:pPr>
        <w:pStyle w:val="style1"/>
        <w:tabs>
          <w:tab w:leader="none" w:pos="0" w:val="left"/>
          <w:tab w:leader="none" w:pos="432" w:val="left"/>
        </w:tabs>
        <w:spacing w:line="276" w:lineRule="auto"/>
        <w:jc w:val="both"/>
        <w:rPr>
          <w:sz w:val="24"/>
          <w:szCs w:val="24"/>
          <w:lang w:val="es-UY"/>
        </w:rPr>
      </w:pPr>
      <w:r>
        <w:rPr>
          <w:sz w:val="24"/>
          <w:szCs w:val="24"/>
          <w:lang w:val="es-UY"/>
        </w:rPr>
        <w:t>Art. 3.- ACLARACIONES Y CONSULTAS.</w:t>
      </w:r>
    </w:p>
    <w:p>
      <w:pPr>
        <w:pStyle w:val="style0"/>
        <w:spacing w:line="276" w:lineRule="auto"/>
        <w:jc w:val="both"/>
        <w:rPr>
          <w:szCs w:val="24"/>
        </w:rPr>
      </w:pPr>
      <w:r>
        <w:rPr>
          <w:b/>
          <w:bCs/>
          <w:szCs w:val="24"/>
        </w:rPr>
        <w:tab/>
      </w:r>
      <w:r>
        <w:rPr>
          <w:szCs w:val="24"/>
        </w:rPr>
        <w:t xml:space="preserve">Cualquier oferente podrá solicitar al Departamento de Adquisiciones, por cualquiera de los medios mencionados en el artículo precedente, </w:t>
      </w:r>
      <w:r>
        <w:rPr>
          <w:b/>
          <w:szCs w:val="24"/>
        </w:rPr>
        <w:t>aclaraciones o consultas específicas</w:t>
      </w:r>
      <w:r>
        <w:rPr>
          <w:szCs w:val="24"/>
        </w:rPr>
        <w:t xml:space="preserve">, dirigida hasta </w:t>
      </w:r>
      <w:r>
        <w:rPr>
          <w:b/>
          <w:szCs w:val="24"/>
        </w:rPr>
        <w:t>3 días antes de la fecha establecida para el acto de apertura de las ofertas</w:t>
      </w:r>
      <w:r>
        <w:rPr>
          <w:szCs w:val="24"/>
        </w:rPr>
        <w:t>. Vencido dicho término, la Administración no estará obligada a proporcionar datos aclaratorios. Las consultas serán contestadas por el Departamento de Adquisiciones, en el plazo máximo de 48 horas a partir de su recepción.</w:t>
      </w:r>
    </w:p>
    <w:p>
      <w:pPr>
        <w:pStyle w:val="style0"/>
        <w:spacing w:line="276" w:lineRule="auto"/>
        <w:jc w:val="both"/>
        <w:rPr>
          <w:szCs w:val="24"/>
        </w:rPr>
      </w:pPr>
      <w:r>
        <w:rPr>
          <w:szCs w:val="24"/>
        </w:rPr>
      </w:r>
    </w:p>
    <w:p>
      <w:pPr>
        <w:pStyle w:val="style0"/>
        <w:spacing w:line="276" w:lineRule="auto"/>
        <w:jc w:val="both"/>
        <w:rPr>
          <w:b/>
          <w:szCs w:val="24"/>
        </w:rPr>
      </w:pPr>
      <w:r>
        <w:rPr>
          <w:b/>
          <w:szCs w:val="24"/>
        </w:rPr>
        <w:t>Art. 4.- FORMA Y MONEDA DE COTIZACION.</w:t>
      </w:r>
    </w:p>
    <w:p>
      <w:pPr>
        <w:pStyle w:val="style0"/>
        <w:spacing w:line="276" w:lineRule="auto"/>
        <w:ind w:firstLine="708" w:left="0" w:right="0"/>
        <w:jc w:val="both"/>
        <w:rPr>
          <w:szCs w:val="24"/>
        </w:rPr>
      </w:pPr>
      <w:r>
        <w:rPr>
          <w:b/>
          <w:szCs w:val="24"/>
        </w:rPr>
        <w:t>Precio de plaza en moneda nacional</w:t>
      </w:r>
      <w:r>
        <w:rPr>
          <w:szCs w:val="24"/>
        </w:rPr>
        <w:t xml:space="preserve">. </w:t>
      </w:r>
    </w:p>
    <w:p>
      <w:pPr>
        <w:pStyle w:val="style0"/>
        <w:spacing w:line="276" w:lineRule="auto"/>
        <w:ind w:firstLine="708" w:left="0" w:right="0"/>
        <w:jc w:val="both"/>
        <w:rPr>
          <w:b/>
          <w:szCs w:val="24"/>
        </w:rPr>
      </w:pPr>
      <w:r>
        <w:rPr>
          <w:szCs w:val="24"/>
        </w:rPr>
        <w:t xml:space="preserve">Se deberá </w:t>
      </w:r>
      <w:r>
        <w:rPr>
          <w:b/>
          <w:szCs w:val="24"/>
        </w:rPr>
        <w:t>cotizar para el Item 1 y 3 el monto de la hora hombre solicitada y para el ítem 2 el monto del mantenimiento correspondiente a los vehículos en garantía.</w:t>
      </w:r>
    </w:p>
    <w:p>
      <w:pPr>
        <w:pStyle w:val="style0"/>
        <w:spacing w:line="276" w:lineRule="auto"/>
        <w:ind w:firstLine="708" w:left="0" w:right="0"/>
        <w:jc w:val="both"/>
        <w:rPr>
          <w:szCs w:val="24"/>
        </w:rPr>
      </w:pPr>
      <w:r>
        <w:rPr>
          <w:szCs w:val="24"/>
        </w:rPr>
        <w:t xml:space="preserve">No se abonarán viáticos de ningún tipo y la cotización deberá incluir asesoramiento. </w:t>
      </w:r>
    </w:p>
    <w:p>
      <w:pPr>
        <w:pStyle w:val="style0"/>
        <w:spacing w:line="276" w:lineRule="auto"/>
        <w:jc w:val="both"/>
        <w:rPr>
          <w:szCs w:val="24"/>
        </w:rPr>
      </w:pPr>
      <w:r>
        <w:rPr>
          <w:szCs w:val="24"/>
        </w:rPr>
      </w:r>
    </w:p>
    <w:p>
      <w:pPr>
        <w:pStyle w:val="style0"/>
        <w:spacing w:line="276" w:lineRule="auto"/>
        <w:jc w:val="both"/>
        <w:rPr>
          <w:szCs w:val="24"/>
        </w:rPr>
      </w:pPr>
      <w:r>
        <w:rPr>
          <w:b/>
          <w:szCs w:val="24"/>
        </w:rPr>
        <w:t>Art. 5.- PRESENTACIÓN DE LAS OFERTAS</w:t>
      </w:r>
      <w:r>
        <w:rPr>
          <w:szCs w:val="24"/>
        </w:rPr>
        <w:t>.</w:t>
      </w:r>
    </w:p>
    <w:p>
      <w:pPr>
        <w:pStyle w:val="style49"/>
        <w:spacing w:after="0" w:before="0" w:line="276" w:lineRule="auto"/>
        <w:ind w:firstLine="708" w:left="0" w:right="0"/>
        <w:contextualSpacing w:val="false"/>
        <w:jc w:val="both"/>
        <w:rPr>
          <w:rFonts w:ascii="Bookman Old Style" w:hAnsi="Bookman Old Style"/>
          <w:szCs w:val="24"/>
        </w:rPr>
      </w:pPr>
      <w:r>
        <w:rPr>
          <w:rFonts w:ascii="Bookman Old Style" w:hAnsi="Bookman Old Style"/>
          <w:szCs w:val="24"/>
          <w:lang w:eastAsia="es-ES"/>
        </w:rPr>
        <w:t xml:space="preserve">Las ofertas deberán presentarse en el </w:t>
      </w:r>
      <w:r>
        <w:rPr>
          <w:rFonts w:ascii="Bookman Old Style" w:hAnsi="Bookman Old Style"/>
          <w:b/>
          <w:szCs w:val="24"/>
          <w:lang w:eastAsia="es-ES"/>
        </w:rPr>
        <w:t>Dpto. de Adquisiciones</w:t>
      </w:r>
      <w:r>
        <w:rPr>
          <w:rFonts w:ascii="Bookman Old Style" w:hAnsi="Bookman Old Style"/>
          <w:szCs w:val="24"/>
          <w:lang w:eastAsia="es-ES"/>
        </w:rPr>
        <w:t xml:space="preserve"> (art. 2) </w:t>
      </w:r>
      <w:r>
        <w:rPr>
          <w:rFonts w:ascii="Bookman Old Style" w:hAnsi="Bookman Old Style"/>
          <w:b/>
          <w:szCs w:val="24"/>
          <w:lang w:eastAsia="es-ES"/>
        </w:rPr>
        <w:t xml:space="preserve">por </w:t>
      </w:r>
      <w:r>
        <w:rPr>
          <w:rFonts w:ascii="Bookman Old Style" w:hAnsi="Bookman Old Style"/>
          <w:b/>
          <w:szCs w:val="24"/>
          <w:u w:val="single"/>
          <w:lang w:eastAsia="es-ES"/>
        </w:rPr>
        <w:t>uno</w:t>
      </w:r>
      <w:r>
        <w:rPr>
          <w:rFonts w:ascii="Bookman Old Style" w:hAnsi="Bookman Old Style"/>
          <w:b/>
          <w:szCs w:val="24"/>
        </w:rPr>
        <w:t xml:space="preserve"> de los siguientes medios</w:t>
      </w:r>
      <w:r>
        <w:rPr>
          <w:rFonts w:ascii="Bookman Old Style" w:hAnsi="Bookman Old Style"/>
          <w:szCs w:val="24"/>
        </w:rPr>
        <w:t xml:space="preserve">: </w:t>
      </w:r>
    </w:p>
    <w:p>
      <w:pPr>
        <w:pStyle w:val="style49"/>
        <w:numPr>
          <w:ilvl w:val="0"/>
          <w:numId w:val="3"/>
        </w:numPr>
        <w:spacing w:after="0" w:before="0" w:line="276" w:lineRule="auto"/>
        <w:contextualSpacing w:val="false"/>
        <w:jc w:val="both"/>
        <w:rPr>
          <w:rFonts w:ascii="Bookman Old Style" w:hAnsi="Bookman Old Style"/>
          <w:szCs w:val="24"/>
        </w:rPr>
      </w:pPr>
      <w:r>
        <w:rPr>
          <w:rFonts w:ascii="Bookman Old Style" w:hAnsi="Bookman Old Style"/>
          <w:szCs w:val="24"/>
        </w:rPr>
        <w:t>sobre cerrado</w:t>
      </w:r>
      <w:r>
        <w:rPr>
          <w:rFonts w:ascii="Bookman Old Style" w:hAnsi="Bookman Old Style"/>
          <w:szCs w:val="24"/>
          <w:lang w:eastAsia="es-ES"/>
        </w:rPr>
        <w:t xml:space="preserve"> (identificando oferente y su número de RUT procurando que su recepción sea con antelación suficiente a la fecha y/u hora de la apertura evitando aglomeración de personas)</w:t>
      </w:r>
      <w:r>
        <w:rPr>
          <w:rFonts w:ascii="Bookman Old Style" w:hAnsi="Bookman Old Style"/>
          <w:szCs w:val="24"/>
        </w:rPr>
        <w:t xml:space="preserve">, </w:t>
      </w:r>
    </w:p>
    <w:p>
      <w:pPr>
        <w:pStyle w:val="style49"/>
        <w:numPr>
          <w:ilvl w:val="0"/>
          <w:numId w:val="3"/>
        </w:numPr>
        <w:spacing w:after="0" w:before="0" w:line="276" w:lineRule="auto"/>
        <w:contextualSpacing w:val="false"/>
        <w:jc w:val="both"/>
        <w:rPr>
          <w:rFonts w:ascii="Bookman Old Style" w:hAnsi="Bookman Old Style"/>
          <w:szCs w:val="24"/>
        </w:rPr>
      </w:pPr>
      <w:r>
        <w:rPr>
          <w:rFonts w:ascii="Bookman Old Style" w:hAnsi="Bookman Old Style"/>
          <w:szCs w:val="24"/>
        </w:rPr>
        <w:t xml:space="preserve">correo electrónico, </w:t>
      </w:r>
    </w:p>
    <w:p>
      <w:pPr>
        <w:pStyle w:val="style49"/>
        <w:numPr>
          <w:ilvl w:val="0"/>
          <w:numId w:val="3"/>
        </w:numPr>
        <w:spacing w:after="0" w:before="0" w:line="276" w:lineRule="auto"/>
        <w:contextualSpacing w:val="false"/>
        <w:jc w:val="both"/>
        <w:rPr>
          <w:rFonts w:ascii="Bookman Old Style" w:hAnsi="Bookman Old Style"/>
          <w:szCs w:val="24"/>
        </w:rPr>
      </w:pPr>
      <w:r>
        <w:rPr>
          <w:rFonts w:ascii="Bookman Old Style" w:hAnsi="Bookman Old Style"/>
          <w:szCs w:val="24"/>
        </w:rPr>
        <w:t xml:space="preserve">fax, </w:t>
      </w:r>
    </w:p>
    <w:p>
      <w:pPr>
        <w:pStyle w:val="style49"/>
        <w:numPr>
          <w:ilvl w:val="0"/>
          <w:numId w:val="3"/>
        </w:numPr>
        <w:spacing w:after="0" w:before="0" w:line="276" w:lineRule="auto"/>
        <w:contextualSpacing w:val="false"/>
        <w:jc w:val="both"/>
        <w:rPr>
          <w:rFonts w:ascii="Bookman Old Style" w:hAnsi="Bookman Old Style"/>
          <w:szCs w:val="24"/>
        </w:rPr>
      </w:pPr>
      <w:r>
        <w:rPr>
          <w:rFonts w:ascii="Bookman Old Style" w:hAnsi="Bookman Old Style"/>
          <w:szCs w:val="24"/>
        </w:rPr>
        <w:t>en línea en el sistema SICE (art. 63 inc. 5 del TOCAF).</w:t>
      </w:r>
    </w:p>
    <w:p>
      <w:pPr>
        <w:pStyle w:val="style49"/>
        <w:spacing w:after="0" w:before="0" w:line="276" w:lineRule="auto"/>
        <w:ind w:firstLine="709" w:left="0" w:right="0"/>
        <w:contextualSpacing w:val="false"/>
        <w:jc w:val="both"/>
        <w:rPr>
          <w:rFonts w:ascii="Bookman Old Style" w:hAnsi="Bookman Old Style"/>
          <w:szCs w:val="24"/>
        </w:rPr>
      </w:pPr>
      <w:r>
        <w:rPr>
          <w:rFonts w:ascii="Bookman Old Style" w:hAnsi="Bookman Old Style"/>
          <w:szCs w:val="24"/>
        </w:rPr>
        <w:t xml:space="preserve">Se deberá </w:t>
      </w:r>
      <w:r>
        <w:rPr>
          <w:rFonts w:ascii="Bookman Old Style" w:hAnsi="Bookman Old Style"/>
          <w:b/>
          <w:szCs w:val="24"/>
        </w:rPr>
        <w:t>utilizar un único medio</w:t>
      </w:r>
      <w:r>
        <w:rPr>
          <w:rFonts w:ascii="Bookman Old Style" w:hAnsi="Bookman Old Style"/>
          <w:szCs w:val="24"/>
        </w:rPr>
        <w:t xml:space="preserve"> de los ofrecidos. En caso de que el oferente presente su oferta a través del SICE y no coincidiera el archivo adjunto con la cotización en línea, se le dará validez al adjunto.</w:t>
      </w:r>
    </w:p>
    <w:p>
      <w:pPr>
        <w:pStyle w:val="style0"/>
        <w:spacing w:line="276" w:lineRule="auto"/>
        <w:jc w:val="both"/>
        <w:rPr>
          <w:rFonts w:eastAsia="Calibri"/>
          <w:szCs w:val="24"/>
          <w:lang w:eastAsia="zh-CN"/>
        </w:rPr>
      </w:pPr>
      <w:r>
        <w:rPr>
          <w:rFonts w:eastAsia="Calibri"/>
          <w:szCs w:val="24"/>
          <w:lang w:eastAsia="zh-CN"/>
        </w:rPr>
        <w:tab/>
        <w:t xml:space="preserve">En caso de cotizarse por </w:t>
      </w:r>
      <w:r>
        <w:rPr>
          <w:rFonts w:eastAsia="Calibri"/>
          <w:szCs w:val="24"/>
          <w:u w:val="single"/>
          <w:lang w:eastAsia="zh-CN"/>
        </w:rPr>
        <w:t>correo electrónico</w:t>
      </w:r>
      <w:r>
        <w:rPr>
          <w:rFonts w:eastAsia="Calibri"/>
          <w:szCs w:val="24"/>
          <w:lang w:eastAsia="zh-CN"/>
        </w:rPr>
        <w:t xml:space="preserve"> o </w:t>
      </w:r>
      <w:r>
        <w:rPr>
          <w:rFonts w:eastAsia="Calibri"/>
          <w:szCs w:val="24"/>
          <w:u w:val="single"/>
          <w:lang w:eastAsia="zh-CN"/>
        </w:rPr>
        <w:t>en línea SICE</w:t>
      </w:r>
      <w:r>
        <w:rPr>
          <w:rFonts w:eastAsia="Calibri"/>
          <w:szCs w:val="24"/>
          <w:lang w:eastAsia="zh-CN"/>
        </w:rPr>
        <w:t xml:space="preserve"> deberá </w:t>
      </w:r>
      <w:r>
        <w:rPr>
          <w:rFonts w:eastAsia="Calibri"/>
          <w:b/>
          <w:szCs w:val="24"/>
          <w:lang w:eastAsia="zh-CN"/>
        </w:rPr>
        <w:t>adjuntarse archivo con la oferta escaneada, firmada por representante</w:t>
      </w:r>
      <w:r>
        <w:rPr>
          <w:rFonts w:eastAsia="Calibri"/>
          <w:szCs w:val="24"/>
          <w:lang w:eastAsia="zh-CN"/>
        </w:rPr>
        <w:t xml:space="preserve"> validado en el Registro Único de Proveedores del Estado (RUPE). </w:t>
      </w:r>
    </w:p>
    <w:p>
      <w:pPr>
        <w:pStyle w:val="style0"/>
        <w:spacing w:line="276" w:lineRule="auto"/>
        <w:ind w:firstLine="708" w:left="0" w:right="0"/>
        <w:jc w:val="both"/>
        <w:rPr>
          <w:rFonts w:eastAsia="Calibri"/>
          <w:szCs w:val="24"/>
          <w:lang w:eastAsia="zh-CN"/>
        </w:rPr>
      </w:pPr>
      <w:r>
        <w:rPr>
          <w:rFonts w:eastAsia="Calibri"/>
          <w:szCs w:val="24"/>
          <w:lang w:eastAsia="zh-CN"/>
        </w:rPr>
        <w:t xml:space="preserve">Se exhorta a </w:t>
      </w:r>
      <w:r>
        <w:rPr>
          <w:rFonts w:eastAsia="Calibri"/>
          <w:b/>
          <w:szCs w:val="24"/>
          <w:lang w:eastAsia="zh-CN"/>
        </w:rPr>
        <w:t>no incorporar documentación que no fuera solicitada</w:t>
      </w:r>
      <w:r>
        <w:rPr>
          <w:rFonts w:eastAsia="Calibri"/>
          <w:szCs w:val="24"/>
          <w:lang w:eastAsia="zh-CN"/>
        </w:rPr>
        <w:t>. A vía de ejemplo, tipo de maquinaria, marca o características de los productos a utilizar, referencias personales, etc.</w:t>
      </w:r>
    </w:p>
    <w:p>
      <w:pPr>
        <w:pStyle w:val="style0"/>
        <w:spacing w:line="276" w:lineRule="auto"/>
        <w:jc w:val="both"/>
        <w:rPr>
          <w:rFonts w:eastAsia="Calibri"/>
          <w:b/>
          <w:szCs w:val="24"/>
          <w:lang w:eastAsia="zh-CN"/>
        </w:rPr>
      </w:pPr>
      <w:r>
        <w:rPr>
          <w:rFonts w:eastAsia="Calibri"/>
          <w:szCs w:val="24"/>
          <w:lang w:eastAsia="zh-CN"/>
        </w:rPr>
        <w:tab/>
        <w:t xml:space="preserve">Las </w:t>
      </w:r>
      <w:r>
        <w:rPr>
          <w:rFonts w:eastAsia="Calibri"/>
          <w:b/>
          <w:szCs w:val="24"/>
          <w:lang w:eastAsia="zh-CN"/>
        </w:rPr>
        <w:t xml:space="preserve">ofertas deberán estar firmadas (con aclaración) por el representante o apoderado registrado en el RUPE. Se admitirán aquellas empresas que se encuentren en estado “ingreso”. Al momento de la adjudicación deberá estar en estado “activo” o en caso contrario contará con un plazo máximo de 48 horas. </w:t>
      </w:r>
    </w:p>
    <w:p>
      <w:pPr>
        <w:pStyle w:val="style0"/>
        <w:widowControl w:val="false"/>
        <w:spacing w:line="276" w:lineRule="auto"/>
        <w:ind w:firstLine="708" w:left="0" w:right="0"/>
        <w:jc w:val="both"/>
        <w:rPr>
          <w:szCs w:val="24"/>
          <w:lang w:eastAsia="es-ES"/>
        </w:rPr>
      </w:pPr>
      <w:r>
        <w:rPr>
          <w:szCs w:val="24"/>
          <w:lang w:eastAsia="es-ES"/>
        </w:rPr>
        <w:t xml:space="preserve">Los precios cotizados deberán </w:t>
      </w:r>
      <w:r>
        <w:rPr>
          <w:b/>
          <w:szCs w:val="24"/>
          <w:lang w:eastAsia="es-ES"/>
        </w:rPr>
        <w:t>indicar todos los tributos</w:t>
      </w:r>
      <w:r>
        <w:rPr>
          <w:szCs w:val="24"/>
          <w:lang w:eastAsia="es-ES"/>
        </w:rPr>
        <w:t xml:space="preserve"> que correspondan al oferente y su porcentaje, </w:t>
      </w:r>
      <w:r>
        <w:rPr>
          <w:b/>
          <w:bCs/>
          <w:szCs w:val="24"/>
          <w:lang w:eastAsia="es-ES"/>
        </w:rPr>
        <w:t>especialmente el I.V.A., en forma clara y precisa, manifestando si los referidos tributos están o no incluidos en los precios</w:t>
      </w:r>
      <w:r>
        <w:rPr>
          <w:szCs w:val="24"/>
          <w:lang w:eastAsia="es-ES"/>
        </w:rPr>
        <w:t>. En caso de no establecerse esta circunstancia, se considerará que los precios son con todos los tributos incluidos.</w:t>
      </w:r>
    </w:p>
    <w:p>
      <w:pPr>
        <w:pStyle w:val="style0"/>
        <w:widowControl w:val="false"/>
        <w:spacing w:line="276" w:lineRule="auto"/>
        <w:ind w:firstLine="708" w:left="0" w:right="0"/>
        <w:jc w:val="both"/>
        <w:rPr>
          <w:szCs w:val="24"/>
          <w:lang w:eastAsia="es-ES"/>
        </w:rPr>
      </w:pPr>
      <w:r>
        <w:rPr>
          <w:szCs w:val="24"/>
          <w:lang w:eastAsia="es-ES"/>
        </w:rPr>
      </w:r>
    </w:p>
    <w:p>
      <w:pPr>
        <w:pStyle w:val="style0"/>
        <w:spacing w:line="276" w:lineRule="auto"/>
        <w:jc w:val="both"/>
        <w:rPr>
          <w:b/>
          <w:szCs w:val="24"/>
        </w:rPr>
      </w:pPr>
      <w:r>
        <w:rPr>
          <w:b/>
          <w:szCs w:val="24"/>
        </w:rPr>
        <w:t>Art. 6.- CONTRALOR  DE LA OBLIGATORIEDAD DEL VOTO</w:t>
      </w:r>
    </w:p>
    <w:p>
      <w:pPr>
        <w:pStyle w:val="style39"/>
        <w:spacing w:after="0" w:before="2" w:line="276" w:lineRule="auto"/>
        <w:ind w:hanging="0" w:left="163" w:right="1082"/>
        <w:contextualSpacing w:val="false"/>
        <w:jc w:val="both"/>
        <w:rPr>
          <w:rFonts w:ascii="Arial" w:cs="Arial" w:hAnsi="Arial"/>
          <w:sz w:val="22"/>
          <w:szCs w:val="22"/>
        </w:rPr>
      </w:pPr>
      <w:r>
        <w:rPr>
          <w:rFonts w:ascii="Arial" w:cs="Arial" w:hAnsi="Arial"/>
          <w:sz w:val="22"/>
          <w:szCs w:val="22"/>
        </w:rPr>
      </w:r>
    </w:p>
    <w:p>
      <w:pPr>
        <w:pStyle w:val="style49"/>
        <w:spacing w:after="0" w:before="0" w:line="276" w:lineRule="auto"/>
        <w:ind w:firstLine="709" w:left="0" w:right="0"/>
        <w:contextualSpacing w:val="false"/>
        <w:jc w:val="both"/>
        <w:rPr>
          <w:rFonts w:ascii="Bookman Old Style" w:hAnsi="Bookman Old Style"/>
          <w:szCs w:val="24"/>
        </w:rPr>
      </w:pPr>
      <w:r>
        <w:rPr>
          <w:rFonts w:ascii="Bookman Old Style" w:hAnsi="Bookman Old Style"/>
          <w:b/>
          <w:szCs w:val="24"/>
        </w:rPr>
        <w:t>A partir  del 25/01/2020  y hasta el 25/05/2021, inclusive</w:t>
      </w:r>
      <w:r>
        <w:rPr>
          <w:rFonts w:ascii="Bookman Old Style" w:hAnsi="Bookman Old Style"/>
          <w:szCs w:val="24"/>
        </w:rPr>
        <w:t xml:space="preserve">,  se deberá </w:t>
      </w:r>
      <w:r>
        <w:rPr>
          <w:rFonts w:ascii="Bookman Old Style" w:hAnsi="Bookman Old Style"/>
          <w:b/>
          <w:szCs w:val="24"/>
        </w:rPr>
        <w:t>acreditar el voto del firmante de la oferta</w:t>
      </w:r>
      <w:r>
        <w:rPr>
          <w:rFonts w:ascii="Bookman Old Style" w:hAnsi="Bookman Old Style"/>
          <w:szCs w:val="24"/>
        </w:rPr>
        <w:t xml:space="preserve">, en las </w:t>
      </w:r>
      <w:r>
        <w:rPr>
          <w:rFonts w:ascii="Bookman Old Style" w:hAnsi="Bookman Old Style"/>
          <w:b/>
          <w:szCs w:val="24"/>
        </w:rPr>
        <w:t>Elecciones Nacionales</w:t>
      </w:r>
      <w:r>
        <w:rPr>
          <w:rFonts w:ascii="Bookman Old Style" w:hAnsi="Bookman Old Style"/>
          <w:szCs w:val="24"/>
        </w:rPr>
        <w:t xml:space="preserve">  del 27/10/2019 y segunda elección celebrada el  24/11/2019, y en las </w:t>
      </w:r>
      <w:r>
        <w:rPr>
          <w:rFonts w:ascii="Bookman Old Style" w:hAnsi="Bookman Old Style"/>
          <w:b/>
          <w:szCs w:val="24"/>
        </w:rPr>
        <w:t>Elecciones Departamentales y Municipales</w:t>
      </w:r>
      <w:r>
        <w:rPr>
          <w:rFonts w:ascii="Bookman Old Style" w:hAnsi="Bookman Old Style"/>
          <w:szCs w:val="24"/>
        </w:rPr>
        <w:t xml:space="preserve"> celebradas el 27/9/2020, presentando la constancia respectiva expedida a esos efectos (Circular 11066 Corte Electoral). En caso de no haber votado, se presentará la constancia de pago de la multa correspondiente, o la constancia de la justificación de su incumplimiento, expedida por la Corte Electoral.</w:t>
      </w:r>
    </w:p>
    <w:p>
      <w:pPr>
        <w:pStyle w:val="style49"/>
        <w:spacing w:after="0" w:before="0" w:line="276" w:lineRule="auto"/>
        <w:ind w:firstLine="709" w:left="0" w:right="0"/>
        <w:contextualSpacing w:val="false"/>
        <w:jc w:val="both"/>
        <w:rPr>
          <w:rFonts w:ascii="Bookman Old Style" w:hAnsi="Bookman Old Style"/>
          <w:szCs w:val="24"/>
        </w:rPr>
      </w:pPr>
      <w:r>
        <w:rPr>
          <w:rFonts w:ascii="Bookman Old Style" w:hAnsi="Bookman Old Style"/>
          <w:szCs w:val="24"/>
        </w:rPr>
        <w:t>Quedan exceptuadas las personas que ya lo tengan acreditado en el RUPE y aquellas que por tratarse de extranjeros no tengan derecho a voto, o no se encuentren comprendidas en las disposiciones legales vigentes.</w:t>
      </w:r>
    </w:p>
    <w:p>
      <w:pPr>
        <w:pStyle w:val="style49"/>
        <w:spacing w:after="0" w:before="0" w:line="276" w:lineRule="auto"/>
        <w:ind w:firstLine="709" w:left="0" w:right="0"/>
        <w:contextualSpacing w:val="false"/>
        <w:jc w:val="both"/>
        <w:rPr>
          <w:rFonts w:ascii="Bookman Old Style" w:hAnsi="Bookman Old Style"/>
          <w:szCs w:val="24"/>
        </w:rPr>
      </w:pPr>
      <w:r>
        <w:rPr>
          <w:rFonts w:ascii="Bookman Old Style" w:hAnsi="Bookman Old Style"/>
          <w:szCs w:val="24"/>
        </w:rPr>
        <w:t>En caso de no acreditarse el voto de los firmantes, se observará la omisión otorgándose un plazo de dos días hábiles para su subsanación.</w:t>
      </w:r>
    </w:p>
    <w:p>
      <w:pPr>
        <w:pStyle w:val="style0"/>
        <w:spacing w:line="276" w:lineRule="auto"/>
        <w:jc w:val="both"/>
        <w:rPr>
          <w:b/>
          <w:szCs w:val="24"/>
        </w:rPr>
      </w:pPr>
      <w:r>
        <w:rPr>
          <w:b/>
          <w:szCs w:val="24"/>
        </w:rPr>
      </w:r>
    </w:p>
    <w:p>
      <w:pPr>
        <w:pStyle w:val="style0"/>
        <w:spacing w:line="276" w:lineRule="auto"/>
        <w:jc w:val="both"/>
        <w:rPr>
          <w:b/>
          <w:szCs w:val="24"/>
        </w:rPr>
      </w:pPr>
      <w:r>
        <w:rPr>
          <w:b/>
          <w:szCs w:val="24"/>
        </w:rPr>
        <w:t>Art. 7.- LUGAR, FECHA Y HORA DE APERTURA</w:t>
      </w:r>
    </w:p>
    <w:p>
      <w:pPr>
        <w:pStyle w:val="style0"/>
        <w:spacing w:line="276" w:lineRule="auto"/>
        <w:jc w:val="both"/>
        <w:rPr>
          <w:b/>
          <w:szCs w:val="24"/>
        </w:rPr>
      </w:pPr>
      <w:r>
        <w:rPr>
          <w:b/>
          <w:szCs w:val="24"/>
        </w:rPr>
      </w:r>
    </w:p>
    <w:p>
      <w:pPr>
        <w:pStyle w:val="style0"/>
        <w:spacing w:line="276" w:lineRule="auto"/>
        <w:jc w:val="both"/>
        <w:rPr>
          <w:szCs w:val="24"/>
          <w:u w:val="single"/>
        </w:rPr>
      </w:pPr>
      <w:r>
        <w:rPr>
          <w:szCs w:val="24"/>
          <w:u w:val="single"/>
        </w:rPr>
        <w:t xml:space="preserve">Apertura </w:t>
      </w:r>
    </w:p>
    <w:p>
      <w:pPr>
        <w:pStyle w:val="style0"/>
        <w:spacing w:line="276" w:lineRule="auto"/>
        <w:jc w:val="both"/>
        <w:rPr>
          <w:b/>
          <w:szCs w:val="24"/>
        </w:rPr>
      </w:pPr>
      <w:r>
        <w:rPr>
          <w:szCs w:val="24"/>
        </w:rPr>
        <w:tab/>
      </w:r>
      <w:r>
        <w:rPr>
          <w:b/>
          <w:szCs w:val="24"/>
        </w:rPr>
        <w:t xml:space="preserve">a) Fecha: </w:t>
      </w:r>
      <w:r>
        <w:rPr>
          <w:b/>
          <w:szCs w:val="24"/>
        </w:rPr>
        <w:t>9 de Febrero de 2021</w:t>
      </w:r>
    </w:p>
    <w:p>
      <w:pPr>
        <w:pStyle w:val="style0"/>
        <w:spacing w:line="276" w:lineRule="auto"/>
        <w:jc w:val="both"/>
        <w:rPr>
          <w:b/>
          <w:szCs w:val="24"/>
        </w:rPr>
      </w:pPr>
      <w:r>
        <w:rPr>
          <w:b/>
          <w:szCs w:val="24"/>
        </w:rPr>
        <w:tab/>
        <w:t xml:space="preserve">b) Hora: </w:t>
      </w:r>
      <w:r>
        <w:rPr>
          <w:b/>
          <w:szCs w:val="24"/>
        </w:rPr>
        <w:t>10:00 hs</w:t>
      </w:r>
      <w:r>
        <w:rPr>
          <w:b/>
          <w:szCs w:val="24"/>
        </w:rPr>
        <w:t>.</w:t>
      </w:r>
    </w:p>
    <w:p>
      <w:pPr>
        <w:pStyle w:val="style39"/>
        <w:spacing w:line="276" w:lineRule="auto"/>
        <w:ind w:firstLine="567" w:left="0" w:right="0"/>
        <w:rPr>
          <w:rStyle w:val="style18"/>
          <w:szCs w:val="24"/>
          <w:lang w:val="es-UY"/>
        </w:rPr>
      </w:pPr>
      <w:r>
        <w:rPr>
          <w:szCs w:val="24"/>
        </w:rPr>
        <w:tab/>
        <w:t xml:space="preserve">c) Lugar: </w:t>
      </w:r>
      <w:r>
        <w:rPr>
          <w:b w:val="false"/>
          <w:szCs w:val="24"/>
        </w:rPr>
        <w:t xml:space="preserve">Departamento de Adquisiciones. </w:t>
      </w:r>
      <w:r>
        <w:rPr>
          <w:szCs w:val="24"/>
          <w:u w:val="single"/>
          <w:lang w:val="es-UY"/>
        </w:rPr>
        <w:t>Correo Electrónico</w:t>
      </w:r>
      <w:r>
        <w:rPr>
          <w:szCs w:val="24"/>
          <w:lang w:val="es-UY"/>
        </w:rPr>
        <w:t xml:space="preserve">: </w:t>
      </w:r>
      <w:hyperlink r:id="rId3">
        <w:r>
          <w:rPr>
            <w:rStyle w:val="style18"/>
            <w:szCs w:val="24"/>
          </w:rPr>
          <w:t>adquisiciones@poderjudicial.gub.u</w:t>
        </w:r>
        <w:r>
          <w:rPr>
            <w:rStyle w:val="style18"/>
            <w:szCs w:val="24"/>
            <w:lang w:val="es-UY"/>
          </w:rPr>
          <w:t>y</w:t>
        </w:r>
      </w:hyperlink>
    </w:p>
    <w:p>
      <w:pPr>
        <w:pStyle w:val="style0"/>
        <w:spacing w:line="276" w:lineRule="auto"/>
        <w:jc w:val="both"/>
        <w:rPr>
          <w:szCs w:val="24"/>
        </w:rPr>
      </w:pPr>
      <w:r>
        <w:rPr>
          <w:szCs w:val="24"/>
        </w:rPr>
      </w:r>
    </w:p>
    <w:p>
      <w:pPr>
        <w:pStyle w:val="style0"/>
        <w:spacing w:line="276" w:lineRule="auto"/>
        <w:jc w:val="both"/>
        <w:rPr>
          <w:b/>
          <w:szCs w:val="24"/>
        </w:rPr>
      </w:pPr>
      <w:r>
        <w:rPr>
          <w:b/>
          <w:szCs w:val="24"/>
        </w:rPr>
        <w:t>Art. 8.- APERTURA DE OFERTAS.</w:t>
      </w:r>
    </w:p>
    <w:p>
      <w:pPr>
        <w:pStyle w:val="style0"/>
        <w:spacing w:line="276" w:lineRule="auto"/>
        <w:jc w:val="both"/>
        <w:rPr>
          <w:szCs w:val="24"/>
          <w:lang w:eastAsia="es-UY"/>
        </w:rPr>
      </w:pPr>
      <w:r>
        <w:rPr>
          <w:szCs w:val="24"/>
        </w:rPr>
        <w:tab/>
      </w:r>
      <w:r>
        <w:rPr>
          <w:szCs w:val="24"/>
          <w:lang w:eastAsia="es-UY"/>
        </w:rPr>
        <w:t xml:space="preserve">En atención a la emergencia sanitaria y siguiendo las recomendaciones de las autoridades nacionales para la prevención de la propagación del Coronavirus, el </w:t>
      </w:r>
      <w:r>
        <w:rPr>
          <w:b/>
          <w:szCs w:val="24"/>
          <w:u w:val="single"/>
          <w:lang w:eastAsia="es-UY"/>
        </w:rPr>
        <w:t>ACTO DE APERTURA NO SE REALIZARA EN FORMA PRESENCIAL</w:t>
      </w:r>
      <w:r>
        <w:rPr>
          <w:szCs w:val="24"/>
          <w:lang w:eastAsia="es-UY"/>
        </w:rPr>
        <w:t xml:space="preserve">. </w:t>
      </w:r>
    </w:p>
    <w:p>
      <w:pPr>
        <w:pStyle w:val="style0"/>
        <w:spacing w:line="276" w:lineRule="auto"/>
        <w:ind w:firstLine="708" w:left="0" w:right="0"/>
        <w:jc w:val="both"/>
        <w:rPr>
          <w:rFonts w:eastAsia="Calibri"/>
          <w:szCs w:val="24"/>
          <w:lang w:eastAsia="zh-CN"/>
        </w:rPr>
      </w:pPr>
      <w:r>
        <w:rPr>
          <w:rFonts w:eastAsia="Calibri"/>
          <w:szCs w:val="24"/>
          <w:lang w:eastAsia="zh-C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pPr>
        <w:pStyle w:val="style0"/>
        <w:spacing w:line="276" w:lineRule="auto"/>
        <w:ind w:firstLine="708" w:left="0" w:right="0"/>
        <w:jc w:val="both"/>
        <w:rPr>
          <w:rStyle w:val="style18"/>
          <w:rFonts w:eastAsia="Calibri"/>
          <w:color w:val="000080"/>
          <w:szCs w:val="24"/>
          <w:lang w:eastAsia="zh-CN"/>
        </w:rPr>
      </w:pPr>
      <w:r>
        <w:rPr>
          <w:rFonts w:eastAsia="Calibri"/>
          <w:szCs w:val="24"/>
          <w:lang w:eastAsia="zh-CN"/>
        </w:rPr>
        <w:t xml:space="preserve">Aquellos oferentes que tengan interés en ver las ofertas contarán con un plazo de 3 días a contar de la notificación del acta de apertura, para lo cual deberán agendarse previamente al correo electrónico </w:t>
      </w:r>
      <w:hyperlink r:id="rId4">
        <w:r>
          <w:rPr>
            <w:rStyle w:val="style18"/>
            <w:rFonts w:eastAsia="Calibri"/>
            <w:color w:val="000080"/>
            <w:szCs w:val="24"/>
            <w:lang w:eastAsia="zh-CN"/>
          </w:rPr>
          <w:t>adquisiciones@poderjudicial.gub.uy</w:t>
        </w:r>
      </w:hyperlink>
    </w:p>
    <w:p>
      <w:pPr>
        <w:pStyle w:val="style0"/>
        <w:spacing w:line="276" w:lineRule="auto"/>
        <w:ind w:firstLine="708" w:left="0" w:right="0"/>
        <w:jc w:val="both"/>
        <w:rPr>
          <w:rFonts w:eastAsia="Calibri"/>
          <w:szCs w:val="24"/>
          <w:lang w:eastAsia="zh-CN"/>
        </w:rPr>
      </w:pPr>
      <w:r>
        <w:rPr>
          <w:rFonts w:eastAsia="Calibri"/>
          <w:szCs w:val="24"/>
          <w:lang w:eastAsia="zh-C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pPr>
        <w:pStyle w:val="style0"/>
        <w:spacing w:line="276" w:lineRule="auto"/>
        <w:ind w:firstLine="708" w:left="0" w:right="0"/>
        <w:jc w:val="both"/>
        <w:rPr>
          <w:rFonts w:eastAsia="Calibri"/>
          <w:szCs w:val="24"/>
        </w:rPr>
      </w:pPr>
      <w:r>
        <w:rPr>
          <w:rFonts w:eastAsia="Calibri"/>
          <w:szCs w:val="24"/>
        </w:rPr>
        <w:t xml:space="preserve">Se deja constancia que en el presente procedimiento no se utiliza la modalidad de apertura electrónica. </w:t>
      </w:r>
    </w:p>
    <w:p>
      <w:pPr>
        <w:pStyle w:val="style0"/>
        <w:spacing w:line="276" w:lineRule="auto"/>
        <w:ind w:firstLine="708" w:left="0" w:right="0"/>
        <w:jc w:val="both"/>
        <w:rPr>
          <w:rFonts w:eastAsia="Calibri"/>
          <w:szCs w:val="24"/>
        </w:rPr>
      </w:pPr>
      <w:r>
        <w:rPr>
          <w:rFonts w:eastAsia="Calibri"/>
          <w:szCs w:val="24"/>
        </w:rPr>
      </w:r>
    </w:p>
    <w:p>
      <w:pPr>
        <w:pStyle w:val="style0"/>
        <w:spacing w:line="276" w:lineRule="auto"/>
        <w:jc w:val="both"/>
        <w:rPr>
          <w:b/>
          <w:szCs w:val="24"/>
        </w:rPr>
      </w:pPr>
      <w:r>
        <w:rPr>
          <w:b/>
          <w:szCs w:val="24"/>
        </w:rPr>
        <w:t>Art. 9.- PLAZO DE MANTENIMIENTO DE OFERTA Y DE PRECIO.</w:t>
      </w:r>
    </w:p>
    <w:p>
      <w:pPr>
        <w:pStyle w:val="style0"/>
        <w:spacing w:line="276" w:lineRule="auto"/>
        <w:jc w:val="both"/>
        <w:rPr>
          <w:szCs w:val="24"/>
        </w:rPr>
      </w:pPr>
      <w:r>
        <w:rPr>
          <w:szCs w:val="24"/>
        </w:rPr>
        <w:tab/>
      </w:r>
      <w:r>
        <w:rPr>
          <w:b/>
          <w:szCs w:val="24"/>
        </w:rPr>
        <w:t>No inferior a 120 días</w:t>
      </w:r>
      <w:r>
        <w:rPr>
          <w:szCs w:val="24"/>
        </w:rPr>
        <w:t>, salvo que la Administración, se expida con anterioridad al vencimiento de dicho plazo. Se  entiende  por tal el lapso durante el cual la empresa se obliga a mantener las condiciones de su oferta y el precio establecido en la misma, no aplicándose ajuste alguno.</w:t>
      </w:r>
    </w:p>
    <w:p>
      <w:pPr>
        <w:pStyle w:val="style0"/>
        <w:spacing w:line="276" w:lineRule="auto"/>
        <w:jc w:val="both"/>
        <w:rPr>
          <w:szCs w:val="24"/>
        </w:rPr>
      </w:pPr>
      <w:r>
        <w:rPr>
          <w:szCs w:val="24"/>
        </w:rPr>
      </w:r>
    </w:p>
    <w:p>
      <w:pPr>
        <w:pStyle w:val="style0"/>
        <w:spacing w:line="276" w:lineRule="auto"/>
        <w:jc w:val="both"/>
        <w:rPr>
          <w:b/>
          <w:szCs w:val="24"/>
        </w:rPr>
      </w:pPr>
      <w:r>
        <w:rPr>
          <w:b/>
          <w:szCs w:val="24"/>
        </w:rPr>
        <w:t>Art. 10.- PLAZO.</w:t>
      </w:r>
    </w:p>
    <w:p>
      <w:pPr>
        <w:pStyle w:val="style0"/>
        <w:spacing w:line="276" w:lineRule="auto"/>
        <w:jc w:val="both"/>
        <w:rPr>
          <w:b/>
          <w:szCs w:val="24"/>
        </w:rPr>
      </w:pPr>
      <w:r>
        <w:rPr>
          <w:szCs w:val="24"/>
        </w:rPr>
        <w:tab/>
        <w:t xml:space="preserve">El plazo será </w:t>
      </w:r>
      <w:r>
        <w:rPr>
          <w:b/>
          <w:szCs w:val="24"/>
        </w:rPr>
        <w:t>entre el 1º de enero o a partir de la notificación si la resolución de adjudicación fuera posterior a dicha fecha y el 31 de diciembre de 2021.</w:t>
      </w:r>
    </w:p>
    <w:p>
      <w:pPr>
        <w:pStyle w:val="style0"/>
        <w:spacing w:line="276" w:lineRule="auto"/>
        <w:jc w:val="both"/>
        <w:rPr>
          <w:szCs w:val="24"/>
        </w:rPr>
      </w:pPr>
      <w:r>
        <w:rPr>
          <w:szCs w:val="24"/>
        </w:rPr>
        <w:tab/>
        <w:t>Sin perjuicio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 auténtico.</w:t>
      </w:r>
    </w:p>
    <w:p>
      <w:pPr>
        <w:pStyle w:val="style0"/>
        <w:spacing w:line="276" w:lineRule="auto"/>
        <w:jc w:val="both"/>
        <w:rPr>
          <w:szCs w:val="24"/>
        </w:rPr>
      </w:pPr>
      <w:r>
        <w:rPr>
          <w:szCs w:val="24"/>
        </w:rPr>
      </w:r>
    </w:p>
    <w:p>
      <w:pPr>
        <w:pStyle w:val="style0"/>
        <w:spacing w:line="276" w:lineRule="auto"/>
        <w:jc w:val="both"/>
        <w:rPr>
          <w:b/>
          <w:szCs w:val="24"/>
        </w:rPr>
      </w:pPr>
      <w:r>
        <w:rPr>
          <w:b/>
          <w:szCs w:val="24"/>
        </w:rPr>
        <w:t>Art. 11.- NOTIFICACIÓN DE RESOLUCIÓN.</w:t>
      </w:r>
    </w:p>
    <w:p>
      <w:pPr>
        <w:pStyle w:val="style0"/>
        <w:spacing w:line="276" w:lineRule="auto"/>
        <w:jc w:val="both"/>
        <w:rPr>
          <w:szCs w:val="24"/>
        </w:rPr>
      </w:pPr>
      <w:r>
        <w:rPr>
          <w:szCs w:val="24"/>
        </w:rPr>
        <w:tab/>
      </w:r>
      <w:r>
        <w:rPr>
          <w:b/>
          <w:szCs w:val="24"/>
        </w:rPr>
        <w:t>La notificación de la resolución de adjudicación constituirá, a todos los efectos legales, el perfeccionamiento del contrato</w:t>
      </w:r>
      <w:r>
        <w:rPr>
          <w:szCs w:val="24"/>
        </w:rPr>
        <w:t xml:space="preserve"> correspondiente a que refieren las disposiciones de este Pliego, siendo las obligaciones y derechos del contratista las que surgen de las normas jurídicas aplicables, los Pliegos y su oferta</w:t>
      </w:r>
      <w:r>
        <w:rPr>
          <w:b/>
          <w:szCs w:val="24"/>
        </w:rPr>
        <w:t xml:space="preserve">, </w:t>
      </w:r>
      <w:r>
        <w:rPr>
          <w:szCs w:val="24"/>
        </w:rPr>
        <w:t>sin perjuicio que la Administración se reserva el derecho se solicitar la suscripción de contrato con posterioridad con el adjudicatario.</w:t>
      </w:r>
    </w:p>
    <w:p>
      <w:pPr>
        <w:pStyle w:val="style0"/>
        <w:spacing w:line="276" w:lineRule="auto"/>
        <w:jc w:val="both"/>
        <w:rPr>
          <w:szCs w:val="24"/>
        </w:rPr>
      </w:pPr>
      <w:r>
        <w:rPr>
          <w:szCs w:val="24"/>
        </w:rPr>
      </w:r>
    </w:p>
    <w:p>
      <w:pPr>
        <w:pStyle w:val="style0"/>
        <w:spacing w:line="276" w:lineRule="auto"/>
        <w:jc w:val="both"/>
        <w:rPr>
          <w:szCs w:val="24"/>
        </w:rPr>
      </w:pPr>
      <w:r>
        <w:rPr>
          <w:b/>
          <w:szCs w:val="24"/>
        </w:rPr>
        <w:t>Art. 12.- CÓMPUTO DE PLAZOS</w:t>
      </w:r>
      <w:r>
        <w:rPr>
          <w:szCs w:val="24"/>
        </w:rPr>
        <w:t>.</w:t>
      </w:r>
    </w:p>
    <w:p>
      <w:pPr>
        <w:pStyle w:val="style0"/>
        <w:spacing w:line="276" w:lineRule="auto"/>
        <w:ind w:firstLine="708" w:left="0" w:right="0"/>
        <w:jc w:val="both"/>
        <w:rPr>
          <w:szCs w:val="24"/>
        </w:rPr>
      </w:pPr>
      <w:r>
        <w:rPr>
          <w:szCs w:val="24"/>
        </w:rPr>
        <w:t xml:space="preserve">Todos los plazos serán computados en </w:t>
      </w:r>
      <w:r>
        <w:rPr>
          <w:b/>
          <w:szCs w:val="24"/>
        </w:rPr>
        <w:t>días hábiles</w:t>
      </w:r>
      <w:r>
        <w:rPr>
          <w:szCs w:val="24"/>
        </w:rPr>
        <w:t>, salvo especificación en contrario.</w:t>
      </w:r>
    </w:p>
    <w:p>
      <w:pPr>
        <w:pStyle w:val="style0"/>
        <w:spacing w:line="276" w:lineRule="auto"/>
        <w:jc w:val="both"/>
        <w:rPr>
          <w:szCs w:val="24"/>
        </w:rPr>
      </w:pPr>
      <w:r>
        <w:rPr>
          <w:szCs w:val="24"/>
        </w:rPr>
      </w:r>
    </w:p>
    <w:p>
      <w:pPr>
        <w:pStyle w:val="style0"/>
        <w:spacing w:line="276" w:lineRule="auto"/>
        <w:jc w:val="both"/>
        <w:rPr>
          <w:b/>
          <w:szCs w:val="24"/>
        </w:rPr>
      </w:pPr>
      <w:r>
        <w:rPr>
          <w:b/>
          <w:szCs w:val="24"/>
        </w:rPr>
        <w:t>Art. 13.- FORMA DE PAGO.</w:t>
      </w:r>
    </w:p>
    <w:p>
      <w:pPr>
        <w:pStyle w:val="style0"/>
        <w:spacing w:line="276" w:lineRule="auto"/>
        <w:ind w:firstLine="708" w:left="0" w:right="0"/>
        <w:jc w:val="both"/>
        <w:rPr>
          <w:szCs w:val="24"/>
        </w:rPr>
      </w:pPr>
      <w:r>
        <w:rPr>
          <w:szCs w:val="24"/>
        </w:rPr>
        <w:t xml:space="preserve">La propuesta deberá considerar que el </w:t>
      </w:r>
      <w:r>
        <w:rPr>
          <w:b/>
          <w:szCs w:val="24"/>
        </w:rPr>
        <w:t>plazo mínimo de</w:t>
      </w:r>
      <w:r>
        <w:rPr>
          <w:szCs w:val="24"/>
        </w:rPr>
        <w:t xml:space="preserve"> </w:t>
      </w:r>
      <w:r>
        <w:rPr>
          <w:b/>
          <w:szCs w:val="24"/>
        </w:rPr>
        <w:t xml:space="preserve">crédito es 60 días, </w:t>
      </w:r>
      <w:r>
        <w:rPr>
          <w:szCs w:val="24"/>
        </w:rPr>
        <w:t>luego de presentada la factura debidamente conformada, en División Contaduría.</w:t>
      </w:r>
    </w:p>
    <w:p>
      <w:pPr>
        <w:pStyle w:val="style0"/>
        <w:spacing w:line="276" w:lineRule="auto"/>
        <w:ind w:firstLine="708" w:left="0" w:right="0"/>
        <w:jc w:val="both"/>
        <w:rPr>
          <w:szCs w:val="24"/>
        </w:rPr>
      </w:pPr>
      <w:r>
        <w:rPr>
          <w:szCs w:val="24"/>
        </w:rPr>
      </w:r>
    </w:p>
    <w:p>
      <w:pPr>
        <w:pStyle w:val="style0"/>
        <w:spacing w:line="276" w:lineRule="auto"/>
        <w:jc w:val="both"/>
        <w:rPr>
          <w:b/>
          <w:szCs w:val="24"/>
        </w:rPr>
      </w:pPr>
      <w:r>
        <w:rPr>
          <w:b/>
          <w:szCs w:val="24"/>
        </w:rPr>
        <w:t>Art. 14.- AJUSTE DE PRECIOS.</w:t>
      </w:r>
    </w:p>
    <w:p>
      <w:pPr>
        <w:pStyle w:val="style0"/>
        <w:spacing w:line="276" w:lineRule="auto"/>
        <w:jc w:val="both"/>
        <w:rPr>
          <w:szCs w:val="24"/>
        </w:rPr>
      </w:pPr>
      <w:r>
        <w:rPr>
          <w:szCs w:val="24"/>
        </w:rPr>
        <w:tab/>
        <w:t xml:space="preserve">El precio del contrato se mantendrá fijo durante todo el año 2021, esto es, durante todo el plazo de la contratación. </w:t>
      </w:r>
    </w:p>
    <w:p>
      <w:pPr>
        <w:pStyle w:val="style0"/>
        <w:spacing w:line="276" w:lineRule="auto"/>
        <w:jc w:val="both"/>
        <w:rPr>
          <w:szCs w:val="24"/>
        </w:rPr>
      </w:pPr>
      <w:r>
        <w:rPr>
          <w:szCs w:val="24"/>
        </w:rPr>
      </w:r>
    </w:p>
    <w:p>
      <w:pPr>
        <w:pStyle w:val="style0"/>
        <w:spacing w:line="276" w:lineRule="auto"/>
        <w:jc w:val="both"/>
        <w:rPr>
          <w:b/>
          <w:szCs w:val="24"/>
        </w:rPr>
      </w:pPr>
      <w:r>
        <w:rPr>
          <w:b/>
          <w:szCs w:val="24"/>
        </w:rPr>
        <w:t>Art. 15.- ESTUDIO DE LAS OFERTAS.</w:t>
      </w:r>
    </w:p>
    <w:p>
      <w:pPr>
        <w:pStyle w:val="style0"/>
        <w:spacing w:line="276" w:lineRule="auto"/>
        <w:ind w:firstLine="709" w:left="0" w:right="0"/>
        <w:jc w:val="both"/>
        <w:rPr>
          <w:szCs w:val="24"/>
        </w:rPr>
      </w:pPr>
      <w:r>
        <w:rPr>
          <w:szCs w:val="24"/>
        </w:rPr>
        <w:t>En tanto el oferente cumpla con los requisitos del Pliego, el Poder Judicial adopta como criterio de ponderación de las ofertas el siguiente:</w:t>
      </w:r>
    </w:p>
    <w:p>
      <w:pPr>
        <w:pStyle w:val="style47"/>
        <w:numPr>
          <w:ilvl w:val="0"/>
          <w:numId w:val="2"/>
        </w:numPr>
        <w:suppressAutoHyphens w:val="false"/>
        <w:spacing w:after="0" w:before="0" w:line="276" w:lineRule="auto"/>
        <w:contextualSpacing/>
        <w:jc w:val="both"/>
        <w:rPr>
          <w:b/>
          <w:szCs w:val="24"/>
          <w:u w:val="single"/>
        </w:rPr>
      </w:pPr>
      <w:r>
        <w:rPr>
          <w:b/>
          <w:szCs w:val="24"/>
          <w:u w:val="single"/>
        </w:rPr>
        <w:t xml:space="preserve">100 % precio </w:t>
      </w:r>
    </w:p>
    <w:p>
      <w:pPr>
        <w:pStyle w:val="style45"/>
        <w:spacing w:line="276" w:lineRule="auto"/>
        <w:ind w:firstLine="709" w:left="0" w:right="0"/>
        <w:rPr>
          <w:rFonts w:cs="Bookman Old Style"/>
          <w:b/>
          <w:szCs w:val="24"/>
          <w:lang w:val="es-UY"/>
        </w:rPr>
      </w:pPr>
      <w:r>
        <w:rPr>
          <w:rFonts w:cs="Bookman Old Style"/>
          <w:b/>
          <w:szCs w:val="24"/>
          <w:lang w:val="es-UY"/>
        </w:rPr>
        <w:t>La Administración podrá adjudicar el presente en forma parcial, por sub-item y dividir entre varios oferentes, de acuerdo con lo indicado por el art. 48 del TOCAF.</w:t>
      </w:r>
    </w:p>
    <w:p>
      <w:pPr>
        <w:pStyle w:val="style0"/>
        <w:spacing w:line="276" w:lineRule="auto"/>
        <w:jc w:val="both"/>
        <w:rPr>
          <w:szCs w:val="24"/>
        </w:rPr>
      </w:pPr>
      <w:r>
        <w:rPr>
          <w:szCs w:val="24"/>
        </w:rPr>
      </w:r>
    </w:p>
    <w:p>
      <w:pPr>
        <w:pStyle w:val="style0"/>
        <w:spacing w:line="276" w:lineRule="auto"/>
        <w:jc w:val="both"/>
        <w:rPr>
          <w:b/>
          <w:szCs w:val="24"/>
        </w:rPr>
      </w:pPr>
      <w:r>
        <w:rPr>
          <w:b/>
          <w:szCs w:val="24"/>
        </w:rPr>
        <w:t>Art. 16.- VALOR DE LA INFORMACIÓN TÉCNICA PRESENTADA.</w:t>
      </w:r>
    </w:p>
    <w:p>
      <w:pPr>
        <w:pStyle w:val="style0"/>
        <w:spacing w:line="276" w:lineRule="auto"/>
        <w:jc w:val="both"/>
        <w:rPr>
          <w:szCs w:val="24"/>
        </w:rPr>
      </w:pPr>
      <w:r>
        <w:rPr>
          <w:szCs w:val="24"/>
        </w:rPr>
        <w:tab/>
        <w:t xml:space="preserve">Todos los datos indicados por el proponente referidos a los elementos </w:t>
      </w:r>
      <w:r>
        <w:rPr>
          <w:b/>
          <w:szCs w:val="24"/>
        </w:rPr>
        <w:t>contenidos en la oferta tendrán</w:t>
      </w:r>
      <w:r>
        <w:rPr>
          <w:szCs w:val="24"/>
        </w:rPr>
        <w:t xml:space="preserve"> </w:t>
      </w:r>
      <w:r>
        <w:rPr>
          <w:b/>
          <w:szCs w:val="24"/>
        </w:rPr>
        <w:t>carácter de compromiso</w:t>
      </w:r>
      <w:r>
        <w:rPr>
          <w:szCs w:val="24"/>
        </w:rPr>
        <w:t>. Si se verifica que no responden estrictamente a lo establecido en la propuesta, la Administración podrá rechazarlos de plano, rescindiendo el contrato respectivo, sin que ello dé lugar a reclamación de clase alguna.</w:t>
      </w:r>
    </w:p>
    <w:p>
      <w:pPr>
        <w:pStyle w:val="style0"/>
        <w:spacing w:line="276" w:lineRule="auto"/>
        <w:jc w:val="both"/>
        <w:rPr>
          <w:b/>
          <w:szCs w:val="24"/>
        </w:rPr>
      </w:pPr>
      <w:r>
        <w:rPr>
          <w:b/>
          <w:szCs w:val="24"/>
        </w:rPr>
      </w:r>
    </w:p>
    <w:p>
      <w:pPr>
        <w:pStyle w:val="style0"/>
        <w:spacing w:line="276" w:lineRule="auto"/>
        <w:jc w:val="both"/>
        <w:rPr>
          <w:b/>
          <w:szCs w:val="24"/>
        </w:rPr>
      </w:pPr>
      <w:r>
        <w:rPr>
          <w:b/>
          <w:szCs w:val="24"/>
        </w:rPr>
        <w:t>Art. 17.- RECEPCIÓN.</w:t>
      </w:r>
    </w:p>
    <w:p>
      <w:pPr>
        <w:pStyle w:val="style0"/>
        <w:spacing w:line="276" w:lineRule="auto"/>
        <w:jc w:val="both"/>
        <w:rPr>
          <w:szCs w:val="24"/>
        </w:rPr>
      </w:pPr>
      <w:r>
        <w:rPr>
          <w:szCs w:val="24"/>
        </w:rPr>
        <w:tab/>
        <w:t>El cumplimiento del servicio contratado será controlado por personal del Poder Judicial. La empresa adjudicataria será responsable de</w:t>
      </w:r>
      <w:r>
        <w:rPr>
          <w:b/>
          <w:szCs w:val="24"/>
        </w:rPr>
        <w:t xml:space="preserve"> obtener de la sede donde presten el servicio contratado la conformidad del mismo mediante la firma del jerarca, con aclaración y sello, </w:t>
      </w:r>
      <w:r>
        <w:rPr>
          <w:szCs w:val="24"/>
        </w:rPr>
        <w:t xml:space="preserve">en la misma factura o en remito que se adjuntará a la facturación. División Contaduría </w:t>
      </w:r>
      <w:r>
        <w:rPr>
          <w:b/>
          <w:szCs w:val="24"/>
        </w:rPr>
        <w:t>no tramitará las facturas de servicios que no se encuentren debidamente conformados</w:t>
      </w:r>
      <w:r>
        <w:rPr>
          <w:szCs w:val="24"/>
        </w:rPr>
        <w:t xml:space="preserve">. </w:t>
      </w:r>
    </w:p>
    <w:p>
      <w:pPr>
        <w:pStyle w:val="style0"/>
        <w:spacing w:line="276" w:lineRule="auto"/>
        <w:jc w:val="both"/>
        <w:rPr>
          <w:b/>
          <w:szCs w:val="24"/>
        </w:rPr>
      </w:pPr>
      <w:r>
        <w:rPr>
          <w:b/>
          <w:szCs w:val="24"/>
        </w:rPr>
      </w:r>
    </w:p>
    <w:p>
      <w:pPr>
        <w:pStyle w:val="style0"/>
        <w:spacing w:line="276" w:lineRule="auto"/>
        <w:jc w:val="both"/>
        <w:rPr>
          <w:b/>
          <w:szCs w:val="24"/>
        </w:rPr>
      </w:pPr>
      <w:r>
        <w:rPr>
          <w:b/>
          <w:szCs w:val="24"/>
        </w:rPr>
        <w:t>Art. 18.- CESIÓN DE CRÉDITO</w:t>
      </w:r>
    </w:p>
    <w:p>
      <w:pPr>
        <w:pStyle w:val="style0"/>
        <w:spacing w:line="276" w:lineRule="auto"/>
        <w:jc w:val="both"/>
        <w:rPr>
          <w:szCs w:val="24"/>
        </w:rPr>
      </w:pPr>
      <w:r>
        <w:rPr>
          <w:szCs w:val="24"/>
        </w:rPr>
        <w:tab/>
        <w:t xml:space="preserve">Cuando se configure una cesión de créditos, la </w:t>
      </w:r>
      <w:r>
        <w:rPr>
          <w:b/>
          <w:szCs w:val="24"/>
        </w:rPr>
        <w:t>existencia y cobro de los créditos dependerá y se podrá hacer efectiva, en la forma y en la medida que sean exigibles según el Pliego y por el cumplimiento del suministro</w:t>
      </w:r>
      <w:r>
        <w:rPr>
          <w:szCs w:val="24"/>
        </w:rPr>
        <w:t>.</w:t>
      </w:r>
    </w:p>
    <w:p>
      <w:pPr>
        <w:pStyle w:val="style0"/>
        <w:spacing w:line="276" w:lineRule="auto"/>
        <w:jc w:val="both"/>
        <w:rPr>
          <w:szCs w:val="24"/>
        </w:rPr>
      </w:pPr>
      <w:r>
        <w:rPr>
          <w:szCs w:val="24"/>
        </w:rPr>
      </w:r>
    </w:p>
    <w:p>
      <w:pPr>
        <w:pStyle w:val="style48"/>
        <w:spacing w:line="276" w:lineRule="auto"/>
        <w:rPr>
          <w:rFonts w:ascii="Bookman Old Style" w:cs="Times New Roman" w:eastAsia="Bookman Old Style" w:hAnsi="Bookman Old Style"/>
        </w:rPr>
      </w:pPr>
      <w:r>
        <w:rPr>
          <w:rFonts w:ascii="Bookman Old Style" w:cs="Times New Roman" w:eastAsia="Bookman Old Style" w:hAnsi="Bookman Old Style"/>
        </w:rPr>
        <w:t>Art. 19.- EXENCIÓN DE RESPONSABILIDAD</w:t>
      </w:r>
    </w:p>
    <w:p>
      <w:pPr>
        <w:pStyle w:val="style0"/>
        <w:spacing w:line="276" w:lineRule="auto"/>
        <w:jc w:val="both"/>
        <w:rPr>
          <w:szCs w:val="24"/>
        </w:rPr>
      </w:pPr>
      <w:r>
        <w:rPr>
          <w:b/>
          <w:bCs/>
          <w:szCs w:val="24"/>
        </w:rPr>
        <w:tab/>
      </w:r>
      <w:r>
        <w:rPr>
          <w:szCs w:val="24"/>
        </w:rPr>
        <w:t xml:space="preserve">La Administración podrá </w:t>
      </w:r>
      <w:r>
        <w:rPr>
          <w:b/>
          <w:szCs w:val="24"/>
        </w:rPr>
        <w:t>desistir del llamado en cualquier etapa de su realización o podrá desestimar todas las ofertas</w:t>
      </w:r>
      <w:r>
        <w:rPr>
          <w:szCs w:val="24"/>
        </w:rPr>
        <w:t>. Ninguna de estas decisiones generará derecho alguno de los participantes a reclamar por gastos, honorarios o indemnizaciones por daños y perjuicios.</w:t>
      </w:r>
    </w:p>
    <w:p>
      <w:pPr>
        <w:pStyle w:val="style0"/>
        <w:tabs>
          <w:tab w:leader="none" w:pos="709" w:val="left"/>
        </w:tabs>
        <w:spacing w:line="276" w:lineRule="auto"/>
        <w:jc w:val="both"/>
        <w:rPr>
          <w:szCs w:val="24"/>
        </w:rPr>
      </w:pPr>
      <w:r>
        <w:rPr>
          <w:szCs w:val="24"/>
        </w:rPr>
        <w:tab/>
        <w:t>Asimismo, se rechazarán las propuestas que contengan reservas o formulen objeciones al presente Pliego y/o contengan cláusulas abusivas o que no presenten información suficiente</w:t>
      </w:r>
    </w:p>
    <w:p>
      <w:pPr>
        <w:pStyle w:val="style0"/>
        <w:tabs>
          <w:tab w:leader="none" w:pos="709" w:val="left"/>
        </w:tabs>
        <w:spacing w:line="276" w:lineRule="auto"/>
        <w:jc w:val="both"/>
        <w:rPr>
          <w:b/>
          <w:szCs w:val="24"/>
        </w:rPr>
      </w:pPr>
      <w:r>
        <w:rPr>
          <w:b/>
          <w:szCs w:val="24"/>
        </w:rPr>
      </w:r>
    </w:p>
    <w:p>
      <w:pPr>
        <w:pStyle w:val="style0"/>
        <w:tabs>
          <w:tab w:leader="none" w:pos="709" w:val="left"/>
        </w:tabs>
        <w:spacing w:line="276" w:lineRule="auto"/>
        <w:jc w:val="both"/>
        <w:rPr>
          <w:b/>
          <w:szCs w:val="24"/>
        </w:rPr>
      </w:pPr>
      <w:r>
        <w:rPr>
          <w:b/>
          <w:szCs w:val="24"/>
        </w:rPr>
        <w:t>Art.  20.- DECLARACIÓN.</w:t>
      </w:r>
    </w:p>
    <w:p>
      <w:pPr>
        <w:pStyle w:val="style0"/>
        <w:tabs>
          <w:tab w:leader="none" w:pos="709" w:val="left"/>
        </w:tabs>
        <w:spacing w:line="276" w:lineRule="auto"/>
        <w:jc w:val="both"/>
        <w:rPr>
          <w:b/>
          <w:szCs w:val="24"/>
        </w:rPr>
      </w:pPr>
      <w:r>
        <w:rPr>
          <w:szCs w:val="24"/>
        </w:rPr>
        <w:tab/>
        <w:t xml:space="preserve">La sola presentación de cotización se considerará como declaración de la empresa oferente de encontrarse </w:t>
      </w:r>
      <w:r>
        <w:rPr>
          <w:b/>
          <w:szCs w:val="24"/>
        </w:rPr>
        <w:t>en condiciones legales de contratar con el Estado</w:t>
      </w:r>
      <w:r>
        <w:rPr>
          <w:szCs w:val="24"/>
        </w:rPr>
        <w:t xml:space="preserve"> (art. 46 del TOCAF) </w:t>
      </w:r>
      <w:r>
        <w:rPr>
          <w:b/>
          <w:szCs w:val="24"/>
        </w:rPr>
        <w:t>y aceptar todas las condiciones establecidas en la convocatoria.</w:t>
      </w:r>
    </w:p>
    <w:p>
      <w:pPr>
        <w:pStyle w:val="style0"/>
        <w:tabs>
          <w:tab w:leader="none" w:pos="709" w:val="left"/>
        </w:tabs>
        <w:spacing w:line="276" w:lineRule="auto"/>
        <w:jc w:val="both"/>
        <w:rPr>
          <w:szCs w:val="24"/>
        </w:rPr>
      </w:pPr>
      <w:r>
        <w:rPr>
          <w:szCs w:val="24"/>
        </w:rPr>
      </w:r>
    </w:p>
    <w:p>
      <w:pPr>
        <w:pStyle w:val="style48"/>
        <w:spacing w:line="276" w:lineRule="auto"/>
        <w:rPr>
          <w:rFonts w:ascii="Bookman Old Style" w:cs="Times New Roman" w:eastAsia="Bookman Old Style" w:hAnsi="Bookman Old Style"/>
        </w:rPr>
      </w:pPr>
      <w:r>
        <w:rPr>
          <w:rFonts w:ascii="Bookman Old Style" w:cs="Times New Roman" w:eastAsia="Bookman Old Style" w:hAnsi="Bookman Old Style"/>
        </w:rPr>
        <w:t>Art. 21.- INTERPRETACIÓN</w:t>
      </w:r>
    </w:p>
    <w:p>
      <w:pPr>
        <w:pStyle w:val="style39"/>
        <w:spacing w:line="276" w:lineRule="auto"/>
        <w:rPr>
          <w:rFonts w:eastAsia="Bookman Old Style"/>
          <w:szCs w:val="24"/>
        </w:rPr>
      </w:pPr>
      <w:r>
        <w:rPr>
          <w:rFonts w:eastAsia="Bookman Old Style"/>
          <w:szCs w:val="24"/>
        </w:rPr>
        <w:tab/>
        <w:t>Toda cláusula imprecisa, ambigua, contradictoria u oscura a criterio de la Administración, se interpretará en el sentido más favorable a ésta.</w:t>
      </w:r>
    </w:p>
    <w:p>
      <w:pPr>
        <w:pStyle w:val="style5"/>
        <w:spacing w:line="276" w:lineRule="auto"/>
        <w:ind w:hanging="0" w:left="0" w:right="680"/>
        <w:rPr>
          <w:rFonts w:ascii="Bookman Old Style" w:hAnsi="Bookman Old Style"/>
          <w:sz w:val="24"/>
          <w:szCs w:val="24"/>
        </w:rPr>
      </w:pPr>
      <w:r>
        <w:rPr>
          <w:rFonts w:ascii="Bookman Old Style" w:hAnsi="Bookman Old Style"/>
          <w:sz w:val="24"/>
          <w:szCs w:val="24"/>
        </w:rPr>
      </w:r>
    </w:p>
    <w:p>
      <w:pPr>
        <w:pStyle w:val="style5"/>
        <w:spacing w:line="276" w:lineRule="auto"/>
        <w:ind w:hanging="0" w:left="0" w:right="680"/>
        <w:rPr>
          <w:rFonts w:ascii="Bookman Old Style" w:hAnsi="Bookman Old Style"/>
          <w:sz w:val="24"/>
          <w:szCs w:val="24"/>
        </w:rPr>
      </w:pPr>
      <w:r>
        <w:rPr>
          <w:rFonts w:ascii="Bookman Old Style" w:hAnsi="Bookman Old Style"/>
          <w:sz w:val="24"/>
          <w:szCs w:val="24"/>
        </w:rPr>
      </w:r>
    </w:p>
    <w:p>
      <w:pPr>
        <w:pStyle w:val="style0"/>
        <w:spacing w:line="276" w:lineRule="auto"/>
        <w:rPr/>
      </w:pPr>
      <w:r>
        <w:rPr/>
      </w:r>
    </w:p>
    <w:sectPr>
      <w:type w:val="nextPage"/>
      <w:pgSz w:h="16838" w:w="11906"/>
      <w:pgMar w:bottom="567" w:footer="0" w:gutter="0" w:header="0" w:left="2041" w:right="907" w:top="2098"/>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Bookman Old Style">
    <w:charset w:val="00"/>
    <w:family w:val="roman"/>
    <w:pitch w:val="variable"/>
  </w:font>
  <w:font w:name="Cambria">
    <w:charset w:val="00"/>
    <w:family w:val="roman"/>
    <w:pitch w:val="variable"/>
  </w:font>
  <w:font w:name="Tahoma">
    <w:charset w:val="00"/>
    <w:family w:val="roman"/>
    <w:pitch w:val="variable"/>
  </w:font>
  <w:font w:name="Liberation Sans Narrow">
    <w:charset w:val="00"/>
    <w:family w:val="roman"/>
    <w:pitch w:val="variable"/>
  </w:font>
  <w:font w:name="Arial">
    <w:charset w:val="00"/>
    <w:family w:val="roman"/>
    <w:pitch w:val="variable"/>
  </w:font>
  <w:font w:name="Courier">
    <w:altName w:val="Courier New"/>
    <w:charset w:val="00"/>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1428"/>
      </w:pPr>
      <w:rPr>
        <w:rFonts w:ascii="Wingdings" w:cs="Wingdings" w:hAnsi="Wingdings"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0"/>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textAlignment w:val="baseline"/>
    </w:pPr>
    <w:rPr>
      <w:rFonts w:ascii="Bookman Old Style" w:cs="Bookman Old Style" w:eastAsia="Bookman Old Style" w:hAnsi="Bookman Old Style"/>
      <w:color w:val="00000A"/>
      <w:sz w:val="24"/>
      <w:szCs w:val="24"/>
      <w:lang w:bidi="hi-IN" w:eastAsia="zh-CN" w:val="es-ES"/>
    </w:rPr>
  </w:style>
  <w:style w:styleId="style1" w:type="paragraph">
    <w:name w:val="Encabezado 1"/>
    <w:basedOn w:val="style0"/>
    <w:next w:val="style1"/>
    <w:pPr>
      <w:keepNext/>
      <w:tabs>
        <w:tab w:leader="none" w:pos="0" w:val="left"/>
      </w:tabs>
      <w:ind w:hanging="432" w:left="432" w:right="0"/>
      <w:jc w:val="center"/>
    </w:pPr>
    <w:rPr>
      <w:b/>
      <w:bCs/>
      <w:sz w:val="32"/>
    </w:rPr>
  </w:style>
  <w:style w:styleId="style5" w:type="paragraph">
    <w:name w:val="Encabezado 5"/>
    <w:basedOn w:val="style0"/>
    <w:next w:val="style5"/>
    <w:pPr>
      <w:spacing w:after="60" w:before="240"/>
      <w:contextualSpacing w:val="false"/>
    </w:pPr>
    <w:rPr>
      <w:rFonts w:ascii="Calibri" w:hAnsi="Calibri"/>
      <w:b/>
      <w:bCs/>
      <w:i/>
      <w:iCs/>
      <w:sz w:val="26"/>
      <w:szCs w:val="26"/>
    </w:rPr>
  </w:style>
  <w:style w:styleId="style15" w:type="character">
    <w:name w:val="Default Paragraph Font"/>
    <w:next w:val="style15"/>
    <w:rPr/>
  </w:style>
  <w:style w:styleId="style16" w:type="character">
    <w:name w:val="Título 1 Car"/>
    <w:basedOn w:val="style15"/>
    <w:next w:val="style16"/>
    <w:rPr>
      <w:rFonts w:ascii="Bookman Old Style" w:cs="Times New Roman" w:eastAsia="Times New Roman" w:hAnsi="Bookman Old Style"/>
      <w:b/>
      <w:bCs/>
      <w:sz w:val="32"/>
      <w:szCs w:val="20"/>
      <w:lang w:eastAsia="ar-SA" w:val="es-ES"/>
    </w:rPr>
  </w:style>
  <w:style w:styleId="style17" w:type="character">
    <w:name w:val="Título 5 Car"/>
    <w:basedOn w:val="style15"/>
    <w:next w:val="style17"/>
    <w:rPr>
      <w:rFonts w:ascii="Calibri" w:cs="Times New Roman" w:eastAsia="Times New Roman" w:hAnsi="Calibri"/>
      <w:b/>
      <w:bCs/>
      <w:i/>
      <w:iCs/>
      <w:sz w:val="26"/>
      <w:szCs w:val="26"/>
      <w:lang w:eastAsia="ar-SA" w:val="es-ES"/>
    </w:rPr>
  </w:style>
  <w:style w:styleId="style18" w:type="character">
    <w:name w:val="Enlace de Internet"/>
    <w:next w:val="style18"/>
    <w:rPr>
      <w:color w:val="0000FF"/>
      <w:u w:val="single"/>
      <w:lang w:bidi="zxx-" w:eastAsia="zxx-" w:val="zxx-"/>
    </w:rPr>
  </w:style>
  <w:style w:styleId="style19" w:type="character">
    <w:name w:val="Texto independiente Car"/>
    <w:basedOn w:val="style15"/>
    <w:next w:val="style19"/>
    <w:rPr>
      <w:rFonts w:ascii="Bookman Old Style" w:cs="Times New Roman" w:eastAsia="Times New Roman" w:hAnsi="Bookman Old Style"/>
      <w:b/>
      <w:bCs/>
      <w:sz w:val="24"/>
      <w:szCs w:val="20"/>
      <w:lang w:eastAsia="ar-SA" w:val="es-ES"/>
    </w:rPr>
  </w:style>
  <w:style w:styleId="style20" w:type="character">
    <w:name w:val="Puesto Car"/>
    <w:basedOn w:val="style15"/>
    <w:next w:val="style20"/>
    <w:rPr>
      <w:rFonts w:ascii="Bookman Old Style" w:cs="Times New Roman" w:eastAsia="Times New Roman" w:hAnsi="Bookman Old Style"/>
      <w:b/>
      <w:bCs/>
      <w:sz w:val="28"/>
      <w:szCs w:val="20"/>
      <w:u w:val="single"/>
      <w:lang w:eastAsia="ar-SA" w:val="es-ES"/>
    </w:rPr>
  </w:style>
  <w:style w:styleId="style21" w:type="character">
    <w:name w:val="Subtítulo Car"/>
    <w:basedOn w:val="style15"/>
    <w:next w:val="style21"/>
    <w:rPr>
      <w:rFonts w:ascii="Cambria" w:hAnsi="Cambria"/>
      <w:i/>
      <w:iCs/>
      <w:color w:val="4F81BD"/>
      <w:spacing w:val="15"/>
      <w:sz w:val="24"/>
      <w:szCs w:val="24"/>
      <w:lang w:eastAsia="ar-SA" w:val="es-ES"/>
    </w:rPr>
  </w:style>
  <w:style w:styleId="style22" w:type="character">
    <w:name w:val="Texto de globo Car"/>
    <w:basedOn w:val="style15"/>
    <w:next w:val="style22"/>
    <w:rPr>
      <w:rFonts w:ascii="Tahoma" w:cs="Tahoma" w:eastAsia="Times New Roman" w:hAnsi="Tahoma"/>
      <w:sz w:val="16"/>
      <w:szCs w:val="16"/>
      <w:lang w:eastAsia="ar-SA" w:val="es-ES"/>
    </w:rPr>
  </w:style>
  <w:style w:styleId="style23" w:type="character">
    <w:name w:val="ListLabel 1"/>
    <w:next w:val="style23"/>
    <w:rPr>
      <w:rFonts w:cs="Courier New"/>
    </w:rPr>
  </w:style>
  <w:style w:styleId="style24" w:type="character">
    <w:name w:val="ListLabel 2"/>
    <w:next w:val="style24"/>
    <w:rPr>
      <w:rFonts w:cs="Bookman Old Style"/>
      <w:b/>
    </w:rPr>
  </w:style>
  <w:style w:styleId="style25" w:type="character">
    <w:name w:val="ListLabel 3"/>
    <w:next w:val="style25"/>
    <w:rPr>
      <w:rFonts w:cs="Wingdings"/>
    </w:rPr>
  </w:style>
  <w:style w:styleId="style26" w:type="character">
    <w:name w:val="ListLabel 4"/>
    <w:next w:val="style26"/>
    <w:rPr>
      <w:rFonts w:cs="Symbol"/>
    </w:rPr>
  </w:style>
  <w:style w:styleId="style27" w:type="character">
    <w:name w:val="ListLabel 5"/>
    <w:next w:val="style27"/>
    <w:rPr>
      <w:rFonts w:cs="Symbol"/>
    </w:rPr>
  </w:style>
  <w:style w:styleId="style28" w:type="character">
    <w:name w:val="ListLabel 6"/>
    <w:next w:val="style28"/>
    <w:rPr>
      <w:rFonts w:cs="Courier New"/>
    </w:rPr>
  </w:style>
  <w:style w:styleId="style29" w:type="character">
    <w:name w:val="ListLabel 7"/>
    <w:next w:val="style29"/>
    <w:rPr>
      <w:rFonts w:cs="Wingdings"/>
    </w:rPr>
  </w:style>
  <w:style w:styleId="style30" w:type="character">
    <w:name w:val="iceouttxt"/>
    <w:basedOn w:val="style15"/>
    <w:next w:val="style30"/>
    <w:rPr/>
  </w:style>
  <w:style w:styleId="style31" w:type="character">
    <w:name w:val="Texto independiente Car1"/>
    <w:basedOn w:val="style15"/>
    <w:next w:val="style31"/>
    <w:rPr>
      <w:rFonts w:ascii="Liberation Sans Narrow" w:cs="Liberation Sans Narrow" w:eastAsia="Liberation Sans Narrow" w:hAnsi="Liberation Sans Narrow"/>
      <w:sz w:val="24"/>
      <w:szCs w:val="24"/>
      <w:lang w:eastAsia="en-US"/>
    </w:rPr>
  </w:style>
  <w:style w:styleId="style32" w:type="character">
    <w:name w:val="ListLabel 8"/>
    <w:next w:val="style32"/>
    <w:rPr>
      <w:rFonts w:cs="Symbol"/>
    </w:rPr>
  </w:style>
  <w:style w:styleId="style33" w:type="character">
    <w:name w:val="ListLabel 9"/>
    <w:next w:val="style33"/>
    <w:rPr>
      <w:rFonts w:cs="Courier New"/>
    </w:rPr>
  </w:style>
  <w:style w:styleId="style34" w:type="character">
    <w:name w:val="ListLabel 10"/>
    <w:next w:val="style34"/>
    <w:rPr>
      <w:rFonts w:cs="Wingdings"/>
    </w:rPr>
  </w:style>
  <w:style w:styleId="style35" w:type="character">
    <w:name w:val="ListLabel 11"/>
    <w:next w:val="style35"/>
    <w:rPr>
      <w:rFonts w:cs="Arial" w:eastAsia="Liberation Sans Narrow"/>
      <w:b/>
      <w:bCs/>
      <w:spacing w:val="-1"/>
      <w:w w:val="99"/>
      <w:sz w:val="26"/>
      <w:szCs w:val="26"/>
      <w:lang w:bidi="ar-SA" w:eastAsia="en-US" w:val="es-ES"/>
    </w:rPr>
  </w:style>
  <w:style w:styleId="style36" w:type="character">
    <w:name w:val="ListLabel 12"/>
    <w:next w:val="style36"/>
    <w:rPr>
      <w:rFonts w:cs="Liberation Sans Narrow" w:eastAsia="Liberation Sans Narrow"/>
      <w:w w:val="100"/>
      <w:sz w:val="24"/>
      <w:szCs w:val="24"/>
      <w:lang w:bidi="ar-SA" w:eastAsia="en-US" w:val="es-ES"/>
    </w:rPr>
  </w:style>
  <w:style w:styleId="style37" w:type="character">
    <w:name w:val="ListLabel 13"/>
    <w:next w:val="style37"/>
    <w:rPr>
      <w:lang w:bidi="ar-SA" w:eastAsia="en-US" w:val="es-ES"/>
    </w:rPr>
  </w:style>
  <w:style w:styleId="style38" w:type="paragraph">
    <w:name w:val="Encabezado"/>
    <w:basedOn w:val="style0"/>
    <w:next w:val="style39"/>
    <w:pPr>
      <w:keepNext/>
      <w:spacing w:after="120" w:before="240"/>
      <w:contextualSpacing w:val="false"/>
    </w:pPr>
    <w:rPr>
      <w:rFonts w:ascii="Arial" w:cs="Droid Sans Devanagari" w:eastAsia="Droid Sans Fallback" w:hAnsi="Arial"/>
      <w:sz w:val="28"/>
      <w:szCs w:val="28"/>
    </w:rPr>
  </w:style>
  <w:style w:styleId="style39" w:type="paragraph">
    <w:name w:val="Cuerpo de texto"/>
    <w:basedOn w:val="style0"/>
    <w:next w:val="style39"/>
    <w:pPr>
      <w:widowControl w:val="false"/>
      <w:suppressAutoHyphens w:val="false"/>
      <w:spacing w:line="100" w:lineRule="atLeast"/>
      <w:jc w:val="both"/>
    </w:pPr>
    <w:rPr>
      <w:rFonts w:ascii="Liberation Sans Narrow" w:cs="Liberation Sans Narrow" w:eastAsia="Liberation Sans Narrow" w:hAnsi="Liberation Sans Narrow"/>
      <w:b/>
      <w:bCs/>
      <w:color w:val="00000A"/>
      <w:szCs w:val="24"/>
      <w:lang w:eastAsia="en-US"/>
    </w:rPr>
  </w:style>
  <w:style w:styleId="style40" w:type="paragraph">
    <w:name w:val="Lista"/>
    <w:basedOn w:val="style39"/>
    <w:next w:val="style40"/>
    <w:pPr/>
    <w:rPr>
      <w:rFonts w:cs="Droid Sans Devanagari"/>
    </w:rPr>
  </w:style>
  <w:style w:styleId="style41" w:type="paragraph">
    <w:name w:val="Pie"/>
    <w:basedOn w:val="style0"/>
    <w:next w:val="style41"/>
    <w:pPr>
      <w:suppressLineNumbers/>
      <w:spacing w:after="120" w:before="120"/>
      <w:contextualSpacing w:val="false"/>
    </w:pPr>
    <w:rPr>
      <w:rFonts w:cs="Droid Sans Devanagari"/>
      <w:i/>
      <w:iCs/>
      <w:sz w:val="24"/>
      <w:szCs w:val="24"/>
    </w:rPr>
  </w:style>
  <w:style w:styleId="style42" w:type="paragraph">
    <w:name w:val="Índice"/>
    <w:basedOn w:val="style0"/>
    <w:next w:val="style42"/>
    <w:pPr>
      <w:suppressLineNumbers/>
    </w:pPr>
    <w:rPr>
      <w:rFonts w:cs="Droid Sans Devanagari"/>
    </w:rPr>
  </w:style>
  <w:style w:styleId="style43" w:type="paragraph">
    <w:name w:val="Encabezamiento"/>
    <w:basedOn w:val="style0"/>
    <w:next w:val="style43"/>
    <w:pPr>
      <w:keepNext/>
      <w:spacing w:after="120" w:before="240"/>
      <w:contextualSpacing w:val="false"/>
    </w:pPr>
    <w:rPr>
      <w:rFonts w:ascii="Arial" w:cs="Droid Sans Devanagari" w:eastAsia="Droid Sans Fallback" w:hAnsi="Arial"/>
      <w:sz w:val="28"/>
      <w:szCs w:val="28"/>
    </w:rPr>
  </w:style>
  <w:style w:styleId="style44" w:type="paragraph">
    <w:name w:val="Título1"/>
    <w:basedOn w:val="style0"/>
    <w:next w:val="style44"/>
    <w:pPr>
      <w:jc w:val="center"/>
    </w:pPr>
    <w:rPr>
      <w:b/>
      <w:bCs/>
      <w:sz w:val="28"/>
      <w:u w:val="single"/>
    </w:rPr>
  </w:style>
  <w:style w:styleId="style45" w:type="paragraph">
    <w:name w:val="Texto independiente 21"/>
    <w:basedOn w:val="style0"/>
    <w:next w:val="style45"/>
    <w:pPr>
      <w:jc w:val="both"/>
    </w:pPr>
    <w:rPr/>
  </w:style>
  <w:style w:styleId="style46" w:type="paragraph">
    <w:name w:val="Normal (Web)"/>
    <w:basedOn w:val="style0"/>
    <w:next w:val="style46"/>
    <w:pPr>
      <w:spacing w:after="119" w:before="280"/>
      <w:contextualSpacing w:val="false"/>
    </w:pPr>
    <w:rPr>
      <w:rFonts w:ascii="Times New Roman" w:hAnsi="Times New Roman"/>
      <w:szCs w:val="24"/>
      <w:lang w:val="es-UY"/>
    </w:rPr>
  </w:style>
  <w:style w:styleId="style47" w:type="paragraph">
    <w:name w:val="List Paragraph"/>
    <w:basedOn w:val="style0"/>
    <w:next w:val="style47"/>
    <w:pPr>
      <w:ind w:hanging="0" w:left="708" w:right="0"/>
    </w:pPr>
    <w:rPr/>
  </w:style>
  <w:style w:styleId="style48" w:type="paragraph">
    <w:name w:val="Título 11"/>
    <w:basedOn w:val="style0"/>
    <w:next w:val="style48"/>
    <w:pPr>
      <w:keepNext/>
      <w:widowControl w:val="false"/>
      <w:spacing w:line="240" w:lineRule="exact"/>
      <w:jc w:val="both"/>
    </w:pPr>
    <w:rPr>
      <w:rFonts w:ascii="Courier" w:cs="Courier" w:eastAsia="Courier" w:hAnsi="Courier"/>
      <w:b/>
      <w:bCs/>
      <w:szCs w:val="24"/>
      <w:lang w:bidi="es-ES" w:eastAsia="es-ES"/>
    </w:rPr>
  </w:style>
  <w:style w:styleId="style49" w:type="paragraph">
    <w:name w:val="Normal1"/>
    <w:next w:val="style49"/>
    <w:pPr>
      <w:widowControl/>
      <w:suppressAutoHyphens w:val="true"/>
      <w:spacing w:after="200" w:before="0" w:line="100" w:lineRule="atLeast"/>
      <w:contextualSpacing w:val="false"/>
    </w:pPr>
    <w:rPr>
      <w:rFonts w:ascii="Times New Roman" w:cs="Times New Roman" w:eastAsia="Calibri" w:hAnsi="Times New Roman"/>
      <w:color w:val="00000A"/>
      <w:sz w:val="24"/>
      <w:szCs w:val="20"/>
      <w:lang w:bidi="ar-SA" w:eastAsia="zh-CN" w:val="es-ES"/>
    </w:rPr>
  </w:style>
  <w:style w:styleId="style50" w:type="paragraph">
    <w:name w:val="Predeterminado"/>
    <w:next w:val="style50"/>
    <w:pPr>
      <w:widowControl w:val="false"/>
      <w:suppressAutoHyphens w:val="true"/>
      <w:spacing w:after="0" w:before="0" w:line="100" w:lineRule="atLeast"/>
      <w:contextualSpacing w:val="false"/>
    </w:pPr>
    <w:rPr>
      <w:rFonts w:ascii="Bookman Old Style" w:cs="Bookman Old Style" w:eastAsia="Times New Roman" w:hAnsi="Bookman Old Style"/>
      <w:color w:val="00000A"/>
      <w:sz w:val="24"/>
      <w:szCs w:val="24"/>
      <w:lang w:bidi="ar-SA" w:eastAsia="es-ES" w:val="es-ES"/>
    </w:rPr>
  </w:style>
  <w:style w:styleId="style51" w:type="paragraph">
    <w:name w:val="Subtítulo"/>
    <w:basedOn w:val="style0"/>
    <w:next w:val="style51"/>
    <w:pPr>
      <w:jc w:val="left"/>
    </w:pPr>
    <w:rPr>
      <w:rFonts w:ascii="Cambria" w:hAnsi="Cambria"/>
      <w:i/>
      <w:iCs/>
      <w:color w:val="4F81BD"/>
      <w:spacing w:val="15"/>
      <w:szCs w:val="24"/>
    </w:rPr>
  </w:style>
  <w:style w:styleId="style52" w:type="paragraph">
    <w:name w:val="Balloon Text"/>
    <w:basedOn w:val="style0"/>
    <w:next w:val="style52"/>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quisiciones@poderjudicial.gub.uy" TargetMode="External"/><Relationship Id="rId3" Type="http://schemas.openxmlformats.org/officeDocument/2006/relationships/hyperlink" Target="mailto:adquisiciones@poderjudicial.gub.uy" TargetMode="External"/><Relationship Id="rId4" Type="http://schemas.openxmlformats.org/officeDocument/2006/relationships/hyperlink" Target="mailto:adquisiciones@poderjudicial.gub.uy"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LibreOffice/4.1.5.3$Linux_x86 LibreOffice_project/410m0$Build-3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2021-01-21T13:32:00Z</dcterms:created>
  <dc:creator>BASSO</dc:creator>
  <cp:lastModifiedBy>cqueirolo</cp:lastModifiedBy>
  <cp:lastPrinted>2021-01-21T10:50:46Z</cp:lastPrinted>
  <dcterms:modified xsi:type="dcterms:W3CDTF">2021-01-21T13:32:00Z</dcterms:modified>
  <cp:revision>3</cp:revision>
</cp:coreProperties>
</file>