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B9" w:rsidRDefault="000A4A86" w:rsidP="006245CB">
      <w:pPr>
        <w:pStyle w:val="Ttulo"/>
        <w:ind w:left="1418"/>
        <w:rPr>
          <w:rFonts w:eastAsia="Batang"/>
        </w:rPr>
      </w:pPr>
      <w:r w:rsidRPr="000A4A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7.55pt;margin-top:-45.25pt;width:147.45pt;height:119.15pt;z-index:251658240">
            <v:imagedata r:id="rId8" o:title=""/>
          </v:shape>
          <o:OLEObject Type="Embed" ProgID="PBrush" ShapeID="_x0000_s1028" DrawAspect="Content" ObjectID="_1657632741" r:id="rId9"/>
        </w:pict>
      </w:r>
      <w:r w:rsidR="006245CB">
        <w:rPr>
          <w:rFonts w:eastAsia="Batang"/>
        </w:rPr>
        <w:t xml:space="preserve">PLIEGO DE CONDICIONES PARTICULARES </w:t>
      </w:r>
    </w:p>
    <w:p w:rsidR="006245CB" w:rsidRDefault="006245CB" w:rsidP="006245CB">
      <w:pPr>
        <w:pStyle w:val="Ttulo"/>
        <w:ind w:left="1418"/>
        <w:rPr>
          <w:rFonts w:eastAsia="Batang"/>
        </w:rPr>
      </w:pPr>
      <w:r>
        <w:rPr>
          <w:rFonts w:eastAsia="Batang"/>
        </w:rPr>
        <w:t>PARA</w:t>
      </w:r>
      <w:r w:rsidR="004D0BB9">
        <w:rPr>
          <w:rFonts w:eastAsia="Batang"/>
        </w:rPr>
        <w:t xml:space="preserve"> SERVICIO MANTENIMIENTO DE</w:t>
      </w:r>
    </w:p>
    <w:p w:rsidR="006245CB" w:rsidRDefault="006245CB" w:rsidP="006245CB">
      <w:pPr>
        <w:ind w:left="1418"/>
        <w:jc w:val="center"/>
        <w:rPr>
          <w:rFonts w:eastAsia="Batang"/>
          <w:b/>
          <w:bCs/>
        </w:rPr>
      </w:pPr>
      <w:r w:rsidRPr="004D0BB9">
        <w:rPr>
          <w:rFonts w:eastAsia="Batang"/>
          <w:b/>
          <w:bCs/>
          <w:highlight w:val="yellow"/>
        </w:rPr>
        <w:t xml:space="preserve">IMPRESORAS </w:t>
      </w:r>
      <w:r w:rsidR="004D0BB9" w:rsidRPr="004D0BB9">
        <w:rPr>
          <w:rFonts w:eastAsia="Batang"/>
          <w:b/>
          <w:bCs/>
          <w:highlight w:val="yellow"/>
        </w:rPr>
        <w:t>RI</w:t>
      </w:r>
      <w:r w:rsidR="007C1335">
        <w:rPr>
          <w:rFonts w:eastAsia="Batang"/>
          <w:b/>
          <w:bCs/>
          <w:highlight w:val="yellow"/>
        </w:rPr>
        <w:t xml:space="preserve">COH </w:t>
      </w:r>
      <w:r w:rsidR="004D0BB9">
        <w:rPr>
          <w:rFonts w:eastAsia="Batang"/>
          <w:b/>
          <w:bCs/>
        </w:rPr>
        <w:t xml:space="preserve"> </w:t>
      </w:r>
    </w:p>
    <w:p w:rsidR="006245CB" w:rsidRDefault="006245CB" w:rsidP="006245CB">
      <w:pPr>
        <w:ind w:left="1418"/>
        <w:jc w:val="center"/>
        <w:rPr>
          <w:rFonts w:eastAsia="Batang"/>
          <w:b/>
          <w:bCs/>
        </w:rPr>
      </w:pPr>
    </w:p>
    <w:p w:rsidR="006245CB" w:rsidRDefault="006245CB" w:rsidP="006245CB">
      <w:pPr>
        <w:ind w:left="1418"/>
        <w:jc w:val="center"/>
        <w:rPr>
          <w:rFonts w:eastAsia="Batang"/>
          <w:b/>
          <w:bCs/>
          <w:color w:val="33CCCC"/>
        </w:rPr>
      </w:pPr>
    </w:p>
    <w:p w:rsidR="006245CB" w:rsidRDefault="006245CB" w:rsidP="006245CB">
      <w:pPr>
        <w:pStyle w:val="Ttulo3"/>
      </w:pPr>
      <w:r>
        <w:t>INCISO: 18</w:t>
      </w:r>
    </w:p>
    <w:p w:rsidR="006245CB" w:rsidRDefault="006245CB" w:rsidP="006245CB">
      <w:pPr>
        <w:jc w:val="right"/>
        <w:rPr>
          <w:rFonts w:eastAsia="Batang"/>
          <w:b/>
          <w:bCs/>
        </w:rPr>
      </w:pPr>
      <w:r>
        <w:rPr>
          <w:rFonts w:eastAsia="Batang"/>
          <w:b/>
          <w:bCs/>
        </w:rPr>
        <w:t>Unidad Ejecutora: 01</w:t>
      </w:r>
    </w:p>
    <w:p w:rsidR="006245CB" w:rsidRDefault="006245CB" w:rsidP="006245CB">
      <w:pPr>
        <w:jc w:val="center"/>
        <w:rPr>
          <w:rFonts w:eastAsia="Batang"/>
          <w:b/>
          <w:bCs/>
        </w:rPr>
      </w:pPr>
      <w:r>
        <w:rPr>
          <w:rFonts w:eastAsia="Batang"/>
          <w:b/>
          <w:bCs/>
        </w:rPr>
        <w:t xml:space="preserve">                                                                                                   </w:t>
      </w:r>
      <w:proofErr w:type="spellStart"/>
      <w:r>
        <w:rPr>
          <w:rFonts w:eastAsia="Batang"/>
          <w:b/>
          <w:bCs/>
        </w:rPr>
        <w:t>Asto</w:t>
      </w:r>
      <w:proofErr w:type="spellEnd"/>
      <w:r>
        <w:rPr>
          <w:rFonts w:eastAsia="Batang"/>
          <w:b/>
          <w:bCs/>
        </w:rPr>
        <w:t>.</w:t>
      </w:r>
      <w:r w:rsidR="00BF6AB5">
        <w:rPr>
          <w:rFonts w:eastAsia="Batang"/>
          <w:b/>
          <w:bCs/>
        </w:rPr>
        <w:t xml:space="preserve"> 21469/19</w:t>
      </w:r>
      <w:r>
        <w:rPr>
          <w:rFonts w:eastAsia="Batang"/>
          <w:b/>
          <w:bCs/>
        </w:rPr>
        <w:t xml:space="preserve"> </w:t>
      </w:r>
    </w:p>
    <w:p w:rsidR="00BF6AB5" w:rsidRDefault="00BF6AB5" w:rsidP="006245CB">
      <w:pPr>
        <w:jc w:val="center"/>
        <w:rPr>
          <w:rFonts w:eastAsia="Batang"/>
          <w:b/>
          <w:bCs/>
        </w:rPr>
      </w:pPr>
    </w:p>
    <w:p w:rsidR="006245CB" w:rsidRDefault="006245CB" w:rsidP="006245CB">
      <w:pPr>
        <w:jc w:val="both"/>
        <w:rPr>
          <w:rFonts w:eastAsia="Batang"/>
          <w:color w:val="000000"/>
          <w:szCs w:val="20"/>
        </w:rPr>
      </w:pPr>
      <w:r>
        <w:rPr>
          <w:b/>
          <w:bCs/>
          <w:lang w:val="pt-BR"/>
        </w:rPr>
        <w:t>APERTURA</w:t>
      </w:r>
      <w:r w:rsidR="00BF6AB5">
        <w:rPr>
          <w:b/>
          <w:bCs/>
          <w:lang w:val="pt-BR"/>
        </w:rPr>
        <w:t xml:space="preserve"> ELECTRONICA</w:t>
      </w:r>
      <w:r>
        <w:rPr>
          <w:lang w:val="pt-BR"/>
        </w:rPr>
        <w:t xml:space="preserve">: La Apertura </w:t>
      </w:r>
      <w:r w:rsidR="003E7662" w:rsidRPr="003E7662">
        <w:rPr>
          <w:lang w:val="es-AR"/>
        </w:rPr>
        <w:t>Electró</w:t>
      </w:r>
      <w:r w:rsidR="00BF6AB5" w:rsidRPr="003E7662">
        <w:rPr>
          <w:lang w:val="es-AR"/>
        </w:rPr>
        <w:t>nica</w:t>
      </w:r>
      <w:r w:rsidR="00BF6AB5">
        <w:rPr>
          <w:lang w:val="pt-BR"/>
        </w:rPr>
        <w:t xml:space="preserve"> </w:t>
      </w:r>
      <w:r>
        <w:rPr>
          <w:lang w:val="pt-BR"/>
        </w:rPr>
        <w:t xml:space="preserve">de </w:t>
      </w:r>
      <w:proofErr w:type="spellStart"/>
      <w:r>
        <w:rPr>
          <w:lang w:val="pt-BR"/>
        </w:rPr>
        <w:t>las</w:t>
      </w:r>
      <w:proofErr w:type="spellEnd"/>
      <w:r>
        <w:rPr>
          <w:lang w:val="pt-BR"/>
        </w:rPr>
        <w:t xml:space="preserve"> ofertas se realizará </w:t>
      </w:r>
      <w:proofErr w:type="spellStart"/>
      <w:proofErr w:type="gramStart"/>
      <w:r>
        <w:rPr>
          <w:lang w:val="pt-BR"/>
        </w:rPr>
        <w:t>el</w:t>
      </w:r>
      <w:proofErr w:type="spellEnd"/>
      <w:proofErr w:type="gramEnd"/>
      <w:r>
        <w:rPr>
          <w:lang w:val="pt-BR"/>
        </w:rPr>
        <w:t xml:space="preserve"> .</w:t>
      </w:r>
      <w:r w:rsidR="00BF6AB5" w:rsidRPr="008C6BA1">
        <w:rPr>
          <w:b/>
          <w:lang w:val="pt-BR"/>
        </w:rPr>
        <w:t>7</w:t>
      </w:r>
      <w:r w:rsidR="008C6BA1">
        <w:rPr>
          <w:b/>
          <w:lang w:val="pt-BR"/>
        </w:rPr>
        <w:t xml:space="preserve"> </w:t>
      </w:r>
      <w:r w:rsidR="004D0BB9" w:rsidRPr="00C77759">
        <w:rPr>
          <w:b/>
          <w:lang w:val="pt-BR"/>
        </w:rPr>
        <w:t xml:space="preserve">de </w:t>
      </w:r>
      <w:r w:rsidR="00BF6AB5">
        <w:rPr>
          <w:b/>
          <w:lang w:val="pt-BR"/>
        </w:rPr>
        <w:t xml:space="preserve">agosto </w:t>
      </w:r>
      <w:r w:rsidR="007C1335">
        <w:rPr>
          <w:b/>
          <w:lang w:val="pt-BR"/>
        </w:rPr>
        <w:t xml:space="preserve"> </w:t>
      </w:r>
      <w:r w:rsidR="004D0BB9" w:rsidRPr="00C77759">
        <w:rPr>
          <w:b/>
          <w:lang w:val="pt-BR"/>
        </w:rPr>
        <w:t>de 20</w:t>
      </w:r>
      <w:r w:rsidR="00BF6AB5">
        <w:rPr>
          <w:b/>
          <w:lang w:val="pt-BR"/>
        </w:rPr>
        <w:t>20</w:t>
      </w:r>
      <w:r w:rsidRPr="00C77759">
        <w:rPr>
          <w:b/>
          <w:lang w:val="pt-BR"/>
        </w:rPr>
        <w:t xml:space="preserve"> </w:t>
      </w:r>
      <w:r w:rsidRPr="00C77759">
        <w:rPr>
          <w:b/>
        </w:rPr>
        <w:t>a</w:t>
      </w:r>
      <w:r>
        <w:t xml:space="preserve">  la  </w:t>
      </w:r>
      <w:r>
        <w:rPr>
          <w:b/>
        </w:rPr>
        <w:t>hora</w:t>
      </w:r>
      <w:r w:rsidR="00813D72">
        <w:rPr>
          <w:b/>
        </w:rPr>
        <w:t xml:space="preserve"> </w:t>
      </w:r>
      <w:r w:rsidR="008C6BA1">
        <w:rPr>
          <w:b/>
        </w:rPr>
        <w:t>12</w:t>
      </w:r>
      <w:r w:rsidR="00813D72">
        <w:rPr>
          <w:b/>
        </w:rPr>
        <w:t xml:space="preserve"> hs</w:t>
      </w:r>
    </w:p>
    <w:p w:rsidR="006245CB" w:rsidRDefault="006245CB" w:rsidP="006245CB">
      <w:pPr>
        <w:tabs>
          <w:tab w:val="left" w:pos="284"/>
          <w:tab w:val="left" w:pos="1560"/>
        </w:tabs>
        <w:jc w:val="both"/>
        <w:rPr>
          <w:rFonts w:eastAsia="Batang"/>
          <w:b/>
          <w:bCs/>
          <w:iCs/>
          <w:lang w:val="pt-BR"/>
        </w:rPr>
      </w:pPr>
    </w:p>
    <w:p w:rsidR="006245CB" w:rsidRPr="004D0BB9" w:rsidRDefault="006245CB" w:rsidP="0065371C">
      <w:pPr>
        <w:pStyle w:val="Prrafodelista"/>
        <w:numPr>
          <w:ilvl w:val="0"/>
          <w:numId w:val="7"/>
        </w:numPr>
        <w:jc w:val="both"/>
        <w:rPr>
          <w:rFonts w:eastAsia="Batang"/>
          <w:b/>
          <w:bCs/>
        </w:rPr>
      </w:pPr>
      <w:r w:rsidRPr="004D0BB9">
        <w:rPr>
          <w:rFonts w:eastAsia="Batang"/>
          <w:b/>
          <w:bCs/>
        </w:rPr>
        <w:t>OBJETO</w:t>
      </w:r>
    </w:p>
    <w:p w:rsidR="007C1335" w:rsidRDefault="004D0BB9" w:rsidP="004D0BB9">
      <w:pPr>
        <w:jc w:val="both"/>
      </w:pPr>
      <w:r>
        <w:t xml:space="preserve">Se convoca a Licitación Abreviada para la contratación de servicio de mantenimiento integral de </w:t>
      </w:r>
      <w:r w:rsidR="007C1335">
        <w:t>impresoras RICOH según detalle:</w:t>
      </w:r>
    </w:p>
    <w:p w:rsidR="00187AA6" w:rsidRDefault="00187AA6" w:rsidP="004D0BB9">
      <w:pPr>
        <w:jc w:val="both"/>
      </w:pPr>
    </w:p>
    <w:p w:rsidR="00187AA6" w:rsidRPr="00187AA6" w:rsidRDefault="00187AA6" w:rsidP="003E7662">
      <w:pPr>
        <w:pStyle w:val="Prrafodelista"/>
        <w:numPr>
          <w:ilvl w:val="0"/>
          <w:numId w:val="13"/>
        </w:numPr>
        <w:ind w:left="851" w:hanging="491"/>
        <w:jc w:val="both"/>
        <w:rPr>
          <w:b/>
          <w:sz w:val="32"/>
          <w:szCs w:val="32"/>
        </w:rPr>
      </w:pPr>
      <w:r w:rsidRPr="00187AA6">
        <w:rPr>
          <w:b/>
          <w:sz w:val="32"/>
          <w:szCs w:val="32"/>
        </w:rPr>
        <w:t>10 impresoras modelo SPC 352</w:t>
      </w:r>
    </w:p>
    <w:p w:rsidR="00187AA6" w:rsidRPr="00187AA6" w:rsidRDefault="00187AA6" w:rsidP="003E7662">
      <w:pPr>
        <w:pStyle w:val="Prrafodelista"/>
        <w:numPr>
          <w:ilvl w:val="0"/>
          <w:numId w:val="13"/>
        </w:numPr>
        <w:ind w:left="851" w:hanging="491"/>
        <w:jc w:val="both"/>
        <w:rPr>
          <w:b/>
          <w:sz w:val="32"/>
          <w:szCs w:val="32"/>
        </w:rPr>
      </w:pPr>
      <w:r w:rsidRPr="00187AA6">
        <w:rPr>
          <w:b/>
          <w:sz w:val="32"/>
          <w:szCs w:val="32"/>
        </w:rPr>
        <w:t>15 impresoras modelo SP 5300 DN</w:t>
      </w:r>
    </w:p>
    <w:p w:rsidR="00187AA6" w:rsidRPr="00187AA6" w:rsidRDefault="00187AA6" w:rsidP="003E7662">
      <w:pPr>
        <w:pStyle w:val="Prrafodelista"/>
        <w:numPr>
          <w:ilvl w:val="0"/>
          <w:numId w:val="13"/>
        </w:numPr>
        <w:ind w:left="851" w:hanging="491"/>
        <w:jc w:val="both"/>
        <w:rPr>
          <w:b/>
          <w:sz w:val="32"/>
          <w:szCs w:val="32"/>
        </w:rPr>
      </w:pPr>
      <w:r w:rsidRPr="00187AA6">
        <w:rPr>
          <w:b/>
          <w:sz w:val="32"/>
          <w:szCs w:val="32"/>
        </w:rPr>
        <w:t>8 impresoras modelo SPC 440 DN</w:t>
      </w:r>
    </w:p>
    <w:p w:rsidR="00187AA6" w:rsidRPr="00187AA6" w:rsidRDefault="00187AA6" w:rsidP="003E7662">
      <w:pPr>
        <w:pStyle w:val="Prrafodelista"/>
        <w:numPr>
          <w:ilvl w:val="0"/>
          <w:numId w:val="13"/>
        </w:numPr>
        <w:ind w:left="851" w:hanging="491"/>
        <w:jc w:val="both"/>
        <w:rPr>
          <w:b/>
          <w:sz w:val="32"/>
          <w:szCs w:val="32"/>
        </w:rPr>
      </w:pPr>
      <w:r w:rsidRPr="00187AA6">
        <w:rPr>
          <w:b/>
          <w:sz w:val="32"/>
          <w:szCs w:val="32"/>
        </w:rPr>
        <w:t>21 impresoras modelo SP5200 DN</w:t>
      </w:r>
    </w:p>
    <w:p w:rsidR="004D0BB9" w:rsidRDefault="004D0BB9" w:rsidP="004D0BB9">
      <w:pPr>
        <w:pStyle w:val="Ttulo1"/>
        <w:ind w:left="1350"/>
        <w:rPr>
          <w:iCs/>
        </w:rPr>
      </w:pPr>
      <w:r>
        <w:rPr>
          <w:iCs/>
        </w:rPr>
        <w:tab/>
        <w:t xml:space="preserve">            </w:t>
      </w:r>
    </w:p>
    <w:p w:rsidR="00187AA6" w:rsidRDefault="00187AA6" w:rsidP="004D0BB9">
      <w:pPr>
        <w:jc w:val="both"/>
        <w:rPr>
          <w:b/>
        </w:rPr>
      </w:pPr>
    </w:p>
    <w:p w:rsidR="004D0BB9" w:rsidRDefault="004D0BB9" w:rsidP="004D0BB9">
      <w:pPr>
        <w:jc w:val="both"/>
      </w:pPr>
      <w:r>
        <w:rPr>
          <w:b/>
        </w:rPr>
        <w:t>PERÍODO DEL CONTRATO:</w:t>
      </w:r>
      <w:r>
        <w:t xml:space="preserve"> </w:t>
      </w:r>
    </w:p>
    <w:p w:rsidR="004D0BB9" w:rsidRDefault="007C1335" w:rsidP="00BF6AB5">
      <w:pPr>
        <w:contextualSpacing/>
        <w:jc w:val="both"/>
      </w:pPr>
      <w:r>
        <w:t>A p</w:t>
      </w:r>
      <w:r w:rsidR="004D0BB9">
        <w:t xml:space="preserve">artir de la fecha de notificación hasta el 31 de diciembre de </w:t>
      </w:r>
      <w:r w:rsidR="00BF6AB5">
        <w:t>2020</w:t>
      </w:r>
    </w:p>
    <w:p w:rsidR="004D0BB9" w:rsidRDefault="004D0BB9" w:rsidP="004D0BB9">
      <w:pPr>
        <w:jc w:val="both"/>
        <w:rPr>
          <w:rFonts w:eastAsia="Batang"/>
          <w:bCs/>
          <w:u w:val="single"/>
        </w:rPr>
      </w:pPr>
    </w:p>
    <w:p w:rsidR="004D0BB9" w:rsidRDefault="004D0BB9" w:rsidP="004D0BB9">
      <w:pPr>
        <w:jc w:val="both"/>
        <w:rPr>
          <w:rFonts w:eastAsia="Batang"/>
          <w:bCs/>
          <w:u w:val="single"/>
        </w:rPr>
      </w:pPr>
      <w:r>
        <w:rPr>
          <w:rFonts w:eastAsia="Batang"/>
          <w:bCs/>
          <w:u w:val="single"/>
        </w:rPr>
        <w:t>Se deberá especificar:</w:t>
      </w:r>
    </w:p>
    <w:p w:rsidR="004D0BB9" w:rsidRDefault="004D0BB9" w:rsidP="007C1335">
      <w:pPr>
        <w:jc w:val="both"/>
        <w:rPr>
          <w:rFonts w:eastAsia="Batang"/>
          <w:bCs/>
        </w:rPr>
      </w:pPr>
      <w:r>
        <w:rPr>
          <w:rFonts w:eastAsia="Batang"/>
          <w:bCs/>
        </w:rPr>
        <w:t xml:space="preserve">. </w:t>
      </w:r>
    </w:p>
    <w:p w:rsidR="004D0BB9" w:rsidRDefault="004D0BB9" w:rsidP="0065371C">
      <w:pPr>
        <w:numPr>
          <w:ilvl w:val="0"/>
          <w:numId w:val="10"/>
        </w:numPr>
        <w:jc w:val="both"/>
        <w:rPr>
          <w:rFonts w:eastAsia="Batang"/>
          <w:bCs/>
        </w:rPr>
      </w:pPr>
      <w:r>
        <w:rPr>
          <w:rFonts w:eastAsia="Batang"/>
          <w:b/>
          <w:bCs/>
          <w:u w:val="single"/>
        </w:rPr>
        <w:t>Margen de respuesta a llamados de emergencia que se requieran</w:t>
      </w:r>
      <w:r>
        <w:rPr>
          <w:rFonts w:eastAsia="Batang"/>
          <w:bCs/>
        </w:rPr>
        <w:t>.</w:t>
      </w:r>
    </w:p>
    <w:p w:rsidR="004D0BB9" w:rsidRDefault="004D0BB9" w:rsidP="004D0BB9">
      <w:pPr>
        <w:jc w:val="both"/>
        <w:rPr>
          <w:color w:val="000000"/>
          <w:u w:val="single"/>
        </w:rPr>
      </w:pPr>
    </w:p>
    <w:p w:rsidR="004D0BB9" w:rsidRDefault="004D0BB9" w:rsidP="004D0BB9">
      <w:pPr>
        <w:jc w:val="both"/>
        <w:rPr>
          <w:color w:val="000000"/>
        </w:rPr>
      </w:pPr>
      <w:r>
        <w:rPr>
          <w:color w:val="000000"/>
        </w:rPr>
        <w:t xml:space="preserve">Por consultas: Sección </w:t>
      </w:r>
      <w:r w:rsidR="007C1335">
        <w:rPr>
          <w:color w:val="000000"/>
        </w:rPr>
        <w:t>Centro de Computos Tel 1924 2167 o 2168 o 2173</w:t>
      </w:r>
      <w:r>
        <w:rPr>
          <w:color w:val="000000"/>
        </w:rPr>
        <w:t xml:space="preserve">. </w:t>
      </w:r>
    </w:p>
    <w:p w:rsidR="007C1335" w:rsidRDefault="007C1335" w:rsidP="004D0BB9">
      <w:pPr>
        <w:jc w:val="both"/>
        <w:rPr>
          <w:rFonts w:eastAsia="Batang"/>
          <w:bCs/>
        </w:rPr>
      </w:pPr>
    </w:p>
    <w:p w:rsidR="001B61A6" w:rsidRDefault="001B61A6">
      <w:pPr>
        <w:jc w:val="both"/>
        <w:rPr>
          <w:rFonts w:eastAsia="Batang"/>
          <w:b/>
          <w:bCs/>
        </w:rPr>
      </w:pPr>
    </w:p>
    <w:p w:rsidR="001B61A6" w:rsidRDefault="001B61A6">
      <w:pPr>
        <w:jc w:val="both"/>
        <w:rPr>
          <w:rFonts w:eastAsia="Batang"/>
          <w:b/>
          <w:bCs/>
        </w:rPr>
      </w:pPr>
    </w:p>
    <w:p w:rsidR="001B61A6" w:rsidRDefault="001B61A6">
      <w:pPr>
        <w:jc w:val="both"/>
        <w:rPr>
          <w:rFonts w:eastAsia="Batang"/>
          <w:b/>
          <w:bCs/>
        </w:rPr>
      </w:pPr>
    </w:p>
    <w:p w:rsidR="001B61A6" w:rsidRDefault="001B61A6">
      <w:pPr>
        <w:jc w:val="both"/>
        <w:rPr>
          <w:rFonts w:eastAsia="Batang"/>
          <w:b/>
          <w:bCs/>
        </w:rPr>
      </w:pPr>
    </w:p>
    <w:p w:rsidR="001B61A6" w:rsidRDefault="001B61A6">
      <w:pPr>
        <w:jc w:val="both"/>
        <w:rPr>
          <w:rFonts w:eastAsia="Batang"/>
          <w:b/>
          <w:bCs/>
        </w:rPr>
      </w:pPr>
    </w:p>
    <w:p w:rsidR="001B61A6" w:rsidRDefault="001B61A6">
      <w:pPr>
        <w:jc w:val="both"/>
        <w:rPr>
          <w:rFonts w:eastAsia="Batang"/>
          <w:b/>
          <w:bCs/>
        </w:rPr>
      </w:pPr>
    </w:p>
    <w:p w:rsidR="001B61A6" w:rsidRDefault="001B61A6">
      <w:pPr>
        <w:jc w:val="both"/>
        <w:rPr>
          <w:rFonts w:eastAsia="Batang"/>
          <w:b/>
          <w:bCs/>
        </w:rPr>
      </w:pPr>
    </w:p>
    <w:p w:rsidR="009105CA" w:rsidRDefault="009105CA">
      <w:pPr>
        <w:jc w:val="both"/>
        <w:rPr>
          <w:rFonts w:eastAsia="Batang"/>
          <w:b/>
          <w:bCs/>
        </w:rPr>
      </w:pPr>
      <w:r>
        <w:rPr>
          <w:rFonts w:eastAsia="Batang"/>
          <w:b/>
          <w:bCs/>
        </w:rPr>
        <w:lastRenderedPageBreak/>
        <w:t>2. GARANTÍAS DE MANTENIMIENTO DE OFERTA Y DE FIEL             CUMPLIMIENTO DEL CONTRATO.</w:t>
      </w:r>
    </w:p>
    <w:p w:rsidR="009105CA" w:rsidRDefault="009105CA">
      <w:pPr>
        <w:jc w:val="both"/>
        <w:rPr>
          <w:rFonts w:eastAsia="Batang"/>
          <w:color w:val="000000"/>
        </w:rPr>
      </w:pPr>
      <w:r>
        <w:rPr>
          <w:rFonts w:eastAsia="Batang"/>
          <w:color w:val="000000"/>
        </w:rPr>
        <w:t>Se exonera de la presentación de garantía de mantenimiento de oferta.  En  caso de  incumplimiento se sancionará con una multa equivalente al 5 % (cinco por ciento) del monto máximo de la propuesta.</w:t>
      </w:r>
    </w:p>
    <w:p w:rsidR="009105CA" w:rsidRDefault="009105CA">
      <w:pPr>
        <w:jc w:val="both"/>
        <w:rPr>
          <w:rFonts w:eastAsia="Batang"/>
          <w:color w:val="000000"/>
        </w:rPr>
      </w:pPr>
      <w:r>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9105CA" w:rsidRDefault="009105CA">
      <w:pPr>
        <w:jc w:val="both"/>
        <w:rPr>
          <w:rFonts w:eastAsia="Batang"/>
          <w:color w:val="000000"/>
        </w:rPr>
      </w:pPr>
      <w:r>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9105CA" w:rsidRDefault="009105CA">
      <w:pPr>
        <w:jc w:val="both"/>
        <w:rPr>
          <w:rFonts w:eastAsia="Batang"/>
          <w:b/>
          <w:bCs/>
        </w:rPr>
      </w:pPr>
      <w:r>
        <w:rPr>
          <w:rFonts w:eastAsia="Batang"/>
          <w:color w:val="000000"/>
        </w:rPr>
        <w:t>Para ambas garantías</w:t>
      </w:r>
      <w:r>
        <w:rPr>
          <w:rFonts w:eastAsia="Batang"/>
        </w:rPr>
        <w:t xml:space="preserve"> será de aplicación lo dispuesto por el </w:t>
      </w:r>
      <w:r w:rsidR="003E1C2F">
        <w:rPr>
          <w:rFonts w:eastAsia="Batang"/>
        </w:rPr>
        <w:t>artículo</w:t>
      </w:r>
      <w:r>
        <w:rPr>
          <w:rFonts w:eastAsia="Batang"/>
        </w:rPr>
        <w:t xml:space="preserve"> 64 del Decreto N° 150/2012 de 11 de mayo de 2012 (TOCAF).</w:t>
      </w:r>
    </w:p>
    <w:p w:rsidR="008B29B6" w:rsidRDefault="009105CA">
      <w:pPr>
        <w:jc w:val="both"/>
        <w:rPr>
          <w:rFonts w:eastAsia="Batang"/>
          <w:b/>
          <w:bCs/>
        </w:rPr>
      </w:pPr>
      <w:r>
        <w:rPr>
          <w:rFonts w:eastAsia="Batang"/>
        </w:rPr>
        <w:t xml:space="preserve">  </w:t>
      </w:r>
    </w:p>
    <w:p w:rsidR="009105CA" w:rsidRDefault="00E75839">
      <w:pPr>
        <w:jc w:val="both"/>
        <w:rPr>
          <w:rFonts w:eastAsia="Batang"/>
          <w:b/>
          <w:bCs/>
        </w:rPr>
      </w:pPr>
      <w:r>
        <w:rPr>
          <w:rFonts w:eastAsia="Batang"/>
          <w:b/>
          <w:bCs/>
        </w:rPr>
        <w:t>3</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lastRenderedPageBreak/>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E75839">
      <w:pPr>
        <w:numPr>
          <w:ilvl w:val="12"/>
          <w:numId w:val="0"/>
        </w:numPr>
        <w:jc w:val="both"/>
        <w:rPr>
          <w:rFonts w:eastAsia="Batang"/>
          <w:b/>
          <w:bCs/>
        </w:rPr>
      </w:pPr>
      <w:r>
        <w:rPr>
          <w:rFonts w:eastAsia="Batang"/>
          <w:b/>
          <w:bCs/>
          <w:lang w:val="es-ES_tradnl"/>
        </w:rPr>
        <w:t>4</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E75839">
      <w:pPr>
        <w:jc w:val="both"/>
        <w:rPr>
          <w:rFonts w:eastAsia="Batang"/>
          <w:b/>
          <w:bCs/>
        </w:rPr>
      </w:pPr>
      <w:r>
        <w:rPr>
          <w:rFonts w:eastAsia="Batang"/>
          <w:b/>
          <w:bCs/>
        </w:rPr>
        <w:t>5</w:t>
      </w:r>
      <w:r w:rsidR="009105CA">
        <w:rPr>
          <w:rFonts w:eastAsia="Batang"/>
          <w:b/>
          <w:bCs/>
        </w:rPr>
        <w:t>. PLAZOS, COMUNICACIONES, CONSULTAS, ACLARACIONES Y PRORROGAS</w:t>
      </w:r>
    </w:p>
    <w:p w:rsidR="009105CA" w:rsidRDefault="008B6EC6">
      <w:pPr>
        <w:jc w:val="both"/>
      </w:pPr>
      <w:r>
        <w:rPr>
          <w:rFonts w:eastAsia="Batang"/>
          <w:bCs/>
          <w:iCs/>
        </w:rPr>
        <w:t>5</w:t>
      </w:r>
      <w:r w:rsidR="009105CA">
        <w:rPr>
          <w:rFonts w:eastAsia="Batang"/>
          <w:bCs/>
          <w:iCs/>
        </w:rPr>
        <w:t>.1</w:t>
      </w:r>
      <w:r w:rsidR="009105CA">
        <w:rPr>
          <w:rFonts w:eastAsia="Batang"/>
        </w:rPr>
        <w:t xml:space="preserve"> </w:t>
      </w:r>
      <w:r w:rsidR="009105CA">
        <w:rPr>
          <w:rFonts w:eastAsia="Batang"/>
          <w:b/>
          <w:bCs/>
        </w:rPr>
        <w:t xml:space="preserve">Comunicaciones. </w:t>
      </w:r>
      <w:r w:rsidR="009105CA">
        <w:rPr>
          <w:rFonts w:eastAsia="Batang"/>
        </w:rPr>
        <w:t xml:space="preserve">Todas las comunicaciones referidas al presente llamado deberán dirigirse al Departamento de Servicios Generales, </w:t>
      </w:r>
      <w:r w:rsidR="009105CA">
        <w:t>Sección Adquisiciones, sita en la calle  Ituzaingó Nº 1474, primer piso</w:t>
      </w:r>
      <w:r w:rsidR="009105CA">
        <w:rPr>
          <w:rFonts w:eastAsia="Batang"/>
        </w:rPr>
        <w:t xml:space="preserve"> </w:t>
      </w:r>
      <w:r w:rsidR="00387C2F">
        <w:rPr>
          <w:rFonts w:eastAsia="Batang"/>
        </w:rPr>
        <w:t xml:space="preserve">o por el correo </w:t>
      </w:r>
      <w:r w:rsidR="009105CA">
        <w:t xml:space="preserve">  (</w:t>
      </w:r>
      <w:hyperlink r:id="rId10" w:history="1">
        <w:r w:rsidR="009105CA">
          <w:rPr>
            <w:rStyle w:val="Hipervnculo"/>
            <w:i/>
            <w:iCs/>
            <w:color w:val="auto"/>
          </w:rPr>
          <w:t>adquisiciones@corteelectoral</w:t>
        </w:r>
      </w:hyperlink>
      <w:r w:rsidR="009105CA">
        <w:rPr>
          <w:i/>
          <w:iCs/>
        </w:rPr>
        <w:t>.gub.uy.</w:t>
      </w:r>
      <w:r w:rsidR="009105CA">
        <w:t>).</w:t>
      </w:r>
    </w:p>
    <w:p w:rsidR="00CC122D" w:rsidRDefault="008B6EC6" w:rsidP="00CC122D">
      <w:pPr>
        <w:jc w:val="both"/>
        <w:rPr>
          <w:rFonts w:eastAsia="Batang"/>
          <w:lang w:val="es-ES_tradnl"/>
        </w:rPr>
      </w:pPr>
      <w:r>
        <w:rPr>
          <w:rFonts w:eastAsia="Batang"/>
          <w:bCs/>
          <w:iCs/>
        </w:rPr>
        <w:t>5</w:t>
      </w:r>
      <w:r w:rsidR="009105CA">
        <w:rPr>
          <w:rFonts w:eastAsia="Batang"/>
          <w:bCs/>
          <w:iCs/>
        </w:rPr>
        <w:t>.2</w:t>
      </w:r>
      <w:r w:rsidR="009105CA">
        <w:rPr>
          <w:rFonts w:eastAsia="Batang"/>
        </w:rPr>
        <w:t xml:space="preserve"> </w:t>
      </w:r>
      <w:r w:rsidR="009105CA">
        <w:rPr>
          <w:rFonts w:eastAsia="Batang"/>
          <w:b/>
          <w:bCs/>
        </w:rPr>
        <w:t>Aclaraciones y consultas</w:t>
      </w:r>
      <w:r w:rsidR="007939C3">
        <w:rPr>
          <w:rFonts w:eastAsia="Batang"/>
          <w:b/>
          <w:bCs/>
        </w:rPr>
        <w:t xml:space="preserve"> </w:t>
      </w:r>
      <w:r w:rsidR="00CC122D">
        <w:rPr>
          <w:rFonts w:eastAsia="Batang"/>
          <w:lang w:val="es-ES_tradnl"/>
        </w:rPr>
        <w:t xml:space="preserve"> por cualquiera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proofErr w:type="gramStart"/>
      <w:r w:rsidR="007939C3">
        <w:rPr>
          <w:rFonts w:eastAsia="Batang"/>
          <w:sz w:val="24"/>
          <w:szCs w:val="24"/>
        </w:rPr>
        <w:t>necesario</w:t>
      </w:r>
      <w:proofErr w:type="gramEnd"/>
      <w:r w:rsidR="007939C3">
        <w:rPr>
          <w:rFonts w:eastAsia="Batang"/>
          <w:sz w:val="24"/>
          <w:szCs w:val="24"/>
        </w:rPr>
        <w:t xml:space="preserve"> realizar, a través del mail o pagina web de compras estatales </w:t>
      </w:r>
    </w:p>
    <w:p w:rsidR="00CC122D" w:rsidRDefault="008B6EC6">
      <w:pPr>
        <w:jc w:val="both"/>
        <w:rPr>
          <w:rFonts w:eastAsia="Batang"/>
          <w:bCs/>
        </w:rPr>
      </w:pPr>
      <w:r>
        <w:rPr>
          <w:rFonts w:eastAsia="Batang"/>
          <w:bCs/>
        </w:rPr>
        <w:t>5</w:t>
      </w:r>
      <w:r w:rsidR="009105CA">
        <w:rPr>
          <w:rFonts w:eastAsia="Batang"/>
          <w:bCs/>
        </w:rPr>
        <w:t xml:space="preserve">.3 </w:t>
      </w:r>
      <w:r w:rsidR="009105CA">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8B6EC6">
      <w:pPr>
        <w:jc w:val="both"/>
        <w:rPr>
          <w:rFonts w:eastAsia="Batang"/>
          <w:u w:val="single"/>
        </w:rPr>
      </w:pPr>
      <w:r>
        <w:rPr>
          <w:rFonts w:eastAsia="Batang"/>
          <w:bCs/>
        </w:rPr>
        <w:t>5</w:t>
      </w:r>
      <w:r w:rsidR="009105CA">
        <w:rPr>
          <w:rFonts w:eastAsia="Batang"/>
          <w:bCs/>
        </w:rPr>
        <w:t xml:space="preserve">.4 </w:t>
      </w:r>
      <w:r w:rsidR="009105CA">
        <w:rPr>
          <w:rFonts w:eastAsia="Batang"/>
          <w:b/>
          <w:bCs/>
        </w:rPr>
        <w:t>Plazos</w:t>
      </w:r>
      <w:r w:rsidR="009105CA">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lastRenderedPageBreak/>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8B6EC6" w:rsidRDefault="008B6EC6">
      <w:pPr>
        <w:jc w:val="both"/>
        <w:rPr>
          <w:rFonts w:eastAsia="Batang"/>
          <w:b/>
          <w:bCs/>
        </w:rPr>
      </w:pPr>
      <w:r>
        <w:rPr>
          <w:rFonts w:eastAsia="Batang"/>
          <w:b/>
          <w:bCs/>
        </w:rPr>
        <w:t>6</w:t>
      </w:r>
      <w:r w:rsidR="009105CA">
        <w:rPr>
          <w:rFonts w:eastAsia="Batang"/>
          <w:b/>
          <w:bCs/>
        </w:rPr>
        <w:t>. PROPUESTA</w:t>
      </w:r>
    </w:p>
    <w:p w:rsidR="009105CA" w:rsidRDefault="009105CA">
      <w:pPr>
        <w:jc w:val="both"/>
        <w:rPr>
          <w:rFonts w:eastAsia="Batang"/>
        </w:rPr>
      </w:pPr>
      <w:r>
        <w:rPr>
          <w:rFonts w:eastAsia="Batang"/>
          <w:b/>
          <w:bCs/>
        </w:rPr>
        <w:t xml:space="preserve"> </w:t>
      </w:r>
      <w:r>
        <w:rPr>
          <w:rFonts w:eastAsia="Batang"/>
        </w:rPr>
        <w:t xml:space="preserve">Las ofertas </w:t>
      </w:r>
      <w:r w:rsidR="00BF6AB5">
        <w:rPr>
          <w:rFonts w:eastAsia="Batang"/>
        </w:rPr>
        <w:t xml:space="preserve">deberán </w:t>
      </w:r>
      <w:r>
        <w:rPr>
          <w:rFonts w:eastAsia="Batang"/>
        </w:rPr>
        <w:t xml:space="preserve">presentarse </w:t>
      </w:r>
      <w:r w:rsidR="007939C3">
        <w:rPr>
          <w:rFonts w:eastAsia="Batang"/>
        </w:rPr>
        <w:t xml:space="preserve">a través de la </w:t>
      </w:r>
      <w:r w:rsidR="008B6EC6">
        <w:rPr>
          <w:rFonts w:eastAsia="Batang"/>
        </w:rPr>
        <w:t>página</w:t>
      </w:r>
      <w:r w:rsidR="007939C3">
        <w:rPr>
          <w:rFonts w:eastAsia="Batang"/>
        </w:rPr>
        <w:t xml:space="preserve">  </w:t>
      </w:r>
      <w:r w:rsidR="00575890">
        <w:rPr>
          <w:rFonts w:eastAsia="Batang"/>
        </w:rPr>
        <w:t>www.</w:t>
      </w:r>
      <w:r w:rsidR="007939C3">
        <w:rPr>
          <w:rFonts w:eastAsia="Batang"/>
        </w:rPr>
        <w:t xml:space="preserve">comprasestatales.gub.uy </w:t>
      </w:r>
      <w:r>
        <w:rPr>
          <w:rFonts w:eastAsia="Batang"/>
        </w:rPr>
        <w:t>exclusivamente hasta la hora dispuesta para el acto de apertura.</w:t>
      </w:r>
    </w:p>
    <w:p w:rsidR="009105CA" w:rsidRDefault="009105CA">
      <w:pPr>
        <w:jc w:val="both"/>
        <w:rPr>
          <w:rFonts w:eastAsia="Batang"/>
          <w:b/>
          <w:bCs/>
        </w:rPr>
      </w:pPr>
    </w:p>
    <w:p w:rsidR="009105CA" w:rsidRDefault="008B6EC6">
      <w:pPr>
        <w:jc w:val="both"/>
        <w:rPr>
          <w:rFonts w:eastAsia="Batang"/>
          <w:b/>
          <w:bCs/>
        </w:rPr>
      </w:pPr>
      <w:r>
        <w:rPr>
          <w:rFonts w:eastAsia="Batang"/>
          <w:b/>
          <w:bCs/>
        </w:rPr>
        <w:t>7</w:t>
      </w:r>
      <w:r w:rsidR="009105CA">
        <w:rPr>
          <w:rFonts w:eastAsia="Batang"/>
          <w:b/>
          <w:bCs/>
        </w:rPr>
        <w:t>. CARACTERÍSTICAS TÉCNICAS Y DE CALIDAD</w:t>
      </w:r>
    </w:p>
    <w:p w:rsidR="009105CA" w:rsidRDefault="008B6EC6">
      <w:pPr>
        <w:jc w:val="both"/>
      </w:pPr>
      <w:r>
        <w:rPr>
          <w:rFonts w:eastAsia="Batang"/>
          <w:bCs/>
        </w:rPr>
        <w:t>7</w:t>
      </w:r>
      <w:r w:rsidR="009105CA">
        <w:rPr>
          <w:rFonts w:eastAsia="Batang"/>
          <w:bCs/>
        </w:rPr>
        <w:t>.</w:t>
      </w:r>
      <w:r w:rsidR="009105CA">
        <w:rPr>
          <w:bCs/>
        </w:rPr>
        <w:t xml:space="preserve">1 </w:t>
      </w:r>
      <w:r w:rsidR="009105CA">
        <w:t>El servicio cumplirá con las técnicas especializadas de la actividad que se brindará.</w:t>
      </w:r>
    </w:p>
    <w:p w:rsidR="009105CA" w:rsidRPr="003E2CB1" w:rsidRDefault="008B6EC6" w:rsidP="003E2CB1">
      <w:pPr>
        <w:pStyle w:val="Sangradetextonormal"/>
        <w:ind w:left="0"/>
        <w:rPr>
          <w:color w:val="FF6600"/>
          <w:sz w:val="24"/>
        </w:rPr>
      </w:pPr>
      <w:r>
        <w:rPr>
          <w:bCs/>
          <w:sz w:val="24"/>
        </w:rPr>
        <w:t>7</w:t>
      </w:r>
      <w:r w:rsidR="009105CA">
        <w:rPr>
          <w:bCs/>
          <w:sz w:val="24"/>
        </w:rPr>
        <w:t xml:space="preserve">.2 </w:t>
      </w:r>
      <w:r w:rsidR="009105CA">
        <w:rPr>
          <w:sz w:val="24"/>
        </w:rPr>
        <w:t>El contratista deberá asegurar que el servicio se cumplirá en los siguientes lugares, días, horarios y condiciones</w:t>
      </w:r>
      <w:r w:rsidR="003E2CB1">
        <w:rPr>
          <w:sz w:val="24"/>
        </w:rPr>
        <w:t xml:space="preserve"> detallados en el Objeto de llamado.</w:t>
      </w:r>
      <w:r w:rsidR="009105CA">
        <w:rPr>
          <w:color w:val="FF6600"/>
          <w:sz w:val="24"/>
        </w:rPr>
        <w:t xml:space="preserve"> </w:t>
      </w:r>
    </w:p>
    <w:p w:rsidR="009105CA" w:rsidRDefault="008B6EC6">
      <w:pPr>
        <w:jc w:val="both"/>
        <w:rPr>
          <w:rFonts w:eastAsia="Batang"/>
        </w:rPr>
      </w:pPr>
      <w:r>
        <w:rPr>
          <w:rFonts w:eastAsia="Batang"/>
        </w:rPr>
        <w:t>7</w:t>
      </w:r>
      <w:r w:rsidR="009105CA">
        <w:rPr>
          <w:rFonts w:eastAsia="Batang"/>
        </w:rPr>
        <w:t>.3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9105CA" w:rsidRDefault="008B6EC6">
      <w:pPr>
        <w:pStyle w:val="Textoindependiente2"/>
        <w:spacing w:line="240" w:lineRule="auto"/>
        <w:rPr>
          <w:sz w:val="24"/>
          <w:szCs w:val="24"/>
        </w:rPr>
      </w:pPr>
      <w:r>
        <w:rPr>
          <w:bCs/>
          <w:sz w:val="24"/>
          <w:szCs w:val="24"/>
        </w:rPr>
        <w:t>7</w:t>
      </w:r>
      <w:r w:rsidR="009105CA">
        <w:rPr>
          <w:bCs/>
          <w:sz w:val="24"/>
          <w:szCs w:val="24"/>
        </w:rPr>
        <w:t xml:space="preserve">.4 </w:t>
      </w:r>
      <w:r w:rsidR="009105CA">
        <w:rPr>
          <w:sz w:val="24"/>
          <w:szCs w:val="24"/>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9105CA" w:rsidRDefault="009105CA">
      <w:pPr>
        <w:pStyle w:val="Textoindependiente2"/>
        <w:spacing w:line="240" w:lineRule="auto"/>
        <w:rPr>
          <w:sz w:val="24"/>
          <w:szCs w:val="24"/>
        </w:rPr>
      </w:pPr>
      <w:r>
        <w:rPr>
          <w:sz w:val="24"/>
          <w:szCs w:val="24"/>
        </w:rPr>
        <w:t>Deberá contener, como mínimo, la siguiente información:</w:t>
      </w:r>
    </w:p>
    <w:p w:rsidR="009105CA" w:rsidRDefault="009105CA">
      <w:pPr>
        <w:pStyle w:val="Textoindependiente2"/>
        <w:numPr>
          <w:ilvl w:val="0"/>
          <w:numId w:val="2"/>
        </w:numPr>
        <w:spacing w:line="240" w:lineRule="auto"/>
        <w:rPr>
          <w:sz w:val="24"/>
          <w:szCs w:val="24"/>
        </w:rPr>
      </w:pPr>
      <w:r>
        <w:rPr>
          <w:sz w:val="24"/>
          <w:szCs w:val="24"/>
        </w:rPr>
        <w:t>Identificación de la persona física o jurídica que ofrece la garantía.</w:t>
      </w:r>
    </w:p>
    <w:p w:rsidR="009105CA" w:rsidRDefault="009105CA">
      <w:pPr>
        <w:numPr>
          <w:ilvl w:val="0"/>
          <w:numId w:val="2"/>
        </w:numPr>
        <w:jc w:val="both"/>
      </w:pPr>
      <w:r>
        <w:t>Identificación del proveedor del servicio.</w:t>
      </w:r>
    </w:p>
    <w:p w:rsidR="009105CA" w:rsidRDefault="009105CA">
      <w:pPr>
        <w:numPr>
          <w:ilvl w:val="0"/>
          <w:numId w:val="2"/>
        </w:numPr>
        <w:jc w:val="both"/>
      </w:pPr>
      <w:r>
        <w:t>Identificación precisa del servicio, con sus especialidades técnicas básicas.</w:t>
      </w:r>
    </w:p>
    <w:p w:rsidR="009105CA" w:rsidRDefault="009105CA">
      <w:pPr>
        <w:numPr>
          <w:ilvl w:val="0"/>
          <w:numId w:val="2"/>
        </w:numPr>
        <w:jc w:val="both"/>
      </w:pPr>
      <w:r>
        <w:t>Condiciones de validez de la garantía, su plazo y cobertura, especificando las partes del servicio cubiertas por la misma.</w:t>
      </w:r>
    </w:p>
    <w:p w:rsidR="009105CA" w:rsidRDefault="009105CA">
      <w:pPr>
        <w:numPr>
          <w:ilvl w:val="0"/>
          <w:numId w:val="2"/>
        </w:numPr>
        <w:jc w:val="both"/>
      </w:pPr>
      <w:r>
        <w:t>Domicilio y teléfono de aquellos que están obligados contractualmente a prestarla.</w:t>
      </w:r>
    </w:p>
    <w:p w:rsidR="009105CA" w:rsidRDefault="009105CA">
      <w:pPr>
        <w:numPr>
          <w:ilvl w:val="0"/>
          <w:numId w:val="2"/>
        </w:numPr>
        <w:jc w:val="both"/>
      </w:pPr>
      <w:r>
        <w:t>Condiciones de mantenimiento o conservación del servicio con especificación del lugar donde se efectivizará la garantía.</w:t>
      </w:r>
    </w:p>
    <w:p w:rsidR="009105CA" w:rsidRDefault="009105CA">
      <w:pPr>
        <w:jc w:val="both"/>
      </w:pPr>
      <w:r>
        <w:t>El certificado de garantía del servicio debe ser completado por el proveedor y entregado junto con el servicio a cumplir.</w:t>
      </w:r>
    </w:p>
    <w:p w:rsidR="006317CA" w:rsidRDefault="006317CA">
      <w:pPr>
        <w:jc w:val="both"/>
        <w:rPr>
          <w:rFonts w:eastAsia="Batang"/>
          <w:b/>
          <w:bCs/>
        </w:rPr>
      </w:pPr>
    </w:p>
    <w:p w:rsidR="009105CA" w:rsidRDefault="008B6EC6">
      <w:pPr>
        <w:jc w:val="both"/>
        <w:rPr>
          <w:rFonts w:eastAsia="Batang"/>
          <w:b/>
          <w:bCs/>
        </w:rPr>
      </w:pPr>
      <w:r>
        <w:rPr>
          <w:rFonts w:eastAsia="Batang"/>
          <w:b/>
          <w:bCs/>
        </w:rPr>
        <w:t>8</w:t>
      </w:r>
      <w:r w:rsidR="009105CA">
        <w:rPr>
          <w:rFonts w:eastAsia="Batang"/>
          <w:b/>
          <w:bCs/>
        </w:rPr>
        <w:t>. VALOR DE LA INFORMACIÓN TÉCNICA PRESENTADA</w:t>
      </w:r>
    </w:p>
    <w:p w:rsidR="009105CA" w:rsidRDefault="009105CA">
      <w:pPr>
        <w:jc w:val="both"/>
        <w:rPr>
          <w:rFonts w:eastAsia="Batang"/>
        </w:rPr>
      </w:pPr>
      <w:r>
        <w:rPr>
          <w:rFonts w:eastAsia="Batang"/>
        </w:rPr>
        <w:lastRenderedPageBreak/>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9105CA">
      <w:pPr>
        <w:jc w:val="both"/>
        <w:rPr>
          <w:rFonts w:eastAsia="Batang"/>
          <w:b/>
          <w:bCs/>
        </w:rPr>
      </w:pPr>
      <w:r>
        <w:rPr>
          <w:rFonts w:eastAsia="Batang"/>
        </w:rPr>
        <w:t xml:space="preserve"> </w:t>
      </w:r>
      <w:r w:rsidR="001B2248">
        <w:rPr>
          <w:rFonts w:eastAsia="Batang"/>
        </w:rPr>
        <w:t>9</w:t>
      </w:r>
      <w:r>
        <w:rPr>
          <w:rFonts w:eastAsia="Batang"/>
          <w:b/>
          <w:bCs/>
        </w:rPr>
        <w:t>.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9105CA">
      <w:pPr>
        <w:jc w:val="both"/>
        <w:rPr>
          <w:rFonts w:eastAsia="Batang"/>
          <w:b/>
          <w:bCs/>
          <w:szCs w:val="22"/>
        </w:rPr>
      </w:pPr>
      <w:r>
        <w:rPr>
          <w:rFonts w:eastAsia="Batang"/>
          <w:b/>
          <w:bCs/>
          <w:szCs w:val="22"/>
        </w:rPr>
        <w:t>1</w:t>
      </w:r>
      <w:r w:rsidR="001B2248">
        <w:rPr>
          <w:rFonts w:eastAsia="Batang"/>
          <w:b/>
          <w:bCs/>
          <w:szCs w:val="22"/>
        </w:rPr>
        <w:t>0</w:t>
      </w:r>
      <w:r>
        <w:rPr>
          <w:rFonts w:eastAsia="Batang"/>
          <w:b/>
          <w:bCs/>
          <w:szCs w:val="22"/>
        </w:rPr>
        <w:t>.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9105CA" w:rsidRDefault="009105CA">
      <w:pPr>
        <w:jc w:val="both"/>
        <w:rPr>
          <w:rFonts w:eastAsia="Batang"/>
          <w:b/>
          <w:bCs/>
        </w:rPr>
      </w:pPr>
      <w:r>
        <w:rPr>
          <w:rFonts w:eastAsia="Batang"/>
          <w:b/>
          <w:bCs/>
        </w:rPr>
        <w:t>1</w:t>
      </w:r>
      <w:r w:rsidR="001B2248">
        <w:rPr>
          <w:rFonts w:eastAsia="Batang"/>
          <w:b/>
          <w:bCs/>
        </w:rPr>
        <w:t>1</w:t>
      </w:r>
      <w:r>
        <w:rPr>
          <w:rFonts w:eastAsia="Batang"/>
          <w:b/>
          <w:bCs/>
        </w:rPr>
        <w:t>. ADJUDICACIÓN</w:t>
      </w:r>
    </w:p>
    <w:p w:rsidR="009105CA" w:rsidRDefault="009105CA">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Pr="001B2248" w:rsidRDefault="001B2248" w:rsidP="001B2248">
      <w:pPr>
        <w:jc w:val="both"/>
        <w:rPr>
          <w:rFonts w:eastAsia="Batang"/>
          <w:b/>
        </w:rPr>
      </w:pPr>
      <w:r>
        <w:rPr>
          <w:rFonts w:eastAsia="Batang"/>
          <w:b/>
        </w:rPr>
        <w:t>12.</w:t>
      </w:r>
      <w:r w:rsidR="008B6EC6" w:rsidRPr="001B2248">
        <w:rPr>
          <w:rFonts w:eastAsia="Batang"/>
          <w:b/>
        </w:rPr>
        <w:t xml:space="preserve"> </w:t>
      </w:r>
      <w:r w:rsidR="009105CA" w:rsidRPr="001B2248">
        <w:rPr>
          <w:rFonts w:eastAsia="Batang"/>
          <w:b/>
        </w:rPr>
        <w:t>AJUSTE DE PRECIOS.</w:t>
      </w:r>
    </w:p>
    <w:p w:rsidR="001A6728" w:rsidRDefault="009105CA">
      <w:pPr>
        <w:jc w:val="both"/>
        <w:rPr>
          <w:rFonts w:eastAsia="Batang"/>
        </w:rPr>
      </w:pPr>
      <w:r>
        <w:rPr>
          <w:rFonts w:eastAsia="Batang"/>
        </w:rPr>
        <w:lastRenderedPageBreak/>
        <w:t xml:space="preserve">El precio de los servicios que se contratan se ajustará  anualmente por la variación del  </w:t>
      </w:r>
      <w:r w:rsidR="00EA64ED">
        <w:rPr>
          <w:rFonts w:eastAsia="Batang"/>
        </w:rPr>
        <w:t>Índice</w:t>
      </w:r>
      <w:r>
        <w:rPr>
          <w:rFonts w:eastAsia="Batang"/>
        </w:rPr>
        <w:t xml:space="preserve"> de Precios al Consumo.</w:t>
      </w:r>
    </w:p>
    <w:p w:rsidR="002F0DC7" w:rsidRDefault="002F0DC7">
      <w:pPr>
        <w:jc w:val="both"/>
        <w:rPr>
          <w:rFonts w:eastAsia="Batang"/>
        </w:rPr>
      </w:pPr>
    </w:p>
    <w:p w:rsidR="009105CA" w:rsidRDefault="009105CA">
      <w:pPr>
        <w:jc w:val="both"/>
        <w:rPr>
          <w:rFonts w:eastAsia="Batang"/>
          <w:b/>
          <w:bCs/>
        </w:rPr>
      </w:pPr>
      <w:r>
        <w:rPr>
          <w:rFonts w:eastAsia="Batang"/>
          <w:b/>
          <w:bCs/>
        </w:rPr>
        <w:t>1</w:t>
      </w:r>
      <w:r w:rsidR="001B2248">
        <w:rPr>
          <w:rFonts w:eastAsia="Batang"/>
          <w:b/>
          <w:bCs/>
        </w:rPr>
        <w:t>3</w:t>
      </w:r>
      <w:r>
        <w:rPr>
          <w:rFonts w:eastAsia="Batang"/>
          <w:b/>
          <w:bCs/>
        </w:rPr>
        <w:t>. SANCIONES POR INCUMPLIMIENTO</w:t>
      </w:r>
    </w:p>
    <w:p w:rsidR="009105CA" w:rsidRDefault="009105CA">
      <w:pPr>
        <w:jc w:val="both"/>
        <w:rPr>
          <w:rFonts w:eastAsia="Batang"/>
        </w:rPr>
      </w:pPr>
      <w:r>
        <w:rPr>
          <w:rFonts w:eastAsia="Batang"/>
          <w:bCs/>
        </w:rPr>
        <w:t>1</w:t>
      </w:r>
      <w:r w:rsidR="008B6EC6">
        <w:rPr>
          <w:rFonts w:eastAsia="Batang"/>
          <w:bCs/>
        </w:rPr>
        <w:t>6</w:t>
      </w:r>
      <w:r>
        <w:rPr>
          <w:rFonts w:eastAsia="Batang"/>
          <w:bCs/>
        </w:rPr>
        <w:t>.1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w:t>
      </w:r>
      <w:r w:rsidR="008B6EC6">
        <w:rPr>
          <w:rFonts w:eastAsia="Batang"/>
          <w:bCs/>
        </w:rPr>
        <w:t>6</w:t>
      </w:r>
      <w:r>
        <w:rPr>
          <w:rFonts w:eastAsia="Batang"/>
          <w:bCs/>
        </w:rPr>
        <w:t>.2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w:t>
      </w:r>
      <w:r w:rsidR="001B2248">
        <w:rPr>
          <w:rFonts w:eastAsia="Batang"/>
          <w:i w:val="0"/>
          <w:iCs w:val="0"/>
          <w:sz w:val="24"/>
          <w:szCs w:val="24"/>
        </w:rPr>
        <w:t>4</w:t>
      </w:r>
      <w:r>
        <w:rPr>
          <w:rFonts w:eastAsia="Batang"/>
          <w:i w:val="0"/>
          <w:iCs w:val="0"/>
          <w:sz w:val="24"/>
          <w:szCs w:val="24"/>
        </w:rPr>
        <w:t>.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934C35" w:rsidRPr="00BF6AB5" w:rsidRDefault="001240C1" w:rsidP="00BF6AB5">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w:t>
      </w:r>
      <w:r w:rsidR="00BF6AB5">
        <w:rPr>
          <w:rFonts w:eastAsia="Batang"/>
          <w:sz w:val="22"/>
          <w:szCs w:val="22"/>
        </w:rPr>
        <w:t>a</w:t>
      </w:r>
    </w:p>
    <w:sectPr w:rsidR="00934C35" w:rsidRPr="00BF6AB5" w:rsidSect="00755F9A">
      <w:footerReference w:type="even" r:id="rId11"/>
      <w:footerReference w:type="default" r:id="rId12"/>
      <w:pgSz w:w="12240" w:h="15840" w:code="1"/>
      <w:pgMar w:top="3686"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52" w:rsidRDefault="00AC7252">
      <w:r>
        <w:separator/>
      </w:r>
    </w:p>
  </w:endnote>
  <w:endnote w:type="continuationSeparator" w:id="1">
    <w:p w:rsidR="00AC7252" w:rsidRDefault="00AC72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0A4A86">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0A4A86">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3E7662">
      <w:rPr>
        <w:rStyle w:val="Nmerodepgina"/>
        <w:noProof/>
      </w:rPr>
      <w:t>2</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52" w:rsidRDefault="00AC7252">
      <w:r>
        <w:separator/>
      </w:r>
    </w:p>
  </w:footnote>
  <w:footnote w:type="continuationSeparator" w:id="1">
    <w:p w:rsidR="00AC7252" w:rsidRDefault="00AC7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0903AF"/>
    <w:multiLevelType w:val="hybridMultilevel"/>
    <w:tmpl w:val="FC20080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5F84A26"/>
    <w:multiLevelType w:val="hybridMultilevel"/>
    <w:tmpl w:val="7032A4C6"/>
    <w:lvl w:ilvl="0" w:tplc="8C503B66">
      <w:start w:val="1"/>
      <w:numFmt w:val="bullet"/>
      <w:lvlText w:val=""/>
      <w:lvlJc w:val="left"/>
      <w:pPr>
        <w:ind w:left="1429"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4">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5">
    <w:nsid w:val="5363500B"/>
    <w:multiLevelType w:val="hybridMultilevel"/>
    <w:tmpl w:val="9F864A40"/>
    <w:lvl w:ilvl="0" w:tplc="B86EF9F4">
      <w:start w:val="1"/>
      <w:numFmt w:val="decimal"/>
      <w:lvlText w:val="%1-"/>
      <w:lvlJc w:val="left"/>
      <w:pPr>
        <w:ind w:left="720" w:hanging="360"/>
      </w:pPr>
      <w:rPr>
        <w:rFonts w:eastAsia="Times New Roma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54477F98"/>
    <w:multiLevelType w:val="hybridMultilevel"/>
    <w:tmpl w:val="92E4C092"/>
    <w:lvl w:ilvl="0" w:tplc="B86EF9F4">
      <w:start w:val="1"/>
      <w:numFmt w:val="decimal"/>
      <w:lvlText w:val="%1-"/>
      <w:lvlJc w:val="left"/>
      <w:pPr>
        <w:ind w:left="720" w:hanging="360"/>
      </w:pPr>
      <w:rPr>
        <w:rFonts w:eastAsia="Times New Roman"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5FEA5C28"/>
    <w:multiLevelType w:val="hybridMultilevel"/>
    <w:tmpl w:val="61B0114A"/>
    <w:lvl w:ilvl="0" w:tplc="380A000F">
      <w:start w:val="1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0">
    <w:nsid w:val="6D5A5F84"/>
    <w:multiLevelType w:val="singleLevel"/>
    <w:tmpl w:val="0C0A000F"/>
    <w:lvl w:ilvl="0">
      <w:start w:val="1"/>
      <w:numFmt w:val="decimal"/>
      <w:lvlText w:val="%1."/>
      <w:lvlJc w:val="left"/>
      <w:pPr>
        <w:tabs>
          <w:tab w:val="num" w:pos="360"/>
        </w:tabs>
        <w:ind w:left="360" w:hanging="360"/>
      </w:pPr>
    </w:lvl>
  </w:abstractNum>
  <w:abstractNum w:abstractNumId="11">
    <w:nsid w:val="71162B92"/>
    <w:multiLevelType w:val="hybridMultilevel"/>
    <w:tmpl w:val="CD6C225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0"/>
  </w:num>
  <w:num w:numId="5">
    <w:abstractNumId w:val="2"/>
  </w:num>
  <w:num w:numId="6">
    <w:abstractNumId w:val="7"/>
  </w:num>
  <w:num w:numId="7">
    <w:abstractNumId w:val="1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13933"/>
    <w:rsid w:val="00087B53"/>
    <w:rsid w:val="000A40CF"/>
    <w:rsid w:val="000A4A86"/>
    <w:rsid w:val="000C30B8"/>
    <w:rsid w:val="000E424A"/>
    <w:rsid w:val="001240C1"/>
    <w:rsid w:val="00156584"/>
    <w:rsid w:val="001729BF"/>
    <w:rsid w:val="00175C87"/>
    <w:rsid w:val="00180A0D"/>
    <w:rsid w:val="00183388"/>
    <w:rsid w:val="00187AA6"/>
    <w:rsid w:val="00194D5C"/>
    <w:rsid w:val="001A0F44"/>
    <w:rsid w:val="001A6728"/>
    <w:rsid w:val="001B2248"/>
    <w:rsid w:val="001B61A6"/>
    <w:rsid w:val="00242DFB"/>
    <w:rsid w:val="00264227"/>
    <w:rsid w:val="002652BC"/>
    <w:rsid w:val="002710E8"/>
    <w:rsid w:val="00272A99"/>
    <w:rsid w:val="00294BED"/>
    <w:rsid w:val="002957F0"/>
    <w:rsid w:val="002A6156"/>
    <w:rsid w:val="002A6F26"/>
    <w:rsid w:val="002D1370"/>
    <w:rsid w:val="002F0129"/>
    <w:rsid w:val="002F0DC7"/>
    <w:rsid w:val="0030028F"/>
    <w:rsid w:val="0032075B"/>
    <w:rsid w:val="0033516D"/>
    <w:rsid w:val="00345F0F"/>
    <w:rsid w:val="00346303"/>
    <w:rsid w:val="00376E38"/>
    <w:rsid w:val="00380793"/>
    <w:rsid w:val="00387C2F"/>
    <w:rsid w:val="003B4124"/>
    <w:rsid w:val="003E1C2F"/>
    <w:rsid w:val="003E2CB1"/>
    <w:rsid w:val="003E7662"/>
    <w:rsid w:val="003F3939"/>
    <w:rsid w:val="00400C96"/>
    <w:rsid w:val="00411E0A"/>
    <w:rsid w:val="0043234C"/>
    <w:rsid w:val="00435209"/>
    <w:rsid w:val="0043681F"/>
    <w:rsid w:val="00451BDF"/>
    <w:rsid w:val="00490A86"/>
    <w:rsid w:val="00497E2D"/>
    <w:rsid w:val="004D0BB9"/>
    <w:rsid w:val="004E6D2B"/>
    <w:rsid w:val="005019C7"/>
    <w:rsid w:val="0052364B"/>
    <w:rsid w:val="00543ADD"/>
    <w:rsid w:val="0056709B"/>
    <w:rsid w:val="00575890"/>
    <w:rsid w:val="00590AB7"/>
    <w:rsid w:val="005D62EB"/>
    <w:rsid w:val="005E2430"/>
    <w:rsid w:val="005F2DEE"/>
    <w:rsid w:val="00611305"/>
    <w:rsid w:val="006154E1"/>
    <w:rsid w:val="006245CB"/>
    <w:rsid w:val="00627B66"/>
    <w:rsid w:val="006317CA"/>
    <w:rsid w:val="00631997"/>
    <w:rsid w:val="00631F80"/>
    <w:rsid w:val="0064053A"/>
    <w:rsid w:val="006523BB"/>
    <w:rsid w:val="0065371C"/>
    <w:rsid w:val="006745FC"/>
    <w:rsid w:val="0068249C"/>
    <w:rsid w:val="006833A0"/>
    <w:rsid w:val="006E714B"/>
    <w:rsid w:val="00750CC1"/>
    <w:rsid w:val="00755F9A"/>
    <w:rsid w:val="00773B78"/>
    <w:rsid w:val="007939C3"/>
    <w:rsid w:val="007B1386"/>
    <w:rsid w:val="007C1335"/>
    <w:rsid w:val="007E13CF"/>
    <w:rsid w:val="007F01E6"/>
    <w:rsid w:val="007F475E"/>
    <w:rsid w:val="008010F2"/>
    <w:rsid w:val="00801623"/>
    <w:rsid w:val="00813D72"/>
    <w:rsid w:val="0083249B"/>
    <w:rsid w:val="008355CD"/>
    <w:rsid w:val="00877FA3"/>
    <w:rsid w:val="00882E26"/>
    <w:rsid w:val="0089380B"/>
    <w:rsid w:val="00893C12"/>
    <w:rsid w:val="008A3AD1"/>
    <w:rsid w:val="008B29B6"/>
    <w:rsid w:val="008B6EC6"/>
    <w:rsid w:val="008B77A7"/>
    <w:rsid w:val="008C6BA1"/>
    <w:rsid w:val="008F29BF"/>
    <w:rsid w:val="009105CA"/>
    <w:rsid w:val="009139B5"/>
    <w:rsid w:val="00934C35"/>
    <w:rsid w:val="00940A2A"/>
    <w:rsid w:val="00944474"/>
    <w:rsid w:val="00951F61"/>
    <w:rsid w:val="0095767A"/>
    <w:rsid w:val="009608B5"/>
    <w:rsid w:val="00983577"/>
    <w:rsid w:val="00993B83"/>
    <w:rsid w:val="009969FC"/>
    <w:rsid w:val="009B15E3"/>
    <w:rsid w:val="009C506C"/>
    <w:rsid w:val="009D2A1E"/>
    <w:rsid w:val="009D4BA6"/>
    <w:rsid w:val="00A25839"/>
    <w:rsid w:val="00A41CD0"/>
    <w:rsid w:val="00A45902"/>
    <w:rsid w:val="00A72B3C"/>
    <w:rsid w:val="00A83E8D"/>
    <w:rsid w:val="00AB2869"/>
    <w:rsid w:val="00AC7252"/>
    <w:rsid w:val="00AC7F64"/>
    <w:rsid w:val="00AD6426"/>
    <w:rsid w:val="00AD70C0"/>
    <w:rsid w:val="00AE2597"/>
    <w:rsid w:val="00AE3E74"/>
    <w:rsid w:val="00B67C23"/>
    <w:rsid w:val="00B72A76"/>
    <w:rsid w:val="00BF6AB5"/>
    <w:rsid w:val="00C211EC"/>
    <w:rsid w:val="00C42739"/>
    <w:rsid w:val="00C46AC7"/>
    <w:rsid w:val="00C52372"/>
    <w:rsid w:val="00C612AC"/>
    <w:rsid w:val="00C631E4"/>
    <w:rsid w:val="00C631E8"/>
    <w:rsid w:val="00C7420A"/>
    <w:rsid w:val="00C77759"/>
    <w:rsid w:val="00C870A9"/>
    <w:rsid w:val="00CA78D2"/>
    <w:rsid w:val="00CB369A"/>
    <w:rsid w:val="00CB575F"/>
    <w:rsid w:val="00CB61AE"/>
    <w:rsid w:val="00CC122D"/>
    <w:rsid w:val="00CD0AB3"/>
    <w:rsid w:val="00CD7E65"/>
    <w:rsid w:val="00D0568E"/>
    <w:rsid w:val="00D0662D"/>
    <w:rsid w:val="00D518C8"/>
    <w:rsid w:val="00D5275A"/>
    <w:rsid w:val="00D6047F"/>
    <w:rsid w:val="00D644C5"/>
    <w:rsid w:val="00D67A65"/>
    <w:rsid w:val="00D860A5"/>
    <w:rsid w:val="00D972CC"/>
    <w:rsid w:val="00DA3BF9"/>
    <w:rsid w:val="00DC3BE1"/>
    <w:rsid w:val="00DE0B2F"/>
    <w:rsid w:val="00E15AC8"/>
    <w:rsid w:val="00E46C51"/>
    <w:rsid w:val="00E75839"/>
    <w:rsid w:val="00EA64ED"/>
    <w:rsid w:val="00EB07F0"/>
    <w:rsid w:val="00EB2708"/>
    <w:rsid w:val="00EE600A"/>
    <w:rsid w:val="00F01250"/>
    <w:rsid w:val="00F06BE0"/>
    <w:rsid w:val="00F56723"/>
    <w:rsid w:val="00F90133"/>
    <w:rsid w:val="00FA2CBE"/>
    <w:rsid w:val="00FA55E8"/>
    <w:rsid w:val="00FA6A9F"/>
    <w:rsid w:val="00FB308A"/>
    <w:rsid w:val="00FB6235"/>
    <w:rsid w:val="00FB7787"/>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link w:val="Ttulo1Car"/>
    <w:qFormat/>
    <w:rsid w:val="007F01E6"/>
    <w:pPr>
      <w:keepNext/>
      <w:widowControl w:val="0"/>
      <w:outlineLvl w:val="0"/>
    </w:pPr>
    <w:rPr>
      <w:b/>
      <w:bCs/>
      <w:color w:val="000000"/>
      <w:sz w:val="20"/>
      <w:szCs w:val="20"/>
      <w:lang w:val="es-ES"/>
    </w:rPr>
  </w:style>
  <w:style w:type="paragraph" w:styleId="Ttulo2">
    <w:name w:val="heading 2"/>
    <w:basedOn w:val="Normal"/>
    <w:next w:val="Normal"/>
    <w:link w:val="Ttulo2Car"/>
    <w:qFormat/>
    <w:rsid w:val="007F01E6"/>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link w:val="TtuloCar"/>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unhideWhenUsed/>
    <w:rsid w:val="00F01250"/>
    <w:pPr>
      <w:spacing w:before="100" w:beforeAutospacing="1" w:after="100" w:afterAutospacing="1"/>
      <w:ind w:firstLine="180"/>
      <w:jc w:val="both"/>
    </w:pPr>
    <w:rPr>
      <w:rFonts w:ascii="Arial Unicode MS" w:eastAsia="Arial Unicode MS" w:hAnsi="Arial Unicode MS" w:cs="Arial Unicode MS"/>
      <w:lang w:val="es-ES"/>
    </w:rPr>
  </w:style>
  <w:style w:type="character" w:customStyle="1" w:styleId="Ttulo3Car">
    <w:name w:val="Título 3 Car"/>
    <w:basedOn w:val="Fuentedeprrafopredeter"/>
    <w:link w:val="Ttulo3"/>
    <w:rsid w:val="006245CB"/>
    <w:rPr>
      <w:rFonts w:ascii="Arial" w:eastAsia="Batang" w:hAnsi="Arial" w:cs="Arial"/>
      <w:b/>
      <w:bCs/>
      <w:sz w:val="24"/>
      <w:szCs w:val="24"/>
      <w:lang w:eastAsia="es-ES"/>
    </w:rPr>
  </w:style>
  <w:style w:type="character" w:customStyle="1" w:styleId="TtuloCar">
    <w:name w:val="Título Car"/>
    <w:basedOn w:val="Fuentedeprrafopredeter"/>
    <w:link w:val="Ttulo"/>
    <w:rsid w:val="006245CB"/>
    <w:rPr>
      <w:rFonts w:ascii="Arial" w:hAnsi="Arial" w:cs="Arial"/>
      <w:b/>
      <w:bCs/>
      <w:sz w:val="24"/>
      <w:szCs w:val="24"/>
      <w:lang w:eastAsia="es-ES"/>
    </w:rPr>
  </w:style>
  <w:style w:type="character" w:customStyle="1" w:styleId="SangradetextonormalCar">
    <w:name w:val="Sangría de texto normal Car"/>
    <w:basedOn w:val="Fuentedeprrafopredeter"/>
    <w:link w:val="Sangradetextonormal"/>
    <w:semiHidden/>
    <w:rsid w:val="006245CB"/>
    <w:rPr>
      <w:rFonts w:ascii="Arial" w:hAnsi="Arial" w:cs="Arial"/>
      <w:color w:val="000000"/>
      <w:sz w:val="22"/>
      <w:szCs w:val="24"/>
      <w:lang w:eastAsia="es-ES"/>
    </w:rPr>
  </w:style>
  <w:style w:type="character" w:customStyle="1" w:styleId="Ttulo1Car">
    <w:name w:val="Título 1 Car"/>
    <w:basedOn w:val="Fuentedeprrafopredeter"/>
    <w:link w:val="Ttulo1"/>
    <w:rsid w:val="004D0BB9"/>
    <w:rPr>
      <w:rFonts w:ascii="Arial" w:hAnsi="Arial" w:cs="Arial"/>
      <w:b/>
      <w:bCs/>
      <w:color w:val="000000"/>
      <w:lang w:val="es-ES" w:eastAsia="es-ES"/>
    </w:rPr>
  </w:style>
  <w:style w:type="character" w:customStyle="1" w:styleId="Ttulo2Car">
    <w:name w:val="Título 2 Car"/>
    <w:basedOn w:val="Fuentedeprrafopredeter"/>
    <w:link w:val="Ttulo2"/>
    <w:rsid w:val="004D0BB9"/>
    <w:rPr>
      <w:rFonts w:ascii="Arial" w:hAnsi="Arial" w:cs="Arial"/>
      <w:b/>
      <w:bCs/>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2764014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589237765">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 w:id="1750929603">
      <w:bodyDiv w:val="1"/>
      <w:marLeft w:val="0"/>
      <w:marRight w:val="0"/>
      <w:marTop w:val="0"/>
      <w:marBottom w:val="0"/>
      <w:divBdr>
        <w:top w:val="none" w:sz="0" w:space="0" w:color="auto"/>
        <w:left w:val="none" w:sz="0" w:space="0" w:color="auto"/>
        <w:bottom w:val="none" w:sz="0" w:space="0" w:color="auto"/>
        <w:right w:val="none" w:sz="0" w:space="0" w:color="auto"/>
      </w:divBdr>
    </w:div>
    <w:div w:id="18060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6C6-3D32-43F0-94EE-F7EE8ACD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1694</Words>
  <Characters>9376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11048</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4</cp:revision>
  <cp:lastPrinted>2019-04-10T15:33:00Z</cp:lastPrinted>
  <dcterms:created xsi:type="dcterms:W3CDTF">2020-07-30T18:16:00Z</dcterms:created>
  <dcterms:modified xsi:type="dcterms:W3CDTF">2020-07-30T19:46:00Z</dcterms:modified>
</cp:coreProperties>
</file>