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2"/>
        <w:spacing w:line="276" w:lineRule="auto"/>
        <w:rPr>
          <w:sz w:val="24"/>
          <w:szCs w:val="24"/>
          <w:lang w:val="es-UY"/>
        </w:rPr>
      </w:pPr>
      <w:r>
        <w:rPr>
          <w:sz w:val="24"/>
          <w:szCs w:val="24"/>
          <w:lang w:val="es-UY"/>
        </w:rPr>
        <w:t>PODER JUDICIAL</w:t>
      </w:r>
    </w:p>
    <w:p>
      <w:pPr>
        <w:pStyle w:val="style0"/>
        <w:spacing w:line="276" w:lineRule="auto"/>
        <w:jc w:val="center"/>
        <w:rPr>
          <w:b/>
          <w:bCs/>
          <w:szCs w:val="24"/>
          <w:lang w:val="es-UY"/>
        </w:rPr>
      </w:pPr>
      <w:r>
        <w:rPr>
          <w:b/>
          <w:bCs/>
          <w:szCs w:val="24"/>
          <w:lang w:val="es-UY"/>
        </w:rPr>
        <w:t>DEPARTAMENTO DE ADQUISICIONES</w:t>
      </w:r>
    </w:p>
    <w:p>
      <w:pPr>
        <w:pStyle w:val="style0"/>
        <w:spacing w:line="276" w:lineRule="auto"/>
        <w:jc w:val="center"/>
        <w:rPr>
          <w:b/>
          <w:bCs/>
          <w:szCs w:val="24"/>
          <w:lang w:val="es-UY"/>
        </w:rPr>
      </w:pPr>
      <w:r>
        <w:rPr>
          <w:b/>
          <w:bCs/>
          <w:szCs w:val="24"/>
          <w:lang w:val="es-UY"/>
        </w:rPr>
        <w:t xml:space="preserve">LICITACIÓN ABREVIADA N° </w:t>
      </w:r>
      <w:r>
        <w:rPr>
          <w:b/>
          <w:bCs/>
          <w:szCs w:val="24"/>
          <w:lang w:val="es-UY"/>
        </w:rPr>
        <w:t>40</w:t>
      </w:r>
      <w:r>
        <w:rPr>
          <w:b/>
          <w:bCs/>
          <w:szCs w:val="24"/>
          <w:lang w:val="es-UY"/>
        </w:rPr>
        <w:t>/2019</w:t>
      </w:r>
    </w:p>
    <w:p>
      <w:pPr>
        <w:pStyle w:val="style1"/>
        <w:spacing w:line="276" w:lineRule="auto"/>
        <w:jc w:val="center"/>
        <w:rPr>
          <w:rFonts w:ascii="Bookman Old Style" w:hAnsi="Bookman Old Style"/>
          <w:lang w:val="es-UY"/>
        </w:rPr>
      </w:pPr>
      <w:r>
        <w:rPr>
          <w:rFonts w:ascii="Bookman Old Style" w:hAnsi="Bookman Old Style"/>
          <w:lang w:val="es-UY"/>
        </w:rPr>
        <w:t>Inciso 16</w:t>
      </w:r>
    </w:p>
    <w:p>
      <w:pPr>
        <w:pStyle w:val="style0"/>
        <w:spacing w:line="276" w:lineRule="auto"/>
        <w:jc w:val="both"/>
        <w:rPr>
          <w:bCs/>
          <w:szCs w:val="24"/>
          <w:u w:val="single"/>
          <w:lang w:val="es-UY"/>
        </w:rPr>
      </w:pPr>
      <w:r>
        <w:rPr>
          <w:bCs/>
          <w:szCs w:val="24"/>
          <w:u w:val="single"/>
          <w:lang w:val="es-UY"/>
        </w:rPr>
        <w:t>Pliego sin costo</w:t>
      </w:r>
    </w:p>
    <w:p>
      <w:pPr>
        <w:pStyle w:val="style0"/>
        <w:spacing w:line="276" w:lineRule="auto"/>
        <w:jc w:val="both"/>
        <w:rPr>
          <w:rFonts w:eastAsia="Bookman Old Style"/>
          <w:szCs w:val="24"/>
          <w:lang w:val="es-UY"/>
        </w:rPr>
      </w:pPr>
      <w:r>
        <w:rPr>
          <w:rFonts w:eastAsia="Bookman Old Style"/>
          <w:szCs w:val="24"/>
          <w:lang w:val="es-UY"/>
        </w:rPr>
      </w:r>
    </w:p>
    <w:p>
      <w:pPr>
        <w:pStyle w:val="style0"/>
        <w:spacing w:line="276" w:lineRule="auto"/>
        <w:jc w:val="both"/>
        <w:rPr>
          <w:rFonts w:eastAsia="Bookman Old Style"/>
          <w:szCs w:val="24"/>
          <w:lang w:val="es-UY"/>
        </w:rPr>
      </w:pPr>
      <w:r>
        <w:rPr>
          <w:rFonts w:eastAsia="Bookman Old Style"/>
          <w:szCs w:val="24"/>
          <w:lang w:val="es-UY"/>
        </w:rPr>
        <w:t xml:space="preserve">El presente llamado se regirá por lo establecido en  las siguientes disposiciones: </w:t>
      </w:r>
    </w:p>
    <w:p>
      <w:pPr>
        <w:pStyle w:val="style0"/>
        <w:numPr>
          <w:ilvl w:val="0"/>
          <w:numId w:val="1"/>
        </w:numPr>
        <w:spacing w:line="276" w:lineRule="auto"/>
        <w:jc w:val="both"/>
        <w:rPr>
          <w:rFonts w:eastAsia="Bookman Old Style"/>
          <w:szCs w:val="24"/>
          <w:lang w:val="es-UY"/>
        </w:rPr>
      </w:pPr>
      <w:r>
        <w:rPr>
          <w:rFonts w:eastAsia="Bookman Old Style"/>
          <w:szCs w:val="24"/>
          <w:lang w:val="es-UY"/>
        </w:rPr>
        <w:tab/>
        <w:t>Texto Ordenado de Contabilidad y Administración Financiera del Estado (TOCAF), aprobado por Decreto N° 150/012 de 11 de mayo de 2012.</w:t>
      </w:r>
    </w:p>
    <w:p>
      <w:pPr>
        <w:pStyle w:val="style0"/>
        <w:numPr>
          <w:ilvl w:val="0"/>
          <w:numId w:val="1"/>
        </w:numPr>
        <w:spacing w:line="276" w:lineRule="auto"/>
        <w:jc w:val="both"/>
        <w:rPr>
          <w:rFonts w:eastAsia="Bookman Old Style"/>
          <w:szCs w:val="24"/>
          <w:lang w:val="es-UY"/>
        </w:rPr>
      </w:pPr>
      <w:r>
        <w:rPr>
          <w:rFonts w:eastAsia="Bookman Old Style"/>
          <w:szCs w:val="24"/>
          <w:lang w:val="es-UY"/>
        </w:rPr>
        <w:tab/>
        <w:t>Decreto Nº 155/013 referente a Registro Único de Proveedores del Estado (RUPE).</w:t>
      </w:r>
    </w:p>
    <w:p>
      <w:pPr>
        <w:pStyle w:val="style0"/>
        <w:numPr>
          <w:ilvl w:val="0"/>
          <w:numId w:val="1"/>
        </w:numPr>
        <w:spacing w:line="276" w:lineRule="auto"/>
        <w:jc w:val="both"/>
        <w:rPr>
          <w:rFonts w:eastAsia="Bookman Old Style"/>
          <w:szCs w:val="24"/>
          <w:lang w:val="es-UY"/>
        </w:rPr>
      </w:pPr>
      <w:r>
        <w:rPr>
          <w:rFonts w:eastAsia="Bookman Old Style"/>
          <w:szCs w:val="24"/>
          <w:lang w:val="es-UY"/>
        </w:rPr>
        <w:tab/>
        <w:t>Acordada Nº 7400 de 27 de junio de 2000.</w:t>
      </w:r>
    </w:p>
    <w:p>
      <w:pPr>
        <w:pStyle w:val="style0"/>
        <w:numPr>
          <w:ilvl w:val="0"/>
          <w:numId w:val="1"/>
        </w:numPr>
        <w:spacing w:line="276" w:lineRule="auto"/>
        <w:jc w:val="both"/>
        <w:rPr>
          <w:rFonts w:eastAsia="Bookman Old Style"/>
          <w:szCs w:val="24"/>
          <w:lang w:val="es-UY"/>
        </w:rPr>
      </w:pPr>
      <w:r>
        <w:rPr>
          <w:rFonts w:eastAsia="Bookman Old Style"/>
          <w:szCs w:val="24"/>
          <w:lang w:val="es-UY"/>
        </w:rPr>
        <w:tab/>
        <w:t>Decreto Nº 131/2014: Pliego Único de Bases y Condiciones  Generales para contratos de Suministros y Servicios No Personales.</w:t>
      </w:r>
    </w:p>
    <w:p>
      <w:pPr>
        <w:pStyle w:val="style0"/>
        <w:numPr>
          <w:ilvl w:val="0"/>
          <w:numId w:val="1"/>
        </w:numPr>
        <w:spacing w:line="276" w:lineRule="auto"/>
        <w:jc w:val="both"/>
        <w:rPr>
          <w:rFonts w:eastAsia="Bookman Old Style"/>
          <w:szCs w:val="24"/>
          <w:lang w:val="es-UY"/>
        </w:rPr>
      </w:pPr>
      <w:r>
        <w:rPr>
          <w:rFonts w:eastAsia="Bookman Old Style"/>
          <w:szCs w:val="24"/>
          <w:lang w:val="es-UY"/>
        </w:rPr>
        <w:tab/>
        <w:t xml:space="preserve">Leyes, decretos y resoluciones vigentes a la fecha de aperturas de la licitación, en tanto fueren aplicables al objeto de la convocatoria. </w:t>
      </w:r>
    </w:p>
    <w:p>
      <w:pPr>
        <w:pStyle w:val="style0"/>
        <w:tabs>
          <w:tab w:leader="none" w:pos="360" w:val="left"/>
        </w:tabs>
        <w:spacing w:line="276" w:lineRule="auto"/>
        <w:jc w:val="both"/>
        <w:rPr>
          <w:szCs w:val="24"/>
          <w:lang w:val="es-UY"/>
        </w:rPr>
      </w:pPr>
      <w:r>
        <w:rPr>
          <w:szCs w:val="24"/>
          <w:lang w:val="es-UY"/>
        </w:rPr>
      </w:r>
    </w:p>
    <w:p>
      <w:pPr>
        <w:pStyle w:val="style4"/>
        <w:spacing w:line="276" w:lineRule="auto"/>
        <w:rPr>
          <w:sz w:val="24"/>
          <w:szCs w:val="24"/>
          <w:lang w:val="es-UY"/>
        </w:rPr>
      </w:pPr>
      <w:r>
        <w:rPr>
          <w:sz w:val="24"/>
          <w:szCs w:val="24"/>
          <w:lang w:val="es-UY"/>
        </w:rPr>
        <w:t>Art. 1.- OBJETO DEL CONTRATO Y REQUERIMIENTOS ESPECIALES.</w:t>
      </w:r>
    </w:p>
    <w:p>
      <w:pPr>
        <w:pStyle w:val="style0"/>
        <w:widowControl w:val="false"/>
        <w:spacing w:line="276" w:lineRule="auto"/>
        <w:ind w:hanging="0" w:left="780" w:right="0"/>
        <w:jc w:val="both"/>
        <w:rPr>
          <w:b/>
          <w:bCs/>
          <w:szCs w:val="24"/>
          <w:lang w:val="es-UY"/>
        </w:rPr>
      </w:pPr>
      <w:r>
        <w:rPr>
          <w:b/>
          <w:bCs/>
          <w:szCs w:val="24"/>
          <w:lang w:val="es-UY"/>
        </w:rPr>
      </w:r>
    </w:p>
    <w:p>
      <w:pPr>
        <w:pStyle w:val="style0"/>
        <w:widowControl w:val="false"/>
        <w:spacing w:line="276" w:lineRule="auto"/>
        <w:jc w:val="both"/>
        <w:rPr>
          <w:b/>
          <w:bCs/>
          <w:szCs w:val="24"/>
          <w:lang w:val="es-UY"/>
        </w:rPr>
      </w:pPr>
      <w:r>
        <w:rPr>
          <w:b/>
          <w:bCs/>
          <w:szCs w:val="24"/>
          <w:lang w:val="es-UY"/>
        </w:rPr>
        <w:t xml:space="preserve">Retiro y disposición final de los residuos en diferentes sedes (Jurisdiccionales) del Poder Judicial, con la frecuencia y observaciones que se indican: </w:t>
      </w:r>
    </w:p>
    <w:p>
      <w:pPr>
        <w:pStyle w:val="style0"/>
        <w:widowControl w:val="false"/>
        <w:spacing w:line="276" w:lineRule="auto"/>
        <w:jc w:val="both"/>
        <w:rPr>
          <w:bCs/>
          <w:szCs w:val="24"/>
          <w:lang w:val="es-UY"/>
        </w:rPr>
      </w:pPr>
      <w:r>
        <w:rPr>
          <w:bCs/>
          <w:szCs w:val="24"/>
          <w:lang w:val="es-UY"/>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70"/>
          <w:bottom w:type="dxa" w:w="0"/>
          <w:right w:type="dxa" w:w="70"/>
        </w:tblCellMar>
      </w:tblPr>
      <w:tblGrid>
        <w:gridCol w:w="631"/>
        <w:gridCol w:w="2547"/>
        <w:gridCol w:w="1633"/>
        <w:gridCol w:w="2913"/>
      </w:tblGrid>
      <w:tr>
        <w:trPr>
          <w:trHeight w:hRule="atLeast" w:val="31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vAlign w:val="bottom"/>
          </w:tcPr>
          <w:p>
            <w:pPr>
              <w:pStyle w:val="style0"/>
              <w:spacing w:line="276" w:lineRule="auto"/>
              <w:jc w:val="center"/>
              <w:rPr>
                <w:bCs/>
                <w:color w:val="000000"/>
                <w:szCs w:val="24"/>
                <w:lang w:eastAsia="es-UY"/>
              </w:rPr>
            </w:pPr>
            <w:r>
              <w:rPr>
                <w:bCs/>
                <w:color w:val="000000"/>
                <w:szCs w:val="24"/>
                <w:lang w:eastAsia="es-UY"/>
              </w:rPr>
              <w:t>Ítem</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b/>
                <w:bCs/>
                <w:color w:val="000000"/>
                <w:szCs w:val="24"/>
                <w:lang w:eastAsia="es-UY"/>
              </w:rPr>
            </w:pPr>
            <w:r>
              <w:rPr>
                <w:b/>
                <w:bCs/>
                <w:color w:val="000000"/>
                <w:szCs w:val="24"/>
                <w:lang w:eastAsia="es-UY"/>
              </w:rPr>
              <w:t>Sede</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b/>
                <w:bCs/>
                <w:color w:val="000000"/>
                <w:szCs w:val="24"/>
                <w:lang w:eastAsia="es-UY"/>
              </w:rPr>
            </w:pPr>
            <w:r>
              <w:rPr>
                <w:b/>
                <w:bCs/>
                <w:color w:val="000000"/>
                <w:szCs w:val="24"/>
                <w:lang w:eastAsia="es-UY"/>
              </w:rPr>
              <w:t>Frecuencia semanal</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b/>
                <w:bCs/>
                <w:color w:val="000000"/>
                <w:szCs w:val="24"/>
                <w:lang w:eastAsia="es-UY"/>
              </w:rPr>
            </w:pPr>
            <w:r>
              <w:rPr>
                <w:b/>
                <w:bCs/>
                <w:color w:val="000000"/>
                <w:szCs w:val="24"/>
                <w:lang w:eastAsia="es-UY"/>
              </w:rPr>
              <w:t>observaciones</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1</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18 de Julio 1589</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2</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25 de Mayo 523</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szCs w:val="24"/>
                <w:lang w:eastAsia="es-UY"/>
              </w:rPr>
            </w:pPr>
            <w:r>
              <w:rPr>
                <w:szCs w:val="24"/>
                <w:lang w:eastAsia="es-UY"/>
              </w:rPr>
              <w:t>3</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szCs w:val="24"/>
                <w:lang w:eastAsia="es-UY"/>
              </w:rPr>
            </w:pPr>
            <w:r>
              <w:rPr>
                <w:szCs w:val="24"/>
                <w:lang w:eastAsia="es-UY"/>
              </w:rPr>
              <w:t xml:space="preserve">Buenos Aires 446 </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szCs w:val="24"/>
                <w:lang w:eastAsia="es-UY"/>
              </w:rPr>
            </w:pPr>
            <w:r>
              <w:rPr>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szCs w:val="24"/>
                <w:lang w:eastAsia="es-UY"/>
              </w:rPr>
            </w:pPr>
            <w:r>
              <w:rPr>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4</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Colonia 1469</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5</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DAS - Mercedes 1337</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2</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6</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Mercedes 1128</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5</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Lunes a Viernes</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b/>
                <w:szCs w:val="24"/>
                <w:lang w:eastAsia="es-UY"/>
              </w:rPr>
            </w:pPr>
            <w:r>
              <w:rPr>
                <w:b/>
                <w:szCs w:val="24"/>
                <w:lang w:eastAsia="es-UY"/>
              </w:rPr>
              <w:t>7</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szCs w:val="24"/>
                <w:lang w:eastAsia="es-UY"/>
              </w:rPr>
            </w:pPr>
            <w:r>
              <w:rPr>
                <w:szCs w:val="24"/>
                <w:lang w:eastAsia="es-UY"/>
              </w:rPr>
              <w:t>Gutiérrez Ruiz 1264</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szCs w:val="24"/>
                <w:lang w:eastAsia="es-UY"/>
              </w:rPr>
            </w:pPr>
            <w:r>
              <w:rPr>
                <w:szCs w:val="24"/>
                <w:lang w:eastAsia="es-UY"/>
              </w:rPr>
              <w:t>2</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szCs w:val="24"/>
                <w:lang w:eastAsia="es-UY"/>
              </w:rPr>
            </w:pPr>
            <w:r>
              <w:rPr>
                <w:szCs w:val="24"/>
                <w:lang w:eastAsia="es-UY"/>
              </w:rPr>
              <w:t>cuando se mude</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8</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ITF  - Bme. Mitre 1275</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4</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Mar./miér./vier./sábado</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9</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Juan C. Gómez 1236-40</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10</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Julio Herrera y Obes 1192</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2</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11</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Misiones 1469</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12</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EPT- S. José 1139</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13</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Paraguay 1264-66</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14</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Paraguay 1291</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2</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15</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Paraguay 1296</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2</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16</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Rio Branco 1470/  Mercedes 953</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17</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Rondeau 1726</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18</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Rondeau 1750</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19</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San José 1092</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2</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20</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San José 1132</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21</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Soriano 1152</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2</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22</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Soriano 1210</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1</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23</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Soriano 1287</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2</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24</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Uruguay 1030</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25</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xml:space="preserve">Uruguay 907 </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26</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Uruguay 941</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75"/>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27</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Yi 1523</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r>
        <w:trPr>
          <w:trHeight w:hRule="atLeast" w:val="390"/>
          <w:cantSplit w:val="false"/>
        </w:trPr>
        <w:tc>
          <w:tcPr>
            <w:tcW w:type="dxa" w:w="631"/>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spacing w:line="276" w:lineRule="auto"/>
              <w:jc w:val="center"/>
              <w:rPr>
                <w:color w:val="000000"/>
                <w:szCs w:val="24"/>
                <w:lang w:eastAsia="es-UY"/>
              </w:rPr>
            </w:pPr>
            <w:r>
              <w:rPr>
                <w:color w:val="000000"/>
                <w:szCs w:val="24"/>
                <w:lang w:eastAsia="es-UY"/>
              </w:rPr>
              <w:t>28</w:t>
            </w:r>
          </w:p>
        </w:tc>
        <w:tc>
          <w:tcPr>
            <w:tcW w:type="dxa" w:w="254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Zabala 1367</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jc w:val="center"/>
              <w:rPr>
                <w:color w:val="000000"/>
                <w:szCs w:val="24"/>
                <w:lang w:eastAsia="es-UY"/>
              </w:rPr>
            </w:pPr>
            <w:r>
              <w:rPr>
                <w:color w:val="000000"/>
                <w:szCs w:val="24"/>
                <w:lang w:eastAsia="es-UY"/>
              </w:rPr>
              <w:t>3</w:t>
            </w:r>
          </w:p>
        </w:tc>
        <w:tc>
          <w:tcPr>
            <w:tcW w:type="dxa" w:w="29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pacing w:line="276" w:lineRule="auto"/>
              <w:rPr>
                <w:color w:val="000000"/>
                <w:szCs w:val="24"/>
                <w:lang w:eastAsia="es-UY"/>
              </w:rPr>
            </w:pPr>
            <w:r>
              <w:rPr>
                <w:color w:val="000000"/>
                <w:szCs w:val="24"/>
                <w:lang w:eastAsia="es-UY"/>
              </w:rPr>
              <w:t> </w:t>
            </w:r>
          </w:p>
        </w:tc>
      </w:tr>
    </w:tbl>
    <w:p>
      <w:pPr>
        <w:pStyle w:val="style0"/>
        <w:widowControl w:val="false"/>
        <w:spacing w:line="276" w:lineRule="auto"/>
        <w:jc w:val="both"/>
        <w:rPr>
          <w:bCs/>
          <w:szCs w:val="24"/>
          <w:lang w:val="es-UY"/>
        </w:rPr>
      </w:pPr>
      <w:r>
        <w:rPr>
          <w:bCs/>
          <w:szCs w:val="24"/>
          <w:lang w:val="es-UY"/>
        </w:rPr>
      </w:r>
    </w:p>
    <w:p>
      <w:pPr>
        <w:pStyle w:val="style34"/>
        <w:numPr>
          <w:ilvl w:val="0"/>
          <w:numId w:val="4"/>
        </w:numPr>
        <w:spacing w:after="0" w:before="0" w:line="360" w:lineRule="auto"/>
        <w:contextualSpacing w:val="false"/>
        <w:jc w:val="both"/>
        <w:rPr>
          <w:rFonts w:ascii="Bookman Old Style" w:hAnsi="Bookman Old Style"/>
        </w:rPr>
      </w:pPr>
      <w:r>
        <w:rPr>
          <w:rFonts w:ascii="Bookman Old Style" w:hAnsi="Bookman Old Style"/>
          <w:bCs/>
        </w:rPr>
        <w:t>L</w:t>
      </w:r>
      <w:r>
        <w:rPr>
          <w:rFonts w:ascii="Bookman Old Style" w:hAnsi="Bookman Old Style"/>
        </w:rPr>
        <w:t xml:space="preserve">os </w:t>
      </w:r>
      <w:r>
        <w:rPr>
          <w:rFonts w:ascii="Bookman Old Style" w:hAnsi="Bookman Old Style"/>
          <w:b/>
        </w:rPr>
        <w:t>días de la semana</w:t>
      </w:r>
      <w:r>
        <w:rPr>
          <w:rFonts w:ascii="Bookman Old Style" w:hAnsi="Bookman Old Style"/>
        </w:rPr>
        <w:t xml:space="preserve"> en que se realiza el retiro, conforme a la frecuencia semanal definida, pueden ser variados de acuerdo a la coordinación entre la sede y la empresa contratada, excepto los ítems 6 y 8. </w:t>
      </w:r>
    </w:p>
    <w:p>
      <w:pPr>
        <w:pStyle w:val="style34"/>
        <w:numPr>
          <w:ilvl w:val="0"/>
          <w:numId w:val="4"/>
        </w:numPr>
        <w:spacing w:after="0" w:before="0" w:line="360" w:lineRule="auto"/>
        <w:contextualSpacing w:val="false"/>
        <w:jc w:val="both"/>
        <w:rPr>
          <w:rFonts w:ascii="Bookman Old Style" w:hAnsi="Bookman Old Style"/>
        </w:rPr>
      </w:pPr>
      <w:r>
        <w:rPr>
          <w:rFonts w:ascii="Bookman Old Style" w:hAnsi="Bookman Old Style"/>
        </w:rPr>
        <w:t xml:space="preserve">El </w:t>
      </w:r>
      <w:r>
        <w:rPr>
          <w:rFonts w:ascii="Bookman Old Style" w:hAnsi="Bookman Old Style"/>
          <w:b/>
        </w:rPr>
        <w:t>horario de retiro</w:t>
      </w:r>
      <w:r>
        <w:rPr>
          <w:rFonts w:ascii="Bookman Old Style" w:hAnsi="Bookman Old Style"/>
        </w:rPr>
        <w:t xml:space="preserve"> será coordinado entre la sede y la empresa contratada.</w:t>
      </w:r>
    </w:p>
    <w:p>
      <w:pPr>
        <w:pStyle w:val="style34"/>
        <w:numPr>
          <w:ilvl w:val="0"/>
          <w:numId w:val="4"/>
        </w:numPr>
        <w:spacing w:after="0" w:before="0" w:line="360" w:lineRule="auto"/>
        <w:contextualSpacing w:val="false"/>
        <w:jc w:val="both"/>
        <w:rPr>
          <w:rFonts w:ascii="Bookman Old Style" w:hAnsi="Bookman Old Style"/>
          <w:bCs/>
        </w:rPr>
      </w:pPr>
      <w:r>
        <w:rPr>
          <w:rFonts w:ascii="Bookman Old Style" w:hAnsi="Bookman Old Style"/>
          <w:bCs/>
        </w:rPr>
        <w:t xml:space="preserve">Se deberá </w:t>
      </w:r>
      <w:r>
        <w:rPr>
          <w:rFonts w:ascii="Bookman Old Style" w:hAnsi="Bookman Old Style"/>
          <w:b/>
          <w:bCs/>
          <w:u w:val="single"/>
        </w:rPr>
        <w:t>cotizar precio mensual por ítem</w:t>
      </w:r>
      <w:r>
        <w:rPr>
          <w:rFonts w:ascii="Bookman Old Style" w:hAnsi="Bookman Old Style"/>
          <w:b/>
          <w:bCs/>
        </w:rPr>
        <w:t>.</w:t>
      </w:r>
      <w:r>
        <w:rPr>
          <w:rFonts w:ascii="Bookman Old Style" w:hAnsi="Bookman Old Style"/>
          <w:bCs/>
        </w:rPr>
        <w:t xml:space="preserve"> </w:t>
      </w:r>
    </w:p>
    <w:p>
      <w:pPr>
        <w:pStyle w:val="style34"/>
        <w:numPr>
          <w:ilvl w:val="0"/>
          <w:numId w:val="4"/>
        </w:numPr>
        <w:spacing w:after="0" w:before="0" w:line="360" w:lineRule="auto"/>
        <w:contextualSpacing w:val="false"/>
        <w:jc w:val="both"/>
        <w:rPr>
          <w:rFonts w:ascii="Bookman Old Style" w:hAnsi="Bookman Old Style"/>
          <w:bCs/>
        </w:rPr>
      </w:pPr>
      <w:r>
        <w:rPr>
          <w:rFonts w:ascii="Bookman Old Style" w:hAnsi="Bookman Old Style"/>
          <w:bCs/>
        </w:rPr>
        <w:t xml:space="preserve">La </w:t>
      </w:r>
      <w:r>
        <w:rPr>
          <w:rFonts w:ascii="Bookman Old Style" w:hAnsi="Bookman Old Style"/>
          <w:b/>
          <w:bCs/>
        </w:rPr>
        <w:t>empresa adjudicataria se hará cargo de todo costo y gasto</w:t>
      </w:r>
      <w:r>
        <w:rPr>
          <w:rFonts w:ascii="Bookman Old Style" w:hAnsi="Bookman Old Style"/>
          <w:bCs/>
        </w:rPr>
        <w:t xml:space="preserve">, que pueda generar la </w:t>
      </w:r>
      <w:r>
        <w:rPr>
          <w:rFonts w:ascii="Bookman Old Style" w:hAnsi="Bookman Old Style"/>
          <w:b/>
          <w:bCs/>
        </w:rPr>
        <w:t>disposición final de los residuos</w:t>
      </w:r>
      <w:r>
        <w:rPr>
          <w:rFonts w:ascii="Bookman Old Style" w:hAnsi="Bookman Old Style"/>
          <w:bCs/>
        </w:rPr>
        <w:t>.</w:t>
      </w:r>
    </w:p>
    <w:p>
      <w:pPr>
        <w:pStyle w:val="style34"/>
        <w:numPr>
          <w:ilvl w:val="0"/>
          <w:numId w:val="4"/>
        </w:numPr>
        <w:spacing w:after="0" w:before="0" w:line="360" w:lineRule="auto"/>
        <w:contextualSpacing w:val="false"/>
        <w:jc w:val="both"/>
        <w:rPr>
          <w:rFonts w:ascii="Bookman Old Style" w:hAnsi="Bookman Old Style"/>
          <w:bCs/>
        </w:rPr>
      </w:pPr>
      <w:r>
        <w:rPr>
          <w:rFonts w:ascii="Bookman Old Style" w:hAnsi="Bookman Old Style"/>
          <w:bCs/>
        </w:rPr>
        <w:t>Los residuos sólidos serán depositados en bolsas negras (que proporcionará la Administración) para su destino final en la usina de la Intendencia de Montevideo</w:t>
      </w:r>
    </w:p>
    <w:p>
      <w:pPr>
        <w:pStyle w:val="style34"/>
        <w:numPr>
          <w:ilvl w:val="0"/>
          <w:numId w:val="4"/>
        </w:numPr>
        <w:spacing w:after="0" w:before="0" w:line="360" w:lineRule="auto"/>
        <w:contextualSpacing w:val="false"/>
        <w:jc w:val="both"/>
        <w:rPr>
          <w:rFonts w:ascii="Bookman Old Style" w:hAnsi="Bookman Old Style"/>
          <w:b/>
          <w:bCs/>
        </w:rPr>
      </w:pPr>
      <w:r>
        <w:rPr>
          <w:rFonts w:ascii="Bookman Old Style" w:hAnsi="Bookman Old Style"/>
          <w:bCs/>
        </w:rPr>
        <w:t xml:space="preserve">El oferente deberá acreditar que se encuentra </w:t>
      </w:r>
      <w:r>
        <w:rPr>
          <w:rFonts w:ascii="Bookman Old Style" w:hAnsi="Bookman Old Style"/>
          <w:b/>
          <w:bCs/>
        </w:rPr>
        <w:t xml:space="preserve">habilitado con autorización vigente por la Intendencia de Montevideo </w:t>
      </w:r>
      <w:r>
        <w:rPr>
          <w:rFonts w:ascii="Bookman Old Style" w:hAnsi="Bookman Old Style"/>
          <w:bCs/>
        </w:rPr>
        <w:t>para el retiro de residuos y  su disposición final en Usina.</w:t>
      </w:r>
      <w:r>
        <w:rPr>
          <w:rFonts w:ascii="Bookman Old Style" w:hAnsi="Bookman Old Style"/>
          <w:b/>
          <w:bCs/>
        </w:rPr>
        <w:t xml:space="preserve"> </w:t>
      </w:r>
    </w:p>
    <w:p>
      <w:pPr>
        <w:pStyle w:val="style34"/>
        <w:spacing w:after="0" w:before="280" w:line="276" w:lineRule="auto"/>
        <w:contextualSpacing w:val="false"/>
        <w:jc w:val="both"/>
        <w:rPr>
          <w:rFonts w:ascii="Bookman Old Style" w:hAnsi="Bookman Old Style"/>
          <w:b/>
        </w:rPr>
      </w:pPr>
      <w:r>
        <w:rPr>
          <w:rFonts w:ascii="Bookman Old Style" w:hAnsi="Bookman Old Style"/>
          <w:b/>
        </w:rPr>
        <w:t>Art. 2.- COMUNICACIONES.</w:t>
      </w:r>
    </w:p>
    <w:p>
      <w:pPr>
        <w:pStyle w:val="style28"/>
        <w:spacing w:line="276" w:lineRule="auto"/>
        <w:rPr>
          <w:rFonts w:ascii="Bookman Old Style" w:hAnsi="Bookman Old Style"/>
          <w:lang w:val="es-UY"/>
        </w:rPr>
      </w:pPr>
      <w:r>
        <w:rPr>
          <w:rFonts w:ascii="Bookman Old Style" w:hAnsi="Bookman Old Style"/>
          <w:lang w:val="es-UY"/>
        </w:rPr>
        <w:tab/>
        <w:t xml:space="preserve">Todas las comunicaciones referidas al presente llamado </w:t>
      </w:r>
      <w:r>
        <w:rPr>
          <w:rFonts w:ascii="Bookman Old Style" w:hAnsi="Bookman Old Style"/>
          <w:b/>
          <w:lang w:val="es-UY"/>
        </w:rPr>
        <w:t>deberán dirigirse al Departamento de Adquisiciones</w:t>
      </w:r>
      <w:r>
        <w:rPr>
          <w:rFonts w:ascii="Bookman Old Style" w:hAnsi="Bookman Old Style"/>
          <w:lang w:val="es-UY"/>
        </w:rPr>
        <w:t xml:space="preserve"> del Poder Judicial: </w:t>
      </w:r>
    </w:p>
    <w:p>
      <w:pPr>
        <w:pStyle w:val="style28"/>
        <w:spacing w:line="276" w:lineRule="auto"/>
        <w:rPr>
          <w:rFonts w:ascii="Bookman Old Style" w:hAnsi="Bookman Old Style"/>
          <w:lang w:val="es-UY"/>
        </w:rPr>
      </w:pPr>
      <w:r>
        <w:rPr>
          <w:rFonts w:ascii="Bookman Old Style" w:hAnsi="Bookman Old Style"/>
          <w:lang w:val="es-UY"/>
        </w:rPr>
        <w:t xml:space="preserve">Dirección: calle Soriano 1210, Montevideo. </w:t>
      </w:r>
    </w:p>
    <w:p>
      <w:pPr>
        <w:pStyle w:val="style28"/>
        <w:spacing w:line="276" w:lineRule="auto"/>
        <w:rPr>
          <w:rFonts w:ascii="Bookman Old Style" w:hAnsi="Bookman Old Style"/>
          <w:lang w:val="es-UY"/>
        </w:rPr>
      </w:pPr>
      <w:r>
        <w:rPr>
          <w:rFonts w:ascii="Bookman Old Style" w:hAnsi="Bookman Old Style"/>
          <w:lang w:val="es-UY"/>
        </w:rPr>
        <w:t xml:space="preserve">Tel.: 2 902.13.59 – 2 908.93.97 y 1907 interno 4554. </w:t>
      </w:r>
    </w:p>
    <w:p>
      <w:pPr>
        <w:pStyle w:val="style28"/>
        <w:spacing w:line="276" w:lineRule="auto"/>
        <w:rPr/>
      </w:pPr>
      <w:r>
        <w:rPr/>
      </w:r>
    </w:p>
    <w:p>
      <w:pPr>
        <w:pStyle w:val="style28"/>
        <w:spacing w:line="276" w:lineRule="auto"/>
        <w:rPr>
          <w:rFonts w:ascii="Bookman Old Style" w:hAnsi="Bookman Old Style"/>
          <w:lang w:val="es-UY"/>
        </w:rPr>
      </w:pPr>
      <w:r>
        <w:rPr>
          <w:rFonts w:ascii="Bookman Old Style" w:hAnsi="Bookman Old Style"/>
          <w:lang w:val="es-UY"/>
        </w:rPr>
        <w:t xml:space="preserve">Correo Electrónico: </w:t>
      </w:r>
      <w:hyperlink r:id="rId2">
        <w:r>
          <w:rPr>
            <w:rStyle w:val="style19"/>
            <w:rFonts w:ascii="Bookman Old Style" w:hAnsi="Bookman Old Style"/>
          </w:rPr>
          <w:t>adquisiciones@poderjudicial.gub.u</w:t>
        </w:r>
      </w:hyperlink>
      <w:r>
        <w:rPr>
          <w:rFonts w:ascii="Bookman Old Style" w:hAnsi="Bookman Old Style"/>
          <w:lang w:val="es-UY"/>
        </w:rPr>
        <w:t>yFax: 2902.14.88.</w:t>
      </w:r>
    </w:p>
    <w:p>
      <w:pPr>
        <w:pStyle w:val="style0"/>
        <w:spacing w:line="276" w:lineRule="auto"/>
        <w:jc w:val="both"/>
        <w:rPr>
          <w:szCs w:val="24"/>
        </w:rPr>
      </w:pPr>
      <w:r>
        <w:rPr>
          <w:b/>
          <w:bCs/>
          <w:szCs w:val="24"/>
          <w:lang w:val="es-UY"/>
        </w:rPr>
        <w:tab/>
      </w:r>
      <w:r>
        <w:rPr>
          <w:b/>
          <w:szCs w:val="24"/>
        </w:rPr>
        <w:t>Las consultas</w:t>
      </w:r>
      <w:r>
        <w:rPr>
          <w:szCs w:val="24"/>
        </w:rPr>
        <w:t xml:space="preserve"> de los oferentes podrán realizarse por los siguientes medios: fax o correo electrónico.</w:t>
      </w:r>
    </w:p>
    <w:p>
      <w:pPr>
        <w:pStyle w:val="style36"/>
        <w:spacing w:line="276" w:lineRule="auto"/>
        <w:ind w:firstLine="709" w:left="0" w:right="0"/>
        <w:jc w:val="both"/>
        <w:rPr>
          <w:rFonts w:cs="Times New Roman"/>
        </w:rPr>
      </w:pPr>
      <w:r>
        <w:rPr>
          <w:rFonts w:cs="Times New Roman"/>
          <w:b/>
        </w:rPr>
        <w:t>Las respuestas</w:t>
      </w:r>
      <w:r>
        <w:rPr>
          <w:rFonts w:cs="Times New Roman"/>
        </w:rPr>
        <w:t xml:space="preserve"> a los oferentes que impliquen aclaraciones y/o modificaciones al pliego, serán evacuadas a través del </w:t>
      </w:r>
      <w:r>
        <w:rPr>
          <w:rFonts w:cs="Times New Roman"/>
          <w:b/>
        </w:rPr>
        <w:t>Sistema de Compras Estatales</w:t>
      </w:r>
      <w:r>
        <w:rPr>
          <w:rFonts w:cs="Times New Roman"/>
        </w:rPr>
        <w:t xml:space="preserve"> (SICE-Aclaraciones).</w:t>
      </w:r>
    </w:p>
    <w:p>
      <w:pPr>
        <w:pStyle w:val="style1"/>
        <w:spacing w:line="276" w:lineRule="auto"/>
        <w:rPr>
          <w:rFonts w:ascii="Bookman Old Style" w:hAnsi="Bookman Old Style"/>
          <w:lang w:val="es-UY"/>
        </w:rPr>
      </w:pPr>
      <w:r>
        <w:rPr>
          <w:rFonts w:ascii="Bookman Old Style" w:hAnsi="Bookman Old Style"/>
          <w:lang w:val="es-UY"/>
        </w:rPr>
        <w:t>Art. 3.- ACLARACIONES Y CONSULTAS.</w:t>
      </w:r>
    </w:p>
    <w:p>
      <w:pPr>
        <w:pStyle w:val="style0"/>
        <w:spacing w:line="276" w:lineRule="auto"/>
        <w:jc w:val="both"/>
        <w:rPr>
          <w:szCs w:val="24"/>
          <w:lang w:val="es-UY"/>
        </w:rPr>
      </w:pPr>
      <w:r>
        <w:rPr>
          <w:b/>
          <w:bCs/>
          <w:szCs w:val="24"/>
          <w:lang w:val="es-UY"/>
        </w:rPr>
        <w:tab/>
      </w:r>
      <w:r>
        <w:rPr>
          <w:szCs w:val="24"/>
          <w:lang w:val="es-UY"/>
        </w:rPr>
        <w:t xml:space="preserve">Cualquier oferente de pliegos podrá solicitar al Departamento de Adquisiciones, por cualquiera de los medios mencionados en el artículo precedente, </w:t>
      </w:r>
      <w:r>
        <w:rPr>
          <w:b/>
          <w:szCs w:val="24"/>
          <w:lang w:val="es-UY"/>
        </w:rPr>
        <w:t>aclaraciones o consultas específicas</w:t>
      </w:r>
      <w:r>
        <w:rPr>
          <w:szCs w:val="24"/>
          <w:lang w:val="es-UY"/>
        </w:rPr>
        <w:t xml:space="preserve">, dirigida hasta </w:t>
      </w:r>
      <w:r>
        <w:rPr>
          <w:b/>
          <w:szCs w:val="24"/>
          <w:lang w:val="es-UY"/>
        </w:rPr>
        <w:t>3 días</w:t>
      </w:r>
      <w:r>
        <w:rPr>
          <w:szCs w:val="24"/>
          <w:lang w:val="es-UY"/>
        </w:rPr>
        <w:t xml:space="preserve"> </w:t>
      </w:r>
      <w:r>
        <w:rPr>
          <w:b/>
          <w:szCs w:val="24"/>
          <w:lang w:val="es-UY"/>
        </w:rPr>
        <w:t>antes de la fecha establecida para el acto de apertura de las ofertas</w:t>
      </w:r>
      <w:r>
        <w:rPr>
          <w:szCs w:val="24"/>
          <w:lang w:val="es-UY"/>
        </w:rPr>
        <w:t>. Vencido dicho término, la Administración no estará obligada a proporcionar datos aclaratorios. Las consultas serán contestadas por el Departamento de Adquisiciones, en el plazo máximo de 48 horas a partir de su recepción.</w:t>
      </w:r>
    </w:p>
    <w:p>
      <w:pPr>
        <w:pStyle w:val="style0"/>
        <w:spacing w:line="276" w:lineRule="auto"/>
        <w:jc w:val="both"/>
        <w:rPr>
          <w:szCs w:val="24"/>
          <w:lang w:val="es-UY"/>
        </w:rPr>
      </w:pPr>
      <w:r>
        <w:rPr>
          <w:szCs w:val="24"/>
          <w:lang w:val="es-UY"/>
        </w:rPr>
      </w:r>
    </w:p>
    <w:p>
      <w:pPr>
        <w:pStyle w:val="style0"/>
        <w:spacing w:line="276" w:lineRule="auto"/>
        <w:jc w:val="both"/>
        <w:rPr>
          <w:b/>
          <w:bCs/>
          <w:szCs w:val="24"/>
          <w:lang w:val="es-UY"/>
        </w:rPr>
      </w:pPr>
      <w:r>
        <w:rPr>
          <w:b/>
          <w:bCs/>
          <w:szCs w:val="24"/>
          <w:lang w:val="es-UY"/>
        </w:rPr>
        <w:t>Art. 4.- DOCUMENTACION A PRESENTAR POR EL OFERENTE.</w:t>
      </w:r>
    </w:p>
    <w:p>
      <w:pPr>
        <w:pStyle w:val="style33"/>
        <w:spacing w:line="276" w:lineRule="auto"/>
        <w:jc w:val="both"/>
        <w:rPr>
          <w:rFonts w:ascii="Bookman Old Style" w:hAnsi="Bookman Old Style"/>
          <w:bCs/>
          <w:szCs w:val="24"/>
          <w:lang w:val="es-UY"/>
        </w:rPr>
      </w:pPr>
      <w:r>
        <w:rPr>
          <w:rFonts w:ascii="Bookman Old Style" w:hAnsi="Bookman Old Style"/>
          <w:szCs w:val="24"/>
          <w:lang w:val="es-UY"/>
        </w:rPr>
        <w:tab/>
      </w:r>
      <w:r>
        <w:rPr>
          <w:rFonts w:ascii="Bookman Old Style" w:hAnsi="Bookman Old Style"/>
          <w:b/>
          <w:bCs/>
          <w:szCs w:val="24"/>
          <w:lang w:val="es-UY"/>
        </w:rPr>
        <w:t>Junto a su cotización</w:t>
      </w:r>
      <w:r>
        <w:rPr>
          <w:rFonts w:ascii="Bookman Old Style" w:hAnsi="Bookman Old Style"/>
          <w:bCs/>
          <w:szCs w:val="24"/>
          <w:lang w:val="es-UY"/>
        </w:rPr>
        <w:t>, los oferentes deberán presentar la documentación que a continuación se detalla, la cual será verificada durante el Acto de Apertura:</w:t>
      </w:r>
    </w:p>
    <w:p>
      <w:pPr>
        <w:pStyle w:val="style33"/>
        <w:numPr>
          <w:ilvl w:val="0"/>
          <w:numId w:val="3"/>
        </w:numPr>
        <w:spacing w:line="276" w:lineRule="auto"/>
        <w:jc w:val="both"/>
        <w:rPr>
          <w:rFonts w:ascii="Bookman Old Style" w:hAnsi="Bookman Old Style"/>
          <w:bCs/>
          <w:szCs w:val="24"/>
          <w:lang w:val="es-UY"/>
        </w:rPr>
      </w:pPr>
      <w:r>
        <w:rPr>
          <w:rFonts w:ascii="Bookman Old Style" w:hAnsi="Bookman Old Style"/>
          <w:b/>
          <w:bCs/>
          <w:szCs w:val="24"/>
          <w:lang w:val="es-UY"/>
        </w:rPr>
        <w:t>Constancia de habilitación para el retiro y disposición final de residuos, expedido por organismo correspondiente</w:t>
      </w:r>
      <w:r>
        <w:rPr>
          <w:rFonts w:ascii="Bookman Old Style" w:hAnsi="Bookman Old Style"/>
          <w:bCs/>
          <w:szCs w:val="24"/>
          <w:lang w:val="es-UY"/>
        </w:rPr>
        <w:t>.</w:t>
      </w:r>
    </w:p>
    <w:p>
      <w:pPr>
        <w:pStyle w:val="style33"/>
        <w:spacing w:line="276" w:lineRule="auto"/>
        <w:ind w:firstLine="708" w:left="0" w:right="0"/>
        <w:jc w:val="both"/>
        <w:rPr>
          <w:rFonts w:ascii="Bookman Old Style" w:hAnsi="Bookman Old Style"/>
          <w:bCs/>
          <w:szCs w:val="24"/>
          <w:lang w:val="es-UY"/>
        </w:rPr>
      </w:pPr>
      <w:r>
        <w:rPr>
          <w:rFonts w:ascii="Bookman Old Style" w:hAnsi="Bookman Old Style"/>
          <w:bCs/>
          <w:szCs w:val="24"/>
          <w:lang w:val="es-UY"/>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pPr>
        <w:pStyle w:val="style0"/>
        <w:spacing w:line="276" w:lineRule="auto"/>
        <w:jc w:val="both"/>
        <w:rPr>
          <w:szCs w:val="24"/>
          <w:lang w:val="es-UY"/>
        </w:rPr>
      </w:pPr>
      <w:r>
        <w:rPr>
          <w:szCs w:val="24"/>
          <w:lang w:val="es-UY"/>
        </w:rPr>
      </w:r>
    </w:p>
    <w:p>
      <w:pPr>
        <w:pStyle w:val="style0"/>
        <w:spacing w:line="276" w:lineRule="auto"/>
        <w:jc w:val="both"/>
        <w:rPr>
          <w:szCs w:val="24"/>
          <w:lang w:val="es-UY"/>
        </w:rPr>
      </w:pPr>
      <w:r>
        <w:rPr>
          <w:b/>
          <w:bCs/>
          <w:szCs w:val="24"/>
          <w:lang w:val="es-UY"/>
        </w:rPr>
        <w:t>Art. 5.-</w:t>
      </w:r>
      <w:r>
        <w:rPr>
          <w:szCs w:val="24"/>
          <w:lang w:val="es-UY"/>
        </w:rPr>
        <w:t xml:space="preserve"> </w:t>
      </w:r>
      <w:r>
        <w:rPr>
          <w:b/>
          <w:bCs/>
          <w:szCs w:val="24"/>
          <w:lang w:val="es-UY"/>
        </w:rPr>
        <w:t>FORMA Y MONEDA DE COTIZACION</w:t>
      </w:r>
      <w:r>
        <w:rPr>
          <w:szCs w:val="24"/>
          <w:lang w:val="es-UY"/>
        </w:rPr>
        <w:t>.</w:t>
      </w:r>
    </w:p>
    <w:p>
      <w:pPr>
        <w:pStyle w:val="style0"/>
        <w:spacing w:line="276" w:lineRule="auto"/>
        <w:ind w:firstLine="708" w:left="0" w:right="0"/>
        <w:jc w:val="both"/>
        <w:rPr>
          <w:szCs w:val="24"/>
          <w:lang w:val="es-UY"/>
        </w:rPr>
      </w:pPr>
      <w:r>
        <w:rPr>
          <w:szCs w:val="24"/>
          <w:lang w:val="es-UY"/>
        </w:rPr>
        <w:t xml:space="preserve">Precio de </w:t>
      </w:r>
      <w:r>
        <w:rPr>
          <w:b/>
          <w:szCs w:val="24"/>
          <w:lang w:val="es-UY"/>
        </w:rPr>
        <w:t xml:space="preserve">plaza </w:t>
      </w:r>
      <w:r>
        <w:rPr>
          <w:szCs w:val="24"/>
          <w:lang w:val="es-UY"/>
        </w:rPr>
        <w:t xml:space="preserve">en </w:t>
      </w:r>
      <w:r>
        <w:rPr>
          <w:b/>
          <w:szCs w:val="24"/>
          <w:lang w:val="es-UY"/>
        </w:rPr>
        <w:t>moneda nacional</w:t>
      </w:r>
      <w:r>
        <w:rPr>
          <w:szCs w:val="24"/>
          <w:lang w:val="es-UY"/>
        </w:rPr>
        <w:t>.</w:t>
      </w:r>
    </w:p>
    <w:p>
      <w:pPr>
        <w:pStyle w:val="style0"/>
        <w:spacing w:line="276" w:lineRule="auto"/>
        <w:jc w:val="both"/>
        <w:rPr>
          <w:szCs w:val="24"/>
          <w:lang w:val="es-UY"/>
        </w:rPr>
      </w:pPr>
      <w:r>
        <w:rPr>
          <w:szCs w:val="24"/>
          <w:lang w:val="es-UY"/>
        </w:rPr>
      </w:r>
    </w:p>
    <w:p>
      <w:pPr>
        <w:pStyle w:val="style0"/>
        <w:spacing w:line="276" w:lineRule="auto"/>
        <w:jc w:val="both"/>
        <w:rPr>
          <w:b/>
          <w:bCs/>
          <w:szCs w:val="24"/>
          <w:lang w:val="es-UY"/>
        </w:rPr>
      </w:pPr>
      <w:r>
        <w:rPr>
          <w:b/>
          <w:bCs/>
          <w:szCs w:val="24"/>
          <w:lang w:val="es-UY"/>
        </w:rPr>
        <w:t>Art. 6.- PRESENTACIÓN DE LAS OFERTAS.</w:t>
      </w:r>
    </w:p>
    <w:p>
      <w:pPr>
        <w:pStyle w:val="style0"/>
        <w:spacing w:line="276" w:lineRule="auto"/>
        <w:jc w:val="both"/>
        <w:rPr>
          <w:szCs w:val="24"/>
          <w:lang w:val="es-UY"/>
        </w:rPr>
      </w:pPr>
      <w:r>
        <w:rPr>
          <w:szCs w:val="24"/>
          <w:lang w:val="es-UY"/>
        </w:rPr>
        <w:tab/>
        <w:t xml:space="preserve">La oferta se presentará en sobre cerrado, firmadas en </w:t>
      </w:r>
      <w:r>
        <w:rPr>
          <w:b/>
          <w:szCs w:val="24"/>
          <w:lang w:val="es-UY"/>
        </w:rPr>
        <w:t>original y una</w:t>
      </w:r>
      <w:r>
        <w:rPr>
          <w:b/>
          <w:bCs/>
          <w:szCs w:val="24"/>
          <w:lang w:val="es-UY"/>
        </w:rPr>
        <w:t xml:space="preserve"> copia</w:t>
      </w:r>
      <w:r>
        <w:rPr>
          <w:szCs w:val="24"/>
          <w:lang w:val="es-UY"/>
        </w:rPr>
        <w:t>, o como lo establece el art. 63  inc. 5 del T.O.C.A.F.</w:t>
      </w:r>
    </w:p>
    <w:p>
      <w:pPr>
        <w:pStyle w:val="style0"/>
        <w:spacing w:line="276" w:lineRule="auto"/>
        <w:ind w:firstLine="708" w:left="0" w:right="0"/>
        <w:jc w:val="both"/>
        <w:rPr>
          <w:rStyle w:val="style20"/>
          <w:szCs w:val="24"/>
          <w:lang w:val="es-UY"/>
        </w:rPr>
      </w:pPr>
      <w:r>
        <w:rPr>
          <w:rStyle w:val="style20"/>
          <w:szCs w:val="24"/>
          <w:lang w:val="es-UY"/>
        </w:rPr>
        <w:t>En caso de cotizarse por correo electrónico o en línea deberá adjuntarse archivo con la oferta escaneada incluyendo la firma del representante validado en el Registro Único de Proveedores del Estado (RUPE).</w:t>
      </w:r>
    </w:p>
    <w:p>
      <w:pPr>
        <w:pStyle w:val="style0"/>
        <w:spacing w:line="276" w:lineRule="auto"/>
        <w:jc w:val="both"/>
        <w:rPr>
          <w:b/>
          <w:szCs w:val="24"/>
          <w:lang w:val="es-UY"/>
        </w:rPr>
      </w:pPr>
      <w:r>
        <w:rPr>
          <w:szCs w:val="24"/>
          <w:lang w:val="es-UY"/>
        </w:rPr>
        <w:tab/>
      </w:r>
      <w:r>
        <w:rPr>
          <w:b/>
          <w:szCs w:val="24"/>
          <w:lang w:val="es-UY"/>
        </w:rPr>
        <w:t>La empresa deberá estar en situación de activo en el RUPE y su oferta deberá estar firmada por el representante y/o apoderado que esté registrado (validado) en dicho registro.</w:t>
      </w:r>
    </w:p>
    <w:p>
      <w:pPr>
        <w:pStyle w:val="style0"/>
        <w:spacing w:line="276" w:lineRule="auto"/>
        <w:ind w:firstLine="709" w:left="0" w:right="0"/>
        <w:jc w:val="both"/>
        <w:rPr>
          <w:szCs w:val="24"/>
          <w:lang w:val="es-UY"/>
        </w:rPr>
      </w:pPr>
      <w:r>
        <w:rPr>
          <w:szCs w:val="24"/>
          <w:lang w:val="es-UY"/>
        </w:rPr>
        <w:t xml:space="preserve">Los precios cotizados deberán indicar todos los tributos que correspondan al oferente y su porcentaje, en cada uno de los items y/o variantes cotizados, </w:t>
      </w:r>
      <w:r>
        <w:rPr>
          <w:b/>
          <w:bCs/>
          <w:szCs w:val="24"/>
          <w:lang w:val="es-UY"/>
        </w:rPr>
        <w:t>especialmente el I.V.A., en forma clara y precisa, manifestando si los referidos tributos están o no incluidos en los precios</w:t>
      </w:r>
      <w:r>
        <w:rPr>
          <w:szCs w:val="24"/>
          <w:lang w:val="es-UY"/>
        </w:rPr>
        <w:t>. En caso de no establecerse esta circunstancia, se considerará que los precios son con todos los tributos incluidos.</w:t>
      </w:r>
    </w:p>
    <w:p>
      <w:pPr>
        <w:pStyle w:val="style0"/>
        <w:spacing w:line="276" w:lineRule="auto"/>
        <w:jc w:val="both"/>
        <w:rPr>
          <w:szCs w:val="24"/>
          <w:lang w:val="es-UY"/>
        </w:rPr>
      </w:pPr>
      <w:r>
        <w:rPr>
          <w:szCs w:val="24"/>
          <w:lang w:val="es-UY"/>
        </w:rPr>
      </w:r>
    </w:p>
    <w:p>
      <w:pPr>
        <w:pStyle w:val="style33"/>
        <w:spacing w:line="276" w:lineRule="auto"/>
        <w:jc w:val="both"/>
        <w:rPr>
          <w:rStyle w:val="style20"/>
          <w:rFonts w:ascii="Bookman Old Style" w:hAnsi="Bookman Old Style"/>
          <w:b/>
          <w:szCs w:val="24"/>
          <w:lang w:val="es-UY"/>
        </w:rPr>
      </w:pPr>
      <w:r>
        <w:rPr>
          <w:rStyle w:val="style20"/>
          <w:rFonts w:ascii="Bookman Old Style" w:hAnsi="Bookman Old Style"/>
          <w:b/>
          <w:szCs w:val="24"/>
          <w:lang w:val="es-UY"/>
        </w:rPr>
        <w:t>Art. 7.-</w:t>
      </w:r>
      <w:r>
        <w:rPr>
          <w:rStyle w:val="style20"/>
          <w:rFonts w:ascii="Bookman Old Style" w:hAnsi="Bookman Old Style"/>
          <w:szCs w:val="24"/>
          <w:lang w:val="es-UY"/>
        </w:rPr>
        <w:t xml:space="preserve"> </w:t>
      </w:r>
      <w:r>
        <w:rPr>
          <w:rStyle w:val="style20"/>
          <w:rFonts w:ascii="Bookman Old Style" w:hAnsi="Bookman Old Style"/>
          <w:b/>
          <w:szCs w:val="24"/>
          <w:lang w:val="es-UY"/>
        </w:rPr>
        <w:t>LUGAR  Y FECHA DE APERTURA</w:t>
      </w:r>
    </w:p>
    <w:p>
      <w:pPr>
        <w:pStyle w:val="style33"/>
        <w:spacing w:line="276" w:lineRule="auto"/>
        <w:jc w:val="both"/>
        <w:rPr>
          <w:rFonts w:ascii="Bookman Old Style" w:hAnsi="Bookman Old Style"/>
          <w:szCs w:val="24"/>
          <w:lang w:val="es-UY"/>
        </w:rPr>
      </w:pPr>
      <w:r>
        <w:rPr>
          <w:rFonts w:ascii="Bookman Old Style" w:hAnsi="Bookman Old Style"/>
          <w:szCs w:val="24"/>
          <w:lang w:val="es-UY"/>
        </w:rPr>
      </w:r>
    </w:p>
    <w:p>
      <w:pPr>
        <w:pStyle w:val="style33"/>
        <w:spacing w:line="276" w:lineRule="auto"/>
        <w:jc w:val="both"/>
        <w:rPr>
          <w:rFonts w:ascii="Bookman Old Style" w:hAnsi="Bookman Old Style"/>
          <w:b/>
          <w:szCs w:val="24"/>
          <w:lang w:val="es-UY"/>
        </w:rPr>
      </w:pPr>
      <w:r>
        <w:rPr>
          <w:rStyle w:val="style20"/>
          <w:rFonts w:ascii="Bookman Old Style" w:hAnsi="Bookman Old Style"/>
          <w:szCs w:val="24"/>
          <w:lang w:val="es-UY"/>
        </w:rPr>
        <w:tab/>
        <w:t xml:space="preserve">a) Fecha: </w:t>
      </w:r>
      <w:r>
        <w:rPr>
          <w:rStyle w:val="style20"/>
          <w:rFonts w:ascii="Bookman Old Style" w:hAnsi="Bookman Old Style"/>
          <w:b/>
          <w:bCs/>
          <w:szCs w:val="24"/>
          <w:lang w:val="es-UY"/>
        </w:rPr>
        <w:t>18 de setiembre</w:t>
      </w:r>
      <w:r>
        <w:rPr>
          <w:rStyle w:val="style20"/>
          <w:rFonts w:ascii="Bookman Old Style" w:hAnsi="Bookman Old Style"/>
          <w:b/>
          <w:bCs/>
          <w:szCs w:val="24"/>
          <w:lang w:val="es-UY"/>
        </w:rPr>
        <w:t xml:space="preserve"> </w:t>
      </w:r>
      <w:r>
        <w:rPr>
          <w:rFonts w:ascii="Bookman Old Style" w:hAnsi="Bookman Old Style"/>
          <w:b/>
          <w:bCs/>
          <w:szCs w:val="24"/>
          <w:lang w:val="es-UY"/>
        </w:rPr>
        <w:t>de 2019</w:t>
      </w:r>
      <w:r>
        <w:rPr>
          <w:rFonts w:ascii="Bookman Old Style" w:hAnsi="Bookman Old Style"/>
          <w:b/>
          <w:szCs w:val="24"/>
          <w:lang w:val="es-UY"/>
        </w:rPr>
        <w:t>.</w:t>
      </w:r>
    </w:p>
    <w:p>
      <w:pPr>
        <w:pStyle w:val="style33"/>
        <w:spacing w:line="276" w:lineRule="auto"/>
        <w:jc w:val="both"/>
        <w:rPr>
          <w:rFonts w:ascii="Bookman Old Style" w:hAnsi="Bookman Old Style"/>
          <w:szCs w:val="24"/>
          <w:lang w:val="es-UY"/>
        </w:rPr>
      </w:pPr>
      <w:r>
        <w:rPr>
          <w:rFonts w:ascii="Bookman Old Style" w:hAnsi="Bookman Old Style"/>
          <w:szCs w:val="24"/>
          <w:lang w:val="es-UY"/>
        </w:rPr>
        <w:tab/>
        <w:t xml:space="preserve">b) Hora: </w:t>
      </w:r>
      <w:r>
        <w:rPr>
          <w:rFonts w:ascii="Bookman Old Style" w:hAnsi="Bookman Old Style"/>
          <w:b/>
          <w:szCs w:val="24"/>
          <w:lang w:val="es-UY"/>
        </w:rPr>
        <w:t>15:00 hs</w:t>
      </w:r>
      <w:r>
        <w:rPr>
          <w:rFonts w:ascii="Bookman Old Style" w:hAnsi="Bookman Old Style"/>
          <w:szCs w:val="24"/>
          <w:lang w:val="es-UY"/>
        </w:rPr>
        <w:t>.</w:t>
      </w:r>
    </w:p>
    <w:p>
      <w:pPr>
        <w:pStyle w:val="style33"/>
        <w:spacing w:line="276" w:lineRule="auto"/>
        <w:ind w:firstLine="709" w:left="0" w:right="0"/>
        <w:jc w:val="both"/>
        <w:rPr>
          <w:rFonts w:ascii="Bookman Old Style" w:hAnsi="Bookman Old Style"/>
          <w:szCs w:val="24"/>
          <w:lang w:val="es-UY"/>
        </w:rPr>
      </w:pPr>
      <w:r>
        <w:rPr>
          <w:rFonts w:ascii="Bookman Old Style" w:hAnsi="Bookman Old Style"/>
          <w:szCs w:val="24"/>
          <w:lang w:val="es-UY"/>
        </w:rPr>
        <w:t xml:space="preserve">c) Lugar: </w:t>
      </w:r>
      <w:r>
        <w:rPr>
          <w:rFonts w:ascii="Bookman Old Style" w:hAnsi="Bookman Old Style"/>
          <w:b/>
          <w:szCs w:val="24"/>
          <w:lang w:val="es-UY"/>
        </w:rPr>
        <w:t>Departamento de Adquisiciones</w:t>
      </w:r>
      <w:r>
        <w:rPr>
          <w:rFonts w:ascii="Bookman Old Style" w:hAnsi="Bookman Old Style"/>
          <w:szCs w:val="24"/>
          <w:lang w:val="es-UY"/>
        </w:rPr>
        <w:t xml:space="preserve"> del Poder Judicial.</w:t>
      </w:r>
    </w:p>
    <w:p>
      <w:pPr>
        <w:pStyle w:val="style0"/>
        <w:spacing w:line="276" w:lineRule="auto"/>
        <w:jc w:val="both"/>
        <w:rPr>
          <w:b/>
          <w:bCs/>
          <w:szCs w:val="24"/>
          <w:lang w:val="es-UY"/>
        </w:rPr>
      </w:pPr>
      <w:r>
        <w:rPr>
          <w:b/>
          <w:bCs/>
          <w:szCs w:val="24"/>
          <w:lang w:val="es-UY"/>
        </w:rPr>
      </w:r>
    </w:p>
    <w:p>
      <w:pPr>
        <w:pStyle w:val="style1"/>
        <w:spacing w:line="276" w:lineRule="auto"/>
        <w:rPr>
          <w:rFonts w:ascii="Bookman Old Style" w:hAnsi="Bookman Old Style"/>
          <w:lang w:val="es-UY"/>
        </w:rPr>
      </w:pPr>
      <w:r>
        <w:rPr>
          <w:rFonts w:ascii="Bookman Old Style" w:hAnsi="Bookman Old Style"/>
          <w:lang w:val="es-UY"/>
        </w:rPr>
        <w:t>Art. 8.- APERTURA DE OFERTAS.</w:t>
      </w:r>
    </w:p>
    <w:p>
      <w:pPr>
        <w:pStyle w:val="style0"/>
        <w:spacing w:line="276" w:lineRule="auto"/>
        <w:jc w:val="both"/>
        <w:rPr>
          <w:szCs w:val="24"/>
          <w:lang w:val="es-UY"/>
        </w:rPr>
      </w:pPr>
      <w:r>
        <w:rPr>
          <w:b/>
          <w:bCs/>
          <w:szCs w:val="24"/>
          <w:lang w:val="es-UY"/>
        </w:rPr>
        <w:tab/>
      </w:r>
      <w:r>
        <w:rPr>
          <w:szCs w:val="24"/>
          <w:lang w:val="es-UY"/>
        </w:rPr>
        <w:t xml:space="preserve">Abiertas </w:t>
      </w:r>
      <w:r>
        <w:rPr>
          <w:b/>
          <w:szCs w:val="24"/>
          <w:lang w:val="es-UY"/>
        </w:rPr>
        <w:t>las ofertas se pondrá a disposición de todos los oferentes una de las vías para que tomen conocimiento de los precios y demás condiciones de todas las presentadas</w:t>
      </w:r>
      <w:r>
        <w:rPr>
          <w:szCs w:val="24"/>
          <w:lang w:val="es-UY"/>
        </w:rPr>
        <w:t xml:space="preserve">. Los oferentes </w:t>
      </w:r>
      <w:r>
        <w:rPr>
          <w:b/>
          <w:szCs w:val="24"/>
          <w:lang w:val="es-UY"/>
        </w:rPr>
        <w:t>pueden formular observaciones</w:t>
      </w:r>
      <w:r>
        <w:rPr>
          <w:szCs w:val="24"/>
          <w:lang w:val="es-UY"/>
        </w:rPr>
        <w:t xml:space="preserve"> a las propuestas presentadas en ese momento, las que quedarán registradas en el Acta de Apertura.</w:t>
      </w:r>
    </w:p>
    <w:p>
      <w:pPr>
        <w:pStyle w:val="style0"/>
        <w:spacing w:line="276" w:lineRule="auto"/>
        <w:jc w:val="both"/>
        <w:rPr>
          <w:szCs w:val="24"/>
          <w:lang w:val="es-UY"/>
        </w:rPr>
      </w:pPr>
      <w:r>
        <w:rPr>
          <w:szCs w:val="24"/>
          <w:lang w:val="es-UY"/>
        </w:rPr>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pPr>
        <w:pStyle w:val="style0"/>
        <w:spacing w:line="276" w:lineRule="auto"/>
        <w:jc w:val="both"/>
        <w:rPr>
          <w:b/>
          <w:bCs/>
          <w:szCs w:val="24"/>
          <w:lang w:val="es-UY"/>
        </w:rPr>
      </w:pPr>
      <w:r>
        <w:rPr>
          <w:b/>
          <w:bCs/>
          <w:szCs w:val="24"/>
          <w:lang w:val="es-UY"/>
        </w:rPr>
      </w:r>
    </w:p>
    <w:p>
      <w:pPr>
        <w:pStyle w:val="style0"/>
        <w:spacing w:line="276" w:lineRule="auto"/>
        <w:jc w:val="both"/>
        <w:rPr>
          <w:b/>
          <w:szCs w:val="24"/>
          <w:lang w:val="es-UY"/>
        </w:rPr>
      </w:pPr>
      <w:r>
        <w:rPr>
          <w:b/>
          <w:bCs/>
          <w:szCs w:val="24"/>
          <w:lang w:val="es-UY"/>
        </w:rPr>
        <w:t>Art. 9.-</w:t>
      </w:r>
      <w:r>
        <w:rPr>
          <w:szCs w:val="24"/>
          <w:lang w:val="es-UY"/>
        </w:rPr>
        <w:t xml:space="preserve"> </w:t>
      </w:r>
      <w:r>
        <w:rPr>
          <w:b/>
          <w:bCs/>
          <w:szCs w:val="24"/>
          <w:lang w:val="es-UY"/>
        </w:rPr>
        <w:t>PLAZO DE MANTENIMIENTO DE OFERTA</w:t>
      </w:r>
      <w:r>
        <w:rPr>
          <w:szCs w:val="24"/>
          <w:lang w:val="es-UY"/>
        </w:rPr>
        <w:t xml:space="preserve"> </w:t>
      </w:r>
      <w:r>
        <w:rPr>
          <w:b/>
          <w:szCs w:val="24"/>
          <w:lang w:val="es-UY"/>
        </w:rPr>
        <w:t>Y PRECIO.</w:t>
      </w:r>
    </w:p>
    <w:p>
      <w:pPr>
        <w:pStyle w:val="style0"/>
        <w:spacing w:line="276" w:lineRule="auto"/>
        <w:ind w:firstLine="600" w:left="0" w:right="0"/>
        <w:jc w:val="both"/>
        <w:rPr>
          <w:szCs w:val="24"/>
          <w:lang w:val="es-UY"/>
        </w:rPr>
      </w:pPr>
      <w:r>
        <w:rPr>
          <w:b/>
          <w:szCs w:val="24"/>
          <w:lang w:val="es-UY"/>
        </w:rPr>
        <w:t xml:space="preserve">No inferior a </w:t>
      </w:r>
      <w:r>
        <w:rPr>
          <w:b/>
          <w:bCs/>
          <w:szCs w:val="24"/>
          <w:lang w:val="es-UY"/>
        </w:rPr>
        <w:t>120</w:t>
      </w:r>
      <w:r>
        <w:rPr>
          <w:b/>
          <w:szCs w:val="24"/>
          <w:lang w:val="es-UY"/>
        </w:rPr>
        <w:t xml:space="preserve"> días</w:t>
      </w:r>
      <w:r>
        <w:rPr>
          <w:szCs w:val="24"/>
          <w:lang w:val="es-UY"/>
        </w:rPr>
        <w:t>, salvo que la Administración, se expida con anterioridad al vencimiento de dicho plazo. Se  entiende  por tal el lapso durante el cual la empresa se obliga a mantener las condiciones de su oferta.</w:t>
      </w:r>
    </w:p>
    <w:p>
      <w:pPr>
        <w:pStyle w:val="style0"/>
        <w:spacing w:line="276" w:lineRule="auto"/>
        <w:jc w:val="both"/>
        <w:rPr>
          <w:szCs w:val="24"/>
          <w:lang w:val="es-UY"/>
        </w:rPr>
      </w:pPr>
      <w:r>
        <w:rPr>
          <w:szCs w:val="24"/>
          <w:lang w:val="es-UY"/>
        </w:rPr>
        <w:tab/>
        <w:t>El vencimiento del plazo establecido precedentemente no liberará al oferente, salvo que medie notificación escrita a la Administración, manifestando su decisión de retirar la oferta, antes de la notificación de la adjudicación de la misma.</w:t>
      </w:r>
    </w:p>
    <w:p>
      <w:pPr>
        <w:pStyle w:val="style0"/>
        <w:spacing w:line="276" w:lineRule="auto"/>
        <w:jc w:val="both"/>
        <w:rPr>
          <w:b/>
          <w:bCs/>
          <w:szCs w:val="24"/>
          <w:lang w:val="es-UY"/>
        </w:rPr>
      </w:pPr>
      <w:r>
        <w:rPr>
          <w:b/>
          <w:bCs/>
          <w:szCs w:val="24"/>
          <w:lang w:val="es-UY"/>
        </w:rPr>
      </w:r>
    </w:p>
    <w:p>
      <w:pPr>
        <w:pStyle w:val="style0"/>
        <w:spacing w:line="276" w:lineRule="auto"/>
        <w:jc w:val="both"/>
        <w:rPr>
          <w:b/>
          <w:bCs/>
          <w:szCs w:val="24"/>
          <w:lang w:val="es-UY"/>
        </w:rPr>
      </w:pPr>
      <w:r>
        <w:rPr>
          <w:b/>
          <w:bCs/>
          <w:szCs w:val="24"/>
          <w:lang w:val="es-UY"/>
        </w:rPr>
        <w:t>Art. 10.- NOTIFICACIÓN DE RESOLUCIÓN Y SUSCRIPCION DE CONTRATO.</w:t>
      </w:r>
    </w:p>
    <w:p>
      <w:pPr>
        <w:pStyle w:val="style0"/>
        <w:spacing w:line="276" w:lineRule="auto"/>
        <w:jc w:val="both"/>
        <w:rPr>
          <w:szCs w:val="24"/>
          <w:lang w:val="es-UY"/>
        </w:rPr>
      </w:pPr>
      <w:r>
        <w:rPr>
          <w:bCs/>
          <w:szCs w:val="24"/>
          <w:lang w:val="es-UY"/>
        </w:rPr>
        <w:tab/>
        <w:t xml:space="preserve">Una vez dictada la resolución de adjudicación e intervenida por el Tribunal de Cuentas de la República será notificada a la empresa y transcurrido el plazo legal y estando en condiciones, </w:t>
      </w:r>
      <w:r>
        <w:rPr>
          <w:b/>
          <w:bCs/>
          <w:szCs w:val="24"/>
          <w:lang w:val="es-UY"/>
        </w:rPr>
        <w:t xml:space="preserve">se suscribirá contrato ante los Servicios Notariales de DIJUN, </w:t>
      </w:r>
      <w:r>
        <w:rPr>
          <w:szCs w:val="24"/>
          <w:lang w:val="es-UY"/>
        </w:rPr>
        <w:t>siendo las obligaciones y derechos del contratista las que surgen de las normas jurídicas aplicables, los Pliegos y su oferta.</w:t>
      </w:r>
    </w:p>
    <w:p>
      <w:pPr>
        <w:pStyle w:val="style0"/>
        <w:spacing w:line="276" w:lineRule="auto"/>
        <w:jc w:val="both"/>
        <w:rPr>
          <w:b/>
          <w:bCs/>
          <w:szCs w:val="24"/>
          <w:lang w:val="es-UY"/>
        </w:rPr>
      </w:pPr>
      <w:r>
        <w:rPr>
          <w:b/>
          <w:bCs/>
          <w:szCs w:val="24"/>
          <w:lang w:val="es-UY"/>
        </w:rPr>
      </w:r>
    </w:p>
    <w:p>
      <w:pPr>
        <w:pStyle w:val="style0"/>
        <w:spacing w:line="276" w:lineRule="auto"/>
        <w:jc w:val="both"/>
        <w:rPr>
          <w:b/>
          <w:bCs/>
          <w:szCs w:val="24"/>
          <w:lang w:val="es-UY"/>
        </w:rPr>
      </w:pPr>
      <w:r>
        <w:rPr>
          <w:b/>
          <w:bCs/>
          <w:szCs w:val="24"/>
          <w:lang w:val="es-UY"/>
        </w:rPr>
        <w:t>Art. 11.- CÓMPUTO DE PLAZOS.</w:t>
      </w:r>
    </w:p>
    <w:p>
      <w:pPr>
        <w:pStyle w:val="style0"/>
        <w:spacing w:line="276" w:lineRule="auto"/>
        <w:ind w:firstLine="708" w:left="0" w:right="0"/>
        <w:jc w:val="both"/>
        <w:rPr>
          <w:szCs w:val="24"/>
          <w:lang w:val="es-UY"/>
        </w:rPr>
      </w:pPr>
      <w:r>
        <w:rPr>
          <w:szCs w:val="24"/>
          <w:lang w:val="es-UY"/>
        </w:rPr>
        <w:t xml:space="preserve">Todos los plazos serán computados en </w:t>
      </w:r>
      <w:r>
        <w:rPr>
          <w:b/>
          <w:szCs w:val="24"/>
          <w:lang w:val="es-UY"/>
        </w:rPr>
        <w:t>días hábiles</w:t>
      </w:r>
      <w:r>
        <w:rPr>
          <w:szCs w:val="24"/>
          <w:lang w:val="es-UY"/>
        </w:rPr>
        <w:t>, salvo especificación en contrario.</w:t>
      </w:r>
    </w:p>
    <w:p>
      <w:pPr>
        <w:pStyle w:val="style0"/>
        <w:spacing w:line="276" w:lineRule="auto"/>
        <w:jc w:val="both"/>
        <w:rPr>
          <w:b/>
          <w:bCs/>
          <w:szCs w:val="24"/>
          <w:lang w:val="es-UY"/>
        </w:rPr>
      </w:pPr>
      <w:r>
        <w:rPr>
          <w:b/>
          <w:bCs/>
          <w:szCs w:val="24"/>
          <w:lang w:val="es-UY"/>
        </w:rPr>
      </w:r>
    </w:p>
    <w:p>
      <w:pPr>
        <w:pStyle w:val="style0"/>
        <w:spacing w:line="276" w:lineRule="auto"/>
        <w:jc w:val="both"/>
        <w:rPr>
          <w:b/>
          <w:bCs/>
          <w:szCs w:val="24"/>
          <w:lang w:val="es-UY"/>
        </w:rPr>
      </w:pPr>
      <w:r>
        <w:rPr>
          <w:b/>
          <w:bCs/>
          <w:szCs w:val="24"/>
          <w:lang w:val="es-UY"/>
        </w:rPr>
        <w:t>Art. 12.- FORMA DE PAGO.</w:t>
      </w:r>
    </w:p>
    <w:p>
      <w:pPr>
        <w:pStyle w:val="style0"/>
        <w:spacing w:line="276" w:lineRule="auto"/>
        <w:ind w:firstLine="708" w:left="0" w:right="0"/>
        <w:jc w:val="both"/>
        <w:rPr>
          <w:szCs w:val="24"/>
          <w:lang w:val="es-UY"/>
        </w:rPr>
      </w:pPr>
      <w:r>
        <w:rPr>
          <w:szCs w:val="24"/>
          <w:lang w:val="es-UY"/>
        </w:rPr>
        <w:t xml:space="preserve">La propuesta deberá considerar que el </w:t>
      </w:r>
      <w:r>
        <w:rPr>
          <w:b/>
          <w:szCs w:val="24"/>
          <w:lang w:val="es-UY"/>
        </w:rPr>
        <w:t xml:space="preserve">plazo mínimo de crédito es de 60 días </w:t>
      </w:r>
      <w:r>
        <w:rPr>
          <w:szCs w:val="24"/>
          <w:lang w:val="es-UY"/>
        </w:rPr>
        <w:t>contados a partir de la recepción en División Contaduría de la</w:t>
      </w:r>
      <w:r>
        <w:rPr>
          <w:b/>
          <w:szCs w:val="24"/>
          <w:lang w:val="es-UY"/>
        </w:rPr>
        <w:t xml:space="preserve"> factura conformada</w:t>
      </w:r>
      <w:r>
        <w:rPr>
          <w:szCs w:val="24"/>
          <w:lang w:val="es-UY"/>
        </w:rPr>
        <w:t>.</w:t>
      </w:r>
    </w:p>
    <w:p>
      <w:pPr>
        <w:pStyle w:val="style0"/>
        <w:spacing w:line="276" w:lineRule="auto"/>
        <w:jc w:val="both"/>
        <w:rPr>
          <w:b/>
          <w:bCs/>
          <w:szCs w:val="24"/>
          <w:lang w:val="es-UY"/>
        </w:rPr>
      </w:pPr>
      <w:r>
        <w:rPr>
          <w:b/>
          <w:bCs/>
          <w:szCs w:val="24"/>
          <w:lang w:val="es-UY"/>
        </w:rPr>
      </w:r>
    </w:p>
    <w:p>
      <w:pPr>
        <w:pStyle w:val="style0"/>
        <w:spacing w:line="276" w:lineRule="auto"/>
        <w:jc w:val="both"/>
        <w:rPr>
          <w:b/>
          <w:bCs/>
          <w:szCs w:val="24"/>
          <w:lang w:val="es-UY"/>
        </w:rPr>
      </w:pPr>
      <w:r>
        <w:rPr>
          <w:b/>
          <w:bCs/>
          <w:szCs w:val="24"/>
          <w:lang w:val="es-UY"/>
        </w:rPr>
        <w:t>Art. 13.-</w:t>
      </w:r>
      <w:r>
        <w:rPr>
          <w:szCs w:val="24"/>
          <w:lang w:val="es-UY"/>
        </w:rPr>
        <w:t xml:space="preserve"> </w:t>
      </w:r>
      <w:r>
        <w:rPr>
          <w:b/>
          <w:bCs/>
          <w:szCs w:val="24"/>
          <w:lang w:val="es-UY"/>
        </w:rPr>
        <w:t>PLAZO.</w:t>
      </w:r>
    </w:p>
    <w:p>
      <w:pPr>
        <w:pStyle w:val="style0"/>
        <w:spacing w:line="276" w:lineRule="auto"/>
        <w:jc w:val="both"/>
        <w:rPr>
          <w:rFonts w:eastAsia="Bookman Old Style"/>
          <w:b/>
          <w:szCs w:val="24"/>
          <w:lang w:bidi="es-ES" w:eastAsia="es-ES" w:val="es-UY"/>
        </w:rPr>
      </w:pPr>
      <w:r>
        <w:rPr>
          <w:rFonts w:eastAsia="Bookman Old Style"/>
          <w:szCs w:val="24"/>
          <w:lang w:bidi="es-ES" w:eastAsia="es-ES" w:val="es-UY"/>
        </w:rPr>
        <w:tab/>
      </w:r>
      <w:r>
        <w:rPr>
          <w:rFonts w:eastAsia="Bookman Old Style"/>
          <w:b/>
          <w:szCs w:val="24"/>
          <w:lang w:bidi="es-ES" w:eastAsia="es-ES" w:val="es-UY"/>
        </w:rPr>
        <w:t>El plazo del contrato será desde el 1º de enero o transcurrido este desde su suscripción, hasta el 31 de diciembre de 2020, prorrogable por hasta tres periodos anuales y consecutivos.</w:t>
      </w:r>
    </w:p>
    <w:p>
      <w:pPr>
        <w:pStyle w:val="style38"/>
        <w:spacing w:line="276" w:lineRule="auto"/>
        <w:ind w:firstLine="708" w:left="0" w:right="0"/>
        <w:jc w:val="both"/>
        <w:rPr>
          <w:rFonts w:ascii="Bookman Old Style" w:hAnsi="Bookman Old Style"/>
        </w:rPr>
      </w:pPr>
      <w:r>
        <w:rPr>
          <w:rFonts w:ascii="Bookman Old Style" w:hAnsi="Bookman Old Style"/>
          <w:bCs/>
        </w:rPr>
        <w:t>Las prórrogas serán automáticas por hasta el período establecido en el presente artículo, a partir</w:t>
      </w:r>
      <w:r>
        <w:rPr>
          <w:rFonts w:ascii="Bookman Old Style" w:hAnsi="Bookman Old Style"/>
          <w:b/>
          <w:bCs/>
        </w:rPr>
        <w:t xml:space="preserve"> </w:t>
      </w:r>
      <w:r>
        <w:rPr>
          <w:rFonts w:ascii="Bookman Old Style" w:hAnsi="Bookman Old Style"/>
        </w:rPr>
        <w:t xml:space="preserve">de su vencimiento inicial o sus prórrogas en su caso, si las partes no lo denuncian mediante telegrama colacionado 60 días antes de la fecha de los vencimientos respectivos. </w:t>
      </w:r>
    </w:p>
    <w:p>
      <w:pPr>
        <w:pStyle w:val="style0"/>
        <w:spacing w:line="276" w:lineRule="auto"/>
        <w:jc w:val="both"/>
        <w:rPr>
          <w:rFonts w:eastAsia="Bookman Old Style"/>
          <w:szCs w:val="24"/>
          <w:lang w:bidi="es-ES" w:eastAsia="es-ES" w:val="es-UY"/>
        </w:rPr>
      </w:pPr>
      <w:r>
        <w:rPr>
          <w:rFonts w:eastAsia="Bookman Old Style"/>
          <w:szCs w:val="24"/>
          <w:lang w:bidi="es-ES" w:eastAsia="es-ES" w:val="es-UY"/>
        </w:rPr>
        <w:tab/>
        <w:t xml:space="preserve">El Poder Judicial podrá en cualquier momento y sin expresión de causa, rescindir unilateralmente el contrato oportunamente suscrito, en forma total o parcial, con un preaviso no inferior a 15 días, por telegrama colacionado u otro medio auténtico. </w:t>
      </w:r>
    </w:p>
    <w:p>
      <w:pPr>
        <w:pStyle w:val="style0"/>
        <w:spacing w:line="276" w:lineRule="auto"/>
        <w:jc w:val="both"/>
        <w:rPr>
          <w:b/>
          <w:bCs/>
          <w:szCs w:val="24"/>
          <w:lang w:val="es-UY"/>
        </w:rPr>
      </w:pPr>
      <w:r>
        <w:rPr>
          <w:b/>
          <w:bCs/>
          <w:szCs w:val="24"/>
          <w:lang w:val="es-UY"/>
        </w:rPr>
      </w:r>
    </w:p>
    <w:p>
      <w:pPr>
        <w:pStyle w:val="style0"/>
        <w:spacing w:line="276" w:lineRule="auto"/>
        <w:jc w:val="both"/>
        <w:rPr>
          <w:b/>
          <w:bCs/>
          <w:szCs w:val="24"/>
          <w:lang w:val="es-UY"/>
        </w:rPr>
      </w:pPr>
      <w:r>
        <w:rPr>
          <w:b/>
          <w:bCs/>
          <w:szCs w:val="24"/>
          <w:lang w:val="es-UY"/>
        </w:rPr>
        <w:t>Art. 14.- AJUSTE DE PRECIOS.</w:t>
      </w:r>
    </w:p>
    <w:p>
      <w:pPr>
        <w:pStyle w:val="style0"/>
        <w:spacing w:line="276" w:lineRule="auto"/>
        <w:jc w:val="both"/>
        <w:rPr>
          <w:szCs w:val="24"/>
          <w:lang w:val="es-UY"/>
        </w:rPr>
      </w:pPr>
      <w:r>
        <w:rPr>
          <w:szCs w:val="24"/>
          <w:lang w:val="es-UY"/>
        </w:rPr>
        <w:tab/>
        <w:t xml:space="preserve">El precio del contrato se reajustará </w:t>
      </w:r>
      <w:r>
        <w:rPr>
          <w:b/>
          <w:szCs w:val="24"/>
          <w:lang w:val="es-UY"/>
        </w:rPr>
        <w:t xml:space="preserve">anualmente por el Índice de Precios al Consumos </w:t>
      </w:r>
      <w:r>
        <w:rPr>
          <w:szCs w:val="24"/>
          <w:lang w:val="es-UY"/>
        </w:rPr>
        <w:t>(IPC) el primero de enero de cada año. El primer reajuste operará el 1/1/2021.</w:t>
      </w:r>
    </w:p>
    <w:p>
      <w:pPr>
        <w:pStyle w:val="style0"/>
        <w:spacing w:line="276" w:lineRule="auto"/>
        <w:jc w:val="both"/>
        <w:rPr>
          <w:b/>
          <w:bCs/>
          <w:szCs w:val="24"/>
          <w:lang w:val="es-UY"/>
        </w:rPr>
      </w:pPr>
      <w:r>
        <w:rPr>
          <w:b/>
          <w:bCs/>
          <w:szCs w:val="24"/>
          <w:lang w:val="es-UY"/>
        </w:rPr>
      </w:r>
    </w:p>
    <w:p>
      <w:pPr>
        <w:pStyle w:val="style0"/>
        <w:spacing w:line="276" w:lineRule="auto"/>
        <w:jc w:val="both"/>
        <w:rPr>
          <w:b/>
          <w:bCs/>
          <w:szCs w:val="24"/>
          <w:lang w:val="es-UY"/>
        </w:rPr>
      </w:pPr>
      <w:r>
        <w:rPr>
          <w:b/>
          <w:bCs/>
          <w:szCs w:val="24"/>
          <w:lang w:val="es-UY"/>
        </w:rPr>
        <w:t>Art. 15.-</w:t>
      </w:r>
      <w:r>
        <w:rPr>
          <w:szCs w:val="24"/>
          <w:lang w:val="es-UY"/>
        </w:rPr>
        <w:t xml:space="preserve"> </w:t>
      </w:r>
      <w:r>
        <w:rPr>
          <w:b/>
          <w:bCs/>
          <w:szCs w:val="24"/>
          <w:lang w:val="es-UY"/>
        </w:rPr>
        <w:t>ESTUDIO DE LAS OFERTAS.</w:t>
      </w:r>
    </w:p>
    <w:p>
      <w:pPr>
        <w:pStyle w:val="style0"/>
        <w:spacing w:line="276" w:lineRule="auto"/>
        <w:ind w:firstLine="360" w:left="0" w:right="0"/>
        <w:jc w:val="both"/>
        <w:rPr>
          <w:b/>
          <w:bCs/>
          <w:szCs w:val="24"/>
          <w:lang w:val="es-UY"/>
        </w:rPr>
      </w:pPr>
      <w:r>
        <w:rPr>
          <w:szCs w:val="24"/>
          <w:lang w:val="es-UY"/>
        </w:rPr>
        <w:t xml:space="preserve">La Suprema Corte de Justicia se reserva el derecho de adoptar un </w:t>
      </w:r>
      <w:r>
        <w:rPr>
          <w:b/>
          <w:szCs w:val="24"/>
          <w:lang w:val="es-UY"/>
        </w:rPr>
        <w:t>criterio de evaluación</w:t>
      </w:r>
      <w:r>
        <w:rPr>
          <w:szCs w:val="24"/>
          <w:lang w:val="es-UY"/>
        </w:rPr>
        <w:t xml:space="preserve"> que permita tener en consideración</w:t>
      </w:r>
      <w:r>
        <w:rPr>
          <w:b/>
          <w:bCs/>
          <w:szCs w:val="24"/>
          <w:lang w:val="es-UY"/>
        </w:rPr>
        <w:t>, habiendo cumplido con los requisitos exigidos en el  presente pliego, se ponderará de la siguiente manera:</w:t>
      </w:r>
    </w:p>
    <w:p>
      <w:pPr>
        <w:pStyle w:val="style0"/>
        <w:numPr>
          <w:ilvl w:val="0"/>
          <w:numId w:val="2"/>
        </w:numPr>
        <w:spacing w:line="276" w:lineRule="auto"/>
        <w:jc w:val="both"/>
        <w:rPr>
          <w:b/>
          <w:bCs/>
          <w:szCs w:val="24"/>
          <w:lang w:val="es-UY"/>
        </w:rPr>
      </w:pPr>
      <w:r>
        <w:rPr>
          <w:b/>
          <w:bCs/>
          <w:szCs w:val="24"/>
          <w:lang w:val="es-UY"/>
        </w:rPr>
        <w:t>100 % precio</w:t>
      </w:r>
    </w:p>
    <w:p>
      <w:pPr>
        <w:pStyle w:val="style0"/>
        <w:spacing w:line="276" w:lineRule="auto"/>
        <w:ind w:firstLine="360" w:left="0" w:right="0"/>
        <w:jc w:val="both"/>
        <w:rPr>
          <w:b/>
          <w:szCs w:val="24"/>
          <w:lang w:val="es-UY"/>
        </w:rPr>
      </w:pPr>
      <w:r>
        <w:rPr>
          <w:szCs w:val="24"/>
          <w:lang w:val="es-UY"/>
        </w:rPr>
        <w:t xml:space="preserve">La Administración podrá </w:t>
      </w:r>
      <w:r>
        <w:rPr>
          <w:b/>
          <w:szCs w:val="24"/>
          <w:lang w:val="es-UY"/>
        </w:rPr>
        <w:t>adjudicar en forma parcial y podrá dividir la presente licitación</w:t>
      </w:r>
      <w:r>
        <w:rPr>
          <w:szCs w:val="24"/>
          <w:lang w:val="es-UY"/>
        </w:rPr>
        <w:t xml:space="preserve"> por ítem, entre distintos oferentes, de acuerdo con el</w:t>
      </w:r>
      <w:r>
        <w:rPr>
          <w:b/>
          <w:szCs w:val="24"/>
          <w:lang w:val="es-UY"/>
        </w:rPr>
        <w:t xml:space="preserve"> artículo 48 del TOCAF.</w:t>
      </w:r>
    </w:p>
    <w:p>
      <w:pPr>
        <w:pStyle w:val="style3"/>
        <w:spacing w:line="276" w:lineRule="auto"/>
        <w:jc w:val="both"/>
        <w:rPr>
          <w:lang w:val="es-UY"/>
        </w:rPr>
      </w:pPr>
      <w:r>
        <w:rPr>
          <w:lang w:val="es-UY"/>
        </w:rPr>
      </w:r>
    </w:p>
    <w:p>
      <w:pPr>
        <w:pStyle w:val="style3"/>
        <w:spacing w:line="276" w:lineRule="auto"/>
        <w:ind w:hanging="0" w:left="0" w:right="0"/>
        <w:jc w:val="both"/>
        <w:rPr>
          <w:lang w:val="es-UY"/>
        </w:rPr>
      </w:pPr>
      <w:r>
        <w:rPr>
          <w:lang w:val="es-UY"/>
        </w:rPr>
        <w:t>Art. 16.- DECLARACION Y VALOR DE LA INFORMACIÓN TÉCNICA PRESENTADA.</w:t>
      </w:r>
    </w:p>
    <w:p>
      <w:pPr>
        <w:pStyle w:val="style0"/>
        <w:spacing w:line="276" w:lineRule="auto"/>
        <w:ind w:firstLine="426" w:left="0" w:right="0"/>
        <w:jc w:val="both"/>
        <w:rPr>
          <w:szCs w:val="24"/>
          <w:lang w:eastAsia="es-ES"/>
        </w:rPr>
      </w:pPr>
      <w:r>
        <w:rPr>
          <w:szCs w:val="24"/>
          <w:lang w:eastAsia="es-ES"/>
        </w:rPr>
        <w:t xml:space="preserve">La sola </w:t>
      </w:r>
      <w:r>
        <w:rPr>
          <w:b/>
          <w:szCs w:val="24"/>
          <w:lang w:eastAsia="es-ES"/>
        </w:rPr>
        <w:t>presentación de cotización</w:t>
      </w:r>
      <w:r>
        <w:rPr>
          <w:szCs w:val="24"/>
          <w:lang w:eastAsia="es-ES"/>
        </w:rPr>
        <w:t xml:space="preserve"> se considerará como declaración de la empresa oferente de encontrarse en </w:t>
      </w:r>
      <w:r>
        <w:rPr>
          <w:b/>
          <w:szCs w:val="24"/>
          <w:lang w:eastAsia="es-ES"/>
        </w:rPr>
        <w:t>condiciones legales de contratar con el Estado</w:t>
      </w:r>
      <w:r>
        <w:rPr>
          <w:szCs w:val="24"/>
          <w:lang w:eastAsia="es-ES"/>
        </w:rPr>
        <w:t xml:space="preserve"> (art. 46 del TOCAF) y aceptar todas las condiciones establecidas en la convocatoria</w:t>
      </w:r>
    </w:p>
    <w:p>
      <w:pPr>
        <w:pStyle w:val="style0"/>
        <w:spacing w:line="276" w:lineRule="auto"/>
        <w:ind w:firstLine="426" w:left="0" w:right="0"/>
        <w:jc w:val="both"/>
        <w:rPr>
          <w:rFonts w:eastAsia="Bookman Old Style"/>
          <w:szCs w:val="24"/>
          <w:lang w:bidi="es-ES" w:eastAsia="es-ES" w:val="es-UY"/>
        </w:rPr>
      </w:pPr>
      <w:r>
        <w:rPr>
          <w:rFonts w:eastAsia="Bookman Old Style"/>
          <w:szCs w:val="24"/>
          <w:lang w:bidi="es-ES" w:eastAsia="es-ES" w:val="es-UY"/>
        </w:rPr>
        <w:t xml:space="preserve">Todos </w:t>
      </w:r>
      <w:r>
        <w:rPr>
          <w:rFonts w:eastAsia="Bookman Old Style"/>
          <w:b/>
          <w:szCs w:val="24"/>
          <w:lang w:bidi="es-ES" w:eastAsia="es-ES" w:val="es-UY"/>
        </w:rPr>
        <w:t>los datos indicados por el proponente referidos a los elementos contenidos en la oferta tendrán carácter de compromiso</w:t>
      </w:r>
      <w:r>
        <w:rPr>
          <w:rFonts w:eastAsia="Bookman Old Style"/>
          <w:szCs w:val="24"/>
          <w:lang w:bidi="es-ES" w:eastAsia="es-ES" w:val="es-UY"/>
        </w:rPr>
        <w:t>. Si se verifica que no responden estrictamente a lo establecido en la propuesta, la Administración podrá rechazarlos de plano, rescindiendo el contrato respectivo, sin que ello de lugar a reclamación de clase alguna.</w:t>
      </w:r>
    </w:p>
    <w:p>
      <w:pPr>
        <w:pStyle w:val="style0"/>
        <w:spacing w:line="276" w:lineRule="auto"/>
        <w:jc w:val="both"/>
        <w:rPr>
          <w:szCs w:val="24"/>
          <w:lang w:val="es-UY"/>
        </w:rPr>
      </w:pPr>
      <w:r>
        <w:rPr>
          <w:szCs w:val="24"/>
          <w:lang w:val="es-UY"/>
        </w:rPr>
      </w:r>
    </w:p>
    <w:p>
      <w:pPr>
        <w:pStyle w:val="style0"/>
        <w:widowControl w:val="false"/>
        <w:spacing w:line="276" w:lineRule="auto"/>
        <w:jc w:val="both"/>
        <w:rPr>
          <w:rFonts w:eastAsia="Bookman Old Style"/>
          <w:b/>
          <w:bCs/>
          <w:szCs w:val="24"/>
          <w:lang w:bidi="es-ES" w:eastAsia="es-ES" w:val="es-UY"/>
        </w:rPr>
      </w:pPr>
      <w:r>
        <w:rPr>
          <w:rFonts w:eastAsia="Bookman Old Style"/>
          <w:b/>
          <w:bCs/>
          <w:szCs w:val="24"/>
          <w:lang w:bidi="es-ES" w:eastAsia="es-ES" w:val="es-UY"/>
        </w:rPr>
        <w:t>Art. 17.- GARANTIA DE FIEL CUMPLIMIENTO DEL CONTRATO.</w:t>
      </w:r>
    </w:p>
    <w:p>
      <w:pPr>
        <w:pStyle w:val="style0"/>
        <w:widowControl w:val="false"/>
        <w:spacing w:line="276" w:lineRule="auto"/>
        <w:ind w:firstLine="426" w:left="0" w:right="0"/>
        <w:jc w:val="both"/>
        <w:rPr>
          <w:rFonts w:eastAsia="Bookman Old Style"/>
          <w:b/>
          <w:szCs w:val="24"/>
          <w:lang w:bidi="es-ES" w:eastAsia="es-ES" w:val="es-UY"/>
        </w:rPr>
      </w:pPr>
      <w:r>
        <w:rPr>
          <w:rFonts w:eastAsia="Bookman Old Style"/>
          <w:szCs w:val="24"/>
          <w:lang w:bidi="es-ES" w:eastAsia="es-ES" w:val="es-UY"/>
        </w:rPr>
        <w:t xml:space="preserve">Si correspondiere, dentro de los </w:t>
      </w:r>
      <w:r>
        <w:rPr>
          <w:rFonts w:eastAsia="Bookman Old Style"/>
          <w:b/>
          <w:bCs/>
          <w:szCs w:val="24"/>
          <w:lang w:bidi="es-ES" w:eastAsia="es-ES" w:val="es-UY"/>
        </w:rPr>
        <w:t xml:space="preserve">cinco </w:t>
      </w:r>
      <w:r>
        <w:rPr>
          <w:rFonts w:eastAsia="Bookman Old Style"/>
          <w:b/>
          <w:szCs w:val="24"/>
          <w:lang w:bidi="es-ES" w:eastAsia="es-ES" w:val="es-UY"/>
        </w:rPr>
        <w:t>días siguientes a la notificación de la adjudicación</w:t>
      </w:r>
      <w:r>
        <w:rPr>
          <w:rFonts w:eastAsia="Bookman Old Style"/>
          <w:szCs w:val="24"/>
          <w:lang w:bidi="es-ES" w:eastAsia="es-ES" w:val="es-UY"/>
        </w:rPr>
        <w:t xml:space="preserve"> o su ampliación, el adjudicatario deberá justificar la constitución de la </w:t>
      </w:r>
      <w:r>
        <w:rPr>
          <w:rFonts w:eastAsia="Bookman Old Style"/>
          <w:b/>
          <w:szCs w:val="24"/>
          <w:lang w:bidi="es-ES" w:eastAsia="es-ES" w:val="es-UY"/>
        </w:rPr>
        <w:t>garantía de cumplimiento de contrato</w:t>
      </w:r>
      <w:r>
        <w:rPr>
          <w:rFonts w:eastAsia="Bookman Old Style"/>
          <w:szCs w:val="24"/>
          <w:lang w:bidi="es-ES" w:eastAsia="es-ES" w:val="es-UY"/>
        </w:rPr>
        <w:t>, por un mínimo del</w:t>
      </w:r>
      <w:r>
        <w:rPr>
          <w:rFonts w:eastAsia="Bookman Old Style"/>
          <w:b/>
          <w:bCs/>
          <w:szCs w:val="24"/>
          <w:lang w:bidi="es-ES" w:eastAsia="es-ES" w:val="es-UY"/>
        </w:rPr>
        <w:t xml:space="preserve"> 5% </w:t>
      </w:r>
      <w:r>
        <w:rPr>
          <w:rFonts w:eastAsia="Bookman Old Style"/>
          <w:szCs w:val="24"/>
          <w:lang w:bidi="es-ES" w:eastAsia="es-ES" w:val="es-UY"/>
        </w:rPr>
        <w:t xml:space="preserve"> de la contratación, en los términos y condiciones previstos en el </w:t>
      </w:r>
      <w:r>
        <w:rPr>
          <w:rFonts w:eastAsia="Bookman Old Style"/>
          <w:b/>
          <w:szCs w:val="24"/>
          <w:lang w:bidi="es-ES" w:eastAsia="es-ES" w:val="es-UY"/>
        </w:rPr>
        <w:t>art. 64 del T.O.C.A.F.</w:t>
      </w:r>
    </w:p>
    <w:p>
      <w:pPr>
        <w:pStyle w:val="style0"/>
        <w:widowControl w:val="false"/>
        <w:spacing w:line="276" w:lineRule="auto"/>
        <w:jc w:val="both"/>
        <w:rPr>
          <w:rFonts w:eastAsia="Bookman Old Style"/>
          <w:szCs w:val="24"/>
          <w:lang w:bidi="es-ES" w:eastAsia="es-ES" w:val="es-UY"/>
        </w:rPr>
      </w:pPr>
      <w:r>
        <w:rPr>
          <w:rFonts w:eastAsia="Bookman Old Style"/>
          <w:szCs w:val="24"/>
          <w:lang w:bidi="es-ES" w:eastAsia="es-ES" w:val="es-UY"/>
        </w:rP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pPr>
        <w:pStyle w:val="style0"/>
        <w:widowControl w:val="false"/>
        <w:spacing w:line="276" w:lineRule="auto"/>
        <w:jc w:val="both"/>
        <w:rPr>
          <w:rFonts w:eastAsia="Bookman Old Style"/>
          <w:szCs w:val="24"/>
          <w:lang w:bidi="es-ES" w:eastAsia="es-ES" w:val="es-UY"/>
        </w:rPr>
      </w:pPr>
      <w:r>
        <w:rPr>
          <w:rFonts w:eastAsia="Bookman Old Style"/>
          <w:szCs w:val="24"/>
          <w:lang w:bidi="es-ES" w:eastAsia="es-ES" w:val="es-UY"/>
        </w:rPr>
        <w:tab/>
        <w:t xml:space="preserve">Todas las garantías se presentarán en el </w:t>
      </w:r>
      <w:r>
        <w:rPr>
          <w:rFonts w:eastAsia="Bookman Old Style"/>
          <w:b/>
          <w:bCs/>
          <w:szCs w:val="24"/>
          <w:lang w:bidi="es-ES" w:eastAsia="es-ES" w:val="es-UY"/>
        </w:rPr>
        <w:t>Departamento de Tesorería del Poder Judicial sito en la calle Paraguay 1291, 1er. Piso, en el horario de 13 a 17 horas.</w:t>
      </w:r>
      <w:r>
        <w:rPr>
          <w:rFonts w:eastAsia="Bookman Old Style"/>
          <w:szCs w:val="24"/>
          <w:lang w:bidi="es-ES" w:eastAsia="es-ES" w:val="es-UY"/>
        </w:rPr>
        <w:t xml:space="preserve"> Deberán ser emitidas con cláusulas que contemplen su vigencia hasta el cumplimiento total de las obligaciones contractuales que ampara.</w:t>
      </w:r>
    </w:p>
    <w:p>
      <w:pPr>
        <w:pStyle w:val="style0"/>
        <w:widowControl w:val="false"/>
        <w:spacing w:line="276" w:lineRule="auto"/>
        <w:jc w:val="both"/>
        <w:rPr>
          <w:rFonts w:eastAsia="Bookman Old Style"/>
          <w:szCs w:val="24"/>
          <w:lang w:bidi="es-ES" w:eastAsia="es-ES" w:val="es-UY"/>
        </w:rPr>
      </w:pPr>
      <w:r>
        <w:rPr>
          <w:rFonts w:eastAsia="Bookman Old Style"/>
          <w:szCs w:val="24"/>
          <w:lang w:bidi="es-ES" w:eastAsia="es-ES" w:val="es-UY"/>
        </w:rPr>
        <w:tab/>
        <w:t>La Administración se reserva el derecho de aceptar o rechazar, a su exclusivo juicio, los documentos que constituyan garantías.</w:t>
      </w:r>
    </w:p>
    <w:p>
      <w:pPr>
        <w:pStyle w:val="style0"/>
        <w:widowControl w:val="false"/>
        <w:spacing w:line="276" w:lineRule="auto"/>
        <w:jc w:val="both"/>
        <w:rPr>
          <w:rFonts w:eastAsia="Bookman Old Style"/>
          <w:b/>
          <w:bCs/>
          <w:szCs w:val="24"/>
          <w:lang w:bidi="es-ES" w:eastAsia="es-ES" w:val="es-UY"/>
        </w:rPr>
      </w:pPr>
      <w:r>
        <w:rPr>
          <w:rFonts w:eastAsia="Bookman Old Style"/>
          <w:szCs w:val="24"/>
          <w:lang w:bidi="es-ES" w:eastAsia="es-ES" w:val="es-UY"/>
        </w:rPr>
        <w:tab/>
        <w:t xml:space="preserve">Las garantías se constituirán a la orden del Poder Judicial, y podrán consistir en depósito en efectivo, fianza, aval bancario o póliza de seguro de fianza. </w:t>
      </w:r>
      <w:r>
        <w:rPr>
          <w:rFonts w:eastAsia="Bookman Old Style"/>
          <w:b/>
          <w:bCs/>
          <w:szCs w:val="24"/>
          <w:lang w:bidi="es-ES" w:eastAsia="es-ES" w:val="es-UY"/>
        </w:rPr>
        <w:t xml:space="preserve">No se admitirán garantías personales de especie alguna. </w:t>
      </w:r>
    </w:p>
    <w:p>
      <w:pPr>
        <w:pStyle w:val="style0"/>
        <w:widowControl w:val="false"/>
        <w:spacing w:line="276" w:lineRule="auto"/>
        <w:jc w:val="both"/>
        <w:rPr>
          <w:rFonts w:eastAsia="Bookman Old Style"/>
          <w:szCs w:val="24"/>
          <w:lang w:bidi="es-ES" w:eastAsia="es-ES" w:val="es-UY"/>
        </w:rPr>
      </w:pPr>
      <w:r>
        <w:rPr>
          <w:rFonts w:eastAsia="Bookman Old Style"/>
          <w:szCs w:val="24"/>
          <w:lang w:bidi="es-ES" w:eastAsia="es-ES" w:val="es-UY"/>
        </w:rPr>
        <w:tab/>
        <w:t>Se podrá integrar la garantía en más de una de las modalidades indicadas, siempre que todas ellas sean constituidas a nombre del Poder Judicial y que cubran la cantidad exigida en cada relación contractual.</w:t>
      </w:r>
    </w:p>
    <w:p>
      <w:pPr>
        <w:pStyle w:val="style0"/>
        <w:widowControl w:val="false"/>
        <w:spacing w:line="276" w:lineRule="auto"/>
        <w:jc w:val="both"/>
        <w:rPr>
          <w:rFonts w:eastAsia="Bookman Old Style"/>
          <w:szCs w:val="24"/>
          <w:lang w:bidi="es-ES" w:eastAsia="es-ES" w:val="es-UY"/>
        </w:rPr>
      </w:pPr>
      <w:r>
        <w:rPr>
          <w:rFonts w:eastAsia="Bookman Old Style"/>
          <w:szCs w:val="24"/>
          <w:lang w:bidi="es-ES" w:eastAsia="es-ES" w:val="es-UY"/>
        </w:rPr>
        <w:tab/>
        <w:t>El documento justificativo de la constitución de garantías deberá contener necesariamente el número de licitación y el organismo que realizó el llamado.</w:t>
      </w:r>
    </w:p>
    <w:p>
      <w:pPr>
        <w:pStyle w:val="style0"/>
        <w:widowControl w:val="false"/>
        <w:spacing w:line="276" w:lineRule="auto"/>
        <w:jc w:val="both"/>
        <w:rPr>
          <w:rFonts w:eastAsia="Bookman Old Style"/>
          <w:szCs w:val="24"/>
          <w:lang w:bidi="es-ES" w:eastAsia="es-ES" w:val="es-UY"/>
        </w:rPr>
      </w:pPr>
      <w:r>
        <w:rPr>
          <w:rFonts w:eastAsia="Bookman Old Style"/>
          <w:szCs w:val="24"/>
          <w:lang w:bidi="es-ES" w:eastAsia="es-ES" w:val="es-UY"/>
        </w:rPr>
        <w:tab/>
        <w:t xml:space="preserve">Para el caso de corresponder </w:t>
      </w:r>
      <w:r>
        <w:rPr>
          <w:rFonts w:eastAsia="Bookman Old Style"/>
          <w:b/>
          <w:szCs w:val="24"/>
          <w:lang w:bidi="es-ES" w:eastAsia="es-ES" w:val="es-UY"/>
        </w:rPr>
        <w:t>devolución de garantías</w:t>
      </w:r>
      <w:r>
        <w:rPr>
          <w:rFonts w:eastAsia="Bookman Old Style"/>
          <w:szCs w:val="24"/>
          <w:lang w:bidi="es-ES" w:eastAsia="es-ES" w:val="es-UY"/>
        </w:rPr>
        <w:t xml:space="preserve"> se procederá de la siguiente manera: </w:t>
      </w:r>
    </w:p>
    <w:p>
      <w:pPr>
        <w:pStyle w:val="style39"/>
        <w:spacing w:line="276" w:lineRule="auto"/>
        <w:jc w:val="both"/>
        <w:rPr>
          <w:rFonts w:cs="Times New Roman"/>
          <w:lang w:bidi="es-ES" w:eastAsia="es-ES" w:val="es-UY"/>
        </w:rPr>
      </w:pPr>
      <w:r>
        <w:rPr>
          <w:rFonts w:cs="Times New Roman"/>
          <w:b/>
          <w:bCs/>
        </w:rPr>
        <w:tab/>
      </w:r>
      <w:r>
        <w:rPr>
          <w:rFonts w:cs="Times New Roman"/>
          <w:bCs/>
          <w:lang w:bidi="es-ES" w:eastAsia="es-ES" w:val="es-UY"/>
        </w:rPr>
        <w:t>I)</w:t>
      </w:r>
      <w:r>
        <w:rPr>
          <w:rFonts w:cs="Times New Roman"/>
          <w:b/>
          <w:bCs/>
          <w:lang w:bidi="es-ES" w:eastAsia="es-ES" w:val="es-UY"/>
        </w:rPr>
        <w:t xml:space="preserve"> </w:t>
      </w:r>
      <w:r>
        <w:rPr>
          <w:rFonts w:cs="Times New Roman"/>
          <w:lang w:bidi="es-ES" w:eastAsia="es-ES" w:val="es-UY"/>
        </w:rPr>
        <w:t>En caso que el oferente no sea adjudicataria o que se haya perfeccionado el cumplimiento del presente llamado, la empresa dispondrá de un plazo de 90 días para poder retirar el depósito de garantía. Si así no lo hiciera, el Departamento de Tesorería podrá disponer el archivo de los mismos.</w:t>
      </w:r>
    </w:p>
    <w:p>
      <w:pPr>
        <w:pStyle w:val="style0"/>
        <w:spacing w:line="276" w:lineRule="auto"/>
        <w:jc w:val="both"/>
        <w:rPr>
          <w:rFonts w:eastAsia="Bookman Old Style"/>
          <w:bCs/>
          <w:szCs w:val="24"/>
          <w:lang w:bidi="es-ES" w:eastAsia="es-ES" w:val="es-UY"/>
        </w:rPr>
      </w:pPr>
      <w:r>
        <w:rPr>
          <w:rFonts w:eastAsia="Bookman Old Style"/>
          <w:b/>
          <w:bCs/>
          <w:szCs w:val="24"/>
          <w:lang w:bidi="es-ES" w:eastAsia="es-ES" w:val="es-UY"/>
        </w:rPr>
        <w:tab/>
      </w:r>
      <w:r>
        <w:rPr>
          <w:rFonts w:eastAsia="Bookman Old Style"/>
          <w:bCs/>
          <w:szCs w:val="24"/>
          <w:lang w:bidi="es-ES" w:eastAsia="es-ES" w:val="es-UY"/>
        </w:rPr>
        <w:t>II)</w:t>
      </w:r>
      <w:r>
        <w:rPr>
          <w:rFonts w:eastAsia="Bookman Old Style"/>
          <w:b/>
          <w:bCs/>
          <w:szCs w:val="24"/>
          <w:lang w:bidi="es-ES" w:eastAsia="es-ES" w:val="es-UY"/>
        </w:rPr>
        <w:t xml:space="preserve"> </w:t>
      </w:r>
      <w:r>
        <w:rPr>
          <w:rFonts w:eastAsia="Bookman Old Style"/>
          <w:bCs/>
          <w:szCs w:val="24"/>
          <w:lang w:bidi="es-ES" w:eastAsia="es-ES" w:val="es-UY"/>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pPr>
        <w:pStyle w:val="style0"/>
        <w:widowControl w:val="false"/>
        <w:spacing w:line="276" w:lineRule="auto"/>
        <w:jc w:val="both"/>
        <w:rPr>
          <w:rFonts w:eastAsia="Bookman Old Style"/>
          <w:szCs w:val="24"/>
          <w:lang w:bidi="es-ES" w:eastAsia="es-ES" w:val="es-UY"/>
        </w:rPr>
      </w:pPr>
      <w:r>
        <w:rPr>
          <w:rFonts w:eastAsia="Bookman Old Style"/>
          <w:szCs w:val="24"/>
          <w:lang w:bidi="es-ES" w:eastAsia="es-ES" w:val="es-UY"/>
        </w:rPr>
      </w:r>
    </w:p>
    <w:p>
      <w:pPr>
        <w:pStyle w:val="style0"/>
        <w:keepNext/>
        <w:widowControl w:val="false"/>
        <w:spacing w:line="276" w:lineRule="auto"/>
        <w:jc w:val="both"/>
        <w:rPr>
          <w:rFonts w:eastAsia="Bookman Old Style"/>
          <w:b/>
          <w:bCs/>
          <w:szCs w:val="24"/>
          <w:lang w:bidi="es-ES" w:eastAsia="es-ES" w:val="es-UY"/>
        </w:rPr>
      </w:pPr>
      <w:r>
        <w:rPr>
          <w:rFonts w:eastAsia="Bookman Old Style"/>
          <w:b/>
          <w:bCs/>
          <w:szCs w:val="24"/>
          <w:lang w:bidi="es-ES" w:eastAsia="es-ES" w:val="es-UY"/>
        </w:rPr>
        <w:t xml:space="preserve">Art. 18.- EXENCIÓN DE RESPONSABILIDAD E INTERPRETACION. </w:t>
      </w:r>
    </w:p>
    <w:p>
      <w:pPr>
        <w:pStyle w:val="style0"/>
        <w:widowControl w:val="false"/>
        <w:spacing w:line="276" w:lineRule="auto"/>
        <w:jc w:val="both"/>
        <w:rPr>
          <w:rFonts w:eastAsia="Bookman Old Style"/>
          <w:szCs w:val="24"/>
          <w:lang w:bidi="es-ES" w:eastAsia="es-ES" w:val="es-UY"/>
        </w:rPr>
      </w:pPr>
      <w:r>
        <w:rPr>
          <w:rFonts w:eastAsia="Bookman Old Style"/>
          <w:b/>
          <w:bCs/>
          <w:szCs w:val="24"/>
          <w:lang w:bidi="es-ES" w:eastAsia="es-ES" w:val="es-UY"/>
        </w:rPr>
        <w:tab/>
      </w:r>
      <w:r>
        <w:rPr>
          <w:rFonts w:eastAsia="Bookman Old Style"/>
          <w:b/>
          <w:szCs w:val="24"/>
          <w:lang w:bidi="es-ES" w:eastAsia="es-ES" w:val="es-UY"/>
        </w:rPr>
        <w:t>La Administración podrá desistir del llamado en cualquier etapa de su realización</w:t>
      </w:r>
      <w:r>
        <w:rPr>
          <w:rFonts w:eastAsia="Bookman Old Style"/>
          <w:szCs w:val="24"/>
          <w:lang w:bidi="es-ES" w:eastAsia="es-ES" w:val="es-UY"/>
        </w:rPr>
        <w:t xml:space="preserve">, o podrá desestimar todas las ofertas. Ninguna de estas decisiones generará derecho alguno de los participantes a reclamar por gastos, honorarios o indemnizaciones por daños y perjuicios. </w:t>
      </w:r>
    </w:p>
    <w:p>
      <w:pPr>
        <w:pStyle w:val="style0"/>
        <w:widowControl w:val="false"/>
        <w:spacing w:line="276" w:lineRule="auto"/>
        <w:jc w:val="both"/>
        <w:rPr>
          <w:rFonts w:eastAsia="Bookman Old Style"/>
          <w:szCs w:val="24"/>
          <w:lang w:bidi="es-ES" w:eastAsia="es-ES" w:val="es-UY"/>
        </w:rPr>
      </w:pPr>
      <w:r>
        <w:rPr>
          <w:rFonts w:eastAsia="Bookman Old Style"/>
          <w:szCs w:val="24"/>
          <w:lang w:bidi="es-ES" w:eastAsia="es-ES" w:val="es-UY"/>
        </w:rPr>
        <w:tab/>
        <w:t>Toda cláusula imprecisa, ambigua, contradictoria u oscura a criterio de la Administración, se interpretará en el sentido más favorable a ésta.</w:t>
      </w:r>
    </w:p>
    <w:sectPr>
      <w:type w:val="nextPage"/>
      <w:pgSz w:h="16838" w:w="11906"/>
      <w:pgMar w:bottom="1134" w:footer="0" w:gutter="0" w:header="0" w:left="2381" w:right="907" w:top="238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Bookman Old Style">
    <w:charset w:val="00"/>
    <w:family w:val="roman"/>
    <w:pitch w:val="variable"/>
  </w:font>
  <w:font w:name="Courier">
    <w:altName w:val="Courier New"/>
    <w:charset w:val="00"/>
    <w:family w:val="roman"/>
    <w:pitch w:val="variable"/>
  </w:font>
  <w:font w:name="Cambria">
    <w:charset w:val="00"/>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1423"/>
      </w:pPr>
      <w:rPr>
        <w:rFonts w:ascii="Wingdings" w:cs="Wingdings" w:hAnsi="Wingdings" w:hint="default"/>
      </w:rPr>
    </w:lvl>
    <w:lvl w:ilvl="1">
      <w:start w:val="1"/>
      <w:numFmt w:val="bullet"/>
      <w:lvlText w:val="o"/>
      <w:lvlJc w:val="left"/>
      <w:pPr>
        <w:ind w:hanging="360" w:left="2143"/>
      </w:pPr>
      <w:rPr>
        <w:rFonts w:ascii="Courier New" w:cs="Courier New" w:hAnsi="Courier New" w:hint="default"/>
      </w:rPr>
    </w:lvl>
    <w:lvl w:ilvl="2">
      <w:start w:val="1"/>
      <w:numFmt w:val="bullet"/>
      <w:lvlText w:val=""/>
      <w:lvlJc w:val="left"/>
      <w:pPr>
        <w:ind w:hanging="360" w:left="2863"/>
      </w:pPr>
      <w:rPr>
        <w:rFonts w:ascii="Wingdings" w:cs="Wingdings" w:hAnsi="Wingdings" w:hint="default"/>
      </w:rPr>
    </w:lvl>
    <w:lvl w:ilvl="3">
      <w:start w:val="1"/>
      <w:numFmt w:val="bullet"/>
      <w:lvlText w:val=""/>
      <w:lvlJc w:val="left"/>
      <w:pPr>
        <w:ind w:hanging="360" w:left="3583"/>
      </w:pPr>
      <w:rPr>
        <w:rFonts w:ascii="Symbol" w:cs="Symbol" w:hAnsi="Symbol" w:hint="default"/>
      </w:rPr>
    </w:lvl>
    <w:lvl w:ilvl="4">
      <w:start w:val="1"/>
      <w:numFmt w:val="bullet"/>
      <w:lvlText w:val="o"/>
      <w:lvlJc w:val="left"/>
      <w:pPr>
        <w:ind w:hanging="360" w:left="4303"/>
      </w:pPr>
      <w:rPr>
        <w:rFonts w:ascii="Courier New" w:cs="Courier New" w:hAnsi="Courier New" w:hint="default"/>
      </w:rPr>
    </w:lvl>
    <w:lvl w:ilvl="5">
      <w:start w:val="1"/>
      <w:numFmt w:val="bullet"/>
      <w:lvlText w:val=""/>
      <w:lvlJc w:val="left"/>
      <w:pPr>
        <w:ind w:hanging="360" w:left="5023"/>
      </w:pPr>
      <w:rPr>
        <w:rFonts w:ascii="Wingdings" w:cs="Wingdings" w:hAnsi="Wingdings" w:hint="default"/>
      </w:rPr>
    </w:lvl>
    <w:lvl w:ilvl="6">
      <w:start w:val="1"/>
      <w:numFmt w:val="bullet"/>
      <w:lvlText w:val=""/>
      <w:lvlJc w:val="left"/>
      <w:pPr>
        <w:ind w:hanging="360" w:left="5743"/>
      </w:pPr>
      <w:rPr>
        <w:rFonts w:ascii="Symbol" w:cs="Symbol" w:hAnsi="Symbol" w:hint="default"/>
      </w:rPr>
    </w:lvl>
    <w:lvl w:ilvl="7">
      <w:start w:val="1"/>
      <w:numFmt w:val="bullet"/>
      <w:lvlText w:val="o"/>
      <w:lvlJc w:val="left"/>
      <w:pPr>
        <w:ind w:hanging="360" w:left="6463"/>
      </w:pPr>
      <w:rPr>
        <w:rFonts w:ascii="Courier New" w:cs="Courier New" w:hAnsi="Courier New" w:hint="default"/>
      </w:rPr>
    </w:lvl>
    <w:lvl w:ilvl="8">
      <w:start w:val="1"/>
      <w:numFmt w:val="bullet"/>
      <w:lvlText w:val=""/>
      <w:lvlJc w:val="left"/>
      <w:pPr>
        <w:ind w:hanging="360" w:left="7183"/>
      </w:pPr>
      <w:rPr>
        <w:rFonts w:ascii="Wingdings" w:cs="Wingdings" w:hAnsi="Wingdings" w:hint="default"/>
      </w:r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Bookman Old Style" w:cs="Times New Roman" w:eastAsia="Times New Roman" w:hAnsi="Bookman Old Style"/>
      <w:color w:val="auto"/>
      <w:sz w:val="24"/>
      <w:szCs w:val="20"/>
      <w:lang w:bidi="ar-SA" w:eastAsia="ar-SA" w:val="es-ES"/>
    </w:rPr>
  </w:style>
  <w:style w:styleId="style1" w:type="paragraph">
    <w:name w:val="Encabezado 1"/>
    <w:basedOn w:val="style0"/>
    <w:next w:val="style1"/>
    <w:pPr>
      <w:keepNext/>
      <w:tabs>
        <w:tab w:leader="none" w:pos="432" w:val="left"/>
      </w:tabs>
      <w:spacing w:line="240" w:lineRule="exact"/>
      <w:ind w:hanging="432" w:left="432" w:right="0"/>
      <w:jc w:val="both"/>
    </w:pPr>
    <w:rPr>
      <w:rFonts w:ascii="Courier" w:hAnsi="Courier"/>
      <w:b/>
      <w:bCs/>
      <w:szCs w:val="24"/>
    </w:rPr>
  </w:style>
  <w:style w:styleId="style3" w:type="paragraph">
    <w:name w:val="Encabezado 3"/>
    <w:basedOn w:val="style0"/>
    <w:next w:val="style3"/>
    <w:pPr>
      <w:keepNext/>
      <w:tabs>
        <w:tab w:leader="none" w:pos="720" w:val="left"/>
      </w:tabs>
      <w:ind w:hanging="720" w:left="720" w:right="0"/>
    </w:pPr>
    <w:rPr>
      <w:b/>
      <w:bCs/>
      <w:szCs w:val="24"/>
      <w:lang w:val="es-ES"/>
    </w:rPr>
  </w:style>
  <w:style w:styleId="style4" w:type="paragraph">
    <w:name w:val="Encabezado 4"/>
    <w:basedOn w:val="style0"/>
    <w:next w:val="style4"/>
    <w:pPr>
      <w:keepNext/>
      <w:tabs>
        <w:tab w:leader="none" w:pos="864" w:val="left"/>
      </w:tabs>
      <w:spacing w:line="260" w:lineRule="exact"/>
      <w:ind w:hanging="864" w:left="864" w:right="0"/>
      <w:jc w:val="both"/>
    </w:pPr>
    <w:rPr>
      <w:b/>
      <w:bCs/>
      <w:sz w:val="22"/>
      <w:szCs w:val="22"/>
    </w:rPr>
  </w:style>
  <w:style w:styleId="style15" w:type="character">
    <w:name w:val="Default Paragraph Font"/>
    <w:next w:val="style15"/>
    <w:rPr/>
  </w:style>
  <w:style w:styleId="style16" w:type="character">
    <w:name w:val="Título 1 Car"/>
    <w:basedOn w:val="style15"/>
    <w:next w:val="style16"/>
    <w:rPr>
      <w:rFonts w:ascii="Courier" w:cs="Times New Roman" w:eastAsia="Times New Roman" w:hAnsi="Courier"/>
      <w:b/>
      <w:bCs/>
      <w:sz w:val="24"/>
      <w:szCs w:val="24"/>
      <w:lang w:eastAsia="ar-SA" w:val="es-ES"/>
    </w:rPr>
  </w:style>
  <w:style w:styleId="style17" w:type="character">
    <w:name w:val="Título 3 Car"/>
    <w:basedOn w:val="style15"/>
    <w:next w:val="style17"/>
    <w:rPr>
      <w:rFonts w:ascii="Bookman Old Style" w:cs="Times New Roman" w:eastAsia="Times New Roman" w:hAnsi="Bookman Old Style"/>
      <w:b/>
      <w:bCs/>
      <w:sz w:val="24"/>
      <w:szCs w:val="24"/>
      <w:lang w:eastAsia="ar-SA" w:val="es-ES"/>
    </w:rPr>
  </w:style>
  <w:style w:styleId="style18" w:type="character">
    <w:name w:val="Título 4 Car"/>
    <w:basedOn w:val="style15"/>
    <w:next w:val="style18"/>
    <w:rPr>
      <w:rFonts w:ascii="Bookman Old Style" w:cs="Times New Roman" w:eastAsia="Times New Roman" w:hAnsi="Bookman Old Style"/>
      <w:b/>
      <w:bCs/>
      <w:lang w:eastAsia="ar-SA" w:val="es-ES"/>
    </w:rPr>
  </w:style>
  <w:style w:styleId="style19" w:type="character">
    <w:name w:val="Enlace de Internet"/>
    <w:next w:val="style19"/>
    <w:rPr>
      <w:color w:val="0000FF"/>
      <w:u w:val="single"/>
      <w:lang w:bidi="zxx-" w:eastAsia="zxx-" w:val="zxx-"/>
    </w:rPr>
  </w:style>
  <w:style w:styleId="style20" w:type="character">
    <w:name w:val="Fuente de párrafo predeter.2"/>
    <w:next w:val="style20"/>
    <w:rPr/>
  </w:style>
  <w:style w:styleId="style21" w:type="character">
    <w:name w:val="Texto independiente Car"/>
    <w:basedOn w:val="style15"/>
    <w:next w:val="style21"/>
    <w:rPr>
      <w:rFonts w:ascii="Courier" w:cs="Times New Roman" w:eastAsia="Times New Roman" w:hAnsi="Courier"/>
      <w:sz w:val="24"/>
      <w:szCs w:val="24"/>
      <w:lang w:eastAsia="ar-SA" w:val="es-ES"/>
    </w:rPr>
  </w:style>
  <w:style w:styleId="style22" w:type="character">
    <w:name w:val="Título Car"/>
    <w:basedOn w:val="style15"/>
    <w:next w:val="style22"/>
    <w:rPr>
      <w:rFonts w:ascii="Bookman Old Style" w:cs="Times New Roman" w:eastAsia="Times New Roman" w:hAnsi="Bookman Old Style"/>
      <w:b/>
      <w:bCs/>
      <w:lang w:eastAsia="ar-SA" w:val="es-ES"/>
    </w:rPr>
  </w:style>
  <w:style w:styleId="style23" w:type="character">
    <w:name w:val="Subtítulo Car"/>
    <w:basedOn w:val="style15"/>
    <w:next w:val="style23"/>
    <w:rPr>
      <w:rFonts w:ascii="Cambria" w:cs="" w:hAnsi="Cambria"/>
      <w:i/>
      <w:iCs/>
      <w:color w:val="4F81BD"/>
      <w:spacing w:val="15"/>
      <w:sz w:val="24"/>
      <w:szCs w:val="24"/>
      <w:lang w:eastAsia="ar-SA" w:val="es-ES"/>
    </w:rPr>
  </w:style>
  <w:style w:styleId="style24" w:type="character">
    <w:name w:val="ListLabel 1"/>
    <w:next w:val="style24"/>
    <w:rPr>
      <w:b/>
    </w:rPr>
  </w:style>
  <w:style w:styleId="style25" w:type="character">
    <w:name w:val="ListLabel 2"/>
    <w:next w:val="style25"/>
    <w:rPr>
      <w:rFonts w:cs="Courier New"/>
    </w:rPr>
  </w:style>
  <w:style w:styleId="style26" w:type="character">
    <w:name w:val="ListLabel 3"/>
    <w:next w:val="style26"/>
    <w:rPr>
      <w:rFonts w:cs="Times New Roman" w:eastAsia="Times New Roman"/>
    </w:rPr>
  </w:style>
  <w:style w:styleId="style27" w:type="paragraph">
    <w:name w:val="Encabezado"/>
    <w:basedOn w:val="style0"/>
    <w:next w:val="style28"/>
    <w:pPr>
      <w:keepNext/>
      <w:spacing w:after="120" w:before="240"/>
      <w:contextualSpacing w:val="false"/>
    </w:pPr>
    <w:rPr>
      <w:rFonts w:ascii="Arial" w:cs="Droid Sans Devanagari" w:eastAsia="Droid Sans Fallback" w:hAnsi="Arial"/>
      <w:sz w:val="28"/>
      <w:szCs w:val="28"/>
    </w:rPr>
  </w:style>
  <w:style w:styleId="style28" w:type="paragraph">
    <w:name w:val="Cuerpo de texto"/>
    <w:basedOn w:val="style0"/>
    <w:next w:val="style28"/>
    <w:pPr>
      <w:spacing w:line="240" w:lineRule="exact"/>
      <w:jc w:val="both"/>
    </w:pPr>
    <w:rPr>
      <w:rFonts w:ascii="Courier" w:hAnsi="Courier"/>
      <w:szCs w:val="24"/>
    </w:rPr>
  </w:style>
  <w:style w:styleId="style29" w:type="paragraph">
    <w:name w:val="Lista"/>
    <w:basedOn w:val="style28"/>
    <w:next w:val="style29"/>
    <w:pPr/>
    <w:rPr>
      <w:rFonts w:cs="Droid Sans Devanagari"/>
    </w:rPr>
  </w:style>
  <w:style w:styleId="style30" w:type="paragraph">
    <w:name w:val="Pie"/>
    <w:basedOn w:val="style0"/>
    <w:next w:val="style30"/>
    <w:pPr>
      <w:suppressLineNumbers/>
      <w:spacing w:after="120" w:before="120"/>
      <w:contextualSpacing w:val="false"/>
    </w:pPr>
    <w:rPr>
      <w:rFonts w:cs="Droid Sans Devanagari"/>
      <w:i/>
      <w:iCs/>
      <w:sz w:val="24"/>
      <w:szCs w:val="24"/>
    </w:rPr>
  </w:style>
  <w:style w:styleId="style31" w:type="paragraph">
    <w:name w:val="Índice"/>
    <w:basedOn w:val="style0"/>
    <w:next w:val="style31"/>
    <w:pPr>
      <w:suppressLineNumbers/>
    </w:pPr>
    <w:rPr>
      <w:rFonts w:cs="Droid Sans Devanagari"/>
    </w:rPr>
  </w:style>
  <w:style w:styleId="style32" w:type="paragraph">
    <w:name w:val="Título"/>
    <w:basedOn w:val="style0"/>
    <w:next w:val="style32"/>
    <w:pPr>
      <w:spacing w:line="260" w:lineRule="exact"/>
      <w:jc w:val="center"/>
    </w:pPr>
    <w:rPr>
      <w:b/>
      <w:bCs/>
      <w:sz w:val="22"/>
      <w:szCs w:val="22"/>
    </w:rPr>
  </w:style>
  <w:style w:styleId="style33" w:type="paragraph">
    <w:name w:val="Normal1"/>
    <w:next w:val="style33"/>
    <w:pPr>
      <w:widowControl/>
      <w:suppressAutoHyphens w:val="true"/>
      <w:spacing w:after="0" w:before="0" w:line="100" w:lineRule="atLeast"/>
      <w:contextualSpacing w:val="false"/>
    </w:pPr>
    <w:rPr>
      <w:rFonts w:ascii="Times New Roman" w:cs="Times New Roman" w:eastAsia="Arial" w:hAnsi="Times New Roman"/>
      <w:color w:val="auto"/>
      <w:sz w:val="24"/>
      <w:szCs w:val="20"/>
      <w:lang w:bidi="ar-SA" w:eastAsia="ar-SA" w:val="es-ES"/>
    </w:rPr>
  </w:style>
  <w:style w:styleId="style34" w:type="paragraph">
    <w:name w:val="Normal (Web)"/>
    <w:basedOn w:val="style0"/>
    <w:next w:val="style34"/>
    <w:pPr>
      <w:spacing w:after="119" w:before="280"/>
      <w:contextualSpacing w:val="false"/>
    </w:pPr>
    <w:rPr>
      <w:rFonts w:ascii="Times New Roman" w:hAnsi="Times New Roman"/>
      <w:szCs w:val="24"/>
      <w:lang w:val="es-UY"/>
    </w:rPr>
  </w:style>
  <w:style w:styleId="style35" w:type="paragraph">
    <w:name w:val="List Paragraph"/>
    <w:basedOn w:val="style0"/>
    <w:next w:val="style35"/>
    <w:pPr>
      <w:ind w:hanging="0" w:left="708" w:right="0"/>
    </w:pPr>
    <w:rPr/>
  </w:style>
  <w:style w:styleId="style36" w:type="paragraph">
    <w:name w:val="Standard (user)"/>
    <w:next w:val="style36"/>
    <w:pPr>
      <w:widowControl w:val="false"/>
      <w:suppressAutoHyphens w:val="true"/>
      <w:spacing w:after="0" w:before="0" w:line="100" w:lineRule="atLeast"/>
      <w:contextualSpacing w:val="false"/>
      <w:textAlignment w:val="baseline"/>
    </w:pPr>
    <w:rPr>
      <w:rFonts w:ascii="Bookman Old Style" w:cs="Bookman Old Style" w:eastAsia="Bookman Old Style" w:hAnsi="Bookman Old Style"/>
      <w:color w:val="auto"/>
      <w:sz w:val="24"/>
      <w:szCs w:val="24"/>
      <w:lang w:bidi="hi-IN" w:eastAsia="zh-CN" w:val="es-ES"/>
    </w:rPr>
  </w:style>
  <w:style w:styleId="style37" w:type="paragraph">
    <w:name w:val="Subtítulo"/>
    <w:basedOn w:val="style0"/>
    <w:next w:val="style37"/>
    <w:pPr>
      <w:jc w:val="left"/>
    </w:pPr>
    <w:rPr>
      <w:rFonts w:ascii="Cambria" w:cs="" w:hAnsi="Cambria"/>
      <w:i/>
      <w:iCs/>
      <w:color w:val="4F81BD"/>
      <w:spacing w:val="15"/>
      <w:szCs w:val="24"/>
    </w:rPr>
  </w:style>
  <w:style w:styleId="style38" w:type="paragraph">
    <w:name w:val="Default"/>
    <w:next w:val="style38"/>
    <w:pPr>
      <w:widowControl/>
      <w:suppressAutoHyphens w:val="true"/>
      <w:spacing w:after="0" w:before="0" w:line="100" w:lineRule="atLeast"/>
      <w:contextualSpacing w:val="false"/>
    </w:pPr>
    <w:rPr>
      <w:rFonts w:ascii="Times New Roman" w:cs="Times New Roman" w:eastAsia="Calibri" w:hAnsi="Times New Roman"/>
      <w:color w:val="000000"/>
      <w:sz w:val="24"/>
      <w:szCs w:val="24"/>
      <w:lang w:bidi="ar-SA" w:eastAsia="en-US" w:val="es-UY"/>
    </w:rPr>
  </w:style>
  <w:style w:styleId="style39" w:type="paragraph">
    <w:name w:val="Standard"/>
    <w:next w:val="style39"/>
    <w:pPr>
      <w:widowControl w:val="false"/>
      <w:suppressAutoHyphens w:val="true"/>
      <w:spacing w:after="0" w:before="0" w:line="100" w:lineRule="atLeast"/>
      <w:contextualSpacing w:val="false"/>
      <w:textAlignment w:val="baseline"/>
    </w:pPr>
    <w:rPr>
      <w:rFonts w:ascii="Bookman Old Style" w:cs="Bookman Old Style" w:eastAsia="Bookman Old Style" w:hAnsi="Bookman Old Style"/>
      <w:color w:val="auto"/>
      <w:sz w:val="24"/>
      <w:szCs w:val="24"/>
      <w:lang w:bidi="hi-IN" w:eastAsia="zh-CN"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quisiciones@poderjudicial.gub.u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2019-08-26T20:02:00Z</dcterms:created>
  <dc:creator>BASSO</dc:creator>
  <cp:lastModifiedBy>BASSO</cp:lastModifiedBy>
  <cp:lastPrinted>2019-08-22T21:16:00Z</cp:lastPrinted>
  <dcterms:modified xsi:type="dcterms:W3CDTF">2019-08-26T20:02:00Z</dcterms:modified>
  <cp:revision>2</cp:revision>
</cp:coreProperties>
</file>