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F567" w14:textId="77777777" w:rsidR="0092647D" w:rsidRPr="0092647D" w:rsidRDefault="0092647D"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bookmarkStart w:id="0" w:name="_GoBack"/>
      <w:bookmarkEnd w:id="0"/>
    </w:p>
    <w:p w14:paraId="6D8C77D0" w14:textId="77777777" w:rsidR="0092647D" w:rsidRPr="009D0386" w:rsidRDefault="0092647D" w:rsidP="0092647D">
      <w:pPr>
        <w:keepNext w:val="0"/>
        <w:widowControl/>
        <w:suppressAutoHyphens/>
        <w:spacing w:line="100" w:lineRule="atLeast"/>
        <w:jc w:val="center"/>
        <w:rPr>
          <w:rFonts w:ascii="Arial" w:eastAsia="Calibri" w:hAnsi="Arial" w:cs="Arial"/>
          <w:b/>
          <w:bCs/>
          <w:color w:val="000000"/>
          <w:kern w:val="1"/>
          <w:sz w:val="22"/>
          <w:szCs w:val="22"/>
          <w:lang w:val="es-UY" w:eastAsia="ar-SA"/>
        </w:rPr>
      </w:pPr>
      <w:r w:rsidRPr="009D0386">
        <w:rPr>
          <w:rFonts w:ascii="Arial" w:eastAsia="Calibri" w:hAnsi="Arial" w:cs="Arial"/>
          <w:b/>
          <w:bCs/>
          <w:color w:val="000000"/>
          <w:kern w:val="1"/>
          <w:sz w:val="22"/>
          <w:szCs w:val="22"/>
          <w:lang w:val="es-UY" w:eastAsia="ar-SA"/>
        </w:rPr>
        <w:t>MINISTERIO DE INDUSTRIA, ENERGÍA Y MINERÍA</w:t>
      </w:r>
    </w:p>
    <w:p w14:paraId="40DD4918" w14:textId="77777777" w:rsidR="0092647D" w:rsidRPr="009D0386" w:rsidRDefault="0092647D" w:rsidP="0092647D">
      <w:pPr>
        <w:keepNext w:val="0"/>
        <w:widowControl/>
        <w:suppressAutoHyphens/>
        <w:spacing w:line="100" w:lineRule="atLeast"/>
        <w:jc w:val="center"/>
        <w:rPr>
          <w:rFonts w:ascii="Arial" w:eastAsia="Calibri" w:hAnsi="Arial" w:cs="Arial"/>
          <w:b/>
          <w:bCs/>
          <w:color w:val="000000"/>
          <w:kern w:val="1"/>
          <w:sz w:val="22"/>
          <w:szCs w:val="22"/>
          <w:lang w:val="es-UY" w:eastAsia="ar-SA"/>
        </w:rPr>
      </w:pPr>
    </w:p>
    <w:p w14:paraId="0449F22B" w14:textId="77777777" w:rsidR="0092647D" w:rsidRPr="009D0386" w:rsidRDefault="0092647D" w:rsidP="0092647D">
      <w:pPr>
        <w:keepNext w:val="0"/>
        <w:widowControl/>
        <w:suppressAutoHyphens/>
        <w:spacing w:line="100" w:lineRule="atLeast"/>
        <w:jc w:val="center"/>
        <w:rPr>
          <w:rFonts w:ascii="Arial" w:eastAsia="Calibri" w:hAnsi="Arial" w:cs="Arial"/>
          <w:b/>
          <w:bCs/>
          <w:color w:val="00000A"/>
          <w:kern w:val="1"/>
          <w:sz w:val="22"/>
          <w:szCs w:val="22"/>
          <w:lang w:val="es-UY" w:eastAsia="ar-SA"/>
        </w:rPr>
      </w:pPr>
      <w:r w:rsidRPr="009D0386">
        <w:rPr>
          <w:rFonts w:ascii="Arial" w:eastAsia="Calibri" w:hAnsi="Arial" w:cs="Arial"/>
          <w:b/>
          <w:bCs/>
          <w:color w:val="000000"/>
          <w:kern w:val="1"/>
          <w:sz w:val="22"/>
          <w:szCs w:val="22"/>
          <w:lang w:val="es-UY" w:eastAsia="ar-SA"/>
        </w:rPr>
        <w:t>DIRECCION NACIONAL DE TELECOMUNICACIONES Y SERVICIOS DE COMUNICACION AUDIOVISUAL</w:t>
      </w:r>
    </w:p>
    <w:p w14:paraId="23DC03EF" w14:textId="77777777" w:rsidR="0092647D" w:rsidRPr="009D0386" w:rsidRDefault="0092647D" w:rsidP="0092647D">
      <w:pPr>
        <w:keepNext w:val="0"/>
        <w:widowControl/>
        <w:suppressAutoHyphens/>
        <w:spacing w:line="100" w:lineRule="atLeast"/>
        <w:jc w:val="center"/>
        <w:rPr>
          <w:rFonts w:ascii="Arial" w:eastAsia="Calibri" w:hAnsi="Arial" w:cs="Arial"/>
          <w:b/>
          <w:bCs/>
          <w:color w:val="00000A"/>
          <w:kern w:val="1"/>
          <w:sz w:val="22"/>
          <w:szCs w:val="22"/>
          <w:lang w:val="es-UY" w:eastAsia="ar-SA"/>
        </w:rPr>
      </w:pPr>
    </w:p>
    <w:p w14:paraId="4A8FB706" w14:textId="77777777" w:rsidR="0092647D" w:rsidRPr="009D0386" w:rsidRDefault="0092647D" w:rsidP="0092647D">
      <w:pPr>
        <w:keepNext w:val="0"/>
        <w:widowControl/>
        <w:suppressAutoHyphens/>
        <w:spacing w:line="100" w:lineRule="atLeast"/>
        <w:jc w:val="center"/>
        <w:rPr>
          <w:rFonts w:ascii="Arial" w:eastAsia="Calibri" w:hAnsi="Arial" w:cs="Arial"/>
          <w:color w:val="00000A"/>
          <w:kern w:val="1"/>
          <w:sz w:val="22"/>
          <w:szCs w:val="22"/>
          <w:lang w:val="es-UY" w:eastAsia="ar-SA"/>
        </w:rPr>
      </w:pPr>
    </w:p>
    <w:p w14:paraId="066D3ACC" w14:textId="77777777" w:rsidR="0092647D" w:rsidRPr="009D0386" w:rsidRDefault="00A32FF8" w:rsidP="0092647D">
      <w:pPr>
        <w:keepNext w:val="0"/>
        <w:widowControl/>
        <w:suppressAutoHyphens/>
        <w:spacing w:line="100" w:lineRule="atLeast"/>
        <w:rPr>
          <w:rFonts w:ascii="Arial" w:hAnsi="Arial" w:cs="Arial"/>
          <w:b/>
          <w:bCs/>
          <w:kern w:val="1"/>
          <w:sz w:val="22"/>
          <w:szCs w:val="22"/>
          <w:lang w:eastAsia="ar-SA"/>
        </w:rPr>
      </w:pPr>
      <w:r w:rsidRPr="009D0386">
        <w:rPr>
          <w:rFonts w:ascii="Arial" w:hAnsi="Arial" w:cs="Arial"/>
          <w:b/>
          <w:bCs/>
          <w:kern w:val="1"/>
          <w:sz w:val="22"/>
          <w:szCs w:val="22"/>
          <w:lang w:eastAsia="ar-SA"/>
        </w:rPr>
        <w:t>LICITACIÓN ABREVIADA - PLIEGO DE BASES Y CONDICIONES PARTICULARES</w:t>
      </w:r>
      <w:r w:rsidR="0092647D" w:rsidRPr="009D0386">
        <w:rPr>
          <w:rFonts w:ascii="Arial" w:hAnsi="Arial" w:cs="Arial"/>
          <w:b/>
          <w:bCs/>
          <w:kern w:val="1"/>
          <w:sz w:val="22"/>
          <w:szCs w:val="22"/>
          <w:lang w:eastAsia="ar-SA"/>
        </w:rPr>
        <w:t xml:space="preserve"> </w:t>
      </w:r>
    </w:p>
    <w:p w14:paraId="277560E1" w14:textId="77777777" w:rsidR="0092647D" w:rsidRPr="009D0386" w:rsidRDefault="0092647D" w:rsidP="0092647D">
      <w:pPr>
        <w:keepNext w:val="0"/>
        <w:widowControl/>
        <w:suppressAutoHyphens/>
        <w:spacing w:line="100" w:lineRule="atLeast"/>
        <w:rPr>
          <w:rFonts w:ascii="Arial" w:hAnsi="Arial" w:cs="Arial"/>
          <w:b/>
          <w:bCs/>
          <w:color w:val="00000A"/>
          <w:kern w:val="1"/>
          <w:sz w:val="22"/>
          <w:szCs w:val="22"/>
          <w:lang w:eastAsia="ar-SA"/>
        </w:rPr>
      </w:pPr>
    </w:p>
    <w:p w14:paraId="5D125720" w14:textId="77777777" w:rsidR="0092647D" w:rsidRPr="009D0386" w:rsidRDefault="0092647D" w:rsidP="0092647D">
      <w:pPr>
        <w:keepNext w:val="0"/>
        <w:widowControl/>
        <w:numPr>
          <w:ilvl w:val="0"/>
          <w:numId w:val="2"/>
        </w:numPr>
        <w:suppressAutoHyphens/>
        <w:spacing w:line="276" w:lineRule="auto"/>
        <w:jc w:val="both"/>
        <w:rPr>
          <w:rFonts w:ascii="Arial" w:eastAsia="Calibri" w:hAnsi="Arial" w:cs="Arial"/>
          <w:color w:val="00000A"/>
          <w:kern w:val="1"/>
          <w:sz w:val="22"/>
          <w:szCs w:val="22"/>
          <w:lang w:val="es-UY" w:eastAsia="ar-SA"/>
        </w:rPr>
      </w:pPr>
      <w:bookmarkStart w:id="1" w:name="_Toc489535166"/>
      <w:r w:rsidRPr="009D0386">
        <w:rPr>
          <w:rFonts w:ascii="Arial" w:eastAsia="Calibri" w:hAnsi="Arial" w:cs="Arial"/>
          <w:b/>
          <w:bCs/>
          <w:color w:val="00000A"/>
          <w:kern w:val="1"/>
          <w:sz w:val="22"/>
          <w:szCs w:val="22"/>
          <w:lang w:val="es-UY" w:eastAsia="ar-SA"/>
        </w:rPr>
        <w:t>OBJETO</w:t>
      </w:r>
      <w:bookmarkEnd w:id="1"/>
    </w:p>
    <w:p w14:paraId="23A55A17" w14:textId="77777777"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p>
    <w:p w14:paraId="197DFAAD" w14:textId="5DFA3524" w:rsidR="0092647D" w:rsidRPr="009D0386" w:rsidRDefault="0092647D" w:rsidP="0092647D">
      <w:pPr>
        <w:keepNext w:val="0"/>
        <w:widowControl/>
        <w:suppressAutoHyphens/>
        <w:spacing w:line="276" w:lineRule="auto"/>
        <w:jc w:val="both"/>
        <w:rPr>
          <w:rFonts w:ascii="Arial" w:eastAsia="Calibri" w:hAnsi="Arial" w:cs="Arial"/>
          <w:color w:val="00000A"/>
          <w:kern w:val="1"/>
          <w:sz w:val="22"/>
          <w:szCs w:val="22"/>
          <w:lang w:val="es-UY" w:eastAsia="ar-SA"/>
        </w:rPr>
      </w:pPr>
      <w:r w:rsidRPr="009D0386">
        <w:rPr>
          <w:rFonts w:ascii="Arial" w:eastAsia="Calibri" w:hAnsi="Arial" w:cs="Arial"/>
          <w:color w:val="00000A"/>
          <w:kern w:val="1"/>
          <w:sz w:val="22"/>
          <w:szCs w:val="22"/>
          <w:lang w:val="es-UY" w:eastAsia="ar-SA"/>
        </w:rPr>
        <w:t>El Ministerio de Industria, Energía y Minería (MIEM) llama a  Licitación Abreviada para la adquisición de Isla de edición en 4k  para  el Centro de  Desarrollo de Contenido</w:t>
      </w:r>
      <w:r w:rsidR="00520914">
        <w:rPr>
          <w:rFonts w:ascii="Arial" w:eastAsia="Calibri" w:hAnsi="Arial" w:cs="Arial"/>
          <w:color w:val="00000A"/>
          <w:kern w:val="1"/>
          <w:sz w:val="22"/>
          <w:szCs w:val="22"/>
          <w:lang w:val="es-UY" w:eastAsia="ar-SA"/>
        </w:rPr>
        <w:t>s</w:t>
      </w:r>
      <w:r w:rsidRPr="009D0386">
        <w:rPr>
          <w:rFonts w:ascii="Arial" w:eastAsia="Calibri" w:hAnsi="Arial" w:cs="Arial"/>
          <w:color w:val="00000A"/>
          <w:kern w:val="1"/>
          <w:sz w:val="22"/>
          <w:szCs w:val="22"/>
          <w:lang w:val="es-UY" w:eastAsia="ar-SA"/>
        </w:rPr>
        <w:t xml:space="preserve"> y Laboratorio de Televisión Digital para la Dirección Nacional de Telecomunicaciones y Servicios de Comunicación Audiovisual.</w:t>
      </w:r>
    </w:p>
    <w:p w14:paraId="11067BEB" w14:textId="77777777" w:rsidR="0092647D" w:rsidRPr="009D0386" w:rsidRDefault="0092647D" w:rsidP="0092647D">
      <w:pPr>
        <w:keepNext w:val="0"/>
        <w:widowControl/>
        <w:suppressAutoHyphens/>
        <w:spacing w:line="276" w:lineRule="auto"/>
        <w:jc w:val="both"/>
        <w:rPr>
          <w:rFonts w:ascii="Arial" w:eastAsia="Calibri" w:hAnsi="Arial" w:cs="Arial"/>
          <w:color w:val="00000A"/>
          <w:kern w:val="1"/>
          <w:sz w:val="22"/>
          <w:szCs w:val="22"/>
          <w:lang w:val="es-UY" w:eastAsia="ar-SA"/>
        </w:rPr>
      </w:pPr>
    </w:p>
    <w:p w14:paraId="40CC9B45" w14:textId="77777777" w:rsidR="0092647D" w:rsidRPr="009D0386" w:rsidRDefault="0092647D" w:rsidP="0092647D">
      <w:pPr>
        <w:keepNext w:val="0"/>
        <w:widowControl/>
        <w:numPr>
          <w:ilvl w:val="0"/>
          <w:numId w:val="2"/>
        </w:numPr>
        <w:suppressAutoHyphens/>
        <w:spacing w:line="276" w:lineRule="auto"/>
        <w:jc w:val="both"/>
        <w:rPr>
          <w:rFonts w:ascii="Arial" w:eastAsia="Calibri" w:hAnsi="Arial" w:cs="Arial"/>
          <w:b/>
          <w:bCs/>
          <w:color w:val="00000A"/>
          <w:kern w:val="1"/>
          <w:sz w:val="22"/>
          <w:szCs w:val="22"/>
          <w:lang w:val="es-UY" w:eastAsia="ar-SA"/>
        </w:rPr>
      </w:pPr>
      <w:bookmarkStart w:id="2" w:name="_Toc489535167"/>
      <w:r w:rsidRPr="009D0386">
        <w:rPr>
          <w:rFonts w:ascii="Arial" w:eastAsia="Calibri" w:hAnsi="Arial" w:cs="Arial"/>
          <w:b/>
          <w:bCs/>
          <w:caps/>
          <w:color w:val="00000A"/>
          <w:kern w:val="1"/>
          <w:sz w:val="22"/>
          <w:szCs w:val="22"/>
          <w:lang w:val="es-UY" w:eastAsia="ar-SA"/>
        </w:rPr>
        <w:t>Especificaciones</w:t>
      </w:r>
      <w:bookmarkEnd w:id="2"/>
    </w:p>
    <w:p w14:paraId="046D890D" w14:textId="77777777" w:rsidR="0092647D" w:rsidRPr="009D0386" w:rsidRDefault="0092647D" w:rsidP="00682B5C">
      <w:pPr>
        <w:rPr>
          <w:rFonts w:ascii="Arial" w:eastAsia="Calibri" w:hAnsi="Arial" w:cs="Arial"/>
          <w:b/>
          <w:bCs/>
          <w:color w:val="00000A"/>
          <w:kern w:val="1"/>
          <w:sz w:val="22"/>
          <w:szCs w:val="22"/>
          <w:lang w:val="es-UY" w:eastAsia="ar-SA"/>
        </w:rPr>
      </w:pPr>
      <w:r w:rsidRPr="009D0386">
        <w:rPr>
          <w:rFonts w:ascii="Arial" w:eastAsia="Calibri" w:hAnsi="Arial" w:cs="Arial"/>
          <w:bCs/>
          <w:color w:val="00000A"/>
          <w:kern w:val="1"/>
          <w:sz w:val="22"/>
          <w:szCs w:val="22"/>
          <w:lang w:val="es-UY" w:eastAsia="ar-SA"/>
        </w:rPr>
        <w:t xml:space="preserve">A continuación se presentan los requerimientos específicos para cada uno de los ítems solicitados:   </w:t>
      </w:r>
    </w:p>
    <w:tbl>
      <w:tblPr>
        <w:tblStyle w:val="a"/>
        <w:tblpPr w:leftFromText="141" w:rightFromText="141" w:vertAnchor="text" w:horzAnchor="margin" w:tblpY="220"/>
        <w:tblW w:w="9768" w:type="dxa"/>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738"/>
        <w:gridCol w:w="7326"/>
        <w:gridCol w:w="1704"/>
      </w:tblGrid>
      <w:tr w:rsidR="0092647D" w14:paraId="25D995FE" w14:textId="77777777" w:rsidTr="0092647D">
        <w:tc>
          <w:tcPr>
            <w:tcW w:w="738"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92F692C" w14:textId="77777777" w:rsidR="0092647D" w:rsidRDefault="0092647D" w:rsidP="0092647D">
            <w:pPr>
              <w:jc w:val="both"/>
              <w:rPr>
                <w:b/>
              </w:rPr>
            </w:pPr>
            <w:r>
              <w:rPr>
                <w:b/>
              </w:rPr>
              <w:t>Ítem</w:t>
            </w:r>
          </w:p>
        </w:tc>
        <w:tc>
          <w:tcPr>
            <w:tcW w:w="7326"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AE2B8B1" w14:textId="77777777" w:rsidR="0092647D" w:rsidRDefault="0092647D" w:rsidP="0092647D">
            <w:pPr>
              <w:jc w:val="both"/>
              <w:rPr>
                <w:b/>
              </w:rPr>
            </w:pPr>
            <w:r>
              <w:rPr>
                <w:b/>
              </w:rPr>
              <w:t>Descripción</w:t>
            </w:r>
          </w:p>
        </w:tc>
        <w:tc>
          <w:tcPr>
            <w:tcW w:w="1704"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56D433F1" w14:textId="77777777" w:rsidR="0092647D" w:rsidRDefault="0092647D" w:rsidP="0092647D">
            <w:pPr>
              <w:jc w:val="both"/>
              <w:rPr>
                <w:b/>
              </w:rPr>
            </w:pPr>
            <w:r>
              <w:rPr>
                <w:b/>
              </w:rPr>
              <w:t>Cantidad</w:t>
            </w:r>
          </w:p>
        </w:tc>
      </w:tr>
      <w:tr w:rsidR="0092647D" w14:paraId="32F3E8CD" w14:textId="77777777" w:rsidTr="0092647D">
        <w:tc>
          <w:tcPr>
            <w:tcW w:w="738"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75C0B44" w14:textId="77777777" w:rsidR="0092647D" w:rsidRDefault="0092647D" w:rsidP="0092647D">
            <w:pPr>
              <w:spacing w:line="360" w:lineRule="auto"/>
              <w:rPr>
                <w:rFonts w:ascii="Arial" w:eastAsia="Arial" w:hAnsi="Arial" w:cs="Arial"/>
                <w:color w:val="000000"/>
                <w:sz w:val="22"/>
                <w:szCs w:val="22"/>
              </w:rPr>
            </w:pPr>
            <w:r>
              <w:rPr>
                <w:rFonts w:ascii="Arial" w:eastAsia="Arial" w:hAnsi="Arial" w:cs="Arial"/>
                <w:color w:val="000000"/>
                <w:sz w:val="22"/>
                <w:szCs w:val="22"/>
              </w:rPr>
              <w:t>1</w:t>
            </w:r>
          </w:p>
        </w:tc>
        <w:tc>
          <w:tcPr>
            <w:tcW w:w="7326"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1128E8F4" w14:textId="77777777" w:rsidR="0092647D" w:rsidRDefault="0092647D" w:rsidP="0092647D">
            <w:pPr>
              <w:widowControl/>
              <w:rPr>
                <w:rFonts w:ascii="Arial" w:eastAsia="Arial" w:hAnsi="Arial" w:cs="Arial"/>
                <w:b/>
                <w:color w:val="000000"/>
                <w:sz w:val="22"/>
                <w:szCs w:val="22"/>
              </w:rPr>
            </w:pPr>
            <w:r>
              <w:rPr>
                <w:rFonts w:ascii="Arial" w:eastAsia="Arial" w:hAnsi="Arial" w:cs="Arial"/>
                <w:b/>
                <w:color w:val="000000"/>
                <w:sz w:val="22"/>
                <w:szCs w:val="22"/>
              </w:rPr>
              <w:t>Estaci</w:t>
            </w:r>
            <w:r>
              <w:rPr>
                <w:rFonts w:ascii="Arial" w:eastAsia="Arial" w:hAnsi="Arial" w:cs="Arial"/>
                <w:b/>
                <w:sz w:val="22"/>
                <w:szCs w:val="22"/>
              </w:rPr>
              <w:t>o</w:t>
            </w:r>
            <w:r>
              <w:rPr>
                <w:rFonts w:ascii="Arial" w:eastAsia="Arial" w:hAnsi="Arial" w:cs="Arial"/>
                <w:b/>
                <w:color w:val="000000"/>
                <w:sz w:val="22"/>
                <w:szCs w:val="22"/>
              </w:rPr>
              <w:t>nes de trabajo de estudio para edición en 4K</w:t>
            </w:r>
          </w:p>
          <w:p w14:paraId="697D836C" w14:textId="77777777" w:rsidR="0092647D" w:rsidRDefault="0092647D" w:rsidP="0092647D">
            <w:pPr>
              <w:widowControl/>
              <w:rPr>
                <w:rFonts w:ascii="Arial" w:eastAsia="Arial" w:hAnsi="Arial" w:cs="Arial"/>
                <w:color w:val="000000"/>
                <w:sz w:val="22"/>
                <w:szCs w:val="22"/>
              </w:rPr>
            </w:pPr>
          </w:p>
          <w:p w14:paraId="0F27BB93" w14:textId="77777777" w:rsidR="0092647D" w:rsidRDefault="0092647D" w:rsidP="0092647D">
            <w:pPr>
              <w:widowControl/>
              <w:rPr>
                <w:rFonts w:ascii="Arial" w:eastAsia="Arial" w:hAnsi="Arial" w:cs="Arial"/>
                <w:color w:val="000000"/>
                <w:sz w:val="22"/>
                <w:szCs w:val="22"/>
              </w:rPr>
            </w:pPr>
            <w:r>
              <w:rPr>
                <w:rFonts w:ascii="Arial" w:eastAsia="Arial" w:hAnsi="Arial" w:cs="Arial"/>
                <w:color w:val="000000"/>
                <w:sz w:val="22"/>
                <w:szCs w:val="22"/>
              </w:rPr>
              <w:t>Especificaciones mínimas:</w:t>
            </w:r>
          </w:p>
          <w:p w14:paraId="0253BB1E" w14:textId="77777777" w:rsidR="0092647D" w:rsidRDefault="0092647D" w:rsidP="0092647D">
            <w:pPr>
              <w:widowControl/>
              <w:rPr>
                <w:rFonts w:ascii="Arial" w:eastAsia="Arial" w:hAnsi="Arial" w:cs="Arial"/>
                <w:color w:val="000000"/>
                <w:sz w:val="22"/>
                <w:szCs w:val="22"/>
              </w:rPr>
            </w:pPr>
          </w:p>
          <w:p w14:paraId="613E10AA" w14:textId="77777777" w:rsidR="0092647D" w:rsidRDefault="0092647D" w:rsidP="0092647D">
            <w:pPr>
              <w:widowControl/>
              <w:rPr>
                <w:rFonts w:ascii="Arial" w:eastAsia="Arial" w:hAnsi="Arial" w:cs="Arial"/>
                <w:color w:val="000000"/>
                <w:sz w:val="22"/>
                <w:szCs w:val="22"/>
              </w:rPr>
            </w:pPr>
            <w:r>
              <w:rPr>
                <w:rFonts w:ascii="Arial" w:eastAsia="Arial" w:hAnsi="Arial" w:cs="Arial"/>
                <w:color w:val="000000"/>
                <w:sz w:val="22"/>
                <w:szCs w:val="22"/>
              </w:rPr>
              <w:t>Procesador 2x 2.6 GHz Intel Xeon Silver 4112 4-Core</w:t>
            </w:r>
          </w:p>
          <w:p w14:paraId="25122E64" w14:textId="77777777" w:rsidR="0092647D" w:rsidRDefault="0092647D" w:rsidP="0092647D">
            <w:pPr>
              <w:widowControl/>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RAM registrada de 32GB a 2666 MHz DDR4 ECC</w:t>
            </w:r>
          </w:p>
          <w:p w14:paraId="458A7AA2" w14:textId="77777777" w:rsidR="0092647D" w:rsidRDefault="0092647D" w:rsidP="0092647D">
            <w:pPr>
              <w:widowControl/>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Tarjeta gráfica NVIDIA Quadro P5000 (16GB) o superior.</w:t>
            </w:r>
          </w:p>
          <w:p w14:paraId="6C8F7D8E" w14:textId="77777777" w:rsidR="0092647D" w:rsidRDefault="0092647D" w:rsidP="0092647D">
            <w:pPr>
              <w:widowControl/>
              <w:rPr>
                <w:rFonts w:ascii="Arial" w:eastAsia="Arial" w:hAnsi="Arial" w:cs="Arial"/>
                <w:color w:val="000000"/>
                <w:sz w:val="22"/>
                <w:szCs w:val="22"/>
              </w:rPr>
            </w:pPr>
            <w:r>
              <w:rPr>
                <w:rFonts w:ascii="Arial" w:eastAsia="Arial" w:hAnsi="Arial" w:cs="Arial"/>
                <w:color w:val="000000"/>
                <w:sz w:val="22"/>
                <w:szCs w:val="22"/>
              </w:rPr>
              <w:t>Con discos para un Storage de 6TB RAID.</w:t>
            </w:r>
          </w:p>
          <w:p w14:paraId="57D08F38" w14:textId="77777777" w:rsidR="0092647D" w:rsidRDefault="0092647D" w:rsidP="0092647D">
            <w:pPr>
              <w:widowControl/>
              <w:rPr>
                <w:rFonts w:ascii="Arial" w:eastAsia="Arial" w:hAnsi="Arial" w:cs="Arial"/>
                <w:color w:val="000000"/>
                <w:sz w:val="22"/>
                <w:szCs w:val="22"/>
              </w:rPr>
            </w:pPr>
            <w:r>
              <w:rPr>
                <w:rFonts w:ascii="Arial" w:eastAsia="Arial" w:hAnsi="Arial" w:cs="Arial"/>
                <w:color w:val="000000"/>
                <w:sz w:val="22"/>
                <w:szCs w:val="22"/>
              </w:rPr>
              <w:t>Un disco para el sistema operativo y aplicaciones 512GB SSD</w:t>
            </w:r>
          </w:p>
          <w:p w14:paraId="77134111" w14:textId="77777777" w:rsidR="0092647D" w:rsidRPr="00A32FF8" w:rsidRDefault="0092647D" w:rsidP="0092647D">
            <w:pPr>
              <w:widowControl/>
              <w:numPr>
                <w:ilvl w:val="0"/>
                <w:numId w:val="1"/>
              </w:numPr>
              <w:pBdr>
                <w:top w:val="nil"/>
                <w:left w:val="nil"/>
                <w:bottom w:val="nil"/>
                <w:right w:val="nil"/>
                <w:between w:val="nil"/>
              </w:pBdr>
              <w:tabs>
                <w:tab w:val="left" w:pos="0"/>
              </w:tabs>
              <w:rPr>
                <w:rFonts w:ascii="Arial" w:eastAsia="Arial" w:hAnsi="Arial" w:cs="Arial"/>
                <w:color w:val="000000"/>
                <w:sz w:val="22"/>
                <w:szCs w:val="22"/>
                <w:lang w:val="en-US"/>
              </w:rPr>
            </w:pPr>
            <w:r w:rsidRPr="00A32FF8">
              <w:rPr>
                <w:rFonts w:ascii="Arial" w:eastAsia="Arial" w:hAnsi="Arial" w:cs="Arial"/>
                <w:color w:val="000000"/>
                <w:sz w:val="22"/>
                <w:szCs w:val="22"/>
                <w:lang w:val="en-US"/>
              </w:rPr>
              <w:t>9,5 mm Slim SuperMulti DVD-RW Drive</w:t>
            </w:r>
          </w:p>
          <w:p w14:paraId="38B40E54" w14:textId="77777777" w:rsidR="0092647D" w:rsidRDefault="0092647D" w:rsidP="0092647D">
            <w:pPr>
              <w:widowControl/>
              <w:numPr>
                <w:ilvl w:val="0"/>
                <w:numId w:val="1"/>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Puertos Dual Gigabit Ethernet</w:t>
            </w:r>
          </w:p>
          <w:p w14:paraId="6E968EBE" w14:textId="77777777" w:rsidR="0092647D" w:rsidRPr="00A32FF8" w:rsidRDefault="0092647D" w:rsidP="0092647D">
            <w:pPr>
              <w:widowControl/>
              <w:numPr>
                <w:ilvl w:val="0"/>
                <w:numId w:val="1"/>
              </w:numPr>
              <w:pBdr>
                <w:top w:val="nil"/>
                <w:left w:val="nil"/>
                <w:bottom w:val="nil"/>
                <w:right w:val="nil"/>
                <w:between w:val="nil"/>
              </w:pBdr>
              <w:tabs>
                <w:tab w:val="left" w:pos="0"/>
              </w:tabs>
              <w:rPr>
                <w:rFonts w:ascii="Arial" w:eastAsia="Arial" w:hAnsi="Arial" w:cs="Arial"/>
                <w:color w:val="000000"/>
                <w:sz w:val="22"/>
                <w:szCs w:val="22"/>
                <w:lang w:val="en-US"/>
              </w:rPr>
            </w:pPr>
            <w:r w:rsidRPr="00A32FF8">
              <w:rPr>
                <w:rFonts w:ascii="Arial" w:eastAsia="Arial" w:hAnsi="Arial" w:cs="Arial"/>
                <w:color w:val="000000"/>
                <w:sz w:val="22"/>
                <w:szCs w:val="22"/>
                <w:lang w:val="en-US"/>
              </w:rPr>
              <w:t>USB 3.1 Gen 2 | USB 3.1 Gen 1 | PS / 2</w:t>
            </w:r>
          </w:p>
          <w:p w14:paraId="20EF1440" w14:textId="77777777" w:rsidR="0092647D" w:rsidRDefault="0092647D" w:rsidP="0092647D">
            <w:pPr>
              <w:widowControl/>
              <w:numPr>
                <w:ilvl w:val="0"/>
                <w:numId w:val="1"/>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Incluye teclado USB y mouse</w:t>
            </w:r>
          </w:p>
          <w:p w14:paraId="0EE88D3B" w14:textId="77777777" w:rsidR="0092647D" w:rsidRDefault="0092647D" w:rsidP="0092647D">
            <w:pPr>
              <w:widowControl/>
              <w:numPr>
                <w:ilvl w:val="0"/>
                <w:numId w:val="1"/>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Windows 10 Pro  (64 bits)</w:t>
            </w:r>
          </w:p>
          <w:p w14:paraId="0A7EC9D5" w14:textId="77777777" w:rsidR="0092647D" w:rsidRDefault="0092647D" w:rsidP="0092647D">
            <w:pPr>
              <w:widowControl/>
              <w:rPr>
                <w:rFonts w:ascii="Arial" w:eastAsia="Arial" w:hAnsi="Arial" w:cs="Arial"/>
                <w:color w:val="000000"/>
                <w:sz w:val="22"/>
                <w:szCs w:val="22"/>
              </w:rPr>
            </w:pPr>
          </w:p>
          <w:p w14:paraId="3D11A91A" w14:textId="77777777" w:rsidR="0092647D" w:rsidRDefault="0092647D" w:rsidP="0092647D">
            <w:pPr>
              <w:widowControl/>
              <w:rPr>
                <w:rFonts w:ascii="Arial" w:eastAsia="Arial" w:hAnsi="Arial" w:cs="Arial"/>
                <w:color w:val="000000"/>
                <w:sz w:val="22"/>
                <w:szCs w:val="22"/>
              </w:rPr>
            </w:pPr>
            <w:r>
              <w:rPr>
                <w:rFonts w:ascii="Arial" w:eastAsia="Arial" w:hAnsi="Arial" w:cs="Arial"/>
                <w:b/>
                <w:color w:val="000000"/>
                <w:sz w:val="22"/>
                <w:szCs w:val="22"/>
              </w:rPr>
              <w:t>Incluir</w:t>
            </w:r>
            <w:r>
              <w:rPr>
                <w:rFonts w:ascii="Arial" w:eastAsia="Arial" w:hAnsi="Arial" w:cs="Arial"/>
                <w:b/>
                <w:sz w:val="22"/>
                <w:szCs w:val="22"/>
              </w:rPr>
              <w:t>á</w:t>
            </w:r>
            <w:r>
              <w:rPr>
                <w:rFonts w:ascii="Arial" w:eastAsia="Arial" w:hAnsi="Arial" w:cs="Arial"/>
                <w:b/>
                <w:color w:val="000000"/>
                <w:sz w:val="22"/>
                <w:szCs w:val="22"/>
              </w:rPr>
              <w:t xml:space="preserve">n cada una de ellas una tarjeta para captura y reproducción de video y audio con </w:t>
            </w:r>
            <w:r>
              <w:rPr>
                <w:rFonts w:ascii="Arial" w:eastAsia="Arial" w:hAnsi="Arial" w:cs="Arial"/>
                <w:color w:val="000000"/>
                <w:sz w:val="22"/>
                <w:szCs w:val="22"/>
              </w:rPr>
              <w:t>entradas y salidas en SD, HD y 4K con muestreo completo de 10 bit.</w:t>
            </w:r>
          </w:p>
          <w:p w14:paraId="6991112D" w14:textId="77777777" w:rsidR="0092647D" w:rsidRDefault="0092647D" w:rsidP="0092647D">
            <w:pPr>
              <w:widowControl/>
              <w:rPr>
                <w:rFonts w:ascii="Arial" w:eastAsia="Arial" w:hAnsi="Arial" w:cs="Arial"/>
                <w:color w:val="000000"/>
                <w:sz w:val="22"/>
                <w:szCs w:val="22"/>
              </w:rPr>
            </w:pPr>
            <w:r>
              <w:rPr>
                <w:rFonts w:ascii="Arial" w:eastAsia="Arial" w:hAnsi="Arial" w:cs="Arial"/>
                <w:color w:val="000000"/>
                <w:sz w:val="22"/>
                <w:szCs w:val="22"/>
              </w:rPr>
              <w:t xml:space="preserve">Salida HDMI es capaz de mostrar 4K / UltraHD a través de HDMI </w:t>
            </w:r>
          </w:p>
          <w:p w14:paraId="7D4CD72B" w14:textId="77777777" w:rsidR="0092647D" w:rsidRDefault="0092647D" w:rsidP="0092647D">
            <w:pPr>
              <w:widowControl/>
            </w:pPr>
            <w:r>
              <w:rPr>
                <w:rFonts w:ascii="Arial" w:eastAsia="Arial" w:hAnsi="Arial" w:cs="Arial"/>
                <w:color w:val="000000"/>
                <w:sz w:val="22"/>
                <w:szCs w:val="22"/>
              </w:rPr>
              <w:t>De</w:t>
            </w:r>
            <w:r>
              <w:rPr>
                <w:rFonts w:ascii="Arial" w:eastAsia="Arial" w:hAnsi="Arial" w:cs="Arial"/>
                <w:sz w:val="22"/>
                <w:szCs w:val="22"/>
              </w:rPr>
              <w:t>b</w:t>
            </w:r>
            <w:r>
              <w:rPr>
                <w:rFonts w:ascii="Arial" w:eastAsia="Arial" w:hAnsi="Arial" w:cs="Arial"/>
                <w:color w:val="000000"/>
                <w:sz w:val="22"/>
                <w:szCs w:val="22"/>
              </w:rPr>
              <w:t>e de admitir 4K High Frame Rate (HFR) a 50p y 60p para los flujos de trabajo 4K,  U</w:t>
            </w:r>
            <w:r>
              <w:rPr>
                <w:rFonts w:ascii="Arial" w:eastAsia="Arial" w:hAnsi="Arial" w:cs="Arial"/>
                <w:color w:val="000000"/>
                <w:sz w:val="21"/>
                <w:szCs w:val="21"/>
              </w:rPr>
              <w:t xml:space="preserve">ltraHD </w:t>
            </w:r>
            <w:r>
              <w:rPr>
                <w:rFonts w:ascii="Arial" w:eastAsia="Arial" w:hAnsi="Arial" w:cs="Arial"/>
                <w:color w:val="333333"/>
                <w:sz w:val="21"/>
                <w:szCs w:val="21"/>
              </w:rPr>
              <w:t>HDR 10 y HLG</w:t>
            </w:r>
            <w:r>
              <w:rPr>
                <w:rFonts w:ascii="Arial" w:eastAsia="Arial" w:hAnsi="Arial" w:cs="Arial"/>
                <w:sz w:val="21"/>
                <w:szCs w:val="21"/>
              </w:rPr>
              <w:t xml:space="preserve"> </w:t>
            </w:r>
          </w:p>
          <w:p w14:paraId="07E77513" w14:textId="77777777" w:rsidR="0092647D" w:rsidRDefault="0092647D" w:rsidP="0092647D">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Que soporte una variedad de flujos de trabajo de HDR a HFR, 4K a HD multicanal para transmisión </w:t>
            </w:r>
          </w:p>
          <w:p w14:paraId="55831578" w14:textId="77777777" w:rsidR="0092647D" w:rsidRDefault="0092647D" w:rsidP="0092647D">
            <w:pPr>
              <w:rPr>
                <w:rFonts w:ascii="Arial" w:eastAsia="Arial" w:hAnsi="Arial" w:cs="Arial"/>
                <w:sz w:val="22"/>
                <w:szCs w:val="22"/>
              </w:rPr>
            </w:pPr>
            <w:r>
              <w:rPr>
                <w:rFonts w:ascii="Arial" w:eastAsia="Arial" w:hAnsi="Arial" w:cs="Arial"/>
                <w:sz w:val="22"/>
                <w:szCs w:val="22"/>
              </w:rPr>
              <w:t>Que tenga conexiones 3G-SDI bidireccionales que se pueden usar para entrada y salida 16 canales de audio integrado a través de SDI.</w:t>
            </w:r>
          </w:p>
          <w:p w14:paraId="20DB85F2" w14:textId="77777777" w:rsidR="0092647D" w:rsidRDefault="0092647D" w:rsidP="0092647D">
            <w:pPr>
              <w:rPr>
                <w:rFonts w:ascii="Arial" w:eastAsia="Arial" w:hAnsi="Arial" w:cs="Arial"/>
                <w:sz w:val="22"/>
                <w:szCs w:val="22"/>
              </w:rPr>
            </w:pPr>
            <w:r>
              <w:rPr>
                <w:rFonts w:ascii="Arial" w:eastAsia="Arial" w:hAnsi="Arial" w:cs="Arial"/>
                <w:sz w:val="22"/>
                <w:szCs w:val="22"/>
              </w:rPr>
              <w:t>Debe incluir caja con montaje de rack para conectividad expandida, que presente los conectores de la tarjeta de captura/reproducción.</w:t>
            </w:r>
          </w:p>
          <w:p w14:paraId="20AE573A" w14:textId="77777777" w:rsidR="0092647D" w:rsidRDefault="0092647D" w:rsidP="0092647D">
            <w:pPr>
              <w:widowControl/>
              <w:rPr>
                <w:rFonts w:ascii="Arial" w:eastAsia="Arial" w:hAnsi="Arial" w:cs="Arial"/>
                <w:color w:val="000000"/>
                <w:sz w:val="22"/>
                <w:szCs w:val="22"/>
              </w:rPr>
            </w:pPr>
          </w:p>
          <w:p w14:paraId="5B551C64" w14:textId="77777777" w:rsidR="0092647D" w:rsidRDefault="0092647D" w:rsidP="0092647D">
            <w:pPr>
              <w:widowControl/>
              <w:ind w:right="-3"/>
              <w:rPr>
                <w:rFonts w:ascii="Arial" w:eastAsia="Arial" w:hAnsi="Arial" w:cs="Arial"/>
                <w:color w:val="000000"/>
                <w:sz w:val="22"/>
                <w:szCs w:val="22"/>
              </w:rPr>
            </w:pPr>
            <w:r>
              <w:rPr>
                <w:rFonts w:ascii="Arial" w:eastAsia="Arial" w:hAnsi="Arial" w:cs="Arial"/>
                <w:b/>
                <w:color w:val="000000"/>
                <w:sz w:val="22"/>
                <w:szCs w:val="22"/>
              </w:rPr>
              <w:t>Cada una de las computadoras de</w:t>
            </w:r>
            <w:r>
              <w:rPr>
                <w:rFonts w:ascii="Arial" w:eastAsia="Arial" w:hAnsi="Arial" w:cs="Arial"/>
                <w:b/>
                <w:sz w:val="22"/>
                <w:szCs w:val="22"/>
              </w:rPr>
              <w:t>b</w:t>
            </w:r>
            <w:r>
              <w:rPr>
                <w:rFonts w:ascii="Arial" w:eastAsia="Arial" w:hAnsi="Arial" w:cs="Arial"/>
                <w:b/>
                <w:color w:val="000000"/>
                <w:sz w:val="22"/>
                <w:szCs w:val="22"/>
              </w:rPr>
              <w:t>en de ser incluidas con dos</w:t>
            </w:r>
            <w:r>
              <w:rPr>
                <w:rFonts w:ascii="Arial" w:eastAsia="Arial" w:hAnsi="Arial" w:cs="Arial"/>
                <w:b/>
                <w:sz w:val="22"/>
                <w:szCs w:val="22"/>
              </w:rPr>
              <w:t xml:space="preserve"> </w:t>
            </w:r>
            <w:r>
              <w:rPr>
                <w:rFonts w:ascii="Arial" w:eastAsia="Arial" w:hAnsi="Arial" w:cs="Arial"/>
                <w:b/>
                <w:color w:val="000000"/>
                <w:sz w:val="22"/>
                <w:szCs w:val="22"/>
              </w:rPr>
              <w:t>monitores </w:t>
            </w:r>
            <w:r>
              <w:rPr>
                <w:rFonts w:ascii="Arial" w:eastAsia="Arial" w:hAnsi="Arial" w:cs="Arial"/>
                <w:color w:val="000000"/>
                <w:sz w:val="22"/>
                <w:szCs w:val="22"/>
              </w:rPr>
              <w:t xml:space="preserve"> LCD 28” 4k 16:9 Ultra HD, HDR con tecnolog</w:t>
            </w:r>
            <w:r>
              <w:rPr>
                <w:rFonts w:ascii="Arial" w:eastAsia="Arial" w:hAnsi="Arial" w:cs="Arial"/>
                <w:sz w:val="22"/>
                <w:szCs w:val="22"/>
              </w:rPr>
              <w:t>í</w:t>
            </w:r>
            <w:r>
              <w:rPr>
                <w:rFonts w:ascii="Arial" w:eastAsia="Arial" w:hAnsi="Arial" w:cs="Arial"/>
                <w:color w:val="000000"/>
                <w:sz w:val="22"/>
                <w:szCs w:val="22"/>
              </w:rPr>
              <w:t>a IPS con entradas Display Port y Hdmi.</w:t>
            </w:r>
          </w:p>
          <w:p w14:paraId="6B2F1DBD" w14:textId="77777777" w:rsidR="0092647D" w:rsidRDefault="0092647D" w:rsidP="0092647D">
            <w:pPr>
              <w:widowControl/>
              <w:rPr>
                <w:rFonts w:ascii="Arial" w:eastAsia="Arial" w:hAnsi="Arial" w:cs="Arial"/>
                <w:color w:val="000000"/>
                <w:sz w:val="22"/>
                <w:szCs w:val="22"/>
              </w:rPr>
            </w:pPr>
          </w:p>
          <w:p w14:paraId="0994CDB4" w14:textId="77777777" w:rsidR="0092647D" w:rsidRDefault="0092647D" w:rsidP="0092647D">
            <w:pPr>
              <w:widowControl/>
              <w:rPr>
                <w:rFonts w:ascii="Arial" w:eastAsia="Arial" w:hAnsi="Arial" w:cs="Arial"/>
                <w:b/>
                <w:color w:val="000000"/>
                <w:sz w:val="22"/>
                <w:szCs w:val="22"/>
              </w:rPr>
            </w:pPr>
            <w:r>
              <w:rPr>
                <w:rFonts w:ascii="Arial" w:eastAsia="Arial" w:hAnsi="Arial" w:cs="Arial"/>
                <w:b/>
                <w:color w:val="000000"/>
                <w:sz w:val="22"/>
                <w:szCs w:val="22"/>
              </w:rPr>
              <w:t xml:space="preserve">Cada una de las computadoras </w:t>
            </w:r>
            <w:r>
              <w:rPr>
                <w:rFonts w:ascii="Arial" w:eastAsia="Arial" w:hAnsi="Arial" w:cs="Arial"/>
                <w:b/>
                <w:sz w:val="22"/>
                <w:szCs w:val="22"/>
              </w:rPr>
              <w:t>debe incluir</w:t>
            </w:r>
            <w:r>
              <w:rPr>
                <w:rFonts w:ascii="Arial" w:eastAsia="Arial" w:hAnsi="Arial" w:cs="Arial"/>
                <w:b/>
                <w:color w:val="000000"/>
                <w:sz w:val="22"/>
                <w:szCs w:val="22"/>
              </w:rPr>
              <w:t xml:space="preserve"> Licencia Adobe Premiere Pro CC.</w:t>
            </w:r>
          </w:p>
        </w:tc>
        <w:tc>
          <w:tcPr>
            <w:tcW w:w="1704" w:type="dxa"/>
            <w:tcBorders>
              <w:top w:val="single" w:sz="8" w:space="0" w:color="000001"/>
              <w:left w:val="single" w:sz="6" w:space="0" w:color="000001"/>
              <w:bottom w:val="single" w:sz="8" w:space="0" w:color="000001"/>
              <w:right w:val="single" w:sz="8" w:space="0" w:color="000001"/>
            </w:tcBorders>
            <w:shd w:val="clear" w:color="auto" w:fill="auto"/>
            <w:tcMar>
              <w:left w:w="100" w:type="dxa"/>
            </w:tcMar>
          </w:tcPr>
          <w:p w14:paraId="2CA4378D" w14:textId="77777777" w:rsidR="0092647D" w:rsidRDefault="0092647D" w:rsidP="0092647D">
            <w:pPr>
              <w:spacing w:line="360" w:lineRule="auto"/>
              <w:rPr>
                <w:rFonts w:ascii="Arial" w:eastAsia="Arial" w:hAnsi="Arial" w:cs="Arial"/>
                <w:sz w:val="22"/>
                <w:szCs w:val="22"/>
              </w:rPr>
            </w:pPr>
            <w:r>
              <w:rPr>
                <w:rFonts w:ascii="Arial" w:eastAsia="Arial" w:hAnsi="Arial" w:cs="Arial"/>
                <w:sz w:val="22"/>
                <w:szCs w:val="22"/>
              </w:rPr>
              <w:t>2</w:t>
            </w:r>
          </w:p>
        </w:tc>
      </w:tr>
    </w:tbl>
    <w:p w14:paraId="5236CC60" w14:textId="77777777" w:rsidR="0092647D" w:rsidRPr="0092647D" w:rsidRDefault="0092647D" w:rsidP="0092647D">
      <w:pPr>
        <w:keepNext w:val="0"/>
        <w:widowControl/>
        <w:suppressAutoHyphens/>
        <w:spacing w:line="276" w:lineRule="auto"/>
        <w:ind w:left="792"/>
        <w:jc w:val="both"/>
        <w:rPr>
          <w:rFonts w:ascii="Arial" w:eastAsia="Calibri" w:hAnsi="Arial" w:cs="Arial"/>
          <w:b/>
          <w:bCs/>
          <w:color w:val="00000A"/>
          <w:kern w:val="1"/>
          <w:lang w:val="es-UY" w:eastAsia="ar-SA"/>
        </w:rPr>
      </w:pPr>
    </w:p>
    <w:p w14:paraId="1B4B58CB" w14:textId="77777777" w:rsidR="004760AA" w:rsidRDefault="004760AA">
      <w:pPr>
        <w:spacing w:line="360" w:lineRule="auto"/>
        <w:jc w:val="both"/>
        <w:rPr>
          <w:rFonts w:ascii="Arial" w:eastAsia="Arial" w:hAnsi="Arial" w:cs="Arial"/>
          <w:color w:val="000000"/>
          <w:sz w:val="22"/>
          <w:szCs w:val="22"/>
        </w:rPr>
      </w:pPr>
    </w:p>
    <w:p w14:paraId="349A1606" w14:textId="4B153777" w:rsidR="0092647D" w:rsidRPr="0092647D" w:rsidRDefault="0092647D" w:rsidP="0092647D">
      <w:pPr>
        <w:jc w:val="both"/>
        <w:rPr>
          <w:rFonts w:ascii="Arial" w:eastAsia="Arial" w:hAnsi="Arial" w:cs="Arial"/>
          <w:bCs/>
          <w:color w:val="000000"/>
          <w:sz w:val="22"/>
          <w:szCs w:val="22"/>
          <w:lang w:val="es-UY"/>
        </w:rPr>
      </w:pPr>
      <w:r w:rsidRPr="0092647D">
        <w:rPr>
          <w:rFonts w:ascii="Arial" w:eastAsia="Arial" w:hAnsi="Arial" w:cs="Arial"/>
          <w:b/>
          <w:bCs/>
          <w:color w:val="000000"/>
          <w:sz w:val="22"/>
          <w:szCs w:val="22"/>
          <w:lang w:val="es-UY"/>
        </w:rPr>
        <w:t>Importante:</w:t>
      </w:r>
      <w:r w:rsidRPr="0092647D">
        <w:rPr>
          <w:rFonts w:ascii="Arial" w:eastAsia="Arial" w:hAnsi="Arial" w:cs="Arial"/>
          <w:bCs/>
          <w:color w:val="000000"/>
          <w:sz w:val="22"/>
          <w:szCs w:val="22"/>
          <w:lang w:val="es-UY"/>
        </w:rPr>
        <w:t xml:space="preserve"> La omisión o no cumplimiento de cualquiera de las especificacio</w:t>
      </w:r>
      <w:r w:rsidR="00520914">
        <w:rPr>
          <w:rFonts w:ascii="Arial" w:eastAsia="Arial" w:hAnsi="Arial" w:cs="Arial"/>
          <w:bCs/>
          <w:color w:val="000000"/>
          <w:sz w:val="22"/>
          <w:szCs w:val="22"/>
          <w:lang w:val="es-UY"/>
        </w:rPr>
        <w:t>nes arriba detalladas, traerá aparejada</w:t>
      </w:r>
      <w:r w:rsidRPr="0092647D">
        <w:rPr>
          <w:rFonts w:ascii="Arial" w:eastAsia="Arial" w:hAnsi="Arial" w:cs="Arial"/>
          <w:bCs/>
          <w:color w:val="000000"/>
          <w:sz w:val="22"/>
          <w:szCs w:val="22"/>
          <w:lang w:val="es-UY"/>
        </w:rPr>
        <w:t xml:space="preserve"> la anulación de la oferta correspondiente.</w:t>
      </w:r>
    </w:p>
    <w:p w14:paraId="164BB973" w14:textId="77777777" w:rsidR="0092647D" w:rsidRPr="0092647D" w:rsidRDefault="0092647D" w:rsidP="0092647D">
      <w:pPr>
        <w:jc w:val="both"/>
        <w:rPr>
          <w:rFonts w:ascii="Arial" w:eastAsia="Arial" w:hAnsi="Arial" w:cs="Arial"/>
          <w:color w:val="000000"/>
          <w:sz w:val="22"/>
          <w:szCs w:val="22"/>
        </w:rPr>
      </w:pPr>
    </w:p>
    <w:p w14:paraId="72163F60"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Garantía</w:t>
      </w:r>
      <w:r w:rsidRPr="0092647D">
        <w:rPr>
          <w:rFonts w:ascii="Arial" w:eastAsia="Arial" w:hAnsi="Arial" w:cs="Arial"/>
          <w:color w:val="000000"/>
          <w:sz w:val="22"/>
          <w:szCs w:val="22"/>
        </w:rPr>
        <w:t>:</w:t>
      </w:r>
    </w:p>
    <w:p w14:paraId="5A8A3478" w14:textId="07FD9C96"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La garantía deberá cubrir un </w:t>
      </w:r>
      <w:r w:rsidR="00520914">
        <w:rPr>
          <w:rFonts w:ascii="Arial" w:eastAsia="Arial" w:hAnsi="Arial" w:cs="Arial"/>
          <w:color w:val="000000"/>
          <w:sz w:val="22"/>
          <w:szCs w:val="22"/>
        </w:rPr>
        <w:t xml:space="preserve">(1) </w:t>
      </w:r>
      <w:r w:rsidRPr="0092647D">
        <w:rPr>
          <w:rFonts w:ascii="Arial" w:eastAsia="Arial" w:hAnsi="Arial" w:cs="Arial"/>
          <w:color w:val="000000"/>
          <w:sz w:val="22"/>
          <w:szCs w:val="22"/>
        </w:rPr>
        <w:t xml:space="preserve">año </w:t>
      </w:r>
      <w:r w:rsidRPr="0092647D">
        <w:rPr>
          <w:rFonts w:ascii="Arial" w:eastAsia="Arial" w:hAnsi="Arial" w:cs="Arial"/>
          <w:b/>
          <w:color w:val="000000"/>
          <w:sz w:val="22"/>
          <w:szCs w:val="22"/>
        </w:rPr>
        <w:t>mínimo</w:t>
      </w:r>
      <w:r w:rsidRPr="0092647D">
        <w:rPr>
          <w:rFonts w:ascii="Arial" w:eastAsia="Arial" w:hAnsi="Arial" w:cs="Arial"/>
          <w:color w:val="000000"/>
          <w:sz w:val="22"/>
          <w:szCs w:val="22"/>
        </w:rPr>
        <w:t xml:space="preserve"> por la instalación y los equipos suministrados, y deberá brindarse a través de un Servicio Técnico instalado en el país por el plazo ofrecido.</w:t>
      </w:r>
    </w:p>
    <w:p w14:paraId="030BBD55"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Se deberá especificar plazo y condiciones de la garantía ofrecida.</w:t>
      </w:r>
    </w:p>
    <w:p w14:paraId="746B2245" w14:textId="77777777" w:rsidR="0092647D" w:rsidRPr="0092647D" w:rsidRDefault="0092647D" w:rsidP="0092647D">
      <w:pPr>
        <w:jc w:val="both"/>
        <w:rPr>
          <w:rFonts w:ascii="Arial" w:eastAsia="Arial" w:hAnsi="Arial" w:cs="Arial"/>
          <w:color w:val="000000"/>
          <w:sz w:val="22"/>
          <w:szCs w:val="22"/>
        </w:rPr>
      </w:pPr>
    </w:p>
    <w:p w14:paraId="4D0E9A58"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Manuales:</w:t>
      </w:r>
    </w:p>
    <w:p w14:paraId="4443F451"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Todos los equipos deberán contar con sus respectivos manuales o detalle de características técnicas y recomendaciones de uso, redactados en español y/o inglés.</w:t>
      </w:r>
    </w:p>
    <w:p w14:paraId="7E0092CD" w14:textId="77777777" w:rsidR="0092647D" w:rsidRPr="0092647D" w:rsidRDefault="0092647D" w:rsidP="0092647D">
      <w:pPr>
        <w:jc w:val="both"/>
        <w:rPr>
          <w:rFonts w:ascii="Arial" w:eastAsia="Arial" w:hAnsi="Arial" w:cs="Arial"/>
          <w:color w:val="000000"/>
          <w:sz w:val="22"/>
          <w:szCs w:val="22"/>
        </w:rPr>
      </w:pPr>
    </w:p>
    <w:p w14:paraId="770CB855"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Plazo de entrega:</w:t>
      </w:r>
    </w:p>
    <w:p w14:paraId="3E088A71" w14:textId="5E2D3974"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El suministro deberá ser entregado en un plazo máximo de </w:t>
      </w:r>
      <w:r w:rsidR="00520914">
        <w:rPr>
          <w:rFonts w:ascii="Arial" w:eastAsia="Arial" w:hAnsi="Arial" w:cs="Arial"/>
          <w:color w:val="000000"/>
          <w:sz w:val="22"/>
          <w:szCs w:val="22"/>
        </w:rPr>
        <w:t>sesenta (</w:t>
      </w:r>
      <w:r w:rsidRPr="0092647D">
        <w:rPr>
          <w:rFonts w:ascii="Arial" w:eastAsia="Arial" w:hAnsi="Arial" w:cs="Arial"/>
          <w:color w:val="000000"/>
          <w:sz w:val="22"/>
          <w:szCs w:val="22"/>
        </w:rPr>
        <w:t>60</w:t>
      </w:r>
      <w:r w:rsidR="00520914">
        <w:rPr>
          <w:rFonts w:ascii="Arial" w:eastAsia="Arial" w:hAnsi="Arial" w:cs="Arial"/>
          <w:color w:val="000000"/>
          <w:sz w:val="22"/>
          <w:szCs w:val="22"/>
        </w:rPr>
        <w:t>)</w:t>
      </w:r>
      <w:r w:rsidRPr="0092647D">
        <w:rPr>
          <w:rFonts w:ascii="Arial" w:eastAsia="Arial" w:hAnsi="Arial" w:cs="Arial"/>
          <w:color w:val="000000"/>
          <w:sz w:val="22"/>
          <w:szCs w:val="22"/>
        </w:rPr>
        <w:t xml:space="preserve"> días contado</w:t>
      </w:r>
      <w:r w:rsidR="00520914">
        <w:rPr>
          <w:rFonts w:ascii="Arial" w:eastAsia="Arial" w:hAnsi="Arial" w:cs="Arial"/>
          <w:color w:val="000000"/>
          <w:sz w:val="22"/>
          <w:szCs w:val="22"/>
        </w:rPr>
        <w:t>s</w:t>
      </w:r>
      <w:r w:rsidRPr="0092647D">
        <w:rPr>
          <w:rFonts w:ascii="Arial" w:eastAsia="Arial" w:hAnsi="Arial" w:cs="Arial"/>
          <w:color w:val="000000"/>
          <w:sz w:val="22"/>
          <w:szCs w:val="22"/>
        </w:rPr>
        <w:t xml:space="preserve"> desde el día que quede firme la resolución de adjudicación.</w:t>
      </w:r>
    </w:p>
    <w:p w14:paraId="68B3EABD"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entrega se deberá coordinar con Secretaría de DINATEL al teléfono 2840 1234 interno 5110.</w:t>
      </w:r>
    </w:p>
    <w:p w14:paraId="59413EC2" w14:textId="77777777" w:rsidR="0092647D" w:rsidRPr="0092647D" w:rsidRDefault="0092647D" w:rsidP="0092647D">
      <w:pPr>
        <w:jc w:val="both"/>
        <w:rPr>
          <w:rFonts w:ascii="Arial" w:eastAsia="Arial" w:hAnsi="Arial" w:cs="Arial"/>
          <w:color w:val="000000"/>
          <w:sz w:val="22"/>
          <w:szCs w:val="22"/>
        </w:rPr>
      </w:pPr>
    </w:p>
    <w:p w14:paraId="37117A1C" w14:textId="77777777" w:rsidR="0092647D" w:rsidRPr="0092647D" w:rsidRDefault="0092647D" w:rsidP="0092647D">
      <w:pPr>
        <w:jc w:val="both"/>
        <w:rPr>
          <w:rFonts w:ascii="Arial" w:eastAsia="Arial" w:hAnsi="Arial" w:cs="Arial"/>
          <w:color w:val="000000"/>
          <w:sz w:val="22"/>
          <w:szCs w:val="22"/>
          <w:lang w:val="es-UY"/>
        </w:rPr>
      </w:pPr>
    </w:p>
    <w:p w14:paraId="348651A6" w14:textId="77777777" w:rsidR="00EB5CBE" w:rsidRPr="0092647D" w:rsidRDefault="00EB5CBE" w:rsidP="00EB5CBE">
      <w:pPr>
        <w:numPr>
          <w:ilvl w:val="0"/>
          <w:numId w:val="2"/>
        </w:numPr>
        <w:jc w:val="both"/>
        <w:rPr>
          <w:rFonts w:ascii="Arial" w:eastAsia="Arial" w:hAnsi="Arial" w:cs="Arial"/>
          <w:color w:val="000000"/>
          <w:sz w:val="22"/>
          <w:szCs w:val="22"/>
          <w:lang w:val="es-UY"/>
        </w:rPr>
      </w:pPr>
      <w:bookmarkStart w:id="3" w:name="_Toc489535169"/>
      <w:r w:rsidRPr="0092647D">
        <w:rPr>
          <w:rFonts w:ascii="Arial" w:eastAsia="Arial" w:hAnsi="Arial" w:cs="Arial"/>
          <w:b/>
          <w:bCs/>
          <w:color w:val="000000"/>
          <w:sz w:val="22"/>
          <w:szCs w:val="22"/>
          <w:lang w:val="es-UY"/>
        </w:rPr>
        <w:t>CONSULTAS, ACLARACIONES Y PRÓRROGAS</w:t>
      </w:r>
      <w:bookmarkEnd w:id="3"/>
    </w:p>
    <w:p w14:paraId="1FF7201A" w14:textId="77777777" w:rsidR="00EB5CBE" w:rsidRPr="0092647D" w:rsidRDefault="00EB5CBE" w:rsidP="00EB5CBE">
      <w:pPr>
        <w:jc w:val="both"/>
        <w:rPr>
          <w:rFonts w:ascii="Arial" w:eastAsia="Arial" w:hAnsi="Arial" w:cs="Arial"/>
          <w:color w:val="000000"/>
          <w:sz w:val="22"/>
          <w:szCs w:val="22"/>
          <w:lang w:val="es-UY"/>
        </w:rPr>
      </w:pPr>
    </w:p>
    <w:p w14:paraId="66975445" w14:textId="77777777" w:rsidR="00EB5CBE" w:rsidRPr="006101B4" w:rsidRDefault="00EB5CBE" w:rsidP="00EB5CBE">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Las consultas y/o aclaraciones sobre el Pliego deberán realizarse exclusivamente de la siguiente manera: </w:t>
      </w:r>
    </w:p>
    <w:p w14:paraId="5688B834" w14:textId="77777777" w:rsidR="00EB5CBE" w:rsidRPr="006101B4" w:rsidRDefault="00EB5CBE" w:rsidP="00EB5CBE">
      <w:pPr>
        <w:pStyle w:val="Default"/>
        <w:spacing w:line="276" w:lineRule="auto"/>
        <w:jc w:val="both"/>
        <w:rPr>
          <w:rFonts w:ascii="Arial" w:hAnsi="Arial" w:cs="Arial"/>
          <w:color w:val="auto"/>
          <w:sz w:val="22"/>
          <w:szCs w:val="22"/>
        </w:rPr>
      </w:pPr>
      <w:r w:rsidRPr="006101B4">
        <w:rPr>
          <w:rFonts w:ascii="Arial" w:hAnsi="Arial" w:cs="Arial"/>
          <w:color w:val="auto"/>
          <w:sz w:val="22"/>
          <w:szCs w:val="22"/>
        </w:rPr>
        <w:br w:type="textWrapping" w:clear="all"/>
        <w:t xml:space="preserve">a) Por correo electrónico y de manera fundada a </w:t>
      </w:r>
      <w:hyperlink r:id="rId5" w:history="1">
        <w:r w:rsidRPr="006101B4">
          <w:rPr>
            <w:rStyle w:val="Hipervnculo"/>
            <w:rFonts w:ascii="Arial" w:hAnsi="Arial" w:cs="Arial"/>
            <w:color w:val="0070C0"/>
            <w:sz w:val="22"/>
            <w:szCs w:val="22"/>
          </w:rPr>
          <w:t>proveeduría@miem.gub.uy</w:t>
        </w:r>
      </w:hyperlink>
      <w:r w:rsidRPr="006101B4">
        <w:rPr>
          <w:rFonts w:ascii="Arial" w:hAnsi="Arial" w:cs="Arial"/>
          <w:color w:val="auto"/>
          <w:sz w:val="22"/>
          <w:szCs w:val="22"/>
        </w:rPr>
        <w:t>.</w:t>
      </w:r>
    </w:p>
    <w:p w14:paraId="560F7443" w14:textId="77777777" w:rsidR="00EB5CBE" w:rsidRPr="006101B4" w:rsidRDefault="00EB5CBE" w:rsidP="00EB5CBE">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b) Identificando claramente el número y objeto de la presente Licitación.</w:t>
      </w:r>
    </w:p>
    <w:p w14:paraId="29EC1239" w14:textId="77777777" w:rsidR="00EB5CBE" w:rsidRPr="006101B4" w:rsidRDefault="00EB5CBE" w:rsidP="00EB5CBE">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c) Plazo: hasta cuatro (4) días hábiles antes del acto de apertura, las que serán respondidas dentro de los siguientes dos (2) días hábiles. Las consultas de los oferentes y las respectivas respuestas de la Administración serán publicadas en el sitio web de compras estatales donde figura publicada la presente convocatoria, dentro del plazo fijado para su evacuación y permanecerán disponibles hasta el día fijado para el acto de apertura del llamado. </w:t>
      </w:r>
    </w:p>
    <w:p w14:paraId="6083CD0D" w14:textId="77777777" w:rsidR="00EB5CBE" w:rsidRPr="006101B4" w:rsidRDefault="00EB5CBE" w:rsidP="00EB5CBE">
      <w:pPr>
        <w:pStyle w:val="Default"/>
        <w:spacing w:line="276" w:lineRule="auto"/>
        <w:jc w:val="both"/>
        <w:rPr>
          <w:rFonts w:ascii="Arial" w:hAnsi="Arial" w:cs="Arial"/>
          <w:color w:val="auto"/>
          <w:sz w:val="22"/>
          <w:szCs w:val="22"/>
        </w:rPr>
      </w:pPr>
    </w:p>
    <w:p w14:paraId="3B5E5C57" w14:textId="77777777" w:rsidR="00EB5CBE" w:rsidRPr="006101B4" w:rsidRDefault="00EB5CBE" w:rsidP="00EB5CBE">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La solicitud de prórroga de la fecha de apertura de ofertas, podrá presentarse: </w:t>
      </w:r>
    </w:p>
    <w:p w14:paraId="2E094FAC" w14:textId="77777777" w:rsidR="00EB5CBE" w:rsidRPr="006101B4" w:rsidRDefault="00EB5CBE" w:rsidP="00EB5CBE">
      <w:pPr>
        <w:pStyle w:val="Default"/>
        <w:numPr>
          <w:ilvl w:val="0"/>
          <w:numId w:val="6"/>
        </w:numPr>
        <w:spacing w:line="276" w:lineRule="auto"/>
        <w:jc w:val="both"/>
        <w:rPr>
          <w:rFonts w:ascii="Arial" w:hAnsi="Arial" w:cs="Arial"/>
          <w:color w:val="auto"/>
          <w:sz w:val="22"/>
          <w:szCs w:val="22"/>
        </w:rPr>
      </w:pPr>
      <w:r w:rsidRPr="006101B4">
        <w:rPr>
          <w:rFonts w:ascii="Arial" w:hAnsi="Arial" w:cs="Arial"/>
          <w:color w:val="auto"/>
          <w:sz w:val="22"/>
          <w:szCs w:val="22"/>
        </w:rPr>
        <w:t xml:space="preserve">Por correo electrónico y de manera fundada a </w:t>
      </w:r>
      <w:hyperlink r:id="rId6" w:history="1">
        <w:r w:rsidRPr="006101B4">
          <w:rPr>
            <w:rStyle w:val="Hipervnculo"/>
            <w:rFonts w:ascii="Arial" w:hAnsi="Arial" w:cs="Arial"/>
            <w:color w:val="0070C0"/>
            <w:sz w:val="22"/>
            <w:szCs w:val="22"/>
          </w:rPr>
          <w:t>proveeduría@miem.gub.uy</w:t>
        </w:r>
      </w:hyperlink>
      <w:r w:rsidRPr="006101B4">
        <w:rPr>
          <w:rFonts w:ascii="Arial" w:hAnsi="Arial" w:cs="Arial"/>
          <w:color w:val="auto"/>
          <w:sz w:val="22"/>
          <w:szCs w:val="22"/>
        </w:rPr>
        <w:t>.</w:t>
      </w:r>
    </w:p>
    <w:p w14:paraId="364239B3" w14:textId="77777777" w:rsidR="00EB5CBE" w:rsidRPr="006101B4" w:rsidRDefault="00EB5CBE" w:rsidP="00EB5CBE">
      <w:pPr>
        <w:pStyle w:val="Default"/>
        <w:numPr>
          <w:ilvl w:val="0"/>
          <w:numId w:val="6"/>
        </w:numPr>
        <w:spacing w:line="276" w:lineRule="auto"/>
        <w:jc w:val="both"/>
        <w:rPr>
          <w:rFonts w:ascii="Arial" w:hAnsi="Arial" w:cs="Arial"/>
          <w:color w:val="auto"/>
          <w:sz w:val="22"/>
          <w:szCs w:val="22"/>
        </w:rPr>
      </w:pPr>
      <w:r w:rsidRPr="006101B4">
        <w:rPr>
          <w:rFonts w:ascii="Arial" w:hAnsi="Arial" w:cs="Arial"/>
          <w:color w:val="auto"/>
          <w:sz w:val="22"/>
          <w:szCs w:val="22"/>
        </w:rPr>
        <w:t>Identificando claramente el número y objeto de la presente Licitación.</w:t>
      </w:r>
    </w:p>
    <w:p w14:paraId="25AC550E" w14:textId="0801F6FA" w:rsidR="00EB5CBE" w:rsidRPr="006101B4" w:rsidRDefault="00EB5CBE" w:rsidP="00EB5CBE">
      <w:pPr>
        <w:pStyle w:val="Default"/>
        <w:numPr>
          <w:ilvl w:val="0"/>
          <w:numId w:val="6"/>
        </w:numPr>
        <w:spacing w:line="276" w:lineRule="auto"/>
        <w:jc w:val="both"/>
        <w:rPr>
          <w:rFonts w:ascii="Arial" w:eastAsia="Arial" w:hAnsi="Arial" w:cs="Arial"/>
          <w:sz w:val="22"/>
          <w:szCs w:val="22"/>
        </w:rPr>
      </w:pPr>
      <w:r w:rsidRPr="006101B4">
        <w:rPr>
          <w:rFonts w:ascii="Arial" w:hAnsi="Arial" w:cs="Arial"/>
          <w:color w:val="auto"/>
          <w:sz w:val="22"/>
          <w:szCs w:val="22"/>
        </w:rPr>
        <w:t>Plazo: hasta dos (2) días hábiles antes del acto de apertura, respondiéndose dentro del día hábil siguiente en la misma forma que el punto anterior. En caso de no pronunciamiento de la Administración</w:t>
      </w:r>
      <w:r w:rsidR="00520914">
        <w:rPr>
          <w:rFonts w:ascii="Arial" w:hAnsi="Arial" w:cs="Arial"/>
          <w:color w:val="auto"/>
          <w:sz w:val="22"/>
          <w:szCs w:val="22"/>
        </w:rPr>
        <w:t>,</w:t>
      </w:r>
      <w:r w:rsidRPr="006101B4">
        <w:rPr>
          <w:rFonts w:ascii="Arial" w:hAnsi="Arial" w:cs="Arial"/>
          <w:color w:val="auto"/>
          <w:sz w:val="22"/>
          <w:szCs w:val="22"/>
        </w:rPr>
        <w:t xml:space="preserve"> se entenderá que la prórroga ha sido denegada.</w:t>
      </w:r>
    </w:p>
    <w:p w14:paraId="5F47C96F" w14:textId="77777777" w:rsidR="00EB5CBE" w:rsidRPr="0092647D" w:rsidRDefault="00EB5CBE" w:rsidP="00EB5CBE">
      <w:pPr>
        <w:jc w:val="both"/>
        <w:rPr>
          <w:rFonts w:ascii="Arial" w:eastAsia="Arial" w:hAnsi="Arial" w:cs="Arial"/>
          <w:color w:val="000000"/>
          <w:sz w:val="22"/>
          <w:szCs w:val="22"/>
          <w:lang w:val="es-UY"/>
        </w:rPr>
      </w:pPr>
    </w:p>
    <w:p w14:paraId="60078EE0" w14:textId="77777777" w:rsidR="00EB5CBE" w:rsidRPr="0092647D" w:rsidRDefault="00EB5CBE" w:rsidP="00EB5CBE">
      <w:pPr>
        <w:jc w:val="both"/>
        <w:rPr>
          <w:rFonts w:ascii="Arial" w:eastAsia="Arial" w:hAnsi="Arial" w:cs="Arial"/>
          <w:color w:val="000000"/>
          <w:sz w:val="22"/>
          <w:szCs w:val="22"/>
          <w:lang w:val="es-UY"/>
        </w:rPr>
      </w:pPr>
    </w:p>
    <w:p w14:paraId="1D010244" w14:textId="77777777" w:rsidR="00EB5CBE" w:rsidRPr="0092647D" w:rsidRDefault="00EB5CBE" w:rsidP="00EB5CBE">
      <w:pPr>
        <w:numPr>
          <w:ilvl w:val="0"/>
          <w:numId w:val="2"/>
        </w:numPr>
        <w:jc w:val="both"/>
        <w:rPr>
          <w:rFonts w:ascii="Arial" w:eastAsia="Arial" w:hAnsi="Arial" w:cs="Arial"/>
          <w:color w:val="000000"/>
          <w:sz w:val="22"/>
          <w:szCs w:val="22"/>
          <w:lang w:val="es-UY"/>
        </w:rPr>
      </w:pPr>
      <w:bookmarkStart w:id="4" w:name="_Toc489535170"/>
      <w:r w:rsidRPr="0092647D">
        <w:rPr>
          <w:rFonts w:ascii="Arial" w:eastAsia="Arial" w:hAnsi="Arial" w:cs="Arial"/>
          <w:b/>
          <w:bCs/>
          <w:color w:val="000000"/>
          <w:sz w:val="22"/>
          <w:szCs w:val="22"/>
          <w:lang w:val="es-UY"/>
        </w:rPr>
        <w:t>ACTO DE APERTURA</w:t>
      </w:r>
      <w:bookmarkEnd w:id="4"/>
    </w:p>
    <w:p w14:paraId="4AC0AAD7" w14:textId="77777777" w:rsidR="00EB5CBE" w:rsidRPr="0092647D" w:rsidRDefault="00EB5CBE" w:rsidP="00EB5CBE">
      <w:pPr>
        <w:jc w:val="both"/>
        <w:rPr>
          <w:rFonts w:ascii="Arial" w:eastAsia="Arial" w:hAnsi="Arial" w:cs="Arial"/>
          <w:color w:val="000000"/>
          <w:sz w:val="22"/>
          <w:szCs w:val="22"/>
          <w:lang w:val="es-UY"/>
        </w:rPr>
      </w:pPr>
    </w:p>
    <w:p w14:paraId="5C66E686" w14:textId="4E6C9482" w:rsidR="00EB5CBE" w:rsidRPr="00A66879" w:rsidRDefault="00EB5CBE" w:rsidP="00EB5CBE">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El Acto de Apertura se realizará en el Departamento de Adquisiciones y Proveeduría del MIEM, sito en Rincón 723</w:t>
      </w:r>
      <w:r w:rsidR="00520914">
        <w:rPr>
          <w:rFonts w:ascii="Arial" w:eastAsia="Arial" w:hAnsi="Arial" w:cs="Arial"/>
          <w:color w:val="000000"/>
          <w:sz w:val="22"/>
          <w:szCs w:val="22"/>
          <w:lang w:val="es-UY"/>
        </w:rPr>
        <w:t>,</w:t>
      </w:r>
      <w:r w:rsidRPr="00A66879">
        <w:rPr>
          <w:rFonts w:ascii="Arial" w:eastAsia="Arial" w:hAnsi="Arial" w:cs="Arial"/>
          <w:color w:val="000000"/>
          <w:sz w:val="22"/>
          <w:szCs w:val="22"/>
          <w:lang w:val="es-UY"/>
        </w:rPr>
        <w:t xml:space="preserve"> 1er Piso, en la fecha y hora, indicados en la publicación, cuya modificación será debidamente publicada.</w:t>
      </w:r>
    </w:p>
    <w:p w14:paraId="72A69C83" w14:textId="77777777" w:rsidR="00EB5CBE" w:rsidRPr="00A66879" w:rsidRDefault="00EB5CBE" w:rsidP="00EB5CBE">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Abierto el acto, en presencia de los funcionarios designados a tal efecto por la Administración y los oferentes o sus representantes debidamente acreditados que deseen asistir, no se podrá introducir modificación alguna a las propuestas. </w:t>
      </w:r>
    </w:p>
    <w:p w14:paraId="7CCF34C3" w14:textId="77777777" w:rsidR="00EB5CBE" w:rsidRPr="00A66879" w:rsidRDefault="00EB5CBE" w:rsidP="00EB5CBE">
      <w:pPr>
        <w:jc w:val="both"/>
        <w:rPr>
          <w:rFonts w:ascii="Arial" w:eastAsia="Arial" w:hAnsi="Arial" w:cs="Arial"/>
          <w:color w:val="000000"/>
          <w:sz w:val="22"/>
          <w:szCs w:val="22"/>
          <w:lang w:val="es-UY"/>
        </w:rPr>
      </w:pPr>
    </w:p>
    <w:p w14:paraId="342821B0" w14:textId="77777777" w:rsidR="00EB5CBE" w:rsidRPr="00A66879" w:rsidRDefault="00EB5CBE" w:rsidP="00EB5CBE">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Se controlará que las propuestas no presenten carencias o defectos, pero su admisión inicial no será obstáculo para su invalidación posterior.</w:t>
      </w:r>
    </w:p>
    <w:p w14:paraId="02A138BB" w14:textId="77777777" w:rsidR="00EB5CBE" w:rsidRPr="00A66879" w:rsidRDefault="00EB5CBE" w:rsidP="00EB5CBE">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 </w:t>
      </w:r>
    </w:p>
    <w:p w14:paraId="7E09FE99" w14:textId="77777777" w:rsidR="00EB5CBE" w:rsidRPr="0092647D" w:rsidRDefault="00EB5CBE" w:rsidP="00EB5CBE">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Culminado el acto, se labrará Acta circunstanciada del mismo siendo firmada por los funcionarios </w:t>
      </w:r>
      <w:r w:rsidRPr="00A66879">
        <w:rPr>
          <w:rFonts w:ascii="Arial" w:eastAsia="Arial" w:hAnsi="Arial" w:cs="Arial"/>
          <w:color w:val="000000"/>
          <w:sz w:val="22"/>
          <w:szCs w:val="22"/>
          <w:lang w:val="es-UY"/>
        </w:rPr>
        <w:lastRenderedPageBreak/>
        <w:t>actuantes y los oferentes o sus representantes que deseen hacerlo, quienes podrán efectuar las observaciones que consideren necesarias. Durante el acto de apertura se deberá exhibir cédula de identidad vigente del compareciente.</w:t>
      </w:r>
    </w:p>
    <w:p w14:paraId="60793B47" w14:textId="77777777" w:rsidR="00EB5CBE" w:rsidRPr="008A49FD" w:rsidRDefault="00EB5CBE" w:rsidP="00EB5CBE">
      <w:pPr>
        <w:jc w:val="both"/>
        <w:rPr>
          <w:rFonts w:ascii="Arial" w:eastAsia="Arial" w:hAnsi="Arial" w:cs="Arial"/>
          <w:color w:val="000000"/>
          <w:sz w:val="22"/>
          <w:szCs w:val="22"/>
          <w:lang w:val="es-UY"/>
        </w:rPr>
      </w:pPr>
    </w:p>
    <w:p w14:paraId="25E401C4" w14:textId="77777777" w:rsidR="00EB5CBE" w:rsidRPr="008A49FD" w:rsidRDefault="00EB5CBE" w:rsidP="00EB5CBE">
      <w:pPr>
        <w:numPr>
          <w:ilvl w:val="0"/>
          <w:numId w:val="2"/>
        </w:numPr>
        <w:jc w:val="both"/>
        <w:rPr>
          <w:rFonts w:ascii="Arial" w:eastAsia="Arial" w:hAnsi="Arial" w:cs="Arial"/>
          <w:b/>
          <w:bCs/>
          <w:color w:val="000000"/>
          <w:sz w:val="22"/>
          <w:szCs w:val="22"/>
          <w:lang w:val="es-UY"/>
        </w:rPr>
      </w:pPr>
      <w:bookmarkStart w:id="5" w:name="_Toc489535172"/>
      <w:r w:rsidRPr="008A49FD">
        <w:rPr>
          <w:rFonts w:ascii="Arial" w:hAnsi="Arial" w:cs="Arial"/>
          <w:b/>
          <w:bCs/>
          <w:sz w:val="22"/>
          <w:szCs w:val="22"/>
        </w:rPr>
        <w:t>PLAZO COMPLEMENTARIO</w:t>
      </w:r>
    </w:p>
    <w:p w14:paraId="3724700E" w14:textId="77777777" w:rsidR="00EB5CBE" w:rsidRDefault="00EB5CBE" w:rsidP="00EB5CBE">
      <w:pPr>
        <w:jc w:val="both"/>
        <w:rPr>
          <w:rFonts w:ascii="Arial" w:hAnsi="Arial" w:cs="Arial"/>
          <w:b/>
          <w:bCs/>
          <w:sz w:val="22"/>
          <w:szCs w:val="22"/>
        </w:rPr>
      </w:pPr>
    </w:p>
    <w:p w14:paraId="0BEB973D" w14:textId="77777777" w:rsidR="00EB5CBE" w:rsidRDefault="00EB5CBE" w:rsidP="00EB5CBE">
      <w:pPr>
        <w:jc w:val="both"/>
        <w:rPr>
          <w:rFonts w:ascii="Arial" w:eastAsia="Arial" w:hAnsi="Arial" w:cs="Arial"/>
          <w:b/>
          <w:bCs/>
          <w:color w:val="000000"/>
          <w:sz w:val="22"/>
          <w:szCs w:val="22"/>
          <w:lang w:val="es-UY"/>
        </w:rPr>
      </w:pPr>
      <w:r w:rsidRPr="008A49FD">
        <w:rPr>
          <w:rFonts w:ascii="Arial" w:eastAsia="Arial" w:hAnsi="Arial" w:cs="Arial"/>
          <w:color w:val="000000"/>
          <w:sz w:val="22"/>
          <w:szCs w:val="22"/>
          <w:lang w:val="es-UY"/>
        </w:rPr>
        <w:t>Si en el acto de apertura se constata la omisión de la presentación de documentación o información, cuya agregación posterior no altere materialmente la igualdad de los oferentes, la Administración podrá otorgar un plazo de hasta dos (2) días hábiles improrrogables, a efectos de que los interesados puedan subsanar la omisión, en un todo de acuerdo a lo establecido en el artículo 65 del Decreto 150/012 de 11 de mayo de 2012 y sus modificativas (TOCAF). De estos hechos debe quedar constancia en el Acta de apertura.</w:t>
      </w:r>
    </w:p>
    <w:p w14:paraId="6815C3F1" w14:textId="77777777" w:rsidR="00EB5CBE" w:rsidRDefault="00EB5CBE" w:rsidP="00EB5CBE">
      <w:pPr>
        <w:ind w:left="360"/>
        <w:jc w:val="both"/>
        <w:rPr>
          <w:rFonts w:ascii="Arial" w:eastAsia="Arial" w:hAnsi="Arial" w:cs="Arial"/>
          <w:b/>
          <w:bCs/>
          <w:color w:val="000000"/>
          <w:sz w:val="22"/>
          <w:szCs w:val="22"/>
          <w:lang w:val="es-UY"/>
        </w:rPr>
      </w:pPr>
    </w:p>
    <w:p w14:paraId="260AEB04" w14:textId="77777777" w:rsidR="00EB5CBE" w:rsidRPr="0092647D" w:rsidRDefault="00EB5CBE" w:rsidP="00EB5CBE">
      <w:pPr>
        <w:numPr>
          <w:ilvl w:val="0"/>
          <w:numId w:val="2"/>
        </w:numPr>
        <w:jc w:val="both"/>
        <w:rPr>
          <w:rFonts w:ascii="Arial" w:eastAsia="Arial" w:hAnsi="Arial" w:cs="Arial"/>
          <w:b/>
          <w:bCs/>
          <w:color w:val="000000"/>
          <w:sz w:val="22"/>
          <w:szCs w:val="22"/>
          <w:lang w:val="es-UY"/>
        </w:rPr>
      </w:pPr>
      <w:r w:rsidRPr="0092647D">
        <w:rPr>
          <w:rFonts w:ascii="Arial" w:eastAsia="Arial" w:hAnsi="Arial" w:cs="Arial"/>
          <w:b/>
          <w:bCs/>
          <w:color w:val="000000"/>
          <w:sz w:val="22"/>
          <w:szCs w:val="22"/>
          <w:lang w:val="es-UY"/>
        </w:rPr>
        <w:t>CONDICIONES DEL OFERENTE. FORMA Y CONTENIDO DE LA PROPUESTA</w:t>
      </w:r>
      <w:bookmarkEnd w:id="5"/>
    </w:p>
    <w:p w14:paraId="0BE6B29A" w14:textId="77777777" w:rsidR="00EB5CBE" w:rsidRPr="0092647D" w:rsidRDefault="00EB5CBE" w:rsidP="00EB5CBE">
      <w:pPr>
        <w:jc w:val="both"/>
        <w:rPr>
          <w:rFonts w:ascii="Arial" w:eastAsia="Arial" w:hAnsi="Arial" w:cs="Arial"/>
          <w:b/>
          <w:bCs/>
          <w:color w:val="000000"/>
          <w:sz w:val="22"/>
          <w:szCs w:val="22"/>
          <w:lang w:val="es-UY"/>
        </w:rPr>
      </w:pPr>
    </w:p>
    <w:p w14:paraId="2C5E6FA0" w14:textId="77777777" w:rsidR="00EB5CBE" w:rsidRDefault="00EB5CBE" w:rsidP="00EB5CBE">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CONDICIONES DEL OFERENTE</w:t>
      </w:r>
      <w:r w:rsidRPr="0092647D">
        <w:rPr>
          <w:rFonts w:ascii="Arial" w:eastAsia="Arial" w:hAnsi="Arial" w:cs="Arial"/>
          <w:b/>
          <w:bCs/>
          <w:color w:val="000000"/>
          <w:sz w:val="22"/>
          <w:szCs w:val="22"/>
          <w:lang w:val="es-UY"/>
        </w:rPr>
        <w:t xml:space="preserve"> </w:t>
      </w:r>
    </w:p>
    <w:p w14:paraId="3DED1103" w14:textId="77777777" w:rsidR="00EB5CBE" w:rsidRDefault="00EB5CBE" w:rsidP="00EB5CBE">
      <w:pPr>
        <w:ind w:left="792"/>
        <w:jc w:val="both"/>
        <w:rPr>
          <w:rFonts w:ascii="Arial" w:eastAsia="Arial" w:hAnsi="Arial" w:cs="Arial"/>
          <w:color w:val="000000"/>
          <w:sz w:val="22"/>
          <w:szCs w:val="22"/>
          <w:lang w:val="es-UY"/>
        </w:rPr>
      </w:pPr>
    </w:p>
    <w:p w14:paraId="4AB2694B" w14:textId="77777777" w:rsidR="00EB5CBE" w:rsidRPr="008A49FD" w:rsidRDefault="00EB5CBE" w:rsidP="00EB5CBE">
      <w:pPr>
        <w:jc w:val="both"/>
        <w:rPr>
          <w:rFonts w:ascii="Arial" w:eastAsia="Arial" w:hAnsi="Arial" w:cs="Arial"/>
          <w:color w:val="000000"/>
          <w:sz w:val="22"/>
          <w:szCs w:val="22"/>
          <w:lang w:val="es-UY"/>
        </w:rPr>
      </w:pPr>
      <w:r w:rsidRPr="008A49FD">
        <w:rPr>
          <w:rFonts w:ascii="Arial" w:eastAsia="Arial" w:hAnsi="Arial" w:cs="Arial"/>
          <w:color w:val="000000"/>
          <w:sz w:val="22"/>
          <w:szCs w:val="22"/>
          <w:lang w:val="es-UY"/>
        </w:rPr>
        <w:t xml:space="preserve">A efectos de la presentación en este llamado, el oferente deberá estar registrado en el Registro Único de Proveedores del Estado (RUPE), conforme a lo dispuesto por el Decreto del Poder Ejecutivo Nº 155/2013 de 21 de mayo de 2013. Los estados admitidos para aceptar ofertas de proveedores son: en ingreso o activo en el RUPE. </w:t>
      </w:r>
    </w:p>
    <w:p w14:paraId="397E4DD8" w14:textId="77777777" w:rsidR="00EB5CBE" w:rsidRPr="0092647D" w:rsidRDefault="00EB5CBE" w:rsidP="00EB5CBE">
      <w:pPr>
        <w:jc w:val="both"/>
        <w:rPr>
          <w:rFonts w:ascii="Arial" w:eastAsia="Arial" w:hAnsi="Arial" w:cs="Arial"/>
          <w:color w:val="000000"/>
          <w:sz w:val="22"/>
          <w:szCs w:val="22"/>
          <w:lang w:val="es-UY"/>
        </w:rPr>
      </w:pPr>
    </w:p>
    <w:p w14:paraId="3D7D2B04" w14:textId="77777777" w:rsidR="00EB5CBE" w:rsidRPr="0092647D" w:rsidRDefault="00EB5CBE" w:rsidP="00EB5CBE">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FORMA Y CONTENIDO DE LA PROPUESTA</w:t>
      </w:r>
      <w:r w:rsidRPr="0092647D">
        <w:rPr>
          <w:rFonts w:ascii="Arial" w:eastAsia="Arial" w:hAnsi="Arial" w:cs="Arial"/>
          <w:b/>
          <w:bCs/>
          <w:color w:val="000000"/>
          <w:sz w:val="22"/>
          <w:szCs w:val="22"/>
          <w:lang w:val="es-UY"/>
        </w:rPr>
        <w:t xml:space="preserve"> </w:t>
      </w:r>
    </w:p>
    <w:p w14:paraId="05E8003D" w14:textId="77777777" w:rsidR="00EB5CBE" w:rsidRPr="0092647D" w:rsidRDefault="00EB5CBE" w:rsidP="00EB5CBE">
      <w:pPr>
        <w:jc w:val="both"/>
        <w:rPr>
          <w:rFonts w:ascii="Arial" w:eastAsia="Arial" w:hAnsi="Arial" w:cs="Arial"/>
          <w:color w:val="000000"/>
          <w:sz w:val="22"/>
          <w:szCs w:val="22"/>
          <w:lang w:val="es-UY"/>
        </w:rPr>
      </w:pPr>
    </w:p>
    <w:p w14:paraId="305DD816" w14:textId="77777777" w:rsidR="00EB5CBE" w:rsidRPr="008A49FD" w:rsidRDefault="00EB5CBE" w:rsidP="00EB5CBE">
      <w:pPr>
        <w:pStyle w:val="Default"/>
        <w:spacing w:line="276" w:lineRule="auto"/>
        <w:jc w:val="both"/>
        <w:rPr>
          <w:rFonts w:ascii="Arial" w:hAnsi="Arial" w:cs="Arial"/>
          <w:b/>
          <w:color w:val="auto"/>
          <w:sz w:val="22"/>
          <w:szCs w:val="22"/>
        </w:rPr>
      </w:pPr>
      <w:r w:rsidRPr="008A49FD">
        <w:rPr>
          <w:rFonts w:ascii="Arial" w:hAnsi="Arial" w:cs="Arial"/>
          <w:color w:val="auto"/>
          <w:sz w:val="22"/>
          <w:szCs w:val="22"/>
        </w:rPr>
        <w:t xml:space="preserve">Las ofertas deberán presentarse a través del sitio web </w:t>
      </w:r>
      <w:hyperlink r:id="rId7" w:history="1">
        <w:r w:rsidRPr="008A49FD">
          <w:rPr>
            <w:rStyle w:val="Hipervnculo"/>
            <w:rFonts w:ascii="Arial" w:hAnsi="Arial" w:cs="Arial"/>
            <w:color w:val="0070C0"/>
            <w:sz w:val="22"/>
            <w:szCs w:val="22"/>
          </w:rPr>
          <w:t>www.comprasestatales.gub.uy</w:t>
        </w:r>
      </w:hyperlink>
      <w:r w:rsidRPr="008A49FD">
        <w:rPr>
          <w:rFonts w:ascii="Arial" w:hAnsi="Arial" w:cs="Arial"/>
          <w:color w:val="auto"/>
          <w:sz w:val="22"/>
          <w:szCs w:val="22"/>
        </w:rPr>
        <w:t>, y</w:t>
      </w:r>
      <w:r w:rsidRPr="008A49FD">
        <w:rPr>
          <w:rFonts w:ascii="Arial" w:hAnsi="Arial" w:cs="Arial"/>
          <w:b/>
          <w:color w:val="auto"/>
          <w:sz w:val="22"/>
          <w:szCs w:val="22"/>
        </w:rPr>
        <w:t xml:space="preserve"> deberán contener en forma preceptiva, so pena de no resultar admisibles:</w:t>
      </w:r>
    </w:p>
    <w:p w14:paraId="1B37991D" w14:textId="77777777" w:rsidR="00EB5CBE" w:rsidRPr="008A49FD" w:rsidRDefault="00EB5CBE" w:rsidP="00EB5CBE">
      <w:pPr>
        <w:jc w:val="both"/>
        <w:rPr>
          <w:rFonts w:ascii="Arial" w:eastAsia="Arial" w:hAnsi="Arial" w:cs="Arial"/>
          <w:b/>
          <w:color w:val="000000"/>
          <w:sz w:val="22"/>
          <w:szCs w:val="22"/>
          <w:lang w:val="es-UY"/>
        </w:rPr>
      </w:pPr>
    </w:p>
    <w:p w14:paraId="3EF9AE33" w14:textId="77777777" w:rsidR="00EB5CBE" w:rsidRPr="0092647D" w:rsidRDefault="00EB5CBE" w:rsidP="00EB5CBE">
      <w:pPr>
        <w:numPr>
          <w:ilvl w:val="0"/>
          <w:numId w:val="5"/>
        </w:numPr>
        <w:jc w:val="both"/>
        <w:rPr>
          <w:rFonts w:ascii="Arial" w:eastAsia="Arial" w:hAnsi="Arial" w:cs="Arial"/>
          <w:b/>
          <w:color w:val="000000"/>
          <w:sz w:val="22"/>
          <w:szCs w:val="22"/>
          <w:lang w:val="es-UY"/>
        </w:rPr>
      </w:pPr>
      <w:r w:rsidRPr="0092647D">
        <w:rPr>
          <w:rFonts w:ascii="Arial" w:eastAsia="Arial" w:hAnsi="Arial" w:cs="Arial"/>
          <w:b/>
          <w:color w:val="000000"/>
          <w:sz w:val="22"/>
          <w:szCs w:val="22"/>
          <w:lang w:val="es-UY"/>
        </w:rPr>
        <w:t xml:space="preserve">Formulario Anexo I – Identificación del oferente. </w:t>
      </w:r>
    </w:p>
    <w:p w14:paraId="0B9CAB01" w14:textId="77777777" w:rsidR="00EB5CBE" w:rsidRPr="0092647D" w:rsidRDefault="00EB5CBE" w:rsidP="00EB5CBE">
      <w:pPr>
        <w:jc w:val="both"/>
        <w:rPr>
          <w:rFonts w:ascii="Arial" w:eastAsia="Arial" w:hAnsi="Arial" w:cs="Arial"/>
          <w:b/>
          <w:color w:val="000000"/>
          <w:sz w:val="22"/>
          <w:szCs w:val="22"/>
          <w:lang w:val="es-UY"/>
        </w:rPr>
      </w:pPr>
    </w:p>
    <w:p w14:paraId="1458FBFD" w14:textId="77777777" w:rsidR="00EB5CBE" w:rsidRPr="0092647D" w:rsidRDefault="00EB5CBE" w:rsidP="00EB5CBE">
      <w:pPr>
        <w:numPr>
          <w:ilvl w:val="0"/>
          <w:numId w:val="5"/>
        </w:numPr>
        <w:jc w:val="both"/>
        <w:rPr>
          <w:rFonts w:ascii="Arial" w:eastAsia="Arial" w:hAnsi="Arial" w:cs="Arial"/>
          <w:color w:val="000000"/>
          <w:sz w:val="22"/>
          <w:szCs w:val="22"/>
          <w:lang w:val="es-UY"/>
        </w:rPr>
      </w:pPr>
      <w:r w:rsidRPr="0092647D">
        <w:rPr>
          <w:rFonts w:ascii="Arial" w:eastAsia="Arial" w:hAnsi="Arial" w:cs="Arial"/>
          <w:b/>
          <w:color w:val="000000"/>
          <w:sz w:val="22"/>
          <w:szCs w:val="22"/>
          <w:lang w:val="es-UY"/>
        </w:rPr>
        <w:t>Formulario Anexo II – Planilla para cotizar por el oferente</w:t>
      </w:r>
      <w:r w:rsidRPr="0092647D">
        <w:rPr>
          <w:rFonts w:ascii="Arial" w:eastAsia="Arial" w:hAnsi="Arial" w:cs="Arial"/>
          <w:color w:val="000000"/>
          <w:sz w:val="22"/>
          <w:szCs w:val="22"/>
          <w:lang w:val="es-UY"/>
        </w:rPr>
        <w:t xml:space="preserve">. </w:t>
      </w:r>
    </w:p>
    <w:p w14:paraId="34C7DC59" w14:textId="77777777" w:rsidR="00EB5CBE" w:rsidRPr="0092647D" w:rsidRDefault="00EB5CBE" w:rsidP="00EB5CBE">
      <w:pPr>
        <w:jc w:val="both"/>
        <w:rPr>
          <w:rFonts w:ascii="Arial" w:eastAsia="Arial" w:hAnsi="Arial" w:cs="Arial"/>
          <w:color w:val="000000"/>
          <w:sz w:val="22"/>
          <w:szCs w:val="22"/>
          <w:lang w:val="es-UY"/>
        </w:rPr>
      </w:pPr>
    </w:p>
    <w:p w14:paraId="725D0816"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En caso de corresponder, se deberá agregar el recibo de depósito de garantía de mantenimiento de oferta.</w:t>
      </w:r>
    </w:p>
    <w:p w14:paraId="760C3850" w14:textId="77777777" w:rsidR="00EB5CBE" w:rsidRPr="0092647D" w:rsidRDefault="00EB5CBE" w:rsidP="00EB5CBE">
      <w:pPr>
        <w:jc w:val="both"/>
        <w:rPr>
          <w:rFonts w:ascii="Arial" w:eastAsia="Arial" w:hAnsi="Arial" w:cs="Arial"/>
          <w:color w:val="000000"/>
          <w:sz w:val="22"/>
          <w:szCs w:val="22"/>
          <w:lang w:val="es-UY"/>
        </w:rPr>
      </w:pPr>
    </w:p>
    <w:p w14:paraId="4DD94CDF"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El oferente podrá presentar toda la información adicional complementaria a la oferta que considere necesaria. </w:t>
      </w:r>
    </w:p>
    <w:p w14:paraId="2466F1F0" w14:textId="77777777" w:rsidR="00EB5CBE" w:rsidRPr="0092647D" w:rsidRDefault="00EB5CBE" w:rsidP="00EB5CBE">
      <w:pPr>
        <w:jc w:val="both"/>
        <w:rPr>
          <w:rFonts w:ascii="Arial" w:eastAsia="Arial" w:hAnsi="Arial" w:cs="Arial"/>
          <w:color w:val="000000"/>
          <w:sz w:val="22"/>
          <w:szCs w:val="22"/>
          <w:lang w:val="es-UY"/>
        </w:rPr>
      </w:pPr>
    </w:p>
    <w:p w14:paraId="1C5C3F62"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El contenido de las ofertas se considerará información confidencial, siempre que sea entregada en ese carácter (artículo 10 de la Ley 18.381 de 17 de octubre de 2008), la información de clientes, la que puede ser objeto de propiedad intelectual y aquellas de naturaleza similar. No se considerarán confidenciales los precios y las descripciones de bienes y servicios ofertados y las condiciones generales de la oferta.</w:t>
      </w:r>
    </w:p>
    <w:p w14:paraId="19F8591D" w14:textId="77777777" w:rsidR="00EB5CBE" w:rsidRPr="0092647D" w:rsidRDefault="00EB5CBE" w:rsidP="00EB5CBE">
      <w:pPr>
        <w:jc w:val="both"/>
        <w:rPr>
          <w:rFonts w:ascii="Arial" w:eastAsia="Arial" w:hAnsi="Arial" w:cs="Arial"/>
          <w:color w:val="000000"/>
          <w:sz w:val="22"/>
          <w:szCs w:val="22"/>
          <w:lang w:val="es-UY"/>
        </w:rPr>
      </w:pPr>
    </w:p>
    <w:p w14:paraId="677F5E16"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Toda oferta que se presente fuera del plazo fijado para la recepción será rechazada y devuelta sin abrir, con la constancia de fecha y hora en que se recibe y el motivo por el cual es rechazada. </w:t>
      </w:r>
    </w:p>
    <w:p w14:paraId="1C4966CF" w14:textId="77777777" w:rsidR="00EB5CBE" w:rsidRPr="0092647D" w:rsidRDefault="00EB5CBE" w:rsidP="00EB5CBE">
      <w:pPr>
        <w:jc w:val="both"/>
        <w:rPr>
          <w:rFonts w:ascii="Arial" w:eastAsia="Arial" w:hAnsi="Arial" w:cs="Arial"/>
          <w:color w:val="000000"/>
          <w:sz w:val="22"/>
          <w:szCs w:val="22"/>
          <w:lang w:val="es-UY"/>
        </w:rPr>
      </w:pPr>
    </w:p>
    <w:p w14:paraId="46F9CD7E" w14:textId="368A2834" w:rsidR="00EB5CBE" w:rsidRPr="0092647D" w:rsidRDefault="00EB5CBE" w:rsidP="00EB5CBE">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Asimismo, las ofertas ser</w:t>
      </w:r>
      <w:r w:rsidR="00520914">
        <w:rPr>
          <w:rFonts w:ascii="Arial" w:eastAsia="Arial" w:hAnsi="Arial" w:cs="Arial"/>
          <w:color w:val="000000"/>
          <w:sz w:val="22"/>
          <w:szCs w:val="22"/>
          <w:lang w:val="es-UY"/>
        </w:rPr>
        <w:t>án</w:t>
      </w:r>
      <w:r w:rsidRPr="0092647D">
        <w:rPr>
          <w:rFonts w:ascii="Arial" w:eastAsia="Arial" w:hAnsi="Arial" w:cs="Arial"/>
          <w:color w:val="000000"/>
          <w:sz w:val="22"/>
          <w:szCs w:val="22"/>
          <w:lang w:val="es-UY"/>
        </w:rPr>
        <w:t xml:space="preserve"> rechazadas cuando contengan propuestas de cláusulas consideradas abusivas, atendiendo a lo dispuesto por la Ley Nº 17.250 de 11 de agosto de 2000, su Decreto reglamentario 244/000 de 23 de agosto de 2000 y demás normas modificativas y concordantes. </w:t>
      </w:r>
    </w:p>
    <w:p w14:paraId="784D40BF" w14:textId="77777777" w:rsidR="00EB5CBE" w:rsidRPr="0092647D" w:rsidRDefault="00EB5CBE" w:rsidP="00EB5CBE">
      <w:pPr>
        <w:jc w:val="both"/>
        <w:rPr>
          <w:rFonts w:ascii="Arial" w:eastAsia="Arial" w:hAnsi="Arial" w:cs="Arial"/>
          <w:b/>
          <w:bCs/>
          <w:color w:val="000000"/>
          <w:sz w:val="22"/>
          <w:szCs w:val="22"/>
          <w:lang w:val="es-UY"/>
        </w:rPr>
      </w:pPr>
    </w:p>
    <w:p w14:paraId="46B9E7C2"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b/>
          <w:bCs/>
          <w:color w:val="000000"/>
          <w:sz w:val="22"/>
          <w:szCs w:val="22"/>
          <w:lang w:val="es-UY"/>
        </w:rPr>
        <w:t xml:space="preserve">Toda cláusula imprecisa, ambigua, contradictoria u oscura, a criterio de la Administración, se interpretará en el sentido más favorable a ésta. </w:t>
      </w:r>
    </w:p>
    <w:p w14:paraId="64FCC76E" w14:textId="77777777" w:rsidR="00EB5CBE" w:rsidRPr="0092647D" w:rsidRDefault="00EB5CBE" w:rsidP="00EB5CBE">
      <w:pPr>
        <w:jc w:val="both"/>
        <w:rPr>
          <w:rFonts w:ascii="Arial" w:eastAsia="Arial" w:hAnsi="Arial" w:cs="Arial"/>
          <w:color w:val="000000"/>
          <w:sz w:val="22"/>
          <w:szCs w:val="22"/>
          <w:lang w:val="es-UY"/>
        </w:rPr>
      </w:pPr>
    </w:p>
    <w:p w14:paraId="507BAB84"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Los oferentes están obligados a presentar toda la información que sea necesaria para evaluar su oferta en cumplimiento de los requerimientos exigidos. </w:t>
      </w:r>
    </w:p>
    <w:p w14:paraId="336FB7A7" w14:textId="77777777" w:rsidR="00EB5CBE" w:rsidRPr="0092647D" w:rsidRDefault="00EB5CBE" w:rsidP="00EB5CBE">
      <w:pPr>
        <w:jc w:val="both"/>
        <w:rPr>
          <w:rFonts w:ascii="Arial" w:eastAsia="Arial" w:hAnsi="Arial" w:cs="Arial"/>
          <w:color w:val="000000"/>
          <w:sz w:val="22"/>
          <w:szCs w:val="22"/>
          <w:lang w:val="es-UY"/>
        </w:rPr>
      </w:pPr>
    </w:p>
    <w:p w14:paraId="5FE54D32"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Ante la ausencia de información referida al cumplimiento o no de un requerimiento, se considerará </w:t>
      </w:r>
      <w:r w:rsidRPr="0092647D">
        <w:rPr>
          <w:rFonts w:ascii="Arial" w:eastAsia="Arial" w:hAnsi="Arial" w:cs="Arial"/>
          <w:color w:val="000000"/>
          <w:sz w:val="22"/>
          <w:szCs w:val="22"/>
          <w:lang w:val="es-UY"/>
        </w:rPr>
        <w:lastRenderedPageBreak/>
        <w:t xml:space="preserve">como que no cumple dicho requerimiento, no dando lugar a reclamación alguna por parte del oferente. </w:t>
      </w:r>
    </w:p>
    <w:p w14:paraId="7ACF5499" w14:textId="77777777" w:rsidR="00EB5CBE" w:rsidRPr="0092647D" w:rsidRDefault="00EB5CBE" w:rsidP="00EB5CBE">
      <w:pPr>
        <w:jc w:val="both"/>
        <w:rPr>
          <w:rFonts w:ascii="Arial" w:eastAsia="Arial" w:hAnsi="Arial" w:cs="Arial"/>
          <w:color w:val="000000"/>
          <w:sz w:val="22"/>
          <w:szCs w:val="22"/>
          <w:lang w:val="es-UY"/>
        </w:rPr>
      </w:pPr>
    </w:p>
    <w:p w14:paraId="7EED5ED3"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Cualquier información contenida en las ofertas, puede ser objeto de pedidos de aclaración por parte del MIEM, en cualquier momento antes de la adjudicación, siempre y cuando no modifique el contenido de la misma. Asimismo las respuestas y aclaraciones de los oferentes no deberán contener información que modifique sus ofertas, de así suceder, la misma no será considerada por el MIEM </w:t>
      </w:r>
    </w:p>
    <w:p w14:paraId="735BBE8F" w14:textId="77777777" w:rsidR="00EB5CBE" w:rsidRPr="0092647D" w:rsidRDefault="00EB5CBE" w:rsidP="00EB5CBE">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La oferta debe brindar información clara y fácilmente legible sobre lo ofertado. </w:t>
      </w:r>
    </w:p>
    <w:p w14:paraId="21AA622C" w14:textId="77777777" w:rsidR="00EB5CBE" w:rsidRPr="0092647D" w:rsidRDefault="00EB5CBE" w:rsidP="00EB5CBE">
      <w:pPr>
        <w:jc w:val="both"/>
        <w:rPr>
          <w:rFonts w:ascii="Arial" w:eastAsia="Arial" w:hAnsi="Arial" w:cs="Arial"/>
          <w:b/>
          <w:bCs/>
          <w:color w:val="000000"/>
          <w:sz w:val="22"/>
          <w:szCs w:val="22"/>
          <w:lang w:val="es-UY"/>
        </w:rPr>
      </w:pPr>
    </w:p>
    <w:p w14:paraId="2084ECF5" w14:textId="77777777" w:rsidR="00EB5CBE" w:rsidRPr="0092647D" w:rsidRDefault="00EB5CBE" w:rsidP="00EB5CBE">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REGÍMENES DE PREFERENCIA</w:t>
      </w:r>
      <w:r w:rsidRPr="0092647D">
        <w:rPr>
          <w:rFonts w:ascii="Arial" w:eastAsia="Arial" w:hAnsi="Arial" w:cs="Arial"/>
          <w:b/>
          <w:bCs/>
          <w:color w:val="000000"/>
          <w:sz w:val="22"/>
          <w:szCs w:val="22"/>
          <w:lang w:val="es-UY"/>
        </w:rPr>
        <w:t xml:space="preserve"> </w:t>
      </w:r>
    </w:p>
    <w:p w14:paraId="2683249C" w14:textId="77777777" w:rsidR="00EB5CBE" w:rsidRPr="0092647D" w:rsidRDefault="00EB5CBE" w:rsidP="00EB5CBE">
      <w:pPr>
        <w:jc w:val="both"/>
        <w:rPr>
          <w:rFonts w:ascii="Arial" w:eastAsia="Arial" w:hAnsi="Arial" w:cs="Arial"/>
          <w:color w:val="000000"/>
          <w:sz w:val="22"/>
          <w:szCs w:val="22"/>
          <w:lang w:val="es-UY"/>
        </w:rPr>
      </w:pPr>
    </w:p>
    <w:p w14:paraId="10203198" w14:textId="77777777" w:rsidR="00EB5CBE" w:rsidRPr="00F90C5B" w:rsidRDefault="00EB5CBE" w:rsidP="00EB5CBE">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 xml:space="preserve">A los efectos de acogerse a la preferencia prevista en el Subprograma de Contratación Pública para el Desarrollo de las Micro, Pequeñas y Medianas Empresas establecida en el artículo 44 de la Ley Nº 18.362, de 6 de octubre de 2008, las MIPYMES que se presenten al llamado deberán adjuntar a su propuesta el certificado de DINAPYME expedido en los términos del artículo 5 del Decreto N° 371/010 de 14 de diciembre de 2010. La expresión de voluntad de acogerse a tal subprograma que no se acompañe con la presentación del referido certificado, no dará derecho al oferente a los beneficios que reglamenta el Decreto citado.  </w:t>
      </w:r>
    </w:p>
    <w:p w14:paraId="3E1B3B2F" w14:textId="77777777" w:rsidR="00EB5CBE" w:rsidRPr="00F90C5B" w:rsidRDefault="00EB5CBE" w:rsidP="00EB5CBE">
      <w:pPr>
        <w:jc w:val="both"/>
        <w:rPr>
          <w:rFonts w:ascii="Arial" w:eastAsia="Arial" w:hAnsi="Arial" w:cs="Arial"/>
          <w:color w:val="000000"/>
          <w:sz w:val="22"/>
          <w:szCs w:val="22"/>
          <w:lang w:val="es-UY"/>
        </w:rPr>
      </w:pPr>
    </w:p>
    <w:p w14:paraId="35BA3EEF" w14:textId="77777777" w:rsidR="00EB5CBE" w:rsidRPr="00F90C5B" w:rsidRDefault="00EB5CBE" w:rsidP="00EB5CBE">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N°131/014 de 19 de mayo de 2014. </w:t>
      </w:r>
    </w:p>
    <w:p w14:paraId="450D2DE4" w14:textId="77777777" w:rsidR="00EB5CBE" w:rsidRPr="00F90C5B" w:rsidRDefault="00EB5CBE" w:rsidP="00EB5CBE">
      <w:pPr>
        <w:jc w:val="both"/>
        <w:rPr>
          <w:rFonts w:ascii="Arial" w:eastAsia="Arial" w:hAnsi="Arial" w:cs="Arial"/>
          <w:color w:val="000000"/>
          <w:sz w:val="22"/>
          <w:szCs w:val="22"/>
          <w:lang w:val="es-UY"/>
        </w:rPr>
      </w:pPr>
    </w:p>
    <w:p w14:paraId="25A66037" w14:textId="77777777" w:rsidR="00EB5CBE" w:rsidRPr="0092647D" w:rsidRDefault="00EB5CBE" w:rsidP="00EB5CBE">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Quien resulte adjudicatario en aplicación de este beneficio, deberá presentar el certificado de origen respectivo, emitido por las Entidades Certificadoras, en un plazo no mayor a quince (15) días hábiles contados a partir de la notificación de la resolución de adjudicación, en este caso la no presentación del referido certificado en dicho plazo, habilita a la Administración a rescindir el contrato emergente de la presente Licitación, aplicando las sanciones que correspondan, las que serán inscriptas en el RUPE, según lo establecido por el Decreto 155/013 de 21 de mayo de 2013.</w:t>
      </w:r>
      <w:r w:rsidRPr="0092647D">
        <w:rPr>
          <w:rFonts w:ascii="Arial" w:eastAsia="Arial" w:hAnsi="Arial" w:cs="Arial"/>
          <w:color w:val="000000"/>
          <w:sz w:val="22"/>
          <w:szCs w:val="22"/>
          <w:lang w:val="es-UY"/>
        </w:rPr>
        <w:t xml:space="preserve"> </w:t>
      </w:r>
    </w:p>
    <w:p w14:paraId="7AC5F665" w14:textId="77777777" w:rsidR="00EB5CBE" w:rsidRPr="0092647D" w:rsidRDefault="00EB5CBE" w:rsidP="00EB5CBE">
      <w:pPr>
        <w:jc w:val="both"/>
        <w:rPr>
          <w:rFonts w:ascii="Arial" w:eastAsia="Arial" w:hAnsi="Arial" w:cs="Arial"/>
          <w:color w:val="000000"/>
          <w:sz w:val="22"/>
          <w:szCs w:val="22"/>
          <w:lang w:val="es-UY"/>
        </w:rPr>
      </w:pPr>
    </w:p>
    <w:p w14:paraId="178A676C" w14:textId="77777777" w:rsidR="00EB5CBE" w:rsidRPr="0092647D" w:rsidRDefault="00EB5CBE" w:rsidP="00EB5CBE">
      <w:pPr>
        <w:jc w:val="both"/>
        <w:rPr>
          <w:rFonts w:ascii="Arial" w:eastAsia="Arial" w:hAnsi="Arial" w:cs="Arial"/>
          <w:color w:val="000000"/>
          <w:sz w:val="22"/>
          <w:szCs w:val="22"/>
          <w:lang w:val="es-UY"/>
        </w:rPr>
      </w:pPr>
    </w:p>
    <w:p w14:paraId="33AE4EE9" w14:textId="77777777" w:rsidR="00EB5CBE" w:rsidRPr="0092647D" w:rsidRDefault="00EB5CBE" w:rsidP="00EB5CBE">
      <w:pPr>
        <w:numPr>
          <w:ilvl w:val="0"/>
          <w:numId w:val="2"/>
        </w:numPr>
        <w:jc w:val="both"/>
        <w:rPr>
          <w:rFonts w:ascii="Arial" w:eastAsia="Arial" w:hAnsi="Arial" w:cs="Arial"/>
          <w:color w:val="000000"/>
          <w:sz w:val="22"/>
          <w:szCs w:val="22"/>
          <w:lang w:val="es-UY"/>
        </w:rPr>
      </w:pPr>
      <w:bookmarkStart w:id="6" w:name="_Toc489535176"/>
      <w:r w:rsidRPr="0092647D">
        <w:rPr>
          <w:rFonts w:ascii="Arial" w:eastAsia="Arial" w:hAnsi="Arial" w:cs="Arial"/>
          <w:b/>
          <w:bCs/>
          <w:color w:val="000000"/>
          <w:sz w:val="22"/>
          <w:szCs w:val="22"/>
          <w:lang w:val="es-UY"/>
        </w:rPr>
        <w:t>CONDICIONES GENERALES</w:t>
      </w:r>
      <w:bookmarkEnd w:id="6"/>
    </w:p>
    <w:p w14:paraId="41160EB8" w14:textId="77777777" w:rsidR="00EB5CBE" w:rsidRPr="0092647D" w:rsidRDefault="00EB5CBE" w:rsidP="00EB5CBE">
      <w:pPr>
        <w:jc w:val="both"/>
        <w:rPr>
          <w:rFonts w:ascii="Arial" w:eastAsia="Arial" w:hAnsi="Arial" w:cs="Arial"/>
          <w:color w:val="000000"/>
          <w:sz w:val="22"/>
          <w:szCs w:val="22"/>
          <w:lang w:val="es-UY"/>
        </w:rPr>
      </w:pPr>
    </w:p>
    <w:p w14:paraId="063F8D07"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 presentación de la propuesta implica que el oferente ha estudiado exhaustivamente el presente Pliego, se ha compenetrado de las características y </w:t>
      </w:r>
      <w:r>
        <w:rPr>
          <w:rFonts w:ascii="Arial" w:eastAsia="Arial" w:hAnsi="Arial" w:cs="Arial"/>
          <w:color w:val="000000"/>
          <w:sz w:val="22"/>
          <w:szCs w:val="22"/>
          <w:lang w:val="es-UY"/>
        </w:rPr>
        <w:t xml:space="preserve">naturaleza del objeto licitado, </w:t>
      </w:r>
      <w:r w:rsidRPr="0092647D">
        <w:rPr>
          <w:rFonts w:ascii="Arial" w:eastAsia="Arial" w:hAnsi="Arial" w:cs="Arial"/>
          <w:color w:val="000000"/>
          <w:sz w:val="22"/>
          <w:szCs w:val="22"/>
          <w:lang w:val="es-UY"/>
        </w:rPr>
        <w:t>y en general</w:t>
      </w:r>
      <w:r>
        <w:rPr>
          <w:rFonts w:ascii="Arial" w:eastAsia="Arial" w:hAnsi="Arial" w:cs="Arial"/>
          <w:color w:val="000000"/>
          <w:sz w:val="22"/>
          <w:szCs w:val="22"/>
          <w:lang w:val="es-UY"/>
        </w:rPr>
        <w:t>,</w:t>
      </w:r>
      <w:r w:rsidRPr="0092647D">
        <w:rPr>
          <w:rFonts w:ascii="Arial" w:eastAsia="Arial" w:hAnsi="Arial" w:cs="Arial"/>
          <w:color w:val="000000"/>
          <w:sz w:val="22"/>
          <w:szCs w:val="22"/>
          <w:lang w:val="es-UY"/>
        </w:rPr>
        <w:t xml:space="preserve"> ha obtenido y tomado en consideración toda la información necesaria para evaluar los riesgos e imprevistos que puedan afectar el completo, puntual y correcto cumplimiento de su propuesta. </w:t>
      </w:r>
    </w:p>
    <w:p w14:paraId="4F11F366" w14:textId="77777777" w:rsidR="00EB5CBE" w:rsidRPr="0092647D" w:rsidRDefault="00EB5CBE" w:rsidP="00EB5CBE">
      <w:pPr>
        <w:jc w:val="both"/>
        <w:rPr>
          <w:rFonts w:ascii="Arial" w:eastAsia="Arial" w:hAnsi="Arial" w:cs="Arial"/>
          <w:color w:val="000000"/>
          <w:sz w:val="22"/>
          <w:szCs w:val="22"/>
          <w:lang w:val="es-UY"/>
        </w:rPr>
      </w:pPr>
    </w:p>
    <w:p w14:paraId="7EB3702F"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En consecuencia, por ninguna circunstancia podrá alegarse posteriormente, causa alguna de ignorancia o falta de comprensión en lo que a condiciones de cumplimiento se refiere y no se considerará adicional toda aquella tarea o insumo que aunque no esté especificado, tienda a satisfacerlas, aún si su necesidad se hace evidente durante su desarrollo. Se deberá entender que la propuesta presentada responde con exactitud a las necesidades y condiciones expresadas en el Pliego y que su precio cubre todo lo que en ellas se prevé y lo que aun no estando previsto resulta necesario para cumplir el objeto licitado. </w:t>
      </w:r>
    </w:p>
    <w:p w14:paraId="44E3BD00" w14:textId="77777777" w:rsidR="00EB5CBE" w:rsidRPr="0092647D" w:rsidRDefault="00EB5CBE" w:rsidP="00EB5CBE">
      <w:pPr>
        <w:jc w:val="both"/>
        <w:rPr>
          <w:rFonts w:ascii="Arial" w:eastAsia="Arial" w:hAnsi="Arial" w:cs="Arial"/>
          <w:color w:val="000000"/>
          <w:sz w:val="22"/>
          <w:szCs w:val="22"/>
          <w:lang w:val="es-UY"/>
        </w:rPr>
      </w:pPr>
    </w:p>
    <w:p w14:paraId="6FD681A3" w14:textId="77777777" w:rsidR="00EB5CBE" w:rsidRPr="0092647D" w:rsidRDefault="00EB5CBE" w:rsidP="00EB5CBE">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 Administración podrá aumentar o disminuir la prestación del objeto del presente llamado, conforme a lo establecido en este Pliego, en cualquier etapa del contrato, atento a las variaciones que se produzcan en las necesidades, al amparo de lo establecido en el artículo 74 del TOCAF. </w:t>
      </w:r>
    </w:p>
    <w:p w14:paraId="133845D9"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 </w:t>
      </w:r>
    </w:p>
    <w:p w14:paraId="70DC6494" w14:textId="77777777" w:rsidR="0092647D" w:rsidRPr="0092647D" w:rsidRDefault="0092647D" w:rsidP="0092647D">
      <w:pPr>
        <w:numPr>
          <w:ilvl w:val="0"/>
          <w:numId w:val="2"/>
        </w:numPr>
        <w:jc w:val="both"/>
        <w:rPr>
          <w:rFonts w:ascii="Arial" w:eastAsia="Arial" w:hAnsi="Arial" w:cs="Arial"/>
          <w:color w:val="000000"/>
          <w:sz w:val="22"/>
          <w:szCs w:val="22"/>
          <w:lang w:val="es-UY"/>
        </w:rPr>
      </w:pPr>
      <w:bookmarkStart w:id="7" w:name="_Toc489535177"/>
      <w:r w:rsidRPr="0092647D">
        <w:rPr>
          <w:rFonts w:ascii="Arial" w:eastAsia="Arial" w:hAnsi="Arial" w:cs="Arial"/>
          <w:b/>
          <w:bCs/>
          <w:color w:val="000000"/>
          <w:sz w:val="22"/>
          <w:szCs w:val="22"/>
          <w:lang w:val="es-UY"/>
        </w:rPr>
        <w:t>COTIZACIÓN DE LA PROPUESTA</w:t>
      </w:r>
      <w:bookmarkEnd w:id="7"/>
      <w:r w:rsidRPr="0092647D">
        <w:rPr>
          <w:rFonts w:ascii="Arial" w:eastAsia="Arial" w:hAnsi="Arial" w:cs="Arial"/>
          <w:b/>
          <w:bCs/>
          <w:color w:val="000000"/>
          <w:sz w:val="22"/>
          <w:szCs w:val="22"/>
          <w:lang w:val="es-UY"/>
        </w:rPr>
        <w:t xml:space="preserve"> </w:t>
      </w:r>
    </w:p>
    <w:p w14:paraId="520B7E4C" w14:textId="77777777" w:rsidR="0092647D" w:rsidRPr="0092647D" w:rsidRDefault="0092647D" w:rsidP="0092647D">
      <w:pPr>
        <w:jc w:val="both"/>
        <w:rPr>
          <w:rFonts w:ascii="Arial" w:eastAsia="Arial" w:hAnsi="Arial" w:cs="Arial"/>
          <w:color w:val="000000"/>
          <w:sz w:val="22"/>
          <w:szCs w:val="22"/>
          <w:lang w:val="es-UY"/>
        </w:rPr>
      </w:pPr>
    </w:p>
    <w:p w14:paraId="1DF8FF41" w14:textId="6D3518B9"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Los precios deberán necesariamente ser cotizados en la modalidad Plaza, en dólares americanos, completando esta información en el Formulario Anexo II – Planilla para cotizar por el oferente, que </w:t>
      </w:r>
      <w:r w:rsidRPr="0092647D">
        <w:rPr>
          <w:rFonts w:ascii="Arial" w:eastAsia="Arial" w:hAnsi="Arial" w:cs="Arial"/>
          <w:color w:val="000000"/>
          <w:sz w:val="22"/>
          <w:szCs w:val="22"/>
          <w:lang w:val="es-UY"/>
        </w:rPr>
        <w:lastRenderedPageBreak/>
        <w:t>forma parte de este Pliego. Se deberán especificar todos los impuestos.</w:t>
      </w:r>
    </w:p>
    <w:p w14:paraId="74652BB0" w14:textId="77777777" w:rsidR="0092647D" w:rsidRPr="0092647D" w:rsidRDefault="0092647D" w:rsidP="0092647D">
      <w:pPr>
        <w:jc w:val="both"/>
        <w:rPr>
          <w:rFonts w:ascii="Arial" w:eastAsia="Arial" w:hAnsi="Arial" w:cs="Arial"/>
          <w:color w:val="000000"/>
          <w:sz w:val="22"/>
          <w:szCs w:val="22"/>
        </w:rPr>
      </w:pPr>
    </w:p>
    <w:p w14:paraId="6849FF4A" w14:textId="77777777"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Cuando esta información no surja de la propuesta, se considerará que el precio cotizado incluye los impuestos que correspondan.</w:t>
      </w:r>
    </w:p>
    <w:p w14:paraId="79D39990" w14:textId="77777777" w:rsidR="0092647D" w:rsidRPr="0092647D" w:rsidRDefault="0092647D" w:rsidP="0092647D">
      <w:pPr>
        <w:jc w:val="both"/>
        <w:rPr>
          <w:rFonts w:ascii="Arial" w:eastAsia="Arial" w:hAnsi="Arial" w:cs="Arial"/>
          <w:color w:val="000000"/>
          <w:sz w:val="22"/>
          <w:szCs w:val="22"/>
          <w:lang w:val="es-UY"/>
        </w:rPr>
      </w:pPr>
    </w:p>
    <w:p w14:paraId="45B727CB" w14:textId="77777777" w:rsidR="0092647D" w:rsidRPr="0092647D" w:rsidRDefault="0092647D" w:rsidP="0092647D">
      <w:pPr>
        <w:jc w:val="both"/>
        <w:rPr>
          <w:rFonts w:ascii="Arial" w:eastAsia="Arial" w:hAnsi="Arial" w:cs="Arial"/>
          <w:b/>
          <w:bCs/>
          <w:color w:val="000000"/>
          <w:sz w:val="22"/>
          <w:szCs w:val="22"/>
          <w:lang w:val="es-UY"/>
        </w:rPr>
      </w:pPr>
    </w:p>
    <w:p w14:paraId="1E7E619A" w14:textId="77777777" w:rsidR="00EB5CBE" w:rsidRPr="0092647D" w:rsidRDefault="00EB5CBE" w:rsidP="00EB5CBE">
      <w:pPr>
        <w:numPr>
          <w:ilvl w:val="0"/>
          <w:numId w:val="2"/>
        </w:numPr>
        <w:jc w:val="both"/>
        <w:rPr>
          <w:rFonts w:ascii="Arial" w:eastAsia="Arial" w:hAnsi="Arial" w:cs="Arial"/>
          <w:color w:val="000000"/>
          <w:sz w:val="22"/>
          <w:szCs w:val="22"/>
          <w:lang w:val="es-UY"/>
        </w:rPr>
      </w:pPr>
      <w:bookmarkStart w:id="8" w:name="_Toc489535180"/>
      <w:r w:rsidRPr="0092647D">
        <w:rPr>
          <w:rFonts w:ascii="Arial" w:eastAsia="Arial" w:hAnsi="Arial" w:cs="Arial"/>
          <w:b/>
          <w:bCs/>
          <w:color w:val="000000"/>
          <w:sz w:val="22"/>
          <w:szCs w:val="22"/>
          <w:lang w:val="es-UY"/>
        </w:rPr>
        <w:t>ESTUDIO Y EVALUACIÓN DE LAS OFERTAS</w:t>
      </w:r>
      <w:bookmarkEnd w:id="8"/>
    </w:p>
    <w:p w14:paraId="71731607" w14:textId="77777777" w:rsidR="00EB5CBE" w:rsidRPr="0092647D" w:rsidRDefault="00EB5CBE" w:rsidP="00EB5CBE">
      <w:pPr>
        <w:jc w:val="both"/>
        <w:rPr>
          <w:rFonts w:ascii="Arial" w:eastAsia="Arial" w:hAnsi="Arial" w:cs="Arial"/>
          <w:color w:val="000000"/>
          <w:sz w:val="22"/>
          <w:szCs w:val="22"/>
          <w:lang w:val="es-UY"/>
        </w:rPr>
      </w:pPr>
    </w:p>
    <w:p w14:paraId="6720F683" w14:textId="77777777" w:rsidR="00EB5CBE" w:rsidRPr="00F90C5B" w:rsidRDefault="00EB5CBE" w:rsidP="00EB5CBE">
      <w:pPr>
        <w:pStyle w:val="Default"/>
        <w:spacing w:line="276" w:lineRule="auto"/>
        <w:jc w:val="both"/>
        <w:rPr>
          <w:rFonts w:ascii="Arial" w:eastAsia="Arial" w:hAnsi="Arial" w:cs="Arial"/>
          <w:sz w:val="22"/>
          <w:szCs w:val="22"/>
          <w:lang w:eastAsia="es-MX"/>
        </w:rPr>
      </w:pPr>
      <w:r w:rsidRPr="00F90C5B">
        <w:rPr>
          <w:rFonts w:ascii="Arial" w:eastAsia="Arial" w:hAnsi="Arial" w:cs="Arial"/>
          <w:sz w:val="22"/>
          <w:szCs w:val="22"/>
          <w:lang w:eastAsia="es-MX"/>
        </w:rPr>
        <w:t>A los efectos del estudio de las ofertas, se realizará una evaluación primaria respecto del cumplimiento de los requisitos formales exigidos en el presente Pliego. Posteriormente, serán evaluadas todas las ofertas que cumplan con los aspectos sustanciales exigidos, en la forma en que establece el artículo 66 del TOCAF, estando facultada la Comisión Asesora de Adjudicaciones a hacer uso de las potestades que en dicha norma se establecen.</w:t>
      </w:r>
    </w:p>
    <w:p w14:paraId="769DF60C" w14:textId="77777777" w:rsidR="00EB5CBE" w:rsidRPr="00F90C5B" w:rsidRDefault="00EB5CBE" w:rsidP="00EB5CBE">
      <w:pPr>
        <w:pStyle w:val="Default"/>
        <w:spacing w:line="360" w:lineRule="auto"/>
        <w:jc w:val="both"/>
        <w:rPr>
          <w:rFonts w:ascii="Arial" w:eastAsia="Arial" w:hAnsi="Arial" w:cs="Arial"/>
          <w:sz w:val="22"/>
          <w:szCs w:val="22"/>
          <w:lang w:eastAsia="es-MX"/>
        </w:rPr>
      </w:pPr>
    </w:p>
    <w:p w14:paraId="24F5313B" w14:textId="77777777" w:rsidR="00EB5CBE" w:rsidRPr="0092647D" w:rsidRDefault="00EB5CBE" w:rsidP="00EB5CBE">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Sólo serán tomadas en consideración las ofertas que se ajusten a lo solicitado en este Pliego y correspondan a empresas que cumplan con los requisitos de admisibilidad establecidos en el mismo. Se seleccionará la oferta más conveniente para los intereses y las necesidades del MIEM aunque no sea la de menor precio.</w:t>
      </w:r>
    </w:p>
    <w:p w14:paraId="6D6E7C79" w14:textId="77777777" w:rsidR="00EB5CBE" w:rsidRPr="0092647D" w:rsidRDefault="00EB5CBE" w:rsidP="00EB5CBE">
      <w:pPr>
        <w:jc w:val="both"/>
        <w:rPr>
          <w:rFonts w:ascii="Arial" w:eastAsia="Arial" w:hAnsi="Arial" w:cs="Arial"/>
          <w:color w:val="000000"/>
          <w:sz w:val="22"/>
          <w:szCs w:val="22"/>
          <w:lang w:val="es-UY"/>
        </w:rPr>
      </w:pPr>
    </w:p>
    <w:p w14:paraId="42AA1835" w14:textId="77777777" w:rsidR="00EB5CBE" w:rsidRPr="0092647D" w:rsidRDefault="00EB5CBE" w:rsidP="00EB5CBE">
      <w:pPr>
        <w:numPr>
          <w:ilvl w:val="1"/>
          <w:numId w:val="2"/>
        </w:numPr>
        <w:jc w:val="both"/>
        <w:rPr>
          <w:rFonts w:ascii="Arial" w:eastAsia="Arial" w:hAnsi="Arial" w:cs="Arial"/>
          <w:color w:val="000000"/>
          <w:sz w:val="22"/>
          <w:szCs w:val="22"/>
          <w:lang w:val="es-UY"/>
        </w:rPr>
      </w:pPr>
      <w:bookmarkStart w:id="9" w:name="_Toc489535181"/>
      <w:r w:rsidRPr="0092647D">
        <w:rPr>
          <w:rFonts w:ascii="Arial" w:eastAsia="Arial" w:hAnsi="Arial" w:cs="Arial"/>
          <w:b/>
          <w:bCs/>
          <w:color w:val="000000"/>
          <w:sz w:val="22"/>
          <w:szCs w:val="22"/>
          <w:lang w:val="es-UY"/>
        </w:rPr>
        <w:t>CRITERIOS PARA LA EVALUACION DE LAS OFERTAS ADMISIBLES</w:t>
      </w:r>
      <w:bookmarkEnd w:id="9"/>
    </w:p>
    <w:p w14:paraId="126F729D" w14:textId="77777777" w:rsidR="00EB5CBE" w:rsidRPr="0092647D" w:rsidRDefault="00EB5CBE" w:rsidP="00EB5CBE">
      <w:pPr>
        <w:jc w:val="both"/>
        <w:rPr>
          <w:rFonts w:ascii="Arial" w:eastAsia="Arial" w:hAnsi="Arial" w:cs="Arial"/>
          <w:color w:val="000000"/>
          <w:sz w:val="22"/>
          <w:szCs w:val="22"/>
          <w:lang w:val="es-UY"/>
        </w:rPr>
      </w:pPr>
    </w:p>
    <w:p w14:paraId="588C9DD7" w14:textId="77777777" w:rsidR="00EB5CBE" w:rsidRPr="00D0267D" w:rsidRDefault="00EB5CBE" w:rsidP="00EB5CBE">
      <w:pPr>
        <w:jc w:val="both"/>
        <w:rPr>
          <w:rFonts w:ascii="Arial" w:eastAsia="Arial" w:hAnsi="Arial" w:cs="Arial"/>
          <w:sz w:val="22"/>
          <w:szCs w:val="22"/>
          <w:lang w:val="es-UY"/>
        </w:rPr>
      </w:pPr>
      <w:r w:rsidRPr="00B82FA5">
        <w:rPr>
          <w:rFonts w:ascii="Arial" w:eastAsia="Arial" w:hAnsi="Arial" w:cs="Arial"/>
          <w:sz w:val="22"/>
          <w:szCs w:val="22"/>
          <w:lang w:val="es-UY"/>
        </w:rPr>
        <w:t xml:space="preserve">La </w:t>
      </w:r>
      <w:r w:rsidR="009D0386">
        <w:rPr>
          <w:rFonts w:ascii="Arial" w:eastAsia="Arial" w:hAnsi="Arial" w:cs="Arial"/>
          <w:sz w:val="22"/>
          <w:szCs w:val="22"/>
          <w:lang w:val="es-UY"/>
        </w:rPr>
        <w:t xml:space="preserve">evaluación de las ofertas admisibles se realizará </w:t>
      </w:r>
      <w:r>
        <w:rPr>
          <w:rFonts w:ascii="Arial" w:eastAsia="Arial" w:hAnsi="Arial" w:cs="Arial"/>
          <w:sz w:val="22"/>
          <w:szCs w:val="22"/>
          <w:lang w:val="es-UY"/>
        </w:rPr>
        <w:t>en función del factor precio y los antecedentes en RUPE</w:t>
      </w:r>
      <w:r w:rsidRPr="00B82FA5">
        <w:rPr>
          <w:rFonts w:ascii="Arial" w:eastAsia="Arial" w:hAnsi="Arial" w:cs="Arial"/>
          <w:sz w:val="22"/>
          <w:szCs w:val="22"/>
          <w:lang w:val="es-UY"/>
        </w:rPr>
        <w:t>.</w:t>
      </w:r>
    </w:p>
    <w:p w14:paraId="259032C6" w14:textId="77777777" w:rsidR="00EB5CBE" w:rsidRPr="00D0267D" w:rsidRDefault="00EB5CBE" w:rsidP="00EB5CBE">
      <w:pPr>
        <w:jc w:val="both"/>
        <w:rPr>
          <w:rFonts w:ascii="Arial" w:eastAsia="Arial" w:hAnsi="Arial" w:cs="Arial"/>
          <w:sz w:val="22"/>
          <w:szCs w:val="22"/>
          <w:lang w:val="es-UY"/>
        </w:rPr>
      </w:pPr>
    </w:p>
    <w:p w14:paraId="27F89E76" w14:textId="77777777" w:rsidR="00EB5CBE" w:rsidRPr="00571191" w:rsidRDefault="00EB5CBE" w:rsidP="00EB5CBE">
      <w:pPr>
        <w:pStyle w:val="Prrafodelista"/>
        <w:numPr>
          <w:ilvl w:val="1"/>
          <w:numId w:val="2"/>
        </w:numPr>
        <w:autoSpaceDN w:val="0"/>
        <w:jc w:val="both"/>
        <w:rPr>
          <w:rFonts w:ascii="Arial" w:hAnsi="Arial" w:cs="Arial"/>
          <w:b/>
          <w:sz w:val="22"/>
          <w:szCs w:val="22"/>
          <w:lang w:val="es-ES_tradnl"/>
        </w:rPr>
      </w:pPr>
      <w:r w:rsidRPr="00571191">
        <w:rPr>
          <w:rFonts w:ascii="Arial" w:hAnsi="Arial" w:cs="Arial"/>
          <w:b/>
          <w:sz w:val="22"/>
          <w:szCs w:val="22"/>
          <w:lang w:val="es-ES_tradnl"/>
        </w:rPr>
        <w:t>ANTECEDENTES EN EL RUPE</w:t>
      </w:r>
    </w:p>
    <w:p w14:paraId="07E3E81E" w14:textId="77777777" w:rsidR="00EB5CBE" w:rsidRDefault="00EB5CBE" w:rsidP="00EB5CBE">
      <w:pPr>
        <w:pStyle w:val="Default"/>
        <w:spacing w:line="276" w:lineRule="auto"/>
        <w:jc w:val="both"/>
        <w:rPr>
          <w:rFonts w:ascii="Arial" w:hAnsi="Arial" w:cs="Arial"/>
          <w:sz w:val="22"/>
          <w:szCs w:val="22"/>
        </w:rPr>
      </w:pPr>
    </w:p>
    <w:p w14:paraId="4D4C72CE" w14:textId="77777777" w:rsidR="00EB5CBE" w:rsidRPr="00B82FA5" w:rsidRDefault="00EB5CBE" w:rsidP="00EB5CBE">
      <w:pPr>
        <w:pStyle w:val="Default"/>
        <w:spacing w:line="276" w:lineRule="auto"/>
        <w:jc w:val="both"/>
        <w:rPr>
          <w:rFonts w:ascii="Arial" w:hAnsi="Arial" w:cs="Arial"/>
          <w:sz w:val="22"/>
          <w:szCs w:val="22"/>
        </w:rPr>
      </w:pPr>
      <w:r w:rsidRPr="00B82FA5">
        <w:rPr>
          <w:rFonts w:ascii="Arial" w:hAnsi="Arial" w:cs="Arial"/>
          <w:sz w:val="22"/>
          <w:szCs w:val="22"/>
        </w:rPr>
        <w:t>La Comisión Asesora de Adjudicaciones verificará en el RUPE los antecedentes de los últimos tres (3) años anteriores a la fecha de apertura de las ofertas y el puntaje por este concepto se asignará de acuerdo a la siguiente escala:</w:t>
      </w:r>
    </w:p>
    <w:p w14:paraId="08DD339D" w14:textId="77777777" w:rsidR="00EB5CBE" w:rsidRPr="00B82FA5" w:rsidRDefault="00EB5CBE" w:rsidP="00EB5CBE">
      <w:pPr>
        <w:pStyle w:val="Default"/>
        <w:spacing w:line="276" w:lineRule="auto"/>
        <w:jc w:val="both"/>
        <w:rPr>
          <w:rFonts w:ascii="Arial" w:hAnsi="Arial" w:cs="Arial"/>
          <w:sz w:val="22"/>
          <w:szCs w:val="22"/>
        </w:rPr>
      </w:pPr>
    </w:p>
    <w:p w14:paraId="2911BB4B" w14:textId="77777777" w:rsidR="00EB5CBE" w:rsidRPr="00B82FA5" w:rsidRDefault="00EB5CBE" w:rsidP="00EB5CBE">
      <w:pPr>
        <w:pStyle w:val="Default"/>
        <w:spacing w:line="276" w:lineRule="auto"/>
        <w:ind w:firstLine="708"/>
        <w:jc w:val="both"/>
        <w:rPr>
          <w:rFonts w:ascii="Arial" w:hAnsi="Arial" w:cs="Arial"/>
          <w:b/>
          <w:color w:val="auto"/>
          <w:sz w:val="22"/>
          <w:szCs w:val="22"/>
        </w:rPr>
      </w:pPr>
      <w:r w:rsidRPr="00B82FA5">
        <w:rPr>
          <w:rFonts w:ascii="Arial" w:hAnsi="Arial" w:cs="Arial"/>
          <w:b/>
          <w:color w:val="auto"/>
          <w:sz w:val="22"/>
          <w:szCs w:val="22"/>
        </w:rPr>
        <w:t>Observación……..……..-5 puntos</w:t>
      </w:r>
    </w:p>
    <w:p w14:paraId="284AFAFF" w14:textId="77777777" w:rsidR="00EB5CBE" w:rsidRPr="00B82FA5" w:rsidRDefault="00EB5CBE" w:rsidP="00EB5CBE">
      <w:pPr>
        <w:pStyle w:val="Default"/>
        <w:spacing w:line="276" w:lineRule="auto"/>
        <w:ind w:firstLine="708"/>
        <w:jc w:val="both"/>
        <w:rPr>
          <w:rFonts w:ascii="Arial" w:hAnsi="Arial" w:cs="Arial"/>
          <w:b/>
          <w:color w:val="auto"/>
          <w:sz w:val="22"/>
          <w:szCs w:val="22"/>
        </w:rPr>
      </w:pPr>
      <w:r w:rsidRPr="00B82FA5">
        <w:rPr>
          <w:rFonts w:ascii="Arial" w:hAnsi="Arial" w:cs="Arial"/>
          <w:b/>
          <w:color w:val="auto"/>
          <w:sz w:val="22"/>
          <w:szCs w:val="22"/>
        </w:rPr>
        <w:t>Suspensión.…………...-10 puntos</w:t>
      </w:r>
    </w:p>
    <w:p w14:paraId="5F8BDECD" w14:textId="77777777" w:rsidR="00EB5CBE" w:rsidRDefault="00EB5CBE" w:rsidP="00EB5CBE">
      <w:pPr>
        <w:jc w:val="both"/>
        <w:rPr>
          <w:rFonts w:ascii="Arial" w:eastAsia="Arial" w:hAnsi="Arial" w:cs="Arial"/>
          <w:b/>
          <w:sz w:val="22"/>
          <w:szCs w:val="22"/>
          <w:lang w:val="es-UY"/>
        </w:rPr>
      </w:pPr>
    </w:p>
    <w:p w14:paraId="13EF5A55" w14:textId="77777777" w:rsidR="00EB5CBE" w:rsidRPr="00571191" w:rsidRDefault="00EB5CBE" w:rsidP="00EB5CBE">
      <w:pPr>
        <w:pStyle w:val="Default"/>
        <w:numPr>
          <w:ilvl w:val="1"/>
          <w:numId w:val="2"/>
        </w:numPr>
        <w:spacing w:line="360" w:lineRule="auto"/>
        <w:jc w:val="both"/>
        <w:rPr>
          <w:rFonts w:ascii="Arial" w:hAnsi="Arial" w:cs="Arial"/>
          <w:b/>
          <w:bCs/>
          <w:color w:val="auto"/>
          <w:sz w:val="22"/>
          <w:szCs w:val="22"/>
        </w:rPr>
      </w:pPr>
      <w:r w:rsidRPr="00571191">
        <w:rPr>
          <w:rFonts w:ascii="Arial" w:hAnsi="Arial" w:cs="Arial"/>
          <w:b/>
          <w:bCs/>
          <w:color w:val="auto"/>
          <w:sz w:val="22"/>
          <w:szCs w:val="22"/>
        </w:rPr>
        <w:t>DETERMINACIÓN DEL PUNTAJE TOTAL</w:t>
      </w:r>
    </w:p>
    <w:p w14:paraId="60692C05" w14:textId="77777777" w:rsidR="00EB5CBE" w:rsidRPr="00571191" w:rsidRDefault="00EB5CBE" w:rsidP="00EB5CBE">
      <w:pPr>
        <w:spacing w:line="360" w:lineRule="auto"/>
        <w:jc w:val="both"/>
        <w:rPr>
          <w:rFonts w:ascii="Arial" w:hAnsi="Arial" w:cs="Arial"/>
          <w:b/>
          <w:sz w:val="22"/>
          <w:szCs w:val="22"/>
        </w:rPr>
      </w:pPr>
    </w:p>
    <w:p w14:paraId="3DCA9E0C" w14:textId="77777777" w:rsidR="00EB5CBE" w:rsidRPr="00571191" w:rsidRDefault="00EB5CBE" w:rsidP="00EB5CBE">
      <w:pPr>
        <w:spacing w:line="360" w:lineRule="auto"/>
        <w:jc w:val="center"/>
        <w:rPr>
          <w:rFonts w:ascii="Arial" w:hAnsi="Arial" w:cs="Arial"/>
          <w:sz w:val="22"/>
          <w:szCs w:val="22"/>
        </w:rPr>
      </w:pPr>
      <w:r w:rsidRPr="00571191">
        <w:rPr>
          <w:rFonts w:ascii="Arial" w:hAnsi="Arial" w:cs="Arial"/>
          <w:b/>
          <w:sz w:val="22"/>
          <w:szCs w:val="22"/>
        </w:rPr>
        <w:t>PT</w:t>
      </w:r>
      <w:r w:rsidRPr="00571191">
        <w:rPr>
          <w:rFonts w:ascii="Arial" w:hAnsi="Arial" w:cs="Arial"/>
          <w:b/>
          <w:sz w:val="22"/>
          <w:szCs w:val="22"/>
          <w:vertAlign w:val="subscript"/>
        </w:rPr>
        <w:t xml:space="preserve">i </w:t>
      </w:r>
      <w:r w:rsidRPr="00571191">
        <w:rPr>
          <w:rFonts w:ascii="Arial" w:hAnsi="Arial" w:cs="Arial"/>
          <w:b/>
          <w:sz w:val="22"/>
          <w:szCs w:val="22"/>
        </w:rPr>
        <w:t xml:space="preserve">= </w:t>
      </w:r>
      <w:r>
        <w:rPr>
          <w:rFonts w:ascii="Arial" w:hAnsi="Arial" w:cs="Arial"/>
          <w:b/>
          <w:sz w:val="22"/>
          <w:szCs w:val="22"/>
        </w:rPr>
        <w:t>100*</w:t>
      </w:r>
      <w:r w:rsidRPr="00571191">
        <w:rPr>
          <w:rFonts w:ascii="Arial" w:hAnsi="Arial" w:cs="Arial"/>
          <w:b/>
          <w:sz w:val="22"/>
          <w:szCs w:val="22"/>
        </w:rPr>
        <w:t>(P</w:t>
      </w:r>
      <w:r>
        <w:rPr>
          <w:rFonts w:ascii="Arial" w:hAnsi="Arial" w:cs="Arial"/>
          <w:b/>
          <w:sz w:val="22"/>
          <w:szCs w:val="22"/>
          <w:vertAlign w:val="subscript"/>
        </w:rPr>
        <w:t>m</w:t>
      </w:r>
      <w:r w:rsidRPr="00571191">
        <w:rPr>
          <w:rFonts w:ascii="Arial" w:hAnsi="Arial" w:cs="Arial"/>
          <w:b/>
          <w:sz w:val="22"/>
          <w:szCs w:val="22"/>
          <w:vertAlign w:val="subscript"/>
        </w:rPr>
        <w:t>ín</w:t>
      </w:r>
      <w:r w:rsidRPr="00571191">
        <w:rPr>
          <w:rFonts w:ascii="Arial" w:hAnsi="Arial" w:cs="Arial"/>
          <w:b/>
          <w:sz w:val="22"/>
          <w:szCs w:val="22"/>
        </w:rPr>
        <w:t>/P</w:t>
      </w:r>
      <w:r w:rsidRPr="00571191">
        <w:rPr>
          <w:rFonts w:ascii="Arial" w:hAnsi="Arial" w:cs="Arial"/>
          <w:b/>
          <w:sz w:val="22"/>
          <w:szCs w:val="22"/>
          <w:vertAlign w:val="subscript"/>
        </w:rPr>
        <w:t>i</w:t>
      </w:r>
      <w:r w:rsidRPr="00571191">
        <w:rPr>
          <w:rFonts w:ascii="Arial" w:hAnsi="Arial" w:cs="Arial"/>
          <w:b/>
          <w:sz w:val="22"/>
          <w:szCs w:val="22"/>
        </w:rPr>
        <w:t>) + A</w:t>
      </w:r>
      <w:r w:rsidRPr="00571191">
        <w:rPr>
          <w:rFonts w:ascii="Arial" w:hAnsi="Arial" w:cs="Arial"/>
          <w:b/>
          <w:sz w:val="22"/>
          <w:szCs w:val="22"/>
          <w:vertAlign w:val="subscript"/>
        </w:rPr>
        <w:t>i</w:t>
      </w:r>
    </w:p>
    <w:p w14:paraId="211E1139" w14:textId="77777777" w:rsidR="00EB5CBE" w:rsidRPr="00571191" w:rsidRDefault="00EB5CBE" w:rsidP="00EB5CBE">
      <w:pPr>
        <w:spacing w:line="360" w:lineRule="auto"/>
        <w:jc w:val="both"/>
        <w:rPr>
          <w:rFonts w:ascii="Arial" w:hAnsi="Arial" w:cs="Arial"/>
          <w:sz w:val="22"/>
          <w:szCs w:val="22"/>
        </w:rPr>
      </w:pPr>
    </w:p>
    <w:p w14:paraId="19876989" w14:textId="77777777" w:rsidR="00EB5CBE" w:rsidRPr="00571191" w:rsidRDefault="00EB5CBE" w:rsidP="00EB5CBE">
      <w:pPr>
        <w:spacing w:line="360" w:lineRule="auto"/>
        <w:jc w:val="both"/>
        <w:rPr>
          <w:rFonts w:ascii="Arial" w:hAnsi="Arial" w:cs="Arial"/>
          <w:sz w:val="22"/>
          <w:szCs w:val="22"/>
        </w:rPr>
      </w:pPr>
      <w:r w:rsidRPr="00571191">
        <w:rPr>
          <w:rFonts w:ascii="Arial" w:hAnsi="Arial" w:cs="Arial"/>
          <w:sz w:val="22"/>
          <w:szCs w:val="22"/>
        </w:rPr>
        <w:t>Donde:</w:t>
      </w:r>
    </w:p>
    <w:p w14:paraId="7AE87E97" w14:textId="77777777" w:rsidR="00EB5CBE" w:rsidRPr="00035496" w:rsidRDefault="00EB5CBE" w:rsidP="00EB5CBE">
      <w:pPr>
        <w:spacing w:line="360" w:lineRule="auto"/>
        <w:jc w:val="both"/>
        <w:rPr>
          <w:rFonts w:ascii="Arial" w:hAnsi="Arial" w:cs="Arial"/>
          <w:sz w:val="22"/>
          <w:szCs w:val="22"/>
        </w:rPr>
      </w:pPr>
      <w:r w:rsidRPr="00035496">
        <w:rPr>
          <w:rFonts w:ascii="Arial" w:hAnsi="Arial" w:cs="Arial"/>
          <w:b/>
          <w:sz w:val="22"/>
          <w:szCs w:val="22"/>
        </w:rPr>
        <w:t xml:space="preserve">PTi: </w:t>
      </w:r>
      <w:r w:rsidRPr="00035496">
        <w:rPr>
          <w:rFonts w:ascii="Arial" w:hAnsi="Arial" w:cs="Arial"/>
          <w:sz w:val="22"/>
          <w:szCs w:val="22"/>
        </w:rPr>
        <w:t>Puntaje total de la empresa i, con un máximo de cien (100) puntos.</w:t>
      </w:r>
    </w:p>
    <w:p w14:paraId="444D4E2F" w14:textId="77777777" w:rsidR="00EB5CBE" w:rsidRPr="00035496" w:rsidRDefault="00EB5CBE" w:rsidP="00EB5CBE">
      <w:pPr>
        <w:spacing w:line="360" w:lineRule="auto"/>
        <w:jc w:val="both"/>
        <w:rPr>
          <w:rFonts w:ascii="Arial" w:hAnsi="Arial" w:cs="Arial"/>
          <w:sz w:val="22"/>
          <w:szCs w:val="22"/>
        </w:rPr>
      </w:pPr>
      <w:r w:rsidRPr="00035496">
        <w:rPr>
          <w:rFonts w:ascii="Arial" w:hAnsi="Arial" w:cs="Arial"/>
          <w:b/>
          <w:sz w:val="22"/>
          <w:szCs w:val="22"/>
        </w:rPr>
        <w:t>P</w:t>
      </w:r>
      <w:r w:rsidRPr="00035496">
        <w:rPr>
          <w:rFonts w:ascii="Arial" w:hAnsi="Arial" w:cs="Arial"/>
          <w:b/>
          <w:sz w:val="22"/>
          <w:szCs w:val="22"/>
          <w:vertAlign w:val="subscript"/>
        </w:rPr>
        <w:t>mín</w:t>
      </w:r>
      <w:r w:rsidRPr="00035496">
        <w:rPr>
          <w:rFonts w:ascii="Arial" w:hAnsi="Arial" w:cs="Arial"/>
          <w:b/>
          <w:sz w:val="22"/>
          <w:szCs w:val="22"/>
        </w:rPr>
        <w:t>:</w:t>
      </w:r>
      <w:r w:rsidR="009D0386">
        <w:rPr>
          <w:rFonts w:ascii="Arial" w:hAnsi="Arial" w:cs="Arial"/>
          <w:sz w:val="22"/>
          <w:szCs w:val="22"/>
        </w:rPr>
        <w:t xml:space="preserve"> Precio mínimo</w:t>
      </w:r>
      <w:r w:rsidRPr="00035496">
        <w:rPr>
          <w:rFonts w:ascii="Arial" w:hAnsi="Arial" w:cs="Arial"/>
          <w:sz w:val="22"/>
          <w:szCs w:val="22"/>
        </w:rPr>
        <w:t>, entre todas las ofertas admisibles.</w:t>
      </w:r>
    </w:p>
    <w:p w14:paraId="64BD2721" w14:textId="77777777" w:rsidR="00EB5CBE" w:rsidRPr="00035496" w:rsidRDefault="00EB5CBE" w:rsidP="00EB5CBE">
      <w:pPr>
        <w:spacing w:line="360" w:lineRule="auto"/>
        <w:jc w:val="both"/>
        <w:rPr>
          <w:rFonts w:ascii="Arial" w:hAnsi="Arial" w:cs="Arial"/>
          <w:sz w:val="22"/>
          <w:szCs w:val="22"/>
        </w:rPr>
      </w:pPr>
      <w:r w:rsidRPr="00035496">
        <w:rPr>
          <w:rFonts w:ascii="Arial" w:hAnsi="Arial" w:cs="Arial"/>
          <w:b/>
          <w:sz w:val="22"/>
          <w:szCs w:val="22"/>
        </w:rPr>
        <w:t>P</w:t>
      </w:r>
      <w:r w:rsidRPr="00035496">
        <w:rPr>
          <w:rFonts w:ascii="Arial" w:hAnsi="Arial" w:cs="Arial"/>
          <w:b/>
          <w:sz w:val="22"/>
          <w:szCs w:val="22"/>
          <w:vertAlign w:val="subscript"/>
        </w:rPr>
        <w:t>i</w:t>
      </w:r>
      <w:r w:rsidRPr="00035496">
        <w:rPr>
          <w:rFonts w:ascii="Arial" w:hAnsi="Arial" w:cs="Arial"/>
          <w:b/>
          <w:sz w:val="22"/>
          <w:szCs w:val="22"/>
        </w:rPr>
        <w:t>:</w:t>
      </w:r>
      <w:r w:rsidRPr="00035496">
        <w:rPr>
          <w:rFonts w:ascii="Arial" w:hAnsi="Arial" w:cs="Arial"/>
          <w:sz w:val="22"/>
          <w:szCs w:val="22"/>
        </w:rPr>
        <w:t xml:space="preserve"> Precio </w:t>
      </w:r>
      <w:r>
        <w:rPr>
          <w:rFonts w:ascii="Arial" w:hAnsi="Arial" w:cs="Arial"/>
          <w:sz w:val="22"/>
          <w:szCs w:val="22"/>
        </w:rPr>
        <w:t>de la empresa i.</w:t>
      </w:r>
    </w:p>
    <w:p w14:paraId="479316D2" w14:textId="77777777" w:rsidR="00EB5CBE" w:rsidRPr="00035496" w:rsidRDefault="00EB5CBE" w:rsidP="00EB5CBE">
      <w:pPr>
        <w:spacing w:line="360" w:lineRule="auto"/>
        <w:jc w:val="both"/>
        <w:rPr>
          <w:rFonts w:ascii="Arial" w:hAnsi="Arial" w:cs="Arial"/>
          <w:sz w:val="22"/>
          <w:szCs w:val="22"/>
        </w:rPr>
      </w:pPr>
      <w:r w:rsidRPr="00035496">
        <w:rPr>
          <w:rFonts w:ascii="Arial" w:hAnsi="Arial" w:cs="Arial"/>
          <w:b/>
          <w:sz w:val="22"/>
          <w:szCs w:val="22"/>
        </w:rPr>
        <w:t>A</w:t>
      </w:r>
      <w:r w:rsidRPr="00035496">
        <w:rPr>
          <w:rFonts w:ascii="Arial" w:hAnsi="Arial" w:cs="Arial"/>
          <w:b/>
          <w:sz w:val="22"/>
          <w:szCs w:val="22"/>
          <w:vertAlign w:val="subscript"/>
        </w:rPr>
        <w:t>i</w:t>
      </w:r>
      <w:r w:rsidRPr="00035496">
        <w:rPr>
          <w:rFonts w:ascii="Arial" w:hAnsi="Arial" w:cs="Arial"/>
          <w:b/>
          <w:sz w:val="22"/>
          <w:szCs w:val="22"/>
        </w:rPr>
        <w:t xml:space="preserve">: </w:t>
      </w:r>
      <w:r w:rsidRPr="00035496">
        <w:rPr>
          <w:rFonts w:ascii="Arial" w:hAnsi="Arial" w:cs="Arial"/>
          <w:sz w:val="22"/>
          <w:szCs w:val="22"/>
        </w:rPr>
        <w:t>Puntaje por antecedentes en el RUPE de la oferta de la empresa i.</w:t>
      </w:r>
    </w:p>
    <w:p w14:paraId="70DF5D76" w14:textId="77777777" w:rsidR="00EB5CBE" w:rsidRDefault="00EB5CBE" w:rsidP="00EB5CBE">
      <w:pPr>
        <w:pStyle w:val="Default"/>
        <w:spacing w:line="360" w:lineRule="auto"/>
        <w:jc w:val="both"/>
        <w:rPr>
          <w:rFonts w:ascii="Arial" w:hAnsi="Arial" w:cs="Arial"/>
          <w:color w:val="auto"/>
        </w:rPr>
      </w:pPr>
    </w:p>
    <w:p w14:paraId="44117CA4" w14:textId="77777777" w:rsidR="0092647D" w:rsidRPr="0092647D" w:rsidRDefault="00EB5CBE" w:rsidP="00EB5CBE">
      <w:pPr>
        <w:jc w:val="both"/>
        <w:rPr>
          <w:rFonts w:ascii="Arial" w:eastAsia="Arial" w:hAnsi="Arial" w:cs="Arial"/>
          <w:color w:val="000000"/>
          <w:sz w:val="22"/>
          <w:szCs w:val="22"/>
          <w:lang w:val="es-UY"/>
        </w:rPr>
      </w:pPr>
      <w:r w:rsidRPr="00035496">
        <w:rPr>
          <w:rFonts w:ascii="Arial" w:hAnsi="Arial" w:cs="Arial"/>
          <w:sz w:val="22"/>
          <w:szCs w:val="22"/>
        </w:rPr>
        <w:t xml:space="preserve">Cuando sea pertinente, por ejemplo, cuando dos o más ofertas reciban calificación similar, de acuerdo a los criterios preestablecidos, la Comisión Asesora de Adjudicaciones o la Administración podrán utilizar los mecanismos de mejora de ofertas o negociación, de acuerdo a lo previsto por el </w:t>
      </w:r>
      <w:r w:rsidRPr="00035496">
        <w:rPr>
          <w:rFonts w:ascii="Arial" w:hAnsi="Arial" w:cs="Arial"/>
          <w:sz w:val="22"/>
          <w:szCs w:val="22"/>
        </w:rPr>
        <w:lastRenderedPageBreak/>
        <w:t>artículo 66 del TOCAF, Decreto 150/2012 y sus modificativas.</w:t>
      </w:r>
    </w:p>
    <w:p w14:paraId="6DE77452" w14:textId="77777777" w:rsidR="009D0386" w:rsidRPr="0092647D" w:rsidRDefault="009D0386" w:rsidP="009D0386">
      <w:pPr>
        <w:jc w:val="both"/>
        <w:rPr>
          <w:rFonts w:ascii="Arial" w:eastAsia="Arial" w:hAnsi="Arial" w:cs="Arial"/>
          <w:color w:val="000000"/>
          <w:sz w:val="22"/>
          <w:szCs w:val="22"/>
          <w:lang w:val="es-UY"/>
        </w:rPr>
      </w:pPr>
    </w:p>
    <w:p w14:paraId="63665856" w14:textId="77777777" w:rsidR="009D0386" w:rsidRPr="0092647D" w:rsidRDefault="009D0386" w:rsidP="009D0386">
      <w:pPr>
        <w:numPr>
          <w:ilvl w:val="0"/>
          <w:numId w:val="2"/>
        </w:numPr>
        <w:jc w:val="both"/>
        <w:rPr>
          <w:rFonts w:ascii="Arial" w:eastAsia="Arial" w:hAnsi="Arial" w:cs="Arial"/>
          <w:color w:val="000000"/>
          <w:sz w:val="22"/>
          <w:szCs w:val="22"/>
          <w:lang w:val="es-UY"/>
        </w:rPr>
      </w:pPr>
      <w:bookmarkStart w:id="10" w:name="_Toc489535182"/>
      <w:r w:rsidRPr="0092647D">
        <w:rPr>
          <w:rFonts w:ascii="Arial" w:eastAsia="Arial" w:hAnsi="Arial" w:cs="Arial"/>
          <w:b/>
          <w:bCs/>
          <w:color w:val="000000"/>
          <w:sz w:val="22"/>
          <w:szCs w:val="22"/>
          <w:lang w:val="es-UY"/>
        </w:rPr>
        <w:t>PLAZO DE MANTENIMIENTO DE LA PROPUESTA</w:t>
      </w:r>
      <w:bookmarkEnd w:id="10"/>
    </w:p>
    <w:p w14:paraId="6857C078" w14:textId="77777777" w:rsidR="009D0386" w:rsidRPr="0092647D" w:rsidRDefault="009D0386" w:rsidP="009D0386">
      <w:pPr>
        <w:jc w:val="both"/>
        <w:rPr>
          <w:rFonts w:ascii="Arial" w:eastAsia="Arial" w:hAnsi="Arial" w:cs="Arial"/>
          <w:color w:val="000000"/>
          <w:sz w:val="22"/>
          <w:szCs w:val="22"/>
          <w:lang w:val="es-UY"/>
        </w:rPr>
      </w:pPr>
    </w:p>
    <w:p w14:paraId="097FA4A6" w14:textId="77777777" w:rsidR="009D0386" w:rsidRPr="0092647D" w:rsidRDefault="009D0386" w:rsidP="009D0386">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Las ofertas serán válidas y obligarán al oferente por el término mínimo de sesenta (60) días a contar desde el día siguiente al de la apertura de las mismas, a menos que, antes de expirar dicho plazo, la Administración ya se hubiera expedido respecto a ellas. </w:t>
      </w:r>
    </w:p>
    <w:p w14:paraId="00DC1ABF" w14:textId="77777777" w:rsidR="009D0386" w:rsidRPr="0092647D" w:rsidRDefault="009D0386" w:rsidP="009D0386">
      <w:pPr>
        <w:jc w:val="both"/>
        <w:rPr>
          <w:rFonts w:ascii="Arial" w:eastAsia="Arial" w:hAnsi="Arial" w:cs="Arial"/>
          <w:color w:val="000000"/>
          <w:sz w:val="22"/>
          <w:szCs w:val="22"/>
          <w:lang w:val="es-UY"/>
        </w:rPr>
      </w:pPr>
    </w:p>
    <w:p w14:paraId="16FACBD5" w14:textId="77777777" w:rsidR="009D0386" w:rsidRPr="0092647D" w:rsidRDefault="009D0386" w:rsidP="009D0386">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El no cumplimiento por parte del oferente de lo establecido en el párrafo anterior o el vencimiento del plazo establecido precedentemente, no lo liberaran, a no ser que medie notificación escrita a la Administración manifestando su decisión de retirar la oferta o en caso de falta de pronunciamiento de esta última en el término de diez (10) días hábiles perentorios. </w:t>
      </w:r>
    </w:p>
    <w:p w14:paraId="2E6A77EF" w14:textId="77777777" w:rsidR="009D0386" w:rsidRPr="0092647D" w:rsidRDefault="009D0386" w:rsidP="009D0386">
      <w:pPr>
        <w:jc w:val="both"/>
        <w:rPr>
          <w:rFonts w:ascii="Arial" w:eastAsia="Arial" w:hAnsi="Arial" w:cs="Arial"/>
          <w:b/>
          <w:bCs/>
          <w:color w:val="000000"/>
          <w:sz w:val="22"/>
          <w:szCs w:val="22"/>
          <w:lang w:val="es-UY"/>
        </w:rPr>
      </w:pPr>
    </w:p>
    <w:p w14:paraId="4587CABA" w14:textId="77777777" w:rsidR="009D0386" w:rsidRPr="0092647D" w:rsidRDefault="009D0386" w:rsidP="009D0386">
      <w:pPr>
        <w:numPr>
          <w:ilvl w:val="0"/>
          <w:numId w:val="2"/>
        </w:numPr>
        <w:jc w:val="both"/>
        <w:rPr>
          <w:rFonts w:ascii="Arial" w:eastAsia="Arial" w:hAnsi="Arial" w:cs="Arial"/>
          <w:color w:val="000000"/>
          <w:sz w:val="22"/>
          <w:szCs w:val="22"/>
          <w:lang w:val="es-UY"/>
        </w:rPr>
      </w:pPr>
      <w:bookmarkStart w:id="11" w:name="_Toc489535183"/>
      <w:r w:rsidRPr="0092647D">
        <w:rPr>
          <w:rFonts w:ascii="Arial" w:eastAsia="Arial" w:hAnsi="Arial" w:cs="Arial"/>
          <w:b/>
          <w:bCs/>
          <w:color w:val="000000"/>
          <w:sz w:val="22"/>
          <w:szCs w:val="22"/>
          <w:lang w:val="es-UY"/>
        </w:rPr>
        <w:t>ADJUDICACIÓN</w:t>
      </w:r>
      <w:bookmarkEnd w:id="11"/>
    </w:p>
    <w:p w14:paraId="05791AED" w14:textId="77777777" w:rsidR="009D0386" w:rsidRPr="0092647D" w:rsidRDefault="009D0386" w:rsidP="009D0386">
      <w:pPr>
        <w:jc w:val="both"/>
        <w:rPr>
          <w:rFonts w:ascii="Arial" w:eastAsia="Arial" w:hAnsi="Arial" w:cs="Arial"/>
          <w:color w:val="000000"/>
          <w:sz w:val="22"/>
          <w:szCs w:val="22"/>
          <w:lang w:val="es-UY"/>
        </w:rPr>
      </w:pPr>
    </w:p>
    <w:p w14:paraId="120AADB3" w14:textId="77777777" w:rsidR="009D0386" w:rsidRPr="00591F6C" w:rsidRDefault="009D0386" w:rsidP="009D0386">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La selección de las ofertas presentadas se hará entre aquellas que precalifiquen en base a la evaluación jurídico - formal y el juicio de admisibilidad.</w:t>
      </w:r>
    </w:p>
    <w:p w14:paraId="3EB656F6" w14:textId="77777777" w:rsidR="009D0386" w:rsidRPr="00591F6C" w:rsidRDefault="009D0386" w:rsidP="009D0386">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Una vez efectuado el informe de la Comisión Asesora de Adjudicaciones, cumplido lo dispuesto en el artículo 211 literal B) de la Constitución de la República y dictada la Resolución correspondiente por el ordenador competente, la Administración notificará al adjudicatario la aceptación de su oferta, sin perjuicio de que en los Pliegos de Bases y Condiciones Generales o Particulares o en la Resolución de adjudicación se establezca la forma escrita o requisitos de solemnidad a cumplir con posterioridad al dictado del mencionado acto o existan otras condiciones suspensivas que obsten a dicho perfeccionamiento (artículo 69 del TOCAF). </w:t>
      </w:r>
    </w:p>
    <w:p w14:paraId="7432F847" w14:textId="77777777" w:rsidR="009D0386" w:rsidRPr="00591F6C" w:rsidRDefault="009D0386" w:rsidP="009D0386">
      <w:pPr>
        <w:pStyle w:val="Default"/>
        <w:spacing w:line="276" w:lineRule="auto"/>
        <w:jc w:val="both"/>
        <w:rPr>
          <w:rFonts w:ascii="Arial" w:hAnsi="Arial" w:cs="Arial"/>
          <w:color w:val="auto"/>
          <w:sz w:val="22"/>
          <w:szCs w:val="22"/>
        </w:rPr>
      </w:pPr>
    </w:p>
    <w:p w14:paraId="626B9E9F" w14:textId="77777777" w:rsidR="009D0386" w:rsidRPr="00591F6C" w:rsidRDefault="009D0386" w:rsidP="009D0386">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Se notificará asimismo a los demás oferentes. </w:t>
      </w:r>
    </w:p>
    <w:p w14:paraId="55B12A14" w14:textId="77777777" w:rsidR="009D0386" w:rsidRPr="00591F6C" w:rsidRDefault="009D0386" w:rsidP="009D0386">
      <w:pPr>
        <w:pStyle w:val="Default"/>
        <w:spacing w:line="276" w:lineRule="auto"/>
        <w:jc w:val="both"/>
        <w:rPr>
          <w:rFonts w:ascii="Arial" w:hAnsi="Arial" w:cs="Arial"/>
          <w:color w:val="auto"/>
          <w:sz w:val="22"/>
          <w:szCs w:val="22"/>
        </w:rPr>
      </w:pPr>
    </w:p>
    <w:p w14:paraId="08A825D3" w14:textId="77777777" w:rsidR="009D0386" w:rsidRPr="00591F6C" w:rsidRDefault="009D0386" w:rsidP="009D0386">
      <w:pPr>
        <w:pStyle w:val="Default"/>
        <w:spacing w:line="276" w:lineRule="auto"/>
        <w:jc w:val="both"/>
        <w:rPr>
          <w:rFonts w:ascii="Arial" w:hAnsi="Arial" w:cs="Arial"/>
          <w:color w:val="auto"/>
          <w:sz w:val="22"/>
          <w:szCs w:val="22"/>
        </w:rPr>
      </w:pPr>
      <w:r w:rsidRPr="00591F6C">
        <w:rPr>
          <w:rFonts w:ascii="Arial" w:hAnsi="Arial" w:cs="Arial"/>
          <w:sz w:val="22"/>
          <w:szCs w:val="22"/>
        </w:rPr>
        <w:t xml:space="preserve">A efectos de la adjudicación, el oferente que resulte seleccionado, deberá haber adquirido el estado de “ACTIVO” en el RUPE, tal como surge de la Guía para Proveedores del RUPE, a la cual podrá accederse en </w:t>
      </w:r>
      <w:r w:rsidRPr="00591F6C">
        <w:rPr>
          <w:rFonts w:ascii="Arial" w:hAnsi="Arial" w:cs="Arial"/>
          <w:color w:val="4F81BD"/>
          <w:sz w:val="22"/>
          <w:szCs w:val="22"/>
          <w:u w:val="single"/>
        </w:rPr>
        <w:t>www.comprasestatales.gub.uy</w:t>
      </w:r>
      <w:r w:rsidRPr="00591F6C">
        <w:rPr>
          <w:rFonts w:ascii="Arial" w:hAnsi="Arial" w:cs="Arial"/>
          <w:sz w:val="22"/>
          <w:szCs w:val="22"/>
        </w:rPr>
        <w:t xml:space="preserve"> bajo el menú Proveedores/RUPE/Manuales y videos. Si al momento de la adjudicación, el proveedor que resulte adjudicatario no hubiese adquirido el estado "ACTIVO" en RUPE, una vez dictado el acto, la Administración otorgará un plazo de cinco (5) días hábiles </w:t>
      </w:r>
      <w:r w:rsidRPr="00591F6C">
        <w:rPr>
          <w:rFonts w:ascii="Arial" w:hAnsi="Arial" w:cs="Arial"/>
          <w:color w:val="auto"/>
          <w:sz w:val="22"/>
          <w:szCs w:val="22"/>
        </w:rPr>
        <w:t xml:space="preserve">contados a partir del día siguiente a la notificación de la adjudicación, a fin de que el mismo adquiera dicho estado, bajo apercibimiento de rescisión de contrato y adjudicación del llamado al siguiente mejor oferente en caso de no cumplirse este requerimiento en el plazo mencionado. </w:t>
      </w:r>
    </w:p>
    <w:p w14:paraId="35BFB9FD" w14:textId="77777777" w:rsidR="009D0386" w:rsidRPr="00591F6C" w:rsidRDefault="009D0386" w:rsidP="009D0386">
      <w:pPr>
        <w:pStyle w:val="Default"/>
        <w:spacing w:line="276" w:lineRule="auto"/>
        <w:jc w:val="both"/>
        <w:rPr>
          <w:rFonts w:ascii="Arial" w:hAnsi="Arial" w:cs="Arial"/>
          <w:color w:val="auto"/>
          <w:sz w:val="22"/>
          <w:szCs w:val="22"/>
        </w:rPr>
      </w:pPr>
    </w:p>
    <w:p w14:paraId="174EEA71" w14:textId="77777777" w:rsidR="009D0386" w:rsidRPr="00591F6C" w:rsidRDefault="009D0386" w:rsidP="009D0386">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Asimismo, en el caso de rescisión del contrato antes de iniciarse su ejecución material, por cualquier otro motivo, la Administración podrá efectuar la adjudicación al siguiente mejor oferente. </w:t>
      </w:r>
    </w:p>
    <w:p w14:paraId="4984A81F" w14:textId="77777777" w:rsidR="009D0386" w:rsidRDefault="009D0386" w:rsidP="009D0386">
      <w:pPr>
        <w:pStyle w:val="Default"/>
        <w:spacing w:line="276" w:lineRule="auto"/>
        <w:jc w:val="both"/>
        <w:rPr>
          <w:rFonts w:ascii="Arial" w:hAnsi="Arial" w:cs="Arial"/>
          <w:color w:val="auto"/>
          <w:sz w:val="22"/>
          <w:szCs w:val="22"/>
        </w:rPr>
      </w:pPr>
    </w:p>
    <w:p w14:paraId="01329A83" w14:textId="77777777" w:rsidR="009D0386" w:rsidRPr="00591F6C" w:rsidRDefault="009D0386" w:rsidP="009D0386">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La Administración está facultada para: </w:t>
      </w:r>
    </w:p>
    <w:p w14:paraId="0D5E40A0" w14:textId="77777777" w:rsidR="009D0386" w:rsidRPr="00591F6C" w:rsidRDefault="009D0386" w:rsidP="009D0386">
      <w:pPr>
        <w:pStyle w:val="Default"/>
        <w:numPr>
          <w:ilvl w:val="0"/>
          <w:numId w:val="7"/>
        </w:numPr>
        <w:spacing w:line="276" w:lineRule="auto"/>
        <w:ind w:left="0" w:firstLine="0"/>
        <w:jc w:val="both"/>
        <w:rPr>
          <w:rFonts w:ascii="Arial" w:hAnsi="Arial" w:cs="Arial"/>
          <w:color w:val="auto"/>
          <w:sz w:val="22"/>
          <w:szCs w:val="22"/>
        </w:rPr>
      </w:pPr>
      <w:r w:rsidRPr="00591F6C">
        <w:rPr>
          <w:rFonts w:ascii="Arial" w:hAnsi="Arial" w:cs="Arial"/>
          <w:color w:val="auto"/>
          <w:sz w:val="22"/>
          <w:szCs w:val="22"/>
        </w:rPr>
        <w:t xml:space="preserve">No adjudicar y dar por desierta la Licitación. </w:t>
      </w:r>
    </w:p>
    <w:p w14:paraId="73E1F3F8" w14:textId="77777777" w:rsidR="009D0386" w:rsidRPr="00591F6C" w:rsidRDefault="009D0386" w:rsidP="009D0386">
      <w:pPr>
        <w:pStyle w:val="Default"/>
        <w:numPr>
          <w:ilvl w:val="0"/>
          <w:numId w:val="7"/>
        </w:numPr>
        <w:spacing w:line="276" w:lineRule="auto"/>
        <w:ind w:left="0" w:firstLine="0"/>
        <w:jc w:val="both"/>
        <w:rPr>
          <w:rFonts w:ascii="Arial" w:hAnsi="Arial" w:cs="Arial"/>
          <w:color w:val="auto"/>
          <w:sz w:val="22"/>
          <w:szCs w:val="22"/>
        </w:rPr>
      </w:pPr>
      <w:r w:rsidRPr="00591F6C">
        <w:rPr>
          <w:rFonts w:ascii="Arial" w:hAnsi="Arial" w:cs="Arial"/>
          <w:color w:val="auto"/>
          <w:sz w:val="22"/>
          <w:szCs w:val="22"/>
        </w:rPr>
        <w:t xml:space="preserve">Dividir la adjudicación entre oferentes que presenten ofertas similares en </w:t>
      </w:r>
      <w:r w:rsidRPr="00591F6C">
        <w:rPr>
          <w:rFonts w:ascii="Arial" w:hAnsi="Arial" w:cs="Arial"/>
          <w:color w:val="auto"/>
          <w:sz w:val="22"/>
          <w:szCs w:val="22"/>
        </w:rPr>
        <w:tab/>
        <w:t>los</w:t>
      </w:r>
      <w:r w:rsidR="009E41A0">
        <w:rPr>
          <w:rFonts w:ascii="Arial" w:hAnsi="Arial" w:cs="Arial"/>
          <w:color w:val="auto"/>
          <w:sz w:val="22"/>
          <w:szCs w:val="22"/>
        </w:rPr>
        <w:t xml:space="preserve"> </w:t>
      </w:r>
      <w:r w:rsidRPr="00591F6C">
        <w:rPr>
          <w:rFonts w:ascii="Arial" w:hAnsi="Arial" w:cs="Arial"/>
          <w:color w:val="auto"/>
          <w:sz w:val="22"/>
          <w:szCs w:val="22"/>
        </w:rPr>
        <w:t xml:space="preserve">términos establecidos por el artículo 66 del TOCAF. </w:t>
      </w:r>
    </w:p>
    <w:p w14:paraId="3E595F20" w14:textId="77777777" w:rsidR="009D0386" w:rsidRDefault="009D0386" w:rsidP="009D0386">
      <w:pPr>
        <w:pStyle w:val="Default"/>
        <w:numPr>
          <w:ilvl w:val="0"/>
          <w:numId w:val="7"/>
        </w:numPr>
        <w:spacing w:line="276" w:lineRule="auto"/>
        <w:ind w:left="0" w:firstLine="0"/>
        <w:jc w:val="both"/>
        <w:rPr>
          <w:rFonts w:ascii="Arial" w:hAnsi="Arial" w:cs="Arial"/>
          <w:sz w:val="22"/>
          <w:szCs w:val="22"/>
        </w:rPr>
      </w:pPr>
      <w:r w:rsidRPr="00591F6C">
        <w:rPr>
          <w:rFonts w:ascii="Arial" w:hAnsi="Arial" w:cs="Arial"/>
          <w:color w:val="auto"/>
          <w:sz w:val="22"/>
          <w:szCs w:val="22"/>
        </w:rPr>
        <w:t>Rechazar todas las ofertas.</w:t>
      </w:r>
    </w:p>
    <w:p w14:paraId="05A331C2" w14:textId="77777777" w:rsidR="009D0386" w:rsidRPr="009D0386" w:rsidRDefault="009D0386" w:rsidP="009D0386">
      <w:pPr>
        <w:pStyle w:val="Default"/>
        <w:spacing w:line="276" w:lineRule="auto"/>
        <w:jc w:val="both"/>
        <w:rPr>
          <w:rFonts w:ascii="Arial" w:hAnsi="Arial" w:cs="Arial"/>
          <w:sz w:val="22"/>
          <w:szCs w:val="22"/>
        </w:rPr>
      </w:pPr>
    </w:p>
    <w:p w14:paraId="60B89EDD" w14:textId="77777777" w:rsidR="009D0386" w:rsidRDefault="009D0386" w:rsidP="009D0386">
      <w:pPr>
        <w:pStyle w:val="Default"/>
        <w:spacing w:line="276" w:lineRule="auto"/>
        <w:jc w:val="both"/>
        <w:rPr>
          <w:rFonts w:ascii="Arial" w:hAnsi="Arial" w:cs="Arial"/>
          <w:color w:val="auto"/>
          <w:sz w:val="22"/>
          <w:szCs w:val="22"/>
        </w:rPr>
      </w:pPr>
    </w:p>
    <w:p w14:paraId="25B377C0" w14:textId="77777777" w:rsidR="009D0386" w:rsidRPr="00293391" w:rsidRDefault="009D0386" w:rsidP="009D0386">
      <w:pPr>
        <w:pStyle w:val="Ttulo1"/>
        <w:spacing w:line="360" w:lineRule="auto"/>
        <w:jc w:val="both"/>
        <w:rPr>
          <w:rFonts w:ascii="Arial" w:hAnsi="Arial" w:cs="Arial"/>
          <w:color w:val="auto"/>
          <w:sz w:val="22"/>
          <w:szCs w:val="22"/>
        </w:rPr>
      </w:pPr>
      <w:bookmarkStart w:id="12" w:name="_Toc520284517"/>
      <w:r w:rsidRPr="00293391">
        <w:rPr>
          <w:rFonts w:ascii="Arial" w:hAnsi="Arial" w:cs="Arial"/>
          <w:color w:val="auto"/>
          <w:sz w:val="22"/>
          <w:szCs w:val="22"/>
        </w:rPr>
        <w:t>12. PERFECCIONAMIENTO DEL CONTRATO</w:t>
      </w:r>
      <w:bookmarkEnd w:id="12"/>
    </w:p>
    <w:p w14:paraId="7105D711" w14:textId="77777777" w:rsidR="009D0386" w:rsidRPr="00293391" w:rsidRDefault="009D0386" w:rsidP="009D0386">
      <w:pPr>
        <w:jc w:val="both"/>
        <w:rPr>
          <w:rFonts w:ascii="Arial" w:hAnsi="Arial" w:cs="Arial"/>
          <w:sz w:val="22"/>
          <w:szCs w:val="22"/>
          <w:lang w:eastAsia="es-ES"/>
        </w:rPr>
      </w:pPr>
      <w:r w:rsidRPr="00293391">
        <w:rPr>
          <w:rFonts w:ascii="Arial" w:hAnsi="Arial" w:cs="Arial"/>
          <w:sz w:val="22"/>
          <w:szCs w:val="22"/>
          <w:lang w:eastAsia="es-ES"/>
        </w:rPr>
        <w:t xml:space="preserve">El contrato se perfeccionará con la notificación al oferente del acto de adjudicación dictado por el </w:t>
      </w:r>
      <w:r w:rsidRPr="00293391">
        <w:rPr>
          <w:rFonts w:ascii="Arial" w:hAnsi="Arial" w:cs="Arial"/>
          <w:sz w:val="22"/>
          <w:szCs w:val="22"/>
          <w:lang w:eastAsia="es-ES"/>
        </w:rPr>
        <w:lastRenderedPageBreak/>
        <w:t>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 (artículo 69 del TOCAF).</w:t>
      </w:r>
    </w:p>
    <w:p w14:paraId="08188A9C" w14:textId="77777777" w:rsidR="009D0386" w:rsidRPr="00293391" w:rsidRDefault="009D0386" w:rsidP="009D0386">
      <w:pPr>
        <w:pStyle w:val="Default"/>
        <w:spacing w:line="276" w:lineRule="auto"/>
        <w:jc w:val="both"/>
        <w:rPr>
          <w:rFonts w:ascii="Arial" w:hAnsi="Arial" w:cs="Arial"/>
          <w:sz w:val="22"/>
          <w:szCs w:val="22"/>
          <w:lang w:val="es-ES"/>
        </w:rPr>
      </w:pPr>
    </w:p>
    <w:p w14:paraId="308A37A6" w14:textId="77777777" w:rsidR="009D0386" w:rsidRPr="00293391" w:rsidRDefault="009D0386" w:rsidP="009D0386">
      <w:pPr>
        <w:pStyle w:val="Default"/>
        <w:spacing w:line="360" w:lineRule="auto"/>
        <w:jc w:val="both"/>
        <w:outlineLvl w:val="0"/>
        <w:rPr>
          <w:rFonts w:ascii="Arial" w:hAnsi="Arial" w:cs="Arial"/>
          <w:b/>
          <w:bCs/>
          <w:color w:val="auto"/>
          <w:sz w:val="22"/>
          <w:szCs w:val="22"/>
        </w:rPr>
      </w:pPr>
      <w:bookmarkStart w:id="13" w:name="_Toc520284518"/>
      <w:r>
        <w:rPr>
          <w:rFonts w:ascii="Arial" w:hAnsi="Arial" w:cs="Arial"/>
          <w:b/>
          <w:bCs/>
          <w:color w:val="auto"/>
          <w:sz w:val="22"/>
          <w:szCs w:val="22"/>
        </w:rPr>
        <w:t>13</w:t>
      </w:r>
      <w:r w:rsidRPr="00293391">
        <w:rPr>
          <w:rFonts w:ascii="Arial" w:hAnsi="Arial" w:cs="Arial"/>
          <w:b/>
          <w:bCs/>
          <w:color w:val="auto"/>
          <w:sz w:val="22"/>
          <w:szCs w:val="22"/>
        </w:rPr>
        <w:t>. SANCIONES</w:t>
      </w:r>
      <w:bookmarkEnd w:id="13"/>
    </w:p>
    <w:p w14:paraId="41859EE4" w14:textId="77777777" w:rsidR="009D0386" w:rsidRPr="00293391" w:rsidRDefault="009D0386" w:rsidP="009D0386">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Si algún aspecto de la prestación no se adecua a lo establecido en este Pliego, la Administración lo pondrá en conocimiento del proveedor, quien a su costo y dentro del plazo de tres (3) días hábiles deberá corregirlo. Mientras no se subsane la irregularidad detectada, no se dará trámite a la conformidad. </w:t>
      </w:r>
    </w:p>
    <w:p w14:paraId="3E2D6486" w14:textId="77777777" w:rsidR="009D0386" w:rsidRPr="00293391" w:rsidRDefault="009D0386" w:rsidP="009D0386">
      <w:pPr>
        <w:pStyle w:val="Default"/>
        <w:spacing w:line="276" w:lineRule="auto"/>
        <w:jc w:val="both"/>
        <w:rPr>
          <w:rFonts w:ascii="Arial" w:hAnsi="Arial" w:cs="Arial"/>
          <w:color w:val="auto"/>
          <w:sz w:val="22"/>
          <w:szCs w:val="22"/>
        </w:rPr>
      </w:pPr>
    </w:p>
    <w:p w14:paraId="6E763E65" w14:textId="77777777" w:rsidR="009D0386" w:rsidRPr="00293391" w:rsidRDefault="009D0386" w:rsidP="009D0386">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Transcurrido el plazo otorgado sin que se cumpla adecuadamente, la Administración podrá además imponer al adjudicatario una multa equivalente al veinticinco por ciento (25 %) del monto total adjudicado. El adjudicatario asumirá el pago de las multas aun cuando las mismas superen el monto de la garantía constituida. </w:t>
      </w:r>
    </w:p>
    <w:p w14:paraId="4944A11A" w14:textId="77777777" w:rsidR="009D0386" w:rsidRPr="00293391" w:rsidRDefault="009D0386" w:rsidP="009D0386">
      <w:pPr>
        <w:pStyle w:val="Default"/>
        <w:spacing w:line="276" w:lineRule="auto"/>
        <w:jc w:val="both"/>
        <w:rPr>
          <w:rFonts w:ascii="Arial" w:hAnsi="Arial" w:cs="Arial"/>
          <w:color w:val="auto"/>
          <w:sz w:val="22"/>
          <w:szCs w:val="22"/>
        </w:rPr>
      </w:pPr>
    </w:p>
    <w:p w14:paraId="68E53863" w14:textId="77777777" w:rsidR="009D0386" w:rsidRPr="00293391" w:rsidRDefault="009D0386" w:rsidP="009D0386">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La Administración se reserva el derecho de cobrar al adjudicatario las multas generadas y que éste no le haya abonado, así como toda erogación en que el MIEM haya debido incurrir no obstante ser ella de cargo del adjudicatario y toda suma que corresponda al MIEM percibir de éste de acuerdo a las previsiones del Pliego y demás normativa que rige el llamado, deduciendo su importe tanto de la garantía de fiel cumplimiento de contrato como de los pagos a hacerle efectivos, todo sin perjuicio de su derecho de recurrir a los mecanismos jurídicamente hábiles para el cobro de su crédito y a la comunicación de los incumplimientos al RUPE.</w:t>
      </w:r>
    </w:p>
    <w:p w14:paraId="3CB114EB" w14:textId="77777777" w:rsidR="009D0386" w:rsidRPr="00293391" w:rsidRDefault="009D0386" w:rsidP="009D0386">
      <w:pPr>
        <w:pStyle w:val="Default"/>
        <w:spacing w:line="276" w:lineRule="auto"/>
        <w:jc w:val="both"/>
        <w:rPr>
          <w:rFonts w:ascii="Arial" w:hAnsi="Arial" w:cs="Arial"/>
          <w:color w:val="auto"/>
          <w:sz w:val="22"/>
          <w:szCs w:val="22"/>
        </w:rPr>
      </w:pPr>
    </w:p>
    <w:p w14:paraId="707C44E0" w14:textId="77777777" w:rsidR="009D0386" w:rsidRPr="00293391" w:rsidRDefault="009D0386" w:rsidP="009D0386">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El MIEM se reserva la facultad de exigir acumulativamente con el pago de las multas el resarcimiento de los daños y perjuicios sufridos en razón del incumplimiento. </w:t>
      </w:r>
    </w:p>
    <w:p w14:paraId="6A6B267B" w14:textId="77777777" w:rsidR="009D0386" w:rsidRPr="00293391" w:rsidRDefault="009D0386" w:rsidP="009D0386">
      <w:pPr>
        <w:pStyle w:val="Default"/>
        <w:spacing w:line="276" w:lineRule="auto"/>
        <w:jc w:val="both"/>
        <w:rPr>
          <w:rFonts w:ascii="Arial" w:hAnsi="Arial" w:cs="Arial"/>
          <w:color w:val="auto"/>
          <w:sz w:val="22"/>
          <w:szCs w:val="22"/>
        </w:rPr>
      </w:pPr>
    </w:p>
    <w:p w14:paraId="2BB0261C" w14:textId="77777777" w:rsidR="009D0386" w:rsidRPr="00293391" w:rsidRDefault="009D0386" w:rsidP="009D0386">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El MIEM aplicará al adjudicatario que incumpla cualquiera de las obligaciones asumidas las sanciones que correspondan, las que serán inscriptas en el RUPE, según lo establecido por el Decreto 155/013 de 21 de mayo de 2013.</w:t>
      </w:r>
    </w:p>
    <w:p w14:paraId="1FB2C974" w14:textId="77777777" w:rsidR="009D0386" w:rsidRPr="00293391" w:rsidRDefault="009D0386" w:rsidP="009D0386">
      <w:pPr>
        <w:pStyle w:val="Default"/>
        <w:spacing w:line="276" w:lineRule="auto"/>
        <w:jc w:val="both"/>
        <w:rPr>
          <w:rFonts w:ascii="Arial" w:hAnsi="Arial" w:cs="Arial"/>
          <w:color w:val="auto"/>
          <w:sz w:val="22"/>
          <w:szCs w:val="22"/>
        </w:rPr>
      </w:pPr>
    </w:p>
    <w:p w14:paraId="28E73358" w14:textId="77777777" w:rsidR="009D0386" w:rsidRDefault="009D0386" w:rsidP="009D0386">
      <w:pPr>
        <w:pStyle w:val="Default"/>
        <w:spacing w:line="276" w:lineRule="auto"/>
        <w:jc w:val="both"/>
        <w:rPr>
          <w:rFonts w:ascii="Arial" w:hAnsi="Arial" w:cs="Arial"/>
          <w:color w:val="auto"/>
        </w:rPr>
      </w:pPr>
      <w:r w:rsidRPr="00293391">
        <w:rPr>
          <w:rFonts w:ascii="Arial" w:hAnsi="Arial" w:cs="Arial"/>
          <w:color w:val="auto"/>
          <w:sz w:val="22"/>
          <w:szCs w:val="22"/>
        </w:rPr>
        <w:t xml:space="preserve">En caso de rescisión, la multa se establece en un veinticinco por ciento (25%) de la oferta aceptada, sin perjuicio de otras acciones que puedan corresponder al MIEM. </w:t>
      </w:r>
    </w:p>
    <w:p w14:paraId="48A98664" w14:textId="77777777" w:rsidR="009D0386" w:rsidRPr="00293391" w:rsidRDefault="009D0386" w:rsidP="009D0386">
      <w:pPr>
        <w:jc w:val="both"/>
        <w:rPr>
          <w:rFonts w:ascii="Arial" w:eastAsia="Arial" w:hAnsi="Arial" w:cs="Arial"/>
          <w:color w:val="000000"/>
          <w:sz w:val="22"/>
          <w:szCs w:val="22"/>
          <w:lang w:val="es-UY"/>
        </w:rPr>
      </w:pPr>
    </w:p>
    <w:p w14:paraId="2A9598D9" w14:textId="77777777" w:rsidR="009D0386" w:rsidRPr="00B0118C" w:rsidRDefault="009D0386" w:rsidP="009D0386">
      <w:pPr>
        <w:pStyle w:val="Default"/>
        <w:spacing w:line="360" w:lineRule="auto"/>
        <w:jc w:val="both"/>
        <w:outlineLvl w:val="0"/>
        <w:rPr>
          <w:rFonts w:ascii="Arial" w:hAnsi="Arial" w:cs="Arial"/>
          <w:b/>
          <w:bCs/>
          <w:color w:val="auto"/>
          <w:sz w:val="22"/>
          <w:szCs w:val="22"/>
        </w:rPr>
      </w:pPr>
      <w:bookmarkStart w:id="14" w:name="_Toc520284519"/>
      <w:r>
        <w:rPr>
          <w:rFonts w:ascii="Arial" w:hAnsi="Arial" w:cs="Arial"/>
          <w:b/>
          <w:bCs/>
          <w:color w:val="auto"/>
          <w:sz w:val="22"/>
          <w:szCs w:val="22"/>
        </w:rPr>
        <w:t>14</w:t>
      </w:r>
      <w:r w:rsidRPr="00B0118C">
        <w:rPr>
          <w:rFonts w:ascii="Arial" w:hAnsi="Arial" w:cs="Arial"/>
          <w:b/>
          <w:bCs/>
          <w:color w:val="auto"/>
          <w:sz w:val="22"/>
          <w:szCs w:val="22"/>
        </w:rPr>
        <w:t>. MORA</w:t>
      </w:r>
      <w:bookmarkEnd w:id="14"/>
    </w:p>
    <w:p w14:paraId="48159399" w14:textId="77777777" w:rsidR="009D0386" w:rsidRDefault="009D0386" w:rsidP="009D0386">
      <w:pPr>
        <w:jc w:val="both"/>
        <w:rPr>
          <w:rFonts w:ascii="Arial" w:hAnsi="Arial" w:cs="Arial"/>
          <w:sz w:val="22"/>
          <w:szCs w:val="22"/>
        </w:rPr>
      </w:pPr>
      <w:r w:rsidRPr="00B0118C">
        <w:rPr>
          <w:rFonts w:ascii="Arial" w:hAnsi="Arial" w:cs="Arial"/>
          <w:sz w:val="22"/>
          <w:szCs w:val="22"/>
        </w:rPr>
        <w:t>La mora se configurará por el incumplimiento de las obligaciones contractuales y se producirá de pleno derecho, sin necesidad de intimación judicial ni extrajudicial alguna por el solo vencimiento de los términos establecidos, y/o por la realización u omisión de cualquier acto o hecho que se traduzca en hacer algo contrario a lo estipulado o no hacer algo de lo acordado.</w:t>
      </w:r>
      <w:bookmarkStart w:id="15" w:name="_Toc520284520"/>
    </w:p>
    <w:p w14:paraId="7ECC3B74" w14:textId="77777777" w:rsidR="009D0386" w:rsidRPr="00B0118C" w:rsidRDefault="009D0386" w:rsidP="009D0386">
      <w:pPr>
        <w:jc w:val="both"/>
        <w:rPr>
          <w:rFonts w:ascii="Arial" w:hAnsi="Arial" w:cs="Arial"/>
          <w:sz w:val="22"/>
          <w:szCs w:val="22"/>
        </w:rPr>
      </w:pPr>
    </w:p>
    <w:p w14:paraId="7C11E066" w14:textId="77777777" w:rsidR="009D0386" w:rsidRPr="00B0118C" w:rsidRDefault="009D0386" w:rsidP="009D0386">
      <w:pPr>
        <w:pStyle w:val="Default"/>
        <w:spacing w:line="360" w:lineRule="auto"/>
        <w:jc w:val="both"/>
        <w:outlineLvl w:val="0"/>
        <w:rPr>
          <w:rFonts w:ascii="Arial" w:hAnsi="Arial" w:cs="Arial"/>
          <w:b/>
          <w:bCs/>
          <w:color w:val="auto"/>
          <w:sz w:val="22"/>
          <w:szCs w:val="22"/>
        </w:rPr>
      </w:pPr>
      <w:r w:rsidRPr="00B0118C">
        <w:rPr>
          <w:rFonts w:ascii="Arial" w:hAnsi="Arial" w:cs="Arial"/>
          <w:b/>
          <w:bCs/>
          <w:color w:val="auto"/>
          <w:sz w:val="22"/>
          <w:szCs w:val="22"/>
        </w:rPr>
        <w:t>15. GARANTÍA DE FIEL CUMPLIMIENTO DEL CONTRATO</w:t>
      </w:r>
      <w:bookmarkEnd w:id="15"/>
    </w:p>
    <w:p w14:paraId="54DAB4A5"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El oferente, en caso de corresponder, deberá constituir garantía de fiel cumplimiento del contrato, en los términos y condiciones previstos por el artículo 64, inciso segundo del TOCAF. </w:t>
      </w:r>
    </w:p>
    <w:p w14:paraId="65510710" w14:textId="77777777" w:rsidR="009D0386" w:rsidRDefault="009D0386" w:rsidP="009D0386">
      <w:pPr>
        <w:pStyle w:val="Default"/>
        <w:spacing w:line="276" w:lineRule="auto"/>
        <w:jc w:val="both"/>
        <w:rPr>
          <w:rFonts w:ascii="Arial" w:hAnsi="Arial" w:cs="Arial"/>
          <w:color w:val="auto"/>
        </w:rPr>
      </w:pPr>
      <w:r w:rsidRPr="00B0118C">
        <w:rPr>
          <w:rFonts w:ascii="Arial" w:hAnsi="Arial" w:cs="Arial"/>
          <w:color w:val="auto"/>
          <w:sz w:val="22"/>
          <w:szCs w:val="22"/>
        </w:rPr>
        <w:t>No se admitirán garantías personales de especie alguna.</w:t>
      </w:r>
    </w:p>
    <w:p w14:paraId="7088EAF1" w14:textId="77777777" w:rsidR="009D0386" w:rsidRDefault="009D0386" w:rsidP="009D0386">
      <w:pPr>
        <w:pStyle w:val="Default"/>
        <w:spacing w:line="276" w:lineRule="auto"/>
        <w:jc w:val="both"/>
        <w:rPr>
          <w:rFonts w:ascii="Arial" w:hAnsi="Arial" w:cs="Arial"/>
          <w:color w:val="auto"/>
        </w:rPr>
      </w:pPr>
    </w:p>
    <w:p w14:paraId="4FAA229A" w14:textId="77777777" w:rsidR="009D0386" w:rsidRDefault="009D0386" w:rsidP="009D0386">
      <w:pPr>
        <w:pStyle w:val="Default"/>
        <w:spacing w:line="360" w:lineRule="auto"/>
        <w:jc w:val="both"/>
        <w:outlineLvl w:val="0"/>
        <w:rPr>
          <w:rFonts w:ascii="Arial" w:hAnsi="Arial" w:cs="Arial"/>
          <w:b/>
          <w:bCs/>
          <w:color w:val="auto"/>
        </w:rPr>
      </w:pPr>
      <w:bookmarkStart w:id="16" w:name="_Toc520284521"/>
    </w:p>
    <w:p w14:paraId="4CFE3BF2" w14:textId="77777777" w:rsidR="009D0386" w:rsidRPr="00B0118C" w:rsidRDefault="009D0386" w:rsidP="009D0386">
      <w:pPr>
        <w:pStyle w:val="Default"/>
        <w:spacing w:line="360" w:lineRule="auto"/>
        <w:jc w:val="both"/>
        <w:outlineLvl w:val="0"/>
        <w:rPr>
          <w:rFonts w:ascii="Arial" w:hAnsi="Arial" w:cs="Arial"/>
          <w:b/>
          <w:bCs/>
          <w:color w:val="auto"/>
          <w:sz w:val="22"/>
          <w:szCs w:val="22"/>
        </w:rPr>
      </w:pPr>
      <w:r>
        <w:rPr>
          <w:rFonts w:ascii="Arial" w:hAnsi="Arial" w:cs="Arial"/>
          <w:b/>
          <w:bCs/>
          <w:color w:val="auto"/>
          <w:sz w:val="22"/>
          <w:szCs w:val="22"/>
        </w:rPr>
        <w:t>16</w:t>
      </w:r>
      <w:r w:rsidRPr="00B0118C">
        <w:rPr>
          <w:rFonts w:ascii="Arial" w:hAnsi="Arial" w:cs="Arial"/>
          <w:b/>
          <w:bCs/>
          <w:color w:val="auto"/>
          <w:sz w:val="22"/>
          <w:szCs w:val="22"/>
        </w:rPr>
        <w:t>. VALOR DE LA INFORMACIÓN PRESENTADA</w:t>
      </w:r>
      <w:bookmarkEnd w:id="16"/>
    </w:p>
    <w:p w14:paraId="504E9020"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lastRenderedPageBreak/>
        <w:t xml:space="preserve">Todos los datos indicados por el oferente,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70FBF3F6" w14:textId="77777777" w:rsidR="009D0386" w:rsidRDefault="009D0386" w:rsidP="009D0386">
      <w:pPr>
        <w:pStyle w:val="Default"/>
        <w:spacing w:line="360" w:lineRule="auto"/>
        <w:jc w:val="both"/>
        <w:outlineLvl w:val="0"/>
        <w:rPr>
          <w:rFonts w:ascii="Arial" w:hAnsi="Arial" w:cs="Arial"/>
          <w:b/>
          <w:bCs/>
          <w:color w:val="auto"/>
          <w:sz w:val="22"/>
          <w:szCs w:val="22"/>
        </w:rPr>
      </w:pPr>
      <w:bookmarkStart w:id="17" w:name="_Toc520284522"/>
    </w:p>
    <w:p w14:paraId="0CCB2A7E" w14:textId="77777777" w:rsidR="009D0386" w:rsidRDefault="009D0386" w:rsidP="009D0386">
      <w:pPr>
        <w:pStyle w:val="Default"/>
        <w:spacing w:line="360" w:lineRule="auto"/>
        <w:jc w:val="both"/>
        <w:outlineLvl w:val="0"/>
        <w:rPr>
          <w:rFonts w:ascii="Arial" w:hAnsi="Arial" w:cs="Arial"/>
          <w:color w:val="auto"/>
        </w:rPr>
      </w:pPr>
      <w:r w:rsidRPr="00B0118C">
        <w:rPr>
          <w:rFonts w:ascii="Arial" w:hAnsi="Arial" w:cs="Arial"/>
          <w:b/>
          <w:bCs/>
          <w:color w:val="auto"/>
          <w:sz w:val="22"/>
          <w:szCs w:val="22"/>
        </w:rPr>
        <w:t>17. RESCISION DEL CONTRATO</w:t>
      </w:r>
      <w:bookmarkEnd w:id="17"/>
    </w:p>
    <w:p w14:paraId="6929DCA4" w14:textId="77777777" w:rsidR="009D0386"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Administración tendrá el derecho a rescindir unilateralmente el contrato por incumplimiento total o parcial del adjudicatario, con la debida notificación mediante telegrama colacionado con treinta (30) días de antelación, sin derecho a indemnización alguna. Se señala, exclusivamente a vía de ejemplo, </w:t>
      </w:r>
      <w:r>
        <w:rPr>
          <w:rFonts w:ascii="Arial" w:hAnsi="Arial" w:cs="Arial"/>
          <w:color w:val="auto"/>
          <w:sz w:val="22"/>
          <w:szCs w:val="22"/>
        </w:rPr>
        <w:t>el siguiente</w:t>
      </w:r>
      <w:r w:rsidRPr="00B0118C">
        <w:rPr>
          <w:rFonts w:ascii="Arial" w:hAnsi="Arial" w:cs="Arial"/>
          <w:color w:val="auto"/>
          <w:sz w:val="22"/>
          <w:szCs w:val="22"/>
        </w:rPr>
        <w:t xml:space="preserve"> caso</w:t>
      </w:r>
      <w:r>
        <w:rPr>
          <w:rFonts w:ascii="Arial" w:hAnsi="Arial" w:cs="Arial"/>
          <w:color w:val="auto"/>
          <w:sz w:val="22"/>
          <w:szCs w:val="22"/>
        </w:rPr>
        <w:t xml:space="preserve">: </w:t>
      </w:r>
    </w:p>
    <w:p w14:paraId="06027A9D"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sz w:val="22"/>
          <w:szCs w:val="22"/>
        </w:rPr>
        <w:t>La no conformidad manifestada en forma reiterada con la prestación del servicio por no cumplimiento de los niveles de servicios requeridos.</w:t>
      </w:r>
    </w:p>
    <w:p w14:paraId="28269641"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rescisión por incumplimiento del adjudicatario aparejará su responsabilidad por los daños y perjuicios ocasionados a la Administración, la pérdida o ejecución de la garantía de fiel cumplimiento de contrato en concepto de pena y la obligación de abonar las multas correspondientes. </w:t>
      </w:r>
    </w:p>
    <w:p w14:paraId="6B5EFE72"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Lo previsto en el presente numeral se hace extensible a cualquier causal de rescisión que surja de este Pliego.  </w:t>
      </w:r>
    </w:p>
    <w:p w14:paraId="36545C84" w14:textId="77777777" w:rsidR="009D0386" w:rsidRPr="0002508E" w:rsidRDefault="009D0386" w:rsidP="009D0386">
      <w:pPr>
        <w:pStyle w:val="Default"/>
        <w:spacing w:line="276" w:lineRule="auto"/>
        <w:jc w:val="both"/>
        <w:rPr>
          <w:rFonts w:ascii="Arial" w:hAnsi="Arial" w:cs="Arial"/>
          <w:color w:val="auto"/>
        </w:rPr>
      </w:pPr>
    </w:p>
    <w:p w14:paraId="5D6E0C98" w14:textId="77777777" w:rsidR="009D0386" w:rsidRPr="00B0118C" w:rsidRDefault="009D0386" w:rsidP="009D0386">
      <w:pPr>
        <w:pStyle w:val="Default"/>
        <w:spacing w:line="360" w:lineRule="auto"/>
        <w:jc w:val="both"/>
        <w:outlineLvl w:val="0"/>
        <w:rPr>
          <w:rFonts w:ascii="Arial" w:hAnsi="Arial" w:cs="Arial"/>
          <w:color w:val="auto"/>
          <w:sz w:val="22"/>
          <w:szCs w:val="22"/>
        </w:rPr>
      </w:pPr>
      <w:bookmarkStart w:id="18" w:name="_Toc520284523"/>
      <w:r w:rsidRPr="00B0118C">
        <w:rPr>
          <w:rFonts w:ascii="Arial" w:hAnsi="Arial" w:cs="Arial"/>
          <w:b/>
          <w:bCs/>
          <w:color w:val="auto"/>
          <w:sz w:val="22"/>
          <w:szCs w:val="22"/>
        </w:rPr>
        <w:t>18. RESERVA</w:t>
      </w:r>
      <w:bookmarkEnd w:id="18"/>
    </w:p>
    <w:p w14:paraId="61E5F87C"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Administración se reserva la facultad de exigir acumulativamente con el pago de las multas, el resarcimiento de los daños y perjuicios sufridos en razón del incumplimiento y/o rescisión y/o iniciar acciones penales si corresponde, e inscripción en el RUPE de las sanciones impuestas. </w:t>
      </w:r>
    </w:p>
    <w:p w14:paraId="4E7AA202" w14:textId="77777777" w:rsidR="009D0386" w:rsidRPr="0002508E" w:rsidRDefault="009D0386" w:rsidP="009D0386">
      <w:pPr>
        <w:pStyle w:val="Default"/>
        <w:spacing w:line="360" w:lineRule="auto"/>
        <w:jc w:val="both"/>
        <w:rPr>
          <w:rFonts w:ascii="Arial" w:hAnsi="Arial" w:cs="Arial"/>
          <w:b/>
          <w:bCs/>
          <w:color w:val="auto"/>
        </w:rPr>
      </w:pPr>
    </w:p>
    <w:p w14:paraId="51A61552" w14:textId="77777777" w:rsidR="009D0386" w:rsidRPr="00B0118C" w:rsidRDefault="009D0386" w:rsidP="009D0386">
      <w:pPr>
        <w:pStyle w:val="Default"/>
        <w:spacing w:line="360" w:lineRule="auto"/>
        <w:jc w:val="both"/>
        <w:outlineLvl w:val="0"/>
        <w:rPr>
          <w:rFonts w:ascii="Arial" w:hAnsi="Arial" w:cs="Arial"/>
          <w:b/>
          <w:bCs/>
          <w:color w:val="auto"/>
          <w:sz w:val="22"/>
          <w:szCs w:val="22"/>
        </w:rPr>
      </w:pPr>
      <w:bookmarkStart w:id="19" w:name="_Toc520284524"/>
      <w:r w:rsidRPr="00B0118C">
        <w:rPr>
          <w:rFonts w:ascii="Arial" w:hAnsi="Arial" w:cs="Arial"/>
          <w:b/>
          <w:bCs/>
          <w:color w:val="auto"/>
          <w:sz w:val="22"/>
          <w:szCs w:val="22"/>
        </w:rPr>
        <w:t>19. NORMATIVA APLICABLE</w:t>
      </w:r>
      <w:bookmarkEnd w:id="19"/>
    </w:p>
    <w:p w14:paraId="6B8CC886"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Constituye normativa aplicable en el presente llamado: </w:t>
      </w:r>
    </w:p>
    <w:p w14:paraId="12F59F70"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Texto Ordenado de Contabilidad y Administración Financiera del Estado (TOCAF aprobado por Decreto N° 150/012 de 11 de mayo de 2012) y demás normas modificativas, concordantes y complementarias. </w:t>
      </w:r>
    </w:p>
    <w:p w14:paraId="73F24EBF"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Decreto N° 131/014 de 19 de mayo de 2014 (Pliego Único de Bases y Condiciones Generales para los contratos de suministros y servicios no personales), en lo que no se le oponga al presente. </w:t>
      </w:r>
    </w:p>
    <w:p w14:paraId="31C3E508"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Este Pliego de Bases y Condiciones Particulares. </w:t>
      </w:r>
    </w:p>
    <w:p w14:paraId="43363042" w14:textId="59AF49F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50</w:t>
      </w:r>
      <w:r w:rsidR="00520914">
        <w:rPr>
          <w:rFonts w:ascii="Arial" w:hAnsi="Arial" w:cs="Arial"/>
          <w:color w:val="auto"/>
          <w:sz w:val="22"/>
          <w:szCs w:val="22"/>
        </w:rPr>
        <w:t>0/991</w:t>
      </w:r>
      <w:r w:rsidRPr="00B0118C">
        <w:rPr>
          <w:rFonts w:ascii="Arial" w:hAnsi="Arial" w:cs="Arial"/>
          <w:color w:val="auto"/>
          <w:sz w:val="22"/>
          <w:szCs w:val="22"/>
        </w:rPr>
        <w:t xml:space="preserve"> (Procedimiento Administrativo). </w:t>
      </w:r>
    </w:p>
    <w:p w14:paraId="10E63157"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342/999 de 26 de octubre de 1999 (Registro General de Proveedores del Estado).</w:t>
      </w:r>
    </w:p>
    <w:p w14:paraId="69FF9684"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17.060 de 23 de diciembre de 1998 (Uso indebido del poder público, corrupción).</w:t>
      </w:r>
    </w:p>
    <w:p w14:paraId="0D3E43D6"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17.250 de 11 de agosto de 2000 y Decreto N° 244/000 de 23 de agosto de 2000 (Relaciones de Consumo).</w:t>
      </w:r>
    </w:p>
    <w:p w14:paraId="28BD2237"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475/005 de 14 de noviembre de 2005.</w:t>
      </w:r>
    </w:p>
    <w:p w14:paraId="7AD657AB"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18.098 de 12 en enero de 2007 (Empresas que contraten servicios tercerizados con organismos estatales).</w:t>
      </w:r>
    </w:p>
    <w:p w14:paraId="0BEE2419"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Decreto N° 155/013 de 21 de mayo de 2013 (Registro Único de Proveedores del Estado). </w:t>
      </w:r>
    </w:p>
    <w:p w14:paraId="49EB98FD" w14:textId="77777777" w:rsidR="009D0386" w:rsidRPr="00B0118C" w:rsidRDefault="009D0386" w:rsidP="009D0386">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 </w:t>
      </w:r>
      <w:r w:rsidRPr="00B0118C">
        <w:rPr>
          <w:rFonts w:ascii="Arial" w:hAnsi="Arial" w:cs="Arial"/>
          <w:color w:val="auto"/>
          <w:sz w:val="22"/>
          <w:szCs w:val="22"/>
        </w:rPr>
        <w:tab/>
        <w:t>Decreto N° 371/010 de 14 de diciembre de 2010 (MIPYMES).</w:t>
      </w:r>
    </w:p>
    <w:p w14:paraId="6E590DCE" w14:textId="77777777" w:rsidR="009D0386" w:rsidRPr="00B0118C" w:rsidRDefault="009D0386" w:rsidP="009D0386">
      <w:pPr>
        <w:pStyle w:val="Default"/>
        <w:spacing w:line="360"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Demás leyes, decretos y resoluciones aplicables a la materia del presente Pliego. </w:t>
      </w:r>
    </w:p>
    <w:p w14:paraId="69738741" w14:textId="77777777" w:rsidR="009D0386" w:rsidRPr="00B0118C" w:rsidRDefault="009D0386" w:rsidP="009D0386">
      <w:pPr>
        <w:pStyle w:val="Ttulo1"/>
        <w:spacing w:line="360" w:lineRule="auto"/>
        <w:jc w:val="both"/>
        <w:rPr>
          <w:rFonts w:ascii="Arial" w:hAnsi="Arial" w:cs="Arial"/>
          <w:color w:val="auto"/>
          <w:sz w:val="22"/>
          <w:szCs w:val="22"/>
        </w:rPr>
      </w:pPr>
      <w:bookmarkStart w:id="20" w:name="_Toc520284525"/>
      <w:r w:rsidRPr="00B0118C">
        <w:rPr>
          <w:rFonts w:ascii="Arial" w:hAnsi="Arial" w:cs="Arial"/>
          <w:color w:val="auto"/>
          <w:sz w:val="22"/>
          <w:szCs w:val="22"/>
        </w:rPr>
        <w:lastRenderedPageBreak/>
        <w:t>20. EXENCIÓN DE RESPONSABILIDAD</w:t>
      </w:r>
      <w:bookmarkEnd w:id="20"/>
    </w:p>
    <w:p w14:paraId="1018A65A" w14:textId="77777777" w:rsidR="009D0386" w:rsidRDefault="009D0386" w:rsidP="009D0386">
      <w:pPr>
        <w:jc w:val="both"/>
        <w:rPr>
          <w:rFonts w:ascii="Arial" w:eastAsia="Arial" w:hAnsi="Arial" w:cs="Arial"/>
          <w:color w:val="000000"/>
          <w:sz w:val="22"/>
          <w:szCs w:val="22"/>
        </w:rPr>
      </w:pPr>
      <w:r w:rsidRPr="00B0118C">
        <w:rPr>
          <w:rFonts w:ascii="Arial" w:hAnsi="Arial" w:cs="Arial"/>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r w:rsidRPr="00B0118C">
        <w:rPr>
          <w:rFonts w:ascii="Arial" w:eastAsia="Arial" w:hAnsi="Arial" w:cs="Arial"/>
          <w:color w:val="000000"/>
          <w:sz w:val="22"/>
          <w:szCs w:val="22"/>
        </w:rPr>
        <w:br w:type="page"/>
      </w:r>
    </w:p>
    <w:p w14:paraId="1CB28717" w14:textId="77777777" w:rsidR="0077517E" w:rsidRPr="0077517E" w:rsidRDefault="0077517E" w:rsidP="0077517E">
      <w:pPr>
        <w:keepNext w:val="0"/>
        <w:pageBreakBefore/>
        <w:widowControl/>
        <w:autoSpaceDE w:val="0"/>
        <w:autoSpaceDN w:val="0"/>
        <w:adjustRightInd w:val="0"/>
        <w:spacing w:line="276" w:lineRule="auto"/>
        <w:ind w:left="1276"/>
        <w:jc w:val="center"/>
        <w:outlineLvl w:val="0"/>
        <w:rPr>
          <w:rFonts w:ascii="Arial" w:eastAsia="Calibri" w:hAnsi="Arial" w:cs="Arial"/>
          <w:sz w:val="22"/>
          <w:szCs w:val="22"/>
          <w:lang w:val="es-UY" w:eastAsia="en-US"/>
        </w:rPr>
      </w:pPr>
      <w:bookmarkStart w:id="21" w:name="_Toc459209057"/>
      <w:bookmarkStart w:id="22" w:name="_Toc499545498"/>
      <w:bookmarkStart w:id="23" w:name="_Toc520284526"/>
      <w:r w:rsidRPr="0077517E">
        <w:rPr>
          <w:rFonts w:ascii="Arial" w:eastAsia="Calibri" w:hAnsi="Arial" w:cs="Arial"/>
          <w:b/>
          <w:bCs/>
          <w:sz w:val="22"/>
          <w:szCs w:val="22"/>
          <w:lang w:val="es-UY" w:eastAsia="en-US"/>
        </w:rPr>
        <w:lastRenderedPageBreak/>
        <w:t xml:space="preserve">ANEXO I - PRESENTACIÓN DEL OFERENTE                                                               </w:t>
      </w:r>
      <w:bookmarkEnd w:id="21"/>
      <w:bookmarkEnd w:id="22"/>
      <w:bookmarkEnd w:id="23"/>
    </w:p>
    <w:p w14:paraId="07F54045"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66AF5268"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Señores del Ministerio de Industria, Energía y Minería</w:t>
      </w:r>
    </w:p>
    <w:p w14:paraId="6EF95A96"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6F152187"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RAZON SOCIAL DE LA EMPRESA: _____________________________________________________________________</w:t>
      </w:r>
    </w:p>
    <w:p w14:paraId="18B42DC2"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534C2CB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NOMBRE COMERCIAL DE LA EMPRESA: _____________________________________________________________________</w:t>
      </w:r>
    </w:p>
    <w:p w14:paraId="2C5D3085"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0E1B1A56"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RUT: _____________________________ GRUPO/SUB-GRUPO MTSS: __________</w:t>
      </w:r>
    </w:p>
    <w:p w14:paraId="40CE1BA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3E088BCC"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 xml:space="preserve">DOMICILIOS A LOS EFECTOS DE LA PRESENTE LICITACIÓN: </w:t>
      </w:r>
    </w:p>
    <w:p w14:paraId="68E7E3A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23166A7F"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Calle: __________________________________________ N°: __________________</w:t>
      </w:r>
    </w:p>
    <w:p w14:paraId="2E004D46"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5CA146A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Código Postal: ________________________________________________________</w:t>
      </w:r>
    </w:p>
    <w:p w14:paraId="3221494B"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4205920C"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Localidad: ____________________________________________________________</w:t>
      </w:r>
    </w:p>
    <w:p w14:paraId="6AC09AF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7A06EACC"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Domicilio electrónico constituido (e-mail): _________________________________</w:t>
      </w:r>
    </w:p>
    <w:p w14:paraId="766A7CDB"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6E44DB5C"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Teléfonos fijo y móvil: __________________________________________________</w:t>
      </w:r>
    </w:p>
    <w:p w14:paraId="62A057B9"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3C52456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Fax: _________________________________________________________________</w:t>
      </w:r>
    </w:p>
    <w:p w14:paraId="3B3E2BAF"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5B1E9E2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 xml:space="preserve">Declaraciones: </w:t>
      </w:r>
    </w:p>
    <w:p w14:paraId="40A74119"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1. Estar en condiciones legales de contratar con el Estado: _____________________________________________________________________</w:t>
      </w:r>
    </w:p>
    <w:p w14:paraId="6B79359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240AF0E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2. Amparo al régimen de MIPYMES: ______________________________________</w:t>
      </w:r>
    </w:p>
    <w:p w14:paraId="52C977C2"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16042825"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3. Preferencia por industria nacional: ____________________________________</w:t>
      </w:r>
    </w:p>
    <w:p w14:paraId="3884BEA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5793C545"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4. Se compromete a prestar los servicios requeridos y explicitados en la presente Licitación, en un todo de acuerdo al pliego de condiciones que rige este llamado, que declara conocer y aceptar en todos sus artículos y anexos.</w:t>
      </w:r>
    </w:p>
    <w:p w14:paraId="5B03BA69"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39133FE3"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 xml:space="preserve">Fecha: __________________ </w:t>
      </w:r>
    </w:p>
    <w:p w14:paraId="3286B6F7" w14:textId="77777777" w:rsidR="0077517E" w:rsidRPr="0077517E" w:rsidRDefault="0077517E" w:rsidP="0077517E">
      <w:pPr>
        <w:keepNext w:val="0"/>
        <w:widowControl/>
        <w:autoSpaceDE w:val="0"/>
        <w:autoSpaceDN w:val="0"/>
        <w:adjustRightInd w:val="0"/>
        <w:spacing w:line="276" w:lineRule="auto"/>
        <w:ind w:left="2832" w:firstLine="708"/>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Firma: ______________________</w:t>
      </w:r>
    </w:p>
    <w:p w14:paraId="7525F0DA"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4B95D434"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Aclaración (*): ____________________________________________</w:t>
      </w:r>
    </w:p>
    <w:p w14:paraId="4DFAB637"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262D4854"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 Titular de empresa unipersonal, apoderado, representante estatutario, socio administrador u otro (especificar).</w:t>
      </w:r>
    </w:p>
    <w:p w14:paraId="323C8B05"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57AE03C0"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49D2BAC9" w14:textId="77777777" w:rsid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34548949" w14:textId="77777777" w:rsidR="00682B5C" w:rsidRPr="0077517E" w:rsidRDefault="00682B5C"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2A238E50"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r w:rsidRPr="0077517E">
        <w:rPr>
          <w:rFonts w:ascii="Arial" w:eastAsia="Calibri" w:hAnsi="Arial" w:cs="Arial"/>
          <w:b/>
          <w:bCs/>
          <w:sz w:val="22"/>
          <w:szCs w:val="22"/>
          <w:lang w:val="es-UY" w:eastAsia="en-US"/>
        </w:rPr>
        <w:t xml:space="preserve">NOTA: completar y firmar la siguiente declaración jurada. </w:t>
      </w:r>
    </w:p>
    <w:p w14:paraId="31174FE8"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r w:rsidRPr="0077517E">
        <w:rPr>
          <w:rFonts w:ascii="Calibri" w:eastAsia="Calibri" w:hAnsi="Calibri"/>
          <w:noProof/>
          <w:sz w:val="22"/>
          <w:szCs w:val="22"/>
          <w:lang w:val="es-UY" w:eastAsia="es-UY"/>
        </w:rPr>
        <w:lastRenderedPageBreak/>
        <mc:AlternateContent>
          <mc:Choice Requires="wps">
            <w:drawing>
              <wp:anchor distT="0" distB="0" distL="114300" distR="114300" simplePos="0" relativeHeight="251661312" behindDoc="0" locked="0" layoutInCell="1" allowOverlap="1" wp14:anchorId="2B6897EB" wp14:editId="6698DE45">
                <wp:simplePos x="0" y="0"/>
                <wp:positionH relativeFrom="margin">
                  <wp:posOffset>-70485</wp:posOffset>
                </wp:positionH>
                <wp:positionV relativeFrom="paragraph">
                  <wp:posOffset>67945</wp:posOffset>
                </wp:positionV>
                <wp:extent cx="6325870" cy="1590675"/>
                <wp:effectExtent l="0" t="0" r="17780"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1590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6535DD" id="Rectángulo 9" o:spid="_x0000_s1026" style="position:absolute;margin-left:-5.55pt;margin-top:5.35pt;width:498.1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" filled="f" strokecolor="windowText" strokeweight="2pt">
                <v:path arrowok="t"/>
                <w10:wrap anchorx="margin"/>
              </v:rect>
            </w:pict>
          </mc:Fallback>
        </mc:AlternateContent>
      </w:r>
    </w:p>
    <w:p w14:paraId="66613DA3"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r w:rsidRPr="0077517E">
        <w:rPr>
          <w:rFonts w:ascii="Arial" w:eastAsia="Calibri" w:hAnsi="Arial" w:cs="Arial"/>
          <w:b/>
          <w:bCs/>
          <w:sz w:val="22"/>
          <w:szCs w:val="22"/>
          <w:lang w:val="es-UY" w:eastAsia="en-US"/>
        </w:rPr>
        <w:t xml:space="preserve">SOCIEDADES COMERCIALES y otras entidades pluripersonales </w:t>
      </w:r>
    </w:p>
    <w:p w14:paraId="3B86858F"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 xml:space="preserve">Declaración jurada:  </w:t>
      </w:r>
    </w:p>
    <w:p w14:paraId="32BE95A4"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Fecha: _________________________________</w:t>
      </w:r>
    </w:p>
    <w:p w14:paraId="547F947C"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p>
    <w:p w14:paraId="3D704611"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r w:rsidRPr="0077517E">
        <w:rPr>
          <w:rFonts w:ascii="Arial" w:eastAsia="Calibri" w:hAnsi="Arial" w:cs="Arial"/>
          <w:b/>
          <w:bCs/>
          <w:sz w:val="22"/>
          <w:szCs w:val="22"/>
          <w:lang w:val="es-UY" w:eastAsia="en-US"/>
        </w:rPr>
        <w:t xml:space="preserve">Declaro haber firmado la oferta y documentación adjunta en nombre y representación de la empresa ___________________________________________, estando investido al efecto de facultades suficientes, legítimas y vigentes a la fecha. Declaro asimismo que dicha empresa es persona jurídica hábil y vigente. </w:t>
      </w:r>
    </w:p>
    <w:p w14:paraId="173CDF08"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p>
    <w:p w14:paraId="1544FC1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Firma: _________________________________________________</w:t>
      </w:r>
    </w:p>
    <w:p w14:paraId="1288C5F2"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241E8D7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4326AD35"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Aclaración: _____________________________________________</w:t>
      </w:r>
    </w:p>
    <w:p w14:paraId="3DCF97F4"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r w:rsidRPr="0077517E">
        <w:rPr>
          <w:rFonts w:ascii="Calibri" w:eastAsia="Calibri" w:hAnsi="Calibri"/>
          <w:noProof/>
          <w:sz w:val="22"/>
          <w:szCs w:val="22"/>
          <w:lang w:val="es-UY" w:eastAsia="es-UY"/>
        </w:rPr>
        <mc:AlternateContent>
          <mc:Choice Requires="wps">
            <w:drawing>
              <wp:anchor distT="0" distB="0" distL="114300" distR="114300" simplePos="0" relativeHeight="251660288" behindDoc="0" locked="0" layoutInCell="1" allowOverlap="1" wp14:anchorId="1193FD59" wp14:editId="756AF19B">
                <wp:simplePos x="0" y="0"/>
                <wp:positionH relativeFrom="column">
                  <wp:posOffset>-76200</wp:posOffset>
                </wp:positionH>
                <wp:positionV relativeFrom="paragraph">
                  <wp:posOffset>227965</wp:posOffset>
                </wp:positionV>
                <wp:extent cx="6299835" cy="1253490"/>
                <wp:effectExtent l="0" t="0" r="24765" b="2286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534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57132" id="Rectángulo 8" o:spid="_x0000_s1026" style="position:absolute;margin-left:-6pt;margin-top:17.95pt;width:496.05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" filled="f" strokecolor="windowText" strokeweight="2pt">
                <v:path arrowok="t"/>
              </v:rect>
            </w:pict>
          </mc:Fallback>
        </mc:AlternateContent>
      </w:r>
    </w:p>
    <w:p w14:paraId="60055357"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p>
    <w:p w14:paraId="475B196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r w:rsidRPr="0077517E">
        <w:rPr>
          <w:rFonts w:ascii="Arial" w:eastAsia="Calibri" w:hAnsi="Arial" w:cs="Arial"/>
          <w:b/>
          <w:bCs/>
          <w:sz w:val="22"/>
          <w:szCs w:val="22"/>
          <w:lang w:val="es-UY" w:eastAsia="en-US"/>
        </w:rPr>
        <w:t xml:space="preserve">APODERADOS DE EMPRESAS UNIPERSONALES </w:t>
      </w:r>
    </w:p>
    <w:p w14:paraId="0CEB6F39"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Declaración jurada</w:t>
      </w:r>
    </w:p>
    <w:p w14:paraId="3F16A484"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Fecha: _________________________________</w:t>
      </w:r>
    </w:p>
    <w:p w14:paraId="62B22861"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r w:rsidRPr="0077517E">
        <w:rPr>
          <w:rFonts w:ascii="Arial" w:eastAsia="Calibri" w:hAnsi="Arial" w:cs="Arial"/>
          <w:b/>
          <w:bCs/>
          <w:sz w:val="22"/>
          <w:szCs w:val="22"/>
          <w:lang w:val="es-UY" w:eastAsia="en-US"/>
        </w:rPr>
        <w:t>Declaro haber firmado la oferta y documentación adjunta, en nombre y representación de la empresa ___________________________, estando investido al efecto, de facultades suficientes, legítimas y vigentes a la fecha.</w:t>
      </w:r>
    </w:p>
    <w:p w14:paraId="67C3F591"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p>
    <w:p w14:paraId="63B09DD4"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p>
    <w:p w14:paraId="09A3CC46"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Firma: _________________________________________________</w:t>
      </w:r>
    </w:p>
    <w:p w14:paraId="6BE04F60"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17520DB0"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41E3DD7F"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Aclaración: _____________________________________________</w:t>
      </w:r>
    </w:p>
    <w:p w14:paraId="5DB532B1"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0B669D2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r w:rsidRPr="0077517E">
        <w:rPr>
          <w:rFonts w:ascii="Calibri" w:eastAsia="Calibri" w:hAnsi="Calibri"/>
          <w:noProof/>
          <w:sz w:val="22"/>
          <w:szCs w:val="22"/>
          <w:lang w:val="es-UY" w:eastAsia="es-UY"/>
        </w:rPr>
        <mc:AlternateContent>
          <mc:Choice Requires="wps">
            <w:drawing>
              <wp:anchor distT="0" distB="0" distL="114300" distR="114300" simplePos="0" relativeHeight="251659264" behindDoc="0" locked="0" layoutInCell="1" allowOverlap="1" wp14:anchorId="22C3C2F1" wp14:editId="4B1A664D">
                <wp:simplePos x="0" y="0"/>
                <wp:positionH relativeFrom="column">
                  <wp:posOffset>-80010</wp:posOffset>
                </wp:positionH>
                <wp:positionV relativeFrom="paragraph">
                  <wp:posOffset>202565</wp:posOffset>
                </wp:positionV>
                <wp:extent cx="6284595" cy="1116965"/>
                <wp:effectExtent l="0" t="0" r="20955" b="260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4595" cy="11169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1EEFB" id="Rectángulo 7" o:spid="_x0000_s1026" style="position:absolute;margin-left:-6.3pt;margin-top:15.95pt;width:494.85pt;height: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" filled="f" strokecolor="windowText" strokeweight="2pt">
                <v:path arrowok="t"/>
              </v:rect>
            </w:pict>
          </mc:Fallback>
        </mc:AlternateContent>
      </w:r>
    </w:p>
    <w:p w14:paraId="7AA877E6"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p>
    <w:p w14:paraId="2C0CA75F"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r w:rsidRPr="0077517E">
        <w:rPr>
          <w:rFonts w:ascii="Arial" w:eastAsia="Calibri" w:hAnsi="Arial" w:cs="Arial"/>
          <w:b/>
          <w:bCs/>
          <w:sz w:val="22"/>
          <w:szCs w:val="22"/>
          <w:lang w:val="es-UY" w:eastAsia="en-US"/>
        </w:rPr>
        <w:t xml:space="preserve">TITULARES DE EMPRESAS UNIPERSONALES </w:t>
      </w:r>
    </w:p>
    <w:p w14:paraId="7C7DA1E1"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Declaración jurada</w:t>
      </w:r>
    </w:p>
    <w:p w14:paraId="7AB821AE"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Fecha: _________________________________________________</w:t>
      </w:r>
    </w:p>
    <w:p w14:paraId="04F1149D"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b/>
          <w:bCs/>
          <w:sz w:val="22"/>
          <w:szCs w:val="22"/>
          <w:lang w:val="es-UY" w:eastAsia="en-US"/>
        </w:rPr>
      </w:pPr>
      <w:r w:rsidRPr="0077517E">
        <w:rPr>
          <w:rFonts w:ascii="Arial" w:eastAsia="Calibri" w:hAnsi="Arial" w:cs="Arial"/>
          <w:b/>
          <w:bCs/>
          <w:sz w:val="22"/>
          <w:szCs w:val="22"/>
          <w:lang w:val="es-UY" w:eastAsia="en-US"/>
        </w:rPr>
        <w:t>Declaro haber firmado la oferta y documentación adjunta, en mi calidad de único titular de la empresa ______________________________________</w:t>
      </w:r>
    </w:p>
    <w:p w14:paraId="2FB07D03"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p>
    <w:p w14:paraId="20B8BBDA" w14:textId="77777777" w:rsidR="0077517E" w:rsidRPr="0077517E" w:rsidRDefault="0077517E" w:rsidP="0077517E">
      <w:pPr>
        <w:keepNext w:val="0"/>
        <w:widowControl/>
        <w:autoSpaceDE w:val="0"/>
        <w:autoSpaceDN w:val="0"/>
        <w:adjustRightInd w:val="0"/>
        <w:spacing w:line="276" w:lineRule="auto"/>
        <w:jc w:val="both"/>
        <w:rPr>
          <w:rFonts w:ascii="Arial" w:eastAsia="Calibri" w:hAnsi="Arial" w:cs="Arial"/>
          <w:sz w:val="22"/>
          <w:szCs w:val="22"/>
          <w:lang w:val="es-UY" w:eastAsia="en-US"/>
        </w:rPr>
      </w:pPr>
    </w:p>
    <w:p w14:paraId="6A0B52EA" w14:textId="77777777" w:rsid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4F78C81A" w14:textId="77777777" w:rsid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r w:rsidRPr="0077517E">
        <w:rPr>
          <w:rFonts w:ascii="Arial" w:eastAsia="Calibri" w:hAnsi="Arial" w:cs="Arial"/>
          <w:b/>
          <w:sz w:val="22"/>
          <w:szCs w:val="22"/>
          <w:lang w:val="es-UY" w:eastAsia="en-US"/>
        </w:rPr>
        <w:t>Firma: __________________________________________________</w:t>
      </w:r>
    </w:p>
    <w:p w14:paraId="67A17944" w14:textId="77777777" w:rsid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38B60E27" w14:textId="77777777" w:rsid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3B49CFF3" w14:textId="77777777" w:rsidR="0077517E" w:rsidRDefault="0077517E" w:rsidP="0077517E">
      <w:pPr>
        <w:keepNext w:val="0"/>
        <w:widowControl/>
        <w:autoSpaceDE w:val="0"/>
        <w:autoSpaceDN w:val="0"/>
        <w:adjustRightInd w:val="0"/>
        <w:spacing w:line="276" w:lineRule="auto"/>
        <w:jc w:val="both"/>
        <w:rPr>
          <w:rFonts w:ascii="Arial" w:eastAsia="Calibri" w:hAnsi="Arial" w:cs="Arial"/>
          <w:b/>
          <w:sz w:val="22"/>
          <w:szCs w:val="22"/>
          <w:lang w:val="es-UY" w:eastAsia="en-US"/>
        </w:rPr>
      </w:pPr>
    </w:p>
    <w:p w14:paraId="19BB78B1" w14:textId="77777777" w:rsidR="0077517E" w:rsidRPr="0077517E" w:rsidRDefault="0077517E" w:rsidP="0077517E">
      <w:pPr>
        <w:keepNext w:val="0"/>
        <w:widowControl/>
        <w:autoSpaceDE w:val="0"/>
        <w:autoSpaceDN w:val="0"/>
        <w:adjustRightInd w:val="0"/>
        <w:spacing w:line="276" w:lineRule="auto"/>
        <w:jc w:val="both"/>
        <w:rPr>
          <w:rFonts w:ascii="Arial" w:eastAsia="Arial" w:hAnsi="Arial" w:cs="Arial"/>
          <w:b/>
          <w:color w:val="000000"/>
          <w:sz w:val="22"/>
          <w:szCs w:val="22"/>
          <w:lang w:val="es-UY"/>
        </w:rPr>
      </w:pPr>
      <w:r w:rsidRPr="0077517E">
        <w:rPr>
          <w:rFonts w:ascii="Arial" w:eastAsia="Calibri" w:hAnsi="Arial" w:cs="Arial"/>
          <w:b/>
          <w:sz w:val="22"/>
          <w:szCs w:val="22"/>
          <w:lang w:eastAsia="en-US"/>
        </w:rPr>
        <w:t>Aclaración: ______________________________________________</w:t>
      </w:r>
    </w:p>
    <w:p w14:paraId="4811E8DB" w14:textId="77777777" w:rsidR="0092647D" w:rsidRDefault="0092647D" w:rsidP="0077517E">
      <w:pPr>
        <w:jc w:val="center"/>
        <w:rPr>
          <w:rFonts w:ascii="Arial" w:eastAsia="Arial" w:hAnsi="Arial" w:cs="Arial"/>
          <w:b/>
          <w:color w:val="000000"/>
          <w:sz w:val="22"/>
          <w:szCs w:val="22"/>
          <w:lang w:val="es-UY"/>
        </w:rPr>
      </w:pPr>
      <w:bookmarkStart w:id="24" w:name="_Toc489535192"/>
      <w:r w:rsidRPr="0092647D">
        <w:rPr>
          <w:rFonts w:ascii="Arial" w:eastAsia="Arial" w:hAnsi="Arial" w:cs="Arial"/>
          <w:b/>
          <w:bCs/>
          <w:color w:val="000000"/>
          <w:sz w:val="22"/>
          <w:szCs w:val="22"/>
          <w:lang w:val="es-UY"/>
        </w:rPr>
        <w:lastRenderedPageBreak/>
        <w:t xml:space="preserve">ANEXO II - </w:t>
      </w:r>
      <w:r w:rsidRPr="0092647D">
        <w:rPr>
          <w:rFonts w:ascii="Arial" w:eastAsia="Arial" w:hAnsi="Arial" w:cs="Arial"/>
          <w:b/>
          <w:color w:val="000000"/>
          <w:sz w:val="22"/>
          <w:szCs w:val="22"/>
          <w:lang w:val="es-UY"/>
        </w:rPr>
        <w:t>PLANILLA PARA COTIZAR POR EL OFERENTE</w:t>
      </w:r>
      <w:bookmarkEnd w:id="24"/>
    </w:p>
    <w:p w14:paraId="721EE921" w14:textId="77777777" w:rsidR="0077517E" w:rsidRPr="0092647D" w:rsidRDefault="0077517E" w:rsidP="0077517E">
      <w:pPr>
        <w:jc w:val="center"/>
        <w:rPr>
          <w:rFonts w:ascii="Arial" w:eastAsia="Arial" w:hAnsi="Arial" w:cs="Arial"/>
          <w:b/>
          <w:color w:val="000000"/>
          <w:sz w:val="22"/>
          <w:szCs w:val="22"/>
          <w:lang w:val="es-UY"/>
        </w:rPr>
      </w:pPr>
    </w:p>
    <w:tbl>
      <w:tblPr>
        <w:tblW w:w="0" w:type="auto"/>
        <w:tblInd w:w="-8" w:type="dxa"/>
        <w:tblLayout w:type="fixed"/>
        <w:tblLook w:val="0000" w:firstRow="0" w:lastRow="0" w:firstColumn="0" w:lastColumn="0" w:noHBand="0" w:noVBand="0"/>
      </w:tblPr>
      <w:tblGrid>
        <w:gridCol w:w="1229"/>
        <w:gridCol w:w="1599"/>
        <w:gridCol w:w="1280"/>
        <w:gridCol w:w="1697"/>
        <w:gridCol w:w="1417"/>
        <w:gridCol w:w="1642"/>
      </w:tblGrid>
      <w:tr w:rsidR="0092647D" w:rsidRPr="0092647D" w14:paraId="69995736" w14:textId="77777777" w:rsidTr="005A7FDF">
        <w:trPr>
          <w:trHeight w:val="789"/>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9372"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Ítem</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4B03"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Precio U$S sin impuestos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A0AF"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Cantidad</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A374F"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Precio U$S impuestos incluidos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B474"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Plazo de Entrega</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AF6A"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Plazo Garantía</w:t>
            </w:r>
          </w:p>
        </w:tc>
      </w:tr>
      <w:tr w:rsidR="0092647D" w:rsidRPr="0092647D" w14:paraId="09EE13C9" w14:textId="77777777" w:rsidTr="005A7FDF">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AD6D" w14:textId="77777777" w:rsidR="0092647D" w:rsidRPr="0092647D" w:rsidRDefault="0092647D" w:rsidP="0092647D">
            <w:pPr>
              <w:jc w:val="both"/>
              <w:rPr>
                <w:rFonts w:ascii="Arial" w:eastAsia="Arial" w:hAnsi="Arial" w:cs="Arial"/>
                <w:color w:val="000000"/>
                <w:sz w:val="22"/>
                <w:szCs w:val="22"/>
              </w:rPr>
            </w:pPr>
            <w:r>
              <w:rPr>
                <w:rFonts w:ascii="Arial" w:eastAsia="Arial" w:hAnsi="Arial" w:cs="Arial"/>
                <w:color w:val="000000"/>
                <w:sz w:val="22"/>
                <w:szCs w:val="22"/>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0FD46" w14:textId="77777777" w:rsidR="0092647D" w:rsidRPr="0092647D" w:rsidRDefault="0092647D"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135A2" w14:textId="77777777" w:rsidR="0092647D" w:rsidRPr="0092647D" w:rsidRDefault="0092647D"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3B1B" w14:textId="77777777" w:rsidR="0092647D" w:rsidRPr="0092647D" w:rsidRDefault="0092647D"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3793" w14:textId="77777777" w:rsidR="0092647D" w:rsidRPr="0092647D" w:rsidRDefault="0092647D"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E828" w14:textId="77777777" w:rsidR="0092647D" w:rsidRPr="0092647D" w:rsidRDefault="0092647D" w:rsidP="0092647D">
            <w:pPr>
              <w:jc w:val="both"/>
              <w:rPr>
                <w:rFonts w:ascii="Arial" w:eastAsia="Arial" w:hAnsi="Arial" w:cs="Arial"/>
                <w:color w:val="000000"/>
                <w:sz w:val="22"/>
                <w:szCs w:val="22"/>
              </w:rPr>
            </w:pPr>
          </w:p>
        </w:tc>
      </w:tr>
    </w:tbl>
    <w:p w14:paraId="0D79C3EA" w14:textId="77777777" w:rsidR="0092647D" w:rsidRPr="0092647D" w:rsidRDefault="0092647D" w:rsidP="0092647D">
      <w:pPr>
        <w:jc w:val="both"/>
        <w:rPr>
          <w:rFonts w:ascii="Arial" w:eastAsia="Arial" w:hAnsi="Arial" w:cs="Arial"/>
          <w:color w:val="000000"/>
          <w:sz w:val="22"/>
          <w:szCs w:val="22"/>
        </w:rPr>
      </w:pPr>
    </w:p>
    <w:p w14:paraId="135D9CD6" w14:textId="77777777" w:rsidR="0092647D" w:rsidRPr="0092647D" w:rsidRDefault="0092647D" w:rsidP="0092647D">
      <w:pPr>
        <w:jc w:val="both"/>
        <w:rPr>
          <w:rFonts w:ascii="Arial" w:eastAsia="Arial" w:hAnsi="Arial" w:cs="Arial"/>
          <w:color w:val="000000"/>
          <w:sz w:val="22"/>
          <w:szCs w:val="22"/>
        </w:rPr>
      </w:pPr>
    </w:p>
    <w:p w14:paraId="09567365" w14:textId="77777777" w:rsidR="0092647D" w:rsidRPr="0092647D" w:rsidRDefault="0092647D" w:rsidP="0092647D">
      <w:pPr>
        <w:jc w:val="both"/>
        <w:rPr>
          <w:rFonts w:ascii="Arial" w:eastAsia="Arial" w:hAnsi="Arial" w:cs="Arial"/>
          <w:color w:val="000000"/>
          <w:sz w:val="22"/>
          <w:szCs w:val="22"/>
        </w:rPr>
      </w:pPr>
    </w:p>
    <w:p w14:paraId="54959F44"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color w:val="000000"/>
          <w:sz w:val="22"/>
          <w:szCs w:val="22"/>
        </w:rPr>
        <w:t>Especificar Condiciones de la Garantía de los Ítems ofertados:</w:t>
      </w:r>
    </w:p>
    <w:tbl>
      <w:tblPr>
        <w:tblW w:w="0" w:type="auto"/>
        <w:tblInd w:w="-8" w:type="dxa"/>
        <w:tblLayout w:type="fixed"/>
        <w:tblLook w:val="0000" w:firstRow="0" w:lastRow="0" w:firstColumn="0" w:lastColumn="0" w:noHBand="0" w:noVBand="0"/>
      </w:tblPr>
      <w:tblGrid>
        <w:gridCol w:w="1575"/>
        <w:gridCol w:w="6179"/>
      </w:tblGrid>
      <w:tr w:rsidR="0092647D" w:rsidRPr="0092647D" w14:paraId="4AACAB1E" w14:textId="77777777" w:rsidTr="005A7FDF">
        <w:trPr>
          <w:trHeight w:val="566"/>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C8AD" w14:textId="77777777"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Ítem</w:t>
            </w: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4793"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Condiciones de la Garantía</w:t>
            </w:r>
          </w:p>
        </w:tc>
      </w:tr>
      <w:tr w:rsidR="0092647D" w:rsidRPr="0092647D" w14:paraId="5FBE55C5" w14:textId="77777777" w:rsidTr="005A7FDF">
        <w:trPr>
          <w:trHeight w:val="695"/>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7A22" w14:textId="77777777" w:rsidR="0092647D" w:rsidRPr="0092647D" w:rsidRDefault="00975B63" w:rsidP="0092647D">
            <w:pPr>
              <w:jc w:val="both"/>
              <w:rPr>
                <w:rFonts w:ascii="Arial" w:eastAsia="Arial" w:hAnsi="Arial" w:cs="Arial"/>
                <w:color w:val="000000"/>
                <w:sz w:val="22"/>
                <w:szCs w:val="22"/>
              </w:rPr>
            </w:pPr>
            <w:r>
              <w:rPr>
                <w:rFonts w:ascii="Arial" w:eastAsia="Arial" w:hAnsi="Arial" w:cs="Arial"/>
                <w:color w:val="000000"/>
                <w:sz w:val="22"/>
                <w:szCs w:val="22"/>
              </w:rPr>
              <w:t>1</w:t>
            </w: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5B32" w14:textId="77777777" w:rsidR="0092647D" w:rsidRPr="0092647D" w:rsidRDefault="0092647D" w:rsidP="0092647D">
            <w:pPr>
              <w:jc w:val="both"/>
              <w:rPr>
                <w:rFonts w:ascii="Arial" w:eastAsia="Arial" w:hAnsi="Arial" w:cs="Arial"/>
                <w:color w:val="000000"/>
                <w:sz w:val="22"/>
                <w:szCs w:val="22"/>
              </w:rPr>
            </w:pPr>
          </w:p>
        </w:tc>
      </w:tr>
    </w:tbl>
    <w:p w14:paraId="23ED40C8" w14:textId="77777777" w:rsidR="0092647D" w:rsidRPr="0092647D" w:rsidRDefault="0092647D" w:rsidP="0092647D">
      <w:pPr>
        <w:jc w:val="both"/>
        <w:rPr>
          <w:rFonts w:ascii="Arial" w:eastAsia="Arial" w:hAnsi="Arial" w:cs="Arial"/>
          <w:color w:val="000000"/>
          <w:sz w:val="22"/>
          <w:szCs w:val="22"/>
        </w:rPr>
      </w:pPr>
    </w:p>
    <w:p w14:paraId="5FDB06CE" w14:textId="77777777" w:rsidR="0092647D" w:rsidRPr="0092647D" w:rsidRDefault="0092647D" w:rsidP="0092647D">
      <w:pPr>
        <w:jc w:val="both"/>
        <w:rPr>
          <w:rFonts w:ascii="Arial" w:eastAsia="Arial" w:hAnsi="Arial" w:cs="Arial"/>
          <w:color w:val="000000"/>
          <w:sz w:val="22"/>
          <w:szCs w:val="22"/>
        </w:rPr>
      </w:pPr>
    </w:p>
    <w:p w14:paraId="70A0F7FB"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oferta cuenta con sus respectivos manuales o detalle de características técnicas y recomendaciones de uso, redactados en español y/o inglés”</w:t>
      </w:r>
    </w:p>
    <w:p w14:paraId="6A564EA5" w14:textId="77777777" w:rsidR="00682B5C" w:rsidRDefault="00682B5C" w:rsidP="0092647D">
      <w:pPr>
        <w:jc w:val="both"/>
        <w:rPr>
          <w:rFonts w:ascii="Arial" w:eastAsia="Arial" w:hAnsi="Arial" w:cs="Arial"/>
          <w:color w:val="000000"/>
          <w:sz w:val="22"/>
          <w:szCs w:val="22"/>
        </w:rPr>
      </w:pPr>
    </w:p>
    <w:p w14:paraId="0C13F087" w14:textId="77777777"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Marcar si corresponde: </w:t>
      </w:r>
    </w:p>
    <w:p w14:paraId="73FF23B0" w14:textId="77777777" w:rsidR="0092647D" w:rsidRPr="0092647D" w:rsidRDefault="0092647D" w:rsidP="0092647D">
      <w:pPr>
        <w:jc w:val="both"/>
        <w:rPr>
          <w:rFonts w:ascii="Arial" w:eastAsia="Arial" w:hAnsi="Arial" w:cs="Arial"/>
          <w:color w:val="000000"/>
          <w:sz w:val="22"/>
          <w:szCs w:val="22"/>
        </w:rPr>
      </w:pPr>
    </w:p>
    <w:tbl>
      <w:tblPr>
        <w:tblpPr w:leftFromText="141" w:rightFromText="141" w:vertAnchor="text" w:horzAnchor="page" w:tblpX="4366" w:tblpY="32"/>
        <w:tblW w:w="0" w:type="auto"/>
        <w:tblLayout w:type="fixed"/>
        <w:tblLook w:val="0000" w:firstRow="0" w:lastRow="0" w:firstColumn="0" w:lastColumn="0" w:noHBand="0" w:noVBand="0"/>
      </w:tblPr>
      <w:tblGrid>
        <w:gridCol w:w="1071"/>
        <w:gridCol w:w="1071"/>
      </w:tblGrid>
      <w:tr w:rsidR="00682B5C" w:rsidRPr="0092647D" w14:paraId="31343A10" w14:textId="77777777" w:rsidTr="00682B5C">
        <w:trPr>
          <w:trHeight w:val="69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FD11" w14:textId="77777777" w:rsidR="00682B5C" w:rsidRPr="0092647D" w:rsidRDefault="00682B5C" w:rsidP="00682B5C">
            <w:pPr>
              <w:jc w:val="both"/>
              <w:rPr>
                <w:rFonts w:ascii="Arial" w:eastAsia="Arial" w:hAnsi="Arial" w:cs="Arial"/>
                <w:color w:val="000000"/>
                <w:sz w:val="22"/>
                <w:szCs w:val="22"/>
              </w:rPr>
            </w:pPr>
            <w:r w:rsidRPr="0092647D">
              <w:rPr>
                <w:rFonts w:ascii="Arial" w:eastAsia="Arial" w:hAnsi="Arial" w:cs="Arial"/>
                <w:color w:val="000000"/>
                <w:sz w:val="22"/>
                <w:szCs w:val="22"/>
              </w:rPr>
              <w:t>SI</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13ED4" w14:textId="77777777" w:rsidR="00682B5C" w:rsidRPr="0092647D" w:rsidRDefault="00682B5C" w:rsidP="00682B5C">
            <w:pPr>
              <w:jc w:val="both"/>
              <w:rPr>
                <w:rFonts w:ascii="Arial" w:eastAsia="Arial" w:hAnsi="Arial" w:cs="Arial"/>
                <w:color w:val="000000"/>
                <w:sz w:val="22"/>
                <w:szCs w:val="22"/>
              </w:rPr>
            </w:pPr>
            <w:r w:rsidRPr="0092647D">
              <w:rPr>
                <w:rFonts w:ascii="Arial" w:eastAsia="Arial" w:hAnsi="Arial" w:cs="Arial"/>
                <w:color w:val="000000"/>
                <w:sz w:val="22"/>
                <w:szCs w:val="22"/>
              </w:rPr>
              <w:t>NO</w:t>
            </w:r>
          </w:p>
        </w:tc>
      </w:tr>
    </w:tbl>
    <w:p w14:paraId="3BA432A2" w14:textId="77777777" w:rsidR="0092647D" w:rsidRPr="0092647D" w:rsidRDefault="0092647D" w:rsidP="0092647D">
      <w:pPr>
        <w:jc w:val="both"/>
        <w:rPr>
          <w:rFonts w:ascii="Arial" w:eastAsia="Arial" w:hAnsi="Arial" w:cs="Arial"/>
          <w:color w:val="000000"/>
          <w:sz w:val="22"/>
          <w:szCs w:val="22"/>
        </w:rPr>
      </w:pPr>
    </w:p>
    <w:p w14:paraId="25373AE2" w14:textId="77777777" w:rsidR="0092647D" w:rsidRPr="0092647D" w:rsidRDefault="0092647D" w:rsidP="0092647D">
      <w:pPr>
        <w:jc w:val="both"/>
        <w:rPr>
          <w:rFonts w:ascii="Arial" w:eastAsia="Arial" w:hAnsi="Arial" w:cs="Arial"/>
          <w:color w:val="000000"/>
          <w:sz w:val="22"/>
          <w:szCs w:val="22"/>
        </w:rPr>
      </w:pPr>
    </w:p>
    <w:p w14:paraId="52DAB542" w14:textId="77777777" w:rsidR="004760AA" w:rsidRDefault="004760AA" w:rsidP="002A4A51">
      <w:pPr>
        <w:jc w:val="both"/>
        <w:rPr>
          <w:rFonts w:ascii="Arial" w:eastAsia="Arial" w:hAnsi="Arial" w:cs="Arial"/>
          <w:color w:val="000000"/>
          <w:sz w:val="22"/>
          <w:szCs w:val="22"/>
        </w:rPr>
      </w:pPr>
    </w:p>
    <w:sectPr w:rsidR="004760AA">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name w:val="WWNum8"/>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00000005"/>
    <w:name w:val="WWNum43"/>
    <w:lvl w:ilvl="0">
      <w:start w:val="1"/>
      <w:numFmt w:val="low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6"/>
    <w:multiLevelType w:val="multilevel"/>
    <w:tmpl w:val="B0DA2EF8"/>
    <w:name w:val="WWNum4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D641C18"/>
    <w:multiLevelType w:val="hybridMultilevel"/>
    <w:tmpl w:val="9F10AC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D453F00"/>
    <w:multiLevelType w:val="hybridMultilevel"/>
    <w:tmpl w:val="68C27070"/>
    <w:lvl w:ilvl="0" w:tplc="C35878F8">
      <w:start w:val="6"/>
      <w:numFmt w:val="bullet"/>
      <w:lvlText w:val="-"/>
      <w:lvlJc w:val="left"/>
      <w:pPr>
        <w:ind w:left="2629"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7A7D5523"/>
    <w:multiLevelType w:val="multilevel"/>
    <w:tmpl w:val="C0728F6C"/>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A"/>
    <w:rsid w:val="002460BC"/>
    <w:rsid w:val="002A4A51"/>
    <w:rsid w:val="004760AA"/>
    <w:rsid w:val="0050314D"/>
    <w:rsid w:val="00520914"/>
    <w:rsid w:val="00682B5C"/>
    <w:rsid w:val="00756797"/>
    <w:rsid w:val="0077517E"/>
    <w:rsid w:val="0092647D"/>
    <w:rsid w:val="00975B63"/>
    <w:rsid w:val="009D0386"/>
    <w:rsid w:val="009E41A0"/>
    <w:rsid w:val="00A32FF8"/>
    <w:rsid w:val="00AF00E7"/>
    <w:rsid w:val="00BC2A81"/>
    <w:rsid w:val="00C74E83"/>
    <w:rsid w:val="00CC2DD5"/>
    <w:rsid w:val="00E90D79"/>
    <w:rsid w:val="00EA67E1"/>
    <w:rsid w:val="00EB5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FEC9"/>
  <w15:docId w15:val="{AEBECE0E-F5A2-4CF0-9267-6FBC9D5C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pPr>
        <w:keepNext/>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Lines/>
      <w:widowControl/>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Lines/>
      <w:widowControl/>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Lines/>
      <w:widowControl/>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Lines/>
      <w:widowControl/>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Lines/>
      <w:widowControl/>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08" w:type="dxa"/>
      </w:tblCellMar>
    </w:tblPr>
  </w:style>
  <w:style w:type="character" w:styleId="Hipervnculo">
    <w:name w:val="Hyperlink"/>
    <w:basedOn w:val="Fuentedeprrafopredeter"/>
    <w:uiPriority w:val="99"/>
    <w:unhideWhenUsed/>
    <w:rsid w:val="0092647D"/>
    <w:rPr>
      <w:color w:val="0000FF" w:themeColor="hyperlink"/>
      <w:u w:val="single"/>
    </w:rPr>
  </w:style>
  <w:style w:type="paragraph" w:customStyle="1" w:styleId="Default">
    <w:name w:val="Default"/>
    <w:rsid w:val="00EB5CBE"/>
    <w:pPr>
      <w:keepNext w:val="0"/>
      <w:widowControl/>
      <w:autoSpaceDE w:val="0"/>
      <w:autoSpaceDN w:val="0"/>
      <w:adjustRightInd w:val="0"/>
    </w:pPr>
    <w:rPr>
      <w:rFonts w:ascii="Tahoma" w:eastAsia="Calibri" w:hAnsi="Tahoma" w:cs="Tahoma"/>
      <w:color w:val="000000"/>
      <w:lang w:val="es-UY" w:eastAsia="en-US"/>
    </w:rPr>
  </w:style>
  <w:style w:type="paragraph" w:styleId="Prrafodelista">
    <w:name w:val="List Paragraph"/>
    <w:basedOn w:val="Normal"/>
    <w:uiPriority w:val="34"/>
    <w:qFormat/>
    <w:rsid w:val="00EB5CBE"/>
    <w:pPr>
      <w:ind w:left="720"/>
      <w:contextualSpacing/>
    </w:pPr>
  </w:style>
  <w:style w:type="character" w:styleId="Refdecomentario">
    <w:name w:val="annotation reference"/>
    <w:basedOn w:val="Fuentedeprrafopredeter"/>
    <w:uiPriority w:val="99"/>
    <w:semiHidden/>
    <w:unhideWhenUsed/>
    <w:rsid w:val="00CC2DD5"/>
    <w:rPr>
      <w:sz w:val="16"/>
      <w:szCs w:val="16"/>
    </w:rPr>
  </w:style>
  <w:style w:type="paragraph" w:styleId="Textocomentario">
    <w:name w:val="annotation text"/>
    <w:basedOn w:val="Normal"/>
    <w:link w:val="TextocomentarioCar"/>
    <w:uiPriority w:val="99"/>
    <w:semiHidden/>
    <w:unhideWhenUsed/>
    <w:rsid w:val="00CC2DD5"/>
    <w:rPr>
      <w:sz w:val="20"/>
      <w:szCs w:val="20"/>
    </w:rPr>
  </w:style>
  <w:style w:type="character" w:customStyle="1" w:styleId="TextocomentarioCar">
    <w:name w:val="Texto comentario Car"/>
    <w:basedOn w:val="Fuentedeprrafopredeter"/>
    <w:link w:val="Textocomentario"/>
    <w:uiPriority w:val="99"/>
    <w:semiHidden/>
    <w:rsid w:val="00CC2DD5"/>
    <w:rPr>
      <w:sz w:val="20"/>
      <w:szCs w:val="20"/>
    </w:rPr>
  </w:style>
  <w:style w:type="paragraph" w:styleId="Asuntodelcomentario">
    <w:name w:val="annotation subject"/>
    <w:basedOn w:val="Textocomentario"/>
    <w:next w:val="Textocomentario"/>
    <w:link w:val="AsuntodelcomentarioCar"/>
    <w:uiPriority w:val="99"/>
    <w:semiHidden/>
    <w:unhideWhenUsed/>
    <w:rsid w:val="00CC2DD5"/>
    <w:rPr>
      <w:b/>
      <w:bCs/>
    </w:rPr>
  </w:style>
  <w:style w:type="character" w:customStyle="1" w:styleId="AsuntodelcomentarioCar">
    <w:name w:val="Asunto del comentario Car"/>
    <w:basedOn w:val="TextocomentarioCar"/>
    <w:link w:val="Asuntodelcomentario"/>
    <w:uiPriority w:val="99"/>
    <w:semiHidden/>
    <w:rsid w:val="00CC2DD5"/>
    <w:rPr>
      <w:b/>
      <w:bCs/>
      <w:sz w:val="20"/>
      <w:szCs w:val="20"/>
    </w:rPr>
  </w:style>
  <w:style w:type="paragraph" w:styleId="Textodeglobo">
    <w:name w:val="Balloon Text"/>
    <w:basedOn w:val="Normal"/>
    <w:link w:val="TextodegloboCar"/>
    <w:uiPriority w:val="99"/>
    <w:semiHidden/>
    <w:unhideWhenUsed/>
    <w:rsid w:val="00CC2DD5"/>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eedur&#237;a@miem.gub.uy" TargetMode="External"/><Relationship Id="rId5" Type="http://schemas.openxmlformats.org/officeDocument/2006/relationships/hyperlink" Target="mailto:proveedur&#237;a@miem.gub.u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4069</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Liberman</dc:creator>
  <cp:lastModifiedBy>Gustavo Medina</cp:lastModifiedBy>
  <cp:revision>2</cp:revision>
  <dcterms:created xsi:type="dcterms:W3CDTF">2018-09-18T18:04:00Z</dcterms:created>
  <dcterms:modified xsi:type="dcterms:W3CDTF">2018-09-18T18:04:00Z</dcterms:modified>
</cp:coreProperties>
</file>