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EEB8BE7" w14:textId="07E3FFEE" w:rsidR="00BC3689" w:rsidRPr="001151A7" w:rsidRDefault="003827A9" w:rsidP="001151A7">
      <w:pPr>
        <w:pStyle w:val="Sinespaciado"/>
      </w:pPr>
      <w:bookmarkStart w:id="0" w:name="_Toc340671826"/>
      <w:r>
        <w:t xml:space="preserve"> </w:t>
      </w:r>
    </w:p>
    <w:tbl>
      <w:tblPr>
        <w:tblW w:w="0" w:type="auto"/>
        <w:tblInd w:w="-106" w:type="dxa"/>
        <w:tblLook w:val="01E0" w:firstRow="1" w:lastRow="1" w:firstColumn="1" w:lastColumn="1" w:noHBand="0" w:noVBand="0"/>
      </w:tblPr>
      <w:tblGrid>
        <w:gridCol w:w="2236"/>
        <w:gridCol w:w="6357"/>
      </w:tblGrid>
      <w:tr w:rsidR="00A3029F" w14:paraId="7E9CF734" w14:textId="77777777">
        <w:trPr>
          <w:trHeight w:val="579"/>
        </w:trPr>
        <w:tc>
          <w:tcPr>
            <w:tcW w:w="2236" w:type="dxa"/>
            <w:vMerge w:val="restart"/>
          </w:tcPr>
          <w:p w14:paraId="5D63201E" w14:textId="77777777" w:rsidR="00A3029F" w:rsidRDefault="00602CD9" w:rsidP="003D56CF">
            <w:pPr>
              <w:jc w:val="center"/>
              <w:rPr>
                <w:rFonts w:cs="Times New Roman"/>
              </w:rPr>
            </w:pPr>
            <w:r>
              <w:rPr>
                <w:noProof/>
                <w:lang w:val="es-UY" w:eastAsia="es-UY"/>
              </w:rPr>
              <w:drawing>
                <wp:anchor distT="0" distB="0" distL="114300" distR="114300" simplePos="0" relativeHeight="251655168" behindDoc="0" locked="0" layoutInCell="1" allowOverlap="0" wp14:anchorId="548343B3" wp14:editId="4AC917CC">
                  <wp:simplePos x="0" y="0"/>
                  <wp:positionH relativeFrom="column">
                    <wp:posOffset>-222885</wp:posOffset>
                  </wp:positionH>
                  <wp:positionV relativeFrom="line">
                    <wp:posOffset>-985520</wp:posOffset>
                  </wp:positionV>
                  <wp:extent cx="1263015" cy="1123315"/>
                  <wp:effectExtent l="0" t="0" r="0" b="635"/>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54716"/>
                          <a:stretch>
                            <a:fillRect/>
                          </a:stretch>
                        </pic:blipFill>
                        <pic:spPr bwMode="auto">
                          <a:xfrm>
                            <a:off x="0" y="0"/>
                            <a:ext cx="1263015" cy="1123315"/>
                          </a:xfrm>
                          <a:prstGeom prst="rect">
                            <a:avLst/>
                          </a:prstGeom>
                          <a:noFill/>
                        </pic:spPr>
                      </pic:pic>
                    </a:graphicData>
                  </a:graphic>
                </wp:anchor>
              </w:drawing>
            </w:r>
          </w:p>
        </w:tc>
        <w:tc>
          <w:tcPr>
            <w:tcW w:w="6357" w:type="dxa"/>
          </w:tcPr>
          <w:p w14:paraId="3ED3FAD6" w14:textId="77777777" w:rsidR="00A3029F" w:rsidRPr="009D4B8B" w:rsidRDefault="00A3029F" w:rsidP="003D56CF">
            <w:pPr>
              <w:jc w:val="center"/>
              <w:rPr>
                <w:rFonts w:ascii="Arial" w:hAnsi="Arial" w:cs="Arial"/>
                <w:b/>
                <w:bCs/>
                <w:sz w:val="28"/>
                <w:szCs w:val="28"/>
              </w:rPr>
            </w:pPr>
          </w:p>
          <w:p w14:paraId="654AB8B5" w14:textId="77777777" w:rsidR="00A3029F" w:rsidRPr="009D4B8B" w:rsidRDefault="00A3029F" w:rsidP="003D56CF">
            <w:pPr>
              <w:jc w:val="center"/>
              <w:rPr>
                <w:rFonts w:ascii="Arial" w:hAnsi="Arial" w:cs="Arial"/>
                <w:b/>
                <w:bCs/>
                <w:sz w:val="28"/>
                <w:szCs w:val="28"/>
              </w:rPr>
            </w:pPr>
            <w:r w:rsidRPr="009D4B8B">
              <w:rPr>
                <w:rFonts w:ascii="Arial" w:hAnsi="Arial" w:cs="Arial"/>
                <w:b/>
                <w:bCs/>
                <w:sz w:val="28"/>
                <w:szCs w:val="28"/>
              </w:rPr>
              <w:t>MINISTERIO DE TRANSPORTE Y OBRAS PUBLICAS</w:t>
            </w:r>
          </w:p>
        </w:tc>
      </w:tr>
      <w:tr w:rsidR="00A3029F" w14:paraId="5515E707" w14:textId="77777777">
        <w:trPr>
          <w:trHeight w:val="663"/>
        </w:trPr>
        <w:tc>
          <w:tcPr>
            <w:tcW w:w="2236" w:type="dxa"/>
            <w:vMerge/>
          </w:tcPr>
          <w:p w14:paraId="66C484F8" w14:textId="77777777" w:rsidR="00A3029F" w:rsidRDefault="00A3029F" w:rsidP="003D56CF">
            <w:pPr>
              <w:jc w:val="center"/>
              <w:rPr>
                <w:rFonts w:cs="Times New Roman"/>
              </w:rPr>
            </w:pPr>
          </w:p>
        </w:tc>
        <w:tc>
          <w:tcPr>
            <w:tcW w:w="6357" w:type="dxa"/>
          </w:tcPr>
          <w:p w14:paraId="1C2DFA55" w14:textId="77777777" w:rsidR="00A3029F" w:rsidRPr="009D4B8B" w:rsidRDefault="00A3029F" w:rsidP="003D56CF">
            <w:pPr>
              <w:jc w:val="center"/>
              <w:rPr>
                <w:rFonts w:ascii="Arial" w:hAnsi="Arial" w:cs="Arial"/>
                <w:b/>
                <w:bCs/>
                <w:sz w:val="28"/>
                <w:szCs w:val="28"/>
              </w:rPr>
            </w:pPr>
          </w:p>
          <w:p w14:paraId="2AE9595C" w14:textId="77777777" w:rsidR="00A3029F" w:rsidRPr="009D4B8B" w:rsidRDefault="00A3029F" w:rsidP="003D56CF">
            <w:pPr>
              <w:jc w:val="center"/>
              <w:rPr>
                <w:rFonts w:ascii="Arial" w:hAnsi="Arial" w:cs="Arial"/>
                <w:b/>
                <w:bCs/>
                <w:sz w:val="28"/>
                <w:szCs w:val="28"/>
              </w:rPr>
            </w:pPr>
          </w:p>
        </w:tc>
      </w:tr>
    </w:tbl>
    <w:p w14:paraId="5217CDA0" w14:textId="77777777" w:rsidR="00A3029F" w:rsidRPr="00E56BFD" w:rsidRDefault="00A3029F" w:rsidP="003D56CF">
      <w:pPr>
        <w:jc w:val="center"/>
        <w:rPr>
          <w:rFonts w:cs="Times New Roman"/>
          <w:sz w:val="40"/>
          <w:szCs w:val="40"/>
        </w:rPr>
      </w:pPr>
    </w:p>
    <w:p w14:paraId="76385E45" w14:textId="77777777" w:rsidR="00A3029F" w:rsidRPr="00FA2319" w:rsidRDefault="00A3029F" w:rsidP="003D56CF">
      <w:pPr>
        <w:jc w:val="center"/>
        <w:rPr>
          <w:rFonts w:ascii="Arial" w:hAnsi="Arial" w:cs="Arial"/>
          <w:sz w:val="40"/>
          <w:szCs w:val="40"/>
        </w:rPr>
      </w:pPr>
      <w:r w:rsidRPr="00FA2319">
        <w:rPr>
          <w:rFonts w:ascii="Arial" w:hAnsi="Arial" w:cs="Arial"/>
          <w:sz w:val="40"/>
          <w:szCs w:val="40"/>
        </w:rPr>
        <w:t>CONTRATO DE PARTICIPACION PUBLICO/PRIVADO</w:t>
      </w:r>
    </w:p>
    <w:p w14:paraId="6B857387" w14:textId="77777777" w:rsidR="00A3029F" w:rsidRPr="00E56BFD" w:rsidRDefault="00A3029F" w:rsidP="003D56CF">
      <w:pPr>
        <w:jc w:val="center"/>
        <w:rPr>
          <w:rFonts w:cs="Times New Roman"/>
          <w:sz w:val="40"/>
          <w:szCs w:val="40"/>
        </w:rPr>
      </w:pPr>
    </w:p>
    <w:p w14:paraId="79ADE29F" w14:textId="77777777" w:rsidR="00A3029F" w:rsidRPr="00487185" w:rsidRDefault="00A3029F" w:rsidP="003D56CF">
      <w:pPr>
        <w:jc w:val="center"/>
        <w:rPr>
          <w:rFonts w:ascii="Verdana" w:hAnsi="Verdana" w:cs="Verdana"/>
          <w:sz w:val="40"/>
          <w:szCs w:val="40"/>
        </w:rPr>
      </w:pPr>
      <w:r w:rsidRPr="00487185">
        <w:rPr>
          <w:rFonts w:ascii="Verdana" w:hAnsi="Verdana" w:cs="Verdana"/>
          <w:sz w:val="40"/>
          <w:szCs w:val="40"/>
        </w:rPr>
        <w:t>Pliego de Condiciones</w:t>
      </w:r>
    </w:p>
    <w:p w14:paraId="1EDBF336" w14:textId="77777777" w:rsidR="00A3029F" w:rsidRDefault="00A3029F" w:rsidP="003D56CF">
      <w:pPr>
        <w:jc w:val="center"/>
        <w:rPr>
          <w:rFonts w:cs="Times New Roman"/>
        </w:rPr>
      </w:pPr>
    </w:p>
    <w:p w14:paraId="770E256C" w14:textId="77777777" w:rsidR="00AD4F82" w:rsidRDefault="00A3029F" w:rsidP="003D56CF">
      <w:pPr>
        <w:jc w:val="center"/>
        <w:rPr>
          <w:rFonts w:ascii="Verdana" w:hAnsi="Verdana" w:cs="Verdana"/>
          <w:sz w:val="44"/>
          <w:szCs w:val="44"/>
        </w:rPr>
      </w:pPr>
      <w:r w:rsidRPr="00505F5D">
        <w:rPr>
          <w:rFonts w:ascii="Verdana" w:hAnsi="Verdana" w:cs="Verdana"/>
          <w:sz w:val="44"/>
          <w:szCs w:val="44"/>
        </w:rPr>
        <w:lastRenderedPageBreak/>
        <w:t>Licitación Pública</w:t>
      </w:r>
      <w:r w:rsidR="00B14DCC">
        <w:rPr>
          <w:rFonts w:ascii="Verdana" w:hAnsi="Verdana" w:cs="Verdana"/>
          <w:sz w:val="44"/>
          <w:szCs w:val="44"/>
        </w:rPr>
        <w:t xml:space="preserve"> </w:t>
      </w:r>
      <w:r w:rsidRPr="00505F5D">
        <w:rPr>
          <w:rFonts w:ascii="Verdana" w:hAnsi="Verdana" w:cs="Verdana"/>
          <w:sz w:val="44"/>
          <w:szCs w:val="44"/>
        </w:rPr>
        <w:t>Internacional</w:t>
      </w:r>
    </w:p>
    <w:p w14:paraId="0066DEA4" w14:textId="3CD8983C" w:rsidR="0078329F" w:rsidRDefault="00A3029F" w:rsidP="003D56CF">
      <w:pPr>
        <w:jc w:val="center"/>
        <w:rPr>
          <w:rFonts w:ascii="Verdana" w:hAnsi="Verdana" w:cs="Verdana"/>
          <w:sz w:val="44"/>
          <w:szCs w:val="44"/>
        </w:rPr>
      </w:pPr>
      <w:r w:rsidRPr="00505F5D">
        <w:rPr>
          <w:rFonts w:ascii="Verdana" w:hAnsi="Verdana" w:cs="Verdana"/>
          <w:sz w:val="44"/>
          <w:szCs w:val="44"/>
        </w:rPr>
        <w:t>N°</w:t>
      </w:r>
      <w:r w:rsidR="00300015">
        <w:rPr>
          <w:rFonts w:ascii="Verdana" w:hAnsi="Verdana" w:cs="Verdana"/>
          <w:sz w:val="44"/>
          <w:szCs w:val="44"/>
        </w:rPr>
        <w:t xml:space="preserve"> </w:t>
      </w:r>
      <w:r w:rsidR="00F138D7" w:rsidRPr="00F138D7">
        <w:rPr>
          <w:rFonts w:ascii="Verdana" w:hAnsi="Verdana" w:cs="Verdana"/>
          <w:sz w:val="44"/>
          <w:szCs w:val="44"/>
          <w:highlight w:val="yellow"/>
        </w:rPr>
        <w:t>xx</w:t>
      </w:r>
      <w:r w:rsidR="00E53626">
        <w:rPr>
          <w:rFonts w:ascii="Verdana" w:hAnsi="Verdana" w:cs="Verdana"/>
          <w:sz w:val="44"/>
          <w:szCs w:val="44"/>
        </w:rPr>
        <w:t xml:space="preserve"> </w:t>
      </w:r>
      <w:r w:rsidRPr="00300015">
        <w:rPr>
          <w:rFonts w:ascii="Verdana" w:hAnsi="Verdana" w:cs="Verdana"/>
          <w:sz w:val="44"/>
          <w:szCs w:val="44"/>
        </w:rPr>
        <w:t>/</w:t>
      </w:r>
      <w:r w:rsidR="00300015" w:rsidRPr="00300015">
        <w:rPr>
          <w:rFonts w:ascii="Verdana" w:hAnsi="Verdana" w:cs="Verdana"/>
          <w:sz w:val="44"/>
          <w:szCs w:val="44"/>
        </w:rPr>
        <w:t xml:space="preserve"> 201</w:t>
      </w:r>
      <w:r w:rsidR="0078329F">
        <w:rPr>
          <w:rFonts w:ascii="Verdana" w:hAnsi="Verdana" w:cs="Verdana"/>
          <w:sz w:val="44"/>
          <w:szCs w:val="44"/>
        </w:rPr>
        <w:t>7</w:t>
      </w:r>
    </w:p>
    <w:p w14:paraId="50DDF193" w14:textId="77777777" w:rsidR="00A3029F" w:rsidRDefault="00A3029F" w:rsidP="003D56CF">
      <w:pPr>
        <w:jc w:val="center"/>
        <w:rPr>
          <w:rFonts w:ascii="Verdana" w:hAnsi="Verdana" w:cs="Verdana"/>
          <w:sz w:val="40"/>
          <w:szCs w:val="40"/>
        </w:rPr>
      </w:pPr>
    </w:p>
    <w:p w14:paraId="4E1B3182" w14:textId="0577E843" w:rsidR="00466A14" w:rsidRDefault="00A3029F" w:rsidP="003D56CF">
      <w:pPr>
        <w:jc w:val="center"/>
      </w:pPr>
      <w:r>
        <w:rPr>
          <w:rFonts w:ascii="Verdana" w:hAnsi="Verdana" w:cs="Verdana"/>
          <w:sz w:val="40"/>
          <w:szCs w:val="40"/>
        </w:rPr>
        <w:t>Diseño, construcción, operación y financiamiento de la infraestructura vial en</w:t>
      </w:r>
    </w:p>
    <w:p w14:paraId="04472A76" w14:textId="199631DB" w:rsidR="00A3029F" w:rsidRDefault="00D741C0" w:rsidP="003D56CF">
      <w:pPr>
        <w:jc w:val="center"/>
        <w:rPr>
          <w:rFonts w:ascii="Verdana" w:hAnsi="Verdana" w:cs="Verdana"/>
          <w:sz w:val="40"/>
          <w:szCs w:val="40"/>
        </w:rPr>
      </w:pPr>
      <w:r w:rsidRPr="0042394A">
        <w:rPr>
          <w:rFonts w:ascii="Verdana" w:hAnsi="Verdana"/>
          <w:sz w:val="40"/>
        </w:rPr>
        <w:t>Ruta</w:t>
      </w:r>
      <w:r w:rsidR="00466A14" w:rsidRPr="0042394A">
        <w:rPr>
          <w:rFonts w:ascii="Verdana" w:hAnsi="Verdana"/>
          <w:sz w:val="40"/>
        </w:rPr>
        <w:t xml:space="preserve"> Nº </w:t>
      </w:r>
      <w:r w:rsidR="0038243E" w:rsidRPr="0042394A">
        <w:rPr>
          <w:rFonts w:ascii="Verdana" w:hAnsi="Verdana" w:cs="Verdana"/>
          <w:sz w:val="40"/>
          <w:szCs w:val="40"/>
        </w:rPr>
        <w:t>6</w:t>
      </w:r>
      <w:r w:rsidR="009408D6" w:rsidRPr="0042394A">
        <w:rPr>
          <w:rFonts w:ascii="Verdana" w:hAnsi="Verdana"/>
          <w:sz w:val="40"/>
        </w:rPr>
        <w:t xml:space="preserve"> tramo </w:t>
      </w:r>
      <w:r w:rsidR="007B7A61" w:rsidRPr="0042394A">
        <w:rPr>
          <w:rFonts w:ascii="Verdana" w:hAnsi="Verdana" w:cs="Verdana"/>
          <w:sz w:val="40"/>
          <w:szCs w:val="40"/>
        </w:rPr>
        <w:t>Cuchilla Grande</w:t>
      </w:r>
      <w:r w:rsidR="0038243E" w:rsidRPr="0042394A">
        <w:rPr>
          <w:rFonts w:ascii="Verdana" w:hAnsi="Verdana" w:cs="Verdana"/>
          <w:sz w:val="40"/>
          <w:szCs w:val="40"/>
        </w:rPr>
        <w:t>–</w:t>
      </w:r>
      <w:r w:rsidR="009408D6" w:rsidRPr="0042394A">
        <w:rPr>
          <w:rFonts w:ascii="Verdana" w:hAnsi="Verdana" w:cs="Verdana"/>
          <w:sz w:val="40"/>
          <w:szCs w:val="40"/>
        </w:rPr>
        <w:t xml:space="preserve"> </w:t>
      </w:r>
      <w:r w:rsidR="007B7A61" w:rsidRPr="0042394A">
        <w:rPr>
          <w:rFonts w:ascii="Verdana" w:hAnsi="Verdana" w:cs="Verdana"/>
          <w:sz w:val="40"/>
          <w:szCs w:val="40"/>
        </w:rPr>
        <w:t>Ruta 12</w:t>
      </w:r>
    </w:p>
    <w:p w14:paraId="3934A95D" w14:textId="7FD2BC3F" w:rsidR="00241F16" w:rsidRDefault="00241F16" w:rsidP="003D56CF">
      <w:pPr>
        <w:jc w:val="center"/>
        <w:rPr>
          <w:rFonts w:cs="Times New Roman"/>
        </w:rPr>
      </w:pPr>
      <w:r>
        <w:rPr>
          <w:rFonts w:ascii="Verdana" w:hAnsi="Verdana" w:cs="Verdana"/>
          <w:sz w:val="40"/>
          <w:szCs w:val="40"/>
        </w:rPr>
        <w:t xml:space="preserve">CIRCUITO </w:t>
      </w:r>
      <w:r w:rsidR="006942F3">
        <w:rPr>
          <w:rFonts w:ascii="Verdana" w:hAnsi="Verdana" w:cs="Verdana"/>
          <w:sz w:val="40"/>
          <w:szCs w:val="40"/>
        </w:rPr>
        <w:t>6</w:t>
      </w:r>
    </w:p>
    <w:p w14:paraId="34522CFA" w14:textId="77777777" w:rsidR="00A3029F" w:rsidRPr="00D94ABF" w:rsidRDefault="00602CD9" w:rsidP="005E3541">
      <w:pPr>
        <w:pStyle w:val="pia1"/>
        <w:outlineLvl w:val="9"/>
        <w:rPr>
          <w:lang w:val="pt-BR"/>
        </w:rPr>
        <w:sectPr w:rsidR="00A3029F" w:rsidRPr="00D94ABF" w:rsidSect="00B238CC">
          <w:headerReference w:type="default" r:id="rId12"/>
          <w:footerReference w:type="default" r:id="rId13"/>
          <w:type w:val="continuous"/>
          <w:pgSz w:w="11906" w:h="16838"/>
          <w:pgMar w:top="1276" w:right="1588" w:bottom="1701" w:left="1701" w:header="709" w:footer="709" w:gutter="0"/>
          <w:pgNumType w:fmt="lowerRoman" w:start="1"/>
          <w:cols w:space="708"/>
          <w:docGrid w:linePitch="360"/>
        </w:sectPr>
      </w:pPr>
      <w:r>
        <w:rPr>
          <w:noProof/>
          <w:lang w:val="es-UY" w:eastAsia="es-UY"/>
        </w:rPr>
        <w:lastRenderedPageBreak/>
        <w:drawing>
          <wp:anchor distT="0" distB="0" distL="114300" distR="114300" simplePos="0" relativeHeight="251658240" behindDoc="1" locked="0" layoutInCell="1" allowOverlap="1" wp14:anchorId="1FA2CAEC" wp14:editId="434F8318">
            <wp:simplePos x="0" y="0"/>
            <wp:positionH relativeFrom="column">
              <wp:posOffset>-1080135</wp:posOffset>
            </wp:positionH>
            <wp:positionV relativeFrom="paragraph">
              <wp:posOffset>3037840</wp:posOffset>
            </wp:positionV>
            <wp:extent cx="7613650" cy="2195195"/>
            <wp:effectExtent l="0" t="0" r="6350" b="0"/>
            <wp:wrapTight wrapText="bothSides">
              <wp:wrapPolygon edited="0">
                <wp:start x="0" y="0"/>
                <wp:lineTo x="0" y="21369"/>
                <wp:lineTo x="21564" y="21369"/>
                <wp:lineTo x="21564" y="0"/>
                <wp:lineTo x="0" y="0"/>
              </wp:wrapPolygon>
            </wp:wrapTight>
            <wp:docPr id="12" name="Imagen 493" descr="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2124-2"/>
                    <pic:cNvPicPr>
                      <a:picLocks noChangeAspect="1" noChangeArrowheads="1"/>
                    </pic:cNvPicPr>
                  </pic:nvPicPr>
                  <pic:blipFill>
                    <a:blip r:embed="rId14">
                      <a:extLst>
                        <a:ext uri="{28A0092B-C50C-407E-A947-70E740481C1C}">
                          <a14:useLocalDpi xmlns:a14="http://schemas.microsoft.com/office/drawing/2010/main" val="0"/>
                        </a:ext>
                      </a:extLst>
                    </a:blip>
                    <a:srcRect t="30693" b="32939"/>
                    <a:stretch>
                      <a:fillRect/>
                    </a:stretch>
                  </pic:blipFill>
                  <pic:spPr bwMode="auto">
                    <a:xfrm>
                      <a:off x="0" y="0"/>
                      <a:ext cx="7613650" cy="2195195"/>
                    </a:xfrm>
                    <a:prstGeom prst="rect">
                      <a:avLst/>
                    </a:prstGeom>
                    <a:noFill/>
                  </pic:spPr>
                </pic:pic>
              </a:graphicData>
            </a:graphic>
          </wp:anchor>
        </w:drawing>
      </w:r>
    </w:p>
    <w:bookmarkStart w:id="1" w:name="SECCION_1"/>
    <w:bookmarkStart w:id="2" w:name="_Toc358821458"/>
    <w:bookmarkStart w:id="3" w:name="_Toc400622224"/>
    <w:bookmarkStart w:id="4" w:name="_Toc400629075"/>
    <w:bookmarkStart w:id="5" w:name="_Toc400633965"/>
    <w:bookmarkStart w:id="6" w:name="_Toc400635082"/>
    <w:bookmarkEnd w:id="1"/>
    <w:p w14:paraId="7775C791" w14:textId="77777777" w:rsidR="00A90A7E" w:rsidRDefault="00587284">
      <w:pPr>
        <w:pStyle w:val="TDC1"/>
        <w:rPr>
          <w:rFonts w:asciiTheme="minorHAnsi" w:eastAsiaTheme="minorEastAsia" w:hAnsiTheme="minorHAnsi" w:cstheme="minorBidi"/>
          <w:b w:val="0"/>
          <w:bCs w:val="0"/>
          <w:caps w:val="0"/>
          <w:lang w:val="es-ES"/>
        </w:rPr>
      </w:pPr>
      <w:r w:rsidRPr="00170FC9">
        <w:rPr>
          <w:sz w:val="20"/>
          <w:szCs w:val="20"/>
        </w:rPr>
        <w:lastRenderedPageBreak/>
        <w:fldChar w:fldCharType="begin"/>
      </w:r>
      <w:r w:rsidR="002B17F9" w:rsidRPr="00170FC9">
        <w:rPr>
          <w:sz w:val="20"/>
          <w:szCs w:val="20"/>
        </w:rPr>
        <w:instrText xml:space="preserve"> TOC \o \h \z \u </w:instrText>
      </w:r>
      <w:r w:rsidRPr="00170FC9">
        <w:rPr>
          <w:sz w:val="20"/>
          <w:szCs w:val="20"/>
        </w:rPr>
        <w:fldChar w:fldCharType="separate"/>
      </w:r>
      <w:hyperlink w:anchor="_Toc496266549" w:history="1">
        <w:r w:rsidR="00A90A7E" w:rsidRPr="00BF7C67">
          <w:rPr>
            <w:rStyle w:val="Hipervnculo"/>
          </w:rPr>
          <w:t>SECCIÓN I - PLIEGO DE CONDICIONES ADMINISTRATIVAS (PCA)</w:t>
        </w:r>
        <w:r w:rsidR="00A90A7E">
          <w:rPr>
            <w:webHidden/>
          </w:rPr>
          <w:tab/>
        </w:r>
        <w:r w:rsidR="00A90A7E">
          <w:rPr>
            <w:webHidden/>
          </w:rPr>
          <w:fldChar w:fldCharType="begin"/>
        </w:r>
        <w:r w:rsidR="00A90A7E">
          <w:rPr>
            <w:webHidden/>
          </w:rPr>
          <w:instrText xml:space="preserve"> PAGEREF _Toc496266549 \h </w:instrText>
        </w:r>
        <w:r w:rsidR="00A90A7E">
          <w:rPr>
            <w:webHidden/>
          </w:rPr>
        </w:r>
        <w:r w:rsidR="00A90A7E">
          <w:rPr>
            <w:webHidden/>
          </w:rPr>
          <w:fldChar w:fldCharType="separate"/>
        </w:r>
        <w:r w:rsidR="00A90A7E">
          <w:rPr>
            <w:webHidden/>
          </w:rPr>
          <w:t>8</w:t>
        </w:r>
        <w:r w:rsidR="00A90A7E">
          <w:rPr>
            <w:webHidden/>
          </w:rPr>
          <w:fldChar w:fldCharType="end"/>
        </w:r>
      </w:hyperlink>
    </w:p>
    <w:p w14:paraId="7C76013B" w14:textId="77777777" w:rsidR="00A90A7E" w:rsidRDefault="00931785">
      <w:pPr>
        <w:pStyle w:val="TDC1"/>
        <w:rPr>
          <w:rFonts w:asciiTheme="minorHAnsi" w:eastAsiaTheme="minorEastAsia" w:hAnsiTheme="minorHAnsi" w:cstheme="minorBidi"/>
          <w:b w:val="0"/>
          <w:bCs w:val="0"/>
          <w:caps w:val="0"/>
          <w:lang w:val="es-ES"/>
        </w:rPr>
      </w:pPr>
      <w:hyperlink w:anchor="_Toc496266550" w:history="1">
        <w:r w:rsidR="00A90A7E" w:rsidRPr="00BF7C67">
          <w:rPr>
            <w:rStyle w:val="Hipervnculo"/>
          </w:rPr>
          <w:t>CAPÍTULO I: DISPOSICIONES GENERALES</w:t>
        </w:r>
        <w:r w:rsidR="00A90A7E">
          <w:rPr>
            <w:webHidden/>
          </w:rPr>
          <w:tab/>
        </w:r>
        <w:r w:rsidR="00A90A7E">
          <w:rPr>
            <w:webHidden/>
          </w:rPr>
          <w:fldChar w:fldCharType="begin"/>
        </w:r>
        <w:r w:rsidR="00A90A7E">
          <w:rPr>
            <w:webHidden/>
          </w:rPr>
          <w:instrText xml:space="preserve"> PAGEREF _Toc496266550 \h </w:instrText>
        </w:r>
        <w:r w:rsidR="00A90A7E">
          <w:rPr>
            <w:webHidden/>
          </w:rPr>
        </w:r>
        <w:r w:rsidR="00A90A7E">
          <w:rPr>
            <w:webHidden/>
          </w:rPr>
          <w:fldChar w:fldCharType="separate"/>
        </w:r>
        <w:r w:rsidR="00A90A7E">
          <w:rPr>
            <w:webHidden/>
          </w:rPr>
          <w:t>8</w:t>
        </w:r>
        <w:r w:rsidR="00A90A7E">
          <w:rPr>
            <w:webHidden/>
          </w:rPr>
          <w:fldChar w:fldCharType="end"/>
        </w:r>
      </w:hyperlink>
    </w:p>
    <w:p w14:paraId="561A2281" w14:textId="77777777" w:rsidR="00A90A7E" w:rsidRDefault="00931785">
      <w:pPr>
        <w:pStyle w:val="TDC3"/>
        <w:rPr>
          <w:rFonts w:asciiTheme="minorHAnsi" w:eastAsiaTheme="minorEastAsia" w:hAnsiTheme="minorHAnsi" w:cstheme="minorBidi"/>
          <w:sz w:val="22"/>
          <w:szCs w:val="22"/>
          <w:lang w:eastAsia="es-ES"/>
        </w:rPr>
      </w:pPr>
      <w:hyperlink w:anchor="_Toc496266551" w:history="1">
        <w:r w:rsidR="00A90A7E" w:rsidRPr="00BF7C67">
          <w:rPr>
            <w:rStyle w:val="Hipervnculo"/>
          </w:rPr>
          <w:t>1.</w:t>
        </w:r>
        <w:r w:rsidR="00A90A7E">
          <w:rPr>
            <w:rFonts w:asciiTheme="minorHAnsi" w:eastAsiaTheme="minorEastAsia" w:hAnsiTheme="minorHAnsi" w:cstheme="minorBidi"/>
            <w:sz w:val="22"/>
            <w:szCs w:val="22"/>
            <w:lang w:eastAsia="es-ES"/>
          </w:rPr>
          <w:tab/>
        </w:r>
        <w:r w:rsidR="00A90A7E" w:rsidRPr="00BF7C67">
          <w:rPr>
            <w:rStyle w:val="Hipervnculo"/>
          </w:rPr>
          <w:t>ADMINISTRACIÓN PÚBLICA CONTRATANTE</w:t>
        </w:r>
        <w:r w:rsidR="00A90A7E">
          <w:rPr>
            <w:webHidden/>
          </w:rPr>
          <w:tab/>
        </w:r>
        <w:r w:rsidR="00A90A7E">
          <w:rPr>
            <w:webHidden/>
          </w:rPr>
          <w:fldChar w:fldCharType="begin"/>
        </w:r>
        <w:r w:rsidR="00A90A7E">
          <w:rPr>
            <w:webHidden/>
          </w:rPr>
          <w:instrText xml:space="preserve"> PAGEREF _Toc496266551 \h </w:instrText>
        </w:r>
        <w:r w:rsidR="00A90A7E">
          <w:rPr>
            <w:webHidden/>
          </w:rPr>
        </w:r>
        <w:r w:rsidR="00A90A7E">
          <w:rPr>
            <w:webHidden/>
          </w:rPr>
          <w:fldChar w:fldCharType="separate"/>
        </w:r>
        <w:r w:rsidR="00A90A7E">
          <w:rPr>
            <w:webHidden/>
          </w:rPr>
          <w:t>8</w:t>
        </w:r>
        <w:r w:rsidR="00A90A7E">
          <w:rPr>
            <w:webHidden/>
          </w:rPr>
          <w:fldChar w:fldCharType="end"/>
        </w:r>
      </w:hyperlink>
    </w:p>
    <w:p w14:paraId="43AA8242" w14:textId="77777777" w:rsidR="00A90A7E" w:rsidRDefault="00931785">
      <w:pPr>
        <w:pStyle w:val="TDC3"/>
        <w:rPr>
          <w:rFonts w:asciiTheme="minorHAnsi" w:eastAsiaTheme="minorEastAsia" w:hAnsiTheme="minorHAnsi" w:cstheme="minorBidi"/>
          <w:sz w:val="22"/>
          <w:szCs w:val="22"/>
          <w:lang w:eastAsia="es-ES"/>
        </w:rPr>
      </w:pPr>
      <w:hyperlink w:anchor="_Toc496266552" w:history="1">
        <w:r w:rsidR="00A90A7E" w:rsidRPr="00BF7C67">
          <w:rPr>
            <w:rStyle w:val="Hipervnculo"/>
          </w:rPr>
          <w:t>2.</w:t>
        </w:r>
        <w:r w:rsidR="00A90A7E">
          <w:rPr>
            <w:rFonts w:asciiTheme="minorHAnsi" w:eastAsiaTheme="minorEastAsia" w:hAnsiTheme="minorHAnsi" w:cstheme="minorBidi"/>
            <w:sz w:val="22"/>
            <w:szCs w:val="22"/>
            <w:lang w:eastAsia="es-ES"/>
          </w:rPr>
          <w:tab/>
        </w:r>
        <w:r w:rsidR="00A90A7E" w:rsidRPr="00BF7C67">
          <w:rPr>
            <w:rStyle w:val="Hipervnculo"/>
          </w:rPr>
          <w:t>OBJETO DE LA CONTRATACIÓN</w:t>
        </w:r>
        <w:r w:rsidR="00A90A7E">
          <w:rPr>
            <w:webHidden/>
          </w:rPr>
          <w:tab/>
        </w:r>
        <w:r w:rsidR="00A90A7E">
          <w:rPr>
            <w:webHidden/>
          </w:rPr>
          <w:fldChar w:fldCharType="begin"/>
        </w:r>
        <w:r w:rsidR="00A90A7E">
          <w:rPr>
            <w:webHidden/>
          </w:rPr>
          <w:instrText xml:space="preserve"> PAGEREF _Toc496266552 \h </w:instrText>
        </w:r>
        <w:r w:rsidR="00A90A7E">
          <w:rPr>
            <w:webHidden/>
          </w:rPr>
        </w:r>
        <w:r w:rsidR="00A90A7E">
          <w:rPr>
            <w:webHidden/>
          </w:rPr>
          <w:fldChar w:fldCharType="separate"/>
        </w:r>
        <w:r w:rsidR="00A90A7E">
          <w:rPr>
            <w:webHidden/>
          </w:rPr>
          <w:t>8</w:t>
        </w:r>
        <w:r w:rsidR="00A90A7E">
          <w:rPr>
            <w:webHidden/>
          </w:rPr>
          <w:fldChar w:fldCharType="end"/>
        </w:r>
      </w:hyperlink>
    </w:p>
    <w:p w14:paraId="7F53FE2E" w14:textId="77777777" w:rsidR="00A90A7E" w:rsidRDefault="00931785">
      <w:pPr>
        <w:pStyle w:val="TDC3"/>
        <w:rPr>
          <w:rFonts w:asciiTheme="minorHAnsi" w:eastAsiaTheme="minorEastAsia" w:hAnsiTheme="minorHAnsi" w:cstheme="minorBidi"/>
          <w:sz w:val="22"/>
          <w:szCs w:val="22"/>
          <w:lang w:eastAsia="es-ES"/>
        </w:rPr>
      </w:pPr>
      <w:hyperlink w:anchor="_Toc496266553" w:history="1">
        <w:r w:rsidR="00A90A7E" w:rsidRPr="00BF7C67">
          <w:rPr>
            <w:rStyle w:val="Hipervnculo"/>
          </w:rPr>
          <w:t>3.</w:t>
        </w:r>
        <w:r w:rsidR="00A90A7E">
          <w:rPr>
            <w:rFonts w:asciiTheme="minorHAnsi" w:eastAsiaTheme="minorEastAsia" w:hAnsiTheme="minorHAnsi" w:cstheme="minorBidi"/>
            <w:sz w:val="22"/>
            <w:szCs w:val="22"/>
            <w:lang w:eastAsia="es-ES"/>
          </w:rPr>
          <w:tab/>
        </w:r>
        <w:r w:rsidR="00A90A7E" w:rsidRPr="00BF7C67">
          <w:rPr>
            <w:rStyle w:val="Hipervnculo"/>
          </w:rPr>
          <w:t>NATURALEZA DEL CONTRATO Y LEGISLACIÓN APLICABLE</w:t>
        </w:r>
        <w:r w:rsidR="00A90A7E">
          <w:rPr>
            <w:webHidden/>
          </w:rPr>
          <w:tab/>
        </w:r>
        <w:r w:rsidR="00A90A7E">
          <w:rPr>
            <w:webHidden/>
          </w:rPr>
          <w:fldChar w:fldCharType="begin"/>
        </w:r>
        <w:r w:rsidR="00A90A7E">
          <w:rPr>
            <w:webHidden/>
          </w:rPr>
          <w:instrText xml:space="preserve"> PAGEREF _Toc496266553 \h </w:instrText>
        </w:r>
        <w:r w:rsidR="00A90A7E">
          <w:rPr>
            <w:webHidden/>
          </w:rPr>
        </w:r>
        <w:r w:rsidR="00A90A7E">
          <w:rPr>
            <w:webHidden/>
          </w:rPr>
          <w:fldChar w:fldCharType="separate"/>
        </w:r>
        <w:r w:rsidR="00A90A7E">
          <w:rPr>
            <w:webHidden/>
          </w:rPr>
          <w:t>9</w:t>
        </w:r>
        <w:r w:rsidR="00A90A7E">
          <w:rPr>
            <w:webHidden/>
          </w:rPr>
          <w:fldChar w:fldCharType="end"/>
        </w:r>
      </w:hyperlink>
    </w:p>
    <w:p w14:paraId="544B339B"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54" w:history="1">
        <w:r w:rsidR="00A90A7E" w:rsidRPr="00BF7C67">
          <w:rPr>
            <w:rStyle w:val="Hipervnculo"/>
            <w:noProof/>
          </w:rPr>
          <w:t>3.1.</w:t>
        </w:r>
        <w:r w:rsidR="00A90A7E">
          <w:rPr>
            <w:rFonts w:eastAsiaTheme="minorEastAsia" w:cstheme="minorBidi"/>
            <w:noProof/>
            <w:sz w:val="22"/>
            <w:szCs w:val="22"/>
            <w:lang w:eastAsia="es-ES"/>
          </w:rPr>
          <w:tab/>
        </w:r>
        <w:r w:rsidR="00A90A7E" w:rsidRPr="00BF7C67">
          <w:rPr>
            <w:rStyle w:val="Hipervnculo"/>
            <w:noProof/>
          </w:rPr>
          <w:t>NATURALEZA DEL CONTRATO</w:t>
        </w:r>
        <w:r w:rsidR="00A90A7E">
          <w:rPr>
            <w:noProof/>
            <w:webHidden/>
          </w:rPr>
          <w:tab/>
        </w:r>
        <w:r w:rsidR="00A90A7E">
          <w:rPr>
            <w:noProof/>
            <w:webHidden/>
          </w:rPr>
          <w:fldChar w:fldCharType="begin"/>
        </w:r>
        <w:r w:rsidR="00A90A7E">
          <w:rPr>
            <w:noProof/>
            <w:webHidden/>
          </w:rPr>
          <w:instrText xml:space="preserve"> PAGEREF _Toc496266554 \h </w:instrText>
        </w:r>
        <w:r w:rsidR="00A90A7E">
          <w:rPr>
            <w:noProof/>
            <w:webHidden/>
          </w:rPr>
        </w:r>
        <w:r w:rsidR="00A90A7E">
          <w:rPr>
            <w:noProof/>
            <w:webHidden/>
          </w:rPr>
          <w:fldChar w:fldCharType="separate"/>
        </w:r>
        <w:r w:rsidR="00A90A7E">
          <w:rPr>
            <w:noProof/>
            <w:webHidden/>
          </w:rPr>
          <w:t>9</w:t>
        </w:r>
        <w:r w:rsidR="00A90A7E">
          <w:rPr>
            <w:noProof/>
            <w:webHidden/>
          </w:rPr>
          <w:fldChar w:fldCharType="end"/>
        </w:r>
      </w:hyperlink>
    </w:p>
    <w:p w14:paraId="640795C0"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55" w:history="1">
        <w:r w:rsidR="00A90A7E" w:rsidRPr="00BF7C67">
          <w:rPr>
            <w:rStyle w:val="Hipervnculo"/>
            <w:noProof/>
          </w:rPr>
          <w:t>3.2.</w:t>
        </w:r>
        <w:r w:rsidR="00A90A7E">
          <w:rPr>
            <w:rFonts w:eastAsiaTheme="minorEastAsia" w:cstheme="minorBidi"/>
            <w:noProof/>
            <w:sz w:val="22"/>
            <w:szCs w:val="22"/>
            <w:lang w:eastAsia="es-ES"/>
          </w:rPr>
          <w:tab/>
        </w:r>
        <w:r w:rsidR="00A90A7E" w:rsidRPr="00BF7C67">
          <w:rPr>
            <w:rStyle w:val="Hipervnculo"/>
            <w:noProof/>
          </w:rPr>
          <w:t>RÉGIMEN JURÍDICO</w:t>
        </w:r>
        <w:r w:rsidR="00A90A7E">
          <w:rPr>
            <w:noProof/>
            <w:webHidden/>
          </w:rPr>
          <w:tab/>
        </w:r>
        <w:r w:rsidR="00A90A7E">
          <w:rPr>
            <w:noProof/>
            <w:webHidden/>
          </w:rPr>
          <w:fldChar w:fldCharType="begin"/>
        </w:r>
        <w:r w:rsidR="00A90A7E">
          <w:rPr>
            <w:noProof/>
            <w:webHidden/>
          </w:rPr>
          <w:instrText xml:space="preserve"> PAGEREF _Toc496266555 \h </w:instrText>
        </w:r>
        <w:r w:rsidR="00A90A7E">
          <w:rPr>
            <w:noProof/>
            <w:webHidden/>
          </w:rPr>
        </w:r>
        <w:r w:rsidR="00A90A7E">
          <w:rPr>
            <w:noProof/>
            <w:webHidden/>
          </w:rPr>
          <w:fldChar w:fldCharType="separate"/>
        </w:r>
        <w:r w:rsidR="00A90A7E">
          <w:rPr>
            <w:noProof/>
            <w:webHidden/>
          </w:rPr>
          <w:t>9</w:t>
        </w:r>
        <w:r w:rsidR="00A90A7E">
          <w:rPr>
            <w:noProof/>
            <w:webHidden/>
          </w:rPr>
          <w:fldChar w:fldCharType="end"/>
        </w:r>
      </w:hyperlink>
    </w:p>
    <w:p w14:paraId="1208DBCB"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56" w:history="1">
        <w:r w:rsidR="00A90A7E" w:rsidRPr="00BF7C67">
          <w:rPr>
            <w:rStyle w:val="Hipervnculo"/>
            <w:noProof/>
          </w:rPr>
          <w:t>3.3.</w:t>
        </w:r>
        <w:r w:rsidR="00A90A7E">
          <w:rPr>
            <w:rFonts w:eastAsiaTheme="minorEastAsia" w:cstheme="minorBidi"/>
            <w:noProof/>
            <w:sz w:val="22"/>
            <w:szCs w:val="22"/>
            <w:lang w:eastAsia="es-ES"/>
          </w:rPr>
          <w:tab/>
        </w:r>
        <w:r w:rsidR="00A90A7E" w:rsidRPr="00BF7C67">
          <w:rPr>
            <w:rStyle w:val="Hipervnculo"/>
            <w:noProof/>
          </w:rPr>
          <w:t>RÉGIMEN TRIBUTARIO</w:t>
        </w:r>
        <w:r w:rsidR="00A90A7E">
          <w:rPr>
            <w:noProof/>
            <w:webHidden/>
          </w:rPr>
          <w:tab/>
        </w:r>
        <w:r w:rsidR="00A90A7E">
          <w:rPr>
            <w:noProof/>
            <w:webHidden/>
          </w:rPr>
          <w:fldChar w:fldCharType="begin"/>
        </w:r>
        <w:r w:rsidR="00A90A7E">
          <w:rPr>
            <w:noProof/>
            <w:webHidden/>
          </w:rPr>
          <w:instrText xml:space="preserve"> PAGEREF _Toc496266556 \h </w:instrText>
        </w:r>
        <w:r w:rsidR="00A90A7E">
          <w:rPr>
            <w:noProof/>
            <w:webHidden/>
          </w:rPr>
        </w:r>
        <w:r w:rsidR="00A90A7E">
          <w:rPr>
            <w:noProof/>
            <w:webHidden/>
          </w:rPr>
          <w:fldChar w:fldCharType="separate"/>
        </w:r>
        <w:r w:rsidR="00A90A7E">
          <w:rPr>
            <w:noProof/>
            <w:webHidden/>
          </w:rPr>
          <w:t>11</w:t>
        </w:r>
        <w:r w:rsidR="00A90A7E">
          <w:rPr>
            <w:noProof/>
            <w:webHidden/>
          </w:rPr>
          <w:fldChar w:fldCharType="end"/>
        </w:r>
      </w:hyperlink>
    </w:p>
    <w:p w14:paraId="78E4A394" w14:textId="77777777" w:rsidR="00A90A7E" w:rsidRDefault="00931785">
      <w:pPr>
        <w:pStyle w:val="TDC3"/>
        <w:rPr>
          <w:rFonts w:asciiTheme="minorHAnsi" w:eastAsiaTheme="minorEastAsia" w:hAnsiTheme="minorHAnsi" w:cstheme="minorBidi"/>
          <w:sz w:val="22"/>
          <w:szCs w:val="22"/>
          <w:lang w:eastAsia="es-ES"/>
        </w:rPr>
      </w:pPr>
      <w:hyperlink w:anchor="_Toc496266557" w:history="1">
        <w:r w:rsidR="00A90A7E" w:rsidRPr="00BF7C67">
          <w:rPr>
            <w:rStyle w:val="Hipervnculo"/>
          </w:rPr>
          <w:t>4.</w:t>
        </w:r>
        <w:r w:rsidR="00A90A7E">
          <w:rPr>
            <w:rFonts w:asciiTheme="minorHAnsi" w:eastAsiaTheme="minorEastAsia" w:hAnsiTheme="minorHAnsi" w:cstheme="minorBidi"/>
            <w:sz w:val="22"/>
            <w:szCs w:val="22"/>
            <w:lang w:eastAsia="es-ES"/>
          </w:rPr>
          <w:tab/>
        </w:r>
        <w:r w:rsidR="00A90A7E" w:rsidRPr="00BF7C67">
          <w:rPr>
            <w:rStyle w:val="Hipervnculo"/>
          </w:rPr>
          <w:t>PLAZO DEL CONTRATO</w:t>
        </w:r>
        <w:r w:rsidR="00A90A7E">
          <w:rPr>
            <w:webHidden/>
          </w:rPr>
          <w:tab/>
        </w:r>
        <w:r w:rsidR="00A90A7E">
          <w:rPr>
            <w:webHidden/>
          </w:rPr>
          <w:fldChar w:fldCharType="begin"/>
        </w:r>
        <w:r w:rsidR="00A90A7E">
          <w:rPr>
            <w:webHidden/>
          </w:rPr>
          <w:instrText xml:space="preserve"> PAGEREF _Toc496266557 \h </w:instrText>
        </w:r>
        <w:r w:rsidR="00A90A7E">
          <w:rPr>
            <w:webHidden/>
          </w:rPr>
        </w:r>
        <w:r w:rsidR="00A90A7E">
          <w:rPr>
            <w:webHidden/>
          </w:rPr>
          <w:fldChar w:fldCharType="separate"/>
        </w:r>
        <w:r w:rsidR="00A90A7E">
          <w:rPr>
            <w:webHidden/>
          </w:rPr>
          <w:t>11</w:t>
        </w:r>
        <w:r w:rsidR="00A90A7E">
          <w:rPr>
            <w:webHidden/>
          </w:rPr>
          <w:fldChar w:fldCharType="end"/>
        </w:r>
      </w:hyperlink>
    </w:p>
    <w:p w14:paraId="766464BD" w14:textId="77777777" w:rsidR="00A90A7E" w:rsidRDefault="00931785">
      <w:pPr>
        <w:pStyle w:val="TDC3"/>
        <w:rPr>
          <w:rFonts w:asciiTheme="minorHAnsi" w:eastAsiaTheme="minorEastAsia" w:hAnsiTheme="minorHAnsi" w:cstheme="minorBidi"/>
          <w:sz w:val="22"/>
          <w:szCs w:val="22"/>
          <w:lang w:eastAsia="es-ES"/>
        </w:rPr>
      </w:pPr>
      <w:hyperlink w:anchor="_Toc496266558" w:history="1">
        <w:r w:rsidR="00A90A7E" w:rsidRPr="00BF7C67">
          <w:rPr>
            <w:rStyle w:val="Hipervnculo"/>
          </w:rPr>
          <w:t>5.</w:t>
        </w:r>
        <w:r w:rsidR="00A90A7E">
          <w:rPr>
            <w:rFonts w:asciiTheme="minorHAnsi" w:eastAsiaTheme="minorEastAsia" w:hAnsiTheme="minorHAnsi" w:cstheme="minorBidi"/>
            <w:sz w:val="22"/>
            <w:szCs w:val="22"/>
            <w:lang w:eastAsia="es-ES"/>
          </w:rPr>
          <w:tab/>
        </w:r>
        <w:r w:rsidR="00A90A7E" w:rsidRPr="00BF7C67">
          <w:rPr>
            <w:rStyle w:val="Hipervnculo"/>
          </w:rPr>
          <w:t>VALOR MÁXIMO DE LA OFERTA</w:t>
        </w:r>
        <w:r w:rsidR="00A90A7E">
          <w:rPr>
            <w:webHidden/>
          </w:rPr>
          <w:tab/>
        </w:r>
        <w:r w:rsidR="00A90A7E">
          <w:rPr>
            <w:webHidden/>
          </w:rPr>
          <w:fldChar w:fldCharType="begin"/>
        </w:r>
        <w:r w:rsidR="00A90A7E">
          <w:rPr>
            <w:webHidden/>
          </w:rPr>
          <w:instrText xml:space="preserve"> PAGEREF _Toc496266558 \h </w:instrText>
        </w:r>
        <w:r w:rsidR="00A90A7E">
          <w:rPr>
            <w:webHidden/>
          </w:rPr>
        </w:r>
        <w:r w:rsidR="00A90A7E">
          <w:rPr>
            <w:webHidden/>
          </w:rPr>
          <w:fldChar w:fldCharType="separate"/>
        </w:r>
        <w:r w:rsidR="00A90A7E">
          <w:rPr>
            <w:webHidden/>
          </w:rPr>
          <w:t>11</w:t>
        </w:r>
        <w:r w:rsidR="00A90A7E">
          <w:rPr>
            <w:webHidden/>
          </w:rPr>
          <w:fldChar w:fldCharType="end"/>
        </w:r>
      </w:hyperlink>
    </w:p>
    <w:p w14:paraId="0479B028" w14:textId="77777777" w:rsidR="00A90A7E" w:rsidRDefault="00931785">
      <w:pPr>
        <w:pStyle w:val="TDC3"/>
        <w:rPr>
          <w:rFonts w:asciiTheme="minorHAnsi" w:eastAsiaTheme="minorEastAsia" w:hAnsiTheme="minorHAnsi" w:cstheme="minorBidi"/>
          <w:sz w:val="22"/>
          <w:szCs w:val="22"/>
          <w:lang w:eastAsia="es-ES"/>
        </w:rPr>
      </w:pPr>
      <w:hyperlink w:anchor="_Toc496266559" w:history="1">
        <w:r w:rsidR="00A90A7E" w:rsidRPr="00BF7C67">
          <w:rPr>
            <w:rStyle w:val="Hipervnculo"/>
          </w:rPr>
          <w:t>6.</w:t>
        </w:r>
        <w:r w:rsidR="00A90A7E">
          <w:rPr>
            <w:rFonts w:asciiTheme="minorHAnsi" w:eastAsiaTheme="minorEastAsia" w:hAnsiTheme="minorHAnsi" w:cstheme="minorBidi"/>
            <w:sz w:val="22"/>
            <w:szCs w:val="22"/>
            <w:lang w:eastAsia="es-ES"/>
          </w:rPr>
          <w:tab/>
        </w:r>
        <w:r w:rsidR="00A90A7E" w:rsidRPr="00BF7C67">
          <w:rPr>
            <w:rStyle w:val="Hipervnculo"/>
          </w:rPr>
          <w:t>CONTRAPRESTACIÓN DEL CONTRATISTA</w:t>
        </w:r>
        <w:r w:rsidR="00A90A7E">
          <w:rPr>
            <w:webHidden/>
          </w:rPr>
          <w:tab/>
        </w:r>
        <w:r w:rsidR="00A90A7E">
          <w:rPr>
            <w:webHidden/>
          </w:rPr>
          <w:fldChar w:fldCharType="begin"/>
        </w:r>
        <w:r w:rsidR="00A90A7E">
          <w:rPr>
            <w:webHidden/>
          </w:rPr>
          <w:instrText xml:space="preserve"> PAGEREF _Toc496266559 \h </w:instrText>
        </w:r>
        <w:r w:rsidR="00A90A7E">
          <w:rPr>
            <w:webHidden/>
          </w:rPr>
        </w:r>
        <w:r w:rsidR="00A90A7E">
          <w:rPr>
            <w:webHidden/>
          </w:rPr>
          <w:fldChar w:fldCharType="separate"/>
        </w:r>
        <w:r w:rsidR="00A90A7E">
          <w:rPr>
            <w:webHidden/>
          </w:rPr>
          <w:t>11</w:t>
        </w:r>
        <w:r w:rsidR="00A90A7E">
          <w:rPr>
            <w:webHidden/>
          </w:rPr>
          <w:fldChar w:fldCharType="end"/>
        </w:r>
      </w:hyperlink>
    </w:p>
    <w:p w14:paraId="4B67ADFF" w14:textId="77777777" w:rsidR="00A90A7E" w:rsidRDefault="00931785">
      <w:pPr>
        <w:pStyle w:val="TDC3"/>
        <w:rPr>
          <w:rFonts w:asciiTheme="minorHAnsi" w:eastAsiaTheme="minorEastAsia" w:hAnsiTheme="minorHAnsi" w:cstheme="minorBidi"/>
          <w:sz w:val="22"/>
          <w:szCs w:val="22"/>
          <w:lang w:eastAsia="es-ES"/>
        </w:rPr>
      </w:pPr>
      <w:hyperlink w:anchor="_Toc496266560" w:history="1">
        <w:r w:rsidR="00A90A7E" w:rsidRPr="00BF7C67">
          <w:rPr>
            <w:rStyle w:val="Hipervnculo"/>
          </w:rPr>
          <w:t>7.</w:t>
        </w:r>
        <w:r w:rsidR="00A90A7E">
          <w:rPr>
            <w:rFonts w:asciiTheme="minorHAnsi" w:eastAsiaTheme="minorEastAsia" w:hAnsiTheme="minorHAnsi" w:cstheme="minorBidi"/>
            <w:sz w:val="22"/>
            <w:szCs w:val="22"/>
            <w:lang w:eastAsia="es-ES"/>
          </w:rPr>
          <w:tab/>
        </w:r>
        <w:r w:rsidR="00A90A7E" w:rsidRPr="00BF7C67">
          <w:rPr>
            <w:rStyle w:val="Hipervnculo"/>
          </w:rPr>
          <w:t>RÉGIMEN ECONÓMICO-FINANCIERO DEL CONTRATO</w:t>
        </w:r>
        <w:r w:rsidR="00A90A7E">
          <w:rPr>
            <w:webHidden/>
          </w:rPr>
          <w:tab/>
        </w:r>
        <w:r w:rsidR="00A90A7E">
          <w:rPr>
            <w:webHidden/>
          </w:rPr>
          <w:fldChar w:fldCharType="begin"/>
        </w:r>
        <w:r w:rsidR="00A90A7E">
          <w:rPr>
            <w:webHidden/>
          </w:rPr>
          <w:instrText xml:space="preserve"> PAGEREF _Toc496266560 \h </w:instrText>
        </w:r>
        <w:r w:rsidR="00A90A7E">
          <w:rPr>
            <w:webHidden/>
          </w:rPr>
        </w:r>
        <w:r w:rsidR="00A90A7E">
          <w:rPr>
            <w:webHidden/>
          </w:rPr>
          <w:fldChar w:fldCharType="separate"/>
        </w:r>
        <w:r w:rsidR="00A90A7E">
          <w:rPr>
            <w:webHidden/>
          </w:rPr>
          <w:t>12</w:t>
        </w:r>
        <w:r w:rsidR="00A90A7E">
          <w:rPr>
            <w:webHidden/>
          </w:rPr>
          <w:fldChar w:fldCharType="end"/>
        </w:r>
      </w:hyperlink>
    </w:p>
    <w:p w14:paraId="638AE3B4" w14:textId="77777777" w:rsidR="00A90A7E" w:rsidRDefault="00931785">
      <w:pPr>
        <w:pStyle w:val="TDC1"/>
        <w:rPr>
          <w:rFonts w:asciiTheme="minorHAnsi" w:eastAsiaTheme="minorEastAsia" w:hAnsiTheme="minorHAnsi" w:cstheme="minorBidi"/>
          <w:b w:val="0"/>
          <w:bCs w:val="0"/>
          <w:caps w:val="0"/>
          <w:lang w:val="es-ES"/>
        </w:rPr>
      </w:pPr>
      <w:hyperlink w:anchor="_Toc496266561" w:history="1">
        <w:r w:rsidR="00A90A7E" w:rsidRPr="00BF7C67">
          <w:rPr>
            <w:rStyle w:val="Hipervnculo"/>
          </w:rPr>
          <w:t>CAPÍTULO II: PROCEDIMIENTO Y FORMA DE ADJUDICACIÓN DEL CONTRATO</w:t>
        </w:r>
        <w:r w:rsidR="00A90A7E">
          <w:rPr>
            <w:webHidden/>
          </w:rPr>
          <w:tab/>
        </w:r>
        <w:r w:rsidR="00A90A7E">
          <w:rPr>
            <w:webHidden/>
          </w:rPr>
          <w:fldChar w:fldCharType="begin"/>
        </w:r>
        <w:r w:rsidR="00A90A7E">
          <w:rPr>
            <w:webHidden/>
          </w:rPr>
          <w:instrText xml:space="preserve"> PAGEREF _Toc496266561 \h </w:instrText>
        </w:r>
        <w:r w:rsidR="00A90A7E">
          <w:rPr>
            <w:webHidden/>
          </w:rPr>
        </w:r>
        <w:r w:rsidR="00A90A7E">
          <w:rPr>
            <w:webHidden/>
          </w:rPr>
          <w:fldChar w:fldCharType="separate"/>
        </w:r>
        <w:r w:rsidR="00A90A7E">
          <w:rPr>
            <w:webHidden/>
          </w:rPr>
          <w:t>13</w:t>
        </w:r>
        <w:r w:rsidR="00A90A7E">
          <w:rPr>
            <w:webHidden/>
          </w:rPr>
          <w:fldChar w:fldCharType="end"/>
        </w:r>
      </w:hyperlink>
    </w:p>
    <w:p w14:paraId="624E68F3" w14:textId="77777777" w:rsidR="00A90A7E" w:rsidRDefault="00931785">
      <w:pPr>
        <w:pStyle w:val="TDC3"/>
        <w:rPr>
          <w:rFonts w:asciiTheme="minorHAnsi" w:eastAsiaTheme="minorEastAsia" w:hAnsiTheme="minorHAnsi" w:cstheme="minorBidi"/>
          <w:sz w:val="22"/>
          <w:szCs w:val="22"/>
          <w:lang w:eastAsia="es-ES"/>
        </w:rPr>
      </w:pPr>
      <w:hyperlink w:anchor="_Toc496266562" w:history="1">
        <w:r w:rsidR="00A90A7E" w:rsidRPr="00BF7C67">
          <w:rPr>
            <w:rStyle w:val="Hipervnculo"/>
          </w:rPr>
          <w:t>8.</w:t>
        </w:r>
        <w:r w:rsidR="00A90A7E">
          <w:rPr>
            <w:rFonts w:asciiTheme="minorHAnsi" w:eastAsiaTheme="minorEastAsia" w:hAnsiTheme="minorHAnsi" w:cstheme="minorBidi"/>
            <w:sz w:val="22"/>
            <w:szCs w:val="22"/>
            <w:lang w:eastAsia="es-ES"/>
          </w:rPr>
          <w:tab/>
        </w:r>
        <w:r w:rsidR="00A90A7E" w:rsidRPr="00BF7C67">
          <w:rPr>
            <w:rStyle w:val="Hipervnculo"/>
          </w:rPr>
          <w:t>DOCUMENTACIÓN DISPONIBLE PARA LOS OFERENTES</w:t>
        </w:r>
        <w:r w:rsidR="00A90A7E">
          <w:rPr>
            <w:webHidden/>
          </w:rPr>
          <w:tab/>
        </w:r>
        <w:r w:rsidR="00A90A7E">
          <w:rPr>
            <w:webHidden/>
          </w:rPr>
          <w:fldChar w:fldCharType="begin"/>
        </w:r>
        <w:r w:rsidR="00A90A7E">
          <w:rPr>
            <w:webHidden/>
          </w:rPr>
          <w:instrText xml:space="preserve"> PAGEREF _Toc496266562 \h </w:instrText>
        </w:r>
        <w:r w:rsidR="00A90A7E">
          <w:rPr>
            <w:webHidden/>
          </w:rPr>
        </w:r>
        <w:r w:rsidR="00A90A7E">
          <w:rPr>
            <w:webHidden/>
          </w:rPr>
          <w:fldChar w:fldCharType="separate"/>
        </w:r>
        <w:r w:rsidR="00A90A7E">
          <w:rPr>
            <w:webHidden/>
          </w:rPr>
          <w:t>13</w:t>
        </w:r>
        <w:r w:rsidR="00A90A7E">
          <w:rPr>
            <w:webHidden/>
          </w:rPr>
          <w:fldChar w:fldCharType="end"/>
        </w:r>
      </w:hyperlink>
    </w:p>
    <w:p w14:paraId="751D1614" w14:textId="77777777" w:rsidR="00A90A7E" w:rsidRDefault="00931785">
      <w:pPr>
        <w:pStyle w:val="TDC3"/>
        <w:rPr>
          <w:rFonts w:asciiTheme="minorHAnsi" w:eastAsiaTheme="minorEastAsia" w:hAnsiTheme="minorHAnsi" w:cstheme="minorBidi"/>
          <w:sz w:val="22"/>
          <w:szCs w:val="22"/>
          <w:lang w:eastAsia="es-ES"/>
        </w:rPr>
      </w:pPr>
      <w:hyperlink w:anchor="_Toc496266563" w:history="1">
        <w:r w:rsidR="00A90A7E" w:rsidRPr="00BF7C67">
          <w:rPr>
            <w:rStyle w:val="Hipervnculo"/>
          </w:rPr>
          <w:t>9.</w:t>
        </w:r>
        <w:r w:rsidR="00A90A7E">
          <w:rPr>
            <w:rFonts w:asciiTheme="minorHAnsi" w:eastAsiaTheme="minorEastAsia" w:hAnsiTheme="minorHAnsi" w:cstheme="minorBidi"/>
            <w:sz w:val="22"/>
            <w:szCs w:val="22"/>
            <w:lang w:eastAsia="es-ES"/>
          </w:rPr>
          <w:tab/>
        </w:r>
        <w:r w:rsidR="00A90A7E" w:rsidRPr="00BF7C67">
          <w:rPr>
            <w:rStyle w:val="Hipervnculo"/>
          </w:rPr>
          <w:t>PLAZOS</w:t>
        </w:r>
        <w:r w:rsidR="00A90A7E">
          <w:rPr>
            <w:webHidden/>
          </w:rPr>
          <w:tab/>
        </w:r>
        <w:r w:rsidR="00A90A7E">
          <w:rPr>
            <w:webHidden/>
          </w:rPr>
          <w:fldChar w:fldCharType="begin"/>
        </w:r>
        <w:r w:rsidR="00A90A7E">
          <w:rPr>
            <w:webHidden/>
          </w:rPr>
          <w:instrText xml:space="preserve"> PAGEREF _Toc496266563 \h </w:instrText>
        </w:r>
        <w:r w:rsidR="00A90A7E">
          <w:rPr>
            <w:webHidden/>
          </w:rPr>
        </w:r>
        <w:r w:rsidR="00A90A7E">
          <w:rPr>
            <w:webHidden/>
          </w:rPr>
          <w:fldChar w:fldCharType="separate"/>
        </w:r>
        <w:r w:rsidR="00A90A7E">
          <w:rPr>
            <w:webHidden/>
          </w:rPr>
          <w:t>14</w:t>
        </w:r>
        <w:r w:rsidR="00A90A7E">
          <w:rPr>
            <w:webHidden/>
          </w:rPr>
          <w:fldChar w:fldCharType="end"/>
        </w:r>
      </w:hyperlink>
    </w:p>
    <w:p w14:paraId="77E4FB5E" w14:textId="77777777" w:rsidR="00A90A7E" w:rsidRDefault="00931785">
      <w:pPr>
        <w:pStyle w:val="TDC3"/>
        <w:rPr>
          <w:rFonts w:asciiTheme="minorHAnsi" w:eastAsiaTheme="minorEastAsia" w:hAnsiTheme="minorHAnsi" w:cstheme="minorBidi"/>
          <w:sz w:val="22"/>
          <w:szCs w:val="22"/>
          <w:lang w:eastAsia="es-ES"/>
        </w:rPr>
      </w:pPr>
      <w:hyperlink w:anchor="_Toc496266564" w:history="1">
        <w:r w:rsidR="00A90A7E" w:rsidRPr="00BF7C67">
          <w:rPr>
            <w:rStyle w:val="Hipervnculo"/>
          </w:rPr>
          <w:t>10.</w:t>
        </w:r>
        <w:r w:rsidR="00A90A7E">
          <w:rPr>
            <w:rFonts w:asciiTheme="minorHAnsi" w:eastAsiaTheme="minorEastAsia" w:hAnsiTheme="minorHAnsi" w:cstheme="minorBidi"/>
            <w:sz w:val="22"/>
            <w:szCs w:val="22"/>
            <w:lang w:eastAsia="es-ES"/>
          </w:rPr>
          <w:tab/>
        </w:r>
        <w:r w:rsidR="00A90A7E" w:rsidRPr="00BF7C67">
          <w:rPr>
            <w:rStyle w:val="Hipervnculo"/>
          </w:rPr>
          <w:t>NOTIFICACIONES</w:t>
        </w:r>
        <w:r w:rsidR="00A90A7E">
          <w:rPr>
            <w:webHidden/>
          </w:rPr>
          <w:tab/>
        </w:r>
        <w:r w:rsidR="00A90A7E">
          <w:rPr>
            <w:webHidden/>
          </w:rPr>
          <w:fldChar w:fldCharType="begin"/>
        </w:r>
        <w:r w:rsidR="00A90A7E">
          <w:rPr>
            <w:webHidden/>
          </w:rPr>
          <w:instrText xml:space="preserve"> PAGEREF _Toc496266564 \h </w:instrText>
        </w:r>
        <w:r w:rsidR="00A90A7E">
          <w:rPr>
            <w:webHidden/>
          </w:rPr>
        </w:r>
        <w:r w:rsidR="00A90A7E">
          <w:rPr>
            <w:webHidden/>
          </w:rPr>
          <w:fldChar w:fldCharType="separate"/>
        </w:r>
        <w:r w:rsidR="00A90A7E">
          <w:rPr>
            <w:webHidden/>
          </w:rPr>
          <w:t>14</w:t>
        </w:r>
        <w:r w:rsidR="00A90A7E">
          <w:rPr>
            <w:webHidden/>
          </w:rPr>
          <w:fldChar w:fldCharType="end"/>
        </w:r>
      </w:hyperlink>
    </w:p>
    <w:p w14:paraId="268C39F7" w14:textId="77777777" w:rsidR="00A90A7E" w:rsidRDefault="00931785">
      <w:pPr>
        <w:pStyle w:val="TDC3"/>
        <w:rPr>
          <w:rFonts w:asciiTheme="minorHAnsi" w:eastAsiaTheme="minorEastAsia" w:hAnsiTheme="minorHAnsi" w:cstheme="minorBidi"/>
          <w:sz w:val="22"/>
          <w:szCs w:val="22"/>
          <w:lang w:eastAsia="es-ES"/>
        </w:rPr>
      </w:pPr>
      <w:hyperlink w:anchor="_Toc496266565" w:history="1">
        <w:r w:rsidR="00A90A7E" w:rsidRPr="00BF7C67">
          <w:rPr>
            <w:rStyle w:val="Hipervnculo"/>
          </w:rPr>
          <w:t>11.</w:t>
        </w:r>
        <w:r w:rsidR="00A90A7E">
          <w:rPr>
            <w:rFonts w:asciiTheme="minorHAnsi" w:eastAsiaTheme="minorEastAsia" w:hAnsiTheme="minorHAnsi" w:cstheme="minorBidi"/>
            <w:sz w:val="22"/>
            <w:szCs w:val="22"/>
            <w:lang w:eastAsia="es-ES"/>
          </w:rPr>
          <w:tab/>
        </w:r>
        <w:r w:rsidR="00A90A7E" w:rsidRPr="00BF7C67">
          <w:rPr>
            <w:rStyle w:val="Hipervnculo"/>
          </w:rPr>
          <w:t>DOCUMENTACIÓN CONTRACTUAL</w:t>
        </w:r>
        <w:r w:rsidR="00A90A7E">
          <w:rPr>
            <w:webHidden/>
          </w:rPr>
          <w:tab/>
        </w:r>
        <w:r w:rsidR="00A90A7E">
          <w:rPr>
            <w:webHidden/>
          </w:rPr>
          <w:fldChar w:fldCharType="begin"/>
        </w:r>
        <w:r w:rsidR="00A90A7E">
          <w:rPr>
            <w:webHidden/>
          </w:rPr>
          <w:instrText xml:space="preserve"> PAGEREF _Toc496266565 \h </w:instrText>
        </w:r>
        <w:r w:rsidR="00A90A7E">
          <w:rPr>
            <w:webHidden/>
          </w:rPr>
        </w:r>
        <w:r w:rsidR="00A90A7E">
          <w:rPr>
            <w:webHidden/>
          </w:rPr>
          <w:fldChar w:fldCharType="separate"/>
        </w:r>
        <w:r w:rsidR="00A90A7E">
          <w:rPr>
            <w:webHidden/>
          </w:rPr>
          <w:t>15</w:t>
        </w:r>
        <w:r w:rsidR="00A90A7E">
          <w:rPr>
            <w:webHidden/>
          </w:rPr>
          <w:fldChar w:fldCharType="end"/>
        </w:r>
      </w:hyperlink>
    </w:p>
    <w:p w14:paraId="6C987319" w14:textId="77777777" w:rsidR="00A90A7E" w:rsidRDefault="00931785">
      <w:pPr>
        <w:pStyle w:val="TDC3"/>
        <w:rPr>
          <w:rFonts w:asciiTheme="minorHAnsi" w:eastAsiaTheme="minorEastAsia" w:hAnsiTheme="minorHAnsi" w:cstheme="minorBidi"/>
          <w:sz w:val="22"/>
          <w:szCs w:val="22"/>
          <w:lang w:eastAsia="es-ES"/>
        </w:rPr>
      </w:pPr>
      <w:hyperlink w:anchor="_Toc496266566" w:history="1">
        <w:r w:rsidR="00A90A7E" w:rsidRPr="00BF7C67">
          <w:rPr>
            <w:rStyle w:val="Hipervnculo"/>
          </w:rPr>
          <w:t>12.</w:t>
        </w:r>
        <w:r w:rsidR="00A90A7E">
          <w:rPr>
            <w:rFonts w:asciiTheme="minorHAnsi" w:eastAsiaTheme="minorEastAsia" w:hAnsiTheme="minorHAnsi" w:cstheme="minorBidi"/>
            <w:sz w:val="22"/>
            <w:szCs w:val="22"/>
            <w:lang w:eastAsia="es-ES"/>
          </w:rPr>
          <w:tab/>
        </w:r>
        <w:r w:rsidR="00A90A7E" w:rsidRPr="00BF7C67">
          <w:rPr>
            <w:rStyle w:val="Hipervnculo"/>
          </w:rPr>
          <w:t>OFERENTES ELEGIBLES</w:t>
        </w:r>
        <w:r w:rsidR="00A90A7E">
          <w:rPr>
            <w:webHidden/>
          </w:rPr>
          <w:tab/>
        </w:r>
        <w:r w:rsidR="00A90A7E">
          <w:rPr>
            <w:webHidden/>
          </w:rPr>
          <w:fldChar w:fldCharType="begin"/>
        </w:r>
        <w:r w:rsidR="00A90A7E">
          <w:rPr>
            <w:webHidden/>
          </w:rPr>
          <w:instrText xml:space="preserve"> PAGEREF _Toc496266566 \h </w:instrText>
        </w:r>
        <w:r w:rsidR="00A90A7E">
          <w:rPr>
            <w:webHidden/>
          </w:rPr>
        </w:r>
        <w:r w:rsidR="00A90A7E">
          <w:rPr>
            <w:webHidden/>
          </w:rPr>
          <w:fldChar w:fldCharType="separate"/>
        </w:r>
        <w:r w:rsidR="00A90A7E">
          <w:rPr>
            <w:webHidden/>
          </w:rPr>
          <w:t>15</w:t>
        </w:r>
        <w:r w:rsidR="00A90A7E">
          <w:rPr>
            <w:webHidden/>
          </w:rPr>
          <w:fldChar w:fldCharType="end"/>
        </w:r>
      </w:hyperlink>
    </w:p>
    <w:p w14:paraId="2F847307" w14:textId="77777777" w:rsidR="00A90A7E" w:rsidRDefault="00931785">
      <w:pPr>
        <w:pStyle w:val="TDC3"/>
        <w:rPr>
          <w:rFonts w:asciiTheme="minorHAnsi" w:eastAsiaTheme="minorEastAsia" w:hAnsiTheme="minorHAnsi" w:cstheme="minorBidi"/>
          <w:sz w:val="22"/>
          <w:szCs w:val="22"/>
          <w:lang w:eastAsia="es-ES"/>
        </w:rPr>
      </w:pPr>
      <w:hyperlink w:anchor="_Toc496266567" w:history="1">
        <w:r w:rsidR="00A90A7E" w:rsidRPr="00BF7C67">
          <w:rPr>
            <w:rStyle w:val="Hipervnculo"/>
          </w:rPr>
          <w:t>13.</w:t>
        </w:r>
        <w:r w:rsidR="00A90A7E">
          <w:rPr>
            <w:rFonts w:asciiTheme="minorHAnsi" w:eastAsiaTheme="minorEastAsia" w:hAnsiTheme="minorHAnsi" w:cstheme="minorBidi"/>
            <w:sz w:val="22"/>
            <w:szCs w:val="22"/>
            <w:lang w:eastAsia="es-ES"/>
          </w:rPr>
          <w:tab/>
        </w:r>
        <w:r w:rsidR="00A90A7E" w:rsidRPr="00BF7C67">
          <w:rPr>
            <w:rStyle w:val="Hipervnculo"/>
          </w:rPr>
          <w:t>CONSTITUCIÓN DE GARANTÍA DE MANTENIMIENTO DE OFERTA</w:t>
        </w:r>
        <w:r w:rsidR="00A90A7E">
          <w:rPr>
            <w:webHidden/>
          </w:rPr>
          <w:tab/>
        </w:r>
        <w:r w:rsidR="00A90A7E">
          <w:rPr>
            <w:webHidden/>
          </w:rPr>
          <w:fldChar w:fldCharType="begin"/>
        </w:r>
        <w:r w:rsidR="00A90A7E">
          <w:rPr>
            <w:webHidden/>
          </w:rPr>
          <w:instrText xml:space="preserve"> PAGEREF _Toc496266567 \h </w:instrText>
        </w:r>
        <w:r w:rsidR="00A90A7E">
          <w:rPr>
            <w:webHidden/>
          </w:rPr>
        </w:r>
        <w:r w:rsidR="00A90A7E">
          <w:rPr>
            <w:webHidden/>
          </w:rPr>
          <w:fldChar w:fldCharType="separate"/>
        </w:r>
        <w:r w:rsidR="00A90A7E">
          <w:rPr>
            <w:webHidden/>
          </w:rPr>
          <w:t>15</w:t>
        </w:r>
        <w:r w:rsidR="00A90A7E">
          <w:rPr>
            <w:webHidden/>
          </w:rPr>
          <w:fldChar w:fldCharType="end"/>
        </w:r>
      </w:hyperlink>
    </w:p>
    <w:p w14:paraId="073DB195" w14:textId="77777777" w:rsidR="00A90A7E" w:rsidRDefault="00931785">
      <w:pPr>
        <w:pStyle w:val="TDC3"/>
        <w:rPr>
          <w:rFonts w:asciiTheme="minorHAnsi" w:eastAsiaTheme="minorEastAsia" w:hAnsiTheme="minorHAnsi" w:cstheme="minorBidi"/>
          <w:sz w:val="22"/>
          <w:szCs w:val="22"/>
          <w:lang w:eastAsia="es-ES"/>
        </w:rPr>
      </w:pPr>
      <w:hyperlink w:anchor="_Toc496266568" w:history="1">
        <w:r w:rsidR="00A90A7E" w:rsidRPr="00BF7C67">
          <w:rPr>
            <w:rStyle w:val="Hipervnculo"/>
          </w:rPr>
          <w:t>14.</w:t>
        </w:r>
        <w:r w:rsidR="00A90A7E">
          <w:rPr>
            <w:rFonts w:asciiTheme="minorHAnsi" w:eastAsiaTheme="minorEastAsia" w:hAnsiTheme="minorHAnsi" w:cstheme="minorBidi"/>
            <w:sz w:val="22"/>
            <w:szCs w:val="22"/>
            <w:lang w:eastAsia="es-ES"/>
          </w:rPr>
          <w:tab/>
        </w:r>
        <w:r w:rsidR="00A90A7E" w:rsidRPr="00BF7C67">
          <w:rPr>
            <w:rStyle w:val="Hipervnculo"/>
          </w:rPr>
          <w:t>PRESENTACIÓN DE LAS PROPUESTAS</w:t>
        </w:r>
        <w:r w:rsidR="00A90A7E">
          <w:rPr>
            <w:webHidden/>
          </w:rPr>
          <w:tab/>
        </w:r>
        <w:r w:rsidR="00A90A7E">
          <w:rPr>
            <w:webHidden/>
          </w:rPr>
          <w:fldChar w:fldCharType="begin"/>
        </w:r>
        <w:r w:rsidR="00A90A7E">
          <w:rPr>
            <w:webHidden/>
          </w:rPr>
          <w:instrText xml:space="preserve"> PAGEREF _Toc496266568 \h </w:instrText>
        </w:r>
        <w:r w:rsidR="00A90A7E">
          <w:rPr>
            <w:webHidden/>
          </w:rPr>
        </w:r>
        <w:r w:rsidR="00A90A7E">
          <w:rPr>
            <w:webHidden/>
          </w:rPr>
          <w:fldChar w:fldCharType="separate"/>
        </w:r>
        <w:r w:rsidR="00A90A7E">
          <w:rPr>
            <w:webHidden/>
          </w:rPr>
          <w:t>16</w:t>
        </w:r>
        <w:r w:rsidR="00A90A7E">
          <w:rPr>
            <w:webHidden/>
          </w:rPr>
          <w:fldChar w:fldCharType="end"/>
        </w:r>
      </w:hyperlink>
    </w:p>
    <w:p w14:paraId="64D25307" w14:textId="77777777" w:rsidR="00A90A7E" w:rsidRDefault="00931785">
      <w:pPr>
        <w:pStyle w:val="TDC3"/>
        <w:rPr>
          <w:rFonts w:asciiTheme="minorHAnsi" w:eastAsiaTheme="minorEastAsia" w:hAnsiTheme="minorHAnsi" w:cstheme="minorBidi"/>
          <w:sz w:val="22"/>
          <w:szCs w:val="22"/>
          <w:lang w:eastAsia="es-ES"/>
        </w:rPr>
      </w:pPr>
      <w:hyperlink w:anchor="_Toc496266569" w:history="1">
        <w:r w:rsidR="00A90A7E" w:rsidRPr="00BF7C67">
          <w:rPr>
            <w:rStyle w:val="Hipervnculo"/>
          </w:rPr>
          <w:t>15.</w:t>
        </w:r>
        <w:r w:rsidR="00A90A7E">
          <w:rPr>
            <w:rFonts w:asciiTheme="minorHAnsi" w:eastAsiaTheme="minorEastAsia" w:hAnsiTheme="minorHAnsi" w:cstheme="minorBidi"/>
            <w:sz w:val="22"/>
            <w:szCs w:val="22"/>
            <w:lang w:eastAsia="es-ES"/>
          </w:rPr>
          <w:tab/>
        </w:r>
        <w:r w:rsidR="00A90A7E" w:rsidRPr="00BF7C67">
          <w:rPr>
            <w:rStyle w:val="Hipervnculo"/>
          </w:rPr>
          <w:t>CONTENIDO DE LAS PROPUESTAS</w:t>
        </w:r>
        <w:r w:rsidR="00A90A7E">
          <w:rPr>
            <w:webHidden/>
          </w:rPr>
          <w:tab/>
        </w:r>
        <w:r w:rsidR="00A90A7E">
          <w:rPr>
            <w:webHidden/>
          </w:rPr>
          <w:fldChar w:fldCharType="begin"/>
        </w:r>
        <w:r w:rsidR="00A90A7E">
          <w:rPr>
            <w:webHidden/>
          </w:rPr>
          <w:instrText xml:space="preserve"> PAGEREF _Toc496266569 \h </w:instrText>
        </w:r>
        <w:r w:rsidR="00A90A7E">
          <w:rPr>
            <w:webHidden/>
          </w:rPr>
        </w:r>
        <w:r w:rsidR="00A90A7E">
          <w:rPr>
            <w:webHidden/>
          </w:rPr>
          <w:fldChar w:fldCharType="separate"/>
        </w:r>
        <w:r w:rsidR="00A90A7E">
          <w:rPr>
            <w:webHidden/>
          </w:rPr>
          <w:t>18</w:t>
        </w:r>
        <w:r w:rsidR="00A90A7E">
          <w:rPr>
            <w:webHidden/>
          </w:rPr>
          <w:fldChar w:fldCharType="end"/>
        </w:r>
      </w:hyperlink>
    </w:p>
    <w:p w14:paraId="73C832B2"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0" w:history="1">
        <w:r w:rsidR="00A90A7E" w:rsidRPr="00BF7C67">
          <w:rPr>
            <w:rStyle w:val="Hipervnculo"/>
            <w:noProof/>
          </w:rPr>
          <w:t>15.1.</w:t>
        </w:r>
        <w:r w:rsidR="00A90A7E">
          <w:rPr>
            <w:rFonts w:eastAsiaTheme="minorEastAsia" w:cstheme="minorBidi"/>
            <w:noProof/>
            <w:sz w:val="22"/>
            <w:szCs w:val="22"/>
            <w:lang w:eastAsia="es-ES"/>
          </w:rPr>
          <w:tab/>
        </w:r>
        <w:r w:rsidR="00A90A7E" w:rsidRPr="00BF7C67">
          <w:rPr>
            <w:rStyle w:val="Hipervnculo"/>
            <w:noProof/>
          </w:rPr>
          <w:t>SOBRE NÚMERO 1: ANTECEDENTES</w:t>
        </w:r>
        <w:r w:rsidR="00A90A7E">
          <w:rPr>
            <w:noProof/>
            <w:webHidden/>
          </w:rPr>
          <w:tab/>
        </w:r>
        <w:r w:rsidR="00A90A7E">
          <w:rPr>
            <w:noProof/>
            <w:webHidden/>
          </w:rPr>
          <w:fldChar w:fldCharType="begin"/>
        </w:r>
        <w:r w:rsidR="00A90A7E">
          <w:rPr>
            <w:noProof/>
            <w:webHidden/>
          </w:rPr>
          <w:instrText xml:space="preserve"> PAGEREF _Toc496266570 \h </w:instrText>
        </w:r>
        <w:r w:rsidR="00A90A7E">
          <w:rPr>
            <w:noProof/>
            <w:webHidden/>
          </w:rPr>
        </w:r>
        <w:r w:rsidR="00A90A7E">
          <w:rPr>
            <w:noProof/>
            <w:webHidden/>
          </w:rPr>
          <w:fldChar w:fldCharType="separate"/>
        </w:r>
        <w:r w:rsidR="00A90A7E">
          <w:rPr>
            <w:noProof/>
            <w:webHidden/>
          </w:rPr>
          <w:t>18</w:t>
        </w:r>
        <w:r w:rsidR="00A90A7E">
          <w:rPr>
            <w:noProof/>
            <w:webHidden/>
          </w:rPr>
          <w:fldChar w:fldCharType="end"/>
        </w:r>
      </w:hyperlink>
    </w:p>
    <w:p w14:paraId="624DB9DE"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1" w:history="1">
        <w:r w:rsidR="00A90A7E" w:rsidRPr="00BF7C67">
          <w:rPr>
            <w:rStyle w:val="Hipervnculo"/>
            <w:noProof/>
          </w:rPr>
          <w:t>15.2.</w:t>
        </w:r>
        <w:r w:rsidR="00A90A7E">
          <w:rPr>
            <w:rFonts w:eastAsiaTheme="minorEastAsia" w:cstheme="minorBidi"/>
            <w:noProof/>
            <w:sz w:val="22"/>
            <w:szCs w:val="22"/>
            <w:lang w:eastAsia="es-ES"/>
          </w:rPr>
          <w:tab/>
        </w:r>
        <w:r w:rsidR="00A90A7E" w:rsidRPr="00BF7C67">
          <w:rPr>
            <w:rStyle w:val="Hipervnculo"/>
            <w:noProof/>
          </w:rPr>
          <w:t>SOBRE NÚMERO 1 PROPUESTA TÉCNICA</w:t>
        </w:r>
        <w:r w:rsidR="00A90A7E">
          <w:rPr>
            <w:noProof/>
            <w:webHidden/>
          </w:rPr>
          <w:tab/>
        </w:r>
        <w:r w:rsidR="00A90A7E">
          <w:rPr>
            <w:noProof/>
            <w:webHidden/>
          </w:rPr>
          <w:fldChar w:fldCharType="begin"/>
        </w:r>
        <w:r w:rsidR="00A90A7E">
          <w:rPr>
            <w:noProof/>
            <w:webHidden/>
          </w:rPr>
          <w:instrText xml:space="preserve"> PAGEREF _Toc496266571 \h </w:instrText>
        </w:r>
        <w:r w:rsidR="00A90A7E">
          <w:rPr>
            <w:noProof/>
            <w:webHidden/>
          </w:rPr>
        </w:r>
        <w:r w:rsidR="00A90A7E">
          <w:rPr>
            <w:noProof/>
            <w:webHidden/>
          </w:rPr>
          <w:fldChar w:fldCharType="separate"/>
        </w:r>
        <w:r w:rsidR="00A90A7E">
          <w:rPr>
            <w:noProof/>
            <w:webHidden/>
          </w:rPr>
          <w:t>23</w:t>
        </w:r>
        <w:r w:rsidR="00A90A7E">
          <w:rPr>
            <w:noProof/>
            <w:webHidden/>
          </w:rPr>
          <w:fldChar w:fldCharType="end"/>
        </w:r>
      </w:hyperlink>
    </w:p>
    <w:p w14:paraId="5AE0665E"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2" w:history="1">
        <w:r w:rsidR="00A90A7E" w:rsidRPr="00BF7C67">
          <w:rPr>
            <w:rStyle w:val="Hipervnculo"/>
            <w:noProof/>
          </w:rPr>
          <w:t>15.3.</w:t>
        </w:r>
        <w:r w:rsidR="00A90A7E">
          <w:rPr>
            <w:rFonts w:eastAsiaTheme="minorEastAsia" w:cstheme="minorBidi"/>
            <w:noProof/>
            <w:sz w:val="22"/>
            <w:szCs w:val="22"/>
            <w:lang w:eastAsia="es-ES"/>
          </w:rPr>
          <w:tab/>
        </w:r>
        <w:r w:rsidR="00A90A7E" w:rsidRPr="00BF7C67">
          <w:rPr>
            <w:rStyle w:val="Hipervnculo"/>
            <w:noProof/>
          </w:rPr>
          <w:t>SOBRE NÚMERO 2. PROPUESTA ECONÓMICA</w:t>
        </w:r>
        <w:r w:rsidR="00A90A7E">
          <w:rPr>
            <w:noProof/>
            <w:webHidden/>
          </w:rPr>
          <w:tab/>
        </w:r>
        <w:r w:rsidR="00A90A7E">
          <w:rPr>
            <w:noProof/>
            <w:webHidden/>
          </w:rPr>
          <w:fldChar w:fldCharType="begin"/>
        </w:r>
        <w:r w:rsidR="00A90A7E">
          <w:rPr>
            <w:noProof/>
            <w:webHidden/>
          </w:rPr>
          <w:instrText xml:space="preserve"> PAGEREF _Toc496266572 \h </w:instrText>
        </w:r>
        <w:r w:rsidR="00A90A7E">
          <w:rPr>
            <w:noProof/>
            <w:webHidden/>
          </w:rPr>
        </w:r>
        <w:r w:rsidR="00A90A7E">
          <w:rPr>
            <w:noProof/>
            <w:webHidden/>
          </w:rPr>
          <w:fldChar w:fldCharType="separate"/>
        </w:r>
        <w:r w:rsidR="00A90A7E">
          <w:rPr>
            <w:noProof/>
            <w:webHidden/>
          </w:rPr>
          <w:t>24</w:t>
        </w:r>
        <w:r w:rsidR="00A90A7E">
          <w:rPr>
            <w:noProof/>
            <w:webHidden/>
          </w:rPr>
          <w:fldChar w:fldCharType="end"/>
        </w:r>
      </w:hyperlink>
    </w:p>
    <w:p w14:paraId="6DC4137D" w14:textId="77777777" w:rsidR="00A90A7E" w:rsidRDefault="00931785">
      <w:pPr>
        <w:pStyle w:val="TDC3"/>
        <w:rPr>
          <w:rFonts w:asciiTheme="minorHAnsi" w:eastAsiaTheme="minorEastAsia" w:hAnsiTheme="minorHAnsi" w:cstheme="minorBidi"/>
          <w:sz w:val="22"/>
          <w:szCs w:val="22"/>
          <w:lang w:eastAsia="es-ES"/>
        </w:rPr>
      </w:pPr>
      <w:hyperlink w:anchor="_Toc496266573" w:history="1">
        <w:r w:rsidR="00A90A7E" w:rsidRPr="00BF7C67">
          <w:rPr>
            <w:rStyle w:val="Hipervnculo"/>
          </w:rPr>
          <w:t>16.</w:t>
        </w:r>
        <w:r w:rsidR="00A90A7E">
          <w:rPr>
            <w:rFonts w:asciiTheme="minorHAnsi" w:eastAsiaTheme="minorEastAsia" w:hAnsiTheme="minorHAnsi" w:cstheme="minorBidi"/>
            <w:sz w:val="22"/>
            <w:szCs w:val="22"/>
            <w:lang w:eastAsia="es-ES"/>
          </w:rPr>
          <w:tab/>
        </w:r>
        <w:r w:rsidR="00A90A7E" w:rsidRPr="00BF7C67">
          <w:rPr>
            <w:rStyle w:val="Hipervnculo"/>
          </w:rPr>
          <w:t>PRESENTACIÓN DE OFERTAS Y ACTO DE APERTURA</w:t>
        </w:r>
        <w:r w:rsidR="00A90A7E">
          <w:rPr>
            <w:webHidden/>
          </w:rPr>
          <w:tab/>
        </w:r>
        <w:r w:rsidR="00A90A7E">
          <w:rPr>
            <w:webHidden/>
          </w:rPr>
          <w:fldChar w:fldCharType="begin"/>
        </w:r>
        <w:r w:rsidR="00A90A7E">
          <w:rPr>
            <w:webHidden/>
          </w:rPr>
          <w:instrText xml:space="preserve"> PAGEREF _Toc496266573 \h </w:instrText>
        </w:r>
        <w:r w:rsidR="00A90A7E">
          <w:rPr>
            <w:webHidden/>
          </w:rPr>
        </w:r>
        <w:r w:rsidR="00A90A7E">
          <w:rPr>
            <w:webHidden/>
          </w:rPr>
          <w:fldChar w:fldCharType="separate"/>
        </w:r>
        <w:r w:rsidR="00A90A7E">
          <w:rPr>
            <w:webHidden/>
          </w:rPr>
          <w:t>24</w:t>
        </w:r>
        <w:r w:rsidR="00A90A7E">
          <w:rPr>
            <w:webHidden/>
          </w:rPr>
          <w:fldChar w:fldCharType="end"/>
        </w:r>
      </w:hyperlink>
    </w:p>
    <w:p w14:paraId="162C9F78" w14:textId="77777777" w:rsidR="00A90A7E" w:rsidRDefault="00931785">
      <w:pPr>
        <w:pStyle w:val="TDC3"/>
        <w:rPr>
          <w:rFonts w:asciiTheme="minorHAnsi" w:eastAsiaTheme="minorEastAsia" w:hAnsiTheme="minorHAnsi" w:cstheme="minorBidi"/>
          <w:sz w:val="22"/>
          <w:szCs w:val="22"/>
          <w:lang w:eastAsia="es-ES"/>
        </w:rPr>
      </w:pPr>
      <w:hyperlink w:anchor="_Toc496266574" w:history="1">
        <w:r w:rsidR="00A90A7E" w:rsidRPr="00BF7C67">
          <w:rPr>
            <w:rStyle w:val="Hipervnculo"/>
          </w:rPr>
          <w:t>17.</w:t>
        </w:r>
        <w:r w:rsidR="00A90A7E">
          <w:rPr>
            <w:rFonts w:asciiTheme="minorHAnsi" w:eastAsiaTheme="minorEastAsia" w:hAnsiTheme="minorHAnsi" w:cstheme="minorBidi"/>
            <w:sz w:val="22"/>
            <w:szCs w:val="22"/>
            <w:lang w:eastAsia="es-ES"/>
          </w:rPr>
          <w:tab/>
        </w:r>
        <w:r w:rsidR="00A90A7E" w:rsidRPr="00BF7C67">
          <w:rPr>
            <w:rStyle w:val="Hipervnculo"/>
          </w:rPr>
          <w:t>COMISIÓN TÉCNICA</w:t>
        </w:r>
        <w:r w:rsidR="00A90A7E">
          <w:rPr>
            <w:webHidden/>
          </w:rPr>
          <w:tab/>
        </w:r>
        <w:r w:rsidR="00A90A7E">
          <w:rPr>
            <w:webHidden/>
          </w:rPr>
          <w:fldChar w:fldCharType="begin"/>
        </w:r>
        <w:r w:rsidR="00A90A7E">
          <w:rPr>
            <w:webHidden/>
          </w:rPr>
          <w:instrText xml:space="preserve"> PAGEREF _Toc496266574 \h </w:instrText>
        </w:r>
        <w:r w:rsidR="00A90A7E">
          <w:rPr>
            <w:webHidden/>
          </w:rPr>
        </w:r>
        <w:r w:rsidR="00A90A7E">
          <w:rPr>
            <w:webHidden/>
          </w:rPr>
          <w:fldChar w:fldCharType="separate"/>
        </w:r>
        <w:r w:rsidR="00A90A7E">
          <w:rPr>
            <w:webHidden/>
          </w:rPr>
          <w:t>25</w:t>
        </w:r>
        <w:r w:rsidR="00A90A7E">
          <w:rPr>
            <w:webHidden/>
          </w:rPr>
          <w:fldChar w:fldCharType="end"/>
        </w:r>
      </w:hyperlink>
    </w:p>
    <w:p w14:paraId="48EE7837" w14:textId="77777777" w:rsidR="00A90A7E" w:rsidRDefault="00931785">
      <w:pPr>
        <w:pStyle w:val="TDC3"/>
        <w:rPr>
          <w:rFonts w:asciiTheme="minorHAnsi" w:eastAsiaTheme="minorEastAsia" w:hAnsiTheme="minorHAnsi" w:cstheme="minorBidi"/>
          <w:sz w:val="22"/>
          <w:szCs w:val="22"/>
          <w:lang w:eastAsia="es-ES"/>
        </w:rPr>
      </w:pPr>
      <w:hyperlink w:anchor="_Toc496266575" w:history="1">
        <w:r w:rsidR="00A90A7E" w:rsidRPr="00BF7C67">
          <w:rPr>
            <w:rStyle w:val="Hipervnculo"/>
          </w:rPr>
          <w:t>18.</w:t>
        </w:r>
        <w:r w:rsidR="00A90A7E">
          <w:rPr>
            <w:rFonts w:asciiTheme="minorHAnsi" w:eastAsiaTheme="minorEastAsia" w:hAnsiTheme="minorHAnsi" w:cstheme="minorBidi"/>
            <w:sz w:val="22"/>
            <w:szCs w:val="22"/>
            <w:lang w:eastAsia="es-ES"/>
          </w:rPr>
          <w:tab/>
        </w:r>
        <w:r w:rsidR="00A90A7E" w:rsidRPr="00BF7C67">
          <w:rPr>
            <w:rStyle w:val="Hipervnculo"/>
          </w:rPr>
          <w:t>APERTURA Y EVALUACIÓN DE LAS PROPUESTAS</w:t>
        </w:r>
        <w:r w:rsidR="00A90A7E">
          <w:rPr>
            <w:webHidden/>
          </w:rPr>
          <w:tab/>
        </w:r>
        <w:r w:rsidR="00A90A7E">
          <w:rPr>
            <w:webHidden/>
          </w:rPr>
          <w:fldChar w:fldCharType="begin"/>
        </w:r>
        <w:r w:rsidR="00A90A7E">
          <w:rPr>
            <w:webHidden/>
          </w:rPr>
          <w:instrText xml:space="preserve"> PAGEREF _Toc496266575 \h </w:instrText>
        </w:r>
        <w:r w:rsidR="00A90A7E">
          <w:rPr>
            <w:webHidden/>
          </w:rPr>
        </w:r>
        <w:r w:rsidR="00A90A7E">
          <w:rPr>
            <w:webHidden/>
          </w:rPr>
          <w:fldChar w:fldCharType="separate"/>
        </w:r>
        <w:r w:rsidR="00A90A7E">
          <w:rPr>
            <w:webHidden/>
          </w:rPr>
          <w:t>26</w:t>
        </w:r>
        <w:r w:rsidR="00A90A7E">
          <w:rPr>
            <w:webHidden/>
          </w:rPr>
          <w:fldChar w:fldCharType="end"/>
        </w:r>
      </w:hyperlink>
    </w:p>
    <w:p w14:paraId="7F86A39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6" w:history="1">
        <w:r w:rsidR="00A90A7E" w:rsidRPr="00BF7C67">
          <w:rPr>
            <w:rStyle w:val="Hipervnculo"/>
            <w:noProof/>
          </w:rPr>
          <w:t>18.1.</w:t>
        </w:r>
        <w:r w:rsidR="00A90A7E">
          <w:rPr>
            <w:rFonts w:eastAsiaTheme="minorEastAsia" w:cstheme="minorBidi"/>
            <w:noProof/>
            <w:sz w:val="22"/>
            <w:szCs w:val="22"/>
            <w:lang w:eastAsia="es-ES"/>
          </w:rPr>
          <w:tab/>
        </w:r>
        <w:r w:rsidR="00A90A7E" w:rsidRPr="00BF7C67">
          <w:rPr>
            <w:rStyle w:val="Hipervnculo"/>
            <w:noProof/>
          </w:rPr>
          <w:t>APERTURA PÚBLICA</w:t>
        </w:r>
        <w:r w:rsidR="00A90A7E">
          <w:rPr>
            <w:noProof/>
            <w:webHidden/>
          </w:rPr>
          <w:tab/>
        </w:r>
        <w:r w:rsidR="00A90A7E">
          <w:rPr>
            <w:noProof/>
            <w:webHidden/>
          </w:rPr>
          <w:fldChar w:fldCharType="begin"/>
        </w:r>
        <w:r w:rsidR="00A90A7E">
          <w:rPr>
            <w:noProof/>
            <w:webHidden/>
          </w:rPr>
          <w:instrText xml:space="preserve"> PAGEREF _Toc496266576 \h </w:instrText>
        </w:r>
        <w:r w:rsidR="00A90A7E">
          <w:rPr>
            <w:noProof/>
            <w:webHidden/>
          </w:rPr>
        </w:r>
        <w:r w:rsidR="00A90A7E">
          <w:rPr>
            <w:noProof/>
            <w:webHidden/>
          </w:rPr>
          <w:fldChar w:fldCharType="separate"/>
        </w:r>
        <w:r w:rsidR="00A90A7E">
          <w:rPr>
            <w:noProof/>
            <w:webHidden/>
          </w:rPr>
          <w:t>26</w:t>
        </w:r>
        <w:r w:rsidR="00A90A7E">
          <w:rPr>
            <w:noProof/>
            <w:webHidden/>
          </w:rPr>
          <w:fldChar w:fldCharType="end"/>
        </w:r>
      </w:hyperlink>
    </w:p>
    <w:p w14:paraId="6B3F520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7" w:history="1">
        <w:r w:rsidR="00A90A7E" w:rsidRPr="00BF7C67">
          <w:rPr>
            <w:rStyle w:val="Hipervnculo"/>
            <w:noProof/>
          </w:rPr>
          <w:t>18.2.</w:t>
        </w:r>
        <w:r w:rsidR="00A90A7E">
          <w:rPr>
            <w:rFonts w:eastAsiaTheme="minorEastAsia" w:cstheme="minorBidi"/>
            <w:noProof/>
            <w:sz w:val="22"/>
            <w:szCs w:val="22"/>
            <w:lang w:eastAsia="es-ES"/>
          </w:rPr>
          <w:tab/>
        </w:r>
        <w:r w:rsidR="00A90A7E" w:rsidRPr="00BF7C67">
          <w:rPr>
            <w:rStyle w:val="Hipervnculo"/>
            <w:noProof/>
          </w:rPr>
          <w:t>EVALUACIÓN DE ANTECEDENTES (Sobre Nº 1).</w:t>
        </w:r>
        <w:r w:rsidR="00A90A7E">
          <w:rPr>
            <w:noProof/>
            <w:webHidden/>
          </w:rPr>
          <w:tab/>
        </w:r>
        <w:r w:rsidR="00A90A7E">
          <w:rPr>
            <w:noProof/>
            <w:webHidden/>
          </w:rPr>
          <w:fldChar w:fldCharType="begin"/>
        </w:r>
        <w:r w:rsidR="00A90A7E">
          <w:rPr>
            <w:noProof/>
            <w:webHidden/>
          </w:rPr>
          <w:instrText xml:space="preserve"> PAGEREF _Toc496266577 \h </w:instrText>
        </w:r>
        <w:r w:rsidR="00A90A7E">
          <w:rPr>
            <w:noProof/>
            <w:webHidden/>
          </w:rPr>
        </w:r>
        <w:r w:rsidR="00A90A7E">
          <w:rPr>
            <w:noProof/>
            <w:webHidden/>
          </w:rPr>
          <w:fldChar w:fldCharType="separate"/>
        </w:r>
        <w:r w:rsidR="00A90A7E">
          <w:rPr>
            <w:noProof/>
            <w:webHidden/>
          </w:rPr>
          <w:t>26</w:t>
        </w:r>
        <w:r w:rsidR="00A90A7E">
          <w:rPr>
            <w:noProof/>
            <w:webHidden/>
          </w:rPr>
          <w:fldChar w:fldCharType="end"/>
        </w:r>
      </w:hyperlink>
    </w:p>
    <w:p w14:paraId="773B36A7"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8" w:history="1">
        <w:r w:rsidR="00A90A7E" w:rsidRPr="00BF7C67">
          <w:rPr>
            <w:rStyle w:val="Hipervnculo"/>
            <w:noProof/>
          </w:rPr>
          <w:t>18.3.</w:t>
        </w:r>
        <w:r w:rsidR="00A90A7E">
          <w:rPr>
            <w:rFonts w:eastAsiaTheme="minorEastAsia" w:cstheme="minorBidi"/>
            <w:noProof/>
            <w:sz w:val="22"/>
            <w:szCs w:val="22"/>
            <w:lang w:eastAsia="es-ES"/>
          </w:rPr>
          <w:tab/>
        </w:r>
        <w:r w:rsidR="00A90A7E" w:rsidRPr="00BF7C67">
          <w:rPr>
            <w:rStyle w:val="Hipervnculo"/>
            <w:noProof/>
          </w:rPr>
          <w:t>EVALUACIÓN DE PROPUESTA TÉCNICA (Sobre Nº 1) E INFORME.</w:t>
        </w:r>
        <w:r w:rsidR="00A90A7E">
          <w:rPr>
            <w:noProof/>
            <w:webHidden/>
          </w:rPr>
          <w:tab/>
        </w:r>
        <w:r w:rsidR="00A90A7E">
          <w:rPr>
            <w:noProof/>
            <w:webHidden/>
          </w:rPr>
          <w:fldChar w:fldCharType="begin"/>
        </w:r>
        <w:r w:rsidR="00A90A7E">
          <w:rPr>
            <w:noProof/>
            <w:webHidden/>
          </w:rPr>
          <w:instrText xml:space="preserve"> PAGEREF _Toc496266578 \h </w:instrText>
        </w:r>
        <w:r w:rsidR="00A90A7E">
          <w:rPr>
            <w:noProof/>
            <w:webHidden/>
          </w:rPr>
        </w:r>
        <w:r w:rsidR="00A90A7E">
          <w:rPr>
            <w:noProof/>
            <w:webHidden/>
          </w:rPr>
          <w:fldChar w:fldCharType="separate"/>
        </w:r>
        <w:r w:rsidR="00A90A7E">
          <w:rPr>
            <w:noProof/>
            <w:webHidden/>
          </w:rPr>
          <w:t>26</w:t>
        </w:r>
        <w:r w:rsidR="00A90A7E">
          <w:rPr>
            <w:noProof/>
            <w:webHidden/>
          </w:rPr>
          <w:fldChar w:fldCharType="end"/>
        </w:r>
      </w:hyperlink>
    </w:p>
    <w:p w14:paraId="35AC8999"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79" w:history="1">
        <w:r w:rsidR="00A90A7E" w:rsidRPr="00BF7C67">
          <w:rPr>
            <w:rStyle w:val="Hipervnculo"/>
            <w:noProof/>
          </w:rPr>
          <w:t>18.4.</w:t>
        </w:r>
        <w:r w:rsidR="00A90A7E">
          <w:rPr>
            <w:rFonts w:eastAsiaTheme="minorEastAsia" w:cstheme="minorBidi"/>
            <w:noProof/>
            <w:sz w:val="22"/>
            <w:szCs w:val="22"/>
            <w:lang w:eastAsia="es-ES"/>
          </w:rPr>
          <w:tab/>
        </w:r>
        <w:r w:rsidR="00A90A7E" w:rsidRPr="00BF7C67">
          <w:rPr>
            <w:rStyle w:val="Hipervnculo"/>
            <w:noProof/>
          </w:rPr>
          <w:t>APERTURA PÚBLICA Y EVALUACIÓN DE LAS PROPUESTAS ECONÓMICAS (Sobre Nº2)</w:t>
        </w:r>
        <w:r w:rsidR="00A90A7E">
          <w:rPr>
            <w:noProof/>
            <w:webHidden/>
          </w:rPr>
          <w:tab/>
        </w:r>
        <w:r w:rsidR="00A90A7E">
          <w:rPr>
            <w:noProof/>
            <w:webHidden/>
          </w:rPr>
          <w:fldChar w:fldCharType="begin"/>
        </w:r>
        <w:r w:rsidR="00A90A7E">
          <w:rPr>
            <w:noProof/>
            <w:webHidden/>
          </w:rPr>
          <w:instrText xml:space="preserve"> PAGEREF _Toc496266579 \h </w:instrText>
        </w:r>
        <w:r w:rsidR="00A90A7E">
          <w:rPr>
            <w:noProof/>
            <w:webHidden/>
          </w:rPr>
        </w:r>
        <w:r w:rsidR="00A90A7E">
          <w:rPr>
            <w:noProof/>
            <w:webHidden/>
          </w:rPr>
          <w:fldChar w:fldCharType="separate"/>
        </w:r>
        <w:r w:rsidR="00A90A7E">
          <w:rPr>
            <w:noProof/>
            <w:webHidden/>
          </w:rPr>
          <w:t>26</w:t>
        </w:r>
        <w:r w:rsidR="00A90A7E">
          <w:rPr>
            <w:noProof/>
            <w:webHidden/>
          </w:rPr>
          <w:fldChar w:fldCharType="end"/>
        </w:r>
      </w:hyperlink>
    </w:p>
    <w:p w14:paraId="37277FD5" w14:textId="77777777" w:rsidR="00A90A7E" w:rsidRDefault="00931785">
      <w:pPr>
        <w:pStyle w:val="TDC3"/>
        <w:rPr>
          <w:rFonts w:asciiTheme="minorHAnsi" w:eastAsiaTheme="minorEastAsia" w:hAnsiTheme="minorHAnsi" w:cstheme="minorBidi"/>
          <w:sz w:val="22"/>
          <w:szCs w:val="22"/>
          <w:lang w:eastAsia="es-ES"/>
        </w:rPr>
      </w:pPr>
      <w:hyperlink w:anchor="_Toc496266580" w:history="1">
        <w:r w:rsidR="00A90A7E" w:rsidRPr="00BF7C67">
          <w:rPr>
            <w:rStyle w:val="Hipervnculo"/>
          </w:rPr>
          <w:t>19.</w:t>
        </w:r>
        <w:r w:rsidR="00A90A7E">
          <w:rPr>
            <w:rFonts w:asciiTheme="minorHAnsi" w:eastAsiaTheme="minorEastAsia" w:hAnsiTheme="minorHAnsi" w:cstheme="minorBidi"/>
            <w:sz w:val="22"/>
            <w:szCs w:val="22"/>
            <w:lang w:eastAsia="es-ES"/>
          </w:rPr>
          <w:tab/>
        </w:r>
        <w:r w:rsidR="00A90A7E" w:rsidRPr="00BF7C67">
          <w:rPr>
            <w:rStyle w:val="Hipervnculo"/>
          </w:rPr>
          <w:t>ADJUDICACIÓN PROVISIONAL</w:t>
        </w:r>
        <w:r w:rsidR="00A90A7E">
          <w:rPr>
            <w:webHidden/>
          </w:rPr>
          <w:tab/>
        </w:r>
        <w:r w:rsidR="00A90A7E">
          <w:rPr>
            <w:webHidden/>
          </w:rPr>
          <w:fldChar w:fldCharType="begin"/>
        </w:r>
        <w:r w:rsidR="00A90A7E">
          <w:rPr>
            <w:webHidden/>
          </w:rPr>
          <w:instrText xml:space="preserve"> PAGEREF _Toc496266580 \h </w:instrText>
        </w:r>
        <w:r w:rsidR="00A90A7E">
          <w:rPr>
            <w:webHidden/>
          </w:rPr>
        </w:r>
        <w:r w:rsidR="00A90A7E">
          <w:rPr>
            <w:webHidden/>
          </w:rPr>
          <w:fldChar w:fldCharType="separate"/>
        </w:r>
        <w:r w:rsidR="00A90A7E">
          <w:rPr>
            <w:webHidden/>
          </w:rPr>
          <w:t>27</w:t>
        </w:r>
        <w:r w:rsidR="00A90A7E">
          <w:rPr>
            <w:webHidden/>
          </w:rPr>
          <w:fldChar w:fldCharType="end"/>
        </w:r>
      </w:hyperlink>
    </w:p>
    <w:p w14:paraId="015FF2A3"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81" w:history="1">
        <w:r w:rsidR="00A90A7E" w:rsidRPr="00BF7C67">
          <w:rPr>
            <w:rStyle w:val="Hipervnculo"/>
            <w:noProof/>
          </w:rPr>
          <w:t>19.1.</w:t>
        </w:r>
        <w:r w:rsidR="00A90A7E">
          <w:rPr>
            <w:rFonts w:eastAsiaTheme="minorEastAsia" w:cstheme="minorBidi"/>
            <w:noProof/>
            <w:sz w:val="22"/>
            <w:szCs w:val="22"/>
            <w:lang w:eastAsia="es-ES"/>
          </w:rPr>
          <w:tab/>
        </w:r>
        <w:r w:rsidR="00A90A7E" w:rsidRPr="00BF7C67">
          <w:rPr>
            <w:rStyle w:val="Hipervnculo"/>
            <w:noProof/>
          </w:rPr>
          <w:t>LA CONTRATANTE</w:t>
        </w:r>
        <w:r w:rsidR="00A90A7E">
          <w:rPr>
            <w:noProof/>
            <w:webHidden/>
          </w:rPr>
          <w:tab/>
        </w:r>
        <w:r w:rsidR="00A90A7E">
          <w:rPr>
            <w:noProof/>
            <w:webHidden/>
          </w:rPr>
          <w:fldChar w:fldCharType="begin"/>
        </w:r>
        <w:r w:rsidR="00A90A7E">
          <w:rPr>
            <w:noProof/>
            <w:webHidden/>
          </w:rPr>
          <w:instrText xml:space="preserve"> PAGEREF _Toc496266581 \h </w:instrText>
        </w:r>
        <w:r w:rsidR="00A90A7E">
          <w:rPr>
            <w:noProof/>
            <w:webHidden/>
          </w:rPr>
        </w:r>
        <w:r w:rsidR="00A90A7E">
          <w:rPr>
            <w:noProof/>
            <w:webHidden/>
          </w:rPr>
          <w:fldChar w:fldCharType="separate"/>
        </w:r>
        <w:r w:rsidR="00A90A7E">
          <w:rPr>
            <w:noProof/>
            <w:webHidden/>
          </w:rPr>
          <w:t>27</w:t>
        </w:r>
        <w:r w:rsidR="00A90A7E">
          <w:rPr>
            <w:noProof/>
            <w:webHidden/>
          </w:rPr>
          <w:fldChar w:fldCharType="end"/>
        </w:r>
      </w:hyperlink>
    </w:p>
    <w:p w14:paraId="58EC0C0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82" w:history="1">
        <w:r w:rsidR="00A90A7E" w:rsidRPr="00BF7C67">
          <w:rPr>
            <w:rStyle w:val="Hipervnculo"/>
            <w:noProof/>
          </w:rPr>
          <w:t>19.2.</w:t>
        </w:r>
        <w:r w:rsidR="00A90A7E">
          <w:rPr>
            <w:rFonts w:eastAsiaTheme="minorEastAsia" w:cstheme="minorBidi"/>
            <w:noProof/>
            <w:sz w:val="22"/>
            <w:szCs w:val="22"/>
            <w:lang w:eastAsia="es-ES"/>
          </w:rPr>
          <w:tab/>
        </w:r>
        <w:r w:rsidR="00A90A7E" w:rsidRPr="00BF7C67">
          <w:rPr>
            <w:rStyle w:val="Hipervnculo"/>
            <w:noProof/>
          </w:rPr>
          <w:t>DOCUMENTACIÓN A PRESENTAR</w:t>
        </w:r>
        <w:r w:rsidR="00A90A7E">
          <w:rPr>
            <w:noProof/>
            <w:webHidden/>
          </w:rPr>
          <w:tab/>
        </w:r>
        <w:r w:rsidR="00A90A7E">
          <w:rPr>
            <w:noProof/>
            <w:webHidden/>
          </w:rPr>
          <w:fldChar w:fldCharType="begin"/>
        </w:r>
        <w:r w:rsidR="00A90A7E">
          <w:rPr>
            <w:noProof/>
            <w:webHidden/>
          </w:rPr>
          <w:instrText xml:space="preserve"> PAGEREF _Toc496266582 \h </w:instrText>
        </w:r>
        <w:r w:rsidR="00A90A7E">
          <w:rPr>
            <w:noProof/>
            <w:webHidden/>
          </w:rPr>
        </w:r>
        <w:r w:rsidR="00A90A7E">
          <w:rPr>
            <w:noProof/>
            <w:webHidden/>
          </w:rPr>
          <w:fldChar w:fldCharType="separate"/>
        </w:r>
        <w:r w:rsidR="00A90A7E">
          <w:rPr>
            <w:noProof/>
            <w:webHidden/>
          </w:rPr>
          <w:t>28</w:t>
        </w:r>
        <w:r w:rsidR="00A90A7E">
          <w:rPr>
            <w:noProof/>
            <w:webHidden/>
          </w:rPr>
          <w:fldChar w:fldCharType="end"/>
        </w:r>
      </w:hyperlink>
    </w:p>
    <w:p w14:paraId="7296B7A5" w14:textId="77777777" w:rsidR="00A90A7E" w:rsidRDefault="00931785">
      <w:pPr>
        <w:pStyle w:val="TDC3"/>
        <w:rPr>
          <w:rFonts w:asciiTheme="minorHAnsi" w:eastAsiaTheme="minorEastAsia" w:hAnsiTheme="minorHAnsi" w:cstheme="minorBidi"/>
          <w:sz w:val="22"/>
          <w:szCs w:val="22"/>
          <w:lang w:eastAsia="es-ES"/>
        </w:rPr>
      </w:pPr>
      <w:hyperlink w:anchor="_Toc496266583" w:history="1">
        <w:r w:rsidR="00A90A7E" w:rsidRPr="00BF7C67">
          <w:rPr>
            <w:rStyle w:val="Hipervnculo"/>
          </w:rPr>
          <w:t>20.</w:t>
        </w:r>
        <w:r w:rsidR="00A90A7E">
          <w:rPr>
            <w:rFonts w:asciiTheme="minorHAnsi" w:eastAsiaTheme="minorEastAsia" w:hAnsiTheme="minorHAnsi" w:cstheme="minorBidi"/>
            <w:sz w:val="22"/>
            <w:szCs w:val="22"/>
            <w:lang w:eastAsia="es-ES"/>
          </w:rPr>
          <w:tab/>
        </w:r>
        <w:r w:rsidR="00A90A7E" w:rsidRPr="00BF7C67">
          <w:rPr>
            <w:rStyle w:val="Hipervnculo"/>
          </w:rPr>
          <w:t>ADJUDICACIÓN DEFINITIVA</w:t>
        </w:r>
        <w:r w:rsidR="00A90A7E">
          <w:rPr>
            <w:webHidden/>
          </w:rPr>
          <w:tab/>
        </w:r>
        <w:r w:rsidR="00A90A7E">
          <w:rPr>
            <w:webHidden/>
          </w:rPr>
          <w:fldChar w:fldCharType="begin"/>
        </w:r>
        <w:r w:rsidR="00A90A7E">
          <w:rPr>
            <w:webHidden/>
          </w:rPr>
          <w:instrText xml:space="preserve"> PAGEREF _Toc496266583 \h </w:instrText>
        </w:r>
        <w:r w:rsidR="00A90A7E">
          <w:rPr>
            <w:webHidden/>
          </w:rPr>
        </w:r>
        <w:r w:rsidR="00A90A7E">
          <w:rPr>
            <w:webHidden/>
          </w:rPr>
          <w:fldChar w:fldCharType="separate"/>
        </w:r>
        <w:r w:rsidR="00A90A7E">
          <w:rPr>
            <w:webHidden/>
          </w:rPr>
          <w:t>29</w:t>
        </w:r>
        <w:r w:rsidR="00A90A7E">
          <w:rPr>
            <w:webHidden/>
          </w:rPr>
          <w:fldChar w:fldCharType="end"/>
        </w:r>
      </w:hyperlink>
    </w:p>
    <w:p w14:paraId="1B101C58" w14:textId="77777777" w:rsidR="00A90A7E" w:rsidRDefault="00931785">
      <w:pPr>
        <w:pStyle w:val="TDC3"/>
        <w:rPr>
          <w:rFonts w:asciiTheme="minorHAnsi" w:eastAsiaTheme="minorEastAsia" w:hAnsiTheme="minorHAnsi" w:cstheme="minorBidi"/>
          <w:sz w:val="22"/>
          <w:szCs w:val="22"/>
          <w:lang w:eastAsia="es-ES"/>
        </w:rPr>
      </w:pPr>
      <w:hyperlink w:anchor="_Toc496266584" w:history="1">
        <w:r w:rsidR="00A90A7E" w:rsidRPr="00BF7C67">
          <w:rPr>
            <w:rStyle w:val="Hipervnculo"/>
          </w:rPr>
          <w:t>21.</w:t>
        </w:r>
        <w:r w:rsidR="00A90A7E">
          <w:rPr>
            <w:rFonts w:asciiTheme="minorHAnsi" w:eastAsiaTheme="minorEastAsia" w:hAnsiTheme="minorHAnsi" w:cstheme="minorBidi"/>
            <w:sz w:val="22"/>
            <w:szCs w:val="22"/>
            <w:lang w:eastAsia="es-ES"/>
          </w:rPr>
          <w:tab/>
        </w:r>
        <w:r w:rsidR="00A90A7E" w:rsidRPr="00BF7C67">
          <w:rPr>
            <w:rStyle w:val="Hipervnculo"/>
          </w:rPr>
          <w:t>TITULAR DEL CONTRATO</w:t>
        </w:r>
        <w:r w:rsidR="00A90A7E">
          <w:rPr>
            <w:webHidden/>
          </w:rPr>
          <w:tab/>
        </w:r>
        <w:r w:rsidR="00A90A7E">
          <w:rPr>
            <w:webHidden/>
          </w:rPr>
          <w:fldChar w:fldCharType="begin"/>
        </w:r>
        <w:r w:rsidR="00A90A7E">
          <w:rPr>
            <w:webHidden/>
          </w:rPr>
          <w:instrText xml:space="preserve"> PAGEREF _Toc496266584 \h </w:instrText>
        </w:r>
        <w:r w:rsidR="00A90A7E">
          <w:rPr>
            <w:webHidden/>
          </w:rPr>
        </w:r>
        <w:r w:rsidR="00A90A7E">
          <w:rPr>
            <w:webHidden/>
          </w:rPr>
          <w:fldChar w:fldCharType="separate"/>
        </w:r>
        <w:r w:rsidR="00A90A7E">
          <w:rPr>
            <w:webHidden/>
          </w:rPr>
          <w:t>29</w:t>
        </w:r>
        <w:r w:rsidR="00A90A7E">
          <w:rPr>
            <w:webHidden/>
          </w:rPr>
          <w:fldChar w:fldCharType="end"/>
        </w:r>
      </w:hyperlink>
    </w:p>
    <w:p w14:paraId="541C28EB" w14:textId="77777777" w:rsidR="00A90A7E" w:rsidRDefault="00931785">
      <w:pPr>
        <w:pStyle w:val="TDC1"/>
        <w:rPr>
          <w:rFonts w:asciiTheme="minorHAnsi" w:eastAsiaTheme="minorEastAsia" w:hAnsiTheme="minorHAnsi" w:cstheme="minorBidi"/>
          <w:b w:val="0"/>
          <w:bCs w:val="0"/>
          <w:caps w:val="0"/>
          <w:lang w:val="es-ES"/>
        </w:rPr>
      </w:pPr>
      <w:hyperlink w:anchor="_Toc496266585" w:history="1">
        <w:r w:rsidR="00A90A7E" w:rsidRPr="00BF7C67">
          <w:rPr>
            <w:rStyle w:val="Hipervnculo"/>
          </w:rPr>
          <w:t>CAPÍTULO III: ACTUACIONES PREVIAS Y FORMALIZACIÓN DEL CONTRATO</w:t>
        </w:r>
        <w:r w:rsidR="00A90A7E">
          <w:rPr>
            <w:webHidden/>
          </w:rPr>
          <w:tab/>
        </w:r>
        <w:r w:rsidR="00A90A7E">
          <w:rPr>
            <w:webHidden/>
          </w:rPr>
          <w:fldChar w:fldCharType="begin"/>
        </w:r>
        <w:r w:rsidR="00A90A7E">
          <w:rPr>
            <w:webHidden/>
          </w:rPr>
          <w:instrText xml:space="preserve"> PAGEREF _Toc496266585 \h </w:instrText>
        </w:r>
        <w:r w:rsidR="00A90A7E">
          <w:rPr>
            <w:webHidden/>
          </w:rPr>
        </w:r>
        <w:r w:rsidR="00A90A7E">
          <w:rPr>
            <w:webHidden/>
          </w:rPr>
          <w:fldChar w:fldCharType="separate"/>
        </w:r>
        <w:r w:rsidR="00A90A7E">
          <w:rPr>
            <w:webHidden/>
          </w:rPr>
          <w:t>30</w:t>
        </w:r>
        <w:r w:rsidR="00A90A7E">
          <w:rPr>
            <w:webHidden/>
          </w:rPr>
          <w:fldChar w:fldCharType="end"/>
        </w:r>
      </w:hyperlink>
    </w:p>
    <w:p w14:paraId="575AAE1D" w14:textId="77777777" w:rsidR="00A90A7E" w:rsidRDefault="00931785">
      <w:pPr>
        <w:pStyle w:val="TDC3"/>
        <w:rPr>
          <w:rFonts w:asciiTheme="minorHAnsi" w:eastAsiaTheme="minorEastAsia" w:hAnsiTheme="minorHAnsi" w:cstheme="minorBidi"/>
          <w:sz w:val="22"/>
          <w:szCs w:val="22"/>
          <w:lang w:eastAsia="es-ES"/>
        </w:rPr>
      </w:pPr>
      <w:hyperlink w:anchor="_Toc496266586" w:history="1">
        <w:r w:rsidR="00A90A7E" w:rsidRPr="00BF7C67">
          <w:rPr>
            <w:rStyle w:val="Hipervnculo"/>
          </w:rPr>
          <w:t>22.</w:t>
        </w:r>
        <w:r w:rsidR="00A90A7E">
          <w:rPr>
            <w:rFonts w:asciiTheme="minorHAnsi" w:eastAsiaTheme="minorEastAsia" w:hAnsiTheme="minorHAnsi" w:cstheme="minorBidi"/>
            <w:sz w:val="22"/>
            <w:szCs w:val="22"/>
            <w:lang w:eastAsia="es-ES"/>
          </w:rPr>
          <w:tab/>
        </w:r>
        <w:r w:rsidR="00A90A7E" w:rsidRPr="00BF7C67">
          <w:rPr>
            <w:rStyle w:val="Hipervnculo"/>
          </w:rPr>
          <w:t>SOCIEDAD DE OBJETO EXCLUSIVO</w:t>
        </w:r>
        <w:r w:rsidR="00A90A7E">
          <w:rPr>
            <w:webHidden/>
          </w:rPr>
          <w:tab/>
        </w:r>
        <w:r w:rsidR="00A90A7E">
          <w:rPr>
            <w:webHidden/>
          </w:rPr>
          <w:fldChar w:fldCharType="begin"/>
        </w:r>
        <w:r w:rsidR="00A90A7E">
          <w:rPr>
            <w:webHidden/>
          </w:rPr>
          <w:instrText xml:space="preserve"> PAGEREF _Toc496266586 \h </w:instrText>
        </w:r>
        <w:r w:rsidR="00A90A7E">
          <w:rPr>
            <w:webHidden/>
          </w:rPr>
        </w:r>
        <w:r w:rsidR="00A90A7E">
          <w:rPr>
            <w:webHidden/>
          </w:rPr>
          <w:fldChar w:fldCharType="separate"/>
        </w:r>
        <w:r w:rsidR="00A90A7E">
          <w:rPr>
            <w:webHidden/>
          </w:rPr>
          <w:t>30</w:t>
        </w:r>
        <w:r w:rsidR="00A90A7E">
          <w:rPr>
            <w:webHidden/>
          </w:rPr>
          <w:fldChar w:fldCharType="end"/>
        </w:r>
      </w:hyperlink>
    </w:p>
    <w:p w14:paraId="4CD67A35"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87" w:history="1">
        <w:r w:rsidR="00A90A7E" w:rsidRPr="00BF7C67">
          <w:rPr>
            <w:rStyle w:val="Hipervnculo"/>
            <w:noProof/>
          </w:rPr>
          <w:t>22.1.</w:t>
        </w:r>
        <w:r w:rsidR="00A90A7E">
          <w:rPr>
            <w:rFonts w:eastAsiaTheme="minorEastAsia" w:cstheme="minorBidi"/>
            <w:noProof/>
            <w:sz w:val="22"/>
            <w:szCs w:val="22"/>
            <w:lang w:eastAsia="es-ES"/>
          </w:rPr>
          <w:tab/>
        </w:r>
        <w:r w:rsidR="00A90A7E" w:rsidRPr="00BF7C67">
          <w:rPr>
            <w:rStyle w:val="Hipervnculo"/>
            <w:noProof/>
          </w:rPr>
          <w:t>CONSTITUCIÓN Y ESTATUTOS DE LA SOCIEDAD DE OBJETO EXCLUSIVO</w:t>
        </w:r>
        <w:r w:rsidR="00A90A7E">
          <w:rPr>
            <w:noProof/>
            <w:webHidden/>
          </w:rPr>
          <w:tab/>
        </w:r>
        <w:r w:rsidR="00A90A7E">
          <w:rPr>
            <w:noProof/>
            <w:webHidden/>
          </w:rPr>
          <w:fldChar w:fldCharType="begin"/>
        </w:r>
        <w:r w:rsidR="00A90A7E">
          <w:rPr>
            <w:noProof/>
            <w:webHidden/>
          </w:rPr>
          <w:instrText xml:space="preserve"> PAGEREF _Toc496266587 \h </w:instrText>
        </w:r>
        <w:r w:rsidR="00A90A7E">
          <w:rPr>
            <w:noProof/>
            <w:webHidden/>
          </w:rPr>
        </w:r>
        <w:r w:rsidR="00A90A7E">
          <w:rPr>
            <w:noProof/>
            <w:webHidden/>
          </w:rPr>
          <w:fldChar w:fldCharType="separate"/>
        </w:r>
        <w:r w:rsidR="00A90A7E">
          <w:rPr>
            <w:noProof/>
            <w:webHidden/>
          </w:rPr>
          <w:t>30</w:t>
        </w:r>
        <w:r w:rsidR="00A90A7E">
          <w:rPr>
            <w:noProof/>
            <w:webHidden/>
          </w:rPr>
          <w:fldChar w:fldCharType="end"/>
        </w:r>
      </w:hyperlink>
    </w:p>
    <w:p w14:paraId="5B1B1DC4"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88" w:history="1">
        <w:r w:rsidR="00A90A7E" w:rsidRPr="00BF7C67">
          <w:rPr>
            <w:rStyle w:val="Hipervnculo"/>
            <w:noProof/>
          </w:rPr>
          <w:t>22.2.</w:t>
        </w:r>
        <w:r w:rsidR="00A90A7E">
          <w:rPr>
            <w:rFonts w:eastAsiaTheme="minorEastAsia" w:cstheme="minorBidi"/>
            <w:noProof/>
            <w:sz w:val="22"/>
            <w:szCs w:val="22"/>
            <w:lang w:eastAsia="es-ES"/>
          </w:rPr>
          <w:tab/>
        </w:r>
        <w:r w:rsidR="00A90A7E" w:rsidRPr="00BF7C67">
          <w:rPr>
            <w:rStyle w:val="Hipervnculo"/>
            <w:noProof/>
          </w:rPr>
          <w:t>CAPITAL SOCIAL</w:t>
        </w:r>
        <w:r w:rsidR="00A90A7E">
          <w:rPr>
            <w:noProof/>
            <w:webHidden/>
          </w:rPr>
          <w:tab/>
        </w:r>
        <w:r w:rsidR="00A90A7E">
          <w:rPr>
            <w:noProof/>
            <w:webHidden/>
          </w:rPr>
          <w:fldChar w:fldCharType="begin"/>
        </w:r>
        <w:r w:rsidR="00A90A7E">
          <w:rPr>
            <w:noProof/>
            <w:webHidden/>
          </w:rPr>
          <w:instrText xml:space="preserve"> PAGEREF _Toc496266588 \h </w:instrText>
        </w:r>
        <w:r w:rsidR="00A90A7E">
          <w:rPr>
            <w:noProof/>
            <w:webHidden/>
          </w:rPr>
        </w:r>
        <w:r w:rsidR="00A90A7E">
          <w:rPr>
            <w:noProof/>
            <w:webHidden/>
          </w:rPr>
          <w:fldChar w:fldCharType="separate"/>
        </w:r>
        <w:r w:rsidR="00A90A7E">
          <w:rPr>
            <w:noProof/>
            <w:webHidden/>
          </w:rPr>
          <w:t>30</w:t>
        </w:r>
        <w:r w:rsidR="00A90A7E">
          <w:rPr>
            <w:noProof/>
            <w:webHidden/>
          </w:rPr>
          <w:fldChar w:fldCharType="end"/>
        </w:r>
      </w:hyperlink>
    </w:p>
    <w:p w14:paraId="3A51D23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89" w:history="1">
        <w:r w:rsidR="00A90A7E" w:rsidRPr="00BF7C67">
          <w:rPr>
            <w:rStyle w:val="Hipervnculo"/>
            <w:noProof/>
          </w:rPr>
          <w:t>22.3.</w:t>
        </w:r>
        <w:r w:rsidR="00A90A7E">
          <w:rPr>
            <w:rFonts w:eastAsiaTheme="minorEastAsia" w:cstheme="minorBidi"/>
            <w:noProof/>
            <w:sz w:val="22"/>
            <w:szCs w:val="22"/>
            <w:lang w:eastAsia="es-ES"/>
          </w:rPr>
          <w:tab/>
        </w:r>
        <w:r w:rsidR="00A90A7E" w:rsidRPr="00BF7C67">
          <w:rPr>
            <w:rStyle w:val="Hipervnculo"/>
            <w:noProof/>
          </w:rPr>
          <w:t>RECURSOS AJENOS</w:t>
        </w:r>
        <w:r w:rsidR="00A90A7E">
          <w:rPr>
            <w:noProof/>
            <w:webHidden/>
          </w:rPr>
          <w:tab/>
        </w:r>
        <w:r w:rsidR="00A90A7E">
          <w:rPr>
            <w:noProof/>
            <w:webHidden/>
          </w:rPr>
          <w:fldChar w:fldCharType="begin"/>
        </w:r>
        <w:r w:rsidR="00A90A7E">
          <w:rPr>
            <w:noProof/>
            <w:webHidden/>
          </w:rPr>
          <w:instrText xml:space="preserve"> PAGEREF _Toc496266589 \h </w:instrText>
        </w:r>
        <w:r w:rsidR="00A90A7E">
          <w:rPr>
            <w:noProof/>
            <w:webHidden/>
          </w:rPr>
        </w:r>
        <w:r w:rsidR="00A90A7E">
          <w:rPr>
            <w:noProof/>
            <w:webHidden/>
          </w:rPr>
          <w:fldChar w:fldCharType="separate"/>
        </w:r>
        <w:r w:rsidR="00A90A7E">
          <w:rPr>
            <w:noProof/>
            <w:webHidden/>
          </w:rPr>
          <w:t>31</w:t>
        </w:r>
        <w:r w:rsidR="00A90A7E">
          <w:rPr>
            <w:noProof/>
            <w:webHidden/>
          </w:rPr>
          <w:fldChar w:fldCharType="end"/>
        </w:r>
      </w:hyperlink>
    </w:p>
    <w:p w14:paraId="6FFAD5BB"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0" w:history="1">
        <w:r w:rsidR="00A90A7E" w:rsidRPr="00BF7C67">
          <w:rPr>
            <w:rStyle w:val="Hipervnculo"/>
            <w:noProof/>
          </w:rPr>
          <w:t>22.4.</w:t>
        </w:r>
        <w:r w:rsidR="00A90A7E">
          <w:rPr>
            <w:rFonts w:eastAsiaTheme="minorEastAsia" w:cstheme="minorBidi"/>
            <w:noProof/>
            <w:sz w:val="22"/>
            <w:szCs w:val="22"/>
            <w:lang w:eastAsia="es-ES"/>
          </w:rPr>
          <w:tab/>
        </w:r>
        <w:r w:rsidR="00A90A7E" w:rsidRPr="00BF7C67">
          <w:rPr>
            <w:rStyle w:val="Hipervnculo"/>
            <w:noProof/>
          </w:rPr>
          <w:t>ALTERACIÓN DE LA COMPOSICIÓN DEL ACCIONARIADO DE LA SOCIEDAD</w:t>
        </w:r>
        <w:r w:rsidR="00A90A7E">
          <w:rPr>
            <w:noProof/>
            <w:webHidden/>
          </w:rPr>
          <w:tab/>
        </w:r>
        <w:r w:rsidR="00A90A7E">
          <w:rPr>
            <w:noProof/>
            <w:webHidden/>
          </w:rPr>
          <w:fldChar w:fldCharType="begin"/>
        </w:r>
        <w:r w:rsidR="00A90A7E">
          <w:rPr>
            <w:noProof/>
            <w:webHidden/>
          </w:rPr>
          <w:instrText xml:space="preserve"> PAGEREF _Toc496266590 \h </w:instrText>
        </w:r>
        <w:r w:rsidR="00A90A7E">
          <w:rPr>
            <w:noProof/>
            <w:webHidden/>
          </w:rPr>
        </w:r>
        <w:r w:rsidR="00A90A7E">
          <w:rPr>
            <w:noProof/>
            <w:webHidden/>
          </w:rPr>
          <w:fldChar w:fldCharType="separate"/>
        </w:r>
        <w:r w:rsidR="00A90A7E">
          <w:rPr>
            <w:noProof/>
            <w:webHidden/>
          </w:rPr>
          <w:t>31</w:t>
        </w:r>
        <w:r w:rsidR="00A90A7E">
          <w:rPr>
            <w:noProof/>
            <w:webHidden/>
          </w:rPr>
          <w:fldChar w:fldCharType="end"/>
        </w:r>
      </w:hyperlink>
    </w:p>
    <w:p w14:paraId="04E65EE6" w14:textId="77777777" w:rsidR="00A90A7E" w:rsidRDefault="00931785">
      <w:pPr>
        <w:pStyle w:val="TDC3"/>
        <w:rPr>
          <w:rFonts w:asciiTheme="minorHAnsi" w:eastAsiaTheme="minorEastAsia" w:hAnsiTheme="minorHAnsi" w:cstheme="minorBidi"/>
          <w:sz w:val="22"/>
          <w:szCs w:val="22"/>
          <w:lang w:eastAsia="es-ES"/>
        </w:rPr>
      </w:pPr>
      <w:hyperlink w:anchor="_Toc496266591" w:history="1">
        <w:r w:rsidR="00A90A7E" w:rsidRPr="00BF7C67">
          <w:rPr>
            <w:rStyle w:val="Hipervnculo"/>
          </w:rPr>
          <w:t>23.</w:t>
        </w:r>
        <w:r w:rsidR="00A90A7E">
          <w:rPr>
            <w:rFonts w:asciiTheme="minorHAnsi" w:eastAsiaTheme="minorEastAsia" w:hAnsiTheme="minorHAnsi" w:cstheme="minorBidi"/>
            <w:sz w:val="22"/>
            <w:szCs w:val="22"/>
            <w:lang w:eastAsia="es-ES"/>
          </w:rPr>
          <w:tab/>
        </w:r>
        <w:r w:rsidR="00A90A7E" w:rsidRPr="00BF7C67">
          <w:rPr>
            <w:rStyle w:val="Hipervnculo"/>
          </w:rPr>
          <w:t>PLAN ECONÓMICO FINANCIERO DEFINITIVO</w:t>
        </w:r>
        <w:r w:rsidR="00A90A7E">
          <w:rPr>
            <w:webHidden/>
          </w:rPr>
          <w:tab/>
        </w:r>
        <w:r w:rsidR="00A90A7E">
          <w:rPr>
            <w:webHidden/>
          </w:rPr>
          <w:fldChar w:fldCharType="begin"/>
        </w:r>
        <w:r w:rsidR="00A90A7E">
          <w:rPr>
            <w:webHidden/>
          </w:rPr>
          <w:instrText xml:space="preserve"> PAGEREF _Toc496266591 \h </w:instrText>
        </w:r>
        <w:r w:rsidR="00A90A7E">
          <w:rPr>
            <w:webHidden/>
          </w:rPr>
        </w:r>
        <w:r w:rsidR="00A90A7E">
          <w:rPr>
            <w:webHidden/>
          </w:rPr>
          <w:fldChar w:fldCharType="separate"/>
        </w:r>
        <w:r w:rsidR="00A90A7E">
          <w:rPr>
            <w:webHidden/>
          </w:rPr>
          <w:t>32</w:t>
        </w:r>
        <w:r w:rsidR="00A90A7E">
          <w:rPr>
            <w:webHidden/>
          </w:rPr>
          <w:fldChar w:fldCharType="end"/>
        </w:r>
      </w:hyperlink>
    </w:p>
    <w:p w14:paraId="14D349B1" w14:textId="77777777" w:rsidR="00A90A7E" w:rsidRDefault="00931785">
      <w:pPr>
        <w:pStyle w:val="TDC3"/>
        <w:rPr>
          <w:rFonts w:asciiTheme="minorHAnsi" w:eastAsiaTheme="minorEastAsia" w:hAnsiTheme="minorHAnsi" w:cstheme="minorBidi"/>
          <w:sz w:val="22"/>
          <w:szCs w:val="22"/>
          <w:lang w:eastAsia="es-ES"/>
        </w:rPr>
      </w:pPr>
      <w:hyperlink w:anchor="_Toc496266592" w:history="1">
        <w:r w:rsidR="00A90A7E" w:rsidRPr="00BF7C67">
          <w:rPr>
            <w:rStyle w:val="Hipervnculo"/>
          </w:rPr>
          <w:t>24.</w:t>
        </w:r>
        <w:r w:rsidR="00A90A7E">
          <w:rPr>
            <w:rFonts w:asciiTheme="minorHAnsi" w:eastAsiaTheme="minorEastAsia" w:hAnsiTheme="minorHAnsi" w:cstheme="minorBidi"/>
            <w:sz w:val="22"/>
            <w:szCs w:val="22"/>
            <w:lang w:eastAsia="es-ES"/>
          </w:rPr>
          <w:tab/>
        </w:r>
        <w:r w:rsidR="00A90A7E" w:rsidRPr="00BF7C67">
          <w:rPr>
            <w:rStyle w:val="Hipervnculo"/>
          </w:rPr>
          <w:t>CONSTITUCIÓN DE GARANTÍAS</w:t>
        </w:r>
        <w:r w:rsidR="00A90A7E">
          <w:rPr>
            <w:webHidden/>
          </w:rPr>
          <w:tab/>
        </w:r>
        <w:r w:rsidR="00A90A7E">
          <w:rPr>
            <w:webHidden/>
          </w:rPr>
          <w:fldChar w:fldCharType="begin"/>
        </w:r>
        <w:r w:rsidR="00A90A7E">
          <w:rPr>
            <w:webHidden/>
          </w:rPr>
          <w:instrText xml:space="preserve"> PAGEREF _Toc496266592 \h </w:instrText>
        </w:r>
        <w:r w:rsidR="00A90A7E">
          <w:rPr>
            <w:webHidden/>
          </w:rPr>
        </w:r>
        <w:r w:rsidR="00A90A7E">
          <w:rPr>
            <w:webHidden/>
          </w:rPr>
          <w:fldChar w:fldCharType="separate"/>
        </w:r>
        <w:r w:rsidR="00A90A7E">
          <w:rPr>
            <w:webHidden/>
          </w:rPr>
          <w:t>33</w:t>
        </w:r>
        <w:r w:rsidR="00A90A7E">
          <w:rPr>
            <w:webHidden/>
          </w:rPr>
          <w:fldChar w:fldCharType="end"/>
        </w:r>
      </w:hyperlink>
    </w:p>
    <w:p w14:paraId="08BEBE41"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3" w:history="1">
        <w:r w:rsidR="00A90A7E" w:rsidRPr="00BF7C67">
          <w:rPr>
            <w:rStyle w:val="Hipervnculo"/>
            <w:noProof/>
          </w:rPr>
          <w:t>24.1.</w:t>
        </w:r>
        <w:r w:rsidR="00A90A7E">
          <w:rPr>
            <w:rFonts w:eastAsiaTheme="minorEastAsia" w:cstheme="minorBidi"/>
            <w:noProof/>
            <w:sz w:val="22"/>
            <w:szCs w:val="22"/>
            <w:lang w:eastAsia="es-ES"/>
          </w:rPr>
          <w:tab/>
        </w:r>
        <w:r w:rsidR="00A90A7E" w:rsidRPr="00BF7C67">
          <w:rPr>
            <w:rStyle w:val="Hipervnculo"/>
            <w:noProof/>
          </w:rPr>
          <w:t>GARANTIA DE CUMPLIMIENTO DE CONTRATO PARA LA ETAPA DE CONSTRUCCIÓN</w:t>
        </w:r>
        <w:r w:rsidR="00A90A7E">
          <w:rPr>
            <w:noProof/>
            <w:webHidden/>
          </w:rPr>
          <w:tab/>
        </w:r>
        <w:r w:rsidR="00A90A7E">
          <w:rPr>
            <w:noProof/>
            <w:webHidden/>
          </w:rPr>
          <w:fldChar w:fldCharType="begin"/>
        </w:r>
        <w:r w:rsidR="00A90A7E">
          <w:rPr>
            <w:noProof/>
            <w:webHidden/>
          </w:rPr>
          <w:instrText xml:space="preserve"> PAGEREF _Toc496266593 \h </w:instrText>
        </w:r>
        <w:r w:rsidR="00A90A7E">
          <w:rPr>
            <w:noProof/>
            <w:webHidden/>
          </w:rPr>
        </w:r>
        <w:r w:rsidR="00A90A7E">
          <w:rPr>
            <w:noProof/>
            <w:webHidden/>
          </w:rPr>
          <w:fldChar w:fldCharType="separate"/>
        </w:r>
        <w:r w:rsidR="00A90A7E">
          <w:rPr>
            <w:noProof/>
            <w:webHidden/>
          </w:rPr>
          <w:t>33</w:t>
        </w:r>
        <w:r w:rsidR="00A90A7E">
          <w:rPr>
            <w:noProof/>
            <w:webHidden/>
          </w:rPr>
          <w:fldChar w:fldCharType="end"/>
        </w:r>
      </w:hyperlink>
    </w:p>
    <w:p w14:paraId="18958ADF"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4" w:history="1">
        <w:r w:rsidR="00A90A7E" w:rsidRPr="00BF7C67">
          <w:rPr>
            <w:rStyle w:val="Hipervnculo"/>
            <w:noProof/>
          </w:rPr>
          <w:t>24.2.</w:t>
        </w:r>
        <w:r w:rsidR="00A90A7E">
          <w:rPr>
            <w:rFonts w:eastAsiaTheme="minorEastAsia" w:cstheme="minorBidi"/>
            <w:noProof/>
            <w:sz w:val="22"/>
            <w:szCs w:val="22"/>
            <w:lang w:eastAsia="es-ES"/>
          </w:rPr>
          <w:tab/>
        </w:r>
        <w:r w:rsidR="00A90A7E" w:rsidRPr="00BF7C67">
          <w:rPr>
            <w:rStyle w:val="Hipervnculo"/>
            <w:noProof/>
          </w:rPr>
          <w:t>GARANTIA DE CUMPLIMIENTO DE CONTRATO PARA LA ETAPA DE MANTENIMIENTO Y EXPLOTACIÓN.</w:t>
        </w:r>
        <w:r w:rsidR="00A90A7E">
          <w:rPr>
            <w:noProof/>
            <w:webHidden/>
          </w:rPr>
          <w:tab/>
        </w:r>
        <w:r w:rsidR="00A90A7E">
          <w:rPr>
            <w:noProof/>
            <w:webHidden/>
          </w:rPr>
          <w:fldChar w:fldCharType="begin"/>
        </w:r>
        <w:r w:rsidR="00A90A7E">
          <w:rPr>
            <w:noProof/>
            <w:webHidden/>
          </w:rPr>
          <w:instrText xml:space="preserve"> PAGEREF _Toc496266594 \h </w:instrText>
        </w:r>
        <w:r w:rsidR="00A90A7E">
          <w:rPr>
            <w:noProof/>
            <w:webHidden/>
          </w:rPr>
        </w:r>
        <w:r w:rsidR="00A90A7E">
          <w:rPr>
            <w:noProof/>
            <w:webHidden/>
          </w:rPr>
          <w:fldChar w:fldCharType="separate"/>
        </w:r>
        <w:r w:rsidR="00A90A7E">
          <w:rPr>
            <w:noProof/>
            <w:webHidden/>
          </w:rPr>
          <w:t>33</w:t>
        </w:r>
        <w:r w:rsidR="00A90A7E">
          <w:rPr>
            <w:noProof/>
            <w:webHidden/>
          </w:rPr>
          <w:fldChar w:fldCharType="end"/>
        </w:r>
      </w:hyperlink>
    </w:p>
    <w:p w14:paraId="3BFD5CE3"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5" w:history="1">
        <w:r w:rsidR="00A90A7E" w:rsidRPr="00BF7C67">
          <w:rPr>
            <w:rStyle w:val="Hipervnculo"/>
            <w:noProof/>
          </w:rPr>
          <w:t>24.3.</w:t>
        </w:r>
        <w:r w:rsidR="00A90A7E">
          <w:rPr>
            <w:rFonts w:eastAsiaTheme="minorEastAsia" w:cstheme="minorBidi"/>
            <w:noProof/>
            <w:sz w:val="22"/>
            <w:szCs w:val="22"/>
            <w:lang w:eastAsia="es-ES"/>
          </w:rPr>
          <w:tab/>
        </w:r>
        <w:r w:rsidR="00A90A7E" w:rsidRPr="00BF7C67">
          <w:rPr>
            <w:rStyle w:val="Hipervnculo"/>
            <w:noProof/>
          </w:rPr>
          <w:t>DEVOLUCIÓN DE GARANTIAS</w:t>
        </w:r>
        <w:r w:rsidR="00A90A7E">
          <w:rPr>
            <w:noProof/>
            <w:webHidden/>
          </w:rPr>
          <w:tab/>
        </w:r>
        <w:r w:rsidR="00A90A7E">
          <w:rPr>
            <w:noProof/>
            <w:webHidden/>
          </w:rPr>
          <w:fldChar w:fldCharType="begin"/>
        </w:r>
        <w:r w:rsidR="00A90A7E">
          <w:rPr>
            <w:noProof/>
            <w:webHidden/>
          </w:rPr>
          <w:instrText xml:space="preserve"> PAGEREF _Toc496266595 \h </w:instrText>
        </w:r>
        <w:r w:rsidR="00A90A7E">
          <w:rPr>
            <w:noProof/>
            <w:webHidden/>
          </w:rPr>
        </w:r>
        <w:r w:rsidR="00A90A7E">
          <w:rPr>
            <w:noProof/>
            <w:webHidden/>
          </w:rPr>
          <w:fldChar w:fldCharType="separate"/>
        </w:r>
        <w:r w:rsidR="00A90A7E">
          <w:rPr>
            <w:noProof/>
            <w:webHidden/>
          </w:rPr>
          <w:t>34</w:t>
        </w:r>
        <w:r w:rsidR="00A90A7E">
          <w:rPr>
            <w:noProof/>
            <w:webHidden/>
          </w:rPr>
          <w:fldChar w:fldCharType="end"/>
        </w:r>
      </w:hyperlink>
    </w:p>
    <w:p w14:paraId="01E13C12"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6" w:history="1">
        <w:r w:rsidR="00A90A7E" w:rsidRPr="00BF7C67">
          <w:rPr>
            <w:rStyle w:val="Hipervnculo"/>
            <w:noProof/>
          </w:rPr>
          <w:t>24.4.</w:t>
        </w:r>
        <w:r w:rsidR="00A90A7E">
          <w:rPr>
            <w:rFonts w:eastAsiaTheme="minorEastAsia" w:cstheme="minorBidi"/>
            <w:noProof/>
            <w:sz w:val="22"/>
            <w:szCs w:val="22"/>
            <w:lang w:eastAsia="es-ES"/>
          </w:rPr>
          <w:tab/>
        </w:r>
        <w:r w:rsidR="00A90A7E" w:rsidRPr="00BF7C67">
          <w:rPr>
            <w:rStyle w:val="Hipervnculo"/>
            <w:noProof/>
          </w:rPr>
          <w:t>FONDO DE PROVISIÓN</w:t>
        </w:r>
        <w:r w:rsidR="00A90A7E">
          <w:rPr>
            <w:noProof/>
            <w:webHidden/>
          </w:rPr>
          <w:tab/>
        </w:r>
        <w:r w:rsidR="00A90A7E">
          <w:rPr>
            <w:noProof/>
            <w:webHidden/>
          </w:rPr>
          <w:fldChar w:fldCharType="begin"/>
        </w:r>
        <w:r w:rsidR="00A90A7E">
          <w:rPr>
            <w:noProof/>
            <w:webHidden/>
          </w:rPr>
          <w:instrText xml:space="preserve"> PAGEREF _Toc496266596 \h </w:instrText>
        </w:r>
        <w:r w:rsidR="00A90A7E">
          <w:rPr>
            <w:noProof/>
            <w:webHidden/>
          </w:rPr>
        </w:r>
        <w:r w:rsidR="00A90A7E">
          <w:rPr>
            <w:noProof/>
            <w:webHidden/>
          </w:rPr>
          <w:fldChar w:fldCharType="separate"/>
        </w:r>
        <w:r w:rsidR="00A90A7E">
          <w:rPr>
            <w:noProof/>
            <w:webHidden/>
          </w:rPr>
          <w:t>34</w:t>
        </w:r>
        <w:r w:rsidR="00A90A7E">
          <w:rPr>
            <w:noProof/>
            <w:webHidden/>
          </w:rPr>
          <w:fldChar w:fldCharType="end"/>
        </w:r>
      </w:hyperlink>
    </w:p>
    <w:p w14:paraId="38CA3C95" w14:textId="77777777" w:rsidR="00A90A7E" w:rsidRDefault="00931785">
      <w:pPr>
        <w:pStyle w:val="TDC3"/>
        <w:rPr>
          <w:rFonts w:asciiTheme="minorHAnsi" w:eastAsiaTheme="minorEastAsia" w:hAnsiTheme="minorHAnsi" w:cstheme="minorBidi"/>
          <w:sz w:val="22"/>
          <w:szCs w:val="22"/>
          <w:lang w:eastAsia="es-ES"/>
        </w:rPr>
      </w:pPr>
      <w:hyperlink w:anchor="_Toc496266597" w:history="1">
        <w:r w:rsidR="00A90A7E" w:rsidRPr="00BF7C67">
          <w:rPr>
            <w:rStyle w:val="Hipervnculo"/>
          </w:rPr>
          <w:t>25.</w:t>
        </w:r>
        <w:r w:rsidR="00A90A7E">
          <w:rPr>
            <w:rFonts w:asciiTheme="minorHAnsi" w:eastAsiaTheme="minorEastAsia" w:hAnsiTheme="minorHAnsi" w:cstheme="minorBidi"/>
            <w:sz w:val="22"/>
            <w:szCs w:val="22"/>
            <w:lang w:eastAsia="es-ES"/>
          </w:rPr>
          <w:tab/>
        </w:r>
        <w:r w:rsidR="00A90A7E" w:rsidRPr="00BF7C67">
          <w:rPr>
            <w:rStyle w:val="Hipervnculo"/>
          </w:rPr>
          <w:t>PÓLIZAS DE SEGUROS</w:t>
        </w:r>
        <w:r w:rsidR="00A90A7E">
          <w:rPr>
            <w:webHidden/>
          </w:rPr>
          <w:tab/>
        </w:r>
        <w:r w:rsidR="00A90A7E">
          <w:rPr>
            <w:webHidden/>
          </w:rPr>
          <w:fldChar w:fldCharType="begin"/>
        </w:r>
        <w:r w:rsidR="00A90A7E">
          <w:rPr>
            <w:webHidden/>
          </w:rPr>
          <w:instrText xml:space="preserve"> PAGEREF _Toc496266597 \h </w:instrText>
        </w:r>
        <w:r w:rsidR="00A90A7E">
          <w:rPr>
            <w:webHidden/>
          </w:rPr>
        </w:r>
        <w:r w:rsidR="00A90A7E">
          <w:rPr>
            <w:webHidden/>
          </w:rPr>
          <w:fldChar w:fldCharType="separate"/>
        </w:r>
        <w:r w:rsidR="00A90A7E">
          <w:rPr>
            <w:webHidden/>
          </w:rPr>
          <w:t>35</w:t>
        </w:r>
        <w:r w:rsidR="00A90A7E">
          <w:rPr>
            <w:webHidden/>
          </w:rPr>
          <w:fldChar w:fldCharType="end"/>
        </w:r>
      </w:hyperlink>
    </w:p>
    <w:p w14:paraId="4182E2E5" w14:textId="77777777" w:rsidR="00A90A7E" w:rsidRDefault="00931785">
      <w:pPr>
        <w:pStyle w:val="TDC3"/>
        <w:rPr>
          <w:rFonts w:asciiTheme="minorHAnsi" w:eastAsiaTheme="minorEastAsia" w:hAnsiTheme="minorHAnsi" w:cstheme="minorBidi"/>
          <w:sz w:val="22"/>
          <w:szCs w:val="22"/>
          <w:lang w:eastAsia="es-ES"/>
        </w:rPr>
      </w:pPr>
      <w:hyperlink w:anchor="_Toc496266598" w:history="1">
        <w:r w:rsidR="00A90A7E" w:rsidRPr="00BF7C67">
          <w:rPr>
            <w:rStyle w:val="Hipervnculo"/>
          </w:rPr>
          <w:t>26.</w:t>
        </w:r>
        <w:r w:rsidR="00A90A7E">
          <w:rPr>
            <w:rFonts w:asciiTheme="minorHAnsi" w:eastAsiaTheme="minorEastAsia" w:hAnsiTheme="minorHAnsi" w:cstheme="minorBidi"/>
            <w:sz w:val="22"/>
            <w:szCs w:val="22"/>
            <w:lang w:eastAsia="es-ES"/>
          </w:rPr>
          <w:tab/>
        </w:r>
        <w:r w:rsidR="00A90A7E" w:rsidRPr="00BF7C67">
          <w:rPr>
            <w:rStyle w:val="Hipervnculo"/>
          </w:rPr>
          <w:t>FORMALIZACIÓN DEL CONTRATO</w:t>
        </w:r>
        <w:r w:rsidR="00A90A7E">
          <w:rPr>
            <w:webHidden/>
          </w:rPr>
          <w:tab/>
        </w:r>
        <w:r w:rsidR="00A90A7E">
          <w:rPr>
            <w:webHidden/>
          </w:rPr>
          <w:fldChar w:fldCharType="begin"/>
        </w:r>
        <w:r w:rsidR="00A90A7E">
          <w:rPr>
            <w:webHidden/>
          </w:rPr>
          <w:instrText xml:space="preserve"> PAGEREF _Toc496266598 \h </w:instrText>
        </w:r>
        <w:r w:rsidR="00A90A7E">
          <w:rPr>
            <w:webHidden/>
          </w:rPr>
        </w:r>
        <w:r w:rsidR="00A90A7E">
          <w:rPr>
            <w:webHidden/>
          </w:rPr>
          <w:fldChar w:fldCharType="separate"/>
        </w:r>
        <w:r w:rsidR="00A90A7E">
          <w:rPr>
            <w:webHidden/>
          </w:rPr>
          <w:t>35</w:t>
        </w:r>
        <w:r w:rsidR="00A90A7E">
          <w:rPr>
            <w:webHidden/>
          </w:rPr>
          <w:fldChar w:fldCharType="end"/>
        </w:r>
      </w:hyperlink>
    </w:p>
    <w:p w14:paraId="55472F9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599" w:history="1">
        <w:r w:rsidR="00A90A7E" w:rsidRPr="00BF7C67">
          <w:rPr>
            <w:rStyle w:val="Hipervnculo"/>
            <w:noProof/>
          </w:rPr>
          <w:t>26.1.</w:t>
        </w:r>
        <w:r w:rsidR="00A90A7E">
          <w:rPr>
            <w:rFonts w:eastAsiaTheme="minorEastAsia" w:cstheme="minorBidi"/>
            <w:noProof/>
            <w:sz w:val="22"/>
            <w:szCs w:val="22"/>
            <w:lang w:eastAsia="es-ES"/>
          </w:rPr>
          <w:tab/>
        </w:r>
        <w:r w:rsidR="00A90A7E" w:rsidRPr="00BF7C67">
          <w:rPr>
            <w:rStyle w:val="Hipervnculo"/>
            <w:noProof/>
          </w:rPr>
          <w:t>LA FORMALIZACIÓN DEL CONTRATO</w:t>
        </w:r>
        <w:r w:rsidR="00A90A7E">
          <w:rPr>
            <w:noProof/>
            <w:webHidden/>
          </w:rPr>
          <w:tab/>
        </w:r>
        <w:r w:rsidR="00A90A7E">
          <w:rPr>
            <w:noProof/>
            <w:webHidden/>
          </w:rPr>
          <w:fldChar w:fldCharType="begin"/>
        </w:r>
        <w:r w:rsidR="00A90A7E">
          <w:rPr>
            <w:noProof/>
            <w:webHidden/>
          </w:rPr>
          <w:instrText xml:space="preserve"> PAGEREF _Toc496266599 \h </w:instrText>
        </w:r>
        <w:r w:rsidR="00A90A7E">
          <w:rPr>
            <w:noProof/>
            <w:webHidden/>
          </w:rPr>
        </w:r>
        <w:r w:rsidR="00A90A7E">
          <w:rPr>
            <w:noProof/>
            <w:webHidden/>
          </w:rPr>
          <w:fldChar w:fldCharType="separate"/>
        </w:r>
        <w:r w:rsidR="00A90A7E">
          <w:rPr>
            <w:noProof/>
            <w:webHidden/>
          </w:rPr>
          <w:t>35</w:t>
        </w:r>
        <w:r w:rsidR="00A90A7E">
          <w:rPr>
            <w:noProof/>
            <w:webHidden/>
          </w:rPr>
          <w:fldChar w:fldCharType="end"/>
        </w:r>
      </w:hyperlink>
    </w:p>
    <w:p w14:paraId="26F9FA91"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00" w:history="1">
        <w:r w:rsidR="00A90A7E" w:rsidRPr="00BF7C67">
          <w:rPr>
            <w:rStyle w:val="Hipervnculo"/>
            <w:noProof/>
          </w:rPr>
          <w:t>26.2.</w:t>
        </w:r>
        <w:r w:rsidR="00A90A7E">
          <w:rPr>
            <w:rFonts w:eastAsiaTheme="minorEastAsia" w:cstheme="minorBidi"/>
            <w:noProof/>
            <w:sz w:val="22"/>
            <w:szCs w:val="22"/>
            <w:lang w:eastAsia="es-ES"/>
          </w:rPr>
          <w:tab/>
        </w:r>
        <w:r w:rsidR="00A90A7E" w:rsidRPr="00BF7C67">
          <w:rPr>
            <w:rStyle w:val="Hipervnculo"/>
            <w:noProof/>
          </w:rPr>
          <w:t>EFECTOS DE LA FALTA DE FORMALIZACIÓN</w:t>
        </w:r>
        <w:r w:rsidR="00A90A7E">
          <w:rPr>
            <w:noProof/>
            <w:webHidden/>
          </w:rPr>
          <w:tab/>
        </w:r>
        <w:r w:rsidR="00A90A7E">
          <w:rPr>
            <w:noProof/>
            <w:webHidden/>
          </w:rPr>
          <w:fldChar w:fldCharType="begin"/>
        </w:r>
        <w:r w:rsidR="00A90A7E">
          <w:rPr>
            <w:noProof/>
            <w:webHidden/>
          </w:rPr>
          <w:instrText xml:space="preserve"> PAGEREF _Toc496266600 \h </w:instrText>
        </w:r>
        <w:r w:rsidR="00A90A7E">
          <w:rPr>
            <w:noProof/>
            <w:webHidden/>
          </w:rPr>
        </w:r>
        <w:r w:rsidR="00A90A7E">
          <w:rPr>
            <w:noProof/>
            <w:webHidden/>
          </w:rPr>
          <w:fldChar w:fldCharType="separate"/>
        </w:r>
        <w:r w:rsidR="00A90A7E">
          <w:rPr>
            <w:noProof/>
            <w:webHidden/>
          </w:rPr>
          <w:t>36</w:t>
        </w:r>
        <w:r w:rsidR="00A90A7E">
          <w:rPr>
            <w:noProof/>
            <w:webHidden/>
          </w:rPr>
          <w:fldChar w:fldCharType="end"/>
        </w:r>
      </w:hyperlink>
    </w:p>
    <w:p w14:paraId="5F0E5B6D" w14:textId="77777777" w:rsidR="00A90A7E" w:rsidRDefault="00931785">
      <w:pPr>
        <w:pStyle w:val="TDC3"/>
        <w:rPr>
          <w:rFonts w:asciiTheme="minorHAnsi" w:eastAsiaTheme="minorEastAsia" w:hAnsiTheme="minorHAnsi" w:cstheme="minorBidi"/>
          <w:sz w:val="22"/>
          <w:szCs w:val="22"/>
          <w:lang w:eastAsia="es-ES"/>
        </w:rPr>
      </w:pPr>
      <w:hyperlink w:anchor="_Toc496266601" w:history="1">
        <w:r w:rsidR="00A90A7E" w:rsidRPr="00BF7C67">
          <w:rPr>
            <w:rStyle w:val="Hipervnculo"/>
          </w:rPr>
          <w:t>27.</w:t>
        </w:r>
        <w:r w:rsidR="00A90A7E">
          <w:rPr>
            <w:rFonts w:asciiTheme="minorHAnsi" w:eastAsiaTheme="minorEastAsia" w:hAnsiTheme="minorHAnsi" w:cstheme="minorBidi"/>
            <w:sz w:val="22"/>
            <w:szCs w:val="22"/>
            <w:lang w:eastAsia="es-ES"/>
          </w:rPr>
          <w:tab/>
        </w:r>
        <w:r w:rsidR="00A90A7E" w:rsidRPr="00BF7C67">
          <w:rPr>
            <w:rStyle w:val="Hipervnculo"/>
          </w:rPr>
          <w:t>REPARTO DE RIESGOS ENTRE LA CONTRATANTE Y EL CONTRATISTA.</w:t>
        </w:r>
        <w:r w:rsidR="00A90A7E">
          <w:rPr>
            <w:webHidden/>
          </w:rPr>
          <w:tab/>
        </w:r>
        <w:r w:rsidR="00A90A7E">
          <w:rPr>
            <w:webHidden/>
          </w:rPr>
          <w:fldChar w:fldCharType="begin"/>
        </w:r>
        <w:r w:rsidR="00A90A7E">
          <w:rPr>
            <w:webHidden/>
          </w:rPr>
          <w:instrText xml:space="preserve"> PAGEREF _Toc496266601 \h </w:instrText>
        </w:r>
        <w:r w:rsidR="00A90A7E">
          <w:rPr>
            <w:webHidden/>
          </w:rPr>
        </w:r>
        <w:r w:rsidR="00A90A7E">
          <w:rPr>
            <w:webHidden/>
          </w:rPr>
          <w:fldChar w:fldCharType="separate"/>
        </w:r>
        <w:r w:rsidR="00A90A7E">
          <w:rPr>
            <w:webHidden/>
          </w:rPr>
          <w:t>36</w:t>
        </w:r>
        <w:r w:rsidR="00A90A7E">
          <w:rPr>
            <w:webHidden/>
          </w:rPr>
          <w:fldChar w:fldCharType="end"/>
        </w:r>
      </w:hyperlink>
    </w:p>
    <w:p w14:paraId="44D63AC4" w14:textId="77777777" w:rsidR="00A90A7E" w:rsidRDefault="00931785">
      <w:pPr>
        <w:pStyle w:val="TDC3"/>
        <w:rPr>
          <w:rFonts w:asciiTheme="minorHAnsi" w:eastAsiaTheme="minorEastAsia" w:hAnsiTheme="minorHAnsi" w:cstheme="minorBidi"/>
          <w:sz w:val="22"/>
          <w:szCs w:val="22"/>
          <w:lang w:eastAsia="es-ES"/>
        </w:rPr>
      </w:pPr>
      <w:hyperlink w:anchor="_Toc496266602" w:history="1">
        <w:r w:rsidR="00A90A7E" w:rsidRPr="00BF7C67">
          <w:rPr>
            <w:rStyle w:val="Hipervnculo"/>
          </w:rPr>
          <w:t>28.</w:t>
        </w:r>
        <w:r w:rsidR="00A90A7E">
          <w:rPr>
            <w:rFonts w:asciiTheme="minorHAnsi" w:eastAsiaTheme="minorEastAsia" w:hAnsiTheme="minorHAnsi" w:cstheme="minorBidi"/>
            <w:sz w:val="22"/>
            <w:szCs w:val="22"/>
            <w:lang w:eastAsia="es-ES"/>
          </w:rPr>
          <w:tab/>
        </w:r>
        <w:r w:rsidR="00A90A7E" w:rsidRPr="00BF7C67">
          <w:rPr>
            <w:rStyle w:val="Hipervnculo"/>
          </w:rPr>
          <w:t>PUESTA A DISPOSICIÓN DE LA ZONA DE OBRA</w:t>
        </w:r>
        <w:r w:rsidR="00A90A7E">
          <w:rPr>
            <w:webHidden/>
          </w:rPr>
          <w:tab/>
        </w:r>
        <w:r w:rsidR="00A90A7E">
          <w:rPr>
            <w:webHidden/>
          </w:rPr>
          <w:fldChar w:fldCharType="begin"/>
        </w:r>
        <w:r w:rsidR="00A90A7E">
          <w:rPr>
            <w:webHidden/>
          </w:rPr>
          <w:instrText xml:space="preserve"> PAGEREF _Toc496266602 \h </w:instrText>
        </w:r>
        <w:r w:rsidR="00A90A7E">
          <w:rPr>
            <w:webHidden/>
          </w:rPr>
        </w:r>
        <w:r w:rsidR="00A90A7E">
          <w:rPr>
            <w:webHidden/>
          </w:rPr>
          <w:fldChar w:fldCharType="separate"/>
        </w:r>
        <w:r w:rsidR="00A90A7E">
          <w:rPr>
            <w:webHidden/>
          </w:rPr>
          <w:t>37</w:t>
        </w:r>
        <w:r w:rsidR="00A90A7E">
          <w:rPr>
            <w:webHidden/>
          </w:rPr>
          <w:fldChar w:fldCharType="end"/>
        </w:r>
      </w:hyperlink>
    </w:p>
    <w:p w14:paraId="699946B2" w14:textId="77777777" w:rsidR="00A90A7E" w:rsidRDefault="00931785">
      <w:pPr>
        <w:pStyle w:val="TDC3"/>
        <w:rPr>
          <w:rFonts w:asciiTheme="minorHAnsi" w:eastAsiaTheme="minorEastAsia" w:hAnsiTheme="minorHAnsi" w:cstheme="minorBidi"/>
          <w:sz w:val="22"/>
          <w:szCs w:val="22"/>
          <w:lang w:eastAsia="es-ES"/>
        </w:rPr>
      </w:pPr>
      <w:hyperlink w:anchor="_Toc496266603" w:history="1">
        <w:r w:rsidR="00A90A7E" w:rsidRPr="00BF7C67">
          <w:rPr>
            <w:rStyle w:val="Hipervnculo"/>
          </w:rPr>
          <w:t>29.</w:t>
        </w:r>
        <w:r w:rsidR="00A90A7E">
          <w:rPr>
            <w:rFonts w:asciiTheme="minorHAnsi" w:eastAsiaTheme="minorEastAsia" w:hAnsiTheme="minorHAnsi" w:cstheme="minorBidi"/>
            <w:sz w:val="22"/>
            <w:szCs w:val="22"/>
            <w:lang w:eastAsia="es-ES"/>
          </w:rPr>
          <w:tab/>
        </w:r>
        <w:r w:rsidR="00A90A7E" w:rsidRPr="00BF7C67">
          <w:rPr>
            <w:rStyle w:val="Hipervnculo"/>
          </w:rPr>
          <w:t>EXPROPIACIONES</w:t>
        </w:r>
        <w:r w:rsidR="00A90A7E">
          <w:rPr>
            <w:webHidden/>
          </w:rPr>
          <w:tab/>
        </w:r>
        <w:r w:rsidR="00A90A7E">
          <w:rPr>
            <w:webHidden/>
          </w:rPr>
          <w:fldChar w:fldCharType="begin"/>
        </w:r>
        <w:r w:rsidR="00A90A7E">
          <w:rPr>
            <w:webHidden/>
          </w:rPr>
          <w:instrText xml:space="preserve"> PAGEREF _Toc496266603 \h </w:instrText>
        </w:r>
        <w:r w:rsidR="00A90A7E">
          <w:rPr>
            <w:webHidden/>
          </w:rPr>
        </w:r>
        <w:r w:rsidR="00A90A7E">
          <w:rPr>
            <w:webHidden/>
          </w:rPr>
          <w:fldChar w:fldCharType="separate"/>
        </w:r>
        <w:r w:rsidR="00A90A7E">
          <w:rPr>
            <w:webHidden/>
          </w:rPr>
          <w:t>37</w:t>
        </w:r>
        <w:r w:rsidR="00A90A7E">
          <w:rPr>
            <w:webHidden/>
          </w:rPr>
          <w:fldChar w:fldCharType="end"/>
        </w:r>
      </w:hyperlink>
    </w:p>
    <w:p w14:paraId="3839FE2B" w14:textId="77777777" w:rsidR="00A90A7E" w:rsidRDefault="00931785">
      <w:pPr>
        <w:pStyle w:val="TDC3"/>
        <w:rPr>
          <w:rFonts w:asciiTheme="minorHAnsi" w:eastAsiaTheme="minorEastAsia" w:hAnsiTheme="minorHAnsi" w:cstheme="minorBidi"/>
          <w:sz w:val="22"/>
          <w:szCs w:val="22"/>
          <w:lang w:eastAsia="es-ES"/>
        </w:rPr>
      </w:pPr>
      <w:hyperlink w:anchor="_Toc496266604" w:history="1">
        <w:r w:rsidR="00A90A7E" w:rsidRPr="00BF7C67">
          <w:rPr>
            <w:rStyle w:val="Hipervnculo"/>
          </w:rPr>
          <w:t>30.</w:t>
        </w:r>
        <w:r w:rsidR="00A90A7E">
          <w:rPr>
            <w:rFonts w:asciiTheme="minorHAnsi" w:eastAsiaTheme="minorEastAsia" w:hAnsiTheme="minorHAnsi" w:cstheme="minorBidi"/>
            <w:sz w:val="22"/>
            <w:szCs w:val="22"/>
            <w:lang w:eastAsia="es-ES"/>
          </w:rPr>
          <w:tab/>
        </w:r>
        <w:r w:rsidR="00A90A7E" w:rsidRPr="00BF7C67">
          <w:rPr>
            <w:rStyle w:val="Hipervnculo"/>
          </w:rPr>
          <w:t>PERMISOS Y AUTORIZACIONES</w:t>
        </w:r>
        <w:r w:rsidR="00A90A7E">
          <w:rPr>
            <w:webHidden/>
          </w:rPr>
          <w:tab/>
        </w:r>
        <w:r w:rsidR="00A90A7E">
          <w:rPr>
            <w:webHidden/>
          </w:rPr>
          <w:fldChar w:fldCharType="begin"/>
        </w:r>
        <w:r w:rsidR="00A90A7E">
          <w:rPr>
            <w:webHidden/>
          </w:rPr>
          <w:instrText xml:space="preserve"> PAGEREF _Toc496266604 \h </w:instrText>
        </w:r>
        <w:r w:rsidR="00A90A7E">
          <w:rPr>
            <w:webHidden/>
          </w:rPr>
        </w:r>
        <w:r w:rsidR="00A90A7E">
          <w:rPr>
            <w:webHidden/>
          </w:rPr>
          <w:fldChar w:fldCharType="separate"/>
        </w:r>
        <w:r w:rsidR="00A90A7E">
          <w:rPr>
            <w:webHidden/>
          </w:rPr>
          <w:t>38</w:t>
        </w:r>
        <w:r w:rsidR="00A90A7E">
          <w:rPr>
            <w:webHidden/>
          </w:rPr>
          <w:fldChar w:fldCharType="end"/>
        </w:r>
      </w:hyperlink>
    </w:p>
    <w:p w14:paraId="23D899DB" w14:textId="77777777" w:rsidR="00A90A7E" w:rsidRDefault="00931785">
      <w:pPr>
        <w:pStyle w:val="TDC3"/>
        <w:rPr>
          <w:rFonts w:asciiTheme="minorHAnsi" w:eastAsiaTheme="minorEastAsia" w:hAnsiTheme="minorHAnsi" w:cstheme="minorBidi"/>
          <w:sz w:val="22"/>
          <w:szCs w:val="22"/>
          <w:lang w:eastAsia="es-ES"/>
        </w:rPr>
      </w:pPr>
      <w:hyperlink w:anchor="_Toc496266605" w:history="1">
        <w:r w:rsidR="00A90A7E" w:rsidRPr="00BF7C67">
          <w:rPr>
            <w:rStyle w:val="Hipervnculo"/>
          </w:rPr>
          <w:t>31.</w:t>
        </w:r>
        <w:r w:rsidR="00A90A7E">
          <w:rPr>
            <w:rFonts w:asciiTheme="minorHAnsi" w:eastAsiaTheme="minorEastAsia" w:hAnsiTheme="minorHAnsi" w:cstheme="minorBidi"/>
            <w:sz w:val="22"/>
            <w:szCs w:val="22"/>
            <w:lang w:eastAsia="es-ES"/>
          </w:rPr>
          <w:tab/>
        </w:r>
        <w:r w:rsidR="00A90A7E" w:rsidRPr="00BF7C67">
          <w:rPr>
            <w:rStyle w:val="Hipervnculo"/>
          </w:rPr>
          <w:t>OCUPANTES ILÍCITOS DE LA FAJA DE DOMINIO PÚBLICO Y “NON EDIFICANDI”</w:t>
        </w:r>
        <w:r w:rsidR="00A90A7E">
          <w:rPr>
            <w:webHidden/>
          </w:rPr>
          <w:tab/>
        </w:r>
        <w:r w:rsidR="00A90A7E">
          <w:rPr>
            <w:webHidden/>
          </w:rPr>
          <w:fldChar w:fldCharType="begin"/>
        </w:r>
        <w:r w:rsidR="00A90A7E">
          <w:rPr>
            <w:webHidden/>
          </w:rPr>
          <w:instrText xml:space="preserve"> PAGEREF _Toc496266605 \h </w:instrText>
        </w:r>
        <w:r w:rsidR="00A90A7E">
          <w:rPr>
            <w:webHidden/>
          </w:rPr>
        </w:r>
        <w:r w:rsidR="00A90A7E">
          <w:rPr>
            <w:webHidden/>
          </w:rPr>
          <w:fldChar w:fldCharType="separate"/>
        </w:r>
        <w:r w:rsidR="00A90A7E">
          <w:rPr>
            <w:webHidden/>
          </w:rPr>
          <w:t>38</w:t>
        </w:r>
        <w:r w:rsidR="00A90A7E">
          <w:rPr>
            <w:webHidden/>
          </w:rPr>
          <w:fldChar w:fldCharType="end"/>
        </w:r>
      </w:hyperlink>
    </w:p>
    <w:p w14:paraId="47931F0E" w14:textId="77777777" w:rsidR="00A90A7E" w:rsidRDefault="00931785">
      <w:pPr>
        <w:pStyle w:val="TDC3"/>
        <w:rPr>
          <w:rFonts w:asciiTheme="minorHAnsi" w:eastAsiaTheme="minorEastAsia" w:hAnsiTheme="minorHAnsi" w:cstheme="minorBidi"/>
          <w:sz w:val="22"/>
          <w:szCs w:val="22"/>
          <w:lang w:eastAsia="es-ES"/>
        </w:rPr>
      </w:pPr>
      <w:hyperlink w:anchor="_Toc496266606" w:history="1">
        <w:r w:rsidR="00A90A7E" w:rsidRPr="00BF7C67">
          <w:rPr>
            <w:rStyle w:val="Hipervnculo"/>
          </w:rPr>
          <w:t>32.</w:t>
        </w:r>
        <w:r w:rsidR="00A90A7E">
          <w:rPr>
            <w:rFonts w:asciiTheme="minorHAnsi" w:eastAsiaTheme="minorEastAsia" w:hAnsiTheme="minorHAnsi" w:cstheme="minorBidi"/>
            <w:sz w:val="22"/>
            <w:szCs w:val="22"/>
            <w:lang w:eastAsia="es-ES"/>
          </w:rPr>
          <w:tab/>
        </w:r>
        <w:r w:rsidR="00A90A7E" w:rsidRPr="00BF7C67">
          <w:rPr>
            <w:rStyle w:val="Hipervnculo"/>
          </w:rPr>
          <w:t>CARTELES</w:t>
        </w:r>
        <w:r w:rsidR="00A90A7E">
          <w:rPr>
            <w:webHidden/>
          </w:rPr>
          <w:tab/>
        </w:r>
        <w:r w:rsidR="00A90A7E">
          <w:rPr>
            <w:webHidden/>
          </w:rPr>
          <w:fldChar w:fldCharType="begin"/>
        </w:r>
        <w:r w:rsidR="00A90A7E">
          <w:rPr>
            <w:webHidden/>
          </w:rPr>
          <w:instrText xml:space="preserve"> PAGEREF _Toc496266606 \h </w:instrText>
        </w:r>
        <w:r w:rsidR="00A90A7E">
          <w:rPr>
            <w:webHidden/>
          </w:rPr>
        </w:r>
        <w:r w:rsidR="00A90A7E">
          <w:rPr>
            <w:webHidden/>
          </w:rPr>
          <w:fldChar w:fldCharType="separate"/>
        </w:r>
        <w:r w:rsidR="00A90A7E">
          <w:rPr>
            <w:webHidden/>
          </w:rPr>
          <w:t>38</w:t>
        </w:r>
        <w:r w:rsidR="00A90A7E">
          <w:rPr>
            <w:webHidden/>
          </w:rPr>
          <w:fldChar w:fldCharType="end"/>
        </w:r>
      </w:hyperlink>
    </w:p>
    <w:p w14:paraId="721B3446" w14:textId="77777777" w:rsidR="00A90A7E" w:rsidRDefault="00931785">
      <w:pPr>
        <w:pStyle w:val="TDC1"/>
        <w:rPr>
          <w:rFonts w:asciiTheme="minorHAnsi" w:eastAsiaTheme="minorEastAsia" w:hAnsiTheme="minorHAnsi" w:cstheme="minorBidi"/>
          <w:b w:val="0"/>
          <w:bCs w:val="0"/>
          <w:caps w:val="0"/>
          <w:lang w:val="es-ES"/>
        </w:rPr>
      </w:pPr>
      <w:hyperlink w:anchor="_Toc496266607" w:history="1">
        <w:r w:rsidR="00A90A7E" w:rsidRPr="00BF7C67">
          <w:rPr>
            <w:rStyle w:val="Hipervnculo"/>
          </w:rPr>
          <w:t>CAPÍTULO IV: RÉGIMEN ECONÓMICO DEL CONTRATO</w:t>
        </w:r>
        <w:r w:rsidR="00A90A7E">
          <w:rPr>
            <w:webHidden/>
          </w:rPr>
          <w:tab/>
        </w:r>
        <w:r w:rsidR="00A90A7E">
          <w:rPr>
            <w:webHidden/>
          </w:rPr>
          <w:fldChar w:fldCharType="begin"/>
        </w:r>
        <w:r w:rsidR="00A90A7E">
          <w:rPr>
            <w:webHidden/>
          </w:rPr>
          <w:instrText xml:space="preserve"> PAGEREF _Toc496266607 \h </w:instrText>
        </w:r>
        <w:r w:rsidR="00A90A7E">
          <w:rPr>
            <w:webHidden/>
          </w:rPr>
        </w:r>
        <w:r w:rsidR="00A90A7E">
          <w:rPr>
            <w:webHidden/>
          </w:rPr>
          <w:fldChar w:fldCharType="separate"/>
        </w:r>
        <w:r w:rsidR="00A90A7E">
          <w:rPr>
            <w:webHidden/>
          </w:rPr>
          <w:t>40</w:t>
        </w:r>
        <w:r w:rsidR="00A90A7E">
          <w:rPr>
            <w:webHidden/>
          </w:rPr>
          <w:fldChar w:fldCharType="end"/>
        </w:r>
      </w:hyperlink>
    </w:p>
    <w:p w14:paraId="18B1599E" w14:textId="77777777" w:rsidR="00A90A7E" w:rsidRDefault="00931785">
      <w:pPr>
        <w:pStyle w:val="TDC3"/>
        <w:rPr>
          <w:rFonts w:asciiTheme="minorHAnsi" w:eastAsiaTheme="minorEastAsia" w:hAnsiTheme="minorHAnsi" w:cstheme="minorBidi"/>
          <w:sz w:val="22"/>
          <w:szCs w:val="22"/>
          <w:lang w:eastAsia="es-ES"/>
        </w:rPr>
      </w:pPr>
      <w:hyperlink w:anchor="_Toc496266608" w:history="1">
        <w:r w:rsidR="00A90A7E" w:rsidRPr="00BF7C67">
          <w:rPr>
            <w:rStyle w:val="Hipervnculo"/>
          </w:rPr>
          <w:t>33.</w:t>
        </w:r>
        <w:r w:rsidR="00A90A7E">
          <w:rPr>
            <w:rFonts w:asciiTheme="minorHAnsi" w:eastAsiaTheme="minorEastAsia" w:hAnsiTheme="minorHAnsi" w:cstheme="minorBidi"/>
            <w:sz w:val="22"/>
            <w:szCs w:val="22"/>
            <w:lang w:eastAsia="es-ES"/>
          </w:rPr>
          <w:tab/>
        </w:r>
        <w:r w:rsidR="00A90A7E" w:rsidRPr="00BF7C67">
          <w:rPr>
            <w:rStyle w:val="Hipervnculo"/>
          </w:rPr>
          <w:t>RETRIBUCIÓN AL CONTRATISTA</w:t>
        </w:r>
        <w:r w:rsidR="00A90A7E">
          <w:rPr>
            <w:webHidden/>
          </w:rPr>
          <w:tab/>
        </w:r>
        <w:r w:rsidR="00A90A7E">
          <w:rPr>
            <w:webHidden/>
          </w:rPr>
          <w:fldChar w:fldCharType="begin"/>
        </w:r>
        <w:r w:rsidR="00A90A7E">
          <w:rPr>
            <w:webHidden/>
          </w:rPr>
          <w:instrText xml:space="preserve"> PAGEREF _Toc496266608 \h </w:instrText>
        </w:r>
        <w:r w:rsidR="00A90A7E">
          <w:rPr>
            <w:webHidden/>
          </w:rPr>
        </w:r>
        <w:r w:rsidR="00A90A7E">
          <w:rPr>
            <w:webHidden/>
          </w:rPr>
          <w:fldChar w:fldCharType="separate"/>
        </w:r>
        <w:r w:rsidR="00A90A7E">
          <w:rPr>
            <w:webHidden/>
          </w:rPr>
          <w:t>40</w:t>
        </w:r>
        <w:r w:rsidR="00A90A7E">
          <w:rPr>
            <w:webHidden/>
          </w:rPr>
          <w:fldChar w:fldCharType="end"/>
        </w:r>
      </w:hyperlink>
    </w:p>
    <w:p w14:paraId="66C7C35C" w14:textId="77777777" w:rsidR="00A90A7E" w:rsidRDefault="00931785">
      <w:pPr>
        <w:pStyle w:val="TDC3"/>
        <w:rPr>
          <w:rFonts w:asciiTheme="minorHAnsi" w:eastAsiaTheme="minorEastAsia" w:hAnsiTheme="minorHAnsi" w:cstheme="minorBidi"/>
          <w:sz w:val="22"/>
          <w:szCs w:val="22"/>
          <w:lang w:eastAsia="es-ES"/>
        </w:rPr>
      </w:pPr>
      <w:hyperlink w:anchor="_Toc496266609" w:history="1">
        <w:r w:rsidR="00A90A7E" w:rsidRPr="00BF7C67">
          <w:rPr>
            <w:rStyle w:val="Hipervnculo"/>
          </w:rPr>
          <w:t>34.</w:t>
        </w:r>
        <w:r w:rsidR="00A90A7E">
          <w:rPr>
            <w:rFonts w:asciiTheme="minorHAnsi" w:eastAsiaTheme="minorEastAsia" w:hAnsiTheme="minorHAnsi" w:cstheme="minorBidi"/>
            <w:sz w:val="22"/>
            <w:szCs w:val="22"/>
            <w:lang w:eastAsia="es-ES"/>
          </w:rPr>
          <w:tab/>
        </w:r>
        <w:r w:rsidR="00A90A7E" w:rsidRPr="00BF7C67">
          <w:rPr>
            <w:rStyle w:val="Hipervnculo"/>
          </w:rPr>
          <w:t>PAGOS POR DISPONIBILIDAD</w:t>
        </w:r>
        <w:r w:rsidR="00A90A7E">
          <w:rPr>
            <w:webHidden/>
          </w:rPr>
          <w:tab/>
        </w:r>
        <w:r w:rsidR="00A90A7E">
          <w:rPr>
            <w:webHidden/>
          </w:rPr>
          <w:fldChar w:fldCharType="begin"/>
        </w:r>
        <w:r w:rsidR="00A90A7E">
          <w:rPr>
            <w:webHidden/>
          </w:rPr>
          <w:instrText xml:space="preserve"> PAGEREF _Toc496266609 \h </w:instrText>
        </w:r>
        <w:r w:rsidR="00A90A7E">
          <w:rPr>
            <w:webHidden/>
          </w:rPr>
        </w:r>
        <w:r w:rsidR="00A90A7E">
          <w:rPr>
            <w:webHidden/>
          </w:rPr>
          <w:fldChar w:fldCharType="separate"/>
        </w:r>
        <w:r w:rsidR="00A90A7E">
          <w:rPr>
            <w:webHidden/>
          </w:rPr>
          <w:t>40</w:t>
        </w:r>
        <w:r w:rsidR="00A90A7E">
          <w:rPr>
            <w:webHidden/>
          </w:rPr>
          <w:fldChar w:fldCharType="end"/>
        </w:r>
      </w:hyperlink>
    </w:p>
    <w:p w14:paraId="189E8CC5" w14:textId="77777777" w:rsidR="00A90A7E" w:rsidRDefault="00931785">
      <w:pPr>
        <w:pStyle w:val="TDC3"/>
        <w:rPr>
          <w:rFonts w:asciiTheme="minorHAnsi" w:eastAsiaTheme="minorEastAsia" w:hAnsiTheme="minorHAnsi" w:cstheme="minorBidi"/>
          <w:sz w:val="22"/>
          <w:szCs w:val="22"/>
          <w:lang w:eastAsia="es-ES"/>
        </w:rPr>
      </w:pPr>
      <w:hyperlink w:anchor="_Toc496266610" w:history="1">
        <w:r w:rsidR="00A90A7E" w:rsidRPr="00BF7C67">
          <w:rPr>
            <w:rStyle w:val="Hipervnculo"/>
          </w:rPr>
          <w:t>35.</w:t>
        </w:r>
        <w:r w:rsidR="00A90A7E">
          <w:rPr>
            <w:rFonts w:asciiTheme="minorHAnsi" w:eastAsiaTheme="minorEastAsia" w:hAnsiTheme="minorHAnsi" w:cstheme="minorBidi"/>
            <w:sz w:val="22"/>
            <w:szCs w:val="22"/>
            <w:lang w:eastAsia="es-ES"/>
          </w:rPr>
          <w:tab/>
        </w:r>
        <w:r w:rsidR="00A90A7E" w:rsidRPr="00BF7C67">
          <w:rPr>
            <w:rStyle w:val="Hipervnculo"/>
          </w:rPr>
          <w:t>CÁLCULO DEL PAGO POR DISPONIBILIDAD</w:t>
        </w:r>
        <w:r w:rsidR="00A90A7E">
          <w:rPr>
            <w:webHidden/>
          </w:rPr>
          <w:tab/>
        </w:r>
        <w:r w:rsidR="00A90A7E">
          <w:rPr>
            <w:webHidden/>
          </w:rPr>
          <w:fldChar w:fldCharType="begin"/>
        </w:r>
        <w:r w:rsidR="00A90A7E">
          <w:rPr>
            <w:webHidden/>
          </w:rPr>
          <w:instrText xml:space="preserve"> PAGEREF _Toc496266610 \h </w:instrText>
        </w:r>
        <w:r w:rsidR="00A90A7E">
          <w:rPr>
            <w:webHidden/>
          </w:rPr>
        </w:r>
        <w:r w:rsidR="00A90A7E">
          <w:rPr>
            <w:webHidden/>
          </w:rPr>
          <w:fldChar w:fldCharType="separate"/>
        </w:r>
        <w:r w:rsidR="00A90A7E">
          <w:rPr>
            <w:webHidden/>
          </w:rPr>
          <w:t>41</w:t>
        </w:r>
        <w:r w:rsidR="00A90A7E">
          <w:rPr>
            <w:webHidden/>
          </w:rPr>
          <w:fldChar w:fldCharType="end"/>
        </w:r>
      </w:hyperlink>
    </w:p>
    <w:p w14:paraId="158B2E12" w14:textId="77777777" w:rsidR="00A90A7E" w:rsidRDefault="00931785">
      <w:pPr>
        <w:pStyle w:val="TDC3"/>
        <w:rPr>
          <w:rFonts w:asciiTheme="minorHAnsi" w:eastAsiaTheme="minorEastAsia" w:hAnsiTheme="minorHAnsi" w:cstheme="minorBidi"/>
          <w:sz w:val="22"/>
          <w:szCs w:val="22"/>
          <w:lang w:eastAsia="es-ES"/>
        </w:rPr>
      </w:pPr>
      <w:hyperlink w:anchor="_Toc496266611" w:history="1">
        <w:r w:rsidR="00A90A7E" w:rsidRPr="00BF7C67">
          <w:rPr>
            <w:rStyle w:val="Hipervnculo"/>
          </w:rPr>
          <w:t>36.</w:t>
        </w:r>
        <w:r w:rsidR="00A90A7E">
          <w:rPr>
            <w:rFonts w:asciiTheme="minorHAnsi" w:eastAsiaTheme="minorEastAsia" w:hAnsiTheme="minorHAnsi" w:cstheme="minorBidi"/>
            <w:sz w:val="22"/>
            <w:szCs w:val="22"/>
            <w:lang w:eastAsia="es-ES"/>
          </w:rPr>
          <w:tab/>
        </w:r>
        <w:r w:rsidR="00A90A7E" w:rsidRPr="00BF7C67">
          <w:rPr>
            <w:rStyle w:val="Hipervnculo"/>
          </w:rPr>
          <w:t>FIDEICOMISO</w:t>
        </w:r>
        <w:r w:rsidR="00A90A7E">
          <w:rPr>
            <w:webHidden/>
          </w:rPr>
          <w:tab/>
        </w:r>
        <w:r w:rsidR="00A90A7E">
          <w:rPr>
            <w:webHidden/>
          </w:rPr>
          <w:fldChar w:fldCharType="begin"/>
        </w:r>
        <w:r w:rsidR="00A90A7E">
          <w:rPr>
            <w:webHidden/>
          </w:rPr>
          <w:instrText xml:space="preserve"> PAGEREF _Toc496266611 \h </w:instrText>
        </w:r>
        <w:r w:rsidR="00A90A7E">
          <w:rPr>
            <w:webHidden/>
          </w:rPr>
        </w:r>
        <w:r w:rsidR="00A90A7E">
          <w:rPr>
            <w:webHidden/>
          </w:rPr>
          <w:fldChar w:fldCharType="separate"/>
        </w:r>
        <w:r w:rsidR="00A90A7E">
          <w:rPr>
            <w:webHidden/>
          </w:rPr>
          <w:t>41</w:t>
        </w:r>
        <w:r w:rsidR="00A90A7E">
          <w:rPr>
            <w:webHidden/>
          </w:rPr>
          <w:fldChar w:fldCharType="end"/>
        </w:r>
      </w:hyperlink>
    </w:p>
    <w:p w14:paraId="17732D7A" w14:textId="77777777" w:rsidR="00A90A7E" w:rsidRDefault="00931785">
      <w:pPr>
        <w:pStyle w:val="TDC3"/>
        <w:rPr>
          <w:rFonts w:asciiTheme="minorHAnsi" w:eastAsiaTheme="minorEastAsia" w:hAnsiTheme="minorHAnsi" w:cstheme="minorBidi"/>
          <w:sz w:val="22"/>
          <w:szCs w:val="22"/>
          <w:lang w:eastAsia="es-ES"/>
        </w:rPr>
      </w:pPr>
      <w:hyperlink w:anchor="_Toc496266612" w:history="1">
        <w:r w:rsidR="00A90A7E" w:rsidRPr="00BF7C67">
          <w:rPr>
            <w:rStyle w:val="Hipervnculo"/>
          </w:rPr>
          <w:t>37.</w:t>
        </w:r>
        <w:r w:rsidR="00A90A7E">
          <w:rPr>
            <w:rFonts w:asciiTheme="minorHAnsi" w:eastAsiaTheme="minorEastAsia" w:hAnsiTheme="minorHAnsi" w:cstheme="minorBidi"/>
            <w:sz w:val="22"/>
            <w:szCs w:val="22"/>
            <w:lang w:eastAsia="es-ES"/>
          </w:rPr>
          <w:tab/>
        </w:r>
        <w:r w:rsidR="00A90A7E" w:rsidRPr="00BF7C67">
          <w:rPr>
            <w:rStyle w:val="Hipervnculo"/>
          </w:rPr>
          <w:t>PROCEDIMIENTO DE PAGO AL CONTRATISTA</w:t>
        </w:r>
        <w:r w:rsidR="00A90A7E">
          <w:rPr>
            <w:webHidden/>
          </w:rPr>
          <w:tab/>
        </w:r>
        <w:r w:rsidR="00A90A7E">
          <w:rPr>
            <w:webHidden/>
          </w:rPr>
          <w:fldChar w:fldCharType="begin"/>
        </w:r>
        <w:r w:rsidR="00A90A7E">
          <w:rPr>
            <w:webHidden/>
          </w:rPr>
          <w:instrText xml:space="preserve"> PAGEREF _Toc496266612 \h </w:instrText>
        </w:r>
        <w:r w:rsidR="00A90A7E">
          <w:rPr>
            <w:webHidden/>
          </w:rPr>
        </w:r>
        <w:r w:rsidR="00A90A7E">
          <w:rPr>
            <w:webHidden/>
          </w:rPr>
          <w:fldChar w:fldCharType="separate"/>
        </w:r>
        <w:r w:rsidR="00A90A7E">
          <w:rPr>
            <w:webHidden/>
          </w:rPr>
          <w:t>41</w:t>
        </w:r>
        <w:r w:rsidR="00A90A7E">
          <w:rPr>
            <w:webHidden/>
          </w:rPr>
          <w:fldChar w:fldCharType="end"/>
        </w:r>
      </w:hyperlink>
    </w:p>
    <w:p w14:paraId="38A458FE" w14:textId="77777777" w:rsidR="00A90A7E" w:rsidRDefault="00931785">
      <w:pPr>
        <w:pStyle w:val="TDC3"/>
        <w:rPr>
          <w:rFonts w:asciiTheme="minorHAnsi" w:eastAsiaTheme="minorEastAsia" w:hAnsiTheme="minorHAnsi" w:cstheme="minorBidi"/>
          <w:sz w:val="22"/>
          <w:szCs w:val="22"/>
          <w:lang w:eastAsia="es-ES"/>
        </w:rPr>
      </w:pPr>
      <w:hyperlink w:anchor="_Toc496266613" w:history="1">
        <w:r w:rsidR="00A90A7E" w:rsidRPr="00BF7C67">
          <w:rPr>
            <w:rStyle w:val="Hipervnculo"/>
          </w:rPr>
          <w:t>38.</w:t>
        </w:r>
        <w:r w:rsidR="00A90A7E">
          <w:rPr>
            <w:rFonts w:asciiTheme="minorHAnsi" w:eastAsiaTheme="minorEastAsia" w:hAnsiTheme="minorHAnsi" w:cstheme="minorBidi"/>
            <w:sz w:val="22"/>
            <w:szCs w:val="22"/>
            <w:lang w:eastAsia="es-ES"/>
          </w:rPr>
          <w:tab/>
        </w:r>
        <w:r w:rsidR="00A90A7E" w:rsidRPr="00BF7C67">
          <w:rPr>
            <w:rStyle w:val="Hipervnculo"/>
          </w:rPr>
          <w:t>COMPENSACIÓN POR ATRASO EN LOS PAGOS AL CONTRATISTA</w:t>
        </w:r>
        <w:r w:rsidR="00A90A7E">
          <w:rPr>
            <w:webHidden/>
          </w:rPr>
          <w:tab/>
        </w:r>
        <w:r w:rsidR="00A90A7E">
          <w:rPr>
            <w:webHidden/>
          </w:rPr>
          <w:fldChar w:fldCharType="begin"/>
        </w:r>
        <w:r w:rsidR="00A90A7E">
          <w:rPr>
            <w:webHidden/>
          </w:rPr>
          <w:instrText xml:space="preserve"> PAGEREF _Toc496266613 \h </w:instrText>
        </w:r>
        <w:r w:rsidR="00A90A7E">
          <w:rPr>
            <w:webHidden/>
          </w:rPr>
        </w:r>
        <w:r w:rsidR="00A90A7E">
          <w:rPr>
            <w:webHidden/>
          </w:rPr>
          <w:fldChar w:fldCharType="separate"/>
        </w:r>
        <w:r w:rsidR="00A90A7E">
          <w:rPr>
            <w:webHidden/>
          </w:rPr>
          <w:t>42</w:t>
        </w:r>
        <w:r w:rsidR="00A90A7E">
          <w:rPr>
            <w:webHidden/>
          </w:rPr>
          <w:fldChar w:fldCharType="end"/>
        </w:r>
      </w:hyperlink>
    </w:p>
    <w:p w14:paraId="13F6E08B" w14:textId="77777777" w:rsidR="00A90A7E" w:rsidRDefault="00931785">
      <w:pPr>
        <w:pStyle w:val="TDC2"/>
        <w:rPr>
          <w:rFonts w:asciiTheme="minorHAnsi" w:eastAsiaTheme="minorEastAsia" w:hAnsiTheme="minorHAnsi" w:cstheme="minorBidi"/>
          <w:b w:val="0"/>
          <w:bCs w:val="0"/>
          <w:lang w:eastAsia="es-ES"/>
        </w:rPr>
      </w:pPr>
      <w:hyperlink w:anchor="_Toc496266614" w:history="1">
        <w:r w:rsidR="00A90A7E" w:rsidRPr="00BF7C67">
          <w:rPr>
            <w:rStyle w:val="Hipervnculo"/>
          </w:rPr>
          <w:t>CAPÍTULO V: GARANTÍA EN BENEFICIO DE LOS ACREEDORES FINANCIEROS, SUBCONTRATACIÓN, CESIÓN, MODIFICACIÓN Y RENEGOCIACIÓN DEL CONTRATO</w:t>
        </w:r>
        <w:r w:rsidR="00A90A7E">
          <w:rPr>
            <w:webHidden/>
          </w:rPr>
          <w:tab/>
        </w:r>
        <w:r w:rsidR="00A90A7E">
          <w:rPr>
            <w:webHidden/>
          </w:rPr>
          <w:fldChar w:fldCharType="begin"/>
        </w:r>
        <w:r w:rsidR="00A90A7E">
          <w:rPr>
            <w:webHidden/>
          </w:rPr>
          <w:instrText xml:space="preserve"> PAGEREF _Toc496266614 \h </w:instrText>
        </w:r>
        <w:r w:rsidR="00A90A7E">
          <w:rPr>
            <w:webHidden/>
          </w:rPr>
        </w:r>
        <w:r w:rsidR="00A90A7E">
          <w:rPr>
            <w:webHidden/>
          </w:rPr>
          <w:fldChar w:fldCharType="separate"/>
        </w:r>
        <w:r w:rsidR="00A90A7E">
          <w:rPr>
            <w:webHidden/>
          </w:rPr>
          <w:t>43</w:t>
        </w:r>
        <w:r w:rsidR="00A90A7E">
          <w:rPr>
            <w:webHidden/>
          </w:rPr>
          <w:fldChar w:fldCharType="end"/>
        </w:r>
      </w:hyperlink>
    </w:p>
    <w:p w14:paraId="0110E6ED" w14:textId="77777777" w:rsidR="00A90A7E" w:rsidRDefault="00931785">
      <w:pPr>
        <w:pStyle w:val="TDC3"/>
        <w:rPr>
          <w:rFonts w:asciiTheme="minorHAnsi" w:eastAsiaTheme="minorEastAsia" w:hAnsiTheme="minorHAnsi" w:cstheme="minorBidi"/>
          <w:sz w:val="22"/>
          <w:szCs w:val="22"/>
          <w:lang w:eastAsia="es-ES"/>
        </w:rPr>
      </w:pPr>
      <w:hyperlink w:anchor="_Toc496266615" w:history="1">
        <w:r w:rsidR="00A90A7E" w:rsidRPr="00BF7C67">
          <w:rPr>
            <w:rStyle w:val="Hipervnculo"/>
          </w:rPr>
          <w:t>39.</w:t>
        </w:r>
        <w:r w:rsidR="00A90A7E">
          <w:rPr>
            <w:rFonts w:asciiTheme="minorHAnsi" w:eastAsiaTheme="minorEastAsia" w:hAnsiTheme="minorHAnsi" w:cstheme="minorBidi"/>
            <w:sz w:val="22"/>
            <w:szCs w:val="22"/>
            <w:lang w:eastAsia="es-ES"/>
          </w:rPr>
          <w:tab/>
        </w:r>
        <w:r w:rsidR="00A90A7E" w:rsidRPr="00BF7C67">
          <w:rPr>
            <w:rStyle w:val="Hipervnculo"/>
          </w:rPr>
          <w:t>GARANTIA EN BENEFICIO DE LOS ACREEDORES</w:t>
        </w:r>
        <w:r w:rsidR="00A90A7E">
          <w:rPr>
            <w:webHidden/>
          </w:rPr>
          <w:tab/>
        </w:r>
        <w:r w:rsidR="00A90A7E">
          <w:rPr>
            <w:webHidden/>
          </w:rPr>
          <w:fldChar w:fldCharType="begin"/>
        </w:r>
        <w:r w:rsidR="00A90A7E">
          <w:rPr>
            <w:webHidden/>
          </w:rPr>
          <w:instrText xml:space="preserve"> PAGEREF _Toc496266615 \h </w:instrText>
        </w:r>
        <w:r w:rsidR="00A90A7E">
          <w:rPr>
            <w:webHidden/>
          </w:rPr>
        </w:r>
        <w:r w:rsidR="00A90A7E">
          <w:rPr>
            <w:webHidden/>
          </w:rPr>
          <w:fldChar w:fldCharType="separate"/>
        </w:r>
        <w:r w:rsidR="00A90A7E">
          <w:rPr>
            <w:webHidden/>
          </w:rPr>
          <w:t>43</w:t>
        </w:r>
        <w:r w:rsidR="00A90A7E">
          <w:rPr>
            <w:webHidden/>
          </w:rPr>
          <w:fldChar w:fldCharType="end"/>
        </w:r>
      </w:hyperlink>
    </w:p>
    <w:p w14:paraId="0077CEF2"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16" w:history="1">
        <w:r w:rsidR="00A90A7E" w:rsidRPr="00BF7C67">
          <w:rPr>
            <w:rStyle w:val="Hipervnculo"/>
            <w:noProof/>
          </w:rPr>
          <w:t>39.1.</w:t>
        </w:r>
        <w:r w:rsidR="00A90A7E">
          <w:rPr>
            <w:rFonts w:eastAsiaTheme="minorEastAsia" w:cstheme="minorBidi"/>
            <w:noProof/>
            <w:sz w:val="22"/>
            <w:szCs w:val="22"/>
            <w:lang w:eastAsia="es-ES"/>
          </w:rPr>
          <w:tab/>
        </w:r>
        <w:r w:rsidR="00A90A7E" w:rsidRPr="00BF7C67">
          <w:rPr>
            <w:rStyle w:val="Hipervnculo"/>
            <w:noProof/>
          </w:rPr>
          <w:t>CESIÓN EN GARANTÍA</w:t>
        </w:r>
        <w:r w:rsidR="00A90A7E">
          <w:rPr>
            <w:noProof/>
            <w:webHidden/>
          </w:rPr>
          <w:tab/>
        </w:r>
        <w:r w:rsidR="00A90A7E">
          <w:rPr>
            <w:noProof/>
            <w:webHidden/>
          </w:rPr>
          <w:fldChar w:fldCharType="begin"/>
        </w:r>
        <w:r w:rsidR="00A90A7E">
          <w:rPr>
            <w:noProof/>
            <w:webHidden/>
          </w:rPr>
          <w:instrText xml:space="preserve"> PAGEREF _Toc496266616 \h </w:instrText>
        </w:r>
        <w:r w:rsidR="00A90A7E">
          <w:rPr>
            <w:noProof/>
            <w:webHidden/>
          </w:rPr>
        </w:r>
        <w:r w:rsidR="00A90A7E">
          <w:rPr>
            <w:noProof/>
            <w:webHidden/>
          </w:rPr>
          <w:fldChar w:fldCharType="separate"/>
        </w:r>
        <w:r w:rsidR="00A90A7E">
          <w:rPr>
            <w:noProof/>
            <w:webHidden/>
          </w:rPr>
          <w:t>43</w:t>
        </w:r>
        <w:r w:rsidR="00A90A7E">
          <w:rPr>
            <w:noProof/>
            <w:webHidden/>
          </w:rPr>
          <w:fldChar w:fldCharType="end"/>
        </w:r>
      </w:hyperlink>
    </w:p>
    <w:p w14:paraId="0F4AB9E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17" w:history="1">
        <w:r w:rsidR="00A90A7E" w:rsidRPr="00BF7C67">
          <w:rPr>
            <w:rStyle w:val="Hipervnculo"/>
            <w:noProof/>
          </w:rPr>
          <w:t>39.2.</w:t>
        </w:r>
        <w:r w:rsidR="00A90A7E">
          <w:rPr>
            <w:rFonts w:eastAsiaTheme="minorEastAsia" w:cstheme="minorBidi"/>
            <w:noProof/>
            <w:sz w:val="22"/>
            <w:szCs w:val="22"/>
            <w:lang w:eastAsia="es-ES"/>
          </w:rPr>
          <w:tab/>
        </w:r>
        <w:r w:rsidR="00A90A7E" w:rsidRPr="00BF7C67">
          <w:rPr>
            <w:rStyle w:val="Hipervnculo"/>
            <w:noProof/>
          </w:rPr>
          <w:t>PRENDA ESPECIAL DE PARTICIPACIÓN PÚBLICO PRIVADA</w:t>
        </w:r>
        <w:r w:rsidR="00A90A7E">
          <w:rPr>
            <w:noProof/>
            <w:webHidden/>
          </w:rPr>
          <w:tab/>
        </w:r>
        <w:r w:rsidR="00A90A7E">
          <w:rPr>
            <w:noProof/>
            <w:webHidden/>
          </w:rPr>
          <w:fldChar w:fldCharType="begin"/>
        </w:r>
        <w:r w:rsidR="00A90A7E">
          <w:rPr>
            <w:noProof/>
            <w:webHidden/>
          </w:rPr>
          <w:instrText xml:space="preserve"> PAGEREF _Toc496266617 \h </w:instrText>
        </w:r>
        <w:r w:rsidR="00A90A7E">
          <w:rPr>
            <w:noProof/>
            <w:webHidden/>
          </w:rPr>
        </w:r>
        <w:r w:rsidR="00A90A7E">
          <w:rPr>
            <w:noProof/>
            <w:webHidden/>
          </w:rPr>
          <w:fldChar w:fldCharType="separate"/>
        </w:r>
        <w:r w:rsidR="00A90A7E">
          <w:rPr>
            <w:noProof/>
            <w:webHidden/>
          </w:rPr>
          <w:t>44</w:t>
        </w:r>
        <w:r w:rsidR="00A90A7E">
          <w:rPr>
            <w:noProof/>
            <w:webHidden/>
          </w:rPr>
          <w:fldChar w:fldCharType="end"/>
        </w:r>
      </w:hyperlink>
    </w:p>
    <w:p w14:paraId="40CAF420" w14:textId="77777777" w:rsidR="00A90A7E" w:rsidRDefault="00931785">
      <w:pPr>
        <w:pStyle w:val="TDC3"/>
        <w:rPr>
          <w:rFonts w:asciiTheme="minorHAnsi" w:eastAsiaTheme="minorEastAsia" w:hAnsiTheme="minorHAnsi" w:cstheme="minorBidi"/>
          <w:sz w:val="22"/>
          <w:szCs w:val="22"/>
          <w:lang w:eastAsia="es-ES"/>
        </w:rPr>
      </w:pPr>
      <w:hyperlink w:anchor="_Toc496266618" w:history="1">
        <w:r w:rsidR="00A90A7E" w:rsidRPr="00BF7C67">
          <w:rPr>
            <w:rStyle w:val="Hipervnculo"/>
          </w:rPr>
          <w:t>40.</w:t>
        </w:r>
        <w:r w:rsidR="00A90A7E">
          <w:rPr>
            <w:rFonts w:asciiTheme="minorHAnsi" w:eastAsiaTheme="minorEastAsia" w:hAnsiTheme="minorHAnsi" w:cstheme="minorBidi"/>
            <w:sz w:val="22"/>
            <w:szCs w:val="22"/>
            <w:lang w:eastAsia="es-ES"/>
          </w:rPr>
          <w:tab/>
        </w:r>
        <w:r w:rsidR="00A90A7E" w:rsidRPr="00BF7C67">
          <w:rPr>
            <w:rStyle w:val="Hipervnculo"/>
          </w:rPr>
          <w:t>SUBCONTRATACIÓN</w:t>
        </w:r>
        <w:r w:rsidR="00A90A7E">
          <w:rPr>
            <w:webHidden/>
          </w:rPr>
          <w:tab/>
        </w:r>
        <w:r w:rsidR="00A90A7E">
          <w:rPr>
            <w:webHidden/>
          </w:rPr>
          <w:fldChar w:fldCharType="begin"/>
        </w:r>
        <w:r w:rsidR="00A90A7E">
          <w:rPr>
            <w:webHidden/>
          </w:rPr>
          <w:instrText xml:space="preserve"> PAGEREF _Toc496266618 \h </w:instrText>
        </w:r>
        <w:r w:rsidR="00A90A7E">
          <w:rPr>
            <w:webHidden/>
          </w:rPr>
        </w:r>
        <w:r w:rsidR="00A90A7E">
          <w:rPr>
            <w:webHidden/>
          </w:rPr>
          <w:fldChar w:fldCharType="separate"/>
        </w:r>
        <w:r w:rsidR="00A90A7E">
          <w:rPr>
            <w:webHidden/>
          </w:rPr>
          <w:t>45</w:t>
        </w:r>
        <w:r w:rsidR="00A90A7E">
          <w:rPr>
            <w:webHidden/>
          </w:rPr>
          <w:fldChar w:fldCharType="end"/>
        </w:r>
      </w:hyperlink>
    </w:p>
    <w:p w14:paraId="45043DF6" w14:textId="77777777" w:rsidR="00A90A7E" w:rsidRDefault="00931785">
      <w:pPr>
        <w:pStyle w:val="TDC3"/>
        <w:rPr>
          <w:rFonts w:asciiTheme="minorHAnsi" w:eastAsiaTheme="minorEastAsia" w:hAnsiTheme="minorHAnsi" w:cstheme="minorBidi"/>
          <w:sz w:val="22"/>
          <w:szCs w:val="22"/>
          <w:lang w:eastAsia="es-ES"/>
        </w:rPr>
      </w:pPr>
      <w:hyperlink w:anchor="_Toc496266619" w:history="1">
        <w:r w:rsidR="00A90A7E" w:rsidRPr="00BF7C67">
          <w:rPr>
            <w:rStyle w:val="Hipervnculo"/>
          </w:rPr>
          <w:t>41.</w:t>
        </w:r>
        <w:r w:rsidR="00A90A7E">
          <w:rPr>
            <w:rFonts w:asciiTheme="minorHAnsi" w:eastAsiaTheme="minorEastAsia" w:hAnsiTheme="minorHAnsi" w:cstheme="minorBidi"/>
            <w:sz w:val="22"/>
            <w:szCs w:val="22"/>
            <w:lang w:eastAsia="es-ES"/>
          </w:rPr>
          <w:tab/>
        </w:r>
        <w:r w:rsidR="00A90A7E" w:rsidRPr="00BF7C67">
          <w:rPr>
            <w:rStyle w:val="Hipervnculo"/>
          </w:rPr>
          <w:t>CESIÓN DEL CONTRATO</w:t>
        </w:r>
        <w:r w:rsidR="00A90A7E">
          <w:rPr>
            <w:webHidden/>
          </w:rPr>
          <w:tab/>
        </w:r>
        <w:r w:rsidR="00A90A7E">
          <w:rPr>
            <w:webHidden/>
          </w:rPr>
          <w:fldChar w:fldCharType="begin"/>
        </w:r>
        <w:r w:rsidR="00A90A7E">
          <w:rPr>
            <w:webHidden/>
          </w:rPr>
          <w:instrText xml:space="preserve"> PAGEREF _Toc496266619 \h </w:instrText>
        </w:r>
        <w:r w:rsidR="00A90A7E">
          <w:rPr>
            <w:webHidden/>
          </w:rPr>
        </w:r>
        <w:r w:rsidR="00A90A7E">
          <w:rPr>
            <w:webHidden/>
          </w:rPr>
          <w:fldChar w:fldCharType="separate"/>
        </w:r>
        <w:r w:rsidR="00A90A7E">
          <w:rPr>
            <w:webHidden/>
          </w:rPr>
          <w:t>45</w:t>
        </w:r>
        <w:r w:rsidR="00A90A7E">
          <w:rPr>
            <w:webHidden/>
          </w:rPr>
          <w:fldChar w:fldCharType="end"/>
        </w:r>
      </w:hyperlink>
    </w:p>
    <w:p w14:paraId="4EC9EFB7" w14:textId="77777777" w:rsidR="00A90A7E" w:rsidRDefault="00931785">
      <w:pPr>
        <w:pStyle w:val="TDC3"/>
        <w:rPr>
          <w:rFonts w:asciiTheme="minorHAnsi" w:eastAsiaTheme="minorEastAsia" w:hAnsiTheme="minorHAnsi" w:cstheme="minorBidi"/>
          <w:sz w:val="22"/>
          <w:szCs w:val="22"/>
          <w:lang w:eastAsia="es-ES"/>
        </w:rPr>
      </w:pPr>
      <w:hyperlink w:anchor="_Toc496266620" w:history="1">
        <w:r w:rsidR="00A90A7E" w:rsidRPr="00BF7C67">
          <w:rPr>
            <w:rStyle w:val="Hipervnculo"/>
          </w:rPr>
          <w:t>42.</w:t>
        </w:r>
        <w:r w:rsidR="00A90A7E">
          <w:rPr>
            <w:rFonts w:asciiTheme="minorHAnsi" w:eastAsiaTheme="minorEastAsia" w:hAnsiTheme="minorHAnsi" w:cstheme="minorBidi"/>
            <w:sz w:val="22"/>
            <w:szCs w:val="22"/>
            <w:lang w:eastAsia="es-ES"/>
          </w:rPr>
          <w:tab/>
        </w:r>
        <w:r w:rsidR="00A90A7E" w:rsidRPr="00BF7C67">
          <w:rPr>
            <w:rStyle w:val="Hipervnculo"/>
          </w:rPr>
          <w:t>MODIFICACIÓN DEL CONTRATO</w:t>
        </w:r>
        <w:r w:rsidR="00A90A7E">
          <w:rPr>
            <w:webHidden/>
          </w:rPr>
          <w:tab/>
        </w:r>
        <w:r w:rsidR="00A90A7E">
          <w:rPr>
            <w:webHidden/>
          </w:rPr>
          <w:fldChar w:fldCharType="begin"/>
        </w:r>
        <w:r w:rsidR="00A90A7E">
          <w:rPr>
            <w:webHidden/>
          </w:rPr>
          <w:instrText xml:space="preserve"> PAGEREF _Toc496266620 \h </w:instrText>
        </w:r>
        <w:r w:rsidR="00A90A7E">
          <w:rPr>
            <w:webHidden/>
          </w:rPr>
        </w:r>
        <w:r w:rsidR="00A90A7E">
          <w:rPr>
            <w:webHidden/>
          </w:rPr>
          <w:fldChar w:fldCharType="separate"/>
        </w:r>
        <w:r w:rsidR="00A90A7E">
          <w:rPr>
            <w:webHidden/>
          </w:rPr>
          <w:t>46</w:t>
        </w:r>
        <w:r w:rsidR="00A90A7E">
          <w:rPr>
            <w:webHidden/>
          </w:rPr>
          <w:fldChar w:fldCharType="end"/>
        </w:r>
      </w:hyperlink>
    </w:p>
    <w:p w14:paraId="33FE2828"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21" w:history="1">
        <w:r w:rsidR="00A90A7E" w:rsidRPr="00BF7C67">
          <w:rPr>
            <w:rStyle w:val="Hipervnculo"/>
            <w:noProof/>
          </w:rPr>
          <w:t>42.1.</w:t>
        </w:r>
        <w:r w:rsidR="00A90A7E">
          <w:rPr>
            <w:rFonts w:eastAsiaTheme="minorEastAsia" w:cstheme="minorBidi"/>
            <w:noProof/>
            <w:sz w:val="22"/>
            <w:szCs w:val="22"/>
            <w:lang w:eastAsia="es-ES"/>
          </w:rPr>
          <w:tab/>
        </w:r>
        <w:r w:rsidR="00A90A7E" w:rsidRPr="00BF7C67">
          <w:rPr>
            <w:rStyle w:val="Hipervnculo"/>
            <w:noProof/>
          </w:rPr>
          <w:t>MODIFICACIÓN POR LA CONTRATANTE</w:t>
        </w:r>
        <w:r w:rsidR="00A90A7E">
          <w:rPr>
            <w:noProof/>
            <w:webHidden/>
          </w:rPr>
          <w:tab/>
        </w:r>
        <w:r w:rsidR="00A90A7E">
          <w:rPr>
            <w:noProof/>
            <w:webHidden/>
          </w:rPr>
          <w:fldChar w:fldCharType="begin"/>
        </w:r>
        <w:r w:rsidR="00A90A7E">
          <w:rPr>
            <w:noProof/>
            <w:webHidden/>
          </w:rPr>
          <w:instrText xml:space="preserve"> PAGEREF _Toc496266621 \h </w:instrText>
        </w:r>
        <w:r w:rsidR="00A90A7E">
          <w:rPr>
            <w:noProof/>
            <w:webHidden/>
          </w:rPr>
        </w:r>
        <w:r w:rsidR="00A90A7E">
          <w:rPr>
            <w:noProof/>
            <w:webHidden/>
          </w:rPr>
          <w:fldChar w:fldCharType="separate"/>
        </w:r>
        <w:r w:rsidR="00A90A7E">
          <w:rPr>
            <w:noProof/>
            <w:webHidden/>
          </w:rPr>
          <w:t>46</w:t>
        </w:r>
        <w:r w:rsidR="00A90A7E">
          <w:rPr>
            <w:noProof/>
            <w:webHidden/>
          </w:rPr>
          <w:fldChar w:fldCharType="end"/>
        </w:r>
      </w:hyperlink>
    </w:p>
    <w:p w14:paraId="385756DB"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22" w:history="1">
        <w:r w:rsidR="00A90A7E" w:rsidRPr="00BF7C67">
          <w:rPr>
            <w:rStyle w:val="Hipervnculo"/>
            <w:noProof/>
          </w:rPr>
          <w:t>42.2.</w:t>
        </w:r>
        <w:r w:rsidR="00A90A7E">
          <w:rPr>
            <w:rFonts w:eastAsiaTheme="minorEastAsia" w:cstheme="minorBidi"/>
            <w:noProof/>
            <w:sz w:val="22"/>
            <w:szCs w:val="22"/>
            <w:lang w:eastAsia="es-ES"/>
          </w:rPr>
          <w:tab/>
        </w:r>
        <w:r w:rsidR="00A90A7E" w:rsidRPr="00BF7C67">
          <w:rPr>
            <w:rStyle w:val="Hipervnculo"/>
            <w:noProof/>
          </w:rPr>
          <w:t>MODIFICACIONES PREVISTAS EN EL CONTRATO</w:t>
        </w:r>
        <w:r w:rsidR="00A90A7E">
          <w:rPr>
            <w:noProof/>
            <w:webHidden/>
          </w:rPr>
          <w:tab/>
        </w:r>
        <w:r w:rsidR="00A90A7E">
          <w:rPr>
            <w:noProof/>
            <w:webHidden/>
          </w:rPr>
          <w:fldChar w:fldCharType="begin"/>
        </w:r>
        <w:r w:rsidR="00A90A7E">
          <w:rPr>
            <w:noProof/>
            <w:webHidden/>
          </w:rPr>
          <w:instrText xml:space="preserve"> PAGEREF _Toc496266622 \h </w:instrText>
        </w:r>
        <w:r w:rsidR="00A90A7E">
          <w:rPr>
            <w:noProof/>
            <w:webHidden/>
          </w:rPr>
        </w:r>
        <w:r w:rsidR="00A90A7E">
          <w:rPr>
            <w:noProof/>
            <w:webHidden/>
          </w:rPr>
          <w:fldChar w:fldCharType="separate"/>
        </w:r>
        <w:r w:rsidR="00A90A7E">
          <w:rPr>
            <w:noProof/>
            <w:webHidden/>
          </w:rPr>
          <w:t>47</w:t>
        </w:r>
        <w:r w:rsidR="00A90A7E">
          <w:rPr>
            <w:noProof/>
            <w:webHidden/>
          </w:rPr>
          <w:fldChar w:fldCharType="end"/>
        </w:r>
      </w:hyperlink>
    </w:p>
    <w:p w14:paraId="09ABDE9D"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23" w:history="1">
        <w:r w:rsidR="00A90A7E" w:rsidRPr="00BF7C67">
          <w:rPr>
            <w:rStyle w:val="Hipervnculo"/>
            <w:noProof/>
          </w:rPr>
          <w:t>42.3.</w:t>
        </w:r>
        <w:r w:rsidR="00A90A7E">
          <w:rPr>
            <w:rFonts w:eastAsiaTheme="minorEastAsia" w:cstheme="minorBidi"/>
            <w:noProof/>
            <w:sz w:val="22"/>
            <w:szCs w:val="22"/>
            <w:lang w:eastAsia="es-ES"/>
          </w:rPr>
          <w:tab/>
        </w:r>
        <w:r w:rsidR="00A90A7E" w:rsidRPr="00BF7C67">
          <w:rPr>
            <w:rStyle w:val="Hipervnculo"/>
            <w:noProof/>
          </w:rPr>
          <w:t>RENEGOCIACIÓN DEL CONTRATO</w:t>
        </w:r>
        <w:r w:rsidR="00A90A7E">
          <w:rPr>
            <w:noProof/>
            <w:webHidden/>
          </w:rPr>
          <w:tab/>
        </w:r>
        <w:r w:rsidR="00A90A7E">
          <w:rPr>
            <w:noProof/>
            <w:webHidden/>
          </w:rPr>
          <w:fldChar w:fldCharType="begin"/>
        </w:r>
        <w:r w:rsidR="00A90A7E">
          <w:rPr>
            <w:noProof/>
            <w:webHidden/>
          </w:rPr>
          <w:instrText xml:space="preserve"> PAGEREF _Toc496266623 \h </w:instrText>
        </w:r>
        <w:r w:rsidR="00A90A7E">
          <w:rPr>
            <w:noProof/>
            <w:webHidden/>
          </w:rPr>
        </w:r>
        <w:r w:rsidR="00A90A7E">
          <w:rPr>
            <w:noProof/>
            <w:webHidden/>
          </w:rPr>
          <w:fldChar w:fldCharType="separate"/>
        </w:r>
        <w:r w:rsidR="00A90A7E">
          <w:rPr>
            <w:noProof/>
            <w:webHidden/>
          </w:rPr>
          <w:t>48</w:t>
        </w:r>
        <w:r w:rsidR="00A90A7E">
          <w:rPr>
            <w:noProof/>
            <w:webHidden/>
          </w:rPr>
          <w:fldChar w:fldCharType="end"/>
        </w:r>
      </w:hyperlink>
    </w:p>
    <w:p w14:paraId="2187D25A" w14:textId="77777777" w:rsidR="00A90A7E" w:rsidRDefault="00931785">
      <w:pPr>
        <w:pStyle w:val="TDC3"/>
        <w:rPr>
          <w:rFonts w:asciiTheme="minorHAnsi" w:eastAsiaTheme="minorEastAsia" w:hAnsiTheme="minorHAnsi" w:cstheme="minorBidi"/>
          <w:sz w:val="22"/>
          <w:szCs w:val="22"/>
          <w:lang w:eastAsia="es-ES"/>
        </w:rPr>
      </w:pPr>
      <w:hyperlink w:anchor="_Toc496266624" w:history="1">
        <w:r w:rsidR="00A90A7E" w:rsidRPr="00BF7C67">
          <w:rPr>
            <w:rStyle w:val="Hipervnculo"/>
          </w:rPr>
          <w:t>43.</w:t>
        </w:r>
        <w:r w:rsidR="00A90A7E">
          <w:rPr>
            <w:rFonts w:asciiTheme="minorHAnsi" w:eastAsiaTheme="minorEastAsia" w:hAnsiTheme="minorHAnsi" w:cstheme="minorBidi"/>
            <w:sz w:val="22"/>
            <w:szCs w:val="22"/>
            <w:lang w:eastAsia="es-ES"/>
          </w:rPr>
          <w:tab/>
        </w:r>
        <w:r w:rsidR="00A90A7E" w:rsidRPr="00BF7C67">
          <w:rPr>
            <w:rStyle w:val="Hipervnculo"/>
          </w:rPr>
          <w:t>CONDICIÓN TEMPORAL PARA PROCEDER A LA MODIFICACIÓN O RENEGOCIACIÓN DEL CONTRATO.</w:t>
        </w:r>
        <w:r w:rsidR="00A90A7E">
          <w:rPr>
            <w:webHidden/>
          </w:rPr>
          <w:tab/>
        </w:r>
        <w:r w:rsidR="00A90A7E">
          <w:rPr>
            <w:webHidden/>
          </w:rPr>
          <w:fldChar w:fldCharType="begin"/>
        </w:r>
        <w:r w:rsidR="00A90A7E">
          <w:rPr>
            <w:webHidden/>
          </w:rPr>
          <w:instrText xml:space="preserve"> PAGEREF _Toc496266624 \h </w:instrText>
        </w:r>
        <w:r w:rsidR="00A90A7E">
          <w:rPr>
            <w:webHidden/>
          </w:rPr>
        </w:r>
        <w:r w:rsidR="00A90A7E">
          <w:rPr>
            <w:webHidden/>
          </w:rPr>
          <w:fldChar w:fldCharType="separate"/>
        </w:r>
        <w:r w:rsidR="00A90A7E">
          <w:rPr>
            <w:webHidden/>
          </w:rPr>
          <w:t>51</w:t>
        </w:r>
        <w:r w:rsidR="00A90A7E">
          <w:rPr>
            <w:webHidden/>
          </w:rPr>
          <w:fldChar w:fldCharType="end"/>
        </w:r>
      </w:hyperlink>
    </w:p>
    <w:p w14:paraId="729D8BB4" w14:textId="77777777" w:rsidR="00A90A7E" w:rsidRDefault="00931785">
      <w:pPr>
        <w:pStyle w:val="TDC1"/>
        <w:rPr>
          <w:rFonts w:asciiTheme="minorHAnsi" w:eastAsiaTheme="minorEastAsia" w:hAnsiTheme="minorHAnsi" w:cstheme="minorBidi"/>
          <w:b w:val="0"/>
          <w:bCs w:val="0"/>
          <w:caps w:val="0"/>
          <w:lang w:val="es-ES"/>
        </w:rPr>
      </w:pPr>
      <w:hyperlink w:anchor="_Toc496266625" w:history="1">
        <w:r w:rsidR="00A90A7E" w:rsidRPr="00BF7C67">
          <w:rPr>
            <w:rStyle w:val="Hipervnculo"/>
          </w:rPr>
          <w:t>CAPÍTULO VI: CONTROL Y SEGUIMIENTO DEL CONTRATO</w:t>
        </w:r>
        <w:r w:rsidR="00A90A7E">
          <w:rPr>
            <w:webHidden/>
          </w:rPr>
          <w:tab/>
        </w:r>
        <w:r w:rsidR="00A90A7E">
          <w:rPr>
            <w:webHidden/>
          </w:rPr>
          <w:fldChar w:fldCharType="begin"/>
        </w:r>
        <w:r w:rsidR="00A90A7E">
          <w:rPr>
            <w:webHidden/>
          </w:rPr>
          <w:instrText xml:space="preserve"> PAGEREF _Toc496266625 \h </w:instrText>
        </w:r>
        <w:r w:rsidR="00A90A7E">
          <w:rPr>
            <w:webHidden/>
          </w:rPr>
        </w:r>
        <w:r w:rsidR="00A90A7E">
          <w:rPr>
            <w:webHidden/>
          </w:rPr>
          <w:fldChar w:fldCharType="separate"/>
        </w:r>
        <w:r w:rsidR="00A90A7E">
          <w:rPr>
            <w:webHidden/>
          </w:rPr>
          <w:t>52</w:t>
        </w:r>
        <w:r w:rsidR="00A90A7E">
          <w:rPr>
            <w:webHidden/>
          </w:rPr>
          <w:fldChar w:fldCharType="end"/>
        </w:r>
      </w:hyperlink>
    </w:p>
    <w:p w14:paraId="21055D65" w14:textId="77777777" w:rsidR="00A90A7E" w:rsidRDefault="00931785">
      <w:pPr>
        <w:pStyle w:val="TDC3"/>
        <w:rPr>
          <w:rFonts w:asciiTheme="minorHAnsi" w:eastAsiaTheme="minorEastAsia" w:hAnsiTheme="minorHAnsi" w:cstheme="minorBidi"/>
          <w:sz w:val="22"/>
          <w:szCs w:val="22"/>
          <w:lang w:eastAsia="es-ES"/>
        </w:rPr>
      </w:pPr>
      <w:hyperlink w:anchor="_Toc496266626" w:history="1">
        <w:r w:rsidR="00A90A7E" w:rsidRPr="00BF7C67">
          <w:rPr>
            <w:rStyle w:val="Hipervnculo"/>
          </w:rPr>
          <w:t>44.</w:t>
        </w:r>
        <w:r w:rsidR="00A90A7E">
          <w:rPr>
            <w:rFonts w:asciiTheme="minorHAnsi" w:eastAsiaTheme="minorEastAsia" w:hAnsiTheme="minorHAnsi" w:cstheme="minorBidi"/>
            <w:sz w:val="22"/>
            <w:szCs w:val="22"/>
            <w:lang w:eastAsia="es-ES"/>
          </w:rPr>
          <w:tab/>
        </w:r>
        <w:r w:rsidR="00A90A7E" w:rsidRPr="00BF7C67">
          <w:rPr>
            <w:rStyle w:val="Hipervnculo"/>
          </w:rPr>
          <w:t>INSTRUMENTOS Y FUNCIONAMIENTO PARA LA VERIFICACIÓN DEL CUMPLIMIENTO y SEGUIMIENTO DEL CONTRATO.</w:t>
        </w:r>
        <w:r w:rsidR="00A90A7E">
          <w:rPr>
            <w:webHidden/>
          </w:rPr>
          <w:tab/>
        </w:r>
        <w:r w:rsidR="00A90A7E">
          <w:rPr>
            <w:webHidden/>
          </w:rPr>
          <w:fldChar w:fldCharType="begin"/>
        </w:r>
        <w:r w:rsidR="00A90A7E">
          <w:rPr>
            <w:webHidden/>
          </w:rPr>
          <w:instrText xml:space="preserve"> PAGEREF _Toc496266626 \h </w:instrText>
        </w:r>
        <w:r w:rsidR="00A90A7E">
          <w:rPr>
            <w:webHidden/>
          </w:rPr>
        </w:r>
        <w:r w:rsidR="00A90A7E">
          <w:rPr>
            <w:webHidden/>
          </w:rPr>
          <w:fldChar w:fldCharType="separate"/>
        </w:r>
        <w:r w:rsidR="00A90A7E">
          <w:rPr>
            <w:webHidden/>
          </w:rPr>
          <w:t>52</w:t>
        </w:r>
        <w:r w:rsidR="00A90A7E">
          <w:rPr>
            <w:webHidden/>
          </w:rPr>
          <w:fldChar w:fldCharType="end"/>
        </w:r>
      </w:hyperlink>
    </w:p>
    <w:p w14:paraId="65DCBFD5" w14:textId="77777777" w:rsidR="00A90A7E" w:rsidRDefault="00931785">
      <w:pPr>
        <w:pStyle w:val="TDC1"/>
        <w:rPr>
          <w:rFonts w:asciiTheme="minorHAnsi" w:eastAsiaTheme="minorEastAsia" w:hAnsiTheme="minorHAnsi" w:cstheme="minorBidi"/>
          <w:b w:val="0"/>
          <w:bCs w:val="0"/>
          <w:caps w:val="0"/>
          <w:lang w:val="es-ES"/>
        </w:rPr>
      </w:pPr>
      <w:hyperlink w:anchor="_Toc496266627" w:history="1">
        <w:r w:rsidR="00A90A7E" w:rsidRPr="00BF7C67">
          <w:rPr>
            <w:rStyle w:val="Hipervnculo"/>
          </w:rPr>
          <w:t>CAPITULO VII: SANCIONES Y PENALIDADES POR INCUMPLIMIENTOS DE OBLIGACIONES CONTRACTUALES</w:t>
        </w:r>
        <w:r w:rsidR="00A90A7E">
          <w:rPr>
            <w:webHidden/>
          </w:rPr>
          <w:tab/>
        </w:r>
        <w:r w:rsidR="00A90A7E">
          <w:rPr>
            <w:webHidden/>
          </w:rPr>
          <w:fldChar w:fldCharType="begin"/>
        </w:r>
        <w:r w:rsidR="00A90A7E">
          <w:rPr>
            <w:webHidden/>
          </w:rPr>
          <w:instrText xml:space="preserve"> PAGEREF _Toc496266627 \h </w:instrText>
        </w:r>
        <w:r w:rsidR="00A90A7E">
          <w:rPr>
            <w:webHidden/>
          </w:rPr>
        </w:r>
        <w:r w:rsidR="00A90A7E">
          <w:rPr>
            <w:webHidden/>
          </w:rPr>
          <w:fldChar w:fldCharType="separate"/>
        </w:r>
        <w:r w:rsidR="00A90A7E">
          <w:rPr>
            <w:webHidden/>
          </w:rPr>
          <w:t>54</w:t>
        </w:r>
        <w:r w:rsidR="00A90A7E">
          <w:rPr>
            <w:webHidden/>
          </w:rPr>
          <w:fldChar w:fldCharType="end"/>
        </w:r>
      </w:hyperlink>
    </w:p>
    <w:p w14:paraId="60B84DE8" w14:textId="77777777" w:rsidR="00A90A7E" w:rsidRDefault="00931785">
      <w:pPr>
        <w:pStyle w:val="TDC3"/>
        <w:rPr>
          <w:rFonts w:asciiTheme="minorHAnsi" w:eastAsiaTheme="minorEastAsia" w:hAnsiTheme="minorHAnsi" w:cstheme="minorBidi"/>
          <w:sz w:val="22"/>
          <w:szCs w:val="22"/>
          <w:lang w:eastAsia="es-ES"/>
        </w:rPr>
      </w:pPr>
      <w:hyperlink w:anchor="_Toc496266628" w:history="1">
        <w:r w:rsidR="00A90A7E" w:rsidRPr="00BF7C67">
          <w:rPr>
            <w:rStyle w:val="Hipervnculo"/>
          </w:rPr>
          <w:t>45.</w:t>
        </w:r>
        <w:r w:rsidR="00A90A7E">
          <w:rPr>
            <w:rFonts w:asciiTheme="minorHAnsi" w:eastAsiaTheme="minorEastAsia" w:hAnsiTheme="minorHAnsi" w:cstheme="minorBidi"/>
            <w:sz w:val="22"/>
            <w:szCs w:val="22"/>
            <w:lang w:eastAsia="es-ES"/>
          </w:rPr>
          <w:tab/>
        </w:r>
        <w:r w:rsidR="00A90A7E" w:rsidRPr="00BF7C67">
          <w:rPr>
            <w:rStyle w:val="Hipervnculo"/>
          </w:rPr>
          <w:t>PROCEDIMIENTO DE IMPOSICIÓN DE PENALIDADES.</w:t>
        </w:r>
        <w:r w:rsidR="00A90A7E">
          <w:rPr>
            <w:webHidden/>
          </w:rPr>
          <w:tab/>
        </w:r>
        <w:r w:rsidR="00A90A7E">
          <w:rPr>
            <w:webHidden/>
          </w:rPr>
          <w:fldChar w:fldCharType="begin"/>
        </w:r>
        <w:r w:rsidR="00A90A7E">
          <w:rPr>
            <w:webHidden/>
          </w:rPr>
          <w:instrText xml:space="preserve"> PAGEREF _Toc496266628 \h </w:instrText>
        </w:r>
        <w:r w:rsidR="00A90A7E">
          <w:rPr>
            <w:webHidden/>
          </w:rPr>
        </w:r>
        <w:r w:rsidR="00A90A7E">
          <w:rPr>
            <w:webHidden/>
          </w:rPr>
          <w:fldChar w:fldCharType="separate"/>
        </w:r>
        <w:r w:rsidR="00A90A7E">
          <w:rPr>
            <w:webHidden/>
          </w:rPr>
          <w:t>54</w:t>
        </w:r>
        <w:r w:rsidR="00A90A7E">
          <w:rPr>
            <w:webHidden/>
          </w:rPr>
          <w:fldChar w:fldCharType="end"/>
        </w:r>
      </w:hyperlink>
    </w:p>
    <w:p w14:paraId="19919CF8"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29" w:history="1">
        <w:r w:rsidR="00A90A7E" w:rsidRPr="00BF7C67">
          <w:rPr>
            <w:rStyle w:val="Hipervnculo"/>
            <w:noProof/>
          </w:rPr>
          <w:t>45.1.</w:t>
        </w:r>
        <w:r w:rsidR="00A90A7E">
          <w:rPr>
            <w:rFonts w:eastAsiaTheme="minorEastAsia" w:cstheme="minorBidi"/>
            <w:noProof/>
            <w:sz w:val="22"/>
            <w:szCs w:val="22"/>
            <w:lang w:eastAsia="es-ES"/>
          </w:rPr>
          <w:tab/>
        </w:r>
        <w:r w:rsidR="00A90A7E" w:rsidRPr="00BF7C67">
          <w:rPr>
            <w:rStyle w:val="Hipervnculo"/>
            <w:noProof/>
          </w:rPr>
          <w:t>INFRACCIONES</w:t>
        </w:r>
        <w:r w:rsidR="00A90A7E">
          <w:rPr>
            <w:noProof/>
            <w:webHidden/>
          </w:rPr>
          <w:tab/>
        </w:r>
        <w:r w:rsidR="00A90A7E">
          <w:rPr>
            <w:noProof/>
            <w:webHidden/>
          </w:rPr>
          <w:fldChar w:fldCharType="begin"/>
        </w:r>
        <w:r w:rsidR="00A90A7E">
          <w:rPr>
            <w:noProof/>
            <w:webHidden/>
          </w:rPr>
          <w:instrText xml:space="preserve"> PAGEREF _Toc496266629 \h </w:instrText>
        </w:r>
        <w:r w:rsidR="00A90A7E">
          <w:rPr>
            <w:noProof/>
            <w:webHidden/>
          </w:rPr>
        </w:r>
        <w:r w:rsidR="00A90A7E">
          <w:rPr>
            <w:noProof/>
            <w:webHidden/>
          </w:rPr>
          <w:fldChar w:fldCharType="separate"/>
        </w:r>
        <w:r w:rsidR="00A90A7E">
          <w:rPr>
            <w:noProof/>
            <w:webHidden/>
          </w:rPr>
          <w:t>54</w:t>
        </w:r>
        <w:r w:rsidR="00A90A7E">
          <w:rPr>
            <w:noProof/>
            <w:webHidden/>
          </w:rPr>
          <w:fldChar w:fldCharType="end"/>
        </w:r>
      </w:hyperlink>
    </w:p>
    <w:p w14:paraId="023F87D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30" w:history="1">
        <w:r w:rsidR="00A90A7E" w:rsidRPr="00BF7C67">
          <w:rPr>
            <w:rStyle w:val="Hipervnculo"/>
            <w:noProof/>
          </w:rPr>
          <w:t>45.2.</w:t>
        </w:r>
        <w:r w:rsidR="00A90A7E">
          <w:rPr>
            <w:rFonts w:eastAsiaTheme="minorEastAsia" w:cstheme="minorBidi"/>
            <w:noProof/>
            <w:sz w:val="22"/>
            <w:szCs w:val="22"/>
            <w:lang w:eastAsia="es-ES"/>
          </w:rPr>
          <w:tab/>
        </w:r>
        <w:r w:rsidR="00A90A7E" w:rsidRPr="00BF7C67">
          <w:rPr>
            <w:rStyle w:val="Hipervnculo"/>
            <w:noProof/>
          </w:rPr>
          <w:t>PENALIDADES</w:t>
        </w:r>
        <w:r w:rsidR="00A90A7E">
          <w:rPr>
            <w:noProof/>
            <w:webHidden/>
          </w:rPr>
          <w:tab/>
        </w:r>
        <w:r w:rsidR="00A90A7E">
          <w:rPr>
            <w:noProof/>
            <w:webHidden/>
          </w:rPr>
          <w:fldChar w:fldCharType="begin"/>
        </w:r>
        <w:r w:rsidR="00A90A7E">
          <w:rPr>
            <w:noProof/>
            <w:webHidden/>
          </w:rPr>
          <w:instrText xml:space="preserve"> PAGEREF _Toc496266630 \h </w:instrText>
        </w:r>
        <w:r w:rsidR="00A90A7E">
          <w:rPr>
            <w:noProof/>
            <w:webHidden/>
          </w:rPr>
        </w:r>
        <w:r w:rsidR="00A90A7E">
          <w:rPr>
            <w:noProof/>
            <w:webHidden/>
          </w:rPr>
          <w:fldChar w:fldCharType="separate"/>
        </w:r>
        <w:r w:rsidR="00A90A7E">
          <w:rPr>
            <w:noProof/>
            <w:webHidden/>
          </w:rPr>
          <w:t>54</w:t>
        </w:r>
        <w:r w:rsidR="00A90A7E">
          <w:rPr>
            <w:noProof/>
            <w:webHidden/>
          </w:rPr>
          <w:fldChar w:fldCharType="end"/>
        </w:r>
      </w:hyperlink>
    </w:p>
    <w:p w14:paraId="5A4B5AAF" w14:textId="77777777" w:rsidR="00A90A7E" w:rsidRDefault="00931785">
      <w:pPr>
        <w:pStyle w:val="TDC1"/>
        <w:rPr>
          <w:rFonts w:asciiTheme="minorHAnsi" w:eastAsiaTheme="minorEastAsia" w:hAnsiTheme="minorHAnsi" w:cstheme="minorBidi"/>
          <w:b w:val="0"/>
          <w:bCs w:val="0"/>
          <w:caps w:val="0"/>
          <w:lang w:val="es-ES"/>
        </w:rPr>
      </w:pPr>
      <w:hyperlink w:anchor="_Toc496266631" w:history="1">
        <w:r w:rsidR="00A90A7E" w:rsidRPr="00BF7C67">
          <w:rPr>
            <w:rStyle w:val="Hipervnculo"/>
          </w:rPr>
          <w:t>CAPÍTULO VIII: EXTINCIÓN DEL CONTRATO</w:t>
        </w:r>
        <w:r w:rsidR="00A90A7E">
          <w:rPr>
            <w:webHidden/>
          </w:rPr>
          <w:tab/>
        </w:r>
        <w:r w:rsidR="00A90A7E">
          <w:rPr>
            <w:webHidden/>
          </w:rPr>
          <w:fldChar w:fldCharType="begin"/>
        </w:r>
        <w:r w:rsidR="00A90A7E">
          <w:rPr>
            <w:webHidden/>
          </w:rPr>
          <w:instrText xml:space="preserve"> PAGEREF _Toc496266631 \h </w:instrText>
        </w:r>
        <w:r w:rsidR="00A90A7E">
          <w:rPr>
            <w:webHidden/>
          </w:rPr>
        </w:r>
        <w:r w:rsidR="00A90A7E">
          <w:rPr>
            <w:webHidden/>
          </w:rPr>
          <w:fldChar w:fldCharType="separate"/>
        </w:r>
        <w:r w:rsidR="00A90A7E">
          <w:rPr>
            <w:webHidden/>
          </w:rPr>
          <w:t>56</w:t>
        </w:r>
        <w:r w:rsidR="00A90A7E">
          <w:rPr>
            <w:webHidden/>
          </w:rPr>
          <w:fldChar w:fldCharType="end"/>
        </w:r>
      </w:hyperlink>
    </w:p>
    <w:p w14:paraId="17E2D707" w14:textId="77777777" w:rsidR="00A90A7E" w:rsidRDefault="00931785">
      <w:pPr>
        <w:pStyle w:val="TDC3"/>
        <w:rPr>
          <w:rFonts w:asciiTheme="minorHAnsi" w:eastAsiaTheme="minorEastAsia" w:hAnsiTheme="minorHAnsi" w:cstheme="minorBidi"/>
          <w:sz w:val="22"/>
          <w:szCs w:val="22"/>
          <w:lang w:eastAsia="es-ES"/>
        </w:rPr>
      </w:pPr>
      <w:hyperlink w:anchor="_Toc496266632" w:history="1">
        <w:r w:rsidR="00A90A7E" w:rsidRPr="00BF7C67">
          <w:rPr>
            <w:rStyle w:val="Hipervnculo"/>
          </w:rPr>
          <w:t>46.</w:t>
        </w:r>
        <w:r w:rsidR="00A90A7E">
          <w:rPr>
            <w:rFonts w:asciiTheme="minorHAnsi" w:eastAsiaTheme="minorEastAsia" w:hAnsiTheme="minorHAnsi" w:cstheme="minorBidi"/>
            <w:sz w:val="22"/>
            <w:szCs w:val="22"/>
            <w:lang w:eastAsia="es-ES"/>
          </w:rPr>
          <w:tab/>
        </w:r>
        <w:r w:rsidR="00A90A7E" w:rsidRPr="00BF7C67">
          <w:rPr>
            <w:rStyle w:val="Hipervnculo"/>
          </w:rPr>
          <w:t>EXTINCIÓN DEL CONTRATO</w:t>
        </w:r>
        <w:r w:rsidR="00A90A7E">
          <w:rPr>
            <w:webHidden/>
          </w:rPr>
          <w:tab/>
        </w:r>
        <w:r w:rsidR="00A90A7E">
          <w:rPr>
            <w:webHidden/>
          </w:rPr>
          <w:fldChar w:fldCharType="begin"/>
        </w:r>
        <w:r w:rsidR="00A90A7E">
          <w:rPr>
            <w:webHidden/>
          </w:rPr>
          <w:instrText xml:space="preserve"> PAGEREF _Toc496266632 \h </w:instrText>
        </w:r>
        <w:r w:rsidR="00A90A7E">
          <w:rPr>
            <w:webHidden/>
          </w:rPr>
        </w:r>
        <w:r w:rsidR="00A90A7E">
          <w:rPr>
            <w:webHidden/>
          </w:rPr>
          <w:fldChar w:fldCharType="separate"/>
        </w:r>
        <w:r w:rsidR="00A90A7E">
          <w:rPr>
            <w:webHidden/>
          </w:rPr>
          <w:t>56</w:t>
        </w:r>
        <w:r w:rsidR="00A90A7E">
          <w:rPr>
            <w:webHidden/>
          </w:rPr>
          <w:fldChar w:fldCharType="end"/>
        </w:r>
      </w:hyperlink>
    </w:p>
    <w:p w14:paraId="745FDDCA"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33" w:history="1">
        <w:r w:rsidR="00A90A7E" w:rsidRPr="00BF7C67">
          <w:rPr>
            <w:rStyle w:val="Hipervnculo"/>
            <w:noProof/>
          </w:rPr>
          <w:t>46.1.</w:t>
        </w:r>
        <w:r w:rsidR="00A90A7E">
          <w:rPr>
            <w:rFonts w:eastAsiaTheme="minorEastAsia" w:cstheme="minorBidi"/>
            <w:noProof/>
            <w:sz w:val="22"/>
            <w:szCs w:val="22"/>
            <w:lang w:eastAsia="es-ES"/>
          </w:rPr>
          <w:tab/>
        </w:r>
        <w:r w:rsidR="00A90A7E" w:rsidRPr="00BF7C67">
          <w:rPr>
            <w:rStyle w:val="Hipervnculo"/>
            <w:noProof/>
          </w:rPr>
          <w:t>CAUSAS DE EXTINCIÓN</w:t>
        </w:r>
        <w:r w:rsidR="00A90A7E">
          <w:rPr>
            <w:noProof/>
            <w:webHidden/>
          </w:rPr>
          <w:tab/>
        </w:r>
        <w:r w:rsidR="00A90A7E">
          <w:rPr>
            <w:noProof/>
            <w:webHidden/>
          </w:rPr>
          <w:fldChar w:fldCharType="begin"/>
        </w:r>
        <w:r w:rsidR="00A90A7E">
          <w:rPr>
            <w:noProof/>
            <w:webHidden/>
          </w:rPr>
          <w:instrText xml:space="preserve"> PAGEREF _Toc496266633 \h </w:instrText>
        </w:r>
        <w:r w:rsidR="00A90A7E">
          <w:rPr>
            <w:noProof/>
            <w:webHidden/>
          </w:rPr>
        </w:r>
        <w:r w:rsidR="00A90A7E">
          <w:rPr>
            <w:noProof/>
            <w:webHidden/>
          </w:rPr>
          <w:fldChar w:fldCharType="separate"/>
        </w:r>
        <w:r w:rsidR="00A90A7E">
          <w:rPr>
            <w:noProof/>
            <w:webHidden/>
          </w:rPr>
          <w:t>56</w:t>
        </w:r>
        <w:r w:rsidR="00A90A7E">
          <w:rPr>
            <w:noProof/>
            <w:webHidden/>
          </w:rPr>
          <w:fldChar w:fldCharType="end"/>
        </w:r>
      </w:hyperlink>
    </w:p>
    <w:p w14:paraId="1CCC7BB5"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34" w:history="1">
        <w:r w:rsidR="00A90A7E" w:rsidRPr="00BF7C67">
          <w:rPr>
            <w:rStyle w:val="Hipervnculo"/>
            <w:noProof/>
          </w:rPr>
          <w:t>46.2.</w:t>
        </w:r>
        <w:r w:rsidR="00A90A7E">
          <w:rPr>
            <w:rFonts w:eastAsiaTheme="minorEastAsia" w:cstheme="minorBidi"/>
            <w:noProof/>
            <w:sz w:val="22"/>
            <w:szCs w:val="22"/>
            <w:lang w:eastAsia="es-ES"/>
          </w:rPr>
          <w:tab/>
        </w:r>
        <w:r w:rsidR="00A90A7E" w:rsidRPr="00BF7C67">
          <w:rPr>
            <w:rStyle w:val="Hipervnculo"/>
            <w:noProof/>
          </w:rPr>
          <w:t>CONSECUENCIAS DE LA EXTINCIÓN</w:t>
        </w:r>
        <w:r w:rsidR="00A90A7E">
          <w:rPr>
            <w:noProof/>
            <w:webHidden/>
          </w:rPr>
          <w:tab/>
        </w:r>
        <w:r w:rsidR="00A90A7E">
          <w:rPr>
            <w:noProof/>
            <w:webHidden/>
          </w:rPr>
          <w:fldChar w:fldCharType="begin"/>
        </w:r>
        <w:r w:rsidR="00A90A7E">
          <w:rPr>
            <w:noProof/>
            <w:webHidden/>
          </w:rPr>
          <w:instrText xml:space="preserve"> PAGEREF _Toc496266634 \h </w:instrText>
        </w:r>
        <w:r w:rsidR="00A90A7E">
          <w:rPr>
            <w:noProof/>
            <w:webHidden/>
          </w:rPr>
        </w:r>
        <w:r w:rsidR="00A90A7E">
          <w:rPr>
            <w:noProof/>
            <w:webHidden/>
          </w:rPr>
          <w:fldChar w:fldCharType="separate"/>
        </w:r>
        <w:r w:rsidR="00A90A7E">
          <w:rPr>
            <w:noProof/>
            <w:webHidden/>
          </w:rPr>
          <w:t>57</w:t>
        </w:r>
        <w:r w:rsidR="00A90A7E">
          <w:rPr>
            <w:noProof/>
            <w:webHidden/>
          </w:rPr>
          <w:fldChar w:fldCharType="end"/>
        </w:r>
      </w:hyperlink>
    </w:p>
    <w:p w14:paraId="6BB282D4" w14:textId="77777777" w:rsidR="00A90A7E" w:rsidRDefault="00931785">
      <w:pPr>
        <w:pStyle w:val="TDC3"/>
        <w:rPr>
          <w:rFonts w:asciiTheme="minorHAnsi" w:eastAsiaTheme="minorEastAsia" w:hAnsiTheme="minorHAnsi" w:cstheme="minorBidi"/>
          <w:sz w:val="22"/>
          <w:szCs w:val="22"/>
          <w:lang w:eastAsia="es-ES"/>
        </w:rPr>
      </w:pPr>
      <w:hyperlink w:anchor="_Toc496266635" w:history="1">
        <w:r w:rsidR="00A90A7E" w:rsidRPr="00BF7C67">
          <w:rPr>
            <w:rStyle w:val="Hipervnculo"/>
          </w:rPr>
          <w:t>47.</w:t>
        </w:r>
        <w:r w:rsidR="00A90A7E">
          <w:rPr>
            <w:rFonts w:asciiTheme="minorHAnsi" w:eastAsiaTheme="minorEastAsia" w:hAnsiTheme="minorHAnsi" w:cstheme="minorBidi"/>
            <w:sz w:val="22"/>
            <w:szCs w:val="22"/>
            <w:lang w:eastAsia="es-ES"/>
          </w:rPr>
          <w:tab/>
        </w:r>
        <w:r w:rsidR="00A90A7E" w:rsidRPr="00BF7C67">
          <w:rPr>
            <w:rStyle w:val="Hipervnculo"/>
          </w:rPr>
          <w:t>INTERVENCIÓN POR LA CONTRATANTE</w:t>
        </w:r>
        <w:r w:rsidR="00A90A7E">
          <w:rPr>
            <w:webHidden/>
          </w:rPr>
          <w:tab/>
        </w:r>
        <w:r w:rsidR="00A90A7E">
          <w:rPr>
            <w:webHidden/>
          </w:rPr>
          <w:fldChar w:fldCharType="begin"/>
        </w:r>
        <w:r w:rsidR="00A90A7E">
          <w:rPr>
            <w:webHidden/>
          </w:rPr>
          <w:instrText xml:space="preserve"> PAGEREF _Toc496266635 \h </w:instrText>
        </w:r>
        <w:r w:rsidR="00A90A7E">
          <w:rPr>
            <w:webHidden/>
          </w:rPr>
        </w:r>
        <w:r w:rsidR="00A90A7E">
          <w:rPr>
            <w:webHidden/>
          </w:rPr>
          <w:fldChar w:fldCharType="separate"/>
        </w:r>
        <w:r w:rsidR="00A90A7E">
          <w:rPr>
            <w:webHidden/>
          </w:rPr>
          <w:t>62</w:t>
        </w:r>
        <w:r w:rsidR="00A90A7E">
          <w:rPr>
            <w:webHidden/>
          </w:rPr>
          <w:fldChar w:fldCharType="end"/>
        </w:r>
      </w:hyperlink>
    </w:p>
    <w:p w14:paraId="3A51E212" w14:textId="77777777" w:rsidR="00A90A7E" w:rsidRDefault="00931785">
      <w:pPr>
        <w:pStyle w:val="TDC3"/>
        <w:rPr>
          <w:rFonts w:asciiTheme="minorHAnsi" w:eastAsiaTheme="minorEastAsia" w:hAnsiTheme="minorHAnsi" w:cstheme="minorBidi"/>
          <w:sz w:val="22"/>
          <w:szCs w:val="22"/>
          <w:lang w:eastAsia="es-ES"/>
        </w:rPr>
      </w:pPr>
      <w:hyperlink w:anchor="_Toc496266636" w:history="1">
        <w:r w:rsidR="00A90A7E" w:rsidRPr="00BF7C67">
          <w:rPr>
            <w:rStyle w:val="Hipervnculo"/>
          </w:rPr>
          <w:t>48.</w:t>
        </w:r>
        <w:r w:rsidR="00A90A7E">
          <w:rPr>
            <w:rFonts w:asciiTheme="minorHAnsi" w:eastAsiaTheme="minorEastAsia" w:hAnsiTheme="minorHAnsi" w:cstheme="minorBidi"/>
            <w:sz w:val="22"/>
            <w:szCs w:val="22"/>
            <w:lang w:eastAsia="es-ES"/>
          </w:rPr>
          <w:tab/>
        </w:r>
        <w:r w:rsidR="00A90A7E" w:rsidRPr="00BF7C67">
          <w:rPr>
            <w:rStyle w:val="Hipervnculo"/>
          </w:rPr>
          <w:t>TITULARIDAD DE LAS OBRAS</w:t>
        </w:r>
        <w:r w:rsidR="00A90A7E">
          <w:rPr>
            <w:webHidden/>
          </w:rPr>
          <w:tab/>
        </w:r>
        <w:r w:rsidR="00A90A7E">
          <w:rPr>
            <w:webHidden/>
          </w:rPr>
          <w:fldChar w:fldCharType="begin"/>
        </w:r>
        <w:r w:rsidR="00A90A7E">
          <w:rPr>
            <w:webHidden/>
          </w:rPr>
          <w:instrText xml:space="preserve"> PAGEREF _Toc496266636 \h </w:instrText>
        </w:r>
        <w:r w:rsidR="00A90A7E">
          <w:rPr>
            <w:webHidden/>
          </w:rPr>
        </w:r>
        <w:r w:rsidR="00A90A7E">
          <w:rPr>
            <w:webHidden/>
          </w:rPr>
          <w:fldChar w:fldCharType="separate"/>
        </w:r>
        <w:r w:rsidR="00A90A7E">
          <w:rPr>
            <w:webHidden/>
          </w:rPr>
          <w:t>62</w:t>
        </w:r>
        <w:r w:rsidR="00A90A7E">
          <w:rPr>
            <w:webHidden/>
          </w:rPr>
          <w:fldChar w:fldCharType="end"/>
        </w:r>
      </w:hyperlink>
    </w:p>
    <w:p w14:paraId="725AAB78" w14:textId="77777777" w:rsidR="00A90A7E" w:rsidRDefault="00931785">
      <w:pPr>
        <w:pStyle w:val="TDC3"/>
        <w:rPr>
          <w:rFonts w:asciiTheme="minorHAnsi" w:eastAsiaTheme="minorEastAsia" w:hAnsiTheme="minorHAnsi" w:cstheme="minorBidi"/>
          <w:sz w:val="22"/>
          <w:szCs w:val="22"/>
          <w:lang w:eastAsia="es-ES"/>
        </w:rPr>
      </w:pPr>
      <w:hyperlink w:anchor="_Toc496266637" w:history="1">
        <w:r w:rsidR="00A90A7E" w:rsidRPr="00BF7C67">
          <w:rPr>
            <w:rStyle w:val="Hipervnculo"/>
          </w:rPr>
          <w:t>49.</w:t>
        </w:r>
        <w:r w:rsidR="00A90A7E">
          <w:rPr>
            <w:rFonts w:asciiTheme="minorHAnsi" w:eastAsiaTheme="minorEastAsia" w:hAnsiTheme="minorHAnsi" w:cstheme="minorBidi"/>
            <w:sz w:val="22"/>
            <w:szCs w:val="22"/>
            <w:lang w:eastAsia="es-ES"/>
          </w:rPr>
          <w:tab/>
        </w:r>
        <w:r w:rsidR="00A90A7E" w:rsidRPr="00BF7C67">
          <w:rPr>
            <w:rStyle w:val="Hipervnculo"/>
          </w:rPr>
          <w:t>REVERSIÓN DE LAS OBRAS</w:t>
        </w:r>
        <w:r w:rsidR="00A90A7E">
          <w:rPr>
            <w:webHidden/>
          </w:rPr>
          <w:tab/>
        </w:r>
        <w:r w:rsidR="00A90A7E">
          <w:rPr>
            <w:webHidden/>
          </w:rPr>
          <w:fldChar w:fldCharType="begin"/>
        </w:r>
        <w:r w:rsidR="00A90A7E">
          <w:rPr>
            <w:webHidden/>
          </w:rPr>
          <w:instrText xml:space="preserve"> PAGEREF _Toc496266637 \h </w:instrText>
        </w:r>
        <w:r w:rsidR="00A90A7E">
          <w:rPr>
            <w:webHidden/>
          </w:rPr>
        </w:r>
        <w:r w:rsidR="00A90A7E">
          <w:rPr>
            <w:webHidden/>
          </w:rPr>
          <w:fldChar w:fldCharType="separate"/>
        </w:r>
        <w:r w:rsidR="00A90A7E">
          <w:rPr>
            <w:webHidden/>
          </w:rPr>
          <w:t>62</w:t>
        </w:r>
        <w:r w:rsidR="00A90A7E">
          <w:rPr>
            <w:webHidden/>
          </w:rPr>
          <w:fldChar w:fldCharType="end"/>
        </w:r>
      </w:hyperlink>
    </w:p>
    <w:p w14:paraId="1B71201E" w14:textId="77777777" w:rsidR="00A90A7E" w:rsidRDefault="00931785">
      <w:pPr>
        <w:pStyle w:val="TDC1"/>
        <w:rPr>
          <w:rFonts w:asciiTheme="minorHAnsi" w:eastAsiaTheme="minorEastAsia" w:hAnsiTheme="minorHAnsi" w:cstheme="minorBidi"/>
          <w:b w:val="0"/>
          <w:bCs w:val="0"/>
          <w:caps w:val="0"/>
          <w:lang w:val="es-ES"/>
        </w:rPr>
      </w:pPr>
      <w:hyperlink w:anchor="_Toc496266638" w:history="1">
        <w:r w:rsidR="00A90A7E" w:rsidRPr="00BF7C67">
          <w:rPr>
            <w:rStyle w:val="Hipervnculo"/>
          </w:rPr>
          <w:t>CAPÍTULO IX: RESOLUCIÓN DE CONTROVERSIAS</w:t>
        </w:r>
        <w:r w:rsidR="00A90A7E">
          <w:rPr>
            <w:webHidden/>
          </w:rPr>
          <w:tab/>
        </w:r>
        <w:r w:rsidR="00A90A7E">
          <w:rPr>
            <w:webHidden/>
          </w:rPr>
          <w:fldChar w:fldCharType="begin"/>
        </w:r>
        <w:r w:rsidR="00A90A7E">
          <w:rPr>
            <w:webHidden/>
          </w:rPr>
          <w:instrText xml:space="preserve"> PAGEREF _Toc496266638 \h </w:instrText>
        </w:r>
        <w:r w:rsidR="00A90A7E">
          <w:rPr>
            <w:webHidden/>
          </w:rPr>
        </w:r>
        <w:r w:rsidR="00A90A7E">
          <w:rPr>
            <w:webHidden/>
          </w:rPr>
          <w:fldChar w:fldCharType="separate"/>
        </w:r>
        <w:r w:rsidR="00A90A7E">
          <w:rPr>
            <w:webHidden/>
          </w:rPr>
          <w:t>63</w:t>
        </w:r>
        <w:r w:rsidR="00A90A7E">
          <w:rPr>
            <w:webHidden/>
          </w:rPr>
          <w:fldChar w:fldCharType="end"/>
        </w:r>
      </w:hyperlink>
    </w:p>
    <w:p w14:paraId="5DE9ECBF" w14:textId="77777777" w:rsidR="00A90A7E" w:rsidRDefault="00931785">
      <w:pPr>
        <w:pStyle w:val="TDC3"/>
        <w:rPr>
          <w:rFonts w:asciiTheme="minorHAnsi" w:eastAsiaTheme="minorEastAsia" w:hAnsiTheme="minorHAnsi" w:cstheme="minorBidi"/>
          <w:sz w:val="22"/>
          <w:szCs w:val="22"/>
          <w:lang w:eastAsia="es-ES"/>
        </w:rPr>
      </w:pPr>
      <w:hyperlink w:anchor="_Toc496266639" w:history="1">
        <w:r w:rsidR="00A90A7E" w:rsidRPr="00BF7C67">
          <w:rPr>
            <w:rStyle w:val="Hipervnculo"/>
          </w:rPr>
          <w:t>50.</w:t>
        </w:r>
        <w:r w:rsidR="00A90A7E">
          <w:rPr>
            <w:rFonts w:asciiTheme="minorHAnsi" w:eastAsiaTheme="minorEastAsia" w:hAnsiTheme="minorHAnsi" w:cstheme="minorBidi"/>
            <w:sz w:val="22"/>
            <w:szCs w:val="22"/>
            <w:lang w:eastAsia="es-ES"/>
          </w:rPr>
          <w:tab/>
        </w:r>
        <w:r w:rsidR="00A90A7E" w:rsidRPr="00BF7C67">
          <w:rPr>
            <w:rStyle w:val="Hipervnculo"/>
          </w:rPr>
          <w:t>ARBITRAJE</w:t>
        </w:r>
        <w:r w:rsidR="00A90A7E">
          <w:rPr>
            <w:webHidden/>
          </w:rPr>
          <w:tab/>
        </w:r>
        <w:r w:rsidR="00A90A7E">
          <w:rPr>
            <w:webHidden/>
          </w:rPr>
          <w:fldChar w:fldCharType="begin"/>
        </w:r>
        <w:r w:rsidR="00A90A7E">
          <w:rPr>
            <w:webHidden/>
          </w:rPr>
          <w:instrText xml:space="preserve"> PAGEREF _Toc496266639 \h </w:instrText>
        </w:r>
        <w:r w:rsidR="00A90A7E">
          <w:rPr>
            <w:webHidden/>
          </w:rPr>
        </w:r>
        <w:r w:rsidR="00A90A7E">
          <w:rPr>
            <w:webHidden/>
          </w:rPr>
          <w:fldChar w:fldCharType="separate"/>
        </w:r>
        <w:r w:rsidR="00A90A7E">
          <w:rPr>
            <w:webHidden/>
          </w:rPr>
          <w:t>63</w:t>
        </w:r>
        <w:r w:rsidR="00A90A7E">
          <w:rPr>
            <w:webHidden/>
          </w:rPr>
          <w:fldChar w:fldCharType="end"/>
        </w:r>
      </w:hyperlink>
    </w:p>
    <w:p w14:paraId="722C5105" w14:textId="77777777" w:rsidR="00A90A7E" w:rsidRDefault="00931785">
      <w:pPr>
        <w:pStyle w:val="TDC3"/>
        <w:rPr>
          <w:rFonts w:asciiTheme="minorHAnsi" w:eastAsiaTheme="minorEastAsia" w:hAnsiTheme="minorHAnsi" w:cstheme="minorBidi"/>
          <w:sz w:val="22"/>
          <w:szCs w:val="22"/>
          <w:lang w:eastAsia="es-ES"/>
        </w:rPr>
      </w:pPr>
      <w:hyperlink w:anchor="_Toc496266640" w:history="1">
        <w:r w:rsidR="00A90A7E" w:rsidRPr="00BF7C67">
          <w:rPr>
            <w:rStyle w:val="Hipervnculo"/>
          </w:rPr>
          <w:t>51.</w:t>
        </w:r>
        <w:r w:rsidR="00A90A7E">
          <w:rPr>
            <w:rFonts w:asciiTheme="minorHAnsi" w:eastAsiaTheme="minorEastAsia" w:hAnsiTheme="minorHAnsi" w:cstheme="minorBidi"/>
            <w:sz w:val="22"/>
            <w:szCs w:val="22"/>
            <w:lang w:eastAsia="es-ES"/>
          </w:rPr>
          <w:tab/>
        </w:r>
        <w:r w:rsidR="00A90A7E" w:rsidRPr="00BF7C67">
          <w:rPr>
            <w:rStyle w:val="Hipervnculo"/>
          </w:rPr>
          <w:t>DERECHO APLICABLE Y JURISDICCION COMPETENTE</w:t>
        </w:r>
        <w:r w:rsidR="00A90A7E">
          <w:rPr>
            <w:webHidden/>
          </w:rPr>
          <w:tab/>
        </w:r>
        <w:r w:rsidR="00A90A7E">
          <w:rPr>
            <w:webHidden/>
          </w:rPr>
          <w:fldChar w:fldCharType="begin"/>
        </w:r>
        <w:r w:rsidR="00A90A7E">
          <w:rPr>
            <w:webHidden/>
          </w:rPr>
          <w:instrText xml:space="preserve"> PAGEREF _Toc496266640 \h </w:instrText>
        </w:r>
        <w:r w:rsidR="00A90A7E">
          <w:rPr>
            <w:webHidden/>
          </w:rPr>
        </w:r>
        <w:r w:rsidR="00A90A7E">
          <w:rPr>
            <w:webHidden/>
          </w:rPr>
          <w:fldChar w:fldCharType="separate"/>
        </w:r>
        <w:r w:rsidR="00A90A7E">
          <w:rPr>
            <w:webHidden/>
          </w:rPr>
          <w:t>63</w:t>
        </w:r>
        <w:r w:rsidR="00A90A7E">
          <w:rPr>
            <w:webHidden/>
          </w:rPr>
          <w:fldChar w:fldCharType="end"/>
        </w:r>
      </w:hyperlink>
    </w:p>
    <w:p w14:paraId="292D33C4" w14:textId="77777777" w:rsidR="00A90A7E" w:rsidRDefault="00931785">
      <w:pPr>
        <w:pStyle w:val="TDC1"/>
        <w:rPr>
          <w:rFonts w:asciiTheme="minorHAnsi" w:eastAsiaTheme="minorEastAsia" w:hAnsiTheme="minorHAnsi" w:cstheme="minorBidi"/>
          <w:b w:val="0"/>
          <w:bCs w:val="0"/>
          <w:caps w:val="0"/>
          <w:lang w:val="es-ES"/>
        </w:rPr>
      </w:pPr>
      <w:hyperlink w:anchor="_Toc496266641" w:history="1">
        <w:r w:rsidR="00A90A7E" w:rsidRPr="00BF7C67">
          <w:rPr>
            <w:rStyle w:val="Hipervnculo"/>
          </w:rPr>
          <w:t>SECCIÓN II - PLIEGO DE CONDICIONES TÉCNICAS (PCT)</w:t>
        </w:r>
        <w:r w:rsidR="00A90A7E">
          <w:rPr>
            <w:webHidden/>
          </w:rPr>
          <w:tab/>
        </w:r>
        <w:r w:rsidR="00A90A7E">
          <w:rPr>
            <w:webHidden/>
          </w:rPr>
          <w:fldChar w:fldCharType="begin"/>
        </w:r>
        <w:r w:rsidR="00A90A7E">
          <w:rPr>
            <w:webHidden/>
          </w:rPr>
          <w:instrText xml:space="preserve"> PAGEREF _Toc496266641 \h </w:instrText>
        </w:r>
        <w:r w:rsidR="00A90A7E">
          <w:rPr>
            <w:webHidden/>
          </w:rPr>
        </w:r>
        <w:r w:rsidR="00A90A7E">
          <w:rPr>
            <w:webHidden/>
          </w:rPr>
          <w:fldChar w:fldCharType="separate"/>
        </w:r>
        <w:r w:rsidR="00A90A7E">
          <w:rPr>
            <w:webHidden/>
          </w:rPr>
          <w:t>64</w:t>
        </w:r>
        <w:r w:rsidR="00A90A7E">
          <w:rPr>
            <w:webHidden/>
          </w:rPr>
          <w:fldChar w:fldCharType="end"/>
        </w:r>
      </w:hyperlink>
    </w:p>
    <w:p w14:paraId="46279EEC" w14:textId="77777777" w:rsidR="00A90A7E" w:rsidRDefault="00931785">
      <w:pPr>
        <w:pStyle w:val="TDC1"/>
        <w:rPr>
          <w:rFonts w:asciiTheme="minorHAnsi" w:eastAsiaTheme="minorEastAsia" w:hAnsiTheme="minorHAnsi" w:cstheme="minorBidi"/>
          <w:b w:val="0"/>
          <w:bCs w:val="0"/>
          <w:caps w:val="0"/>
          <w:lang w:val="es-ES"/>
        </w:rPr>
      </w:pPr>
      <w:hyperlink w:anchor="_Toc496266642" w:history="1">
        <w:r w:rsidR="00A90A7E" w:rsidRPr="00BF7C67">
          <w:rPr>
            <w:rStyle w:val="Hipervnculo"/>
          </w:rPr>
          <w:t>CAPITULO X: INTRODUCCIÓN</w:t>
        </w:r>
        <w:r w:rsidR="00A90A7E">
          <w:rPr>
            <w:webHidden/>
          </w:rPr>
          <w:tab/>
        </w:r>
        <w:r w:rsidR="00A90A7E">
          <w:rPr>
            <w:webHidden/>
          </w:rPr>
          <w:fldChar w:fldCharType="begin"/>
        </w:r>
        <w:r w:rsidR="00A90A7E">
          <w:rPr>
            <w:webHidden/>
          </w:rPr>
          <w:instrText xml:space="preserve"> PAGEREF _Toc496266642 \h </w:instrText>
        </w:r>
        <w:r w:rsidR="00A90A7E">
          <w:rPr>
            <w:webHidden/>
          </w:rPr>
        </w:r>
        <w:r w:rsidR="00A90A7E">
          <w:rPr>
            <w:webHidden/>
          </w:rPr>
          <w:fldChar w:fldCharType="separate"/>
        </w:r>
        <w:r w:rsidR="00A90A7E">
          <w:rPr>
            <w:webHidden/>
          </w:rPr>
          <w:t>64</w:t>
        </w:r>
        <w:r w:rsidR="00A90A7E">
          <w:rPr>
            <w:webHidden/>
          </w:rPr>
          <w:fldChar w:fldCharType="end"/>
        </w:r>
      </w:hyperlink>
    </w:p>
    <w:p w14:paraId="7908B0D4" w14:textId="77777777" w:rsidR="00A90A7E" w:rsidRDefault="00931785">
      <w:pPr>
        <w:pStyle w:val="TDC1"/>
        <w:rPr>
          <w:rFonts w:asciiTheme="minorHAnsi" w:eastAsiaTheme="minorEastAsia" w:hAnsiTheme="minorHAnsi" w:cstheme="minorBidi"/>
          <w:b w:val="0"/>
          <w:bCs w:val="0"/>
          <w:caps w:val="0"/>
          <w:lang w:val="es-ES"/>
        </w:rPr>
      </w:pPr>
      <w:hyperlink w:anchor="_Toc496266643" w:history="1">
        <w:r w:rsidR="00A90A7E" w:rsidRPr="00BF7C67">
          <w:rPr>
            <w:rStyle w:val="Hipervnculo"/>
          </w:rPr>
          <w:t>CAPITULO XI: OBRAS DE PUESTA A PUNTO Y COMPLEMENTARIAS.</w:t>
        </w:r>
        <w:r w:rsidR="00A90A7E">
          <w:rPr>
            <w:webHidden/>
          </w:rPr>
          <w:tab/>
        </w:r>
        <w:r w:rsidR="00A90A7E">
          <w:rPr>
            <w:webHidden/>
          </w:rPr>
          <w:fldChar w:fldCharType="begin"/>
        </w:r>
        <w:r w:rsidR="00A90A7E">
          <w:rPr>
            <w:webHidden/>
          </w:rPr>
          <w:instrText xml:space="preserve"> PAGEREF _Toc496266643 \h </w:instrText>
        </w:r>
        <w:r w:rsidR="00A90A7E">
          <w:rPr>
            <w:webHidden/>
          </w:rPr>
        </w:r>
        <w:r w:rsidR="00A90A7E">
          <w:rPr>
            <w:webHidden/>
          </w:rPr>
          <w:fldChar w:fldCharType="separate"/>
        </w:r>
        <w:r w:rsidR="00A90A7E">
          <w:rPr>
            <w:webHidden/>
          </w:rPr>
          <w:t>65</w:t>
        </w:r>
        <w:r w:rsidR="00A90A7E">
          <w:rPr>
            <w:webHidden/>
          </w:rPr>
          <w:fldChar w:fldCharType="end"/>
        </w:r>
      </w:hyperlink>
    </w:p>
    <w:p w14:paraId="5D74A0D6" w14:textId="77777777" w:rsidR="00A90A7E" w:rsidRDefault="00931785">
      <w:pPr>
        <w:pStyle w:val="TDC3"/>
        <w:rPr>
          <w:rFonts w:asciiTheme="minorHAnsi" w:eastAsiaTheme="minorEastAsia" w:hAnsiTheme="minorHAnsi" w:cstheme="minorBidi"/>
          <w:sz w:val="22"/>
          <w:szCs w:val="22"/>
          <w:lang w:eastAsia="es-ES"/>
        </w:rPr>
      </w:pPr>
      <w:hyperlink w:anchor="_Toc496266644" w:history="1">
        <w:r w:rsidR="00A90A7E" w:rsidRPr="00BF7C67">
          <w:rPr>
            <w:rStyle w:val="Hipervnculo"/>
          </w:rPr>
          <w:t>52.</w:t>
        </w:r>
        <w:r w:rsidR="00A90A7E">
          <w:rPr>
            <w:rFonts w:asciiTheme="minorHAnsi" w:eastAsiaTheme="minorEastAsia" w:hAnsiTheme="minorHAnsi" w:cstheme="minorBidi"/>
            <w:sz w:val="22"/>
            <w:szCs w:val="22"/>
            <w:lang w:eastAsia="es-ES"/>
          </w:rPr>
          <w:tab/>
        </w:r>
        <w:r w:rsidR="00A90A7E" w:rsidRPr="00BF7C67">
          <w:rPr>
            <w:rStyle w:val="Hipervnculo"/>
          </w:rPr>
          <w:t>DESCRIPCIÓN DE LAS OBRAS A CONSTRUIR Y REHABILITAR</w:t>
        </w:r>
        <w:r w:rsidR="00A90A7E">
          <w:rPr>
            <w:webHidden/>
          </w:rPr>
          <w:tab/>
        </w:r>
        <w:r w:rsidR="00A90A7E">
          <w:rPr>
            <w:webHidden/>
          </w:rPr>
          <w:fldChar w:fldCharType="begin"/>
        </w:r>
        <w:r w:rsidR="00A90A7E">
          <w:rPr>
            <w:webHidden/>
          </w:rPr>
          <w:instrText xml:space="preserve"> PAGEREF _Toc496266644 \h </w:instrText>
        </w:r>
        <w:r w:rsidR="00A90A7E">
          <w:rPr>
            <w:webHidden/>
          </w:rPr>
        </w:r>
        <w:r w:rsidR="00A90A7E">
          <w:rPr>
            <w:webHidden/>
          </w:rPr>
          <w:fldChar w:fldCharType="separate"/>
        </w:r>
        <w:r w:rsidR="00A90A7E">
          <w:rPr>
            <w:webHidden/>
          </w:rPr>
          <w:t>65</w:t>
        </w:r>
        <w:r w:rsidR="00A90A7E">
          <w:rPr>
            <w:webHidden/>
          </w:rPr>
          <w:fldChar w:fldCharType="end"/>
        </w:r>
      </w:hyperlink>
    </w:p>
    <w:p w14:paraId="5E4B1A44" w14:textId="77777777" w:rsidR="00A90A7E" w:rsidRDefault="00931785">
      <w:pPr>
        <w:pStyle w:val="TDC3"/>
        <w:rPr>
          <w:rFonts w:asciiTheme="minorHAnsi" w:eastAsiaTheme="minorEastAsia" w:hAnsiTheme="minorHAnsi" w:cstheme="minorBidi"/>
          <w:sz w:val="22"/>
          <w:szCs w:val="22"/>
          <w:lang w:eastAsia="es-ES"/>
        </w:rPr>
      </w:pPr>
      <w:hyperlink w:anchor="_Toc496266645" w:history="1">
        <w:r w:rsidR="00A90A7E" w:rsidRPr="00BF7C67">
          <w:rPr>
            <w:rStyle w:val="Hipervnculo"/>
          </w:rPr>
          <w:t>53.</w:t>
        </w:r>
        <w:r w:rsidR="00A90A7E">
          <w:rPr>
            <w:rFonts w:asciiTheme="minorHAnsi" w:eastAsiaTheme="minorEastAsia" w:hAnsiTheme="minorHAnsi" w:cstheme="minorBidi"/>
            <w:sz w:val="22"/>
            <w:szCs w:val="22"/>
            <w:lang w:eastAsia="es-ES"/>
          </w:rPr>
          <w:tab/>
        </w:r>
        <w:r w:rsidR="00A90A7E" w:rsidRPr="00BF7C67">
          <w:rPr>
            <w:rStyle w:val="Hipervnculo"/>
          </w:rPr>
          <w:t>NATURALEZA DE LAS OBRAS</w:t>
        </w:r>
        <w:r w:rsidR="00A90A7E">
          <w:rPr>
            <w:webHidden/>
          </w:rPr>
          <w:tab/>
        </w:r>
        <w:r w:rsidR="00A90A7E">
          <w:rPr>
            <w:webHidden/>
          </w:rPr>
          <w:fldChar w:fldCharType="begin"/>
        </w:r>
        <w:r w:rsidR="00A90A7E">
          <w:rPr>
            <w:webHidden/>
          </w:rPr>
          <w:instrText xml:space="preserve"> PAGEREF _Toc496266645 \h </w:instrText>
        </w:r>
        <w:r w:rsidR="00A90A7E">
          <w:rPr>
            <w:webHidden/>
          </w:rPr>
        </w:r>
        <w:r w:rsidR="00A90A7E">
          <w:rPr>
            <w:webHidden/>
          </w:rPr>
          <w:fldChar w:fldCharType="separate"/>
        </w:r>
        <w:r w:rsidR="00A90A7E">
          <w:rPr>
            <w:webHidden/>
          </w:rPr>
          <w:t>66</w:t>
        </w:r>
        <w:r w:rsidR="00A90A7E">
          <w:rPr>
            <w:webHidden/>
          </w:rPr>
          <w:fldChar w:fldCharType="end"/>
        </w:r>
      </w:hyperlink>
    </w:p>
    <w:p w14:paraId="023B8B75"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46" w:history="1">
        <w:r w:rsidR="00A90A7E" w:rsidRPr="00BF7C67">
          <w:rPr>
            <w:rStyle w:val="Hipervnculo"/>
            <w:noProof/>
          </w:rPr>
          <w:t>53.1.</w:t>
        </w:r>
        <w:r w:rsidR="00A90A7E">
          <w:rPr>
            <w:rFonts w:eastAsiaTheme="minorEastAsia" w:cstheme="minorBidi"/>
            <w:noProof/>
            <w:sz w:val="22"/>
            <w:szCs w:val="22"/>
            <w:lang w:eastAsia="es-ES"/>
          </w:rPr>
          <w:tab/>
        </w:r>
        <w:r w:rsidR="00A90A7E" w:rsidRPr="00BF7C67">
          <w:rPr>
            <w:rStyle w:val="Hipervnculo"/>
            <w:noProof/>
          </w:rPr>
          <w:t>OBRAS DE PUESTA A PUNTO Y OBRAS MÍNIMAS OBLIGATORIAS</w:t>
        </w:r>
        <w:r w:rsidR="00A90A7E">
          <w:rPr>
            <w:noProof/>
            <w:webHidden/>
          </w:rPr>
          <w:tab/>
        </w:r>
        <w:r w:rsidR="00A90A7E">
          <w:rPr>
            <w:noProof/>
            <w:webHidden/>
          </w:rPr>
          <w:fldChar w:fldCharType="begin"/>
        </w:r>
        <w:r w:rsidR="00A90A7E">
          <w:rPr>
            <w:noProof/>
            <w:webHidden/>
          </w:rPr>
          <w:instrText xml:space="preserve"> PAGEREF _Toc496266646 \h </w:instrText>
        </w:r>
        <w:r w:rsidR="00A90A7E">
          <w:rPr>
            <w:noProof/>
            <w:webHidden/>
          </w:rPr>
        </w:r>
        <w:r w:rsidR="00A90A7E">
          <w:rPr>
            <w:noProof/>
            <w:webHidden/>
          </w:rPr>
          <w:fldChar w:fldCharType="separate"/>
        </w:r>
        <w:r w:rsidR="00A90A7E">
          <w:rPr>
            <w:noProof/>
            <w:webHidden/>
          </w:rPr>
          <w:t>66</w:t>
        </w:r>
        <w:r w:rsidR="00A90A7E">
          <w:rPr>
            <w:noProof/>
            <w:webHidden/>
          </w:rPr>
          <w:fldChar w:fldCharType="end"/>
        </w:r>
      </w:hyperlink>
    </w:p>
    <w:p w14:paraId="4161B86F"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47" w:history="1">
        <w:r w:rsidR="00A90A7E" w:rsidRPr="00BF7C67">
          <w:rPr>
            <w:rStyle w:val="Hipervnculo"/>
            <w:noProof/>
          </w:rPr>
          <w:t>53.2.</w:t>
        </w:r>
        <w:r w:rsidR="00A90A7E">
          <w:rPr>
            <w:rFonts w:eastAsiaTheme="minorEastAsia" w:cstheme="minorBidi"/>
            <w:noProof/>
            <w:sz w:val="22"/>
            <w:szCs w:val="22"/>
            <w:lang w:eastAsia="es-ES"/>
          </w:rPr>
          <w:tab/>
        </w:r>
        <w:r w:rsidR="00A90A7E" w:rsidRPr="00BF7C67">
          <w:rPr>
            <w:rStyle w:val="Hipervnculo"/>
            <w:noProof/>
          </w:rPr>
          <w:t>DESCRIPCIÓN DE LAS OBRAS MÍNIMAS OBLIGATORIAS</w:t>
        </w:r>
        <w:r w:rsidR="00A90A7E">
          <w:rPr>
            <w:noProof/>
            <w:webHidden/>
          </w:rPr>
          <w:tab/>
        </w:r>
        <w:r w:rsidR="00A90A7E">
          <w:rPr>
            <w:noProof/>
            <w:webHidden/>
          </w:rPr>
          <w:fldChar w:fldCharType="begin"/>
        </w:r>
        <w:r w:rsidR="00A90A7E">
          <w:rPr>
            <w:noProof/>
            <w:webHidden/>
          </w:rPr>
          <w:instrText xml:space="preserve"> PAGEREF _Toc496266647 \h </w:instrText>
        </w:r>
        <w:r w:rsidR="00A90A7E">
          <w:rPr>
            <w:noProof/>
            <w:webHidden/>
          </w:rPr>
        </w:r>
        <w:r w:rsidR="00A90A7E">
          <w:rPr>
            <w:noProof/>
            <w:webHidden/>
          </w:rPr>
          <w:fldChar w:fldCharType="separate"/>
        </w:r>
        <w:r w:rsidR="00A90A7E">
          <w:rPr>
            <w:noProof/>
            <w:webHidden/>
          </w:rPr>
          <w:t>67</w:t>
        </w:r>
        <w:r w:rsidR="00A90A7E">
          <w:rPr>
            <w:noProof/>
            <w:webHidden/>
          </w:rPr>
          <w:fldChar w:fldCharType="end"/>
        </w:r>
      </w:hyperlink>
    </w:p>
    <w:p w14:paraId="5CED4541"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48" w:history="1">
        <w:r w:rsidR="00A90A7E" w:rsidRPr="00BF7C67">
          <w:rPr>
            <w:rStyle w:val="Hipervnculo"/>
            <w:noProof/>
          </w:rPr>
          <w:t>53.3.</w:t>
        </w:r>
        <w:r w:rsidR="00A90A7E">
          <w:rPr>
            <w:rFonts w:eastAsiaTheme="minorEastAsia" w:cstheme="minorBidi"/>
            <w:noProof/>
            <w:sz w:val="22"/>
            <w:szCs w:val="22"/>
            <w:lang w:eastAsia="es-ES"/>
          </w:rPr>
          <w:tab/>
        </w:r>
        <w:r w:rsidR="00A90A7E" w:rsidRPr="00BF7C67">
          <w:rPr>
            <w:rStyle w:val="Hipervnculo"/>
            <w:noProof/>
          </w:rPr>
          <w:t>PLAZO DE EJECUCIÓN DE LAS OBRAS DE PUESTA A PUNTO – OBRAS MÍNIMAS OBLIGATORIAS</w:t>
        </w:r>
        <w:r w:rsidR="00A90A7E">
          <w:rPr>
            <w:noProof/>
            <w:webHidden/>
          </w:rPr>
          <w:tab/>
        </w:r>
        <w:r w:rsidR="00A90A7E">
          <w:rPr>
            <w:noProof/>
            <w:webHidden/>
          </w:rPr>
          <w:fldChar w:fldCharType="begin"/>
        </w:r>
        <w:r w:rsidR="00A90A7E">
          <w:rPr>
            <w:noProof/>
            <w:webHidden/>
          </w:rPr>
          <w:instrText xml:space="preserve"> PAGEREF _Toc496266648 \h </w:instrText>
        </w:r>
        <w:r w:rsidR="00A90A7E">
          <w:rPr>
            <w:noProof/>
            <w:webHidden/>
          </w:rPr>
        </w:r>
        <w:r w:rsidR="00A90A7E">
          <w:rPr>
            <w:noProof/>
            <w:webHidden/>
          </w:rPr>
          <w:fldChar w:fldCharType="separate"/>
        </w:r>
        <w:r w:rsidR="00A90A7E">
          <w:rPr>
            <w:noProof/>
            <w:webHidden/>
          </w:rPr>
          <w:t>75</w:t>
        </w:r>
        <w:r w:rsidR="00A90A7E">
          <w:rPr>
            <w:noProof/>
            <w:webHidden/>
          </w:rPr>
          <w:fldChar w:fldCharType="end"/>
        </w:r>
      </w:hyperlink>
    </w:p>
    <w:p w14:paraId="1586B1AC" w14:textId="77777777" w:rsidR="00A90A7E" w:rsidRDefault="00931785">
      <w:pPr>
        <w:pStyle w:val="TDC4"/>
        <w:tabs>
          <w:tab w:val="left" w:pos="1100"/>
          <w:tab w:val="right" w:pos="8494"/>
        </w:tabs>
        <w:rPr>
          <w:rFonts w:eastAsiaTheme="minorEastAsia" w:cstheme="minorBidi"/>
          <w:noProof/>
          <w:sz w:val="22"/>
          <w:szCs w:val="22"/>
          <w:lang w:eastAsia="es-ES"/>
        </w:rPr>
      </w:pPr>
      <w:hyperlink w:anchor="_Toc496266649" w:history="1">
        <w:r w:rsidR="00A90A7E" w:rsidRPr="00BF7C67">
          <w:rPr>
            <w:rStyle w:val="Hipervnculo"/>
            <w:noProof/>
          </w:rPr>
          <w:t>53.4.</w:t>
        </w:r>
        <w:r w:rsidR="00A90A7E">
          <w:rPr>
            <w:rFonts w:eastAsiaTheme="minorEastAsia" w:cstheme="minorBidi"/>
            <w:noProof/>
            <w:sz w:val="22"/>
            <w:szCs w:val="22"/>
            <w:lang w:eastAsia="es-ES"/>
          </w:rPr>
          <w:tab/>
        </w:r>
        <w:r w:rsidR="00A90A7E" w:rsidRPr="00BF7C67">
          <w:rPr>
            <w:rStyle w:val="Hipervnculo"/>
            <w:noProof/>
          </w:rPr>
          <w:t>OBRAS COMPLEMENTARIAS</w:t>
        </w:r>
        <w:r w:rsidR="00A90A7E">
          <w:rPr>
            <w:noProof/>
            <w:webHidden/>
          </w:rPr>
          <w:tab/>
        </w:r>
        <w:r w:rsidR="00A90A7E">
          <w:rPr>
            <w:noProof/>
            <w:webHidden/>
          </w:rPr>
          <w:fldChar w:fldCharType="begin"/>
        </w:r>
        <w:r w:rsidR="00A90A7E">
          <w:rPr>
            <w:noProof/>
            <w:webHidden/>
          </w:rPr>
          <w:instrText xml:space="preserve"> PAGEREF _Toc496266649 \h </w:instrText>
        </w:r>
        <w:r w:rsidR="00A90A7E">
          <w:rPr>
            <w:noProof/>
            <w:webHidden/>
          </w:rPr>
        </w:r>
        <w:r w:rsidR="00A90A7E">
          <w:rPr>
            <w:noProof/>
            <w:webHidden/>
          </w:rPr>
          <w:fldChar w:fldCharType="separate"/>
        </w:r>
        <w:r w:rsidR="00A90A7E">
          <w:rPr>
            <w:noProof/>
            <w:webHidden/>
          </w:rPr>
          <w:t>75</w:t>
        </w:r>
        <w:r w:rsidR="00A90A7E">
          <w:rPr>
            <w:noProof/>
            <w:webHidden/>
          </w:rPr>
          <w:fldChar w:fldCharType="end"/>
        </w:r>
      </w:hyperlink>
    </w:p>
    <w:p w14:paraId="6B5ACBE7" w14:textId="77777777" w:rsidR="00A90A7E" w:rsidRDefault="00931785">
      <w:pPr>
        <w:pStyle w:val="TDC3"/>
        <w:rPr>
          <w:rFonts w:asciiTheme="minorHAnsi" w:eastAsiaTheme="minorEastAsia" w:hAnsiTheme="minorHAnsi" w:cstheme="minorBidi"/>
          <w:sz w:val="22"/>
          <w:szCs w:val="22"/>
          <w:lang w:eastAsia="es-ES"/>
        </w:rPr>
      </w:pPr>
      <w:hyperlink w:anchor="_Toc496266650" w:history="1">
        <w:r w:rsidR="00A90A7E" w:rsidRPr="00BF7C67">
          <w:rPr>
            <w:rStyle w:val="Hipervnculo"/>
          </w:rPr>
          <w:t>54.</w:t>
        </w:r>
        <w:r w:rsidR="00A90A7E">
          <w:rPr>
            <w:rFonts w:asciiTheme="minorHAnsi" w:eastAsiaTheme="minorEastAsia" w:hAnsiTheme="minorHAnsi" w:cstheme="minorBidi"/>
            <w:sz w:val="22"/>
            <w:szCs w:val="22"/>
            <w:lang w:eastAsia="es-ES"/>
          </w:rPr>
          <w:tab/>
        </w:r>
        <w:r w:rsidR="00A90A7E" w:rsidRPr="00BF7C67">
          <w:rPr>
            <w:rStyle w:val="Hipervnculo"/>
          </w:rPr>
          <w:t>INCORPORACIÓN DE LOS TRAMOS Y/O SUB TRAMOS QUE SE ENCUENTRAN EN OBRA O EN PERÍODO DE CONSERVACIÓN</w:t>
        </w:r>
        <w:r w:rsidR="00A90A7E">
          <w:rPr>
            <w:webHidden/>
          </w:rPr>
          <w:tab/>
        </w:r>
        <w:r w:rsidR="00A90A7E">
          <w:rPr>
            <w:webHidden/>
          </w:rPr>
          <w:fldChar w:fldCharType="begin"/>
        </w:r>
        <w:r w:rsidR="00A90A7E">
          <w:rPr>
            <w:webHidden/>
          </w:rPr>
          <w:instrText xml:space="preserve"> PAGEREF _Toc496266650 \h </w:instrText>
        </w:r>
        <w:r w:rsidR="00A90A7E">
          <w:rPr>
            <w:webHidden/>
          </w:rPr>
        </w:r>
        <w:r w:rsidR="00A90A7E">
          <w:rPr>
            <w:webHidden/>
          </w:rPr>
          <w:fldChar w:fldCharType="separate"/>
        </w:r>
        <w:r w:rsidR="00A90A7E">
          <w:rPr>
            <w:webHidden/>
          </w:rPr>
          <w:t>76</w:t>
        </w:r>
        <w:r w:rsidR="00A90A7E">
          <w:rPr>
            <w:webHidden/>
          </w:rPr>
          <w:fldChar w:fldCharType="end"/>
        </w:r>
      </w:hyperlink>
    </w:p>
    <w:p w14:paraId="154D5482" w14:textId="77777777" w:rsidR="00A90A7E" w:rsidRDefault="00931785">
      <w:pPr>
        <w:pStyle w:val="TDC3"/>
        <w:rPr>
          <w:rFonts w:asciiTheme="minorHAnsi" w:eastAsiaTheme="minorEastAsia" w:hAnsiTheme="minorHAnsi" w:cstheme="minorBidi"/>
          <w:sz w:val="22"/>
          <w:szCs w:val="22"/>
          <w:lang w:eastAsia="es-ES"/>
        </w:rPr>
      </w:pPr>
      <w:hyperlink w:anchor="_Toc496266651" w:history="1">
        <w:r w:rsidR="00A90A7E" w:rsidRPr="00BF7C67">
          <w:rPr>
            <w:rStyle w:val="Hipervnculo"/>
          </w:rPr>
          <w:t>55.</w:t>
        </w:r>
        <w:r w:rsidR="00A90A7E">
          <w:rPr>
            <w:rFonts w:asciiTheme="minorHAnsi" w:eastAsiaTheme="minorEastAsia" w:hAnsiTheme="minorHAnsi" w:cstheme="minorBidi"/>
            <w:sz w:val="22"/>
            <w:szCs w:val="22"/>
            <w:lang w:eastAsia="es-ES"/>
          </w:rPr>
          <w:tab/>
        </w:r>
        <w:r w:rsidR="00A90A7E" w:rsidRPr="00BF7C67">
          <w:rPr>
            <w:rStyle w:val="Hipervnculo"/>
          </w:rPr>
          <w:t>PUESTOS DE CONTEO DE TRÁNSITO</w:t>
        </w:r>
        <w:r w:rsidR="00A90A7E">
          <w:rPr>
            <w:webHidden/>
          </w:rPr>
          <w:tab/>
        </w:r>
        <w:r w:rsidR="00A90A7E">
          <w:rPr>
            <w:webHidden/>
          </w:rPr>
          <w:fldChar w:fldCharType="begin"/>
        </w:r>
        <w:r w:rsidR="00A90A7E">
          <w:rPr>
            <w:webHidden/>
          </w:rPr>
          <w:instrText xml:space="preserve"> PAGEREF _Toc496266651 \h </w:instrText>
        </w:r>
        <w:r w:rsidR="00A90A7E">
          <w:rPr>
            <w:webHidden/>
          </w:rPr>
        </w:r>
        <w:r w:rsidR="00A90A7E">
          <w:rPr>
            <w:webHidden/>
          </w:rPr>
          <w:fldChar w:fldCharType="separate"/>
        </w:r>
        <w:r w:rsidR="00A90A7E">
          <w:rPr>
            <w:webHidden/>
          </w:rPr>
          <w:t>76</w:t>
        </w:r>
        <w:r w:rsidR="00A90A7E">
          <w:rPr>
            <w:webHidden/>
          </w:rPr>
          <w:fldChar w:fldCharType="end"/>
        </w:r>
      </w:hyperlink>
    </w:p>
    <w:p w14:paraId="52AFAECE" w14:textId="77777777" w:rsidR="00A90A7E" w:rsidRDefault="00931785">
      <w:pPr>
        <w:pStyle w:val="TDC2"/>
        <w:rPr>
          <w:rFonts w:asciiTheme="minorHAnsi" w:eastAsiaTheme="minorEastAsia" w:hAnsiTheme="minorHAnsi" w:cstheme="minorBidi"/>
          <w:b w:val="0"/>
          <w:bCs w:val="0"/>
          <w:lang w:eastAsia="es-ES"/>
        </w:rPr>
      </w:pPr>
      <w:hyperlink w:anchor="_Toc496266652" w:history="1">
        <w:r w:rsidR="00A90A7E" w:rsidRPr="00BF7C67">
          <w:rPr>
            <w:rStyle w:val="Hipervnculo"/>
          </w:rPr>
          <w:t>CAPITULO XII: GESTIÓN Y CONSERVACIÓN DE LA INFRAESTRUCTURA EN LA MODALIDAD DE PAGO POR DISPONIBILIDAD.</w:t>
        </w:r>
        <w:r w:rsidR="00A90A7E">
          <w:rPr>
            <w:webHidden/>
          </w:rPr>
          <w:tab/>
        </w:r>
        <w:r w:rsidR="00A90A7E">
          <w:rPr>
            <w:webHidden/>
          </w:rPr>
          <w:fldChar w:fldCharType="begin"/>
        </w:r>
        <w:r w:rsidR="00A90A7E">
          <w:rPr>
            <w:webHidden/>
          </w:rPr>
          <w:instrText xml:space="preserve"> PAGEREF _Toc496266652 \h </w:instrText>
        </w:r>
        <w:r w:rsidR="00A90A7E">
          <w:rPr>
            <w:webHidden/>
          </w:rPr>
        </w:r>
        <w:r w:rsidR="00A90A7E">
          <w:rPr>
            <w:webHidden/>
          </w:rPr>
          <w:fldChar w:fldCharType="separate"/>
        </w:r>
        <w:r w:rsidR="00A90A7E">
          <w:rPr>
            <w:webHidden/>
          </w:rPr>
          <w:t>77</w:t>
        </w:r>
        <w:r w:rsidR="00A90A7E">
          <w:rPr>
            <w:webHidden/>
          </w:rPr>
          <w:fldChar w:fldCharType="end"/>
        </w:r>
      </w:hyperlink>
    </w:p>
    <w:p w14:paraId="38D1FBCA" w14:textId="77777777" w:rsidR="00A90A7E" w:rsidRDefault="00931785">
      <w:pPr>
        <w:pStyle w:val="TDC3"/>
        <w:rPr>
          <w:rFonts w:asciiTheme="minorHAnsi" w:eastAsiaTheme="minorEastAsia" w:hAnsiTheme="minorHAnsi" w:cstheme="minorBidi"/>
          <w:sz w:val="22"/>
          <w:szCs w:val="22"/>
          <w:lang w:eastAsia="es-ES"/>
        </w:rPr>
      </w:pPr>
      <w:hyperlink w:anchor="_Toc496266653" w:history="1">
        <w:r w:rsidR="00A90A7E" w:rsidRPr="00BF7C67">
          <w:rPr>
            <w:rStyle w:val="Hipervnculo"/>
          </w:rPr>
          <w:t>56.</w:t>
        </w:r>
        <w:r w:rsidR="00A90A7E">
          <w:rPr>
            <w:rFonts w:asciiTheme="minorHAnsi" w:eastAsiaTheme="minorEastAsia" w:hAnsiTheme="minorHAnsi" w:cstheme="minorBidi"/>
            <w:sz w:val="22"/>
            <w:szCs w:val="22"/>
            <w:lang w:eastAsia="es-ES"/>
          </w:rPr>
          <w:tab/>
        </w:r>
        <w:r w:rsidR="00A90A7E" w:rsidRPr="00BF7C67">
          <w:rPr>
            <w:rStyle w:val="Hipervnculo"/>
          </w:rPr>
          <w:t>CARACTERÍSTICAS DEL MANTENIMIENTO EN LA MODALIDAD DE PPD.</w:t>
        </w:r>
        <w:r w:rsidR="00A90A7E">
          <w:rPr>
            <w:webHidden/>
          </w:rPr>
          <w:tab/>
        </w:r>
        <w:r w:rsidR="00A90A7E">
          <w:rPr>
            <w:webHidden/>
          </w:rPr>
          <w:fldChar w:fldCharType="begin"/>
        </w:r>
        <w:r w:rsidR="00A90A7E">
          <w:rPr>
            <w:webHidden/>
          </w:rPr>
          <w:instrText xml:space="preserve"> PAGEREF _Toc496266653 \h </w:instrText>
        </w:r>
        <w:r w:rsidR="00A90A7E">
          <w:rPr>
            <w:webHidden/>
          </w:rPr>
        </w:r>
        <w:r w:rsidR="00A90A7E">
          <w:rPr>
            <w:webHidden/>
          </w:rPr>
          <w:fldChar w:fldCharType="separate"/>
        </w:r>
        <w:r w:rsidR="00A90A7E">
          <w:rPr>
            <w:webHidden/>
          </w:rPr>
          <w:t>77</w:t>
        </w:r>
        <w:r w:rsidR="00A90A7E">
          <w:rPr>
            <w:webHidden/>
          </w:rPr>
          <w:fldChar w:fldCharType="end"/>
        </w:r>
      </w:hyperlink>
    </w:p>
    <w:p w14:paraId="6AB53DE3" w14:textId="77777777" w:rsidR="00A90A7E" w:rsidRDefault="00931785">
      <w:pPr>
        <w:pStyle w:val="TDC3"/>
        <w:rPr>
          <w:rFonts w:asciiTheme="minorHAnsi" w:eastAsiaTheme="minorEastAsia" w:hAnsiTheme="minorHAnsi" w:cstheme="minorBidi"/>
          <w:sz w:val="22"/>
          <w:szCs w:val="22"/>
          <w:lang w:eastAsia="es-ES"/>
        </w:rPr>
      </w:pPr>
      <w:hyperlink w:anchor="_Toc496266654" w:history="1">
        <w:r w:rsidR="00A90A7E" w:rsidRPr="00BF7C67">
          <w:rPr>
            <w:rStyle w:val="Hipervnculo"/>
          </w:rPr>
          <w:t>57.</w:t>
        </w:r>
        <w:r w:rsidR="00A90A7E">
          <w:rPr>
            <w:rFonts w:asciiTheme="minorHAnsi" w:eastAsiaTheme="minorEastAsia" w:hAnsiTheme="minorHAnsi" w:cstheme="minorBidi"/>
            <w:sz w:val="22"/>
            <w:szCs w:val="22"/>
            <w:lang w:eastAsia="es-ES"/>
          </w:rPr>
          <w:tab/>
        </w:r>
        <w:r w:rsidR="00A90A7E" w:rsidRPr="00BF7C67">
          <w:rPr>
            <w:rStyle w:val="Hipervnculo"/>
          </w:rPr>
          <w:t>DESARROLLO DEL MANTENIMIENTO</w:t>
        </w:r>
        <w:r w:rsidR="00A90A7E">
          <w:rPr>
            <w:webHidden/>
          </w:rPr>
          <w:tab/>
        </w:r>
        <w:r w:rsidR="00A90A7E">
          <w:rPr>
            <w:webHidden/>
          </w:rPr>
          <w:fldChar w:fldCharType="begin"/>
        </w:r>
        <w:r w:rsidR="00A90A7E">
          <w:rPr>
            <w:webHidden/>
          </w:rPr>
          <w:instrText xml:space="preserve"> PAGEREF _Toc496266654 \h </w:instrText>
        </w:r>
        <w:r w:rsidR="00A90A7E">
          <w:rPr>
            <w:webHidden/>
          </w:rPr>
        </w:r>
        <w:r w:rsidR="00A90A7E">
          <w:rPr>
            <w:webHidden/>
          </w:rPr>
          <w:fldChar w:fldCharType="separate"/>
        </w:r>
        <w:r w:rsidR="00A90A7E">
          <w:rPr>
            <w:webHidden/>
          </w:rPr>
          <w:t>78</w:t>
        </w:r>
        <w:r w:rsidR="00A90A7E">
          <w:rPr>
            <w:webHidden/>
          </w:rPr>
          <w:fldChar w:fldCharType="end"/>
        </w:r>
      </w:hyperlink>
    </w:p>
    <w:p w14:paraId="46140E92" w14:textId="77777777" w:rsidR="00A90A7E" w:rsidRDefault="00931785">
      <w:pPr>
        <w:pStyle w:val="TDC3"/>
        <w:rPr>
          <w:rFonts w:asciiTheme="minorHAnsi" w:eastAsiaTheme="minorEastAsia" w:hAnsiTheme="minorHAnsi" w:cstheme="minorBidi"/>
          <w:sz w:val="22"/>
          <w:szCs w:val="22"/>
          <w:lang w:eastAsia="es-ES"/>
        </w:rPr>
      </w:pPr>
      <w:hyperlink w:anchor="_Toc496266655" w:history="1">
        <w:r w:rsidR="00A90A7E" w:rsidRPr="00BF7C67">
          <w:rPr>
            <w:rStyle w:val="Hipervnculo"/>
          </w:rPr>
          <w:t>58.</w:t>
        </w:r>
        <w:r w:rsidR="00A90A7E">
          <w:rPr>
            <w:rFonts w:asciiTheme="minorHAnsi" w:eastAsiaTheme="minorEastAsia" w:hAnsiTheme="minorHAnsi" w:cstheme="minorBidi"/>
            <w:sz w:val="22"/>
            <w:szCs w:val="22"/>
            <w:lang w:eastAsia="es-ES"/>
          </w:rPr>
          <w:tab/>
        </w:r>
        <w:r w:rsidR="00A90A7E" w:rsidRPr="00BF7C67">
          <w:rPr>
            <w:rStyle w:val="Hipervnculo"/>
          </w:rPr>
          <w:t>INICIO Y TERMINACIÓN DE LAS OBRAS</w:t>
        </w:r>
        <w:r w:rsidR="00A90A7E">
          <w:rPr>
            <w:webHidden/>
          </w:rPr>
          <w:tab/>
        </w:r>
        <w:r w:rsidR="00A90A7E">
          <w:rPr>
            <w:webHidden/>
          </w:rPr>
          <w:fldChar w:fldCharType="begin"/>
        </w:r>
        <w:r w:rsidR="00A90A7E">
          <w:rPr>
            <w:webHidden/>
          </w:rPr>
          <w:instrText xml:space="preserve"> PAGEREF _Toc496266655 \h </w:instrText>
        </w:r>
        <w:r w:rsidR="00A90A7E">
          <w:rPr>
            <w:webHidden/>
          </w:rPr>
        </w:r>
        <w:r w:rsidR="00A90A7E">
          <w:rPr>
            <w:webHidden/>
          </w:rPr>
          <w:fldChar w:fldCharType="separate"/>
        </w:r>
        <w:r w:rsidR="00A90A7E">
          <w:rPr>
            <w:webHidden/>
          </w:rPr>
          <w:t>78</w:t>
        </w:r>
        <w:r w:rsidR="00A90A7E">
          <w:rPr>
            <w:webHidden/>
          </w:rPr>
          <w:fldChar w:fldCharType="end"/>
        </w:r>
      </w:hyperlink>
    </w:p>
    <w:p w14:paraId="0A7FE077" w14:textId="77777777" w:rsidR="00A90A7E" w:rsidRDefault="00931785">
      <w:pPr>
        <w:pStyle w:val="TDC3"/>
        <w:rPr>
          <w:rFonts w:asciiTheme="minorHAnsi" w:eastAsiaTheme="minorEastAsia" w:hAnsiTheme="minorHAnsi" w:cstheme="minorBidi"/>
          <w:sz w:val="22"/>
          <w:szCs w:val="22"/>
          <w:lang w:eastAsia="es-ES"/>
        </w:rPr>
      </w:pPr>
      <w:hyperlink w:anchor="_Toc496266656" w:history="1">
        <w:r w:rsidR="00A90A7E" w:rsidRPr="00BF7C67">
          <w:rPr>
            <w:rStyle w:val="Hipervnculo"/>
          </w:rPr>
          <w:t>59.</w:t>
        </w:r>
        <w:r w:rsidR="00A90A7E">
          <w:rPr>
            <w:rFonts w:asciiTheme="minorHAnsi" w:eastAsiaTheme="minorEastAsia" w:hAnsiTheme="minorHAnsi" w:cstheme="minorBidi"/>
            <w:sz w:val="22"/>
            <w:szCs w:val="22"/>
            <w:lang w:eastAsia="es-ES"/>
          </w:rPr>
          <w:tab/>
        </w:r>
        <w:r w:rsidR="00A90A7E" w:rsidRPr="00BF7C67">
          <w:rPr>
            <w:rStyle w:val="Hipervnculo"/>
          </w:rPr>
          <w:t>GESTIÓN DE CONSERVACIÓN</w:t>
        </w:r>
        <w:r w:rsidR="00A90A7E">
          <w:rPr>
            <w:webHidden/>
          </w:rPr>
          <w:tab/>
        </w:r>
        <w:r w:rsidR="00A90A7E">
          <w:rPr>
            <w:webHidden/>
          </w:rPr>
          <w:fldChar w:fldCharType="begin"/>
        </w:r>
        <w:r w:rsidR="00A90A7E">
          <w:rPr>
            <w:webHidden/>
          </w:rPr>
          <w:instrText xml:space="preserve"> PAGEREF _Toc496266656 \h </w:instrText>
        </w:r>
        <w:r w:rsidR="00A90A7E">
          <w:rPr>
            <w:webHidden/>
          </w:rPr>
        </w:r>
        <w:r w:rsidR="00A90A7E">
          <w:rPr>
            <w:webHidden/>
          </w:rPr>
          <w:fldChar w:fldCharType="separate"/>
        </w:r>
        <w:r w:rsidR="00A90A7E">
          <w:rPr>
            <w:webHidden/>
          </w:rPr>
          <w:t>78</w:t>
        </w:r>
        <w:r w:rsidR="00A90A7E">
          <w:rPr>
            <w:webHidden/>
          </w:rPr>
          <w:fldChar w:fldCharType="end"/>
        </w:r>
      </w:hyperlink>
    </w:p>
    <w:p w14:paraId="66D2FE82" w14:textId="77777777" w:rsidR="00A90A7E" w:rsidRDefault="00931785">
      <w:pPr>
        <w:pStyle w:val="TDC3"/>
        <w:rPr>
          <w:rFonts w:asciiTheme="minorHAnsi" w:eastAsiaTheme="minorEastAsia" w:hAnsiTheme="minorHAnsi" w:cstheme="minorBidi"/>
          <w:sz w:val="22"/>
          <w:szCs w:val="22"/>
          <w:lang w:eastAsia="es-ES"/>
        </w:rPr>
      </w:pPr>
      <w:hyperlink w:anchor="_Toc496266657" w:history="1">
        <w:r w:rsidR="00A90A7E" w:rsidRPr="00BF7C67">
          <w:rPr>
            <w:rStyle w:val="Hipervnculo"/>
          </w:rPr>
          <w:t>60.</w:t>
        </w:r>
        <w:r w:rsidR="00A90A7E">
          <w:rPr>
            <w:rFonts w:asciiTheme="minorHAnsi" w:eastAsiaTheme="minorEastAsia" w:hAnsiTheme="minorHAnsi" w:cstheme="minorBidi"/>
            <w:sz w:val="22"/>
            <w:szCs w:val="22"/>
            <w:lang w:eastAsia="es-ES"/>
          </w:rPr>
          <w:tab/>
        </w:r>
        <w:r w:rsidR="00A90A7E" w:rsidRPr="00BF7C67">
          <w:rPr>
            <w:rStyle w:val="Hipervnculo"/>
          </w:rPr>
          <w:t>DOCUMENTOS E INFORMACIÓN</w:t>
        </w:r>
        <w:r w:rsidR="00A90A7E">
          <w:rPr>
            <w:webHidden/>
          </w:rPr>
          <w:tab/>
        </w:r>
        <w:r w:rsidR="00A90A7E">
          <w:rPr>
            <w:webHidden/>
          </w:rPr>
          <w:fldChar w:fldCharType="begin"/>
        </w:r>
        <w:r w:rsidR="00A90A7E">
          <w:rPr>
            <w:webHidden/>
          </w:rPr>
          <w:instrText xml:space="preserve"> PAGEREF _Toc496266657 \h </w:instrText>
        </w:r>
        <w:r w:rsidR="00A90A7E">
          <w:rPr>
            <w:webHidden/>
          </w:rPr>
        </w:r>
        <w:r w:rsidR="00A90A7E">
          <w:rPr>
            <w:webHidden/>
          </w:rPr>
          <w:fldChar w:fldCharType="separate"/>
        </w:r>
        <w:r w:rsidR="00A90A7E">
          <w:rPr>
            <w:webHidden/>
          </w:rPr>
          <w:t>79</w:t>
        </w:r>
        <w:r w:rsidR="00A90A7E">
          <w:rPr>
            <w:webHidden/>
          </w:rPr>
          <w:fldChar w:fldCharType="end"/>
        </w:r>
      </w:hyperlink>
    </w:p>
    <w:p w14:paraId="477AB3CB" w14:textId="77777777" w:rsidR="00A90A7E" w:rsidRDefault="00931785">
      <w:pPr>
        <w:pStyle w:val="TDC3"/>
        <w:rPr>
          <w:rFonts w:asciiTheme="minorHAnsi" w:eastAsiaTheme="minorEastAsia" w:hAnsiTheme="minorHAnsi" w:cstheme="minorBidi"/>
          <w:sz w:val="22"/>
          <w:szCs w:val="22"/>
          <w:lang w:eastAsia="es-ES"/>
        </w:rPr>
      </w:pPr>
      <w:hyperlink w:anchor="_Toc496266658" w:history="1">
        <w:r w:rsidR="00A90A7E" w:rsidRPr="00BF7C67">
          <w:rPr>
            <w:rStyle w:val="Hipervnculo"/>
          </w:rPr>
          <w:t>61.</w:t>
        </w:r>
        <w:r w:rsidR="00A90A7E">
          <w:rPr>
            <w:rFonts w:asciiTheme="minorHAnsi" w:eastAsiaTheme="minorEastAsia" w:hAnsiTheme="minorHAnsi" w:cstheme="minorBidi"/>
            <w:sz w:val="22"/>
            <w:szCs w:val="22"/>
            <w:lang w:eastAsia="es-ES"/>
          </w:rPr>
          <w:tab/>
        </w:r>
        <w:r w:rsidR="00A90A7E" w:rsidRPr="00BF7C67">
          <w:rPr>
            <w:rStyle w:val="Hipervnculo"/>
          </w:rPr>
          <w:t>PLAN DE ADECUACIÓN Y MANTENIMIENTO DE CADA TRAMO HASTA LA FINALIZACIÓN DE LAS OBRAS DE PUESTA A PUNTO</w:t>
        </w:r>
        <w:r w:rsidR="00A90A7E">
          <w:rPr>
            <w:webHidden/>
          </w:rPr>
          <w:tab/>
        </w:r>
        <w:r w:rsidR="00A90A7E">
          <w:rPr>
            <w:webHidden/>
          </w:rPr>
          <w:fldChar w:fldCharType="begin"/>
        </w:r>
        <w:r w:rsidR="00A90A7E">
          <w:rPr>
            <w:webHidden/>
          </w:rPr>
          <w:instrText xml:space="preserve"> PAGEREF _Toc496266658 \h </w:instrText>
        </w:r>
        <w:r w:rsidR="00A90A7E">
          <w:rPr>
            <w:webHidden/>
          </w:rPr>
        </w:r>
        <w:r w:rsidR="00A90A7E">
          <w:rPr>
            <w:webHidden/>
          </w:rPr>
          <w:fldChar w:fldCharType="separate"/>
        </w:r>
        <w:r w:rsidR="00A90A7E">
          <w:rPr>
            <w:webHidden/>
          </w:rPr>
          <w:t>79</w:t>
        </w:r>
        <w:r w:rsidR="00A90A7E">
          <w:rPr>
            <w:webHidden/>
          </w:rPr>
          <w:fldChar w:fldCharType="end"/>
        </w:r>
      </w:hyperlink>
    </w:p>
    <w:p w14:paraId="4950422B" w14:textId="77777777" w:rsidR="00A90A7E" w:rsidRDefault="00931785">
      <w:pPr>
        <w:pStyle w:val="TDC3"/>
        <w:rPr>
          <w:rFonts w:asciiTheme="minorHAnsi" w:eastAsiaTheme="minorEastAsia" w:hAnsiTheme="minorHAnsi" w:cstheme="minorBidi"/>
          <w:sz w:val="22"/>
          <w:szCs w:val="22"/>
          <w:lang w:eastAsia="es-ES"/>
        </w:rPr>
      </w:pPr>
      <w:hyperlink w:anchor="_Toc496266659" w:history="1">
        <w:r w:rsidR="00A90A7E" w:rsidRPr="00BF7C67">
          <w:rPr>
            <w:rStyle w:val="Hipervnculo"/>
          </w:rPr>
          <w:t>62.</w:t>
        </w:r>
        <w:r w:rsidR="00A90A7E">
          <w:rPr>
            <w:rFonts w:asciiTheme="minorHAnsi" w:eastAsiaTheme="minorEastAsia" w:hAnsiTheme="minorHAnsi" w:cstheme="minorBidi"/>
            <w:sz w:val="22"/>
            <w:szCs w:val="22"/>
            <w:lang w:eastAsia="es-ES"/>
          </w:rPr>
          <w:tab/>
        </w:r>
        <w:r w:rsidR="00A90A7E" w:rsidRPr="00BF7C67">
          <w:rPr>
            <w:rStyle w:val="Hipervnculo"/>
          </w:rPr>
          <w:t>PLAN DE LAS OBRAS DE PUESTA A PUNTO Y COMPLEMENTARIAS</w:t>
        </w:r>
        <w:r w:rsidR="00A90A7E">
          <w:rPr>
            <w:webHidden/>
          </w:rPr>
          <w:tab/>
        </w:r>
        <w:r w:rsidR="00A90A7E">
          <w:rPr>
            <w:webHidden/>
          </w:rPr>
          <w:fldChar w:fldCharType="begin"/>
        </w:r>
        <w:r w:rsidR="00A90A7E">
          <w:rPr>
            <w:webHidden/>
          </w:rPr>
          <w:instrText xml:space="preserve"> PAGEREF _Toc496266659 \h </w:instrText>
        </w:r>
        <w:r w:rsidR="00A90A7E">
          <w:rPr>
            <w:webHidden/>
          </w:rPr>
        </w:r>
        <w:r w:rsidR="00A90A7E">
          <w:rPr>
            <w:webHidden/>
          </w:rPr>
          <w:fldChar w:fldCharType="separate"/>
        </w:r>
        <w:r w:rsidR="00A90A7E">
          <w:rPr>
            <w:webHidden/>
          </w:rPr>
          <w:t>80</w:t>
        </w:r>
        <w:r w:rsidR="00A90A7E">
          <w:rPr>
            <w:webHidden/>
          </w:rPr>
          <w:fldChar w:fldCharType="end"/>
        </w:r>
      </w:hyperlink>
    </w:p>
    <w:p w14:paraId="27075A24" w14:textId="77777777" w:rsidR="00A90A7E" w:rsidRDefault="00931785">
      <w:pPr>
        <w:pStyle w:val="TDC3"/>
        <w:rPr>
          <w:rFonts w:asciiTheme="minorHAnsi" w:eastAsiaTheme="minorEastAsia" w:hAnsiTheme="minorHAnsi" w:cstheme="minorBidi"/>
          <w:sz w:val="22"/>
          <w:szCs w:val="22"/>
          <w:lang w:eastAsia="es-ES"/>
        </w:rPr>
      </w:pPr>
      <w:hyperlink w:anchor="_Toc496266660" w:history="1">
        <w:r w:rsidR="00A90A7E" w:rsidRPr="00BF7C67">
          <w:rPr>
            <w:rStyle w:val="Hipervnculo"/>
          </w:rPr>
          <w:t>63.</w:t>
        </w:r>
        <w:r w:rsidR="00A90A7E">
          <w:rPr>
            <w:rFonts w:asciiTheme="minorHAnsi" w:eastAsiaTheme="minorEastAsia" w:hAnsiTheme="minorHAnsi" w:cstheme="minorBidi"/>
            <w:sz w:val="22"/>
            <w:szCs w:val="22"/>
            <w:lang w:eastAsia="es-ES"/>
          </w:rPr>
          <w:tab/>
        </w:r>
        <w:r w:rsidR="00A90A7E" w:rsidRPr="00BF7C67">
          <w:rPr>
            <w:rStyle w:val="Hipervnculo"/>
          </w:rPr>
          <w:t>PLAN DE MANTENIMIENTO MAYOR</w:t>
        </w:r>
        <w:r w:rsidR="00A90A7E">
          <w:rPr>
            <w:webHidden/>
          </w:rPr>
          <w:tab/>
        </w:r>
        <w:r w:rsidR="00A90A7E">
          <w:rPr>
            <w:webHidden/>
          </w:rPr>
          <w:fldChar w:fldCharType="begin"/>
        </w:r>
        <w:r w:rsidR="00A90A7E">
          <w:rPr>
            <w:webHidden/>
          </w:rPr>
          <w:instrText xml:space="preserve"> PAGEREF _Toc496266660 \h </w:instrText>
        </w:r>
        <w:r w:rsidR="00A90A7E">
          <w:rPr>
            <w:webHidden/>
          </w:rPr>
        </w:r>
        <w:r w:rsidR="00A90A7E">
          <w:rPr>
            <w:webHidden/>
          </w:rPr>
          <w:fldChar w:fldCharType="separate"/>
        </w:r>
        <w:r w:rsidR="00A90A7E">
          <w:rPr>
            <w:webHidden/>
          </w:rPr>
          <w:t>81</w:t>
        </w:r>
        <w:r w:rsidR="00A90A7E">
          <w:rPr>
            <w:webHidden/>
          </w:rPr>
          <w:fldChar w:fldCharType="end"/>
        </w:r>
      </w:hyperlink>
    </w:p>
    <w:p w14:paraId="6019EDD8" w14:textId="77777777" w:rsidR="00A90A7E" w:rsidRDefault="00931785">
      <w:pPr>
        <w:pStyle w:val="TDC3"/>
        <w:rPr>
          <w:rFonts w:asciiTheme="minorHAnsi" w:eastAsiaTheme="minorEastAsia" w:hAnsiTheme="minorHAnsi" w:cstheme="minorBidi"/>
          <w:sz w:val="22"/>
          <w:szCs w:val="22"/>
          <w:lang w:eastAsia="es-ES"/>
        </w:rPr>
      </w:pPr>
      <w:hyperlink w:anchor="_Toc496266661" w:history="1">
        <w:r w:rsidR="00A90A7E" w:rsidRPr="00BF7C67">
          <w:rPr>
            <w:rStyle w:val="Hipervnculo"/>
          </w:rPr>
          <w:t>64.</w:t>
        </w:r>
        <w:r w:rsidR="00A90A7E">
          <w:rPr>
            <w:rFonts w:asciiTheme="minorHAnsi" w:eastAsiaTheme="minorEastAsia" w:hAnsiTheme="minorHAnsi" w:cstheme="minorBidi"/>
            <w:sz w:val="22"/>
            <w:szCs w:val="22"/>
            <w:lang w:eastAsia="es-ES"/>
          </w:rPr>
          <w:tab/>
        </w:r>
        <w:r w:rsidR="00A90A7E" w:rsidRPr="00BF7C67">
          <w:rPr>
            <w:rStyle w:val="Hipervnculo"/>
          </w:rPr>
          <w:t>BITÁCORA DEL CONTRATO</w:t>
        </w:r>
        <w:r w:rsidR="00A90A7E">
          <w:rPr>
            <w:webHidden/>
          </w:rPr>
          <w:tab/>
        </w:r>
        <w:r w:rsidR="00A90A7E">
          <w:rPr>
            <w:webHidden/>
          </w:rPr>
          <w:fldChar w:fldCharType="begin"/>
        </w:r>
        <w:r w:rsidR="00A90A7E">
          <w:rPr>
            <w:webHidden/>
          </w:rPr>
          <w:instrText xml:space="preserve"> PAGEREF _Toc496266661 \h </w:instrText>
        </w:r>
        <w:r w:rsidR="00A90A7E">
          <w:rPr>
            <w:webHidden/>
          </w:rPr>
        </w:r>
        <w:r w:rsidR="00A90A7E">
          <w:rPr>
            <w:webHidden/>
          </w:rPr>
          <w:fldChar w:fldCharType="separate"/>
        </w:r>
        <w:r w:rsidR="00A90A7E">
          <w:rPr>
            <w:webHidden/>
          </w:rPr>
          <w:t>82</w:t>
        </w:r>
        <w:r w:rsidR="00A90A7E">
          <w:rPr>
            <w:webHidden/>
          </w:rPr>
          <w:fldChar w:fldCharType="end"/>
        </w:r>
      </w:hyperlink>
    </w:p>
    <w:p w14:paraId="5DC65E58" w14:textId="77777777" w:rsidR="00A90A7E" w:rsidRDefault="00931785">
      <w:pPr>
        <w:pStyle w:val="TDC3"/>
        <w:rPr>
          <w:rFonts w:asciiTheme="minorHAnsi" w:eastAsiaTheme="minorEastAsia" w:hAnsiTheme="minorHAnsi" w:cstheme="minorBidi"/>
          <w:sz w:val="22"/>
          <w:szCs w:val="22"/>
          <w:lang w:eastAsia="es-ES"/>
        </w:rPr>
      </w:pPr>
      <w:hyperlink w:anchor="_Toc496266662" w:history="1">
        <w:r w:rsidR="00A90A7E" w:rsidRPr="00BF7C67">
          <w:rPr>
            <w:rStyle w:val="Hipervnculo"/>
          </w:rPr>
          <w:t>65.</w:t>
        </w:r>
        <w:r w:rsidR="00A90A7E">
          <w:rPr>
            <w:rFonts w:asciiTheme="minorHAnsi" w:eastAsiaTheme="minorEastAsia" w:hAnsiTheme="minorHAnsi" w:cstheme="minorBidi"/>
            <w:sz w:val="22"/>
            <w:szCs w:val="22"/>
            <w:lang w:eastAsia="es-ES"/>
          </w:rPr>
          <w:tab/>
        </w:r>
        <w:r w:rsidR="00A90A7E" w:rsidRPr="00BF7C67">
          <w:rPr>
            <w:rStyle w:val="Hipervnculo"/>
          </w:rPr>
          <w:t>SONDEOS DE CAUCE</w:t>
        </w:r>
        <w:r w:rsidR="00A90A7E">
          <w:rPr>
            <w:webHidden/>
          </w:rPr>
          <w:tab/>
        </w:r>
        <w:r w:rsidR="00A90A7E">
          <w:rPr>
            <w:webHidden/>
          </w:rPr>
          <w:fldChar w:fldCharType="begin"/>
        </w:r>
        <w:r w:rsidR="00A90A7E">
          <w:rPr>
            <w:webHidden/>
          </w:rPr>
          <w:instrText xml:space="preserve"> PAGEREF _Toc496266662 \h </w:instrText>
        </w:r>
        <w:r w:rsidR="00A90A7E">
          <w:rPr>
            <w:webHidden/>
          </w:rPr>
        </w:r>
        <w:r w:rsidR="00A90A7E">
          <w:rPr>
            <w:webHidden/>
          </w:rPr>
          <w:fldChar w:fldCharType="separate"/>
        </w:r>
        <w:r w:rsidR="00A90A7E">
          <w:rPr>
            <w:webHidden/>
          </w:rPr>
          <w:t>82</w:t>
        </w:r>
        <w:r w:rsidR="00A90A7E">
          <w:rPr>
            <w:webHidden/>
          </w:rPr>
          <w:fldChar w:fldCharType="end"/>
        </w:r>
      </w:hyperlink>
    </w:p>
    <w:p w14:paraId="1E1E3EDF" w14:textId="77777777" w:rsidR="00A90A7E" w:rsidRDefault="00931785">
      <w:pPr>
        <w:pStyle w:val="TDC3"/>
        <w:rPr>
          <w:rFonts w:asciiTheme="minorHAnsi" w:eastAsiaTheme="minorEastAsia" w:hAnsiTheme="minorHAnsi" w:cstheme="minorBidi"/>
          <w:sz w:val="22"/>
          <w:szCs w:val="22"/>
          <w:lang w:eastAsia="es-ES"/>
        </w:rPr>
      </w:pPr>
      <w:hyperlink w:anchor="_Toc496266663" w:history="1">
        <w:r w:rsidR="00A90A7E" w:rsidRPr="00BF7C67">
          <w:rPr>
            <w:rStyle w:val="Hipervnculo"/>
          </w:rPr>
          <w:t>66.</w:t>
        </w:r>
        <w:r w:rsidR="00A90A7E">
          <w:rPr>
            <w:rFonts w:asciiTheme="minorHAnsi" w:eastAsiaTheme="minorEastAsia" w:hAnsiTheme="minorHAnsi" w:cstheme="minorBidi"/>
            <w:sz w:val="22"/>
            <w:szCs w:val="22"/>
            <w:lang w:eastAsia="es-ES"/>
          </w:rPr>
          <w:tab/>
        </w:r>
        <w:r w:rsidR="00A90A7E" w:rsidRPr="00BF7C67">
          <w:rPr>
            <w:rStyle w:val="Hipervnculo"/>
          </w:rPr>
          <w:t>INFORME AMBIENTAL</w:t>
        </w:r>
        <w:r w:rsidR="00A90A7E">
          <w:rPr>
            <w:webHidden/>
          </w:rPr>
          <w:tab/>
        </w:r>
        <w:r w:rsidR="00A90A7E">
          <w:rPr>
            <w:webHidden/>
          </w:rPr>
          <w:fldChar w:fldCharType="begin"/>
        </w:r>
        <w:r w:rsidR="00A90A7E">
          <w:rPr>
            <w:webHidden/>
          </w:rPr>
          <w:instrText xml:space="preserve"> PAGEREF _Toc496266663 \h </w:instrText>
        </w:r>
        <w:r w:rsidR="00A90A7E">
          <w:rPr>
            <w:webHidden/>
          </w:rPr>
        </w:r>
        <w:r w:rsidR="00A90A7E">
          <w:rPr>
            <w:webHidden/>
          </w:rPr>
          <w:fldChar w:fldCharType="separate"/>
        </w:r>
        <w:r w:rsidR="00A90A7E">
          <w:rPr>
            <w:webHidden/>
          </w:rPr>
          <w:t>82</w:t>
        </w:r>
        <w:r w:rsidR="00A90A7E">
          <w:rPr>
            <w:webHidden/>
          </w:rPr>
          <w:fldChar w:fldCharType="end"/>
        </w:r>
      </w:hyperlink>
    </w:p>
    <w:p w14:paraId="095EAFE1" w14:textId="77777777" w:rsidR="00A90A7E" w:rsidRDefault="00931785">
      <w:pPr>
        <w:pStyle w:val="TDC1"/>
        <w:rPr>
          <w:rFonts w:asciiTheme="minorHAnsi" w:eastAsiaTheme="minorEastAsia" w:hAnsiTheme="minorHAnsi" w:cstheme="minorBidi"/>
          <w:b w:val="0"/>
          <w:bCs w:val="0"/>
          <w:caps w:val="0"/>
          <w:lang w:val="es-ES"/>
        </w:rPr>
      </w:pPr>
      <w:hyperlink w:anchor="_Toc496266664" w:history="1">
        <w:r w:rsidR="00A90A7E" w:rsidRPr="00BF7C67">
          <w:rPr>
            <w:rStyle w:val="Hipervnculo"/>
          </w:rPr>
          <w:t>CAPITULO XIII: ESTÁNDARES Y NIVELES DE SERVICIO.</w:t>
        </w:r>
        <w:r w:rsidR="00A90A7E">
          <w:rPr>
            <w:webHidden/>
          </w:rPr>
          <w:tab/>
        </w:r>
        <w:r w:rsidR="00A90A7E">
          <w:rPr>
            <w:webHidden/>
          </w:rPr>
          <w:fldChar w:fldCharType="begin"/>
        </w:r>
        <w:r w:rsidR="00A90A7E">
          <w:rPr>
            <w:webHidden/>
          </w:rPr>
          <w:instrText xml:space="preserve"> PAGEREF _Toc496266664 \h </w:instrText>
        </w:r>
        <w:r w:rsidR="00A90A7E">
          <w:rPr>
            <w:webHidden/>
          </w:rPr>
        </w:r>
        <w:r w:rsidR="00A90A7E">
          <w:rPr>
            <w:webHidden/>
          </w:rPr>
          <w:fldChar w:fldCharType="separate"/>
        </w:r>
        <w:r w:rsidR="00A90A7E">
          <w:rPr>
            <w:webHidden/>
          </w:rPr>
          <w:t>83</w:t>
        </w:r>
        <w:r w:rsidR="00A90A7E">
          <w:rPr>
            <w:webHidden/>
          </w:rPr>
          <w:fldChar w:fldCharType="end"/>
        </w:r>
      </w:hyperlink>
    </w:p>
    <w:p w14:paraId="108E0D6D" w14:textId="77777777" w:rsidR="00A90A7E" w:rsidRDefault="00931785">
      <w:pPr>
        <w:pStyle w:val="TDC3"/>
        <w:rPr>
          <w:rFonts w:asciiTheme="minorHAnsi" w:eastAsiaTheme="minorEastAsia" w:hAnsiTheme="minorHAnsi" w:cstheme="minorBidi"/>
          <w:sz w:val="22"/>
          <w:szCs w:val="22"/>
          <w:lang w:eastAsia="es-ES"/>
        </w:rPr>
      </w:pPr>
      <w:hyperlink w:anchor="_Toc496266665" w:history="1">
        <w:r w:rsidR="00A90A7E" w:rsidRPr="00BF7C67">
          <w:rPr>
            <w:rStyle w:val="Hipervnculo"/>
          </w:rPr>
          <w:t>67.</w:t>
        </w:r>
        <w:r w:rsidR="00A90A7E">
          <w:rPr>
            <w:rFonts w:asciiTheme="minorHAnsi" w:eastAsiaTheme="minorEastAsia" w:hAnsiTheme="minorHAnsi" w:cstheme="minorBidi"/>
            <w:sz w:val="22"/>
            <w:szCs w:val="22"/>
            <w:lang w:eastAsia="es-ES"/>
          </w:rPr>
          <w:tab/>
        </w:r>
        <w:r w:rsidR="00A90A7E" w:rsidRPr="00BF7C67">
          <w:rPr>
            <w:rStyle w:val="Hipervnculo"/>
          </w:rPr>
          <w:t>NATURALEZA Y FRECUENCIA DE LAS EVALUACIONES PARA VERIFICAR EL CUMPLIMIENTO DE INDICADORES TÉCNICOS DE DISPONIBILIDAD</w:t>
        </w:r>
        <w:r w:rsidR="00A90A7E">
          <w:rPr>
            <w:webHidden/>
          </w:rPr>
          <w:tab/>
        </w:r>
        <w:r w:rsidR="00A90A7E">
          <w:rPr>
            <w:webHidden/>
          </w:rPr>
          <w:fldChar w:fldCharType="begin"/>
        </w:r>
        <w:r w:rsidR="00A90A7E">
          <w:rPr>
            <w:webHidden/>
          </w:rPr>
          <w:instrText xml:space="preserve"> PAGEREF _Toc496266665 \h </w:instrText>
        </w:r>
        <w:r w:rsidR="00A90A7E">
          <w:rPr>
            <w:webHidden/>
          </w:rPr>
        </w:r>
        <w:r w:rsidR="00A90A7E">
          <w:rPr>
            <w:webHidden/>
          </w:rPr>
          <w:fldChar w:fldCharType="separate"/>
        </w:r>
        <w:r w:rsidR="00A90A7E">
          <w:rPr>
            <w:webHidden/>
          </w:rPr>
          <w:t>83</w:t>
        </w:r>
        <w:r w:rsidR="00A90A7E">
          <w:rPr>
            <w:webHidden/>
          </w:rPr>
          <w:fldChar w:fldCharType="end"/>
        </w:r>
      </w:hyperlink>
    </w:p>
    <w:p w14:paraId="34A5DB66" w14:textId="77777777" w:rsidR="00A90A7E" w:rsidRDefault="00931785">
      <w:pPr>
        <w:pStyle w:val="TDC1"/>
        <w:rPr>
          <w:rFonts w:asciiTheme="minorHAnsi" w:eastAsiaTheme="minorEastAsia" w:hAnsiTheme="minorHAnsi" w:cstheme="minorBidi"/>
          <w:b w:val="0"/>
          <w:bCs w:val="0"/>
          <w:caps w:val="0"/>
          <w:lang w:val="es-ES"/>
        </w:rPr>
      </w:pPr>
      <w:hyperlink w:anchor="_Toc496266666" w:history="1">
        <w:r w:rsidR="00A90A7E" w:rsidRPr="00BF7C67">
          <w:rPr>
            <w:rStyle w:val="Hipervnculo"/>
          </w:rPr>
          <w:t>CAPÍTULO XIV: DETERMINACIÓN DE LOS COEFICIENTES DE DISPONIBILIDAD</w:t>
        </w:r>
        <w:r w:rsidR="00A90A7E">
          <w:rPr>
            <w:webHidden/>
          </w:rPr>
          <w:tab/>
        </w:r>
        <w:r w:rsidR="00A90A7E">
          <w:rPr>
            <w:webHidden/>
          </w:rPr>
          <w:fldChar w:fldCharType="begin"/>
        </w:r>
        <w:r w:rsidR="00A90A7E">
          <w:rPr>
            <w:webHidden/>
          </w:rPr>
          <w:instrText xml:space="preserve"> PAGEREF _Toc496266666 \h </w:instrText>
        </w:r>
        <w:r w:rsidR="00A90A7E">
          <w:rPr>
            <w:webHidden/>
          </w:rPr>
        </w:r>
        <w:r w:rsidR="00A90A7E">
          <w:rPr>
            <w:webHidden/>
          </w:rPr>
          <w:fldChar w:fldCharType="separate"/>
        </w:r>
        <w:r w:rsidR="00A90A7E">
          <w:rPr>
            <w:webHidden/>
          </w:rPr>
          <w:t>88</w:t>
        </w:r>
        <w:r w:rsidR="00A90A7E">
          <w:rPr>
            <w:webHidden/>
          </w:rPr>
          <w:fldChar w:fldCharType="end"/>
        </w:r>
      </w:hyperlink>
    </w:p>
    <w:p w14:paraId="59DEB8DC" w14:textId="77777777" w:rsidR="00A90A7E" w:rsidRDefault="00931785">
      <w:pPr>
        <w:pStyle w:val="TDC3"/>
        <w:rPr>
          <w:rFonts w:asciiTheme="minorHAnsi" w:eastAsiaTheme="minorEastAsia" w:hAnsiTheme="minorHAnsi" w:cstheme="minorBidi"/>
          <w:sz w:val="22"/>
          <w:szCs w:val="22"/>
          <w:lang w:eastAsia="es-ES"/>
        </w:rPr>
      </w:pPr>
      <w:hyperlink w:anchor="_Toc496266667" w:history="1">
        <w:r w:rsidR="00A90A7E" w:rsidRPr="00BF7C67">
          <w:rPr>
            <w:rStyle w:val="Hipervnculo"/>
          </w:rPr>
          <w:t>68.</w:t>
        </w:r>
        <w:r w:rsidR="00A90A7E">
          <w:rPr>
            <w:rFonts w:asciiTheme="minorHAnsi" w:eastAsiaTheme="minorEastAsia" w:hAnsiTheme="minorHAnsi" w:cstheme="minorBidi"/>
            <w:sz w:val="22"/>
            <w:szCs w:val="22"/>
            <w:lang w:eastAsia="es-ES"/>
          </w:rPr>
          <w:tab/>
        </w:r>
        <w:r w:rsidR="00A90A7E" w:rsidRPr="00BF7C67">
          <w:rPr>
            <w:rStyle w:val="Hipervnculo"/>
          </w:rPr>
          <w:t>COEFICIENTES TÉCNICOS DE DISPONIBILIDAD Y AFECTACIÓN AL PPD</w:t>
        </w:r>
        <w:r w:rsidR="00A90A7E">
          <w:rPr>
            <w:webHidden/>
          </w:rPr>
          <w:tab/>
        </w:r>
        <w:r w:rsidR="00A90A7E">
          <w:rPr>
            <w:webHidden/>
          </w:rPr>
          <w:fldChar w:fldCharType="begin"/>
        </w:r>
        <w:r w:rsidR="00A90A7E">
          <w:rPr>
            <w:webHidden/>
          </w:rPr>
          <w:instrText xml:space="preserve"> PAGEREF _Toc496266667 \h </w:instrText>
        </w:r>
        <w:r w:rsidR="00A90A7E">
          <w:rPr>
            <w:webHidden/>
          </w:rPr>
        </w:r>
        <w:r w:rsidR="00A90A7E">
          <w:rPr>
            <w:webHidden/>
          </w:rPr>
          <w:fldChar w:fldCharType="separate"/>
        </w:r>
        <w:r w:rsidR="00A90A7E">
          <w:rPr>
            <w:webHidden/>
          </w:rPr>
          <w:t>88</w:t>
        </w:r>
        <w:r w:rsidR="00A90A7E">
          <w:rPr>
            <w:webHidden/>
          </w:rPr>
          <w:fldChar w:fldCharType="end"/>
        </w:r>
      </w:hyperlink>
    </w:p>
    <w:p w14:paraId="5066C3D6" w14:textId="77777777" w:rsidR="00A90A7E" w:rsidRDefault="00931785">
      <w:pPr>
        <w:pStyle w:val="TDC3"/>
        <w:rPr>
          <w:rFonts w:asciiTheme="minorHAnsi" w:eastAsiaTheme="minorEastAsia" w:hAnsiTheme="minorHAnsi" w:cstheme="minorBidi"/>
          <w:sz w:val="22"/>
          <w:szCs w:val="22"/>
          <w:lang w:eastAsia="es-ES"/>
        </w:rPr>
      </w:pPr>
      <w:hyperlink w:anchor="_Toc496266668" w:history="1">
        <w:r w:rsidR="00A90A7E" w:rsidRPr="00BF7C67">
          <w:rPr>
            <w:rStyle w:val="Hipervnculo"/>
          </w:rPr>
          <w:t>69.</w:t>
        </w:r>
        <w:r w:rsidR="00A90A7E">
          <w:rPr>
            <w:rFonts w:asciiTheme="minorHAnsi" w:eastAsiaTheme="minorEastAsia" w:hAnsiTheme="minorHAnsi" w:cstheme="minorBidi"/>
            <w:sz w:val="22"/>
            <w:szCs w:val="22"/>
            <w:lang w:eastAsia="es-ES"/>
          </w:rPr>
          <w:tab/>
        </w:r>
        <w:r w:rsidR="00A90A7E" w:rsidRPr="00BF7C67">
          <w:rPr>
            <w:rStyle w:val="Hipervnculo"/>
          </w:rPr>
          <w:t>FALTAS NO CRÍTICAS (FnC)</w:t>
        </w:r>
        <w:r w:rsidR="00A90A7E">
          <w:rPr>
            <w:webHidden/>
          </w:rPr>
          <w:tab/>
        </w:r>
        <w:r w:rsidR="00A90A7E">
          <w:rPr>
            <w:webHidden/>
          </w:rPr>
          <w:fldChar w:fldCharType="begin"/>
        </w:r>
        <w:r w:rsidR="00A90A7E">
          <w:rPr>
            <w:webHidden/>
          </w:rPr>
          <w:instrText xml:space="preserve"> PAGEREF _Toc496266668 \h </w:instrText>
        </w:r>
        <w:r w:rsidR="00A90A7E">
          <w:rPr>
            <w:webHidden/>
          </w:rPr>
        </w:r>
        <w:r w:rsidR="00A90A7E">
          <w:rPr>
            <w:webHidden/>
          </w:rPr>
          <w:fldChar w:fldCharType="separate"/>
        </w:r>
        <w:r w:rsidR="00A90A7E">
          <w:rPr>
            <w:webHidden/>
          </w:rPr>
          <w:t>88</w:t>
        </w:r>
        <w:r w:rsidR="00A90A7E">
          <w:rPr>
            <w:webHidden/>
          </w:rPr>
          <w:fldChar w:fldCharType="end"/>
        </w:r>
      </w:hyperlink>
    </w:p>
    <w:p w14:paraId="1173C282" w14:textId="77777777" w:rsidR="00A90A7E" w:rsidRDefault="00931785">
      <w:pPr>
        <w:pStyle w:val="TDC3"/>
        <w:rPr>
          <w:rFonts w:asciiTheme="minorHAnsi" w:eastAsiaTheme="minorEastAsia" w:hAnsiTheme="minorHAnsi" w:cstheme="minorBidi"/>
          <w:sz w:val="22"/>
          <w:szCs w:val="22"/>
          <w:lang w:eastAsia="es-ES"/>
        </w:rPr>
      </w:pPr>
      <w:hyperlink w:anchor="_Toc496266669" w:history="1">
        <w:r w:rsidR="00A90A7E" w:rsidRPr="00BF7C67">
          <w:rPr>
            <w:rStyle w:val="Hipervnculo"/>
          </w:rPr>
          <w:t>70.</w:t>
        </w:r>
        <w:r w:rsidR="00A90A7E">
          <w:rPr>
            <w:rFonts w:asciiTheme="minorHAnsi" w:eastAsiaTheme="minorEastAsia" w:hAnsiTheme="minorHAnsi" w:cstheme="minorBidi"/>
            <w:sz w:val="22"/>
            <w:szCs w:val="22"/>
            <w:lang w:eastAsia="es-ES"/>
          </w:rPr>
          <w:tab/>
        </w:r>
        <w:r w:rsidR="00A90A7E" w:rsidRPr="00BF7C67">
          <w:rPr>
            <w:rStyle w:val="Hipervnculo"/>
          </w:rPr>
          <w:t>FALTAS CRÍTICAS (FC)</w:t>
        </w:r>
        <w:r w:rsidR="00A90A7E">
          <w:rPr>
            <w:webHidden/>
          </w:rPr>
          <w:tab/>
        </w:r>
        <w:r w:rsidR="00A90A7E">
          <w:rPr>
            <w:webHidden/>
          </w:rPr>
          <w:fldChar w:fldCharType="begin"/>
        </w:r>
        <w:r w:rsidR="00A90A7E">
          <w:rPr>
            <w:webHidden/>
          </w:rPr>
          <w:instrText xml:space="preserve"> PAGEREF _Toc496266669 \h </w:instrText>
        </w:r>
        <w:r w:rsidR="00A90A7E">
          <w:rPr>
            <w:webHidden/>
          </w:rPr>
        </w:r>
        <w:r w:rsidR="00A90A7E">
          <w:rPr>
            <w:webHidden/>
          </w:rPr>
          <w:fldChar w:fldCharType="separate"/>
        </w:r>
        <w:r w:rsidR="00A90A7E">
          <w:rPr>
            <w:webHidden/>
          </w:rPr>
          <w:t>89</w:t>
        </w:r>
        <w:r w:rsidR="00A90A7E">
          <w:rPr>
            <w:webHidden/>
          </w:rPr>
          <w:fldChar w:fldCharType="end"/>
        </w:r>
      </w:hyperlink>
    </w:p>
    <w:p w14:paraId="20F9BFEF" w14:textId="77777777" w:rsidR="00A90A7E" w:rsidRDefault="00931785">
      <w:pPr>
        <w:pStyle w:val="TDC3"/>
        <w:rPr>
          <w:rFonts w:asciiTheme="minorHAnsi" w:eastAsiaTheme="minorEastAsia" w:hAnsiTheme="minorHAnsi" w:cstheme="minorBidi"/>
          <w:sz w:val="22"/>
          <w:szCs w:val="22"/>
          <w:lang w:eastAsia="es-ES"/>
        </w:rPr>
      </w:pPr>
      <w:hyperlink w:anchor="_Toc496266670" w:history="1">
        <w:r w:rsidR="00A90A7E" w:rsidRPr="00BF7C67">
          <w:rPr>
            <w:rStyle w:val="Hipervnculo"/>
          </w:rPr>
          <w:t>71.</w:t>
        </w:r>
        <w:r w:rsidR="00A90A7E">
          <w:rPr>
            <w:rFonts w:asciiTheme="minorHAnsi" w:eastAsiaTheme="minorEastAsia" w:hAnsiTheme="minorHAnsi" w:cstheme="minorBidi"/>
            <w:sz w:val="22"/>
            <w:szCs w:val="22"/>
            <w:lang w:eastAsia="es-ES"/>
          </w:rPr>
          <w:tab/>
        </w:r>
        <w:r w:rsidR="00A90A7E" w:rsidRPr="00BF7C67">
          <w:rPr>
            <w:rStyle w:val="Hipervnculo"/>
          </w:rPr>
          <w:t>AFECTACIÓN AL PAGO ANUAL POR DISPONIBILIDAD POR LAS FALTAS CRÍTICAS</w:t>
        </w:r>
        <w:r w:rsidR="00A90A7E">
          <w:rPr>
            <w:webHidden/>
          </w:rPr>
          <w:tab/>
        </w:r>
        <w:r w:rsidR="00A90A7E">
          <w:rPr>
            <w:webHidden/>
          </w:rPr>
          <w:fldChar w:fldCharType="begin"/>
        </w:r>
        <w:r w:rsidR="00A90A7E">
          <w:rPr>
            <w:webHidden/>
          </w:rPr>
          <w:instrText xml:space="preserve"> PAGEREF _Toc496266670 \h </w:instrText>
        </w:r>
        <w:r w:rsidR="00A90A7E">
          <w:rPr>
            <w:webHidden/>
          </w:rPr>
        </w:r>
        <w:r w:rsidR="00A90A7E">
          <w:rPr>
            <w:webHidden/>
          </w:rPr>
          <w:fldChar w:fldCharType="separate"/>
        </w:r>
        <w:r w:rsidR="00A90A7E">
          <w:rPr>
            <w:webHidden/>
          </w:rPr>
          <w:t>90</w:t>
        </w:r>
        <w:r w:rsidR="00A90A7E">
          <w:rPr>
            <w:webHidden/>
          </w:rPr>
          <w:fldChar w:fldCharType="end"/>
        </w:r>
      </w:hyperlink>
    </w:p>
    <w:p w14:paraId="2844EAF9" w14:textId="77777777" w:rsidR="00A90A7E" w:rsidRDefault="00931785">
      <w:pPr>
        <w:pStyle w:val="TDC3"/>
        <w:rPr>
          <w:rFonts w:asciiTheme="minorHAnsi" w:eastAsiaTheme="minorEastAsia" w:hAnsiTheme="minorHAnsi" w:cstheme="minorBidi"/>
          <w:sz w:val="22"/>
          <w:szCs w:val="22"/>
          <w:lang w:eastAsia="es-ES"/>
        </w:rPr>
      </w:pPr>
      <w:hyperlink w:anchor="_Toc496266671" w:history="1">
        <w:r w:rsidR="00A90A7E" w:rsidRPr="00BF7C67">
          <w:rPr>
            <w:rStyle w:val="Hipervnculo"/>
          </w:rPr>
          <w:t>72.</w:t>
        </w:r>
        <w:r w:rsidR="00A90A7E">
          <w:rPr>
            <w:rFonts w:asciiTheme="minorHAnsi" w:eastAsiaTheme="minorEastAsia" w:hAnsiTheme="minorHAnsi" w:cstheme="minorBidi"/>
            <w:sz w:val="22"/>
            <w:szCs w:val="22"/>
            <w:lang w:eastAsia="es-ES"/>
          </w:rPr>
          <w:tab/>
        </w:r>
        <w:r w:rsidR="00A90A7E" w:rsidRPr="00BF7C67">
          <w:rPr>
            <w:rStyle w:val="Hipervnculo"/>
          </w:rPr>
          <w:t>CÁLCULO DE LOS COEFICIENTES TÉCNICOS DE DISPONIBILIDAD</w:t>
        </w:r>
        <w:r w:rsidR="00A90A7E">
          <w:rPr>
            <w:webHidden/>
          </w:rPr>
          <w:tab/>
        </w:r>
        <w:r w:rsidR="00A90A7E">
          <w:rPr>
            <w:webHidden/>
          </w:rPr>
          <w:fldChar w:fldCharType="begin"/>
        </w:r>
        <w:r w:rsidR="00A90A7E">
          <w:rPr>
            <w:webHidden/>
          </w:rPr>
          <w:instrText xml:space="preserve"> PAGEREF _Toc496266671 \h </w:instrText>
        </w:r>
        <w:r w:rsidR="00A90A7E">
          <w:rPr>
            <w:webHidden/>
          </w:rPr>
        </w:r>
        <w:r w:rsidR="00A90A7E">
          <w:rPr>
            <w:webHidden/>
          </w:rPr>
          <w:fldChar w:fldCharType="separate"/>
        </w:r>
        <w:r w:rsidR="00A90A7E">
          <w:rPr>
            <w:webHidden/>
          </w:rPr>
          <w:t>90</w:t>
        </w:r>
        <w:r w:rsidR="00A90A7E">
          <w:rPr>
            <w:webHidden/>
          </w:rPr>
          <w:fldChar w:fldCharType="end"/>
        </w:r>
      </w:hyperlink>
    </w:p>
    <w:p w14:paraId="76F7204E" w14:textId="77777777" w:rsidR="00A90A7E" w:rsidRDefault="00931785">
      <w:pPr>
        <w:pStyle w:val="TDC3"/>
        <w:rPr>
          <w:rFonts w:asciiTheme="minorHAnsi" w:eastAsiaTheme="minorEastAsia" w:hAnsiTheme="minorHAnsi" w:cstheme="minorBidi"/>
          <w:sz w:val="22"/>
          <w:szCs w:val="22"/>
          <w:lang w:eastAsia="es-ES"/>
        </w:rPr>
      </w:pPr>
      <w:hyperlink w:anchor="_Toc496266672" w:history="1">
        <w:r w:rsidR="00A90A7E" w:rsidRPr="00BF7C67">
          <w:rPr>
            <w:rStyle w:val="Hipervnculo"/>
          </w:rPr>
          <w:t>73.</w:t>
        </w:r>
        <w:r w:rsidR="00A90A7E">
          <w:rPr>
            <w:rFonts w:asciiTheme="minorHAnsi" w:eastAsiaTheme="minorEastAsia" w:hAnsiTheme="minorHAnsi" w:cstheme="minorBidi"/>
            <w:sz w:val="22"/>
            <w:szCs w:val="22"/>
            <w:lang w:eastAsia="es-ES"/>
          </w:rPr>
          <w:tab/>
        </w:r>
        <w:r w:rsidR="00A90A7E" w:rsidRPr="00BF7C67">
          <w:rPr>
            <w:rStyle w:val="Hipervnculo"/>
          </w:rPr>
          <w:t>DETERMINACIÓN DE LOS cdt</w:t>
        </w:r>
        <w:r w:rsidR="00A90A7E" w:rsidRPr="00BF7C67">
          <w:rPr>
            <w:rStyle w:val="Hipervnculo"/>
            <w:vertAlign w:val="subscript"/>
          </w:rPr>
          <w:t>1</w:t>
        </w:r>
        <w:r w:rsidR="00A90A7E" w:rsidRPr="00BF7C67">
          <w:rPr>
            <w:rStyle w:val="Hipervnculo"/>
          </w:rPr>
          <w:t xml:space="preserve"> QUE DETERMINAN EL PAGO POR LA COMPONENTE A</w:t>
        </w:r>
        <w:r w:rsidR="00A90A7E">
          <w:rPr>
            <w:webHidden/>
          </w:rPr>
          <w:tab/>
        </w:r>
        <w:r w:rsidR="00A90A7E">
          <w:rPr>
            <w:webHidden/>
          </w:rPr>
          <w:fldChar w:fldCharType="begin"/>
        </w:r>
        <w:r w:rsidR="00A90A7E">
          <w:rPr>
            <w:webHidden/>
          </w:rPr>
          <w:instrText xml:space="preserve"> PAGEREF _Toc496266672 \h </w:instrText>
        </w:r>
        <w:r w:rsidR="00A90A7E">
          <w:rPr>
            <w:webHidden/>
          </w:rPr>
        </w:r>
        <w:r w:rsidR="00A90A7E">
          <w:rPr>
            <w:webHidden/>
          </w:rPr>
          <w:fldChar w:fldCharType="separate"/>
        </w:r>
        <w:r w:rsidR="00A90A7E">
          <w:rPr>
            <w:webHidden/>
          </w:rPr>
          <w:t>90</w:t>
        </w:r>
        <w:r w:rsidR="00A90A7E">
          <w:rPr>
            <w:webHidden/>
          </w:rPr>
          <w:fldChar w:fldCharType="end"/>
        </w:r>
      </w:hyperlink>
    </w:p>
    <w:p w14:paraId="019F45FA" w14:textId="77777777" w:rsidR="00A90A7E" w:rsidRDefault="00931785">
      <w:pPr>
        <w:pStyle w:val="TDC3"/>
        <w:rPr>
          <w:rFonts w:asciiTheme="minorHAnsi" w:eastAsiaTheme="minorEastAsia" w:hAnsiTheme="minorHAnsi" w:cstheme="minorBidi"/>
          <w:sz w:val="22"/>
          <w:szCs w:val="22"/>
          <w:lang w:eastAsia="es-ES"/>
        </w:rPr>
      </w:pPr>
      <w:hyperlink w:anchor="_Toc496266673" w:history="1">
        <w:r w:rsidR="00A90A7E" w:rsidRPr="00BF7C67">
          <w:rPr>
            <w:rStyle w:val="Hipervnculo"/>
          </w:rPr>
          <w:t>74.</w:t>
        </w:r>
        <w:r w:rsidR="00A90A7E">
          <w:rPr>
            <w:rFonts w:asciiTheme="minorHAnsi" w:eastAsiaTheme="minorEastAsia" w:hAnsiTheme="minorHAnsi" w:cstheme="minorBidi"/>
            <w:sz w:val="22"/>
            <w:szCs w:val="22"/>
            <w:lang w:eastAsia="es-ES"/>
          </w:rPr>
          <w:tab/>
        </w:r>
        <w:r w:rsidR="00A90A7E" w:rsidRPr="00BF7C67">
          <w:rPr>
            <w:rStyle w:val="Hipervnculo"/>
          </w:rPr>
          <w:t>DETERMINACIÓN DE LOS cdt</w:t>
        </w:r>
        <w:r w:rsidR="00A90A7E" w:rsidRPr="00BF7C67">
          <w:rPr>
            <w:rStyle w:val="Hipervnculo"/>
            <w:vertAlign w:val="subscript"/>
          </w:rPr>
          <w:t>2</w:t>
        </w:r>
        <w:r w:rsidR="00A90A7E" w:rsidRPr="00BF7C67">
          <w:rPr>
            <w:rStyle w:val="Hipervnculo"/>
          </w:rPr>
          <w:t xml:space="preserve"> CORRESPONDIENTES AL PAGO DE LA COMPONENTE B</w:t>
        </w:r>
        <w:r w:rsidR="00A90A7E">
          <w:rPr>
            <w:webHidden/>
          </w:rPr>
          <w:tab/>
        </w:r>
        <w:r w:rsidR="00A90A7E">
          <w:rPr>
            <w:webHidden/>
          </w:rPr>
          <w:fldChar w:fldCharType="begin"/>
        </w:r>
        <w:r w:rsidR="00A90A7E">
          <w:rPr>
            <w:webHidden/>
          </w:rPr>
          <w:instrText xml:space="preserve"> PAGEREF _Toc496266673 \h </w:instrText>
        </w:r>
        <w:r w:rsidR="00A90A7E">
          <w:rPr>
            <w:webHidden/>
          </w:rPr>
        </w:r>
        <w:r w:rsidR="00A90A7E">
          <w:rPr>
            <w:webHidden/>
          </w:rPr>
          <w:fldChar w:fldCharType="separate"/>
        </w:r>
        <w:r w:rsidR="00A90A7E">
          <w:rPr>
            <w:webHidden/>
          </w:rPr>
          <w:t>91</w:t>
        </w:r>
        <w:r w:rsidR="00A90A7E">
          <w:rPr>
            <w:webHidden/>
          </w:rPr>
          <w:fldChar w:fldCharType="end"/>
        </w:r>
      </w:hyperlink>
    </w:p>
    <w:p w14:paraId="564C4230" w14:textId="77777777" w:rsidR="00A90A7E" w:rsidRDefault="00931785">
      <w:pPr>
        <w:pStyle w:val="TDC3"/>
        <w:rPr>
          <w:rFonts w:asciiTheme="minorHAnsi" w:eastAsiaTheme="minorEastAsia" w:hAnsiTheme="minorHAnsi" w:cstheme="minorBidi"/>
          <w:sz w:val="22"/>
          <w:szCs w:val="22"/>
          <w:lang w:eastAsia="es-ES"/>
        </w:rPr>
      </w:pPr>
      <w:hyperlink w:anchor="_Toc496266674" w:history="1">
        <w:r w:rsidR="00A90A7E" w:rsidRPr="00BF7C67">
          <w:rPr>
            <w:rStyle w:val="Hipervnculo"/>
          </w:rPr>
          <w:t>75.</w:t>
        </w:r>
        <w:r w:rsidR="00A90A7E">
          <w:rPr>
            <w:rFonts w:asciiTheme="minorHAnsi" w:eastAsiaTheme="minorEastAsia" w:hAnsiTheme="minorHAnsi" w:cstheme="minorBidi"/>
            <w:sz w:val="22"/>
            <w:szCs w:val="22"/>
            <w:lang w:eastAsia="es-ES"/>
          </w:rPr>
          <w:tab/>
        </w:r>
        <w:r w:rsidR="00A90A7E" w:rsidRPr="00BF7C67">
          <w:rPr>
            <w:rStyle w:val="Hipervnculo"/>
          </w:rPr>
          <w:t>DETERMINACIÓN DE LOS cdt</w:t>
        </w:r>
        <w:r w:rsidR="00A90A7E" w:rsidRPr="00BF7C67">
          <w:rPr>
            <w:rStyle w:val="Hipervnculo"/>
            <w:vertAlign w:val="subscript"/>
          </w:rPr>
          <w:t>3</w:t>
        </w:r>
        <w:r w:rsidR="00A90A7E" w:rsidRPr="00BF7C67">
          <w:rPr>
            <w:rStyle w:val="Hipervnculo"/>
          </w:rPr>
          <w:t xml:space="preserve"> CORRESPONDIENTES AL PAGO DE LA COMPONENTE C</w:t>
        </w:r>
        <w:r w:rsidR="00A90A7E">
          <w:rPr>
            <w:webHidden/>
          </w:rPr>
          <w:tab/>
        </w:r>
        <w:r w:rsidR="00A90A7E">
          <w:rPr>
            <w:webHidden/>
          </w:rPr>
          <w:fldChar w:fldCharType="begin"/>
        </w:r>
        <w:r w:rsidR="00A90A7E">
          <w:rPr>
            <w:webHidden/>
          </w:rPr>
          <w:instrText xml:space="preserve"> PAGEREF _Toc496266674 \h </w:instrText>
        </w:r>
        <w:r w:rsidR="00A90A7E">
          <w:rPr>
            <w:webHidden/>
          </w:rPr>
        </w:r>
        <w:r w:rsidR="00A90A7E">
          <w:rPr>
            <w:webHidden/>
          </w:rPr>
          <w:fldChar w:fldCharType="separate"/>
        </w:r>
        <w:r w:rsidR="00A90A7E">
          <w:rPr>
            <w:webHidden/>
          </w:rPr>
          <w:t>92</w:t>
        </w:r>
        <w:r w:rsidR="00A90A7E">
          <w:rPr>
            <w:webHidden/>
          </w:rPr>
          <w:fldChar w:fldCharType="end"/>
        </w:r>
      </w:hyperlink>
    </w:p>
    <w:p w14:paraId="46941862" w14:textId="77777777" w:rsidR="00A90A7E" w:rsidRDefault="00931785">
      <w:pPr>
        <w:pStyle w:val="TDC1"/>
        <w:rPr>
          <w:rFonts w:asciiTheme="minorHAnsi" w:eastAsiaTheme="minorEastAsia" w:hAnsiTheme="minorHAnsi" w:cstheme="minorBidi"/>
          <w:b w:val="0"/>
          <w:bCs w:val="0"/>
          <w:caps w:val="0"/>
          <w:lang w:val="es-ES"/>
        </w:rPr>
      </w:pPr>
      <w:hyperlink w:anchor="_Toc496266675" w:history="1">
        <w:r w:rsidR="00A90A7E" w:rsidRPr="00BF7C67">
          <w:rPr>
            <w:rStyle w:val="Hipervnculo"/>
          </w:rPr>
          <w:t>CAPITULO XV: CONTROL DEL CUMPLIMIENTO DEL CONTRATO</w:t>
        </w:r>
        <w:r w:rsidR="00A90A7E">
          <w:rPr>
            <w:webHidden/>
          </w:rPr>
          <w:tab/>
        </w:r>
        <w:r w:rsidR="00A90A7E">
          <w:rPr>
            <w:webHidden/>
          </w:rPr>
          <w:fldChar w:fldCharType="begin"/>
        </w:r>
        <w:r w:rsidR="00A90A7E">
          <w:rPr>
            <w:webHidden/>
          </w:rPr>
          <w:instrText xml:space="preserve"> PAGEREF _Toc496266675 \h </w:instrText>
        </w:r>
        <w:r w:rsidR="00A90A7E">
          <w:rPr>
            <w:webHidden/>
          </w:rPr>
        </w:r>
        <w:r w:rsidR="00A90A7E">
          <w:rPr>
            <w:webHidden/>
          </w:rPr>
          <w:fldChar w:fldCharType="separate"/>
        </w:r>
        <w:r w:rsidR="00A90A7E">
          <w:rPr>
            <w:webHidden/>
          </w:rPr>
          <w:t>94</w:t>
        </w:r>
        <w:r w:rsidR="00A90A7E">
          <w:rPr>
            <w:webHidden/>
          </w:rPr>
          <w:fldChar w:fldCharType="end"/>
        </w:r>
      </w:hyperlink>
    </w:p>
    <w:p w14:paraId="3A7850F4" w14:textId="77777777" w:rsidR="00A90A7E" w:rsidRDefault="00931785">
      <w:pPr>
        <w:pStyle w:val="TDC3"/>
        <w:rPr>
          <w:rFonts w:asciiTheme="minorHAnsi" w:eastAsiaTheme="minorEastAsia" w:hAnsiTheme="minorHAnsi" w:cstheme="minorBidi"/>
          <w:sz w:val="22"/>
          <w:szCs w:val="22"/>
          <w:lang w:eastAsia="es-ES"/>
        </w:rPr>
      </w:pPr>
      <w:hyperlink w:anchor="_Toc496266676" w:history="1">
        <w:r w:rsidR="00A90A7E" w:rsidRPr="00BF7C67">
          <w:rPr>
            <w:rStyle w:val="Hipervnculo"/>
          </w:rPr>
          <w:t>76.</w:t>
        </w:r>
        <w:r w:rsidR="00A90A7E">
          <w:rPr>
            <w:rFonts w:asciiTheme="minorHAnsi" w:eastAsiaTheme="minorEastAsia" w:hAnsiTheme="minorHAnsi" w:cstheme="minorBidi"/>
            <w:sz w:val="22"/>
            <w:szCs w:val="22"/>
            <w:lang w:eastAsia="es-ES"/>
          </w:rPr>
          <w:tab/>
        </w:r>
        <w:r w:rsidR="00A90A7E" w:rsidRPr="00BF7C67">
          <w:rPr>
            <w:rStyle w:val="Hipervnculo"/>
          </w:rPr>
          <w:t>ELEMENTOS DE CONTROL DEL CONTRATO</w:t>
        </w:r>
        <w:r w:rsidR="00A90A7E">
          <w:rPr>
            <w:webHidden/>
          </w:rPr>
          <w:tab/>
        </w:r>
        <w:r w:rsidR="00A90A7E">
          <w:rPr>
            <w:webHidden/>
          </w:rPr>
          <w:fldChar w:fldCharType="begin"/>
        </w:r>
        <w:r w:rsidR="00A90A7E">
          <w:rPr>
            <w:webHidden/>
          </w:rPr>
          <w:instrText xml:space="preserve"> PAGEREF _Toc496266676 \h </w:instrText>
        </w:r>
        <w:r w:rsidR="00A90A7E">
          <w:rPr>
            <w:webHidden/>
          </w:rPr>
        </w:r>
        <w:r w:rsidR="00A90A7E">
          <w:rPr>
            <w:webHidden/>
          </w:rPr>
          <w:fldChar w:fldCharType="separate"/>
        </w:r>
        <w:r w:rsidR="00A90A7E">
          <w:rPr>
            <w:webHidden/>
          </w:rPr>
          <w:t>94</w:t>
        </w:r>
        <w:r w:rsidR="00A90A7E">
          <w:rPr>
            <w:webHidden/>
          </w:rPr>
          <w:fldChar w:fldCharType="end"/>
        </w:r>
      </w:hyperlink>
    </w:p>
    <w:p w14:paraId="34C662F4" w14:textId="77777777" w:rsidR="00A90A7E" w:rsidRDefault="00931785">
      <w:pPr>
        <w:pStyle w:val="TDC3"/>
        <w:rPr>
          <w:rFonts w:asciiTheme="minorHAnsi" w:eastAsiaTheme="minorEastAsia" w:hAnsiTheme="minorHAnsi" w:cstheme="minorBidi"/>
          <w:sz w:val="22"/>
          <w:szCs w:val="22"/>
          <w:lang w:eastAsia="es-ES"/>
        </w:rPr>
      </w:pPr>
      <w:hyperlink w:anchor="_Toc496266677" w:history="1">
        <w:r w:rsidR="00A90A7E" w:rsidRPr="00BF7C67">
          <w:rPr>
            <w:rStyle w:val="Hipervnculo"/>
          </w:rPr>
          <w:t>77.</w:t>
        </w:r>
        <w:r w:rsidR="00A90A7E">
          <w:rPr>
            <w:rFonts w:asciiTheme="minorHAnsi" w:eastAsiaTheme="minorEastAsia" w:hAnsiTheme="minorHAnsi" w:cstheme="minorBidi"/>
            <w:sz w:val="22"/>
            <w:szCs w:val="22"/>
            <w:lang w:eastAsia="es-ES"/>
          </w:rPr>
          <w:tab/>
        </w:r>
        <w:r w:rsidR="00A90A7E" w:rsidRPr="00BF7C67">
          <w:rPr>
            <w:rStyle w:val="Hipervnculo"/>
          </w:rPr>
          <w:t>AUTOCONTROL</w:t>
        </w:r>
        <w:r w:rsidR="00A90A7E">
          <w:rPr>
            <w:webHidden/>
          </w:rPr>
          <w:tab/>
        </w:r>
        <w:r w:rsidR="00A90A7E">
          <w:rPr>
            <w:webHidden/>
          </w:rPr>
          <w:fldChar w:fldCharType="begin"/>
        </w:r>
        <w:r w:rsidR="00A90A7E">
          <w:rPr>
            <w:webHidden/>
          </w:rPr>
          <w:instrText xml:space="preserve"> PAGEREF _Toc496266677 \h </w:instrText>
        </w:r>
        <w:r w:rsidR="00A90A7E">
          <w:rPr>
            <w:webHidden/>
          </w:rPr>
        </w:r>
        <w:r w:rsidR="00A90A7E">
          <w:rPr>
            <w:webHidden/>
          </w:rPr>
          <w:fldChar w:fldCharType="separate"/>
        </w:r>
        <w:r w:rsidR="00A90A7E">
          <w:rPr>
            <w:webHidden/>
          </w:rPr>
          <w:t>94</w:t>
        </w:r>
        <w:r w:rsidR="00A90A7E">
          <w:rPr>
            <w:webHidden/>
          </w:rPr>
          <w:fldChar w:fldCharType="end"/>
        </w:r>
      </w:hyperlink>
    </w:p>
    <w:p w14:paraId="39CEFAF7" w14:textId="77777777" w:rsidR="00A90A7E" w:rsidRDefault="00931785">
      <w:pPr>
        <w:pStyle w:val="TDC3"/>
        <w:rPr>
          <w:rFonts w:asciiTheme="minorHAnsi" w:eastAsiaTheme="minorEastAsia" w:hAnsiTheme="minorHAnsi" w:cstheme="minorBidi"/>
          <w:sz w:val="22"/>
          <w:szCs w:val="22"/>
          <w:lang w:eastAsia="es-ES"/>
        </w:rPr>
      </w:pPr>
      <w:hyperlink w:anchor="_Toc496266678" w:history="1">
        <w:r w:rsidR="00A90A7E" w:rsidRPr="00BF7C67">
          <w:rPr>
            <w:rStyle w:val="Hipervnculo"/>
          </w:rPr>
          <w:t>78.</w:t>
        </w:r>
        <w:r w:rsidR="00A90A7E">
          <w:rPr>
            <w:rFonts w:asciiTheme="minorHAnsi" w:eastAsiaTheme="minorEastAsia" w:hAnsiTheme="minorHAnsi" w:cstheme="minorBidi"/>
            <w:sz w:val="22"/>
            <w:szCs w:val="22"/>
            <w:lang w:eastAsia="es-ES"/>
          </w:rPr>
          <w:tab/>
        </w:r>
        <w:r w:rsidR="00A90A7E" w:rsidRPr="00BF7C67">
          <w:rPr>
            <w:rStyle w:val="Hipervnculo"/>
          </w:rPr>
          <w:t>SUPERVISIÓN DEL CONTRATO</w:t>
        </w:r>
        <w:r w:rsidR="00A90A7E">
          <w:rPr>
            <w:webHidden/>
          </w:rPr>
          <w:tab/>
        </w:r>
        <w:r w:rsidR="00A90A7E">
          <w:rPr>
            <w:webHidden/>
          </w:rPr>
          <w:fldChar w:fldCharType="begin"/>
        </w:r>
        <w:r w:rsidR="00A90A7E">
          <w:rPr>
            <w:webHidden/>
          </w:rPr>
          <w:instrText xml:space="preserve"> PAGEREF _Toc496266678 \h </w:instrText>
        </w:r>
        <w:r w:rsidR="00A90A7E">
          <w:rPr>
            <w:webHidden/>
          </w:rPr>
        </w:r>
        <w:r w:rsidR="00A90A7E">
          <w:rPr>
            <w:webHidden/>
          </w:rPr>
          <w:fldChar w:fldCharType="separate"/>
        </w:r>
        <w:r w:rsidR="00A90A7E">
          <w:rPr>
            <w:webHidden/>
          </w:rPr>
          <w:t>96</w:t>
        </w:r>
        <w:r w:rsidR="00A90A7E">
          <w:rPr>
            <w:webHidden/>
          </w:rPr>
          <w:fldChar w:fldCharType="end"/>
        </w:r>
      </w:hyperlink>
    </w:p>
    <w:p w14:paraId="547EA4C7" w14:textId="77777777" w:rsidR="00A90A7E" w:rsidRDefault="00931785">
      <w:pPr>
        <w:pStyle w:val="TDC3"/>
        <w:rPr>
          <w:rFonts w:asciiTheme="minorHAnsi" w:eastAsiaTheme="minorEastAsia" w:hAnsiTheme="minorHAnsi" w:cstheme="minorBidi"/>
          <w:sz w:val="22"/>
          <w:szCs w:val="22"/>
          <w:lang w:eastAsia="es-ES"/>
        </w:rPr>
      </w:pPr>
      <w:hyperlink w:anchor="_Toc496266679" w:history="1">
        <w:r w:rsidR="00A90A7E" w:rsidRPr="00BF7C67">
          <w:rPr>
            <w:rStyle w:val="Hipervnculo"/>
          </w:rPr>
          <w:t>79.</w:t>
        </w:r>
        <w:r w:rsidR="00A90A7E">
          <w:rPr>
            <w:rFonts w:asciiTheme="minorHAnsi" w:eastAsiaTheme="minorEastAsia" w:hAnsiTheme="minorHAnsi" w:cstheme="minorBidi"/>
            <w:sz w:val="22"/>
            <w:szCs w:val="22"/>
            <w:lang w:eastAsia="es-ES"/>
          </w:rPr>
          <w:tab/>
        </w:r>
        <w:r w:rsidR="00A90A7E" w:rsidRPr="00BF7C67">
          <w:rPr>
            <w:rStyle w:val="Hipervnculo"/>
          </w:rPr>
          <w:t>ÓRGANO DE CONTROL DE LA CONTRATANTE</w:t>
        </w:r>
        <w:r w:rsidR="00A90A7E">
          <w:rPr>
            <w:webHidden/>
          </w:rPr>
          <w:tab/>
        </w:r>
        <w:r w:rsidR="00A90A7E">
          <w:rPr>
            <w:webHidden/>
          </w:rPr>
          <w:fldChar w:fldCharType="begin"/>
        </w:r>
        <w:r w:rsidR="00A90A7E">
          <w:rPr>
            <w:webHidden/>
          </w:rPr>
          <w:instrText xml:space="preserve"> PAGEREF _Toc496266679 \h </w:instrText>
        </w:r>
        <w:r w:rsidR="00A90A7E">
          <w:rPr>
            <w:webHidden/>
          </w:rPr>
        </w:r>
        <w:r w:rsidR="00A90A7E">
          <w:rPr>
            <w:webHidden/>
          </w:rPr>
          <w:fldChar w:fldCharType="separate"/>
        </w:r>
        <w:r w:rsidR="00A90A7E">
          <w:rPr>
            <w:webHidden/>
          </w:rPr>
          <w:t>97</w:t>
        </w:r>
        <w:r w:rsidR="00A90A7E">
          <w:rPr>
            <w:webHidden/>
          </w:rPr>
          <w:fldChar w:fldCharType="end"/>
        </w:r>
      </w:hyperlink>
    </w:p>
    <w:p w14:paraId="19845856" w14:textId="77777777" w:rsidR="00A90A7E" w:rsidRDefault="00931785">
      <w:pPr>
        <w:pStyle w:val="TDC1"/>
        <w:rPr>
          <w:rFonts w:asciiTheme="minorHAnsi" w:eastAsiaTheme="minorEastAsia" w:hAnsiTheme="minorHAnsi" w:cstheme="minorBidi"/>
          <w:b w:val="0"/>
          <w:bCs w:val="0"/>
          <w:caps w:val="0"/>
          <w:lang w:val="es-ES"/>
        </w:rPr>
      </w:pPr>
      <w:hyperlink w:anchor="_Toc496266680" w:history="1">
        <w:r w:rsidR="00A90A7E" w:rsidRPr="00BF7C67">
          <w:rPr>
            <w:rStyle w:val="Hipervnculo"/>
          </w:rPr>
          <w:t>ANEXO I: DEFINICIÓN DE LA ZONA OBJETO DEL CONTRATO</w:t>
        </w:r>
        <w:r w:rsidR="00A90A7E">
          <w:rPr>
            <w:webHidden/>
          </w:rPr>
          <w:tab/>
        </w:r>
        <w:r w:rsidR="00A90A7E">
          <w:rPr>
            <w:webHidden/>
          </w:rPr>
          <w:fldChar w:fldCharType="begin"/>
        </w:r>
        <w:r w:rsidR="00A90A7E">
          <w:rPr>
            <w:webHidden/>
          </w:rPr>
          <w:instrText xml:space="preserve"> PAGEREF _Toc496266680 \h </w:instrText>
        </w:r>
        <w:r w:rsidR="00A90A7E">
          <w:rPr>
            <w:webHidden/>
          </w:rPr>
        </w:r>
        <w:r w:rsidR="00A90A7E">
          <w:rPr>
            <w:webHidden/>
          </w:rPr>
          <w:fldChar w:fldCharType="separate"/>
        </w:r>
        <w:r w:rsidR="00A90A7E">
          <w:rPr>
            <w:webHidden/>
          </w:rPr>
          <w:t>100</w:t>
        </w:r>
        <w:r w:rsidR="00A90A7E">
          <w:rPr>
            <w:webHidden/>
          </w:rPr>
          <w:fldChar w:fldCharType="end"/>
        </w:r>
      </w:hyperlink>
    </w:p>
    <w:p w14:paraId="053DA041" w14:textId="77777777" w:rsidR="00A90A7E" w:rsidRDefault="00931785">
      <w:pPr>
        <w:pStyle w:val="TDC1"/>
        <w:rPr>
          <w:rFonts w:asciiTheme="minorHAnsi" w:eastAsiaTheme="minorEastAsia" w:hAnsiTheme="minorHAnsi" w:cstheme="minorBidi"/>
          <w:b w:val="0"/>
          <w:bCs w:val="0"/>
          <w:caps w:val="0"/>
          <w:lang w:val="es-ES"/>
        </w:rPr>
      </w:pPr>
      <w:hyperlink w:anchor="_Toc496266681" w:history="1">
        <w:r w:rsidR="00A90A7E" w:rsidRPr="00BF7C67">
          <w:rPr>
            <w:rStyle w:val="Hipervnculo"/>
          </w:rPr>
          <w:t>ANEXO II: MODELO DE PROPUESTA ECONÓMICA</w:t>
        </w:r>
        <w:r w:rsidR="00A90A7E">
          <w:rPr>
            <w:webHidden/>
          </w:rPr>
          <w:tab/>
        </w:r>
        <w:r w:rsidR="00A90A7E">
          <w:rPr>
            <w:webHidden/>
          </w:rPr>
          <w:fldChar w:fldCharType="begin"/>
        </w:r>
        <w:r w:rsidR="00A90A7E">
          <w:rPr>
            <w:webHidden/>
          </w:rPr>
          <w:instrText xml:space="preserve"> PAGEREF _Toc496266681 \h </w:instrText>
        </w:r>
        <w:r w:rsidR="00A90A7E">
          <w:rPr>
            <w:webHidden/>
          </w:rPr>
        </w:r>
        <w:r w:rsidR="00A90A7E">
          <w:rPr>
            <w:webHidden/>
          </w:rPr>
          <w:fldChar w:fldCharType="separate"/>
        </w:r>
        <w:r w:rsidR="00A90A7E">
          <w:rPr>
            <w:webHidden/>
          </w:rPr>
          <w:t>101</w:t>
        </w:r>
        <w:r w:rsidR="00A90A7E">
          <w:rPr>
            <w:webHidden/>
          </w:rPr>
          <w:fldChar w:fldCharType="end"/>
        </w:r>
      </w:hyperlink>
    </w:p>
    <w:p w14:paraId="28399C41" w14:textId="77777777" w:rsidR="00A90A7E" w:rsidRDefault="00931785">
      <w:pPr>
        <w:pStyle w:val="TDC1"/>
        <w:rPr>
          <w:rFonts w:asciiTheme="minorHAnsi" w:eastAsiaTheme="minorEastAsia" w:hAnsiTheme="minorHAnsi" w:cstheme="minorBidi"/>
          <w:b w:val="0"/>
          <w:bCs w:val="0"/>
          <w:caps w:val="0"/>
          <w:lang w:val="es-ES"/>
        </w:rPr>
      </w:pPr>
      <w:hyperlink w:anchor="_Toc496266682" w:history="1">
        <w:r w:rsidR="00A90A7E" w:rsidRPr="00BF7C67">
          <w:rPr>
            <w:rStyle w:val="Hipervnculo"/>
          </w:rPr>
          <w:t>ANEXO III: MECANISMO DE PAGO</w:t>
        </w:r>
        <w:r w:rsidR="00A90A7E">
          <w:rPr>
            <w:webHidden/>
          </w:rPr>
          <w:tab/>
        </w:r>
        <w:r w:rsidR="00A90A7E">
          <w:rPr>
            <w:webHidden/>
          </w:rPr>
          <w:fldChar w:fldCharType="begin"/>
        </w:r>
        <w:r w:rsidR="00A90A7E">
          <w:rPr>
            <w:webHidden/>
          </w:rPr>
          <w:instrText xml:space="preserve"> PAGEREF _Toc496266682 \h </w:instrText>
        </w:r>
        <w:r w:rsidR="00A90A7E">
          <w:rPr>
            <w:webHidden/>
          </w:rPr>
        </w:r>
        <w:r w:rsidR="00A90A7E">
          <w:rPr>
            <w:webHidden/>
          </w:rPr>
          <w:fldChar w:fldCharType="separate"/>
        </w:r>
        <w:r w:rsidR="00A90A7E">
          <w:rPr>
            <w:webHidden/>
          </w:rPr>
          <w:t>109</w:t>
        </w:r>
        <w:r w:rsidR="00A90A7E">
          <w:rPr>
            <w:webHidden/>
          </w:rPr>
          <w:fldChar w:fldCharType="end"/>
        </w:r>
      </w:hyperlink>
    </w:p>
    <w:p w14:paraId="452C3DC2" w14:textId="77777777" w:rsidR="00A90A7E" w:rsidRDefault="00931785">
      <w:pPr>
        <w:pStyle w:val="TDC1"/>
        <w:rPr>
          <w:rFonts w:asciiTheme="minorHAnsi" w:eastAsiaTheme="minorEastAsia" w:hAnsiTheme="minorHAnsi" w:cstheme="minorBidi"/>
          <w:b w:val="0"/>
          <w:bCs w:val="0"/>
          <w:caps w:val="0"/>
          <w:lang w:val="es-ES"/>
        </w:rPr>
      </w:pPr>
      <w:hyperlink w:anchor="_Toc496266683" w:history="1">
        <w:r w:rsidR="00A90A7E" w:rsidRPr="00BF7C67">
          <w:rPr>
            <w:rStyle w:val="Hipervnculo"/>
          </w:rPr>
          <w:t>ANEXO IV: PRESENTACIÓN DEL PLAN ECONÓMICO FINANCIERO (PEF).</w:t>
        </w:r>
        <w:r w:rsidR="00A90A7E">
          <w:rPr>
            <w:webHidden/>
          </w:rPr>
          <w:tab/>
        </w:r>
        <w:r w:rsidR="00A90A7E">
          <w:rPr>
            <w:webHidden/>
          </w:rPr>
          <w:fldChar w:fldCharType="begin"/>
        </w:r>
        <w:r w:rsidR="00A90A7E">
          <w:rPr>
            <w:webHidden/>
          </w:rPr>
          <w:instrText xml:space="preserve"> PAGEREF _Toc496266683 \h </w:instrText>
        </w:r>
        <w:r w:rsidR="00A90A7E">
          <w:rPr>
            <w:webHidden/>
          </w:rPr>
        </w:r>
        <w:r w:rsidR="00A90A7E">
          <w:rPr>
            <w:webHidden/>
          </w:rPr>
          <w:fldChar w:fldCharType="separate"/>
        </w:r>
        <w:r w:rsidR="00A90A7E">
          <w:rPr>
            <w:webHidden/>
          </w:rPr>
          <w:t>115</w:t>
        </w:r>
        <w:r w:rsidR="00A90A7E">
          <w:rPr>
            <w:webHidden/>
          </w:rPr>
          <w:fldChar w:fldCharType="end"/>
        </w:r>
      </w:hyperlink>
    </w:p>
    <w:p w14:paraId="4D4A14A4" w14:textId="77777777" w:rsidR="00A90A7E" w:rsidRDefault="00931785">
      <w:pPr>
        <w:pStyle w:val="TDC1"/>
        <w:rPr>
          <w:rFonts w:asciiTheme="minorHAnsi" w:eastAsiaTheme="minorEastAsia" w:hAnsiTheme="minorHAnsi" w:cstheme="minorBidi"/>
          <w:b w:val="0"/>
          <w:bCs w:val="0"/>
          <w:caps w:val="0"/>
          <w:lang w:val="es-ES"/>
        </w:rPr>
      </w:pPr>
      <w:hyperlink w:anchor="_Toc496266684" w:history="1">
        <w:r w:rsidR="00A90A7E" w:rsidRPr="00BF7C67">
          <w:rPr>
            <w:rStyle w:val="Hipervnculo"/>
          </w:rPr>
          <w:t>ANEXO V: DECLARACIONES JURADAS Y FORMULARIOS</w:t>
        </w:r>
        <w:r w:rsidR="00A90A7E">
          <w:rPr>
            <w:webHidden/>
          </w:rPr>
          <w:tab/>
        </w:r>
        <w:r w:rsidR="00A90A7E">
          <w:rPr>
            <w:webHidden/>
          </w:rPr>
          <w:fldChar w:fldCharType="begin"/>
        </w:r>
        <w:r w:rsidR="00A90A7E">
          <w:rPr>
            <w:webHidden/>
          </w:rPr>
          <w:instrText xml:space="preserve"> PAGEREF _Toc496266684 \h </w:instrText>
        </w:r>
        <w:r w:rsidR="00A90A7E">
          <w:rPr>
            <w:webHidden/>
          </w:rPr>
        </w:r>
        <w:r w:rsidR="00A90A7E">
          <w:rPr>
            <w:webHidden/>
          </w:rPr>
          <w:fldChar w:fldCharType="separate"/>
        </w:r>
        <w:r w:rsidR="00A90A7E">
          <w:rPr>
            <w:webHidden/>
          </w:rPr>
          <w:t>120</w:t>
        </w:r>
        <w:r w:rsidR="00A90A7E">
          <w:rPr>
            <w:webHidden/>
          </w:rPr>
          <w:fldChar w:fldCharType="end"/>
        </w:r>
      </w:hyperlink>
    </w:p>
    <w:p w14:paraId="2E06B743" w14:textId="77777777" w:rsidR="00A90A7E" w:rsidRDefault="00931785">
      <w:pPr>
        <w:pStyle w:val="TDC1"/>
        <w:rPr>
          <w:rFonts w:asciiTheme="minorHAnsi" w:eastAsiaTheme="minorEastAsia" w:hAnsiTheme="minorHAnsi" w:cstheme="minorBidi"/>
          <w:b w:val="0"/>
          <w:bCs w:val="0"/>
          <w:caps w:val="0"/>
          <w:lang w:val="es-ES"/>
        </w:rPr>
      </w:pPr>
      <w:hyperlink w:anchor="_Toc496266685" w:history="1">
        <w:r w:rsidR="00A90A7E" w:rsidRPr="00BF7C67">
          <w:rPr>
            <w:rStyle w:val="Hipervnculo"/>
          </w:rPr>
          <w:t>ANEXO VI: DESCRIPCIÓN DEL EQUIPO TÉCNICO</w:t>
        </w:r>
        <w:r w:rsidR="00A90A7E">
          <w:rPr>
            <w:webHidden/>
          </w:rPr>
          <w:tab/>
        </w:r>
        <w:r w:rsidR="00A90A7E">
          <w:rPr>
            <w:webHidden/>
          </w:rPr>
          <w:fldChar w:fldCharType="begin"/>
        </w:r>
        <w:r w:rsidR="00A90A7E">
          <w:rPr>
            <w:webHidden/>
          </w:rPr>
          <w:instrText xml:space="preserve"> PAGEREF _Toc496266685 \h </w:instrText>
        </w:r>
        <w:r w:rsidR="00A90A7E">
          <w:rPr>
            <w:webHidden/>
          </w:rPr>
        </w:r>
        <w:r w:rsidR="00A90A7E">
          <w:rPr>
            <w:webHidden/>
          </w:rPr>
          <w:fldChar w:fldCharType="separate"/>
        </w:r>
        <w:r w:rsidR="00A90A7E">
          <w:rPr>
            <w:webHidden/>
          </w:rPr>
          <w:t>125</w:t>
        </w:r>
        <w:r w:rsidR="00A90A7E">
          <w:rPr>
            <w:webHidden/>
          </w:rPr>
          <w:fldChar w:fldCharType="end"/>
        </w:r>
      </w:hyperlink>
    </w:p>
    <w:p w14:paraId="52B15D74" w14:textId="77777777" w:rsidR="00A90A7E" w:rsidRDefault="00931785">
      <w:pPr>
        <w:pStyle w:val="TDC1"/>
        <w:rPr>
          <w:rFonts w:asciiTheme="minorHAnsi" w:eastAsiaTheme="minorEastAsia" w:hAnsiTheme="minorHAnsi" w:cstheme="minorBidi"/>
          <w:b w:val="0"/>
          <w:bCs w:val="0"/>
          <w:caps w:val="0"/>
          <w:lang w:val="es-ES"/>
        </w:rPr>
      </w:pPr>
      <w:hyperlink w:anchor="_Toc496266686" w:history="1">
        <w:r w:rsidR="00A90A7E" w:rsidRPr="00BF7C67">
          <w:rPr>
            <w:rStyle w:val="Hipervnculo"/>
          </w:rPr>
          <w:t>ANEXO VII: CRITERIOS DE SELECCIÓN</w:t>
        </w:r>
        <w:r w:rsidR="00A90A7E">
          <w:rPr>
            <w:webHidden/>
          </w:rPr>
          <w:tab/>
        </w:r>
        <w:r w:rsidR="00A90A7E">
          <w:rPr>
            <w:webHidden/>
          </w:rPr>
          <w:fldChar w:fldCharType="begin"/>
        </w:r>
        <w:r w:rsidR="00A90A7E">
          <w:rPr>
            <w:webHidden/>
          </w:rPr>
          <w:instrText xml:space="preserve"> PAGEREF _Toc496266686 \h </w:instrText>
        </w:r>
        <w:r w:rsidR="00A90A7E">
          <w:rPr>
            <w:webHidden/>
          </w:rPr>
        </w:r>
        <w:r w:rsidR="00A90A7E">
          <w:rPr>
            <w:webHidden/>
          </w:rPr>
          <w:fldChar w:fldCharType="separate"/>
        </w:r>
        <w:r w:rsidR="00A90A7E">
          <w:rPr>
            <w:webHidden/>
          </w:rPr>
          <w:t>126</w:t>
        </w:r>
        <w:r w:rsidR="00A90A7E">
          <w:rPr>
            <w:webHidden/>
          </w:rPr>
          <w:fldChar w:fldCharType="end"/>
        </w:r>
      </w:hyperlink>
    </w:p>
    <w:p w14:paraId="795B1C5B" w14:textId="77777777" w:rsidR="00A90A7E" w:rsidRDefault="00931785">
      <w:pPr>
        <w:pStyle w:val="TDC1"/>
        <w:rPr>
          <w:rFonts w:asciiTheme="minorHAnsi" w:eastAsiaTheme="minorEastAsia" w:hAnsiTheme="minorHAnsi" w:cstheme="minorBidi"/>
          <w:b w:val="0"/>
          <w:bCs w:val="0"/>
          <w:caps w:val="0"/>
          <w:lang w:val="es-ES"/>
        </w:rPr>
      </w:pPr>
      <w:hyperlink w:anchor="_Toc496266687" w:history="1">
        <w:r w:rsidR="00A90A7E" w:rsidRPr="00BF7C67">
          <w:rPr>
            <w:rStyle w:val="Hipervnculo"/>
          </w:rPr>
          <w:t>ANEXO VIII: CONDICIONES PARA LA RECEPCIÓN FINAL DEL CONTRATO</w:t>
        </w:r>
        <w:r w:rsidR="00A90A7E">
          <w:rPr>
            <w:webHidden/>
          </w:rPr>
          <w:tab/>
        </w:r>
        <w:r w:rsidR="00A90A7E">
          <w:rPr>
            <w:webHidden/>
          </w:rPr>
          <w:fldChar w:fldCharType="begin"/>
        </w:r>
        <w:r w:rsidR="00A90A7E">
          <w:rPr>
            <w:webHidden/>
          </w:rPr>
          <w:instrText xml:space="preserve"> PAGEREF _Toc496266687 \h </w:instrText>
        </w:r>
        <w:r w:rsidR="00A90A7E">
          <w:rPr>
            <w:webHidden/>
          </w:rPr>
        </w:r>
        <w:r w:rsidR="00A90A7E">
          <w:rPr>
            <w:webHidden/>
          </w:rPr>
          <w:fldChar w:fldCharType="separate"/>
        </w:r>
        <w:r w:rsidR="00A90A7E">
          <w:rPr>
            <w:webHidden/>
          </w:rPr>
          <w:t>130</w:t>
        </w:r>
        <w:r w:rsidR="00A90A7E">
          <w:rPr>
            <w:webHidden/>
          </w:rPr>
          <w:fldChar w:fldCharType="end"/>
        </w:r>
      </w:hyperlink>
    </w:p>
    <w:p w14:paraId="375BBA82" w14:textId="77777777" w:rsidR="00A90A7E" w:rsidRDefault="00931785">
      <w:pPr>
        <w:pStyle w:val="TDC1"/>
        <w:rPr>
          <w:rFonts w:asciiTheme="minorHAnsi" w:eastAsiaTheme="minorEastAsia" w:hAnsiTheme="minorHAnsi" w:cstheme="minorBidi"/>
          <w:b w:val="0"/>
          <w:bCs w:val="0"/>
          <w:caps w:val="0"/>
          <w:lang w:val="es-ES"/>
        </w:rPr>
      </w:pPr>
      <w:hyperlink w:anchor="_Toc496266688" w:history="1">
        <w:r w:rsidR="00A90A7E" w:rsidRPr="00BF7C67">
          <w:rPr>
            <w:rStyle w:val="Hipervnculo"/>
          </w:rPr>
          <w:t>ANEXO IX: NIVELES DE SERVICIO</w:t>
        </w:r>
        <w:r w:rsidR="00A90A7E">
          <w:rPr>
            <w:webHidden/>
          </w:rPr>
          <w:tab/>
        </w:r>
        <w:r w:rsidR="00A90A7E">
          <w:rPr>
            <w:webHidden/>
          </w:rPr>
          <w:fldChar w:fldCharType="begin"/>
        </w:r>
        <w:r w:rsidR="00A90A7E">
          <w:rPr>
            <w:webHidden/>
          </w:rPr>
          <w:instrText xml:space="preserve"> PAGEREF _Toc496266688 \h </w:instrText>
        </w:r>
        <w:r w:rsidR="00A90A7E">
          <w:rPr>
            <w:webHidden/>
          </w:rPr>
        </w:r>
        <w:r w:rsidR="00A90A7E">
          <w:rPr>
            <w:webHidden/>
          </w:rPr>
          <w:fldChar w:fldCharType="separate"/>
        </w:r>
        <w:r w:rsidR="00A90A7E">
          <w:rPr>
            <w:webHidden/>
          </w:rPr>
          <w:t>131</w:t>
        </w:r>
        <w:r w:rsidR="00A90A7E">
          <w:rPr>
            <w:webHidden/>
          </w:rPr>
          <w:fldChar w:fldCharType="end"/>
        </w:r>
      </w:hyperlink>
    </w:p>
    <w:p w14:paraId="550ED2FC" w14:textId="77777777" w:rsidR="00A90A7E" w:rsidRDefault="00931785">
      <w:pPr>
        <w:pStyle w:val="TDC1"/>
        <w:rPr>
          <w:rFonts w:asciiTheme="minorHAnsi" w:eastAsiaTheme="minorEastAsia" w:hAnsiTheme="minorHAnsi" w:cstheme="minorBidi"/>
          <w:b w:val="0"/>
          <w:bCs w:val="0"/>
          <w:caps w:val="0"/>
          <w:lang w:val="es-ES"/>
        </w:rPr>
      </w:pPr>
      <w:hyperlink w:anchor="_Toc496266689" w:history="1">
        <w:r w:rsidR="00A90A7E" w:rsidRPr="00BF7C67">
          <w:rPr>
            <w:rStyle w:val="Hipervnculo"/>
          </w:rPr>
          <w:t>ANEXO X: AJUSTE PARAMÉTRICO</w:t>
        </w:r>
        <w:r w:rsidR="00A90A7E">
          <w:rPr>
            <w:webHidden/>
          </w:rPr>
          <w:tab/>
        </w:r>
        <w:r w:rsidR="00A90A7E">
          <w:rPr>
            <w:webHidden/>
          </w:rPr>
          <w:fldChar w:fldCharType="begin"/>
        </w:r>
        <w:r w:rsidR="00A90A7E">
          <w:rPr>
            <w:webHidden/>
          </w:rPr>
          <w:instrText xml:space="preserve"> PAGEREF _Toc496266689 \h </w:instrText>
        </w:r>
        <w:r w:rsidR="00A90A7E">
          <w:rPr>
            <w:webHidden/>
          </w:rPr>
        </w:r>
        <w:r w:rsidR="00A90A7E">
          <w:rPr>
            <w:webHidden/>
          </w:rPr>
          <w:fldChar w:fldCharType="separate"/>
        </w:r>
        <w:r w:rsidR="00A90A7E">
          <w:rPr>
            <w:webHidden/>
          </w:rPr>
          <w:t>173</w:t>
        </w:r>
        <w:r w:rsidR="00A90A7E">
          <w:rPr>
            <w:webHidden/>
          </w:rPr>
          <w:fldChar w:fldCharType="end"/>
        </w:r>
      </w:hyperlink>
    </w:p>
    <w:p w14:paraId="34C0EB82" w14:textId="77777777" w:rsidR="00A90A7E" w:rsidRDefault="00931785">
      <w:pPr>
        <w:pStyle w:val="TDC1"/>
        <w:rPr>
          <w:rFonts w:asciiTheme="minorHAnsi" w:eastAsiaTheme="minorEastAsia" w:hAnsiTheme="minorHAnsi" w:cstheme="minorBidi"/>
          <w:b w:val="0"/>
          <w:bCs w:val="0"/>
          <w:caps w:val="0"/>
          <w:lang w:val="es-ES"/>
        </w:rPr>
      </w:pPr>
      <w:hyperlink w:anchor="_Toc496266690" w:history="1">
        <w:r w:rsidR="00A90A7E" w:rsidRPr="00BF7C67">
          <w:rPr>
            <w:rStyle w:val="Hipervnculo"/>
          </w:rPr>
          <w:t>ANEXO XI: PRECIOS SUMINISTRADOS POR LA CONTRATANTE</w:t>
        </w:r>
        <w:r w:rsidR="00A90A7E">
          <w:rPr>
            <w:webHidden/>
          </w:rPr>
          <w:tab/>
        </w:r>
        <w:r w:rsidR="00A90A7E">
          <w:rPr>
            <w:webHidden/>
          </w:rPr>
          <w:fldChar w:fldCharType="begin"/>
        </w:r>
        <w:r w:rsidR="00A90A7E">
          <w:rPr>
            <w:webHidden/>
          </w:rPr>
          <w:instrText xml:space="preserve"> PAGEREF _Toc496266690 \h </w:instrText>
        </w:r>
        <w:r w:rsidR="00A90A7E">
          <w:rPr>
            <w:webHidden/>
          </w:rPr>
        </w:r>
        <w:r w:rsidR="00A90A7E">
          <w:rPr>
            <w:webHidden/>
          </w:rPr>
          <w:fldChar w:fldCharType="separate"/>
        </w:r>
        <w:r w:rsidR="00A90A7E">
          <w:rPr>
            <w:webHidden/>
          </w:rPr>
          <w:t>174</w:t>
        </w:r>
        <w:r w:rsidR="00A90A7E">
          <w:rPr>
            <w:webHidden/>
          </w:rPr>
          <w:fldChar w:fldCharType="end"/>
        </w:r>
      </w:hyperlink>
    </w:p>
    <w:p w14:paraId="6817AB86" w14:textId="77777777" w:rsidR="00A90A7E" w:rsidRDefault="00931785">
      <w:pPr>
        <w:pStyle w:val="TDC1"/>
        <w:rPr>
          <w:rFonts w:asciiTheme="minorHAnsi" w:eastAsiaTheme="minorEastAsia" w:hAnsiTheme="minorHAnsi" w:cstheme="minorBidi"/>
          <w:b w:val="0"/>
          <w:bCs w:val="0"/>
          <w:caps w:val="0"/>
          <w:lang w:val="es-ES"/>
        </w:rPr>
      </w:pPr>
      <w:hyperlink w:anchor="_Toc496266691" w:history="1">
        <w:r w:rsidR="00A90A7E" w:rsidRPr="00BF7C67">
          <w:rPr>
            <w:rStyle w:val="Hipervnculo"/>
          </w:rPr>
          <w:t>ANEXO XII: MONTO BASE ANUAL COMPONENTE C</w:t>
        </w:r>
        <w:r w:rsidR="00A90A7E">
          <w:rPr>
            <w:webHidden/>
          </w:rPr>
          <w:tab/>
        </w:r>
        <w:r w:rsidR="00A90A7E">
          <w:rPr>
            <w:webHidden/>
          </w:rPr>
          <w:fldChar w:fldCharType="begin"/>
        </w:r>
        <w:r w:rsidR="00A90A7E">
          <w:rPr>
            <w:webHidden/>
          </w:rPr>
          <w:instrText xml:space="preserve"> PAGEREF _Toc496266691 \h </w:instrText>
        </w:r>
        <w:r w:rsidR="00A90A7E">
          <w:rPr>
            <w:webHidden/>
          </w:rPr>
        </w:r>
        <w:r w:rsidR="00A90A7E">
          <w:rPr>
            <w:webHidden/>
          </w:rPr>
          <w:fldChar w:fldCharType="separate"/>
        </w:r>
        <w:r w:rsidR="00A90A7E">
          <w:rPr>
            <w:webHidden/>
          </w:rPr>
          <w:t>181</w:t>
        </w:r>
        <w:r w:rsidR="00A90A7E">
          <w:rPr>
            <w:webHidden/>
          </w:rPr>
          <w:fldChar w:fldCharType="end"/>
        </w:r>
      </w:hyperlink>
    </w:p>
    <w:p w14:paraId="6F1C1097" w14:textId="77777777" w:rsidR="00A90A7E" w:rsidRDefault="00931785">
      <w:pPr>
        <w:pStyle w:val="TDC1"/>
        <w:rPr>
          <w:rFonts w:asciiTheme="minorHAnsi" w:eastAsiaTheme="minorEastAsia" w:hAnsiTheme="minorHAnsi" w:cstheme="minorBidi"/>
          <w:b w:val="0"/>
          <w:bCs w:val="0"/>
          <w:caps w:val="0"/>
          <w:lang w:val="es-ES"/>
        </w:rPr>
      </w:pPr>
      <w:hyperlink w:anchor="_Toc496266692" w:history="1">
        <w:r w:rsidR="00A90A7E" w:rsidRPr="00BF7C67">
          <w:rPr>
            <w:rStyle w:val="Hipervnculo"/>
          </w:rPr>
          <w:t>ANEXO XIII: ESPECIFICACIONES TÉCNICAS PARTICULARES</w:t>
        </w:r>
        <w:r w:rsidR="00A90A7E">
          <w:rPr>
            <w:webHidden/>
          </w:rPr>
          <w:tab/>
        </w:r>
        <w:r w:rsidR="00A90A7E">
          <w:rPr>
            <w:webHidden/>
          </w:rPr>
          <w:fldChar w:fldCharType="begin"/>
        </w:r>
        <w:r w:rsidR="00A90A7E">
          <w:rPr>
            <w:webHidden/>
          </w:rPr>
          <w:instrText xml:space="preserve"> PAGEREF _Toc496266692 \h </w:instrText>
        </w:r>
        <w:r w:rsidR="00A90A7E">
          <w:rPr>
            <w:webHidden/>
          </w:rPr>
        </w:r>
        <w:r w:rsidR="00A90A7E">
          <w:rPr>
            <w:webHidden/>
          </w:rPr>
          <w:fldChar w:fldCharType="separate"/>
        </w:r>
        <w:r w:rsidR="00A90A7E">
          <w:rPr>
            <w:webHidden/>
          </w:rPr>
          <w:t>182</w:t>
        </w:r>
        <w:r w:rsidR="00A90A7E">
          <w:rPr>
            <w:webHidden/>
          </w:rPr>
          <w:fldChar w:fldCharType="end"/>
        </w:r>
      </w:hyperlink>
    </w:p>
    <w:p w14:paraId="22B553B0" w14:textId="77777777" w:rsidR="00A90A7E" w:rsidRDefault="00931785">
      <w:pPr>
        <w:pStyle w:val="TDC1"/>
        <w:rPr>
          <w:rFonts w:asciiTheme="minorHAnsi" w:eastAsiaTheme="minorEastAsia" w:hAnsiTheme="minorHAnsi" w:cstheme="minorBidi"/>
          <w:b w:val="0"/>
          <w:bCs w:val="0"/>
          <w:caps w:val="0"/>
          <w:lang w:val="es-ES"/>
        </w:rPr>
      </w:pPr>
      <w:hyperlink w:anchor="_Toc496266693" w:history="1">
        <w:r w:rsidR="00A90A7E" w:rsidRPr="00BF7C67">
          <w:rPr>
            <w:rStyle w:val="Hipervnculo"/>
          </w:rPr>
          <w:t>ANEXO XIV: SISTEMA DE GESTIÓN INTEGRAL</w:t>
        </w:r>
        <w:r w:rsidR="00A90A7E">
          <w:rPr>
            <w:webHidden/>
          </w:rPr>
          <w:tab/>
        </w:r>
        <w:r w:rsidR="00A90A7E">
          <w:rPr>
            <w:webHidden/>
          </w:rPr>
          <w:fldChar w:fldCharType="begin"/>
        </w:r>
        <w:r w:rsidR="00A90A7E">
          <w:rPr>
            <w:webHidden/>
          </w:rPr>
          <w:instrText xml:space="preserve"> PAGEREF _Toc496266693 \h </w:instrText>
        </w:r>
        <w:r w:rsidR="00A90A7E">
          <w:rPr>
            <w:webHidden/>
          </w:rPr>
        </w:r>
        <w:r w:rsidR="00A90A7E">
          <w:rPr>
            <w:webHidden/>
          </w:rPr>
          <w:fldChar w:fldCharType="separate"/>
        </w:r>
        <w:r w:rsidR="00A90A7E">
          <w:rPr>
            <w:webHidden/>
          </w:rPr>
          <w:t>210</w:t>
        </w:r>
        <w:r w:rsidR="00A90A7E">
          <w:rPr>
            <w:webHidden/>
          </w:rPr>
          <w:fldChar w:fldCharType="end"/>
        </w:r>
      </w:hyperlink>
    </w:p>
    <w:p w14:paraId="215850E5" w14:textId="77777777" w:rsidR="00A90A7E" w:rsidRDefault="00931785">
      <w:pPr>
        <w:pStyle w:val="TDC1"/>
        <w:rPr>
          <w:rFonts w:asciiTheme="minorHAnsi" w:eastAsiaTheme="minorEastAsia" w:hAnsiTheme="minorHAnsi" w:cstheme="minorBidi"/>
          <w:b w:val="0"/>
          <w:bCs w:val="0"/>
          <w:caps w:val="0"/>
          <w:lang w:val="es-ES"/>
        </w:rPr>
      </w:pPr>
      <w:hyperlink w:anchor="_Toc496266694" w:history="1">
        <w:r w:rsidR="00A90A7E" w:rsidRPr="00BF7C67">
          <w:rPr>
            <w:rStyle w:val="Hipervnculo"/>
            <w:lang w:val="pt-BR"/>
          </w:rPr>
          <w:t>ANEXO XV: TRÁNSITO</w:t>
        </w:r>
        <w:r w:rsidR="00A90A7E">
          <w:rPr>
            <w:webHidden/>
          </w:rPr>
          <w:tab/>
        </w:r>
        <w:r w:rsidR="00A90A7E">
          <w:rPr>
            <w:webHidden/>
          </w:rPr>
          <w:fldChar w:fldCharType="begin"/>
        </w:r>
        <w:r w:rsidR="00A90A7E">
          <w:rPr>
            <w:webHidden/>
          </w:rPr>
          <w:instrText xml:space="preserve"> PAGEREF _Toc496266694 \h </w:instrText>
        </w:r>
        <w:r w:rsidR="00A90A7E">
          <w:rPr>
            <w:webHidden/>
          </w:rPr>
        </w:r>
        <w:r w:rsidR="00A90A7E">
          <w:rPr>
            <w:webHidden/>
          </w:rPr>
          <w:fldChar w:fldCharType="separate"/>
        </w:r>
        <w:r w:rsidR="00A90A7E">
          <w:rPr>
            <w:webHidden/>
          </w:rPr>
          <w:t>213</w:t>
        </w:r>
        <w:r w:rsidR="00A90A7E">
          <w:rPr>
            <w:webHidden/>
          </w:rPr>
          <w:fldChar w:fldCharType="end"/>
        </w:r>
      </w:hyperlink>
    </w:p>
    <w:p w14:paraId="54241F62" w14:textId="77777777" w:rsidR="00A90A7E" w:rsidRDefault="00931785">
      <w:pPr>
        <w:pStyle w:val="TDC1"/>
        <w:rPr>
          <w:rFonts w:asciiTheme="minorHAnsi" w:eastAsiaTheme="minorEastAsia" w:hAnsiTheme="minorHAnsi" w:cstheme="minorBidi"/>
          <w:b w:val="0"/>
          <w:bCs w:val="0"/>
          <w:caps w:val="0"/>
          <w:lang w:val="es-ES"/>
        </w:rPr>
      </w:pPr>
      <w:hyperlink w:anchor="_Toc496266695" w:history="1">
        <w:r w:rsidR="00A90A7E" w:rsidRPr="00BF7C67">
          <w:rPr>
            <w:rStyle w:val="Hipervnculo"/>
          </w:rPr>
          <w:t>ANEXO XVI: ELEMENTOS DE CONTROL</w:t>
        </w:r>
        <w:r w:rsidR="00A90A7E">
          <w:rPr>
            <w:webHidden/>
          </w:rPr>
          <w:tab/>
        </w:r>
        <w:r w:rsidR="00A90A7E">
          <w:rPr>
            <w:webHidden/>
          </w:rPr>
          <w:fldChar w:fldCharType="begin"/>
        </w:r>
        <w:r w:rsidR="00A90A7E">
          <w:rPr>
            <w:webHidden/>
          </w:rPr>
          <w:instrText xml:space="preserve"> PAGEREF _Toc496266695 \h </w:instrText>
        </w:r>
        <w:r w:rsidR="00A90A7E">
          <w:rPr>
            <w:webHidden/>
          </w:rPr>
        </w:r>
        <w:r w:rsidR="00A90A7E">
          <w:rPr>
            <w:webHidden/>
          </w:rPr>
          <w:fldChar w:fldCharType="separate"/>
        </w:r>
        <w:r w:rsidR="00A90A7E">
          <w:rPr>
            <w:webHidden/>
          </w:rPr>
          <w:t>220</w:t>
        </w:r>
        <w:r w:rsidR="00A90A7E">
          <w:rPr>
            <w:webHidden/>
          </w:rPr>
          <w:fldChar w:fldCharType="end"/>
        </w:r>
      </w:hyperlink>
    </w:p>
    <w:p w14:paraId="08D4C34E" w14:textId="77777777" w:rsidR="00A90A7E" w:rsidRDefault="00931785">
      <w:pPr>
        <w:pStyle w:val="TDC1"/>
        <w:rPr>
          <w:rFonts w:asciiTheme="minorHAnsi" w:eastAsiaTheme="minorEastAsia" w:hAnsiTheme="minorHAnsi" w:cstheme="minorBidi"/>
          <w:b w:val="0"/>
          <w:bCs w:val="0"/>
          <w:caps w:val="0"/>
          <w:lang w:val="es-ES"/>
        </w:rPr>
      </w:pPr>
      <w:hyperlink w:anchor="_Toc496266696" w:history="1">
        <w:r w:rsidR="00A90A7E" w:rsidRPr="00BF7C67">
          <w:rPr>
            <w:rStyle w:val="Hipervnculo"/>
          </w:rPr>
          <w:t>ANEXO XVII: MODELO DE CONTRATO</w:t>
        </w:r>
        <w:r w:rsidR="00A90A7E">
          <w:rPr>
            <w:webHidden/>
          </w:rPr>
          <w:tab/>
        </w:r>
        <w:r w:rsidR="00A90A7E">
          <w:rPr>
            <w:webHidden/>
          </w:rPr>
          <w:fldChar w:fldCharType="begin"/>
        </w:r>
        <w:r w:rsidR="00A90A7E">
          <w:rPr>
            <w:webHidden/>
          </w:rPr>
          <w:instrText xml:space="preserve"> PAGEREF _Toc496266696 \h </w:instrText>
        </w:r>
        <w:r w:rsidR="00A90A7E">
          <w:rPr>
            <w:webHidden/>
          </w:rPr>
        </w:r>
        <w:r w:rsidR="00A90A7E">
          <w:rPr>
            <w:webHidden/>
          </w:rPr>
          <w:fldChar w:fldCharType="separate"/>
        </w:r>
        <w:r w:rsidR="00A90A7E">
          <w:rPr>
            <w:webHidden/>
          </w:rPr>
          <w:t>227</w:t>
        </w:r>
        <w:r w:rsidR="00A90A7E">
          <w:rPr>
            <w:webHidden/>
          </w:rPr>
          <w:fldChar w:fldCharType="end"/>
        </w:r>
      </w:hyperlink>
    </w:p>
    <w:p w14:paraId="65552C80" w14:textId="77777777" w:rsidR="00A90A7E" w:rsidRDefault="00931785">
      <w:pPr>
        <w:pStyle w:val="TDC1"/>
        <w:rPr>
          <w:rFonts w:asciiTheme="minorHAnsi" w:eastAsiaTheme="minorEastAsia" w:hAnsiTheme="minorHAnsi" w:cstheme="minorBidi"/>
          <w:b w:val="0"/>
          <w:bCs w:val="0"/>
          <w:caps w:val="0"/>
          <w:lang w:val="es-ES"/>
        </w:rPr>
      </w:pPr>
      <w:hyperlink w:anchor="_Toc496266697" w:history="1">
        <w:r w:rsidR="00A90A7E" w:rsidRPr="00BF7C67">
          <w:rPr>
            <w:rStyle w:val="Hipervnculo"/>
          </w:rPr>
          <w:t>ANEXO XVIII: SIGLAS Y ABREVIATURAS</w:t>
        </w:r>
        <w:r w:rsidR="00A90A7E">
          <w:rPr>
            <w:webHidden/>
          </w:rPr>
          <w:tab/>
        </w:r>
        <w:r w:rsidR="00A90A7E">
          <w:rPr>
            <w:webHidden/>
          </w:rPr>
          <w:fldChar w:fldCharType="begin"/>
        </w:r>
        <w:r w:rsidR="00A90A7E">
          <w:rPr>
            <w:webHidden/>
          </w:rPr>
          <w:instrText xml:space="preserve"> PAGEREF _Toc496266697 \h </w:instrText>
        </w:r>
        <w:r w:rsidR="00A90A7E">
          <w:rPr>
            <w:webHidden/>
          </w:rPr>
        </w:r>
        <w:r w:rsidR="00A90A7E">
          <w:rPr>
            <w:webHidden/>
          </w:rPr>
          <w:fldChar w:fldCharType="separate"/>
        </w:r>
        <w:r w:rsidR="00A90A7E">
          <w:rPr>
            <w:webHidden/>
          </w:rPr>
          <w:t>228</w:t>
        </w:r>
        <w:r w:rsidR="00A90A7E">
          <w:rPr>
            <w:webHidden/>
          </w:rPr>
          <w:fldChar w:fldCharType="end"/>
        </w:r>
      </w:hyperlink>
    </w:p>
    <w:p w14:paraId="7F57FAA9" w14:textId="77777777" w:rsidR="00923A05" w:rsidRPr="00A80C2B" w:rsidRDefault="00587284">
      <w:pPr>
        <w:spacing w:after="0" w:line="240" w:lineRule="auto"/>
        <w:rPr>
          <w:rFonts w:ascii="Arial" w:eastAsia="Calibri" w:hAnsi="Arial" w:cs="Arial"/>
          <w:b/>
          <w:bCs/>
          <w:sz w:val="20"/>
          <w:szCs w:val="20"/>
          <w:lang w:val="es-ES_tradnl" w:eastAsia="es-ES"/>
        </w:rPr>
      </w:pPr>
      <w:r w:rsidRPr="00170FC9">
        <w:rPr>
          <w:rFonts w:ascii="Arial" w:hAnsi="Arial" w:cs="Arial"/>
          <w:caps/>
          <w:noProof/>
          <w:sz w:val="20"/>
          <w:szCs w:val="20"/>
        </w:rPr>
        <w:fldChar w:fldCharType="end"/>
      </w:r>
    </w:p>
    <w:p w14:paraId="6D381CAE" w14:textId="77777777" w:rsidR="00611780" w:rsidRDefault="00611780" w:rsidP="000F5C7C">
      <w:pPr>
        <w:pStyle w:val="T-1"/>
        <w:outlineLvl w:val="0"/>
      </w:pPr>
    </w:p>
    <w:p w14:paraId="1CB11FA5" w14:textId="77777777" w:rsidR="00611780" w:rsidRDefault="00611780">
      <w:pPr>
        <w:spacing w:after="0" w:line="240" w:lineRule="auto"/>
        <w:rPr>
          <w:rFonts w:ascii="Arial" w:eastAsia="Calibri" w:hAnsi="Arial" w:cs="Arial"/>
          <w:b/>
          <w:bCs/>
          <w:sz w:val="24"/>
          <w:szCs w:val="24"/>
          <w:lang w:val="es-ES_tradnl" w:eastAsia="es-ES"/>
        </w:rPr>
      </w:pPr>
      <w:r>
        <w:br w:type="page"/>
      </w:r>
    </w:p>
    <w:p w14:paraId="5217CE17" w14:textId="77777777" w:rsidR="007F2C68" w:rsidRPr="00FD07E0" w:rsidRDefault="007F2C68" w:rsidP="000F5C7C">
      <w:pPr>
        <w:pStyle w:val="T-1"/>
        <w:outlineLvl w:val="0"/>
      </w:pPr>
      <w:bookmarkStart w:id="7" w:name="_Toc468287956"/>
      <w:bookmarkStart w:id="8" w:name="_Toc496266549"/>
      <w:r w:rsidRPr="00FD07E0">
        <w:lastRenderedPageBreak/>
        <w:t xml:space="preserve">SECCIÓN I </w:t>
      </w:r>
      <w:r>
        <w:t>-</w:t>
      </w:r>
      <w:r w:rsidR="000039BF">
        <w:t xml:space="preserve"> </w:t>
      </w:r>
      <w:r w:rsidRPr="00FD07E0">
        <w:t>PLIEGO DE CONDICIONES ADMINISTRATIVAS (PCA)</w:t>
      </w:r>
      <w:bookmarkEnd w:id="7"/>
      <w:bookmarkEnd w:id="8"/>
    </w:p>
    <w:p w14:paraId="764A1754" w14:textId="77777777" w:rsidR="007F2C68" w:rsidRPr="004D631B" w:rsidRDefault="007F2C68" w:rsidP="000F5C7C">
      <w:pPr>
        <w:pStyle w:val="T0"/>
        <w:outlineLvl w:val="0"/>
      </w:pPr>
      <w:bookmarkStart w:id="9" w:name="CAP_1"/>
      <w:bookmarkStart w:id="10" w:name="_Toc468287957"/>
      <w:bookmarkStart w:id="11" w:name="_Toc496266550"/>
      <w:bookmarkEnd w:id="9"/>
      <w:r>
        <w:t xml:space="preserve">CAPÍTULO I: </w:t>
      </w:r>
      <w:r w:rsidRPr="004D631B">
        <w:t>DISPOSICIONES GENERALES</w:t>
      </w:r>
      <w:bookmarkEnd w:id="10"/>
      <w:bookmarkEnd w:id="11"/>
    </w:p>
    <w:p w14:paraId="136DDC97" w14:textId="77777777" w:rsidR="007F2C68" w:rsidRPr="00FD07E0" w:rsidRDefault="007F2C68" w:rsidP="009A58E0">
      <w:pPr>
        <w:pStyle w:val="T1"/>
        <w:numPr>
          <w:ilvl w:val="0"/>
          <w:numId w:val="90"/>
        </w:numPr>
        <w:outlineLvl w:val="2"/>
      </w:pPr>
      <w:bookmarkStart w:id="12" w:name="Lit_1"/>
      <w:bookmarkStart w:id="13" w:name="_Toc468287958"/>
      <w:bookmarkStart w:id="14" w:name="_Toc496266551"/>
      <w:bookmarkEnd w:id="12"/>
      <w:r w:rsidRPr="00FD07E0">
        <w:t>ADMINISTRACIÓN PÚBLICA CONTRATANTE</w:t>
      </w:r>
      <w:bookmarkEnd w:id="13"/>
      <w:bookmarkEnd w:id="14"/>
    </w:p>
    <w:p w14:paraId="78B4560F"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Pr>
          <w:rFonts w:ascii="Arial" w:hAnsi="Arial" w:cs="Arial"/>
          <w:sz w:val="20"/>
          <w:szCs w:val="20"/>
          <w:lang w:val="es-UY"/>
        </w:rPr>
        <w:t xml:space="preserve">La Contratante </w:t>
      </w:r>
      <w:r w:rsidRPr="00EF37C1">
        <w:rPr>
          <w:rFonts w:ascii="Arial" w:hAnsi="Arial" w:cs="Arial"/>
          <w:sz w:val="20"/>
          <w:szCs w:val="20"/>
          <w:lang w:val="es-UY"/>
        </w:rPr>
        <w:t>es el Ministerio de Transporte y Obras Públicas</w:t>
      </w:r>
      <w:r w:rsidR="00B14DCC">
        <w:rPr>
          <w:rFonts w:ascii="Arial" w:hAnsi="Arial" w:cs="Arial"/>
          <w:sz w:val="20"/>
          <w:szCs w:val="20"/>
          <w:lang w:val="es-UY"/>
        </w:rPr>
        <w:t xml:space="preserve"> </w:t>
      </w:r>
      <w:r w:rsidRPr="00EF37C1">
        <w:rPr>
          <w:rFonts w:ascii="Arial" w:hAnsi="Arial" w:cs="Arial"/>
          <w:sz w:val="20"/>
          <w:szCs w:val="20"/>
          <w:lang w:val="es-UY"/>
        </w:rPr>
        <w:t>(en adelante “la Contratante” o “MTOP”), actuando como Unidad Ejecutora la Dirección Nacional de Vialidad (en adelante “DNV”).</w:t>
      </w:r>
    </w:p>
    <w:p w14:paraId="3956690C" w14:textId="77777777" w:rsidR="002536DD" w:rsidRPr="009D43CA" w:rsidRDefault="007F2C68" w:rsidP="009A58E0">
      <w:pPr>
        <w:pStyle w:val="T1"/>
        <w:numPr>
          <w:ilvl w:val="0"/>
          <w:numId w:val="90"/>
        </w:numPr>
        <w:outlineLvl w:val="2"/>
      </w:pPr>
      <w:bookmarkStart w:id="15" w:name="Lit_2"/>
      <w:bookmarkStart w:id="16" w:name="_Toc468287959"/>
      <w:bookmarkStart w:id="17" w:name="_Toc496266552"/>
      <w:bookmarkEnd w:id="15"/>
      <w:r w:rsidRPr="009D43CA">
        <w:t>OBJETO DE LA CONTRATACIÓN</w:t>
      </w:r>
      <w:bookmarkEnd w:id="16"/>
      <w:bookmarkEnd w:id="17"/>
    </w:p>
    <w:p w14:paraId="4308C4E8" w14:textId="77CF1D9F" w:rsidR="007F2C68" w:rsidRPr="00E61CFA" w:rsidRDefault="007F2C68" w:rsidP="007F2C68">
      <w:pPr>
        <w:autoSpaceDE w:val="0"/>
        <w:autoSpaceDN w:val="0"/>
        <w:adjustRightInd w:val="0"/>
        <w:spacing w:before="120" w:after="0"/>
        <w:jc w:val="both"/>
        <w:rPr>
          <w:rFonts w:ascii="Arial" w:hAnsi="Arial"/>
          <w:sz w:val="20"/>
          <w:lang w:val="es-UY"/>
        </w:rPr>
      </w:pPr>
      <w:r w:rsidRPr="00EF37C1">
        <w:rPr>
          <w:rFonts w:ascii="Arial" w:hAnsi="Arial" w:cs="Arial"/>
          <w:sz w:val="20"/>
          <w:szCs w:val="20"/>
          <w:lang w:val="es-UY"/>
        </w:rPr>
        <w:t xml:space="preserve">El presente pliego recoge las condiciones administrativas que regirán la contratación cuyo objeto consiste en el diseño, construcción, operación (que comprende la explotación y el mantenimiento), y financiamiento de la infraestructura vial dentro de la faja de dominio público, en tramos </w:t>
      </w:r>
      <w:r w:rsidRPr="00810BB5">
        <w:rPr>
          <w:rFonts w:ascii="Arial" w:hAnsi="Arial" w:cs="Arial"/>
          <w:sz w:val="20"/>
          <w:szCs w:val="20"/>
          <w:lang w:val="es-UY"/>
        </w:rPr>
        <w:t xml:space="preserve">de </w:t>
      </w:r>
      <w:r w:rsidR="00A314F1" w:rsidRPr="00810BB5">
        <w:rPr>
          <w:rFonts w:ascii="Arial" w:hAnsi="Arial" w:cs="Arial"/>
          <w:sz w:val="20"/>
          <w:szCs w:val="20"/>
          <w:lang w:val="es-UY"/>
        </w:rPr>
        <w:t xml:space="preserve">la </w:t>
      </w:r>
      <w:r w:rsidR="00A314F1" w:rsidRPr="000A1910">
        <w:rPr>
          <w:rFonts w:ascii="Arial" w:hAnsi="Arial" w:cs="Arial"/>
          <w:sz w:val="20"/>
          <w:szCs w:val="20"/>
          <w:lang w:val="es-UY"/>
        </w:rPr>
        <w:t xml:space="preserve">Ruta </w:t>
      </w:r>
      <w:r w:rsidR="00466A14" w:rsidRPr="000A1910">
        <w:rPr>
          <w:rFonts w:ascii="Arial" w:hAnsi="Arial" w:cs="Arial"/>
          <w:sz w:val="20"/>
          <w:szCs w:val="20"/>
          <w:lang w:val="es-UY"/>
        </w:rPr>
        <w:t>N</w:t>
      </w:r>
      <w:r w:rsidR="00A314F1" w:rsidRPr="000A1910">
        <w:rPr>
          <w:rFonts w:ascii="Arial" w:hAnsi="Arial" w:cs="Arial"/>
          <w:sz w:val="20"/>
          <w:szCs w:val="20"/>
          <w:lang w:val="es-UY"/>
        </w:rPr>
        <w:t>º</w:t>
      </w:r>
      <w:r w:rsidR="00F961B7" w:rsidRPr="000A1910">
        <w:rPr>
          <w:rFonts w:ascii="Arial" w:hAnsi="Arial" w:cs="Arial"/>
          <w:sz w:val="20"/>
          <w:szCs w:val="20"/>
          <w:lang w:val="es-UY"/>
        </w:rPr>
        <w:t>6</w:t>
      </w:r>
      <w:r w:rsidR="00A314F1" w:rsidRPr="00810BB5">
        <w:rPr>
          <w:rFonts w:ascii="Arial" w:hAnsi="Arial" w:cs="Arial"/>
          <w:sz w:val="20"/>
          <w:szCs w:val="20"/>
          <w:lang w:val="es-UY"/>
        </w:rPr>
        <w:t>,</w:t>
      </w:r>
      <w:r w:rsidR="007E3226" w:rsidRPr="00810BB5">
        <w:rPr>
          <w:rFonts w:ascii="Arial" w:hAnsi="Arial" w:cs="Arial"/>
          <w:sz w:val="20"/>
          <w:szCs w:val="20"/>
          <w:lang w:val="es-UY"/>
        </w:rPr>
        <w:t xml:space="preserve"> de</w:t>
      </w:r>
      <w:r w:rsidR="007E3226" w:rsidRPr="007E3226">
        <w:rPr>
          <w:rFonts w:ascii="Arial" w:hAnsi="Arial" w:cs="Arial"/>
          <w:sz w:val="20"/>
          <w:szCs w:val="20"/>
          <w:lang w:val="es-UY"/>
        </w:rPr>
        <w:t xml:space="preserve"> los empalmes, los puentes y las correcciones geométricas que se </w:t>
      </w:r>
      <w:r w:rsidR="007E3226">
        <w:rPr>
          <w:rFonts w:ascii="Arial" w:hAnsi="Arial" w:cs="Arial"/>
          <w:sz w:val="20"/>
          <w:szCs w:val="20"/>
          <w:lang w:val="es-UY"/>
        </w:rPr>
        <w:t xml:space="preserve">detallan </w:t>
      </w:r>
      <w:r w:rsidRPr="00EF37C1">
        <w:rPr>
          <w:rFonts w:ascii="Arial" w:hAnsi="Arial" w:cs="Arial"/>
          <w:sz w:val="20"/>
          <w:szCs w:val="20"/>
          <w:lang w:val="es-UY"/>
        </w:rPr>
        <w:t xml:space="preserve">cuya descripción se encuentra definida en el </w:t>
      </w:r>
      <w:hyperlink w:anchor="A_1" w:history="1">
        <w:r w:rsidRPr="006C6C10">
          <w:rPr>
            <w:rStyle w:val="Hipervnculo"/>
            <w:rFonts w:ascii="Arial" w:hAnsi="Arial" w:cs="Arial"/>
            <w:bCs/>
            <w:sz w:val="20"/>
            <w:szCs w:val="20"/>
            <w:lang w:val="es-UY"/>
          </w:rPr>
          <w:t>Anexo I</w:t>
        </w:r>
      </w:hyperlink>
      <w:r>
        <w:rPr>
          <w:rFonts w:ascii="Arial" w:hAnsi="Arial" w:cs="Arial"/>
          <w:sz w:val="20"/>
          <w:szCs w:val="20"/>
          <w:lang w:val="es-UY"/>
        </w:rPr>
        <w:t xml:space="preserve">. </w:t>
      </w:r>
    </w:p>
    <w:p w14:paraId="379AA009" w14:textId="77777777" w:rsidR="009D28CD" w:rsidRDefault="009D28CD" w:rsidP="007F2C68">
      <w:pPr>
        <w:autoSpaceDE w:val="0"/>
        <w:autoSpaceDN w:val="0"/>
        <w:adjustRightInd w:val="0"/>
        <w:spacing w:before="120" w:after="0"/>
        <w:jc w:val="both"/>
        <w:rPr>
          <w:noProof/>
        </w:rPr>
      </w:pPr>
    </w:p>
    <w:p w14:paraId="41FA458C" w14:textId="77777777" w:rsidR="002536DD" w:rsidRDefault="009462CD" w:rsidP="002536DD">
      <w:pPr>
        <w:autoSpaceDE w:val="0"/>
        <w:autoSpaceDN w:val="0"/>
        <w:adjustRightInd w:val="0"/>
        <w:spacing w:before="120" w:after="0"/>
        <w:jc w:val="center"/>
        <w:rPr>
          <w:rFonts w:ascii="Arial" w:hAnsi="Arial" w:cs="Arial"/>
          <w:sz w:val="20"/>
          <w:szCs w:val="20"/>
          <w:lang w:val="es-UY"/>
        </w:rPr>
      </w:pPr>
      <w:r w:rsidRPr="009462CD">
        <w:rPr>
          <w:noProof/>
          <w:lang w:val="es-UY" w:eastAsia="es-UY"/>
        </w:rPr>
        <w:lastRenderedPageBreak/>
        <w:drawing>
          <wp:inline distT="0" distB="0" distL="0" distR="0" wp14:anchorId="394AE241" wp14:editId="08D69BA7">
            <wp:extent cx="4638675" cy="4660816"/>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638675" cy="4660816"/>
                    </a:xfrm>
                    <a:prstGeom prst="rect">
                      <a:avLst/>
                    </a:prstGeom>
                    <a:noFill/>
                    <a:ln>
                      <a:noFill/>
                    </a:ln>
                  </pic:spPr>
                </pic:pic>
              </a:graphicData>
            </a:graphic>
          </wp:inline>
        </w:drawing>
      </w:r>
    </w:p>
    <w:p w14:paraId="60B30019" w14:textId="77777777" w:rsidR="002536DD" w:rsidRDefault="002536DD" w:rsidP="002536DD">
      <w:pPr>
        <w:autoSpaceDE w:val="0"/>
        <w:autoSpaceDN w:val="0"/>
        <w:adjustRightInd w:val="0"/>
        <w:spacing w:before="120" w:after="0"/>
        <w:rPr>
          <w:rFonts w:ascii="Arial" w:hAnsi="Arial" w:cs="Arial"/>
          <w:sz w:val="20"/>
          <w:szCs w:val="20"/>
          <w:lang w:val="es-UY"/>
        </w:rPr>
      </w:pPr>
    </w:p>
    <w:p w14:paraId="4E17BA90" w14:textId="77777777" w:rsidR="009462CD" w:rsidRDefault="009462CD" w:rsidP="002536DD">
      <w:pPr>
        <w:autoSpaceDE w:val="0"/>
        <w:autoSpaceDN w:val="0"/>
        <w:adjustRightInd w:val="0"/>
        <w:spacing w:before="120" w:after="0"/>
        <w:rPr>
          <w:rFonts w:ascii="Arial" w:hAnsi="Arial" w:cs="Arial"/>
          <w:sz w:val="20"/>
          <w:szCs w:val="20"/>
          <w:lang w:val="es-UY"/>
        </w:rPr>
      </w:pPr>
    </w:p>
    <w:p w14:paraId="7F5D0D56" w14:textId="77777777" w:rsidR="002536DD" w:rsidRPr="00EF37C1" w:rsidRDefault="002536DD" w:rsidP="002536DD">
      <w:pPr>
        <w:autoSpaceDE w:val="0"/>
        <w:autoSpaceDN w:val="0"/>
        <w:adjustRightInd w:val="0"/>
        <w:spacing w:before="120" w:after="0"/>
        <w:rPr>
          <w:rFonts w:ascii="Arial" w:hAnsi="Arial" w:cs="Arial"/>
          <w:sz w:val="20"/>
          <w:szCs w:val="20"/>
          <w:lang w:val="es-UY"/>
        </w:rPr>
      </w:pPr>
      <w:r>
        <w:rPr>
          <w:rFonts w:ascii="Arial" w:hAnsi="Arial" w:cs="Arial"/>
          <w:sz w:val="20"/>
          <w:szCs w:val="20"/>
          <w:lang w:val="es-UY"/>
        </w:rPr>
        <w:t>El objeto del contrato incluye</w:t>
      </w:r>
      <w:r w:rsidRPr="00EF37C1">
        <w:rPr>
          <w:rFonts w:ascii="Arial" w:hAnsi="Arial" w:cs="Arial"/>
          <w:sz w:val="20"/>
          <w:szCs w:val="20"/>
          <w:lang w:val="es-UY"/>
        </w:rPr>
        <w:t>:</w:t>
      </w:r>
    </w:p>
    <w:p w14:paraId="2FD59314" w14:textId="77777777" w:rsidR="007F2C68" w:rsidRPr="00EF37C1" w:rsidRDefault="007F2C68" w:rsidP="009A58E0">
      <w:pPr>
        <w:numPr>
          <w:ilvl w:val="1"/>
          <w:numId w:val="57"/>
        </w:numPr>
        <w:spacing w:before="240" w:after="240"/>
        <w:jc w:val="both"/>
        <w:rPr>
          <w:rFonts w:ascii="Arial" w:hAnsi="Arial" w:cs="Arial"/>
          <w:sz w:val="20"/>
          <w:szCs w:val="20"/>
        </w:rPr>
      </w:pPr>
      <w:r w:rsidRPr="00EF37C1">
        <w:rPr>
          <w:rFonts w:ascii="Arial" w:hAnsi="Arial" w:cs="Arial"/>
          <w:sz w:val="20"/>
          <w:szCs w:val="20"/>
        </w:rPr>
        <w:lastRenderedPageBreak/>
        <w:t>La realización de todos los estudios, prospecciones de campo, ensayos de laboratorio, demás trabajos topográficos, geológicos, geotécnicos, hidrológicos, ambientales, así como auditorías y controles de toda índole.</w:t>
      </w:r>
    </w:p>
    <w:p w14:paraId="2F784367"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La elaboración de todos los proyectos, diseños y planes de todas las obras y tareas necesarias para llevar cada uno de los tramos desde la condición inicial en que son entregados al Contratista, a la condición exigida.</w:t>
      </w:r>
    </w:p>
    <w:p w14:paraId="33BE97CB"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 xml:space="preserve">La </w:t>
      </w:r>
      <w:r w:rsidRPr="00EF37C1">
        <w:rPr>
          <w:rFonts w:ascii="Arial" w:hAnsi="Arial" w:cs="Arial"/>
          <w:sz w:val="20"/>
          <w:szCs w:val="20"/>
          <w:lang w:val="es-UY"/>
        </w:rPr>
        <w:t>ejecución de todas las obras referidas a todos los planes, diseños y proyectos, mencionados en el punto b</w:t>
      </w:r>
      <w:r>
        <w:rPr>
          <w:rFonts w:ascii="Arial" w:hAnsi="Arial" w:cs="Arial"/>
          <w:sz w:val="20"/>
          <w:szCs w:val="20"/>
          <w:lang w:val="es-UY"/>
        </w:rPr>
        <w:t>)</w:t>
      </w:r>
      <w:r w:rsidRPr="00EF37C1">
        <w:rPr>
          <w:rFonts w:ascii="Arial" w:hAnsi="Arial" w:cs="Arial"/>
          <w:sz w:val="20"/>
          <w:szCs w:val="20"/>
          <w:lang w:val="es-UY"/>
        </w:rPr>
        <w:t xml:space="preserve"> y aprobados por la Contratante</w:t>
      </w:r>
      <w:r w:rsidRPr="00EF37C1">
        <w:rPr>
          <w:rFonts w:ascii="Arial" w:hAnsi="Arial" w:cs="Arial"/>
          <w:sz w:val="20"/>
          <w:szCs w:val="20"/>
        </w:rPr>
        <w:t>.</w:t>
      </w:r>
    </w:p>
    <w:p w14:paraId="31D20443"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 xml:space="preserve">La elaboración de los proyectos, diseños y planes de todas las obras y tareas necesarias para la operación de la totalidad de los tramos que componen el circuito. </w:t>
      </w:r>
    </w:p>
    <w:p w14:paraId="60FA5D0C" w14:textId="77777777" w:rsidR="007F2C68" w:rsidRPr="00EF37C1" w:rsidRDefault="007F2C68" w:rsidP="009A58E0">
      <w:pPr>
        <w:numPr>
          <w:ilvl w:val="1"/>
          <w:numId w:val="57"/>
        </w:numPr>
        <w:spacing w:after="240"/>
        <w:jc w:val="both"/>
        <w:rPr>
          <w:rFonts w:ascii="Arial" w:hAnsi="Arial" w:cs="Arial"/>
          <w:strike/>
          <w:sz w:val="20"/>
          <w:szCs w:val="20"/>
        </w:rPr>
      </w:pPr>
      <w:r w:rsidRPr="00EF37C1">
        <w:rPr>
          <w:rFonts w:ascii="Arial" w:hAnsi="Arial" w:cs="Arial"/>
          <w:sz w:val="20"/>
          <w:szCs w:val="20"/>
        </w:rPr>
        <w:t>La ejecución de todas las tareas de explotación y mantenimiento rutinario y extraordinario en la totalidad de los tramos que integran el circuito, referidos a</w:t>
      </w:r>
      <w:r w:rsidR="00B14DCC">
        <w:rPr>
          <w:rFonts w:ascii="Arial" w:hAnsi="Arial" w:cs="Arial"/>
          <w:sz w:val="20"/>
          <w:szCs w:val="20"/>
        </w:rPr>
        <w:t xml:space="preserve"> </w:t>
      </w:r>
      <w:r w:rsidRPr="00EF37C1">
        <w:rPr>
          <w:rFonts w:ascii="Arial" w:hAnsi="Arial" w:cs="Arial"/>
          <w:sz w:val="20"/>
          <w:szCs w:val="20"/>
          <w:lang w:val="es-UY"/>
        </w:rPr>
        <w:t>todos los planes, diseños y pro</w:t>
      </w:r>
      <w:r>
        <w:rPr>
          <w:rFonts w:ascii="Arial" w:hAnsi="Arial" w:cs="Arial"/>
          <w:sz w:val="20"/>
          <w:szCs w:val="20"/>
          <w:lang w:val="es-UY"/>
        </w:rPr>
        <w:t>yectos a que refiere el punto d)</w:t>
      </w:r>
      <w:r w:rsidRPr="00EF37C1">
        <w:rPr>
          <w:rFonts w:ascii="Arial" w:hAnsi="Arial" w:cs="Arial"/>
          <w:sz w:val="20"/>
          <w:szCs w:val="20"/>
          <w:lang w:val="es-UY"/>
        </w:rPr>
        <w:t>, aprobados por l</w:t>
      </w:r>
      <w:r w:rsidR="008F2655">
        <w:rPr>
          <w:rFonts w:ascii="Arial" w:hAnsi="Arial" w:cs="Arial"/>
          <w:sz w:val="20"/>
          <w:szCs w:val="20"/>
          <w:lang w:val="es-UY"/>
        </w:rPr>
        <w:t>a</w:t>
      </w:r>
      <w:r w:rsidRPr="00EF37C1">
        <w:rPr>
          <w:rFonts w:ascii="Arial" w:hAnsi="Arial" w:cs="Arial"/>
          <w:sz w:val="20"/>
          <w:szCs w:val="20"/>
          <w:lang w:val="es-UY"/>
        </w:rPr>
        <w:t xml:space="preserve"> </w:t>
      </w:r>
      <w:r w:rsidR="008F2655">
        <w:rPr>
          <w:rFonts w:ascii="Arial" w:hAnsi="Arial" w:cs="Arial"/>
          <w:sz w:val="20"/>
          <w:szCs w:val="20"/>
          <w:lang w:val="es-UY"/>
        </w:rPr>
        <w:t>C</w:t>
      </w:r>
      <w:r w:rsidRPr="00EF37C1">
        <w:rPr>
          <w:rFonts w:ascii="Arial" w:hAnsi="Arial" w:cs="Arial"/>
          <w:sz w:val="20"/>
          <w:szCs w:val="20"/>
          <w:lang w:val="es-UY"/>
        </w:rPr>
        <w:t>ontratante.</w:t>
      </w:r>
    </w:p>
    <w:p w14:paraId="7FD085F9"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lang w:val="es-UY"/>
        </w:rPr>
        <w:lastRenderedPageBreak/>
        <w:t xml:space="preserve"> La dirección, logística y organización del personal, insumos, equipos y todo otro ítem necesario para el diseño, la construcción y operación del circuito en la condición establecida.</w:t>
      </w:r>
    </w:p>
    <w:p w14:paraId="7DB0A1E1" w14:textId="77777777" w:rsidR="007F2C68" w:rsidRPr="00EF37C1" w:rsidRDefault="007F2C68" w:rsidP="009A58E0">
      <w:pPr>
        <w:numPr>
          <w:ilvl w:val="1"/>
          <w:numId w:val="57"/>
        </w:numPr>
        <w:spacing w:after="240"/>
        <w:jc w:val="both"/>
        <w:rPr>
          <w:rFonts w:ascii="Arial" w:hAnsi="Arial" w:cs="Arial"/>
          <w:sz w:val="20"/>
          <w:szCs w:val="20"/>
        </w:rPr>
      </w:pPr>
      <w:r w:rsidRPr="00EF37C1">
        <w:rPr>
          <w:rFonts w:ascii="Arial" w:hAnsi="Arial" w:cs="Arial"/>
          <w:sz w:val="20"/>
          <w:szCs w:val="20"/>
        </w:rPr>
        <w:t>La financiación de todos los costos derivados tanto de los estudios, del diseño, construcción y operación del circuito, así como de todos los costos derivados del cumplimiento del contrato.</w:t>
      </w:r>
    </w:p>
    <w:p w14:paraId="7C3F41D3" w14:textId="77777777" w:rsidR="007F2C68" w:rsidRDefault="007F2C68" w:rsidP="009A58E0">
      <w:pPr>
        <w:numPr>
          <w:ilvl w:val="1"/>
          <w:numId w:val="57"/>
        </w:numPr>
        <w:autoSpaceDE w:val="0"/>
        <w:autoSpaceDN w:val="0"/>
        <w:adjustRightInd w:val="0"/>
        <w:spacing w:after="0"/>
        <w:jc w:val="both"/>
        <w:rPr>
          <w:rFonts w:cs="Times New Roman"/>
        </w:rPr>
      </w:pPr>
      <w:r w:rsidRPr="00F81833">
        <w:rPr>
          <w:rFonts w:ascii="Arial" w:hAnsi="Arial" w:cs="Arial"/>
          <w:sz w:val="20"/>
          <w:szCs w:val="20"/>
        </w:rPr>
        <w:t xml:space="preserve">El cumplimiento del contrato de acuerdo a los documentos que forman parte de esta contratación. </w:t>
      </w:r>
    </w:p>
    <w:p w14:paraId="21CD3D0E" w14:textId="77777777" w:rsidR="007F2C68" w:rsidRDefault="007F2C68" w:rsidP="009A58E0">
      <w:pPr>
        <w:pStyle w:val="T1"/>
        <w:numPr>
          <w:ilvl w:val="0"/>
          <w:numId w:val="90"/>
        </w:numPr>
        <w:outlineLvl w:val="2"/>
      </w:pPr>
      <w:bookmarkStart w:id="18" w:name="_Toc468287960"/>
      <w:bookmarkStart w:id="19" w:name="_Toc496266553"/>
      <w:bookmarkStart w:id="20" w:name="Lit_3"/>
      <w:r w:rsidRPr="00613AAE">
        <w:t>NATURALEZA DEL CONTRATO Y LEGISLACIÓN APLICABLE</w:t>
      </w:r>
      <w:bookmarkEnd w:id="18"/>
      <w:bookmarkEnd w:id="19"/>
    </w:p>
    <w:p w14:paraId="59AC103C" w14:textId="77777777" w:rsidR="007F2C68" w:rsidRPr="00130788" w:rsidRDefault="007F2C68" w:rsidP="009A58E0">
      <w:pPr>
        <w:pStyle w:val="T2"/>
        <w:numPr>
          <w:ilvl w:val="1"/>
          <w:numId w:val="90"/>
        </w:numPr>
        <w:outlineLvl w:val="3"/>
      </w:pPr>
      <w:bookmarkStart w:id="21" w:name="_Toc468287961"/>
      <w:bookmarkStart w:id="22" w:name="_Toc496266554"/>
      <w:bookmarkEnd w:id="20"/>
      <w:r w:rsidRPr="00130788">
        <w:t>NATURALEZA DEL CONTRATO</w:t>
      </w:r>
      <w:bookmarkEnd w:id="21"/>
      <w:bookmarkEnd w:id="22"/>
    </w:p>
    <w:p w14:paraId="38F7B8F2"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El contrato de referencia se enmarca dentro de los contratos de “Participación</w:t>
      </w:r>
      <w:r w:rsidR="00B14DCC">
        <w:rPr>
          <w:rFonts w:ascii="Arial" w:hAnsi="Arial" w:cs="Arial"/>
          <w:sz w:val="20"/>
          <w:szCs w:val="20"/>
          <w:lang w:val="es-UY"/>
        </w:rPr>
        <w:t xml:space="preserve"> </w:t>
      </w:r>
      <w:r w:rsidRPr="00EF37C1">
        <w:rPr>
          <w:rFonts w:ascii="Arial" w:hAnsi="Arial" w:cs="Arial"/>
          <w:sz w:val="20"/>
          <w:szCs w:val="20"/>
          <w:lang w:val="es-UY"/>
        </w:rPr>
        <w:t>Público – Privada” (en adelante “contrato” o “contrato de PPP”).</w:t>
      </w:r>
    </w:p>
    <w:p w14:paraId="127EEC04" w14:textId="77777777" w:rsidR="007F2C68" w:rsidRPr="00806C71" w:rsidRDefault="007F2C68" w:rsidP="009A58E0">
      <w:pPr>
        <w:pStyle w:val="T2"/>
        <w:numPr>
          <w:ilvl w:val="1"/>
          <w:numId w:val="90"/>
        </w:numPr>
        <w:outlineLvl w:val="3"/>
      </w:pPr>
      <w:bookmarkStart w:id="23" w:name="_Toc468287962"/>
      <w:bookmarkStart w:id="24" w:name="_Toc496266555"/>
      <w:bookmarkStart w:id="25" w:name="_GoBack"/>
      <w:bookmarkEnd w:id="25"/>
      <w:r w:rsidRPr="000306A4">
        <w:lastRenderedPageBreak/>
        <w:t>RÉGIMEN JURÍDICO</w:t>
      </w:r>
      <w:bookmarkEnd w:id="23"/>
      <w:bookmarkEnd w:id="24"/>
    </w:p>
    <w:p w14:paraId="2A310F99"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La presente contratación se regirá en cuanto a su preparación, adjudicación, efectos, ejecución y extinción por:</w:t>
      </w:r>
    </w:p>
    <w:p w14:paraId="373038A0" w14:textId="77777777" w:rsidR="007F2C68" w:rsidRPr="00EF37C1" w:rsidRDefault="007F2C68" w:rsidP="009A58E0">
      <w:pPr>
        <w:numPr>
          <w:ilvl w:val="0"/>
          <w:numId w:val="13"/>
        </w:numPr>
        <w:autoSpaceDE w:val="0"/>
        <w:autoSpaceDN w:val="0"/>
        <w:adjustRightInd w:val="0"/>
        <w:spacing w:before="240" w:after="0" w:line="360" w:lineRule="auto"/>
        <w:jc w:val="both"/>
        <w:rPr>
          <w:rFonts w:ascii="Arial" w:hAnsi="Arial" w:cs="Arial"/>
          <w:snapToGrid w:val="0"/>
          <w:sz w:val="20"/>
          <w:szCs w:val="20"/>
          <w:lang w:val="es-UY"/>
        </w:rPr>
      </w:pPr>
      <w:r w:rsidRPr="00EF37C1">
        <w:rPr>
          <w:rFonts w:ascii="Arial" w:hAnsi="Arial" w:cs="Arial"/>
          <w:sz w:val="20"/>
          <w:szCs w:val="20"/>
          <w:lang w:val="es-UY"/>
        </w:rPr>
        <w:t>Pliego de Condiciones, compuesto por el Pliego de Condiciones Administrativas (PCA)</w:t>
      </w:r>
      <w:r w:rsidR="00B14DCC">
        <w:rPr>
          <w:rFonts w:ascii="Arial" w:hAnsi="Arial" w:cs="Arial"/>
          <w:sz w:val="20"/>
          <w:szCs w:val="20"/>
          <w:lang w:val="es-UY"/>
        </w:rPr>
        <w:t xml:space="preserve"> </w:t>
      </w:r>
      <w:r w:rsidRPr="00EF37C1">
        <w:rPr>
          <w:rFonts w:ascii="Arial" w:hAnsi="Arial" w:cs="Arial"/>
          <w:sz w:val="20"/>
          <w:szCs w:val="20"/>
          <w:lang w:val="es-UY"/>
        </w:rPr>
        <w:t>y Pliego de Condiciones Técnicas (PCT),</w:t>
      </w:r>
    </w:p>
    <w:p w14:paraId="4FF91602" w14:textId="77777777" w:rsidR="007F2C68" w:rsidRPr="00EF37C1"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Ley de “Contratos de Participación Público Privada” Nº </w:t>
      </w:r>
      <w:hyperlink r:id="rId16" w:history="1">
        <w:r w:rsidRPr="0008361B">
          <w:rPr>
            <w:rStyle w:val="Hipervnculo"/>
            <w:rFonts w:ascii="Arial" w:hAnsi="Arial" w:cs="Arial"/>
            <w:sz w:val="20"/>
            <w:szCs w:val="20"/>
            <w:lang w:val="es-UY"/>
          </w:rPr>
          <w:t>18.786</w:t>
        </w:r>
      </w:hyperlink>
      <w:r w:rsidRPr="00EF37C1">
        <w:rPr>
          <w:rFonts w:ascii="Arial" w:hAnsi="Arial" w:cs="Arial"/>
          <w:sz w:val="20"/>
          <w:szCs w:val="20"/>
          <w:lang w:val="es-UY"/>
        </w:rPr>
        <w:t xml:space="preserve"> (en adelante LCPPP), </w:t>
      </w:r>
    </w:p>
    <w:p w14:paraId="21CE3A4C" w14:textId="77777777" w:rsidR="007F2C68" w:rsidRPr="00EF37C1"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Decreto Reglamentario de la LCPPP Nº </w:t>
      </w:r>
      <w:hyperlink r:id="rId17" w:history="1">
        <w:r w:rsidRPr="0008361B">
          <w:rPr>
            <w:rStyle w:val="Hipervnculo"/>
            <w:rFonts w:ascii="Arial" w:hAnsi="Arial" w:cs="Arial"/>
            <w:sz w:val="20"/>
            <w:szCs w:val="20"/>
            <w:lang w:val="es-UY"/>
          </w:rPr>
          <w:t>17/012</w:t>
        </w:r>
      </w:hyperlink>
      <w:r w:rsidRPr="00EF37C1">
        <w:rPr>
          <w:rFonts w:ascii="Arial" w:hAnsi="Arial" w:cs="Arial"/>
          <w:sz w:val="20"/>
          <w:szCs w:val="20"/>
          <w:lang w:val="es-UY"/>
        </w:rPr>
        <w:t>, de fecha 26 de enero de 2012.</w:t>
      </w:r>
    </w:p>
    <w:p w14:paraId="7F9F3AD7" w14:textId="77777777" w:rsidR="007F2C68" w:rsidRPr="00897CD8"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sidRPr="00EF37C1">
        <w:rPr>
          <w:rFonts w:ascii="Arial" w:hAnsi="Arial" w:cs="Arial"/>
          <w:sz w:val="20"/>
          <w:szCs w:val="20"/>
          <w:lang w:val="es-UY"/>
        </w:rPr>
        <w:t xml:space="preserve">Decreto Reglamentario de la LCPPP Nº </w:t>
      </w:r>
      <w:hyperlink r:id="rId18" w:history="1">
        <w:r w:rsidRPr="0008361B">
          <w:rPr>
            <w:rStyle w:val="Hipervnculo"/>
            <w:rFonts w:ascii="Arial" w:hAnsi="Arial" w:cs="Arial"/>
            <w:sz w:val="20"/>
            <w:szCs w:val="20"/>
            <w:lang w:val="es-UY"/>
          </w:rPr>
          <w:t>280/012</w:t>
        </w:r>
      </w:hyperlink>
      <w:r w:rsidRPr="00EF37C1">
        <w:rPr>
          <w:rFonts w:ascii="Arial" w:hAnsi="Arial" w:cs="Arial"/>
          <w:sz w:val="20"/>
          <w:szCs w:val="20"/>
          <w:lang w:val="es-UY"/>
        </w:rPr>
        <w:t>, de fecha 24 de agosto de 2012.</w:t>
      </w:r>
    </w:p>
    <w:p w14:paraId="1AA14404" w14:textId="77777777" w:rsidR="007F2C68" w:rsidRPr="00574175" w:rsidRDefault="007F2C68"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19" w:history="1">
        <w:r w:rsidRPr="0008361B">
          <w:rPr>
            <w:rStyle w:val="Hipervnculo"/>
            <w:rFonts w:ascii="Arial" w:hAnsi="Arial" w:cs="Arial"/>
            <w:sz w:val="20"/>
            <w:szCs w:val="20"/>
            <w:lang w:val="es-UY"/>
          </w:rPr>
          <w:t>045/013</w:t>
        </w:r>
      </w:hyperlink>
      <w:r>
        <w:rPr>
          <w:rFonts w:ascii="Arial" w:hAnsi="Arial" w:cs="Arial"/>
          <w:sz w:val="20"/>
          <w:szCs w:val="20"/>
          <w:lang w:val="es-UY"/>
        </w:rPr>
        <w:t>, de fecha 06 de febrero de 2013.</w:t>
      </w:r>
    </w:p>
    <w:p w14:paraId="37BB154F" w14:textId="77777777" w:rsidR="00574175" w:rsidRPr="00574175" w:rsidRDefault="00574175"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0" w:history="1">
        <w:r w:rsidRPr="00375150">
          <w:rPr>
            <w:rStyle w:val="Hipervnculo"/>
            <w:rFonts w:ascii="Arial" w:hAnsi="Arial" w:cs="Arial"/>
            <w:sz w:val="20"/>
            <w:szCs w:val="20"/>
            <w:lang w:val="es-UY"/>
          </w:rPr>
          <w:t>075/015</w:t>
        </w:r>
      </w:hyperlink>
      <w:r>
        <w:rPr>
          <w:rFonts w:ascii="Arial" w:hAnsi="Arial" w:cs="Arial"/>
          <w:sz w:val="20"/>
          <w:szCs w:val="20"/>
          <w:lang w:val="es-UY"/>
        </w:rPr>
        <w:t>, de fecha 26 de febrero de 2015.</w:t>
      </w:r>
    </w:p>
    <w:p w14:paraId="1F2D58F5" w14:textId="77777777" w:rsidR="00574175" w:rsidRPr="008121F6" w:rsidRDefault="00574175"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lastRenderedPageBreak/>
        <w:t xml:space="preserve">Decreto Reglamentario de la LCPPP Nº </w:t>
      </w:r>
      <w:hyperlink r:id="rId21" w:history="1">
        <w:r w:rsidRPr="00375150">
          <w:rPr>
            <w:rStyle w:val="Hipervnculo"/>
            <w:rFonts w:ascii="Arial" w:hAnsi="Arial" w:cs="Arial"/>
            <w:sz w:val="20"/>
            <w:szCs w:val="20"/>
            <w:lang w:val="es-UY"/>
          </w:rPr>
          <w:t>181/015</w:t>
        </w:r>
      </w:hyperlink>
      <w:r>
        <w:rPr>
          <w:rFonts w:ascii="Arial" w:hAnsi="Arial" w:cs="Arial"/>
          <w:sz w:val="20"/>
          <w:szCs w:val="20"/>
          <w:lang w:val="es-UY"/>
        </w:rPr>
        <w:t>, de fecha 06 de julio de 2015.</w:t>
      </w:r>
    </w:p>
    <w:p w14:paraId="29BA8001" w14:textId="77777777" w:rsidR="008121F6" w:rsidRPr="00EF37C1" w:rsidRDefault="008121F6" w:rsidP="009A58E0">
      <w:pPr>
        <w:numPr>
          <w:ilvl w:val="0"/>
          <w:numId w:val="13"/>
        </w:numPr>
        <w:autoSpaceDE w:val="0"/>
        <w:autoSpaceDN w:val="0"/>
        <w:adjustRightInd w:val="0"/>
        <w:spacing w:after="0" w:line="360" w:lineRule="auto"/>
        <w:jc w:val="both"/>
        <w:rPr>
          <w:rFonts w:ascii="Arial" w:hAnsi="Arial" w:cs="Arial"/>
          <w:snapToGrid w:val="0"/>
          <w:sz w:val="20"/>
          <w:szCs w:val="20"/>
          <w:lang w:val="es-UY"/>
        </w:rPr>
      </w:pPr>
      <w:r>
        <w:rPr>
          <w:rFonts w:ascii="Arial" w:hAnsi="Arial" w:cs="Arial"/>
          <w:sz w:val="20"/>
          <w:szCs w:val="20"/>
          <w:lang w:val="es-UY"/>
        </w:rPr>
        <w:t xml:space="preserve">Decreto Reglamentario de la LCPPP Nº </w:t>
      </w:r>
      <w:hyperlink r:id="rId22" w:history="1">
        <w:r w:rsidRPr="0008361B">
          <w:rPr>
            <w:rStyle w:val="Hipervnculo"/>
            <w:rFonts w:ascii="Arial" w:hAnsi="Arial" w:cs="Arial"/>
            <w:sz w:val="20"/>
            <w:szCs w:val="20"/>
            <w:lang w:val="es-UY"/>
          </w:rPr>
          <w:t>251/015</w:t>
        </w:r>
      </w:hyperlink>
      <w:r>
        <w:rPr>
          <w:rFonts w:ascii="Arial" w:hAnsi="Arial" w:cs="Arial"/>
          <w:sz w:val="20"/>
          <w:szCs w:val="20"/>
          <w:lang w:val="es-UY"/>
        </w:rPr>
        <w:t>, de fecha 14 de setiembre de 2015.</w:t>
      </w:r>
    </w:p>
    <w:p w14:paraId="72CD6766" w14:textId="77777777" w:rsidR="007F2C68" w:rsidRPr="00EF37C1" w:rsidRDefault="007F2C68" w:rsidP="007F2C68">
      <w:pPr>
        <w:spacing w:before="120" w:after="240"/>
        <w:rPr>
          <w:rFonts w:ascii="Arial" w:hAnsi="Arial" w:cs="Arial"/>
          <w:sz w:val="18"/>
          <w:szCs w:val="18"/>
          <w:lang w:val="es-ES_tradnl" w:eastAsia="es-ES"/>
        </w:rPr>
      </w:pPr>
      <w:r w:rsidRPr="00EF37C1">
        <w:rPr>
          <w:rFonts w:ascii="Arial" w:hAnsi="Arial" w:cs="Arial"/>
          <w:sz w:val="20"/>
          <w:szCs w:val="20"/>
          <w:lang w:val="es-UY"/>
        </w:rPr>
        <w:t>Forman parte de los documentos para la presente licitación, las siguientes disposiciones:</w:t>
      </w:r>
    </w:p>
    <w:p w14:paraId="4D04A75E"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Leyes, Decretos, Resoluciones del Poder Ejecutivo, reglamentos y ordenanzas municipales vigentes a la fecha de apertura de la licitación.</w:t>
      </w:r>
    </w:p>
    <w:p w14:paraId="4695AFF8" w14:textId="77777777" w:rsidR="007F2C68" w:rsidRPr="00B92463" w:rsidRDefault="007F2C68" w:rsidP="009A58E0">
      <w:pPr>
        <w:numPr>
          <w:ilvl w:val="0"/>
          <w:numId w:val="12"/>
        </w:numPr>
        <w:spacing w:after="0" w:line="360" w:lineRule="auto"/>
        <w:jc w:val="both"/>
        <w:rPr>
          <w:rFonts w:ascii="Arial" w:hAnsi="Arial" w:cs="Arial"/>
          <w:snapToGrid w:val="0"/>
          <w:sz w:val="20"/>
          <w:szCs w:val="20"/>
          <w:lang w:val="es-UY"/>
        </w:rPr>
      </w:pPr>
      <w:r w:rsidRPr="00B92463">
        <w:rPr>
          <w:rFonts w:ascii="Arial" w:hAnsi="Arial" w:cs="Arial"/>
          <w:snapToGrid w:val="0"/>
          <w:sz w:val="20"/>
          <w:szCs w:val="20"/>
          <w:lang w:val="es-UY"/>
        </w:rPr>
        <w:t>Pliego de Condiciones Generales para la Construcción de Obras Públicas, designado en</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adelante Pliego General o PG,</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 xml:space="preserve">aprobado por Decreto Nº </w:t>
      </w:r>
      <w:hyperlink r:id="rId23" w:history="1">
        <w:r w:rsidRPr="00B92463">
          <w:rPr>
            <w:rStyle w:val="Hipervnculo"/>
            <w:rFonts w:ascii="Arial" w:hAnsi="Arial" w:cs="Arial"/>
            <w:snapToGrid w:val="0"/>
            <w:sz w:val="20"/>
            <w:szCs w:val="20"/>
            <w:lang w:val="es-UY"/>
          </w:rPr>
          <w:t>8/990</w:t>
        </w:r>
      </w:hyperlink>
      <w:r w:rsidRPr="00B92463">
        <w:rPr>
          <w:rFonts w:ascii="Arial" w:hAnsi="Arial" w:cs="Arial"/>
          <w:snapToGrid w:val="0"/>
          <w:sz w:val="20"/>
          <w:szCs w:val="20"/>
          <w:lang w:val="es-UY"/>
        </w:rPr>
        <w:t xml:space="preserve"> de 24 de enero de</w:t>
      </w:r>
      <w:r w:rsidR="00B641B7">
        <w:rPr>
          <w:rFonts w:ascii="Arial" w:hAnsi="Arial" w:cs="Arial"/>
          <w:snapToGrid w:val="0"/>
          <w:sz w:val="20"/>
          <w:szCs w:val="20"/>
          <w:lang w:val="es-UY"/>
        </w:rPr>
        <w:t xml:space="preserve"> </w:t>
      </w:r>
      <w:r w:rsidRPr="00B92463">
        <w:rPr>
          <w:rFonts w:ascii="Arial" w:hAnsi="Arial" w:cs="Arial"/>
          <w:snapToGrid w:val="0"/>
          <w:sz w:val="20"/>
          <w:szCs w:val="20"/>
          <w:lang w:val="es-UY"/>
        </w:rPr>
        <w:t>1990, concordantes y modificativos y sustitutivos.</w:t>
      </w:r>
      <w:r w:rsidR="00C5672F">
        <w:rPr>
          <w:rFonts w:ascii="Arial" w:hAnsi="Arial" w:cs="Arial"/>
          <w:snapToGrid w:val="0"/>
          <w:sz w:val="20"/>
          <w:szCs w:val="20"/>
          <w:lang w:val="es-UY"/>
        </w:rPr>
        <w:t xml:space="preserve"> </w:t>
      </w:r>
    </w:p>
    <w:p w14:paraId="778C895E" w14:textId="77777777" w:rsidR="007F2C68" w:rsidRPr="00C5672F" w:rsidRDefault="007F2C68" w:rsidP="009A58E0">
      <w:pPr>
        <w:numPr>
          <w:ilvl w:val="0"/>
          <w:numId w:val="12"/>
        </w:numPr>
        <w:spacing w:after="0" w:line="360" w:lineRule="auto"/>
        <w:jc w:val="both"/>
        <w:rPr>
          <w:rFonts w:ascii="Arial" w:hAnsi="Arial" w:cs="Arial"/>
          <w:snapToGrid w:val="0"/>
          <w:sz w:val="20"/>
          <w:szCs w:val="20"/>
          <w:lang w:val="es-UY"/>
        </w:rPr>
      </w:pPr>
      <w:r w:rsidRPr="00C5672F">
        <w:rPr>
          <w:rFonts w:ascii="Arial" w:hAnsi="Arial" w:cs="Arial"/>
          <w:snapToGrid w:val="0"/>
          <w:sz w:val="20"/>
          <w:szCs w:val="20"/>
          <w:lang w:val="es-UY"/>
        </w:rPr>
        <w:t xml:space="preserve">Pliego de Condiciones de la DNV para la Construcción de Puentes y Carreteras, designado en adelante PV, aprobado por Decreto Nº </w:t>
      </w:r>
      <w:hyperlink r:id="rId24" w:history="1">
        <w:r w:rsidRPr="00C5672F">
          <w:rPr>
            <w:rStyle w:val="Hipervnculo"/>
            <w:rFonts w:ascii="Arial" w:hAnsi="Arial" w:cs="Arial"/>
            <w:snapToGrid w:val="0"/>
            <w:sz w:val="20"/>
            <w:szCs w:val="20"/>
            <w:lang w:val="es-UY"/>
          </w:rPr>
          <w:t>9/990</w:t>
        </w:r>
      </w:hyperlink>
      <w:r w:rsidRPr="00C5672F">
        <w:rPr>
          <w:rFonts w:ascii="Arial" w:hAnsi="Arial" w:cs="Arial"/>
          <w:snapToGrid w:val="0"/>
          <w:sz w:val="20"/>
          <w:szCs w:val="20"/>
          <w:lang w:val="es-UY"/>
        </w:rPr>
        <w:t xml:space="preserve"> de 24 de enero de 1990, concordantes y modificativos y sustitutivos.</w:t>
      </w:r>
    </w:p>
    <w:p w14:paraId="657ED7E7" w14:textId="77777777" w:rsidR="007F2C68" w:rsidRPr="00C5672F" w:rsidRDefault="007F2C68" w:rsidP="009A58E0">
      <w:pPr>
        <w:numPr>
          <w:ilvl w:val="0"/>
          <w:numId w:val="12"/>
        </w:numPr>
        <w:spacing w:after="0" w:line="360" w:lineRule="auto"/>
        <w:jc w:val="both"/>
        <w:rPr>
          <w:rFonts w:ascii="Arial" w:hAnsi="Arial" w:cs="Arial"/>
          <w:snapToGrid w:val="0"/>
          <w:sz w:val="20"/>
          <w:szCs w:val="20"/>
          <w:lang w:val="es-UY"/>
        </w:rPr>
      </w:pPr>
      <w:r w:rsidRPr="00C5672F">
        <w:rPr>
          <w:rFonts w:ascii="Arial" w:hAnsi="Arial" w:cs="Arial"/>
          <w:snapToGrid w:val="0"/>
          <w:sz w:val="20"/>
          <w:szCs w:val="20"/>
          <w:lang w:val="es-UY"/>
        </w:rPr>
        <w:lastRenderedPageBreak/>
        <w:t>Especificaciones Técnicas Complementarias y/o Modificativas del Pliego de Condiciones para la Construcción de Puentes y Carreteras de la Dirección Nacional de</w:t>
      </w:r>
      <w:r w:rsidR="00B14DCC" w:rsidRPr="00C5672F">
        <w:rPr>
          <w:rFonts w:ascii="Arial" w:hAnsi="Arial" w:cs="Arial"/>
          <w:snapToGrid w:val="0"/>
          <w:sz w:val="20"/>
          <w:szCs w:val="20"/>
          <w:lang w:val="es-UY"/>
        </w:rPr>
        <w:t xml:space="preserve"> </w:t>
      </w:r>
      <w:r w:rsidRPr="00C5672F">
        <w:rPr>
          <w:rFonts w:ascii="Arial" w:hAnsi="Arial" w:cs="Arial"/>
          <w:snapToGrid w:val="0"/>
          <w:sz w:val="20"/>
          <w:szCs w:val="20"/>
          <w:lang w:val="es-UY"/>
        </w:rPr>
        <w:t>Vialidad,</w:t>
      </w:r>
      <w:r w:rsidR="00B14DCC" w:rsidRPr="00C5672F">
        <w:rPr>
          <w:rFonts w:ascii="Arial" w:hAnsi="Arial" w:cs="Arial"/>
          <w:snapToGrid w:val="0"/>
          <w:sz w:val="20"/>
          <w:szCs w:val="20"/>
          <w:lang w:val="es-UY"/>
        </w:rPr>
        <w:t xml:space="preserve"> </w:t>
      </w:r>
      <w:r w:rsidRPr="00C5672F">
        <w:rPr>
          <w:rFonts w:ascii="Arial" w:hAnsi="Arial" w:cs="Arial"/>
          <w:snapToGrid w:val="0"/>
          <w:sz w:val="20"/>
          <w:szCs w:val="20"/>
          <w:lang w:val="es-UY"/>
        </w:rPr>
        <w:t>del Ministerio de Transporte y Obras Públicas, en la versión vigente a la fecha del llamado designado en adelante ETCM.</w:t>
      </w:r>
    </w:p>
    <w:p w14:paraId="4E2DA364"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CB504D">
        <w:rPr>
          <w:rFonts w:ascii="Arial" w:hAnsi="Arial" w:cs="Arial"/>
          <w:snapToGrid w:val="0"/>
          <w:sz w:val="20"/>
          <w:szCs w:val="20"/>
          <w:lang w:val="es-UY"/>
        </w:rPr>
        <w:t>Enmiendas, aclaraciones o comunicados efectuados</w:t>
      </w:r>
      <w:r w:rsidRPr="00EF37C1">
        <w:rPr>
          <w:rFonts w:ascii="Arial" w:hAnsi="Arial" w:cs="Arial"/>
          <w:snapToGrid w:val="0"/>
          <w:sz w:val="20"/>
          <w:szCs w:val="20"/>
          <w:lang w:val="es-UY"/>
        </w:rPr>
        <w:t xml:space="preserve"> por </w:t>
      </w:r>
      <w:r>
        <w:rPr>
          <w:rFonts w:ascii="Arial" w:hAnsi="Arial" w:cs="Arial"/>
          <w:snapToGrid w:val="0"/>
          <w:sz w:val="20"/>
          <w:szCs w:val="20"/>
          <w:lang w:val="es-UY"/>
        </w:rPr>
        <w:t xml:space="preserve">la Contratante </w:t>
      </w:r>
      <w:r w:rsidRPr="00EF37C1">
        <w:rPr>
          <w:rFonts w:ascii="Arial" w:hAnsi="Arial" w:cs="Arial"/>
          <w:snapToGrid w:val="0"/>
          <w:sz w:val="20"/>
          <w:szCs w:val="20"/>
          <w:lang w:val="es-UY"/>
        </w:rPr>
        <w:t>relativa al proyecto, durante el plazo del llamado a licitación.</w:t>
      </w:r>
    </w:p>
    <w:p w14:paraId="47E21170" w14:textId="77777777" w:rsidR="007F2C68" w:rsidRPr="00EF37C1"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La propuesta formulada por el Contratista.</w:t>
      </w:r>
    </w:p>
    <w:p w14:paraId="46C3D4EC" w14:textId="77777777" w:rsidR="007F2C68" w:rsidRDefault="007F2C68" w:rsidP="009A58E0">
      <w:pPr>
        <w:numPr>
          <w:ilvl w:val="0"/>
          <w:numId w:val="12"/>
        </w:numPr>
        <w:spacing w:after="0" w:line="360" w:lineRule="auto"/>
        <w:jc w:val="both"/>
        <w:rPr>
          <w:rFonts w:ascii="Arial" w:hAnsi="Arial" w:cs="Arial"/>
          <w:snapToGrid w:val="0"/>
          <w:sz w:val="20"/>
          <w:szCs w:val="20"/>
          <w:lang w:val="es-UY"/>
        </w:rPr>
      </w:pPr>
      <w:r w:rsidRPr="00EF37C1">
        <w:rPr>
          <w:rFonts w:ascii="Arial" w:hAnsi="Arial" w:cs="Arial"/>
          <w:snapToGrid w:val="0"/>
          <w:sz w:val="20"/>
          <w:szCs w:val="20"/>
          <w:lang w:val="es-UY"/>
        </w:rPr>
        <w:t>Manuales e Instructivos:</w:t>
      </w:r>
    </w:p>
    <w:p w14:paraId="61CC3667" w14:textId="77777777" w:rsidR="007F2C68" w:rsidRDefault="007F2C68" w:rsidP="009A58E0">
      <w:pPr>
        <w:numPr>
          <w:ilvl w:val="1"/>
          <w:numId w:val="14"/>
        </w:numPr>
        <w:spacing w:before="240" w:after="120"/>
        <w:jc w:val="both"/>
        <w:rPr>
          <w:rFonts w:ascii="Arial" w:hAnsi="Arial" w:cs="Arial"/>
          <w:snapToGrid w:val="0"/>
          <w:sz w:val="20"/>
          <w:szCs w:val="20"/>
          <w:lang w:val="es-UY"/>
        </w:rPr>
      </w:pPr>
      <w:r w:rsidRPr="00EF37C1">
        <w:rPr>
          <w:rFonts w:ascii="Arial" w:hAnsi="Arial" w:cs="Arial"/>
          <w:snapToGrid w:val="0"/>
          <w:sz w:val="20"/>
          <w:szCs w:val="20"/>
          <w:lang w:val="es-UY"/>
        </w:rPr>
        <w:t>Láminas tipo de la DNV.</w:t>
      </w:r>
    </w:p>
    <w:p w14:paraId="724FF0FF"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Condiciones Particulares para la Iluminación, Semáforos y Destellantes en Rutas</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Nacionales.</w:t>
      </w:r>
    </w:p>
    <w:p w14:paraId="7FDD4FD5"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Relevamiento de fallas de la DNV</w:t>
      </w:r>
      <w:r>
        <w:rPr>
          <w:rFonts w:ascii="Arial" w:hAnsi="Arial" w:cs="Arial"/>
          <w:snapToGrid w:val="0"/>
          <w:sz w:val="20"/>
          <w:szCs w:val="20"/>
          <w:lang w:val="es-UY"/>
        </w:rPr>
        <w:t>.</w:t>
      </w:r>
    </w:p>
    <w:p w14:paraId="684C9F7A"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Directivas de diseño Hidrológico – Hidráulico de Alcantarillas.</w:t>
      </w:r>
    </w:p>
    <w:p w14:paraId="5E8F0A52"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Instructivo de Evaluación de Alcantarillas.</w:t>
      </w:r>
    </w:p>
    <w:p w14:paraId="308BE76C"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Instructivo de Medición de Rugosidad. </w:t>
      </w:r>
    </w:p>
    <w:p w14:paraId="0239E8D7"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lastRenderedPageBreak/>
        <w:t>Manual Ambiental del Sector Vial</w:t>
      </w:r>
    </w:p>
    <w:p w14:paraId="02A621FA" w14:textId="77777777" w:rsidR="007F2C68" w:rsidRDefault="007F2C68" w:rsidP="009A58E0">
      <w:pPr>
        <w:numPr>
          <w:ilvl w:val="1"/>
          <w:numId w:val="14"/>
        </w:numPr>
        <w:spacing w:after="120"/>
        <w:jc w:val="both"/>
        <w:rPr>
          <w:rFonts w:ascii="Arial" w:hAnsi="Arial" w:cs="Arial"/>
          <w:snapToGrid w:val="0"/>
          <w:sz w:val="20"/>
          <w:szCs w:val="20"/>
          <w:lang w:val="es-UY"/>
        </w:rPr>
      </w:pPr>
      <w:r w:rsidRPr="00DB3708">
        <w:rPr>
          <w:rFonts w:ascii="Arial" w:hAnsi="Arial" w:cs="Arial"/>
          <w:snapToGrid w:val="0"/>
          <w:sz w:val="20"/>
          <w:szCs w:val="20"/>
          <w:lang w:val="es-UY"/>
        </w:rPr>
        <w:t>Manual para la Dirección de Obras</w:t>
      </w:r>
    </w:p>
    <w:p w14:paraId="3A722B32"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 xml:space="preserve">Norma de Señalización de Obra. </w:t>
      </w:r>
    </w:p>
    <w:p w14:paraId="48EFF08E"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Técnicas para Elementos de Señalización en Zona de Obras.</w:t>
      </w:r>
    </w:p>
    <w:p w14:paraId="37EC5027"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Norma</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de Señalización</w:t>
      </w:r>
      <w:r w:rsidR="00B14DCC">
        <w:rPr>
          <w:rFonts w:ascii="Arial" w:hAnsi="Arial" w:cs="Arial"/>
          <w:snapToGrid w:val="0"/>
          <w:sz w:val="20"/>
          <w:szCs w:val="20"/>
          <w:lang w:val="es-UY"/>
        </w:rPr>
        <w:t xml:space="preserve"> </w:t>
      </w:r>
      <w:r w:rsidRPr="00EF37C1">
        <w:rPr>
          <w:rFonts w:ascii="Arial" w:hAnsi="Arial" w:cs="Arial"/>
          <w:snapToGrid w:val="0"/>
          <w:sz w:val="20"/>
          <w:szCs w:val="20"/>
          <w:lang w:val="es-UY"/>
        </w:rPr>
        <w:t>Horizontal y Vertical de la DNV.</w:t>
      </w:r>
    </w:p>
    <w:p w14:paraId="7FCBB677"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z w:val="20"/>
          <w:szCs w:val="20"/>
          <w:lang w:val="es-UY"/>
        </w:rPr>
        <w:t>Normas UY.</w:t>
      </w:r>
    </w:p>
    <w:p w14:paraId="4523EC51" w14:textId="77777777" w:rsidR="007F2C68" w:rsidRDefault="007F2C68" w:rsidP="009A58E0">
      <w:pPr>
        <w:numPr>
          <w:ilvl w:val="1"/>
          <w:numId w:val="14"/>
        </w:numPr>
        <w:spacing w:after="120"/>
        <w:jc w:val="both"/>
        <w:rPr>
          <w:rFonts w:ascii="Arial" w:hAnsi="Arial" w:cs="Arial"/>
          <w:snapToGrid w:val="0"/>
          <w:sz w:val="20"/>
          <w:szCs w:val="20"/>
          <w:lang w:val="es-UY"/>
        </w:rPr>
      </w:pPr>
      <w:r w:rsidRPr="00EF37C1">
        <w:rPr>
          <w:rFonts w:ascii="Arial" w:hAnsi="Arial" w:cs="Arial"/>
          <w:snapToGrid w:val="0"/>
          <w:sz w:val="20"/>
          <w:szCs w:val="20"/>
          <w:lang w:val="es-UY"/>
        </w:rPr>
        <w:t>Especificaciones del equipamiento para la seguridad vial.</w:t>
      </w:r>
    </w:p>
    <w:p w14:paraId="0E2DA749" w14:textId="77777777" w:rsidR="007F2C68" w:rsidRPr="00EF37C1" w:rsidRDefault="007F2C68" w:rsidP="007F2C68">
      <w:pPr>
        <w:tabs>
          <w:tab w:val="left" w:pos="567"/>
        </w:tabs>
        <w:spacing w:before="240"/>
        <w:jc w:val="both"/>
        <w:rPr>
          <w:rFonts w:ascii="Arial" w:hAnsi="Arial" w:cs="Arial"/>
          <w:snapToGrid w:val="0"/>
          <w:sz w:val="20"/>
          <w:szCs w:val="20"/>
          <w:lang w:val="es-UY"/>
        </w:rPr>
      </w:pPr>
      <w:r w:rsidRPr="00EF37C1">
        <w:rPr>
          <w:rFonts w:ascii="Arial" w:hAnsi="Arial" w:cs="Arial"/>
          <w:snapToGrid w:val="0"/>
          <w:sz w:val="20"/>
          <w:szCs w:val="20"/>
          <w:lang w:val="es-UY"/>
        </w:rPr>
        <w:t>En caso de discrepancia entre lo establecido en los manuales e instructivos y lo establecido en el presente pliego, prevalecerá lo estipulado en este último.</w:t>
      </w:r>
    </w:p>
    <w:p w14:paraId="0877566B" w14:textId="77777777" w:rsidR="007F2C68" w:rsidRDefault="007F2C68" w:rsidP="007F2C68">
      <w:pPr>
        <w:tabs>
          <w:tab w:val="left" w:pos="567"/>
        </w:tabs>
        <w:jc w:val="both"/>
        <w:rPr>
          <w:rFonts w:ascii="Arial" w:hAnsi="Arial" w:cs="Arial"/>
          <w:sz w:val="20"/>
          <w:szCs w:val="20"/>
          <w:lang w:val="es-UY"/>
        </w:rPr>
      </w:pPr>
      <w:r w:rsidRPr="00EF37C1">
        <w:rPr>
          <w:rFonts w:ascii="Arial" w:hAnsi="Arial" w:cs="Arial"/>
          <w:sz w:val="20"/>
          <w:szCs w:val="20"/>
          <w:lang w:val="es-UY"/>
        </w:rPr>
        <w:t>El Pliego compuesto por el Pliego de Condiciones Administrativas (PCA)</w:t>
      </w:r>
      <w:r w:rsidR="00B14DCC">
        <w:rPr>
          <w:rFonts w:ascii="Arial" w:hAnsi="Arial" w:cs="Arial"/>
          <w:sz w:val="20"/>
          <w:szCs w:val="20"/>
          <w:lang w:val="es-UY"/>
        </w:rPr>
        <w:t xml:space="preserve"> </w:t>
      </w:r>
      <w:r w:rsidRPr="00EF37C1">
        <w:rPr>
          <w:rFonts w:ascii="Arial" w:hAnsi="Arial" w:cs="Arial"/>
          <w:sz w:val="20"/>
          <w:szCs w:val="20"/>
          <w:lang w:val="es-UY"/>
        </w:rPr>
        <w:t>y el Pliego de Condiciones Técnicas (PCT), con sus respectivas modificaciones,</w:t>
      </w:r>
      <w:r w:rsidR="00B14DCC">
        <w:rPr>
          <w:rFonts w:ascii="Arial" w:hAnsi="Arial" w:cs="Arial"/>
          <w:sz w:val="20"/>
          <w:szCs w:val="20"/>
          <w:lang w:val="es-UY"/>
        </w:rPr>
        <w:t xml:space="preserve"> </w:t>
      </w:r>
      <w:r w:rsidRPr="00EF37C1">
        <w:rPr>
          <w:rFonts w:ascii="Arial" w:hAnsi="Arial" w:cs="Arial"/>
          <w:sz w:val="20"/>
          <w:szCs w:val="20"/>
          <w:lang w:val="es-UY"/>
        </w:rPr>
        <w:t xml:space="preserve">mantendrán prelación sobre los documentos enunciados precedentemente. </w:t>
      </w:r>
    </w:p>
    <w:p w14:paraId="653AF181" w14:textId="77777777" w:rsidR="007F2C68" w:rsidRDefault="007F2C68" w:rsidP="009A58E0">
      <w:pPr>
        <w:pStyle w:val="T2"/>
        <w:numPr>
          <w:ilvl w:val="1"/>
          <w:numId w:val="90"/>
        </w:numPr>
        <w:outlineLvl w:val="3"/>
      </w:pPr>
      <w:bookmarkStart w:id="26" w:name="_Toc468287963"/>
      <w:bookmarkStart w:id="27" w:name="_Toc496266556"/>
      <w:r w:rsidRPr="000306A4">
        <w:t>RÉGIMEN TRIBUTARIO</w:t>
      </w:r>
      <w:bookmarkEnd w:id="26"/>
      <w:bookmarkEnd w:id="27"/>
    </w:p>
    <w:p w14:paraId="214FC944" w14:textId="77777777" w:rsidR="00396E13" w:rsidRPr="00396E13" w:rsidRDefault="00396E13" w:rsidP="00396E13">
      <w:pPr>
        <w:jc w:val="both"/>
        <w:rPr>
          <w:rFonts w:ascii="Arial" w:hAnsi="Arial" w:cs="Arial"/>
          <w:sz w:val="20"/>
          <w:szCs w:val="20"/>
          <w:lang w:val="es-UY"/>
        </w:rPr>
      </w:pPr>
      <w:r w:rsidRPr="00260C04">
        <w:rPr>
          <w:rFonts w:ascii="Arial" w:hAnsi="Arial" w:cs="Arial"/>
          <w:sz w:val="20"/>
          <w:szCs w:val="20"/>
          <w:lang w:val="es-UY"/>
        </w:rPr>
        <w:t xml:space="preserve">Conforme a lo establecido en el Decreto </w:t>
      </w:r>
      <w:hyperlink r:id="rId25" w:history="1">
        <w:r w:rsidR="00375150" w:rsidRPr="00375150">
          <w:rPr>
            <w:rStyle w:val="Hipervnculo"/>
            <w:rFonts w:ascii="Arial" w:hAnsi="Arial" w:cs="Arial"/>
            <w:sz w:val="20"/>
            <w:szCs w:val="20"/>
            <w:lang w:val="es-UY"/>
          </w:rPr>
          <w:t>045/013</w:t>
        </w:r>
      </w:hyperlink>
      <w:r w:rsidRPr="00260C04">
        <w:rPr>
          <w:rFonts w:ascii="Arial" w:hAnsi="Arial" w:cs="Arial"/>
          <w:sz w:val="20"/>
          <w:szCs w:val="20"/>
          <w:lang w:val="es-UY"/>
        </w:rPr>
        <w:t xml:space="preserve"> de fecha 6 de </w:t>
      </w:r>
      <w:r>
        <w:rPr>
          <w:rFonts w:ascii="Arial" w:hAnsi="Arial" w:cs="Arial"/>
          <w:sz w:val="20"/>
          <w:szCs w:val="20"/>
          <w:lang w:val="es-UY"/>
        </w:rPr>
        <w:t xml:space="preserve">febrero </w:t>
      </w:r>
      <w:r w:rsidRPr="00260C04">
        <w:rPr>
          <w:rFonts w:ascii="Arial" w:hAnsi="Arial" w:cs="Arial"/>
          <w:sz w:val="20"/>
          <w:szCs w:val="20"/>
          <w:lang w:val="es-UY"/>
        </w:rPr>
        <w:t>de 201</w:t>
      </w:r>
      <w:r>
        <w:rPr>
          <w:rFonts w:ascii="Arial" w:hAnsi="Arial" w:cs="Arial"/>
          <w:sz w:val="20"/>
          <w:szCs w:val="20"/>
          <w:lang w:val="es-UY"/>
        </w:rPr>
        <w:t>3</w:t>
      </w:r>
      <w:r w:rsidRPr="00260C04">
        <w:rPr>
          <w:rFonts w:ascii="Arial" w:hAnsi="Arial" w:cs="Arial"/>
          <w:sz w:val="20"/>
          <w:szCs w:val="20"/>
          <w:lang w:val="es-UY"/>
        </w:rPr>
        <w:t>,</w:t>
      </w:r>
      <w:r>
        <w:rPr>
          <w:rFonts w:ascii="Arial" w:hAnsi="Arial" w:cs="Arial"/>
          <w:sz w:val="20"/>
          <w:szCs w:val="20"/>
          <w:lang w:val="es-UY"/>
        </w:rPr>
        <w:t xml:space="preserve"> e</w:t>
      </w:r>
      <w:r w:rsidRPr="00396E13">
        <w:rPr>
          <w:rFonts w:ascii="Arial" w:hAnsi="Arial" w:cs="Arial"/>
          <w:sz w:val="20"/>
          <w:szCs w:val="20"/>
          <w:lang w:val="es-UY"/>
        </w:rPr>
        <w:t xml:space="preserve">l Poder Ejecutivo podrá otorgar exoneraciones tributarias y beneficios fiscales referidos a: </w:t>
      </w:r>
    </w:p>
    <w:p w14:paraId="0CE902A8" w14:textId="77777777"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lastRenderedPageBreak/>
        <w:t xml:space="preserve">A) Recargos a las importaciones. </w:t>
      </w:r>
    </w:p>
    <w:p w14:paraId="6217AF69" w14:textId="77777777"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t xml:space="preserve">B) Exoneración de IVA a las importaciones. </w:t>
      </w:r>
    </w:p>
    <w:p w14:paraId="41B13AD1" w14:textId="16EA26C6" w:rsidR="00396E13" w:rsidRPr="00396E13" w:rsidRDefault="00396E13" w:rsidP="00396E13">
      <w:pPr>
        <w:jc w:val="both"/>
        <w:rPr>
          <w:rFonts w:ascii="Arial" w:hAnsi="Arial" w:cs="Arial"/>
          <w:sz w:val="20"/>
          <w:szCs w:val="20"/>
          <w:lang w:val="es-UY"/>
        </w:rPr>
      </w:pPr>
      <w:r w:rsidRPr="00396E13">
        <w:rPr>
          <w:rFonts w:ascii="Arial" w:hAnsi="Arial" w:cs="Arial"/>
          <w:sz w:val="20"/>
          <w:szCs w:val="20"/>
          <w:lang w:val="es-UY"/>
        </w:rPr>
        <w:t>C) Crédito por el IVA incluido en las adquisiciones en plaza de maquinarias y equipos (bienes de activo fijo) y materiales y servicios necesarios para l</w:t>
      </w:r>
      <w:r w:rsidR="00640238">
        <w:rPr>
          <w:rFonts w:ascii="Arial" w:hAnsi="Arial" w:cs="Arial"/>
          <w:sz w:val="20"/>
          <w:szCs w:val="20"/>
          <w:lang w:val="es-UY"/>
        </w:rPr>
        <w:t>a inversión proyectada.</w:t>
      </w:r>
      <w:r w:rsidRPr="00396E13">
        <w:rPr>
          <w:rFonts w:ascii="Arial" w:hAnsi="Arial" w:cs="Arial"/>
          <w:sz w:val="20"/>
          <w:szCs w:val="20"/>
          <w:lang w:val="es-UY"/>
        </w:rPr>
        <w:t xml:space="preserve"> </w:t>
      </w:r>
    </w:p>
    <w:p w14:paraId="472A3E70" w14:textId="77777777" w:rsidR="00396E13" w:rsidRDefault="00396E13" w:rsidP="00396E13">
      <w:pPr>
        <w:jc w:val="both"/>
        <w:rPr>
          <w:rFonts w:ascii="Arial" w:hAnsi="Arial" w:cs="Arial"/>
          <w:sz w:val="20"/>
          <w:szCs w:val="20"/>
          <w:lang w:val="es-UY"/>
        </w:rPr>
      </w:pPr>
      <w:r w:rsidRPr="00396E13">
        <w:rPr>
          <w:rFonts w:ascii="Arial" w:hAnsi="Arial" w:cs="Arial"/>
          <w:sz w:val="20"/>
          <w:szCs w:val="20"/>
          <w:lang w:val="es-UY"/>
        </w:rPr>
        <w:t>D) Exoneración de IP a los bienes intangibles y al activo fijo destinados al proyecto de inversión durante todo el plazo del periodo del contrato.</w:t>
      </w:r>
    </w:p>
    <w:p w14:paraId="3AAA38B6" w14:textId="77777777" w:rsidR="009D0232" w:rsidRDefault="00260C04" w:rsidP="00396E13">
      <w:pPr>
        <w:jc w:val="both"/>
        <w:rPr>
          <w:rFonts w:ascii="Arial" w:hAnsi="Arial" w:cs="Arial"/>
          <w:sz w:val="20"/>
          <w:szCs w:val="20"/>
          <w:lang w:val="es-UY"/>
        </w:rPr>
      </w:pPr>
      <w:r w:rsidRPr="00260C04">
        <w:rPr>
          <w:rFonts w:ascii="Arial" w:hAnsi="Arial" w:cs="Arial"/>
          <w:sz w:val="20"/>
          <w:szCs w:val="20"/>
          <w:lang w:val="es-UY"/>
        </w:rPr>
        <w:t xml:space="preserve">Conforme a lo establecido en el Decreto </w:t>
      </w:r>
      <w:hyperlink r:id="rId26" w:history="1">
        <w:r w:rsidRPr="00775CF0">
          <w:rPr>
            <w:rStyle w:val="Hipervnculo"/>
            <w:rFonts w:ascii="Arial" w:hAnsi="Arial" w:cs="Arial"/>
            <w:sz w:val="20"/>
            <w:szCs w:val="20"/>
            <w:lang w:val="es-UY"/>
          </w:rPr>
          <w:t>181/015</w:t>
        </w:r>
      </w:hyperlink>
      <w:r w:rsidRPr="00260C04">
        <w:rPr>
          <w:rFonts w:ascii="Arial" w:hAnsi="Arial" w:cs="Arial"/>
          <w:sz w:val="20"/>
          <w:szCs w:val="20"/>
          <w:lang w:val="es-UY"/>
        </w:rPr>
        <w:t xml:space="preserve"> de fecha 6 de julio de 2015, </w:t>
      </w:r>
      <w:r w:rsidR="00C5672F">
        <w:rPr>
          <w:rFonts w:ascii="Arial" w:hAnsi="Arial" w:cs="Arial"/>
          <w:sz w:val="20"/>
          <w:szCs w:val="20"/>
          <w:lang w:val="es-UY"/>
        </w:rPr>
        <w:t xml:space="preserve">se autoriza a </w:t>
      </w:r>
      <w:r w:rsidRPr="00260C04">
        <w:rPr>
          <w:rFonts w:ascii="Arial" w:hAnsi="Arial" w:cs="Arial"/>
          <w:sz w:val="20"/>
          <w:szCs w:val="20"/>
          <w:lang w:val="es-UY"/>
        </w:rPr>
        <w:t>los Contratistas de Contratos de Participación P</w:t>
      </w:r>
      <w:r w:rsidR="00C5672F">
        <w:rPr>
          <w:rFonts w:ascii="Arial" w:hAnsi="Arial" w:cs="Arial"/>
          <w:sz w:val="20"/>
          <w:szCs w:val="20"/>
          <w:lang w:val="es-UY"/>
        </w:rPr>
        <w:t>ú</w:t>
      </w:r>
      <w:r w:rsidRPr="00260C04">
        <w:rPr>
          <w:rFonts w:ascii="Arial" w:hAnsi="Arial" w:cs="Arial"/>
          <w:sz w:val="20"/>
          <w:szCs w:val="20"/>
          <w:lang w:val="es-UY"/>
        </w:rPr>
        <w:t xml:space="preserve">blico Privada </w:t>
      </w:r>
      <w:r w:rsidR="00255044">
        <w:rPr>
          <w:rFonts w:ascii="Arial" w:hAnsi="Arial" w:cs="Arial"/>
          <w:sz w:val="20"/>
          <w:szCs w:val="20"/>
          <w:lang w:val="es-UY"/>
        </w:rPr>
        <w:t xml:space="preserve">a </w:t>
      </w:r>
      <w:r w:rsidRPr="00260C04">
        <w:rPr>
          <w:rFonts w:ascii="Arial" w:hAnsi="Arial" w:cs="Arial"/>
          <w:sz w:val="20"/>
          <w:szCs w:val="20"/>
          <w:lang w:val="es-UY"/>
        </w:rPr>
        <w:t>amortizar el derecho de que son titulares en el plazo de diez años</w:t>
      </w:r>
      <w:r>
        <w:rPr>
          <w:rFonts w:ascii="Arial" w:hAnsi="Arial" w:cs="Arial"/>
          <w:sz w:val="20"/>
          <w:szCs w:val="20"/>
          <w:lang w:val="es-UY"/>
        </w:rPr>
        <w:t>.</w:t>
      </w:r>
    </w:p>
    <w:p w14:paraId="2F4E78C8" w14:textId="77777777" w:rsidR="007F2C68" w:rsidRPr="00B33EA3" w:rsidRDefault="007F2C68" w:rsidP="009A58E0">
      <w:pPr>
        <w:pStyle w:val="T1"/>
        <w:numPr>
          <w:ilvl w:val="0"/>
          <w:numId w:val="90"/>
        </w:numPr>
        <w:outlineLvl w:val="2"/>
      </w:pPr>
      <w:bookmarkStart w:id="28" w:name="_Toc468287964"/>
      <w:bookmarkStart w:id="29" w:name="_Toc496266557"/>
      <w:bookmarkStart w:id="30" w:name="Lit_4"/>
      <w:r w:rsidRPr="00B33EA3">
        <w:t>PLAZO DEL CONTRATO</w:t>
      </w:r>
      <w:bookmarkEnd w:id="28"/>
      <w:bookmarkEnd w:id="29"/>
    </w:p>
    <w:bookmarkEnd w:id="30"/>
    <w:p w14:paraId="707C6240"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800191">
        <w:rPr>
          <w:rFonts w:ascii="Arial" w:hAnsi="Arial" w:cs="Arial"/>
          <w:sz w:val="20"/>
          <w:szCs w:val="20"/>
          <w:lang w:val="es-UY"/>
        </w:rPr>
        <w:t xml:space="preserve">El </w:t>
      </w:r>
      <w:r w:rsidRPr="00244325">
        <w:rPr>
          <w:rFonts w:ascii="Arial" w:hAnsi="Arial" w:cs="Arial"/>
          <w:sz w:val="20"/>
          <w:szCs w:val="20"/>
          <w:lang w:val="es-UY"/>
        </w:rPr>
        <w:t xml:space="preserve">plazo del contrato será </w:t>
      </w:r>
      <w:r w:rsidRPr="00810BB5">
        <w:rPr>
          <w:rFonts w:ascii="Arial" w:hAnsi="Arial" w:cs="Arial"/>
          <w:sz w:val="20"/>
          <w:szCs w:val="20"/>
          <w:lang w:val="es-UY"/>
        </w:rPr>
        <w:t>de</w:t>
      </w:r>
      <w:r w:rsidR="007E3226" w:rsidRPr="00810BB5">
        <w:rPr>
          <w:rFonts w:ascii="Arial" w:hAnsi="Arial" w:cs="Arial"/>
          <w:sz w:val="20"/>
          <w:szCs w:val="20"/>
          <w:lang w:val="es-UY"/>
        </w:rPr>
        <w:t xml:space="preserve"> 20</w:t>
      </w:r>
      <w:r w:rsidR="00B14DCC" w:rsidRPr="00810BB5">
        <w:rPr>
          <w:rFonts w:ascii="Arial" w:hAnsi="Arial" w:cs="Arial"/>
          <w:sz w:val="20"/>
          <w:szCs w:val="20"/>
          <w:lang w:val="es-UY"/>
        </w:rPr>
        <w:t xml:space="preserve"> </w:t>
      </w:r>
      <w:r w:rsidRPr="00810BB5">
        <w:rPr>
          <w:rFonts w:ascii="Arial" w:hAnsi="Arial" w:cs="Arial"/>
          <w:sz w:val="20"/>
          <w:szCs w:val="20"/>
          <w:lang w:val="es-UY"/>
        </w:rPr>
        <w:t>años contados</w:t>
      </w:r>
      <w:r w:rsidRPr="00800191">
        <w:rPr>
          <w:rFonts w:ascii="Arial" w:hAnsi="Arial" w:cs="Arial"/>
          <w:sz w:val="20"/>
          <w:szCs w:val="20"/>
          <w:lang w:val="es-UY"/>
        </w:rPr>
        <w:t xml:space="preserve"> a partir de la firma del Acta de toma de posesión.</w:t>
      </w:r>
    </w:p>
    <w:p w14:paraId="6ED22A08" w14:textId="77777777" w:rsidR="007F2C68" w:rsidRPr="00EF37C1" w:rsidRDefault="007F2C68" w:rsidP="009A58E0">
      <w:pPr>
        <w:pStyle w:val="T1"/>
        <w:numPr>
          <w:ilvl w:val="0"/>
          <w:numId w:val="90"/>
        </w:numPr>
        <w:outlineLvl w:val="2"/>
      </w:pPr>
      <w:bookmarkStart w:id="31" w:name="_Toc468287965"/>
      <w:bookmarkStart w:id="32" w:name="_Toc496266558"/>
      <w:bookmarkStart w:id="33" w:name="Lit_5"/>
      <w:r w:rsidRPr="00EF37C1">
        <w:lastRenderedPageBreak/>
        <w:t>VALOR MÁXIMO DE LA OFERTA</w:t>
      </w:r>
      <w:bookmarkEnd w:id="31"/>
      <w:bookmarkEnd w:id="32"/>
    </w:p>
    <w:bookmarkEnd w:id="33"/>
    <w:p w14:paraId="0FA36D9E" w14:textId="31F667C3" w:rsidR="007F2C68" w:rsidRPr="00CB504D" w:rsidRDefault="007F2C68" w:rsidP="007F2C68">
      <w:pPr>
        <w:autoSpaceDE w:val="0"/>
        <w:autoSpaceDN w:val="0"/>
        <w:adjustRightInd w:val="0"/>
        <w:spacing w:after="0"/>
        <w:jc w:val="both"/>
        <w:rPr>
          <w:rFonts w:ascii="Arial" w:hAnsi="Arial" w:cs="Arial"/>
          <w:sz w:val="20"/>
          <w:szCs w:val="20"/>
          <w:lang w:val="es-UY"/>
        </w:rPr>
      </w:pPr>
      <w:r w:rsidRPr="000930B1">
        <w:rPr>
          <w:rFonts w:ascii="Arial" w:hAnsi="Arial" w:cs="Arial"/>
          <w:sz w:val="20"/>
          <w:szCs w:val="20"/>
          <w:lang w:val="es-UY"/>
        </w:rPr>
        <w:t xml:space="preserve">El valor máximo de la oferta no podrá superar </w:t>
      </w:r>
      <w:r w:rsidRPr="002C6F7B">
        <w:rPr>
          <w:rFonts w:ascii="Arial" w:hAnsi="Arial" w:cs="Arial"/>
          <w:sz w:val="20"/>
          <w:szCs w:val="20"/>
          <w:lang w:val="es-UY"/>
        </w:rPr>
        <w:t xml:space="preserve">las </w:t>
      </w:r>
      <w:r w:rsidR="000A0DEC" w:rsidRPr="002C6F7B">
        <w:rPr>
          <w:rFonts w:ascii="Arial" w:hAnsi="Arial" w:cs="Arial"/>
          <w:sz w:val="20"/>
          <w:szCs w:val="20"/>
          <w:lang w:val="es-UY"/>
        </w:rPr>
        <w:t>UI</w:t>
      </w:r>
      <w:r w:rsidR="00E366E8" w:rsidRPr="002C6F7B">
        <w:rPr>
          <w:rFonts w:ascii="Arial" w:hAnsi="Arial" w:cs="Arial"/>
          <w:sz w:val="20"/>
          <w:szCs w:val="20"/>
          <w:lang w:val="es-UY"/>
        </w:rPr>
        <w:t xml:space="preserve"> </w:t>
      </w:r>
      <w:r w:rsidR="00903199" w:rsidRPr="002C6F7B">
        <w:rPr>
          <w:rFonts w:ascii="Arial" w:hAnsi="Arial" w:cs="Arial"/>
          <w:sz w:val="20"/>
          <w:szCs w:val="20"/>
          <w:lang w:val="es-UY"/>
        </w:rPr>
        <w:t>1.</w:t>
      </w:r>
      <w:r w:rsidR="00E535F2" w:rsidRPr="002C6F7B">
        <w:rPr>
          <w:rFonts w:ascii="Arial" w:hAnsi="Arial" w:cs="Arial"/>
          <w:sz w:val="20"/>
          <w:szCs w:val="20"/>
          <w:lang w:val="es-UY"/>
        </w:rPr>
        <w:t>980</w:t>
      </w:r>
      <w:r w:rsidR="00903199" w:rsidRPr="002C6F7B">
        <w:rPr>
          <w:rFonts w:ascii="Arial" w:hAnsi="Arial" w:cs="Arial"/>
          <w:sz w:val="20"/>
          <w:szCs w:val="20"/>
          <w:lang w:val="es-UY"/>
        </w:rPr>
        <w:t>.</w:t>
      </w:r>
      <w:r w:rsidR="00E535F2" w:rsidRPr="002C6F7B">
        <w:rPr>
          <w:rFonts w:ascii="Arial" w:hAnsi="Arial" w:cs="Arial"/>
          <w:sz w:val="20"/>
          <w:szCs w:val="20"/>
          <w:lang w:val="es-UY"/>
        </w:rPr>
        <w:t>0</w:t>
      </w:r>
      <w:r w:rsidR="00041591" w:rsidRPr="002C6F7B">
        <w:rPr>
          <w:rFonts w:ascii="Arial" w:hAnsi="Arial" w:cs="Arial"/>
          <w:sz w:val="20"/>
          <w:szCs w:val="20"/>
          <w:lang w:val="es-UY"/>
        </w:rPr>
        <w:t>00.000</w:t>
      </w:r>
      <w:r w:rsidR="00041591" w:rsidRPr="005064F1">
        <w:rPr>
          <w:rFonts w:ascii="Arial" w:hAnsi="Arial" w:cs="Arial"/>
          <w:sz w:val="20"/>
          <w:szCs w:val="20"/>
          <w:lang w:val="es-UY"/>
        </w:rPr>
        <w:t xml:space="preserve"> </w:t>
      </w:r>
      <w:r w:rsidR="000A0DEC" w:rsidRPr="005064F1">
        <w:rPr>
          <w:rFonts w:ascii="Arial" w:hAnsi="Arial" w:cs="Arial"/>
          <w:sz w:val="20"/>
          <w:szCs w:val="20"/>
          <w:lang w:val="es-UY"/>
        </w:rPr>
        <w:t>(</w:t>
      </w:r>
      <w:r w:rsidR="009A60BE" w:rsidRPr="005064F1">
        <w:rPr>
          <w:rFonts w:ascii="Arial" w:hAnsi="Arial" w:cs="Arial"/>
          <w:sz w:val="20"/>
          <w:szCs w:val="20"/>
          <w:lang w:val="es-UY"/>
        </w:rPr>
        <w:t>Unidades Indexadas</w:t>
      </w:r>
      <w:r w:rsidR="00041591" w:rsidRPr="005064F1">
        <w:rPr>
          <w:rFonts w:ascii="Arial" w:hAnsi="Arial" w:cs="Arial"/>
          <w:sz w:val="20"/>
          <w:szCs w:val="20"/>
          <w:lang w:val="es-UY"/>
        </w:rPr>
        <w:t xml:space="preserve"> </w:t>
      </w:r>
      <w:r w:rsidR="00903199">
        <w:rPr>
          <w:rFonts w:ascii="Arial" w:hAnsi="Arial" w:cs="Arial"/>
          <w:sz w:val="20"/>
          <w:szCs w:val="20"/>
          <w:lang w:val="es-UY"/>
        </w:rPr>
        <w:t>un</w:t>
      </w:r>
      <w:r w:rsidR="004E6D49">
        <w:rPr>
          <w:rFonts w:ascii="Arial" w:hAnsi="Arial" w:cs="Arial"/>
          <w:sz w:val="20"/>
          <w:szCs w:val="20"/>
          <w:lang w:val="es-UY"/>
        </w:rPr>
        <w:t xml:space="preserve"> </w:t>
      </w:r>
      <w:r w:rsidR="002C6F7B">
        <w:rPr>
          <w:rFonts w:ascii="Arial" w:hAnsi="Arial" w:cs="Arial"/>
          <w:sz w:val="20"/>
          <w:szCs w:val="20"/>
          <w:lang w:val="es-UY"/>
        </w:rPr>
        <w:t>mil</w:t>
      </w:r>
      <w:r w:rsidR="00041591" w:rsidRPr="005064F1">
        <w:rPr>
          <w:rFonts w:ascii="Arial" w:hAnsi="Arial" w:cs="Arial"/>
          <w:sz w:val="20"/>
          <w:szCs w:val="20"/>
          <w:lang w:val="es-UY"/>
        </w:rPr>
        <w:t xml:space="preserve"> </w:t>
      </w:r>
      <w:r w:rsidR="00E535F2">
        <w:rPr>
          <w:rFonts w:ascii="Arial" w:hAnsi="Arial" w:cs="Arial"/>
          <w:sz w:val="20"/>
          <w:szCs w:val="20"/>
          <w:lang w:val="es-UY"/>
        </w:rPr>
        <w:t>novecientos ochenta</w:t>
      </w:r>
      <w:r w:rsidR="00903199">
        <w:rPr>
          <w:rFonts w:ascii="Arial" w:hAnsi="Arial" w:cs="Arial"/>
          <w:sz w:val="20"/>
          <w:szCs w:val="20"/>
          <w:lang w:val="es-UY"/>
        </w:rPr>
        <w:t xml:space="preserve"> </w:t>
      </w:r>
      <w:r w:rsidR="002C6F7B">
        <w:rPr>
          <w:rFonts w:ascii="Arial" w:hAnsi="Arial" w:cs="Arial"/>
          <w:sz w:val="20"/>
          <w:szCs w:val="20"/>
          <w:lang w:val="es-UY"/>
        </w:rPr>
        <w:t>mil</w:t>
      </w:r>
      <w:r w:rsidR="00494389">
        <w:rPr>
          <w:rFonts w:ascii="Arial" w:hAnsi="Arial" w:cs="Arial"/>
          <w:sz w:val="20"/>
          <w:szCs w:val="20"/>
          <w:lang w:val="es-UY"/>
        </w:rPr>
        <w:t>lones</w:t>
      </w:r>
      <w:r w:rsidR="009A60BE" w:rsidRPr="005064F1">
        <w:rPr>
          <w:rFonts w:ascii="Arial" w:hAnsi="Arial" w:cs="Arial"/>
          <w:sz w:val="20"/>
          <w:szCs w:val="20"/>
          <w:lang w:val="es-UY"/>
        </w:rPr>
        <w:t xml:space="preserve">) </w:t>
      </w:r>
      <w:r w:rsidRPr="005064F1">
        <w:rPr>
          <w:rFonts w:ascii="Arial" w:hAnsi="Arial" w:cs="Arial"/>
          <w:sz w:val="20"/>
          <w:szCs w:val="20"/>
          <w:lang w:val="es-UY"/>
        </w:rPr>
        <w:t xml:space="preserve">incluyendo Leyes Sociales y sin incluir </w:t>
      </w:r>
      <w:r w:rsidR="00B92463" w:rsidRPr="005064F1">
        <w:rPr>
          <w:rFonts w:ascii="Arial" w:hAnsi="Arial" w:cs="Arial"/>
          <w:sz w:val="20"/>
          <w:szCs w:val="20"/>
          <w:lang w:val="es-UY"/>
        </w:rPr>
        <w:t>IVA, suma</w:t>
      </w:r>
      <w:r w:rsidRPr="005064F1">
        <w:rPr>
          <w:rFonts w:ascii="Arial" w:hAnsi="Arial" w:cs="Arial"/>
          <w:sz w:val="20"/>
          <w:szCs w:val="20"/>
          <w:lang w:val="es-UY"/>
        </w:rPr>
        <w:t xml:space="preserve"> de los componentes A, B y C en valores corrientes.</w:t>
      </w:r>
      <w:r w:rsidR="009D0232" w:rsidRPr="005064F1">
        <w:rPr>
          <w:rFonts w:ascii="Arial" w:hAnsi="Arial" w:cs="Arial"/>
          <w:sz w:val="20"/>
          <w:szCs w:val="20"/>
          <w:lang w:val="es-UY"/>
        </w:rPr>
        <w:t xml:space="preserve"> </w:t>
      </w:r>
      <w:r w:rsidRPr="005064F1">
        <w:rPr>
          <w:rFonts w:ascii="Arial" w:hAnsi="Arial" w:cs="Arial"/>
          <w:sz w:val="20"/>
          <w:szCs w:val="20"/>
          <w:lang w:val="es-UY"/>
        </w:rPr>
        <w:t>Las ofertas que superen este valor serán excluidas.</w:t>
      </w:r>
    </w:p>
    <w:p w14:paraId="0BB111DB" w14:textId="77777777" w:rsidR="007F2C68" w:rsidRPr="00EF37C1" w:rsidRDefault="007F2C68" w:rsidP="009A58E0">
      <w:pPr>
        <w:pStyle w:val="T1"/>
        <w:numPr>
          <w:ilvl w:val="0"/>
          <w:numId w:val="90"/>
        </w:numPr>
        <w:outlineLvl w:val="2"/>
      </w:pPr>
      <w:bookmarkStart w:id="34" w:name="_Toc468287966"/>
      <w:bookmarkStart w:id="35" w:name="_Toc496266559"/>
      <w:bookmarkStart w:id="36" w:name="Lit_6"/>
      <w:r>
        <w:t>CONTRAPRESTACIÓN DEL</w:t>
      </w:r>
      <w:r w:rsidRPr="00EF37C1">
        <w:t xml:space="preserve"> CONTRATISTA</w:t>
      </w:r>
      <w:bookmarkEnd w:id="34"/>
      <w:bookmarkEnd w:id="35"/>
    </w:p>
    <w:bookmarkEnd w:id="36"/>
    <w:p w14:paraId="2306AEAA" w14:textId="77777777" w:rsidR="007F2C68" w:rsidRPr="00EF37C1"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El Contratista realizará en su oferta una Propuesta Económica en base a tres componentes denominados A, B y C que se corresponden con un conjunto de intervenciones de mejora inicial, operación y renovación de la infraestructura respectivamente</w:t>
      </w:r>
      <w:r>
        <w:rPr>
          <w:rFonts w:ascii="Arial" w:hAnsi="Arial" w:cs="Arial"/>
          <w:sz w:val="20"/>
          <w:szCs w:val="20"/>
          <w:lang w:val="es-UY"/>
        </w:rPr>
        <w:t xml:space="preserve">, de acuerdo a lo expresado en el </w:t>
      </w:r>
      <w:hyperlink w:anchor="A_2" w:history="1">
        <w:r w:rsidRPr="009E2BFE">
          <w:rPr>
            <w:rStyle w:val="Hipervnculo"/>
            <w:rFonts w:ascii="Arial" w:hAnsi="Arial" w:cs="Arial"/>
            <w:bCs/>
            <w:sz w:val="20"/>
            <w:szCs w:val="20"/>
            <w:lang w:val="es-UY"/>
          </w:rPr>
          <w:t>Anexo II</w:t>
        </w:r>
      </w:hyperlink>
      <w:r w:rsidRPr="00CC26CE">
        <w:rPr>
          <w:rFonts w:ascii="Arial" w:hAnsi="Arial" w:cs="Arial"/>
          <w:b/>
          <w:bCs/>
          <w:sz w:val="20"/>
          <w:szCs w:val="20"/>
          <w:lang w:val="es-UY"/>
        </w:rPr>
        <w:t>.</w:t>
      </w:r>
      <w:r>
        <w:rPr>
          <w:rFonts w:ascii="Arial" w:hAnsi="Arial" w:cs="Arial"/>
          <w:b/>
          <w:bCs/>
          <w:sz w:val="20"/>
          <w:szCs w:val="20"/>
          <w:lang w:val="es-UY"/>
        </w:rPr>
        <w:t xml:space="preserve"> </w:t>
      </w:r>
      <w:r w:rsidRPr="00EF37C1">
        <w:rPr>
          <w:rFonts w:ascii="Arial" w:hAnsi="Arial" w:cs="Arial"/>
          <w:sz w:val="20"/>
          <w:szCs w:val="20"/>
          <w:lang w:val="es-UY"/>
        </w:rPr>
        <w:t>El objetivo de este conjunto de obras y tareas de mantenimiento, a realizar de forma continua, es alcanzar y mantener la calidad de servicio contractualmente acordada a lo largo de toda la vigencia del contrato.</w:t>
      </w:r>
    </w:p>
    <w:p w14:paraId="52677AC3" w14:textId="77777777" w:rsidR="007F2C68"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Contratista</w:t>
      </w:r>
      <w:r w:rsidR="00B14DCC">
        <w:rPr>
          <w:rFonts w:ascii="Arial" w:hAnsi="Arial" w:cs="Arial"/>
          <w:sz w:val="20"/>
          <w:szCs w:val="20"/>
          <w:lang w:val="es-UY"/>
        </w:rPr>
        <w:t xml:space="preserve"> </w:t>
      </w:r>
      <w:r w:rsidRPr="00EF37C1">
        <w:rPr>
          <w:rFonts w:ascii="Arial" w:hAnsi="Arial" w:cs="Arial"/>
          <w:sz w:val="20"/>
          <w:szCs w:val="20"/>
          <w:lang w:val="es-UY"/>
        </w:rPr>
        <w:t>recibirá una única retribución anual en concepto de Pago Por Disponibilidad como contrapartida por alcanzar y mantener a lo largo de toda la vida del contrato</w:t>
      </w:r>
      <w:r>
        <w:rPr>
          <w:rFonts w:ascii="Arial" w:hAnsi="Arial" w:cs="Arial"/>
          <w:sz w:val="20"/>
          <w:szCs w:val="20"/>
          <w:lang w:val="es-UY"/>
        </w:rPr>
        <w:t>,</w:t>
      </w:r>
      <w:r w:rsidRPr="00EF37C1">
        <w:rPr>
          <w:rFonts w:ascii="Arial" w:hAnsi="Arial" w:cs="Arial"/>
          <w:sz w:val="20"/>
          <w:szCs w:val="20"/>
          <w:lang w:val="es-UY"/>
        </w:rPr>
        <w:t xml:space="preserve"> la calidad del servicio asociada a los valores de los indicadores técnicos de disponibilidad fijados.</w:t>
      </w:r>
    </w:p>
    <w:p w14:paraId="66DD5DDC"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p>
    <w:p w14:paraId="5566A4A7" w14:textId="46248A83" w:rsidR="007F2C68" w:rsidRDefault="007F2C68" w:rsidP="007F2C68">
      <w:pPr>
        <w:autoSpaceDE w:val="0"/>
        <w:autoSpaceDN w:val="0"/>
        <w:adjustRightInd w:val="0"/>
        <w:spacing w:after="0"/>
        <w:jc w:val="both"/>
        <w:rPr>
          <w:rFonts w:ascii="Arial" w:hAnsi="Arial" w:cs="Arial"/>
          <w:sz w:val="20"/>
          <w:szCs w:val="20"/>
          <w:lang w:val="es-UY"/>
        </w:rPr>
      </w:pPr>
      <w:r w:rsidRPr="00EF37C1">
        <w:rPr>
          <w:rFonts w:ascii="Arial" w:hAnsi="Arial" w:cs="Arial"/>
          <w:sz w:val="20"/>
          <w:szCs w:val="20"/>
          <w:lang w:val="es-UY"/>
        </w:rPr>
        <w:t xml:space="preserve">El monto anual de esa retribución se calculará a partir del valor numérico de las componentes A, B y C ofertadas por el Contratista </w:t>
      </w:r>
      <w:r w:rsidRPr="00707051">
        <w:rPr>
          <w:rFonts w:ascii="Arial" w:hAnsi="Arial" w:cs="Arial"/>
          <w:sz w:val="20"/>
          <w:szCs w:val="20"/>
          <w:lang w:val="es-UY"/>
        </w:rPr>
        <w:t>y de los respectivos coeficientes de disponibilidad técnica, ctd</w:t>
      </w:r>
      <w:r w:rsidRPr="00B466C8">
        <w:rPr>
          <w:rFonts w:ascii="Arial" w:hAnsi="Arial" w:cs="Arial"/>
          <w:sz w:val="20"/>
          <w:szCs w:val="20"/>
          <w:vertAlign w:val="subscript"/>
          <w:lang w:val="es-UY"/>
        </w:rPr>
        <w:t>1</w:t>
      </w:r>
      <w:r w:rsidRPr="00707051">
        <w:rPr>
          <w:rFonts w:ascii="Arial" w:hAnsi="Arial" w:cs="Arial"/>
          <w:sz w:val="20"/>
          <w:szCs w:val="20"/>
          <w:lang w:val="es-UY"/>
        </w:rPr>
        <w:t>, ctd</w:t>
      </w:r>
      <w:r w:rsidRPr="00B466C8">
        <w:rPr>
          <w:rFonts w:ascii="Arial" w:hAnsi="Arial" w:cs="Arial"/>
          <w:sz w:val="20"/>
          <w:szCs w:val="20"/>
          <w:vertAlign w:val="subscript"/>
          <w:lang w:val="es-UY"/>
        </w:rPr>
        <w:t>2</w:t>
      </w:r>
      <w:r w:rsidR="00CF0F36">
        <w:rPr>
          <w:rFonts w:ascii="Arial" w:hAnsi="Arial" w:cs="Arial"/>
          <w:sz w:val="20"/>
          <w:szCs w:val="20"/>
          <w:vertAlign w:val="subscript"/>
          <w:lang w:val="es-UY"/>
        </w:rPr>
        <w:t>,</w:t>
      </w:r>
      <w:r w:rsidRPr="00707051">
        <w:rPr>
          <w:rFonts w:ascii="Arial" w:hAnsi="Arial" w:cs="Arial"/>
          <w:sz w:val="20"/>
          <w:szCs w:val="20"/>
          <w:lang w:val="es-UY"/>
        </w:rPr>
        <w:t xml:space="preserve"> ctd</w:t>
      </w:r>
      <w:r w:rsidRPr="00B466C8">
        <w:rPr>
          <w:rFonts w:ascii="Arial" w:hAnsi="Arial" w:cs="Arial"/>
          <w:sz w:val="20"/>
          <w:szCs w:val="20"/>
          <w:vertAlign w:val="subscript"/>
          <w:lang w:val="es-UY"/>
        </w:rPr>
        <w:t>3</w:t>
      </w:r>
      <w:r w:rsidRPr="00707051">
        <w:rPr>
          <w:rFonts w:ascii="Arial" w:hAnsi="Arial" w:cs="Arial"/>
          <w:sz w:val="20"/>
          <w:szCs w:val="20"/>
          <w:lang w:val="es-UY"/>
        </w:rPr>
        <w:t xml:space="preserve"> y </w:t>
      </w:r>
      <w:r w:rsidR="0064093C">
        <w:rPr>
          <w:rFonts w:ascii="Arial" w:hAnsi="Arial" w:cs="Arial"/>
          <w:sz w:val="20"/>
          <w:szCs w:val="20"/>
          <w:lang w:val="es-UY"/>
        </w:rPr>
        <w:t xml:space="preserve">del factor </w:t>
      </w:r>
      <w:r w:rsidRPr="00707051">
        <w:rPr>
          <w:rFonts w:ascii="Arial" w:hAnsi="Arial" w:cs="Arial"/>
          <w:sz w:val="20"/>
          <w:szCs w:val="20"/>
          <w:lang w:val="es-UY"/>
        </w:rPr>
        <w:t>Z,</w:t>
      </w:r>
      <w:r w:rsidRPr="00EF37C1">
        <w:rPr>
          <w:rFonts w:ascii="Arial" w:hAnsi="Arial" w:cs="Arial"/>
          <w:sz w:val="20"/>
          <w:szCs w:val="20"/>
          <w:lang w:val="es-UY"/>
        </w:rPr>
        <w:t xml:space="preserve"> calculados a partir del resultado de las evaluaciones trimestrales y anuales de los indicadores técnicos de disponibilidad.</w:t>
      </w:r>
    </w:p>
    <w:p w14:paraId="5DC76B70" w14:textId="77777777" w:rsidR="007F2C68" w:rsidRPr="00EF37C1" w:rsidRDefault="007F2C68" w:rsidP="007F2C68">
      <w:pPr>
        <w:autoSpaceDE w:val="0"/>
        <w:autoSpaceDN w:val="0"/>
        <w:adjustRightInd w:val="0"/>
        <w:spacing w:after="0"/>
        <w:jc w:val="both"/>
        <w:rPr>
          <w:rFonts w:ascii="Arial" w:hAnsi="Arial" w:cs="Arial"/>
          <w:sz w:val="20"/>
          <w:szCs w:val="20"/>
          <w:lang w:val="es-UY"/>
        </w:rPr>
      </w:pPr>
    </w:p>
    <w:p w14:paraId="4671A08C"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t>El cálculo del monto anual a percibir por el Contratista</w:t>
      </w:r>
      <w:r w:rsidR="00B14DCC">
        <w:rPr>
          <w:rFonts w:ascii="Arial" w:hAnsi="Arial" w:cs="Arial"/>
          <w:sz w:val="20"/>
          <w:szCs w:val="20"/>
          <w:lang w:val="es-UY"/>
        </w:rPr>
        <w:t xml:space="preserve"> </w:t>
      </w:r>
      <w:r w:rsidRPr="00EF37C1">
        <w:rPr>
          <w:rFonts w:ascii="Arial" w:hAnsi="Arial" w:cs="Arial"/>
          <w:sz w:val="20"/>
          <w:szCs w:val="20"/>
          <w:lang w:val="es-UY"/>
        </w:rPr>
        <w:t>en concept</w:t>
      </w:r>
      <w:r>
        <w:rPr>
          <w:rFonts w:ascii="Arial" w:hAnsi="Arial" w:cs="Arial"/>
          <w:sz w:val="20"/>
          <w:szCs w:val="20"/>
          <w:lang w:val="es-UY"/>
        </w:rPr>
        <w:t>o de contraprestación se llevará</w:t>
      </w:r>
      <w:r w:rsidRPr="00EF37C1">
        <w:rPr>
          <w:rFonts w:ascii="Arial" w:hAnsi="Arial" w:cs="Arial"/>
          <w:sz w:val="20"/>
          <w:szCs w:val="20"/>
          <w:lang w:val="es-UY"/>
        </w:rPr>
        <w:t xml:space="preserve"> a cabo de acuerdo a lo fijado en el </w:t>
      </w:r>
      <w:hyperlink w:anchor="A_3" w:history="1">
        <w:r w:rsidRPr="009E2BFE">
          <w:rPr>
            <w:rStyle w:val="Hipervnculo"/>
            <w:rFonts w:ascii="Arial" w:hAnsi="Arial" w:cs="Arial"/>
            <w:bCs/>
            <w:sz w:val="20"/>
            <w:szCs w:val="20"/>
            <w:lang w:val="es-UY"/>
          </w:rPr>
          <w:t>Anexo III</w:t>
        </w:r>
      </w:hyperlink>
      <w:r w:rsidRPr="00CC26CE">
        <w:rPr>
          <w:rFonts w:ascii="Arial" w:hAnsi="Arial" w:cs="Arial"/>
          <w:b/>
          <w:bCs/>
          <w:sz w:val="20"/>
          <w:szCs w:val="20"/>
          <w:lang w:val="es-UY"/>
        </w:rPr>
        <w:t>.</w:t>
      </w:r>
    </w:p>
    <w:p w14:paraId="1028F42D" w14:textId="77777777" w:rsidR="007F2C68" w:rsidRPr="00EF37C1" w:rsidRDefault="007F2C68" w:rsidP="009A58E0">
      <w:pPr>
        <w:pStyle w:val="T1"/>
        <w:numPr>
          <w:ilvl w:val="0"/>
          <w:numId w:val="90"/>
        </w:numPr>
        <w:outlineLvl w:val="2"/>
      </w:pPr>
      <w:bookmarkStart w:id="37" w:name="_Toc468287967"/>
      <w:bookmarkStart w:id="38" w:name="_Toc496266560"/>
      <w:bookmarkStart w:id="39" w:name="Lit_7"/>
      <w:r w:rsidRPr="00EF37C1">
        <w:t>RÉGIMEN ECONÓMICO-FINANCIERO DEL CONTRATO</w:t>
      </w:r>
      <w:bookmarkEnd w:id="37"/>
      <w:bookmarkEnd w:id="38"/>
    </w:p>
    <w:bookmarkEnd w:id="39"/>
    <w:p w14:paraId="0E2C299C" w14:textId="77777777" w:rsidR="007F2C68" w:rsidRPr="00EF37C1" w:rsidRDefault="007F2C68" w:rsidP="007F2C68">
      <w:pPr>
        <w:autoSpaceDE w:val="0"/>
        <w:autoSpaceDN w:val="0"/>
        <w:adjustRightInd w:val="0"/>
        <w:spacing w:after="0"/>
        <w:jc w:val="both"/>
        <w:rPr>
          <w:rFonts w:ascii="Arial" w:hAnsi="Arial" w:cs="Arial"/>
          <w:sz w:val="24"/>
          <w:szCs w:val="24"/>
          <w:lang w:val="es-UY"/>
        </w:rPr>
      </w:pPr>
      <w:r w:rsidRPr="00EF37C1">
        <w:rPr>
          <w:rFonts w:ascii="Arial" w:hAnsi="Arial" w:cs="Arial"/>
          <w:sz w:val="20"/>
          <w:szCs w:val="20"/>
          <w:lang w:val="es-UY"/>
        </w:rPr>
        <w:t xml:space="preserve">El régimen económico-financiero del contrato será recogido en el Plan Económico Financiero Definitivo (en adelante, PEFD) el que será oportunamente aprobado por la Contratante, y tendrá como base el Plan Económico Financiero (en adelante, PEF) presentado en el </w:t>
      </w:r>
      <w:hyperlink w:anchor="A_4" w:history="1">
        <w:r w:rsidRPr="009E2BFE">
          <w:rPr>
            <w:rStyle w:val="Hipervnculo"/>
            <w:rFonts w:ascii="Arial" w:hAnsi="Arial" w:cs="Arial"/>
            <w:bCs/>
            <w:sz w:val="20"/>
            <w:szCs w:val="20"/>
            <w:lang w:val="es-UY"/>
          </w:rPr>
          <w:t>Anexo IV</w:t>
        </w:r>
      </w:hyperlink>
      <w:r w:rsidRPr="009E2BFE">
        <w:rPr>
          <w:rFonts w:ascii="Arial" w:hAnsi="Arial" w:cs="Arial"/>
          <w:bCs/>
          <w:sz w:val="20"/>
          <w:szCs w:val="20"/>
          <w:lang w:val="es-UY"/>
        </w:rPr>
        <w:t xml:space="preserve"> </w:t>
      </w:r>
      <w:r w:rsidRPr="00EF37C1">
        <w:rPr>
          <w:rFonts w:ascii="Arial" w:hAnsi="Arial" w:cs="Arial"/>
          <w:sz w:val="20"/>
          <w:szCs w:val="20"/>
          <w:lang w:val="es-UY"/>
        </w:rPr>
        <w:t xml:space="preserve">de la oferta del oferente seleccionado. </w:t>
      </w:r>
    </w:p>
    <w:p w14:paraId="4F44EF2E" w14:textId="77777777" w:rsidR="007F2C68" w:rsidRPr="009D43CA" w:rsidRDefault="007F2C68" w:rsidP="000F5C7C">
      <w:pPr>
        <w:pStyle w:val="T0"/>
        <w:outlineLvl w:val="0"/>
      </w:pPr>
      <w:r>
        <w:br w:type="page"/>
      </w:r>
      <w:bookmarkStart w:id="40" w:name="_Toc468287968"/>
      <w:bookmarkStart w:id="41" w:name="_Toc496266561"/>
      <w:bookmarkStart w:id="42" w:name="CAP_2"/>
      <w:r w:rsidRPr="009D43CA">
        <w:lastRenderedPageBreak/>
        <w:t>CAPÍTULO II: PROCEDIMIENTO Y FORMA DE ADJUDICACIÓN DEL CONTRATO</w:t>
      </w:r>
      <w:bookmarkEnd w:id="40"/>
      <w:bookmarkEnd w:id="41"/>
    </w:p>
    <w:p w14:paraId="2298A9AE" w14:textId="77777777" w:rsidR="007F2C68" w:rsidRPr="00EF37C1" w:rsidRDefault="007F2C68" w:rsidP="009A58E0">
      <w:pPr>
        <w:pStyle w:val="T1"/>
        <w:numPr>
          <w:ilvl w:val="0"/>
          <w:numId w:val="90"/>
        </w:numPr>
        <w:outlineLvl w:val="2"/>
      </w:pPr>
      <w:bookmarkStart w:id="43" w:name="_Toc468287969"/>
      <w:bookmarkStart w:id="44" w:name="_Toc496266562"/>
      <w:bookmarkStart w:id="45" w:name="Lit_8"/>
      <w:bookmarkEnd w:id="42"/>
      <w:r w:rsidRPr="00EF37C1">
        <w:t>DOCUMENTACIÓN DISPONIBLE PARA LOS OFERENTES</w:t>
      </w:r>
      <w:bookmarkEnd w:id="43"/>
      <w:bookmarkEnd w:id="44"/>
    </w:p>
    <w:bookmarkEnd w:id="45"/>
    <w:p w14:paraId="55B23640"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t xml:space="preserve">La Contratante pondrá a disposición de los oferentes el conjunto de la documentación relativa a la presente licitación compuesta de: </w:t>
      </w:r>
    </w:p>
    <w:p w14:paraId="30D81E60" w14:textId="77777777" w:rsidR="007F2C68" w:rsidRPr="00426A62" w:rsidRDefault="007F2C68" w:rsidP="009A58E0">
      <w:pPr>
        <w:pStyle w:val="Prrafodelista"/>
        <w:numPr>
          <w:ilvl w:val="0"/>
          <w:numId w:val="132"/>
        </w:numPr>
        <w:jc w:val="both"/>
        <w:rPr>
          <w:rFonts w:ascii="Arial" w:hAnsi="Arial" w:cs="Arial"/>
          <w:sz w:val="20"/>
          <w:szCs w:val="20"/>
          <w:lang w:val="es-UY"/>
        </w:rPr>
      </w:pPr>
      <w:r w:rsidRPr="00426A62">
        <w:rPr>
          <w:rFonts w:ascii="Arial" w:hAnsi="Arial" w:cs="Arial"/>
          <w:sz w:val="20"/>
          <w:szCs w:val="20"/>
          <w:lang w:val="es-UY"/>
        </w:rPr>
        <w:t>Bases de la contratación:</w:t>
      </w:r>
    </w:p>
    <w:p w14:paraId="6E121CA4" w14:textId="77777777" w:rsidR="007F2C68" w:rsidRPr="007C4DED" w:rsidRDefault="00931785" w:rsidP="009A58E0">
      <w:pPr>
        <w:pStyle w:val="Prrafodelista"/>
        <w:numPr>
          <w:ilvl w:val="1"/>
          <w:numId w:val="132"/>
        </w:numPr>
        <w:jc w:val="both"/>
        <w:rPr>
          <w:rFonts w:ascii="Arial" w:hAnsi="Arial" w:cs="Arial"/>
          <w:sz w:val="20"/>
          <w:szCs w:val="20"/>
          <w:lang w:val="es-UY"/>
        </w:rPr>
      </w:pPr>
      <w:hyperlink w:anchor="SECCION_1" w:history="1">
        <w:r w:rsidR="007F2C68" w:rsidRPr="007C4DED">
          <w:rPr>
            <w:rStyle w:val="Hipervnculo"/>
            <w:rFonts w:ascii="Arial" w:hAnsi="Arial" w:cs="Arial"/>
            <w:sz w:val="20"/>
            <w:szCs w:val="20"/>
            <w:lang w:val="es-UY"/>
          </w:rPr>
          <w:t>Sección I</w:t>
        </w:r>
      </w:hyperlink>
      <w:r w:rsidR="007F2C68" w:rsidRPr="007C4DED">
        <w:rPr>
          <w:rFonts w:ascii="Arial" w:hAnsi="Arial" w:cs="Arial"/>
          <w:sz w:val="20"/>
          <w:szCs w:val="20"/>
          <w:lang w:val="es-UY"/>
        </w:rPr>
        <w:t>:</w:t>
      </w:r>
      <w:r w:rsidR="00B14DCC" w:rsidRPr="007C4DED">
        <w:rPr>
          <w:rFonts w:ascii="Arial" w:hAnsi="Arial" w:cs="Arial"/>
          <w:sz w:val="20"/>
          <w:szCs w:val="20"/>
          <w:lang w:val="es-UY"/>
        </w:rPr>
        <w:t xml:space="preserve"> </w:t>
      </w:r>
      <w:r w:rsidR="007F2C68" w:rsidRPr="007C4DED">
        <w:rPr>
          <w:rFonts w:ascii="Arial" w:hAnsi="Arial" w:cs="Arial"/>
          <w:sz w:val="20"/>
          <w:szCs w:val="20"/>
          <w:lang w:val="es-UY"/>
        </w:rPr>
        <w:t>Pliego de Condiciones Administrativas con sus respectivos anexos.</w:t>
      </w:r>
      <w:r w:rsidR="00B14DCC" w:rsidRPr="007C4DED">
        <w:rPr>
          <w:rFonts w:ascii="Arial" w:hAnsi="Arial" w:cs="Arial"/>
          <w:sz w:val="20"/>
          <w:szCs w:val="20"/>
          <w:lang w:val="es-UY"/>
        </w:rPr>
        <w:t xml:space="preserve"> </w:t>
      </w:r>
      <w:r w:rsidR="007F2C68" w:rsidRPr="007C4DED">
        <w:rPr>
          <w:rFonts w:ascii="Arial" w:hAnsi="Arial" w:cs="Arial"/>
          <w:sz w:val="20"/>
          <w:szCs w:val="20"/>
          <w:lang w:val="es-UY"/>
        </w:rPr>
        <w:t xml:space="preserve"> </w:t>
      </w:r>
    </w:p>
    <w:p w14:paraId="47E1C2A1" w14:textId="77777777" w:rsidR="007F2C68" w:rsidRPr="007C4DED" w:rsidRDefault="00931785" w:rsidP="009A58E0">
      <w:pPr>
        <w:pStyle w:val="Prrafodelista"/>
        <w:numPr>
          <w:ilvl w:val="1"/>
          <w:numId w:val="132"/>
        </w:numPr>
        <w:jc w:val="both"/>
        <w:rPr>
          <w:rFonts w:ascii="Arial" w:hAnsi="Arial" w:cs="Arial"/>
          <w:sz w:val="20"/>
          <w:szCs w:val="20"/>
          <w:lang w:val="es-UY"/>
        </w:rPr>
      </w:pPr>
      <w:hyperlink w:anchor="SECCION_2" w:history="1">
        <w:r w:rsidR="007F2C68" w:rsidRPr="007C4DED">
          <w:rPr>
            <w:rStyle w:val="Hipervnculo"/>
            <w:rFonts w:ascii="Arial" w:hAnsi="Arial" w:cs="Arial"/>
            <w:sz w:val="20"/>
            <w:szCs w:val="20"/>
            <w:lang w:val="es-UY"/>
          </w:rPr>
          <w:t>Sección II</w:t>
        </w:r>
      </w:hyperlink>
      <w:r w:rsidR="007F2C68" w:rsidRPr="007C4DED">
        <w:rPr>
          <w:rFonts w:ascii="Arial" w:hAnsi="Arial" w:cs="Arial"/>
          <w:sz w:val="20"/>
          <w:szCs w:val="20"/>
          <w:lang w:val="es-UY"/>
        </w:rPr>
        <w:t>:</w:t>
      </w:r>
      <w:r w:rsidR="006F7BB6" w:rsidRPr="007C4DED">
        <w:rPr>
          <w:rFonts w:ascii="Arial" w:hAnsi="Arial" w:cs="Arial"/>
          <w:sz w:val="20"/>
          <w:szCs w:val="20"/>
          <w:lang w:val="es-UY"/>
        </w:rPr>
        <w:t xml:space="preserve"> </w:t>
      </w:r>
      <w:r w:rsidR="007F2C68" w:rsidRPr="007C4DED">
        <w:rPr>
          <w:rFonts w:ascii="Arial" w:hAnsi="Arial" w:cs="Arial"/>
          <w:sz w:val="20"/>
          <w:szCs w:val="20"/>
          <w:lang w:val="es-UY"/>
        </w:rPr>
        <w:t>Pliego de Condiciones Técnicas con sus respectivos anexos.</w:t>
      </w:r>
    </w:p>
    <w:p w14:paraId="3AF4687D" w14:textId="3E88D851" w:rsidR="00A6648B" w:rsidRPr="008B38C9" w:rsidRDefault="007F2C68" w:rsidP="00B578E8">
      <w:pPr>
        <w:pStyle w:val="Prrafodelista"/>
        <w:numPr>
          <w:ilvl w:val="0"/>
          <w:numId w:val="132"/>
        </w:numPr>
        <w:jc w:val="both"/>
        <w:rPr>
          <w:rFonts w:ascii="Arial" w:hAnsi="Arial" w:cs="Arial"/>
          <w:sz w:val="20"/>
          <w:szCs w:val="20"/>
          <w:lang w:val="es-UY"/>
        </w:rPr>
      </w:pPr>
      <w:r w:rsidRPr="008B38C9">
        <w:rPr>
          <w:rFonts w:ascii="Arial" w:hAnsi="Arial" w:cs="Arial"/>
          <w:sz w:val="20"/>
          <w:szCs w:val="20"/>
          <w:lang w:val="es-UY"/>
        </w:rPr>
        <w:t>Datos relativos al proyecto que no tendrán carácter vinculante para la Contratante, y se proporcionarán a efectos meramente informativos.</w:t>
      </w:r>
      <w:r w:rsidR="006B3860" w:rsidRPr="008B38C9">
        <w:rPr>
          <w:rFonts w:ascii="Arial" w:hAnsi="Arial" w:cs="Arial"/>
          <w:sz w:val="20"/>
          <w:szCs w:val="20"/>
          <w:lang w:val="es-UY"/>
        </w:rPr>
        <w:t xml:space="preserve"> </w:t>
      </w:r>
      <w:r w:rsidR="00AA63DD" w:rsidRPr="008B38C9">
        <w:rPr>
          <w:rFonts w:ascii="Arial" w:hAnsi="Arial" w:cs="Arial"/>
          <w:sz w:val="20"/>
          <w:szCs w:val="20"/>
          <w:lang w:val="es-UY"/>
        </w:rPr>
        <w:t xml:space="preserve">Ver: </w:t>
      </w:r>
      <w:hyperlink r:id="rId27" w:history="1">
        <w:r w:rsidR="00DC1A3C" w:rsidRPr="008B38C9">
          <w:rPr>
            <w:rStyle w:val="Hipervnculo"/>
          </w:rPr>
          <w:t xml:space="preserve"> </w:t>
        </w:r>
        <w:r w:rsidR="00DC1A3C" w:rsidRPr="008B38C9">
          <w:rPr>
            <w:rStyle w:val="Hipervnculo"/>
            <w:rFonts w:ascii="Arial" w:hAnsi="Arial" w:cs="Arial"/>
            <w:sz w:val="20"/>
            <w:szCs w:val="20"/>
            <w:lang w:val="es-UY"/>
          </w:rPr>
          <w:t>http://ppp.mef.gub.uy/20875/2/areas/proyecto-corredor-vial-circuito-6.html</w:t>
        </w:r>
      </w:hyperlink>
      <w:r w:rsidR="00B66C41" w:rsidRPr="008B38C9">
        <w:rPr>
          <w:rFonts w:ascii="Arial" w:hAnsi="Arial" w:cs="Arial"/>
          <w:sz w:val="20"/>
          <w:szCs w:val="20"/>
          <w:lang w:val="es-UY"/>
        </w:rPr>
        <w:t xml:space="preserve"> </w:t>
      </w:r>
    </w:p>
    <w:p w14:paraId="4D59609F" w14:textId="77777777" w:rsidR="007F2C68" w:rsidRPr="00336AC7" w:rsidRDefault="00A6648B" w:rsidP="00336AC7">
      <w:pPr>
        <w:jc w:val="both"/>
        <w:rPr>
          <w:rFonts w:ascii="Arial" w:hAnsi="Arial" w:cs="Arial"/>
          <w:sz w:val="20"/>
          <w:szCs w:val="20"/>
        </w:rPr>
      </w:pPr>
      <w:r>
        <w:rPr>
          <w:rFonts w:ascii="Arial" w:hAnsi="Arial" w:cs="Arial"/>
          <w:sz w:val="20"/>
          <w:szCs w:val="20"/>
        </w:rPr>
        <w:t>Las bases de contratación</w:t>
      </w:r>
      <w:r w:rsidR="007F2C68" w:rsidRPr="00336AC7">
        <w:rPr>
          <w:rFonts w:ascii="Arial" w:hAnsi="Arial" w:cs="Arial"/>
          <w:sz w:val="20"/>
          <w:szCs w:val="20"/>
        </w:rPr>
        <w:t xml:space="preserve"> podrá</w:t>
      </w:r>
      <w:r>
        <w:rPr>
          <w:rFonts w:ascii="Arial" w:hAnsi="Arial" w:cs="Arial"/>
          <w:sz w:val="20"/>
          <w:szCs w:val="20"/>
        </w:rPr>
        <w:t>n</w:t>
      </w:r>
      <w:r w:rsidR="007F2C68" w:rsidRPr="00336AC7">
        <w:rPr>
          <w:rFonts w:ascii="Arial" w:hAnsi="Arial" w:cs="Arial"/>
          <w:sz w:val="20"/>
          <w:szCs w:val="20"/>
        </w:rPr>
        <w:t xml:space="preserve"> adquirirse en Rincón 575 Piso 6, a partir de la fecha establecida en las publicaciones que se realicen, al precio de </w:t>
      </w:r>
      <w:r w:rsidR="00F716CF" w:rsidRPr="00336AC7">
        <w:rPr>
          <w:rFonts w:ascii="Arial" w:hAnsi="Arial" w:cs="Arial"/>
          <w:sz w:val="20"/>
          <w:szCs w:val="20"/>
        </w:rPr>
        <w:t>U$S</w:t>
      </w:r>
      <w:r w:rsidR="007F2C68" w:rsidRPr="00336AC7">
        <w:rPr>
          <w:rFonts w:ascii="Arial" w:hAnsi="Arial" w:cs="Arial"/>
          <w:sz w:val="20"/>
          <w:szCs w:val="20"/>
        </w:rPr>
        <w:t xml:space="preserve"> 5.000 (dólares estadounidenses cinco mil), y </w:t>
      </w:r>
      <w:r w:rsidR="007F2C68" w:rsidRPr="00336AC7">
        <w:rPr>
          <w:rFonts w:ascii="Arial" w:hAnsi="Arial" w:cs="Arial"/>
          <w:sz w:val="20"/>
          <w:szCs w:val="20"/>
        </w:rPr>
        <w:lastRenderedPageBreak/>
        <w:t xml:space="preserve">consultarse gratuitamente en la página de </w:t>
      </w:r>
      <w:hyperlink r:id="rId28" w:history="1">
        <w:r w:rsidR="007F2C68" w:rsidRPr="00336AC7">
          <w:rPr>
            <w:rStyle w:val="Hipervnculo"/>
            <w:rFonts w:ascii="Arial" w:hAnsi="Arial" w:cs="Arial"/>
            <w:sz w:val="20"/>
            <w:szCs w:val="20"/>
          </w:rPr>
          <w:t>www.comprasestatales.gub.uy</w:t>
        </w:r>
      </w:hyperlink>
      <w:r w:rsidR="007F2C68" w:rsidRPr="00336AC7">
        <w:rPr>
          <w:rFonts w:ascii="Arial" w:hAnsi="Arial" w:cs="Arial"/>
          <w:sz w:val="20"/>
          <w:szCs w:val="20"/>
        </w:rPr>
        <w:t xml:space="preserve">. </w:t>
      </w:r>
    </w:p>
    <w:p w14:paraId="78DC8C19" w14:textId="77777777" w:rsidR="007F2C68" w:rsidRPr="00336AC7" w:rsidRDefault="00426A62" w:rsidP="00336AC7">
      <w:pPr>
        <w:jc w:val="both"/>
        <w:rPr>
          <w:rFonts w:ascii="Arial" w:hAnsi="Arial" w:cs="Arial"/>
          <w:b/>
          <w:bCs/>
          <w:sz w:val="20"/>
          <w:szCs w:val="20"/>
          <w:lang w:val="es-UY"/>
        </w:rPr>
      </w:pPr>
      <w:r>
        <w:rPr>
          <w:rFonts w:ascii="Arial" w:hAnsi="Arial" w:cs="Arial"/>
          <w:sz w:val="20"/>
          <w:szCs w:val="20"/>
        </w:rPr>
        <w:t>S</w:t>
      </w:r>
      <w:r w:rsidR="007F2C68" w:rsidRPr="00336AC7">
        <w:rPr>
          <w:rFonts w:ascii="Arial" w:hAnsi="Arial" w:cs="Arial"/>
          <w:sz w:val="20"/>
          <w:szCs w:val="20"/>
        </w:rPr>
        <w:t xml:space="preserve">erá admisible como medio de pago transferencia bancaria a la Cuenta Corriente en U$S (dólares </w:t>
      </w:r>
      <w:r w:rsidR="00F716CF" w:rsidRPr="00336AC7">
        <w:rPr>
          <w:rFonts w:ascii="Arial" w:hAnsi="Arial" w:cs="Arial"/>
          <w:sz w:val="20"/>
          <w:szCs w:val="20"/>
        </w:rPr>
        <w:t>estadounidenses</w:t>
      </w:r>
      <w:r w:rsidR="007F2C68" w:rsidRPr="00336AC7">
        <w:rPr>
          <w:rFonts w:ascii="Arial" w:hAnsi="Arial" w:cs="Arial"/>
          <w:sz w:val="20"/>
          <w:szCs w:val="20"/>
        </w:rPr>
        <w:t>) N° 152.0030347 radicada en el Banco de la República Oriental del Uruguay</w:t>
      </w:r>
      <w:r w:rsidR="00420188">
        <w:rPr>
          <w:rFonts w:ascii="Arial" w:hAnsi="Arial" w:cs="Arial"/>
          <w:b/>
          <w:bCs/>
          <w:sz w:val="20"/>
          <w:szCs w:val="20"/>
          <w:lang w:val="es-UY"/>
        </w:rPr>
        <w:t xml:space="preserve">, </w:t>
      </w:r>
      <w:r w:rsidR="00420188" w:rsidRPr="00420188">
        <w:rPr>
          <w:rFonts w:ascii="Arial" w:hAnsi="Arial" w:cs="Arial"/>
          <w:bCs/>
          <w:sz w:val="20"/>
          <w:szCs w:val="20"/>
          <w:lang w:val="es-UY"/>
        </w:rPr>
        <w:t>siendo de cuenta del interesado el costo de la transferencia.</w:t>
      </w:r>
      <w:r w:rsidR="00420188">
        <w:rPr>
          <w:rFonts w:ascii="Arial" w:hAnsi="Arial" w:cs="Arial"/>
          <w:b/>
          <w:bCs/>
          <w:sz w:val="20"/>
          <w:szCs w:val="20"/>
          <w:lang w:val="es-UY"/>
        </w:rPr>
        <w:t xml:space="preserve"> </w:t>
      </w:r>
    </w:p>
    <w:p w14:paraId="3FF7A134"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Una vez efectuada la misma, deberá enviarse el comprobante de depósito escaneado a la dirección de correo: </w:t>
      </w:r>
      <w:r w:rsidR="00CA24FC">
        <w:rPr>
          <w:rFonts w:ascii="Arial" w:hAnsi="Arial" w:cs="Arial"/>
          <w:sz w:val="20"/>
          <w:szCs w:val="20"/>
        </w:rPr>
        <w:t>secretaria.ppp</w:t>
      </w:r>
      <w:r w:rsidRPr="00336AC7">
        <w:rPr>
          <w:rFonts w:ascii="Arial" w:hAnsi="Arial" w:cs="Arial"/>
          <w:sz w:val="20"/>
          <w:szCs w:val="20"/>
        </w:rPr>
        <w:t>@mtop.gub.uy</w:t>
      </w:r>
      <w:r w:rsidR="00B14DCC" w:rsidRPr="00336AC7">
        <w:rPr>
          <w:rFonts w:ascii="Arial" w:hAnsi="Arial" w:cs="Arial"/>
          <w:sz w:val="20"/>
          <w:szCs w:val="20"/>
        </w:rPr>
        <w:t xml:space="preserve"> </w:t>
      </w:r>
      <w:r w:rsidRPr="00336AC7">
        <w:rPr>
          <w:rFonts w:ascii="Arial" w:hAnsi="Arial" w:cs="Arial"/>
          <w:sz w:val="20"/>
          <w:szCs w:val="20"/>
        </w:rPr>
        <w:t>detallando claramente a nombre de qué oferente se realiza el mismo; una vez identificado se contestará mediante correo electrónico al remitente original con recibo de depósito escaneado.</w:t>
      </w:r>
    </w:p>
    <w:p w14:paraId="19F02721" w14:textId="0A922A34"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El banco donde se harán los depósitos </w:t>
      </w:r>
      <w:r w:rsidR="00426A62">
        <w:rPr>
          <w:rFonts w:ascii="Arial" w:hAnsi="Arial" w:cs="Arial"/>
          <w:sz w:val="20"/>
          <w:szCs w:val="20"/>
        </w:rPr>
        <w:t xml:space="preserve">correspondientes a la compra </w:t>
      </w:r>
      <w:r w:rsidRPr="00336AC7">
        <w:rPr>
          <w:rFonts w:ascii="Arial" w:hAnsi="Arial" w:cs="Arial"/>
          <w:sz w:val="20"/>
          <w:szCs w:val="20"/>
        </w:rPr>
        <w:t xml:space="preserve"> del Pliego es:</w:t>
      </w:r>
    </w:p>
    <w:p w14:paraId="2D19CB4C"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t>BANCO DE LA REPÚBLICA ORIENTAL DEL URUGUAY</w:t>
      </w:r>
    </w:p>
    <w:p w14:paraId="5198DFD3"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Cerrito N° 351, Montevideo-Uruguay</w:t>
      </w:r>
    </w:p>
    <w:p w14:paraId="70CF8AD9"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Teléfonos: 05982 1896 – 2428</w:t>
      </w:r>
    </w:p>
    <w:p w14:paraId="650EA7EE"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+ 5982 1896- 1625 1896</w:t>
      </w:r>
    </w:p>
    <w:p w14:paraId="7E4D5476" w14:textId="77777777" w:rsidR="007F2C68" w:rsidRPr="00336AC7" w:rsidRDefault="007F2C68" w:rsidP="00336AC7">
      <w:pPr>
        <w:jc w:val="both"/>
        <w:rPr>
          <w:rFonts w:ascii="Arial" w:hAnsi="Arial" w:cs="Arial"/>
          <w:sz w:val="20"/>
          <w:szCs w:val="20"/>
          <w:lang w:val="es-UY"/>
        </w:rPr>
      </w:pPr>
      <w:r w:rsidRPr="00336AC7">
        <w:rPr>
          <w:rFonts w:ascii="Arial" w:hAnsi="Arial" w:cs="Arial"/>
          <w:sz w:val="20"/>
          <w:szCs w:val="20"/>
          <w:lang w:val="es-UY"/>
        </w:rPr>
        <w:lastRenderedPageBreak/>
        <w:t>BANCO DE LA REPÚBLICA ORIENTAL DEL URUGUAY</w:t>
      </w:r>
    </w:p>
    <w:p w14:paraId="77AE2E7F"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18 de Julio N° 1670 Montevideo-Uruguay</w:t>
      </w:r>
    </w:p>
    <w:p w14:paraId="703AB33F" w14:textId="77777777" w:rsidR="007F2C68" w:rsidRPr="00336AC7" w:rsidRDefault="007F2C68" w:rsidP="00336AC7">
      <w:pPr>
        <w:jc w:val="both"/>
        <w:rPr>
          <w:rFonts w:ascii="Arial" w:hAnsi="Arial" w:cs="Arial"/>
          <w:sz w:val="20"/>
          <w:szCs w:val="20"/>
          <w:lang w:val="pt-BR"/>
        </w:rPr>
      </w:pPr>
      <w:r w:rsidRPr="00336AC7">
        <w:rPr>
          <w:rFonts w:ascii="Arial" w:hAnsi="Arial" w:cs="Arial"/>
          <w:sz w:val="20"/>
          <w:szCs w:val="20"/>
          <w:lang w:val="pt-BR"/>
        </w:rPr>
        <w:t>Teléfono: + 5982 900 2900</w:t>
      </w:r>
    </w:p>
    <w:p w14:paraId="16FB747F" w14:textId="77777777" w:rsidR="007F2C68" w:rsidRPr="00336AC7" w:rsidRDefault="007F2C68" w:rsidP="00336AC7">
      <w:pPr>
        <w:jc w:val="both"/>
        <w:rPr>
          <w:rFonts w:ascii="Arial" w:hAnsi="Arial" w:cs="Arial"/>
          <w:sz w:val="20"/>
          <w:szCs w:val="20"/>
          <w:lang w:val="en-US"/>
        </w:rPr>
      </w:pPr>
      <w:r w:rsidRPr="00336AC7">
        <w:rPr>
          <w:rFonts w:ascii="Arial" w:hAnsi="Arial" w:cs="Arial"/>
          <w:sz w:val="20"/>
          <w:szCs w:val="20"/>
          <w:lang w:val="en-US"/>
        </w:rPr>
        <w:t>Web: http://www.bancorepublica.com.uy</w:t>
      </w:r>
    </w:p>
    <w:p w14:paraId="47B0E24F" w14:textId="77777777" w:rsidR="007F2C68" w:rsidRPr="00336AC7" w:rsidRDefault="00931785" w:rsidP="00336AC7">
      <w:pPr>
        <w:jc w:val="both"/>
        <w:rPr>
          <w:rFonts w:ascii="Arial" w:hAnsi="Arial" w:cs="Arial"/>
          <w:sz w:val="20"/>
          <w:szCs w:val="20"/>
        </w:rPr>
      </w:pPr>
      <w:hyperlink r:id="rId29" w:history="1">
        <w:r w:rsidR="007F2C68" w:rsidRPr="00336AC7">
          <w:rPr>
            <w:rFonts w:ascii="Arial" w:hAnsi="Arial" w:cs="Arial"/>
            <w:sz w:val="20"/>
            <w:szCs w:val="20"/>
          </w:rPr>
          <w:t>http://www.brou.com.uy</w:t>
        </w:r>
      </w:hyperlink>
    </w:p>
    <w:p w14:paraId="67E6D70D"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CUENTA en dólares estadounidenses: N° 152.0030347</w:t>
      </w:r>
    </w:p>
    <w:p w14:paraId="1DD4EC36" w14:textId="77777777" w:rsidR="00BC3689" w:rsidRPr="00336AC7" w:rsidRDefault="007F2C68" w:rsidP="00336AC7">
      <w:pPr>
        <w:jc w:val="both"/>
        <w:rPr>
          <w:rFonts w:ascii="Arial" w:hAnsi="Arial" w:cs="Arial"/>
          <w:sz w:val="20"/>
          <w:szCs w:val="20"/>
        </w:rPr>
      </w:pPr>
      <w:r w:rsidRPr="00336AC7">
        <w:rPr>
          <w:rFonts w:ascii="Arial" w:hAnsi="Arial" w:cs="Arial"/>
          <w:sz w:val="20"/>
          <w:szCs w:val="20"/>
        </w:rPr>
        <w:t>CÓDIGO SWIFT: BROU UY MM</w:t>
      </w:r>
    </w:p>
    <w:p w14:paraId="0C7688F8"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Los oferentes deberán estudiar la documentación del llamado a fin de conocer los detalles y circunstancias que pudieran afectar su oferta y su consecuente calificación. </w:t>
      </w:r>
    </w:p>
    <w:p w14:paraId="3A715228"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En el caso que se registre alguna diferencia entre el Pliego y demás documentos</w:t>
      </w:r>
      <w:r w:rsidR="00B14DCC" w:rsidRPr="00336AC7">
        <w:rPr>
          <w:rFonts w:ascii="Arial" w:hAnsi="Arial" w:cs="Arial"/>
          <w:sz w:val="20"/>
          <w:szCs w:val="20"/>
        </w:rPr>
        <w:t xml:space="preserve"> </w:t>
      </w:r>
      <w:r w:rsidRPr="00336AC7">
        <w:rPr>
          <w:rFonts w:ascii="Arial" w:hAnsi="Arial" w:cs="Arial"/>
          <w:sz w:val="20"/>
          <w:szCs w:val="20"/>
        </w:rPr>
        <w:t>suministrados por la Contratante y el publicado en Internet, valdrán siempre los primeros.</w:t>
      </w:r>
    </w:p>
    <w:p w14:paraId="2869ADFC"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 xml:space="preserve">Toda consulta que efectúen los interesados u oferentes sobre la interpretación de los documentos que rigen este llamado deberá realizarse por escrito, presentándose ante la División Apoyo-Departamento Secretaría General de la Dirección Nacional de Vialidad del Ministerio de Transporte y Obras Públicas, sita en Rincón 575, piso 8 de la ciudad de Montevideo, </w:t>
      </w:r>
      <w:r w:rsidR="00EE5112">
        <w:rPr>
          <w:rFonts w:ascii="Arial" w:hAnsi="Arial" w:cs="Arial"/>
          <w:sz w:val="20"/>
          <w:szCs w:val="20"/>
        </w:rPr>
        <w:t xml:space="preserve">enviándolo a través del </w:t>
      </w:r>
      <w:r w:rsidRPr="00336AC7">
        <w:rPr>
          <w:rFonts w:ascii="Arial" w:hAnsi="Arial" w:cs="Arial"/>
          <w:sz w:val="20"/>
          <w:szCs w:val="20"/>
        </w:rPr>
        <w:lastRenderedPageBreak/>
        <w:t>Fax Nº 29164684</w:t>
      </w:r>
      <w:r w:rsidR="00EE5112">
        <w:rPr>
          <w:rFonts w:ascii="Arial" w:hAnsi="Arial" w:cs="Arial"/>
          <w:sz w:val="20"/>
          <w:szCs w:val="20"/>
        </w:rPr>
        <w:t xml:space="preserve"> o mediante correo electrónico a </w:t>
      </w:r>
      <w:r w:rsidR="00CA24FC">
        <w:rPr>
          <w:rFonts w:ascii="Arial" w:hAnsi="Arial" w:cs="Arial"/>
          <w:sz w:val="20"/>
          <w:szCs w:val="20"/>
        </w:rPr>
        <w:t>secretaria.ppp</w:t>
      </w:r>
      <w:r w:rsidR="00EE5112" w:rsidRPr="00336AC7">
        <w:rPr>
          <w:rFonts w:ascii="Arial" w:hAnsi="Arial" w:cs="Arial"/>
          <w:sz w:val="20"/>
          <w:szCs w:val="20"/>
        </w:rPr>
        <w:t>@mtop.gub.uy</w:t>
      </w:r>
      <w:r w:rsidR="00EE5112">
        <w:rPr>
          <w:rFonts w:ascii="Arial" w:hAnsi="Arial" w:cs="Arial"/>
          <w:sz w:val="20"/>
          <w:szCs w:val="20"/>
        </w:rPr>
        <w:t xml:space="preserve"> en formato MS-Word o compatible</w:t>
      </w:r>
      <w:r w:rsidRPr="00336AC7">
        <w:rPr>
          <w:rFonts w:ascii="Arial" w:hAnsi="Arial" w:cs="Arial"/>
          <w:sz w:val="20"/>
          <w:szCs w:val="20"/>
        </w:rPr>
        <w:t>, hasta 30 días antes de la fecha fijada para la apertura de las propuestas.</w:t>
      </w:r>
    </w:p>
    <w:p w14:paraId="79447423"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Las respuestas a tales consultas, sin identificar su procedencia, serán comunicadas a todos los adquirentes del Plieg</w:t>
      </w:r>
      <w:r w:rsidR="009D0232" w:rsidRPr="00336AC7">
        <w:rPr>
          <w:rFonts w:ascii="Arial" w:hAnsi="Arial" w:cs="Arial"/>
          <w:sz w:val="20"/>
          <w:szCs w:val="20"/>
        </w:rPr>
        <w:t xml:space="preserve">o en su domicilio electrónico, </w:t>
      </w:r>
      <w:r w:rsidRPr="00336AC7">
        <w:rPr>
          <w:rFonts w:ascii="Arial" w:hAnsi="Arial" w:cs="Arial"/>
          <w:sz w:val="20"/>
          <w:szCs w:val="20"/>
        </w:rPr>
        <w:t xml:space="preserve">y publicadas en la página </w:t>
      </w:r>
      <w:hyperlink r:id="rId30" w:history="1">
        <w:r w:rsidR="009D0232" w:rsidRPr="00B45110">
          <w:rPr>
            <w:rFonts w:ascii="Arial" w:hAnsi="Arial" w:cs="Arial"/>
            <w:sz w:val="20"/>
            <w:szCs w:val="20"/>
          </w:rPr>
          <w:t>http://www.mtop.gub.uy</w:t>
        </w:r>
      </w:hyperlink>
      <w:r w:rsidR="00EE5112" w:rsidRPr="00B45110">
        <w:rPr>
          <w:rFonts w:ascii="Arial" w:hAnsi="Arial" w:cs="Arial"/>
          <w:sz w:val="20"/>
          <w:szCs w:val="20"/>
        </w:rPr>
        <w:t xml:space="preserve"> y </w:t>
      </w:r>
      <w:hyperlink r:id="rId31" w:history="1">
        <w:r w:rsidR="00EE5112" w:rsidRPr="00336AC7">
          <w:rPr>
            <w:rStyle w:val="Hipervnculo"/>
            <w:rFonts w:ascii="Arial" w:hAnsi="Arial" w:cs="Arial"/>
            <w:sz w:val="20"/>
            <w:szCs w:val="20"/>
          </w:rPr>
          <w:t>www.comprasestatales.gub.uy</w:t>
        </w:r>
      </w:hyperlink>
      <w:r w:rsidRPr="00336AC7">
        <w:rPr>
          <w:rFonts w:ascii="Arial" w:hAnsi="Arial" w:cs="Arial"/>
          <w:sz w:val="20"/>
          <w:szCs w:val="20"/>
        </w:rPr>
        <w:t>, hasta 15 días antes de que venza el plazo para presentación de las ofertas.</w:t>
      </w:r>
    </w:p>
    <w:p w14:paraId="52284984" w14:textId="77777777" w:rsidR="007F2C68" w:rsidRPr="00336AC7" w:rsidRDefault="00CA24FC" w:rsidP="00336AC7">
      <w:pPr>
        <w:jc w:val="both"/>
        <w:rPr>
          <w:rFonts w:ascii="Arial" w:hAnsi="Arial" w:cs="Arial"/>
          <w:sz w:val="20"/>
          <w:szCs w:val="20"/>
        </w:rPr>
      </w:pPr>
      <w:r>
        <w:rPr>
          <w:rFonts w:ascii="Arial" w:hAnsi="Arial" w:cs="Arial"/>
          <w:sz w:val="20"/>
          <w:szCs w:val="20"/>
        </w:rPr>
        <w:t>Sobre la</w:t>
      </w:r>
      <w:r w:rsidR="007F2C68" w:rsidRPr="00336AC7">
        <w:rPr>
          <w:rFonts w:ascii="Arial" w:hAnsi="Arial" w:cs="Arial"/>
          <w:sz w:val="20"/>
          <w:szCs w:val="20"/>
        </w:rPr>
        <w:t>s</w:t>
      </w:r>
      <w:r>
        <w:rPr>
          <w:rFonts w:ascii="Arial" w:hAnsi="Arial" w:cs="Arial"/>
          <w:sz w:val="20"/>
          <w:szCs w:val="20"/>
        </w:rPr>
        <w:t xml:space="preserve"> respuestas que se comuniquen en el periodo de 30 días previos a la fecha de presentación de las ofertas</w:t>
      </w:r>
      <w:r w:rsidR="007F2C68" w:rsidRPr="00336AC7">
        <w:rPr>
          <w:rFonts w:ascii="Arial" w:hAnsi="Arial" w:cs="Arial"/>
          <w:sz w:val="20"/>
          <w:szCs w:val="20"/>
        </w:rPr>
        <w:t>, podrán solicitarse aclaraciones, dentro de los 3 días siguientes a que las mismas fueron comunicadas; siendo evacuadas dentro de los 5 días siguientes, por los mismos medios.</w:t>
      </w:r>
    </w:p>
    <w:p w14:paraId="6E992EE2" w14:textId="77777777" w:rsidR="007F2C68" w:rsidRPr="00336AC7" w:rsidRDefault="007F2C68" w:rsidP="00336AC7">
      <w:pPr>
        <w:jc w:val="both"/>
        <w:rPr>
          <w:rFonts w:ascii="Arial" w:hAnsi="Arial" w:cs="Arial"/>
          <w:sz w:val="20"/>
          <w:szCs w:val="20"/>
        </w:rPr>
      </w:pPr>
      <w:r w:rsidRPr="00336AC7">
        <w:rPr>
          <w:rFonts w:ascii="Arial" w:hAnsi="Arial" w:cs="Arial"/>
          <w:sz w:val="20"/>
          <w:szCs w:val="20"/>
        </w:rPr>
        <w:t>Las modificaciones a</w:t>
      </w:r>
      <w:r w:rsidR="00B14DCC" w:rsidRPr="00336AC7">
        <w:rPr>
          <w:rFonts w:ascii="Arial" w:hAnsi="Arial" w:cs="Arial"/>
          <w:sz w:val="20"/>
          <w:szCs w:val="20"/>
        </w:rPr>
        <w:t xml:space="preserve"> </w:t>
      </w:r>
      <w:r w:rsidRPr="00336AC7">
        <w:rPr>
          <w:rFonts w:ascii="Arial" w:hAnsi="Arial" w:cs="Arial"/>
          <w:sz w:val="20"/>
          <w:szCs w:val="20"/>
        </w:rPr>
        <w:t>las condicion</w:t>
      </w:r>
      <w:r w:rsidR="00463F09">
        <w:rPr>
          <w:rFonts w:ascii="Arial" w:hAnsi="Arial" w:cs="Arial"/>
          <w:sz w:val="20"/>
          <w:szCs w:val="20"/>
        </w:rPr>
        <w:t>es que rigen este procedimiento</w:t>
      </w:r>
      <w:r w:rsidRPr="00336AC7">
        <w:rPr>
          <w:rFonts w:ascii="Arial" w:hAnsi="Arial" w:cs="Arial"/>
          <w:sz w:val="20"/>
          <w:szCs w:val="20"/>
        </w:rPr>
        <w:t xml:space="preserve"> será</w:t>
      </w:r>
      <w:r w:rsidR="00463F09">
        <w:rPr>
          <w:rFonts w:ascii="Arial" w:hAnsi="Arial" w:cs="Arial"/>
          <w:sz w:val="20"/>
          <w:szCs w:val="20"/>
        </w:rPr>
        <w:t>n</w:t>
      </w:r>
      <w:r w:rsidRPr="00336AC7">
        <w:rPr>
          <w:rFonts w:ascii="Arial" w:hAnsi="Arial" w:cs="Arial"/>
          <w:sz w:val="20"/>
          <w:szCs w:val="20"/>
        </w:rPr>
        <w:t xml:space="preserve"> notificada</w:t>
      </w:r>
      <w:r w:rsidR="00463F09">
        <w:rPr>
          <w:rFonts w:ascii="Arial" w:hAnsi="Arial" w:cs="Arial"/>
          <w:sz w:val="20"/>
          <w:szCs w:val="20"/>
        </w:rPr>
        <w:t>s</w:t>
      </w:r>
      <w:r w:rsidRPr="00336AC7">
        <w:rPr>
          <w:rFonts w:ascii="Arial" w:hAnsi="Arial" w:cs="Arial"/>
          <w:sz w:val="20"/>
          <w:szCs w:val="20"/>
        </w:rPr>
        <w:t xml:space="preserve"> a todos los adquirentes del Pliego, hasta 7 días </w:t>
      </w:r>
      <w:r w:rsidR="00463F09">
        <w:rPr>
          <w:rFonts w:ascii="Arial" w:hAnsi="Arial" w:cs="Arial"/>
          <w:sz w:val="20"/>
          <w:szCs w:val="20"/>
        </w:rPr>
        <w:t xml:space="preserve">antes de la fecha de apertura, pudiendo la misma ser modificada en cualquier momento. </w:t>
      </w:r>
    </w:p>
    <w:p w14:paraId="05A87D74" w14:textId="77777777" w:rsidR="007F2C68" w:rsidRPr="00336AC7" w:rsidRDefault="007F2C68" w:rsidP="00E61CFA">
      <w:pPr>
        <w:jc w:val="both"/>
        <w:rPr>
          <w:rFonts w:ascii="Arial" w:hAnsi="Arial" w:cs="Arial"/>
          <w:sz w:val="20"/>
          <w:szCs w:val="20"/>
        </w:rPr>
      </w:pPr>
      <w:r w:rsidRPr="00336AC7">
        <w:rPr>
          <w:rFonts w:ascii="Arial" w:hAnsi="Arial" w:cs="Arial"/>
          <w:sz w:val="20"/>
          <w:szCs w:val="20"/>
        </w:rPr>
        <w:t>La Contratante no contrae obligaciones ni asume responsabilidad de especie alguna por esta convocatoria. Podrá dejar sin efecto el presente procedimiento sin que ello implique motivo alguno a re</w:t>
      </w:r>
      <w:r w:rsidRPr="00336AC7">
        <w:rPr>
          <w:rFonts w:ascii="Arial" w:hAnsi="Arial" w:cs="Arial"/>
          <w:sz w:val="20"/>
          <w:szCs w:val="20"/>
        </w:rPr>
        <w:lastRenderedPageBreak/>
        <w:t>clamación o indemnización por parte de los interesados en el llamado, ni de los oferentes, en cualquier etapa de la licitación previa a la adjudicación.</w:t>
      </w:r>
    </w:p>
    <w:p w14:paraId="2BE18D9B" w14:textId="77777777" w:rsidR="007F2C68" w:rsidRPr="00EF37C1" w:rsidRDefault="007F2C68" w:rsidP="009A58E0">
      <w:pPr>
        <w:pStyle w:val="T1"/>
        <w:numPr>
          <w:ilvl w:val="0"/>
          <w:numId w:val="90"/>
        </w:numPr>
        <w:outlineLvl w:val="2"/>
      </w:pPr>
      <w:bookmarkStart w:id="46" w:name="_Toc468287970"/>
      <w:bookmarkStart w:id="47" w:name="_Toc496266563"/>
      <w:bookmarkStart w:id="48" w:name="Lit_9"/>
      <w:r w:rsidRPr="00EF37C1">
        <w:t>PLAZOS</w:t>
      </w:r>
      <w:bookmarkEnd w:id="46"/>
      <w:bookmarkEnd w:id="47"/>
    </w:p>
    <w:bookmarkEnd w:id="48"/>
    <w:p w14:paraId="07022B35"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Los plazos señalados en el procedimiento de contratación se cuentan por días corridos, a excepción de aquellos en que se deja expresa constancia que su cómputo procede en días hábiles. A tal efecto, se entiende por días hábiles aquellos en que funcionen las oficinas de la Contratante.</w:t>
      </w:r>
    </w:p>
    <w:p w14:paraId="7940570F"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Los plazos se contarán a partir del día siguiente a aquél en que tenga lugar la notificación o publicación del acto de que se trate y vencen en el último momento hábil del horario de oficina del día respectivo. En caso de que el vencimiento del plazo ocurriera en un día feriado o inhábil, el mismo se extenderá hasta el día hábil inmediato siguiente. </w:t>
      </w:r>
    </w:p>
    <w:p w14:paraId="3458CD3E" w14:textId="77777777" w:rsidR="007F2C68" w:rsidRPr="00EF37C1" w:rsidRDefault="007F2C68" w:rsidP="009A58E0">
      <w:pPr>
        <w:pStyle w:val="T1"/>
        <w:numPr>
          <w:ilvl w:val="0"/>
          <w:numId w:val="90"/>
        </w:numPr>
        <w:outlineLvl w:val="2"/>
      </w:pPr>
      <w:bookmarkStart w:id="49" w:name="_Toc468287971"/>
      <w:bookmarkStart w:id="50" w:name="_Toc496266564"/>
      <w:bookmarkStart w:id="51" w:name="Lit_10"/>
      <w:r w:rsidRPr="00EF37C1">
        <w:t>NOTIFICACIONES</w:t>
      </w:r>
      <w:bookmarkEnd w:id="49"/>
      <w:bookmarkEnd w:id="50"/>
    </w:p>
    <w:bookmarkEnd w:id="51"/>
    <w:p w14:paraId="4DC6817D"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 xml:space="preserve">Las comunicaciones y resoluciones de </w:t>
      </w:r>
      <w:r>
        <w:rPr>
          <w:rFonts w:ascii="Arial" w:hAnsi="Arial" w:cs="Arial"/>
          <w:sz w:val="20"/>
          <w:szCs w:val="20"/>
        </w:rPr>
        <w:t xml:space="preserve">la Contratante </w:t>
      </w:r>
      <w:r w:rsidRPr="00BA412B">
        <w:rPr>
          <w:rFonts w:ascii="Arial" w:hAnsi="Arial" w:cs="Arial"/>
          <w:sz w:val="20"/>
          <w:szCs w:val="20"/>
        </w:rPr>
        <w:t>dictadas durante la tramitación del</w:t>
      </w:r>
      <w:r w:rsidR="00B14DCC">
        <w:rPr>
          <w:rFonts w:ascii="Arial" w:hAnsi="Arial" w:cs="Arial"/>
          <w:sz w:val="20"/>
          <w:szCs w:val="20"/>
        </w:rPr>
        <w:t xml:space="preserve"> </w:t>
      </w:r>
      <w:r w:rsidRPr="00BA412B">
        <w:rPr>
          <w:rFonts w:ascii="Arial" w:hAnsi="Arial" w:cs="Arial"/>
          <w:sz w:val="20"/>
          <w:szCs w:val="20"/>
        </w:rPr>
        <w:t xml:space="preserve">procedimiento de contratación, serán notificadas personalmente al interesado. </w:t>
      </w:r>
    </w:p>
    <w:p w14:paraId="53627A91"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lastRenderedPageBreak/>
        <w:t>La notificación personal se realizará en el domicilio electrónico constituido y se considerará realizada cuando esté disponible en la casilla de destino.</w:t>
      </w:r>
    </w:p>
    <w:p w14:paraId="0404E492"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Las notificaciones que deban practicarse acompañadas de documentos emitidos en soporte papel, se entenderán efectuadas en el momento en que el interesado retire o acceda a las correspondientes copias, actuaciones o expediente administrativo en su caso.</w:t>
      </w:r>
    </w:p>
    <w:p w14:paraId="4AC16AFD" w14:textId="77777777" w:rsidR="007F2C68" w:rsidRPr="00BA412B" w:rsidRDefault="007F2C68" w:rsidP="007F2C68">
      <w:pPr>
        <w:widowControl w:val="0"/>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BA412B">
        <w:rPr>
          <w:rFonts w:ascii="Arial" w:hAnsi="Arial" w:cs="Arial"/>
          <w:sz w:val="20"/>
          <w:szCs w:val="20"/>
        </w:rPr>
        <w:t>Se</w:t>
      </w:r>
      <w:r w:rsidR="00B14DCC">
        <w:rPr>
          <w:rFonts w:ascii="Arial" w:hAnsi="Arial" w:cs="Arial"/>
          <w:sz w:val="20"/>
          <w:szCs w:val="20"/>
        </w:rPr>
        <w:t xml:space="preserve"> </w:t>
      </w:r>
      <w:r w:rsidRPr="00BA412B">
        <w:rPr>
          <w:rFonts w:ascii="Arial" w:hAnsi="Arial" w:cs="Arial"/>
          <w:sz w:val="20"/>
          <w:szCs w:val="20"/>
        </w:rPr>
        <w:t xml:space="preserve">dejará expresa constancia de tal circunstancia o, en su defecto, luego de transcurridos tres días hábiles contados del siguiente al que estuviere disponible la comunicación electrónica en la casilla del interesado, siempre que la documentación estuviere disponible para su consulta en las oficinas de la Contratante. </w:t>
      </w:r>
    </w:p>
    <w:p w14:paraId="79323D5B" w14:textId="77777777" w:rsidR="007F2C68" w:rsidRPr="00EF37C1" w:rsidRDefault="007F2C68" w:rsidP="009A58E0">
      <w:pPr>
        <w:pStyle w:val="T1"/>
        <w:numPr>
          <w:ilvl w:val="0"/>
          <w:numId w:val="90"/>
        </w:numPr>
        <w:outlineLvl w:val="2"/>
      </w:pPr>
      <w:bookmarkStart w:id="52" w:name="_Toc468287972"/>
      <w:bookmarkStart w:id="53" w:name="_Toc496266565"/>
      <w:bookmarkStart w:id="54" w:name="Lit_11"/>
      <w:r w:rsidRPr="00EF37C1">
        <w:t>DOCUMENTACIÓN CONTRACTUAL</w:t>
      </w:r>
      <w:bookmarkEnd w:id="52"/>
      <w:bookmarkEnd w:id="53"/>
    </w:p>
    <w:bookmarkEnd w:id="54"/>
    <w:p w14:paraId="1768B6E9" w14:textId="77777777" w:rsidR="007F2C68" w:rsidRPr="00EF37C1" w:rsidRDefault="007F2C68" w:rsidP="007F2C68">
      <w:pPr>
        <w:autoSpaceDE w:val="0"/>
        <w:autoSpaceDN w:val="0"/>
        <w:adjustRightInd w:val="0"/>
        <w:spacing w:after="120" w:line="360" w:lineRule="auto"/>
        <w:rPr>
          <w:rFonts w:ascii="Arial" w:hAnsi="Arial" w:cs="Arial"/>
          <w:sz w:val="20"/>
          <w:szCs w:val="20"/>
          <w:lang w:val="es-UY"/>
        </w:rPr>
      </w:pPr>
      <w:r w:rsidRPr="00EF37C1">
        <w:rPr>
          <w:rFonts w:ascii="Arial" w:hAnsi="Arial" w:cs="Arial"/>
          <w:sz w:val="20"/>
          <w:szCs w:val="20"/>
          <w:lang w:val="es-UY"/>
        </w:rPr>
        <w:t>Tendrán carácter contractual los siguientes documentos:</w:t>
      </w:r>
    </w:p>
    <w:p w14:paraId="273DBD05"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El contrato firmado entre el Contratista</w:t>
      </w:r>
      <w:r w:rsidR="00B14DCC">
        <w:rPr>
          <w:rFonts w:ascii="Arial" w:hAnsi="Arial" w:cs="Arial"/>
          <w:sz w:val="20"/>
          <w:szCs w:val="20"/>
          <w:lang w:val="es-UY"/>
        </w:rPr>
        <w:t xml:space="preserve"> </w:t>
      </w:r>
      <w:r w:rsidRPr="009A055B">
        <w:rPr>
          <w:rFonts w:ascii="Arial" w:hAnsi="Arial" w:cs="Arial"/>
          <w:sz w:val="20"/>
          <w:szCs w:val="20"/>
          <w:lang w:val="es-UY"/>
        </w:rPr>
        <w:t>y la Contratante.</w:t>
      </w:r>
    </w:p>
    <w:p w14:paraId="06894163"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rPr>
        <w:t>El PCA y el PCT con los respectivos documentos aclaratorios y/o modificaciones</w:t>
      </w:r>
      <w:r w:rsidRPr="009A055B">
        <w:rPr>
          <w:rFonts w:ascii="Arial" w:hAnsi="Arial" w:cs="Arial"/>
          <w:sz w:val="20"/>
          <w:szCs w:val="20"/>
          <w:lang w:val="es-UY"/>
        </w:rPr>
        <w:t xml:space="preserve"> realizadas</w:t>
      </w:r>
      <w:r w:rsidR="00B14DCC">
        <w:rPr>
          <w:rFonts w:ascii="Arial" w:hAnsi="Arial" w:cs="Arial"/>
          <w:sz w:val="20"/>
          <w:szCs w:val="20"/>
          <w:lang w:val="es-UY"/>
        </w:rPr>
        <w:t xml:space="preserve"> </w:t>
      </w:r>
      <w:r w:rsidRPr="009A055B">
        <w:rPr>
          <w:rFonts w:ascii="Arial" w:hAnsi="Arial" w:cs="Arial"/>
          <w:sz w:val="20"/>
          <w:szCs w:val="20"/>
          <w:lang w:val="es-UY"/>
        </w:rPr>
        <w:t>hasta la fecha de apertura del llamado.</w:t>
      </w:r>
    </w:p>
    <w:p w14:paraId="5A9E1AE6" w14:textId="77777777" w:rsidR="007F2C68" w:rsidRDefault="007F2C68" w:rsidP="009A58E0">
      <w:pPr>
        <w:pStyle w:val="Prrafodelista"/>
        <w:numPr>
          <w:ilvl w:val="0"/>
          <w:numId w:val="80"/>
        </w:numPr>
        <w:autoSpaceDE w:val="0"/>
        <w:autoSpaceDN w:val="0"/>
        <w:adjustRightInd w:val="0"/>
        <w:spacing w:after="0" w:line="360" w:lineRule="auto"/>
        <w:rPr>
          <w:rFonts w:ascii="Arial" w:hAnsi="Arial" w:cs="Arial"/>
          <w:sz w:val="20"/>
          <w:szCs w:val="20"/>
          <w:lang w:val="es-UY"/>
        </w:rPr>
      </w:pPr>
      <w:r w:rsidRPr="009A055B">
        <w:rPr>
          <w:rFonts w:ascii="Arial" w:hAnsi="Arial" w:cs="Arial"/>
          <w:sz w:val="20"/>
          <w:szCs w:val="20"/>
          <w:lang w:val="es-UY"/>
        </w:rPr>
        <w:t>La oferta presentada por el oferente.</w:t>
      </w:r>
    </w:p>
    <w:p w14:paraId="7E7AE2A3" w14:textId="77777777" w:rsidR="007F2C68" w:rsidRPr="00EF37C1" w:rsidRDefault="007F2C68" w:rsidP="007F2C68">
      <w:pPr>
        <w:autoSpaceDE w:val="0"/>
        <w:autoSpaceDN w:val="0"/>
        <w:adjustRightInd w:val="0"/>
        <w:spacing w:before="120" w:after="0"/>
        <w:jc w:val="both"/>
        <w:rPr>
          <w:rFonts w:ascii="Arial" w:hAnsi="Arial" w:cs="Arial"/>
          <w:sz w:val="20"/>
          <w:szCs w:val="20"/>
          <w:lang w:val="es-UY"/>
        </w:rPr>
      </w:pPr>
      <w:r w:rsidRPr="00EF37C1">
        <w:rPr>
          <w:rFonts w:ascii="Arial" w:hAnsi="Arial" w:cs="Arial"/>
          <w:sz w:val="20"/>
          <w:szCs w:val="20"/>
          <w:lang w:val="es-UY"/>
        </w:rPr>
        <w:lastRenderedPageBreak/>
        <w:t>Para el caso de existir contradicción en sus términos, los documentos relacionados se interpretarán teniendo en consideración el orden de prelación por el que se enumeran en la presente cláusula, de modo que cada uno de ellos tendrá preferencia respecto a los que le siguen en orden.</w:t>
      </w:r>
    </w:p>
    <w:p w14:paraId="4B55756F" w14:textId="77777777" w:rsidR="007F2C68" w:rsidRPr="00EF37C1" w:rsidRDefault="007F2C68" w:rsidP="009A58E0">
      <w:pPr>
        <w:pStyle w:val="T1"/>
        <w:numPr>
          <w:ilvl w:val="0"/>
          <w:numId w:val="90"/>
        </w:numPr>
        <w:outlineLvl w:val="2"/>
      </w:pPr>
      <w:bookmarkStart w:id="55" w:name="_Toc468287973"/>
      <w:bookmarkStart w:id="56" w:name="_Toc496266566"/>
      <w:bookmarkStart w:id="57" w:name="Lit_12"/>
      <w:r w:rsidRPr="00EF37C1">
        <w:t>OFERENTES ELEGIBLES</w:t>
      </w:r>
      <w:bookmarkEnd w:id="55"/>
      <w:bookmarkEnd w:id="56"/>
    </w:p>
    <w:bookmarkEnd w:id="57"/>
    <w:p w14:paraId="288704A8" w14:textId="77777777" w:rsidR="007F2C68" w:rsidRPr="00EF37C1" w:rsidRDefault="007F2C68" w:rsidP="007F2C68">
      <w:pPr>
        <w:autoSpaceDE w:val="0"/>
        <w:autoSpaceDN w:val="0"/>
        <w:adjustRightInd w:val="0"/>
        <w:spacing w:after="0"/>
        <w:jc w:val="both"/>
        <w:rPr>
          <w:rFonts w:ascii="Arial" w:hAnsi="Arial" w:cs="Arial"/>
          <w:color w:val="000000"/>
          <w:sz w:val="20"/>
          <w:szCs w:val="20"/>
          <w:lang w:val="es-UY" w:eastAsia="es-UY"/>
        </w:rPr>
      </w:pPr>
      <w:r w:rsidRPr="00EF37C1">
        <w:rPr>
          <w:rFonts w:ascii="Arial" w:hAnsi="Arial" w:cs="Arial"/>
          <w:sz w:val="20"/>
          <w:szCs w:val="20"/>
          <w:lang w:val="es-UY"/>
        </w:rPr>
        <w:t>Podrán ser oferentes las</w:t>
      </w:r>
      <w:r w:rsidRPr="00EF37C1">
        <w:rPr>
          <w:rFonts w:ascii="Arial" w:hAnsi="Arial" w:cs="Arial"/>
          <w:color w:val="000000"/>
          <w:sz w:val="20"/>
          <w:szCs w:val="20"/>
          <w:lang w:val="es-UY" w:eastAsia="es-UY"/>
        </w:rPr>
        <w:t xml:space="preserve"> personas físicas o jurídicas nacionales o extranjeras plenamente capaces, que no estén comprendidas en una prohibición de contratar de acuerdo al artículo </w:t>
      </w:r>
      <w:hyperlink r:id="rId32" w:history="1">
        <w:r w:rsidRPr="009D0232">
          <w:rPr>
            <w:rStyle w:val="Hipervnculo"/>
            <w:rFonts w:ascii="Arial" w:hAnsi="Arial" w:cs="Arial"/>
            <w:sz w:val="20"/>
            <w:szCs w:val="20"/>
            <w:lang w:val="es-UY" w:eastAsia="es-UY"/>
          </w:rPr>
          <w:t>33</w:t>
        </w:r>
      </w:hyperlink>
      <w:r w:rsidRPr="00EF37C1">
        <w:rPr>
          <w:rFonts w:ascii="Arial" w:hAnsi="Arial" w:cs="Arial"/>
          <w:color w:val="000000"/>
          <w:sz w:val="20"/>
          <w:szCs w:val="20"/>
          <w:lang w:val="es-UY" w:eastAsia="es-UY"/>
        </w:rPr>
        <w:t xml:space="preserve"> de la LCPPP</w:t>
      </w:r>
      <w:r w:rsidR="009779BD">
        <w:rPr>
          <w:rFonts w:ascii="Arial" w:hAnsi="Arial" w:cs="Arial"/>
          <w:color w:val="000000"/>
          <w:sz w:val="20"/>
          <w:szCs w:val="20"/>
          <w:lang w:val="es-UY" w:eastAsia="es-UY"/>
        </w:rPr>
        <w:t xml:space="preserve"> y el artículo 88 del decreto Nº </w:t>
      </w:r>
      <w:hyperlink r:id="rId33" w:history="1">
        <w:r w:rsidR="009779BD" w:rsidRPr="00375150">
          <w:rPr>
            <w:rStyle w:val="Hipervnculo"/>
            <w:rFonts w:ascii="Arial" w:hAnsi="Arial" w:cs="Arial"/>
            <w:sz w:val="20"/>
            <w:szCs w:val="20"/>
            <w:lang w:val="es-UY" w:eastAsia="es-UY"/>
          </w:rPr>
          <w:t>17/012</w:t>
        </w:r>
      </w:hyperlink>
      <w:r w:rsidRPr="00EF37C1">
        <w:rPr>
          <w:rFonts w:ascii="Arial" w:hAnsi="Arial" w:cs="Arial"/>
          <w:color w:val="000000"/>
          <w:sz w:val="20"/>
          <w:szCs w:val="20"/>
          <w:lang w:val="es-UY" w:eastAsia="es-UY"/>
        </w:rPr>
        <w:t>,</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acrediten su solvencia económica, financiera,</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técnica y cumplan con los términos definidos en el presente pliego.</w:t>
      </w:r>
      <w:r w:rsidR="00B14DCC">
        <w:rPr>
          <w:rFonts w:ascii="Arial" w:hAnsi="Arial" w:cs="Arial"/>
          <w:color w:val="000000"/>
          <w:sz w:val="20"/>
          <w:szCs w:val="20"/>
          <w:lang w:val="es-UY" w:eastAsia="es-UY"/>
        </w:rPr>
        <w:t xml:space="preserve"> </w:t>
      </w:r>
    </w:p>
    <w:p w14:paraId="5ECA78FF" w14:textId="77777777" w:rsidR="007F2C68" w:rsidRPr="00EF37C1" w:rsidRDefault="007F2C68" w:rsidP="009A58E0">
      <w:pPr>
        <w:pStyle w:val="T1"/>
        <w:numPr>
          <w:ilvl w:val="0"/>
          <w:numId w:val="90"/>
        </w:numPr>
        <w:outlineLvl w:val="2"/>
      </w:pPr>
      <w:bookmarkStart w:id="58" w:name="_Toc468287974"/>
      <w:bookmarkStart w:id="59" w:name="_Toc496266567"/>
      <w:bookmarkStart w:id="60" w:name="Lit_13"/>
      <w:r w:rsidRPr="00EF37C1">
        <w:t>CONSTITUCIÓN DE GARANTÍA DE MANTENIMIENTO DE OFERTA</w:t>
      </w:r>
      <w:bookmarkEnd w:id="58"/>
      <w:bookmarkEnd w:id="59"/>
    </w:p>
    <w:bookmarkEnd w:id="60"/>
    <w:p w14:paraId="1890B1EB"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En la garantía de mantenimiento de oferta, se deberá definir como “Oferente” a sus</w:t>
      </w:r>
      <w:r w:rsidR="00B14DCC">
        <w:rPr>
          <w:rFonts w:ascii="Arial" w:hAnsi="Arial" w:cs="Arial"/>
          <w:sz w:val="20"/>
          <w:szCs w:val="20"/>
        </w:rPr>
        <w:t xml:space="preserve"> </w:t>
      </w:r>
      <w:r w:rsidRPr="00EF37C1">
        <w:rPr>
          <w:rFonts w:ascii="Arial" w:hAnsi="Arial" w:cs="Arial"/>
          <w:sz w:val="20"/>
          <w:szCs w:val="20"/>
        </w:rPr>
        <w:t>integrantes,</w:t>
      </w:r>
      <w:r w:rsidR="00B14DCC">
        <w:rPr>
          <w:rFonts w:ascii="Arial" w:hAnsi="Arial" w:cs="Arial"/>
          <w:sz w:val="20"/>
          <w:szCs w:val="20"/>
        </w:rPr>
        <w:t xml:space="preserve"> </w:t>
      </w:r>
      <w:r w:rsidRPr="00EF37C1">
        <w:rPr>
          <w:rFonts w:ascii="Arial" w:hAnsi="Arial" w:cs="Arial"/>
          <w:sz w:val="20"/>
          <w:szCs w:val="20"/>
        </w:rPr>
        <w:t>los cuales deberán individualizarse.</w:t>
      </w:r>
    </w:p>
    <w:p w14:paraId="020651B4"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 xml:space="preserve">A título de ejemplo, deberán nombrarse de la siguiente manera: Oferente integrado por “xxx”, “yyy”, “zzz”. </w:t>
      </w:r>
    </w:p>
    <w:p w14:paraId="477904E3" w14:textId="77777777" w:rsidR="007F2C68" w:rsidRDefault="007F2C68" w:rsidP="007F2C68">
      <w:pPr>
        <w:suppressAutoHyphens/>
        <w:spacing w:after="120"/>
        <w:jc w:val="both"/>
        <w:rPr>
          <w:rFonts w:ascii="Arial" w:hAnsi="Arial" w:cs="Arial"/>
          <w:sz w:val="20"/>
          <w:szCs w:val="20"/>
          <w:lang w:val="es-UY" w:eastAsia="es-ES"/>
        </w:rPr>
      </w:pPr>
      <w:r w:rsidRPr="00EF37C1">
        <w:rPr>
          <w:rFonts w:ascii="Arial" w:hAnsi="Arial" w:cs="Arial"/>
          <w:sz w:val="20"/>
          <w:szCs w:val="20"/>
          <w:lang w:val="es-UY" w:eastAsia="es-ES"/>
        </w:rPr>
        <w:lastRenderedPageBreak/>
        <w:t xml:space="preserve">El oferente deberá constituir una garantía de mantenimiento de oferta a favor de </w:t>
      </w:r>
      <w:r>
        <w:rPr>
          <w:rFonts w:ascii="Arial" w:hAnsi="Arial" w:cs="Arial"/>
          <w:sz w:val="20"/>
          <w:szCs w:val="20"/>
          <w:lang w:val="es-UY" w:eastAsia="es-ES"/>
        </w:rPr>
        <w:t xml:space="preserve">la Contratante </w:t>
      </w:r>
      <w:r w:rsidRPr="00EF37C1">
        <w:rPr>
          <w:rFonts w:ascii="Arial" w:hAnsi="Arial" w:cs="Arial"/>
          <w:sz w:val="20"/>
          <w:szCs w:val="20"/>
          <w:lang w:val="es-UY" w:eastAsia="es-ES"/>
        </w:rPr>
        <w:t>en forma previa a la apertura de ofertas, mediante</w:t>
      </w:r>
      <w:r w:rsidR="00171D35">
        <w:rPr>
          <w:rFonts w:ascii="Arial" w:hAnsi="Arial" w:cs="Arial"/>
          <w:sz w:val="20"/>
          <w:szCs w:val="20"/>
          <w:lang w:val="es-UY" w:eastAsia="es-ES"/>
        </w:rPr>
        <w:t xml:space="preserve"> a) </w:t>
      </w:r>
      <w:r w:rsidR="009268AC" w:rsidRPr="009268AC">
        <w:rPr>
          <w:rFonts w:ascii="Arial" w:hAnsi="Arial" w:cs="Arial"/>
          <w:sz w:val="20"/>
          <w:szCs w:val="20"/>
          <w:lang w:val="es-UY" w:eastAsia="es-ES"/>
        </w:rPr>
        <w:t>fianza o aval de un banco establecido en la República Oriental del Uruguay</w:t>
      </w:r>
      <w:r w:rsidR="00B14DCC">
        <w:rPr>
          <w:rFonts w:ascii="Arial" w:hAnsi="Arial" w:cs="Arial"/>
          <w:sz w:val="20"/>
          <w:szCs w:val="20"/>
          <w:lang w:val="es-UY" w:eastAsia="es-ES"/>
        </w:rPr>
        <w:t xml:space="preserve"> </w:t>
      </w:r>
      <w:r w:rsidR="009268AC" w:rsidRPr="009268AC">
        <w:rPr>
          <w:rFonts w:ascii="Arial" w:hAnsi="Arial" w:cs="Arial"/>
          <w:sz w:val="20"/>
          <w:szCs w:val="20"/>
          <w:lang w:val="es-UY" w:eastAsia="es-ES"/>
        </w:rPr>
        <w:t>b) fianza o aval de un banco extranjero aceptable para l</w:t>
      </w:r>
      <w:r w:rsidR="008F2655">
        <w:rPr>
          <w:rFonts w:ascii="Arial" w:hAnsi="Arial" w:cs="Arial"/>
          <w:sz w:val="20"/>
          <w:szCs w:val="20"/>
          <w:lang w:val="es-UY" w:eastAsia="es-ES"/>
        </w:rPr>
        <w:t>a</w:t>
      </w:r>
      <w:r w:rsidR="009268AC" w:rsidRPr="009268AC">
        <w:rPr>
          <w:rFonts w:ascii="Arial" w:hAnsi="Arial" w:cs="Arial"/>
          <w:sz w:val="20"/>
          <w:szCs w:val="20"/>
          <w:lang w:val="es-UY" w:eastAsia="es-ES"/>
        </w:rPr>
        <w:t xml:space="preserve"> Contratante y con sucursal o corresponsal en el Uruguay, c) póliza de seguro de fianza, d) efectivo, e) afectación de tít</w:t>
      </w:r>
      <w:r w:rsidR="00E02BEF">
        <w:rPr>
          <w:rFonts w:ascii="Arial" w:hAnsi="Arial" w:cs="Arial"/>
          <w:sz w:val="20"/>
          <w:szCs w:val="20"/>
          <w:lang w:val="es-UY" w:eastAsia="es-ES"/>
        </w:rPr>
        <w:t>ulo de deuda pública en el BROU</w:t>
      </w:r>
      <w:r w:rsidR="009779BD">
        <w:rPr>
          <w:rFonts w:ascii="Arial" w:hAnsi="Arial" w:cs="Arial"/>
          <w:sz w:val="20"/>
          <w:szCs w:val="20"/>
          <w:lang w:val="es-UY" w:eastAsia="es-ES"/>
        </w:rPr>
        <w:t xml:space="preserve">. Dicha garantía se constituirá </w:t>
      </w:r>
      <w:r w:rsidRPr="00EF37C1">
        <w:rPr>
          <w:rFonts w:ascii="Arial" w:hAnsi="Arial" w:cs="Arial"/>
          <w:sz w:val="20"/>
          <w:szCs w:val="20"/>
          <w:lang w:val="es-UY" w:eastAsia="es-ES"/>
        </w:rPr>
        <w:t xml:space="preserve">en </w:t>
      </w:r>
      <w:r w:rsidRPr="006C6C10">
        <w:rPr>
          <w:rFonts w:ascii="Arial" w:hAnsi="Arial" w:cs="Arial"/>
          <w:sz w:val="20"/>
          <w:szCs w:val="20"/>
          <w:lang w:val="es-UY" w:eastAsia="es-ES"/>
        </w:rPr>
        <w:t>dólares estadounidenses</w:t>
      </w:r>
      <w:r w:rsidR="009779BD">
        <w:rPr>
          <w:rFonts w:ascii="Arial" w:hAnsi="Arial" w:cs="Arial"/>
          <w:sz w:val="20"/>
          <w:szCs w:val="20"/>
          <w:lang w:val="es-UY" w:eastAsia="es-ES"/>
        </w:rPr>
        <w:t xml:space="preserve"> y </w:t>
      </w:r>
      <w:r w:rsidRPr="00EF37C1">
        <w:rPr>
          <w:rFonts w:ascii="Arial" w:hAnsi="Arial" w:cs="Arial"/>
          <w:sz w:val="20"/>
          <w:szCs w:val="20"/>
          <w:lang w:val="es-UY" w:eastAsia="es-ES"/>
        </w:rPr>
        <w:t>tendrá una validez mínima de 360 días desde la presentación de la oferta.</w:t>
      </w:r>
    </w:p>
    <w:p w14:paraId="08BD4F8A" w14:textId="77777777" w:rsidR="00D74BAF" w:rsidRDefault="00D74BAF" w:rsidP="007F2C68">
      <w:pPr>
        <w:suppressAutoHyphens/>
        <w:spacing w:after="120"/>
        <w:jc w:val="both"/>
        <w:rPr>
          <w:rFonts w:ascii="Arial" w:hAnsi="Arial" w:cs="Arial"/>
          <w:sz w:val="20"/>
          <w:szCs w:val="20"/>
          <w:lang w:val="es-UY" w:eastAsia="es-ES"/>
        </w:rPr>
      </w:pPr>
      <w:r>
        <w:rPr>
          <w:rFonts w:ascii="Arial" w:hAnsi="Arial" w:cs="Arial"/>
          <w:sz w:val="20"/>
          <w:szCs w:val="20"/>
          <w:lang w:val="es-UY" w:eastAsia="es-ES"/>
        </w:rPr>
        <w:t xml:space="preserve">Se presenta modelo de aval bancario en el </w:t>
      </w:r>
      <w:hyperlink w:anchor="A_5" w:history="1">
        <w:r w:rsidRPr="002A56D7">
          <w:rPr>
            <w:rStyle w:val="Hipervnculo"/>
            <w:rFonts w:ascii="Arial" w:hAnsi="Arial" w:cs="Arial"/>
            <w:sz w:val="20"/>
            <w:szCs w:val="20"/>
            <w:lang w:val="es-UY" w:eastAsia="es-ES"/>
          </w:rPr>
          <w:t>A</w:t>
        </w:r>
        <w:r w:rsidR="00014F26">
          <w:rPr>
            <w:rStyle w:val="Hipervnculo"/>
            <w:rFonts w:ascii="Arial" w:hAnsi="Arial" w:cs="Arial"/>
            <w:sz w:val="20"/>
            <w:szCs w:val="20"/>
            <w:lang w:val="es-UY" w:eastAsia="es-ES"/>
          </w:rPr>
          <w:t>nexo</w:t>
        </w:r>
        <w:r w:rsidRPr="002A56D7">
          <w:rPr>
            <w:rStyle w:val="Hipervnculo"/>
            <w:rFonts w:ascii="Arial" w:hAnsi="Arial" w:cs="Arial"/>
            <w:sz w:val="20"/>
            <w:szCs w:val="20"/>
            <w:lang w:val="es-UY" w:eastAsia="es-ES"/>
          </w:rPr>
          <w:t xml:space="preserve"> V</w:t>
        </w:r>
      </w:hyperlink>
      <w:r>
        <w:rPr>
          <w:rFonts w:ascii="Arial" w:hAnsi="Arial" w:cs="Arial"/>
          <w:sz w:val="20"/>
          <w:szCs w:val="20"/>
          <w:lang w:val="es-UY" w:eastAsia="es-ES"/>
        </w:rPr>
        <w:t>.</w:t>
      </w:r>
    </w:p>
    <w:p w14:paraId="61A107CB" w14:textId="77777777" w:rsidR="007F2C68" w:rsidRPr="00EF37C1" w:rsidRDefault="007F2C68" w:rsidP="007F2C68">
      <w:pPr>
        <w:suppressAutoHyphens/>
        <w:spacing w:after="120"/>
        <w:jc w:val="both"/>
        <w:rPr>
          <w:rFonts w:ascii="Arial" w:hAnsi="Arial" w:cs="Arial"/>
          <w:color w:val="C00000"/>
          <w:sz w:val="20"/>
          <w:szCs w:val="20"/>
          <w:lang w:val="es-UY" w:eastAsia="es-ES"/>
        </w:rPr>
      </w:pPr>
      <w:r w:rsidRPr="002C1894">
        <w:rPr>
          <w:rFonts w:ascii="Arial" w:hAnsi="Arial" w:cs="Arial"/>
          <w:sz w:val="20"/>
          <w:szCs w:val="20"/>
          <w:lang w:val="es-UY" w:eastAsia="es-ES"/>
        </w:rPr>
        <w:t>Se podrá integrar la garantía en más de una de las modalidades indicadas</w:t>
      </w:r>
      <w:r w:rsidR="00435D7B">
        <w:rPr>
          <w:rFonts w:ascii="Arial" w:hAnsi="Arial" w:cs="Arial"/>
          <w:sz w:val="20"/>
          <w:szCs w:val="20"/>
          <w:lang w:val="es-UY" w:eastAsia="es-ES"/>
        </w:rPr>
        <w:t>,</w:t>
      </w:r>
      <w:r w:rsidRPr="002C1894">
        <w:rPr>
          <w:rFonts w:ascii="Arial" w:hAnsi="Arial" w:cs="Arial"/>
          <w:sz w:val="20"/>
          <w:szCs w:val="20"/>
          <w:lang w:val="es-UY" w:eastAsia="es-ES"/>
        </w:rPr>
        <w:t xml:space="preserve"> siempre que todas ellas sean constituidas a nombre del oferente y aceptadas por la Contratante.</w:t>
      </w:r>
    </w:p>
    <w:p w14:paraId="79B4EC75" w14:textId="02E29EC8" w:rsidR="007F2C68" w:rsidRPr="00EF37C1" w:rsidRDefault="007F2C68" w:rsidP="007F2C68">
      <w:pPr>
        <w:suppressAutoHyphens/>
        <w:spacing w:after="120"/>
        <w:jc w:val="both"/>
        <w:rPr>
          <w:rFonts w:ascii="Arial" w:hAnsi="Arial" w:cs="Arial"/>
          <w:sz w:val="20"/>
          <w:szCs w:val="20"/>
          <w:lang w:eastAsia="es-ES"/>
        </w:rPr>
      </w:pPr>
      <w:r w:rsidRPr="00EF37C1">
        <w:rPr>
          <w:rFonts w:ascii="Arial" w:hAnsi="Arial" w:cs="Arial"/>
          <w:sz w:val="20"/>
          <w:szCs w:val="20"/>
          <w:lang w:val="es-UY" w:eastAsia="es-ES"/>
        </w:rPr>
        <w:t>La garantía de mantenimiento de oferta podrá presentarse hasta el momento o en el mismo acto de apertura del Sobre Nº 1. No obstante</w:t>
      </w:r>
      <w:r w:rsidR="00435D7B">
        <w:rPr>
          <w:rFonts w:ascii="Arial" w:hAnsi="Arial" w:cs="Arial"/>
          <w:sz w:val="20"/>
          <w:szCs w:val="20"/>
          <w:lang w:val="es-UY" w:eastAsia="es-ES"/>
        </w:rPr>
        <w:t>,</w:t>
      </w:r>
      <w:r w:rsidRPr="00EF37C1">
        <w:rPr>
          <w:rFonts w:ascii="Arial" w:hAnsi="Arial" w:cs="Arial"/>
          <w:sz w:val="20"/>
          <w:szCs w:val="20"/>
          <w:lang w:val="es-UY" w:eastAsia="es-ES"/>
        </w:rPr>
        <w:t xml:space="preserve"> si el oferente lo estima conveniente podrá presentarla hasta con 2 (dos) días hábiles</w:t>
      </w:r>
      <w:r w:rsidR="00F30FAD">
        <w:rPr>
          <w:rFonts w:ascii="Arial" w:hAnsi="Arial" w:cs="Arial"/>
          <w:sz w:val="20"/>
          <w:szCs w:val="20"/>
          <w:lang w:val="es-UY" w:eastAsia="es-ES"/>
        </w:rPr>
        <w:t xml:space="preserve"> </w:t>
      </w:r>
      <w:r w:rsidRPr="00EF37C1">
        <w:rPr>
          <w:rFonts w:ascii="Arial" w:hAnsi="Arial" w:cs="Arial"/>
          <w:sz w:val="20"/>
          <w:szCs w:val="20"/>
          <w:lang w:val="es-UY" w:eastAsia="es-ES"/>
        </w:rPr>
        <w:t xml:space="preserve">de anticipación a la fecha de apertura, en el Departamento Notarial del Ministerio de Transporte y Obras Públicas, sito en Rincón 561, piso 7 de la ciudad de Montevideo, en el horario de 9:30 a 16:00 horas, para su visto bueno quedando depositada en ese departamento, entregándose al oferente un recibo del depósito, asumiendo el oferente la </w:t>
      </w:r>
      <w:r w:rsidRPr="00EF37C1">
        <w:rPr>
          <w:rFonts w:ascii="Arial" w:hAnsi="Arial" w:cs="Arial"/>
          <w:sz w:val="20"/>
          <w:szCs w:val="20"/>
          <w:lang w:val="es-UY" w:eastAsia="es-ES"/>
        </w:rPr>
        <w:lastRenderedPageBreak/>
        <w:t>responsabilidad de que ella cumpla con las condiciones exigidas en este pliego.</w:t>
      </w:r>
    </w:p>
    <w:p w14:paraId="2CE02C0E" w14:textId="13879E77" w:rsidR="007F2C68" w:rsidRPr="00EF37C1" w:rsidRDefault="007F2C68" w:rsidP="007F2C68">
      <w:pPr>
        <w:spacing w:after="120"/>
        <w:jc w:val="both"/>
        <w:rPr>
          <w:rFonts w:ascii="Arial" w:hAnsi="Arial" w:cs="Arial"/>
          <w:color w:val="000000"/>
          <w:sz w:val="20"/>
          <w:szCs w:val="20"/>
          <w:lang w:val="es-UY" w:eastAsia="es-UY"/>
        </w:rPr>
      </w:pPr>
      <w:r w:rsidRPr="00EF37C1">
        <w:rPr>
          <w:rFonts w:ascii="Arial" w:hAnsi="Arial" w:cs="Arial"/>
          <w:color w:val="000000"/>
          <w:sz w:val="20"/>
          <w:szCs w:val="20"/>
          <w:lang w:val="es-UY" w:eastAsia="es-UY"/>
        </w:rPr>
        <w:t xml:space="preserve">La garantía de mantenimiento de oferta ascenderá a la suma de </w:t>
      </w:r>
      <w:r w:rsidR="00F716CF">
        <w:rPr>
          <w:rFonts w:ascii="Arial" w:hAnsi="Arial" w:cs="Arial"/>
          <w:color w:val="000000"/>
          <w:sz w:val="20"/>
          <w:szCs w:val="20"/>
          <w:lang w:val="es-UY" w:eastAsia="es-UY"/>
        </w:rPr>
        <w:t>U$S</w:t>
      </w:r>
      <w:r w:rsidR="007E3226" w:rsidRPr="00D96FBE">
        <w:rPr>
          <w:rFonts w:ascii="Arial" w:hAnsi="Arial" w:cs="Arial"/>
          <w:color w:val="000000"/>
          <w:sz w:val="20"/>
          <w:szCs w:val="20"/>
          <w:lang w:val="es-UY" w:eastAsia="es-UY"/>
        </w:rPr>
        <w:t xml:space="preserve"> </w:t>
      </w:r>
      <w:r w:rsidR="007E3226" w:rsidRPr="00D96FBE">
        <w:rPr>
          <w:rFonts w:ascii="Arial" w:hAnsi="Arial" w:cs="Arial"/>
          <w:sz w:val="20"/>
          <w:szCs w:val="20"/>
        </w:rPr>
        <w:t>8</w:t>
      </w:r>
      <w:r w:rsidRPr="00D96FBE">
        <w:rPr>
          <w:rFonts w:ascii="Arial" w:hAnsi="Arial" w:cs="Arial"/>
          <w:sz w:val="20"/>
          <w:szCs w:val="20"/>
        </w:rPr>
        <w:t>00</w:t>
      </w:r>
      <w:r w:rsidR="007E3226" w:rsidRPr="00D96FBE">
        <w:rPr>
          <w:rFonts w:ascii="Arial" w:hAnsi="Arial" w:cs="Arial"/>
          <w:sz w:val="20"/>
          <w:szCs w:val="20"/>
        </w:rPr>
        <w:t>.000</w:t>
      </w:r>
      <w:r w:rsidR="00B14DCC">
        <w:rPr>
          <w:rFonts w:ascii="Arial" w:hAnsi="Arial" w:cs="Arial"/>
          <w:sz w:val="20"/>
          <w:szCs w:val="20"/>
        </w:rPr>
        <w:t xml:space="preserve"> </w:t>
      </w:r>
      <w:r w:rsidRPr="004067ED">
        <w:rPr>
          <w:rFonts w:ascii="Arial" w:hAnsi="Arial" w:cs="Arial"/>
          <w:sz w:val="20"/>
          <w:szCs w:val="20"/>
          <w:lang w:val="es-UY"/>
        </w:rPr>
        <w:t xml:space="preserve">(dólares estadounidenses </w:t>
      </w:r>
      <w:r w:rsidR="007E3226">
        <w:rPr>
          <w:rFonts w:ascii="Arial" w:hAnsi="Arial" w:cs="Arial"/>
          <w:sz w:val="20"/>
          <w:szCs w:val="20"/>
          <w:lang w:val="es-UY"/>
        </w:rPr>
        <w:t>ochocientos mil</w:t>
      </w:r>
      <w:r w:rsidRPr="004067ED">
        <w:rPr>
          <w:rFonts w:ascii="Arial" w:hAnsi="Arial" w:cs="Arial"/>
          <w:sz w:val="20"/>
          <w:szCs w:val="20"/>
          <w:lang w:val="es-UY"/>
        </w:rPr>
        <w:t>)</w:t>
      </w:r>
      <w:r w:rsidRPr="00EF37C1">
        <w:rPr>
          <w:rFonts w:ascii="Arial" w:hAnsi="Arial" w:cs="Arial"/>
          <w:sz w:val="20"/>
          <w:szCs w:val="20"/>
          <w:lang w:val="es-UY"/>
        </w:rPr>
        <w:t xml:space="preserve"> </w:t>
      </w:r>
      <w:r w:rsidRPr="00EF37C1">
        <w:rPr>
          <w:rFonts w:ascii="Arial" w:hAnsi="Arial" w:cs="Arial"/>
          <w:sz w:val="20"/>
          <w:szCs w:val="20"/>
        </w:rPr>
        <w:t xml:space="preserve">y será </w:t>
      </w:r>
      <w:r w:rsidRPr="00EF37C1">
        <w:rPr>
          <w:rFonts w:ascii="Arial" w:hAnsi="Arial" w:cs="Arial"/>
          <w:color w:val="000000"/>
          <w:sz w:val="20"/>
          <w:szCs w:val="20"/>
          <w:lang w:val="es-UY" w:eastAsia="es-UY"/>
        </w:rPr>
        <w:t>retenida hasta que</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proceda</w:t>
      </w:r>
      <w:r w:rsidR="00B14DCC">
        <w:rPr>
          <w:rFonts w:ascii="Arial" w:hAnsi="Arial" w:cs="Arial"/>
          <w:color w:val="000000"/>
          <w:sz w:val="20"/>
          <w:szCs w:val="20"/>
          <w:lang w:val="es-UY" w:eastAsia="es-UY"/>
        </w:rPr>
        <w:t xml:space="preserve"> </w:t>
      </w:r>
      <w:r w:rsidRPr="00EF37C1">
        <w:rPr>
          <w:rFonts w:ascii="Arial" w:hAnsi="Arial" w:cs="Arial"/>
          <w:color w:val="000000"/>
          <w:sz w:val="20"/>
          <w:szCs w:val="20"/>
          <w:lang w:val="es-UY" w:eastAsia="es-UY"/>
        </w:rPr>
        <w:t xml:space="preserve">la constitución de la garantía de cumplimiento de contrato. </w:t>
      </w:r>
      <w:r w:rsidR="00DE28C5">
        <w:rPr>
          <w:rFonts w:ascii="Arial" w:hAnsi="Arial" w:cs="Arial"/>
          <w:color w:val="000000"/>
          <w:sz w:val="20"/>
          <w:szCs w:val="20"/>
          <w:lang w:val="es-UY" w:eastAsia="es-UY"/>
        </w:rPr>
        <w:t>E</w:t>
      </w:r>
      <w:r w:rsidR="00DE28C5" w:rsidRPr="00DE28C5">
        <w:rPr>
          <w:rFonts w:ascii="Arial" w:hAnsi="Arial" w:cs="Arial"/>
          <w:color w:val="000000"/>
          <w:sz w:val="20"/>
          <w:szCs w:val="20"/>
          <w:lang w:val="es-UY" w:eastAsia="es-UY"/>
        </w:rPr>
        <w:t xml:space="preserve">n caso de constituirse mediante </w:t>
      </w:r>
      <w:r w:rsidR="00D23125">
        <w:rPr>
          <w:rFonts w:ascii="Arial" w:hAnsi="Arial" w:cs="Arial"/>
          <w:color w:val="000000"/>
          <w:sz w:val="20"/>
          <w:szCs w:val="20"/>
          <w:lang w:val="es-UY" w:eastAsia="es-UY"/>
        </w:rPr>
        <w:t xml:space="preserve">fianza o </w:t>
      </w:r>
      <w:r w:rsidR="00DE28C5" w:rsidRPr="00DE28C5">
        <w:rPr>
          <w:rFonts w:ascii="Arial" w:hAnsi="Arial" w:cs="Arial"/>
          <w:color w:val="000000"/>
          <w:sz w:val="20"/>
          <w:szCs w:val="20"/>
          <w:lang w:val="es-UY" w:eastAsia="es-UY"/>
        </w:rPr>
        <w:t xml:space="preserve">aval bancario o póliza </w:t>
      </w:r>
      <w:r w:rsidR="00D23125">
        <w:rPr>
          <w:rFonts w:ascii="Arial" w:hAnsi="Arial" w:cs="Arial"/>
          <w:color w:val="000000"/>
          <w:sz w:val="20"/>
          <w:szCs w:val="20"/>
          <w:lang w:val="es-UY" w:eastAsia="es-UY"/>
        </w:rPr>
        <w:t xml:space="preserve">de seguro </w:t>
      </w:r>
      <w:r w:rsidR="00DE28C5" w:rsidRPr="00DE28C5">
        <w:rPr>
          <w:rFonts w:ascii="Arial" w:hAnsi="Arial" w:cs="Arial"/>
          <w:color w:val="000000"/>
          <w:sz w:val="20"/>
          <w:szCs w:val="20"/>
          <w:lang w:val="es-UY" w:eastAsia="es-UY"/>
        </w:rPr>
        <w:t xml:space="preserve">de fianza </w:t>
      </w:r>
      <w:r w:rsidR="00DE28C5" w:rsidRPr="00996369">
        <w:rPr>
          <w:rFonts w:ascii="Arial" w:hAnsi="Arial" w:cs="Arial"/>
          <w:color w:val="000000"/>
          <w:sz w:val="20"/>
          <w:szCs w:val="20"/>
          <w:lang w:val="es-UY" w:eastAsia="es-UY"/>
        </w:rPr>
        <w:t>deberán entregar</w:t>
      </w:r>
      <w:r w:rsidR="00D23125" w:rsidRPr="00996369">
        <w:rPr>
          <w:rFonts w:ascii="Arial" w:hAnsi="Arial" w:cs="Arial"/>
          <w:color w:val="000000"/>
          <w:sz w:val="20"/>
          <w:szCs w:val="20"/>
          <w:lang w:val="es-UY" w:eastAsia="es-UY"/>
        </w:rPr>
        <w:t xml:space="preserve">se </w:t>
      </w:r>
      <w:r w:rsidR="00103953" w:rsidRPr="00996369">
        <w:rPr>
          <w:rFonts w:ascii="Arial" w:hAnsi="Arial" w:cs="Arial"/>
          <w:color w:val="000000"/>
          <w:sz w:val="20"/>
          <w:szCs w:val="20"/>
          <w:lang w:val="es-UY" w:eastAsia="es-UY"/>
        </w:rPr>
        <w:t xml:space="preserve">al menos </w:t>
      </w:r>
      <w:r w:rsidR="00D23125" w:rsidRPr="00996369">
        <w:rPr>
          <w:rFonts w:ascii="Arial" w:hAnsi="Arial" w:cs="Arial"/>
          <w:color w:val="000000"/>
          <w:sz w:val="20"/>
          <w:szCs w:val="20"/>
          <w:lang w:val="es-UY" w:eastAsia="es-UY"/>
        </w:rPr>
        <w:t>dos documentos</w:t>
      </w:r>
      <w:r w:rsidR="00996369">
        <w:rPr>
          <w:rFonts w:ascii="Arial" w:hAnsi="Arial" w:cs="Arial"/>
          <w:color w:val="000000"/>
          <w:sz w:val="20"/>
          <w:szCs w:val="20"/>
          <w:lang w:val="es-UY" w:eastAsia="es-UY"/>
        </w:rPr>
        <w:t xml:space="preserve"> que se instrumenten de forma que</w:t>
      </w:r>
      <w:r w:rsidR="00D23125">
        <w:rPr>
          <w:rFonts w:ascii="Arial" w:hAnsi="Arial" w:cs="Arial"/>
          <w:color w:val="000000"/>
          <w:sz w:val="20"/>
          <w:szCs w:val="20"/>
          <w:lang w:val="es-UY" w:eastAsia="es-UY"/>
        </w:rPr>
        <w:t xml:space="preserve"> </w:t>
      </w:r>
      <w:r w:rsidR="00996369">
        <w:rPr>
          <w:rFonts w:ascii="Arial" w:hAnsi="Arial" w:cs="Arial"/>
          <w:color w:val="000000"/>
          <w:sz w:val="20"/>
          <w:szCs w:val="20"/>
          <w:lang w:val="es-UY" w:eastAsia="es-UY"/>
        </w:rPr>
        <w:t xml:space="preserve">sumen por </w:t>
      </w:r>
      <w:r w:rsidR="00D23125">
        <w:rPr>
          <w:rFonts w:ascii="Arial" w:hAnsi="Arial" w:cs="Arial"/>
          <w:color w:val="000000"/>
          <w:sz w:val="20"/>
          <w:szCs w:val="20"/>
          <w:lang w:val="es-UY" w:eastAsia="es-UY"/>
        </w:rPr>
        <w:t>un</w:t>
      </w:r>
      <w:r w:rsidR="00996369">
        <w:rPr>
          <w:rFonts w:ascii="Arial" w:hAnsi="Arial" w:cs="Arial"/>
          <w:color w:val="000000"/>
          <w:sz w:val="20"/>
          <w:szCs w:val="20"/>
          <w:lang w:val="es-UY" w:eastAsia="es-UY"/>
        </w:rPr>
        <w:t xml:space="preserve"> lado</w:t>
      </w:r>
      <w:r w:rsidR="00D23125">
        <w:rPr>
          <w:rFonts w:ascii="Arial" w:hAnsi="Arial" w:cs="Arial"/>
          <w:color w:val="000000"/>
          <w:sz w:val="20"/>
          <w:szCs w:val="20"/>
          <w:lang w:val="es-UY" w:eastAsia="es-UY"/>
        </w:rPr>
        <w:t xml:space="preserve"> U$S 7</w:t>
      </w:r>
      <w:r w:rsidR="00DE28C5" w:rsidRPr="00DE28C5">
        <w:rPr>
          <w:rFonts w:ascii="Arial" w:hAnsi="Arial" w:cs="Arial"/>
          <w:color w:val="000000"/>
          <w:sz w:val="20"/>
          <w:szCs w:val="20"/>
          <w:lang w:val="es-UY" w:eastAsia="es-UY"/>
        </w:rPr>
        <w:t>50.000 (</w:t>
      </w:r>
      <w:r w:rsidR="00D23125" w:rsidRPr="00DE28C5">
        <w:rPr>
          <w:rFonts w:ascii="Arial" w:hAnsi="Arial" w:cs="Arial"/>
          <w:color w:val="000000"/>
          <w:sz w:val="20"/>
          <w:szCs w:val="20"/>
          <w:lang w:val="es-UY" w:eastAsia="es-UY"/>
        </w:rPr>
        <w:t xml:space="preserve">dólares estadounidenses </w:t>
      </w:r>
      <w:r w:rsidR="00D23125">
        <w:rPr>
          <w:rFonts w:ascii="Arial" w:hAnsi="Arial" w:cs="Arial"/>
          <w:color w:val="000000"/>
          <w:sz w:val="20"/>
          <w:szCs w:val="20"/>
          <w:lang w:val="es-UY" w:eastAsia="es-UY"/>
        </w:rPr>
        <w:t>sete</w:t>
      </w:r>
      <w:r w:rsidR="00DE28C5" w:rsidRPr="00DE28C5">
        <w:rPr>
          <w:rFonts w:ascii="Arial" w:hAnsi="Arial" w:cs="Arial"/>
          <w:color w:val="000000"/>
          <w:sz w:val="20"/>
          <w:szCs w:val="20"/>
          <w:lang w:val="es-UY" w:eastAsia="es-UY"/>
        </w:rPr>
        <w:t xml:space="preserve">cientos cincuenta mil) y </w:t>
      </w:r>
      <w:r w:rsidR="00996369">
        <w:rPr>
          <w:rFonts w:ascii="Arial" w:hAnsi="Arial" w:cs="Arial"/>
          <w:color w:val="000000"/>
          <w:sz w:val="20"/>
          <w:szCs w:val="20"/>
          <w:lang w:val="es-UY" w:eastAsia="es-UY"/>
        </w:rPr>
        <w:t xml:space="preserve">por </w:t>
      </w:r>
      <w:r w:rsidR="00DE28C5" w:rsidRPr="00DE28C5">
        <w:rPr>
          <w:rFonts w:ascii="Arial" w:hAnsi="Arial" w:cs="Arial"/>
          <w:color w:val="000000"/>
          <w:sz w:val="20"/>
          <w:szCs w:val="20"/>
          <w:lang w:val="es-UY" w:eastAsia="es-UY"/>
        </w:rPr>
        <w:t>el otro U</w:t>
      </w:r>
      <w:r w:rsidR="00D23125">
        <w:rPr>
          <w:rFonts w:ascii="Arial" w:hAnsi="Arial" w:cs="Arial"/>
          <w:color w:val="000000"/>
          <w:sz w:val="20"/>
          <w:szCs w:val="20"/>
          <w:lang w:val="es-UY" w:eastAsia="es-UY"/>
        </w:rPr>
        <w:t>$</w:t>
      </w:r>
      <w:r w:rsidR="00DE28C5" w:rsidRPr="00DE28C5">
        <w:rPr>
          <w:rFonts w:ascii="Arial" w:hAnsi="Arial" w:cs="Arial"/>
          <w:color w:val="000000"/>
          <w:sz w:val="20"/>
          <w:szCs w:val="20"/>
          <w:lang w:val="es-UY" w:eastAsia="es-UY"/>
        </w:rPr>
        <w:t>S 50.000 (</w:t>
      </w:r>
      <w:r w:rsidR="00D23125" w:rsidRPr="00DE28C5">
        <w:rPr>
          <w:rFonts w:ascii="Arial" w:hAnsi="Arial" w:cs="Arial"/>
          <w:color w:val="000000"/>
          <w:sz w:val="20"/>
          <w:szCs w:val="20"/>
          <w:lang w:val="es-UY" w:eastAsia="es-UY"/>
        </w:rPr>
        <w:t xml:space="preserve">dólares estadounidenses </w:t>
      </w:r>
      <w:r w:rsidR="00DE28C5" w:rsidRPr="00DE28C5">
        <w:rPr>
          <w:rFonts w:ascii="Arial" w:hAnsi="Arial" w:cs="Arial"/>
          <w:color w:val="000000"/>
          <w:sz w:val="20"/>
          <w:szCs w:val="20"/>
          <w:lang w:val="es-UY" w:eastAsia="es-UY"/>
        </w:rPr>
        <w:t>cincuenta mil).</w:t>
      </w:r>
    </w:p>
    <w:p w14:paraId="2F06F020" w14:textId="77777777" w:rsidR="007F2C68" w:rsidRPr="00EF37C1" w:rsidRDefault="007F2C68" w:rsidP="007F2C68">
      <w:pPr>
        <w:tabs>
          <w:tab w:val="left" w:pos="567"/>
        </w:tabs>
        <w:suppressAutoHyphens/>
        <w:spacing w:after="120"/>
        <w:jc w:val="both"/>
        <w:rPr>
          <w:rFonts w:ascii="Arial" w:hAnsi="Arial" w:cs="Arial"/>
          <w:sz w:val="20"/>
          <w:szCs w:val="20"/>
          <w:lang w:val="es-UY" w:eastAsia="es-ES"/>
        </w:rPr>
      </w:pPr>
      <w:r w:rsidRPr="00EF37C1">
        <w:rPr>
          <w:rFonts w:ascii="Arial" w:hAnsi="Arial" w:cs="Arial"/>
          <w:sz w:val="20"/>
          <w:szCs w:val="20"/>
          <w:lang w:val="es-UY" w:eastAsia="es-ES"/>
        </w:rPr>
        <w:t>Las garantías que no corresponda retener se devolverán de oficio por parte de los funcionarios autorizados a ello, o</w:t>
      </w:r>
      <w:r>
        <w:rPr>
          <w:rFonts w:ascii="Arial" w:hAnsi="Arial" w:cs="Arial"/>
          <w:sz w:val="20"/>
          <w:szCs w:val="20"/>
          <w:lang w:val="es-UY" w:eastAsia="es-ES"/>
        </w:rPr>
        <w:t xml:space="preserve"> </w:t>
      </w:r>
      <w:r w:rsidRPr="00EF37C1">
        <w:rPr>
          <w:rFonts w:ascii="Arial" w:hAnsi="Arial" w:cs="Arial"/>
          <w:sz w:val="20"/>
          <w:szCs w:val="20"/>
          <w:lang w:val="es-UY" w:eastAsia="es-ES"/>
        </w:rPr>
        <w:t>a pedido del interesado, previo informe realizado por el personal debidamente autorizado para ello.</w:t>
      </w:r>
      <w:r>
        <w:rPr>
          <w:rFonts w:ascii="Arial" w:hAnsi="Arial" w:cs="Arial"/>
          <w:sz w:val="20"/>
          <w:szCs w:val="20"/>
          <w:lang w:val="es-UY" w:eastAsia="es-ES"/>
        </w:rPr>
        <w:t xml:space="preserve"> </w:t>
      </w:r>
      <w:r w:rsidRPr="008A55ED">
        <w:rPr>
          <w:rFonts w:ascii="Arial" w:hAnsi="Arial" w:cs="Arial"/>
          <w:sz w:val="20"/>
          <w:szCs w:val="20"/>
          <w:lang w:val="es-UY" w:eastAsia="es-ES"/>
        </w:rPr>
        <w:t>De darse las condiciones para su devolución la garantía de mantenimiento de oferta será devuelta en un plazo de 20 días a partir de la solicitud de devolución por parte del oferente.</w:t>
      </w:r>
    </w:p>
    <w:p w14:paraId="3836C9B3" w14:textId="77777777" w:rsidR="007F2C68" w:rsidRPr="00EF37C1" w:rsidRDefault="007F2C68" w:rsidP="007F2C68">
      <w:pPr>
        <w:tabs>
          <w:tab w:val="left" w:pos="0"/>
        </w:tabs>
        <w:spacing w:after="120"/>
        <w:jc w:val="both"/>
        <w:rPr>
          <w:rFonts w:ascii="Arial" w:hAnsi="Arial" w:cs="Arial"/>
          <w:sz w:val="20"/>
          <w:szCs w:val="20"/>
        </w:rPr>
      </w:pPr>
      <w:r w:rsidRPr="00EF37C1">
        <w:rPr>
          <w:rFonts w:ascii="Arial" w:hAnsi="Arial" w:cs="Arial"/>
          <w:sz w:val="20"/>
          <w:szCs w:val="20"/>
        </w:rPr>
        <w:t>La garantía de mantenimiento de la oferta podrá ser ejecutada:</w:t>
      </w:r>
    </w:p>
    <w:p w14:paraId="28E4BC35" w14:textId="77777777" w:rsidR="007F2C68" w:rsidRPr="00D7167F" w:rsidRDefault="00B14DCC" w:rsidP="00AF3D4D">
      <w:pPr>
        <w:numPr>
          <w:ilvl w:val="0"/>
          <w:numId w:val="6"/>
        </w:numPr>
        <w:tabs>
          <w:tab w:val="left" w:pos="0"/>
          <w:tab w:val="left" w:pos="567"/>
          <w:tab w:val="left" w:pos="851"/>
          <w:tab w:val="left" w:pos="2127"/>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color w:val="000000"/>
          <w:sz w:val="20"/>
          <w:szCs w:val="20"/>
          <w:lang w:val="es-UY" w:eastAsia="es-UY"/>
        </w:rPr>
        <w:lastRenderedPageBreak/>
        <w:t xml:space="preserve"> </w:t>
      </w:r>
      <w:r w:rsidR="007F2C68" w:rsidRPr="00EF37C1">
        <w:rPr>
          <w:rFonts w:ascii="Arial" w:hAnsi="Arial" w:cs="Arial"/>
          <w:color w:val="000000"/>
          <w:sz w:val="20"/>
          <w:szCs w:val="20"/>
          <w:lang w:val="es-UY" w:eastAsia="es-UY"/>
        </w:rPr>
        <w:t>Si el oferente retira injustificadamente su proposición antes de la adjudicación;</w:t>
      </w:r>
      <w:r w:rsidR="007F2C68">
        <w:rPr>
          <w:rFonts w:ascii="Arial" w:hAnsi="Arial" w:cs="Arial"/>
          <w:color w:val="000000"/>
          <w:sz w:val="20"/>
          <w:szCs w:val="20"/>
          <w:lang w:val="es-UY" w:eastAsia="es-UY"/>
        </w:rPr>
        <w:t xml:space="preserve"> se entiende por no justificable </w:t>
      </w:r>
      <w:r w:rsidR="007F2C68" w:rsidRPr="004067ED">
        <w:rPr>
          <w:rFonts w:ascii="Arial" w:hAnsi="Arial" w:cs="Arial"/>
          <w:color w:val="000000" w:themeColor="text1"/>
          <w:sz w:val="20"/>
          <w:szCs w:val="20"/>
          <w:shd w:val="clear" w:color="auto" w:fill="FFFFFF" w:themeFill="background1"/>
          <w:lang w:val="es-UY" w:eastAsia="es-UY"/>
        </w:rPr>
        <w:t>cuando el retiro se</w:t>
      </w:r>
      <w:r w:rsidR="007F2C68">
        <w:rPr>
          <w:rFonts w:ascii="Arial" w:hAnsi="Arial" w:cs="Arial"/>
          <w:color w:val="000000"/>
          <w:sz w:val="20"/>
          <w:szCs w:val="20"/>
          <w:lang w:val="es-UY" w:eastAsia="es-UY"/>
        </w:rPr>
        <w:t xml:space="preserve"> dé en plazos y/o circunstancias no previstas en el presente pliego.</w:t>
      </w:r>
    </w:p>
    <w:p w14:paraId="6A151179" w14:textId="77777777" w:rsidR="007F2C68" w:rsidRPr="0028322B" w:rsidRDefault="00B14DCC" w:rsidP="00AF3D4D">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 </w:t>
      </w:r>
      <w:r w:rsidR="00A314F1" w:rsidRPr="00C86D3F">
        <w:rPr>
          <w:rFonts w:ascii="Arial" w:hAnsi="Arial" w:cs="Arial"/>
          <w:sz w:val="20"/>
          <w:szCs w:val="20"/>
        </w:rPr>
        <w:t xml:space="preserve">Si el adjudicatario </w:t>
      </w:r>
      <w:r w:rsidR="00A314F1" w:rsidRPr="00C86D3F">
        <w:rPr>
          <w:rFonts w:ascii="Arial" w:hAnsi="Arial" w:cs="Arial"/>
          <w:sz w:val="20"/>
          <w:szCs w:val="20"/>
          <w:lang w:val="es-UY" w:eastAsia="es-UY"/>
        </w:rPr>
        <w:t xml:space="preserve">no cumple en tiempo y forma con la presentación de los estatutos y constitución de la </w:t>
      </w:r>
      <w:r w:rsidR="00A314F1" w:rsidRPr="00C86D3F">
        <w:rPr>
          <w:rFonts w:ascii="Arial" w:hAnsi="Arial" w:cs="Arial"/>
          <w:sz w:val="20"/>
          <w:szCs w:val="20"/>
          <w:lang w:val="es-UY"/>
        </w:rPr>
        <w:t>sociedad de objeto exclusivo</w:t>
      </w:r>
      <w:r w:rsidR="00A314F1" w:rsidRPr="00C86D3F">
        <w:rPr>
          <w:rFonts w:ascii="Arial" w:hAnsi="Arial" w:cs="Arial"/>
          <w:sz w:val="20"/>
          <w:szCs w:val="20"/>
          <w:lang w:val="es-UY" w:eastAsia="es-UY"/>
        </w:rPr>
        <w:t xml:space="preserve">, la garantía de cumplimiento de contrato para la etapa de </w:t>
      </w:r>
      <w:r w:rsidR="003211CB" w:rsidRPr="00C86D3F">
        <w:rPr>
          <w:rFonts w:ascii="Arial" w:hAnsi="Arial" w:cs="Arial"/>
          <w:sz w:val="20"/>
          <w:szCs w:val="20"/>
          <w:lang w:val="es-UY" w:eastAsia="es-UY"/>
        </w:rPr>
        <w:t>construcción</w:t>
      </w:r>
      <w:r w:rsidR="00A314F1" w:rsidRPr="00C86D3F">
        <w:rPr>
          <w:rFonts w:ascii="Arial" w:hAnsi="Arial" w:cs="Arial"/>
          <w:sz w:val="20"/>
          <w:szCs w:val="20"/>
          <w:lang w:val="es-UY" w:eastAsia="es-UY"/>
        </w:rPr>
        <w:t>, seguros, o no firmara el contrato;</w:t>
      </w:r>
    </w:p>
    <w:p w14:paraId="5C5EB880" w14:textId="48883003" w:rsidR="0028322B" w:rsidRPr="00C86D3F" w:rsidRDefault="00837475" w:rsidP="0028322B">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Si</w:t>
      </w:r>
      <w:r w:rsidR="0028322B" w:rsidRPr="0028322B">
        <w:rPr>
          <w:rFonts w:ascii="Arial" w:hAnsi="Arial" w:cs="Arial"/>
          <w:sz w:val="20"/>
          <w:szCs w:val="20"/>
        </w:rPr>
        <w:t xml:space="preserve"> el adjudicatario solicita una prórroga en el plazo para presentar la documentación relativa a los instrumentos de financiación</w:t>
      </w:r>
      <w:r w:rsidRPr="00837475">
        <w:rPr>
          <w:rFonts w:ascii="Arial" w:hAnsi="Arial" w:cs="Arial"/>
          <w:sz w:val="20"/>
          <w:szCs w:val="20"/>
        </w:rPr>
        <w:t xml:space="preserve"> </w:t>
      </w:r>
      <w:r w:rsidRPr="0028322B">
        <w:rPr>
          <w:rFonts w:ascii="Arial" w:hAnsi="Arial" w:cs="Arial"/>
          <w:sz w:val="20"/>
          <w:szCs w:val="20"/>
        </w:rPr>
        <w:t xml:space="preserve">requerida en la cláusula </w:t>
      </w:r>
      <w:r w:rsidR="007906FC">
        <w:rPr>
          <w:rFonts w:ascii="Arial" w:hAnsi="Arial" w:cs="Arial"/>
          <w:sz w:val="20"/>
          <w:szCs w:val="20"/>
        </w:rPr>
        <w:t>19.2 del presente Pliego</w:t>
      </w:r>
      <w:r w:rsidR="0028322B" w:rsidRPr="0028322B">
        <w:rPr>
          <w:rFonts w:ascii="Arial" w:hAnsi="Arial" w:cs="Arial"/>
          <w:sz w:val="20"/>
          <w:szCs w:val="20"/>
        </w:rPr>
        <w:t xml:space="preserve">, </w:t>
      </w:r>
      <w:r w:rsidR="007906FC">
        <w:rPr>
          <w:rFonts w:ascii="Arial" w:hAnsi="Arial" w:cs="Arial"/>
          <w:sz w:val="20"/>
          <w:szCs w:val="20"/>
        </w:rPr>
        <w:t>s</w:t>
      </w:r>
      <w:r w:rsidRPr="0028322B">
        <w:rPr>
          <w:rFonts w:ascii="Arial" w:hAnsi="Arial" w:cs="Arial"/>
          <w:sz w:val="20"/>
          <w:szCs w:val="20"/>
        </w:rPr>
        <w:t>iempre que dicha prórroga no obedezca a aspectos pendientes o respuestas de parte de la A</w:t>
      </w:r>
      <w:r w:rsidR="007906FC">
        <w:rPr>
          <w:rFonts w:ascii="Arial" w:hAnsi="Arial" w:cs="Arial"/>
          <w:sz w:val="20"/>
          <w:szCs w:val="20"/>
        </w:rPr>
        <w:t xml:space="preserve">dministración </w:t>
      </w:r>
      <w:r w:rsidRPr="0028322B">
        <w:rPr>
          <w:rFonts w:ascii="Arial" w:hAnsi="Arial" w:cs="Arial"/>
          <w:sz w:val="20"/>
          <w:szCs w:val="20"/>
        </w:rPr>
        <w:t>P</w:t>
      </w:r>
      <w:r w:rsidR="007906FC">
        <w:rPr>
          <w:rFonts w:ascii="Arial" w:hAnsi="Arial" w:cs="Arial"/>
          <w:sz w:val="20"/>
          <w:szCs w:val="20"/>
        </w:rPr>
        <w:t>ública contratante</w:t>
      </w:r>
      <w:r w:rsidRPr="0028322B">
        <w:rPr>
          <w:rFonts w:ascii="Arial" w:hAnsi="Arial" w:cs="Arial"/>
          <w:sz w:val="20"/>
          <w:szCs w:val="20"/>
        </w:rPr>
        <w:t>.</w:t>
      </w:r>
      <w:r w:rsidR="0028322B" w:rsidRPr="0028322B">
        <w:rPr>
          <w:rFonts w:ascii="Arial" w:hAnsi="Arial" w:cs="Arial"/>
          <w:sz w:val="20"/>
          <w:szCs w:val="20"/>
        </w:rPr>
        <w:t xml:space="preserve"> </w:t>
      </w:r>
      <w:r>
        <w:rPr>
          <w:rFonts w:ascii="Arial" w:hAnsi="Arial" w:cs="Arial"/>
          <w:sz w:val="20"/>
          <w:szCs w:val="20"/>
        </w:rPr>
        <w:t xml:space="preserve">En este caso podrá ser </w:t>
      </w:r>
      <w:r w:rsidR="0028322B" w:rsidRPr="0028322B">
        <w:rPr>
          <w:rFonts w:ascii="Arial" w:hAnsi="Arial" w:cs="Arial"/>
          <w:sz w:val="20"/>
          <w:szCs w:val="20"/>
        </w:rPr>
        <w:t>ejecuta</w:t>
      </w:r>
      <w:r>
        <w:rPr>
          <w:rFonts w:ascii="Arial" w:hAnsi="Arial" w:cs="Arial"/>
          <w:sz w:val="20"/>
          <w:szCs w:val="20"/>
        </w:rPr>
        <w:t>da</w:t>
      </w:r>
      <w:r w:rsidR="0028322B" w:rsidRPr="0028322B">
        <w:rPr>
          <w:rFonts w:ascii="Arial" w:hAnsi="Arial" w:cs="Arial"/>
          <w:sz w:val="20"/>
          <w:szCs w:val="20"/>
        </w:rPr>
        <w:t xml:space="preserve"> </w:t>
      </w:r>
      <w:r>
        <w:rPr>
          <w:rFonts w:ascii="Arial" w:hAnsi="Arial" w:cs="Arial"/>
          <w:sz w:val="20"/>
          <w:szCs w:val="20"/>
        </w:rPr>
        <w:t xml:space="preserve">únicamente </w:t>
      </w:r>
      <w:r w:rsidR="0028322B" w:rsidRPr="0028322B">
        <w:rPr>
          <w:rFonts w:ascii="Arial" w:hAnsi="Arial" w:cs="Arial"/>
          <w:sz w:val="20"/>
          <w:szCs w:val="20"/>
        </w:rPr>
        <w:t>la suma de U</w:t>
      </w:r>
      <w:r>
        <w:rPr>
          <w:rFonts w:ascii="Arial" w:hAnsi="Arial" w:cs="Arial"/>
          <w:sz w:val="20"/>
          <w:szCs w:val="20"/>
        </w:rPr>
        <w:t>$</w:t>
      </w:r>
      <w:r w:rsidR="0028322B" w:rsidRPr="0028322B">
        <w:rPr>
          <w:rFonts w:ascii="Arial" w:hAnsi="Arial" w:cs="Arial"/>
          <w:sz w:val="20"/>
          <w:szCs w:val="20"/>
        </w:rPr>
        <w:t>S 50.000 de</w:t>
      </w:r>
      <w:r w:rsidR="007906FC">
        <w:rPr>
          <w:rFonts w:ascii="Arial" w:hAnsi="Arial" w:cs="Arial"/>
          <w:sz w:val="20"/>
          <w:szCs w:val="20"/>
        </w:rPr>
        <w:t>l total de</w:t>
      </w:r>
      <w:r w:rsidR="0028322B" w:rsidRPr="0028322B">
        <w:rPr>
          <w:rFonts w:ascii="Arial" w:hAnsi="Arial" w:cs="Arial"/>
          <w:sz w:val="20"/>
          <w:szCs w:val="20"/>
        </w:rPr>
        <w:t xml:space="preserve"> la garantía. </w:t>
      </w:r>
    </w:p>
    <w:p w14:paraId="454C2F17" w14:textId="77777777" w:rsidR="000708CC" w:rsidRDefault="00B14DCC" w:rsidP="000708CC">
      <w:pPr>
        <w:numPr>
          <w:ilvl w:val="0"/>
          <w:numId w:val="6"/>
        </w:num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 </w:t>
      </w:r>
      <w:r w:rsidR="007F2C68" w:rsidRPr="00EF37C1">
        <w:rPr>
          <w:rFonts w:ascii="Arial" w:hAnsi="Arial" w:cs="Arial"/>
          <w:sz w:val="20"/>
          <w:szCs w:val="20"/>
        </w:rPr>
        <w:t>Ante cualquier otro incumplimiento del oferente derivado de su calidad</w:t>
      </w:r>
      <w:r>
        <w:rPr>
          <w:rFonts w:ascii="Arial" w:hAnsi="Arial" w:cs="Arial"/>
          <w:sz w:val="20"/>
          <w:szCs w:val="20"/>
        </w:rPr>
        <w:t xml:space="preserve"> </w:t>
      </w:r>
      <w:r w:rsidR="007F2C68" w:rsidRPr="00EF37C1">
        <w:rPr>
          <w:rFonts w:ascii="Arial" w:hAnsi="Arial" w:cs="Arial"/>
          <w:sz w:val="20"/>
          <w:szCs w:val="20"/>
        </w:rPr>
        <w:t>de</w:t>
      </w:r>
      <w:r>
        <w:rPr>
          <w:rFonts w:ascii="Arial" w:hAnsi="Arial" w:cs="Arial"/>
          <w:sz w:val="20"/>
          <w:szCs w:val="20"/>
        </w:rPr>
        <w:t xml:space="preserve"> </w:t>
      </w:r>
      <w:r w:rsidR="007F2C68" w:rsidRPr="00EF37C1">
        <w:rPr>
          <w:rFonts w:ascii="Arial" w:hAnsi="Arial" w:cs="Arial"/>
          <w:sz w:val="20"/>
          <w:szCs w:val="20"/>
        </w:rPr>
        <w:t xml:space="preserve">adjudicatario provisional. </w:t>
      </w:r>
    </w:p>
    <w:p w14:paraId="16B760EC" w14:textId="77777777" w:rsidR="000708CC" w:rsidRPr="0071654F" w:rsidRDefault="000708CC" w:rsidP="0071654F">
      <w:pPr>
        <w:ind w:left="360"/>
        <w:jc w:val="both"/>
        <w:rPr>
          <w:rFonts w:ascii="Arial" w:hAnsi="Arial" w:cs="Arial"/>
          <w:sz w:val="20"/>
          <w:szCs w:val="24"/>
        </w:rPr>
      </w:pPr>
      <w:r w:rsidRPr="0071654F">
        <w:rPr>
          <w:rFonts w:ascii="Arial" w:hAnsi="Arial" w:cs="Arial"/>
          <w:sz w:val="20"/>
          <w:szCs w:val="24"/>
        </w:rPr>
        <w:t>En caso de que el oferente resulte adjudicatario de otro proyecto PPP vial impulsado por el MTOP y esto ocurra con posterioridad a la fecha de presentación de las ofertas de la presente licitación, dicho oferente podrá solicitar el total reintegro de la garan</w:t>
      </w:r>
      <w:r w:rsidRPr="0071654F">
        <w:rPr>
          <w:rFonts w:ascii="Arial" w:hAnsi="Arial" w:cs="Arial"/>
          <w:sz w:val="20"/>
          <w:szCs w:val="24"/>
        </w:rPr>
        <w:lastRenderedPageBreak/>
        <w:t>tía de mantenimiento de oferta. Dicha solicitud solo podrá realizarse en forma previa a la adjudicación provisional del presente proyecto e implicará la pérdida de calidad de oferente.</w:t>
      </w:r>
    </w:p>
    <w:p w14:paraId="140DEFDD" w14:textId="77777777" w:rsidR="000708CC" w:rsidRPr="000708CC" w:rsidRDefault="000708CC" w:rsidP="000708CC">
      <w:pPr>
        <w:tabs>
          <w:tab w:val="left" w:pos="0"/>
          <w:tab w:val="left" w:pos="567"/>
          <w:tab w:val="left" w:pos="834"/>
          <w:tab w:val="left" w:pos="1569"/>
          <w:tab w:val="left" w:pos="2160"/>
          <w:tab w:val="left" w:pos="2880"/>
          <w:tab w:val="left" w:pos="4320"/>
          <w:tab w:val="left" w:pos="5040"/>
          <w:tab w:val="left" w:pos="5760"/>
          <w:tab w:val="left" w:pos="6480"/>
          <w:tab w:val="left" w:pos="7200"/>
          <w:tab w:val="left" w:pos="7920"/>
        </w:tabs>
        <w:spacing w:after="120"/>
        <w:ind w:left="360"/>
        <w:jc w:val="both"/>
        <w:rPr>
          <w:rFonts w:ascii="Arial" w:hAnsi="Arial" w:cs="Arial"/>
          <w:sz w:val="20"/>
          <w:szCs w:val="20"/>
        </w:rPr>
      </w:pPr>
    </w:p>
    <w:p w14:paraId="75B7B89D" w14:textId="77777777" w:rsidR="007F2C68" w:rsidRPr="00EF37C1" w:rsidRDefault="007F2C68" w:rsidP="009A58E0">
      <w:pPr>
        <w:pStyle w:val="T1"/>
        <w:numPr>
          <w:ilvl w:val="0"/>
          <w:numId w:val="90"/>
        </w:numPr>
        <w:outlineLvl w:val="2"/>
      </w:pPr>
      <w:bookmarkStart w:id="61" w:name="_Toc468287975"/>
      <w:bookmarkStart w:id="62" w:name="_Toc496266568"/>
      <w:bookmarkStart w:id="63" w:name="Lit_14"/>
      <w:r w:rsidRPr="00EF37C1">
        <w:t>PRESENTACIÓN DE LAS PROPUESTAS</w:t>
      </w:r>
      <w:bookmarkEnd w:id="61"/>
      <w:bookmarkEnd w:id="62"/>
    </w:p>
    <w:bookmarkEnd w:id="63"/>
    <w:p w14:paraId="24325C3E" w14:textId="77777777" w:rsidR="00B473D1" w:rsidRDefault="007F2C68" w:rsidP="009A58E0">
      <w:pPr>
        <w:pStyle w:val="NormalWeb"/>
        <w:numPr>
          <w:ilvl w:val="0"/>
          <w:numId w:val="91"/>
        </w:numPr>
        <w:jc w:val="both"/>
        <w:rPr>
          <w:rFonts w:ascii="Arial" w:hAnsi="Arial" w:cs="Arial"/>
          <w:sz w:val="20"/>
          <w:szCs w:val="20"/>
        </w:rPr>
      </w:pPr>
      <w:r w:rsidRPr="0043325E">
        <w:rPr>
          <w:rFonts w:ascii="Arial" w:hAnsi="Arial" w:cs="Arial"/>
          <w:sz w:val="20"/>
          <w:szCs w:val="20"/>
        </w:rPr>
        <w:t xml:space="preserve">Las ofertas se presentarán personalmente por quien se encuentre apoderado a los efectos, en el lugar, día y hora establecida en </w:t>
      </w:r>
      <w:r w:rsidR="00B655DC" w:rsidRPr="00336AC7">
        <w:rPr>
          <w:rFonts w:ascii="Arial" w:hAnsi="Arial" w:cs="Arial"/>
          <w:sz w:val="20"/>
          <w:szCs w:val="20"/>
        </w:rPr>
        <w:t xml:space="preserve">la página de </w:t>
      </w:r>
      <w:hyperlink r:id="rId34" w:history="1">
        <w:r w:rsidR="00B655DC" w:rsidRPr="00336AC7">
          <w:rPr>
            <w:rStyle w:val="Hipervnculo"/>
            <w:rFonts w:ascii="Arial" w:hAnsi="Arial" w:cs="Arial"/>
            <w:sz w:val="20"/>
            <w:szCs w:val="20"/>
          </w:rPr>
          <w:t>www.comprasestatales.gub.uy</w:t>
        </w:r>
      </w:hyperlink>
      <w:r w:rsidRPr="0043325E">
        <w:rPr>
          <w:rFonts w:ascii="Arial" w:hAnsi="Arial" w:cs="Arial"/>
          <w:sz w:val="20"/>
          <w:szCs w:val="20"/>
        </w:rPr>
        <w:t>, en</w:t>
      </w:r>
      <w:r w:rsidR="00B14DCC">
        <w:rPr>
          <w:rFonts w:ascii="Arial" w:hAnsi="Arial" w:cs="Arial"/>
          <w:sz w:val="20"/>
          <w:szCs w:val="20"/>
        </w:rPr>
        <w:t xml:space="preserve"> </w:t>
      </w:r>
      <w:r w:rsidRPr="00A03562">
        <w:rPr>
          <w:rFonts w:ascii="Arial" w:hAnsi="Arial" w:cs="Arial"/>
          <w:sz w:val="20"/>
          <w:szCs w:val="20"/>
        </w:rPr>
        <w:t>2 sobres</w:t>
      </w:r>
      <w:r w:rsidRPr="0043325E">
        <w:rPr>
          <w:rFonts w:ascii="Arial" w:hAnsi="Arial" w:cs="Arial"/>
          <w:sz w:val="20"/>
          <w:szCs w:val="20"/>
        </w:rPr>
        <w:t xml:space="preserve"> individualizados</w:t>
      </w:r>
      <w:r w:rsidR="00EF34F2">
        <w:rPr>
          <w:rFonts w:ascii="Arial" w:hAnsi="Arial" w:cs="Arial"/>
          <w:sz w:val="20"/>
          <w:szCs w:val="20"/>
        </w:rPr>
        <w:t xml:space="preserve"> </w:t>
      </w:r>
      <w:r w:rsidR="00EF34F2">
        <w:rPr>
          <w:color w:val="000000"/>
        </w:rPr>
        <w:t xml:space="preserve">y </w:t>
      </w:r>
      <w:r w:rsidR="00EF34F2" w:rsidRPr="00173A09">
        <w:rPr>
          <w:rFonts w:ascii="Arial" w:hAnsi="Arial" w:cs="Arial"/>
          <w:sz w:val="20"/>
          <w:szCs w:val="20"/>
        </w:rPr>
        <w:t>debidamente identificados: “Sobre Nº1 – Antecedentes y Propuesta Técnica” y “Sobre Nº2 – Propuesta Económica</w:t>
      </w:r>
      <w:r w:rsidR="00173A09">
        <w:rPr>
          <w:rFonts w:ascii="Arial" w:hAnsi="Arial" w:cs="Arial"/>
          <w:sz w:val="20"/>
          <w:szCs w:val="20"/>
        </w:rPr>
        <w:t>”, </w:t>
      </w:r>
      <w:r w:rsidR="00EF34F2" w:rsidRPr="00173A09">
        <w:rPr>
          <w:rFonts w:ascii="Arial" w:hAnsi="Arial" w:cs="Arial"/>
          <w:sz w:val="20"/>
          <w:szCs w:val="20"/>
        </w:rPr>
        <w:t>cerrados y conteniendo la documentación que se detalla oportunamente. Dentro del Sobre 1 se presentará por separado y debidamente individualizado un sobre con la documentación correspondiente a</w:t>
      </w:r>
      <w:r w:rsidR="00B14DCC">
        <w:rPr>
          <w:rFonts w:ascii="Arial" w:hAnsi="Arial" w:cs="Arial"/>
          <w:sz w:val="20"/>
          <w:szCs w:val="20"/>
        </w:rPr>
        <w:t xml:space="preserve"> </w:t>
      </w:r>
      <w:r w:rsidR="00EF34F2" w:rsidRPr="00173A09">
        <w:rPr>
          <w:rFonts w:ascii="Arial" w:hAnsi="Arial" w:cs="Arial"/>
          <w:sz w:val="20"/>
          <w:szCs w:val="20"/>
        </w:rPr>
        <w:t>Antecedentes y otro sobre con la documentación correspondiente a Propuesta Técnica.</w:t>
      </w:r>
    </w:p>
    <w:p w14:paraId="3B097E15" w14:textId="77777777" w:rsidR="00EF34F2" w:rsidRPr="00052F39" w:rsidRDefault="00EF34F2" w:rsidP="008E1222">
      <w:pPr>
        <w:pStyle w:val="NormalWeb"/>
        <w:jc w:val="both"/>
        <w:rPr>
          <w:rFonts w:ascii="Arial" w:hAnsi="Arial" w:cs="Arial"/>
          <w:sz w:val="20"/>
          <w:szCs w:val="20"/>
        </w:rPr>
      </w:pPr>
      <w:r w:rsidRPr="00052F39">
        <w:rPr>
          <w:rFonts w:ascii="Arial" w:hAnsi="Arial" w:cs="Arial"/>
          <w:sz w:val="20"/>
          <w:szCs w:val="20"/>
        </w:rPr>
        <w:t>Todos los sobres deberán:</w:t>
      </w:r>
    </w:p>
    <w:p w14:paraId="7636B102" w14:textId="77777777" w:rsidR="00D96FBE" w:rsidRDefault="00DA729D" w:rsidP="00062EB6">
      <w:pPr>
        <w:pStyle w:val="NormalWeb"/>
        <w:ind w:left="741" w:firstLine="57"/>
        <w:jc w:val="both"/>
        <w:rPr>
          <w:rFonts w:ascii="Arial" w:hAnsi="Arial" w:cs="Arial"/>
          <w:sz w:val="20"/>
          <w:szCs w:val="20"/>
        </w:rPr>
      </w:pPr>
      <w:r>
        <w:rPr>
          <w:rFonts w:ascii="Arial" w:hAnsi="Arial" w:cs="Arial"/>
          <w:sz w:val="20"/>
          <w:szCs w:val="20"/>
        </w:rPr>
        <w:t xml:space="preserve">a) </w:t>
      </w:r>
      <w:r w:rsidR="00EF34F2" w:rsidRPr="00173A09">
        <w:rPr>
          <w:rFonts w:ascii="Arial" w:hAnsi="Arial" w:cs="Arial"/>
          <w:sz w:val="20"/>
          <w:szCs w:val="20"/>
        </w:rPr>
        <w:t>Estar dirigidos al Contratante y llevar la dirección</w:t>
      </w:r>
      <w:r w:rsidR="00B14DCC">
        <w:rPr>
          <w:rFonts w:ascii="Arial" w:hAnsi="Arial" w:cs="Arial"/>
          <w:sz w:val="20"/>
          <w:szCs w:val="20"/>
        </w:rPr>
        <w:t xml:space="preserve"> </w:t>
      </w:r>
      <w:r w:rsidR="00EF34F2" w:rsidRPr="00173A09">
        <w:rPr>
          <w:rFonts w:ascii="Arial" w:hAnsi="Arial" w:cs="Arial"/>
          <w:sz w:val="20"/>
          <w:szCs w:val="20"/>
        </w:rPr>
        <w:t>de éste</w:t>
      </w:r>
      <w:r w:rsidR="00D96FBE">
        <w:rPr>
          <w:rFonts w:ascii="Arial" w:hAnsi="Arial" w:cs="Arial"/>
          <w:sz w:val="20"/>
          <w:szCs w:val="20"/>
        </w:rPr>
        <w:t>.</w:t>
      </w:r>
    </w:p>
    <w:p w14:paraId="2B31A193" w14:textId="77777777" w:rsidR="00EF34F2" w:rsidRPr="00062EB6" w:rsidRDefault="00DA729D" w:rsidP="00062EB6">
      <w:pPr>
        <w:pStyle w:val="NormalWeb"/>
        <w:ind w:left="741" w:firstLine="57"/>
        <w:jc w:val="both"/>
        <w:rPr>
          <w:rFonts w:ascii="Arial" w:hAnsi="Arial" w:cs="Arial"/>
          <w:sz w:val="20"/>
          <w:szCs w:val="20"/>
        </w:rPr>
      </w:pPr>
      <w:r w:rsidRPr="00062EB6">
        <w:rPr>
          <w:rFonts w:ascii="Arial" w:hAnsi="Arial" w:cs="Arial"/>
          <w:sz w:val="20"/>
          <w:szCs w:val="20"/>
        </w:rPr>
        <w:tab/>
        <w:t xml:space="preserve">b) </w:t>
      </w:r>
      <w:r w:rsidR="00EF34F2" w:rsidRPr="00062EB6">
        <w:rPr>
          <w:rFonts w:ascii="Arial" w:hAnsi="Arial" w:cs="Arial"/>
          <w:sz w:val="20"/>
          <w:szCs w:val="20"/>
        </w:rPr>
        <w:t>Llevar el nombre y el número de identificación del contrato indicado en el aviso de prensa correspondiente.</w:t>
      </w:r>
    </w:p>
    <w:p w14:paraId="2A104405" w14:textId="77777777" w:rsidR="00D96FBE" w:rsidRPr="00D96FBE" w:rsidRDefault="00173A09" w:rsidP="00D96FBE">
      <w:pPr>
        <w:pStyle w:val="NormalWeb"/>
        <w:ind w:left="741" w:firstLine="57"/>
        <w:jc w:val="both"/>
        <w:rPr>
          <w:rFonts w:ascii="Arial" w:hAnsi="Arial" w:cs="Arial"/>
          <w:sz w:val="20"/>
          <w:szCs w:val="20"/>
        </w:rPr>
      </w:pPr>
      <w:r>
        <w:rPr>
          <w:rFonts w:ascii="Arial" w:hAnsi="Arial" w:cs="Arial"/>
          <w:sz w:val="20"/>
          <w:szCs w:val="20"/>
        </w:rPr>
        <w:lastRenderedPageBreak/>
        <w:t>c</w:t>
      </w:r>
      <w:r w:rsidRPr="00173A09">
        <w:rPr>
          <w:rFonts w:ascii="Arial" w:hAnsi="Arial" w:cs="Arial"/>
          <w:sz w:val="20"/>
          <w:szCs w:val="20"/>
        </w:rPr>
        <w:t xml:space="preserve">) </w:t>
      </w:r>
      <w:r w:rsidR="00DA729D">
        <w:rPr>
          <w:rFonts w:ascii="Arial" w:hAnsi="Arial" w:cs="Arial"/>
          <w:sz w:val="20"/>
          <w:szCs w:val="20"/>
        </w:rPr>
        <w:tab/>
      </w:r>
      <w:r w:rsidRPr="00173A09">
        <w:rPr>
          <w:rFonts w:ascii="Arial" w:hAnsi="Arial" w:cs="Arial"/>
          <w:sz w:val="20"/>
          <w:szCs w:val="20"/>
        </w:rPr>
        <w:t>Llevar el nombre y la dirección del Oferente.</w:t>
      </w:r>
    </w:p>
    <w:p w14:paraId="4D0E2F75"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43325E">
        <w:rPr>
          <w:rFonts w:ascii="Arial" w:hAnsi="Arial" w:cs="Arial"/>
          <w:sz w:val="20"/>
          <w:szCs w:val="20"/>
        </w:rPr>
        <w:t>Toda la documentación exigida en este Pliego, se presentará en original y cuatro (4) copias, con sus fojas foliadas, escritas a máquina</w:t>
      </w:r>
      <w:r w:rsidRPr="00A03562">
        <w:rPr>
          <w:rFonts w:ascii="Arial" w:hAnsi="Arial" w:cs="Arial"/>
          <w:sz w:val="20"/>
          <w:szCs w:val="20"/>
        </w:rPr>
        <w:t xml:space="preserve"> u otro tipo de impresión mecánica informática, y no se aceptará ningún documento manuscrito ni con omisiones, errores o enmiendas que no permitan conocer claramente las condiciones para valorar la oferta.</w:t>
      </w:r>
    </w:p>
    <w:p w14:paraId="343F8BD3"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Será firmada por el oferente o su representante acreditado al efecto. Se deberá presentar en idioma español y debidamente legalizado </w:t>
      </w:r>
      <w:r w:rsidRPr="00F30FAD">
        <w:rPr>
          <w:rFonts w:ascii="Arial" w:hAnsi="Arial" w:cs="Arial"/>
          <w:sz w:val="20"/>
          <w:szCs w:val="20"/>
        </w:rPr>
        <w:t>o apostillado en caso de corresponder. Además de presentar la información en papel, la Propuesta Técnica del Sobre Nº 1 y el Sobre</w:t>
      </w:r>
      <w:r w:rsidR="00B14DCC">
        <w:rPr>
          <w:rFonts w:ascii="Arial" w:hAnsi="Arial" w:cs="Arial"/>
          <w:sz w:val="20"/>
          <w:szCs w:val="20"/>
        </w:rPr>
        <w:t xml:space="preserve"> </w:t>
      </w:r>
      <w:r w:rsidRPr="00F30FAD">
        <w:rPr>
          <w:rFonts w:ascii="Arial" w:hAnsi="Arial" w:cs="Arial"/>
          <w:sz w:val="20"/>
          <w:szCs w:val="20"/>
        </w:rPr>
        <w:t>Nº 2</w:t>
      </w:r>
      <w:r w:rsidRPr="00EF37C1">
        <w:rPr>
          <w:rFonts w:ascii="Arial" w:hAnsi="Arial" w:cs="Arial"/>
          <w:sz w:val="20"/>
          <w:szCs w:val="20"/>
        </w:rPr>
        <w:t xml:space="preserve"> deberán presentarse en soporte informático y formato pdf. Las hojas de cálculo empleadas en el formato editable serán Excel o compatibles y no bloqueadas. En caso de discrepancia entre los datos o información de ambos soportes prevalecerá la contenida en la documentación presentada en papel.</w:t>
      </w:r>
    </w:p>
    <w:p w14:paraId="04E3DBD9"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propuesta y todas las comunicaciones y documentos relativos a ella que intercambien </w:t>
      </w:r>
      <w:r>
        <w:rPr>
          <w:rFonts w:ascii="Arial" w:hAnsi="Arial" w:cs="Arial"/>
          <w:sz w:val="20"/>
          <w:szCs w:val="20"/>
        </w:rPr>
        <w:t xml:space="preserve">la Contratante </w:t>
      </w:r>
      <w:r w:rsidRPr="00EF37C1">
        <w:rPr>
          <w:rFonts w:ascii="Arial" w:hAnsi="Arial" w:cs="Arial"/>
          <w:sz w:val="20"/>
          <w:szCs w:val="20"/>
        </w:rPr>
        <w:t xml:space="preserve">y el oferente deberán redactarse en idioma español. Cualquier material que se proporcione podrá estar en otro idioma a condición de que vaya acompañado de una traducción en español (por </w:t>
      </w:r>
      <w:r w:rsidRPr="00EF37C1">
        <w:rPr>
          <w:rFonts w:ascii="Arial" w:hAnsi="Arial" w:cs="Arial"/>
          <w:sz w:val="20"/>
          <w:szCs w:val="20"/>
        </w:rPr>
        <w:lastRenderedPageBreak/>
        <w:t xml:space="preserve">traductor público), firmada por el oferente, la cual prevalecerá a los efectos de la interpretación de la propuesta. </w:t>
      </w:r>
    </w:p>
    <w:p w14:paraId="3475BE2B"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La elaboración de la documentación para la confección de las ofertas que se presentan será de exclusivo costo de los oferentes y no tendrán derecho a</w:t>
      </w:r>
      <w:r w:rsidR="00B14DCC">
        <w:rPr>
          <w:rFonts w:ascii="Arial" w:hAnsi="Arial" w:cs="Arial"/>
          <w:sz w:val="20"/>
          <w:szCs w:val="20"/>
        </w:rPr>
        <w:t xml:space="preserve"> </w:t>
      </w:r>
      <w:r w:rsidRPr="00EF37C1">
        <w:rPr>
          <w:rFonts w:ascii="Arial" w:hAnsi="Arial" w:cs="Arial"/>
          <w:sz w:val="20"/>
          <w:szCs w:val="20"/>
        </w:rPr>
        <w:t>reclamar compensación económica alguna.</w:t>
      </w:r>
    </w:p>
    <w:p w14:paraId="240D4327"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Cada oferente podrá presentar solamente una oferta, ya sea por sí solo o como integrante de una asociación, grupo o sociedad. Si un oferente presenta más de una oferta o integra “como oferente” más de una de ellas, quedarán descalificadas todas las ofertas que incluyan su integración.</w:t>
      </w:r>
    </w:p>
    <w:p w14:paraId="2BD5E63E" w14:textId="77777777" w:rsidR="00386FEF" w:rsidRDefault="007F2C68" w:rsidP="009A58E0">
      <w:pPr>
        <w:numPr>
          <w:ilvl w:val="0"/>
          <w:numId w:val="91"/>
        </w:numPr>
        <w:tabs>
          <w:tab w:val="left" w:pos="0"/>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rPr>
      </w:pPr>
      <w:r w:rsidRPr="00EF37C1">
        <w:rPr>
          <w:rFonts w:ascii="Arial" w:hAnsi="Arial" w:cs="Arial"/>
          <w:sz w:val="20"/>
          <w:szCs w:val="20"/>
        </w:rPr>
        <w:t xml:space="preserve">La presentación de las propuestas presume la aceptación incondicionada por parte del oferente de las cláusulas del pliego y de los restantes documentos que forman parte de la contratación, sin salvedad alguna. </w:t>
      </w:r>
    </w:p>
    <w:p w14:paraId="47EE9F68" w14:textId="77777777" w:rsidR="00386FEF" w:rsidRDefault="007F2C68" w:rsidP="009A58E0">
      <w:pPr>
        <w:numPr>
          <w:ilvl w:val="0"/>
          <w:numId w:val="91"/>
        </w:numPr>
        <w:tabs>
          <w:tab w:val="left" w:pos="709"/>
        </w:tabs>
        <w:spacing w:after="120"/>
        <w:jc w:val="both"/>
        <w:rPr>
          <w:rFonts w:ascii="Arial" w:hAnsi="Arial" w:cs="Arial"/>
          <w:sz w:val="20"/>
          <w:szCs w:val="20"/>
        </w:rPr>
      </w:pPr>
      <w:r w:rsidRPr="00EF37C1">
        <w:rPr>
          <w:rFonts w:ascii="Arial" w:hAnsi="Arial" w:cs="Arial"/>
          <w:sz w:val="20"/>
          <w:szCs w:val="20"/>
        </w:rPr>
        <w:t>Las ofertas tendrán una validez de 180 (ciento ochenta)</w:t>
      </w:r>
      <w:r w:rsidR="00B14DCC">
        <w:rPr>
          <w:rFonts w:ascii="Arial" w:hAnsi="Arial" w:cs="Arial"/>
          <w:sz w:val="20"/>
          <w:szCs w:val="20"/>
        </w:rPr>
        <w:t xml:space="preserve"> </w:t>
      </w:r>
      <w:r w:rsidRPr="00EF37C1">
        <w:rPr>
          <w:rFonts w:ascii="Arial" w:hAnsi="Arial" w:cs="Arial"/>
          <w:sz w:val="20"/>
          <w:szCs w:val="20"/>
        </w:rPr>
        <w:t xml:space="preserve">días, contados a partir del día siguiente a la fecha de apertura del Sobre Nº1. Si </w:t>
      </w:r>
      <w:r>
        <w:rPr>
          <w:rFonts w:ascii="Arial" w:hAnsi="Arial" w:cs="Arial"/>
          <w:sz w:val="20"/>
          <w:szCs w:val="20"/>
        </w:rPr>
        <w:t xml:space="preserve">la Contratante </w:t>
      </w:r>
      <w:r w:rsidRPr="00EF37C1">
        <w:rPr>
          <w:rFonts w:ascii="Arial" w:hAnsi="Arial" w:cs="Arial"/>
          <w:sz w:val="20"/>
          <w:szCs w:val="20"/>
        </w:rPr>
        <w:t>no se expidiera en este plazo, la validez de la oferta se prorrogará automáticamente por 45 días, salvo que dentro de los 5 días previos al vencimiento, el oferente</w:t>
      </w:r>
      <w:r w:rsidR="00B14DCC">
        <w:rPr>
          <w:rFonts w:ascii="Arial" w:hAnsi="Arial" w:cs="Arial"/>
          <w:sz w:val="20"/>
          <w:szCs w:val="20"/>
        </w:rPr>
        <w:t xml:space="preserve"> </w:t>
      </w:r>
      <w:r w:rsidRPr="00EF37C1">
        <w:rPr>
          <w:rFonts w:ascii="Arial" w:hAnsi="Arial" w:cs="Arial"/>
          <w:sz w:val="20"/>
          <w:szCs w:val="20"/>
        </w:rPr>
        <w:t xml:space="preserve">notifique su voluntad de retirarse, por carta o fax. </w:t>
      </w:r>
      <w:r w:rsidRPr="00EF37C1">
        <w:rPr>
          <w:rFonts w:ascii="Arial" w:hAnsi="Arial" w:cs="Arial"/>
          <w:sz w:val="20"/>
          <w:szCs w:val="20"/>
        </w:rPr>
        <w:lastRenderedPageBreak/>
        <w:t xml:space="preserve">En dicho caso su oferta sigue válida hasta 14 días después de ese plazo. Si al día 15 </w:t>
      </w:r>
      <w:r>
        <w:rPr>
          <w:rFonts w:ascii="Arial" w:hAnsi="Arial" w:cs="Arial"/>
          <w:sz w:val="20"/>
          <w:szCs w:val="20"/>
        </w:rPr>
        <w:t xml:space="preserve">la Contratante </w:t>
      </w:r>
      <w:r w:rsidRPr="00EF37C1">
        <w:rPr>
          <w:rFonts w:ascii="Arial" w:hAnsi="Arial" w:cs="Arial"/>
          <w:sz w:val="20"/>
          <w:szCs w:val="20"/>
        </w:rPr>
        <w:t>no se hubiere expedido, la oferta caducará y se devolverá la garantía</w:t>
      </w:r>
      <w:r w:rsidRPr="00EF37C1">
        <w:rPr>
          <w:rFonts w:ascii="Arial" w:hAnsi="Arial" w:cs="Arial"/>
          <w:sz w:val="20"/>
          <w:szCs w:val="20"/>
          <w:lang w:val="es-UY"/>
        </w:rPr>
        <w:t xml:space="preserve"> sin derecho a compensación de ningún tipo.</w:t>
      </w:r>
      <w:r w:rsidRPr="00EF37C1">
        <w:rPr>
          <w:rFonts w:ascii="Arial" w:hAnsi="Arial" w:cs="Arial"/>
          <w:sz w:val="20"/>
          <w:szCs w:val="20"/>
        </w:rPr>
        <w:t xml:space="preserve"> Durante el período de pr</w:t>
      </w:r>
      <w:r>
        <w:rPr>
          <w:rFonts w:ascii="Arial" w:hAnsi="Arial" w:cs="Arial"/>
          <w:sz w:val="20"/>
          <w:szCs w:val="20"/>
        </w:rPr>
        <w:t>ó</w:t>
      </w:r>
      <w:r w:rsidRPr="00EF37C1">
        <w:rPr>
          <w:rFonts w:ascii="Arial" w:hAnsi="Arial" w:cs="Arial"/>
          <w:sz w:val="20"/>
          <w:szCs w:val="20"/>
        </w:rPr>
        <w:t>rroga las ofertas son válidas y por tanto el oferente que quiera retirarse perderá su garantía, excepto cuando cumpla los plazos y procedimien</w:t>
      </w:r>
      <w:r>
        <w:rPr>
          <w:rFonts w:ascii="Arial" w:hAnsi="Arial" w:cs="Arial"/>
          <w:sz w:val="20"/>
          <w:szCs w:val="20"/>
        </w:rPr>
        <w:t xml:space="preserve">tos mencionado para retirarse. </w:t>
      </w:r>
      <w:r w:rsidRPr="00EF37C1">
        <w:rPr>
          <w:rFonts w:ascii="Arial" w:hAnsi="Arial" w:cs="Arial"/>
          <w:sz w:val="20"/>
          <w:szCs w:val="20"/>
        </w:rPr>
        <w:t>Las pr</w:t>
      </w:r>
      <w:r>
        <w:rPr>
          <w:rFonts w:ascii="Arial" w:hAnsi="Arial" w:cs="Arial"/>
          <w:sz w:val="20"/>
          <w:szCs w:val="20"/>
        </w:rPr>
        <w:t>ó</w:t>
      </w:r>
      <w:r w:rsidRPr="00EF37C1">
        <w:rPr>
          <w:rFonts w:ascii="Arial" w:hAnsi="Arial" w:cs="Arial"/>
          <w:sz w:val="20"/>
          <w:szCs w:val="20"/>
        </w:rPr>
        <w:t xml:space="preserve">rrogas automáticas se sucederán hasta un máximo de 180 días, vencidos los cuales, </w:t>
      </w:r>
      <w:r>
        <w:rPr>
          <w:rFonts w:ascii="Arial" w:hAnsi="Arial" w:cs="Arial"/>
          <w:sz w:val="20"/>
          <w:szCs w:val="20"/>
        </w:rPr>
        <w:t xml:space="preserve">la Contratante </w:t>
      </w:r>
      <w:r w:rsidRPr="00EF37C1">
        <w:rPr>
          <w:rFonts w:ascii="Arial" w:hAnsi="Arial" w:cs="Arial"/>
          <w:sz w:val="20"/>
          <w:szCs w:val="20"/>
        </w:rPr>
        <w:t>se reserva el derecho a solicitar la extensión de la</w:t>
      </w:r>
      <w:r w:rsidR="00B14DCC">
        <w:rPr>
          <w:rFonts w:ascii="Arial" w:hAnsi="Arial" w:cs="Arial"/>
          <w:sz w:val="20"/>
          <w:szCs w:val="20"/>
        </w:rPr>
        <w:t xml:space="preserve"> </w:t>
      </w:r>
      <w:r w:rsidRPr="00EF37C1">
        <w:rPr>
          <w:rFonts w:ascii="Arial" w:hAnsi="Arial" w:cs="Arial"/>
          <w:sz w:val="20"/>
          <w:szCs w:val="20"/>
        </w:rPr>
        <w:t>validez de la oferta y de la garantía correspondiente.</w:t>
      </w:r>
    </w:p>
    <w:p w14:paraId="28662C2E" w14:textId="77777777" w:rsidR="007F2C68" w:rsidRPr="00DA729D" w:rsidRDefault="007F2C68" w:rsidP="009957CA">
      <w:pPr>
        <w:pStyle w:val="Prrafodelista"/>
        <w:tabs>
          <w:tab w:val="left" w:pos="709"/>
        </w:tabs>
        <w:spacing w:after="120"/>
        <w:jc w:val="both"/>
        <w:rPr>
          <w:rFonts w:ascii="Arial" w:hAnsi="Arial" w:cs="Arial"/>
          <w:sz w:val="20"/>
          <w:szCs w:val="20"/>
        </w:rPr>
      </w:pPr>
      <w:r w:rsidRPr="00DA729D">
        <w:rPr>
          <w:rFonts w:ascii="Arial" w:hAnsi="Arial" w:cs="Arial"/>
          <w:sz w:val="20"/>
          <w:szCs w:val="20"/>
        </w:rPr>
        <w:t>Si vencidos los 360 días la Contratante no se hubiera expedido y solicitara la extensión de la validez de la oferta y de la garantía correspondiente el oferente puede extenderlas o retirar la garantía sin derecho a compensación de ningún tipo.</w:t>
      </w:r>
    </w:p>
    <w:p w14:paraId="72B99A8E" w14:textId="77777777" w:rsidR="007F2C68" w:rsidRPr="00006FCB" w:rsidRDefault="007F2C68" w:rsidP="009A58E0">
      <w:pPr>
        <w:pStyle w:val="T1"/>
        <w:numPr>
          <w:ilvl w:val="0"/>
          <w:numId w:val="90"/>
        </w:numPr>
        <w:outlineLvl w:val="2"/>
      </w:pPr>
      <w:bookmarkStart w:id="64" w:name="_Toc468287976"/>
      <w:bookmarkStart w:id="65" w:name="_Toc496266569"/>
      <w:bookmarkStart w:id="66" w:name="Lit_15"/>
      <w:r w:rsidRPr="00006FCB">
        <w:t>CONTENIDO DE LAS PROPUESTAS</w:t>
      </w:r>
      <w:bookmarkEnd w:id="64"/>
      <w:bookmarkEnd w:id="65"/>
    </w:p>
    <w:p w14:paraId="556B1C1E" w14:textId="77777777" w:rsidR="007F2C68" w:rsidRPr="00BB1885" w:rsidRDefault="007F2C68" w:rsidP="009A58E0">
      <w:pPr>
        <w:pStyle w:val="T2"/>
        <w:numPr>
          <w:ilvl w:val="1"/>
          <w:numId w:val="90"/>
        </w:numPr>
        <w:outlineLvl w:val="3"/>
      </w:pPr>
      <w:bookmarkStart w:id="67" w:name="_Toc468287977"/>
      <w:bookmarkStart w:id="68" w:name="_Toc496266570"/>
      <w:bookmarkStart w:id="69" w:name="Lit_15_1"/>
      <w:bookmarkEnd w:id="66"/>
      <w:r w:rsidRPr="00BB1885">
        <w:t>SOBRE NÚMERO 1: ANTECEDENTES</w:t>
      </w:r>
      <w:bookmarkEnd w:id="67"/>
      <w:bookmarkEnd w:id="68"/>
      <w:r w:rsidRPr="00BB1885">
        <w:t xml:space="preserve"> </w:t>
      </w:r>
    </w:p>
    <w:p w14:paraId="09227F59" w14:textId="77777777" w:rsidR="007F2C68" w:rsidRPr="00871E8E" w:rsidRDefault="007F2C68" w:rsidP="009A58E0">
      <w:pPr>
        <w:pStyle w:val="T3"/>
        <w:numPr>
          <w:ilvl w:val="2"/>
          <w:numId w:val="90"/>
        </w:numPr>
        <w:outlineLvl w:val="9"/>
        <w:rPr>
          <w:rFonts w:eastAsia="Times New Roman"/>
        </w:rPr>
      </w:pPr>
      <w:bookmarkStart w:id="70" w:name="Lit_15_1_1"/>
      <w:bookmarkEnd w:id="69"/>
      <w:r w:rsidRPr="00871E8E">
        <w:rPr>
          <w:rFonts w:eastAsia="Times New Roman"/>
        </w:rPr>
        <w:t>Documento 1: Antecedentes legales del Oferente</w:t>
      </w:r>
    </w:p>
    <w:p w14:paraId="0B7C21A6" w14:textId="77777777" w:rsidR="007F2C68" w:rsidRPr="00CB504D" w:rsidRDefault="007F2C68" w:rsidP="00871E8E">
      <w:pPr>
        <w:spacing w:after="120"/>
        <w:jc w:val="both"/>
        <w:rPr>
          <w:rFonts w:ascii="Arial" w:hAnsi="Arial" w:cs="Arial"/>
          <w:sz w:val="20"/>
          <w:szCs w:val="20"/>
          <w:lang w:val="es-ES_tradnl" w:eastAsia="es-ES"/>
        </w:rPr>
      </w:pPr>
      <w:bookmarkStart w:id="71" w:name="Lit_15_1_1_1"/>
      <w:bookmarkEnd w:id="70"/>
      <w:r w:rsidRPr="00CB504D">
        <w:rPr>
          <w:rFonts w:ascii="Arial" w:hAnsi="Arial" w:cs="Arial"/>
          <w:sz w:val="20"/>
          <w:szCs w:val="20"/>
          <w:lang w:val="es-ES_tradnl" w:eastAsia="es-ES"/>
        </w:rPr>
        <w:t xml:space="preserve">15.1.1.1 Cada una de las personas físicas que integren “el </w:t>
      </w:r>
      <w:r w:rsidR="009957CA">
        <w:rPr>
          <w:rFonts w:ascii="Arial" w:hAnsi="Arial" w:cs="Arial"/>
          <w:sz w:val="20"/>
          <w:szCs w:val="20"/>
          <w:lang w:val="es-ES_tradnl" w:eastAsia="es-ES"/>
        </w:rPr>
        <w:t>O</w:t>
      </w:r>
      <w:r w:rsidRPr="00CB504D">
        <w:rPr>
          <w:rFonts w:ascii="Arial" w:hAnsi="Arial" w:cs="Arial"/>
          <w:sz w:val="20"/>
          <w:szCs w:val="20"/>
          <w:lang w:val="es-ES_tradnl" w:eastAsia="es-ES"/>
        </w:rPr>
        <w:t xml:space="preserve">ferente” deberán presentar </w:t>
      </w:r>
      <w:bookmarkEnd w:id="71"/>
      <w:r w:rsidRPr="00CB504D">
        <w:rPr>
          <w:rFonts w:ascii="Arial" w:hAnsi="Arial" w:cs="Arial"/>
          <w:sz w:val="20"/>
          <w:szCs w:val="20"/>
          <w:lang w:val="es-ES_tradnl" w:eastAsia="es-ES"/>
        </w:rPr>
        <w:t xml:space="preserve">certificado notarial en el que conste su </w:t>
      </w:r>
      <w:r w:rsidRPr="00CB504D">
        <w:rPr>
          <w:rFonts w:ascii="Arial" w:hAnsi="Arial" w:cs="Arial"/>
          <w:sz w:val="20"/>
          <w:szCs w:val="20"/>
          <w:lang w:val="es-ES_tradnl" w:eastAsia="es-ES"/>
        </w:rPr>
        <w:lastRenderedPageBreak/>
        <w:t>documento de identidad,</w:t>
      </w:r>
      <w:r w:rsidR="00B14DCC">
        <w:rPr>
          <w:rFonts w:ascii="Arial" w:hAnsi="Arial" w:cs="Arial"/>
          <w:sz w:val="20"/>
          <w:szCs w:val="20"/>
          <w:lang w:val="es-ES_tradnl" w:eastAsia="es-ES"/>
        </w:rPr>
        <w:t xml:space="preserve"> </w:t>
      </w:r>
      <w:r w:rsidRPr="00CB504D">
        <w:rPr>
          <w:rFonts w:ascii="Arial" w:hAnsi="Arial" w:cs="Arial"/>
          <w:sz w:val="20"/>
          <w:szCs w:val="20"/>
          <w:lang w:val="es-ES_tradnl" w:eastAsia="es-ES"/>
        </w:rPr>
        <w:t>domicilio, teléfono, correo electrónico y fax constituido</w:t>
      </w:r>
      <w:r w:rsidR="00B14DCC">
        <w:rPr>
          <w:rFonts w:ascii="Arial" w:hAnsi="Arial" w:cs="Arial"/>
          <w:sz w:val="20"/>
          <w:szCs w:val="20"/>
          <w:lang w:val="es-ES_tradnl" w:eastAsia="es-ES"/>
        </w:rPr>
        <w:t xml:space="preserve"> </w:t>
      </w:r>
      <w:r w:rsidRPr="00CB504D">
        <w:rPr>
          <w:rFonts w:ascii="Arial" w:hAnsi="Arial" w:cs="Arial"/>
          <w:sz w:val="20"/>
          <w:szCs w:val="20"/>
          <w:lang w:val="es-ES_tradnl" w:eastAsia="es-ES"/>
        </w:rPr>
        <w:t>en Uruguay.</w:t>
      </w:r>
    </w:p>
    <w:p w14:paraId="34238624" w14:textId="77777777" w:rsidR="007F2C68" w:rsidRPr="00CB504D" w:rsidRDefault="007F2C68" w:rsidP="00871E8E">
      <w:pPr>
        <w:tabs>
          <w:tab w:val="left" w:pos="426"/>
        </w:tabs>
        <w:spacing w:after="120"/>
        <w:jc w:val="both"/>
        <w:rPr>
          <w:rFonts w:ascii="Arial" w:hAnsi="Arial" w:cs="Arial"/>
          <w:sz w:val="20"/>
          <w:szCs w:val="20"/>
          <w:lang w:eastAsia="es-ES"/>
        </w:rPr>
      </w:pPr>
      <w:r w:rsidRPr="00CB504D">
        <w:rPr>
          <w:rFonts w:ascii="Arial" w:hAnsi="Arial" w:cs="Arial"/>
          <w:sz w:val="20"/>
          <w:szCs w:val="20"/>
          <w:lang w:val="es-ES_tradnl" w:eastAsia="es-ES"/>
        </w:rPr>
        <w:t>Nombrará representante legal con certificación notarial de su vigencia no superior a un (1) mes.</w:t>
      </w:r>
      <w:r w:rsidRPr="00CB504D">
        <w:rPr>
          <w:rFonts w:ascii="Arial" w:hAnsi="Arial" w:cs="Arial"/>
          <w:sz w:val="20"/>
          <w:szCs w:val="20"/>
          <w:lang w:eastAsia="es-ES"/>
        </w:rPr>
        <w:t xml:space="preserve"> La designación del Representante Legal, podrá hacerse mediante el otorgamiento de: 1) poder general; 2) poder especial o carta poder general según las normas notariales vigentes en la materia. Los poderes otorgados en el extranjero deberán estar traducidos y apostillados o legalizados. </w:t>
      </w:r>
    </w:p>
    <w:p w14:paraId="51DDECB1" w14:textId="77777777" w:rsidR="007F2C68" w:rsidRPr="00810F2B" w:rsidRDefault="007F2C68" w:rsidP="00871E8E">
      <w:pPr>
        <w:spacing w:before="360" w:after="120"/>
        <w:jc w:val="both"/>
        <w:rPr>
          <w:rFonts w:ascii="Arial" w:hAnsi="Arial" w:cs="Arial"/>
          <w:sz w:val="20"/>
          <w:szCs w:val="20"/>
          <w:lang w:val="es-ES_tradnl" w:eastAsia="es-ES"/>
        </w:rPr>
      </w:pPr>
      <w:bookmarkStart w:id="72" w:name="Lit_15_1_1_2"/>
      <w:r w:rsidRPr="00CB504D">
        <w:rPr>
          <w:rFonts w:ascii="Arial" w:hAnsi="Arial" w:cs="Arial"/>
          <w:sz w:val="20"/>
          <w:szCs w:val="20"/>
          <w:lang w:val="es-ES_tradnl" w:eastAsia="es-ES"/>
        </w:rPr>
        <w:t xml:space="preserve">15.1.1.2 Cada una de las personas jurídicas que integren “el </w:t>
      </w:r>
      <w:r w:rsidR="009957CA">
        <w:rPr>
          <w:rFonts w:ascii="Arial" w:hAnsi="Arial" w:cs="Arial"/>
          <w:sz w:val="20"/>
          <w:szCs w:val="20"/>
          <w:lang w:val="es-ES_tradnl" w:eastAsia="es-ES"/>
        </w:rPr>
        <w:t>O</w:t>
      </w:r>
      <w:r w:rsidRPr="00CB504D">
        <w:rPr>
          <w:rFonts w:ascii="Arial" w:hAnsi="Arial" w:cs="Arial"/>
          <w:sz w:val="20"/>
          <w:szCs w:val="20"/>
          <w:lang w:val="es-ES_tradnl" w:eastAsia="es-ES"/>
        </w:rPr>
        <w:t xml:space="preserve">ferente” deberán acompañar, </w:t>
      </w:r>
      <w:bookmarkEnd w:id="72"/>
      <w:r w:rsidRPr="00CB504D">
        <w:rPr>
          <w:rFonts w:ascii="Arial" w:hAnsi="Arial" w:cs="Arial"/>
          <w:sz w:val="20"/>
          <w:szCs w:val="20"/>
          <w:lang w:val="es-ES_tradnl" w:eastAsia="es-ES"/>
        </w:rPr>
        <w:t>certificado notarial o testimonio por exhibición del estatuto o contrato social que acredite la naturaleza jurídica</w:t>
      </w:r>
      <w:r w:rsidRPr="00810F2B">
        <w:rPr>
          <w:rFonts w:ascii="Arial" w:hAnsi="Arial" w:cs="Arial"/>
          <w:sz w:val="20"/>
          <w:szCs w:val="20"/>
          <w:lang w:val="es-ES_tradnl" w:eastAsia="es-ES"/>
        </w:rPr>
        <w:t xml:space="preserve"> de la sociedad e indique en especial</w:t>
      </w:r>
      <w:r w:rsidR="009957CA">
        <w:rPr>
          <w:rFonts w:ascii="Arial" w:hAnsi="Arial" w:cs="Arial"/>
          <w:sz w:val="20"/>
          <w:szCs w:val="20"/>
          <w:lang w:val="es-ES_tradnl" w:eastAsia="es-ES"/>
        </w:rPr>
        <w:t>:</w:t>
      </w:r>
    </w:p>
    <w:p w14:paraId="49CE256E" w14:textId="77777777" w:rsidR="00166D59"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166D59">
        <w:rPr>
          <w:rFonts w:ascii="Arial" w:hAnsi="Arial" w:cs="Arial"/>
          <w:sz w:val="20"/>
          <w:szCs w:val="20"/>
          <w:lang w:val="es-ES_tradnl" w:eastAsia="es-ES"/>
        </w:rPr>
        <w:t xml:space="preserve">Fecha de constitución, modificaciones, objeto, capital y administración, en el cual se acredite que se encuentra </w:t>
      </w:r>
      <w:r w:rsidRPr="00AC6492">
        <w:rPr>
          <w:rFonts w:ascii="Arial" w:hAnsi="Arial" w:cs="Arial"/>
          <w:sz w:val="20"/>
          <w:szCs w:val="20"/>
          <w:lang w:val="es-ES_tradnl" w:eastAsia="es-ES"/>
        </w:rPr>
        <w:t>legalmente constituida.</w:t>
      </w:r>
      <w:r w:rsidR="00AC6492">
        <w:rPr>
          <w:rFonts w:ascii="Arial" w:hAnsi="Arial" w:cs="Arial"/>
          <w:sz w:val="20"/>
          <w:szCs w:val="20"/>
          <w:lang w:val="es-ES_tradnl" w:eastAsia="es-ES"/>
        </w:rPr>
        <w:t xml:space="preserve"> </w:t>
      </w:r>
      <w:r w:rsidR="00166D59" w:rsidRPr="00AC6492">
        <w:rPr>
          <w:rFonts w:ascii="Arial" w:hAnsi="Arial" w:cs="Arial"/>
          <w:sz w:val="20"/>
          <w:szCs w:val="20"/>
          <w:lang w:val="es-ES_tradnl" w:eastAsia="es-ES"/>
        </w:rPr>
        <w:t>La</w:t>
      </w:r>
      <w:r w:rsidR="00166D59">
        <w:rPr>
          <w:rFonts w:ascii="Arial" w:hAnsi="Arial" w:cs="Arial"/>
          <w:sz w:val="20"/>
          <w:szCs w:val="20"/>
          <w:lang w:val="es-ES_tradnl" w:eastAsia="es-ES"/>
        </w:rPr>
        <w:t xml:space="preserve"> regularidad formal del oferente y sus empresas se </w:t>
      </w:r>
      <w:r w:rsidR="009957CA">
        <w:rPr>
          <w:rFonts w:ascii="Arial" w:hAnsi="Arial" w:cs="Arial"/>
          <w:sz w:val="20"/>
          <w:szCs w:val="20"/>
          <w:lang w:val="es-ES_tradnl" w:eastAsia="es-ES"/>
        </w:rPr>
        <w:t xml:space="preserve">examinará </w:t>
      </w:r>
      <w:r w:rsidR="00166D59">
        <w:rPr>
          <w:rFonts w:ascii="Arial" w:hAnsi="Arial" w:cs="Arial"/>
          <w:sz w:val="20"/>
          <w:szCs w:val="20"/>
          <w:lang w:val="es-ES_tradnl" w:eastAsia="es-ES"/>
        </w:rPr>
        <w:t xml:space="preserve">en la certificación notarial </w:t>
      </w:r>
      <w:r w:rsidR="009957CA">
        <w:rPr>
          <w:rFonts w:ascii="Arial" w:hAnsi="Arial" w:cs="Arial"/>
          <w:sz w:val="20"/>
          <w:szCs w:val="20"/>
          <w:lang w:val="es-ES_tradnl" w:eastAsia="es-ES"/>
        </w:rPr>
        <w:t xml:space="preserve">y </w:t>
      </w:r>
      <w:r w:rsidR="00AC6492">
        <w:rPr>
          <w:rFonts w:ascii="Arial" w:hAnsi="Arial" w:cs="Arial"/>
          <w:sz w:val="20"/>
          <w:szCs w:val="20"/>
          <w:lang w:val="es-ES_tradnl" w:eastAsia="es-ES"/>
        </w:rPr>
        <w:t>demás documentos exigidos, legalizados, apostillados y traducidos.</w:t>
      </w:r>
    </w:p>
    <w:p w14:paraId="047ED2B8" w14:textId="77777777" w:rsidR="007F2C68" w:rsidRPr="00EF37C1" w:rsidRDefault="00166D59"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166D59">
        <w:rPr>
          <w:rFonts w:ascii="Arial" w:hAnsi="Arial" w:cs="Arial"/>
          <w:sz w:val="20"/>
          <w:szCs w:val="20"/>
          <w:lang w:val="es-ES_tradnl" w:eastAsia="es-ES"/>
        </w:rPr>
        <w:t xml:space="preserve"> </w:t>
      </w:r>
      <w:r w:rsidR="007F2C68" w:rsidRPr="00166D59">
        <w:rPr>
          <w:rFonts w:ascii="Arial" w:hAnsi="Arial" w:cs="Arial"/>
          <w:sz w:val="20"/>
          <w:szCs w:val="20"/>
          <w:lang w:val="es-ES_tradnl" w:eastAsia="es-ES"/>
        </w:rPr>
        <w:t>En el caso de personas jurídicas extranjeras con representación en el país,</w:t>
      </w:r>
      <w:r w:rsidR="00B14DCC">
        <w:rPr>
          <w:rFonts w:ascii="Arial" w:hAnsi="Arial" w:cs="Arial"/>
          <w:sz w:val="20"/>
          <w:szCs w:val="20"/>
          <w:lang w:val="es-ES_tradnl" w:eastAsia="es-ES"/>
        </w:rPr>
        <w:t xml:space="preserve"> </w:t>
      </w:r>
      <w:r w:rsidR="007F2C68" w:rsidRPr="00166D59">
        <w:rPr>
          <w:rFonts w:ascii="Arial" w:hAnsi="Arial" w:cs="Arial"/>
          <w:sz w:val="20"/>
          <w:szCs w:val="20"/>
          <w:lang w:val="es-ES_tradnl" w:eastAsia="es-ES"/>
        </w:rPr>
        <w:t>deberán presentar los documentos que acrediten su constitución en Uruguay de con</w:t>
      </w:r>
      <w:r w:rsidR="007F2C68" w:rsidRPr="00166D59">
        <w:rPr>
          <w:rFonts w:ascii="Arial" w:hAnsi="Arial" w:cs="Arial"/>
          <w:sz w:val="20"/>
          <w:szCs w:val="20"/>
          <w:lang w:val="es-ES_tradnl" w:eastAsia="es-ES"/>
        </w:rPr>
        <w:lastRenderedPageBreak/>
        <w:t xml:space="preserve">formidad con lo establecido en la Ley N° </w:t>
      </w:r>
      <w:hyperlink r:id="rId35" w:history="1">
        <w:r w:rsidR="007F2C68" w:rsidRPr="009D0232">
          <w:rPr>
            <w:rStyle w:val="Hipervnculo"/>
            <w:rFonts w:ascii="Arial" w:hAnsi="Arial" w:cs="Arial"/>
            <w:sz w:val="20"/>
            <w:szCs w:val="20"/>
            <w:lang w:val="es-ES_tradnl" w:eastAsia="es-ES"/>
          </w:rPr>
          <w:t>16.060</w:t>
        </w:r>
      </w:hyperlink>
      <w:r w:rsidR="007F2C68" w:rsidRPr="00166D59">
        <w:rPr>
          <w:rFonts w:ascii="Arial" w:hAnsi="Arial" w:cs="Arial"/>
          <w:sz w:val="20"/>
          <w:szCs w:val="20"/>
          <w:lang w:val="es-ES_tradnl" w:eastAsia="es-ES"/>
        </w:rPr>
        <w:t xml:space="preserve"> de sociedades comerciales, sus concordantes, complementarias y modificativas</w:t>
      </w:r>
      <w:r w:rsidR="008618E5">
        <w:rPr>
          <w:rFonts w:ascii="Arial" w:hAnsi="Arial" w:cs="Arial"/>
          <w:sz w:val="20"/>
          <w:szCs w:val="20"/>
          <w:lang w:val="es-ES_tradnl" w:eastAsia="es-ES"/>
        </w:rPr>
        <w:t>.</w:t>
      </w:r>
      <w:r w:rsidR="007F2C68" w:rsidRPr="00166D59">
        <w:rPr>
          <w:rFonts w:ascii="Arial" w:hAnsi="Arial" w:cs="Arial"/>
          <w:sz w:val="20"/>
          <w:szCs w:val="20"/>
          <w:lang w:val="es-ES_tradnl" w:eastAsia="es-ES"/>
        </w:rPr>
        <w:t xml:space="preserve"> </w:t>
      </w:r>
    </w:p>
    <w:p w14:paraId="10668396" w14:textId="77777777" w:rsidR="007F2C68" w:rsidRPr="00233B98"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En caso que las personas jurídicas sean extranjeras sin representación en el país deberán presentar:</w:t>
      </w:r>
      <w:r w:rsidR="00EC724D">
        <w:rPr>
          <w:rFonts w:ascii="Arial" w:hAnsi="Arial" w:cs="Arial"/>
          <w:sz w:val="20"/>
          <w:szCs w:val="20"/>
          <w:lang w:val="es-ES_tradnl" w:eastAsia="es-ES"/>
        </w:rPr>
        <w:t xml:space="preserve"> </w:t>
      </w:r>
      <w:r w:rsidRPr="00EF37C1">
        <w:rPr>
          <w:rFonts w:ascii="Arial" w:hAnsi="Arial" w:cs="Arial"/>
          <w:sz w:val="20"/>
          <w:szCs w:val="20"/>
          <w:lang w:val="es-ES_tradnl" w:eastAsia="es-ES"/>
        </w:rPr>
        <w:t xml:space="preserve">los documentos que acrediten su constitución conforme a la legislación del país de origen, todos los cuales deberán estar debidamente legalizados o apostillados y traducidos al idioma español, y cumplir con las previsiones de la ley Nº </w:t>
      </w:r>
      <w:hyperlink r:id="rId36" w:history="1">
        <w:r w:rsidRPr="00775CF0">
          <w:rPr>
            <w:rStyle w:val="Hipervnculo"/>
            <w:rFonts w:ascii="Arial" w:hAnsi="Arial" w:cs="Arial"/>
            <w:sz w:val="20"/>
            <w:szCs w:val="20"/>
            <w:lang w:val="es-ES_tradnl" w:eastAsia="es-ES"/>
          </w:rPr>
          <w:t>16.497</w:t>
        </w:r>
      </w:hyperlink>
      <w:r w:rsidRPr="00EF37C1">
        <w:rPr>
          <w:rFonts w:ascii="Arial" w:hAnsi="Arial" w:cs="Arial"/>
          <w:sz w:val="20"/>
          <w:szCs w:val="20"/>
          <w:lang w:val="es-ES_tradnl" w:eastAsia="es-ES"/>
        </w:rPr>
        <w:t xml:space="preserve"> de 15 de junio de 1994 y el decreto </w:t>
      </w:r>
      <w:hyperlink r:id="rId37" w:history="1">
        <w:r w:rsidRPr="00775CF0">
          <w:rPr>
            <w:rStyle w:val="Hipervnculo"/>
            <w:rFonts w:ascii="Arial" w:hAnsi="Arial" w:cs="Arial"/>
            <w:sz w:val="20"/>
            <w:szCs w:val="20"/>
            <w:lang w:val="es-ES_tradnl" w:eastAsia="es-ES"/>
          </w:rPr>
          <w:t>369/994</w:t>
        </w:r>
      </w:hyperlink>
      <w:r w:rsidRPr="00EF37C1">
        <w:rPr>
          <w:rFonts w:ascii="Arial" w:hAnsi="Arial" w:cs="Arial"/>
          <w:sz w:val="20"/>
          <w:szCs w:val="20"/>
          <w:lang w:val="es-ES_tradnl" w:eastAsia="es-ES"/>
        </w:rPr>
        <w:t xml:space="preserve"> de 22 de agosto de 1994. </w:t>
      </w:r>
    </w:p>
    <w:p w14:paraId="47D2C172" w14:textId="77777777" w:rsidR="007F2C68" w:rsidRPr="00EF37C1"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Deberá acreditarse, además, si la Empresa es filial o subsidiaria de cualquier otra.</w:t>
      </w:r>
    </w:p>
    <w:p w14:paraId="7B5415D7" w14:textId="77777777" w:rsidR="007F2C68" w:rsidRPr="005362F2" w:rsidRDefault="007F2C68" w:rsidP="009A58E0">
      <w:pPr>
        <w:numPr>
          <w:ilvl w:val="1"/>
          <w:numId w:val="8"/>
        </w:numPr>
        <w:tabs>
          <w:tab w:val="left" w:pos="851"/>
        </w:tabs>
        <w:spacing w:after="120"/>
        <w:ind w:left="1434" w:hanging="357"/>
        <w:jc w:val="both"/>
        <w:rPr>
          <w:rFonts w:ascii="Arial" w:hAnsi="Arial" w:cs="Arial"/>
          <w:sz w:val="20"/>
          <w:szCs w:val="20"/>
          <w:lang w:eastAsia="es-ES"/>
        </w:rPr>
      </w:pPr>
      <w:r w:rsidRPr="005362F2">
        <w:rPr>
          <w:rFonts w:ascii="Arial" w:hAnsi="Arial" w:cs="Arial"/>
          <w:sz w:val="20"/>
          <w:szCs w:val="20"/>
          <w:lang w:val="es-ES_tradnl" w:eastAsia="es-ES"/>
        </w:rPr>
        <w:t xml:space="preserve">Identidad del Director, Administrador o Titular de la Firma a fin de, oportunamente, dar cumplimiento a lo establecido en </w:t>
      </w:r>
      <w:r w:rsidR="009111F7">
        <w:rPr>
          <w:rFonts w:ascii="Arial" w:hAnsi="Arial" w:cs="Arial"/>
          <w:sz w:val="20"/>
          <w:szCs w:val="20"/>
          <w:lang w:eastAsia="es-ES"/>
        </w:rPr>
        <w:t>la ley</w:t>
      </w:r>
      <w:r w:rsidRPr="005362F2">
        <w:rPr>
          <w:rFonts w:ascii="Arial" w:hAnsi="Arial" w:cs="Arial"/>
          <w:sz w:val="20"/>
          <w:szCs w:val="20"/>
          <w:lang w:eastAsia="es-ES"/>
        </w:rPr>
        <w:t xml:space="preserve"> </w:t>
      </w:r>
      <w:hyperlink r:id="rId38" w:history="1">
        <w:r w:rsidRPr="0008361B">
          <w:rPr>
            <w:rStyle w:val="Hipervnculo"/>
            <w:rFonts w:ascii="Arial" w:hAnsi="Arial" w:cs="Arial"/>
            <w:sz w:val="20"/>
            <w:szCs w:val="20"/>
            <w:lang w:eastAsia="es-ES"/>
          </w:rPr>
          <w:t>18.244</w:t>
        </w:r>
      </w:hyperlink>
      <w:r w:rsidRPr="005362F2">
        <w:rPr>
          <w:rFonts w:ascii="Arial" w:hAnsi="Arial" w:cs="Arial"/>
          <w:sz w:val="20"/>
          <w:szCs w:val="20"/>
          <w:lang w:eastAsia="es-ES"/>
        </w:rPr>
        <w:t xml:space="preserve"> referentes a deudores alimentarios morosos y a la ley </w:t>
      </w:r>
      <w:hyperlink r:id="rId39" w:history="1">
        <w:r w:rsidRPr="0008361B">
          <w:rPr>
            <w:rStyle w:val="Hipervnculo"/>
            <w:rFonts w:ascii="Arial" w:hAnsi="Arial" w:cs="Arial"/>
            <w:sz w:val="20"/>
            <w:szCs w:val="20"/>
            <w:lang w:eastAsia="es-ES"/>
          </w:rPr>
          <w:t>17.904</w:t>
        </w:r>
      </w:hyperlink>
      <w:r w:rsidRPr="005362F2">
        <w:rPr>
          <w:rFonts w:ascii="Arial" w:hAnsi="Arial" w:cs="Arial"/>
          <w:sz w:val="20"/>
          <w:szCs w:val="20"/>
          <w:lang w:eastAsia="es-ES"/>
        </w:rPr>
        <w:t>.</w:t>
      </w:r>
    </w:p>
    <w:p w14:paraId="63D6DABB" w14:textId="77777777" w:rsidR="007F2C68" w:rsidRPr="00AD07F7" w:rsidRDefault="007F2C68" w:rsidP="009A58E0">
      <w:pPr>
        <w:numPr>
          <w:ilvl w:val="1"/>
          <w:numId w:val="8"/>
        </w:numPr>
        <w:tabs>
          <w:tab w:val="left" w:pos="851"/>
        </w:tabs>
        <w:spacing w:after="120"/>
        <w:ind w:left="1434" w:hanging="357"/>
        <w:jc w:val="both"/>
        <w:rPr>
          <w:rFonts w:ascii="Arial" w:hAnsi="Arial" w:cs="Arial"/>
          <w:sz w:val="20"/>
          <w:szCs w:val="20"/>
          <w:lang w:eastAsia="es-ES"/>
        </w:rPr>
      </w:pPr>
      <w:r w:rsidRPr="005362F2">
        <w:rPr>
          <w:rFonts w:ascii="Arial" w:hAnsi="Arial" w:cs="Arial"/>
          <w:sz w:val="20"/>
          <w:szCs w:val="20"/>
          <w:lang w:val="es-ES_tradnl" w:eastAsia="es-ES"/>
        </w:rPr>
        <w:t>El representante legal de la sociedad con certificación notarial de su vigencia no superior a un (1) mes.</w:t>
      </w:r>
      <w:r w:rsidRPr="005362F2">
        <w:rPr>
          <w:rFonts w:ascii="Arial" w:hAnsi="Arial" w:cs="Arial"/>
          <w:sz w:val="20"/>
          <w:szCs w:val="20"/>
          <w:lang w:eastAsia="es-ES"/>
        </w:rPr>
        <w:t xml:space="preserve"> La designación del Representante Legal, podrá hacerse mediante el otorgamiento de: 1) poder general; 2) poder </w:t>
      </w:r>
      <w:r w:rsidRPr="005362F2">
        <w:rPr>
          <w:rFonts w:ascii="Arial" w:hAnsi="Arial" w:cs="Arial"/>
          <w:sz w:val="20"/>
          <w:szCs w:val="20"/>
          <w:lang w:eastAsia="es-ES"/>
        </w:rPr>
        <w:lastRenderedPageBreak/>
        <w:t>especial o carta poder general según las normas notariales vigentes en la materia. Los poderes otorgados en el extranjero deberán estar traducidos y legalizados o apostillados. Tratándose de una Empresa extranjera será representada por una persona física o jurídica uruguaya</w:t>
      </w:r>
      <w:r w:rsidR="009F1066">
        <w:rPr>
          <w:rFonts w:ascii="Arial" w:hAnsi="Arial" w:cs="Arial"/>
          <w:sz w:val="20"/>
          <w:szCs w:val="20"/>
          <w:lang w:eastAsia="es-ES"/>
        </w:rPr>
        <w:t>.</w:t>
      </w:r>
      <w:r w:rsidRPr="00AD07F7">
        <w:rPr>
          <w:rFonts w:ascii="Arial" w:hAnsi="Arial" w:cs="Arial"/>
          <w:sz w:val="20"/>
          <w:szCs w:val="20"/>
          <w:lang w:eastAsia="es-ES"/>
        </w:rPr>
        <w:t xml:space="preserve"> En el caso de una sociedad extranjera que integre el grupo oferente y que designe a una persona jurídica uruguaya como su representante </w:t>
      </w:r>
      <w:r w:rsidRPr="00835394">
        <w:rPr>
          <w:rFonts w:ascii="Arial" w:hAnsi="Arial" w:cs="Arial"/>
          <w:sz w:val="20"/>
          <w:szCs w:val="20"/>
          <w:lang w:eastAsia="es-ES"/>
        </w:rPr>
        <w:t>legal,</w:t>
      </w:r>
      <w:r w:rsidR="00B14DCC">
        <w:rPr>
          <w:rFonts w:ascii="Arial" w:hAnsi="Arial" w:cs="Arial"/>
          <w:sz w:val="20"/>
          <w:szCs w:val="20"/>
          <w:lang w:eastAsia="es-ES"/>
        </w:rPr>
        <w:t xml:space="preserve"> </w:t>
      </w:r>
      <w:r w:rsidRPr="00835394">
        <w:rPr>
          <w:rFonts w:ascii="Arial" w:hAnsi="Arial" w:cs="Arial"/>
          <w:sz w:val="20"/>
          <w:szCs w:val="20"/>
          <w:lang w:eastAsia="es-ES"/>
        </w:rPr>
        <w:t>las personas físicas</w:t>
      </w:r>
      <w:r w:rsidRPr="00AD07F7">
        <w:rPr>
          <w:rFonts w:ascii="Arial" w:hAnsi="Arial" w:cs="Arial"/>
          <w:sz w:val="20"/>
          <w:szCs w:val="20"/>
          <w:lang w:eastAsia="es-ES"/>
        </w:rPr>
        <w:t xml:space="preserve"> que representen a la sociedad designada como representante legal no están sujetas al requisito de tener nacionalidad uruguaya.</w:t>
      </w:r>
    </w:p>
    <w:p w14:paraId="44921B10" w14:textId="77777777" w:rsidR="007F2C68" w:rsidRPr="008A072E" w:rsidRDefault="007F2C68" w:rsidP="009A58E0">
      <w:pPr>
        <w:numPr>
          <w:ilvl w:val="1"/>
          <w:numId w:val="8"/>
        </w:numPr>
        <w:tabs>
          <w:tab w:val="left" w:pos="851"/>
        </w:tabs>
        <w:spacing w:after="120"/>
        <w:ind w:left="1434" w:hanging="357"/>
        <w:jc w:val="both"/>
        <w:rPr>
          <w:rFonts w:ascii="Arial" w:hAnsi="Arial" w:cs="Arial"/>
          <w:sz w:val="20"/>
          <w:szCs w:val="20"/>
          <w:lang w:val="es-ES_tradnl" w:eastAsia="es-ES"/>
        </w:rPr>
      </w:pPr>
      <w:r w:rsidRPr="00EF37C1">
        <w:rPr>
          <w:rFonts w:ascii="Arial" w:hAnsi="Arial" w:cs="Arial"/>
          <w:sz w:val="20"/>
          <w:szCs w:val="20"/>
          <w:lang w:val="es-ES_tradnl" w:eastAsia="es-ES"/>
        </w:rPr>
        <w:t>Constituir en Uruguay, a todos los efectos de este proyecto, domicilio, teléfono, correo electrónico y fax.</w:t>
      </w:r>
    </w:p>
    <w:p w14:paraId="34251A91" w14:textId="77777777" w:rsidR="007F2C68" w:rsidRPr="00CB504D" w:rsidRDefault="007F2C68" w:rsidP="00871E8E">
      <w:pPr>
        <w:spacing w:before="360" w:after="120"/>
        <w:jc w:val="both"/>
        <w:rPr>
          <w:rFonts w:ascii="Arial" w:hAnsi="Arial" w:cs="Arial"/>
          <w:sz w:val="20"/>
          <w:szCs w:val="20"/>
          <w:lang w:val="es-ES_tradnl" w:eastAsia="es-ES"/>
        </w:rPr>
      </w:pPr>
      <w:bookmarkStart w:id="73" w:name="Lit_15_1_1_3"/>
      <w:r w:rsidRPr="00CB504D">
        <w:rPr>
          <w:rFonts w:ascii="Arial" w:hAnsi="Arial" w:cs="Arial"/>
          <w:sz w:val="20"/>
          <w:szCs w:val="20"/>
          <w:lang w:eastAsia="es-ES"/>
        </w:rPr>
        <w:t xml:space="preserve">15.1.1.3 “El oferente” deberá acreditar mediante declaración jurada con firmas certificadas ante </w:t>
      </w:r>
      <w:bookmarkEnd w:id="73"/>
      <w:r w:rsidRPr="00CB504D">
        <w:rPr>
          <w:rFonts w:ascii="Arial" w:hAnsi="Arial" w:cs="Arial"/>
          <w:sz w:val="20"/>
          <w:szCs w:val="20"/>
          <w:lang w:eastAsia="es-ES"/>
        </w:rPr>
        <w:t xml:space="preserve">Escribano Público </w:t>
      </w:r>
      <w:r w:rsidRPr="009E2BFE">
        <w:rPr>
          <w:rFonts w:ascii="Arial" w:hAnsi="Arial" w:cs="Arial"/>
          <w:bCs/>
          <w:sz w:val="20"/>
          <w:szCs w:val="20"/>
          <w:lang w:eastAsia="es-ES"/>
        </w:rPr>
        <w:t>(</w:t>
      </w:r>
      <w:hyperlink w:anchor="A_5" w:history="1">
        <w:r w:rsidRPr="009E2BFE">
          <w:rPr>
            <w:rStyle w:val="Hipervnculo"/>
            <w:rFonts w:ascii="Arial" w:hAnsi="Arial" w:cs="Arial"/>
            <w:bCs/>
            <w:sz w:val="20"/>
            <w:szCs w:val="20"/>
            <w:lang w:eastAsia="es-ES"/>
          </w:rPr>
          <w:t>Anexo V</w:t>
        </w:r>
      </w:hyperlink>
      <w:r w:rsidRPr="009E2BFE">
        <w:rPr>
          <w:rFonts w:ascii="Arial" w:hAnsi="Arial" w:cs="Arial"/>
          <w:bCs/>
          <w:sz w:val="20"/>
          <w:szCs w:val="20"/>
          <w:lang w:eastAsia="es-ES"/>
        </w:rPr>
        <w:t>)</w:t>
      </w:r>
      <w:r w:rsidRPr="009E2BFE">
        <w:rPr>
          <w:rFonts w:ascii="Arial" w:hAnsi="Arial" w:cs="Arial"/>
          <w:sz w:val="20"/>
          <w:szCs w:val="20"/>
          <w:lang w:eastAsia="es-ES"/>
        </w:rPr>
        <w:t>:</w:t>
      </w:r>
    </w:p>
    <w:p w14:paraId="0E78F9C8" w14:textId="77777777" w:rsidR="00EC724D" w:rsidRDefault="007F2C68" w:rsidP="009A58E0">
      <w:pPr>
        <w:pStyle w:val="Lista3"/>
        <w:numPr>
          <w:ilvl w:val="0"/>
          <w:numId w:val="94"/>
        </w:numPr>
        <w:rPr>
          <w:rFonts w:ascii="Arial" w:eastAsia="Times New Roman" w:hAnsi="Arial" w:cs="Arial"/>
          <w:lang w:val="es-ES_tradnl" w:eastAsia="en-US"/>
        </w:rPr>
      </w:pPr>
      <w:r w:rsidRPr="00EF37C1">
        <w:rPr>
          <w:rFonts w:ascii="Arial" w:hAnsi="Arial" w:cs="Arial"/>
        </w:rPr>
        <w:t>el nombre de cada una de las personas físicas o jurídicas que lo integran</w:t>
      </w:r>
      <w:r w:rsidR="00731964">
        <w:rPr>
          <w:rFonts w:ascii="Arial" w:hAnsi="Arial" w:cs="Arial"/>
        </w:rPr>
        <w:t>,</w:t>
      </w:r>
      <w:r w:rsidR="00E65D7E">
        <w:rPr>
          <w:rFonts w:ascii="Arial" w:hAnsi="Arial" w:cs="Arial"/>
        </w:rPr>
        <w:t xml:space="preserve"> </w:t>
      </w:r>
      <w:r w:rsidR="00F46978" w:rsidRPr="00F46978">
        <w:rPr>
          <w:rFonts w:ascii="Arial" w:eastAsia="Times New Roman" w:hAnsi="Arial" w:cs="Arial"/>
          <w:lang w:val="es-ES_tradnl" w:eastAsia="en-US"/>
        </w:rPr>
        <w:t>con constancia de que se responsabilizan en forma indivisible y solidaria entre sí respecto de</w:t>
      </w:r>
      <w:r w:rsidR="008F2655">
        <w:rPr>
          <w:rFonts w:ascii="Arial" w:eastAsia="Times New Roman" w:hAnsi="Arial" w:cs="Arial"/>
          <w:lang w:val="es-ES_tradnl" w:eastAsia="en-US"/>
        </w:rPr>
        <w:t xml:space="preserve"> </w:t>
      </w:r>
      <w:r w:rsidR="00F46978" w:rsidRPr="00F46978">
        <w:rPr>
          <w:rFonts w:ascii="Arial" w:eastAsia="Times New Roman" w:hAnsi="Arial" w:cs="Arial"/>
          <w:lang w:val="es-ES_tradnl" w:eastAsia="en-US"/>
        </w:rPr>
        <w:t>l</w:t>
      </w:r>
      <w:r w:rsidR="008F2655">
        <w:rPr>
          <w:rFonts w:ascii="Arial" w:eastAsia="Times New Roman" w:hAnsi="Arial" w:cs="Arial"/>
          <w:lang w:val="es-ES_tradnl" w:eastAsia="en-US"/>
        </w:rPr>
        <w:t>a</w:t>
      </w:r>
      <w:r w:rsidR="00F46978" w:rsidRPr="00F46978">
        <w:rPr>
          <w:rFonts w:ascii="Arial" w:eastAsia="Times New Roman" w:hAnsi="Arial" w:cs="Arial"/>
          <w:lang w:val="es-ES_tradnl" w:eastAsia="en-US"/>
        </w:rPr>
        <w:t xml:space="preserve"> </w:t>
      </w:r>
      <w:r w:rsidR="008F2655">
        <w:rPr>
          <w:rFonts w:ascii="Arial" w:eastAsia="Times New Roman" w:hAnsi="Arial" w:cs="Arial"/>
          <w:lang w:val="es-ES_tradnl" w:eastAsia="en-US"/>
        </w:rPr>
        <w:t>C</w:t>
      </w:r>
      <w:r w:rsidR="00F46978" w:rsidRPr="00F46978">
        <w:rPr>
          <w:rFonts w:ascii="Arial" w:eastAsia="Times New Roman" w:hAnsi="Arial" w:cs="Arial"/>
          <w:lang w:val="es-ES_tradnl" w:eastAsia="en-US"/>
        </w:rPr>
        <w:t>ontratante por todas las obligaciones emergentes de este llamado</w:t>
      </w:r>
      <w:r w:rsidR="00731964">
        <w:rPr>
          <w:rFonts w:ascii="Arial" w:eastAsia="Times New Roman" w:hAnsi="Arial" w:cs="Arial"/>
          <w:lang w:val="es-ES_tradnl" w:eastAsia="en-US"/>
        </w:rPr>
        <w:t>,</w:t>
      </w:r>
      <w:r w:rsidR="00F46978" w:rsidRPr="00F46978">
        <w:rPr>
          <w:rFonts w:ascii="Arial" w:eastAsia="Times New Roman" w:hAnsi="Arial" w:cs="Arial"/>
          <w:lang w:val="es-ES_tradnl" w:eastAsia="en-US"/>
        </w:rPr>
        <w:t xml:space="preserve"> hasta la obtención del 100% de</w:t>
      </w:r>
      <w:r w:rsidR="00062EB6">
        <w:rPr>
          <w:rFonts w:ascii="Arial" w:eastAsia="Times New Roman" w:hAnsi="Arial" w:cs="Arial"/>
          <w:lang w:val="es-ES_tradnl" w:eastAsia="en-US"/>
        </w:rPr>
        <w:t>l monto de inversión inicial</w:t>
      </w:r>
      <w:r w:rsidR="00F46978" w:rsidRPr="00F46978">
        <w:rPr>
          <w:rFonts w:ascii="Arial" w:eastAsia="Times New Roman" w:hAnsi="Arial" w:cs="Arial"/>
          <w:lang w:val="es-ES_tradnl" w:eastAsia="en-US"/>
        </w:rPr>
        <w:t xml:space="preserve"> </w:t>
      </w:r>
      <w:r w:rsidR="005C47A5">
        <w:rPr>
          <w:rFonts w:ascii="Arial" w:eastAsia="Times New Roman" w:hAnsi="Arial" w:cs="Arial"/>
          <w:lang w:val="es-ES_tradnl" w:eastAsia="en-US"/>
        </w:rPr>
        <w:t>financiado por terceros</w:t>
      </w:r>
      <w:r w:rsidR="00EC724D">
        <w:rPr>
          <w:rFonts w:ascii="Arial" w:eastAsia="Times New Roman" w:hAnsi="Arial" w:cs="Arial"/>
          <w:lang w:val="es-ES_tradnl" w:eastAsia="en-US"/>
        </w:rPr>
        <w:t xml:space="preserve">, de acuerdo a lo establecido en el plan </w:t>
      </w:r>
      <w:r w:rsidR="008E1222">
        <w:rPr>
          <w:rFonts w:ascii="Arial" w:eastAsia="Times New Roman" w:hAnsi="Arial" w:cs="Arial"/>
          <w:lang w:val="es-ES_tradnl" w:eastAsia="en-US"/>
        </w:rPr>
        <w:t>económico</w:t>
      </w:r>
      <w:r w:rsidR="00EC724D">
        <w:rPr>
          <w:rFonts w:ascii="Arial" w:eastAsia="Times New Roman" w:hAnsi="Arial" w:cs="Arial"/>
          <w:lang w:val="es-ES_tradnl" w:eastAsia="en-US"/>
        </w:rPr>
        <w:t xml:space="preserve"> presentado en la oferta</w:t>
      </w:r>
      <w:r w:rsidR="00F46978" w:rsidRPr="00F46978">
        <w:rPr>
          <w:rFonts w:ascii="Arial" w:eastAsia="Times New Roman" w:hAnsi="Arial" w:cs="Arial"/>
          <w:lang w:val="es-ES_tradnl" w:eastAsia="en-US"/>
        </w:rPr>
        <w:t>.</w:t>
      </w:r>
    </w:p>
    <w:p w14:paraId="52131D9C" w14:textId="77777777" w:rsidR="00BC3689" w:rsidRPr="00BC3689" w:rsidRDefault="00BC3689" w:rsidP="00871E8E">
      <w:pPr>
        <w:pStyle w:val="Lista3"/>
        <w:ind w:left="720" w:firstLine="0"/>
        <w:rPr>
          <w:rFonts w:ascii="Arial" w:eastAsia="Times New Roman" w:hAnsi="Arial" w:cs="Arial"/>
          <w:lang w:val="es-ES_tradnl" w:eastAsia="en-US"/>
        </w:rPr>
      </w:pPr>
    </w:p>
    <w:p w14:paraId="4263CD1A" w14:textId="77777777" w:rsidR="007F2C68" w:rsidRDefault="007F2C68" w:rsidP="009A58E0">
      <w:pPr>
        <w:pStyle w:val="Lista3"/>
        <w:numPr>
          <w:ilvl w:val="0"/>
          <w:numId w:val="94"/>
        </w:numPr>
        <w:rPr>
          <w:rFonts w:ascii="Arial" w:hAnsi="Arial" w:cs="Arial"/>
        </w:rPr>
      </w:pPr>
      <w:r w:rsidRPr="00F37E57">
        <w:rPr>
          <w:rFonts w:ascii="Arial" w:hAnsi="Arial" w:cs="Arial"/>
        </w:rPr>
        <w:lastRenderedPageBreak/>
        <w:t xml:space="preserve">los porcentajes de participación de cada integrante, siendo obligatorio que </w:t>
      </w:r>
      <w:r w:rsidR="00BB1885" w:rsidRPr="00F37E57">
        <w:rPr>
          <w:rFonts w:ascii="Arial" w:hAnsi="Arial" w:cs="Arial"/>
        </w:rPr>
        <w:t>del total</w:t>
      </w:r>
      <w:r w:rsidR="00113D35" w:rsidRPr="00F37E57">
        <w:rPr>
          <w:rFonts w:ascii="Arial" w:hAnsi="Arial" w:cs="Arial"/>
        </w:rPr>
        <w:t xml:space="preserve"> </w:t>
      </w:r>
      <w:r w:rsidR="00BC7C7E" w:rsidRPr="00F37E57">
        <w:rPr>
          <w:rFonts w:ascii="Arial" w:hAnsi="Arial" w:cs="Arial"/>
        </w:rPr>
        <w:t>una empresa</w:t>
      </w:r>
      <w:r w:rsidRPr="00F37E57">
        <w:rPr>
          <w:rFonts w:ascii="Arial" w:hAnsi="Arial" w:cs="Arial"/>
        </w:rPr>
        <w:t xml:space="preserve"> constructora</w:t>
      </w:r>
      <w:r w:rsidR="00BC7C7E" w:rsidRPr="00F37E57">
        <w:rPr>
          <w:rFonts w:ascii="Arial" w:hAnsi="Arial" w:cs="Arial"/>
        </w:rPr>
        <w:t xml:space="preserve"> </w:t>
      </w:r>
      <w:r w:rsidRPr="00F37E57">
        <w:rPr>
          <w:rFonts w:ascii="Arial" w:hAnsi="Arial" w:cs="Arial"/>
        </w:rPr>
        <w:t>represente como</w:t>
      </w:r>
      <w:r w:rsidR="00B14DCC">
        <w:rPr>
          <w:rFonts w:ascii="Arial" w:hAnsi="Arial" w:cs="Arial"/>
        </w:rPr>
        <w:t xml:space="preserve"> </w:t>
      </w:r>
      <w:r w:rsidRPr="00F37E57">
        <w:rPr>
          <w:rFonts w:ascii="Arial" w:hAnsi="Arial" w:cs="Arial"/>
        </w:rPr>
        <w:t xml:space="preserve">mínimo un </w:t>
      </w:r>
      <w:r w:rsidR="00113D35" w:rsidRPr="00F37E57">
        <w:rPr>
          <w:rFonts w:ascii="Arial" w:hAnsi="Arial" w:cs="Arial"/>
        </w:rPr>
        <w:t xml:space="preserve">10 </w:t>
      </w:r>
      <w:r w:rsidRPr="00F37E57">
        <w:rPr>
          <w:rFonts w:ascii="Arial" w:hAnsi="Arial" w:cs="Arial"/>
        </w:rPr>
        <w:t>% (</w:t>
      </w:r>
      <w:r w:rsidR="00113D35" w:rsidRPr="00F37E57">
        <w:rPr>
          <w:rFonts w:ascii="Arial" w:hAnsi="Arial" w:cs="Arial"/>
        </w:rPr>
        <w:t>diez</w:t>
      </w:r>
      <w:r w:rsidRPr="00F37E57">
        <w:rPr>
          <w:rFonts w:ascii="Arial" w:hAnsi="Arial" w:cs="Arial"/>
        </w:rPr>
        <w:t xml:space="preserve"> por ciento), y concomitantemente cumpla con las condiciones descriptas en el “Documento 4”. </w:t>
      </w:r>
    </w:p>
    <w:p w14:paraId="09C039B6" w14:textId="77777777" w:rsidR="008E1222" w:rsidRPr="00F37E57" w:rsidRDefault="008E1222" w:rsidP="00871E8E">
      <w:pPr>
        <w:pStyle w:val="Lista3"/>
        <w:ind w:left="0" w:firstLine="0"/>
        <w:rPr>
          <w:rFonts w:ascii="Arial" w:hAnsi="Arial" w:cs="Arial"/>
        </w:rPr>
      </w:pPr>
    </w:p>
    <w:p w14:paraId="2E72B7BC" w14:textId="77777777" w:rsidR="007F2C68" w:rsidRPr="008E1222" w:rsidRDefault="007F2C68" w:rsidP="00871E8E">
      <w:pPr>
        <w:pStyle w:val="Lista3"/>
        <w:ind w:left="0" w:firstLine="60"/>
        <w:rPr>
          <w:rFonts w:ascii="Arial" w:hAnsi="Arial" w:cs="Arial"/>
        </w:rPr>
      </w:pPr>
    </w:p>
    <w:p w14:paraId="01FF7F1E" w14:textId="77777777" w:rsidR="007F2C68" w:rsidRDefault="007F2C68" w:rsidP="009A58E0">
      <w:pPr>
        <w:pStyle w:val="Lista3"/>
        <w:numPr>
          <w:ilvl w:val="0"/>
          <w:numId w:val="94"/>
        </w:numPr>
        <w:rPr>
          <w:rFonts w:ascii="Arial" w:hAnsi="Arial" w:cs="Arial"/>
        </w:rPr>
      </w:pPr>
      <w:r w:rsidRPr="00F37E57">
        <w:rPr>
          <w:rFonts w:ascii="Arial" w:hAnsi="Arial" w:cs="Arial"/>
        </w:rPr>
        <w:t xml:space="preserve">la designación como representante a uno de sus integrantes, el que estará autorizado para contraer obligaciones y </w:t>
      </w:r>
      <w:r w:rsidR="00F57EC5">
        <w:rPr>
          <w:rFonts w:ascii="Arial" w:hAnsi="Arial" w:cs="Arial"/>
        </w:rPr>
        <w:t>realizar</w:t>
      </w:r>
      <w:r w:rsidRPr="00F37E57">
        <w:rPr>
          <w:rFonts w:ascii="Arial" w:hAnsi="Arial" w:cs="Arial"/>
        </w:rPr>
        <w:t xml:space="preserve"> todos los trámites, las gestiones y peticiones referidas al llamado, hasta la adjudicación del mismo.</w:t>
      </w:r>
    </w:p>
    <w:p w14:paraId="41BC50E1" w14:textId="77777777" w:rsidR="00A9073B" w:rsidRPr="00F37E57" w:rsidRDefault="00A9073B" w:rsidP="00871E8E">
      <w:pPr>
        <w:pStyle w:val="Lista3"/>
        <w:rPr>
          <w:rFonts w:ascii="Arial" w:hAnsi="Arial" w:cs="Arial"/>
        </w:rPr>
      </w:pPr>
    </w:p>
    <w:p w14:paraId="70779D4E" w14:textId="77777777" w:rsidR="007F2C68" w:rsidRDefault="007F2C68" w:rsidP="009A58E0">
      <w:pPr>
        <w:pStyle w:val="Lista3"/>
        <w:numPr>
          <w:ilvl w:val="0"/>
          <w:numId w:val="94"/>
        </w:numPr>
        <w:rPr>
          <w:rFonts w:ascii="Arial" w:hAnsi="Arial" w:cs="Arial"/>
        </w:rPr>
      </w:pPr>
      <w:r w:rsidRPr="00A9073B">
        <w:rPr>
          <w:rFonts w:ascii="Arial" w:hAnsi="Arial" w:cs="Arial"/>
        </w:rPr>
        <w:t xml:space="preserve">domicilio electrónico </w:t>
      </w:r>
      <w:r w:rsidRPr="00F37E57">
        <w:rPr>
          <w:rFonts w:ascii="Arial" w:hAnsi="Arial" w:cs="Arial"/>
        </w:rPr>
        <w:t>en el que se realizarán las notificaciones pertinentes y</w:t>
      </w:r>
      <w:r w:rsidRPr="00A9073B">
        <w:rPr>
          <w:rFonts w:ascii="Arial" w:hAnsi="Arial" w:cs="Arial"/>
        </w:rPr>
        <w:t xml:space="preserve"> el cual se </w:t>
      </w:r>
      <w:r w:rsidRPr="00F37E57">
        <w:rPr>
          <w:rFonts w:ascii="Arial" w:hAnsi="Arial" w:cs="Arial"/>
        </w:rPr>
        <w:t>obliga a mantener vigente durante el proceso de licitación (salvo modificación autorizada por la Contratante).</w:t>
      </w:r>
    </w:p>
    <w:p w14:paraId="37DABAD0" w14:textId="77777777" w:rsidR="00A9073B" w:rsidRDefault="00A9073B" w:rsidP="00871E8E">
      <w:pPr>
        <w:pStyle w:val="Prrafodelista"/>
        <w:rPr>
          <w:rFonts w:ascii="Arial" w:hAnsi="Arial" w:cs="Arial"/>
        </w:rPr>
      </w:pPr>
    </w:p>
    <w:p w14:paraId="5D3D929B" w14:textId="77777777" w:rsidR="00F57EC5" w:rsidRDefault="00F57EC5" w:rsidP="00F57EC5">
      <w:pPr>
        <w:pStyle w:val="Lista3"/>
        <w:ind w:left="360" w:firstLine="0"/>
        <w:rPr>
          <w:rFonts w:ascii="Arial" w:hAnsi="Arial" w:cs="Arial"/>
        </w:rPr>
      </w:pPr>
      <w:r>
        <w:rPr>
          <w:rFonts w:ascii="Arial" w:hAnsi="Arial" w:cs="Arial"/>
        </w:rPr>
        <w:t>L</w:t>
      </w:r>
      <w:r w:rsidRPr="008E1222">
        <w:rPr>
          <w:rFonts w:ascii="Arial" w:hAnsi="Arial" w:cs="Arial"/>
        </w:rPr>
        <w:t>a integración del oferente, así como los porcentajes de participación de cada</w:t>
      </w:r>
      <w:r>
        <w:rPr>
          <w:rFonts w:ascii="Arial" w:hAnsi="Arial" w:cs="Arial"/>
        </w:rPr>
        <w:t xml:space="preserve"> </w:t>
      </w:r>
      <w:r w:rsidRPr="008E1222">
        <w:rPr>
          <w:rFonts w:ascii="Arial" w:hAnsi="Arial" w:cs="Arial"/>
        </w:rPr>
        <w:t>uno, deberán mantenerse incambiados al constituirse la sociedad de objeto exclusivo. El incumplimiento de esta obligación facultará a la Contratante a ejecutar la garantía de mantenimiento de la oferta y a dejar sin efecto la adjudicación provisional.</w:t>
      </w:r>
    </w:p>
    <w:p w14:paraId="1E2E245E" w14:textId="77777777" w:rsidR="00F57EC5" w:rsidRDefault="00F57EC5" w:rsidP="00871E8E">
      <w:pPr>
        <w:pStyle w:val="Lista3"/>
        <w:ind w:left="360" w:firstLine="0"/>
        <w:rPr>
          <w:rFonts w:ascii="Arial" w:eastAsia="Times New Roman" w:hAnsi="Arial" w:cs="Arial"/>
          <w:lang w:val="es-ES_tradnl"/>
        </w:rPr>
      </w:pPr>
    </w:p>
    <w:p w14:paraId="6B35FEBD" w14:textId="77777777" w:rsidR="00EC724D" w:rsidRPr="00EC724D" w:rsidRDefault="00EC724D" w:rsidP="00871E8E">
      <w:pPr>
        <w:pStyle w:val="Lista3"/>
        <w:ind w:left="360" w:firstLine="0"/>
        <w:rPr>
          <w:rFonts w:ascii="Arial" w:eastAsia="Times New Roman" w:hAnsi="Arial" w:cs="Arial"/>
          <w:lang w:val="es-ES_tradnl"/>
        </w:rPr>
      </w:pPr>
    </w:p>
    <w:p w14:paraId="117A9BA3" w14:textId="77777777" w:rsidR="000860EF" w:rsidRDefault="000860EF" w:rsidP="00871E8E">
      <w:pPr>
        <w:pStyle w:val="Lista3"/>
        <w:rPr>
          <w:rFonts w:ascii="Arial" w:eastAsia="Times New Roman" w:hAnsi="Arial" w:cs="Arial"/>
          <w:lang w:val="es-ES_tradnl"/>
        </w:rPr>
      </w:pPr>
    </w:p>
    <w:p w14:paraId="27B1832C" w14:textId="77777777" w:rsidR="007F2C68" w:rsidRPr="00810F2B" w:rsidRDefault="007F2C68" w:rsidP="00871E8E">
      <w:pPr>
        <w:spacing w:before="360" w:after="120"/>
        <w:jc w:val="both"/>
        <w:rPr>
          <w:rFonts w:ascii="Arial" w:hAnsi="Arial" w:cs="Arial"/>
          <w:sz w:val="20"/>
          <w:szCs w:val="20"/>
          <w:lang w:val="es-ES_tradnl" w:eastAsia="es-ES"/>
        </w:rPr>
      </w:pPr>
      <w:bookmarkStart w:id="74" w:name="Lit_15_1_1_4"/>
      <w:r w:rsidRPr="00E2664E">
        <w:rPr>
          <w:rFonts w:ascii="Arial" w:hAnsi="Arial" w:cs="Arial"/>
          <w:sz w:val="20"/>
          <w:szCs w:val="20"/>
          <w:lang w:val="es-ES_tradnl" w:eastAsia="es-ES"/>
        </w:rPr>
        <w:lastRenderedPageBreak/>
        <w:t>15.1.1.4</w:t>
      </w:r>
      <w:r>
        <w:rPr>
          <w:rFonts w:ascii="Arial" w:hAnsi="Arial" w:cs="Arial"/>
          <w:sz w:val="20"/>
          <w:szCs w:val="20"/>
          <w:lang w:val="es-ES_tradnl" w:eastAsia="es-ES"/>
        </w:rPr>
        <w:t xml:space="preserve"> </w:t>
      </w:r>
      <w:r w:rsidRPr="00810F2B">
        <w:rPr>
          <w:rFonts w:ascii="Arial" w:hAnsi="Arial" w:cs="Arial"/>
          <w:sz w:val="20"/>
          <w:szCs w:val="20"/>
          <w:lang w:val="es-ES_tradnl" w:eastAsia="es-ES"/>
        </w:rPr>
        <w:t>Se deberá presentar la siguiente documentación:</w:t>
      </w:r>
    </w:p>
    <w:bookmarkEnd w:id="74"/>
    <w:p w14:paraId="60020959" w14:textId="77777777" w:rsidR="007F2C68" w:rsidRPr="00EF37C1" w:rsidRDefault="007F2C68" w:rsidP="009A58E0">
      <w:pPr>
        <w:numPr>
          <w:ilvl w:val="0"/>
          <w:numId w:val="11"/>
        </w:numPr>
        <w:tabs>
          <w:tab w:val="left" w:pos="0"/>
        </w:tabs>
        <w:spacing w:after="120"/>
        <w:jc w:val="both"/>
        <w:rPr>
          <w:rFonts w:ascii="Arial" w:hAnsi="Arial" w:cs="Arial"/>
          <w:sz w:val="20"/>
          <w:szCs w:val="20"/>
        </w:rPr>
      </w:pPr>
      <w:r w:rsidRPr="00EF37C1">
        <w:rPr>
          <w:rFonts w:ascii="Arial" w:hAnsi="Arial" w:cs="Arial"/>
          <w:sz w:val="20"/>
          <w:szCs w:val="20"/>
          <w:lang w:val="es-ES_tradnl"/>
        </w:rPr>
        <w:t>A nombre “del Oferente”</w:t>
      </w:r>
      <w:r w:rsidR="00B14DCC">
        <w:rPr>
          <w:rFonts w:ascii="Arial" w:hAnsi="Arial" w:cs="Arial"/>
          <w:sz w:val="20"/>
          <w:szCs w:val="20"/>
          <w:lang w:val="es-ES_tradnl"/>
        </w:rPr>
        <w:t xml:space="preserve"> </w:t>
      </w:r>
      <w:r w:rsidRPr="00EF37C1">
        <w:rPr>
          <w:rFonts w:ascii="Arial" w:hAnsi="Arial" w:cs="Arial"/>
          <w:sz w:val="20"/>
          <w:szCs w:val="20"/>
          <w:lang w:val="es-ES_tradnl"/>
        </w:rPr>
        <w:t xml:space="preserve">(con sus integrantes debidamente individualizados): </w:t>
      </w:r>
    </w:p>
    <w:p w14:paraId="492D776B" w14:textId="77777777" w:rsidR="007F2C68" w:rsidRDefault="007F2C68" w:rsidP="009A58E0">
      <w:pPr>
        <w:numPr>
          <w:ilvl w:val="1"/>
          <w:numId w:val="44"/>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 xml:space="preserve">Fotocopia que acredite la compra del presente Pliego. </w:t>
      </w:r>
    </w:p>
    <w:p w14:paraId="704B26C6" w14:textId="77777777" w:rsidR="007F2C68" w:rsidRPr="00EF37C1" w:rsidRDefault="007F2C68" w:rsidP="00871E8E">
      <w:pPr>
        <w:tabs>
          <w:tab w:val="left" w:pos="567"/>
        </w:tabs>
        <w:spacing w:after="120"/>
        <w:ind w:left="1440"/>
        <w:jc w:val="both"/>
        <w:rPr>
          <w:rFonts w:ascii="Arial" w:hAnsi="Arial" w:cs="Arial"/>
          <w:sz w:val="20"/>
          <w:szCs w:val="20"/>
          <w:lang w:val="es-ES_tradnl"/>
        </w:rPr>
      </w:pPr>
      <w:r w:rsidRPr="008139E1">
        <w:rPr>
          <w:rFonts w:ascii="Arial" w:hAnsi="Arial" w:cs="Arial"/>
          <w:sz w:val="20"/>
          <w:szCs w:val="20"/>
          <w:lang w:val="es-ES_tradnl"/>
        </w:rPr>
        <w:t>En caso de haber sido adquirido por una parte del oferente, deberá cambiar la identificación del recibo, con los integrantes debidamente individualizados, en la Tesorería de la Dirección Nacional de Vialidad hasta 72 horas previo al acto de apertura. Este cambio será sin costo</w:t>
      </w:r>
      <w:r w:rsidR="008618E5">
        <w:rPr>
          <w:rFonts w:ascii="Arial" w:hAnsi="Arial" w:cs="Arial"/>
          <w:sz w:val="20"/>
          <w:szCs w:val="20"/>
          <w:lang w:val="es-ES_tradnl"/>
        </w:rPr>
        <w:t>.</w:t>
      </w:r>
    </w:p>
    <w:p w14:paraId="0E1B7125" w14:textId="77777777" w:rsidR="007F2C68" w:rsidRPr="00CD5E51" w:rsidRDefault="007F2C68" w:rsidP="009A58E0">
      <w:pPr>
        <w:numPr>
          <w:ilvl w:val="1"/>
          <w:numId w:val="44"/>
        </w:numPr>
        <w:tabs>
          <w:tab w:val="left" w:pos="567"/>
        </w:tabs>
        <w:spacing w:after="120"/>
        <w:jc w:val="both"/>
        <w:rPr>
          <w:rFonts w:ascii="Arial" w:hAnsi="Arial" w:cs="Arial"/>
          <w:sz w:val="20"/>
          <w:szCs w:val="20"/>
          <w:lang w:val="es-ES_tradnl" w:eastAsia="es-ES"/>
        </w:rPr>
      </w:pPr>
      <w:r w:rsidRPr="00EF37C1">
        <w:rPr>
          <w:rFonts w:ascii="Arial" w:hAnsi="Arial" w:cs="Arial"/>
          <w:sz w:val="20"/>
          <w:szCs w:val="20"/>
          <w:lang w:val="es-ES_tradnl" w:eastAsia="es-ES"/>
        </w:rPr>
        <w:t>Fotocopia del depósito de la garantía de mantenimiento de oferta.</w:t>
      </w:r>
      <w:r w:rsidRPr="00CD5E51">
        <w:rPr>
          <w:rFonts w:ascii="Arial" w:hAnsi="Arial" w:cs="Arial"/>
          <w:sz w:val="20"/>
          <w:szCs w:val="20"/>
          <w:lang w:val="es-ES_tradnl" w:eastAsia="es-ES"/>
        </w:rPr>
        <w:t xml:space="preserve"> </w:t>
      </w:r>
    </w:p>
    <w:p w14:paraId="4DD04B9E" w14:textId="77777777" w:rsidR="00CD5E51" w:rsidRDefault="00CD5E51" w:rsidP="009A58E0">
      <w:pPr>
        <w:numPr>
          <w:ilvl w:val="1"/>
          <w:numId w:val="44"/>
        </w:numPr>
        <w:tabs>
          <w:tab w:val="left" w:pos="567"/>
        </w:tabs>
        <w:spacing w:after="120"/>
        <w:jc w:val="both"/>
        <w:rPr>
          <w:rFonts w:ascii="Arial" w:hAnsi="Arial" w:cs="Arial"/>
          <w:sz w:val="20"/>
          <w:szCs w:val="20"/>
          <w:lang w:eastAsia="es-ES"/>
        </w:rPr>
      </w:pPr>
      <w:r w:rsidRPr="00CD5E51">
        <w:rPr>
          <w:rFonts w:ascii="Arial" w:hAnsi="Arial" w:cs="Arial"/>
          <w:sz w:val="20"/>
          <w:szCs w:val="20"/>
          <w:lang w:eastAsia="es-ES"/>
        </w:rPr>
        <w:t>Carta compromiso en la que se manifieste que</w:t>
      </w:r>
      <w:r w:rsidR="00186B87">
        <w:rPr>
          <w:rFonts w:ascii="Arial" w:hAnsi="Arial" w:cs="Arial"/>
          <w:sz w:val="20"/>
          <w:szCs w:val="20"/>
          <w:lang w:eastAsia="es-ES"/>
        </w:rPr>
        <w:t>,</w:t>
      </w:r>
      <w:r w:rsidRPr="00CD5E51">
        <w:rPr>
          <w:rFonts w:ascii="Arial" w:hAnsi="Arial" w:cs="Arial"/>
          <w:sz w:val="20"/>
          <w:szCs w:val="20"/>
          <w:lang w:eastAsia="es-ES"/>
        </w:rPr>
        <w:t xml:space="preserve"> en caso de adjudicación, se constituirá la sociedad de objeto exclusivo, en los plazos y condiciones establecidos en el presente pliego de licitación</w:t>
      </w:r>
      <w:r w:rsidR="00186B87">
        <w:rPr>
          <w:rFonts w:ascii="Arial" w:hAnsi="Arial" w:cs="Arial"/>
          <w:sz w:val="20"/>
          <w:szCs w:val="20"/>
          <w:lang w:eastAsia="es-ES"/>
        </w:rPr>
        <w:t>.</w:t>
      </w:r>
    </w:p>
    <w:p w14:paraId="4AF1C88F" w14:textId="77777777" w:rsidR="007F2C68" w:rsidRPr="00EF37C1" w:rsidRDefault="00B14DCC" w:rsidP="009A58E0">
      <w:pPr>
        <w:numPr>
          <w:ilvl w:val="0"/>
          <w:numId w:val="11"/>
        </w:numPr>
        <w:tabs>
          <w:tab w:val="left" w:pos="0"/>
        </w:tabs>
        <w:spacing w:after="120"/>
        <w:jc w:val="both"/>
        <w:rPr>
          <w:rFonts w:ascii="Arial" w:hAnsi="Arial" w:cs="Arial"/>
          <w:sz w:val="20"/>
          <w:szCs w:val="20"/>
          <w:lang w:val="es-ES_tradnl"/>
        </w:rPr>
      </w:pPr>
      <w:r>
        <w:rPr>
          <w:rFonts w:ascii="Arial" w:hAnsi="Arial" w:cs="Arial"/>
          <w:sz w:val="20"/>
          <w:szCs w:val="20"/>
          <w:lang w:val="es-ES_tradnl"/>
        </w:rPr>
        <w:t xml:space="preserve"> </w:t>
      </w:r>
      <w:r w:rsidR="007F2C68" w:rsidRPr="00EF37C1">
        <w:rPr>
          <w:rFonts w:ascii="Arial" w:hAnsi="Arial" w:cs="Arial"/>
          <w:sz w:val="20"/>
          <w:szCs w:val="20"/>
          <w:lang w:val="es-ES_tradnl"/>
        </w:rPr>
        <w:t>Para cada uno de los integrantes “del Oferente”:</w:t>
      </w:r>
    </w:p>
    <w:p w14:paraId="38A7FFD3" w14:textId="77777777" w:rsidR="00285172" w:rsidRPr="004734A5" w:rsidRDefault="007F2C68" w:rsidP="009A58E0">
      <w:pPr>
        <w:pStyle w:val="Prrafodelista"/>
        <w:numPr>
          <w:ilvl w:val="0"/>
          <w:numId w:val="113"/>
        </w:numPr>
        <w:tabs>
          <w:tab w:val="left" w:pos="567"/>
        </w:tabs>
        <w:spacing w:after="120"/>
        <w:jc w:val="both"/>
        <w:rPr>
          <w:rFonts w:ascii="Arial" w:hAnsi="Arial" w:cs="Arial"/>
          <w:sz w:val="20"/>
          <w:szCs w:val="20"/>
          <w:lang w:val="es-ES_tradnl" w:eastAsia="es-ES"/>
        </w:rPr>
      </w:pPr>
      <w:r w:rsidRPr="004734A5">
        <w:rPr>
          <w:rFonts w:ascii="Arial" w:hAnsi="Arial" w:cs="Arial"/>
          <w:sz w:val="20"/>
          <w:szCs w:val="20"/>
          <w:lang w:val="es-ES_tradnl" w:eastAsia="es-ES"/>
        </w:rPr>
        <w:t>Inscripción en el</w:t>
      </w:r>
      <w:r w:rsidR="00B14DCC">
        <w:rPr>
          <w:rFonts w:ascii="Arial" w:hAnsi="Arial" w:cs="Arial"/>
          <w:sz w:val="20"/>
          <w:szCs w:val="20"/>
          <w:lang w:val="es-ES_tradnl" w:eastAsia="es-ES"/>
        </w:rPr>
        <w:t xml:space="preserve"> </w:t>
      </w:r>
      <w:r w:rsidRPr="004734A5">
        <w:rPr>
          <w:rFonts w:ascii="Arial" w:hAnsi="Arial" w:cs="Arial"/>
          <w:sz w:val="20"/>
          <w:szCs w:val="20"/>
          <w:lang w:val="es-ES_tradnl" w:eastAsia="es-ES"/>
        </w:rPr>
        <w:t>Registro Único de Proveedores del Estado en estado “</w:t>
      </w:r>
      <w:r w:rsidR="00B352E5" w:rsidRPr="004734A5">
        <w:rPr>
          <w:rFonts w:ascii="Arial" w:hAnsi="Arial" w:cs="Arial"/>
          <w:sz w:val="20"/>
          <w:szCs w:val="20"/>
          <w:lang w:val="es-ES_tradnl" w:eastAsia="es-ES"/>
        </w:rPr>
        <w:t>ingreso”. Para</w:t>
      </w:r>
      <w:r w:rsidR="003F16AE" w:rsidRPr="004734A5">
        <w:rPr>
          <w:rFonts w:ascii="Arial" w:hAnsi="Arial" w:cs="Arial"/>
          <w:sz w:val="20"/>
          <w:szCs w:val="20"/>
          <w:lang w:val="es-ES_tradnl" w:eastAsia="es-ES"/>
        </w:rPr>
        <w:t xml:space="preserve"> el</w:t>
      </w:r>
      <w:r w:rsidR="00F46978" w:rsidRPr="004734A5">
        <w:rPr>
          <w:rFonts w:ascii="Arial" w:hAnsi="Arial" w:cs="Arial"/>
          <w:sz w:val="20"/>
          <w:szCs w:val="20"/>
          <w:lang w:val="es-ES_tradnl" w:eastAsia="es-ES"/>
        </w:rPr>
        <w:t xml:space="preserve"> </w:t>
      </w:r>
      <w:r w:rsidR="001D4CF4" w:rsidRPr="004734A5">
        <w:rPr>
          <w:rFonts w:ascii="Arial" w:hAnsi="Arial" w:cs="Arial"/>
          <w:sz w:val="20"/>
          <w:szCs w:val="20"/>
          <w:lang w:val="es-ES_tradnl" w:eastAsia="es-ES"/>
        </w:rPr>
        <w:t>caso de que alguno de los oferentes sea extranjero</w:t>
      </w:r>
      <w:r w:rsidR="00285172" w:rsidRPr="004734A5">
        <w:rPr>
          <w:rFonts w:ascii="Arial" w:hAnsi="Arial" w:cs="Arial"/>
          <w:sz w:val="20"/>
          <w:szCs w:val="20"/>
          <w:lang w:val="es-ES_tradnl" w:eastAsia="es-ES"/>
        </w:rPr>
        <w:t xml:space="preserve"> se </w:t>
      </w:r>
      <w:r w:rsidR="001D4CF4" w:rsidRPr="004734A5">
        <w:rPr>
          <w:rFonts w:ascii="Arial" w:hAnsi="Arial" w:cs="Arial"/>
          <w:sz w:val="20"/>
          <w:szCs w:val="20"/>
          <w:lang w:val="es-ES_tradnl" w:eastAsia="es-ES"/>
        </w:rPr>
        <w:t>podrá consultar</w:t>
      </w:r>
      <w:r w:rsidR="00285172" w:rsidRPr="004734A5">
        <w:rPr>
          <w:rFonts w:ascii="Arial" w:hAnsi="Arial" w:cs="Arial"/>
          <w:sz w:val="20"/>
          <w:szCs w:val="20"/>
          <w:lang w:val="es-ES_tradnl" w:eastAsia="es-ES"/>
        </w:rPr>
        <w:t xml:space="preserve"> el</w:t>
      </w:r>
      <w:r w:rsidR="00B14DCC">
        <w:rPr>
          <w:rFonts w:ascii="Arial" w:hAnsi="Arial" w:cs="Arial"/>
          <w:sz w:val="20"/>
          <w:szCs w:val="20"/>
          <w:lang w:val="es-ES_tradnl" w:eastAsia="es-ES"/>
        </w:rPr>
        <w:t xml:space="preserve"> </w:t>
      </w:r>
      <w:r w:rsidR="00285172" w:rsidRPr="004734A5">
        <w:rPr>
          <w:rFonts w:ascii="Arial" w:hAnsi="Arial" w:cs="Arial"/>
          <w:sz w:val="20"/>
          <w:szCs w:val="20"/>
          <w:lang w:val="es-ES_tradnl" w:eastAsia="es-ES"/>
        </w:rPr>
        <w:t xml:space="preserve">sitio www.comprasestatales/inicio/proveedor/, guía para la </w:t>
      </w:r>
      <w:r w:rsidR="00285172" w:rsidRPr="004734A5">
        <w:rPr>
          <w:rFonts w:ascii="Arial" w:hAnsi="Arial" w:cs="Arial"/>
          <w:sz w:val="20"/>
          <w:szCs w:val="20"/>
          <w:lang w:val="es-ES_tradnl" w:eastAsia="es-ES"/>
        </w:rPr>
        <w:lastRenderedPageBreak/>
        <w:t xml:space="preserve">inscripción en el </w:t>
      </w:r>
      <w:hyperlink r:id="rId40" w:history="1">
        <w:r w:rsidR="00285172" w:rsidRPr="004734A5">
          <w:rPr>
            <w:rFonts w:ascii="Arial" w:hAnsi="Arial" w:cs="Arial"/>
            <w:sz w:val="20"/>
            <w:szCs w:val="20"/>
            <w:lang w:val="es-ES_tradnl" w:eastAsia="es-ES"/>
          </w:rPr>
          <w:t>RUPE</w:t>
        </w:r>
      </w:hyperlink>
      <w:r w:rsidR="00285172" w:rsidRPr="004734A5">
        <w:rPr>
          <w:rFonts w:ascii="Arial" w:hAnsi="Arial" w:cs="Arial"/>
          <w:sz w:val="20"/>
          <w:szCs w:val="20"/>
          <w:lang w:val="es-ES_tradnl" w:eastAsia="es-ES"/>
        </w:rPr>
        <w:t xml:space="preserve"> en el cual</w:t>
      </w:r>
      <w:r w:rsidR="00B14DCC">
        <w:rPr>
          <w:rFonts w:ascii="Arial" w:hAnsi="Arial" w:cs="Arial"/>
          <w:sz w:val="20"/>
          <w:szCs w:val="20"/>
          <w:lang w:val="es-ES_tradnl" w:eastAsia="es-ES"/>
        </w:rPr>
        <w:t xml:space="preserve"> </w:t>
      </w:r>
      <w:r w:rsidR="00285172" w:rsidRPr="004734A5">
        <w:rPr>
          <w:rFonts w:ascii="Arial" w:hAnsi="Arial" w:cs="Arial"/>
          <w:sz w:val="20"/>
          <w:szCs w:val="20"/>
          <w:lang w:val="es-ES_tradnl" w:eastAsia="es-ES"/>
        </w:rPr>
        <w:t>existe un video explicativo para el registro de un proveedor extranjero.</w:t>
      </w:r>
    </w:p>
    <w:p w14:paraId="200E0E62" w14:textId="77777777" w:rsidR="007F2C68" w:rsidRPr="00006FCB" w:rsidRDefault="007F2C68" w:rsidP="009A58E0">
      <w:pPr>
        <w:pStyle w:val="T3"/>
        <w:numPr>
          <w:ilvl w:val="2"/>
          <w:numId w:val="90"/>
        </w:numPr>
        <w:outlineLvl w:val="9"/>
      </w:pPr>
      <w:bookmarkStart w:id="75" w:name="Lit_15_1_2"/>
      <w:r w:rsidRPr="00E2664E">
        <w:t>D</w:t>
      </w:r>
      <w:r w:rsidRPr="00006FCB">
        <w:t>ocumento 2: Declaración Jurada</w:t>
      </w:r>
    </w:p>
    <w:bookmarkEnd w:id="75"/>
    <w:p w14:paraId="564A7914"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“El Oferente” con todas sus empresas integrantes presentará una Declaración Jurada, con firmas certificadas ante Escribano Público Uruguayo, de acuerdo al Anexo V, en que declare:</w:t>
      </w:r>
    </w:p>
    <w:p w14:paraId="0213C5F1"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a)</w:t>
      </w:r>
      <w:r w:rsidRPr="00053AAC">
        <w:rPr>
          <w:rFonts w:ascii="Arial" w:hAnsi="Arial" w:cs="Arial"/>
          <w:sz w:val="20"/>
          <w:szCs w:val="20"/>
          <w:lang w:val="es-UY"/>
        </w:rPr>
        <w:tab/>
        <w:t>Que aquellas personas físicas y/o jurídicas que formen parte de un Oferente, no formen parte de algún otro Oferente  que se presenta a la misma licitación.</w:t>
      </w:r>
    </w:p>
    <w:p w14:paraId="4B9D6194"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b)</w:t>
      </w:r>
      <w:r w:rsidRPr="00053AAC">
        <w:rPr>
          <w:rFonts w:ascii="Arial" w:hAnsi="Arial" w:cs="Arial"/>
          <w:sz w:val="20"/>
          <w:szCs w:val="20"/>
          <w:lang w:val="es-UY"/>
        </w:rPr>
        <w:tab/>
        <w:t>Haber examinado y estar conforme con estas Bases de Licitación y demás antecedentes, documentos y disposiciones legales inherentes al proceso de licitación y adjudicación, aceptando expresamente las obligaciones que le imponen el cumplimiento de la ley de contratos de participación público – privada con su reglamentación, estas bases de licitación y demás normativa aplicable, no teniendo reparo u objeción que formular. En consecuencia, se libera al Estado persona pública mayor, de toda responsabilidad por eventuales errores u omisiones que pudieran tener los referidos antecedentes y documentos.</w:t>
      </w:r>
    </w:p>
    <w:p w14:paraId="6FB538FE"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lastRenderedPageBreak/>
        <w:t>c)</w:t>
      </w:r>
      <w:r w:rsidRPr="00053AAC">
        <w:rPr>
          <w:rFonts w:ascii="Arial" w:hAnsi="Arial" w:cs="Arial"/>
          <w:sz w:val="20"/>
          <w:szCs w:val="20"/>
          <w:lang w:val="es-UY"/>
        </w:rPr>
        <w:tab/>
        <w:t>Aceptación incondicionada por parte del oferente de las cláusulas de este Pliego, y de los restantes documentos que tienen carácter contractual, sin salvedad alguna, así como la declaración responsable de que reúne todas y cada una de las condiciones exigidas para contratar con la Contratante. Cualquier salvedad se entenderá en todo caso como no puesta.</w:t>
      </w:r>
    </w:p>
    <w:p w14:paraId="16584B08" w14:textId="77777777" w:rsidR="00053AAC" w:rsidRP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d)</w:t>
      </w:r>
      <w:r w:rsidRPr="00053AAC">
        <w:rPr>
          <w:rFonts w:ascii="Arial" w:hAnsi="Arial" w:cs="Arial"/>
          <w:sz w:val="20"/>
          <w:szCs w:val="20"/>
          <w:lang w:val="es-UY"/>
        </w:rPr>
        <w:tab/>
        <w:t>La aceptación por el hecho de presentarse al presente llamado, de quedar sometidos 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14:paraId="544334F7" w14:textId="77777777" w:rsidR="00053AAC" w:rsidRDefault="00053AAC" w:rsidP="00053AAC">
      <w:pPr>
        <w:spacing w:after="120"/>
        <w:jc w:val="both"/>
        <w:rPr>
          <w:rFonts w:ascii="Arial" w:hAnsi="Arial" w:cs="Arial"/>
          <w:sz w:val="20"/>
          <w:szCs w:val="20"/>
          <w:lang w:val="es-UY"/>
        </w:rPr>
      </w:pPr>
      <w:r w:rsidRPr="00053AAC">
        <w:rPr>
          <w:rFonts w:ascii="Arial" w:hAnsi="Arial" w:cs="Arial"/>
          <w:sz w:val="20"/>
          <w:szCs w:val="20"/>
          <w:lang w:val="es-UY"/>
        </w:rPr>
        <w:t>e)</w:t>
      </w:r>
      <w:r w:rsidRPr="00053AAC">
        <w:rPr>
          <w:rFonts w:ascii="Arial" w:hAnsi="Arial" w:cs="Arial"/>
          <w:sz w:val="20"/>
          <w:szCs w:val="20"/>
          <w:lang w:val="es-UY"/>
        </w:rPr>
        <w:tab/>
        <w:t>Litigio que el oferente  tenga pendiente o que haya ocurrido en los últimos (5) cinco años, sobre  las partes litigantes, y el monto reclamado.</w:t>
      </w:r>
    </w:p>
    <w:p w14:paraId="3153D760" w14:textId="77777777" w:rsidR="00E25C71" w:rsidRDefault="00E25C71" w:rsidP="00053AAC">
      <w:pPr>
        <w:spacing w:after="120"/>
        <w:jc w:val="both"/>
        <w:rPr>
          <w:rFonts w:ascii="Arial" w:hAnsi="Arial" w:cs="Arial"/>
          <w:sz w:val="20"/>
          <w:szCs w:val="20"/>
          <w:lang w:val="es-UY"/>
        </w:rPr>
      </w:pPr>
      <w:r w:rsidRPr="00E25C71">
        <w:rPr>
          <w:rFonts w:ascii="Arial" w:hAnsi="Arial" w:cs="Arial"/>
          <w:sz w:val="20"/>
          <w:szCs w:val="20"/>
          <w:lang w:val="es-UY"/>
        </w:rPr>
        <w:t>f)</w:t>
      </w:r>
      <w:r w:rsidRPr="00E25C71">
        <w:rPr>
          <w:rFonts w:ascii="Arial" w:hAnsi="Arial" w:cs="Arial"/>
          <w:sz w:val="20"/>
          <w:szCs w:val="20"/>
          <w:lang w:val="es-UY"/>
        </w:rPr>
        <w:tab/>
        <w:t>declaración de que no figura en la lista de penalizaciones The Worldbank, que surge de la página web www.worldbank.org/debarr.</w:t>
      </w:r>
    </w:p>
    <w:p w14:paraId="787A4A13" w14:textId="77777777" w:rsidR="00E25C71" w:rsidRPr="00053AAC" w:rsidRDefault="00E25C71" w:rsidP="00053AAC">
      <w:pPr>
        <w:spacing w:after="120"/>
        <w:jc w:val="both"/>
        <w:rPr>
          <w:rFonts w:ascii="Arial" w:hAnsi="Arial" w:cs="Arial"/>
          <w:sz w:val="20"/>
          <w:szCs w:val="20"/>
          <w:lang w:val="es-UY"/>
        </w:rPr>
      </w:pPr>
    </w:p>
    <w:p w14:paraId="0678B0B2" w14:textId="77777777" w:rsidR="007F2C68" w:rsidRPr="00E2664E" w:rsidRDefault="007F2C68" w:rsidP="009A58E0">
      <w:pPr>
        <w:pStyle w:val="T3"/>
        <w:numPr>
          <w:ilvl w:val="2"/>
          <w:numId w:val="90"/>
        </w:numPr>
        <w:outlineLvl w:val="9"/>
      </w:pPr>
      <w:bookmarkStart w:id="76" w:name="Lit_15_1_3"/>
      <w:r w:rsidRPr="00E2664E">
        <w:lastRenderedPageBreak/>
        <w:t>Documento 3: Antecedentes Financieros del Oferente</w:t>
      </w:r>
    </w:p>
    <w:bookmarkEnd w:id="76"/>
    <w:p w14:paraId="5F1F3E75"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Las personas físicas que formen parte de un Oferente deberán presentar Estado de Situación Patrimonial.</w:t>
      </w:r>
    </w:p>
    <w:p w14:paraId="4CABE545"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Las personas jurídicas que formen parte de un Oferente deberán presentar los Estados Contables de los últimos tres ejercicios.</w:t>
      </w:r>
    </w:p>
    <w:p w14:paraId="79876EF1" w14:textId="77777777" w:rsidR="00A57FC0" w:rsidRDefault="00A57FC0" w:rsidP="00871E8E">
      <w:pPr>
        <w:jc w:val="both"/>
        <w:rPr>
          <w:rFonts w:ascii="Arial" w:hAnsi="Arial" w:cs="Arial"/>
          <w:sz w:val="20"/>
          <w:szCs w:val="20"/>
        </w:rPr>
      </w:pPr>
      <w:r w:rsidRPr="00C70D4F">
        <w:rPr>
          <w:rFonts w:ascii="Arial" w:hAnsi="Arial" w:cs="Arial"/>
          <w:sz w:val="20"/>
          <w:szCs w:val="20"/>
        </w:rPr>
        <w:t>En caso que una persona jurídica que integre el grupo oferente no contara con estados contables consolidados para todo el período de tres (3) años requerido en virtud de haber adquirido la compañía a un tercero dentro del referido período de tres (3) años, alcanza con agregar estados contables individuales de dicha persona jurídica para los ejercicios económicos previos a dicha adquisición. Deberá acreditarse mediante certificación notarial la situación jurídica durante el período en cuestión.</w:t>
      </w:r>
    </w:p>
    <w:p w14:paraId="3C5CAD02" w14:textId="77777777" w:rsidR="00A57FC0" w:rsidRDefault="00A57FC0" w:rsidP="00871E8E">
      <w:pPr>
        <w:jc w:val="both"/>
      </w:pPr>
      <w:r w:rsidRPr="00C70D4F">
        <w:rPr>
          <w:rFonts w:ascii="Arial" w:hAnsi="Arial" w:cs="Arial"/>
          <w:sz w:val="20"/>
          <w:szCs w:val="20"/>
        </w:rPr>
        <w:t xml:space="preserve">Los mismos podrán formularse en moneda de origen o en dólares de los Estados Unidos de América y serán suscritos por representante legal de la empresa acreditado </w:t>
      </w:r>
      <w:r w:rsidR="008B37EB">
        <w:rPr>
          <w:rFonts w:ascii="Arial" w:hAnsi="Arial" w:cs="Arial"/>
          <w:sz w:val="20"/>
          <w:szCs w:val="20"/>
        </w:rPr>
        <w:t>de acuerdo a la cláusula 15.1.1.2 literal f).</w:t>
      </w:r>
      <w:r>
        <w:t xml:space="preserve"> </w:t>
      </w:r>
    </w:p>
    <w:p w14:paraId="4A65E86A"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lastRenderedPageBreak/>
        <w:t xml:space="preserve">Dichos Estados Contables estarán integrados, como mínimo, por estado de situación patrimonial, estado de resultados, notas aclaratorias y anexos de bienes de uso y de evolución del patrimonio y estado de origen y aplicación de fondos, según el siguiente criterio: </w:t>
      </w:r>
    </w:p>
    <w:p w14:paraId="4291F74F" w14:textId="22DF5F63" w:rsidR="00A57FC0" w:rsidRPr="00C70D4F" w:rsidRDefault="00A57FC0" w:rsidP="009A58E0">
      <w:pPr>
        <w:pStyle w:val="Prrafodelista"/>
        <w:numPr>
          <w:ilvl w:val="0"/>
          <w:numId w:val="93"/>
        </w:numPr>
        <w:jc w:val="both"/>
        <w:rPr>
          <w:rFonts w:ascii="Arial" w:hAnsi="Arial" w:cs="Arial"/>
          <w:sz w:val="20"/>
          <w:szCs w:val="20"/>
        </w:rPr>
      </w:pPr>
      <w:r w:rsidRPr="00C70D4F">
        <w:rPr>
          <w:rFonts w:ascii="Arial" w:hAnsi="Arial" w:cs="Arial"/>
          <w:sz w:val="20"/>
          <w:szCs w:val="20"/>
        </w:rPr>
        <w:t xml:space="preserve">Para empresas constituidas en la República Oriental del Uruguay, deberán formularse de acuerdo a lo dispuesto por la Ley Nº </w:t>
      </w:r>
      <w:hyperlink r:id="rId41" w:history="1">
        <w:r w:rsidRPr="00775CF0">
          <w:rPr>
            <w:rStyle w:val="Hipervnculo"/>
            <w:rFonts w:ascii="Arial" w:hAnsi="Arial" w:cs="Arial"/>
            <w:sz w:val="20"/>
            <w:szCs w:val="20"/>
          </w:rPr>
          <w:t>16.060</w:t>
        </w:r>
      </w:hyperlink>
      <w:r w:rsidRPr="00C70D4F">
        <w:rPr>
          <w:rFonts w:ascii="Arial" w:hAnsi="Arial" w:cs="Arial"/>
          <w:sz w:val="20"/>
          <w:szCs w:val="20"/>
        </w:rPr>
        <w:t xml:space="preserve"> (Sociedades Comerci</w:t>
      </w:r>
      <w:r w:rsidR="00314075">
        <w:rPr>
          <w:rFonts w:ascii="Arial" w:hAnsi="Arial" w:cs="Arial"/>
          <w:sz w:val="20"/>
          <w:szCs w:val="20"/>
        </w:rPr>
        <w:t>ales) y sus modificativas, y el Decreto</w:t>
      </w:r>
      <w:r w:rsidRPr="00C70D4F">
        <w:rPr>
          <w:rFonts w:ascii="Arial" w:hAnsi="Arial" w:cs="Arial"/>
          <w:sz w:val="20"/>
          <w:szCs w:val="20"/>
        </w:rPr>
        <w:t xml:space="preserve"> </w:t>
      </w:r>
      <w:r w:rsidR="00F52D8F">
        <w:rPr>
          <w:rStyle w:val="Hipervnculo"/>
          <w:rFonts w:ascii="Arial" w:hAnsi="Arial" w:cs="Arial"/>
          <w:sz w:val="20"/>
          <w:szCs w:val="20"/>
        </w:rPr>
        <w:t>408/2016</w:t>
      </w:r>
      <w:r w:rsidR="00314075">
        <w:rPr>
          <w:rFonts w:ascii="Arial" w:hAnsi="Arial" w:cs="Arial"/>
          <w:sz w:val="20"/>
          <w:szCs w:val="20"/>
        </w:rPr>
        <w:t>.</w:t>
      </w:r>
      <w:r w:rsidRPr="00C70D4F">
        <w:rPr>
          <w:rFonts w:ascii="Arial" w:hAnsi="Arial" w:cs="Arial"/>
          <w:sz w:val="20"/>
          <w:szCs w:val="20"/>
        </w:rPr>
        <w:t xml:space="preserve"> Asimismo serán de aplicación los decretos </w:t>
      </w:r>
      <w:hyperlink r:id="rId42" w:history="1">
        <w:r w:rsidRPr="00775CF0">
          <w:rPr>
            <w:rStyle w:val="Hipervnculo"/>
            <w:rFonts w:ascii="Arial" w:hAnsi="Arial" w:cs="Arial"/>
            <w:sz w:val="20"/>
            <w:szCs w:val="20"/>
          </w:rPr>
          <w:t>162/004</w:t>
        </w:r>
      </w:hyperlink>
      <w:r w:rsidRPr="00C70D4F">
        <w:rPr>
          <w:rFonts w:ascii="Arial" w:hAnsi="Arial" w:cs="Arial"/>
          <w:sz w:val="20"/>
          <w:szCs w:val="20"/>
        </w:rPr>
        <w:t xml:space="preserve"> de 12/5/04</w:t>
      </w:r>
      <w:r w:rsidRPr="0085306C">
        <w:rPr>
          <w:rFonts w:ascii="Arial" w:hAnsi="Arial" w:cs="Arial"/>
          <w:sz w:val="20"/>
          <w:szCs w:val="20"/>
        </w:rPr>
        <w:t xml:space="preserve">, </w:t>
      </w:r>
      <w:hyperlink r:id="rId43" w:history="1">
        <w:r w:rsidRPr="0085306C">
          <w:rPr>
            <w:rStyle w:val="Hipervnculo"/>
            <w:rFonts w:ascii="Arial" w:hAnsi="Arial" w:cs="Arial"/>
            <w:sz w:val="20"/>
            <w:szCs w:val="20"/>
          </w:rPr>
          <w:t>222/04</w:t>
        </w:r>
      </w:hyperlink>
      <w:r w:rsidRPr="0085306C">
        <w:rPr>
          <w:rFonts w:ascii="Arial" w:hAnsi="Arial" w:cs="Arial"/>
          <w:sz w:val="20"/>
          <w:szCs w:val="20"/>
        </w:rPr>
        <w:t xml:space="preserve"> de 30/6/04 y </w:t>
      </w:r>
      <w:hyperlink r:id="rId44" w:history="1">
        <w:r w:rsidRPr="0085306C">
          <w:rPr>
            <w:rStyle w:val="Hipervnculo"/>
            <w:rFonts w:ascii="Arial" w:hAnsi="Arial" w:cs="Arial"/>
            <w:sz w:val="20"/>
            <w:szCs w:val="20"/>
          </w:rPr>
          <w:t>90/05</w:t>
        </w:r>
      </w:hyperlink>
      <w:r w:rsidRPr="00C70D4F">
        <w:rPr>
          <w:rFonts w:ascii="Arial" w:hAnsi="Arial" w:cs="Arial"/>
          <w:sz w:val="20"/>
          <w:szCs w:val="20"/>
        </w:rPr>
        <w:t xml:space="preserve"> de 25/2/05, lo que corresponda según los ejercicios de los balances presentados. </w:t>
      </w:r>
    </w:p>
    <w:p w14:paraId="74C97281" w14:textId="2C282ACC" w:rsidR="00A57FC0" w:rsidRPr="00C70D4F" w:rsidRDefault="00A57FC0" w:rsidP="009A58E0">
      <w:pPr>
        <w:pStyle w:val="Prrafodelista"/>
        <w:numPr>
          <w:ilvl w:val="0"/>
          <w:numId w:val="93"/>
        </w:numPr>
        <w:jc w:val="both"/>
        <w:rPr>
          <w:rFonts w:ascii="Arial" w:hAnsi="Arial" w:cs="Arial"/>
          <w:sz w:val="20"/>
          <w:szCs w:val="20"/>
        </w:rPr>
      </w:pPr>
      <w:r w:rsidRPr="00C70D4F">
        <w:rPr>
          <w:rFonts w:ascii="Arial" w:hAnsi="Arial" w:cs="Arial"/>
          <w:sz w:val="20"/>
          <w:szCs w:val="20"/>
        </w:rPr>
        <w:t>Para empresas constituidas en el extranjero, se formularán de acuerdo a las normas legales o profesionales, según corresponda, vigentes en el país donde se domicilia; no obstante para la determinación de los índices económicos - financieros y de los ingresos operativos, se seguirán los criterios de exposición previstos en el Decreto</w:t>
      </w:r>
      <w:r w:rsidR="00F52D8F">
        <w:rPr>
          <w:rStyle w:val="Hipervnculo"/>
          <w:rFonts w:ascii="Arial" w:hAnsi="Arial" w:cs="Arial"/>
          <w:sz w:val="20"/>
          <w:szCs w:val="20"/>
        </w:rPr>
        <w:t xml:space="preserve"> 408/2016</w:t>
      </w:r>
      <w:r w:rsidRPr="00C70D4F">
        <w:rPr>
          <w:rFonts w:ascii="Arial" w:hAnsi="Arial" w:cs="Arial"/>
          <w:sz w:val="20"/>
          <w:szCs w:val="20"/>
        </w:rPr>
        <w:t>.</w:t>
      </w:r>
    </w:p>
    <w:p w14:paraId="6F3AB2C6" w14:textId="602D5015" w:rsidR="00A57FC0" w:rsidRPr="00C70D4F" w:rsidRDefault="00A57FC0" w:rsidP="00871E8E">
      <w:pPr>
        <w:jc w:val="both"/>
        <w:rPr>
          <w:rFonts w:ascii="Arial" w:hAnsi="Arial" w:cs="Arial"/>
          <w:sz w:val="20"/>
          <w:szCs w:val="20"/>
        </w:rPr>
      </w:pPr>
      <w:r w:rsidRPr="00C70D4F">
        <w:rPr>
          <w:rFonts w:ascii="Arial" w:hAnsi="Arial" w:cs="Arial"/>
          <w:sz w:val="20"/>
          <w:szCs w:val="20"/>
        </w:rPr>
        <w:t>No será motivo de observación, en ninguno de estos casos, el no cumplimiento de lo dispuesto por el artículo 2 numeral 2 decreto</w:t>
      </w:r>
      <w:r w:rsidR="00F52D8F">
        <w:rPr>
          <w:rStyle w:val="Hipervnculo"/>
          <w:rFonts w:ascii="Arial" w:hAnsi="Arial" w:cs="Arial"/>
          <w:sz w:val="20"/>
          <w:szCs w:val="20"/>
        </w:rPr>
        <w:t xml:space="preserve"> 408/2016</w:t>
      </w:r>
      <w:r w:rsidRPr="00C70D4F">
        <w:rPr>
          <w:rFonts w:ascii="Arial" w:hAnsi="Arial" w:cs="Arial"/>
          <w:sz w:val="20"/>
          <w:szCs w:val="20"/>
        </w:rPr>
        <w:t>. No obstante, en caso de resultar la oferta adjudicada deberán acreditar el cumplimiento previo a la adjudicación definitiva.</w:t>
      </w:r>
    </w:p>
    <w:p w14:paraId="39E95622"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lastRenderedPageBreak/>
        <w:t>La vigencia de los estados contables no será mayor que el plazo del que disponen las empresas en sus respectivos domicilios para dar cumplimiento a las obligaciones fiscales que surjan del último cierre de ejercicio.</w:t>
      </w:r>
    </w:p>
    <w:p w14:paraId="479A2819"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Los estados contables vendrán acompañados de dictámenes de Auditoría Externa, realizados de acuerdo a las Normas de Auditoría Generalmente Aceptadas emitidas por la Federación Internacional de Contadores (IFAC) y sustituirán el requisito del Informe de Revisión Limitada.</w:t>
      </w:r>
    </w:p>
    <w:p w14:paraId="00012772" w14:textId="77777777" w:rsidR="00A57FC0" w:rsidRPr="00C70D4F" w:rsidRDefault="00A57FC0" w:rsidP="00871E8E">
      <w:pPr>
        <w:jc w:val="both"/>
        <w:rPr>
          <w:rFonts w:ascii="Arial" w:hAnsi="Arial" w:cs="Arial"/>
          <w:sz w:val="20"/>
          <w:szCs w:val="20"/>
        </w:rPr>
      </w:pPr>
      <w:r w:rsidRPr="00C70D4F">
        <w:rPr>
          <w:rFonts w:ascii="Arial" w:hAnsi="Arial" w:cs="Arial"/>
          <w:sz w:val="20"/>
          <w:szCs w:val="20"/>
        </w:rPr>
        <w:t>Para cada uno de los ejercicios contables presentados, se deberán cumplir los siguientes requisitos:</w:t>
      </w:r>
    </w:p>
    <w:p w14:paraId="4752E428" w14:textId="77777777" w:rsidR="00A57FC0" w:rsidRPr="00042479" w:rsidRDefault="00A314F1" w:rsidP="009A58E0">
      <w:pPr>
        <w:pStyle w:val="Prrafodelista"/>
        <w:numPr>
          <w:ilvl w:val="0"/>
          <w:numId w:val="92"/>
        </w:numPr>
        <w:contextualSpacing/>
        <w:jc w:val="both"/>
        <w:rPr>
          <w:rFonts w:ascii="Arial" w:hAnsi="Arial" w:cs="Arial"/>
          <w:sz w:val="20"/>
          <w:szCs w:val="20"/>
        </w:rPr>
      </w:pPr>
      <w:r w:rsidRPr="00042479">
        <w:rPr>
          <w:rFonts w:ascii="Arial" w:hAnsi="Arial" w:cs="Arial"/>
          <w:sz w:val="20"/>
          <w:szCs w:val="20"/>
        </w:rPr>
        <w:t xml:space="preserve">La suma del patrimonio de las personas que conforman el oferente, deberá ser mayor o igual al equivalente a doscientos millones de pesos uruguayos. </w:t>
      </w:r>
    </w:p>
    <w:p w14:paraId="52079EA9" w14:textId="77777777" w:rsidR="00A57FC0" w:rsidRDefault="00A04A65" w:rsidP="009A58E0">
      <w:pPr>
        <w:pStyle w:val="Prrafodelista"/>
        <w:numPr>
          <w:ilvl w:val="0"/>
          <w:numId w:val="92"/>
        </w:numPr>
        <w:contextualSpacing/>
        <w:jc w:val="both"/>
        <w:rPr>
          <w:rFonts w:ascii="Arial" w:hAnsi="Arial" w:cs="Arial"/>
          <w:sz w:val="20"/>
          <w:szCs w:val="20"/>
        </w:rPr>
      </w:pPr>
      <w:r>
        <w:rPr>
          <w:rFonts w:ascii="Arial" w:hAnsi="Arial" w:cs="Arial"/>
          <w:sz w:val="20"/>
          <w:szCs w:val="20"/>
        </w:rPr>
        <w:t>L</w:t>
      </w:r>
      <w:r w:rsidR="00A314F1" w:rsidRPr="00042479">
        <w:rPr>
          <w:rFonts w:ascii="Arial" w:hAnsi="Arial" w:cs="Arial"/>
          <w:sz w:val="20"/>
          <w:szCs w:val="20"/>
        </w:rPr>
        <w:t xml:space="preserve">a suma de los ingresos operativos anuales de las personas que conforman al oferente, deberá ser mayor o igual al equivalente a veinticinco millones de dólares estadounidenses. </w:t>
      </w:r>
    </w:p>
    <w:p w14:paraId="095E8FB7" w14:textId="77777777" w:rsidR="00107AE0" w:rsidRPr="00107AE0" w:rsidRDefault="00107AE0" w:rsidP="00107AE0">
      <w:pPr>
        <w:ind w:left="1985"/>
        <w:contextualSpacing/>
        <w:jc w:val="both"/>
        <w:rPr>
          <w:rFonts w:ascii="Arial" w:hAnsi="Arial" w:cs="Arial"/>
          <w:sz w:val="20"/>
          <w:szCs w:val="20"/>
        </w:rPr>
      </w:pPr>
      <w:r>
        <w:rPr>
          <w:rFonts w:ascii="Arial" w:hAnsi="Arial" w:cs="Arial"/>
          <w:sz w:val="20"/>
          <w:szCs w:val="20"/>
        </w:rPr>
        <w:t xml:space="preserve">Se aplicará como criterio de conversión de pesos uruguayos a dólares estadounidenses, el promedio </w:t>
      </w:r>
      <w:r>
        <w:rPr>
          <w:rFonts w:ascii="Arial" w:hAnsi="Arial" w:cs="Arial"/>
          <w:sz w:val="20"/>
          <w:szCs w:val="20"/>
        </w:rPr>
        <w:lastRenderedPageBreak/>
        <w:t>del ejercicio de la cotización diaria del dólar estadounidense interbancario.</w:t>
      </w:r>
    </w:p>
    <w:p w14:paraId="0BBC1C8D" w14:textId="77777777" w:rsidR="00107AE0" w:rsidRPr="00107AE0" w:rsidRDefault="00107AE0" w:rsidP="00107AE0">
      <w:pPr>
        <w:ind w:left="1636"/>
        <w:contextualSpacing/>
        <w:jc w:val="both"/>
        <w:rPr>
          <w:rFonts w:ascii="Arial" w:hAnsi="Arial" w:cs="Arial"/>
          <w:sz w:val="20"/>
          <w:szCs w:val="20"/>
        </w:rPr>
      </w:pPr>
    </w:p>
    <w:p w14:paraId="4AA0021F" w14:textId="77777777" w:rsidR="00107AE0" w:rsidRPr="00107AE0" w:rsidRDefault="00107AE0" w:rsidP="00107AE0">
      <w:pPr>
        <w:ind w:left="1636"/>
        <w:contextualSpacing/>
        <w:jc w:val="both"/>
        <w:rPr>
          <w:rFonts w:ascii="Arial" w:hAnsi="Arial" w:cs="Arial"/>
          <w:sz w:val="20"/>
          <w:szCs w:val="20"/>
        </w:rPr>
      </w:pPr>
    </w:p>
    <w:p w14:paraId="777E423D" w14:textId="77777777" w:rsidR="00AA5A64" w:rsidRPr="00042479" w:rsidRDefault="00A57FC0" w:rsidP="00871E8E">
      <w:pPr>
        <w:rPr>
          <w:rFonts w:ascii="Arial" w:hAnsi="Arial" w:cs="Arial"/>
          <w:sz w:val="20"/>
          <w:szCs w:val="20"/>
        </w:rPr>
      </w:pPr>
      <w:r w:rsidRPr="00B65633">
        <w:rPr>
          <w:rFonts w:ascii="Arial" w:hAnsi="Arial" w:cs="Arial"/>
          <w:sz w:val="20"/>
          <w:szCs w:val="20"/>
        </w:rPr>
        <w:t xml:space="preserve">A los fines de evaluar estos requisitos, deberá presentarse el resumen indicado en el formato </w:t>
      </w:r>
      <w:r w:rsidRPr="002C5F96">
        <w:rPr>
          <w:rFonts w:ascii="Arial" w:hAnsi="Arial" w:cs="Arial"/>
          <w:sz w:val="20"/>
          <w:szCs w:val="20"/>
        </w:rPr>
        <w:t xml:space="preserve">del </w:t>
      </w:r>
      <w:hyperlink w:anchor="A_5" w:history="1">
        <w:r w:rsidRPr="002A56D7">
          <w:rPr>
            <w:rStyle w:val="Hipervnculo"/>
            <w:rFonts w:ascii="Arial" w:hAnsi="Arial" w:cs="Arial"/>
            <w:sz w:val="20"/>
            <w:szCs w:val="20"/>
          </w:rPr>
          <w:t xml:space="preserve">Anexo </w:t>
        </w:r>
        <w:r w:rsidR="00233B98" w:rsidRPr="002A56D7">
          <w:rPr>
            <w:rStyle w:val="Hipervnculo"/>
            <w:rFonts w:ascii="Arial" w:hAnsi="Arial" w:cs="Arial"/>
            <w:sz w:val="20"/>
            <w:szCs w:val="20"/>
          </w:rPr>
          <w:t>V</w:t>
        </w:r>
      </w:hyperlink>
      <w:r w:rsidR="00233B98" w:rsidRPr="002C5F96">
        <w:rPr>
          <w:rFonts w:ascii="Arial" w:hAnsi="Arial" w:cs="Arial"/>
          <w:sz w:val="20"/>
          <w:szCs w:val="20"/>
        </w:rPr>
        <w:t xml:space="preserve"> </w:t>
      </w:r>
      <w:r w:rsidRPr="002C5F96">
        <w:rPr>
          <w:rFonts w:ascii="Arial" w:hAnsi="Arial" w:cs="Arial"/>
          <w:sz w:val="20"/>
          <w:szCs w:val="20"/>
        </w:rPr>
        <w:t>de este Pliego</w:t>
      </w:r>
      <w:r w:rsidRPr="00B65633">
        <w:rPr>
          <w:rFonts w:ascii="Arial" w:hAnsi="Arial" w:cs="Arial"/>
          <w:sz w:val="20"/>
          <w:szCs w:val="20"/>
        </w:rPr>
        <w:t>.</w:t>
      </w:r>
      <w:r w:rsidR="00B14DCC">
        <w:rPr>
          <w:rFonts w:ascii="Arial" w:hAnsi="Arial" w:cs="Arial"/>
          <w:sz w:val="20"/>
          <w:szCs w:val="20"/>
        </w:rPr>
        <w:t xml:space="preserve"> </w:t>
      </w:r>
      <w:r w:rsidRPr="00B65633">
        <w:rPr>
          <w:rFonts w:ascii="Arial" w:hAnsi="Arial" w:cs="Arial"/>
          <w:sz w:val="20"/>
          <w:szCs w:val="20"/>
        </w:rPr>
        <w:t>En caso de que sea requerida, la equivalencia entre monedas deberá ser realizada por una persona o empresa habilitada como auditor externo en el BCU, que debe firmar el resumen</w:t>
      </w:r>
      <w:r w:rsidRPr="00C3349A">
        <w:rPr>
          <w:rFonts w:ascii="Arial" w:hAnsi="Arial" w:cs="Arial"/>
          <w:sz w:val="20"/>
          <w:szCs w:val="20"/>
        </w:rPr>
        <w:t>.</w:t>
      </w:r>
      <w:r w:rsidR="00AA5A64" w:rsidRPr="00C3349A">
        <w:t xml:space="preserve"> </w:t>
      </w:r>
      <w:r w:rsidR="00A314F1" w:rsidRPr="00042479">
        <w:rPr>
          <w:rFonts w:ascii="Arial" w:hAnsi="Arial" w:cs="Arial"/>
          <w:sz w:val="20"/>
          <w:szCs w:val="20"/>
        </w:rPr>
        <w:t>En el siguiente link se puede acceder al listado de auditores externos habilitados</w:t>
      </w:r>
      <w:r w:rsidR="00042479" w:rsidRPr="00042479">
        <w:rPr>
          <w:rFonts w:ascii="Arial" w:hAnsi="Arial" w:cs="Arial"/>
          <w:sz w:val="20"/>
          <w:szCs w:val="20"/>
        </w:rPr>
        <w:t>:</w:t>
      </w:r>
    </w:p>
    <w:p w14:paraId="41C01C57" w14:textId="77777777" w:rsidR="00042479" w:rsidRPr="00042479" w:rsidRDefault="00042479" w:rsidP="00871E8E">
      <w:pPr>
        <w:rPr>
          <w:rFonts w:ascii="Arial" w:hAnsi="Arial" w:cs="Arial"/>
          <w:sz w:val="20"/>
          <w:szCs w:val="20"/>
        </w:rPr>
      </w:pPr>
      <w:r w:rsidRPr="00042479">
        <w:rPr>
          <w:rFonts w:ascii="Arial" w:hAnsi="Arial" w:cs="Arial"/>
          <w:sz w:val="20"/>
          <w:szCs w:val="20"/>
        </w:rPr>
        <w:t xml:space="preserve"> http://www.bcu.gub.uy/Servicios-Financieros-SSF/Paginas/buscador_Registros.aspx</w:t>
      </w:r>
    </w:p>
    <w:p w14:paraId="020C0AF4" w14:textId="77777777" w:rsidR="003B3EEE" w:rsidRDefault="003B3EEE" w:rsidP="00871E8E">
      <w:pPr>
        <w:jc w:val="both"/>
        <w:rPr>
          <w:rFonts w:ascii="Arial" w:hAnsi="Arial" w:cs="Arial"/>
          <w:sz w:val="20"/>
          <w:szCs w:val="20"/>
        </w:rPr>
      </w:pPr>
    </w:p>
    <w:p w14:paraId="230CE1D9" w14:textId="77777777" w:rsidR="003B3EEE" w:rsidRDefault="00A57FC0" w:rsidP="00871E8E">
      <w:pPr>
        <w:jc w:val="both"/>
        <w:rPr>
          <w:rFonts w:ascii="Arial" w:hAnsi="Arial" w:cs="Arial"/>
          <w:sz w:val="20"/>
          <w:szCs w:val="20"/>
        </w:rPr>
      </w:pPr>
      <w:r w:rsidRPr="00B65633">
        <w:rPr>
          <w:rFonts w:ascii="Arial" w:hAnsi="Arial" w:cs="Arial"/>
          <w:sz w:val="20"/>
          <w:szCs w:val="20"/>
        </w:rPr>
        <w:t xml:space="preserve">Adicionalmente, </w:t>
      </w:r>
      <w:r w:rsidR="0087101A" w:rsidRPr="00F63799">
        <w:rPr>
          <w:rFonts w:ascii="Arial" w:hAnsi="Arial" w:cs="Arial"/>
          <w:sz w:val="20"/>
          <w:szCs w:val="20"/>
        </w:rPr>
        <w:t>para cada una de</w:t>
      </w:r>
      <w:r w:rsidR="005409F7">
        <w:rPr>
          <w:rFonts w:ascii="Arial" w:hAnsi="Arial" w:cs="Arial"/>
          <w:sz w:val="20"/>
          <w:szCs w:val="20"/>
        </w:rPr>
        <w:t xml:space="preserve"> </w:t>
      </w:r>
      <w:r w:rsidRPr="00B65633">
        <w:rPr>
          <w:rFonts w:ascii="Arial" w:hAnsi="Arial" w:cs="Arial"/>
          <w:sz w:val="20"/>
          <w:szCs w:val="20"/>
        </w:rPr>
        <w:t>las empresas que acrediten la experiencia en construcción exigida</w:t>
      </w:r>
      <w:r w:rsidRPr="00042479">
        <w:rPr>
          <w:rFonts w:ascii="Arial" w:hAnsi="Arial" w:cs="Arial"/>
          <w:sz w:val="20"/>
          <w:szCs w:val="20"/>
        </w:rPr>
        <w:t xml:space="preserve">, </w:t>
      </w:r>
      <w:r w:rsidR="00A314F1" w:rsidRPr="00042479">
        <w:rPr>
          <w:rFonts w:ascii="Arial" w:hAnsi="Arial" w:cs="Arial"/>
          <w:sz w:val="20"/>
          <w:szCs w:val="20"/>
        </w:rPr>
        <w:t xml:space="preserve">los estados contables </w:t>
      </w:r>
      <w:r w:rsidRPr="00042479">
        <w:rPr>
          <w:rFonts w:ascii="Arial" w:hAnsi="Arial" w:cs="Arial"/>
          <w:sz w:val="20"/>
          <w:szCs w:val="20"/>
        </w:rPr>
        <w:t>deberán tener los siguientes valores</w:t>
      </w:r>
      <w:r w:rsidR="00EF6A46">
        <w:rPr>
          <w:rFonts w:ascii="Arial" w:hAnsi="Arial" w:cs="Arial"/>
          <w:sz w:val="20"/>
          <w:szCs w:val="20"/>
        </w:rPr>
        <w:t>,</w:t>
      </w:r>
      <w:r w:rsidRPr="00042479">
        <w:rPr>
          <w:rFonts w:ascii="Arial" w:hAnsi="Arial" w:cs="Arial"/>
          <w:sz w:val="20"/>
          <w:szCs w:val="20"/>
        </w:rPr>
        <w:t xml:space="preserve"> para el promedio aritmético </w:t>
      </w:r>
      <w:r w:rsidR="00EF6A46" w:rsidRPr="00042479">
        <w:rPr>
          <w:rFonts w:ascii="Arial" w:hAnsi="Arial" w:cs="Arial"/>
          <w:sz w:val="20"/>
          <w:szCs w:val="20"/>
        </w:rPr>
        <w:t xml:space="preserve">de los últimos tres años </w:t>
      </w:r>
      <w:r w:rsidR="00A314F1" w:rsidRPr="00042479">
        <w:rPr>
          <w:rFonts w:ascii="Arial" w:hAnsi="Arial" w:cs="Arial"/>
          <w:sz w:val="20"/>
          <w:szCs w:val="20"/>
        </w:rPr>
        <w:t>de cada uno</w:t>
      </w:r>
      <w:r w:rsidRPr="00042479">
        <w:rPr>
          <w:rFonts w:ascii="Arial" w:hAnsi="Arial" w:cs="Arial"/>
          <w:sz w:val="20"/>
          <w:szCs w:val="20"/>
        </w:rPr>
        <w:t xml:space="preserve"> sus</w:t>
      </w:r>
      <w:r w:rsidRPr="00B65633">
        <w:rPr>
          <w:rFonts w:ascii="Arial" w:hAnsi="Arial" w:cs="Arial"/>
          <w:sz w:val="20"/>
          <w:szCs w:val="20"/>
        </w:rPr>
        <w:t xml:space="preserve"> índices:</w:t>
      </w:r>
    </w:p>
    <w:p w14:paraId="404105F2" w14:textId="77777777" w:rsidR="003B3EEE" w:rsidRDefault="00A57FC0" w:rsidP="00871E8E">
      <w:pPr>
        <w:ind w:left="57"/>
        <w:jc w:val="both"/>
      </w:pPr>
      <w:r>
        <w:t>a)</w:t>
      </w:r>
      <w:r>
        <w:tab/>
      </w:r>
      <w:r w:rsidRPr="00B65633">
        <w:rPr>
          <w:rFonts w:ascii="Arial" w:hAnsi="Arial" w:cs="Arial"/>
          <w:sz w:val="20"/>
          <w:szCs w:val="20"/>
        </w:rPr>
        <w:t>Liquidez (activos corrientes/pasivos corrientes) mayor o igual a 1</w:t>
      </w:r>
      <w:r w:rsidR="00EF6A46">
        <w:rPr>
          <w:rFonts w:ascii="Arial" w:hAnsi="Arial" w:cs="Arial"/>
          <w:sz w:val="20"/>
          <w:szCs w:val="20"/>
        </w:rPr>
        <w:t>.</w:t>
      </w:r>
    </w:p>
    <w:p w14:paraId="198DE3AB" w14:textId="77777777" w:rsidR="003B3EEE" w:rsidRDefault="00A57FC0" w:rsidP="00871E8E">
      <w:pPr>
        <w:ind w:left="57"/>
        <w:jc w:val="both"/>
      </w:pPr>
      <w:r>
        <w:lastRenderedPageBreak/>
        <w:t>b)</w:t>
      </w:r>
      <w:r>
        <w:tab/>
      </w:r>
      <w:r w:rsidRPr="00B65633">
        <w:rPr>
          <w:rFonts w:ascii="Arial" w:hAnsi="Arial" w:cs="Arial"/>
          <w:sz w:val="20"/>
          <w:szCs w:val="20"/>
        </w:rPr>
        <w:t>Endeudamiento (pasivo total/patrimonio neto) menor o igual a 2 o ingresos anuales mayores o iguales a mil millones de pesos uruguayos o su equivalente.</w:t>
      </w:r>
    </w:p>
    <w:p w14:paraId="7363C6EC" w14:textId="77777777" w:rsidR="00A57FC0" w:rsidRDefault="00A57FC0" w:rsidP="00871E8E">
      <w:pPr>
        <w:ind w:left="57"/>
        <w:jc w:val="both"/>
      </w:pPr>
      <w:r>
        <w:t>c)</w:t>
      </w:r>
      <w:r>
        <w:tab/>
      </w:r>
      <w:r w:rsidRPr="00B65633">
        <w:rPr>
          <w:rFonts w:ascii="Arial" w:hAnsi="Arial" w:cs="Arial"/>
          <w:sz w:val="20"/>
          <w:szCs w:val="20"/>
        </w:rPr>
        <w:t>Rentabilidad (resultado operativo bruto/ventas) mayor o igual a 0,05</w:t>
      </w:r>
      <w:r w:rsidR="00B14DCC">
        <w:rPr>
          <w:rFonts w:ascii="Arial" w:hAnsi="Arial" w:cs="Arial"/>
          <w:sz w:val="20"/>
          <w:szCs w:val="20"/>
        </w:rPr>
        <w:t xml:space="preserve"> </w:t>
      </w:r>
      <w:r w:rsidR="00C70D4F">
        <w:rPr>
          <w:rFonts w:ascii="Arial" w:hAnsi="Arial" w:cs="Arial"/>
          <w:sz w:val="20"/>
          <w:szCs w:val="20"/>
        </w:rPr>
        <w:t xml:space="preserve">o </w:t>
      </w:r>
      <w:r w:rsidR="00C70D4F">
        <w:rPr>
          <w:rFonts w:ascii="Arial" w:hAnsi="Arial" w:cs="Arial"/>
          <w:sz w:val="20"/>
          <w:szCs w:val="20"/>
        </w:rPr>
        <w:tab/>
      </w:r>
      <w:r w:rsidR="00C70D4F">
        <w:rPr>
          <w:rFonts w:ascii="Arial" w:hAnsi="Arial" w:cs="Arial"/>
          <w:sz w:val="20"/>
          <w:szCs w:val="20"/>
        </w:rPr>
        <w:tab/>
      </w:r>
      <w:r w:rsidRPr="00B65633">
        <w:rPr>
          <w:rFonts w:ascii="Arial" w:hAnsi="Arial" w:cs="Arial"/>
          <w:sz w:val="20"/>
          <w:szCs w:val="20"/>
        </w:rPr>
        <w:t>tener utilidad antes de impuestos mayores que cero.</w:t>
      </w:r>
    </w:p>
    <w:p w14:paraId="55D34797" w14:textId="77777777" w:rsidR="007F2C68" w:rsidRPr="00E2664E" w:rsidRDefault="007F2C68" w:rsidP="009A58E0">
      <w:pPr>
        <w:pStyle w:val="T3"/>
        <w:numPr>
          <w:ilvl w:val="2"/>
          <w:numId w:val="90"/>
        </w:numPr>
        <w:outlineLvl w:val="9"/>
      </w:pPr>
      <w:bookmarkStart w:id="77" w:name="Lit_15_1_4"/>
      <w:r w:rsidRPr="00E2664E">
        <w:t>Documento 4: Empresas Constructoras</w:t>
      </w:r>
    </w:p>
    <w:bookmarkEnd w:id="77"/>
    <w:p w14:paraId="256E4F70" w14:textId="77777777" w:rsidR="007F2C68" w:rsidRPr="00E2664E" w:rsidRDefault="007F2C68" w:rsidP="009A58E0">
      <w:pPr>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 xml:space="preserve">Identificación de la o las empresas constructoras que forman parte del oferente con los correspondientes compromisos de participación, y acreditación de la experiencia requerida en obras similares. </w:t>
      </w:r>
    </w:p>
    <w:p w14:paraId="13EA3E87" w14:textId="77777777" w:rsidR="007F2C68" w:rsidRPr="00E2664E" w:rsidRDefault="007F2C68" w:rsidP="009A58E0">
      <w:pPr>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ind w:left="284" w:hanging="284"/>
        <w:jc w:val="both"/>
        <w:rPr>
          <w:rFonts w:ascii="Arial" w:hAnsi="Arial" w:cs="Arial"/>
          <w:sz w:val="20"/>
          <w:szCs w:val="20"/>
        </w:rPr>
      </w:pPr>
      <w:r w:rsidRPr="00E2664E">
        <w:rPr>
          <w:rFonts w:ascii="Arial" w:hAnsi="Arial" w:cs="Arial"/>
          <w:sz w:val="20"/>
          <w:szCs w:val="20"/>
        </w:rPr>
        <w:t>Certificado del Registro Nacional de Empresas de Obras Públicas, sumando entre todas las empresas constructoras que formen parte del oferente</w:t>
      </w:r>
      <w:r w:rsidR="00113D35">
        <w:rPr>
          <w:rFonts w:ascii="Arial" w:hAnsi="Arial" w:cs="Arial"/>
          <w:sz w:val="20"/>
          <w:szCs w:val="20"/>
        </w:rPr>
        <w:t xml:space="preserve"> </w:t>
      </w:r>
      <w:r w:rsidRPr="00E2664E">
        <w:rPr>
          <w:rFonts w:ascii="Arial" w:hAnsi="Arial" w:cs="Arial"/>
          <w:sz w:val="20"/>
          <w:szCs w:val="20"/>
        </w:rPr>
        <w:t xml:space="preserve">un VECA libre no menor de </w:t>
      </w:r>
      <w:r w:rsidR="00F716CF">
        <w:rPr>
          <w:rFonts w:ascii="Arial" w:hAnsi="Arial" w:cs="Arial"/>
          <w:sz w:val="20"/>
          <w:szCs w:val="20"/>
        </w:rPr>
        <w:t>U$S</w:t>
      </w:r>
      <w:r w:rsidR="00F46978" w:rsidRPr="002E508F">
        <w:rPr>
          <w:rFonts w:ascii="Arial" w:hAnsi="Arial" w:cs="Arial"/>
          <w:sz w:val="20"/>
          <w:szCs w:val="20"/>
        </w:rPr>
        <w:t xml:space="preserve"> </w:t>
      </w:r>
      <w:r w:rsidR="007E3226" w:rsidRPr="002E508F">
        <w:rPr>
          <w:rFonts w:ascii="Arial" w:hAnsi="Arial" w:cs="Arial"/>
          <w:sz w:val="20"/>
          <w:szCs w:val="20"/>
        </w:rPr>
        <w:t>15.</w:t>
      </w:r>
      <w:r w:rsidR="00F46978" w:rsidRPr="002E508F">
        <w:rPr>
          <w:rFonts w:ascii="Arial" w:hAnsi="Arial" w:cs="Arial"/>
          <w:sz w:val="20"/>
          <w:szCs w:val="20"/>
        </w:rPr>
        <w:t>000.000</w:t>
      </w:r>
      <w:r w:rsidRPr="00E2664E">
        <w:rPr>
          <w:rFonts w:ascii="Arial" w:hAnsi="Arial" w:cs="Arial"/>
          <w:sz w:val="20"/>
          <w:szCs w:val="20"/>
        </w:rPr>
        <w:t xml:space="preserve"> (dólares</w:t>
      </w:r>
      <w:r w:rsidR="00F716CF">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quince</w:t>
      </w:r>
      <w:r w:rsidR="00197C20" w:rsidRPr="00E2664E">
        <w:rPr>
          <w:rFonts w:ascii="Arial" w:hAnsi="Arial" w:cs="Arial"/>
          <w:sz w:val="20"/>
          <w:szCs w:val="20"/>
        </w:rPr>
        <w:t xml:space="preserve"> millones</w:t>
      </w:r>
      <w:r w:rsidRPr="00E2664E">
        <w:rPr>
          <w:rFonts w:ascii="Arial" w:hAnsi="Arial" w:cs="Arial"/>
          <w:sz w:val="20"/>
          <w:szCs w:val="20"/>
        </w:rPr>
        <w:t xml:space="preserve">). </w:t>
      </w:r>
    </w:p>
    <w:p w14:paraId="1C6D756C" w14:textId="77777777" w:rsidR="007F2C68" w:rsidRPr="001D4CF4" w:rsidRDefault="007F2C68" w:rsidP="00871E8E">
      <w:pPr>
        <w:tabs>
          <w:tab w:val="left" w:pos="0"/>
          <w:tab w:val="left" w:pos="284"/>
          <w:tab w:val="left" w:pos="2880"/>
          <w:tab w:val="left" w:pos="3600"/>
          <w:tab w:val="left" w:pos="4320"/>
          <w:tab w:val="left" w:pos="5040"/>
          <w:tab w:val="left" w:pos="5760"/>
          <w:tab w:val="left" w:pos="6480"/>
          <w:tab w:val="left" w:pos="7200"/>
          <w:tab w:val="left" w:pos="7920"/>
        </w:tabs>
        <w:spacing w:after="240"/>
        <w:ind w:left="284"/>
        <w:jc w:val="both"/>
        <w:rPr>
          <w:rFonts w:ascii="Arial" w:hAnsi="Arial" w:cs="Arial"/>
          <w:sz w:val="20"/>
          <w:szCs w:val="20"/>
        </w:rPr>
      </w:pPr>
      <w:r w:rsidRPr="00E2664E">
        <w:rPr>
          <w:rFonts w:ascii="Arial" w:hAnsi="Arial" w:cs="Arial"/>
          <w:sz w:val="20"/>
          <w:szCs w:val="20"/>
        </w:rPr>
        <w:t xml:space="preserve">Las cifras correspondientes a cada uno de los integrantes se sumarán; sin embargo, cada uno de ellos debe tener al </w:t>
      </w:r>
      <w:r w:rsidR="00F716CF">
        <w:rPr>
          <w:rFonts w:ascii="Arial" w:hAnsi="Arial" w:cs="Arial"/>
          <w:sz w:val="20"/>
          <w:szCs w:val="20"/>
        </w:rPr>
        <w:t>menos U</w:t>
      </w:r>
      <w:r w:rsidRPr="002E508F">
        <w:rPr>
          <w:rFonts w:ascii="Arial" w:hAnsi="Arial" w:cs="Arial"/>
          <w:sz w:val="20"/>
          <w:szCs w:val="20"/>
        </w:rPr>
        <w:t>$</w:t>
      </w:r>
      <w:r w:rsidR="00F716CF">
        <w:rPr>
          <w:rFonts w:ascii="Arial" w:hAnsi="Arial" w:cs="Arial"/>
          <w:sz w:val="20"/>
          <w:szCs w:val="20"/>
        </w:rPr>
        <w:t>S</w:t>
      </w:r>
      <w:r w:rsidRPr="002E508F">
        <w:rPr>
          <w:rFonts w:ascii="Arial" w:hAnsi="Arial" w:cs="Arial"/>
          <w:sz w:val="20"/>
          <w:szCs w:val="20"/>
        </w:rPr>
        <w:t xml:space="preserve"> </w:t>
      </w:r>
      <w:r w:rsidR="007E3226" w:rsidRPr="002E508F">
        <w:rPr>
          <w:rFonts w:ascii="Arial" w:hAnsi="Arial" w:cs="Arial"/>
          <w:sz w:val="20"/>
          <w:szCs w:val="20"/>
        </w:rPr>
        <w:t>3</w:t>
      </w:r>
      <w:r w:rsidRPr="002E508F">
        <w:rPr>
          <w:rFonts w:ascii="Arial" w:hAnsi="Arial" w:cs="Arial"/>
          <w:sz w:val="20"/>
          <w:szCs w:val="20"/>
        </w:rPr>
        <w:t>:000.000 (dólares</w:t>
      </w:r>
      <w:r w:rsidR="00EF6A46">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tres millones</w:t>
      </w:r>
      <w:r w:rsidRPr="002E508F">
        <w:rPr>
          <w:rFonts w:ascii="Arial" w:hAnsi="Arial" w:cs="Arial"/>
          <w:sz w:val="20"/>
          <w:szCs w:val="20"/>
        </w:rPr>
        <w:t xml:space="preserve">), en tanto que al menos una de ellas deberá tener como mínimo </w:t>
      </w:r>
      <w:r w:rsidR="00F716CF">
        <w:rPr>
          <w:rFonts w:ascii="Arial" w:hAnsi="Arial" w:cs="Arial"/>
          <w:sz w:val="20"/>
          <w:szCs w:val="20"/>
        </w:rPr>
        <w:t>U$S</w:t>
      </w:r>
      <w:r w:rsidRPr="002E508F">
        <w:rPr>
          <w:rFonts w:ascii="Arial" w:hAnsi="Arial" w:cs="Arial"/>
          <w:sz w:val="20"/>
          <w:szCs w:val="20"/>
        </w:rPr>
        <w:t xml:space="preserve"> </w:t>
      </w:r>
      <w:r w:rsidR="007E3226" w:rsidRPr="002E508F">
        <w:rPr>
          <w:rFonts w:ascii="Arial" w:hAnsi="Arial" w:cs="Arial"/>
          <w:sz w:val="20"/>
          <w:szCs w:val="20"/>
        </w:rPr>
        <w:t>8</w:t>
      </w:r>
      <w:r w:rsidRPr="002E508F">
        <w:rPr>
          <w:rFonts w:ascii="Arial" w:hAnsi="Arial" w:cs="Arial"/>
          <w:sz w:val="20"/>
          <w:szCs w:val="20"/>
        </w:rPr>
        <w:t>:000.000 (</w:t>
      </w:r>
      <w:r w:rsidRPr="00E2664E">
        <w:rPr>
          <w:rFonts w:ascii="Arial" w:hAnsi="Arial" w:cs="Arial"/>
          <w:sz w:val="20"/>
          <w:szCs w:val="20"/>
        </w:rPr>
        <w:t>dólares</w:t>
      </w:r>
      <w:r w:rsidR="00EF6A46">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ocho</w:t>
      </w:r>
      <w:r w:rsidR="00197C20">
        <w:rPr>
          <w:rFonts w:ascii="Arial" w:hAnsi="Arial" w:cs="Arial"/>
          <w:sz w:val="20"/>
          <w:szCs w:val="20"/>
        </w:rPr>
        <w:t xml:space="preserve"> </w:t>
      </w:r>
      <w:r w:rsidR="00197C20" w:rsidRPr="00E2664E">
        <w:rPr>
          <w:rFonts w:ascii="Arial" w:hAnsi="Arial" w:cs="Arial"/>
          <w:sz w:val="20"/>
          <w:szCs w:val="20"/>
        </w:rPr>
        <w:t>millones</w:t>
      </w:r>
      <w:r w:rsidRPr="00E2664E">
        <w:rPr>
          <w:rFonts w:ascii="Arial" w:hAnsi="Arial" w:cs="Arial"/>
          <w:sz w:val="20"/>
          <w:szCs w:val="20"/>
        </w:rPr>
        <w:t xml:space="preserve">). </w:t>
      </w:r>
      <w:r w:rsidRPr="001D4CF4">
        <w:rPr>
          <w:rFonts w:ascii="Arial" w:hAnsi="Arial" w:cs="Arial"/>
          <w:sz w:val="20"/>
          <w:szCs w:val="20"/>
        </w:rPr>
        <w:t>Este</w:t>
      </w:r>
      <w:r w:rsidR="00B14DCC">
        <w:rPr>
          <w:rFonts w:ascii="Arial" w:hAnsi="Arial" w:cs="Arial"/>
          <w:sz w:val="20"/>
          <w:szCs w:val="20"/>
        </w:rPr>
        <w:t xml:space="preserve"> </w:t>
      </w:r>
      <w:r w:rsidRPr="001D4CF4">
        <w:rPr>
          <w:rFonts w:ascii="Arial" w:hAnsi="Arial" w:cs="Arial"/>
          <w:sz w:val="20"/>
          <w:szCs w:val="20"/>
        </w:rPr>
        <w:t>certifi</w:t>
      </w:r>
      <w:r w:rsidRPr="001D4CF4">
        <w:rPr>
          <w:rFonts w:ascii="Arial" w:hAnsi="Arial" w:cs="Arial"/>
          <w:sz w:val="20"/>
          <w:szCs w:val="20"/>
        </w:rPr>
        <w:lastRenderedPageBreak/>
        <w:t>cado aplica al caso de que las empresas constructoras que forman parte del oferente sean empresas nacionales</w:t>
      </w:r>
      <w:r w:rsidR="001D4CF4">
        <w:rPr>
          <w:rFonts w:ascii="Arial" w:hAnsi="Arial" w:cs="Arial"/>
          <w:sz w:val="20"/>
          <w:szCs w:val="20"/>
        </w:rPr>
        <w:t>.</w:t>
      </w:r>
      <w:r w:rsidRPr="001D4CF4">
        <w:rPr>
          <w:rFonts w:ascii="Arial" w:hAnsi="Arial" w:cs="Arial"/>
          <w:sz w:val="20"/>
          <w:szCs w:val="20"/>
        </w:rPr>
        <w:t xml:space="preserve"> </w:t>
      </w:r>
      <w:r w:rsidR="00327AF5" w:rsidRPr="00327AF5">
        <w:rPr>
          <w:rFonts w:ascii="Arial" w:hAnsi="Arial" w:cs="Arial"/>
          <w:sz w:val="20"/>
          <w:szCs w:val="20"/>
        </w:rPr>
        <w:t>En caso de integrarse por empresas constructoras nacionales y extranjeras, las primeras deberán cumplir el requisito de U$S 8:000.000 o de U$S 3:000.000 según que su participación en el grupo de Empresas Constructoras del Oferente represente o no un porcentaje mayoritario, entendiéndose por mayoritario el mayor o igual al 50%.</w:t>
      </w:r>
    </w:p>
    <w:p w14:paraId="2E3E6270" w14:textId="77777777" w:rsidR="001223BE" w:rsidRPr="000860EF" w:rsidRDefault="007F2C68" w:rsidP="009A58E0">
      <w:pPr>
        <w:pStyle w:val="Prrafodelista"/>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jc w:val="both"/>
        <w:rPr>
          <w:rFonts w:ascii="Arial" w:hAnsi="Arial" w:cs="Arial"/>
          <w:sz w:val="20"/>
          <w:szCs w:val="20"/>
        </w:rPr>
      </w:pPr>
      <w:r w:rsidRPr="000860EF">
        <w:rPr>
          <w:rFonts w:ascii="Arial" w:hAnsi="Arial" w:cs="Arial"/>
          <w:sz w:val="20"/>
          <w:szCs w:val="20"/>
        </w:rPr>
        <w:t xml:space="preserve">Las empresas constructoras extranjeras interesadas en ofertar deberán cumplir con las disposiciones previstas por el artículo </w:t>
      </w:r>
      <w:r w:rsidR="004763BB" w:rsidRPr="004763BB">
        <w:rPr>
          <w:rFonts w:ascii="Arial" w:hAnsi="Arial" w:cs="Arial"/>
          <w:sz w:val="20"/>
          <w:szCs w:val="20"/>
        </w:rPr>
        <w:t>34</w:t>
      </w:r>
      <w:r w:rsidRPr="000860EF">
        <w:rPr>
          <w:rFonts w:ascii="Arial" w:hAnsi="Arial" w:cs="Arial"/>
          <w:sz w:val="20"/>
          <w:szCs w:val="20"/>
        </w:rPr>
        <w:t xml:space="preserve"> del decreto </w:t>
      </w:r>
      <w:hyperlink r:id="rId45" w:history="1">
        <w:r w:rsidRPr="0030459B">
          <w:rPr>
            <w:rStyle w:val="Hipervnculo"/>
            <w:rFonts w:ascii="Arial" w:hAnsi="Arial" w:cs="Arial"/>
            <w:sz w:val="20"/>
            <w:szCs w:val="20"/>
          </w:rPr>
          <w:t>208/2009</w:t>
        </w:r>
      </w:hyperlink>
      <w:r w:rsidRPr="000860EF">
        <w:rPr>
          <w:rFonts w:ascii="Arial" w:hAnsi="Arial" w:cs="Arial"/>
          <w:sz w:val="20"/>
          <w:szCs w:val="20"/>
        </w:rPr>
        <w:t>, de fecha 4 de mayo de 2009.</w:t>
      </w:r>
    </w:p>
    <w:p w14:paraId="2A5330FD" w14:textId="77777777" w:rsidR="007F2C68" w:rsidRPr="000860EF" w:rsidRDefault="007F2C68" w:rsidP="009A58E0">
      <w:pPr>
        <w:pStyle w:val="Prrafodelista"/>
        <w:numPr>
          <w:ilvl w:val="0"/>
          <w:numId w:val="7"/>
        </w:numPr>
        <w:tabs>
          <w:tab w:val="left" w:pos="0"/>
          <w:tab w:val="left" w:pos="284"/>
          <w:tab w:val="left" w:pos="2880"/>
          <w:tab w:val="left" w:pos="3600"/>
          <w:tab w:val="left" w:pos="4320"/>
          <w:tab w:val="left" w:pos="5040"/>
          <w:tab w:val="left" w:pos="5760"/>
          <w:tab w:val="left" w:pos="6480"/>
          <w:tab w:val="left" w:pos="7200"/>
          <w:tab w:val="left" w:pos="7920"/>
        </w:tabs>
        <w:spacing w:after="240"/>
        <w:jc w:val="both"/>
        <w:rPr>
          <w:rFonts w:ascii="Arial" w:hAnsi="Arial" w:cs="Arial"/>
          <w:sz w:val="20"/>
          <w:szCs w:val="20"/>
        </w:rPr>
      </w:pPr>
      <w:r w:rsidRPr="000860EF">
        <w:rPr>
          <w:rFonts w:ascii="Arial" w:hAnsi="Arial" w:cs="Arial"/>
          <w:sz w:val="20"/>
          <w:szCs w:val="20"/>
        </w:rPr>
        <w:t>Experiencia de las empresas constructoras que forman parte del oferente:</w:t>
      </w:r>
    </w:p>
    <w:p w14:paraId="548B2CA1" w14:textId="77777777" w:rsidR="007F2C68" w:rsidRPr="00E2664E" w:rsidRDefault="00BB1885"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284"/>
        <w:jc w:val="both"/>
        <w:rPr>
          <w:rFonts w:ascii="Arial" w:hAnsi="Arial" w:cs="Arial"/>
          <w:sz w:val="20"/>
          <w:szCs w:val="20"/>
        </w:rPr>
      </w:pPr>
      <w:r>
        <w:rPr>
          <w:rFonts w:ascii="Arial" w:hAnsi="Arial" w:cs="Arial"/>
          <w:sz w:val="20"/>
          <w:szCs w:val="20"/>
        </w:rPr>
        <w:t>Las empresas</w:t>
      </w:r>
      <w:r w:rsidR="007F2C68" w:rsidRPr="00E2664E">
        <w:rPr>
          <w:rFonts w:ascii="Arial" w:hAnsi="Arial" w:cs="Arial"/>
          <w:sz w:val="20"/>
          <w:szCs w:val="20"/>
        </w:rPr>
        <w:t xml:space="preserve"> constructoras que forme</w:t>
      </w:r>
      <w:r w:rsidR="0084099F">
        <w:rPr>
          <w:rFonts w:ascii="Arial" w:hAnsi="Arial" w:cs="Arial"/>
          <w:sz w:val="20"/>
          <w:szCs w:val="20"/>
        </w:rPr>
        <w:t>n</w:t>
      </w:r>
      <w:r w:rsidR="007F2C68" w:rsidRPr="00E2664E">
        <w:rPr>
          <w:rFonts w:ascii="Arial" w:hAnsi="Arial" w:cs="Arial"/>
          <w:sz w:val="20"/>
          <w:szCs w:val="20"/>
        </w:rPr>
        <w:t xml:space="preserve"> parte del oferente deberá</w:t>
      </w:r>
      <w:r>
        <w:rPr>
          <w:rFonts w:ascii="Arial" w:hAnsi="Arial" w:cs="Arial"/>
          <w:sz w:val="20"/>
          <w:szCs w:val="20"/>
        </w:rPr>
        <w:t>n</w:t>
      </w:r>
      <w:r w:rsidR="007F2C68" w:rsidRPr="00E2664E">
        <w:rPr>
          <w:rFonts w:ascii="Arial" w:hAnsi="Arial" w:cs="Arial"/>
          <w:sz w:val="20"/>
          <w:szCs w:val="20"/>
        </w:rPr>
        <w:t xml:space="preserve"> presentar antecedentes que acrediten su solvencia técnica concomitantemente en los siguientes ítems a</w:t>
      </w:r>
      <w:r w:rsidR="00E675BD">
        <w:rPr>
          <w:rFonts w:ascii="Arial" w:hAnsi="Arial" w:cs="Arial"/>
          <w:sz w:val="20"/>
          <w:szCs w:val="20"/>
        </w:rPr>
        <w:t>,</w:t>
      </w:r>
      <w:r w:rsidR="007F2C68" w:rsidRPr="00E2664E">
        <w:rPr>
          <w:rFonts w:ascii="Arial" w:hAnsi="Arial" w:cs="Arial"/>
          <w:sz w:val="20"/>
          <w:szCs w:val="20"/>
        </w:rPr>
        <w:t xml:space="preserve"> b</w:t>
      </w:r>
      <w:r w:rsidR="00E675BD">
        <w:rPr>
          <w:rFonts w:ascii="Arial" w:hAnsi="Arial" w:cs="Arial"/>
          <w:sz w:val="20"/>
          <w:szCs w:val="20"/>
        </w:rPr>
        <w:t xml:space="preserve"> y c</w:t>
      </w:r>
      <w:r w:rsidR="007F2C68" w:rsidRPr="00E2664E">
        <w:rPr>
          <w:rFonts w:ascii="Arial" w:hAnsi="Arial" w:cs="Arial"/>
          <w:sz w:val="20"/>
          <w:szCs w:val="20"/>
        </w:rPr>
        <w:t xml:space="preserve">: </w:t>
      </w:r>
    </w:p>
    <w:p w14:paraId="7A3C0AB4" w14:textId="77777777" w:rsidR="001A1AD8" w:rsidRPr="004007A4" w:rsidRDefault="00873945" w:rsidP="009A58E0">
      <w:pPr>
        <w:pStyle w:val="Prrafodelista"/>
        <w:numPr>
          <w:ilvl w:val="0"/>
          <w:numId w:val="114"/>
        </w:numPr>
        <w:tabs>
          <w:tab w:val="left" w:pos="0"/>
          <w:tab w:val="left" w:pos="284"/>
          <w:tab w:val="left" w:pos="660"/>
          <w:tab w:val="left" w:pos="3600"/>
          <w:tab w:val="left" w:pos="4320"/>
          <w:tab w:val="left" w:pos="5040"/>
          <w:tab w:val="left" w:pos="5760"/>
          <w:tab w:val="left" w:pos="6480"/>
          <w:tab w:val="left" w:pos="7200"/>
          <w:tab w:val="left" w:pos="7920"/>
        </w:tabs>
        <w:spacing w:after="120"/>
        <w:rPr>
          <w:rFonts w:ascii="Arial" w:hAnsi="Arial" w:cs="Arial"/>
          <w:sz w:val="20"/>
          <w:szCs w:val="20"/>
          <w:lang w:val="es-UY"/>
        </w:rPr>
      </w:pPr>
      <w:r w:rsidRPr="004007A4">
        <w:rPr>
          <w:rFonts w:ascii="Arial" w:hAnsi="Arial" w:cs="Arial"/>
          <w:sz w:val="20"/>
          <w:szCs w:val="20"/>
        </w:rPr>
        <w:t>H</w:t>
      </w:r>
      <w:r w:rsidR="007F2C68" w:rsidRPr="004007A4">
        <w:rPr>
          <w:rFonts w:ascii="Arial" w:hAnsi="Arial" w:cs="Arial"/>
          <w:sz w:val="20"/>
          <w:szCs w:val="20"/>
        </w:rPr>
        <w:t>aber ejecutado</w:t>
      </w:r>
      <w:r w:rsidR="001C3531">
        <w:rPr>
          <w:rFonts w:ascii="Arial" w:hAnsi="Arial" w:cs="Arial"/>
          <w:sz w:val="20"/>
          <w:szCs w:val="20"/>
        </w:rPr>
        <w:t xml:space="preserve"> </w:t>
      </w:r>
      <w:r w:rsidR="007F2C68" w:rsidRPr="004007A4">
        <w:rPr>
          <w:rFonts w:ascii="Arial" w:hAnsi="Arial" w:cs="Arial"/>
          <w:sz w:val="20"/>
          <w:szCs w:val="20"/>
        </w:rPr>
        <w:t xml:space="preserve">al menos 6 (seis) obras de carreteras </w:t>
      </w:r>
      <w:r w:rsidR="001A1AD8" w:rsidRPr="004007A4">
        <w:rPr>
          <w:rFonts w:ascii="Arial" w:hAnsi="Arial" w:cs="Arial"/>
          <w:sz w:val="20"/>
          <w:szCs w:val="20"/>
        </w:rPr>
        <w:t>en contratos d</w:t>
      </w:r>
      <w:r w:rsidRPr="004007A4">
        <w:rPr>
          <w:rFonts w:ascii="Arial" w:hAnsi="Arial" w:cs="Arial"/>
          <w:sz w:val="20"/>
          <w:szCs w:val="20"/>
        </w:rPr>
        <w:t xml:space="preserve">e obra pública o </w:t>
      </w:r>
      <w:r w:rsidR="001A1AD8" w:rsidRPr="004007A4">
        <w:rPr>
          <w:rFonts w:ascii="Arial" w:hAnsi="Arial" w:cs="Arial"/>
          <w:sz w:val="20"/>
          <w:szCs w:val="20"/>
        </w:rPr>
        <w:t xml:space="preserve">concesión, realizadas en los últimos diez (10) años, con presupuesto individual de ejecución superior a </w:t>
      </w:r>
      <w:r w:rsidR="00F716CF" w:rsidRPr="004007A4">
        <w:rPr>
          <w:rFonts w:ascii="Arial" w:hAnsi="Arial" w:cs="Arial"/>
          <w:sz w:val="20"/>
          <w:szCs w:val="20"/>
        </w:rPr>
        <w:t>U$S</w:t>
      </w:r>
      <w:r w:rsidR="001A1AD8" w:rsidRPr="004007A4">
        <w:rPr>
          <w:rFonts w:ascii="Arial" w:hAnsi="Arial" w:cs="Arial"/>
          <w:sz w:val="20"/>
          <w:szCs w:val="20"/>
        </w:rPr>
        <w:t xml:space="preserve"> 5.000.000</w:t>
      </w:r>
      <w:r w:rsidR="00E70417" w:rsidRPr="004007A4">
        <w:rPr>
          <w:rFonts w:ascii="Arial" w:hAnsi="Arial" w:cs="Arial"/>
          <w:sz w:val="20"/>
          <w:szCs w:val="20"/>
        </w:rPr>
        <w:t xml:space="preserve"> (dólares estadounidenses</w:t>
      </w:r>
      <w:r w:rsidR="00197C20" w:rsidRPr="00197C20">
        <w:rPr>
          <w:rFonts w:ascii="Arial" w:hAnsi="Arial" w:cs="Arial"/>
          <w:sz w:val="20"/>
          <w:szCs w:val="20"/>
        </w:rPr>
        <w:t xml:space="preserve"> </w:t>
      </w:r>
      <w:r w:rsidR="00197C20" w:rsidRPr="004007A4">
        <w:rPr>
          <w:rFonts w:ascii="Arial" w:hAnsi="Arial" w:cs="Arial"/>
          <w:sz w:val="20"/>
          <w:szCs w:val="20"/>
        </w:rPr>
        <w:t>cinco millones</w:t>
      </w:r>
      <w:r w:rsidR="00E70417" w:rsidRPr="004007A4">
        <w:rPr>
          <w:rFonts w:ascii="Arial" w:hAnsi="Arial" w:cs="Arial"/>
          <w:sz w:val="20"/>
          <w:szCs w:val="20"/>
        </w:rPr>
        <w:t>)</w:t>
      </w:r>
      <w:r w:rsidR="001A1AD8" w:rsidRPr="004007A4">
        <w:rPr>
          <w:rFonts w:ascii="Arial" w:hAnsi="Arial" w:cs="Arial"/>
          <w:sz w:val="20"/>
          <w:szCs w:val="20"/>
        </w:rPr>
        <w:t xml:space="preserve">, en alguna de las siguientes modalidades: </w:t>
      </w:r>
    </w:p>
    <w:p w14:paraId="6C73A302" w14:textId="77777777" w:rsidR="001A1AD8" w:rsidRPr="00873945" w:rsidRDefault="007F2C68" w:rsidP="009A58E0">
      <w:pPr>
        <w:pStyle w:val="Prrafodelista"/>
        <w:numPr>
          <w:ilvl w:val="0"/>
          <w:numId w:val="111"/>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873945">
        <w:rPr>
          <w:rFonts w:ascii="Arial" w:hAnsi="Arial" w:cs="Arial"/>
          <w:sz w:val="20"/>
          <w:szCs w:val="20"/>
        </w:rPr>
        <w:lastRenderedPageBreak/>
        <w:t xml:space="preserve">de construcción, </w:t>
      </w:r>
    </w:p>
    <w:p w14:paraId="2B417B3D" w14:textId="77777777" w:rsidR="001A1AD8" w:rsidRPr="00873945" w:rsidRDefault="001905C8" w:rsidP="009A58E0">
      <w:pPr>
        <w:pStyle w:val="Prrafodelista"/>
        <w:numPr>
          <w:ilvl w:val="0"/>
          <w:numId w:val="111"/>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t xml:space="preserve">obras </w:t>
      </w:r>
      <w:r w:rsidR="007F2C68" w:rsidRPr="00873945">
        <w:rPr>
          <w:rFonts w:ascii="Arial" w:hAnsi="Arial" w:cs="Arial"/>
          <w:sz w:val="20"/>
          <w:szCs w:val="20"/>
        </w:rPr>
        <w:t>iniciales en contratos de mantenimiento o rehabilitación</w:t>
      </w:r>
      <w:r w:rsidR="00046635">
        <w:rPr>
          <w:rFonts w:ascii="Arial" w:hAnsi="Arial" w:cs="Arial"/>
          <w:sz w:val="20"/>
          <w:szCs w:val="20"/>
        </w:rPr>
        <w:t>.</w:t>
      </w:r>
    </w:p>
    <w:p w14:paraId="0A21A237" w14:textId="77777777" w:rsidR="007F2C68" w:rsidRPr="00E2664E" w:rsidRDefault="007F2C68"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360"/>
        <w:jc w:val="both"/>
        <w:rPr>
          <w:rFonts w:ascii="Arial" w:hAnsi="Arial" w:cs="Arial"/>
          <w:sz w:val="20"/>
          <w:szCs w:val="20"/>
          <w:lang w:val="es-UY"/>
        </w:rPr>
      </w:pPr>
      <w:r w:rsidRPr="00E2664E">
        <w:rPr>
          <w:rFonts w:ascii="Arial" w:hAnsi="Arial" w:cs="Arial"/>
          <w:sz w:val="20"/>
          <w:szCs w:val="20"/>
          <w:lang w:val="es-UY"/>
        </w:rPr>
        <w:t>Como alternativa a la exigencia anterior podrá optar por:</w:t>
      </w:r>
    </w:p>
    <w:p w14:paraId="4758BD4B" w14:textId="77777777" w:rsidR="004F75BC" w:rsidRDefault="00042479"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Pr>
          <w:rFonts w:ascii="Arial" w:hAnsi="Arial" w:cs="Arial"/>
          <w:sz w:val="20"/>
          <w:szCs w:val="20"/>
          <w:lang w:val="es-UY"/>
        </w:rPr>
        <w:t>S</w:t>
      </w:r>
      <w:r w:rsidR="007F2C68" w:rsidRPr="00E2664E">
        <w:rPr>
          <w:rFonts w:ascii="Arial" w:hAnsi="Arial" w:cs="Arial"/>
          <w:sz w:val="20"/>
          <w:szCs w:val="20"/>
          <w:lang w:val="es-UY"/>
        </w:rPr>
        <w:t>umar todos</w:t>
      </w:r>
      <w:r w:rsidR="007F2C68" w:rsidRPr="00E2664E">
        <w:rPr>
          <w:rFonts w:ascii="Arial" w:hAnsi="Arial" w:cs="Arial"/>
          <w:sz w:val="20"/>
          <w:szCs w:val="20"/>
        </w:rPr>
        <w:t xml:space="preserve"> los montos ejecutados de obras de carreteras de construcción, iniciales en contratos de mantenimiento o rehabilitación, bajo modalidad de contrato de obra pública o concesión, realizadas en los últimos diez (10) años, considerando sólo aquellas obras con presupuesto individual de ejecución superior a </w:t>
      </w:r>
      <w:r w:rsidR="00F716CF">
        <w:rPr>
          <w:rFonts w:ascii="Arial" w:hAnsi="Arial" w:cs="Arial"/>
          <w:sz w:val="20"/>
          <w:szCs w:val="20"/>
        </w:rPr>
        <w:t>U$S</w:t>
      </w:r>
      <w:r w:rsidR="007F2C68" w:rsidRPr="00E2664E">
        <w:rPr>
          <w:rFonts w:ascii="Arial" w:hAnsi="Arial" w:cs="Arial"/>
          <w:sz w:val="20"/>
          <w:szCs w:val="20"/>
        </w:rPr>
        <w:t xml:space="preserve"> 2.500.000 </w:t>
      </w:r>
      <w:r w:rsidR="00E70417" w:rsidRPr="002E508F">
        <w:rPr>
          <w:rFonts w:ascii="Arial" w:hAnsi="Arial" w:cs="Arial"/>
          <w:sz w:val="20"/>
          <w:szCs w:val="20"/>
        </w:rPr>
        <w:t>(</w:t>
      </w:r>
      <w:r w:rsidR="00E70417" w:rsidRPr="00E2664E">
        <w:rPr>
          <w:rFonts w:ascii="Arial" w:hAnsi="Arial" w:cs="Arial"/>
          <w:sz w:val="20"/>
          <w:szCs w:val="20"/>
        </w:rPr>
        <w:t>dólares</w:t>
      </w:r>
      <w:r w:rsidR="00E70417">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 xml:space="preserve">dos </w:t>
      </w:r>
      <w:r w:rsidR="00197C20" w:rsidRPr="00E2664E">
        <w:rPr>
          <w:rFonts w:ascii="Arial" w:hAnsi="Arial" w:cs="Arial"/>
          <w:sz w:val="20"/>
          <w:szCs w:val="20"/>
        </w:rPr>
        <w:t xml:space="preserve">millones </w:t>
      </w:r>
      <w:r w:rsidR="00197C20">
        <w:rPr>
          <w:rFonts w:ascii="Arial" w:hAnsi="Arial" w:cs="Arial"/>
          <w:sz w:val="20"/>
          <w:szCs w:val="20"/>
        </w:rPr>
        <w:t>quinientos mil</w:t>
      </w:r>
      <w:r w:rsidR="00E70417" w:rsidRPr="00E2664E">
        <w:rPr>
          <w:rFonts w:ascii="Arial" w:hAnsi="Arial" w:cs="Arial"/>
          <w:sz w:val="20"/>
          <w:szCs w:val="20"/>
        </w:rPr>
        <w:t>)</w:t>
      </w:r>
      <w:r w:rsidR="00E70417">
        <w:rPr>
          <w:rFonts w:ascii="Arial" w:hAnsi="Arial" w:cs="Arial"/>
          <w:sz w:val="20"/>
          <w:szCs w:val="20"/>
        </w:rPr>
        <w:t xml:space="preserve"> </w:t>
      </w:r>
      <w:r w:rsidR="007F2C68" w:rsidRPr="00E2664E">
        <w:rPr>
          <w:rFonts w:ascii="Arial" w:hAnsi="Arial" w:cs="Arial"/>
          <w:sz w:val="20"/>
          <w:szCs w:val="20"/>
        </w:rPr>
        <w:t xml:space="preserve">y debiendo totalizar entre todas un importe total superior a </w:t>
      </w:r>
      <w:r w:rsidR="00F716CF">
        <w:rPr>
          <w:rFonts w:ascii="Arial" w:hAnsi="Arial" w:cs="Arial"/>
          <w:sz w:val="20"/>
          <w:szCs w:val="20"/>
        </w:rPr>
        <w:t>U$S</w:t>
      </w:r>
      <w:r w:rsidR="007F2C68" w:rsidRPr="00E2664E">
        <w:rPr>
          <w:rFonts w:ascii="Arial" w:hAnsi="Arial" w:cs="Arial"/>
          <w:sz w:val="20"/>
          <w:szCs w:val="20"/>
        </w:rPr>
        <w:t xml:space="preserve"> 60.000.000</w:t>
      </w:r>
      <w:r w:rsidR="00E70417">
        <w:rPr>
          <w:rFonts w:ascii="Arial" w:hAnsi="Arial" w:cs="Arial"/>
          <w:sz w:val="20"/>
          <w:szCs w:val="20"/>
        </w:rPr>
        <w:t xml:space="preserve"> </w:t>
      </w:r>
      <w:r w:rsidR="00E70417" w:rsidRPr="002E508F">
        <w:rPr>
          <w:rFonts w:ascii="Arial" w:hAnsi="Arial" w:cs="Arial"/>
          <w:sz w:val="20"/>
          <w:szCs w:val="20"/>
        </w:rPr>
        <w:t>(</w:t>
      </w:r>
      <w:r w:rsidR="00E70417" w:rsidRPr="00E2664E">
        <w:rPr>
          <w:rFonts w:ascii="Arial" w:hAnsi="Arial" w:cs="Arial"/>
          <w:sz w:val="20"/>
          <w:szCs w:val="20"/>
        </w:rPr>
        <w:t>dólares</w:t>
      </w:r>
      <w:r w:rsidR="00E70417">
        <w:rPr>
          <w:rFonts w:ascii="Arial" w:hAnsi="Arial" w:cs="Arial"/>
          <w:sz w:val="20"/>
          <w:szCs w:val="20"/>
        </w:rPr>
        <w:t xml:space="preserve"> estadounidenses</w:t>
      </w:r>
      <w:r w:rsidR="00197C20" w:rsidRPr="00197C20">
        <w:rPr>
          <w:rFonts w:ascii="Arial" w:hAnsi="Arial" w:cs="Arial"/>
          <w:sz w:val="20"/>
          <w:szCs w:val="20"/>
        </w:rPr>
        <w:t xml:space="preserve"> </w:t>
      </w:r>
      <w:r w:rsidR="00197C20">
        <w:rPr>
          <w:rFonts w:ascii="Arial" w:hAnsi="Arial" w:cs="Arial"/>
          <w:sz w:val="20"/>
          <w:szCs w:val="20"/>
        </w:rPr>
        <w:t xml:space="preserve">sesenta </w:t>
      </w:r>
      <w:r w:rsidR="00197C20" w:rsidRPr="00E2664E">
        <w:rPr>
          <w:rFonts w:ascii="Arial" w:hAnsi="Arial" w:cs="Arial"/>
          <w:sz w:val="20"/>
          <w:szCs w:val="20"/>
        </w:rPr>
        <w:t>millones</w:t>
      </w:r>
      <w:r w:rsidR="00E70417" w:rsidRPr="00E2664E">
        <w:rPr>
          <w:rFonts w:ascii="Arial" w:hAnsi="Arial" w:cs="Arial"/>
          <w:sz w:val="20"/>
          <w:szCs w:val="20"/>
        </w:rPr>
        <w:t>)</w:t>
      </w:r>
      <w:r w:rsidR="007F2C68" w:rsidRPr="00E2664E">
        <w:rPr>
          <w:rFonts w:ascii="Arial" w:hAnsi="Arial" w:cs="Arial"/>
          <w:sz w:val="20"/>
          <w:szCs w:val="20"/>
        </w:rPr>
        <w:t>.</w:t>
      </w:r>
      <w:r w:rsidR="004F75BC" w:rsidRPr="004F75BC">
        <w:rPr>
          <w:rFonts w:ascii="Arial" w:hAnsi="Arial" w:cs="Arial"/>
          <w:sz w:val="20"/>
          <w:szCs w:val="20"/>
          <w:lang w:val="es-UY"/>
        </w:rPr>
        <w:t xml:space="preserve"> </w:t>
      </w:r>
    </w:p>
    <w:p w14:paraId="3262D19F" w14:textId="77777777" w:rsidR="007F2C68" w:rsidRPr="00E2664E" w:rsidRDefault="004F75BC" w:rsidP="00871E8E">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lang w:val="es-UY"/>
        </w:rPr>
      </w:pPr>
      <w:r w:rsidRPr="00E2664E">
        <w:rPr>
          <w:rFonts w:ascii="Arial" w:hAnsi="Arial" w:cs="Arial"/>
          <w:sz w:val="20"/>
          <w:szCs w:val="20"/>
          <w:lang w:val="es-UY"/>
        </w:rPr>
        <w:t xml:space="preserve">Se considerarán como experiencia los contratos que se hayan ejecutado en un 50% como </w:t>
      </w:r>
      <w:r w:rsidRPr="00343048">
        <w:rPr>
          <w:rFonts w:ascii="Arial" w:hAnsi="Arial" w:cs="Arial"/>
          <w:sz w:val="20"/>
          <w:szCs w:val="20"/>
          <w:lang w:val="es-UY"/>
        </w:rPr>
        <w:t>mínimo</w:t>
      </w:r>
      <w:r>
        <w:rPr>
          <w:rFonts w:ascii="Arial" w:hAnsi="Arial" w:cs="Arial"/>
          <w:sz w:val="20"/>
          <w:szCs w:val="20"/>
          <w:lang w:val="es-UY"/>
        </w:rPr>
        <w:t>. En el caso de contratos de Participación Público-Privada o concesión, la ejecución del 50% mínimo refiere al monto total de las obras iniciales.</w:t>
      </w:r>
    </w:p>
    <w:p w14:paraId="14107F68" w14:textId="77777777" w:rsidR="00CD1450" w:rsidRPr="00873945" w:rsidRDefault="00042479" w:rsidP="009A58E0">
      <w:pPr>
        <w:pStyle w:val="Prrafodelista"/>
        <w:numPr>
          <w:ilvl w:val="0"/>
          <w:numId w:val="114"/>
        </w:numPr>
        <w:tabs>
          <w:tab w:val="left" w:pos="0"/>
          <w:tab w:val="left" w:pos="284"/>
          <w:tab w:val="left" w:pos="66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lang w:val="es-UY"/>
        </w:rPr>
        <w:t>Haber</w:t>
      </w:r>
      <w:r w:rsidR="007F2C68" w:rsidRPr="00873945">
        <w:rPr>
          <w:rFonts w:ascii="Arial" w:hAnsi="Arial" w:cs="Arial"/>
          <w:sz w:val="20"/>
          <w:szCs w:val="20"/>
        </w:rPr>
        <w:t xml:space="preserve"> ejecutado</w:t>
      </w:r>
      <w:r w:rsidR="001C3531">
        <w:rPr>
          <w:rFonts w:ascii="Arial" w:hAnsi="Arial" w:cs="Arial"/>
          <w:sz w:val="20"/>
          <w:szCs w:val="20"/>
        </w:rPr>
        <w:t xml:space="preserve"> </w:t>
      </w:r>
      <w:r w:rsidR="00A623B5">
        <w:rPr>
          <w:rFonts w:ascii="Arial" w:hAnsi="Arial" w:cs="Arial"/>
          <w:sz w:val="20"/>
          <w:szCs w:val="20"/>
        </w:rPr>
        <w:t>al menos 3 años de 1</w:t>
      </w:r>
      <w:r w:rsidR="007F2C68" w:rsidRPr="00873945">
        <w:rPr>
          <w:rFonts w:ascii="Arial" w:hAnsi="Arial" w:cs="Arial"/>
          <w:sz w:val="20"/>
          <w:szCs w:val="20"/>
        </w:rPr>
        <w:t xml:space="preserve"> (un) contrato de m</w:t>
      </w:r>
      <w:r w:rsidR="00A623B5">
        <w:rPr>
          <w:rFonts w:ascii="Arial" w:hAnsi="Arial" w:cs="Arial"/>
          <w:sz w:val="20"/>
          <w:szCs w:val="20"/>
        </w:rPr>
        <w:t>antenimiento de carreteras</w:t>
      </w:r>
      <w:r w:rsidR="007F2C68" w:rsidRPr="00873945">
        <w:rPr>
          <w:rFonts w:ascii="Arial" w:hAnsi="Arial" w:cs="Arial"/>
          <w:sz w:val="20"/>
          <w:szCs w:val="20"/>
        </w:rPr>
        <w:t xml:space="preserve">, bajo modalidad de contrato de obra pública o concesión, realizadas en los últimos diez (10) años, </w:t>
      </w:r>
      <w:r w:rsidR="007F2C68" w:rsidRPr="00873945">
        <w:rPr>
          <w:rFonts w:ascii="Arial" w:hAnsi="Arial" w:cs="Arial"/>
          <w:sz w:val="20"/>
          <w:szCs w:val="20"/>
        </w:rPr>
        <w:lastRenderedPageBreak/>
        <w:t xml:space="preserve">y entre todos los ítems totalizar un importe igual o superior a </w:t>
      </w:r>
      <w:r w:rsidR="00F716CF">
        <w:rPr>
          <w:rFonts w:ascii="Arial" w:hAnsi="Arial" w:cs="Arial"/>
          <w:sz w:val="20"/>
          <w:szCs w:val="20"/>
        </w:rPr>
        <w:t>U$S</w:t>
      </w:r>
      <w:r w:rsidR="007F2C68" w:rsidRPr="00873945">
        <w:rPr>
          <w:rFonts w:ascii="Arial" w:hAnsi="Arial" w:cs="Arial"/>
          <w:sz w:val="20"/>
          <w:szCs w:val="20"/>
        </w:rPr>
        <w:t xml:space="preserve"> 8.000.000</w:t>
      </w:r>
      <w:r w:rsidR="00DE6362">
        <w:rPr>
          <w:rFonts w:ascii="Arial" w:hAnsi="Arial" w:cs="Arial"/>
          <w:sz w:val="20"/>
          <w:szCs w:val="20"/>
        </w:rPr>
        <w:t xml:space="preserve"> </w:t>
      </w:r>
      <w:r w:rsidR="00DE6362" w:rsidRPr="002E508F">
        <w:rPr>
          <w:rFonts w:ascii="Arial" w:hAnsi="Arial" w:cs="Arial"/>
          <w:sz w:val="20"/>
          <w:szCs w:val="20"/>
        </w:rPr>
        <w:t>(</w:t>
      </w:r>
      <w:r w:rsidR="00DE6362" w:rsidRPr="00E2664E">
        <w:rPr>
          <w:rFonts w:ascii="Arial" w:hAnsi="Arial" w:cs="Arial"/>
          <w:sz w:val="20"/>
          <w:szCs w:val="20"/>
        </w:rPr>
        <w:t>dólares</w:t>
      </w:r>
      <w:r w:rsidR="00DE6362">
        <w:rPr>
          <w:rFonts w:ascii="Arial" w:hAnsi="Arial" w:cs="Arial"/>
          <w:sz w:val="20"/>
          <w:szCs w:val="20"/>
        </w:rPr>
        <w:t xml:space="preserve"> estadounidenses</w:t>
      </w:r>
      <w:r w:rsidR="00197C20" w:rsidRPr="00197C20">
        <w:rPr>
          <w:rFonts w:ascii="Arial" w:hAnsi="Arial" w:cs="Arial"/>
          <w:sz w:val="20"/>
          <w:szCs w:val="20"/>
        </w:rPr>
        <w:t xml:space="preserve"> </w:t>
      </w:r>
      <w:r w:rsidR="00197C20" w:rsidRPr="002E508F">
        <w:rPr>
          <w:rFonts w:ascii="Arial" w:hAnsi="Arial" w:cs="Arial"/>
          <w:sz w:val="20"/>
          <w:szCs w:val="20"/>
        </w:rPr>
        <w:t>ocho</w:t>
      </w:r>
      <w:r w:rsidR="00197C20">
        <w:rPr>
          <w:rFonts w:ascii="Arial" w:hAnsi="Arial" w:cs="Arial"/>
          <w:sz w:val="20"/>
          <w:szCs w:val="20"/>
        </w:rPr>
        <w:t xml:space="preserve"> </w:t>
      </w:r>
      <w:r w:rsidR="00197C20" w:rsidRPr="00E2664E">
        <w:rPr>
          <w:rFonts w:ascii="Arial" w:hAnsi="Arial" w:cs="Arial"/>
          <w:sz w:val="20"/>
          <w:szCs w:val="20"/>
        </w:rPr>
        <w:t>millones</w:t>
      </w:r>
      <w:r w:rsidR="00DE6362" w:rsidRPr="00E2664E">
        <w:rPr>
          <w:rFonts w:ascii="Arial" w:hAnsi="Arial" w:cs="Arial"/>
          <w:sz w:val="20"/>
          <w:szCs w:val="20"/>
        </w:rPr>
        <w:t>)</w:t>
      </w:r>
      <w:r w:rsidR="007F2C68" w:rsidRPr="00873945">
        <w:rPr>
          <w:rFonts w:ascii="Arial" w:hAnsi="Arial" w:cs="Arial"/>
          <w:sz w:val="20"/>
          <w:szCs w:val="20"/>
        </w:rPr>
        <w:t>.</w:t>
      </w:r>
    </w:p>
    <w:p w14:paraId="57F46690" w14:textId="77777777" w:rsidR="0049080E" w:rsidRPr="00E675BD" w:rsidRDefault="0049080E" w:rsidP="009A58E0">
      <w:pPr>
        <w:pStyle w:val="Prrafodelista"/>
        <w:numPr>
          <w:ilvl w:val="0"/>
          <w:numId w:val="133"/>
        </w:numPr>
        <w:tabs>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E675BD">
        <w:rPr>
          <w:rFonts w:ascii="Arial" w:hAnsi="Arial" w:cs="Arial"/>
          <w:sz w:val="20"/>
          <w:szCs w:val="20"/>
          <w:lang w:val="es-ES_tradnl"/>
        </w:rPr>
        <w:t xml:space="preserve">La suma de los montos de ejecución de todas las obras de carreteras en construcción, rehabilitación y mantenimiento ordinario, extraordinario o por niveles de servicio de los últimos diez años de todas las empresas que forman parte del oferente deberá ser igual o superior U$S 50:000.000 </w:t>
      </w:r>
      <w:r w:rsidRPr="00E675BD">
        <w:rPr>
          <w:rFonts w:ascii="Arial" w:hAnsi="Arial" w:cs="Arial"/>
          <w:sz w:val="20"/>
          <w:szCs w:val="20"/>
        </w:rPr>
        <w:t>(dólares estadounidenses</w:t>
      </w:r>
      <w:r w:rsidR="00197C20" w:rsidRPr="00197C20">
        <w:rPr>
          <w:rFonts w:ascii="Arial" w:hAnsi="Arial" w:cs="Arial"/>
          <w:sz w:val="20"/>
          <w:szCs w:val="20"/>
        </w:rPr>
        <w:t xml:space="preserve"> </w:t>
      </w:r>
      <w:r w:rsidR="00197C20" w:rsidRPr="00E675BD">
        <w:rPr>
          <w:rFonts w:ascii="Arial" w:hAnsi="Arial" w:cs="Arial"/>
          <w:sz w:val="20"/>
          <w:szCs w:val="20"/>
        </w:rPr>
        <w:t>cincuenta millones</w:t>
      </w:r>
      <w:r w:rsidRPr="00E675BD">
        <w:rPr>
          <w:rFonts w:ascii="Arial" w:hAnsi="Arial" w:cs="Arial"/>
          <w:sz w:val="20"/>
          <w:szCs w:val="20"/>
        </w:rPr>
        <w:t>)</w:t>
      </w:r>
      <w:r w:rsidRPr="00E675BD">
        <w:rPr>
          <w:rFonts w:ascii="Arial" w:hAnsi="Arial" w:cs="Arial"/>
          <w:sz w:val="20"/>
          <w:szCs w:val="20"/>
          <w:lang w:val="es-ES_tradnl"/>
        </w:rPr>
        <w:t>.</w:t>
      </w:r>
    </w:p>
    <w:p w14:paraId="560F7B7A" w14:textId="77777777" w:rsidR="007F2C68" w:rsidRPr="006C6C10" w:rsidDel="004F75BC" w:rsidRDefault="007F2C68" w:rsidP="006C6C10">
      <w:pPr>
        <w:tabs>
          <w:tab w:val="left" w:pos="57"/>
          <w:tab w:val="left" w:pos="114"/>
          <w:tab w:val="left" w:pos="171"/>
          <w:tab w:val="left" w:pos="228"/>
        </w:tabs>
        <w:spacing w:after="120"/>
        <w:jc w:val="both"/>
        <w:rPr>
          <w:rFonts w:ascii="Arial" w:hAnsi="Arial" w:cs="Arial"/>
          <w:sz w:val="20"/>
          <w:szCs w:val="20"/>
        </w:rPr>
      </w:pPr>
      <w:r w:rsidRPr="00E2664E">
        <w:rPr>
          <w:rFonts w:ascii="Arial" w:hAnsi="Arial" w:cs="Arial"/>
          <w:sz w:val="20"/>
          <w:szCs w:val="20"/>
        </w:rPr>
        <w:t>Las empresas constructoras que formen parte del oferente deberán detallar su experiencia en cada tipo de las principales obras de carreteras (obras viales y de mantenimiento ordinario y extraordinario), en contratos</w:t>
      </w:r>
      <w:r w:rsidR="00B14DCC">
        <w:rPr>
          <w:rFonts w:ascii="Arial" w:hAnsi="Arial" w:cs="Arial"/>
          <w:sz w:val="20"/>
          <w:szCs w:val="20"/>
        </w:rPr>
        <w:t xml:space="preserve"> </w:t>
      </w:r>
      <w:r w:rsidRPr="00E2664E">
        <w:rPr>
          <w:rFonts w:ascii="Arial" w:hAnsi="Arial" w:cs="Arial"/>
          <w:sz w:val="20"/>
          <w:szCs w:val="20"/>
        </w:rPr>
        <w:t xml:space="preserve">o sub contratos de obras, sus características, plazos de ejecución y montos que serán evaluadas por la Contratante. </w:t>
      </w:r>
      <w:r w:rsidR="006C6C10">
        <w:rPr>
          <w:rFonts w:ascii="Arial" w:hAnsi="Arial" w:cs="Arial"/>
          <w:sz w:val="20"/>
          <w:szCs w:val="20"/>
          <w:lang w:val="es-UY"/>
        </w:rPr>
        <w:tab/>
      </w:r>
      <w:r w:rsidR="006C6C10">
        <w:rPr>
          <w:rFonts w:ascii="Arial" w:hAnsi="Arial" w:cs="Arial"/>
          <w:sz w:val="20"/>
          <w:szCs w:val="20"/>
          <w:lang w:val="es-UY"/>
        </w:rPr>
        <w:tab/>
      </w:r>
    </w:p>
    <w:p w14:paraId="2B00D701" w14:textId="77777777" w:rsidR="007F2C68" w:rsidRPr="00E2664E" w:rsidRDefault="007F2C68" w:rsidP="00871E8E">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rPr>
        <w:t>En todos los casos presentarán copia de los certificados que acrediten la experiencia y el volumen y montos de las obras ejecutados por cada una.</w:t>
      </w:r>
      <w:r w:rsidR="00EE0580">
        <w:rPr>
          <w:rFonts w:ascii="Arial" w:hAnsi="Arial" w:cs="Arial"/>
          <w:sz w:val="20"/>
          <w:szCs w:val="20"/>
        </w:rPr>
        <w:t xml:space="preserve"> </w:t>
      </w:r>
      <w:r w:rsidR="00A314F1" w:rsidRPr="00042479">
        <w:rPr>
          <w:rFonts w:ascii="Arial" w:hAnsi="Arial" w:cs="Arial"/>
          <w:sz w:val="20"/>
          <w:szCs w:val="20"/>
        </w:rPr>
        <w:t>Los certificados deben ser firmados por la entidad contratante.</w:t>
      </w:r>
    </w:p>
    <w:p w14:paraId="5A45197A" w14:textId="69286553" w:rsidR="00EE0580" w:rsidRPr="002257B8" w:rsidRDefault="00A314F1" w:rsidP="00871E8E">
      <w:pPr>
        <w:tabs>
          <w:tab w:val="num" w:pos="284"/>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ES_tradnl"/>
        </w:rPr>
      </w:pPr>
      <w:r w:rsidRPr="003D7D06">
        <w:rPr>
          <w:rFonts w:ascii="Arial" w:hAnsi="Arial" w:cs="Arial"/>
          <w:color w:val="000000"/>
          <w:sz w:val="20"/>
          <w:szCs w:val="20"/>
          <w:shd w:val="clear" w:color="auto" w:fill="FFFFFF"/>
        </w:rPr>
        <w:t>La experiencia a que refieren los literales a</w:t>
      </w:r>
      <w:r w:rsidR="006C6C10">
        <w:rPr>
          <w:rFonts w:ascii="Arial" w:hAnsi="Arial" w:cs="Arial"/>
          <w:color w:val="000000"/>
          <w:sz w:val="20"/>
          <w:szCs w:val="20"/>
          <w:shd w:val="clear" w:color="auto" w:fill="FFFFFF"/>
        </w:rPr>
        <w:t xml:space="preserve"> </w:t>
      </w:r>
      <w:r w:rsidR="00A623B5">
        <w:rPr>
          <w:rFonts w:ascii="Arial" w:hAnsi="Arial" w:cs="Arial"/>
          <w:color w:val="000000"/>
          <w:sz w:val="20"/>
          <w:szCs w:val="20"/>
          <w:shd w:val="clear" w:color="auto" w:fill="FFFFFF"/>
        </w:rPr>
        <w:t>y</w:t>
      </w:r>
      <w:r w:rsidRPr="003D7D06">
        <w:rPr>
          <w:rFonts w:ascii="Arial" w:hAnsi="Arial" w:cs="Arial"/>
          <w:color w:val="000000"/>
          <w:sz w:val="20"/>
          <w:szCs w:val="20"/>
          <w:shd w:val="clear" w:color="auto" w:fill="FFFFFF"/>
        </w:rPr>
        <w:t xml:space="preserve"> b de la presente cláusula  debe ser acreditada por cada  empresa constructora integrante  del oferente en forma directa, no puede ser acreditada a través de empresas filiales o subsidiarias</w:t>
      </w:r>
      <w:r w:rsidR="006C31EE" w:rsidRPr="003D7D06">
        <w:rPr>
          <w:rFonts w:ascii="Arial" w:hAnsi="Arial" w:cs="Arial"/>
          <w:color w:val="000000"/>
          <w:sz w:val="20"/>
          <w:szCs w:val="20"/>
          <w:shd w:val="clear" w:color="auto" w:fill="FFFFFF"/>
        </w:rPr>
        <w:t>.</w:t>
      </w:r>
    </w:p>
    <w:p w14:paraId="27EF4E8A" w14:textId="77777777" w:rsidR="007F2C68" w:rsidRPr="00343048" w:rsidRDefault="007F2C68" w:rsidP="00871E8E">
      <w:pPr>
        <w:tabs>
          <w:tab w:val="num" w:pos="0"/>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rPr>
        <w:lastRenderedPageBreak/>
        <w:t>Todas l</w:t>
      </w:r>
      <w:r w:rsidRPr="00E2664E">
        <w:rPr>
          <w:rFonts w:ascii="Arial" w:hAnsi="Arial" w:cs="Arial"/>
          <w:sz w:val="20"/>
          <w:szCs w:val="20"/>
        </w:rPr>
        <w:t xml:space="preserve">as empresas constructoras deberán presentar una certificación en normas ISO 9001 e </w:t>
      </w:r>
      <w:r w:rsidRPr="00942611">
        <w:rPr>
          <w:rFonts w:ascii="Arial" w:hAnsi="Arial" w:cs="Arial"/>
          <w:sz w:val="20"/>
          <w:szCs w:val="20"/>
        </w:rPr>
        <w:t xml:space="preserve">ISO </w:t>
      </w:r>
      <w:r w:rsidRPr="00965722">
        <w:rPr>
          <w:rFonts w:ascii="Arial" w:hAnsi="Arial" w:cs="Arial"/>
          <w:sz w:val="20"/>
          <w:szCs w:val="20"/>
        </w:rPr>
        <w:t>14.00</w:t>
      </w:r>
      <w:r w:rsidR="00AA5A64" w:rsidRPr="00965722">
        <w:rPr>
          <w:rFonts w:ascii="Arial" w:hAnsi="Arial" w:cs="Arial"/>
          <w:sz w:val="20"/>
          <w:szCs w:val="20"/>
        </w:rPr>
        <w:t>1</w:t>
      </w:r>
      <w:r w:rsidRPr="00E2664E">
        <w:rPr>
          <w:rFonts w:ascii="Arial" w:hAnsi="Arial" w:cs="Arial"/>
          <w:sz w:val="20"/>
          <w:szCs w:val="20"/>
        </w:rPr>
        <w:t xml:space="preserve"> en el tipo de las obras en que se postulan para ejecutar.</w:t>
      </w:r>
    </w:p>
    <w:p w14:paraId="22A4C938" w14:textId="77777777" w:rsidR="00920521" w:rsidRPr="00D74BAF" w:rsidRDefault="00920521" w:rsidP="009A58E0">
      <w:pPr>
        <w:pStyle w:val="T2"/>
        <w:numPr>
          <w:ilvl w:val="1"/>
          <w:numId w:val="90"/>
        </w:numPr>
        <w:outlineLvl w:val="3"/>
      </w:pPr>
      <w:bookmarkStart w:id="78" w:name="_Toc438114559"/>
      <w:bookmarkStart w:id="79" w:name="_Toc438114873"/>
      <w:bookmarkStart w:id="80" w:name="_Toc438130037"/>
      <w:bookmarkStart w:id="81" w:name="_Toc468287978"/>
      <w:bookmarkStart w:id="82" w:name="_Toc496266571"/>
      <w:bookmarkStart w:id="83" w:name="Lit_15_2"/>
      <w:bookmarkStart w:id="84" w:name="Lit_15_3"/>
      <w:bookmarkEnd w:id="78"/>
      <w:bookmarkEnd w:id="79"/>
      <w:bookmarkEnd w:id="80"/>
      <w:r w:rsidRPr="00D74BAF">
        <w:t>SOBRE NÚMERO 1</w:t>
      </w:r>
      <w:r w:rsidR="00B14DCC">
        <w:t xml:space="preserve"> </w:t>
      </w:r>
      <w:r w:rsidRPr="00D74BAF">
        <w:t>PROPUESTA TÉCNICA</w:t>
      </w:r>
      <w:bookmarkEnd w:id="81"/>
      <w:bookmarkEnd w:id="82"/>
    </w:p>
    <w:bookmarkEnd w:id="83"/>
    <w:p w14:paraId="26C82EF4" w14:textId="77777777" w:rsidR="00920521" w:rsidRPr="001E2A67" w:rsidRDefault="00873945" w:rsidP="00873945">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Pr>
          <w:rFonts w:ascii="Arial" w:hAnsi="Arial" w:cs="Arial"/>
          <w:sz w:val="20"/>
          <w:szCs w:val="20"/>
        </w:rPr>
        <w:t xml:space="preserve">Se detallará la </w:t>
      </w:r>
      <w:r w:rsidR="00920521" w:rsidRPr="001E2A67">
        <w:rPr>
          <w:rFonts w:ascii="Arial" w:hAnsi="Arial" w:cs="Arial"/>
          <w:sz w:val="20"/>
          <w:szCs w:val="20"/>
        </w:rPr>
        <w:t>Oferta técnica para</w:t>
      </w:r>
      <w:r w:rsidR="00920521">
        <w:rPr>
          <w:rFonts w:ascii="Arial" w:hAnsi="Arial" w:cs="Arial"/>
          <w:sz w:val="20"/>
          <w:szCs w:val="20"/>
        </w:rPr>
        <w:t>:</w:t>
      </w:r>
      <w:r w:rsidR="00920521" w:rsidRPr="001E2A67">
        <w:rPr>
          <w:rFonts w:ascii="Arial" w:hAnsi="Arial" w:cs="Arial"/>
          <w:sz w:val="20"/>
          <w:szCs w:val="20"/>
        </w:rPr>
        <w:t xml:space="preserve"> </w:t>
      </w:r>
    </w:p>
    <w:p w14:paraId="68BE16A9" w14:textId="77777777" w:rsidR="00920521" w:rsidRPr="001E2A67" w:rsidRDefault="00920521" w:rsidP="009A58E0">
      <w:pPr>
        <w:pStyle w:val="Prrafodelista"/>
        <w:numPr>
          <w:ilvl w:val="0"/>
          <w:numId w:val="115"/>
        </w:num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Pr>
          <w:rFonts w:ascii="Arial" w:hAnsi="Arial" w:cs="Arial"/>
          <w:sz w:val="20"/>
          <w:szCs w:val="20"/>
        </w:rPr>
        <w:t xml:space="preserve">OBRAS DE </w:t>
      </w:r>
      <w:r w:rsidRPr="000F4C18">
        <w:rPr>
          <w:rFonts w:ascii="Arial" w:hAnsi="Arial" w:cs="Arial"/>
          <w:sz w:val="20"/>
          <w:szCs w:val="20"/>
        </w:rPr>
        <w:t>PUESTA A PUNTO</w:t>
      </w:r>
      <w:r>
        <w:rPr>
          <w:rFonts w:ascii="Arial" w:hAnsi="Arial" w:cs="Arial"/>
          <w:sz w:val="20"/>
          <w:szCs w:val="20"/>
        </w:rPr>
        <w:t xml:space="preserve"> Y COMPLEMENTARIAS</w:t>
      </w:r>
      <w:r w:rsidRPr="001E2A67">
        <w:rPr>
          <w:rFonts w:ascii="Arial" w:hAnsi="Arial" w:cs="Arial"/>
          <w:sz w:val="20"/>
          <w:szCs w:val="20"/>
        </w:rPr>
        <w:t xml:space="preserve">. </w:t>
      </w:r>
    </w:p>
    <w:p w14:paraId="5F78514C" w14:textId="77777777" w:rsidR="00920521" w:rsidRDefault="00920521" w:rsidP="00920521">
      <w:pPr>
        <w:jc w:val="both"/>
      </w:pPr>
      <w:r>
        <w:rPr>
          <w:rFonts w:ascii="Arial" w:hAnsi="Arial" w:cs="Arial"/>
          <w:sz w:val="20"/>
          <w:szCs w:val="20"/>
        </w:rPr>
        <w:t xml:space="preserve">Se entregará la siguiente documentación referida a las obras requeridas por el contrato: </w:t>
      </w:r>
    </w:p>
    <w:p w14:paraId="25D3ACC6" w14:textId="77777777" w:rsidR="00920521" w:rsidRPr="00544C69" w:rsidRDefault="00920521" w:rsidP="009A58E0">
      <w:pPr>
        <w:pStyle w:val="Prrafodelista"/>
        <w:numPr>
          <w:ilvl w:val="0"/>
          <w:numId w:val="108"/>
        </w:numPr>
        <w:spacing w:before="120" w:after="120" w:line="240" w:lineRule="auto"/>
        <w:contextualSpacing/>
        <w:jc w:val="both"/>
        <w:rPr>
          <w:rFonts w:ascii="Arial" w:hAnsi="Arial" w:cs="Arial"/>
          <w:sz w:val="20"/>
          <w:szCs w:val="20"/>
        </w:rPr>
      </w:pPr>
      <w:r w:rsidRPr="00544C69">
        <w:rPr>
          <w:rFonts w:ascii="Arial" w:hAnsi="Arial" w:cs="Arial"/>
          <w:sz w:val="20"/>
          <w:szCs w:val="20"/>
        </w:rPr>
        <w:t>Anteproyecto de las obras, que deberá contener como mínimo el siguiente contenido:</w:t>
      </w:r>
    </w:p>
    <w:p w14:paraId="4497EB71" w14:textId="77777777" w:rsidR="00920521" w:rsidRPr="00423828"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t>Memoria descriptiva de la tecnología y/o sistemas constructivos a emplear, en la que se justificará que se cumplen todas las exigencias establecidas en los presentes pliegos de licitación.</w:t>
      </w:r>
    </w:p>
    <w:p w14:paraId="13301AC8" w14:textId="77777777" w:rsidR="00920521" w:rsidRPr="00423828"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t>Planos necesarios para ilustrar la descripción de la tecnología y/o sistemas constructivos descritos en la memoria, que permitan constatar el cumplimiento de lo establecido en los pliegos y las mediciones necesarias.</w:t>
      </w:r>
    </w:p>
    <w:p w14:paraId="37801E22" w14:textId="77777777" w:rsidR="00920521" w:rsidRDefault="00920521" w:rsidP="009A58E0">
      <w:pPr>
        <w:pStyle w:val="Prrafodelista"/>
        <w:numPr>
          <w:ilvl w:val="0"/>
          <w:numId w:val="119"/>
        </w:numPr>
        <w:spacing w:before="120" w:after="120"/>
        <w:contextualSpacing/>
        <w:jc w:val="both"/>
        <w:rPr>
          <w:rFonts w:ascii="Arial" w:hAnsi="Arial" w:cs="Arial"/>
          <w:sz w:val="20"/>
          <w:szCs w:val="20"/>
        </w:rPr>
      </w:pPr>
      <w:r w:rsidRPr="00423828">
        <w:rPr>
          <w:rFonts w:ascii="Arial" w:hAnsi="Arial" w:cs="Arial"/>
          <w:sz w:val="20"/>
          <w:szCs w:val="20"/>
        </w:rPr>
        <w:t>Descripción de unidades medibles (</w:t>
      </w:r>
      <w:r w:rsidR="003D7D06">
        <w:rPr>
          <w:rFonts w:ascii="Arial" w:hAnsi="Arial" w:cs="Arial"/>
          <w:sz w:val="20"/>
          <w:szCs w:val="20"/>
        </w:rPr>
        <w:t>r</w:t>
      </w:r>
      <w:r w:rsidRPr="00423828">
        <w:rPr>
          <w:rFonts w:ascii="Arial" w:hAnsi="Arial" w:cs="Arial"/>
          <w:sz w:val="20"/>
          <w:szCs w:val="20"/>
        </w:rPr>
        <w:t xml:space="preserve">ubros y metrajes) y valorables que componen la obra. </w:t>
      </w:r>
    </w:p>
    <w:p w14:paraId="4910D006" w14:textId="77777777" w:rsidR="00D675BB" w:rsidRPr="00042479" w:rsidRDefault="00A314F1" w:rsidP="009A58E0">
      <w:pPr>
        <w:pStyle w:val="Prrafodelista"/>
        <w:numPr>
          <w:ilvl w:val="0"/>
          <w:numId w:val="119"/>
        </w:numPr>
        <w:spacing w:before="120" w:after="120"/>
        <w:contextualSpacing/>
        <w:jc w:val="both"/>
        <w:rPr>
          <w:rFonts w:ascii="Arial" w:hAnsi="Arial" w:cs="Arial"/>
          <w:sz w:val="20"/>
          <w:szCs w:val="20"/>
        </w:rPr>
      </w:pPr>
      <w:r w:rsidRPr="00042479">
        <w:rPr>
          <w:rFonts w:ascii="Arial" w:hAnsi="Arial" w:cs="Arial"/>
          <w:sz w:val="20"/>
          <w:szCs w:val="20"/>
        </w:rPr>
        <w:lastRenderedPageBreak/>
        <w:t>Perfiles profesionales (Currículum Vítae) del Gerente de Proyecto e Ingenieros Proyectistas.</w:t>
      </w:r>
    </w:p>
    <w:p w14:paraId="25094F92" w14:textId="77777777" w:rsidR="00920521" w:rsidRPr="003B2705" w:rsidRDefault="00920521" w:rsidP="009A58E0">
      <w:pPr>
        <w:pStyle w:val="Prrafodelista"/>
        <w:numPr>
          <w:ilvl w:val="0"/>
          <w:numId w:val="108"/>
        </w:numPr>
        <w:spacing w:before="120" w:after="120"/>
        <w:contextualSpacing/>
        <w:jc w:val="both"/>
        <w:rPr>
          <w:rFonts w:ascii="Arial" w:hAnsi="Arial" w:cs="Arial"/>
          <w:sz w:val="20"/>
          <w:szCs w:val="20"/>
        </w:rPr>
      </w:pPr>
      <w:r w:rsidRPr="003B2705">
        <w:rPr>
          <w:rFonts w:ascii="Arial" w:hAnsi="Arial" w:cs="Arial"/>
          <w:sz w:val="20"/>
          <w:szCs w:val="20"/>
        </w:rPr>
        <w:t xml:space="preserve">Organigrama funcional propuesto para la fase de ejecución de la obra, indicando funciones y dedicación para el presente contrato. Incluir perfiles profesionales (Currículum Vítae) de los principales involucrados e indicar </w:t>
      </w:r>
      <w:r w:rsidR="003D7D06" w:rsidRPr="003B2705">
        <w:rPr>
          <w:rFonts w:ascii="Arial" w:hAnsi="Arial" w:cs="Arial"/>
          <w:sz w:val="20"/>
          <w:szCs w:val="20"/>
        </w:rPr>
        <w:t xml:space="preserve">quién </w:t>
      </w:r>
      <w:r w:rsidRPr="003B2705">
        <w:rPr>
          <w:rFonts w:ascii="Arial" w:hAnsi="Arial" w:cs="Arial"/>
          <w:sz w:val="20"/>
          <w:szCs w:val="20"/>
        </w:rPr>
        <w:t xml:space="preserve">se desempeñará como Representante técnico y </w:t>
      </w:r>
      <w:r w:rsidR="003D7D06" w:rsidRPr="003B2705">
        <w:rPr>
          <w:rFonts w:ascii="Arial" w:hAnsi="Arial" w:cs="Arial"/>
          <w:sz w:val="20"/>
          <w:szCs w:val="20"/>
        </w:rPr>
        <w:t xml:space="preserve">quién </w:t>
      </w:r>
      <w:r w:rsidRPr="003B2705">
        <w:rPr>
          <w:rFonts w:ascii="Arial" w:hAnsi="Arial" w:cs="Arial"/>
          <w:sz w:val="20"/>
          <w:szCs w:val="20"/>
        </w:rPr>
        <w:t>como Jefe de Obras.</w:t>
      </w:r>
    </w:p>
    <w:p w14:paraId="713E6243" w14:textId="77777777" w:rsidR="00920521" w:rsidRPr="00544C69" w:rsidRDefault="00920521" w:rsidP="009A58E0">
      <w:pPr>
        <w:pStyle w:val="Prrafodelista"/>
        <w:numPr>
          <w:ilvl w:val="0"/>
          <w:numId w:val="108"/>
        </w:numPr>
        <w:spacing w:before="120" w:after="120"/>
        <w:contextualSpacing/>
        <w:jc w:val="both"/>
        <w:rPr>
          <w:rFonts w:ascii="Arial" w:hAnsi="Arial" w:cs="Arial"/>
          <w:sz w:val="20"/>
          <w:szCs w:val="20"/>
        </w:rPr>
      </w:pPr>
      <w:r w:rsidRPr="00544C69">
        <w:rPr>
          <w:rFonts w:ascii="Arial" w:hAnsi="Arial" w:cs="Arial"/>
          <w:sz w:val="20"/>
          <w:szCs w:val="20"/>
        </w:rPr>
        <w:t xml:space="preserve">Plan previsto de realización de las obras. Relación de plazos totales y parciales estimados en la programación de las obras: para los Estudios y proyecto, </w:t>
      </w:r>
      <w:r w:rsidR="003D7D06">
        <w:rPr>
          <w:rFonts w:ascii="Arial" w:hAnsi="Arial" w:cs="Arial"/>
          <w:sz w:val="20"/>
          <w:szCs w:val="20"/>
        </w:rPr>
        <w:t xml:space="preserve">para </w:t>
      </w:r>
      <w:r w:rsidRPr="00544C69">
        <w:rPr>
          <w:rFonts w:ascii="Arial" w:hAnsi="Arial" w:cs="Arial"/>
          <w:sz w:val="20"/>
          <w:szCs w:val="20"/>
        </w:rPr>
        <w:t>el inicio y terminación de las obras e instalaciones, para la realización de pruebas, para la puesta en servicio. Este plan no debe hacer referencia a los costos.</w:t>
      </w:r>
    </w:p>
    <w:p w14:paraId="014C9676" w14:textId="77777777" w:rsidR="00920521" w:rsidRDefault="00920521" w:rsidP="009A58E0">
      <w:pPr>
        <w:pStyle w:val="Prrafodelista"/>
        <w:numPr>
          <w:ilvl w:val="0"/>
          <w:numId w:val="108"/>
        </w:numPr>
        <w:spacing w:before="120" w:after="120"/>
        <w:contextualSpacing/>
        <w:jc w:val="both"/>
        <w:rPr>
          <w:rFonts w:ascii="Arial" w:hAnsi="Arial" w:cs="Arial"/>
          <w:sz w:val="20"/>
          <w:szCs w:val="20"/>
        </w:rPr>
      </w:pPr>
      <w:r w:rsidRPr="00544C69">
        <w:rPr>
          <w:rFonts w:ascii="Arial" w:hAnsi="Arial" w:cs="Arial"/>
          <w:sz w:val="20"/>
          <w:szCs w:val="20"/>
        </w:rPr>
        <w:t>Plan de aseguramiento de materiales, suministros y repuestos para la fase de construcción.</w:t>
      </w:r>
    </w:p>
    <w:p w14:paraId="7234D28E" w14:textId="77777777" w:rsidR="00873945" w:rsidRPr="00544C69" w:rsidRDefault="00873945" w:rsidP="00873945">
      <w:pPr>
        <w:pStyle w:val="Prrafodelista"/>
        <w:spacing w:before="120" w:after="120"/>
        <w:contextualSpacing/>
        <w:jc w:val="both"/>
        <w:rPr>
          <w:rFonts w:ascii="Arial" w:hAnsi="Arial" w:cs="Arial"/>
          <w:sz w:val="20"/>
          <w:szCs w:val="20"/>
        </w:rPr>
      </w:pPr>
    </w:p>
    <w:p w14:paraId="6F7E796F" w14:textId="77777777" w:rsidR="00920521" w:rsidRPr="00C66B1F" w:rsidRDefault="00920521" w:rsidP="009A58E0">
      <w:pPr>
        <w:pStyle w:val="Prrafodelista"/>
        <w:numPr>
          <w:ilvl w:val="0"/>
          <w:numId w:val="115"/>
        </w:num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sz w:val="20"/>
          <w:szCs w:val="20"/>
        </w:rPr>
      </w:pPr>
      <w:r w:rsidRPr="00C66B1F">
        <w:rPr>
          <w:rFonts w:ascii="Arial" w:hAnsi="Arial" w:cs="Arial"/>
          <w:sz w:val="20"/>
          <w:szCs w:val="20"/>
        </w:rPr>
        <w:t>MANTENIMIENTO RUTINARIO Y OBRAS DE MANTENIMIENTO MAYOR</w:t>
      </w:r>
    </w:p>
    <w:p w14:paraId="6205999F" w14:textId="77777777" w:rsidR="00920521" w:rsidRPr="00D84BBF" w:rsidRDefault="00920521" w:rsidP="00920521">
      <w:pPr>
        <w:spacing w:before="120" w:after="120" w:line="240" w:lineRule="auto"/>
        <w:contextualSpacing/>
        <w:jc w:val="both"/>
        <w:rPr>
          <w:rFonts w:ascii="Arial" w:hAnsi="Arial" w:cs="Arial"/>
          <w:sz w:val="20"/>
          <w:szCs w:val="20"/>
        </w:rPr>
      </w:pPr>
      <w:r w:rsidRPr="00D84BBF">
        <w:rPr>
          <w:rFonts w:ascii="Arial" w:hAnsi="Arial" w:cs="Arial"/>
          <w:sz w:val="20"/>
          <w:szCs w:val="20"/>
        </w:rPr>
        <w:t xml:space="preserve">Se entregará la siguiente documentación referida a la fase de mantenimiento </w:t>
      </w:r>
    </w:p>
    <w:p w14:paraId="0BE3642C" w14:textId="77777777" w:rsidR="00920521" w:rsidRPr="00D84BBF" w:rsidRDefault="00920521" w:rsidP="00920521">
      <w:pPr>
        <w:spacing w:before="120" w:after="120" w:line="240" w:lineRule="auto"/>
        <w:contextualSpacing/>
        <w:jc w:val="both"/>
        <w:rPr>
          <w:rFonts w:ascii="Arial" w:hAnsi="Arial" w:cs="Arial"/>
          <w:sz w:val="20"/>
          <w:szCs w:val="20"/>
        </w:rPr>
      </w:pPr>
    </w:p>
    <w:p w14:paraId="2D86A5AE" w14:textId="77777777" w:rsidR="00920521" w:rsidRPr="00D84BBF" w:rsidRDefault="00920521" w:rsidP="009A58E0">
      <w:pPr>
        <w:pStyle w:val="Prrafodelista"/>
        <w:numPr>
          <w:ilvl w:val="0"/>
          <w:numId w:val="109"/>
        </w:numPr>
        <w:spacing w:before="120" w:after="120"/>
        <w:ind w:left="851" w:hanging="425"/>
        <w:contextualSpacing/>
        <w:jc w:val="both"/>
        <w:rPr>
          <w:rFonts w:ascii="Arial" w:hAnsi="Arial" w:cs="Arial"/>
          <w:sz w:val="20"/>
          <w:szCs w:val="20"/>
        </w:rPr>
      </w:pPr>
      <w:r w:rsidRPr="00D84BBF">
        <w:rPr>
          <w:rFonts w:ascii="Arial" w:hAnsi="Arial" w:cs="Arial"/>
          <w:sz w:val="20"/>
          <w:szCs w:val="20"/>
        </w:rPr>
        <w:t>Planes de mantenimiento que deberán contener como mínimo:</w:t>
      </w:r>
    </w:p>
    <w:p w14:paraId="218ED8CF" w14:textId="77777777" w:rsidR="00920521" w:rsidRDefault="00920521" w:rsidP="009A58E0">
      <w:pPr>
        <w:pStyle w:val="Prrafodelista"/>
        <w:numPr>
          <w:ilvl w:val="0"/>
          <w:numId w:val="85"/>
        </w:numPr>
        <w:spacing w:before="120" w:after="120"/>
        <w:ind w:left="2127"/>
        <w:contextualSpacing/>
        <w:jc w:val="both"/>
        <w:rPr>
          <w:rFonts w:ascii="Arial" w:hAnsi="Arial" w:cs="Arial"/>
          <w:vanish/>
          <w:sz w:val="20"/>
          <w:szCs w:val="20"/>
        </w:rPr>
      </w:pPr>
      <w:r>
        <w:rPr>
          <w:rFonts w:ascii="Arial" w:hAnsi="Arial" w:cs="Arial"/>
          <w:vanish/>
          <w:sz w:val="20"/>
          <w:szCs w:val="20"/>
        </w:rPr>
        <w:lastRenderedPageBreak/>
        <w:t>Definición de mantenimiento preventivo</w:t>
      </w:r>
    </w:p>
    <w:p w14:paraId="00203374" w14:textId="77777777" w:rsidR="00920521" w:rsidRPr="00544C69" w:rsidRDefault="00920521" w:rsidP="009A58E0">
      <w:pPr>
        <w:pStyle w:val="Prrafodelista"/>
        <w:numPr>
          <w:ilvl w:val="0"/>
          <w:numId w:val="110"/>
        </w:numPr>
        <w:spacing w:before="120" w:after="120"/>
        <w:contextualSpacing/>
        <w:jc w:val="both"/>
        <w:rPr>
          <w:rFonts w:ascii="Arial" w:hAnsi="Arial" w:cs="Arial"/>
          <w:vanish/>
          <w:sz w:val="20"/>
          <w:szCs w:val="20"/>
        </w:rPr>
      </w:pPr>
      <w:r>
        <w:rPr>
          <w:rFonts w:ascii="Arial" w:hAnsi="Arial" w:cs="Arial"/>
          <w:vanish/>
          <w:sz w:val="20"/>
          <w:szCs w:val="20"/>
        </w:rPr>
        <w:t>Programación del mantenimiento mensual para un año tipo</w:t>
      </w:r>
    </w:p>
    <w:p w14:paraId="6E6289BB" w14:textId="77777777" w:rsidR="00920521" w:rsidRPr="00873945" w:rsidRDefault="00920521" w:rsidP="009A58E0">
      <w:pPr>
        <w:pStyle w:val="Prrafodelista"/>
        <w:numPr>
          <w:ilvl w:val="0"/>
          <w:numId w:val="117"/>
        </w:numPr>
        <w:spacing w:before="120" w:after="120"/>
        <w:ind w:left="1701" w:hanging="567"/>
        <w:contextualSpacing/>
        <w:jc w:val="both"/>
        <w:rPr>
          <w:rFonts w:ascii="Arial" w:hAnsi="Arial" w:cs="Arial"/>
          <w:sz w:val="20"/>
          <w:szCs w:val="20"/>
        </w:rPr>
      </w:pPr>
      <w:r w:rsidRPr="00873945">
        <w:rPr>
          <w:rFonts w:ascii="Arial" w:hAnsi="Arial" w:cs="Arial"/>
          <w:sz w:val="20"/>
          <w:szCs w:val="20"/>
        </w:rPr>
        <w:t>Definición de mantenimiento predictivo y plan de intervenciones mayores para el mantenimiento de largo plazo</w:t>
      </w:r>
    </w:p>
    <w:p w14:paraId="554ACBA9" w14:textId="77777777" w:rsidR="00920521" w:rsidRPr="00873945" w:rsidRDefault="00920521" w:rsidP="009A58E0">
      <w:pPr>
        <w:pStyle w:val="Prrafodelista"/>
        <w:numPr>
          <w:ilvl w:val="0"/>
          <w:numId w:val="118"/>
        </w:numPr>
        <w:spacing w:before="120" w:after="120"/>
        <w:ind w:left="1701" w:hanging="567"/>
        <w:contextualSpacing/>
        <w:jc w:val="both"/>
        <w:rPr>
          <w:rFonts w:ascii="Arial" w:hAnsi="Arial" w:cs="Arial"/>
          <w:sz w:val="20"/>
          <w:szCs w:val="20"/>
        </w:rPr>
      </w:pPr>
      <w:r w:rsidRPr="00873945">
        <w:rPr>
          <w:rFonts w:ascii="Arial" w:hAnsi="Arial" w:cs="Arial"/>
          <w:sz w:val="20"/>
          <w:szCs w:val="20"/>
        </w:rPr>
        <w:t>Definición de mantenimiento correctivo</w:t>
      </w:r>
    </w:p>
    <w:p w14:paraId="3173FCDE" w14:textId="77777777" w:rsidR="00920521" w:rsidRPr="00873945" w:rsidRDefault="00920521" w:rsidP="009A58E0">
      <w:pPr>
        <w:pStyle w:val="Prrafodelista"/>
        <w:numPr>
          <w:ilvl w:val="0"/>
          <w:numId w:val="116"/>
        </w:numPr>
        <w:spacing w:before="120" w:after="120"/>
        <w:contextualSpacing/>
        <w:jc w:val="both"/>
        <w:rPr>
          <w:rFonts w:ascii="Arial" w:hAnsi="Arial" w:cs="Arial"/>
          <w:sz w:val="20"/>
          <w:szCs w:val="20"/>
        </w:rPr>
      </w:pPr>
      <w:r w:rsidRPr="00873945">
        <w:rPr>
          <w:rFonts w:ascii="Arial" w:hAnsi="Arial" w:cs="Arial"/>
          <w:sz w:val="20"/>
          <w:szCs w:val="20"/>
        </w:rPr>
        <w:t>Ordenes de reparación</w:t>
      </w:r>
    </w:p>
    <w:p w14:paraId="49B8AEC2" w14:textId="77777777" w:rsidR="00920521" w:rsidRPr="00873945" w:rsidRDefault="00920521" w:rsidP="009A58E0">
      <w:pPr>
        <w:pStyle w:val="Prrafodelista"/>
        <w:numPr>
          <w:ilvl w:val="0"/>
          <w:numId w:val="116"/>
        </w:numPr>
        <w:spacing w:before="120" w:after="120"/>
        <w:contextualSpacing/>
        <w:jc w:val="both"/>
        <w:rPr>
          <w:rFonts w:ascii="Arial" w:hAnsi="Arial" w:cs="Arial"/>
          <w:sz w:val="20"/>
          <w:szCs w:val="20"/>
        </w:rPr>
      </w:pPr>
      <w:r w:rsidRPr="00873945">
        <w:rPr>
          <w:rFonts w:ascii="Arial" w:hAnsi="Arial" w:cs="Arial"/>
          <w:sz w:val="20"/>
          <w:szCs w:val="20"/>
        </w:rPr>
        <w:t>Partes de Incidencias</w:t>
      </w:r>
    </w:p>
    <w:p w14:paraId="4D1527B6" w14:textId="77777777" w:rsidR="00920521" w:rsidRPr="00544C69" w:rsidRDefault="00920521" w:rsidP="009A58E0">
      <w:pPr>
        <w:pStyle w:val="Prrafodelista"/>
        <w:numPr>
          <w:ilvl w:val="0"/>
          <w:numId w:val="109"/>
        </w:numPr>
        <w:spacing w:before="120" w:after="120"/>
        <w:ind w:left="851"/>
        <w:contextualSpacing/>
        <w:jc w:val="both"/>
        <w:rPr>
          <w:rFonts w:ascii="Arial" w:hAnsi="Arial" w:cs="Arial"/>
          <w:sz w:val="20"/>
          <w:szCs w:val="20"/>
        </w:rPr>
      </w:pPr>
      <w:r w:rsidRPr="00544C69">
        <w:rPr>
          <w:rFonts w:ascii="Arial" w:hAnsi="Arial" w:cs="Arial"/>
          <w:sz w:val="20"/>
          <w:szCs w:val="20"/>
        </w:rPr>
        <w:t>Modelo de Gestión Integral de la Infraestructura</w:t>
      </w:r>
    </w:p>
    <w:p w14:paraId="3FA145C9" w14:textId="77777777" w:rsidR="00244325" w:rsidRPr="002A3B5B" w:rsidRDefault="00920521" w:rsidP="009A58E0">
      <w:pPr>
        <w:pStyle w:val="Prrafodelista"/>
        <w:numPr>
          <w:ilvl w:val="0"/>
          <w:numId w:val="127"/>
        </w:numPr>
        <w:spacing w:after="0" w:line="240" w:lineRule="auto"/>
        <w:ind w:left="2846" w:hanging="357"/>
        <w:contextualSpacing/>
        <w:jc w:val="both"/>
        <w:rPr>
          <w:rFonts w:ascii="Arial" w:hAnsi="Arial" w:cs="Arial"/>
          <w:sz w:val="20"/>
          <w:szCs w:val="20"/>
        </w:rPr>
      </w:pPr>
      <w:r w:rsidRPr="002A3B5B">
        <w:rPr>
          <w:rFonts w:ascii="Arial" w:hAnsi="Arial" w:cs="Arial"/>
          <w:sz w:val="20"/>
          <w:szCs w:val="20"/>
        </w:rPr>
        <w:t>Procedimiento para el control del mantenimiento. Este documento deberá hacer referencia a las obligaciones mencionadas en los presentes pliegos.</w:t>
      </w:r>
    </w:p>
    <w:p w14:paraId="28FF139A" w14:textId="77777777" w:rsidR="002A3B5B" w:rsidRPr="002A3B5B" w:rsidRDefault="002A3B5B" w:rsidP="009A58E0">
      <w:pPr>
        <w:pStyle w:val="Prrafodelista"/>
        <w:numPr>
          <w:ilvl w:val="0"/>
          <w:numId w:val="127"/>
        </w:numPr>
        <w:spacing w:after="0" w:line="240" w:lineRule="auto"/>
        <w:ind w:left="2846" w:hanging="357"/>
        <w:contextualSpacing/>
        <w:jc w:val="both"/>
        <w:rPr>
          <w:rFonts w:ascii="Arial" w:hAnsi="Arial" w:cs="Arial"/>
          <w:sz w:val="20"/>
          <w:szCs w:val="20"/>
        </w:rPr>
      </w:pPr>
      <w:r w:rsidRPr="002A3B5B">
        <w:rPr>
          <w:rFonts w:ascii="Arial" w:hAnsi="Arial" w:cs="Arial"/>
          <w:sz w:val="20"/>
          <w:szCs w:val="20"/>
        </w:rPr>
        <w:t>Procedimiento de actuación y seguimiento ante incidencias y eventos. Este documento sentará las bases para la elaboración, por parte de quien resulte contratista, del Protocolo de Gestión ante incidencias y eventos descrito en la Sección 2 Pliego de Condiciones Técnicas</w:t>
      </w:r>
      <w:r>
        <w:rPr>
          <w:rFonts w:ascii="Arial" w:hAnsi="Arial" w:cs="Arial"/>
          <w:sz w:val="20"/>
          <w:szCs w:val="20"/>
        </w:rPr>
        <w:t>.</w:t>
      </w:r>
    </w:p>
    <w:p w14:paraId="5C9FBDC8" w14:textId="77777777" w:rsidR="00936C1D" w:rsidRPr="00711F12" w:rsidRDefault="00936C1D" w:rsidP="009A58E0">
      <w:pPr>
        <w:pStyle w:val="Prrafodelista"/>
        <w:numPr>
          <w:ilvl w:val="0"/>
          <w:numId w:val="109"/>
        </w:numPr>
        <w:spacing w:before="120" w:after="120"/>
        <w:ind w:left="851"/>
        <w:contextualSpacing/>
        <w:jc w:val="both"/>
        <w:rPr>
          <w:rFonts w:ascii="Arial" w:hAnsi="Arial" w:cs="Arial"/>
          <w:sz w:val="20"/>
          <w:szCs w:val="20"/>
        </w:rPr>
      </w:pPr>
      <w:r w:rsidRPr="00711F12">
        <w:rPr>
          <w:rFonts w:ascii="Arial" w:hAnsi="Arial" w:cs="Arial"/>
          <w:sz w:val="20"/>
          <w:szCs w:val="20"/>
        </w:rPr>
        <w:t>Organigrama funcional propuesto para la fase de mantenimiento de la obra, indicando funciones y dedicación del personal para el presente contrato. Incluir los perfiles</w:t>
      </w:r>
      <w:r w:rsidRPr="003D7D06">
        <w:rPr>
          <w:rFonts w:ascii="Arial" w:hAnsi="Arial" w:cs="Arial"/>
          <w:sz w:val="20"/>
          <w:szCs w:val="20"/>
        </w:rPr>
        <w:t xml:space="preserve"> profesionales (Currículum Vítae) de los principales involucrados e indicar </w:t>
      </w:r>
      <w:r w:rsidRPr="00711F12">
        <w:rPr>
          <w:rFonts w:ascii="Arial" w:hAnsi="Arial" w:cs="Arial"/>
          <w:sz w:val="20"/>
          <w:szCs w:val="20"/>
        </w:rPr>
        <w:t>quién se desempeñará como Jefe de Mantenimiento.</w:t>
      </w:r>
    </w:p>
    <w:p w14:paraId="77407C64" w14:textId="77777777" w:rsidR="00257432" w:rsidRPr="00711F12" w:rsidRDefault="00A314F1" w:rsidP="00711F12">
      <w:pPr>
        <w:keepNext/>
        <w:tabs>
          <w:tab w:val="left" w:pos="284"/>
        </w:tabs>
        <w:spacing w:before="240" w:after="240" w:line="360" w:lineRule="auto"/>
        <w:jc w:val="both"/>
        <w:rPr>
          <w:rFonts w:ascii="Arial" w:hAnsi="Arial" w:cs="Arial"/>
          <w:sz w:val="20"/>
          <w:szCs w:val="20"/>
        </w:rPr>
      </w:pPr>
      <w:r w:rsidRPr="00711F12">
        <w:rPr>
          <w:rFonts w:ascii="Arial" w:hAnsi="Arial" w:cs="Arial"/>
          <w:sz w:val="20"/>
          <w:szCs w:val="20"/>
        </w:rPr>
        <w:lastRenderedPageBreak/>
        <w:t>El Oferente deberá describir las obras a realizar y sus características de acuerdo al PCT.</w:t>
      </w:r>
    </w:p>
    <w:p w14:paraId="7FF10741" w14:textId="77777777" w:rsidR="00936C1D" w:rsidRPr="00936C1D" w:rsidRDefault="00936C1D" w:rsidP="00B14DCC">
      <w:pPr>
        <w:pStyle w:val="Prrafodelista"/>
        <w:keepNext/>
        <w:tabs>
          <w:tab w:val="left" w:pos="284"/>
        </w:tabs>
        <w:spacing w:before="240" w:after="240" w:line="360" w:lineRule="auto"/>
        <w:ind w:left="360"/>
        <w:jc w:val="both"/>
        <w:rPr>
          <w:rFonts w:ascii="Arial" w:eastAsia="Calibri" w:hAnsi="Arial" w:cs="Arial"/>
          <w:vanish/>
          <w:sz w:val="20"/>
          <w:szCs w:val="20"/>
          <w:lang w:eastAsia="es-ES"/>
        </w:rPr>
      </w:pPr>
    </w:p>
    <w:p w14:paraId="5CB03D6D" w14:textId="77777777" w:rsidR="007F2C68" w:rsidRPr="00E2664E" w:rsidRDefault="007F2C68" w:rsidP="009A58E0">
      <w:pPr>
        <w:pStyle w:val="T2"/>
        <w:numPr>
          <w:ilvl w:val="1"/>
          <w:numId w:val="90"/>
        </w:numPr>
        <w:outlineLvl w:val="3"/>
      </w:pPr>
      <w:bookmarkStart w:id="85" w:name="_Toc438114560"/>
      <w:bookmarkStart w:id="86" w:name="_Toc438114874"/>
      <w:bookmarkStart w:id="87" w:name="_Toc438130038"/>
      <w:bookmarkStart w:id="88" w:name="_Toc438114561"/>
      <w:bookmarkStart w:id="89" w:name="_Toc438114875"/>
      <w:bookmarkStart w:id="90" w:name="_Toc438130039"/>
      <w:bookmarkStart w:id="91" w:name="_Toc438114562"/>
      <w:bookmarkStart w:id="92" w:name="_Toc438114876"/>
      <w:bookmarkStart w:id="93" w:name="_Toc438130040"/>
      <w:bookmarkStart w:id="94" w:name="_Toc438114563"/>
      <w:bookmarkStart w:id="95" w:name="_Toc438114877"/>
      <w:bookmarkStart w:id="96" w:name="_Toc438130041"/>
      <w:bookmarkStart w:id="97" w:name="_Toc438114564"/>
      <w:bookmarkStart w:id="98" w:name="_Toc438114878"/>
      <w:bookmarkStart w:id="99" w:name="_Toc438130042"/>
      <w:bookmarkStart w:id="100" w:name="_Toc438114565"/>
      <w:bookmarkStart w:id="101" w:name="_Toc438114879"/>
      <w:bookmarkStart w:id="102" w:name="_Toc438130043"/>
      <w:bookmarkStart w:id="103" w:name="_Toc438114566"/>
      <w:bookmarkStart w:id="104" w:name="_Toc438114880"/>
      <w:bookmarkStart w:id="105" w:name="_Toc438130044"/>
      <w:bookmarkStart w:id="106" w:name="_Toc438114567"/>
      <w:bookmarkStart w:id="107" w:name="_Toc438114881"/>
      <w:bookmarkStart w:id="108" w:name="_Toc438130045"/>
      <w:bookmarkStart w:id="109" w:name="_Toc438114568"/>
      <w:bookmarkStart w:id="110" w:name="_Toc438114882"/>
      <w:bookmarkStart w:id="111" w:name="_Toc438130046"/>
      <w:bookmarkStart w:id="112" w:name="_Toc438114569"/>
      <w:bookmarkStart w:id="113" w:name="_Toc438114883"/>
      <w:bookmarkStart w:id="114" w:name="_Toc438130047"/>
      <w:bookmarkStart w:id="115" w:name="_Toc438114570"/>
      <w:bookmarkStart w:id="116" w:name="_Toc438114884"/>
      <w:bookmarkStart w:id="117" w:name="_Toc438130048"/>
      <w:bookmarkStart w:id="118" w:name="_Toc438114571"/>
      <w:bookmarkStart w:id="119" w:name="_Toc438114885"/>
      <w:bookmarkStart w:id="120" w:name="_Toc438130049"/>
      <w:bookmarkStart w:id="121" w:name="_Toc438114572"/>
      <w:bookmarkStart w:id="122" w:name="_Toc438114886"/>
      <w:bookmarkStart w:id="123" w:name="_Toc438130050"/>
      <w:bookmarkStart w:id="124" w:name="_Toc438114573"/>
      <w:bookmarkStart w:id="125" w:name="_Toc438114887"/>
      <w:bookmarkStart w:id="126" w:name="_Toc438130051"/>
      <w:bookmarkStart w:id="127" w:name="_Toc438114574"/>
      <w:bookmarkStart w:id="128" w:name="_Toc438114888"/>
      <w:bookmarkStart w:id="129" w:name="_Toc438130052"/>
      <w:bookmarkStart w:id="130" w:name="_Toc438114575"/>
      <w:bookmarkStart w:id="131" w:name="_Toc438114889"/>
      <w:bookmarkStart w:id="132" w:name="_Toc438130053"/>
      <w:bookmarkStart w:id="133" w:name="_Toc468287979"/>
      <w:bookmarkStart w:id="134" w:name="_Toc49626657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223BE">
        <w:t>SOBRE NÚMERO 2.</w:t>
      </w:r>
      <w:r w:rsidRPr="00E2664E">
        <w:t xml:space="preserve"> PROPUESTA ECONÓMICA</w:t>
      </w:r>
      <w:bookmarkEnd w:id="133"/>
      <w:bookmarkEnd w:id="134"/>
    </w:p>
    <w:p w14:paraId="70315F54" w14:textId="77777777" w:rsidR="007F2C68" w:rsidRPr="00E2664E" w:rsidRDefault="00546933" w:rsidP="009A58E0">
      <w:pPr>
        <w:pStyle w:val="T3"/>
        <w:numPr>
          <w:ilvl w:val="2"/>
          <w:numId w:val="90"/>
        </w:numPr>
        <w:outlineLvl w:val="9"/>
      </w:pPr>
      <w:bookmarkStart w:id="135" w:name="_Toc438114577"/>
      <w:bookmarkStart w:id="136" w:name="_Toc438114891"/>
      <w:bookmarkStart w:id="137" w:name="_Toc438130055"/>
      <w:bookmarkStart w:id="138" w:name="_Toc438114578"/>
      <w:bookmarkStart w:id="139" w:name="_Toc438114892"/>
      <w:bookmarkStart w:id="140" w:name="_Toc438130056"/>
      <w:bookmarkStart w:id="141" w:name="_Toc438114594"/>
      <w:bookmarkStart w:id="142" w:name="_Toc438114908"/>
      <w:bookmarkStart w:id="143" w:name="_Toc438130072"/>
      <w:bookmarkStart w:id="144" w:name="Lit_15_3_1"/>
      <w:bookmarkEnd w:id="84"/>
      <w:bookmarkEnd w:id="135"/>
      <w:bookmarkEnd w:id="136"/>
      <w:bookmarkEnd w:id="137"/>
      <w:bookmarkEnd w:id="138"/>
      <w:bookmarkEnd w:id="139"/>
      <w:bookmarkEnd w:id="140"/>
      <w:bookmarkEnd w:id="141"/>
      <w:bookmarkEnd w:id="142"/>
      <w:bookmarkEnd w:id="143"/>
      <w:r>
        <w:t>P</w:t>
      </w:r>
      <w:r w:rsidR="007F2C68" w:rsidRPr="00E2664E">
        <w:t>ropuesta económica</w:t>
      </w:r>
      <w:r w:rsidR="007F2C68">
        <w:t>.</w:t>
      </w:r>
    </w:p>
    <w:bookmarkEnd w:id="144"/>
    <w:p w14:paraId="31230676" w14:textId="77777777" w:rsidR="00557BE9" w:rsidRDefault="007F2C68" w:rsidP="00871E8E">
      <w:pPr>
        <w:tabs>
          <w:tab w:val="left" w:pos="284"/>
          <w:tab w:val="left" w:pos="11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Pr>
          <w:rFonts w:ascii="Arial" w:hAnsi="Arial" w:cs="Arial"/>
          <w:sz w:val="20"/>
          <w:szCs w:val="20"/>
          <w:lang w:val="es-UY"/>
        </w:rPr>
        <w:t xml:space="preserve">El oferente elaborará su propuesta económica de acuerdo a lo establecido en el </w:t>
      </w:r>
      <w:hyperlink w:anchor="A_2" w:history="1">
        <w:r w:rsidRPr="002A56D7">
          <w:rPr>
            <w:rStyle w:val="Hipervnculo"/>
            <w:rFonts w:ascii="Arial" w:hAnsi="Arial" w:cs="Arial"/>
            <w:sz w:val="20"/>
            <w:szCs w:val="20"/>
            <w:lang w:val="es-UY"/>
          </w:rPr>
          <w:t>Anexo II</w:t>
        </w:r>
      </w:hyperlink>
      <w:r>
        <w:rPr>
          <w:rFonts w:ascii="Arial" w:hAnsi="Arial" w:cs="Arial"/>
          <w:sz w:val="20"/>
          <w:szCs w:val="20"/>
          <w:lang w:val="es-UY"/>
        </w:rPr>
        <w:t>.</w:t>
      </w:r>
    </w:p>
    <w:p w14:paraId="27BBBAE7" w14:textId="77777777" w:rsidR="007F2C68" w:rsidRPr="007F23A7" w:rsidRDefault="007F2C68" w:rsidP="009A58E0">
      <w:pPr>
        <w:pStyle w:val="T3"/>
        <w:numPr>
          <w:ilvl w:val="2"/>
          <w:numId w:val="90"/>
        </w:numPr>
        <w:outlineLvl w:val="9"/>
      </w:pPr>
      <w:bookmarkStart w:id="145" w:name="Lit_15_3_3"/>
      <w:r w:rsidRPr="007F23A7">
        <w:t>El plan económico financiero del contrato (PEF).</w:t>
      </w:r>
    </w:p>
    <w:bookmarkEnd w:id="145"/>
    <w:p w14:paraId="67FE082E" w14:textId="77777777" w:rsidR="007F2C68" w:rsidRPr="00E2664E" w:rsidRDefault="007F2C68" w:rsidP="00871E8E">
      <w:pPr>
        <w:rPr>
          <w:rFonts w:ascii="Arial" w:hAnsi="Arial" w:cs="Arial"/>
          <w:sz w:val="20"/>
          <w:szCs w:val="20"/>
        </w:rPr>
      </w:pPr>
      <w:r w:rsidRPr="00E2664E">
        <w:rPr>
          <w:rFonts w:ascii="Arial" w:hAnsi="Arial" w:cs="Arial"/>
          <w:sz w:val="20"/>
          <w:szCs w:val="20"/>
        </w:rPr>
        <w:t xml:space="preserve">Se elaborará de acuerdo a lo establecido en el </w:t>
      </w:r>
      <w:hyperlink w:anchor="A_4" w:history="1">
        <w:r w:rsidRPr="009E2BFE">
          <w:rPr>
            <w:rStyle w:val="Hipervnculo"/>
            <w:rFonts w:ascii="Arial" w:hAnsi="Arial" w:cs="Arial"/>
            <w:bCs/>
            <w:sz w:val="20"/>
            <w:szCs w:val="20"/>
          </w:rPr>
          <w:t>Anexo IV</w:t>
        </w:r>
      </w:hyperlink>
      <w:r w:rsidRPr="009E2BFE">
        <w:rPr>
          <w:rFonts w:ascii="Arial" w:hAnsi="Arial" w:cs="Arial"/>
          <w:bCs/>
          <w:sz w:val="20"/>
          <w:szCs w:val="20"/>
        </w:rPr>
        <w:t>.</w:t>
      </w:r>
    </w:p>
    <w:p w14:paraId="178CCBDE" w14:textId="77777777" w:rsidR="007F2C68" w:rsidRPr="00E2664E" w:rsidRDefault="00382F52" w:rsidP="009A58E0">
      <w:pPr>
        <w:pStyle w:val="T1"/>
        <w:numPr>
          <w:ilvl w:val="0"/>
          <w:numId w:val="90"/>
        </w:numPr>
        <w:outlineLvl w:val="2"/>
      </w:pPr>
      <w:bookmarkStart w:id="146" w:name="_Toc468287980"/>
      <w:bookmarkStart w:id="147" w:name="_Toc496266573"/>
      <w:bookmarkStart w:id="148" w:name="Lit_16"/>
      <w:r>
        <w:t xml:space="preserve">PRESENTACIÓN DE OFERTAS Y </w:t>
      </w:r>
      <w:r w:rsidR="007F2C68" w:rsidRPr="00E2664E">
        <w:t>ACTO DE APERTURA</w:t>
      </w:r>
      <w:bookmarkEnd w:id="146"/>
      <w:bookmarkEnd w:id="147"/>
    </w:p>
    <w:bookmarkEnd w:id="148"/>
    <w:p w14:paraId="0F75C07E"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recepción de las propuestas en presencia de los funcionarios designados por la Contratante, entre los que debe haber un Escribano.</w:t>
      </w:r>
    </w:p>
    <w:p w14:paraId="33666822"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Podrán asistir</w:t>
      </w:r>
      <w:r w:rsidR="00B14DCC">
        <w:rPr>
          <w:rFonts w:ascii="Arial" w:hAnsi="Arial" w:cs="Arial"/>
          <w:sz w:val="20"/>
          <w:szCs w:val="20"/>
        </w:rPr>
        <w:t xml:space="preserve"> </w:t>
      </w:r>
      <w:r w:rsidRPr="00E2664E">
        <w:rPr>
          <w:rFonts w:ascii="Arial" w:hAnsi="Arial" w:cs="Arial"/>
          <w:sz w:val="20"/>
          <w:szCs w:val="20"/>
        </w:rPr>
        <w:t>los oferentes o representantes que así lo deseen.</w:t>
      </w:r>
    </w:p>
    <w:p w14:paraId="7AB5A954"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Se controlará la garantía de mantenimiento de oferta, la constancia de compra de pliego</w:t>
      </w:r>
      <w:r w:rsidR="00B14DCC">
        <w:rPr>
          <w:rFonts w:ascii="Arial" w:hAnsi="Arial" w:cs="Arial"/>
          <w:sz w:val="20"/>
          <w:szCs w:val="20"/>
          <w:lang w:val="es-UY"/>
        </w:rPr>
        <w:t xml:space="preserve"> </w:t>
      </w:r>
      <w:r w:rsidRPr="00E2664E">
        <w:rPr>
          <w:rFonts w:ascii="Arial" w:hAnsi="Arial" w:cs="Arial"/>
          <w:sz w:val="20"/>
          <w:szCs w:val="20"/>
          <w:lang w:val="es-UY"/>
        </w:rPr>
        <w:t>y el poder de representación de quien pre</w:t>
      </w:r>
      <w:r w:rsidRPr="00E2664E">
        <w:rPr>
          <w:rFonts w:ascii="Arial" w:hAnsi="Arial" w:cs="Arial"/>
          <w:sz w:val="20"/>
          <w:szCs w:val="20"/>
          <w:lang w:val="es-UY"/>
        </w:rPr>
        <w:lastRenderedPageBreak/>
        <w:t>senta la oferta (con fecha de actualización no mayor a 30 días calendario a la fecha de la apertura</w:t>
      </w:r>
      <w:r w:rsidR="00EF140E">
        <w:rPr>
          <w:rFonts w:ascii="Arial" w:hAnsi="Arial" w:cs="Arial"/>
          <w:sz w:val="20"/>
          <w:szCs w:val="20"/>
          <w:lang w:val="es-UY"/>
        </w:rPr>
        <w:t xml:space="preserve"> y </w:t>
      </w:r>
      <w:r w:rsidR="00EF140E" w:rsidRPr="002A3B5B">
        <w:rPr>
          <w:rFonts w:ascii="Arial" w:hAnsi="Arial" w:cs="Arial"/>
          <w:sz w:val="20"/>
          <w:szCs w:val="20"/>
          <w:lang w:val="es-UY"/>
        </w:rPr>
        <w:t>certificación de firma por escribano público uruguayo</w:t>
      </w:r>
      <w:r w:rsidRPr="002A3B5B">
        <w:rPr>
          <w:rFonts w:ascii="Arial" w:hAnsi="Arial" w:cs="Arial"/>
          <w:sz w:val="20"/>
          <w:szCs w:val="20"/>
          <w:lang w:val="es-UY"/>
        </w:rPr>
        <w:t>).</w:t>
      </w:r>
    </w:p>
    <w:p w14:paraId="262DF893" w14:textId="77777777" w:rsidR="007F2C68" w:rsidRPr="00E2664E" w:rsidRDefault="007F2C68" w:rsidP="007F2C68">
      <w:pPr>
        <w:spacing w:after="120"/>
        <w:jc w:val="both"/>
        <w:rPr>
          <w:rFonts w:ascii="Arial" w:hAnsi="Arial" w:cs="Arial"/>
          <w:sz w:val="20"/>
          <w:szCs w:val="20"/>
        </w:rPr>
      </w:pPr>
      <w:r w:rsidRPr="00E2664E">
        <w:rPr>
          <w:rFonts w:ascii="Arial" w:hAnsi="Arial" w:cs="Arial"/>
          <w:sz w:val="20"/>
          <w:szCs w:val="20"/>
          <w:lang w:val="es-UY"/>
        </w:rPr>
        <w:t>Los documentos mencionados anteriormente deben ser originales y presentarse fuera de los sobres.</w:t>
      </w:r>
    </w:p>
    <w:p w14:paraId="4CA5D906"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Abierto el acto no podrá introducirse modificación alguna en las propuestas, pudiendo no obstante los presentes formular las manifestaciones, aclaraciones o salvedades que deseen.</w:t>
      </w:r>
    </w:p>
    <w:p w14:paraId="118388CF"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En dicho acto no se podrá rechazar la presentación de ninguna propuesta sin perjuicio de su invalidación posterior. La admisión inicial de una propuesta, no será obstáculo a su rechazo si se constataren luego defectos que violen los requisitos legales o aquellos sustanciales contenidos en el presente pliego.</w:t>
      </w:r>
    </w:p>
    <w:p w14:paraId="7E242791"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Finalizado el acto se labrará acta circunstanciada que será firmada por los funcionarios actuantes y los oferentes que lo deseen hacer, quienes podrán dejar consignadas las constancias que estimen necesarias.</w:t>
      </w:r>
    </w:p>
    <w:p w14:paraId="4C0ED29F"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t>La Contratante podrá otorgar a los proponentes un plazo máximo de 5 (cinco) días hábiles para salvar los defectos, carencias formales o errores evidentes o de escasa importancia.</w:t>
      </w:r>
      <w:r w:rsidR="00B14DCC">
        <w:rPr>
          <w:rFonts w:ascii="Arial" w:hAnsi="Arial" w:cs="Arial"/>
          <w:sz w:val="20"/>
          <w:szCs w:val="20"/>
          <w:lang w:val="es-UY"/>
        </w:rPr>
        <w:t xml:space="preserve"> </w:t>
      </w:r>
      <w:r w:rsidRPr="00E2664E">
        <w:rPr>
          <w:rFonts w:ascii="Arial" w:hAnsi="Arial" w:cs="Arial"/>
          <w:sz w:val="20"/>
          <w:szCs w:val="20"/>
          <w:lang w:val="es-UY"/>
        </w:rPr>
        <w:t xml:space="preserve">Este plazo podrá ampliarse para el caso de proveedores del exterior y en tal caso se aplicará a todos los oferentes. </w:t>
      </w:r>
    </w:p>
    <w:p w14:paraId="6FB2FBCB" w14:textId="77777777" w:rsidR="007F2C68" w:rsidRPr="00E2664E" w:rsidRDefault="007F2C68" w:rsidP="007F2C68">
      <w:pPr>
        <w:spacing w:after="120"/>
        <w:jc w:val="both"/>
        <w:rPr>
          <w:rFonts w:ascii="Arial" w:hAnsi="Arial" w:cs="Arial"/>
          <w:sz w:val="20"/>
          <w:szCs w:val="20"/>
          <w:lang w:val="es-UY"/>
        </w:rPr>
      </w:pPr>
      <w:r w:rsidRPr="00E2664E">
        <w:rPr>
          <w:rFonts w:ascii="Arial" w:hAnsi="Arial" w:cs="Arial"/>
          <w:sz w:val="20"/>
          <w:szCs w:val="20"/>
          <w:lang w:val="es-UY"/>
        </w:rPr>
        <w:lastRenderedPageBreak/>
        <w:t xml:space="preserve">En el contenido de las ofertas, se considerarán informaciones confidenciales las reguladas en el artículo 10 de la Ley </w:t>
      </w:r>
      <w:hyperlink r:id="rId46" w:history="1">
        <w:r w:rsidRPr="00915E20">
          <w:rPr>
            <w:rStyle w:val="Hipervnculo"/>
            <w:rFonts w:ascii="Arial" w:hAnsi="Arial" w:cs="Arial"/>
            <w:sz w:val="20"/>
            <w:szCs w:val="20"/>
            <w:lang w:val="es-UY"/>
          </w:rPr>
          <w:t>18.381</w:t>
        </w:r>
      </w:hyperlink>
      <w:r w:rsidRPr="00E2664E">
        <w:rPr>
          <w:rFonts w:ascii="Arial" w:hAnsi="Arial" w:cs="Arial"/>
          <w:sz w:val="20"/>
          <w:szCs w:val="20"/>
          <w:lang w:val="es-UY"/>
        </w:rPr>
        <w:t xml:space="preserve"> de 17 de octubre de 2008.</w:t>
      </w:r>
    </w:p>
    <w:p w14:paraId="40729960" w14:textId="77777777" w:rsidR="007F2C68" w:rsidRPr="00E2664E" w:rsidRDefault="007F2C68" w:rsidP="009A58E0">
      <w:pPr>
        <w:pStyle w:val="T1"/>
        <w:numPr>
          <w:ilvl w:val="0"/>
          <w:numId w:val="90"/>
        </w:numPr>
        <w:outlineLvl w:val="2"/>
      </w:pPr>
      <w:bookmarkStart w:id="149" w:name="_Toc468287981"/>
      <w:bookmarkStart w:id="150" w:name="_Toc496266574"/>
      <w:bookmarkStart w:id="151" w:name="Lit_17"/>
      <w:r w:rsidRPr="00E2664E">
        <w:t>COMISIÓN TÉCNICA</w:t>
      </w:r>
      <w:bookmarkEnd w:id="149"/>
      <w:bookmarkEnd w:id="150"/>
    </w:p>
    <w:bookmarkEnd w:id="151"/>
    <w:p w14:paraId="0772D0D2"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Las ofertas presentadas serán examinadas por la Comisión Técnica de acuerdo a los</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criterios de evaluación establecidos en </w:t>
      </w:r>
      <w:r w:rsidRPr="009E2BFE">
        <w:rPr>
          <w:rFonts w:ascii="Arial" w:hAnsi="Arial" w:cs="Arial"/>
          <w:sz w:val="20"/>
          <w:szCs w:val="20"/>
          <w:lang w:val="es-UY" w:eastAsia="es-ES"/>
        </w:rPr>
        <w:t xml:space="preserve">el </w:t>
      </w:r>
      <w:hyperlink w:anchor="A_7" w:history="1">
        <w:r w:rsidRPr="003B2705">
          <w:rPr>
            <w:rStyle w:val="Hipervnculo"/>
            <w:rFonts w:ascii="Arial" w:hAnsi="Arial" w:cs="Arial"/>
            <w:bCs/>
            <w:sz w:val="20"/>
            <w:szCs w:val="20"/>
            <w:lang w:val="es-UY" w:eastAsia="es-ES"/>
          </w:rPr>
          <w:t>Anexo VII</w:t>
        </w:r>
      </w:hyperlink>
      <w:r w:rsidRPr="00E2664E">
        <w:rPr>
          <w:rFonts w:ascii="Arial" w:hAnsi="Arial" w:cs="Arial"/>
          <w:sz w:val="20"/>
          <w:szCs w:val="20"/>
          <w:lang w:val="es-UY" w:eastAsia="es-ES"/>
        </w:rPr>
        <w:t>.</w:t>
      </w:r>
    </w:p>
    <w:p w14:paraId="5AC1ACB4"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A efectos de su evaluación, la Comisión Técnica podrá solicitar al oferente en la forma establecida en este pliego,</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las aclaraciones que considere pertinentes, pero no se podrá, en ningún caso, pedir ni permitir que se modifique el contenido de la oferta. Asimismo, la Comisión Técnica podrá solicitar los asesoramientos que considere oportuno.</w:t>
      </w:r>
    </w:p>
    <w:p w14:paraId="530B59DE"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Las ofertas deberán ajustarse a los requisitos técnicos, económicos y al objeto requerido. No podrán ser consideradas aquellas que contengan apartamientos sustanciales a las exigencias contenidas en las bases de contratación. </w:t>
      </w:r>
    </w:p>
    <w:p w14:paraId="758389BD"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Se considerará que una oferta se ajusta sustancialmente cuando concuerda con todos los términos, condiciones y especificaciones </w:t>
      </w:r>
      <w:r w:rsidRPr="00E2664E">
        <w:rPr>
          <w:rFonts w:ascii="Arial" w:hAnsi="Arial" w:cs="Arial"/>
          <w:sz w:val="20"/>
          <w:szCs w:val="20"/>
          <w:lang w:val="es-UY" w:eastAsia="es-ES"/>
        </w:rPr>
        <w:lastRenderedPageBreak/>
        <w:t>de las bases de la contratación, sin desviaciones, reservas u omisiones significativas. Constituye una desviación, reserva u omisión significativa aquella que:</w:t>
      </w:r>
    </w:p>
    <w:p w14:paraId="52480DAC" w14:textId="77777777" w:rsidR="007F2C68" w:rsidRPr="00E2664E" w:rsidRDefault="007F2C68" w:rsidP="00AF3D4D">
      <w:pPr>
        <w:numPr>
          <w:ilvl w:val="3"/>
          <w:numId w:val="4"/>
        </w:numPr>
        <w:spacing w:after="100" w:afterAutospacing="1"/>
        <w:jc w:val="both"/>
        <w:rPr>
          <w:rFonts w:ascii="Arial" w:hAnsi="Arial" w:cs="Arial"/>
          <w:sz w:val="20"/>
          <w:szCs w:val="20"/>
          <w:lang w:val="es-UY" w:eastAsia="es-ES"/>
        </w:rPr>
      </w:pPr>
      <w:r w:rsidRPr="00E2664E">
        <w:rPr>
          <w:rFonts w:ascii="Arial" w:hAnsi="Arial" w:cs="Arial"/>
          <w:sz w:val="20"/>
          <w:szCs w:val="20"/>
          <w:lang w:val="es-UY" w:eastAsia="es-ES"/>
        </w:rPr>
        <w:t>afecta de manera sustancial, a juicio de la Contratante, la calidad o cantidad de los trabajos especificados en las bases de contratación; o,</w:t>
      </w:r>
    </w:p>
    <w:p w14:paraId="31415C9F" w14:textId="77777777" w:rsidR="007F2C68" w:rsidRPr="00E2664E" w:rsidRDefault="007F2C68" w:rsidP="00AF3D4D">
      <w:pPr>
        <w:numPr>
          <w:ilvl w:val="3"/>
          <w:numId w:val="4"/>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t>limita de manera sustancial, en discrepancia con lo establecido en las bases de contratación, los derechos de la Contratante o las obligaciones del Oferente emanadas del Contrato; o</w:t>
      </w:r>
    </w:p>
    <w:p w14:paraId="338B1123" w14:textId="77777777" w:rsidR="007F2C68" w:rsidRPr="00E2664E" w:rsidRDefault="007F2C68" w:rsidP="00AF3D4D">
      <w:pPr>
        <w:numPr>
          <w:ilvl w:val="3"/>
          <w:numId w:val="4"/>
        </w:numPr>
        <w:spacing w:before="100" w:beforeAutospacing="1" w:after="100" w:afterAutospacing="1"/>
        <w:jc w:val="both"/>
        <w:rPr>
          <w:rFonts w:ascii="Arial" w:hAnsi="Arial" w:cs="Arial"/>
          <w:sz w:val="20"/>
          <w:szCs w:val="20"/>
          <w:lang w:val="es-UY" w:eastAsia="es-ES"/>
        </w:rPr>
      </w:pPr>
      <w:r w:rsidRPr="00E2664E">
        <w:rPr>
          <w:rFonts w:ascii="Arial" w:hAnsi="Arial" w:cs="Arial"/>
          <w:sz w:val="20"/>
          <w:szCs w:val="20"/>
          <w:lang w:val="es-UY" w:eastAsia="es-ES"/>
        </w:rPr>
        <w:t>de rectificarse, afectaría el principio de ecuanimidad en la posición competitiva de otros oferentes que hubiesen presentado ofertas que se ajusten sustancialmente a las bases de la contratación.</w:t>
      </w:r>
    </w:p>
    <w:p w14:paraId="791D293A" w14:textId="77777777" w:rsidR="007F2C68" w:rsidRPr="00E2664E" w:rsidRDefault="007F2C68" w:rsidP="009A58E0">
      <w:pPr>
        <w:pStyle w:val="T1"/>
        <w:numPr>
          <w:ilvl w:val="0"/>
          <w:numId w:val="90"/>
        </w:numPr>
        <w:outlineLvl w:val="2"/>
      </w:pPr>
      <w:bookmarkStart w:id="152" w:name="_Toc468287982"/>
      <w:bookmarkStart w:id="153" w:name="_Toc496266575"/>
      <w:bookmarkStart w:id="154" w:name="Lit_18"/>
      <w:r w:rsidRPr="00E2664E">
        <w:t>APERTURA Y EVALUACIÓN DE LAS PROPUESTAS</w:t>
      </w:r>
      <w:bookmarkEnd w:id="152"/>
      <w:bookmarkEnd w:id="153"/>
    </w:p>
    <w:p w14:paraId="6EC39B24" w14:textId="77777777" w:rsidR="007F2C68" w:rsidRPr="00E2664E" w:rsidRDefault="007F2C68" w:rsidP="009A58E0">
      <w:pPr>
        <w:pStyle w:val="T2"/>
        <w:numPr>
          <w:ilvl w:val="1"/>
          <w:numId w:val="90"/>
        </w:numPr>
        <w:outlineLvl w:val="3"/>
      </w:pPr>
      <w:bookmarkStart w:id="155" w:name="_Toc468287983"/>
      <w:bookmarkStart w:id="156" w:name="_Toc496266576"/>
      <w:bookmarkStart w:id="157" w:name="Lit_18_1"/>
      <w:bookmarkEnd w:id="154"/>
      <w:r w:rsidRPr="00E2664E">
        <w:t>APERTURA PÚBLICA</w:t>
      </w:r>
      <w:bookmarkEnd w:id="155"/>
      <w:bookmarkEnd w:id="156"/>
    </w:p>
    <w:bookmarkEnd w:id="157"/>
    <w:p w14:paraId="6123A4B2"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Los funcionarios procederán a la apertura del Sobre Nº 1, siendo signados todos los documentos por</w:t>
      </w:r>
      <w:r w:rsidR="00B14DCC">
        <w:rPr>
          <w:rFonts w:ascii="Arial" w:hAnsi="Arial" w:cs="Arial"/>
          <w:sz w:val="20"/>
          <w:szCs w:val="20"/>
        </w:rPr>
        <w:t xml:space="preserve"> </w:t>
      </w:r>
      <w:r w:rsidRPr="00E2664E">
        <w:rPr>
          <w:rFonts w:ascii="Arial" w:hAnsi="Arial" w:cs="Arial"/>
          <w:sz w:val="20"/>
          <w:szCs w:val="20"/>
        </w:rPr>
        <w:t>Escribano Público, sin que los mismos sean estudiados en esta etapa.</w:t>
      </w:r>
    </w:p>
    <w:p w14:paraId="2F721ACE"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1223BE">
        <w:rPr>
          <w:rFonts w:ascii="Arial" w:hAnsi="Arial" w:cs="Arial"/>
          <w:sz w:val="20"/>
          <w:szCs w:val="20"/>
        </w:rPr>
        <w:lastRenderedPageBreak/>
        <w:t>El Sobre Nº 2,</w:t>
      </w:r>
      <w:r>
        <w:rPr>
          <w:rFonts w:ascii="Arial" w:hAnsi="Arial" w:cs="Arial"/>
          <w:sz w:val="20"/>
          <w:szCs w:val="20"/>
        </w:rPr>
        <w:t xml:space="preserve"> sin abrir, quedará</w:t>
      </w:r>
      <w:r w:rsidRPr="00E2664E">
        <w:rPr>
          <w:rFonts w:ascii="Arial" w:hAnsi="Arial" w:cs="Arial"/>
          <w:sz w:val="20"/>
          <w:szCs w:val="20"/>
        </w:rPr>
        <w:t xml:space="preserve"> en custodia del Escribano Público actuante. La apertura de dichos sobres se hará una vez analizada por la Comisión Técnica el contenido del Sobre Nº 1. </w:t>
      </w:r>
    </w:p>
    <w:p w14:paraId="477B1805" w14:textId="77777777" w:rsidR="007F2C68" w:rsidRPr="00E2664E" w:rsidRDefault="007F2C68" w:rsidP="007F2C68">
      <w:pPr>
        <w:autoSpaceDE w:val="0"/>
        <w:autoSpaceDN w:val="0"/>
        <w:adjustRightInd w:val="0"/>
        <w:spacing w:after="120"/>
        <w:jc w:val="both"/>
        <w:rPr>
          <w:rFonts w:ascii="Arial" w:hAnsi="Arial" w:cs="Arial"/>
          <w:b/>
          <w:bCs/>
          <w:sz w:val="20"/>
          <w:szCs w:val="20"/>
          <w:lang w:val="es-UY"/>
        </w:rPr>
      </w:pPr>
    </w:p>
    <w:p w14:paraId="585540B8" w14:textId="77777777" w:rsidR="007F2C68" w:rsidRPr="00E2664E" w:rsidRDefault="007F2C68" w:rsidP="009A58E0">
      <w:pPr>
        <w:pStyle w:val="T2"/>
        <w:numPr>
          <w:ilvl w:val="1"/>
          <w:numId w:val="90"/>
        </w:numPr>
        <w:outlineLvl w:val="3"/>
      </w:pPr>
      <w:bookmarkStart w:id="158" w:name="_Toc468287984"/>
      <w:bookmarkStart w:id="159" w:name="_Toc496266577"/>
      <w:bookmarkStart w:id="160" w:name="Lit_18_2"/>
      <w:r w:rsidRPr="00E2664E">
        <w:t>EVALUACIÓN DE ANTECEDENTES (Sobre Nº 1).</w:t>
      </w:r>
      <w:bookmarkEnd w:id="158"/>
      <w:bookmarkEnd w:id="159"/>
    </w:p>
    <w:bookmarkEnd w:id="160"/>
    <w:p w14:paraId="59A0C8EE"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Comisión Técnica procederá al estudio de la documentación </w:t>
      </w:r>
      <w:r w:rsidRPr="002C5F96">
        <w:rPr>
          <w:rFonts w:ascii="Arial" w:hAnsi="Arial" w:cs="Arial"/>
          <w:sz w:val="20"/>
          <w:szCs w:val="20"/>
          <w:lang w:val="es-UY"/>
        </w:rPr>
        <w:t>relativa a ANTECEDENTES</w:t>
      </w:r>
      <w:r>
        <w:rPr>
          <w:rFonts w:ascii="Arial" w:hAnsi="Arial" w:cs="Arial"/>
          <w:sz w:val="20"/>
          <w:szCs w:val="20"/>
          <w:lang w:val="es-UY"/>
        </w:rPr>
        <w:t xml:space="preserve"> </w:t>
      </w:r>
      <w:r w:rsidRPr="00E2664E">
        <w:rPr>
          <w:rFonts w:ascii="Arial" w:hAnsi="Arial" w:cs="Arial"/>
          <w:sz w:val="20"/>
          <w:szCs w:val="20"/>
          <w:lang w:val="es-UY"/>
        </w:rPr>
        <w:t xml:space="preserve">contenida en el Sobre Nº 1, la que deberá ajustarse a los requerimientos solicitados so pena de ser descalificada. </w:t>
      </w:r>
    </w:p>
    <w:p w14:paraId="0849367E" w14:textId="77777777" w:rsidR="007F2C68" w:rsidRDefault="007F2C68" w:rsidP="007F2C68">
      <w:pPr>
        <w:spacing w:after="120"/>
        <w:jc w:val="both"/>
        <w:rPr>
          <w:rFonts w:ascii="Arial" w:hAnsi="Arial" w:cs="Arial"/>
          <w:sz w:val="20"/>
          <w:szCs w:val="20"/>
        </w:rPr>
      </w:pPr>
      <w:r w:rsidRPr="002C5F96">
        <w:rPr>
          <w:rFonts w:ascii="Arial" w:hAnsi="Arial" w:cs="Arial"/>
          <w:sz w:val="20"/>
          <w:szCs w:val="20"/>
        </w:rPr>
        <w:t xml:space="preserve">Cumplida la etapa precedente, la Comisión Técnica </w:t>
      </w:r>
      <w:r w:rsidR="003B2705">
        <w:rPr>
          <w:rFonts w:ascii="Arial" w:hAnsi="Arial" w:cs="Arial"/>
          <w:sz w:val="20"/>
          <w:szCs w:val="20"/>
        </w:rPr>
        <w:t>sugerirá</w:t>
      </w:r>
      <w:r>
        <w:rPr>
          <w:rFonts w:ascii="Arial" w:hAnsi="Arial" w:cs="Arial"/>
          <w:sz w:val="20"/>
          <w:szCs w:val="20"/>
        </w:rPr>
        <w:t xml:space="preserve"> </w:t>
      </w:r>
      <w:r w:rsidRPr="00E2664E">
        <w:rPr>
          <w:rFonts w:ascii="Arial" w:hAnsi="Arial" w:cs="Arial"/>
          <w:sz w:val="20"/>
          <w:szCs w:val="20"/>
        </w:rPr>
        <w:t>las ofertas admitidas para la continuación del proceso y en caso de existir, las</w:t>
      </w:r>
      <w:r w:rsidR="00B14DCC">
        <w:rPr>
          <w:rFonts w:ascii="Arial" w:hAnsi="Arial" w:cs="Arial"/>
          <w:sz w:val="20"/>
          <w:szCs w:val="20"/>
        </w:rPr>
        <w:t xml:space="preserve"> </w:t>
      </w:r>
      <w:r w:rsidR="003B2705">
        <w:rPr>
          <w:rFonts w:ascii="Arial" w:hAnsi="Arial" w:cs="Arial"/>
          <w:sz w:val="20"/>
          <w:szCs w:val="20"/>
        </w:rPr>
        <w:t>ofertas que debería</w:t>
      </w:r>
      <w:r w:rsidRPr="00E2664E">
        <w:rPr>
          <w:rFonts w:ascii="Arial" w:hAnsi="Arial" w:cs="Arial"/>
          <w:sz w:val="20"/>
          <w:szCs w:val="20"/>
        </w:rPr>
        <w:t>n ser desestimadas, exponiendo las razones que condujeron a ello.</w:t>
      </w:r>
    </w:p>
    <w:p w14:paraId="7BBC460E" w14:textId="77777777" w:rsidR="007F2C68" w:rsidRPr="00032EE9" w:rsidRDefault="007F2C68" w:rsidP="009A58E0">
      <w:pPr>
        <w:pStyle w:val="T2"/>
        <w:numPr>
          <w:ilvl w:val="1"/>
          <w:numId w:val="90"/>
        </w:numPr>
        <w:outlineLvl w:val="3"/>
      </w:pPr>
      <w:bookmarkStart w:id="161" w:name="_Toc468287985"/>
      <w:bookmarkStart w:id="162" w:name="_Toc496266578"/>
      <w:bookmarkStart w:id="163" w:name="Lit_18_3"/>
      <w:r w:rsidRPr="00032EE9">
        <w:t>EVALUACIÓN DE PROPUESTA TÉCNICA (Sobre Nº 1) E INFORME.</w:t>
      </w:r>
      <w:bookmarkEnd w:id="161"/>
      <w:bookmarkEnd w:id="162"/>
    </w:p>
    <w:bookmarkEnd w:id="163"/>
    <w:p w14:paraId="00D86F77" w14:textId="77777777" w:rsidR="007F2C68" w:rsidRPr="00032EE9" w:rsidRDefault="007F2C68" w:rsidP="007F2C68">
      <w:pPr>
        <w:autoSpaceDE w:val="0"/>
        <w:autoSpaceDN w:val="0"/>
        <w:adjustRightInd w:val="0"/>
        <w:spacing w:after="120"/>
        <w:jc w:val="both"/>
        <w:rPr>
          <w:rFonts w:ascii="Arial" w:hAnsi="Arial" w:cs="Arial"/>
          <w:sz w:val="20"/>
          <w:szCs w:val="20"/>
          <w:lang w:val="es-UY"/>
        </w:rPr>
      </w:pPr>
      <w:r w:rsidRPr="00032EE9">
        <w:rPr>
          <w:rFonts w:ascii="Arial" w:hAnsi="Arial" w:cs="Arial"/>
          <w:sz w:val="20"/>
          <w:szCs w:val="20"/>
          <w:lang w:val="es-UY"/>
        </w:rPr>
        <w:t>A continuación</w:t>
      </w:r>
      <w:r w:rsidR="00B80202">
        <w:rPr>
          <w:rFonts w:ascii="Arial" w:hAnsi="Arial" w:cs="Arial"/>
          <w:sz w:val="20"/>
          <w:szCs w:val="20"/>
          <w:lang w:val="es-UY"/>
        </w:rPr>
        <w:t>,</w:t>
      </w:r>
      <w:r w:rsidRPr="00032EE9">
        <w:rPr>
          <w:rFonts w:ascii="Arial" w:hAnsi="Arial" w:cs="Arial"/>
          <w:sz w:val="20"/>
          <w:szCs w:val="20"/>
          <w:lang w:val="es-UY"/>
        </w:rPr>
        <w:t xml:space="preserve"> la Comisión técnica valorará de acuerdo con lo establecido en el </w:t>
      </w:r>
      <w:hyperlink w:anchor="A_7" w:history="1">
        <w:r w:rsidRPr="003B2705">
          <w:rPr>
            <w:rStyle w:val="Hipervnculo"/>
            <w:rFonts w:ascii="Arial" w:hAnsi="Arial" w:cs="Arial"/>
            <w:bCs/>
            <w:sz w:val="20"/>
            <w:szCs w:val="20"/>
            <w:lang w:val="es-UY"/>
          </w:rPr>
          <w:t>Anexo VII</w:t>
        </w:r>
      </w:hyperlink>
      <w:r w:rsidRPr="00032EE9">
        <w:rPr>
          <w:rFonts w:ascii="Arial" w:hAnsi="Arial" w:cs="Arial"/>
          <w:sz w:val="20"/>
          <w:szCs w:val="20"/>
          <w:lang w:val="es-UY"/>
        </w:rPr>
        <w:t xml:space="preserve"> el contenido del “Sobre Nº 1 </w:t>
      </w:r>
      <w:r w:rsidRPr="00032EE9">
        <w:rPr>
          <w:rFonts w:ascii="Arial" w:hAnsi="Arial" w:cs="Arial"/>
          <w:sz w:val="20"/>
          <w:szCs w:val="20"/>
          <w:lang w:val="es-UY"/>
        </w:rPr>
        <w:lastRenderedPageBreak/>
        <w:t xml:space="preserve">PROPUESTA TÉCNICA” de las ofertas admitidas, siendo </w:t>
      </w:r>
      <w:r w:rsidRPr="00032EE9">
        <w:rPr>
          <w:rFonts w:ascii="Arial" w:hAnsi="Arial" w:cs="Arial"/>
          <w:sz w:val="20"/>
          <w:szCs w:val="20"/>
        </w:rPr>
        <w:t xml:space="preserve">descalificadas las propuestas que no alcancen </w:t>
      </w:r>
      <w:r w:rsidR="00A314F1" w:rsidRPr="002A3B5B">
        <w:rPr>
          <w:rFonts w:ascii="Arial" w:hAnsi="Arial" w:cs="Arial"/>
          <w:sz w:val="20"/>
          <w:szCs w:val="20"/>
        </w:rPr>
        <w:t>a 60 puntos en la puntuación del Sobre N° 1.</w:t>
      </w:r>
    </w:p>
    <w:p w14:paraId="0A38DCC2" w14:textId="77777777" w:rsidR="007F2C68" w:rsidRPr="00032EE9" w:rsidRDefault="007F2C68" w:rsidP="007F2C68">
      <w:pPr>
        <w:spacing w:after="120"/>
        <w:jc w:val="both"/>
        <w:rPr>
          <w:rFonts w:ascii="Arial" w:hAnsi="Arial" w:cs="Arial"/>
          <w:sz w:val="20"/>
          <w:szCs w:val="20"/>
        </w:rPr>
      </w:pPr>
      <w:r w:rsidRPr="00032EE9">
        <w:rPr>
          <w:rFonts w:ascii="Arial" w:hAnsi="Arial" w:cs="Arial"/>
          <w:sz w:val="20"/>
          <w:szCs w:val="20"/>
        </w:rPr>
        <w:t>Analizada la documentación la Comisión Técnica elaborará un informe, acompañado de</w:t>
      </w:r>
      <w:r w:rsidR="00B14DCC">
        <w:rPr>
          <w:rFonts w:ascii="Arial" w:hAnsi="Arial" w:cs="Arial"/>
          <w:sz w:val="20"/>
          <w:szCs w:val="20"/>
        </w:rPr>
        <w:t xml:space="preserve"> </w:t>
      </w:r>
      <w:r w:rsidRPr="00032EE9">
        <w:rPr>
          <w:rFonts w:ascii="Arial" w:hAnsi="Arial" w:cs="Arial"/>
          <w:sz w:val="20"/>
          <w:szCs w:val="20"/>
        </w:rPr>
        <w:t>la nómina de oferentes que recomienda califiquen para la instancia de apertura del</w:t>
      </w:r>
      <w:r w:rsidR="00B14DCC">
        <w:rPr>
          <w:rFonts w:ascii="Arial" w:hAnsi="Arial" w:cs="Arial"/>
          <w:sz w:val="20"/>
          <w:szCs w:val="20"/>
        </w:rPr>
        <w:t xml:space="preserve"> </w:t>
      </w:r>
      <w:r w:rsidRPr="00032EE9">
        <w:rPr>
          <w:rFonts w:ascii="Arial" w:hAnsi="Arial" w:cs="Arial"/>
          <w:sz w:val="20"/>
          <w:szCs w:val="20"/>
        </w:rPr>
        <w:t>“Sobre Nº 2”, con los puntajes propuestos.</w:t>
      </w:r>
    </w:p>
    <w:p w14:paraId="4279BE9E" w14:textId="77777777" w:rsidR="007F2C68" w:rsidRPr="00032EE9" w:rsidRDefault="007F2C68" w:rsidP="007F2C68">
      <w:pPr>
        <w:spacing w:after="120"/>
        <w:jc w:val="both"/>
        <w:rPr>
          <w:rFonts w:ascii="Arial" w:hAnsi="Arial" w:cs="Arial"/>
          <w:sz w:val="20"/>
          <w:szCs w:val="20"/>
          <w:lang w:val="es-UY" w:eastAsia="es-ES"/>
        </w:rPr>
      </w:pPr>
      <w:r w:rsidRPr="00032EE9">
        <w:rPr>
          <w:rFonts w:ascii="Arial" w:hAnsi="Arial" w:cs="Arial"/>
          <w:sz w:val="20"/>
          <w:szCs w:val="20"/>
          <w:lang w:eastAsia="es-ES"/>
        </w:rPr>
        <w:t>La Comisión Técnica se</w:t>
      </w:r>
      <w:r w:rsidRPr="00032EE9">
        <w:rPr>
          <w:rFonts w:ascii="Arial" w:hAnsi="Arial" w:cs="Arial"/>
          <w:sz w:val="20"/>
          <w:szCs w:val="20"/>
          <w:lang w:val="es-UY" w:eastAsia="es-ES"/>
        </w:rPr>
        <w:t xml:space="preserve"> expedirá en un plazo máximo de 30 días, plazo que podrá ser</w:t>
      </w:r>
      <w:r w:rsidR="00B14DCC">
        <w:rPr>
          <w:rFonts w:ascii="Arial" w:hAnsi="Arial" w:cs="Arial"/>
          <w:sz w:val="20"/>
          <w:szCs w:val="20"/>
          <w:lang w:val="es-UY" w:eastAsia="es-ES"/>
        </w:rPr>
        <w:t xml:space="preserve"> </w:t>
      </w:r>
      <w:r w:rsidRPr="00032EE9">
        <w:rPr>
          <w:rFonts w:ascii="Arial" w:hAnsi="Arial" w:cs="Arial"/>
          <w:sz w:val="20"/>
          <w:szCs w:val="20"/>
          <w:lang w:val="es-UY" w:eastAsia="es-ES"/>
        </w:rPr>
        <w:t xml:space="preserve">prorrogado cuando la complejidad y/o volumen de la documentación lo amerite. </w:t>
      </w:r>
    </w:p>
    <w:p w14:paraId="539284F5" w14:textId="77777777" w:rsidR="007F2C68" w:rsidRPr="00032EE9" w:rsidRDefault="00CF0FFF" w:rsidP="007F2C68">
      <w:pPr>
        <w:spacing w:after="120"/>
        <w:jc w:val="both"/>
        <w:rPr>
          <w:rFonts w:ascii="Arial" w:hAnsi="Arial" w:cs="Arial"/>
          <w:sz w:val="20"/>
          <w:szCs w:val="20"/>
          <w:lang w:val="es-UY" w:eastAsia="es-ES"/>
        </w:rPr>
      </w:pPr>
      <w:r>
        <w:rPr>
          <w:rFonts w:ascii="Arial" w:hAnsi="Arial" w:cs="Arial"/>
          <w:sz w:val="20"/>
          <w:szCs w:val="20"/>
          <w:lang w:val="es-UY" w:eastAsia="es-ES"/>
        </w:rPr>
        <w:t>El expediente y el informe se pondrán de manifiesto para formular observaciones por el término de cinco días hábiles, en la División Gestión Administrativa Financiero Contable- Departamento Secretaría General de la Dirección Nacional de Vialidad del Ministerio de Transporte y Obras Públicas, sita en Rincón 575, piso 8 de la ciudad de Montevideo, en el horario de 9:30 a 16:00 horas.</w:t>
      </w:r>
      <w:r w:rsidR="007F2C68" w:rsidRPr="00032EE9">
        <w:rPr>
          <w:rFonts w:ascii="Arial" w:hAnsi="Arial" w:cs="Arial"/>
          <w:sz w:val="20"/>
          <w:szCs w:val="20"/>
          <w:lang w:val="es-UY" w:eastAsia="es-ES"/>
        </w:rPr>
        <w:t>.</w:t>
      </w:r>
    </w:p>
    <w:p w14:paraId="37038D29" w14:textId="77777777" w:rsidR="007F2C68" w:rsidRPr="00032EE9" w:rsidRDefault="007F2C68" w:rsidP="007F2C68">
      <w:pPr>
        <w:spacing w:after="120"/>
        <w:jc w:val="both"/>
        <w:rPr>
          <w:rFonts w:ascii="Arial" w:hAnsi="Arial" w:cs="Arial"/>
          <w:sz w:val="20"/>
          <w:szCs w:val="20"/>
        </w:rPr>
      </w:pPr>
      <w:r w:rsidRPr="00032EE9">
        <w:rPr>
          <w:rFonts w:ascii="Arial" w:hAnsi="Arial" w:cs="Arial"/>
          <w:sz w:val="20"/>
          <w:szCs w:val="20"/>
          <w:lang w:val="es-UY" w:eastAsia="es-ES"/>
        </w:rPr>
        <w:t>Posteriormente la Contratante dictará resolución, la que</w:t>
      </w:r>
      <w:r w:rsidRPr="00032EE9">
        <w:rPr>
          <w:rFonts w:ascii="Arial" w:hAnsi="Arial" w:cs="Arial"/>
          <w:sz w:val="20"/>
          <w:szCs w:val="20"/>
        </w:rPr>
        <w:t xml:space="preserve"> se notificará a todos los oferentes precalificados y en la que constará la nómina de los oferentes que hayan calificado en esta etapa, así como la fecha para la apertura del “Sobre Nº 2”. </w:t>
      </w:r>
    </w:p>
    <w:p w14:paraId="1E4B35CA" w14:textId="77777777" w:rsidR="007F2C68" w:rsidRPr="002C5F96" w:rsidRDefault="007F2C68" w:rsidP="007F2C68">
      <w:pPr>
        <w:spacing w:after="120"/>
        <w:jc w:val="both"/>
        <w:rPr>
          <w:rFonts w:ascii="Arial" w:hAnsi="Arial" w:cs="Arial"/>
          <w:sz w:val="20"/>
          <w:szCs w:val="20"/>
        </w:rPr>
      </w:pPr>
      <w:r w:rsidRPr="002C5F96">
        <w:rPr>
          <w:rFonts w:ascii="Arial" w:hAnsi="Arial" w:cs="Arial"/>
          <w:sz w:val="20"/>
          <w:szCs w:val="20"/>
        </w:rPr>
        <w:lastRenderedPageBreak/>
        <w:t xml:space="preserve">Los oferentes que no hayan calificado podrán retirar los sobres que no hayan sido abiertos y solicitar la devolución de la garantía de mantenimiento de oferta. </w:t>
      </w:r>
    </w:p>
    <w:p w14:paraId="465B3C55" w14:textId="01A64D40" w:rsidR="007F2C68" w:rsidRPr="002C5F96" w:rsidRDefault="007F2C68" w:rsidP="009A58E0">
      <w:pPr>
        <w:pStyle w:val="T2"/>
        <w:numPr>
          <w:ilvl w:val="1"/>
          <w:numId w:val="90"/>
        </w:numPr>
        <w:outlineLvl w:val="3"/>
      </w:pPr>
      <w:bookmarkStart w:id="164" w:name="Lit_18_4"/>
      <w:bookmarkStart w:id="165" w:name="_Ref438052982"/>
      <w:bookmarkStart w:id="166" w:name="_Ref438052984"/>
      <w:bookmarkStart w:id="167" w:name="_Ref438052994"/>
      <w:bookmarkStart w:id="168" w:name="_Toc468287986"/>
      <w:bookmarkStart w:id="169" w:name="_Toc496266579"/>
      <w:r w:rsidRPr="002C5F96">
        <w:rPr>
          <w:rStyle w:val="CND4Car"/>
        </w:rPr>
        <w:t>AP</w:t>
      </w:r>
      <w:r w:rsidRPr="00676EFF">
        <w:rPr>
          <w:rStyle w:val="CND4Car"/>
        </w:rPr>
        <w:t xml:space="preserve">ERTURA PÚBLICA Y EVALUACIÓN DE LAS PROPUESTAS </w:t>
      </w:r>
      <w:bookmarkEnd w:id="164"/>
      <w:r w:rsidRPr="002C5F96">
        <w:rPr>
          <w:rStyle w:val="CND4Car"/>
        </w:rPr>
        <w:t>ECONÓMICAS</w:t>
      </w:r>
      <w:r w:rsidR="009912E7">
        <w:rPr>
          <w:rStyle w:val="CND4Car"/>
        </w:rPr>
        <w:t xml:space="preserve"> </w:t>
      </w:r>
      <w:r w:rsidRPr="002C5F96">
        <w:t>(Sobre Nº2)</w:t>
      </w:r>
      <w:bookmarkEnd w:id="165"/>
      <w:bookmarkEnd w:id="166"/>
      <w:bookmarkEnd w:id="167"/>
      <w:bookmarkEnd w:id="168"/>
      <w:bookmarkEnd w:id="169"/>
    </w:p>
    <w:p w14:paraId="35265A54" w14:textId="77777777" w:rsidR="007F2C68" w:rsidRPr="00E2664E" w:rsidRDefault="007F2C68" w:rsidP="007F2C68">
      <w:pPr>
        <w:spacing w:after="120"/>
        <w:jc w:val="both"/>
        <w:rPr>
          <w:rFonts w:ascii="Arial" w:hAnsi="Arial" w:cs="Arial"/>
          <w:sz w:val="20"/>
          <w:szCs w:val="20"/>
        </w:rPr>
      </w:pPr>
      <w:r w:rsidRPr="00E2664E">
        <w:rPr>
          <w:rFonts w:ascii="Arial" w:hAnsi="Arial" w:cs="Arial"/>
          <w:sz w:val="20"/>
          <w:szCs w:val="20"/>
        </w:rPr>
        <w:t>Se realizará en el lugar, fecha y hora comunicada</w:t>
      </w:r>
      <w:r w:rsidR="00B14DCC">
        <w:rPr>
          <w:rFonts w:ascii="Arial" w:hAnsi="Arial" w:cs="Arial"/>
          <w:sz w:val="20"/>
          <w:szCs w:val="20"/>
        </w:rPr>
        <w:t xml:space="preserve"> </w:t>
      </w:r>
      <w:r w:rsidRPr="00E2664E">
        <w:rPr>
          <w:rFonts w:ascii="Arial" w:hAnsi="Arial" w:cs="Arial"/>
          <w:sz w:val="20"/>
          <w:szCs w:val="20"/>
        </w:rPr>
        <w:t>a los oferentes precalificados, en presencia de los funcionarios designados, entre los que debe haber un Escribano Público. Podrán asistir</w:t>
      </w:r>
      <w:r w:rsidR="00B14DCC">
        <w:rPr>
          <w:rFonts w:ascii="Arial" w:hAnsi="Arial" w:cs="Arial"/>
          <w:sz w:val="20"/>
          <w:szCs w:val="20"/>
        </w:rPr>
        <w:t xml:space="preserve"> </w:t>
      </w:r>
      <w:r w:rsidRPr="00E2664E">
        <w:rPr>
          <w:rFonts w:ascii="Arial" w:hAnsi="Arial" w:cs="Arial"/>
          <w:sz w:val="20"/>
          <w:szCs w:val="20"/>
        </w:rPr>
        <w:t>los oferentes o representantes que así lo deseen.</w:t>
      </w:r>
    </w:p>
    <w:p w14:paraId="1B640D01" w14:textId="77777777" w:rsidR="007F2C68" w:rsidRPr="00E2664E" w:rsidRDefault="007F2C68" w:rsidP="007F2C68">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t>Se procederá a la apertura del sobre, siendo signados todos estos documentos por el Escribano, sin que los mismos sean estudiados en esta instancia.</w:t>
      </w:r>
    </w:p>
    <w:p w14:paraId="68539396"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386FEF">
        <w:rPr>
          <w:rFonts w:ascii="Arial" w:hAnsi="Arial" w:cs="Arial"/>
          <w:sz w:val="20"/>
          <w:szCs w:val="20"/>
          <w:lang w:val="es-UY"/>
        </w:rPr>
        <w:t>El “Sobre Nº 2” se</w:t>
      </w:r>
      <w:r w:rsidRPr="00E2664E">
        <w:rPr>
          <w:rFonts w:ascii="Arial" w:hAnsi="Arial" w:cs="Arial"/>
          <w:sz w:val="20"/>
          <w:szCs w:val="20"/>
          <w:lang w:val="es-UY"/>
        </w:rPr>
        <w:t xml:space="preserve"> valorará</w:t>
      </w:r>
      <w:r w:rsidR="00B14DCC">
        <w:rPr>
          <w:rFonts w:ascii="Arial" w:hAnsi="Arial" w:cs="Arial"/>
          <w:sz w:val="20"/>
          <w:szCs w:val="20"/>
          <w:lang w:val="es-UY"/>
        </w:rPr>
        <w:t xml:space="preserve"> </w:t>
      </w:r>
      <w:r w:rsidRPr="00E2664E">
        <w:rPr>
          <w:rFonts w:ascii="Arial" w:hAnsi="Arial" w:cs="Arial"/>
          <w:sz w:val="20"/>
          <w:szCs w:val="20"/>
          <w:lang w:val="es-UY"/>
        </w:rPr>
        <w:t xml:space="preserve">de acuerdo con lo establecido en el </w:t>
      </w:r>
      <w:hyperlink w:anchor="A_7" w:history="1">
        <w:r w:rsidRPr="009E2BFE">
          <w:rPr>
            <w:rStyle w:val="Hipervnculo"/>
            <w:rFonts w:ascii="Arial" w:hAnsi="Arial" w:cs="Arial"/>
            <w:bCs/>
            <w:sz w:val="20"/>
            <w:szCs w:val="20"/>
            <w:lang w:val="es-UY"/>
          </w:rPr>
          <w:t>Anexo VII</w:t>
        </w:r>
      </w:hyperlink>
      <w:r w:rsidR="00C665A7" w:rsidRPr="009E2BFE">
        <w:rPr>
          <w:rFonts w:ascii="Arial" w:hAnsi="Arial" w:cs="Arial"/>
          <w:bCs/>
          <w:sz w:val="20"/>
          <w:szCs w:val="20"/>
          <w:lang w:val="es-UY"/>
        </w:rPr>
        <w:t>.</w:t>
      </w:r>
      <w:r w:rsidRPr="00E2664E">
        <w:rPr>
          <w:rFonts w:ascii="Arial" w:hAnsi="Arial" w:cs="Arial"/>
          <w:sz w:val="20"/>
          <w:szCs w:val="20"/>
          <w:lang w:val="es-UY"/>
        </w:rPr>
        <w:t xml:space="preserve"> </w:t>
      </w:r>
    </w:p>
    <w:p w14:paraId="6951D27B" w14:textId="77777777" w:rsidR="007F2C68" w:rsidRPr="00D9461A" w:rsidRDefault="007F2C68" w:rsidP="007F2C68">
      <w:pPr>
        <w:spacing w:after="120"/>
        <w:jc w:val="both"/>
        <w:rPr>
          <w:rFonts w:ascii="Arial" w:hAnsi="Arial" w:cs="Arial"/>
          <w:sz w:val="20"/>
          <w:szCs w:val="20"/>
          <w:lang w:val="es-UY"/>
        </w:rPr>
      </w:pPr>
      <w:r w:rsidRPr="00D9461A">
        <w:rPr>
          <w:rFonts w:ascii="Arial" w:hAnsi="Arial" w:cs="Arial"/>
          <w:sz w:val="20"/>
          <w:szCs w:val="20"/>
          <w:lang w:val="es-UY"/>
        </w:rPr>
        <w:t>Una oferta se considerará anormal o desproporcionada:</w:t>
      </w:r>
    </w:p>
    <w:p w14:paraId="0304B598" w14:textId="77777777" w:rsidR="007F2C68" w:rsidRPr="00D9461A" w:rsidRDefault="00F46978" w:rsidP="009A58E0">
      <w:pPr>
        <w:numPr>
          <w:ilvl w:val="0"/>
          <w:numId w:val="56"/>
        </w:numPr>
        <w:spacing w:after="120"/>
        <w:jc w:val="both"/>
        <w:rPr>
          <w:rFonts w:ascii="Arial" w:hAnsi="Arial" w:cs="Arial"/>
          <w:sz w:val="20"/>
          <w:szCs w:val="20"/>
          <w:lang w:val="es-UY"/>
        </w:rPr>
      </w:pPr>
      <w:r w:rsidRPr="00D9461A">
        <w:rPr>
          <w:rFonts w:ascii="Arial" w:hAnsi="Arial" w:cs="Arial"/>
          <w:sz w:val="20"/>
          <w:szCs w:val="20"/>
          <w:lang w:val="es-UY"/>
        </w:rPr>
        <w:t>Si las relaciones entre los coeficientes f</w:t>
      </w:r>
      <w:r w:rsidRPr="00D9461A">
        <w:rPr>
          <w:rFonts w:ascii="Arial" w:hAnsi="Arial" w:cs="Arial"/>
          <w:sz w:val="20"/>
          <w:szCs w:val="20"/>
          <w:vertAlign w:val="subscript"/>
          <w:lang w:val="es-UY"/>
        </w:rPr>
        <w:t>1</w:t>
      </w:r>
      <w:r w:rsidRPr="00D9461A">
        <w:rPr>
          <w:rFonts w:ascii="Arial" w:hAnsi="Arial" w:cs="Arial"/>
          <w:sz w:val="20"/>
          <w:szCs w:val="20"/>
          <w:lang w:val="es-UY"/>
        </w:rPr>
        <w:t>, f</w:t>
      </w:r>
      <w:r w:rsidRPr="00D9461A">
        <w:rPr>
          <w:rFonts w:ascii="Arial" w:hAnsi="Arial" w:cs="Arial"/>
          <w:sz w:val="20"/>
          <w:szCs w:val="20"/>
          <w:vertAlign w:val="subscript"/>
          <w:lang w:val="es-UY"/>
        </w:rPr>
        <w:t>2</w:t>
      </w:r>
      <w:r w:rsidRPr="00D9461A">
        <w:rPr>
          <w:rFonts w:ascii="Arial" w:hAnsi="Arial" w:cs="Arial"/>
          <w:sz w:val="20"/>
          <w:szCs w:val="20"/>
          <w:lang w:val="es-UY"/>
        </w:rPr>
        <w:t xml:space="preserve"> y f</w:t>
      </w:r>
      <w:r w:rsidRPr="00D9461A">
        <w:rPr>
          <w:rFonts w:ascii="Arial" w:hAnsi="Arial" w:cs="Arial"/>
          <w:sz w:val="20"/>
          <w:szCs w:val="20"/>
          <w:vertAlign w:val="subscript"/>
          <w:lang w:val="es-UY"/>
        </w:rPr>
        <w:t>3</w:t>
      </w:r>
      <w:r w:rsidRPr="00D9461A">
        <w:rPr>
          <w:rFonts w:ascii="Arial" w:hAnsi="Arial" w:cs="Arial"/>
          <w:sz w:val="20"/>
          <w:szCs w:val="20"/>
          <w:lang w:val="es-UY"/>
        </w:rPr>
        <w:t xml:space="preserve"> no cumplen las siguientes condiciones:</w:t>
      </w:r>
    </w:p>
    <w:p w14:paraId="66B733D3" w14:textId="4FDA29DC" w:rsidR="008C5F91" w:rsidRPr="003D32CC" w:rsidRDefault="003D32CC" w:rsidP="008C5F91">
      <w:pPr>
        <w:spacing w:after="120"/>
        <w:ind w:left="357"/>
        <w:jc w:val="center"/>
        <w:rPr>
          <w:rFonts w:ascii="Arial" w:hAnsi="Arial"/>
          <w:sz w:val="20"/>
          <w:lang w:val="es-UY"/>
        </w:rPr>
      </w:pPr>
      <w:r w:rsidRPr="003D32CC">
        <w:rPr>
          <w:rFonts w:ascii="Arial" w:hAnsi="Arial"/>
          <w:sz w:val="20"/>
          <w:lang w:val="es-UY"/>
        </w:rPr>
        <w:t xml:space="preserve">1 </w:t>
      </w:r>
      <w:r w:rsidR="008C5F91" w:rsidRPr="003D32CC">
        <w:rPr>
          <w:rFonts w:ascii="Arial" w:hAnsi="Arial"/>
          <w:sz w:val="20"/>
          <w:lang w:val="es-UY"/>
        </w:rPr>
        <w:t>≤ f</w:t>
      </w:r>
      <w:r w:rsidR="008C5F91" w:rsidRPr="003D32CC">
        <w:rPr>
          <w:sz w:val="20"/>
          <w:lang w:val="es-UY"/>
        </w:rPr>
        <w:t>₁</w:t>
      </w:r>
      <w:r w:rsidR="008C5F91" w:rsidRPr="003D32CC">
        <w:rPr>
          <w:rFonts w:ascii="Arial" w:hAnsi="Arial"/>
          <w:sz w:val="20"/>
          <w:lang w:val="es-UY"/>
        </w:rPr>
        <w:t xml:space="preserve"> ≤ </w:t>
      </w:r>
      <w:r w:rsidRPr="003D32CC">
        <w:rPr>
          <w:rFonts w:ascii="Arial" w:hAnsi="Arial"/>
          <w:sz w:val="20"/>
          <w:lang w:val="es-UY"/>
        </w:rPr>
        <w:t>2</w:t>
      </w:r>
    </w:p>
    <w:p w14:paraId="1D4C1AEB" w14:textId="7F84B063" w:rsidR="008C5F91" w:rsidRPr="003D32CC" w:rsidRDefault="00790C4F" w:rsidP="008C5F91">
      <w:pPr>
        <w:spacing w:after="120"/>
        <w:ind w:left="357"/>
        <w:jc w:val="center"/>
        <w:rPr>
          <w:rFonts w:ascii="Arial" w:hAnsi="Arial"/>
          <w:sz w:val="20"/>
          <w:lang w:val="es-UY"/>
        </w:rPr>
      </w:pPr>
      <w:r w:rsidRPr="003D32CC">
        <w:rPr>
          <w:rFonts w:ascii="Arial" w:hAnsi="Arial"/>
          <w:sz w:val="20"/>
          <w:lang w:val="es-UY"/>
        </w:rPr>
        <w:t>f</w:t>
      </w:r>
      <w:r w:rsidRPr="003D32CC">
        <w:rPr>
          <w:rFonts w:ascii="Arial" w:hAnsi="Arial"/>
          <w:sz w:val="20"/>
          <w:vertAlign w:val="subscript"/>
          <w:lang w:val="es-UY"/>
        </w:rPr>
        <w:t>2</w:t>
      </w:r>
      <w:r w:rsidRPr="003D32CC">
        <w:rPr>
          <w:rFonts w:ascii="Arial" w:hAnsi="Arial"/>
          <w:sz w:val="20"/>
          <w:lang w:val="es-UY"/>
        </w:rPr>
        <w:t xml:space="preserve"> </w:t>
      </w:r>
      <w:r w:rsidR="008C5F91" w:rsidRPr="003D32CC">
        <w:rPr>
          <w:rFonts w:ascii="Arial" w:hAnsi="Arial"/>
          <w:sz w:val="20"/>
          <w:lang w:val="es-UY"/>
        </w:rPr>
        <w:t xml:space="preserve">≤ </w:t>
      </w:r>
      <w:r w:rsidR="003D32CC" w:rsidRPr="003D32CC">
        <w:rPr>
          <w:rFonts w:ascii="Arial" w:hAnsi="Arial"/>
          <w:sz w:val="20"/>
          <w:lang w:val="es-UY"/>
        </w:rPr>
        <w:t>9,67</w:t>
      </w:r>
    </w:p>
    <w:p w14:paraId="0BB17E1E" w14:textId="7D11DA58" w:rsidR="008C5F91" w:rsidRPr="008C5F91" w:rsidRDefault="003D32CC" w:rsidP="008C5F91">
      <w:pPr>
        <w:spacing w:after="120"/>
        <w:ind w:left="357"/>
        <w:jc w:val="center"/>
        <w:rPr>
          <w:rFonts w:ascii="Arial" w:hAnsi="Arial" w:cs="Arial"/>
          <w:sz w:val="20"/>
          <w:szCs w:val="20"/>
          <w:lang w:val="es-UY"/>
        </w:rPr>
      </w:pPr>
      <w:r w:rsidRPr="003D32CC">
        <w:rPr>
          <w:rFonts w:ascii="Arial" w:hAnsi="Arial"/>
          <w:sz w:val="20"/>
          <w:lang w:val="es-UY"/>
        </w:rPr>
        <w:lastRenderedPageBreak/>
        <w:t>0,92</w:t>
      </w:r>
      <w:r w:rsidR="004F5242" w:rsidRPr="003D32CC">
        <w:rPr>
          <w:rFonts w:ascii="Arial" w:hAnsi="Arial"/>
          <w:sz w:val="20"/>
          <w:lang w:val="es-UY"/>
        </w:rPr>
        <w:t xml:space="preserve"> </w:t>
      </w:r>
      <w:r w:rsidR="008C5F91" w:rsidRPr="003D32CC">
        <w:rPr>
          <w:rFonts w:ascii="Arial" w:hAnsi="Arial"/>
          <w:sz w:val="20"/>
          <w:lang w:val="es-UY"/>
        </w:rPr>
        <w:t>≤ f</w:t>
      </w:r>
      <w:r w:rsidR="008C5F91" w:rsidRPr="003D32CC">
        <w:rPr>
          <w:sz w:val="20"/>
          <w:lang w:val="es-UY"/>
        </w:rPr>
        <w:t>₃</w:t>
      </w:r>
      <w:r w:rsidR="008C5F91" w:rsidRPr="003D32CC">
        <w:rPr>
          <w:rFonts w:ascii="Arial" w:hAnsi="Arial"/>
          <w:sz w:val="20"/>
          <w:lang w:val="es-UY"/>
        </w:rPr>
        <w:t xml:space="preserve"> ≤</w:t>
      </w:r>
      <w:r w:rsidR="004F5242" w:rsidRPr="003D32CC">
        <w:rPr>
          <w:rFonts w:ascii="Arial" w:hAnsi="Arial"/>
          <w:sz w:val="20"/>
          <w:lang w:val="es-UY"/>
        </w:rPr>
        <w:t xml:space="preserve"> </w:t>
      </w:r>
      <w:r w:rsidRPr="003D32CC">
        <w:rPr>
          <w:rFonts w:ascii="Arial" w:hAnsi="Arial"/>
          <w:sz w:val="20"/>
          <w:lang w:val="es-UY"/>
        </w:rPr>
        <w:t>1,68</w:t>
      </w:r>
    </w:p>
    <w:p w14:paraId="33400916" w14:textId="5DF4E06C" w:rsidR="007F2C68" w:rsidRPr="00D9461A" w:rsidRDefault="00F46978" w:rsidP="009A58E0">
      <w:pPr>
        <w:numPr>
          <w:ilvl w:val="0"/>
          <w:numId w:val="56"/>
        </w:numPr>
        <w:spacing w:after="120"/>
        <w:jc w:val="both"/>
        <w:rPr>
          <w:rFonts w:ascii="Arial" w:hAnsi="Arial" w:cs="Arial"/>
          <w:b/>
          <w:bCs/>
          <w:sz w:val="20"/>
          <w:szCs w:val="20"/>
          <w:lang w:val="es-UY"/>
        </w:rPr>
      </w:pPr>
      <w:r w:rsidRPr="00D9461A">
        <w:rPr>
          <w:rFonts w:ascii="Arial" w:hAnsi="Arial" w:cs="Arial"/>
          <w:sz w:val="20"/>
          <w:szCs w:val="20"/>
          <w:lang w:val="es-UY"/>
        </w:rPr>
        <w:t>Si la suma de los pagos que el oferente pretende recibir por concepto de los componentes “A”,” B” y</w:t>
      </w:r>
      <w:r w:rsidR="0041331A" w:rsidRPr="00D9461A">
        <w:rPr>
          <w:rFonts w:ascii="Arial" w:hAnsi="Arial" w:cs="Arial"/>
          <w:sz w:val="20"/>
          <w:szCs w:val="20"/>
          <w:lang w:val="es-UY"/>
        </w:rPr>
        <w:t xml:space="preserve"> </w:t>
      </w:r>
      <w:r w:rsidRPr="00D9461A">
        <w:rPr>
          <w:rFonts w:ascii="Arial" w:hAnsi="Arial" w:cs="Arial"/>
          <w:sz w:val="20"/>
          <w:szCs w:val="20"/>
          <w:lang w:val="es-UY"/>
        </w:rPr>
        <w:t xml:space="preserve">”C” es inferior al 70% del Valor Máximo de la Oferta que se establece en </w:t>
      </w:r>
      <w:r w:rsidR="007A0EC9">
        <w:rPr>
          <w:rFonts w:ascii="Arial" w:hAnsi="Arial" w:cs="Arial"/>
          <w:sz w:val="20"/>
          <w:szCs w:val="20"/>
          <w:lang w:val="es-UY"/>
        </w:rPr>
        <w:t>la cláusula</w:t>
      </w:r>
      <w:r w:rsidRPr="00D9461A">
        <w:rPr>
          <w:rFonts w:ascii="Arial" w:hAnsi="Arial" w:cs="Arial"/>
          <w:sz w:val="20"/>
          <w:szCs w:val="20"/>
          <w:lang w:val="es-UY"/>
        </w:rPr>
        <w:t xml:space="preserve"> 5 de</w:t>
      </w:r>
      <w:r w:rsidR="007A0EC9">
        <w:rPr>
          <w:rFonts w:ascii="Arial" w:hAnsi="Arial" w:cs="Arial"/>
          <w:sz w:val="20"/>
          <w:szCs w:val="20"/>
          <w:lang w:val="es-UY"/>
        </w:rPr>
        <w:t>l presente Pliego</w:t>
      </w:r>
      <w:r w:rsidRPr="00D9461A">
        <w:rPr>
          <w:rFonts w:ascii="Arial" w:hAnsi="Arial" w:cs="Arial"/>
          <w:sz w:val="20"/>
          <w:szCs w:val="20"/>
          <w:lang w:val="es-UY"/>
        </w:rPr>
        <w:t>.</w:t>
      </w:r>
    </w:p>
    <w:p w14:paraId="3AA94FB5" w14:textId="77777777" w:rsidR="007F2C68" w:rsidRPr="00E2664E" w:rsidRDefault="007F2C68" w:rsidP="007F2C68">
      <w:pPr>
        <w:widowControl w:val="0"/>
        <w:tabs>
          <w:tab w:val="left" w:pos="0"/>
          <w:tab w:val="left" w:pos="284"/>
          <w:tab w:val="left" w:pos="567"/>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sz w:val="20"/>
          <w:szCs w:val="20"/>
        </w:rPr>
      </w:pPr>
      <w:r w:rsidRPr="00E2664E">
        <w:rPr>
          <w:rFonts w:ascii="Arial" w:hAnsi="Arial" w:cs="Arial"/>
          <w:sz w:val="20"/>
          <w:szCs w:val="20"/>
        </w:rPr>
        <w:t xml:space="preserve">Los precios ofertados deberán ser expresados en </w:t>
      </w:r>
      <w:r w:rsidR="00F31410">
        <w:rPr>
          <w:rFonts w:ascii="Arial" w:hAnsi="Arial" w:cs="Arial"/>
          <w:sz w:val="20"/>
          <w:szCs w:val="20"/>
        </w:rPr>
        <w:t xml:space="preserve">Unidades </w:t>
      </w:r>
      <w:r w:rsidR="003B4991">
        <w:rPr>
          <w:rFonts w:ascii="Arial" w:hAnsi="Arial" w:cs="Arial"/>
          <w:sz w:val="20"/>
          <w:szCs w:val="20"/>
        </w:rPr>
        <w:t>Indexadas</w:t>
      </w:r>
      <w:r w:rsidRPr="00E2664E">
        <w:rPr>
          <w:rFonts w:ascii="Arial" w:hAnsi="Arial" w:cs="Arial"/>
          <w:sz w:val="20"/>
          <w:szCs w:val="20"/>
        </w:rPr>
        <w:t xml:space="preserve">, </w:t>
      </w:r>
      <w:r>
        <w:rPr>
          <w:rFonts w:ascii="Arial" w:hAnsi="Arial" w:cs="Arial"/>
          <w:sz w:val="20"/>
          <w:szCs w:val="20"/>
        </w:rPr>
        <w:t>sin</w:t>
      </w:r>
      <w:r w:rsidRPr="00E2664E">
        <w:rPr>
          <w:rFonts w:ascii="Arial" w:hAnsi="Arial" w:cs="Arial"/>
          <w:sz w:val="20"/>
          <w:szCs w:val="20"/>
        </w:rPr>
        <w:t xml:space="preserve"> IVA,</w:t>
      </w:r>
      <w:r>
        <w:rPr>
          <w:rFonts w:ascii="Arial" w:hAnsi="Arial" w:cs="Arial"/>
          <w:sz w:val="20"/>
          <w:szCs w:val="20"/>
        </w:rPr>
        <w:t xml:space="preserve"> y con las</w:t>
      </w:r>
      <w:r w:rsidRPr="00E2664E">
        <w:rPr>
          <w:rFonts w:ascii="Arial" w:hAnsi="Arial" w:cs="Arial"/>
          <w:sz w:val="20"/>
          <w:szCs w:val="20"/>
        </w:rPr>
        <w:t xml:space="preserve"> contribuciones a la seguridad social, así como cualquier otro tributo que correspondiere. </w:t>
      </w:r>
    </w:p>
    <w:p w14:paraId="0C63ADDF"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Analizada la documentación por la Comisión Técnica se realizará un informe en un plazo máximo de 30 días, plazo que podrá ser prorrogado cuando la complejidad y/o volumen de la documentación lo amerite.</w:t>
      </w:r>
    </w:p>
    <w:p w14:paraId="6711F2B1" w14:textId="77777777" w:rsidR="007F2C68" w:rsidRPr="002A3B5B"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dicho informe la Comisión Técnica procederá a sumar los puntos obtenidos para cada oferta aceptada, en orden decreciente, recomendando la adjudicación a aquella que obtuviere el </w:t>
      </w:r>
      <w:r w:rsidRPr="002A3B5B">
        <w:rPr>
          <w:rFonts w:ascii="Arial" w:hAnsi="Arial" w:cs="Arial"/>
          <w:sz w:val="20"/>
          <w:szCs w:val="20"/>
          <w:lang w:val="es-UY" w:eastAsia="es-ES"/>
        </w:rPr>
        <w:t xml:space="preserve">mayor puntaje. </w:t>
      </w:r>
    </w:p>
    <w:p w14:paraId="3698505C" w14:textId="77777777" w:rsidR="00EF140E" w:rsidRPr="00CE3894" w:rsidRDefault="00CE3894" w:rsidP="007F2C68">
      <w:pPr>
        <w:spacing w:after="120"/>
        <w:jc w:val="both"/>
        <w:rPr>
          <w:rFonts w:ascii="Arial" w:hAnsi="Arial" w:cs="Arial"/>
          <w:sz w:val="20"/>
          <w:szCs w:val="20"/>
          <w:lang w:eastAsia="es-ES"/>
        </w:rPr>
      </w:pPr>
      <w:r w:rsidRPr="002A3B5B">
        <w:rPr>
          <w:rFonts w:ascii="Arial" w:hAnsi="Arial" w:cs="Arial"/>
          <w:sz w:val="20"/>
          <w:szCs w:val="20"/>
          <w:lang w:eastAsia="es-ES"/>
        </w:rPr>
        <w:t xml:space="preserve">En caso de que se verifiquen ofertas con igual puntaje (redondeando al primer decimal), la adjudicación se recomendará a la oferta que haya obtenido el mayor puntaje en la evaluación del Sobre Nº 1. De persistir la igualdad de puntaje, se realizará un sorteo, que se instrumentará en acto público, en día, lugar y hora a </w:t>
      </w:r>
      <w:r w:rsidRPr="002A3B5B">
        <w:rPr>
          <w:rFonts w:ascii="Arial" w:hAnsi="Arial" w:cs="Arial"/>
          <w:sz w:val="20"/>
          <w:szCs w:val="20"/>
          <w:lang w:eastAsia="es-ES"/>
        </w:rPr>
        <w:lastRenderedPageBreak/>
        <w:t>establecer por la Contratante, con intervención de Escribano Público, el cual labrará acta circunstanciada al respecto.</w:t>
      </w:r>
    </w:p>
    <w:p w14:paraId="0C4FAE05"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actuará de acuerdo a lo dispuesto en el artículo </w:t>
      </w:r>
      <w:hyperlink r:id="rId47" w:history="1">
        <w:r w:rsidRPr="0030459B">
          <w:rPr>
            <w:rStyle w:val="Hipervnculo"/>
            <w:rFonts w:ascii="Arial" w:hAnsi="Arial" w:cs="Arial"/>
            <w:sz w:val="20"/>
            <w:szCs w:val="20"/>
            <w:lang w:val="es-UY" w:eastAsia="es-ES"/>
          </w:rPr>
          <w:t>31</w:t>
        </w:r>
      </w:hyperlink>
      <w:r w:rsidRPr="00E2664E">
        <w:rPr>
          <w:rFonts w:ascii="Arial" w:hAnsi="Arial" w:cs="Arial"/>
          <w:sz w:val="20"/>
          <w:szCs w:val="20"/>
          <w:lang w:val="es-UY" w:eastAsia="es-ES"/>
        </w:rPr>
        <w:t xml:space="preserve"> del Decreto Nº </w:t>
      </w:r>
      <w:hyperlink r:id="rId48" w:history="1">
        <w:r w:rsidRPr="00375150">
          <w:rPr>
            <w:rStyle w:val="Hipervnculo"/>
            <w:rFonts w:ascii="Arial" w:hAnsi="Arial" w:cs="Arial"/>
            <w:sz w:val="20"/>
            <w:szCs w:val="20"/>
            <w:lang w:val="es-UY" w:eastAsia="es-ES"/>
          </w:rPr>
          <w:t>17/</w:t>
        </w:r>
        <w:r w:rsidR="00A754B5" w:rsidRPr="00375150">
          <w:rPr>
            <w:rStyle w:val="Hipervnculo"/>
            <w:rFonts w:ascii="Arial" w:hAnsi="Arial" w:cs="Arial"/>
            <w:sz w:val="20"/>
            <w:szCs w:val="20"/>
            <w:lang w:val="es-UY" w:eastAsia="es-ES"/>
          </w:rPr>
          <w:t>0</w:t>
        </w:r>
        <w:r w:rsidRPr="00375150">
          <w:rPr>
            <w:rStyle w:val="Hipervnculo"/>
            <w:rFonts w:ascii="Arial" w:hAnsi="Arial" w:cs="Arial"/>
            <w:sz w:val="20"/>
            <w:szCs w:val="20"/>
            <w:lang w:val="es-UY" w:eastAsia="es-ES"/>
          </w:rPr>
          <w:t>12</w:t>
        </w:r>
      </w:hyperlink>
      <w:r w:rsidR="00810367">
        <w:rPr>
          <w:rFonts w:ascii="Arial" w:hAnsi="Arial" w:cs="Arial"/>
          <w:sz w:val="20"/>
          <w:szCs w:val="20"/>
          <w:lang w:val="es-UY" w:eastAsia="es-ES"/>
        </w:rPr>
        <w:t xml:space="preserve"> en la redacción dada por el </w:t>
      </w:r>
      <w:hyperlink r:id="rId49" w:history="1">
        <w:r w:rsidR="00810367" w:rsidRPr="00EC7417">
          <w:rPr>
            <w:rStyle w:val="Hipervnculo"/>
            <w:rFonts w:ascii="Arial" w:hAnsi="Arial" w:cs="Arial"/>
            <w:sz w:val="20"/>
            <w:szCs w:val="20"/>
            <w:lang w:val="es-UY" w:eastAsia="es-ES"/>
          </w:rPr>
          <w:t>art 3 del Decreto 251/015</w:t>
        </w:r>
      </w:hyperlink>
      <w:r w:rsidRPr="00E2664E">
        <w:rPr>
          <w:rFonts w:ascii="Arial" w:hAnsi="Arial" w:cs="Arial"/>
          <w:sz w:val="20"/>
          <w:szCs w:val="20"/>
          <w:lang w:val="es-UY" w:eastAsia="es-ES"/>
        </w:rPr>
        <w:t>.</w:t>
      </w:r>
    </w:p>
    <w:p w14:paraId="67D3AC10"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Habiéndose pronunciado la Unidad de Proyectos de Participación Público Privad</w:t>
      </w:r>
      <w:r>
        <w:rPr>
          <w:rFonts w:ascii="Arial" w:hAnsi="Arial" w:cs="Arial"/>
          <w:sz w:val="20"/>
          <w:szCs w:val="20"/>
          <w:lang w:val="es-UY" w:eastAsia="es-ES"/>
        </w:rPr>
        <w:t>a</w:t>
      </w:r>
      <w:r w:rsidRPr="00E2664E">
        <w:rPr>
          <w:rFonts w:ascii="Arial" w:hAnsi="Arial" w:cs="Arial"/>
          <w:sz w:val="20"/>
          <w:szCs w:val="20"/>
          <w:lang w:val="es-UY" w:eastAsia="es-ES"/>
        </w:rPr>
        <w:t xml:space="preserve">, la Contratante otorgará vista de las actuaciones a los oferentes por un plazo </w:t>
      </w:r>
      <w:r w:rsidRPr="00D93490">
        <w:rPr>
          <w:rFonts w:ascii="Arial" w:hAnsi="Arial" w:cs="Arial"/>
          <w:sz w:val="20"/>
          <w:szCs w:val="20"/>
          <w:lang w:val="es-UY" w:eastAsia="es-ES"/>
        </w:rPr>
        <w:t>de 15 días hábiles,</w:t>
      </w:r>
      <w:r w:rsidRPr="00E2664E">
        <w:rPr>
          <w:rFonts w:ascii="Arial" w:hAnsi="Arial" w:cs="Arial"/>
          <w:sz w:val="20"/>
          <w:szCs w:val="20"/>
          <w:lang w:val="es-UY" w:eastAsia="es-ES"/>
        </w:rPr>
        <w:t xml:space="preserve"> en la División Apoyo – Departamento Secretaría General de la Dirección Nacional de Vialidad del Ministerio de Transporte y Obras</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Públicas, sita en Rincón 575, piso 8 de la ciudad de Montevideo, en el horario de 9.30 a 16.00 horas.</w:t>
      </w:r>
    </w:p>
    <w:p w14:paraId="3E7CCF22"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De acuerdo a lo establecido en el Decreto Reglamentario de la LCP</w:t>
      </w:r>
      <w:r w:rsidR="003B4991">
        <w:rPr>
          <w:rFonts w:ascii="Arial" w:hAnsi="Arial" w:cs="Arial"/>
          <w:sz w:val="20"/>
          <w:szCs w:val="20"/>
          <w:lang w:val="es-UY" w:eastAsia="es-ES"/>
        </w:rPr>
        <w:t>P</w:t>
      </w:r>
      <w:r w:rsidRPr="00E2664E">
        <w:rPr>
          <w:rFonts w:ascii="Arial" w:hAnsi="Arial" w:cs="Arial"/>
          <w:sz w:val="20"/>
          <w:szCs w:val="20"/>
          <w:lang w:val="es-UY" w:eastAsia="es-ES"/>
        </w:rPr>
        <w:t xml:space="preserve">P Nº </w:t>
      </w:r>
      <w:hyperlink r:id="rId50" w:history="1">
        <w:r w:rsidRPr="0030459B">
          <w:rPr>
            <w:rStyle w:val="Hipervnculo"/>
            <w:rFonts w:ascii="Arial" w:hAnsi="Arial" w:cs="Arial"/>
            <w:sz w:val="20"/>
            <w:szCs w:val="20"/>
            <w:lang w:val="es-UY" w:eastAsia="es-ES"/>
          </w:rPr>
          <w:t>17/012</w:t>
        </w:r>
      </w:hyperlink>
      <w:r w:rsidRPr="00E2664E">
        <w:rPr>
          <w:rFonts w:ascii="Arial" w:hAnsi="Arial" w:cs="Arial"/>
          <w:sz w:val="20"/>
          <w:szCs w:val="20"/>
          <w:lang w:val="es-UY" w:eastAsia="es-ES"/>
        </w:rPr>
        <w:t>, en caso de que la Unidad de Proyectos de Participación Público Privad</w:t>
      </w:r>
      <w:r>
        <w:rPr>
          <w:rFonts w:ascii="Arial" w:hAnsi="Arial" w:cs="Arial"/>
          <w:sz w:val="20"/>
          <w:szCs w:val="20"/>
          <w:lang w:val="es-UY" w:eastAsia="es-ES"/>
        </w:rPr>
        <w:t xml:space="preserve">a </w:t>
      </w:r>
      <w:r w:rsidRPr="00E2664E">
        <w:rPr>
          <w:rFonts w:ascii="Arial" w:hAnsi="Arial" w:cs="Arial"/>
          <w:sz w:val="20"/>
          <w:szCs w:val="20"/>
          <w:lang w:val="es-UY" w:eastAsia="es-ES"/>
        </w:rPr>
        <w:t xml:space="preserve">formulara observaciones al informe de la Comisión Técnica, la vista a los oferentes se otorgará una vez que la Contratante se haya pronunciado sobre las mismas. </w:t>
      </w:r>
    </w:p>
    <w:p w14:paraId="552325B7" w14:textId="77777777" w:rsidR="007F2C68" w:rsidRPr="00E2664E" w:rsidRDefault="007F2C68" w:rsidP="009A58E0">
      <w:pPr>
        <w:pStyle w:val="T1"/>
        <w:numPr>
          <w:ilvl w:val="0"/>
          <w:numId w:val="90"/>
        </w:numPr>
        <w:outlineLvl w:val="2"/>
      </w:pPr>
      <w:bookmarkStart w:id="170" w:name="_Toc468287987"/>
      <w:bookmarkStart w:id="171" w:name="_Toc496266580"/>
      <w:bookmarkStart w:id="172" w:name="Lit_19"/>
      <w:r w:rsidRPr="00E2664E">
        <w:lastRenderedPageBreak/>
        <w:t>ADJUDICACIÓN PROVISIONAL</w:t>
      </w:r>
      <w:bookmarkEnd w:id="170"/>
      <w:bookmarkEnd w:id="171"/>
    </w:p>
    <w:p w14:paraId="406AB991" w14:textId="77777777" w:rsidR="007F2C68" w:rsidRPr="00D019C0" w:rsidRDefault="007F2C68" w:rsidP="009A58E0">
      <w:pPr>
        <w:pStyle w:val="T2"/>
        <w:numPr>
          <w:ilvl w:val="1"/>
          <w:numId w:val="90"/>
        </w:numPr>
        <w:outlineLvl w:val="3"/>
      </w:pPr>
      <w:bookmarkStart w:id="173" w:name="_Toc468287988"/>
      <w:bookmarkStart w:id="174" w:name="_Toc496266581"/>
      <w:bookmarkStart w:id="175" w:name="Lit_19_1"/>
      <w:bookmarkEnd w:id="172"/>
      <w:r w:rsidRPr="00D019C0">
        <w:t>LA CONTRATANTE</w:t>
      </w:r>
      <w:bookmarkEnd w:id="173"/>
      <w:bookmarkEnd w:id="174"/>
    </w:p>
    <w:bookmarkEnd w:id="175"/>
    <w:p w14:paraId="595DD294" w14:textId="77777777" w:rsidR="007F2C68" w:rsidRPr="00DD7FA2" w:rsidRDefault="007F2C68" w:rsidP="009A77B7">
      <w:pPr>
        <w:pStyle w:val="pia3"/>
        <w:spacing w:line="276" w:lineRule="auto"/>
        <w:outlineLvl w:val="9"/>
        <w:rPr>
          <w:rFonts w:eastAsia="Times New Roman"/>
          <w:sz w:val="20"/>
          <w:szCs w:val="20"/>
          <w:lang w:val="es-UY" w:eastAsia="en-US"/>
        </w:rPr>
      </w:pPr>
      <w:r w:rsidRPr="00DD7FA2">
        <w:rPr>
          <w:rFonts w:eastAsia="Times New Roman"/>
          <w:sz w:val="20"/>
          <w:szCs w:val="20"/>
          <w:lang w:val="es-UY" w:eastAsia="en-US"/>
        </w:rPr>
        <w:t>La Contratante realizará la adjudicación provisional, o el rechazo de las ofertas presentadas, lo que deberá notificarse a todos los oferentes.</w:t>
      </w:r>
    </w:p>
    <w:p w14:paraId="7F646EF9" w14:textId="77777777" w:rsidR="007F2C68" w:rsidRDefault="007F2C68" w:rsidP="009A77B7">
      <w:pPr>
        <w:spacing w:after="120"/>
        <w:jc w:val="both"/>
        <w:rPr>
          <w:rFonts w:ascii="Arial" w:hAnsi="Arial" w:cs="Arial"/>
          <w:sz w:val="20"/>
          <w:szCs w:val="20"/>
          <w:lang w:val="es-UY"/>
        </w:rPr>
      </w:pPr>
      <w:r w:rsidRPr="00E2664E">
        <w:rPr>
          <w:rFonts w:ascii="Arial" w:hAnsi="Arial" w:cs="Arial"/>
          <w:sz w:val="20"/>
          <w:szCs w:val="20"/>
          <w:lang w:val="es-UY"/>
        </w:rPr>
        <w:t xml:space="preserve">La adjudicación se hará a la oferta más conveniente a los intereses de la Contratante y las necesidades del servicio de acuerdo a lo establecido en el artículo 23 de la LCPPP y el artículo </w:t>
      </w:r>
      <w:hyperlink r:id="rId51" w:history="1">
        <w:r w:rsidRPr="0030459B">
          <w:rPr>
            <w:rStyle w:val="Hipervnculo"/>
            <w:rFonts w:ascii="Arial" w:hAnsi="Arial" w:cs="Arial"/>
            <w:sz w:val="20"/>
            <w:szCs w:val="20"/>
            <w:lang w:val="es-UY"/>
          </w:rPr>
          <w:t>32</w:t>
        </w:r>
      </w:hyperlink>
      <w:r w:rsidRPr="00E2664E">
        <w:rPr>
          <w:rFonts w:ascii="Arial" w:hAnsi="Arial" w:cs="Arial"/>
          <w:sz w:val="20"/>
          <w:szCs w:val="20"/>
          <w:lang w:val="es-UY"/>
        </w:rPr>
        <w:t xml:space="preserve"> del Decreto Nº </w:t>
      </w:r>
      <w:hyperlink r:id="rId52" w:history="1">
        <w:r w:rsidRPr="00375150">
          <w:rPr>
            <w:rStyle w:val="Hipervnculo"/>
            <w:rFonts w:ascii="Arial" w:hAnsi="Arial" w:cs="Arial"/>
            <w:sz w:val="20"/>
            <w:szCs w:val="20"/>
            <w:lang w:val="es-UY"/>
          </w:rPr>
          <w:t>17/12</w:t>
        </w:r>
      </w:hyperlink>
      <w:r w:rsidR="009C3AA0">
        <w:rPr>
          <w:rFonts w:ascii="Arial" w:hAnsi="Arial" w:cs="Arial"/>
          <w:sz w:val="20"/>
          <w:szCs w:val="20"/>
          <w:lang w:val="es-UY"/>
        </w:rPr>
        <w:t xml:space="preserve"> en la redacción dada por el </w:t>
      </w:r>
      <w:hyperlink r:id="rId53" w:history="1">
        <w:r w:rsidR="009C3AA0" w:rsidRPr="0030459B">
          <w:rPr>
            <w:rStyle w:val="Hipervnculo"/>
            <w:rFonts w:ascii="Arial" w:hAnsi="Arial" w:cs="Arial"/>
            <w:sz w:val="20"/>
            <w:szCs w:val="20"/>
            <w:lang w:val="es-UY"/>
          </w:rPr>
          <w:t>art 3 del decreto Nº 251/015</w:t>
        </w:r>
      </w:hyperlink>
      <w:r w:rsidR="009C3AA0">
        <w:rPr>
          <w:rFonts w:ascii="Arial" w:hAnsi="Arial" w:cs="Arial"/>
          <w:sz w:val="20"/>
          <w:szCs w:val="20"/>
          <w:lang w:val="es-UY"/>
        </w:rPr>
        <w:t>.</w:t>
      </w:r>
    </w:p>
    <w:p w14:paraId="4B024649" w14:textId="77777777" w:rsidR="007E3226" w:rsidRPr="00032EE9" w:rsidRDefault="007E3226" w:rsidP="009A77B7">
      <w:pPr>
        <w:spacing w:after="120"/>
        <w:jc w:val="both"/>
        <w:rPr>
          <w:rFonts w:ascii="Arial" w:hAnsi="Arial" w:cs="Arial"/>
          <w:sz w:val="20"/>
          <w:szCs w:val="20"/>
          <w:lang w:val="es-UY"/>
        </w:rPr>
      </w:pPr>
      <w:r w:rsidRPr="00032EE9">
        <w:rPr>
          <w:rFonts w:ascii="Arial" w:hAnsi="Arial" w:cs="Arial"/>
          <w:sz w:val="20"/>
          <w:szCs w:val="20"/>
          <w:lang w:val="es-UY"/>
        </w:rPr>
        <w:t>Dispuesta la adjud</w:t>
      </w:r>
      <w:r w:rsidR="00730104" w:rsidRPr="00032EE9">
        <w:rPr>
          <w:rFonts w:ascii="Arial" w:hAnsi="Arial" w:cs="Arial"/>
          <w:sz w:val="20"/>
          <w:szCs w:val="20"/>
          <w:lang w:val="es-UY"/>
        </w:rPr>
        <w:t>icación provisional, la Contra</w:t>
      </w:r>
      <w:r w:rsidRPr="00032EE9">
        <w:rPr>
          <w:rFonts w:ascii="Arial" w:hAnsi="Arial" w:cs="Arial"/>
          <w:sz w:val="20"/>
          <w:szCs w:val="20"/>
          <w:lang w:val="es-UY"/>
        </w:rPr>
        <w:t xml:space="preserve">tante procederá a realizar un ajuste que afectará únicamente a la componente A definida en el </w:t>
      </w:r>
      <w:hyperlink w:anchor="A_2" w:history="1">
        <w:r w:rsidRPr="009E2BFE">
          <w:rPr>
            <w:rStyle w:val="Hipervnculo"/>
            <w:rFonts w:ascii="Arial" w:hAnsi="Arial" w:cs="Arial"/>
            <w:sz w:val="20"/>
            <w:szCs w:val="20"/>
            <w:lang w:val="es-UY"/>
          </w:rPr>
          <w:t>Anexo II</w:t>
        </w:r>
      </w:hyperlink>
      <w:r w:rsidRPr="00032EE9">
        <w:rPr>
          <w:rFonts w:ascii="Arial" w:hAnsi="Arial" w:cs="Arial"/>
          <w:sz w:val="20"/>
          <w:szCs w:val="20"/>
          <w:lang w:val="es-UY"/>
        </w:rPr>
        <w:t xml:space="preserve">. Dicho ajuste se realizará siguiendo el procedimiento que </w:t>
      </w:r>
      <w:r w:rsidR="0023106B" w:rsidRPr="00032EE9">
        <w:rPr>
          <w:rFonts w:ascii="Arial" w:hAnsi="Arial" w:cs="Arial"/>
          <w:sz w:val="20"/>
          <w:szCs w:val="20"/>
          <w:lang w:val="es-UY"/>
        </w:rPr>
        <w:t>se detalla a continuación</w:t>
      </w:r>
      <w:r w:rsidR="00730104" w:rsidRPr="00032EE9">
        <w:rPr>
          <w:rFonts w:ascii="Arial" w:hAnsi="Arial" w:cs="Arial"/>
          <w:sz w:val="20"/>
          <w:szCs w:val="20"/>
          <w:lang w:val="es-UY"/>
        </w:rPr>
        <w:t>:</w:t>
      </w:r>
    </w:p>
    <w:p w14:paraId="314F33DD" w14:textId="77777777" w:rsidR="002C0550" w:rsidRPr="00032EE9" w:rsidRDefault="002C0550" w:rsidP="00336AC7">
      <w:pPr>
        <w:rPr>
          <w:rFonts w:ascii="Arial" w:hAnsi="Arial" w:cs="Arial"/>
          <w:sz w:val="20"/>
          <w:szCs w:val="20"/>
          <w:lang w:val="es-UY"/>
        </w:rPr>
      </w:pPr>
      <w:r w:rsidRPr="00032EE9">
        <w:rPr>
          <w:rFonts w:ascii="Arial" w:hAnsi="Arial" w:cs="Arial"/>
          <w:sz w:val="20"/>
          <w:szCs w:val="20"/>
          <w:lang w:val="es-UY"/>
        </w:rPr>
        <w:t>AP = AO * G</w:t>
      </w:r>
    </w:p>
    <w:p w14:paraId="46857ADA" w14:textId="77777777" w:rsidR="000F5EF1" w:rsidRDefault="002C0550" w:rsidP="009A77B7">
      <w:pPr>
        <w:rPr>
          <w:rFonts w:ascii="Arial" w:hAnsi="Arial" w:cs="Arial"/>
          <w:sz w:val="20"/>
          <w:szCs w:val="20"/>
          <w:lang w:val="es-UY"/>
        </w:rPr>
      </w:pPr>
      <w:r w:rsidRPr="00032EE9">
        <w:rPr>
          <w:color w:val="CC0000"/>
        </w:rPr>
        <w:br/>
      </w:r>
      <w:r w:rsidRPr="00032EE9">
        <w:rPr>
          <w:rFonts w:ascii="Arial" w:hAnsi="Arial" w:cs="Arial"/>
          <w:sz w:val="20"/>
          <w:szCs w:val="20"/>
          <w:lang w:val="es-UY"/>
        </w:rPr>
        <w:t xml:space="preserve">AP es la componente A ajustada a la fecha de adjudicación provisional. </w:t>
      </w:r>
      <w:r w:rsidRPr="00032EE9">
        <w:rPr>
          <w:rFonts w:ascii="Arial" w:hAnsi="Arial" w:cs="Arial"/>
          <w:sz w:val="20"/>
          <w:szCs w:val="20"/>
          <w:lang w:val="es-UY"/>
        </w:rPr>
        <w:br/>
        <w:t xml:space="preserve">AO es la componente A presentada por el oferente en su oferta. </w:t>
      </w:r>
      <w:r w:rsidRPr="00032EE9">
        <w:rPr>
          <w:rFonts w:ascii="Arial" w:hAnsi="Arial" w:cs="Arial"/>
          <w:sz w:val="20"/>
          <w:szCs w:val="20"/>
          <w:lang w:val="es-UY"/>
        </w:rPr>
        <w:br/>
        <w:t>G es el factor de ajuste, el cual se calculará de la siguiente forma:</w:t>
      </w:r>
    </w:p>
    <w:p w14:paraId="09C6E7AC" w14:textId="58F2393E" w:rsidR="00151BEC" w:rsidRDefault="002C0550" w:rsidP="009A77B7">
      <w:pPr>
        <w:jc w:val="center"/>
        <w:rPr>
          <w:rFonts w:ascii="Arial" w:hAnsi="Arial" w:cs="Arial"/>
          <w:sz w:val="20"/>
          <w:szCs w:val="20"/>
          <w:highlight w:val="yellow"/>
          <w:lang w:val="es-UY"/>
        </w:rPr>
      </w:pPr>
      <w:r w:rsidRPr="00032EE9">
        <w:rPr>
          <w:rFonts w:ascii="Arial" w:hAnsi="Arial" w:cs="Arial"/>
          <w:sz w:val="20"/>
          <w:szCs w:val="20"/>
          <w:lang w:val="es-UY"/>
        </w:rPr>
        <w:lastRenderedPageBreak/>
        <w:br/>
      </w:r>
      <w:r w:rsidRPr="00032EE9">
        <w:br/>
      </w:r>
      <w:r w:rsidR="003D32CC" w:rsidRPr="00701A19">
        <w:rPr>
          <w:rFonts w:ascii="Century Gothic" w:hAnsi="Century Gothic"/>
          <w:position w:val="-32"/>
        </w:rPr>
        <w:object w:dxaOrig="4380" w:dyaOrig="760" w14:anchorId="12D02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37.5pt" o:ole="">
            <v:imagedata r:id="rId54" o:title=""/>
          </v:shape>
          <o:OLEObject Type="Embed" ProgID="Equation.3" ShapeID="_x0000_i1025" DrawAspect="Content" ObjectID="_1571644615" r:id="rId55"/>
        </w:object>
      </w:r>
    </w:p>
    <w:p w14:paraId="2EB2693B" w14:textId="77777777" w:rsidR="00C54746" w:rsidRDefault="002C0550" w:rsidP="009A77B7">
      <w:pPr>
        <w:rPr>
          <w:rFonts w:ascii="Arial" w:hAnsi="Arial" w:cs="Arial"/>
          <w:sz w:val="20"/>
          <w:szCs w:val="20"/>
          <w:lang w:val="es-UY"/>
        </w:rPr>
      </w:pPr>
      <w:r w:rsidRPr="00032EE9">
        <w:rPr>
          <w:rFonts w:ascii="Arial" w:hAnsi="Arial" w:cs="Arial"/>
          <w:sz w:val="20"/>
          <w:szCs w:val="20"/>
          <w:lang w:val="es-UY"/>
        </w:rPr>
        <w:br/>
        <w:t>R</w:t>
      </w:r>
      <w:r w:rsidR="000F5EF1" w:rsidRPr="000F5EF1">
        <w:rPr>
          <w:rFonts w:ascii="Arial" w:hAnsi="Arial" w:cs="Arial"/>
          <w:sz w:val="20"/>
          <w:szCs w:val="20"/>
          <w:vertAlign w:val="subscript"/>
          <w:lang w:val="es-UY"/>
        </w:rPr>
        <w:t>O</w:t>
      </w:r>
      <w:r w:rsidRPr="00032EE9">
        <w:rPr>
          <w:rFonts w:ascii="Arial" w:hAnsi="Arial" w:cs="Arial"/>
          <w:sz w:val="20"/>
          <w:szCs w:val="20"/>
          <w:lang w:val="es-UY"/>
        </w:rPr>
        <w:t xml:space="preserve">: es la tasa de interés </w:t>
      </w:r>
      <w:r w:rsidR="00C54746">
        <w:rPr>
          <w:rFonts w:ascii="Arial" w:hAnsi="Arial" w:cs="Arial"/>
          <w:sz w:val="20"/>
          <w:szCs w:val="20"/>
          <w:lang w:val="es-UY"/>
        </w:rPr>
        <w:t>para el promedio simple de los nodos de la curva CUI elaborada por BEVSA, a partir del nodo a 10 años, en los últimos tres días de cotización del mes anterior a la fecha de presentación de las ofertas, expresada en puntos porcentuales.</w:t>
      </w:r>
    </w:p>
    <w:p w14:paraId="0D7BDBAC" w14:textId="031CE2DB" w:rsidR="002C0550" w:rsidRPr="002C0550" w:rsidRDefault="002C0550" w:rsidP="009A77B7">
      <w:r w:rsidRPr="00032EE9">
        <w:rPr>
          <w:rFonts w:ascii="Arial" w:hAnsi="Arial" w:cs="Arial"/>
          <w:sz w:val="20"/>
          <w:szCs w:val="20"/>
          <w:lang w:val="es-UY"/>
        </w:rPr>
        <w:t>R</w:t>
      </w:r>
      <w:r w:rsidR="000F5EF1" w:rsidRPr="000F5EF1">
        <w:rPr>
          <w:rFonts w:ascii="Arial" w:hAnsi="Arial" w:cs="Arial"/>
          <w:sz w:val="20"/>
          <w:szCs w:val="20"/>
          <w:vertAlign w:val="subscript"/>
          <w:lang w:val="es-UY"/>
        </w:rPr>
        <w:t>A</w:t>
      </w:r>
      <w:r w:rsidRPr="00032EE9">
        <w:rPr>
          <w:rFonts w:ascii="Arial" w:hAnsi="Arial" w:cs="Arial"/>
          <w:sz w:val="20"/>
          <w:szCs w:val="20"/>
          <w:lang w:val="es-UY"/>
        </w:rPr>
        <w:t xml:space="preserve">: es la tasa de interés del mismo indicador en </w:t>
      </w:r>
      <w:r w:rsidR="00C54746">
        <w:rPr>
          <w:rFonts w:ascii="Arial" w:hAnsi="Arial" w:cs="Arial"/>
          <w:sz w:val="20"/>
          <w:szCs w:val="20"/>
          <w:lang w:val="es-UY"/>
        </w:rPr>
        <w:t>los últimos tres días de cotización</w:t>
      </w:r>
      <w:r w:rsidRPr="00032EE9">
        <w:rPr>
          <w:rFonts w:ascii="Arial" w:hAnsi="Arial" w:cs="Arial"/>
          <w:sz w:val="20"/>
          <w:szCs w:val="20"/>
          <w:lang w:val="es-UY"/>
        </w:rPr>
        <w:t xml:space="preserve"> del mes anterior a la fecha de adjudicación provisional, expresada en puntos porcentuales, siempre que la misma no muestre una diferencia </w:t>
      </w:r>
      <w:r w:rsidRPr="009D388B">
        <w:rPr>
          <w:rFonts w:ascii="Arial" w:hAnsi="Arial" w:cs="Arial"/>
          <w:sz w:val="20"/>
          <w:szCs w:val="20"/>
          <w:lang w:val="es-UY"/>
        </w:rPr>
        <w:t xml:space="preserve">superior </w:t>
      </w:r>
      <w:r w:rsidR="00A314F1" w:rsidRPr="009D388B">
        <w:rPr>
          <w:rFonts w:ascii="Arial" w:hAnsi="Arial" w:cs="Arial"/>
          <w:sz w:val="20"/>
          <w:szCs w:val="20"/>
          <w:lang w:val="es-UY"/>
        </w:rPr>
        <w:t>a Ro</w:t>
      </w:r>
      <w:r w:rsidR="00B461C7" w:rsidRPr="00B461C7">
        <w:rPr>
          <w:rFonts w:ascii="Arial" w:hAnsi="Arial" w:cs="Arial"/>
          <w:sz w:val="20"/>
          <w:szCs w:val="20"/>
          <w:lang w:val="es-UY"/>
        </w:rPr>
        <w:t xml:space="preserve"> </w:t>
      </w:r>
      <w:r w:rsidRPr="00032EE9">
        <w:rPr>
          <w:rFonts w:ascii="Arial" w:hAnsi="Arial" w:cs="Arial"/>
          <w:sz w:val="20"/>
          <w:szCs w:val="20"/>
          <w:lang w:val="es-UY"/>
        </w:rPr>
        <w:t xml:space="preserve">en </w:t>
      </w:r>
      <w:r w:rsidR="00A46FBC">
        <w:rPr>
          <w:rFonts w:ascii="Arial" w:hAnsi="Arial" w:cs="Arial"/>
          <w:sz w:val="20"/>
          <w:szCs w:val="20"/>
          <w:lang w:val="es-UY"/>
        </w:rPr>
        <w:t xml:space="preserve">+/- </w:t>
      </w:r>
      <w:r w:rsidR="00C54746">
        <w:rPr>
          <w:rFonts w:ascii="Arial" w:hAnsi="Arial" w:cs="Arial"/>
          <w:sz w:val="20"/>
          <w:szCs w:val="20"/>
          <w:lang w:val="es-UY"/>
        </w:rPr>
        <w:t>2</w:t>
      </w:r>
      <w:r w:rsidR="004F0DA1">
        <w:rPr>
          <w:rFonts w:ascii="Arial" w:hAnsi="Arial" w:cs="Arial"/>
          <w:sz w:val="20"/>
          <w:szCs w:val="20"/>
          <w:lang w:val="es-UY"/>
        </w:rPr>
        <w:t xml:space="preserve"> punto</w:t>
      </w:r>
      <w:r w:rsidR="00C54746">
        <w:rPr>
          <w:rFonts w:ascii="Arial" w:hAnsi="Arial" w:cs="Arial"/>
          <w:sz w:val="20"/>
          <w:szCs w:val="20"/>
          <w:lang w:val="es-UY"/>
        </w:rPr>
        <w:t>s</w:t>
      </w:r>
      <w:r w:rsidR="004F0DA1">
        <w:rPr>
          <w:rFonts w:ascii="Arial" w:hAnsi="Arial" w:cs="Arial"/>
          <w:sz w:val="20"/>
          <w:szCs w:val="20"/>
          <w:lang w:val="es-UY"/>
        </w:rPr>
        <w:t xml:space="preserve"> porcentual</w:t>
      </w:r>
      <w:r w:rsidR="00C54746">
        <w:rPr>
          <w:rFonts w:ascii="Arial" w:hAnsi="Arial" w:cs="Arial"/>
          <w:sz w:val="20"/>
          <w:szCs w:val="20"/>
          <w:lang w:val="es-UY"/>
        </w:rPr>
        <w:t>es</w:t>
      </w:r>
      <w:r w:rsidRPr="00032EE9">
        <w:rPr>
          <w:rFonts w:ascii="Arial" w:hAnsi="Arial" w:cs="Arial"/>
          <w:sz w:val="20"/>
          <w:szCs w:val="20"/>
          <w:lang w:val="es-UY"/>
        </w:rPr>
        <w:t xml:space="preserve">. En caso de que la diferencia entre </w:t>
      </w:r>
      <w:r w:rsidR="000F5EF1" w:rsidRPr="00032EE9">
        <w:rPr>
          <w:rFonts w:ascii="Arial" w:hAnsi="Arial" w:cs="Arial"/>
          <w:sz w:val="20"/>
          <w:szCs w:val="20"/>
          <w:lang w:val="es-UY"/>
        </w:rPr>
        <w:t>R</w:t>
      </w:r>
      <w:r w:rsidR="000F5EF1" w:rsidRPr="000F5EF1">
        <w:rPr>
          <w:rFonts w:ascii="Arial" w:hAnsi="Arial" w:cs="Arial"/>
          <w:sz w:val="20"/>
          <w:szCs w:val="20"/>
          <w:vertAlign w:val="subscript"/>
          <w:lang w:val="es-UY"/>
        </w:rPr>
        <w:t>O</w:t>
      </w:r>
      <w:r w:rsidRPr="00032EE9">
        <w:rPr>
          <w:rFonts w:ascii="Arial" w:hAnsi="Arial" w:cs="Arial"/>
          <w:sz w:val="20"/>
          <w:szCs w:val="20"/>
          <w:lang w:val="es-UY"/>
        </w:rPr>
        <w:t xml:space="preserve"> y </w:t>
      </w:r>
      <w:r w:rsidR="000F5EF1" w:rsidRPr="00032EE9">
        <w:rPr>
          <w:rFonts w:ascii="Arial" w:hAnsi="Arial" w:cs="Arial"/>
          <w:sz w:val="20"/>
          <w:szCs w:val="20"/>
          <w:lang w:val="es-UY"/>
        </w:rPr>
        <w:t>R</w:t>
      </w:r>
      <w:r w:rsidR="000F5EF1" w:rsidRPr="000F5EF1">
        <w:rPr>
          <w:rFonts w:ascii="Arial" w:hAnsi="Arial" w:cs="Arial"/>
          <w:sz w:val="20"/>
          <w:szCs w:val="20"/>
          <w:vertAlign w:val="subscript"/>
          <w:lang w:val="es-UY"/>
        </w:rPr>
        <w:t>A</w:t>
      </w:r>
      <w:r w:rsidR="004F0DA1">
        <w:rPr>
          <w:rFonts w:ascii="Arial" w:hAnsi="Arial" w:cs="Arial"/>
          <w:sz w:val="20"/>
          <w:szCs w:val="20"/>
          <w:lang w:val="es-UY"/>
        </w:rPr>
        <w:t xml:space="preserve"> sea superior a </w:t>
      </w:r>
      <w:r w:rsidR="00A46FBC">
        <w:rPr>
          <w:rFonts w:ascii="Arial" w:hAnsi="Arial" w:cs="Arial"/>
          <w:sz w:val="20"/>
          <w:szCs w:val="20"/>
          <w:lang w:val="es-UY"/>
        </w:rPr>
        <w:t xml:space="preserve">+/- </w:t>
      </w:r>
      <w:r w:rsidR="00C54746">
        <w:rPr>
          <w:rFonts w:ascii="Arial" w:hAnsi="Arial" w:cs="Arial"/>
          <w:sz w:val="20"/>
          <w:szCs w:val="20"/>
          <w:lang w:val="es-UY"/>
        </w:rPr>
        <w:t>2</w:t>
      </w:r>
      <w:r w:rsidR="002C3A0F">
        <w:rPr>
          <w:rFonts w:ascii="Arial" w:hAnsi="Arial" w:cs="Arial"/>
          <w:sz w:val="20"/>
          <w:szCs w:val="20"/>
          <w:lang w:val="es-UY"/>
        </w:rPr>
        <w:t xml:space="preserve"> </w:t>
      </w:r>
      <w:r w:rsidR="004F0DA1">
        <w:rPr>
          <w:rFonts w:ascii="Arial" w:hAnsi="Arial" w:cs="Arial"/>
          <w:sz w:val="20"/>
          <w:szCs w:val="20"/>
          <w:lang w:val="es-UY"/>
        </w:rPr>
        <w:t>punto</w:t>
      </w:r>
      <w:r w:rsidR="00C54746">
        <w:rPr>
          <w:rFonts w:ascii="Arial" w:hAnsi="Arial" w:cs="Arial"/>
          <w:sz w:val="20"/>
          <w:szCs w:val="20"/>
          <w:lang w:val="es-UY"/>
        </w:rPr>
        <w:t>s</w:t>
      </w:r>
      <w:r w:rsidR="004F0DA1">
        <w:rPr>
          <w:rFonts w:ascii="Arial" w:hAnsi="Arial" w:cs="Arial"/>
          <w:sz w:val="20"/>
          <w:szCs w:val="20"/>
          <w:lang w:val="es-UY"/>
        </w:rPr>
        <w:t xml:space="preserve"> </w:t>
      </w:r>
      <w:r w:rsidR="004F0DA1" w:rsidRPr="00451132">
        <w:rPr>
          <w:rFonts w:ascii="Arial" w:hAnsi="Arial" w:cs="Arial"/>
          <w:sz w:val="20"/>
          <w:szCs w:val="20"/>
          <w:lang w:val="es-UY"/>
        </w:rPr>
        <w:t>porcentual</w:t>
      </w:r>
      <w:r w:rsidR="00C54746" w:rsidRPr="00451132">
        <w:rPr>
          <w:rFonts w:ascii="Arial" w:hAnsi="Arial" w:cs="Arial"/>
          <w:sz w:val="20"/>
          <w:szCs w:val="20"/>
          <w:lang w:val="es-UY"/>
        </w:rPr>
        <w:t>es</w:t>
      </w:r>
      <w:r w:rsidR="00A46FBC">
        <w:rPr>
          <w:rFonts w:ascii="Arial" w:hAnsi="Arial" w:cs="Arial"/>
          <w:sz w:val="20"/>
          <w:szCs w:val="20"/>
          <w:lang w:val="es-UY"/>
        </w:rPr>
        <w:t>;</w:t>
      </w:r>
      <w:r w:rsidRPr="00451132">
        <w:rPr>
          <w:rFonts w:ascii="Arial" w:hAnsi="Arial" w:cs="Arial"/>
          <w:sz w:val="20"/>
          <w:szCs w:val="20"/>
          <w:lang w:val="es-UY"/>
        </w:rPr>
        <w:t xml:space="preserve"> </w:t>
      </w:r>
      <w:r w:rsidR="000F5EF1" w:rsidRPr="00451132">
        <w:rPr>
          <w:rFonts w:ascii="Arial" w:hAnsi="Arial" w:cs="Arial"/>
          <w:sz w:val="20"/>
          <w:szCs w:val="20"/>
          <w:lang w:val="es-UY"/>
        </w:rPr>
        <w:t>R</w:t>
      </w:r>
      <w:r w:rsidR="000F5EF1" w:rsidRPr="00451132">
        <w:rPr>
          <w:rFonts w:ascii="Arial" w:hAnsi="Arial" w:cs="Arial"/>
          <w:sz w:val="20"/>
          <w:szCs w:val="20"/>
          <w:vertAlign w:val="subscript"/>
          <w:lang w:val="es-UY"/>
        </w:rPr>
        <w:t>A</w:t>
      </w:r>
      <w:r w:rsidRPr="00451132">
        <w:rPr>
          <w:rFonts w:ascii="Arial" w:hAnsi="Arial" w:cs="Arial"/>
          <w:sz w:val="20"/>
          <w:szCs w:val="20"/>
          <w:lang w:val="es-UY"/>
        </w:rPr>
        <w:t xml:space="preserve"> será igual a </w:t>
      </w:r>
      <w:r w:rsidR="000F5EF1" w:rsidRPr="00451132">
        <w:rPr>
          <w:rFonts w:ascii="Arial" w:hAnsi="Arial" w:cs="Arial"/>
          <w:sz w:val="20"/>
          <w:szCs w:val="20"/>
          <w:lang w:val="es-UY"/>
        </w:rPr>
        <w:t>R</w:t>
      </w:r>
      <w:r w:rsidR="000F5EF1" w:rsidRPr="00451132">
        <w:rPr>
          <w:rFonts w:ascii="Arial" w:hAnsi="Arial" w:cs="Arial"/>
          <w:sz w:val="20"/>
          <w:szCs w:val="20"/>
          <w:vertAlign w:val="subscript"/>
          <w:lang w:val="es-UY"/>
        </w:rPr>
        <w:t>O</w:t>
      </w:r>
      <w:r w:rsidRPr="00451132">
        <w:rPr>
          <w:rFonts w:ascii="Arial" w:hAnsi="Arial" w:cs="Arial"/>
          <w:sz w:val="20"/>
          <w:szCs w:val="20"/>
          <w:lang w:val="es-UY"/>
        </w:rPr>
        <w:t>+</w:t>
      </w:r>
      <w:r w:rsidR="00C54746" w:rsidRPr="00451132">
        <w:rPr>
          <w:rFonts w:ascii="Arial" w:hAnsi="Arial" w:cs="Arial"/>
          <w:sz w:val="20"/>
          <w:szCs w:val="20"/>
          <w:lang w:val="es-UY"/>
        </w:rPr>
        <w:t>2</w:t>
      </w:r>
      <w:r w:rsidR="00B66C41" w:rsidRPr="00451132">
        <w:rPr>
          <w:rFonts w:ascii="Arial" w:hAnsi="Arial" w:cs="Arial"/>
          <w:sz w:val="20"/>
          <w:szCs w:val="20"/>
          <w:lang w:val="es-UY"/>
        </w:rPr>
        <w:t xml:space="preserve"> si R</w:t>
      </w:r>
      <w:r w:rsidR="00B66C41" w:rsidRPr="00451132">
        <w:rPr>
          <w:rFonts w:ascii="Arial" w:hAnsi="Arial" w:cs="Arial"/>
          <w:sz w:val="20"/>
          <w:szCs w:val="20"/>
          <w:vertAlign w:val="subscript"/>
          <w:lang w:val="es-UY"/>
        </w:rPr>
        <w:t>A</w:t>
      </w:r>
      <w:r w:rsidR="00B66C41" w:rsidRPr="00451132">
        <w:rPr>
          <w:rFonts w:ascii="Arial" w:hAnsi="Arial" w:cs="Arial"/>
          <w:sz w:val="20"/>
          <w:szCs w:val="20"/>
          <w:lang w:val="es-UY"/>
        </w:rPr>
        <w:t xml:space="preserve"> es mayor que R</w:t>
      </w:r>
      <w:r w:rsidR="00B66C41" w:rsidRPr="00451132">
        <w:rPr>
          <w:rFonts w:ascii="Arial" w:hAnsi="Arial" w:cs="Arial"/>
          <w:sz w:val="20"/>
          <w:szCs w:val="20"/>
          <w:vertAlign w:val="subscript"/>
          <w:lang w:val="es-UY"/>
        </w:rPr>
        <w:t>O</w:t>
      </w:r>
      <w:r w:rsidR="00B66C41" w:rsidRPr="00451132">
        <w:rPr>
          <w:rFonts w:ascii="Arial" w:hAnsi="Arial" w:cs="Arial"/>
          <w:sz w:val="20"/>
          <w:szCs w:val="20"/>
          <w:lang w:val="es-UY"/>
        </w:rPr>
        <w:t xml:space="preserve"> o R</w:t>
      </w:r>
      <w:r w:rsidR="00B66C41" w:rsidRPr="00451132">
        <w:rPr>
          <w:rFonts w:ascii="Arial" w:hAnsi="Arial" w:cs="Arial"/>
          <w:sz w:val="20"/>
          <w:szCs w:val="20"/>
          <w:vertAlign w:val="subscript"/>
          <w:lang w:val="es-UY"/>
        </w:rPr>
        <w:t>O</w:t>
      </w:r>
      <w:r w:rsidR="00B66C41" w:rsidRPr="00451132">
        <w:rPr>
          <w:rFonts w:ascii="Arial" w:hAnsi="Arial" w:cs="Arial"/>
          <w:sz w:val="20"/>
          <w:szCs w:val="20"/>
          <w:lang w:val="es-UY"/>
        </w:rPr>
        <w:t>-2 si R</w:t>
      </w:r>
      <w:r w:rsidR="00B66C41" w:rsidRPr="00451132">
        <w:rPr>
          <w:rFonts w:ascii="Arial" w:hAnsi="Arial" w:cs="Arial"/>
          <w:sz w:val="20"/>
          <w:szCs w:val="20"/>
          <w:vertAlign w:val="subscript"/>
          <w:lang w:val="es-UY"/>
        </w:rPr>
        <w:t>A</w:t>
      </w:r>
      <w:r w:rsidR="00B66C41" w:rsidRPr="00451132">
        <w:rPr>
          <w:rFonts w:ascii="Arial" w:hAnsi="Arial" w:cs="Arial"/>
          <w:sz w:val="20"/>
          <w:szCs w:val="20"/>
          <w:lang w:val="es-UY"/>
        </w:rPr>
        <w:t xml:space="preserve"> es me</w:t>
      </w:r>
      <w:r w:rsidR="008F29B5" w:rsidRPr="00451132">
        <w:rPr>
          <w:rFonts w:ascii="Arial" w:hAnsi="Arial" w:cs="Arial"/>
          <w:sz w:val="20"/>
          <w:szCs w:val="20"/>
          <w:lang w:val="es-UY"/>
        </w:rPr>
        <w:t>n</w:t>
      </w:r>
      <w:r w:rsidR="00B66C41" w:rsidRPr="00451132">
        <w:rPr>
          <w:rFonts w:ascii="Arial" w:hAnsi="Arial" w:cs="Arial"/>
          <w:sz w:val="20"/>
          <w:szCs w:val="20"/>
          <w:lang w:val="es-UY"/>
        </w:rPr>
        <w:t>or que R</w:t>
      </w:r>
      <w:r w:rsidR="00B66C41" w:rsidRPr="00451132">
        <w:rPr>
          <w:rFonts w:ascii="Arial" w:hAnsi="Arial" w:cs="Arial"/>
          <w:sz w:val="20"/>
          <w:szCs w:val="20"/>
          <w:vertAlign w:val="subscript"/>
          <w:lang w:val="es-UY"/>
        </w:rPr>
        <w:t>O.</w:t>
      </w:r>
      <w:r w:rsidR="00B66C41">
        <w:rPr>
          <w:rFonts w:ascii="Arial" w:hAnsi="Arial" w:cs="Arial"/>
          <w:sz w:val="20"/>
          <w:szCs w:val="20"/>
          <w:lang w:val="es-UY"/>
        </w:rPr>
        <w:t xml:space="preserve"> </w:t>
      </w:r>
    </w:p>
    <w:p w14:paraId="63A703CA" w14:textId="77777777" w:rsidR="00CE3AEB" w:rsidRPr="001B23BB" w:rsidRDefault="00A314F1" w:rsidP="009A58E0">
      <w:pPr>
        <w:pStyle w:val="T2"/>
        <w:numPr>
          <w:ilvl w:val="1"/>
          <w:numId w:val="90"/>
        </w:numPr>
        <w:outlineLvl w:val="3"/>
      </w:pPr>
      <w:bookmarkStart w:id="176" w:name="_Toc468287989"/>
      <w:bookmarkStart w:id="177" w:name="_Toc496266582"/>
      <w:bookmarkStart w:id="178" w:name="Lit_19_2"/>
      <w:r w:rsidRPr="001B23BB">
        <w:t>DOCUMENTACIÓN A PRESENTAR</w:t>
      </w:r>
      <w:bookmarkEnd w:id="176"/>
      <w:bookmarkEnd w:id="177"/>
    </w:p>
    <w:p w14:paraId="19493FF7" w14:textId="77777777" w:rsidR="00257432" w:rsidRPr="009D388B" w:rsidRDefault="00A314F1" w:rsidP="009D388B">
      <w:pPr>
        <w:spacing w:after="120"/>
        <w:jc w:val="both"/>
        <w:rPr>
          <w:lang w:val="es-UY"/>
        </w:rPr>
      </w:pPr>
      <w:r w:rsidRPr="009D388B">
        <w:rPr>
          <w:rFonts w:ascii="Arial" w:hAnsi="Arial" w:cs="Arial"/>
          <w:sz w:val="20"/>
          <w:szCs w:val="20"/>
          <w:lang w:val="es-UY" w:eastAsia="es-ES"/>
        </w:rPr>
        <w:t>El adjudicatario provisional debe proporcionar so pena de dejar sin efecto la adjudicación provisional:</w:t>
      </w:r>
    </w:p>
    <w:p w14:paraId="2A27A991"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lastRenderedPageBreak/>
        <w:t>En un plazo de 30 días hábiles a partir de la notificación de la adjudicación provisional, el origen de los fondos que se propone destinar a la ejecución del proyecto, en el marco de la normativa vigente en materia de prevención de lavado de activos y financiación del terrorismo, pudiendo la Contratante solicitar las aclaraciones y ampliaciones que estime pertinentes. Al respecto se solicitará informe a la Unidad de Información y Análisis Financiero del Banco Central del Uruguay en forma previa a la adjudicación definitiva. De acuerdo a los “Requerimientos de información para la inscripción de entidades participantes, relativa al informe de la Unidad de Información y Análisis Financiero del Banco Central” a los que se puede acceder a través del siguiente vínculo: http://ppp.mef.gub.uy/10000/2/areas/guia-de-mejores-practicas-recomendadas.html</w:t>
      </w:r>
    </w:p>
    <w:p w14:paraId="4EA0FA6A"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t xml:space="preserve">Presentación de los estatutos sociales, de la sociedad de objeto exclusivo para su aprobación por la </w:t>
      </w:r>
      <w:r w:rsidR="00C33B28">
        <w:rPr>
          <w:rFonts w:ascii="Arial" w:hAnsi="Arial" w:cs="Arial"/>
          <w:sz w:val="20"/>
          <w:szCs w:val="20"/>
          <w:lang w:val="es-UY" w:eastAsia="es-ES"/>
        </w:rPr>
        <w:t>C</w:t>
      </w:r>
      <w:r w:rsidRPr="009D388B">
        <w:rPr>
          <w:rFonts w:ascii="Arial" w:hAnsi="Arial" w:cs="Arial"/>
          <w:sz w:val="20"/>
          <w:szCs w:val="20"/>
          <w:lang w:val="es-UY" w:eastAsia="es-ES"/>
        </w:rPr>
        <w:t xml:space="preserve">ontratante en un plazo de treinta días hábiles de notificada la adjudicación provisional. </w:t>
      </w:r>
    </w:p>
    <w:p w14:paraId="10B38D14" w14:textId="79240C7A"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t xml:space="preserve">El Plan Económico Financiero Definitivo (PEFD), así como el contenido de los instrumentos de financiación del mismo, en un plazo </w:t>
      </w:r>
      <w:r w:rsidR="0049348B">
        <w:rPr>
          <w:rFonts w:ascii="Arial" w:hAnsi="Arial" w:cs="Arial"/>
          <w:sz w:val="20"/>
          <w:szCs w:val="20"/>
          <w:lang w:val="es-UY" w:eastAsia="es-ES"/>
        </w:rPr>
        <w:t xml:space="preserve">no mayor a </w:t>
      </w:r>
      <w:r w:rsidRPr="009D388B">
        <w:rPr>
          <w:rFonts w:ascii="Arial" w:hAnsi="Arial" w:cs="Arial"/>
          <w:sz w:val="20"/>
          <w:szCs w:val="20"/>
          <w:lang w:val="es-UY" w:eastAsia="es-ES"/>
        </w:rPr>
        <w:t>1</w:t>
      </w:r>
      <w:r w:rsidR="006A05EB">
        <w:rPr>
          <w:rFonts w:ascii="Arial" w:hAnsi="Arial" w:cs="Arial"/>
          <w:sz w:val="20"/>
          <w:szCs w:val="20"/>
          <w:lang w:val="es-UY" w:eastAsia="es-ES"/>
        </w:rPr>
        <w:t>8</w:t>
      </w:r>
      <w:r w:rsidRPr="009D388B">
        <w:rPr>
          <w:rFonts w:ascii="Arial" w:hAnsi="Arial" w:cs="Arial"/>
          <w:sz w:val="20"/>
          <w:szCs w:val="20"/>
          <w:lang w:val="es-UY" w:eastAsia="es-ES"/>
        </w:rPr>
        <w:t xml:space="preserve">0 (ciento </w:t>
      </w:r>
      <w:r w:rsidR="006A05EB">
        <w:rPr>
          <w:rFonts w:ascii="Arial" w:hAnsi="Arial" w:cs="Arial"/>
          <w:sz w:val="20"/>
          <w:szCs w:val="20"/>
          <w:lang w:val="es-UY" w:eastAsia="es-ES"/>
        </w:rPr>
        <w:t>ochenta</w:t>
      </w:r>
      <w:r w:rsidRPr="009D388B">
        <w:rPr>
          <w:rFonts w:ascii="Arial" w:hAnsi="Arial" w:cs="Arial"/>
          <w:sz w:val="20"/>
          <w:szCs w:val="20"/>
          <w:lang w:val="es-UY" w:eastAsia="es-ES"/>
        </w:rPr>
        <w:t xml:space="preserve">) días a partir de la adjudicación provisoria. La Contratante se reserva el derecho de </w:t>
      </w:r>
      <w:r w:rsidRPr="009D388B">
        <w:rPr>
          <w:rFonts w:ascii="Arial" w:hAnsi="Arial" w:cs="Arial"/>
          <w:sz w:val="20"/>
          <w:szCs w:val="20"/>
          <w:lang w:val="es-UY" w:eastAsia="es-ES"/>
        </w:rPr>
        <w:lastRenderedPageBreak/>
        <w:t xml:space="preserve">otorgar prórrogas, en aquellos casos en que el adjudicatario lo justifique y la </w:t>
      </w:r>
      <w:r w:rsidR="00C33B28">
        <w:rPr>
          <w:rFonts w:ascii="Arial" w:hAnsi="Arial" w:cs="Arial"/>
          <w:sz w:val="20"/>
          <w:szCs w:val="20"/>
          <w:lang w:val="es-UY" w:eastAsia="es-ES"/>
        </w:rPr>
        <w:t>Contratante</w:t>
      </w:r>
      <w:r w:rsidRPr="009D388B">
        <w:rPr>
          <w:rFonts w:ascii="Arial" w:hAnsi="Arial" w:cs="Arial"/>
          <w:sz w:val="20"/>
          <w:szCs w:val="20"/>
          <w:lang w:val="es-UY" w:eastAsia="es-ES"/>
        </w:rPr>
        <w:t xml:space="preserve"> lo estime oportuno. </w:t>
      </w:r>
      <w:r w:rsidR="002567D8">
        <w:rPr>
          <w:rFonts w:ascii="Arial" w:hAnsi="Arial" w:cs="Arial"/>
          <w:sz w:val="20"/>
          <w:szCs w:val="20"/>
          <w:lang w:val="es-UY" w:eastAsia="es-ES"/>
        </w:rPr>
        <w:t xml:space="preserve">La solicitud de prórroga presentada por el adjudicatario podrá dar lugar al cobro de U$S 50.000 (dólares estadounidenses cincuenta mil) de la garantía de mantenimiento de oferta, según lo establecido en la cláusula 13 del presente Pliego. </w:t>
      </w:r>
      <w:r w:rsidRPr="009D388B">
        <w:rPr>
          <w:rFonts w:ascii="Arial" w:hAnsi="Arial" w:cs="Arial"/>
          <w:sz w:val="20"/>
          <w:szCs w:val="20"/>
          <w:lang w:val="es-UY" w:eastAsia="es-ES"/>
        </w:rPr>
        <w:t xml:space="preserve">Toda la documentación financiera deberá estar firmada. </w:t>
      </w:r>
    </w:p>
    <w:p w14:paraId="5337E034"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t>Garantía de cumplimiento de contrato para la etapa de construcción y póliza de seguro contra todo riesgo. Ambas deberán acreditarse ante la Contratante y depositarse en el plazo de 10 diez días hábiles, contados a partir del siguiente a la notificación de la adjudicación definitiva y previo a la firma del contrato previsto en la Cláusula 26 del Pliego.</w:t>
      </w:r>
    </w:p>
    <w:p w14:paraId="21A0FD9D"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t>Constancia de inscripción en el Registro Único de Proveedores del Estado en forma “activa”.</w:t>
      </w:r>
    </w:p>
    <w:p w14:paraId="382E37E4"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t>Certificado expedido por el Banco de Seguros del Estado, que acredite estar al día con el pago de seguros por accidentes laborales. En el caso de personas jurídicas extranjeras deberá presentarse documentación homóloga. Para el caso de no existir documentación homóloga a la solicitada, el oferente deberá presentar documentación suficiente extendida por profesional del Derecho que acredite tal extremo.</w:t>
      </w:r>
    </w:p>
    <w:p w14:paraId="60230715" w14:textId="77777777" w:rsidR="00257432" w:rsidRPr="009D388B" w:rsidRDefault="00A314F1" w:rsidP="009A58E0">
      <w:pPr>
        <w:pStyle w:val="Prrafodelista"/>
        <w:numPr>
          <w:ilvl w:val="4"/>
          <w:numId w:val="125"/>
        </w:numPr>
        <w:spacing w:after="120"/>
        <w:ind w:left="426"/>
        <w:jc w:val="both"/>
        <w:rPr>
          <w:lang w:val="es-UY"/>
        </w:rPr>
      </w:pPr>
      <w:r w:rsidRPr="009D388B">
        <w:rPr>
          <w:rFonts w:ascii="Arial" w:hAnsi="Arial" w:cs="Arial"/>
          <w:sz w:val="20"/>
          <w:szCs w:val="20"/>
          <w:lang w:val="es-UY" w:eastAsia="es-ES"/>
        </w:rPr>
        <w:lastRenderedPageBreak/>
        <w:t>Presentación del certificado de VECA libre por un monto no menor a U$S 15:000.000 (dólares estadounidenses quince millones), en la forma prevista en la cláusula 15.1.4</w:t>
      </w:r>
    </w:p>
    <w:p w14:paraId="3AD3A7FE" w14:textId="77777777" w:rsidR="00257432" w:rsidRDefault="00A314F1" w:rsidP="009D388B">
      <w:pPr>
        <w:pStyle w:val="Prrafodelista"/>
        <w:spacing w:after="120"/>
        <w:ind w:left="426"/>
        <w:jc w:val="both"/>
        <w:rPr>
          <w:lang w:val="es-UY"/>
        </w:rPr>
      </w:pPr>
      <w:r w:rsidRPr="009D388B">
        <w:rPr>
          <w:rFonts w:ascii="Arial" w:hAnsi="Arial" w:cs="Arial"/>
          <w:sz w:val="20"/>
          <w:szCs w:val="20"/>
          <w:lang w:val="es-UY" w:eastAsia="es-ES"/>
        </w:rPr>
        <w:t>Los documentos previstos en los literales e), f), y g) se presentarán dentro de los 10 (diez) días hábiles, contados desde el siguiente a la aprobación de los estatutos sociales de la sociedad de objeto exclusivo por la Auditoría Interna de la Nación.</w:t>
      </w:r>
    </w:p>
    <w:p w14:paraId="64E07C4F" w14:textId="77777777" w:rsidR="007F2C68" w:rsidRPr="00E2664E" w:rsidRDefault="007F2C68" w:rsidP="009A58E0">
      <w:pPr>
        <w:pStyle w:val="T1"/>
        <w:numPr>
          <w:ilvl w:val="0"/>
          <w:numId w:val="90"/>
        </w:numPr>
        <w:outlineLvl w:val="2"/>
      </w:pPr>
      <w:bookmarkStart w:id="179" w:name="_Toc468287990"/>
      <w:bookmarkStart w:id="180" w:name="_Toc496266583"/>
      <w:bookmarkStart w:id="181" w:name="Lit_20"/>
      <w:bookmarkEnd w:id="178"/>
      <w:r w:rsidRPr="00E2664E">
        <w:t>ADJUDICACIÓN DEFINITIVA</w:t>
      </w:r>
      <w:bookmarkEnd w:id="179"/>
      <w:bookmarkEnd w:id="180"/>
    </w:p>
    <w:bookmarkEnd w:id="181"/>
    <w:p w14:paraId="130DD604" w14:textId="77777777" w:rsidR="007F2C68" w:rsidRPr="00E2664E" w:rsidRDefault="007F2C68" w:rsidP="007F2C68">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Realizada la adjudicación definitiva será notificada a cada uno de los oferentes.</w:t>
      </w:r>
    </w:p>
    <w:p w14:paraId="14D81FD6" w14:textId="77777777" w:rsidR="007F2C68" w:rsidRPr="00E2664E" w:rsidRDefault="007F2C68" w:rsidP="007F2C68">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Para el caso de que no proceda la adjudicación definitiva del contrato al oferente que hubiese resultado seleccionado de acuerdo a la adjudicación provisional, por no cumplir éste las condiciones cuyo cumplimiento se hubiera solicitado, la Contratante</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podrá efectuar una nueva adjudicación provisional al oferente u oferentes siguientes, siempre que ello fuese posible y que el nuevo adjudicatario potencial preste su conformidad. Dicha resolución provisional será notificada a todos los oferentes. </w:t>
      </w:r>
    </w:p>
    <w:p w14:paraId="424A1A0D" w14:textId="77777777" w:rsidR="007F2C68" w:rsidRPr="00E2664E" w:rsidRDefault="007F2C68" w:rsidP="007F2C68">
      <w:pPr>
        <w:spacing w:after="120"/>
        <w:jc w:val="both"/>
        <w:rPr>
          <w:rFonts w:ascii="Arial" w:hAnsi="Arial" w:cs="Arial"/>
          <w:sz w:val="20"/>
          <w:szCs w:val="20"/>
          <w:lang w:val="es-UY" w:eastAsia="es-ES"/>
        </w:rPr>
      </w:pPr>
      <w:r w:rsidRPr="00E2664E">
        <w:rPr>
          <w:rFonts w:ascii="Arial" w:hAnsi="Arial" w:cs="Arial"/>
          <w:sz w:val="20"/>
          <w:szCs w:val="20"/>
          <w:lang w:val="es-UY" w:eastAsia="es-ES"/>
        </w:rPr>
        <w:t>La conformidad del nuevo adjudicatario</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 xml:space="preserve">a que refiere el inciso séptimo del artículo 23 de la </w:t>
      </w:r>
      <w:r w:rsidR="00915E20">
        <w:rPr>
          <w:rFonts w:ascii="Arial" w:hAnsi="Arial" w:cs="Arial"/>
          <w:sz w:val="20"/>
          <w:szCs w:val="20"/>
          <w:lang w:val="es-UY" w:eastAsia="es-ES"/>
        </w:rPr>
        <w:t>LCPPP</w:t>
      </w:r>
      <w:r w:rsidRPr="00E2664E">
        <w:rPr>
          <w:rFonts w:ascii="Arial" w:hAnsi="Arial" w:cs="Arial"/>
          <w:sz w:val="20"/>
          <w:szCs w:val="20"/>
          <w:lang w:val="es-UY" w:eastAsia="es-ES"/>
        </w:rPr>
        <w:t xml:space="preserve">, se considerará otorgada por </w:t>
      </w:r>
      <w:r w:rsidRPr="00E2664E">
        <w:rPr>
          <w:rFonts w:ascii="Arial" w:hAnsi="Arial" w:cs="Arial"/>
          <w:sz w:val="20"/>
          <w:szCs w:val="20"/>
          <w:lang w:val="es-UY" w:eastAsia="es-ES"/>
        </w:rPr>
        <w:lastRenderedPageBreak/>
        <w:t xml:space="preserve">quien no hubiere sido designado en calidad de adjudicatario provisional en la primera oportunidad, si no cursara a la Contratante un pre-aviso de retirar la garantía de mantenimiento de oferta, dentro del plazo de 10 días hábiles de realizada la adjudicación provisional. </w:t>
      </w:r>
    </w:p>
    <w:p w14:paraId="2FD63F3D" w14:textId="77777777" w:rsidR="007F2C68" w:rsidRPr="00E2664E" w:rsidRDefault="007F2C68" w:rsidP="009A58E0">
      <w:pPr>
        <w:pStyle w:val="T1"/>
        <w:numPr>
          <w:ilvl w:val="0"/>
          <w:numId w:val="90"/>
        </w:numPr>
        <w:outlineLvl w:val="2"/>
      </w:pPr>
      <w:bookmarkStart w:id="182" w:name="_Toc468287991"/>
      <w:bookmarkStart w:id="183" w:name="_Toc496266584"/>
      <w:bookmarkStart w:id="184" w:name="Lit_21"/>
      <w:r w:rsidRPr="00E2664E">
        <w:t>TITULAR DEL CONTRATO</w:t>
      </w:r>
      <w:bookmarkEnd w:id="182"/>
      <w:bookmarkEnd w:id="183"/>
    </w:p>
    <w:bookmarkEnd w:id="184"/>
    <w:p w14:paraId="4944CAD2" w14:textId="77777777" w:rsidR="007F2C68" w:rsidRPr="00E2664E" w:rsidRDefault="007F2C68" w:rsidP="007F2C68">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titular del contrato será la sociedad de objeto exclusivo creada por el adjudicatario, y a todos los efectos será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del Ministerio de Transporte y Obras Públicas. </w:t>
      </w:r>
    </w:p>
    <w:p w14:paraId="6F25B4F3" w14:textId="77777777" w:rsidR="00A3029F" w:rsidRDefault="007F2C68" w:rsidP="00336AC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adquirirá todos los compromisos asumidos por el adjudicatario derivado de la licitación.</w:t>
      </w:r>
      <w:bookmarkEnd w:id="0"/>
      <w:bookmarkEnd w:id="2"/>
      <w:bookmarkEnd w:id="3"/>
      <w:bookmarkEnd w:id="4"/>
      <w:bookmarkEnd w:id="5"/>
      <w:bookmarkEnd w:id="6"/>
    </w:p>
    <w:p w14:paraId="149BC63E" w14:textId="77777777" w:rsidR="00336AC7" w:rsidRPr="00E2664E" w:rsidRDefault="00336AC7" w:rsidP="00336AC7">
      <w:pPr>
        <w:autoSpaceDE w:val="0"/>
        <w:autoSpaceDN w:val="0"/>
        <w:adjustRightInd w:val="0"/>
        <w:spacing w:after="120"/>
        <w:jc w:val="both"/>
        <w:rPr>
          <w:rFonts w:ascii="Arial" w:hAnsi="Arial" w:cs="Arial"/>
          <w:sz w:val="20"/>
          <w:szCs w:val="20"/>
          <w:lang w:val="es-UY"/>
        </w:rPr>
        <w:sectPr w:rsidR="00336AC7" w:rsidRPr="00E2664E" w:rsidSect="00B238CC">
          <w:headerReference w:type="default" r:id="rId56"/>
          <w:footerReference w:type="default" r:id="rId57"/>
          <w:pgSz w:w="11906" w:h="16838"/>
          <w:pgMar w:top="1560" w:right="1701" w:bottom="1701" w:left="1701" w:header="709" w:footer="709" w:gutter="0"/>
          <w:cols w:space="708"/>
          <w:docGrid w:linePitch="360"/>
        </w:sectPr>
      </w:pPr>
    </w:p>
    <w:p w14:paraId="3710E4A8" w14:textId="77777777" w:rsidR="00A3029F" w:rsidRPr="00E2664E" w:rsidRDefault="00A3029F" w:rsidP="000F5C7C">
      <w:pPr>
        <w:pStyle w:val="T0"/>
        <w:outlineLvl w:val="0"/>
      </w:pPr>
      <w:bookmarkStart w:id="185" w:name="_Toc340671861"/>
      <w:bookmarkStart w:id="186" w:name="_Toc358821498"/>
      <w:bookmarkStart w:id="187" w:name="_Toc400622248"/>
      <w:bookmarkStart w:id="188" w:name="_Toc400629099"/>
      <w:bookmarkStart w:id="189" w:name="_Toc400634001"/>
      <w:bookmarkStart w:id="190" w:name="_Toc400635124"/>
      <w:bookmarkStart w:id="191" w:name="_Toc468287992"/>
      <w:bookmarkStart w:id="192" w:name="_Toc496266585"/>
      <w:bookmarkStart w:id="193" w:name="CAP_3"/>
      <w:r w:rsidRPr="00E2664E">
        <w:lastRenderedPageBreak/>
        <w:t>CAPÍTULO III: ACTUACIONES PREVIAS Y FORMALIZACIÓN DEL CONTRATO</w:t>
      </w:r>
      <w:bookmarkEnd w:id="185"/>
      <w:bookmarkEnd w:id="186"/>
      <w:bookmarkEnd w:id="187"/>
      <w:bookmarkEnd w:id="188"/>
      <w:bookmarkEnd w:id="189"/>
      <w:bookmarkEnd w:id="190"/>
      <w:bookmarkEnd w:id="191"/>
      <w:bookmarkEnd w:id="192"/>
    </w:p>
    <w:p w14:paraId="1E20DA59" w14:textId="77777777" w:rsidR="00A3029F" w:rsidRPr="00E2664E" w:rsidRDefault="00A3029F" w:rsidP="009A58E0">
      <w:pPr>
        <w:pStyle w:val="T1"/>
        <w:numPr>
          <w:ilvl w:val="0"/>
          <w:numId w:val="90"/>
        </w:numPr>
        <w:outlineLvl w:val="2"/>
      </w:pPr>
      <w:bookmarkStart w:id="194" w:name="_Toc340671862"/>
      <w:bookmarkStart w:id="195" w:name="_Toc358821499"/>
      <w:bookmarkStart w:id="196" w:name="_Toc400622249"/>
      <w:bookmarkStart w:id="197" w:name="_Toc400629100"/>
      <w:bookmarkStart w:id="198" w:name="_Toc400634002"/>
      <w:bookmarkStart w:id="199" w:name="_Toc400635125"/>
      <w:bookmarkStart w:id="200" w:name="_Toc468287993"/>
      <w:bookmarkStart w:id="201" w:name="_Toc496266586"/>
      <w:bookmarkStart w:id="202" w:name="Lit_22"/>
      <w:bookmarkEnd w:id="193"/>
      <w:r w:rsidRPr="00E2664E">
        <w:t>SOCIEDAD DE OBJETO EXCLUSIVO</w:t>
      </w:r>
      <w:bookmarkEnd w:id="194"/>
      <w:bookmarkEnd w:id="195"/>
      <w:bookmarkEnd w:id="196"/>
      <w:bookmarkEnd w:id="197"/>
      <w:bookmarkEnd w:id="198"/>
      <w:bookmarkEnd w:id="199"/>
      <w:bookmarkEnd w:id="200"/>
      <w:bookmarkEnd w:id="201"/>
    </w:p>
    <w:p w14:paraId="6D654F96" w14:textId="77777777" w:rsidR="00A3029F" w:rsidRPr="00E2664E" w:rsidRDefault="00A3029F" w:rsidP="009A58E0">
      <w:pPr>
        <w:pStyle w:val="T2"/>
        <w:numPr>
          <w:ilvl w:val="1"/>
          <w:numId w:val="90"/>
        </w:numPr>
        <w:outlineLvl w:val="3"/>
      </w:pPr>
      <w:bookmarkStart w:id="203" w:name="_Toc340671863"/>
      <w:bookmarkStart w:id="204" w:name="_Toc358821500"/>
      <w:bookmarkStart w:id="205" w:name="_Toc400634003"/>
      <w:bookmarkStart w:id="206" w:name="_Toc400635126"/>
      <w:bookmarkStart w:id="207" w:name="_Toc468287994"/>
      <w:bookmarkStart w:id="208" w:name="_Toc496266587"/>
      <w:bookmarkStart w:id="209" w:name="Lit_22_1"/>
      <w:bookmarkEnd w:id="202"/>
      <w:r w:rsidRPr="00E2664E">
        <w:t>CONSTITUCIÓN Y ESTATUTOS DE LA SOCIEDAD DE OBJETO EXCLUSIVO</w:t>
      </w:r>
      <w:bookmarkEnd w:id="203"/>
      <w:bookmarkEnd w:id="204"/>
      <w:bookmarkEnd w:id="205"/>
      <w:bookmarkEnd w:id="206"/>
      <w:bookmarkEnd w:id="207"/>
      <w:bookmarkEnd w:id="208"/>
    </w:p>
    <w:bookmarkEnd w:id="209"/>
    <w:p w14:paraId="62AB23BA" w14:textId="77777777" w:rsidR="00BC7C7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oferente o grupo de oferentes que hayan resultado adjudicatario</w:t>
      </w:r>
      <w:r w:rsidR="002C76B7">
        <w:rPr>
          <w:rFonts w:ascii="Arial" w:hAnsi="Arial" w:cs="Arial"/>
          <w:sz w:val="20"/>
          <w:szCs w:val="20"/>
          <w:lang w:val="es-UY"/>
        </w:rPr>
        <w:t>s</w:t>
      </w:r>
      <w:r w:rsidR="00CA3675">
        <w:rPr>
          <w:rFonts w:ascii="Arial" w:hAnsi="Arial" w:cs="Arial"/>
          <w:sz w:val="20"/>
          <w:szCs w:val="20"/>
          <w:lang w:val="es-UY"/>
        </w:rPr>
        <w:t>, deberá</w:t>
      </w:r>
      <w:r w:rsidR="002C76B7">
        <w:rPr>
          <w:rFonts w:ascii="Arial" w:hAnsi="Arial" w:cs="Arial"/>
          <w:sz w:val="20"/>
          <w:szCs w:val="20"/>
          <w:lang w:val="es-UY"/>
        </w:rPr>
        <w:t>n</w:t>
      </w:r>
      <w:r w:rsidR="00CA3675">
        <w:rPr>
          <w:rFonts w:ascii="Arial" w:hAnsi="Arial" w:cs="Arial"/>
          <w:sz w:val="20"/>
          <w:szCs w:val="20"/>
          <w:lang w:val="es-UY"/>
        </w:rPr>
        <w:t xml:space="preserve"> presentar los estatutos sociales para su aprobación por la </w:t>
      </w:r>
      <w:r w:rsidR="00C63073">
        <w:rPr>
          <w:rFonts w:ascii="Arial" w:hAnsi="Arial" w:cs="Arial"/>
          <w:sz w:val="20"/>
          <w:szCs w:val="20"/>
          <w:lang w:val="es-UY"/>
        </w:rPr>
        <w:t>Contratante</w:t>
      </w:r>
      <w:r w:rsidR="00CA3675">
        <w:rPr>
          <w:rFonts w:ascii="Arial" w:hAnsi="Arial" w:cs="Arial"/>
          <w:sz w:val="20"/>
          <w:szCs w:val="20"/>
          <w:lang w:val="es-UY"/>
        </w:rPr>
        <w:t xml:space="preserve"> </w:t>
      </w:r>
      <w:r w:rsidR="00C63073">
        <w:rPr>
          <w:rFonts w:ascii="Arial" w:hAnsi="Arial" w:cs="Arial"/>
          <w:sz w:val="20"/>
          <w:szCs w:val="20"/>
          <w:lang w:val="es-UY"/>
        </w:rPr>
        <w:t xml:space="preserve">de la sociedad de objeto exclusivo, </w:t>
      </w:r>
      <w:r w:rsidR="00CA3675">
        <w:rPr>
          <w:rFonts w:ascii="Arial" w:hAnsi="Arial" w:cs="Arial"/>
          <w:sz w:val="20"/>
          <w:szCs w:val="20"/>
          <w:lang w:val="es-UY"/>
        </w:rPr>
        <w:t xml:space="preserve">en </w:t>
      </w:r>
      <w:r w:rsidR="00C63073">
        <w:rPr>
          <w:rFonts w:ascii="Arial" w:hAnsi="Arial" w:cs="Arial"/>
          <w:sz w:val="20"/>
          <w:szCs w:val="20"/>
          <w:lang w:val="es-UY"/>
        </w:rPr>
        <w:t xml:space="preserve">un </w:t>
      </w:r>
      <w:r w:rsidR="00CA3675">
        <w:rPr>
          <w:rFonts w:ascii="Arial" w:hAnsi="Arial" w:cs="Arial"/>
          <w:sz w:val="20"/>
          <w:szCs w:val="20"/>
          <w:lang w:val="es-UY"/>
        </w:rPr>
        <w:t>plazo de 30</w:t>
      </w:r>
      <w:r w:rsidR="00C63073">
        <w:rPr>
          <w:rFonts w:ascii="Arial" w:hAnsi="Arial" w:cs="Arial"/>
          <w:sz w:val="20"/>
          <w:szCs w:val="20"/>
          <w:lang w:val="es-UY"/>
        </w:rPr>
        <w:t xml:space="preserve"> </w:t>
      </w:r>
      <w:r w:rsidR="00E22FC7">
        <w:rPr>
          <w:rFonts w:ascii="Arial" w:hAnsi="Arial" w:cs="Arial"/>
          <w:sz w:val="20"/>
          <w:szCs w:val="20"/>
          <w:lang w:val="es-UY"/>
        </w:rPr>
        <w:t>(treinta</w:t>
      </w:r>
      <w:r w:rsidR="00C63073">
        <w:rPr>
          <w:rFonts w:ascii="Arial" w:hAnsi="Arial" w:cs="Arial"/>
          <w:sz w:val="20"/>
          <w:szCs w:val="20"/>
          <w:lang w:val="es-UY"/>
        </w:rPr>
        <w:t>)</w:t>
      </w:r>
      <w:r w:rsidR="009918A9">
        <w:rPr>
          <w:rFonts w:ascii="Arial" w:hAnsi="Arial" w:cs="Arial"/>
          <w:sz w:val="20"/>
          <w:szCs w:val="20"/>
          <w:lang w:val="es-UY"/>
        </w:rPr>
        <w:t xml:space="preserve"> días hábiles</w:t>
      </w:r>
      <w:r w:rsidR="00CA3675">
        <w:rPr>
          <w:rFonts w:ascii="Arial" w:hAnsi="Arial" w:cs="Arial"/>
          <w:sz w:val="20"/>
          <w:szCs w:val="20"/>
          <w:lang w:val="es-UY"/>
        </w:rPr>
        <w:t xml:space="preserve"> de notificada la adjudicación provisional</w:t>
      </w:r>
      <w:r w:rsidR="00E22FC7">
        <w:rPr>
          <w:rFonts w:ascii="Arial" w:hAnsi="Arial" w:cs="Arial"/>
          <w:sz w:val="20"/>
          <w:szCs w:val="20"/>
          <w:lang w:val="es-UY"/>
        </w:rPr>
        <w:t>.</w:t>
      </w:r>
      <w:r w:rsidR="00090908">
        <w:rPr>
          <w:rFonts w:ascii="Arial" w:hAnsi="Arial" w:cs="Arial"/>
          <w:sz w:val="20"/>
          <w:szCs w:val="20"/>
          <w:lang w:val="es-UY"/>
        </w:rPr>
        <w:t xml:space="preserve"> Dicha sociedad</w:t>
      </w:r>
      <w:r w:rsidR="00C63073">
        <w:rPr>
          <w:rFonts w:ascii="Arial" w:hAnsi="Arial" w:cs="Arial"/>
          <w:sz w:val="20"/>
          <w:szCs w:val="20"/>
          <w:lang w:val="es-UY"/>
        </w:rPr>
        <w:t xml:space="preserve"> deberá encontrarse legalmente constituida en un </w:t>
      </w:r>
      <w:r w:rsidR="002C76B7">
        <w:rPr>
          <w:rFonts w:ascii="Arial" w:hAnsi="Arial" w:cs="Arial"/>
          <w:sz w:val="20"/>
          <w:szCs w:val="20"/>
          <w:lang w:val="es-UY"/>
        </w:rPr>
        <w:t xml:space="preserve">plazo de </w:t>
      </w:r>
      <w:r w:rsidR="00F137A4">
        <w:rPr>
          <w:rFonts w:ascii="Arial" w:hAnsi="Arial" w:cs="Arial"/>
          <w:sz w:val="20"/>
          <w:szCs w:val="20"/>
          <w:lang w:val="es-UY"/>
        </w:rPr>
        <w:t>90</w:t>
      </w:r>
      <w:r w:rsidR="00C63073">
        <w:rPr>
          <w:rFonts w:ascii="Arial" w:hAnsi="Arial" w:cs="Arial"/>
          <w:sz w:val="20"/>
          <w:szCs w:val="20"/>
          <w:lang w:val="es-UY"/>
        </w:rPr>
        <w:t xml:space="preserve"> </w:t>
      </w:r>
      <w:r w:rsidR="00390631">
        <w:rPr>
          <w:rFonts w:ascii="Arial" w:hAnsi="Arial" w:cs="Arial"/>
          <w:sz w:val="20"/>
          <w:szCs w:val="20"/>
          <w:lang w:val="es-UY"/>
        </w:rPr>
        <w:t>(</w:t>
      </w:r>
      <w:r w:rsidR="00F137A4">
        <w:rPr>
          <w:rFonts w:ascii="Arial" w:hAnsi="Arial" w:cs="Arial"/>
          <w:sz w:val="20"/>
          <w:szCs w:val="20"/>
          <w:lang w:val="es-UY"/>
        </w:rPr>
        <w:t>noventa</w:t>
      </w:r>
      <w:r w:rsidR="00C63073">
        <w:rPr>
          <w:rFonts w:ascii="Arial" w:hAnsi="Arial" w:cs="Arial"/>
          <w:sz w:val="20"/>
          <w:szCs w:val="20"/>
          <w:lang w:val="es-UY"/>
        </w:rPr>
        <w:t>)</w:t>
      </w:r>
      <w:r w:rsidR="002C76B7">
        <w:rPr>
          <w:rFonts w:ascii="Arial" w:hAnsi="Arial" w:cs="Arial"/>
          <w:sz w:val="20"/>
          <w:szCs w:val="20"/>
          <w:lang w:val="es-UY"/>
        </w:rPr>
        <w:t xml:space="preserve"> días hábiles contados desde la fecha de notificada la adjudicación provisional</w:t>
      </w:r>
      <w:r w:rsidR="004F2DAE">
        <w:rPr>
          <w:rFonts w:ascii="Arial" w:hAnsi="Arial" w:cs="Arial"/>
          <w:sz w:val="20"/>
          <w:szCs w:val="20"/>
          <w:lang w:val="es-UY"/>
        </w:rPr>
        <w:t>.</w:t>
      </w:r>
      <w:r w:rsidR="005C66D1">
        <w:rPr>
          <w:rFonts w:ascii="Arial" w:hAnsi="Arial" w:cs="Arial"/>
          <w:sz w:val="20"/>
          <w:szCs w:val="20"/>
          <w:lang w:val="es-UY"/>
        </w:rPr>
        <w:t xml:space="preserve"> </w:t>
      </w:r>
    </w:p>
    <w:p w14:paraId="5A8688AF" w14:textId="77777777" w:rsidR="001C5FE9" w:rsidRDefault="00B17046" w:rsidP="00CC6497">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No se admitirá la compr</w:t>
      </w:r>
      <w:r w:rsidR="009773F0">
        <w:rPr>
          <w:rFonts w:ascii="Arial" w:hAnsi="Arial" w:cs="Arial"/>
          <w:sz w:val="20"/>
          <w:szCs w:val="20"/>
          <w:lang w:val="es-UY"/>
        </w:rPr>
        <w:t>a</w:t>
      </w:r>
      <w:r>
        <w:rPr>
          <w:rFonts w:ascii="Arial" w:hAnsi="Arial" w:cs="Arial"/>
          <w:sz w:val="20"/>
          <w:szCs w:val="20"/>
          <w:lang w:val="es-UY"/>
        </w:rPr>
        <w:t xml:space="preserve"> de una sociedad anónima ya </w:t>
      </w:r>
      <w:r w:rsidR="00E568D2">
        <w:rPr>
          <w:rFonts w:ascii="Arial" w:hAnsi="Arial" w:cs="Arial"/>
          <w:sz w:val="20"/>
          <w:szCs w:val="20"/>
          <w:lang w:val="es-UY"/>
        </w:rPr>
        <w:t>constituida</w:t>
      </w:r>
      <w:r>
        <w:rPr>
          <w:rFonts w:ascii="Arial" w:hAnsi="Arial" w:cs="Arial"/>
          <w:sz w:val="20"/>
          <w:szCs w:val="20"/>
          <w:lang w:val="es-UY"/>
        </w:rPr>
        <w:t>.</w:t>
      </w:r>
    </w:p>
    <w:p w14:paraId="763693E9"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sociedad de objeto exclusivo deberá ajustarse a los siguientes requisitos:</w:t>
      </w:r>
    </w:p>
    <w:p w14:paraId="26D558E4"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El objeto social consistirá exclusivamente en la ejecución del contrato de acuerdo a</w:t>
      </w:r>
      <w:r w:rsidR="00B14DCC">
        <w:rPr>
          <w:rFonts w:ascii="Arial" w:hAnsi="Arial" w:cs="Arial"/>
          <w:sz w:val="20"/>
          <w:szCs w:val="20"/>
          <w:lang w:val="es-UY"/>
        </w:rPr>
        <w:t xml:space="preserve"> </w:t>
      </w:r>
      <w:r w:rsidRPr="00E2664E">
        <w:rPr>
          <w:rFonts w:ascii="Arial" w:hAnsi="Arial" w:cs="Arial"/>
          <w:sz w:val="20"/>
          <w:szCs w:val="20"/>
          <w:lang w:val="es-UY"/>
        </w:rPr>
        <w:t xml:space="preserve">lo </w:t>
      </w:r>
      <w:r w:rsidR="00D93490">
        <w:rPr>
          <w:rFonts w:ascii="Arial" w:hAnsi="Arial" w:cs="Arial"/>
          <w:sz w:val="20"/>
          <w:szCs w:val="20"/>
          <w:lang w:val="es-UY"/>
        </w:rPr>
        <w:t xml:space="preserve">establecido en la cláusula 2 del presente pliego de </w:t>
      </w:r>
      <w:r w:rsidR="00C63073">
        <w:rPr>
          <w:rFonts w:ascii="Arial" w:hAnsi="Arial" w:cs="Arial"/>
          <w:sz w:val="20"/>
          <w:szCs w:val="20"/>
          <w:lang w:val="es-UY"/>
        </w:rPr>
        <w:t>licitación</w:t>
      </w:r>
      <w:r w:rsidR="00D93490">
        <w:rPr>
          <w:rFonts w:ascii="Arial" w:hAnsi="Arial" w:cs="Arial"/>
          <w:sz w:val="20"/>
          <w:szCs w:val="20"/>
          <w:lang w:val="es-UY"/>
        </w:rPr>
        <w:t>.</w:t>
      </w:r>
    </w:p>
    <w:p w14:paraId="61BFF76C"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lastRenderedPageBreak/>
        <w:t>La participación accionaria del oferente o grupo de oferentes en dicha sociedad, será en iguales proporciones de participación que las indicadas en su oferta.</w:t>
      </w:r>
    </w:p>
    <w:p w14:paraId="1C83C6D9"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No podrá disolverse hasta que se produzca la reversión de los bienes vinculados al objeto de este contrato, en los términos dispuestos por el presente pliego. </w:t>
      </w:r>
    </w:p>
    <w:p w14:paraId="067039CB"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Sus acciones serán nominativas no endosables.</w:t>
      </w:r>
    </w:p>
    <w:p w14:paraId="1A65D4C0"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Requerirá la aprobación previa de sus estatutos por parte de la Contratante.</w:t>
      </w:r>
    </w:p>
    <w:p w14:paraId="4F9F7F79"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La normativa de aplicación a las sociedades anónimas se complementará con los requisitos contenidos en el presente pliego, de forma que se incorporarán en los estatutos sociales de la sociedad de</w:t>
      </w:r>
      <w:r w:rsidR="00B14DCC">
        <w:rPr>
          <w:rFonts w:ascii="Arial" w:hAnsi="Arial" w:cs="Arial"/>
          <w:sz w:val="20"/>
          <w:szCs w:val="20"/>
          <w:lang w:val="es-UY"/>
        </w:rPr>
        <w:t xml:space="preserve"> </w:t>
      </w:r>
      <w:r w:rsidRPr="00E2664E">
        <w:rPr>
          <w:rFonts w:ascii="Arial" w:hAnsi="Arial" w:cs="Arial"/>
          <w:sz w:val="20"/>
          <w:szCs w:val="20"/>
          <w:lang w:val="es-UY"/>
        </w:rPr>
        <w:t>objeto exclusivo las prescripciones que exija el contenido del presente Pliego, no pudiendo en ningún caso contravenir lo establecido en el mismo.</w:t>
      </w:r>
    </w:p>
    <w:p w14:paraId="34EA27DD" w14:textId="77777777" w:rsidR="00A3029F" w:rsidRPr="00E2664E" w:rsidRDefault="00A3029F" w:rsidP="009A58E0">
      <w:pPr>
        <w:numPr>
          <w:ilvl w:val="0"/>
          <w:numId w:val="9"/>
        </w:numPr>
        <w:autoSpaceDE w:val="0"/>
        <w:autoSpaceDN w:val="0"/>
        <w:adjustRightInd w:val="0"/>
        <w:spacing w:after="120"/>
        <w:ind w:hanging="310"/>
        <w:jc w:val="both"/>
        <w:rPr>
          <w:rFonts w:ascii="Arial" w:hAnsi="Arial" w:cs="Arial"/>
          <w:sz w:val="20"/>
          <w:szCs w:val="20"/>
          <w:lang w:val="es-UY"/>
        </w:rPr>
      </w:pPr>
      <w:r w:rsidRPr="00E2664E">
        <w:rPr>
          <w:rFonts w:ascii="Arial" w:hAnsi="Arial" w:cs="Arial"/>
          <w:sz w:val="20"/>
          <w:szCs w:val="20"/>
          <w:lang w:val="es-UY"/>
        </w:rPr>
        <w:t xml:space="preserve">Llevará su contabilidad de conformidad con los principios y normas de contabilidad generalmente aceptados y por la normativa fiscal vigente. </w:t>
      </w:r>
    </w:p>
    <w:p w14:paraId="16081A23" w14:textId="77777777" w:rsidR="00A3029F" w:rsidRPr="00E2664E" w:rsidRDefault="00A3029F" w:rsidP="009A58E0">
      <w:pPr>
        <w:numPr>
          <w:ilvl w:val="0"/>
          <w:numId w:val="9"/>
        </w:numPr>
        <w:spacing w:after="120"/>
        <w:ind w:left="1311" w:hanging="318"/>
        <w:rPr>
          <w:rFonts w:ascii="Arial" w:hAnsi="Arial" w:cs="Arial"/>
          <w:sz w:val="20"/>
          <w:szCs w:val="20"/>
          <w:lang w:val="es-UY"/>
        </w:rPr>
      </w:pPr>
      <w:r w:rsidRPr="00E2664E">
        <w:rPr>
          <w:rFonts w:ascii="Arial" w:hAnsi="Arial" w:cs="Arial"/>
          <w:sz w:val="20"/>
          <w:szCs w:val="20"/>
          <w:lang w:val="es-UY"/>
        </w:rPr>
        <w:t>El domicilio social deberá fijarse en la ciudad de Montevideo.</w:t>
      </w:r>
    </w:p>
    <w:p w14:paraId="4FDF63D1" w14:textId="77777777" w:rsidR="00A3029F" w:rsidRPr="004F292B" w:rsidRDefault="00A3029F" w:rsidP="009A58E0">
      <w:pPr>
        <w:pStyle w:val="T2"/>
        <w:numPr>
          <w:ilvl w:val="1"/>
          <w:numId w:val="90"/>
        </w:numPr>
        <w:outlineLvl w:val="3"/>
      </w:pPr>
      <w:bookmarkStart w:id="210" w:name="_Toc340671864"/>
      <w:bookmarkStart w:id="211" w:name="_Toc358821501"/>
      <w:bookmarkStart w:id="212" w:name="_Toc400634004"/>
      <w:bookmarkStart w:id="213" w:name="_Toc400635127"/>
      <w:bookmarkStart w:id="214" w:name="_Toc468287995"/>
      <w:bookmarkStart w:id="215" w:name="_Toc496266588"/>
      <w:bookmarkStart w:id="216" w:name="Lit_22_2"/>
      <w:r w:rsidRPr="004F292B">
        <w:lastRenderedPageBreak/>
        <w:t>CAPITAL SOCIAL</w:t>
      </w:r>
      <w:bookmarkEnd w:id="210"/>
      <w:bookmarkEnd w:id="211"/>
      <w:bookmarkEnd w:id="212"/>
      <w:bookmarkEnd w:id="213"/>
      <w:bookmarkEnd w:id="214"/>
      <w:bookmarkEnd w:id="215"/>
    </w:p>
    <w:bookmarkEnd w:id="216"/>
    <w:p w14:paraId="48051E1E" w14:textId="77CAAB1D" w:rsidR="000E5BA6" w:rsidRDefault="00A3029F" w:rsidP="00E753E4">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capital social de la sociedad de objeto exclusivo será, al menos, del quince por ciento (15%) de</w:t>
      </w:r>
      <w:r w:rsidR="00B6013F">
        <w:rPr>
          <w:rFonts w:ascii="Arial" w:hAnsi="Arial" w:cs="Arial"/>
          <w:sz w:val="20"/>
          <w:szCs w:val="20"/>
          <w:lang w:val="es-UY"/>
        </w:rPr>
        <w:t xml:space="preserve">l total de la </w:t>
      </w:r>
      <w:r w:rsidRPr="00E61CFA">
        <w:rPr>
          <w:rFonts w:ascii="Arial" w:hAnsi="Arial"/>
          <w:sz w:val="20"/>
          <w:lang w:val="es-UY"/>
        </w:rPr>
        <w:t xml:space="preserve">inversión </w:t>
      </w:r>
      <w:r w:rsidR="00B6013F">
        <w:rPr>
          <w:rFonts w:ascii="Arial" w:hAnsi="Arial" w:cs="Arial"/>
          <w:sz w:val="20"/>
          <w:szCs w:val="20"/>
          <w:lang w:val="es-UY"/>
        </w:rPr>
        <w:t>A</w:t>
      </w:r>
      <w:r w:rsidR="00E61CFA">
        <w:rPr>
          <w:rFonts w:ascii="Arial" w:hAnsi="Arial" w:cs="Arial"/>
          <w:sz w:val="20"/>
          <w:szCs w:val="20"/>
          <w:lang w:val="es-UY"/>
        </w:rPr>
        <w:t>1</w:t>
      </w:r>
      <w:r w:rsidR="00A63468" w:rsidRPr="007B7A61">
        <w:rPr>
          <w:rFonts w:ascii="Arial" w:hAnsi="Arial"/>
          <w:sz w:val="20"/>
          <w:lang w:val="es-UY"/>
        </w:rPr>
        <w:t xml:space="preserve"> necesaria</w:t>
      </w:r>
      <w:r w:rsidR="00A63468">
        <w:rPr>
          <w:rFonts w:ascii="Arial" w:hAnsi="Arial" w:cs="Arial"/>
          <w:sz w:val="20"/>
          <w:szCs w:val="20"/>
          <w:lang w:val="es-UY"/>
        </w:rPr>
        <w:t xml:space="preserve"> para la construcción de las obras </w:t>
      </w:r>
      <w:r w:rsidR="002A10B7">
        <w:rPr>
          <w:rFonts w:ascii="Arial" w:hAnsi="Arial" w:cs="Arial"/>
          <w:sz w:val="20"/>
          <w:szCs w:val="20"/>
          <w:lang w:val="es-UY"/>
        </w:rPr>
        <w:t>de puesta a punto</w:t>
      </w:r>
      <w:r w:rsidR="00E61CFA">
        <w:rPr>
          <w:rFonts w:ascii="Arial" w:hAnsi="Arial" w:cs="Arial"/>
          <w:sz w:val="20"/>
          <w:szCs w:val="20"/>
          <w:lang w:val="es-UY"/>
        </w:rPr>
        <w:t xml:space="preserve"> de la primera etapa </w:t>
      </w:r>
      <w:r w:rsidR="00E44E1B">
        <w:rPr>
          <w:rFonts w:ascii="Arial" w:hAnsi="Arial" w:cs="Arial"/>
          <w:sz w:val="20"/>
          <w:szCs w:val="20"/>
          <w:lang w:val="es-UY"/>
        </w:rPr>
        <w:t xml:space="preserve">y complementarias </w:t>
      </w:r>
      <w:r w:rsidR="00A63468">
        <w:rPr>
          <w:rFonts w:ascii="Arial" w:hAnsi="Arial" w:cs="Arial"/>
          <w:sz w:val="20"/>
          <w:szCs w:val="20"/>
          <w:lang w:val="es-UY"/>
        </w:rPr>
        <w:t>contempladas en el PEF de la oferta.</w:t>
      </w:r>
      <w:r w:rsidR="00E753E4">
        <w:rPr>
          <w:rFonts w:ascii="Arial" w:hAnsi="Arial" w:cs="Arial"/>
          <w:sz w:val="20"/>
          <w:szCs w:val="20"/>
          <w:lang w:val="es-UY"/>
        </w:rPr>
        <w:t xml:space="preserve"> </w:t>
      </w:r>
    </w:p>
    <w:p w14:paraId="076152E6" w14:textId="77777777" w:rsidR="00E753E4" w:rsidRDefault="00E753E4"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Para el capital social mínimo a que refiere el párrafo anterior rigen las siguientes co</w:t>
      </w:r>
      <w:r w:rsidR="00054BEA">
        <w:rPr>
          <w:rFonts w:ascii="Arial" w:hAnsi="Arial" w:cs="Arial"/>
          <w:sz w:val="20"/>
          <w:szCs w:val="20"/>
          <w:lang w:val="es-UY"/>
        </w:rPr>
        <w:t>n</w:t>
      </w:r>
      <w:r>
        <w:rPr>
          <w:rFonts w:ascii="Arial" w:hAnsi="Arial" w:cs="Arial"/>
          <w:sz w:val="20"/>
          <w:szCs w:val="20"/>
          <w:lang w:val="es-UY"/>
        </w:rPr>
        <w:t>diciones:</w:t>
      </w:r>
    </w:p>
    <w:p w14:paraId="3BB5E78B" w14:textId="292832E4" w:rsidR="00054BEA" w:rsidRDefault="00E753E4"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 xml:space="preserve">Deberá ser íntegramente suscrito en el momento de la constitución y deberá integrarse previo a la firma del contrato al menos en un </w:t>
      </w:r>
      <w:r w:rsidR="00054BEA">
        <w:rPr>
          <w:rFonts w:ascii="Arial" w:hAnsi="Arial" w:cs="Arial"/>
          <w:sz w:val="20"/>
          <w:szCs w:val="20"/>
          <w:lang w:val="es-UY"/>
        </w:rPr>
        <w:t xml:space="preserve">veinticinco por ciento </w:t>
      </w:r>
      <w:r w:rsidR="00205D1E">
        <w:rPr>
          <w:rFonts w:ascii="Arial" w:hAnsi="Arial" w:cs="Arial"/>
          <w:sz w:val="20"/>
          <w:szCs w:val="20"/>
          <w:lang w:val="es-UY"/>
        </w:rPr>
        <w:t>(25</w:t>
      </w:r>
      <w:r w:rsidR="00054BEA">
        <w:rPr>
          <w:rFonts w:ascii="Arial" w:hAnsi="Arial" w:cs="Arial"/>
          <w:sz w:val="20"/>
          <w:szCs w:val="20"/>
          <w:lang w:val="es-UY"/>
        </w:rPr>
        <w:t>%)</w:t>
      </w:r>
      <w:r w:rsidR="006F10D4">
        <w:rPr>
          <w:rFonts w:ascii="Arial" w:hAnsi="Arial" w:cs="Arial"/>
          <w:sz w:val="20"/>
          <w:szCs w:val="20"/>
          <w:lang w:val="es-UY"/>
        </w:rPr>
        <w:t>.</w:t>
      </w:r>
    </w:p>
    <w:p w14:paraId="7D0E63D5" w14:textId="6FD3ADA7" w:rsidR="00A50F4E" w:rsidRDefault="00C10605" w:rsidP="00E753E4">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D</w:t>
      </w:r>
      <w:r w:rsidRPr="00C10605">
        <w:rPr>
          <w:rFonts w:ascii="Arial" w:hAnsi="Arial" w:cs="Arial"/>
          <w:sz w:val="20"/>
          <w:szCs w:val="20"/>
          <w:lang w:val="es-UY"/>
        </w:rPr>
        <w:t xml:space="preserve">eberá integrarse </w:t>
      </w:r>
      <w:r>
        <w:rPr>
          <w:rFonts w:ascii="Arial" w:hAnsi="Arial" w:cs="Arial"/>
          <w:sz w:val="20"/>
          <w:szCs w:val="20"/>
          <w:lang w:val="es-UY"/>
        </w:rPr>
        <w:t xml:space="preserve">el resto </w:t>
      </w:r>
      <w:r w:rsidRPr="00C10605">
        <w:rPr>
          <w:rFonts w:ascii="Arial" w:hAnsi="Arial" w:cs="Arial"/>
          <w:sz w:val="20"/>
          <w:szCs w:val="20"/>
          <w:lang w:val="es-UY"/>
        </w:rPr>
        <w:t xml:space="preserve">en la manera acordada en </w:t>
      </w:r>
      <w:r w:rsidR="006F10D4" w:rsidRPr="009D388B">
        <w:rPr>
          <w:rFonts w:ascii="Arial" w:hAnsi="Arial" w:cs="Arial"/>
          <w:sz w:val="20"/>
          <w:szCs w:val="20"/>
          <w:lang w:val="es-UY" w:eastAsia="es-ES"/>
        </w:rPr>
        <w:t xml:space="preserve">el contenido de los instrumentos de financiación </w:t>
      </w:r>
      <w:r w:rsidR="006F10D4">
        <w:rPr>
          <w:rFonts w:ascii="Arial" w:hAnsi="Arial" w:cs="Arial"/>
          <w:sz w:val="20"/>
          <w:szCs w:val="20"/>
          <w:lang w:val="es-UY" w:eastAsia="es-ES"/>
        </w:rPr>
        <w:t xml:space="preserve">del </w:t>
      </w:r>
      <w:r w:rsidR="006F10D4" w:rsidRPr="009D388B">
        <w:rPr>
          <w:rFonts w:ascii="Arial" w:hAnsi="Arial" w:cs="Arial"/>
          <w:sz w:val="20"/>
          <w:szCs w:val="20"/>
          <w:lang w:val="es-UY" w:eastAsia="es-ES"/>
        </w:rPr>
        <w:t>PEFD</w:t>
      </w:r>
      <w:r w:rsidRPr="00C10605">
        <w:rPr>
          <w:rFonts w:ascii="Arial" w:hAnsi="Arial" w:cs="Arial"/>
          <w:sz w:val="20"/>
          <w:szCs w:val="20"/>
          <w:lang w:val="es-UY"/>
        </w:rPr>
        <w:t>.</w:t>
      </w:r>
    </w:p>
    <w:p w14:paraId="2C18E043" w14:textId="1736E4BF" w:rsidR="00A3029F" w:rsidRDefault="00A50F4E" w:rsidP="00205D1E">
      <w:p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 xml:space="preserve">Deberá mantenerse hasta que se cumplan las siguientes </w:t>
      </w:r>
      <w:r w:rsidR="00EE40E9">
        <w:rPr>
          <w:rFonts w:ascii="Arial" w:hAnsi="Arial" w:cs="Arial"/>
          <w:sz w:val="20"/>
          <w:szCs w:val="20"/>
          <w:lang w:val="es-UY"/>
        </w:rPr>
        <w:t>dos condiciones: 1) haber obtenido la última ACIT de la segunda etapa, y 2) que hayan transcurrido al menos 10 años</w:t>
      </w:r>
      <w:r w:rsidR="00D72461">
        <w:rPr>
          <w:rFonts w:ascii="Arial" w:hAnsi="Arial" w:cs="Arial"/>
          <w:sz w:val="20"/>
          <w:szCs w:val="20"/>
          <w:lang w:val="es-UY"/>
        </w:rPr>
        <w:t xml:space="preserve"> </w:t>
      </w:r>
      <w:r w:rsidR="00EE40E9">
        <w:rPr>
          <w:rFonts w:ascii="Arial" w:hAnsi="Arial" w:cs="Arial"/>
          <w:sz w:val="20"/>
          <w:szCs w:val="20"/>
          <w:lang w:val="es-UY"/>
        </w:rPr>
        <w:t xml:space="preserve">desde la firma del Contrato. Cumplidas estas dos condiciones el Capital Social podrá reducirse </w:t>
      </w:r>
      <w:r w:rsidR="00260018">
        <w:rPr>
          <w:rFonts w:ascii="Arial" w:hAnsi="Arial" w:cs="Arial"/>
          <w:sz w:val="20"/>
          <w:szCs w:val="20"/>
          <w:lang w:val="es-UY"/>
        </w:rPr>
        <w:t xml:space="preserve">hasta alcanzar el 10% del total de la </w:t>
      </w:r>
      <w:r w:rsidR="00260018" w:rsidRPr="007B7A61">
        <w:rPr>
          <w:rFonts w:ascii="Arial" w:hAnsi="Arial"/>
          <w:sz w:val="20"/>
          <w:lang w:val="es-UY"/>
        </w:rPr>
        <w:t xml:space="preserve">inversión </w:t>
      </w:r>
      <w:r w:rsidR="00260018" w:rsidRPr="007B7A61">
        <w:rPr>
          <w:rFonts w:ascii="Arial" w:hAnsi="Arial" w:cs="Arial"/>
          <w:sz w:val="20"/>
          <w:szCs w:val="20"/>
          <w:lang w:val="es-UY"/>
        </w:rPr>
        <w:t>A1</w:t>
      </w:r>
      <w:r w:rsidR="00A63468" w:rsidRPr="007B7A61">
        <w:rPr>
          <w:rFonts w:ascii="Arial" w:hAnsi="Arial"/>
          <w:sz w:val="20"/>
          <w:lang w:val="es-UY"/>
        </w:rPr>
        <w:t>.</w:t>
      </w:r>
      <w:r w:rsidR="00A63468" w:rsidRPr="00E61CFA">
        <w:rPr>
          <w:rFonts w:ascii="Arial" w:hAnsi="Arial" w:cs="Arial"/>
          <w:sz w:val="20"/>
          <w:szCs w:val="20"/>
          <w:lang w:val="es-UY"/>
        </w:rPr>
        <w:t xml:space="preserve"> </w:t>
      </w:r>
      <w:r w:rsidR="00260018" w:rsidRPr="00E61CFA">
        <w:rPr>
          <w:rFonts w:ascii="Arial" w:hAnsi="Arial" w:cs="Arial"/>
          <w:sz w:val="20"/>
          <w:szCs w:val="20"/>
          <w:lang w:val="es-UY"/>
        </w:rPr>
        <w:t>Reducciones</w:t>
      </w:r>
      <w:r w:rsidR="00260018">
        <w:rPr>
          <w:rFonts w:ascii="Arial" w:hAnsi="Arial" w:cs="Arial"/>
          <w:sz w:val="20"/>
          <w:szCs w:val="20"/>
          <w:lang w:val="es-UY"/>
        </w:rPr>
        <w:t xml:space="preserve"> superiores requerirán autorización expresa de la Contratante.</w:t>
      </w:r>
    </w:p>
    <w:p w14:paraId="52CE3B6D" w14:textId="4D863F9B" w:rsidR="00397EAC" w:rsidRPr="00E2664E" w:rsidRDefault="00397EAC" w:rsidP="00205D1E">
      <w:pPr>
        <w:autoSpaceDE w:val="0"/>
        <w:autoSpaceDN w:val="0"/>
        <w:adjustRightInd w:val="0"/>
        <w:spacing w:after="120"/>
        <w:jc w:val="both"/>
        <w:rPr>
          <w:rFonts w:ascii="Arial" w:hAnsi="Arial" w:cs="Arial"/>
          <w:sz w:val="20"/>
          <w:szCs w:val="20"/>
          <w:lang w:val="es-UY"/>
        </w:rPr>
      </w:pPr>
      <w:r w:rsidRPr="00243251">
        <w:rPr>
          <w:rFonts w:ascii="Arial" w:hAnsi="Arial" w:cs="Arial"/>
          <w:sz w:val="20"/>
          <w:szCs w:val="20"/>
          <w:lang w:val="es-UY"/>
        </w:rPr>
        <w:lastRenderedPageBreak/>
        <w:t>Asimismo, el Contratista deberá integrar los restantes fondos propios establecidos en el PEFD mediante aportaciones de capital social o de deuda subordinada, de acuerdo a lo establecido en el PEFD.</w:t>
      </w:r>
      <w:r>
        <w:rPr>
          <w:rFonts w:ascii="Arial" w:hAnsi="Arial" w:cs="Arial"/>
          <w:sz w:val="20"/>
          <w:szCs w:val="20"/>
          <w:lang w:val="es-UY"/>
        </w:rPr>
        <w:t xml:space="preserve"> </w:t>
      </w:r>
    </w:p>
    <w:p w14:paraId="516023CF" w14:textId="77777777" w:rsidR="00A3029F" w:rsidRPr="00E2664E" w:rsidRDefault="00A3029F" w:rsidP="009A58E0">
      <w:pPr>
        <w:pStyle w:val="T2"/>
        <w:numPr>
          <w:ilvl w:val="1"/>
          <w:numId w:val="90"/>
        </w:numPr>
        <w:outlineLvl w:val="3"/>
      </w:pPr>
      <w:bookmarkStart w:id="217" w:name="_Toc340671865"/>
      <w:bookmarkStart w:id="218" w:name="_Toc358821502"/>
      <w:bookmarkStart w:id="219" w:name="_Toc400634005"/>
      <w:bookmarkStart w:id="220" w:name="_Toc400635128"/>
      <w:bookmarkStart w:id="221" w:name="_Toc468287996"/>
      <w:bookmarkStart w:id="222" w:name="_Toc496266589"/>
      <w:bookmarkStart w:id="223" w:name="Lit_22_3"/>
      <w:r w:rsidRPr="00E2664E">
        <w:t>RECURSOS AJENOS</w:t>
      </w:r>
      <w:bookmarkEnd w:id="217"/>
      <w:bookmarkEnd w:id="218"/>
      <w:bookmarkEnd w:id="219"/>
      <w:bookmarkEnd w:id="220"/>
      <w:bookmarkEnd w:id="221"/>
      <w:bookmarkEnd w:id="222"/>
    </w:p>
    <w:bookmarkEnd w:id="223"/>
    <w:p w14:paraId="704AA240"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financiación complementaria que resulte necesaria para hacer frente</w:t>
      </w:r>
      <w:r w:rsidR="00B14DCC">
        <w:rPr>
          <w:rFonts w:ascii="Arial" w:hAnsi="Arial" w:cs="Arial"/>
          <w:sz w:val="20"/>
          <w:szCs w:val="20"/>
          <w:lang w:val="es-UY"/>
        </w:rPr>
        <w:t xml:space="preserve"> </w:t>
      </w:r>
      <w:r w:rsidRPr="00E2664E">
        <w:rPr>
          <w:rFonts w:ascii="Arial" w:hAnsi="Arial" w:cs="Arial"/>
          <w:sz w:val="20"/>
          <w:szCs w:val="20"/>
          <w:lang w:val="es-UY"/>
        </w:rPr>
        <w:t>a las obligaciones contractuales será obtenida por la sociedad de objeto exclusivo.</w:t>
      </w:r>
    </w:p>
    <w:p w14:paraId="7A3F5A39"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No podrán emitirse obligaciones cuyo plazo de reembolso total o parcial finalice en fecha posterior al plazo de extinción del contrato.</w:t>
      </w:r>
    </w:p>
    <w:p w14:paraId="6B7528FA" w14:textId="77777777" w:rsidR="00457306" w:rsidRDefault="00A3029F" w:rsidP="00457306">
      <w:pPr>
        <w:spacing w:after="0"/>
        <w:contextualSpacing/>
        <w:jc w:val="both"/>
        <w:rPr>
          <w:sz w:val="24"/>
          <w:szCs w:val="24"/>
        </w:rPr>
      </w:pPr>
      <w:r w:rsidRPr="00D666BD">
        <w:rPr>
          <w:rFonts w:ascii="Arial" w:hAnsi="Arial" w:cs="Arial"/>
          <w:sz w:val="20"/>
          <w:szCs w:val="20"/>
          <w:lang w:val="es-UY"/>
        </w:rPr>
        <w:t xml:space="preserve">Para la emisión de obligaciones, bonos u otros títulos </w:t>
      </w:r>
      <w:r w:rsidR="00D9155A" w:rsidRPr="00D666BD">
        <w:rPr>
          <w:rFonts w:ascii="Arial" w:hAnsi="Arial" w:cs="Arial"/>
          <w:sz w:val="20"/>
          <w:szCs w:val="20"/>
          <w:lang w:val="es-UY"/>
        </w:rPr>
        <w:t xml:space="preserve">que no estuvieren contemplados en </w:t>
      </w:r>
      <w:r w:rsidR="008C066F">
        <w:rPr>
          <w:rFonts w:ascii="Arial" w:hAnsi="Arial" w:cs="Arial"/>
          <w:sz w:val="20"/>
          <w:szCs w:val="20"/>
          <w:lang w:val="es-UY"/>
        </w:rPr>
        <w:t>los términos y condiciones</w:t>
      </w:r>
      <w:r w:rsidR="00D9155A" w:rsidRPr="00D666BD">
        <w:rPr>
          <w:rFonts w:ascii="Arial" w:hAnsi="Arial" w:cs="Arial"/>
          <w:sz w:val="20"/>
          <w:szCs w:val="20"/>
          <w:lang w:val="es-UY"/>
        </w:rPr>
        <w:t xml:space="preserve"> </w:t>
      </w:r>
      <w:r w:rsidR="004E7FD9">
        <w:rPr>
          <w:rFonts w:ascii="Arial" w:hAnsi="Arial" w:cs="Arial"/>
          <w:sz w:val="20"/>
          <w:szCs w:val="20"/>
          <w:lang w:val="es-UY"/>
        </w:rPr>
        <w:t xml:space="preserve">–prospecto– </w:t>
      </w:r>
      <w:r w:rsidR="00D9155A" w:rsidRPr="00D666BD">
        <w:rPr>
          <w:rFonts w:ascii="Arial" w:hAnsi="Arial" w:cs="Arial"/>
          <w:sz w:val="20"/>
          <w:szCs w:val="20"/>
          <w:lang w:val="es-UY"/>
        </w:rPr>
        <w:t>aprobado</w:t>
      </w:r>
      <w:r w:rsidR="008C066F">
        <w:rPr>
          <w:rFonts w:ascii="Arial" w:hAnsi="Arial" w:cs="Arial"/>
          <w:sz w:val="20"/>
          <w:szCs w:val="20"/>
          <w:lang w:val="es-UY"/>
        </w:rPr>
        <w:t>s</w:t>
      </w:r>
      <w:r w:rsidR="00D9155A" w:rsidRPr="00D666BD">
        <w:rPr>
          <w:rFonts w:ascii="Arial" w:hAnsi="Arial" w:cs="Arial"/>
          <w:sz w:val="20"/>
          <w:szCs w:val="20"/>
          <w:lang w:val="es-UY"/>
        </w:rPr>
        <w:t xml:space="preserve"> por </w:t>
      </w:r>
      <w:r w:rsidR="00D666BD" w:rsidRPr="00D666BD">
        <w:rPr>
          <w:rFonts w:ascii="Arial" w:hAnsi="Arial" w:cs="Arial"/>
          <w:sz w:val="20"/>
          <w:szCs w:val="20"/>
          <w:lang w:val="es-UY"/>
        </w:rPr>
        <w:t>l</w:t>
      </w:r>
      <w:r w:rsidR="008F2655">
        <w:rPr>
          <w:rFonts w:ascii="Arial" w:hAnsi="Arial" w:cs="Arial"/>
          <w:sz w:val="20"/>
          <w:szCs w:val="20"/>
          <w:lang w:val="es-UY"/>
        </w:rPr>
        <w:t>a</w:t>
      </w:r>
      <w:r w:rsidR="00D666BD" w:rsidRPr="00D666BD">
        <w:rPr>
          <w:rFonts w:ascii="Arial" w:hAnsi="Arial" w:cs="Arial"/>
          <w:sz w:val="20"/>
          <w:szCs w:val="20"/>
          <w:lang w:val="es-UY"/>
        </w:rPr>
        <w:t xml:space="preserve"> Contratante previo</w:t>
      </w:r>
      <w:r w:rsidR="00D9155A" w:rsidRPr="00D666BD">
        <w:rPr>
          <w:rFonts w:ascii="Arial" w:hAnsi="Arial" w:cs="Arial"/>
          <w:sz w:val="20"/>
          <w:szCs w:val="20"/>
          <w:lang w:val="es-UY"/>
        </w:rPr>
        <w:t xml:space="preserve"> a la firma del contrato, </w:t>
      </w:r>
      <w:r w:rsidRPr="00D666BD">
        <w:rPr>
          <w:rFonts w:ascii="Arial" w:hAnsi="Arial" w:cs="Arial"/>
          <w:sz w:val="20"/>
          <w:szCs w:val="20"/>
          <w:lang w:val="es-UY"/>
        </w:rPr>
        <w:t>se deberá obtener la autorización de la Contratante</w:t>
      </w:r>
      <w:r w:rsidRPr="00E2664E">
        <w:rPr>
          <w:rFonts w:ascii="Arial" w:hAnsi="Arial" w:cs="Arial"/>
          <w:sz w:val="20"/>
          <w:szCs w:val="20"/>
          <w:lang w:val="es-UY"/>
        </w:rPr>
        <w:t>.</w:t>
      </w:r>
      <w:r w:rsidR="00457306" w:rsidRPr="00457306">
        <w:rPr>
          <w:sz w:val="24"/>
          <w:szCs w:val="24"/>
        </w:rPr>
        <w:t xml:space="preserve"> </w:t>
      </w:r>
      <w:r w:rsidR="00457306" w:rsidRPr="00457306">
        <w:rPr>
          <w:rFonts w:ascii="Arial" w:hAnsi="Arial" w:cs="Arial"/>
          <w:sz w:val="20"/>
          <w:szCs w:val="20"/>
          <w:lang w:val="es-UY"/>
        </w:rPr>
        <w:t>No obstante, no quedarán comprendidas en dicha obligación de autorización previa las operaciones realizadas en el mercado secundario referentes a obligaciones negociables, acciones u otros instrumentos financieros o títulos valores</w:t>
      </w:r>
      <w:r w:rsidR="00457306" w:rsidRPr="00B81C5A">
        <w:rPr>
          <w:sz w:val="24"/>
          <w:szCs w:val="24"/>
        </w:rPr>
        <w:t>.</w:t>
      </w:r>
    </w:p>
    <w:p w14:paraId="08B1EACC" w14:textId="77777777" w:rsidR="00A3029F" w:rsidRPr="00457306" w:rsidRDefault="00A3029F" w:rsidP="00CC6497">
      <w:pPr>
        <w:autoSpaceDE w:val="0"/>
        <w:autoSpaceDN w:val="0"/>
        <w:adjustRightInd w:val="0"/>
        <w:spacing w:after="120"/>
        <w:jc w:val="both"/>
        <w:rPr>
          <w:rFonts w:ascii="Arial" w:hAnsi="Arial" w:cs="Arial"/>
          <w:sz w:val="20"/>
          <w:szCs w:val="20"/>
        </w:rPr>
      </w:pPr>
    </w:p>
    <w:p w14:paraId="2C893DD9" w14:textId="77777777" w:rsidR="00A3029F" w:rsidRPr="00E2664E" w:rsidRDefault="00387C6D" w:rsidP="009A58E0">
      <w:pPr>
        <w:pStyle w:val="T2"/>
        <w:numPr>
          <w:ilvl w:val="1"/>
          <w:numId w:val="90"/>
        </w:numPr>
        <w:outlineLvl w:val="3"/>
      </w:pPr>
      <w:bookmarkStart w:id="224" w:name="_Toc340671866"/>
      <w:bookmarkStart w:id="225" w:name="_Toc358821503"/>
      <w:bookmarkStart w:id="226" w:name="_Toc400634006"/>
      <w:bookmarkStart w:id="227" w:name="_Toc400635129"/>
      <w:bookmarkStart w:id="228" w:name="Lit_22_4"/>
      <w:r>
        <w:lastRenderedPageBreak/>
        <w:t xml:space="preserve"> </w:t>
      </w:r>
      <w:bookmarkStart w:id="229" w:name="_Toc468287997"/>
      <w:bookmarkStart w:id="230" w:name="_Toc496266590"/>
      <w:r w:rsidR="00A3029F" w:rsidRPr="00387C6D">
        <w:t>ALTERACIÓN DE LA COMPOSICIÓN DEL ACCIONARIADO DE LA SOCIEDAD</w:t>
      </w:r>
      <w:bookmarkEnd w:id="224"/>
      <w:bookmarkEnd w:id="225"/>
      <w:bookmarkEnd w:id="226"/>
      <w:bookmarkEnd w:id="227"/>
      <w:bookmarkEnd w:id="229"/>
      <w:bookmarkEnd w:id="230"/>
    </w:p>
    <w:bookmarkEnd w:id="228"/>
    <w:p w14:paraId="281667FA" w14:textId="679CA903"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La alteración de la composición del accionariado de la sociedad, transformación, fusión, escisión y la transmisión de sus acciones por cualquier título requerirá autorización de la Contratante y no podrá autorizarse antes de la finalización de todas las obras de puesta a punto salvo que se configuren hechos de incumplimiento o incumplimientos graves</w:t>
      </w:r>
      <w:r w:rsidR="00456385" w:rsidRPr="00920581">
        <w:rPr>
          <w:rFonts w:ascii="Arial" w:hAnsi="Arial" w:cs="Arial"/>
          <w:sz w:val="20"/>
          <w:szCs w:val="20"/>
          <w:lang w:val="es-UY"/>
        </w:rPr>
        <w:t>, o que la misma sea el resultado de la ejecución de la prenda de acciones del contratista otorgada en beneficio de sus acreedores.</w:t>
      </w:r>
      <w:r w:rsidR="00456385">
        <w:rPr>
          <w:rFonts w:ascii="Arial" w:hAnsi="Arial" w:cs="Arial"/>
          <w:sz w:val="20"/>
          <w:szCs w:val="20"/>
          <w:lang w:val="es-UY"/>
        </w:rPr>
        <w:t xml:space="preserve"> </w:t>
      </w:r>
      <w:r w:rsidRPr="00205D1E">
        <w:rPr>
          <w:rFonts w:ascii="Arial" w:hAnsi="Arial" w:cs="Arial"/>
          <w:sz w:val="20"/>
          <w:szCs w:val="20"/>
          <w:lang w:val="es-UY"/>
        </w:rPr>
        <w:t xml:space="preserve"> </w:t>
      </w:r>
    </w:p>
    <w:p w14:paraId="7E9FB9DC"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Sin perjuicio de ello, durante la etapa de construcción podrá transferirse previa autorización de la Contratante, hasta un 20% del accionariado de la sociedad de objeto exclusivo. Dicha transferencia podrá efectuarse únicamente entre los integrantes de la sociedad de objeto exclusivo que presentaron declaración jurada de acuerdo a lo establecido en la cláusula 15.1.1.3 (Anexo V) del presente pliego de licitación. </w:t>
      </w:r>
    </w:p>
    <w:p w14:paraId="50AA172B"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Asimismo, durante la etapa de construcción podrá transferirse a personas físicas o jurídicas, por razones debidamente fundadas y </w:t>
      </w:r>
      <w:r w:rsidRPr="00205D1E">
        <w:rPr>
          <w:rFonts w:ascii="Arial" w:hAnsi="Arial" w:cs="Arial"/>
          <w:sz w:val="20"/>
          <w:szCs w:val="20"/>
          <w:lang w:val="es-UY"/>
        </w:rPr>
        <w:lastRenderedPageBreak/>
        <w:t>previa autorización de la Contratante, hasta un 20% del accionariado de la sociedad de objeto exclusivo siempre y cuando se cumplan las siguientes condiciones:</w:t>
      </w:r>
    </w:p>
    <w:p w14:paraId="2847BC57"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La empresa que acreditó la experiencia en construcción continúe cumpliendo la cláusula 15.1.1.3 numeral 2).</w:t>
      </w:r>
    </w:p>
    <w:p w14:paraId="631128C6"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-Ninguna de las empresas integrantes del accionariado de la sociedad de objeto exclusivo reduzca sus acciones en un porcentaje superior al 20%. </w:t>
      </w:r>
    </w:p>
    <w:p w14:paraId="24562599"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Se cumplan las condicio</w:t>
      </w:r>
      <w:r w:rsidR="00CC78A0">
        <w:rPr>
          <w:rFonts w:ascii="Arial" w:hAnsi="Arial" w:cs="Arial"/>
          <w:sz w:val="20"/>
          <w:szCs w:val="20"/>
          <w:lang w:val="es-UY"/>
        </w:rPr>
        <w:t>nes establecidas en la cláusula</w:t>
      </w:r>
      <w:r w:rsidRPr="00205D1E">
        <w:rPr>
          <w:rFonts w:ascii="Arial" w:hAnsi="Arial" w:cs="Arial"/>
          <w:sz w:val="20"/>
          <w:szCs w:val="20"/>
          <w:lang w:val="es-UY"/>
        </w:rPr>
        <w:t xml:space="preserve"> 41 del presente Pliego, exceptuando el último párrafo. </w:t>
      </w:r>
    </w:p>
    <w:p w14:paraId="17ED271E"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 xml:space="preserve">- Presenten declaración jurada en los términos establecidos en la cláusula 15.1.1.3 numeral 1) y la autorización de la casa matriz, en caso de existir, en las condiciones establecidas en la cláusula 15.1.1.3. </w:t>
      </w:r>
    </w:p>
    <w:p w14:paraId="000256C9" w14:textId="77777777" w:rsidR="00205D1E" w:rsidRPr="00205D1E" w:rsidRDefault="00205D1E" w:rsidP="00205D1E">
      <w:pPr>
        <w:jc w:val="both"/>
        <w:rPr>
          <w:rFonts w:ascii="Arial" w:hAnsi="Arial" w:cs="Arial"/>
          <w:sz w:val="20"/>
          <w:szCs w:val="20"/>
          <w:lang w:val="es-UY"/>
        </w:rPr>
      </w:pPr>
      <w:r w:rsidRPr="00205D1E">
        <w:rPr>
          <w:rFonts w:ascii="Arial" w:hAnsi="Arial" w:cs="Arial"/>
          <w:sz w:val="20"/>
          <w:szCs w:val="20"/>
          <w:lang w:val="es-UY"/>
        </w:rPr>
        <w:t>En todos los casos, la sociedad de objeto exclusivo deberá mantener la solvencia que fue requerida</w:t>
      </w:r>
      <w:r w:rsidR="00CC78A0">
        <w:rPr>
          <w:rFonts w:ascii="Arial" w:hAnsi="Arial" w:cs="Arial"/>
          <w:sz w:val="20"/>
          <w:szCs w:val="20"/>
          <w:lang w:val="es-UY"/>
        </w:rPr>
        <w:t xml:space="preserve"> para la adjudicación del contra</w:t>
      </w:r>
      <w:r w:rsidR="008C39FB">
        <w:rPr>
          <w:rFonts w:ascii="Arial" w:hAnsi="Arial" w:cs="Arial"/>
          <w:sz w:val="20"/>
          <w:szCs w:val="20"/>
          <w:lang w:val="es-UY"/>
        </w:rPr>
        <w:t>to.</w:t>
      </w:r>
    </w:p>
    <w:p w14:paraId="74C808ED"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p>
    <w:p w14:paraId="390B56DF" w14:textId="77777777" w:rsidR="00A3029F" w:rsidRDefault="00A3029F" w:rsidP="009A58E0">
      <w:pPr>
        <w:pStyle w:val="T1"/>
        <w:numPr>
          <w:ilvl w:val="0"/>
          <w:numId w:val="90"/>
        </w:numPr>
        <w:outlineLvl w:val="2"/>
      </w:pPr>
      <w:bookmarkStart w:id="231" w:name="_Toc400622250"/>
      <w:bookmarkStart w:id="232" w:name="_Toc400629101"/>
      <w:bookmarkStart w:id="233" w:name="_Toc400634007"/>
      <w:bookmarkStart w:id="234" w:name="_Toc400635130"/>
      <w:bookmarkStart w:id="235" w:name="_Toc468287998"/>
      <w:bookmarkStart w:id="236" w:name="_Toc496266591"/>
      <w:bookmarkStart w:id="237" w:name="Lit_23"/>
      <w:bookmarkStart w:id="238" w:name="_Toc340671871"/>
      <w:bookmarkStart w:id="239" w:name="_Toc358821508"/>
      <w:r w:rsidRPr="00E2664E">
        <w:lastRenderedPageBreak/>
        <w:t>PLAN ECONÓMICO FINANCIERO DEFINITIVO</w:t>
      </w:r>
      <w:bookmarkEnd w:id="231"/>
      <w:bookmarkEnd w:id="232"/>
      <w:bookmarkEnd w:id="233"/>
      <w:bookmarkEnd w:id="234"/>
      <w:bookmarkEnd w:id="235"/>
      <w:bookmarkEnd w:id="236"/>
    </w:p>
    <w:bookmarkEnd w:id="237"/>
    <w:p w14:paraId="03108A7F" w14:textId="77777777" w:rsidR="00A3029F" w:rsidRPr="00E2664E"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PEFD y los instrumentos de financiación en él considerados, deberán ser coherentes con los ya previstos por el adjudicatario en su oferta (PEF) y en ningún caso podrán variarse las características del mismo de forma que resulte perjudicial para la Contratante. Deberán ser aprobados por la Contratante.</w:t>
      </w:r>
    </w:p>
    <w:p w14:paraId="2C9DE9AD" w14:textId="77777777" w:rsidR="005C66D1" w:rsidRDefault="00A3029F" w:rsidP="003D73BC">
      <w:pPr>
        <w:autoSpaceDE w:val="0"/>
        <w:autoSpaceDN w:val="0"/>
        <w:adjustRightInd w:val="0"/>
        <w:spacing w:after="120"/>
        <w:jc w:val="both"/>
      </w:pPr>
      <w:r w:rsidRPr="00E2664E">
        <w:rPr>
          <w:rFonts w:ascii="Arial" w:hAnsi="Arial" w:cs="Arial"/>
          <w:sz w:val="20"/>
          <w:szCs w:val="20"/>
          <w:lang w:val="es-UY"/>
        </w:rPr>
        <w:t>Este PEFD desarrollará aquellos aspectos que por su naturaleza no hubieran quedado plenamente determinados en la documentación presentada en el procedimiento de adjudicación.</w:t>
      </w:r>
      <w:r w:rsidR="005C66D1" w:rsidRPr="005C66D1">
        <w:t xml:space="preserve"> </w:t>
      </w:r>
    </w:p>
    <w:p w14:paraId="411A6CE3" w14:textId="77777777" w:rsidR="00A3029F" w:rsidRDefault="00A3029F" w:rsidP="003D73BC">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La no presentación conllevará las penalizaciones correspondientes de acuerdo a lo señalado en el presente pliego. </w:t>
      </w:r>
    </w:p>
    <w:p w14:paraId="2DD0258B" w14:textId="77777777" w:rsid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La documentación mínima requerida al adjudicatario provisional en forma previa a la adjudicación definitiva - en el caso en que opte por financiación a través del mercado de capitales - es la siguiente:</w:t>
      </w:r>
    </w:p>
    <w:p w14:paraId="253D209C"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Informe preliminar de calificación emitida por al menos una calificadora de riesgo. En dicho informe la calificadora deberá asignar una Nota preliminar de calificación al proyecto,</w:t>
      </w:r>
      <w:r w:rsidR="00B14DCC">
        <w:rPr>
          <w:rFonts w:ascii="Arial" w:hAnsi="Arial" w:cs="Arial"/>
          <w:sz w:val="20"/>
          <w:szCs w:val="20"/>
        </w:rPr>
        <w:t xml:space="preserve"> </w:t>
      </w:r>
      <w:r w:rsidRPr="00907BB3">
        <w:rPr>
          <w:rFonts w:ascii="Arial" w:hAnsi="Arial" w:cs="Arial"/>
          <w:sz w:val="20"/>
          <w:szCs w:val="20"/>
        </w:rPr>
        <w:t xml:space="preserve">la que estará condicionada a los contenidos incluidos en el </w:t>
      </w:r>
      <w:r w:rsidR="00754D42">
        <w:rPr>
          <w:rFonts w:ascii="Arial" w:hAnsi="Arial" w:cs="Arial"/>
          <w:sz w:val="20"/>
          <w:szCs w:val="20"/>
        </w:rPr>
        <w:t xml:space="preserve">proyecto de prospecto </w:t>
      </w:r>
      <w:r w:rsidRPr="00907BB3">
        <w:rPr>
          <w:rFonts w:ascii="Arial" w:hAnsi="Arial" w:cs="Arial"/>
          <w:sz w:val="20"/>
          <w:szCs w:val="20"/>
        </w:rPr>
        <w:t>de</w:t>
      </w:r>
      <w:r w:rsidR="00754D42">
        <w:rPr>
          <w:rFonts w:ascii="Arial" w:hAnsi="Arial" w:cs="Arial"/>
          <w:sz w:val="20"/>
          <w:szCs w:val="20"/>
        </w:rPr>
        <w:t>l instrumento financiero propuesto</w:t>
      </w:r>
      <w:r w:rsidR="00963FF5">
        <w:rPr>
          <w:rFonts w:ascii="Arial" w:hAnsi="Arial" w:cs="Arial"/>
          <w:sz w:val="20"/>
          <w:szCs w:val="20"/>
        </w:rPr>
        <w:t xml:space="preserve"> y</w:t>
      </w:r>
      <w:r w:rsidRPr="00907BB3">
        <w:rPr>
          <w:rFonts w:ascii="Arial" w:hAnsi="Arial" w:cs="Arial"/>
          <w:sz w:val="20"/>
          <w:szCs w:val="20"/>
        </w:rPr>
        <w:t xml:space="preserve"> </w:t>
      </w:r>
      <w:r w:rsidR="00327697">
        <w:rPr>
          <w:rFonts w:ascii="Arial" w:hAnsi="Arial" w:cs="Arial"/>
          <w:sz w:val="20"/>
          <w:szCs w:val="20"/>
        </w:rPr>
        <w:t xml:space="preserve">el proyecto de contrato </w:t>
      </w:r>
      <w:r w:rsidRPr="00907BB3">
        <w:rPr>
          <w:rFonts w:ascii="Arial" w:hAnsi="Arial" w:cs="Arial"/>
          <w:sz w:val="20"/>
          <w:szCs w:val="20"/>
        </w:rPr>
        <w:t>de Participación Público-Privada.</w:t>
      </w:r>
    </w:p>
    <w:p w14:paraId="3518D5B7"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lastRenderedPageBreak/>
        <w:t>* Nota emitida por al menos un Fondo Previsional</w:t>
      </w:r>
      <w:r w:rsidR="00754D42">
        <w:rPr>
          <w:rFonts w:ascii="Arial" w:hAnsi="Arial" w:cs="Arial"/>
          <w:sz w:val="20"/>
          <w:szCs w:val="20"/>
        </w:rPr>
        <w:t xml:space="preserve"> público o privado, compañía de seguros, agencia multilateral, fondo de inversión u</w:t>
      </w:r>
      <w:r w:rsidR="00963FF5">
        <w:rPr>
          <w:rFonts w:ascii="Arial" w:hAnsi="Arial" w:cs="Arial"/>
          <w:sz w:val="20"/>
          <w:szCs w:val="20"/>
        </w:rPr>
        <w:t xml:space="preserve"> otro de </w:t>
      </w:r>
      <w:r w:rsidR="00315C36">
        <w:rPr>
          <w:rFonts w:ascii="Arial" w:hAnsi="Arial" w:cs="Arial"/>
          <w:sz w:val="20"/>
          <w:szCs w:val="20"/>
        </w:rPr>
        <w:t>similares</w:t>
      </w:r>
      <w:r w:rsidR="00963FF5">
        <w:rPr>
          <w:rFonts w:ascii="Arial" w:hAnsi="Arial" w:cs="Arial"/>
          <w:sz w:val="20"/>
          <w:szCs w:val="20"/>
        </w:rPr>
        <w:t xml:space="preserve"> </w:t>
      </w:r>
      <w:r w:rsidR="004F2DAE">
        <w:rPr>
          <w:rFonts w:ascii="Arial" w:hAnsi="Arial" w:cs="Arial"/>
          <w:sz w:val="20"/>
          <w:szCs w:val="20"/>
        </w:rPr>
        <w:t>características</w:t>
      </w:r>
      <w:r w:rsidR="00754D42">
        <w:rPr>
          <w:rFonts w:ascii="Arial" w:hAnsi="Arial" w:cs="Arial"/>
          <w:sz w:val="20"/>
          <w:szCs w:val="20"/>
        </w:rPr>
        <w:t>, explicitando su interés por el instrumento financiero</w:t>
      </w:r>
      <w:r w:rsidR="00327697">
        <w:rPr>
          <w:rFonts w:ascii="Arial" w:hAnsi="Arial" w:cs="Arial"/>
          <w:sz w:val="20"/>
          <w:szCs w:val="20"/>
        </w:rPr>
        <w:t xml:space="preserve"> propuesto y su conformidad con el proyecto de</w:t>
      </w:r>
      <w:r w:rsidR="0017364D">
        <w:rPr>
          <w:rFonts w:ascii="Arial" w:hAnsi="Arial" w:cs="Arial"/>
          <w:sz w:val="20"/>
          <w:szCs w:val="20"/>
        </w:rPr>
        <w:t>l</w:t>
      </w:r>
      <w:r w:rsidR="00327697">
        <w:rPr>
          <w:rFonts w:ascii="Arial" w:hAnsi="Arial" w:cs="Arial"/>
          <w:sz w:val="20"/>
          <w:szCs w:val="20"/>
        </w:rPr>
        <w:t xml:space="preserve"> prospecto del</w:t>
      </w:r>
      <w:r w:rsidR="00B14DCC">
        <w:rPr>
          <w:rFonts w:ascii="Arial" w:hAnsi="Arial" w:cs="Arial"/>
          <w:sz w:val="20"/>
          <w:szCs w:val="20"/>
        </w:rPr>
        <w:t xml:space="preserve"> </w:t>
      </w:r>
      <w:r w:rsidR="00327697">
        <w:rPr>
          <w:rFonts w:ascii="Arial" w:hAnsi="Arial" w:cs="Arial"/>
          <w:sz w:val="20"/>
          <w:szCs w:val="20"/>
        </w:rPr>
        <w:t>instrumento financiero</w:t>
      </w:r>
      <w:r w:rsidR="00754D42">
        <w:rPr>
          <w:rFonts w:ascii="Arial" w:hAnsi="Arial" w:cs="Arial"/>
          <w:sz w:val="20"/>
          <w:szCs w:val="20"/>
        </w:rPr>
        <w:t xml:space="preserve"> correspondiente y el proyecto del Contrato de Participación Publico Privad</w:t>
      </w:r>
      <w:r w:rsidR="0017364D">
        <w:rPr>
          <w:rFonts w:ascii="Arial" w:hAnsi="Arial" w:cs="Arial"/>
          <w:sz w:val="20"/>
          <w:szCs w:val="20"/>
        </w:rPr>
        <w:t>a.</w:t>
      </w:r>
      <w:r w:rsidRPr="00907BB3">
        <w:rPr>
          <w:rFonts w:ascii="Arial" w:hAnsi="Arial" w:cs="Arial"/>
          <w:sz w:val="20"/>
          <w:szCs w:val="20"/>
        </w:rPr>
        <w:t xml:space="preserve"> </w:t>
      </w:r>
    </w:p>
    <w:p w14:paraId="14CBAD8B" w14:textId="77777777" w:rsid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xml:space="preserve"> * Registro del emisor en Banco Central del Uruguay.</w:t>
      </w:r>
    </w:p>
    <w:p w14:paraId="64CD5BBA" w14:textId="77777777" w:rsidR="00327697" w:rsidRPr="00907BB3" w:rsidRDefault="007A47A2"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 </w:t>
      </w:r>
      <w:r w:rsidR="00327697">
        <w:rPr>
          <w:rFonts w:ascii="Arial" w:hAnsi="Arial" w:cs="Arial"/>
          <w:sz w:val="20"/>
          <w:szCs w:val="20"/>
        </w:rPr>
        <w:t>* Prospecto de bono</w:t>
      </w:r>
      <w:r w:rsidR="00BD193C">
        <w:rPr>
          <w:rFonts w:ascii="Arial" w:hAnsi="Arial" w:cs="Arial"/>
          <w:sz w:val="20"/>
          <w:szCs w:val="20"/>
        </w:rPr>
        <w:t xml:space="preserve"> (términos y condiciones)</w:t>
      </w:r>
      <w:r w:rsidR="00327697">
        <w:rPr>
          <w:rFonts w:ascii="Arial" w:hAnsi="Arial" w:cs="Arial"/>
          <w:sz w:val="20"/>
          <w:szCs w:val="20"/>
        </w:rPr>
        <w:t xml:space="preserve"> a emitir;</w:t>
      </w:r>
    </w:p>
    <w:p w14:paraId="3544CB2F" w14:textId="77777777" w:rsidR="00907BB3" w:rsidRPr="00907BB3"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 xml:space="preserve">Para la emisión de acciones, bonos u otros títulos se deberá obtener autorización previa de la contratante dando cumplimiento a la </w:t>
      </w:r>
      <w:r w:rsidR="008914DE" w:rsidRPr="0014220F">
        <w:rPr>
          <w:rFonts w:ascii="Arial" w:hAnsi="Arial" w:cs="Arial"/>
          <w:sz w:val="20"/>
          <w:szCs w:val="20"/>
        </w:rPr>
        <w:t>cláusula 22.3</w:t>
      </w:r>
      <w:r w:rsidRPr="00907BB3">
        <w:rPr>
          <w:rFonts w:ascii="Arial" w:hAnsi="Arial" w:cs="Arial"/>
          <w:sz w:val="20"/>
          <w:szCs w:val="20"/>
        </w:rPr>
        <w:t xml:space="preserve"> del presente Pliego.</w:t>
      </w:r>
    </w:p>
    <w:p w14:paraId="2B339108" w14:textId="77777777" w:rsidR="0047765E" w:rsidRDefault="00907BB3" w:rsidP="00907BB3">
      <w:pPr>
        <w:autoSpaceDE w:val="0"/>
        <w:autoSpaceDN w:val="0"/>
        <w:adjustRightInd w:val="0"/>
        <w:spacing w:after="120"/>
        <w:jc w:val="both"/>
        <w:rPr>
          <w:rFonts w:ascii="Arial" w:hAnsi="Arial" w:cs="Arial"/>
          <w:sz w:val="20"/>
          <w:szCs w:val="20"/>
        </w:rPr>
      </w:pPr>
      <w:r w:rsidRPr="00907BB3">
        <w:rPr>
          <w:rFonts w:ascii="Arial" w:hAnsi="Arial" w:cs="Arial"/>
          <w:sz w:val="20"/>
          <w:szCs w:val="20"/>
        </w:rPr>
        <w:t>En caso de optar por financiación bancaria</w:t>
      </w:r>
      <w:r w:rsidR="00327697">
        <w:rPr>
          <w:rFonts w:ascii="Arial" w:hAnsi="Arial" w:cs="Arial"/>
          <w:sz w:val="20"/>
          <w:szCs w:val="20"/>
        </w:rPr>
        <w:t xml:space="preserve"> local, </w:t>
      </w:r>
      <w:r w:rsidR="00C3284D">
        <w:rPr>
          <w:rFonts w:ascii="Arial" w:hAnsi="Arial" w:cs="Arial"/>
          <w:sz w:val="20"/>
          <w:szCs w:val="20"/>
        </w:rPr>
        <w:t>internacional, multilateral</w:t>
      </w:r>
      <w:r w:rsidR="00327697">
        <w:rPr>
          <w:rFonts w:ascii="Arial" w:hAnsi="Arial" w:cs="Arial"/>
          <w:sz w:val="20"/>
          <w:szCs w:val="20"/>
        </w:rPr>
        <w:t xml:space="preserve"> u otra</w:t>
      </w:r>
      <w:r w:rsidR="00315C36">
        <w:rPr>
          <w:rFonts w:ascii="Arial" w:hAnsi="Arial" w:cs="Arial"/>
          <w:sz w:val="20"/>
          <w:szCs w:val="20"/>
        </w:rPr>
        <w:t xml:space="preserve"> </w:t>
      </w:r>
      <w:r w:rsidRPr="00907BB3">
        <w:rPr>
          <w:rFonts w:ascii="Arial" w:hAnsi="Arial" w:cs="Arial"/>
          <w:sz w:val="20"/>
          <w:szCs w:val="20"/>
        </w:rPr>
        <w:t>se requiere</w:t>
      </w:r>
      <w:r w:rsidR="0047765E">
        <w:rPr>
          <w:rFonts w:ascii="Arial" w:hAnsi="Arial" w:cs="Arial"/>
          <w:sz w:val="20"/>
          <w:szCs w:val="20"/>
        </w:rPr>
        <w:t>:</w:t>
      </w:r>
    </w:p>
    <w:p w14:paraId="744FBA44" w14:textId="77777777" w:rsidR="00327697" w:rsidRDefault="0047765E" w:rsidP="00907BB3">
      <w:pPr>
        <w:autoSpaceDE w:val="0"/>
        <w:autoSpaceDN w:val="0"/>
        <w:adjustRightInd w:val="0"/>
        <w:spacing w:after="120"/>
        <w:jc w:val="both"/>
        <w:rPr>
          <w:rFonts w:ascii="Arial" w:hAnsi="Arial" w:cs="Arial"/>
          <w:sz w:val="20"/>
          <w:szCs w:val="20"/>
        </w:rPr>
      </w:pPr>
      <w:r>
        <w:rPr>
          <w:rFonts w:ascii="Arial" w:hAnsi="Arial" w:cs="Arial"/>
          <w:sz w:val="20"/>
          <w:szCs w:val="20"/>
        </w:rPr>
        <w:t>*</w:t>
      </w:r>
      <w:r w:rsidR="00B14DCC">
        <w:rPr>
          <w:rFonts w:ascii="Arial" w:hAnsi="Arial" w:cs="Arial"/>
          <w:sz w:val="20"/>
          <w:szCs w:val="20"/>
        </w:rPr>
        <w:t xml:space="preserve"> </w:t>
      </w:r>
      <w:r w:rsidR="00327697">
        <w:rPr>
          <w:rFonts w:ascii="Arial" w:hAnsi="Arial" w:cs="Arial"/>
          <w:sz w:val="20"/>
          <w:szCs w:val="20"/>
        </w:rPr>
        <w:t>Proyecto de Contrato de financiamiento con las instituciones involucradas</w:t>
      </w:r>
      <w:r>
        <w:rPr>
          <w:rFonts w:ascii="Arial" w:hAnsi="Arial" w:cs="Arial"/>
          <w:sz w:val="20"/>
          <w:szCs w:val="20"/>
        </w:rPr>
        <w:t>.</w:t>
      </w:r>
    </w:p>
    <w:p w14:paraId="31A9C528" w14:textId="77777777" w:rsidR="00907BB3" w:rsidRPr="00907BB3" w:rsidRDefault="0047765E"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 </w:t>
      </w:r>
      <w:r w:rsidR="00327697">
        <w:rPr>
          <w:rFonts w:ascii="Arial" w:hAnsi="Arial" w:cs="Arial"/>
          <w:sz w:val="20"/>
          <w:szCs w:val="20"/>
        </w:rPr>
        <w:t>Nota emitida por la institución involucrada de la que surja su disposición a suscribir dicho contrato.</w:t>
      </w:r>
    </w:p>
    <w:p w14:paraId="58FD4C26" w14:textId="77777777" w:rsidR="00F35140" w:rsidRDefault="00315C36" w:rsidP="00C3284D">
      <w:pPr>
        <w:autoSpaceDE w:val="0"/>
        <w:autoSpaceDN w:val="0"/>
        <w:adjustRightInd w:val="0"/>
        <w:spacing w:after="120"/>
        <w:jc w:val="both"/>
        <w:rPr>
          <w:rFonts w:ascii="Arial" w:hAnsi="Arial" w:cs="Arial"/>
          <w:sz w:val="20"/>
          <w:szCs w:val="20"/>
        </w:rPr>
      </w:pPr>
      <w:r>
        <w:rPr>
          <w:rFonts w:ascii="Arial" w:hAnsi="Arial" w:cs="Arial"/>
          <w:sz w:val="20"/>
          <w:szCs w:val="20"/>
        </w:rPr>
        <w:t>En cualquiera de los dos casos</w:t>
      </w:r>
      <w:r w:rsidR="00BD193C">
        <w:rPr>
          <w:rFonts w:ascii="Arial" w:hAnsi="Arial" w:cs="Arial"/>
          <w:sz w:val="20"/>
          <w:szCs w:val="20"/>
        </w:rPr>
        <w:t xml:space="preserve"> (financiamiento bancario o por mercado de capitales)</w:t>
      </w:r>
      <w:r>
        <w:rPr>
          <w:rFonts w:ascii="Arial" w:hAnsi="Arial" w:cs="Arial"/>
          <w:sz w:val="20"/>
          <w:szCs w:val="20"/>
        </w:rPr>
        <w:t>,</w:t>
      </w:r>
      <w:r w:rsidR="00907BB3" w:rsidRPr="00907BB3">
        <w:rPr>
          <w:rFonts w:ascii="Arial" w:hAnsi="Arial" w:cs="Arial"/>
          <w:sz w:val="20"/>
          <w:szCs w:val="20"/>
        </w:rPr>
        <w:t xml:space="preserve"> el contratista deberá informar la existencia de acreedores prendarios</w:t>
      </w:r>
      <w:r w:rsidR="00327697">
        <w:rPr>
          <w:rFonts w:ascii="Arial" w:hAnsi="Arial" w:cs="Arial"/>
          <w:sz w:val="20"/>
          <w:szCs w:val="20"/>
        </w:rPr>
        <w:t xml:space="preserve"> y financieros, así como los eventuales cesionarios del contrato</w:t>
      </w:r>
      <w:r w:rsidR="00907BB3" w:rsidRPr="00907BB3">
        <w:rPr>
          <w:rFonts w:ascii="Arial" w:hAnsi="Arial" w:cs="Arial"/>
          <w:sz w:val="20"/>
          <w:szCs w:val="20"/>
        </w:rPr>
        <w:t>.</w:t>
      </w:r>
      <w:r w:rsidR="00746BDA">
        <w:rPr>
          <w:rFonts w:ascii="Arial" w:hAnsi="Arial" w:cs="Arial"/>
          <w:sz w:val="20"/>
          <w:szCs w:val="20"/>
        </w:rPr>
        <w:t xml:space="preserve"> </w:t>
      </w:r>
      <w:r w:rsidR="00907BB3" w:rsidRPr="00907BB3">
        <w:rPr>
          <w:rFonts w:ascii="Arial" w:hAnsi="Arial" w:cs="Arial"/>
          <w:sz w:val="20"/>
          <w:szCs w:val="20"/>
        </w:rPr>
        <w:t xml:space="preserve">Al momento de presentar el PEFD </w:t>
      </w:r>
      <w:r w:rsidR="00202F4E">
        <w:rPr>
          <w:rFonts w:ascii="Arial" w:hAnsi="Arial" w:cs="Arial"/>
          <w:sz w:val="20"/>
          <w:szCs w:val="20"/>
        </w:rPr>
        <w:t>deberá</w:t>
      </w:r>
      <w:r w:rsidR="00907BB3" w:rsidRPr="00907BB3">
        <w:rPr>
          <w:rFonts w:ascii="Arial" w:hAnsi="Arial" w:cs="Arial"/>
          <w:sz w:val="20"/>
          <w:szCs w:val="20"/>
        </w:rPr>
        <w:t xml:space="preserve"> </w:t>
      </w:r>
      <w:r w:rsidR="00907BB3" w:rsidRPr="00907BB3">
        <w:rPr>
          <w:rFonts w:ascii="Arial" w:hAnsi="Arial" w:cs="Arial"/>
          <w:sz w:val="20"/>
          <w:szCs w:val="20"/>
        </w:rPr>
        <w:lastRenderedPageBreak/>
        <w:t>identificar</w:t>
      </w:r>
      <w:r w:rsidR="00746BDA">
        <w:rPr>
          <w:rFonts w:ascii="Arial" w:hAnsi="Arial" w:cs="Arial"/>
          <w:sz w:val="20"/>
          <w:szCs w:val="20"/>
        </w:rPr>
        <w:t>los</w:t>
      </w:r>
      <w:r w:rsidR="00202F4E">
        <w:rPr>
          <w:rFonts w:ascii="Arial" w:hAnsi="Arial" w:cs="Arial"/>
          <w:sz w:val="20"/>
          <w:szCs w:val="20"/>
        </w:rPr>
        <w:t xml:space="preserve"> y presentar </w:t>
      </w:r>
      <w:r w:rsidR="00746BDA">
        <w:rPr>
          <w:rFonts w:ascii="Arial" w:hAnsi="Arial" w:cs="Arial"/>
          <w:sz w:val="20"/>
          <w:szCs w:val="20"/>
        </w:rPr>
        <w:t xml:space="preserve">los documentos </w:t>
      </w:r>
      <w:r w:rsidR="00BD193C">
        <w:rPr>
          <w:rFonts w:ascii="Arial" w:hAnsi="Arial" w:cs="Arial"/>
          <w:sz w:val="20"/>
          <w:szCs w:val="20"/>
        </w:rPr>
        <w:t xml:space="preserve">respectivos </w:t>
      </w:r>
      <w:r w:rsidR="00746BDA">
        <w:rPr>
          <w:rFonts w:ascii="Arial" w:hAnsi="Arial" w:cs="Arial"/>
          <w:sz w:val="20"/>
          <w:szCs w:val="20"/>
        </w:rPr>
        <w:t>en su versi</w:t>
      </w:r>
      <w:r w:rsidR="00F07450">
        <w:rPr>
          <w:rFonts w:ascii="Arial" w:hAnsi="Arial" w:cs="Arial"/>
          <w:sz w:val="20"/>
          <w:szCs w:val="20"/>
        </w:rPr>
        <w:t>ón final, listos</w:t>
      </w:r>
      <w:r w:rsidR="00746BDA">
        <w:rPr>
          <w:rFonts w:ascii="Arial" w:hAnsi="Arial" w:cs="Arial"/>
          <w:sz w:val="20"/>
          <w:szCs w:val="20"/>
        </w:rPr>
        <w:t xml:space="preserve"> para la firma</w:t>
      </w:r>
      <w:r w:rsidR="00F07450">
        <w:rPr>
          <w:rFonts w:ascii="Arial" w:hAnsi="Arial" w:cs="Arial"/>
          <w:sz w:val="20"/>
          <w:szCs w:val="20"/>
        </w:rPr>
        <w:t>.</w:t>
      </w:r>
      <w:r w:rsidR="00F35140">
        <w:rPr>
          <w:rFonts w:ascii="Arial" w:hAnsi="Arial" w:cs="Arial"/>
          <w:sz w:val="20"/>
          <w:szCs w:val="20"/>
        </w:rPr>
        <w:t xml:space="preserve"> </w:t>
      </w:r>
    </w:p>
    <w:p w14:paraId="085F25A0" w14:textId="77777777" w:rsidR="0015240A" w:rsidRDefault="00C3284D"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Fuera de los casos previstos, la </w:t>
      </w:r>
      <w:r w:rsidR="00C33B28">
        <w:rPr>
          <w:rFonts w:ascii="Arial" w:hAnsi="Arial" w:cs="Arial"/>
          <w:sz w:val="20"/>
          <w:szCs w:val="20"/>
        </w:rPr>
        <w:t>C</w:t>
      </w:r>
      <w:r>
        <w:rPr>
          <w:rFonts w:ascii="Arial" w:hAnsi="Arial" w:cs="Arial"/>
          <w:sz w:val="20"/>
          <w:szCs w:val="20"/>
        </w:rPr>
        <w:t xml:space="preserve">ontratante será la que defina los requerimientos necesarios para acreditar los términos de la estructuración </w:t>
      </w:r>
      <w:r w:rsidR="0015240A">
        <w:rPr>
          <w:rFonts w:ascii="Arial" w:hAnsi="Arial" w:cs="Arial"/>
          <w:sz w:val="20"/>
          <w:szCs w:val="20"/>
        </w:rPr>
        <w:t>financiera.</w:t>
      </w:r>
    </w:p>
    <w:p w14:paraId="45331A1B" w14:textId="77777777" w:rsidR="00E02815" w:rsidRDefault="0015240A" w:rsidP="00907BB3">
      <w:pPr>
        <w:autoSpaceDE w:val="0"/>
        <w:autoSpaceDN w:val="0"/>
        <w:adjustRightInd w:val="0"/>
        <w:spacing w:after="120"/>
        <w:jc w:val="both"/>
        <w:rPr>
          <w:rFonts w:ascii="Arial" w:hAnsi="Arial" w:cs="Arial"/>
          <w:sz w:val="20"/>
          <w:szCs w:val="20"/>
        </w:rPr>
      </w:pPr>
      <w:r>
        <w:rPr>
          <w:rFonts w:ascii="Arial" w:hAnsi="Arial" w:cs="Arial"/>
          <w:sz w:val="20"/>
          <w:szCs w:val="20"/>
        </w:rPr>
        <w:t>En</w:t>
      </w:r>
      <w:r w:rsidR="00E02815">
        <w:rPr>
          <w:rFonts w:ascii="Arial" w:hAnsi="Arial" w:cs="Arial"/>
          <w:sz w:val="20"/>
          <w:szCs w:val="20"/>
        </w:rPr>
        <w:t xml:space="preserve"> todos los casos la aprobación de los términos de la estructuración financiera requerirá previo pronunciamiento del Ministerio de </w:t>
      </w:r>
      <w:r w:rsidR="00315C36">
        <w:rPr>
          <w:rFonts w:ascii="Arial" w:hAnsi="Arial" w:cs="Arial"/>
          <w:sz w:val="20"/>
          <w:szCs w:val="20"/>
        </w:rPr>
        <w:t>Economía</w:t>
      </w:r>
      <w:r w:rsidR="00E02815">
        <w:rPr>
          <w:rFonts w:ascii="Arial" w:hAnsi="Arial" w:cs="Arial"/>
          <w:sz w:val="20"/>
          <w:szCs w:val="20"/>
        </w:rPr>
        <w:t xml:space="preserve"> y Finanzas.</w:t>
      </w:r>
    </w:p>
    <w:p w14:paraId="547D5360" w14:textId="77777777" w:rsidR="00E02815" w:rsidRDefault="00E02815" w:rsidP="00907BB3">
      <w:pPr>
        <w:autoSpaceDE w:val="0"/>
        <w:autoSpaceDN w:val="0"/>
        <w:adjustRightInd w:val="0"/>
        <w:spacing w:after="120"/>
        <w:jc w:val="both"/>
        <w:rPr>
          <w:rFonts w:ascii="Arial" w:hAnsi="Arial" w:cs="Arial"/>
          <w:sz w:val="20"/>
          <w:szCs w:val="20"/>
        </w:rPr>
      </w:pPr>
      <w:r>
        <w:rPr>
          <w:rFonts w:ascii="Arial" w:hAnsi="Arial" w:cs="Arial"/>
          <w:sz w:val="20"/>
          <w:szCs w:val="20"/>
        </w:rPr>
        <w:t xml:space="preserve">Cualquier alteración, </w:t>
      </w:r>
      <w:r w:rsidR="00C33B28">
        <w:rPr>
          <w:rFonts w:ascii="Arial" w:hAnsi="Arial" w:cs="Arial"/>
          <w:sz w:val="20"/>
          <w:szCs w:val="20"/>
        </w:rPr>
        <w:t>aun</w:t>
      </w:r>
      <w:r>
        <w:rPr>
          <w:rFonts w:ascii="Arial" w:hAnsi="Arial" w:cs="Arial"/>
          <w:sz w:val="20"/>
          <w:szCs w:val="20"/>
        </w:rPr>
        <w:t xml:space="preserve"> cuando se produjera luego de la adjudicación definitiva, deberá requerir autorización de la </w:t>
      </w:r>
      <w:r w:rsidR="00C33B28">
        <w:rPr>
          <w:rFonts w:ascii="Arial" w:hAnsi="Arial" w:cs="Arial"/>
          <w:sz w:val="20"/>
          <w:szCs w:val="20"/>
        </w:rPr>
        <w:t>C</w:t>
      </w:r>
      <w:r>
        <w:rPr>
          <w:rFonts w:ascii="Arial" w:hAnsi="Arial" w:cs="Arial"/>
          <w:sz w:val="20"/>
          <w:szCs w:val="20"/>
        </w:rPr>
        <w:t xml:space="preserve">ontratante, previo informe favorable del Ministerio de </w:t>
      </w:r>
      <w:r w:rsidR="00386FEF">
        <w:rPr>
          <w:rFonts w:ascii="Arial" w:hAnsi="Arial" w:cs="Arial"/>
          <w:sz w:val="20"/>
          <w:szCs w:val="20"/>
        </w:rPr>
        <w:t>Economía</w:t>
      </w:r>
      <w:r>
        <w:rPr>
          <w:rFonts w:ascii="Arial" w:hAnsi="Arial" w:cs="Arial"/>
          <w:sz w:val="20"/>
          <w:szCs w:val="20"/>
        </w:rPr>
        <w:t xml:space="preserve"> y Finanzas.</w:t>
      </w:r>
    </w:p>
    <w:p w14:paraId="66F47459" w14:textId="77777777" w:rsidR="00A3029F" w:rsidRDefault="00A3029F" w:rsidP="009A58E0">
      <w:pPr>
        <w:pStyle w:val="T1"/>
        <w:numPr>
          <w:ilvl w:val="0"/>
          <w:numId w:val="90"/>
        </w:numPr>
        <w:outlineLvl w:val="2"/>
      </w:pPr>
      <w:bookmarkStart w:id="240" w:name="_Toc400622251"/>
      <w:bookmarkStart w:id="241" w:name="_Toc400629102"/>
      <w:bookmarkStart w:id="242" w:name="_Toc400634008"/>
      <w:bookmarkStart w:id="243" w:name="_Toc400635131"/>
      <w:bookmarkStart w:id="244" w:name="_Toc468287999"/>
      <w:bookmarkStart w:id="245" w:name="_Toc496266592"/>
      <w:r w:rsidRPr="00E2664E">
        <w:t>CONSTITUCIÓN DE GARANTÍAS</w:t>
      </w:r>
      <w:bookmarkEnd w:id="238"/>
      <w:bookmarkEnd w:id="239"/>
      <w:bookmarkEnd w:id="240"/>
      <w:bookmarkEnd w:id="241"/>
      <w:bookmarkEnd w:id="242"/>
      <w:bookmarkEnd w:id="243"/>
      <w:bookmarkEnd w:id="244"/>
      <w:bookmarkEnd w:id="245"/>
    </w:p>
    <w:p w14:paraId="4B205871" w14:textId="77777777" w:rsidR="00257432" w:rsidRDefault="00347504" w:rsidP="009A58E0">
      <w:pPr>
        <w:pStyle w:val="T2"/>
        <w:numPr>
          <w:ilvl w:val="1"/>
          <w:numId w:val="90"/>
        </w:numPr>
        <w:outlineLvl w:val="3"/>
      </w:pPr>
      <w:bookmarkStart w:id="246" w:name="_Toc468288000"/>
      <w:bookmarkStart w:id="247" w:name="_Toc496266593"/>
      <w:r>
        <w:t>GARANTIA DE CUMPLIMIENTO DE CONTRATO PARA LA ETAPA DE CONSTRUCCIÓN</w:t>
      </w:r>
      <w:bookmarkEnd w:id="246"/>
      <w:bookmarkEnd w:id="247"/>
      <w:r>
        <w:t xml:space="preserve"> </w:t>
      </w:r>
    </w:p>
    <w:p w14:paraId="32EDC649"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 xml:space="preserve"> La Contratante exigirá al adjudicatario definitivo una garantía de cumplimiento de contrato para la etapa de construcción por un monto de U$S 3</w:t>
      </w:r>
      <w:r w:rsidR="00525D24">
        <w:rPr>
          <w:rFonts w:ascii="Arial" w:hAnsi="Arial" w:cs="Arial"/>
          <w:sz w:val="20"/>
          <w:szCs w:val="20"/>
        </w:rPr>
        <w:t>.</w:t>
      </w:r>
      <w:r w:rsidRPr="009D388B">
        <w:rPr>
          <w:rFonts w:ascii="Arial" w:hAnsi="Arial" w:cs="Arial"/>
          <w:sz w:val="20"/>
          <w:szCs w:val="20"/>
        </w:rPr>
        <w:t xml:space="preserve">200.000 (dólares estadounidenses tres millones doscientos mil) que podrá constituirse mediante: a) fianza o aval de un banco establecido en la República Oriental del Uruguay, b) fianza o aval de un banco extranjero aceptable para la Contratante </w:t>
      </w:r>
      <w:r w:rsidRPr="009D388B">
        <w:rPr>
          <w:rFonts w:ascii="Arial" w:hAnsi="Arial" w:cs="Arial"/>
          <w:sz w:val="20"/>
          <w:szCs w:val="20"/>
        </w:rPr>
        <w:lastRenderedPageBreak/>
        <w:t>y con sucursal o corresponsal en Uruguay, c) póliza de seguro de fianza, d) efectivo, e) afectación de título de deuda pública en el BROU</w:t>
      </w:r>
      <w:r w:rsidR="00A55AE9">
        <w:rPr>
          <w:rFonts w:ascii="Arial" w:hAnsi="Arial" w:cs="Arial"/>
          <w:sz w:val="20"/>
          <w:szCs w:val="20"/>
        </w:rPr>
        <w:t>;</w:t>
      </w:r>
      <w:r w:rsidRPr="009D388B">
        <w:rPr>
          <w:rFonts w:ascii="Arial" w:hAnsi="Arial" w:cs="Arial"/>
          <w:sz w:val="20"/>
          <w:szCs w:val="20"/>
        </w:rPr>
        <w:t xml:space="preserve"> y deberá depositarse en el plazo de 10 </w:t>
      </w:r>
      <w:r w:rsidR="00EA3730">
        <w:rPr>
          <w:rFonts w:ascii="Arial" w:hAnsi="Arial" w:cs="Arial"/>
          <w:sz w:val="20"/>
          <w:szCs w:val="20"/>
        </w:rPr>
        <w:t>(</w:t>
      </w:r>
      <w:r w:rsidRPr="009D388B">
        <w:rPr>
          <w:rFonts w:ascii="Arial" w:hAnsi="Arial" w:cs="Arial"/>
          <w:sz w:val="20"/>
          <w:szCs w:val="20"/>
        </w:rPr>
        <w:t>diez</w:t>
      </w:r>
      <w:r w:rsidR="00EA3730">
        <w:rPr>
          <w:rFonts w:ascii="Arial" w:hAnsi="Arial" w:cs="Arial"/>
          <w:sz w:val="20"/>
          <w:szCs w:val="20"/>
        </w:rPr>
        <w:t>)</w:t>
      </w:r>
      <w:r w:rsidRPr="009D388B">
        <w:rPr>
          <w:rFonts w:ascii="Arial" w:hAnsi="Arial" w:cs="Arial"/>
          <w:sz w:val="20"/>
          <w:szCs w:val="20"/>
        </w:rPr>
        <w:t xml:space="preserve"> días hábiles, contados a partir del siguiente a la notificación de la adjudicación definitiva y previo a la firma del contrato previsto en la Cláusula 26 del Pliego. </w:t>
      </w:r>
    </w:p>
    <w:p w14:paraId="66DCB330"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En caso de que se presente un aval emitido por un banco extranjero, se requiere confirmación por la sucursal o corresponsal en Uruguay. Un banco extranjero con una filial en Uruguay podrá emitir un aval, presentando la confirmación de la filial. Cuando el contrato experimente variación en el precio por eventuales modificaciones, deberá reajustarse la garantía para que la misma guarde la debida proporción con el nuevo precio. La nueva garantía deberá constituirse en un plazo de quince días contados desde la fecha en que se notifique a la Contratante el acuerdo de modificación. El monto que corresponda reajustar se definirá, en cada caso, conforme a los criterios establecidos en el contrato o, en su defecto, de común acuerdo entre las partes.</w:t>
      </w:r>
    </w:p>
    <w:p w14:paraId="3BD31C05"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En caso de que se hagan efectivas sobre la garantía penalidades o indemnizaciones exigibles al adjudicatario, este deberá reponer o ampliar aquella, en la cuantía que corresponda, en el plazo de quince días desde la ejecución, incurriendo en caso contrario en causa de resolución.</w:t>
      </w:r>
    </w:p>
    <w:p w14:paraId="2CE6AEA7" w14:textId="77777777" w:rsidR="00257432" w:rsidRPr="009D388B" w:rsidRDefault="00A314F1" w:rsidP="00336AC7">
      <w:pPr>
        <w:rPr>
          <w:sz w:val="20"/>
          <w:szCs w:val="20"/>
        </w:rPr>
      </w:pPr>
      <w:r w:rsidRPr="009D388B">
        <w:rPr>
          <w:rFonts w:ascii="Arial" w:hAnsi="Arial" w:cs="Arial"/>
          <w:sz w:val="20"/>
          <w:szCs w:val="20"/>
        </w:rPr>
        <w:lastRenderedPageBreak/>
        <w:t>Las garantías de cumplimiento responderán de los siguientes conceptos:</w:t>
      </w:r>
    </w:p>
    <w:p w14:paraId="28C71768"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A) De las sanciones impuestas al Contratista.</w:t>
      </w:r>
    </w:p>
    <w:p w14:paraId="78D9C958"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B) De la correcta ejecución de las prestaciones contempladas en el contrato así como de los gastos originados a la Contratante por la demora del Contratista en el cumplimiento de sus obligaciones, y de los daños y perjuicios ocasionados a la misma con motivo de la ejecución del contrato o por su incumplimiento.</w:t>
      </w:r>
    </w:p>
    <w:p w14:paraId="560E29A2"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C) De la incautación que puede decretarse en los casos de resolución del contrato.</w:t>
      </w:r>
    </w:p>
    <w:p w14:paraId="785FFEA5" w14:textId="77777777" w:rsidR="00257432" w:rsidRPr="009D388B" w:rsidRDefault="00A314F1" w:rsidP="009D388B">
      <w:pPr>
        <w:autoSpaceDE w:val="0"/>
        <w:autoSpaceDN w:val="0"/>
        <w:adjustRightInd w:val="0"/>
        <w:spacing w:after="120"/>
        <w:jc w:val="both"/>
        <w:rPr>
          <w:sz w:val="20"/>
          <w:szCs w:val="20"/>
        </w:rPr>
      </w:pPr>
      <w:r w:rsidRPr="009D388B">
        <w:rPr>
          <w:rFonts w:ascii="Arial" w:hAnsi="Arial" w:cs="Arial"/>
          <w:sz w:val="20"/>
          <w:szCs w:val="20"/>
        </w:rPr>
        <w:t>D) De otros incumplimientos referidos a condiciones establecidas expresamente en la reglamentación, el presente pliego o el contrato.</w:t>
      </w:r>
    </w:p>
    <w:p w14:paraId="15B8F522" w14:textId="77777777" w:rsidR="00347504" w:rsidRPr="0068675D" w:rsidRDefault="00460E43" w:rsidP="009A58E0">
      <w:pPr>
        <w:pStyle w:val="T2"/>
        <w:numPr>
          <w:ilvl w:val="1"/>
          <w:numId w:val="90"/>
        </w:numPr>
        <w:outlineLvl w:val="3"/>
      </w:pPr>
      <w:bookmarkStart w:id="248" w:name="_Toc468288001"/>
      <w:bookmarkStart w:id="249" w:name="_Toc496266594"/>
      <w:r>
        <w:t>GARANTIA DE CUMPLIMIENTO DE CONTRATO PARA LA ETAPA DE MANTENIMIENTO Y EXPLOTACIÓN.</w:t>
      </w:r>
      <w:bookmarkEnd w:id="248"/>
      <w:bookmarkEnd w:id="249"/>
    </w:p>
    <w:p w14:paraId="73A0D01F" w14:textId="77777777" w:rsidR="00403E70" w:rsidRPr="00557C07" w:rsidRDefault="00403E70" w:rsidP="00403E70">
      <w:pPr>
        <w:jc w:val="both"/>
        <w:rPr>
          <w:rFonts w:ascii="Arial" w:hAnsi="Arial" w:cs="Arial"/>
          <w:sz w:val="20"/>
          <w:szCs w:val="24"/>
        </w:rPr>
      </w:pPr>
      <w:r w:rsidRPr="00557C07">
        <w:rPr>
          <w:rFonts w:ascii="Arial" w:hAnsi="Arial" w:cs="Arial"/>
          <w:sz w:val="20"/>
          <w:szCs w:val="24"/>
        </w:rPr>
        <w:t xml:space="preserve">La garantía de cumplimiento de contrato para la etapa de mantenimiento y explotación será por un monto equivalente a U$S 2.500.000 (dólares estadounidenses dos millones quinientos mil) y deberá constituirse en forma proporcional a los tramos a entregar. </w:t>
      </w:r>
      <w:r w:rsidRPr="00557C07">
        <w:rPr>
          <w:rFonts w:ascii="Arial" w:hAnsi="Arial" w:cs="Arial"/>
          <w:sz w:val="20"/>
          <w:szCs w:val="24"/>
        </w:rPr>
        <w:lastRenderedPageBreak/>
        <w:t xml:space="preserve">Por proporcionalidad se entiende la longitud del tramo respecto a la totalidad de la longitud del proyecto.  </w:t>
      </w:r>
    </w:p>
    <w:p w14:paraId="7B5D2CFE" w14:textId="77777777" w:rsidR="00347504" w:rsidRPr="009D388B" w:rsidRDefault="00403E70" w:rsidP="00403E70">
      <w:pPr>
        <w:autoSpaceDE w:val="0"/>
        <w:autoSpaceDN w:val="0"/>
        <w:adjustRightInd w:val="0"/>
        <w:spacing w:after="120"/>
        <w:jc w:val="both"/>
        <w:rPr>
          <w:rFonts w:ascii="Arial" w:hAnsi="Arial" w:cs="Arial"/>
          <w:sz w:val="20"/>
          <w:szCs w:val="20"/>
          <w:lang w:val="es-UY" w:eastAsia="es-ES"/>
        </w:rPr>
      </w:pPr>
      <w:r w:rsidRPr="00557C07">
        <w:rPr>
          <w:rFonts w:ascii="Arial" w:hAnsi="Arial" w:cs="Arial"/>
          <w:sz w:val="20"/>
          <w:szCs w:val="24"/>
        </w:rPr>
        <w:t xml:space="preserve">La Contratante no extenderá el Acta de Comprobación de la Infraestructura del Tramo (ACIT) hasta que el Contratista no haya constituido la proporción de garantía de cumplimiento de contrato para la etapa de mantenimiento y explotación del tramo. </w:t>
      </w:r>
      <w:r w:rsidR="00A314F1" w:rsidRPr="009D388B">
        <w:rPr>
          <w:rFonts w:ascii="Arial" w:hAnsi="Arial" w:cs="Arial"/>
          <w:sz w:val="20"/>
          <w:szCs w:val="20"/>
          <w:lang w:val="es-UY" w:eastAsia="es-ES"/>
        </w:rPr>
        <w:t>Dicha garantía deberá ser constituida de acuerdo a lo establecido en la cláusula 24.1 y deberá permanecer válida hasta 12 meses posteriores a la finalización del contrato, y de acuerdo al artículo 30 de la LCPPP.</w:t>
      </w:r>
    </w:p>
    <w:p w14:paraId="409416AB"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La misma podrá ser ejecutada si el Contratista no cumple en tiempo y forma con las obligaciones inherentes al contrato.</w:t>
      </w:r>
    </w:p>
    <w:p w14:paraId="0C36647B"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En caso de que se hagan efectivas sobre la garantía penalidades o indemnizaciones exigibles al adjudicatario, este deberá reponer o ampliar aquella, en la cuantía que corresponda, en el plazo de quince días desde la ejecución, incurriendo en caso contrario en causa de resolución.</w:t>
      </w:r>
    </w:p>
    <w:p w14:paraId="1DB98BAB" w14:textId="77777777" w:rsidR="00347504" w:rsidRPr="009D388B" w:rsidRDefault="00A314F1" w:rsidP="00336AC7">
      <w:pPr>
        <w:rPr>
          <w:rFonts w:ascii="Arial" w:hAnsi="Arial" w:cs="Arial"/>
          <w:sz w:val="20"/>
          <w:szCs w:val="20"/>
          <w:lang w:val="es-UY" w:eastAsia="es-ES"/>
        </w:rPr>
      </w:pPr>
      <w:r w:rsidRPr="009D388B">
        <w:rPr>
          <w:rFonts w:ascii="Arial" w:hAnsi="Arial" w:cs="Arial"/>
          <w:sz w:val="20"/>
          <w:szCs w:val="20"/>
          <w:lang w:val="es-UY" w:eastAsia="es-ES"/>
        </w:rPr>
        <w:t>Las garantías de cumplimiento responderán de los siguientes conceptos:</w:t>
      </w:r>
    </w:p>
    <w:p w14:paraId="722FCF72"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A) De las sanciones impuestas al Contratista.</w:t>
      </w:r>
    </w:p>
    <w:p w14:paraId="2F364EB0"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 xml:space="preserve">B) De la correcta ejecución de las prestaciones contempladas en el contrato así como de los gastos originados a la Contratante por </w:t>
      </w:r>
      <w:r w:rsidRPr="009D388B">
        <w:rPr>
          <w:rFonts w:ascii="Arial" w:hAnsi="Arial" w:cs="Arial"/>
          <w:sz w:val="20"/>
          <w:szCs w:val="20"/>
          <w:lang w:val="es-UY" w:eastAsia="es-ES"/>
        </w:rPr>
        <w:lastRenderedPageBreak/>
        <w:t>la demora del Contratista en el cumplimiento de sus obligaciones, y de los daños y perjuicios ocasionados a la misma con motivo de la ejecución del contrato o por su incumplimiento.</w:t>
      </w:r>
    </w:p>
    <w:p w14:paraId="51757C98"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C) De la incautación que puede decretarse en los casos de resolución del contrato.</w:t>
      </w:r>
    </w:p>
    <w:p w14:paraId="2339B813" w14:textId="77777777" w:rsidR="00347504" w:rsidRPr="009D388B" w:rsidRDefault="00A314F1" w:rsidP="0068675D">
      <w:pPr>
        <w:autoSpaceDE w:val="0"/>
        <w:autoSpaceDN w:val="0"/>
        <w:adjustRightInd w:val="0"/>
        <w:spacing w:after="120"/>
        <w:jc w:val="both"/>
        <w:rPr>
          <w:rFonts w:ascii="Arial" w:hAnsi="Arial" w:cs="Arial"/>
          <w:sz w:val="20"/>
          <w:szCs w:val="20"/>
          <w:lang w:val="es-UY" w:eastAsia="es-ES"/>
        </w:rPr>
      </w:pPr>
      <w:r w:rsidRPr="009D388B">
        <w:rPr>
          <w:rFonts w:ascii="Arial" w:hAnsi="Arial" w:cs="Arial"/>
          <w:sz w:val="20"/>
          <w:szCs w:val="20"/>
          <w:lang w:val="es-UY" w:eastAsia="es-ES"/>
        </w:rPr>
        <w:t>D) De otros incumplimientos referidos a condiciones establecidas expresamente en la reglamentación, el presente pliego o el contrato.</w:t>
      </w:r>
    </w:p>
    <w:p w14:paraId="7857771B" w14:textId="77777777" w:rsidR="00347504" w:rsidRPr="0068675D" w:rsidRDefault="00460E43" w:rsidP="009A58E0">
      <w:pPr>
        <w:pStyle w:val="T2"/>
        <w:numPr>
          <w:ilvl w:val="1"/>
          <w:numId w:val="90"/>
        </w:numPr>
        <w:outlineLvl w:val="3"/>
      </w:pPr>
      <w:bookmarkStart w:id="250" w:name="_Toc468288002"/>
      <w:bookmarkStart w:id="251" w:name="_Toc496266595"/>
      <w:r>
        <w:t>DEVOLUCIÓN DE GARANTIAS</w:t>
      </w:r>
      <w:bookmarkEnd w:id="250"/>
      <w:bookmarkEnd w:id="251"/>
    </w:p>
    <w:p w14:paraId="4E814E94" w14:textId="63538F18"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La garantía de fiel cumplimiento de contrato para la etapa de construcción, podrá devolverse en forma proporcional a los tramos entregados desde el momento del primer pago de la componente A</w:t>
      </w:r>
      <w:r w:rsidR="00451132">
        <w:rPr>
          <w:rFonts w:ascii="Arial" w:hAnsi="Arial" w:cs="Arial"/>
          <w:sz w:val="20"/>
          <w:szCs w:val="20"/>
          <w:lang w:val="es-UY"/>
        </w:rPr>
        <w:t>,</w:t>
      </w:r>
      <w:r w:rsidRPr="009D388B">
        <w:rPr>
          <w:rFonts w:ascii="Arial" w:hAnsi="Arial" w:cs="Arial"/>
          <w:sz w:val="20"/>
          <w:szCs w:val="20"/>
          <w:lang w:val="es-UY"/>
        </w:rPr>
        <w:t xml:space="preserve"> dentro de un plazo de 20 (veinte) días, contados desde el día siguiente en que se efectivice el primer pago de la componente A</w:t>
      </w:r>
      <w:r w:rsidR="0078329F" w:rsidRPr="005D17A6">
        <w:rPr>
          <w:rFonts w:ascii="Arial" w:hAnsi="Arial" w:cs="Arial"/>
          <w:sz w:val="20"/>
          <w:szCs w:val="20"/>
          <w:lang w:val="es-UY"/>
        </w:rPr>
        <w:t xml:space="preserve">, incluidos los adelantos trimestrales, </w:t>
      </w:r>
      <w:r w:rsidRPr="005D17A6">
        <w:rPr>
          <w:rFonts w:ascii="Arial" w:hAnsi="Arial" w:cs="Arial"/>
          <w:sz w:val="20"/>
          <w:szCs w:val="20"/>
          <w:lang w:val="es-UY"/>
        </w:rPr>
        <w:t>correspondiente</w:t>
      </w:r>
      <w:r w:rsidRPr="009D388B">
        <w:rPr>
          <w:rFonts w:ascii="Arial" w:hAnsi="Arial" w:cs="Arial"/>
          <w:sz w:val="20"/>
          <w:szCs w:val="20"/>
          <w:lang w:val="es-UY"/>
        </w:rPr>
        <w:t xml:space="preserve"> al tramo entregado. </w:t>
      </w:r>
    </w:p>
    <w:p w14:paraId="51B062B3" w14:textId="77777777"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 xml:space="preserve">La garantía de cumplimiento de contrato para la etapa de  mantenimiento y explotación del contrato deberá permanecer válida hasta 12 meses posteriores a la finalización del contrato, de acuerdo al artículo 30 de la LCPPP. No se otorgará la recepción </w:t>
      </w:r>
      <w:r w:rsidRPr="009D388B">
        <w:rPr>
          <w:rFonts w:ascii="Arial" w:hAnsi="Arial" w:cs="Arial"/>
          <w:sz w:val="20"/>
          <w:szCs w:val="20"/>
          <w:lang w:val="es-UY"/>
        </w:rPr>
        <w:lastRenderedPageBreak/>
        <w:t>definitiva del contrato, sin que se haya actualizado esta garantía, con la vigencia precedentemente dispuesta.</w:t>
      </w:r>
    </w:p>
    <w:p w14:paraId="76C74C2F" w14:textId="77777777" w:rsidR="00347504" w:rsidRPr="009D388B"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No se devolverá la garantía de cumplimiento de contrato para la etapa de construcción, si no está constituida la de cumplimiento de contrato para la etapa de mantenimiento y explotación.</w:t>
      </w:r>
    </w:p>
    <w:p w14:paraId="56C29B23" w14:textId="77777777" w:rsidR="0068675D" w:rsidRDefault="00A314F1" w:rsidP="0068675D">
      <w:pPr>
        <w:spacing w:after="120"/>
        <w:jc w:val="both"/>
        <w:rPr>
          <w:rFonts w:ascii="Arial" w:hAnsi="Arial" w:cs="Arial"/>
          <w:sz w:val="20"/>
          <w:szCs w:val="20"/>
          <w:lang w:val="es-UY"/>
        </w:rPr>
      </w:pPr>
      <w:r w:rsidRPr="009D388B">
        <w:rPr>
          <w:rFonts w:ascii="Arial" w:hAnsi="Arial" w:cs="Arial"/>
          <w:sz w:val="20"/>
          <w:szCs w:val="20"/>
          <w:lang w:val="es-UY"/>
        </w:rPr>
        <w:t xml:space="preserve">En los casos de cesión de contratos no </w:t>
      </w:r>
      <w:r w:rsidR="007D4EF8">
        <w:rPr>
          <w:rFonts w:ascii="Arial" w:hAnsi="Arial" w:cs="Arial"/>
          <w:sz w:val="20"/>
          <w:szCs w:val="20"/>
          <w:lang w:val="es-UY"/>
        </w:rPr>
        <w:t xml:space="preserve">se </w:t>
      </w:r>
      <w:r w:rsidRPr="009D388B">
        <w:rPr>
          <w:rFonts w:ascii="Arial" w:hAnsi="Arial" w:cs="Arial"/>
          <w:sz w:val="20"/>
          <w:szCs w:val="20"/>
          <w:lang w:val="es-UY"/>
        </w:rPr>
        <w:t>devolverá o cancelará la garantía prestada por el cedente hasta que se haya constituido formalmente la del cesionario.</w:t>
      </w:r>
    </w:p>
    <w:p w14:paraId="02C6757F" w14:textId="77777777" w:rsidR="0068675D" w:rsidRDefault="0068675D" w:rsidP="0068675D">
      <w:pPr>
        <w:autoSpaceDE w:val="0"/>
        <w:autoSpaceDN w:val="0"/>
        <w:adjustRightInd w:val="0"/>
        <w:spacing w:after="120"/>
        <w:jc w:val="both"/>
        <w:rPr>
          <w:rFonts w:ascii="Arial" w:hAnsi="Arial" w:cs="Arial"/>
          <w:sz w:val="20"/>
          <w:szCs w:val="20"/>
          <w:lang w:val="es-UY" w:eastAsia="es-ES"/>
        </w:rPr>
      </w:pPr>
    </w:p>
    <w:p w14:paraId="12962C35" w14:textId="77777777" w:rsidR="00347504" w:rsidRPr="0068675D" w:rsidRDefault="00460E43" w:rsidP="009A58E0">
      <w:pPr>
        <w:pStyle w:val="T2"/>
        <w:numPr>
          <w:ilvl w:val="1"/>
          <w:numId w:val="90"/>
        </w:numPr>
        <w:outlineLvl w:val="3"/>
      </w:pPr>
      <w:bookmarkStart w:id="252" w:name="_Toc468288003"/>
      <w:bookmarkStart w:id="253" w:name="_Toc496266596"/>
      <w:bookmarkStart w:id="254" w:name="Lit_24"/>
      <w:r>
        <w:t>FONDO DE PROVISIÓN</w:t>
      </w:r>
      <w:bookmarkEnd w:id="252"/>
      <w:bookmarkEnd w:id="253"/>
    </w:p>
    <w:bookmarkEnd w:id="254"/>
    <w:p w14:paraId="4C708E17"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Se creará a efectos de asegurar el cumplimiento del estado final del circuito.</w:t>
      </w:r>
    </w:p>
    <w:p w14:paraId="1507EE90"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Se constituirá reteniendo, desde el año ocho del contrato inclusive, un porcentaje correspondiente al 2% del pago por disponibilidad (en condiciones de máxima disponibilidad, sin deducciones) y se verterá al Fideicomiso establecido en la cláusula 36.</w:t>
      </w:r>
    </w:p>
    <w:p w14:paraId="6C57B47F"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En caso de que en las últimas cuatro evaluaciones del NSU</w:t>
      </w:r>
      <w:r w:rsidR="00714B2F">
        <w:rPr>
          <w:rFonts w:ascii="Arial" w:hAnsi="Arial" w:cs="Arial"/>
          <w:sz w:val="20"/>
          <w:szCs w:val="20"/>
        </w:rPr>
        <w:t xml:space="preserve"> del Contrato</w:t>
      </w:r>
      <w:r w:rsidRPr="00714B2F">
        <w:rPr>
          <w:rFonts w:ascii="Arial" w:hAnsi="Arial" w:cs="Arial"/>
          <w:sz w:val="20"/>
          <w:szCs w:val="20"/>
        </w:rPr>
        <w:t xml:space="preserve">, o en </w:t>
      </w:r>
      <w:r w:rsidR="00714B2F">
        <w:rPr>
          <w:rFonts w:ascii="Arial" w:hAnsi="Arial" w:cs="Arial"/>
          <w:sz w:val="20"/>
          <w:szCs w:val="20"/>
        </w:rPr>
        <w:t xml:space="preserve">cualquiera de </w:t>
      </w:r>
      <w:r w:rsidRPr="00714B2F">
        <w:rPr>
          <w:rFonts w:ascii="Arial" w:hAnsi="Arial" w:cs="Arial"/>
          <w:sz w:val="20"/>
          <w:szCs w:val="20"/>
        </w:rPr>
        <w:t>las dos últimas evaluaciones del IRI</w:t>
      </w:r>
      <w:r w:rsidR="00714B2F">
        <w:rPr>
          <w:rFonts w:ascii="Arial" w:hAnsi="Arial" w:cs="Arial"/>
          <w:sz w:val="20"/>
          <w:szCs w:val="20"/>
        </w:rPr>
        <w:t xml:space="preserve"> del Contrato</w:t>
      </w:r>
      <w:r w:rsidRPr="00714B2F">
        <w:rPr>
          <w:rFonts w:ascii="Arial" w:hAnsi="Arial" w:cs="Arial"/>
          <w:sz w:val="20"/>
          <w:szCs w:val="20"/>
        </w:rPr>
        <w:t xml:space="preserve">, incluida las de recepción, se hayan generado “Faltas no Críticas” en algún tramo se retendrán los montos </w:t>
      </w:r>
      <w:r w:rsidR="00714B2F">
        <w:rPr>
          <w:rFonts w:ascii="Arial" w:hAnsi="Arial" w:cs="Arial"/>
          <w:sz w:val="20"/>
          <w:szCs w:val="20"/>
        </w:rPr>
        <w:t xml:space="preserve">del Pago por </w:t>
      </w:r>
      <w:r w:rsidR="00714B2F">
        <w:rPr>
          <w:rFonts w:ascii="Arial" w:hAnsi="Arial" w:cs="Arial"/>
          <w:sz w:val="20"/>
          <w:szCs w:val="20"/>
        </w:rPr>
        <w:lastRenderedPageBreak/>
        <w:t xml:space="preserve">Disponibilidad </w:t>
      </w:r>
      <w:r w:rsidRPr="00714B2F">
        <w:rPr>
          <w:rFonts w:ascii="Arial" w:hAnsi="Arial" w:cs="Arial"/>
          <w:sz w:val="20"/>
          <w:szCs w:val="20"/>
        </w:rPr>
        <w:t>correspondientes a dichos tramos, como refuerzo del Fondo de provisión.</w:t>
      </w:r>
    </w:p>
    <w:p w14:paraId="7BB45016"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 xml:space="preserve">El Fondo de Provisión se devolverá al Contratista una vez realizada la recepción final del circuito de acuerdo a las condiciones de recepción del mismo (“Condiciones para la recepción Final del Contrato” - </w:t>
      </w:r>
      <w:hyperlink w:anchor="A_8" w:history="1">
        <w:r w:rsidRPr="00714B2F">
          <w:rPr>
            <w:rFonts w:ascii="Arial" w:hAnsi="Arial" w:cs="Arial"/>
            <w:sz w:val="20"/>
            <w:szCs w:val="20"/>
          </w:rPr>
          <w:t>Anexo VIII</w:t>
        </w:r>
      </w:hyperlink>
      <w:r w:rsidRPr="00714B2F">
        <w:rPr>
          <w:rFonts w:ascii="Arial" w:hAnsi="Arial" w:cs="Arial"/>
          <w:sz w:val="20"/>
          <w:szCs w:val="20"/>
        </w:rPr>
        <w:t>).</w:t>
      </w:r>
    </w:p>
    <w:p w14:paraId="4F71682F"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Para el caso en que el Contratista no dé cumplimiento a las “Condiciones para la recepción Final del Contrato” (</w:t>
      </w:r>
      <w:hyperlink w:anchor="A_8" w:history="1">
        <w:r w:rsidRPr="00714B2F">
          <w:rPr>
            <w:rFonts w:ascii="Arial" w:hAnsi="Arial" w:cs="Arial"/>
            <w:sz w:val="20"/>
            <w:szCs w:val="20"/>
          </w:rPr>
          <w:t>Anexo VIII</w:t>
        </w:r>
      </w:hyperlink>
      <w:r w:rsidRPr="00714B2F">
        <w:rPr>
          <w:rFonts w:ascii="Arial" w:hAnsi="Arial" w:cs="Arial"/>
          <w:sz w:val="20"/>
          <w:szCs w:val="20"/>
        </w:rPr>
        <w:t>), el fondo se utilizará para dar cumplimiento a tales condiciones.</w:t>
      </w:r>
    </w:p>
    <w:p w14:paraId="4CB6A738"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El remanente no utilizado se devolverá en un plazo posterior, no mayor a 2 años a partir de la recepción final del circuito.</w:t>
      </w:r>
    </w:p>
    <w:p w14:paraId="1639E883" w14:textId="77777777" w:rsidR="00F4188F" w:rsidRPr="00714B2F" w:rsidRDefault="00F4188F" w:rsidP="00F4188F">
      <w:pPr>
        <w:jc w:val="both"/>
        <w:rPr>
          <w:rFonts w:ascii="Arial" w:hAnsi="Arial" w:cs="Arial"/>
          <w:sz w:val="20"/>
          <w:szCs w:val="20"/>
        </w:rPr>
      </w:pPr>
      <w:r w:rsidRPr="00714B2F">
        <w:rPr>
          <w:rFonts w:ascii="Arial" w:hAnsi="Arial" w:cs="Arial"/>
          <w:sz w:val="20"/>
          <w:szCs w:val="20"/>
        </w:rPr>
        <w:t>La devolución se verificará en pesos uruguayos a la cotización de la Unidad Indexada del día de la devolución.</w:t>
      </w:r>
    </w:p>
    <w:p w14:paraId="4699A2E9" w14:textId="77777777" w:rsidR="00F4188F" w:rsidRPr="00F4188F" w:rsidRDefault="00F4188F" w:rsidP="00F4188F">
      <w:pPr>
        <w:spacing w:after="120"/>
        <w:jc w:val="both"/>
        <w:rPr>
          <w:rFonts w:ascii="Arial" w:hAnsi="Arial" w:cs="Arial"/>
          <w:sz w:val="20"/>
          <w:szCs w:val="20"/>
          <w:lang w:val="es-UY"/>
        </w:rPr>
      </w:pPr>
      <w:r w:rsidRPr="00714B2F">
        <w:rPr>
          <w:rFonts w:ascii="Arial" w:hAnsi="Arial" w:cs="Arial"/>
          <w:sz w:val="20"/>
          <w:szCs w:val="20"/>
        </w:rPr>
        <w:t>Los ingresos financieros provenientes del Fondo de Provisión, en caso de que se generen, no serán entregados al Contratista.</w:t>
      </w:r>
    </w:p>
    <w:p w14:paraId="0F0B9CC3" w14:textId="77777777" w:rsidR="0068675D" w:rsidRPr="009D388B" w:rsidRDefault="0068675D" w:rsidP="0068675D">
      <w:pPr>
        <w:spacing w:after="120"/>
        <w:jc w:val="both"/>
        <w:rPr>
          <w:rFonts w:ascii="Arial" w:hAnsi="Arial" w:cs="Arial"/>
          <w:sz w:val="20"/>
          <w:szCs w:val="20"/>
          <w:lang w:val="es-UY"/>
        </w:rPr>
      </w:pPr>
    </w:p>
    <w:p w14:paraId="4B89AFB1" w14:textId="77777777" w:rsidR="00A3029F" w:rsidRPr="0068675D" w:rsidRDefault="00460E43" w:rsidP="009A58E0">
      <w:pPr>
        <w:pStyle w:val="T1"/>
        <w:numPr>
          <w:ilvl w:val="0"/>
          <w:numId w:val="90"/>
        </w:numPr>
        <w:outlineLvl w:val="2"/>
      </w:pPr>
      <w:bookmarkStart w:id="255" w:name="_Toc400622252"/>
      <w:bookmarkStart w:id="256" w:name="_Toc400629103"/>
      <w:bookmarkStart w:id="257" w:name="_Toc400634013"/>
      <w:bookmarkStart w:id="258" w:name="_Toc400635136"/>
      <w:bookmarkStart w:id="259" w:name="_Toc468288004"/>
      <w:bookmarkStart w:id="260" w:name="_Toc496266597"/>
      <w:bookmarkStart w:id="261" w:name="Lit_25"/>
      <w:r>
        <w:lastRenderedPageBreak/>
        <w:t>PÓLIZAS DE SEGUROS</w:t>
      </w:r>
      <w:bookmarkEnd w:id="255"/>
      <w:bookmarkEnd w:id="256"/>
      <w:bookmarkEnd w:id="257"/>
      <w:bookmarkEnd w:id="258"/>
      <w:bookmarkEnd w:id="259"/>
      <w:bookmarkEnd w:id="260"/>
    </w:p>
    <w:p w14:paraId="7C2604BF"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El Contratista es responsable de los daños que se produzcan a las obras que se ejecuten o a la infraestructura en general, a las personas que trabajen en ellas y a terceros, como así también a bienes públicos o privados, que provengan de dichos daños de las maniobras en sus instalaciones o en la ruta, u otras razones que sean imputables al mismo, sus representantes, dependientes, subalternos y subcontratistas, durante el plazo de vigencia del contrato. </w:t>
      </w:r>
    </w:p>
    <w:p w14:paraId="5990FF5B"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A tales efectos el Contratista  deberá contratar y depositar en el plazo de 10 </w:t>
      </w:r>
      <w:r w:rsidR="00A03872">
        <w:rPr>
          <w:rFonts w:ascii="Arial" w:hAnsi="Arial" w:cs="Arial"/>
          <w:sz w:val="20"/>
          <w:szCs w:val="20"/>
          <w:lang w:val="es-UY"/>
        </w:rPr>
        <w:t>(</w:t>
      </w:r>
      <w:r w:rsidRPr="00CB076A">
        <w:rPr>
          <w:rFonts w:ascii="Arial" w:hAnsi="Arial" w:cs="Arial"/>
          <w:sz w:val="20"/>
          <w:szCs w:val="20"/>
          <w:lang w:val="es-UY"/>
        </w:rPr>
        <w:t>diez</w:t>
      </w:r>
      <w:r w:rsidR="00A03872">
        <w:rPr>
          <w:rFonts w:ascii="Arial" w:hAnsi="Arial" w:cs="Arial"/>
          <w:sz w:val="20"/>
          <w:szCs w:val="20"/>
          <w:lang w:val="es-UY"/>
        </w:rPr>
        <w:t>)</w:t>
      </w:r>
      <w:r w:rsidRPr="00CB076A">
        <w:rPr>
          <w:rFonts w:ascii="Arial" w:hAnsi="Arial" w:cs="Arial"/>
          <w:sz w:val="20"/>
          <w:szCs w:val="20"/>
          <w:lang w:val="es-UY"/>
        </w:rPr>
        <w:t xml:space="preserve"> días hábiles, contados a partir del siguiente a la notificación de la adjudicación definitiva y previo a la firma del contrato previsto en la Cláusula 26 del Pliego y hasta cuatro años posteriores a la finalización del mismo, un seguro contra todo riesgo por un capital no inferior a  U$S 5</w:t>
      </w:r>
      <w:r w:rsidR="00195162">
        <w:rPr>
          <w:rFonts w:ascii="Arial" w:hAnsi="Arial" w:cs="Arial"/>
          <w:sz w:val="20"/>
          <w:szCs w:val="20"/>
          <w:lang w:val="es-UY"/>
        </w:rPr>
        <w:t>.</w:t>
      </w:r>
      <w:r w:rsidRPr="00CB076A">
        <w:rPr>
          <w:rFonts w:ascii="Arial" w:hAnsi="Arial" w:cs="Arial"/>
          <w:sz w:val="20"/>
          <w:szCs w:val="20"/>
          <w:lang w:val="es-UY"/>
        </w:rPr>
        <w:t xml:space="preserve">000.000 (dólares estadounidenses cinco millones). No se otorgará la recepción definitiva del contrato, sin que se haya actualizado este seguro con la vigencia precedentemente dispuesta. </w:t>
      </w:r>
    </w:p>
    <w:p w14:paraId="2AA13C86" w14:textId="77777777" w:rsidR="00F64018" w:rsidRPr="00CB076A" w:rsidRDefault="00A314F1" w:rsidP="0068675D">
      <w:pPr>
        <w:spacing w:after="120"/>
        <w:jc w:val="both"/>
        <w:rPr>
          <w:rFonts w:ascii="Arial" w:hAnsi="Arial" w:cs="Arial"/>
          <w:sz w:val="20"/>
          <w:szCs w:val="20"/>
          <w:lang w:val="es-UY"/>
        </w:rPr>
      </w:pPr>
      <w:r w:rsidRPr="00CB076A">
        <w:rPr>
          <w:rFonts w:ascii="Arial" w:hAnsi="Arial" w:cs="Arial"/>
          <w:sz w:val="20"/>
          <w:szCs w:val="20"/>
          <w:lang w:val="es-UY"/>
        </w:rPr>
        <w:t xml:space="preserve">La póliza de seguro debe incluir una cláusula de responsabilidad civil cruzada, responsabilidad civil por vibración y debilitamiento de apoyos y responsabilidad civil por daños a instalaciones subterráneas. </w:t>
      </w:r>
    </w:p>
    <w:p w14:paraId="069B9AD4" w14:textId="77777777" w:rsidR="00F64018" w:rsidRPr="00CB076A" w:rsidRDefault="00A314F1" w:rsidP="00336AC7">
      <w:pPr>
        <w:rPr>
          <w:rFonts w:ascii="Arial" w:hAnsi="Arial" w:cs="Arial"/>
          <w:sz w:val="20"/>
          <w:szCs w:val="20"/>
          <w:lang w:val="es-UY"/>
        </w:rPr>
      </w:pPr>
      <w:r w:rsidRPr="00CB076A">
        <w:rPr>
          <w:rFonts w:ascii="Arial" w:hAnsi="Arial" w:cs="Arial"/>
          <w:sz w:val="20"/>
          <w:szCs w:val="20"/>
          <w:lang w:val="es-UY"/>
        </w:rPr>
        <w:lastRenderedPageBreak/>
        <w:t>La prima del seguro y sus renovaciones serán pagadas por el Contratista.</w:t>
      </w:r>
    </w:p>
    <w:p w14:paraId="1A8F68B2" w14:textId="77777777" w:rsidR="001C4647" w:rsidRPr="0068675D" w:rsidRDefault="00A314F1" w:rsidP="00336AC7">
      <w:pPr>
        <w:rPr>
          <w:rFonts w:ascii="Arial" w:hAnsi="Arial" w:cs="Arial"/>
          <w:sz w:val="20"/>
          <w:szCs w:val="20"/>
          <w:lang w:val="es-UY"/>
        </w:rPr>
      </w:pPr>
      <w:r w:rsidRPr="00CB076A">
        <w:rPr>
          <w:rFonts w:ascii="Arial" w:hAnsi="Arial" w:cs="Arial"/>
          <w:sz w:val="20"/>
          <w:szCs w:val="20"/>
          <w:lang w:val="es-UY"/>
        </w:rPr>
        <w:t>El deducible será de cargo del Contratista.</w:t>
      </w:r>
    </w:p>
    <w:p w14:paraId="0AB0388D" w14:textId="77777777" w:rsidR="00F64018" w:rsidRPr="0068675D" w:rsidRDefault="00F64018" w:rsidP="00336AC7">
      <w:pPr>
        <w:rPr>
          <w:rFonts w:ascii="Arial" w:hAnsi="Arial" w:cs="Arial"/>
          <w:sz w:val="20"/>
          <w:szCs w:val="20"/>
          <w:lang w:val="es-UY"/>
        </w:rPr>
      </w:pPr>
      <w:r w:rsidRPr="0068675D">
        <w:rPr>
          <w:rFonts w:ascii="Arial" w:hAnsi="Arial" w:cs="Arial"/>
          <w:sz w:val="20"/>
          <w:szCs w:val="20"/>
          <w:lang w:val="es-UY"/>
        </w:rPr>
        <w:t>La póliza de seguro deberá ser aprobada por la Contratante.</w:t>
      </w:r>
    </w:p>
    <w:p w14:paraId="2576426E" w14:textId="77777777" w:rsidR="00A3029F" w:rsidRDefault="00A3029F" w:rsidP="009A58E0">
      <w:pPr>
        <w:pStyle w:val="T1"/>
        <w:numPr>
          <w:ilvl w:val="0"/>
          <w:numId w:val="90"/>
        </w:numPr>
        <w:outlineLvl w:val="2"/>
      </w:pPr>
      <w:bookmarkStart w:id="262" w:name="_Toc340671877"/>
      <w:bookmarkStart w:id="263" w:name="_Toc358821514"/>
      <w:bookmarkStart w:id="264" w:name="_Toc400622253"/>
      <w:bookmarkStart w:id="265" w:name="_Toc400629104"/>
      <w:bookmarkStart w:id="266" w:name="_Toc400634014"/>
      <w:bookmarkStart w:id="267" w:name="_Toc400635137"/>
      <w:bookmarkStart w:id="268" w:name="_Toc468288005"/>
      <w:bookmarkStart w:id="269" w:name="_Toc496266598"/>
      <w:bookmarkStart w:id="270" w:name="Lit_26"/>
      <w:bookmarkEnd w:id="261"/>
      <w:r w:rsidRPr="00E2664E">
        <w:t>FORMALIZACIÓN DEL CONTRATO</w:t>
      </w:r>
      <w:bookmarkEnd w:id="262"/>
      <w:bookmarkEnd w:id="263"/>
      <w:bookmarkEnd w:id="264"/>
      <w:bookmarkEnd w:id="265"/>
      <w:bookmarkEnd w:id="266"/>
      <w:bookmarkEnd w:id="267"/>
      <w:bookmarkEnd w:id="268"/>
      <w:bookmarkEnd w:id="269"/>
    </w:p>
    <w:p w14:paraId="44DF3B32" w14:textId="77777777" w:rsidR="00A3029F" w:rsidRPr="00E2664E" w:rsidRDefault="00A3029F" w:rsidP="009A58E0">
      <w:pPr>
        <w:pStyle w:val="T2"/>
        <w:numPr>
          <w:ilvl w:val="1"/>
          <w:numId w:val="90"/>
        </w:numPr>
        <w:outlineLvl w:val="3"/>
      </w:pPr>
      <w:bookmarkStart w:id="271" w:name="_Toc340671878"/>
      <w:bookmarkStart w:id="272" w:name="_Toc358821515"/>
      <w:bookmarkStart w:id="273" w:name="_Toc400634015"/>
      <w:bookmarkStart w:id="274" w:name="_Toc400635138"/>
      <w:bookmarkStart w:id="275" w:name="_Toc468288006"/>
      <w:bookmarkStart w:id="276" w:name="_Toc496266599"/>
      <w:bookmarkStart w:id="277" w:name="Lit_26_1"/>
      <w:bookmarkEnd w:id="270"/>
      <w:r w:rsidRPr="00E2664E">
        <w:t>LA FORMALIZACIÓN DEL CONTRATO</w:t>
      </w:r>
      <w:bookmarkEnd w:id="271"/>
      <w:bookmarkEnd w:id="272"/>
      <w:bookmarkEnd w:id="273"/>
      <w:bookmarkEnd w:id="274"/>
      <w:bookmarkEnd w:id="275"/>
      <w:bookmarkEnd w:id="276"/>
    </w:p>
    <w:bookmarkEnd w:id="277"/>
    <w:p w14:paraId="42EEC0B6" w14:textId="77777777" w:rsidR="00A3029F" w:rsidRPr="00E2664E" w:rsidRDefault="00A3029F" w:rsidP="00CC6497">
      <w:pPr>
        <w:spacing w:after="120"/>
        <w:jc w:val="both"/>
        <w:rPr>
          <w:rFonts w:ascii="Arial" w:hAnsi="Arial" w:cs="Arial"/>
          <w:sz w:val="20"/>
          <w:szCs w:val="20"/>
          <w:lang w:val="es-UY" w:eastAsia="es-ES"/>
        </w:rPr>
      </w:pPr>
      <w:r w:rsidRPr="00E2664E">
        <w:rPr>
          <w:rFonts w:ascii="Arial" w:hAnsi="Arial" w:cs="Arial"/>
          <w:sz w:val="20"/>
          <w:szCs w:val="20"/>
          <w:lang w:val="es-UY" w:eastAsia="es-ES"/>
        </w:rPr>
        <w:t>El contrato deberá formalizarse por escrito, dentro de un plazo que no podrá ser inferior a 10 días hábiles, ni superior a 30 días hábiles, contados a partir del día siguiente de la última notificación del acto de adjudicación definitiva.</w:t>
      </w:r>
      <w:r w:rsidR="00B14DCC">
        <w:rPr>
          <w:rFonts w:ascii="Arial" w:hAnsi="Arial" w:cs="Arial"/>
          <w:sz w:val="20"/>
          <w:szCs w:val="20"/>
          <w:lang w:val="es-UY" w:eastAsia="es-ES"/>
        </w:rPr>
        <w:t xml:space="preserve"> </w:t>
      </w:r>
    </w:p>
    <w:p w14:paraId="5C63CDE6" w14:textId="77777777" w:rsidR="00A3029F" w:rsidRPr="00E2664E" w:rsidRDefault="005B7D66" w:rsidP="00CC6497">
      <w:pPr>
        <w:autoSpaceDE w:val="0"/>
        <w:autoSpaceDN w:val="0"/>
        <w:adjustRightInd w:val="0"/>
        <w:spacing w:after="120"/>
        <w:jc w:val="both"/>
        <w:rPr>
          <w:rFonts w:ascii="Arial" w:hAnsi="Arial" w:cs="Arial"/>
          <w:sz w:val="20"/>
          <w:szCs w:val="20"/>
        </w:rPr>
      </w:pPr>
      <w:r>
        <w:rPr>
          <w:rFonts w:ascii="Arial" w:hAnsi="Arial" w:cs="Arial"/>
          <w:sz w:val="20"/>
          <w:szCs w:val="20"/>
        </w:rPr>
        <w:t>Será requisito firmar en forma previa o en el mismo acto en que el Contratista firme el Contrato de Participación P</w:t>
      </w:r>
      <w:r w:rsidR="00A03872">
        <w:rPr>
          <w:rFonts w:ascii="Arial" w:hAnsi="Arial" w:cs="Arial"/>
          <w:sz w:val="20"/>
          <w:szCs w:val="20"/>
        </w:rPr>
        <w:t>ú</w:t>
      </w:r>
      <w:r>
        <w:rPr>
          <w:rFonts w:ascii="Arial" w:hAnsi="Arial" w:cs="Arial"/>
          <w:sz w:val="20"/>
          <w:szCs w:val="20"/>
        </w:rPr>
        <w:t xml:space="preserve">blico Privada con la Contratante, los contratos de estructuración financiera conforme a lo establecido en el </w:t>
      </w:r>
      <w:hyperlink r:id="rId58" w:history="1">
        <w:r w:rsidRPr="005029EE">
          <w:rPr>
            <w:rStyle w:val="Hipervnculo"/>
            <w:rFonts w:ascii="Arial" w:hAnsi="Arial" w:cs="Arial"/>
            <w:sz w:val="20"/>
            <w:szCs w:val="20"/>
          </w:rPr>
          <w:t>art 34</w:t>
        </w:r>
      </w:hyperlink>
      <w:r>
        <w:rPr>
          <w:rFonts w:ascii="Arial" w:hAnsi="Arial" w:cs="Arial"/>
          <w:sz w:val="20"/>
          <w:szCs w:val="20"/>
        </w:rPr>
        <w:t xml:space="preserve"> del decreto </w:t>
      </w:r>
      <w:hyperlink r:id="rId59" w:history="1">
        <w:r w:rsidRPr="005029EE">
          <w:rPr>
            <w:rStyle w:val="Hipervnculo"/>
            <w:rFonts w:ascii="Arial" w:hAnsi="Arial" w:cs="Arial"/>
            <w:sz w:val="20"/>
            <w:szCs w:val="20"/>
          </w:rPr>
          <w:t>17/012</w:t>
        </w:r>
      </w:hyperlink>
      <w:r>
        <w:rPr>
          <w:rFonts w:ascii="Arial" w:hAnsi="Arial" w:cs="Arial"/>
          <w:sz w:val="20"/>
          <w:szCs w:val="20"/>
        </w:rPr>
        <w:t xml:space="preserve"> en la redacción dada por el </w:t>
      </w:r>
      <w:hyperlink r:id="rId60" w:history="1">
        <w:r w:rsidRPr="005029EE">
          <w:rPr>
            <w:rStyle w:val="Hipervnculo"/>
            <w:rFonts w:ascii="Arial" w:hAnsi="Arial" w:cs="Arial"/>
            <w:sz w:val="20"/>
            <w:szCs w:val="20"/>
          </w:rPr>
          <w:t>art 3 del decreto 251/015</w:t>
        </w:r>
      </w:hyperlink>
      <w:r>
        <w:rPr>
          <w:rFonts w:ascii="Arial" w:hAnsi="Arial" w:cs="Arial"/>
          <w:sz w:val="20"/>
          <w:szCs w:val="20"/>
        </w:rPr>
        <w:t>.</w:t>
      </w:r>
      <w:r w:rsidR="00A03872">
        <w:rPr>
          <w:rFonts w:ascii="Arial" w:hAnsi="Arial" w:cs="Arial"/>
          <w:sz w:val="20"/>
          <w:szCs w:val="20"/>
        </w:rPr>
        <w:t xml:space="preserve"> </w:t>
      </w:r>
      <w:r w:rsidR="00A3029F">
        <w:rPr>
          <w:rFonts w:ascii="Arial" w:hAnsi="Arial" w:cs="Arial"/>
          <w:sz w:val="20"/>
          <w:szCs w:val="20"/>
        </w:rPr>
        <w:t xml:space="preserve">En caso que se hubieran interpuesto recursos administrativos contra el acto de adjudicación definitiva, el contrato deberá formalizarse por escrito en el plazo de 30 días hábiles contados a partir de que el acto quede firme o, en su caso, desde el levantamiento del efecto suspensivo del recurso. </w:t>
      </w:r>
    </w:p>
    <w:p w14:paraId="7BDECAD7" w14:textId="77777777" w:rsidR="00A3029F" w:rsidRPr="00E2664E" w:rsidRDefault="00A3029F" w:rsidP="009A58E0">
      <w:pPr>
        <w:pStyle w:val="T2"/>
        <w:numPr>
          <w:ilvl w:val="1"/>
          <w:numId w:val="90"/>
        </w:numPr>
        <w:outlineLvl w:val="3"/>
      </w:pPr>
      <w:bookmarkStart w:id="278" w:name="_Toc340671879"/>
      <w:bookmarkStart w:id="279" w:name="_Toc358821516"/>
      <w:bookmarkStart w:id="280" w:name="_Toc400634016"/>
      <w:bookmarkStart w:id="281" w:name="_Toc400635139"/>
      <w:bookmarkStart w:id="282" w:name="_Toc468288007"/>
      <w:bookmarkStart w:id="283" w:name="_Toc496266600"/>
      <w:bookmarkStart w:id="284" w:name="Lit_26_2"/>
      <w:r w:rsidRPr="00E2664E">
        <w:lastRenderedPageBreak/>
        <w:t>EFECTOS DE LA FALTA DE FORMALIZACIÓN</w:t>
      </w:r>
      <w:bookmarkEnd w:id="278"/>
      <w:bookmarkEnd w:id="279"/>
      <w:bookmarkEnd w:id="280"/>
      <w:bookmarkEnd w:id="281"/>
      <w:bookmarkEnd w:id="282"/>
      <w:bookmarkEnd w:id="283"/>
    </w:p>
    <w:bookmarkEnd w:id="284"/>
    <w:p w14:paraId="2D189597" w14:textId="77777777" w:rsidR="00A3029F" w:rsidRPr="00E2664E" w:rsidRDefault="00A3029F" w:rsidP="00CC6497">
      <w:pPr>
        <w:autoSpaceDE w:val="0"/>
        <w:autoSpaceDN w:val="0"/>
        <w:adjustRightInd w:val="0"/>
        <w:spacing w:after="120"/>
        <w:jc w:val="both"/>
        <w:rPr>
          <w:rFonts w:ascii="Arial" w:hAnsi="Arial" w:cs="Arial"/>
          <w:sz w:val="20"/>
          <w:szCs w:val="20"/>
          <w:lang w:val="es-UY" w:eastAsia="es-ES"/>
        </w:rPr>
      </w:pPr>
      <w:r w:rsidRPr="00E2664E">
        <w:rPr>
          <w:rFonts w:ascii="Arial" w:hAnsi="Arial" w:cs="Arial"/>
          <w:sz w:val="20"/>
          <w:szCs w:val="20"/>
          <w:lang w:val="es-UY" w:eastAsia="es-ES"/>
        </w:rPr>
        <w:t>Cuando por causas imputables al adjudicatario definitivo no se hubiese formalizado el contrato dentro del plazo indicado, la Contratante podrá revocar el acto de adjudicación.</w:t>
      </w:r>
    </w:p>
    <w:p w14:paraId="232F8285" w14:textId="77777777" w:rsidR="00A3029F" w:rsidRDefault="00A3029F" w:rsidP="009A58E0">
      <w:pPr>
        <w:pStyle w:val="T1"/>
        <w:numPr>
          <w:ilvl w:val="0"/>
          <w:numId w:val="90"/>
        </w:numPr>
        <w:outlineLvl w:val="2"/>
      </w:pPr>
      <w:bookmarkStart w:id="285" w:name="_Toc340671880"/>
      <w:bookmarkStart w:id="286" w:name="_Toc358821517"/>
      <w:bookmarkStart w:id="287" w:name="_Toc400622254"/>
      <w:bookmarkStart w:id="288" w:name="_Toc400629105"/>
      <w:bookmarkStart w:id="289" w:name="_Toc400634017"/>
      <w:bookmarkStart w:id="290" w:name="_Toc400635140"/>
      <w:bookmarkStart w:id="291" w:name="_Toc468288008"/>
      <w:bookmarkStart w:id="292" w:name="_Toc496266601"/>
      <w:bookmarkStart w:id="293" w:name="Lit_27"/>
      <w:r w:rsidRPr="00E2664E">
        <w:t>REPARTO DE RIESGOS ENTRE LA CONTRATANTE Y EL CONTRATISTA.</w:t>
      </w:r>
      <w:bookmarkEnd w:id="285"/>
      <w:bookmarkEnd w:id="286"/>
      <w:bookmarkEnd w:id="287"/>
      <w:bookmarkEnd w:id="288"/>
      <w:bookmarkEnd w:id="289"/>
      <w:bookmarkEnd w:id="290"/>
      <w:bookmarkEnd w:id="291"/>
      <w:bookmarkEnd w:id="292"/>
    </w:p>
    <w:bookmarkEnd w:id="293"/>
    <w:p w14:paraId="70AEF8C9"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El Contratista asumirá los riesgos y responsabilidades que se deriven del proyecto, construcción, operación y financiación vinculados al objeto de la presente contratación.</w:t>
      </w:r>
    </w:p>
    <w:p w14:paraId="038B3A5F"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A efectos meramente enunciativos, no se derivará responsabilidad para la Contratante en los siguientes casos: </w:t>
      </w:r>
    </w:p>
    <w:p w14:paraId="0F4B1207"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a)</w:t>
      </w:r>
      <w:r w:rsidR="00B14DCC">
        <w:rPr>
          <w:rFonts w:ascii="Arial" w:hAnsi="Arial" w:cs="Arial"/>
          <w:sz w:val="20"/>
          <w:szCs w:val="20"/>
        </w:rPr>
        <w:t xml:space="preserve"> </w:t>
      </w:r>
      <w:r w:rsidRPr="00E2664E">
        <w:rPr>
          <w:rFonts w:ascii="Arial" w:hAnsi="Arial" w:cs="Arial"/>
          <w:sz w:val="20"/>
          <w:szCs w:val="20"/>
        </w:rPr>
        <w:t>Defectos, insuficiencias, errores, omisiones o incumplimientos en los proyectos.</w:t>
      </w:r>
    </w:p>
    <w:p w14:paraId="4DFF3CE8"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b) Errores constructivos, retrasos en los plazos de construcción, incumplimientos de los estándares especificados, costos adicionales por incrementos de precios distintos a los contemplados en la fórmula paramétrica de ajuste, retrasos u otros, deficiencias técnicas o efectos externos negativos. </w:t>
      </w:r>
    </w:p>
    <w:p w14:paraId="53D06A1F"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lastRenderedPageBreak/>
        <w:t>c)</w:t>
      </w:r>
      <w:r w:rsidR="00B14DCC">
        <w:rPr>
          <w:rFonts w:ascii="Arial" w:hAnsi="Arial" w:cs="Arial"/>
          <w:sz w:val="20"/>
          <w:szCs w:val="20"/>
        </w:rPr>
        <w:t xml:space="preserve"> </w:t>
      </w:r>
      <w:r w:rsidRPr="00E2664E">
        <w:rPr>
          <w:rFonts w:ascii="Arial" w:hAnsi="Arial" w:cs="Arial"/>
          <w:sz w:val="20"/>
          <w:szCs w:val="20"/>
        </w:rPr>
        <w:t>Los resultados de la operación, incluyendo sobrecostos.</w:t>
      </w:r>
    </w:p>
    <w:p w14:paraId="7D83F8EE"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d) La situación macroeconómica nacional e internacional. </w:t>
      </w:r>
    </w:p>
    <w:p w14:paraId="4AF1C237"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e) La evolución de las condiciones del mercado financiero a lo largo del plazo del contrato.</w:t>
      </w:r>
    </w:p>
    <w:p w14:paraId="37B48648"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f) Los efectos medioambientales, derivados de incumplimientos</w:t>
      </w:r>
      <w:r w:rsidR="00B14DCC">
        <w:rPr>
          <w:rFonts w:ascii="Arial" w:hAnsi="Arial" w:cs="Arial"/>
          <w:sz w:val="20"/>
          <w:szCs w:val="20"/>
        </w:rPr>
        <w:t xml:space="preserve"> </w:t>
      </w:r>
      <w:r w:rsidRPr="00E2664E">
        <w:rPr>
          <w:rFonts w:ascii="Arial" w:hAnsi="Arial" w:cs="Arial"/>
          <w:sz w:val="20"/>
          <w:szCs w:val="20"/>
        </w:rPr>
        <w:t>a la normativa medioambiental así como del incumplimiento a las disposiciones establecidas en las bases de la contratación.</w:t>
      </w:r>
    </w:p>
    <w:p w14:paraId="23904AE1" w14:textId="77777777" w:rsidR="00397089" w:rsidRPr="009A7515" w:rsidRDefault="00397089" w:rsidP="00692283">
      <w:pPr>
        <w:jc w:val="both"/>
        <w:rPr>
          <w:rFonts w:ascii="Arial" w:hAnsi="Arial" w:cs="Arial"/>
          <w:sz w:val="16"/>
          <w:szCs w:val="20"/>
        </w:rPr>
      </w:pPr>
      <w:r w:rsidRPr="009A7515">
        <w:rPr>
          <w:rFonts w:ascii="Arial" w:hAnsi="Arial" w:cs="Arial"/>
          <w:sz w:val="20"/>
          <w:szCs w:val="24"/>
        </w:rPr>
        <w:t>g) Conflictos laborales. Sin perjuicio de que los plazos establecidos para la construcción de las obras de puesta a punto y complementarias previstas en el presente pliego durante la vigencia del contrato, se suspenderán y prorrogarán debido a medidas adoptadas por el Sindicato Único de la Construcción, o por conflictos sindicales que traigan aparejadas medidas adoptadas por el PIT-CNT (siempre que dichas medidas no sean generadas por el Proyecto), e impidan la normal ejecución de la obra y tengan una duración mayor a 30 días calendario.</w:t>
      </w:r>
    </w:p>
    <w:p w14:paraId="71956198" w14:textId="77777777" w:rsidR="00A3029F" w:rsidRPr="00E2664E" w:rsidRDefault="00A3029F" w:rsidP="00692283">
      <w:pPr>
        <w:jc w:val="both"/>
        <w:rPr>
          <w:rFonts w:ascii="Arial" w:hAnsi="Arial" w:cs="Arial"/>
          <w:sz w:val="20"/>
          <w:szCs w:val="20"/>
        </w:rPr>
      </w:pPr>
      <w:r w:rsidRPr="00E2664E">
        <w:rPr>
          <w:rFonts w:ascii="Arial" w:hAnsi="Arial" w:cs="Arial"/>
          <w:sz w:val="20"/>
          <w:szCs w:val="20"/>
        </w:rPr>
        <w:t xml:space="preserve">h) Costos derivados de la adecuación de servicios públicos. </w:t>
      </w:r>
    </w:p>
    <w:p w14:paraId="0ACDE57B" w14:textId="7FC9E0F6" w:rsidR="00397089" w:rsidRPr="009A7515" w:rsidRDefault="00397089" w:rsidP="00692283">
      <w:pPr>
        <w:jc w:val="both"/>
        <w:rPr>
          <w:rFonts w:ascii="Arial" w:hAnsi="Arial" w:cs="Arial"/>
          <w:sz w:val="16"/>
          <w:szCs w:val="20"/>
        </w:rPr>
      </w:pPr>
      <w:r w:rsidRPr="009A7515">
        <w:rPr>
          <w:rFonts w:ascii="Arial" w:hAnsi="Arial" w:cs="Arial"/>
          <w:sz w:val="20"/>
          <w:szCs w:val="24"/>
        </w:rPr>
        <w:t xml:space="preserve">i) Obtención de autorizaciones y permisos. Sin perjuicio de que los plazos se prorrogarán: a) por el plazo de tramitación en el Banco Central del Uruguay (BCU) para la autorización de la emisión de </w:t>
      </w:r>
      <w:r w:rsidRPr="009A7515">
        <w:rPr>
          <w:rFonts w:ascii="Arial" w:hAnsi="Arial" w:cs="Arial"/>
          <w:sz w:val="20"/>
          <w:szCs w:val="24"/>
        </w:rPr>
        <w:lastRenderedPageBreak/>
        <w:t xml:space="preserve">deuda y la habilitación de la inscripción en el Registro del Mercado de Valores; b) por el plazo de tramitación que requieran los Fondos de Ahorros Previsionales ante el BCU para la emisión por tramos; c) por el plazo de 15 días a partir de la fecha en que el BCU autorice la emisión de la deuda y habilite la inscripción en el Registro de Mercado de Valores, siempre que el contratista actúe diligentemente cumpliendo con el BCU en los plazos razonables de presentación de información a dicha </w:t>
      </w:r>
      <w:r w:rsidRPr="00564C41">
        <w:rPr>
          <w:rFonts w:ascii="Arial" w:hAnsi="Arial" w:cs="Arial"/>
          <w:sz w:val="20"/>
          <w:szCs w:val="24"/>
        </w:rPr>
        <w:t>Autoridad</w:t>
      </w:r>
      <w:r w:rsidR="00B64AE9" w:rsidRPr="00564C41">
        <w:rPr>
          <w:rFonts w:ascii="Arial" w:hAnsi="Arial" w:cs="Arial"/>
          <w:sz w:val="20"/>
          <w:szCs w:val="24"/>
        </w:rPr>
        <w:t xml:space="preserve">; d) según lo establecido </w:t>
      </w:r>
      <w:r w:rsidR="0078329F" w:rsidRPr="00564C41">
        <w:rPr>
          <w:rFonts w:ascii="Arial" w:hAnsi="Arial" w:cs="Arial"/>
          <w:sz w:val="20"/>
          <w:szCs w:val="24"/>
        </w:rPr>
        <w:t xml:space="preserve">para los permisos ambientales </w:t>
      </w:r>
      <w:r w:rsidR="00B64AE9" w:rsidRPr="00564C41">
        <w:rPr>
          <w:rFonts w:ascii="Arial" w:hAnsi="Arial" w:cs="Arial"/>
          <w:sz w:val="20"/>
          <w:szCs w:val="24"/>
        </w:rPr>
        <w:t>en la Cláusula 62 del presente pliego</w:t>
      </w:r>
      <w:r w:rsidRPr="00564C41">
        <w:rPr>
          <w:rFonts w:ascii="Arial" w:hAnsi="Arial" w:cs="Arial"/>
          <w:sz w:val="20"/>
          <w:szCs w:val="24"/>
        </w:rPr>
        <w:t>.</w:t>
      </w:r>
    </w:p>
    <w:p w14:paraId="17E94A78" w14:textId="77777777" w:rsidR="00AF19AE" w:rsidRPr="006F223D" w:rsidRDefault="00A3029F" w:rsidP="006F223D">
      <w:pPr>
        <w:jc w:val="both"/>
        <w:rPr>
          <w:rFonts w:ascii="Arial" w:hAnsi="Arial" w:cs="Arial"/>
          <w:sz w:val="20"/>
          <w:szCs w:val="20"/>
        </w:rPr>
      </w:pPr>
      <w:r w:rsidRPr="00E2664E">
        <w:rPr>
          <w:rFonts w:ascii="Arial" w:hAnsi="Arial" w:cs="Arial"/>
          <w:sz w:val="20"/>
          <w:szCs w:val="20"/>
        </w:rPr>
        <w:t>j) La obligación de informar si se produce una ocupación del área de servicio de la carretera.</w:t>
      </w:r>
    </w:p>
    <w:p w14:paraId="6BDAAC91" w14:textId="77777777" w:rsidR="00397089" w:rsidRPr="003F13BA" w:rsidRDefault="00397089" w:rsidP="00397089">
      <w:pPr>
        <w:jc w:val="both"/>
        <w:rPr>
          <w:rFonts w:ascii="Arial" w:hAnsi="Arial" w:cs="Arial"/>
          <w:sz w:val="20"/>
          <w:szCs w:val="24"/>
        </w:rPr>
      </w:pPr>
      <w:r w:rsidRPr="003F13BA">
        <w:rPr>
          <w:rFonts w:ascii="Arial" w:hAnsi="Arial" w:cs="Arial"/>
          <w:sz w:val="20"/>
          <w:szCs w:val="24"/>
        </w:rPr>
        <w:t>k) Cambios en la normativa técnica, medioambiental, de accesibilidad y eliminación de barreras y de seguridad de los usuarios, siempre que sean de aplicación en forma general; o siempre que no afecten de manera exclusiva a este proyecto.</w:t>
      </w:r>
    </w:p>
    <w:p w14:paraId="3F1B21C0" w14:textId="0146F1EA" w:rsidR="00966499" w:rsidRDefault="00966499" w:rsidP="006F223D">
      <w:pPr>
        <w:jc w:val="both"/>
        <w:rPr>
          <w:rFonts w:ascii="Arial" w:hAnsi="Arial" w:cs="Arial"/>
          <w:sz w:val="20"/>
          <w:szCs w:val="24"/>
        </w:rPr>
      </w:pPr>
      <w:r w:rsidRPr="00966499">
        <w:rPr>
          <w:rFonts w:ascii="Arial" w:hAnsi="Arial" w:cs="Arial"/>
          <w:sz w:val="20"/>
          <w:szCs w:val="24"/>
        </w:rPr>
        <w:t xml:space="preserve">No </w:t>
      </w:r>
      <w:r w:rsidRPr="0022041F">
        <w:rPr>
          <w:rFonts w:ascii="Arial" w:hAnsi="Arial" w:cs="Arial"/>
          <w:sz w:val="20"/>
          <w:szCs w:val="24"/>
        </w:rPr>
        <w:t>se considerará riesgo del contratista el riesgo arqueológico</w:t>
      </w:r>
      <w:r w:rsidR="003D5BDD" w:rsidRPr="0022041F">
        <w:rPr>
          <w:rFonts w:ascii="Arial" w:hAnsi="Arial" w:cs="Arial"/>
          <w:sz w:val="20"/>
          <w:szCs w:val="24"/>
        </w:rPr>
        <w:t>, obras de arte, monedas, antigüedades u otros objetos de similares características, asì como descubrimientos paleontológicos</w:t>
      </w:r>
      <w:r w:rsidRPr="0022041F">
        <w:rPr>
          <w:rFonts w:ascii="Arial" w:hAnsi="Arial" w:cs="Arial"/>
          <w:sz w:val="20"/>
          <w:szCs w:val="24"/>
        </w:rPr>
        <w:t>.</w:t>
      </w:r>
    </w:p>
    <w:p w14:paraId="0EEA8BF5" w14:textId="77777777" w:rsidR="00397089" w:rsidRDefault="003F13BA" w:rsidP="006F223D">
      <w:pPr>
        <w:jc w:val="both"/>
        <w:rPr>
          <w:rFonts w:ascii="Arial" w:hAnsi="Arial" w:cs="Arial"/>
          <w:sz w:val="20"/>
          <w:szCs w:val="24"/>
        </w:rPr>
      </w:pPr>
      <w:r w:rsidRPr="003F13BA">
        <w:rPr>
          <w:rFonts w:ascii="Arial" w:hAnsi="Arial" w:cs="Arial"/>
          <w:sz w:val="20"/>
          <w:szCs w:val="24"/>
        </w:rPr>
        <w:t xml:space="preserve">El Estado otorgará un tratamiento justo a las inversiones, comprometiéndose a no perjudicar su instalación, gestión, mantenimiento, </w:t>
      </w:r>
      <w:r w:rsidRPr="003F13BA">
        <w:rPr>
          <w:rFonts w:ascii="Arial" w:hAnsi="Arial" w:cs="Arial"/>
          <w:sz w:val="20"/>
          <w:szCs w:val="24"/>
        </w:rPr>
        <w:lastRenderedPageBreak/>
        <w:t>uso, goce o disposición a través de medidas injustificadas o discriminatorias.</w:t>
      </w:r>
    </w:p>
    <w:p w14:paraId="5707FB3D" w14:textId="77777777" w:rsidR="00397089" w:rsidRPr="003F13BA" w:rsidRDefault="00397089" w:rsidP="006F223D">
      <w:pPr>
        <w:jc w:val="both"/>
        <w:rPr>
          <w:rFonts w:ascii="Arial" w:hAnsi="Arial" w:cs="Arial"/>
          <w:sz w:val="20"/>
          <w:szCs w:val="24"/>
        </w:rPr>
      </w:pPr>
    </w:p>
    <w:p w14:paraId="683E26B4" w14:textId="77777777" w:rsidR="00A3029F" w:rsidRPr="00E2664E" w:rsidRDefault="00A3029F" w:rsidP="009A58E0">
      <w:pPr>
        <w:pStyle w:val="T1"/>
        <w:numPr>
          <w:ilvl w:val="0"/>
          <w:numId w:val="90"/>
        </w:numPr>
        <w:outlineLvl w:val="2"/>
      </w:pPr>
      <w:bookmarkStart w:id="294" w:name="_Toc340671881"/>
      <w:bookmarkStart w:id="295" w:name="_Toc358821518"/>
      <w:bookmarkStart w:id="296" w:name="_Toc400622255"/>
      <w:bookmarkStart w:id="297" w:name="_Toc400629106"/>
      <w:bookmarkStart w:id="298" w:name="_Toc400634018"/>
      <w:bookmarkStart w:id="299" w:name="_Toc400635141"/>
      <w:bookmarkStart w:id="300" w:name="_Toc468288009"/>
      <w:bookmarkStart w:id="301" w:name="_Toc496266602"/>
      <w:bookmarkStart w:id="302" w:name="Lit_28"/>
      <w:r w:rsidRPr="00E2664E">
        <w:t>PUESTA A DISPOSICIÓN DE LA ZONA DE OBRA</w:t>
      </w:r>
      <w:bookmarkEnd w:id="294"/>
      <w:bookmarkEnd w:id="295"/>
      <w:bookmarkEnd w:id="296"/>
      <w:bookmarkEnd w:id="297"/>
      <w:bookmarkEnd w:id="298"/>
      <w:bookmarkEnd w:id="299"/>
      <w:bookmarkEnd w:id="300"/>
      <w:bookmarkEnd w:id="301"/>
    </w:p>
    <w:bookmarkEnd w:id="302"/>
    <w:p w14:paraId="335FB589" w14:textId="77777777" w:rsidR="00F241A9" w:rsidRPr="00F241A9" w:rsidRDefault="00F241A9" w:rsidP="00707A7F">
      <w:pPr>
        <w:autoSpaceDE w:val="0"/>
        <w:autoSpaceDN w:val="0"/>
        <w:adjustRightInd w:val="0"/>
        <w:spacing w:after="120"/>
        <w:ind w:left="57" w:hanging="57"/>
        <w:jc w:val="both"/>
        <w:rPr>
          <w:rFonts w:ascii="Arial" w:hAnsi="Arial" w:cs="Arial"/>
          <w:sz w:val="20"/>
          <w:szCs w:val="20"/>
          <w:lang w:val="es-UY"/>
        </w:rPr>
      </w:pPr>
      <w:r w:rsidRPr="00F241A9">
        <w:rPr>
          <w:rFonts w:ascii="Arial" w:hAnsi="Arial" w:cs="Arial"/>
          <w:sz w:val="20"/>
          <w:szCs w:val="20"/>
          <w:lang w:val="es-UY"/>
        </w:rPr>
        <w:t>La Contratante pondrá a disposición del Contratista la zona de obra necesaria para la ejecución de las obras y cumplimiento de las prestaciones incluidas en el objeto del contrato.</w:t>
      </w:r>
    </w:p>
    <w:p w14:paraId="79C4230E" w14:textId="77777777" w:rsidR="00F241A9" w:rsidRPr="00F241A9" w:rsidRDefault="00F241A9" w:rsidP="00F241A9">
      <w:pPr>
        <w:autoSpaceDE w:val="0"/>
        <w:autoSpaceDN w:val="0"/>
        <w:adjustRightInd w:val="0"/>
        <w:spacing w:after="120"/>
        <w:jc w:val="both"/>
        <w:rPr>
          <w:rFonts w:ascii="Arial" w:hAnsi="Arial" w:cs="Arial"/>
          <w:sz w:val="20"/>
          <w:szCs w:val="20"/>
          <w:lang w:val="es-UY"/>
        </w:rPr>
      </w:pPr>
      <w:r w:rsidRPr="00F241A9">
        <w:rPr>
          <w:rFonts w:ascii="Arial" w:hAnsi="Arial" w:cs="Arial"/>
          <w:sz w:val="20"/>
          <w:szCs w:val="20"/>
          <w:lang w:val="es-UY"/>
        </w:rPr>
        <w:t xml:space="preserve">El Contratista recibirá y tomará posesión de la zona de obra una vez que ambas partes hayan firmado el Acta de toma de posesión y la Contratante haya puesto la zona a disposición. El plazo máximo para la firma del Acta será de 7 (siete) días calendario contados desde el siguiente a la firma del contrato. </w:t>
      </w:r>
    </w:p>
    <w:p w14:paraId="249B0BE5" w14:textId="77777777" w:rsidR="00E61CFA" w:rsidRPr="00F241A9" w:rsidRDefault="00E61CFA" w:rsidP="00E61CFA">
      <w:pPr>
        <w:autoSpaceDE w:val="0"/>
        <w:autoSpaceDN w:val="0"/>
        <w:adjustRightInd w:val="0"/>
        <w:spacing w:after="120"/>
        <w:jc w:val="both"/>
        <w:rPr>
          <w:rFonts w:ascii="Arial" w:hAnsi="Arial" w:cs="Arial"/>
          <w:sz w:val="20"/>
          <w:szCs w:val="20"/>
          <w:lang w:val="es-UY"/>
        </w:rPr>
      </w:pPr>
      <w:r w:rsidRPr="00E61CFA">
        <w:rPr>
          <w:rFonts w:ascii="Arial" w:hAnsi="Arial" w:cs="Arial"/>
          <w:sz w:val="20"/>
          <w:szCs w:val="20"/>
          <w:lang w:val="es-UY"/>
        </w:rPr>
        <w:t>En lo que refiere específicamente a la construcción del tramo By Pass de San Ramón y todos los tramos y/o sub tramos que requieran expropiaciones la Contratante realizará las expropiaciones que correspondan en un plazo de 210 días contados a partir de la aprobación de la traza del proyecto ejecutivo y esos serán los plazos máximo para la puesta a disposición de las parcelas expropiadas.</w:t>
      </w:r>
      <w:r w:rsidRPr="00F241A9">
        <w:rPr>
          <w:rFonts w:ascii="Arial" w:hAnsi="Arial" w:cs="Arial"/>
          <w:sz w:val="20"/>
          <w:szCs w:val="20"/>
          <w:lang w:val="es-UY"/>
        </w:rPr>
        <w:t xml:space="preserve"> </w:t>
      </w:r>
    </w:p>
    <w:p w14:paraId="326B60B4" w14:textId="77777777" w:rsidR="00F241A9" w:rsidRPr="00E61CFA" w:rsidRDefault="00F241A9" w:rsidP="00F241A9">
      <w:pPr>
        <w:autoSpaceDE w:val="0"/>
        <w:autoSpaceDN w:val="0"/>
        <w:adjustRightInd w:val="0"/>
        <w:spacing w:after="120"/>
        <w:jc w:val="both"/>
        <w:rPr>
          <w:rFonts w:ascii="Arial" w:hAnsi="Arial"/>
          <w:sz w:val="20"/>
          <w:lang w:val="es-UY"/>
        </w:rPr>
      </w:pPr>
      <w:r w:rsidRPr="00E61CFA">
        <w:rPr>
          <w:rFonts w:ascii="Arial" w:hAnsi="Arial"/>
          <w:sz w:val="20"/>
          <w:lang w:val="es-UY"/>
        </w:rPr>
        <w:t xml:space="preserve">Si como consecuencia de una demora en la entrega de las parcelas atribuible a la Administración se produjera una interferencia que </w:t>
      </w:r>
      <w:r w:rsidRPr="00E61CFA">
        <w:rPr>
          <w:rFonts w:ascii="Arial" w:hAnsi="Arial"/>
          <w:sz w:val="20"/>
          <w:lang w:val="es-UY"/>
        </w:rPr>
        <w:lastRenderedPageBreak/>
        <w:t>afectara el desarrollo del cronograma previsto en la tabla C.XI-5 los plazos de entrega parcial y total de los tramos  se ajustarán en función de la fecha en que las parcelas sean realmente entregadas al Contratista.</w:t>
      </w:r>
    </w:p>
    <w:p w14:paraId="5C69A9F0" w14:textId="77777777" w:rsidR="00F241A9" w:rsidRPr="00F241A9" w:rsidRDefault="00F241A9" w:rsidP="00F241A9">
      <w:pPr>
        <w:autoSpaceDE w:val="0"/>
        <w:autoSpaceDN w:val="0"/>
        <w:adjustRightInd w:val="0"/>
        <w:spacing w:after="120"/>
        <w:jc w:val="both"/>
        <w:rPr>
          <w:rFonts w:ascii="Arial" w:hAnsi="Arial" w:cs="Arial"/>
          <w:sz w:val="20"/>
          <w:szCs w:val="20"/>
          <w:lang w:val="es-UY"/>
        </w:rPr>
      </w:pPr>
      <w:r w:rsidRPr="00E61CFA">
        <w:rPr>
          <w:rFonts w:ascii="Arial" w:hAnsi="Arial"/>
          <w:sz w:val="20"/>
          <w:lang w:val="es-UY"/>
        </w:rPr>
        <w:t>A los efectos de la contabilización de los plazos se tomarán en consideración sub tramos con una longitud mayor a dos kilómetros consecutivos.</w:t>
      </w:r>
    </w:p>
    <w:p w14:paraId="5CA94024" w14:textId="77777777" w:rsidR="00A3029F" w:rsidRDefault="00F241A9" w:rsidP="00012C12">
      <w:pPr>
        <w:shd w:val="clear" w:color="auto" w:fill="FFFFFF" w:themeFill="background1"/>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F241A9">
        <w:rPr>
          <w:rFonts w:ascii="Arial" w:hAnsi="Arial" w:cs="Arial"/>
          <w:sz w:val="20"/>
          <w:szCs w:val="20"/>
          <w:lang w:val="es-UY"/>
        </w:rPr>
        <w:t xml:space="preserve">Si la Contratante no pone a disposición del Contratista la zona de obra de un tramo o sub tramo en el plazo previsto se suspenderá la contabilización de los plazos de ese tramo o sub tramo hasta que se ponga a disposición la zona de obra. </w:t>
      </w:r>
      <w:r w:rsidRPr="00E61CFA">
        <w:rPr>
          <w:rFonts w:ascii="Arial" w:hAnsi="Arial"/>
          <w:sz w:val="20"/>
          <w:lang w:val="es-UY"/>
        </w:rPr>
        <w:t>El Contratista asumirá los perjuicios o recibirá los beneficios que puedan resultar de las situaciones mencionadas precedentemente, según corresponda.</w:t>
      </w:r>
      <w:r w:rsidR="005A6470" w:rsidRPr="00E61CFA">
        <w:rPr>
          <w:rFonts w:ascii="Arial" w:hAnsi="Arial"/>
          <w:sz w:val="20"/>
          <w:lang w:val="es-UY"/>
        </w:rPr>
        <w:t>.</w:t>
      </w:r>
    </w:p>
    <w:p w14:paraId="640E8AC1" w14:textId="77777777" w:rsidR="006F223D" w:rsidRPr="00E2664E" w:rsidRDefault="006F223D" w:rsidP="00012C12">
      <w:pPr>
        <w:shd w:val="clear" w:color="auto" w:fill="FFFFFF" w:themeFill="background1"/>
        <w:tabs>
          <w:tab w:val="left" w:pos="0"/>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p>
    <w:p w14:paraId="1CEDFA9D" w14:textId="77777777" w:rsidR="006F223D" w:rsidRPr="00E2664E" w:rsidRDefault="00A3029F" w:rsidP="009A58E0">
      <w:pPr>
        <w:pStyle w:val="T1"/>
        <w:numPr>
          <w:ilvl w:val="0"/>
          <w:numId w:val="90"/>
        </w:numPr>
        <w:outlineLvl w:val="2"/>
      </w:pPr>
      <w:bookmarkStart w:id="303" w:name="_Toc340671882"/>
      <w:bookmarkStart w:id="304" w:name="_Toc358821519"/>
      <w:bookmarkStart w:id="305" w:name="_Toc400622256"/>
      <w:bookmarkStart w:id="306" w:name="_Toc400629107"/>
      <w:bookmarkStart w:id="307" w:name="_Toc400634019"/>
      <w:bookmarkStart w:id="308" w:name="_Toc400635142"/>
      <w:bookmarkStart w:id="309" w:name="_Toc468288010"/>
      <w:bookmarkStart w:id="310" w:name="_Toc496266603"/>
      <w:bookmarkStart w:id="311" w:name="Lit_29"/>
      <w:r w:rsidRPr="00E2664E">
        <w:t>EXPROPIACIONES</w:t>
      </w:r>
      <w:bookmarkEnd w:id="303"/>
      <w:bookmarkEnd w:id="304"/>
      <w:bookmarkEnd w:id="305"/>
      <w:bookmarkEnd w:id="306"/>
      <w:bookmarkEnd w:id="307"/>
      <w:bookmarkEnd w:id="308"/>
      <w:bookmarkEnd w:id="309"/>
      <w:bookmarkEnd w:id="310"/>
    </w:p>
    <w:bookmarkEnd w:id="311"/>
    <w:p w14:paraId="70B40D1C" w14:textId="77777777" w:rsidR="009643B8" w:rsidRDefault="00F241A9" w:rsidP="00CC6497">
      <w:pPr>
        <w:autoSpaceDE w:val="0"/>
        <w:autoSpaceDN w:val="0"/>
        <w:adjustRightInd w:val="0"/>
        <w:spacing w:after="120"/>
        <w:jc w:val="both"/>
        <w:rPr>
          <w:rFonts w:ascii="Arial" w:hAnsi="Arial" w:cs="Arial"/>
          <w:sz w:val="20"/>
          <w:szCs w:val="20"/>
          <w:lang w:val="es-UY"/>
        </w:rPr>
      </w:pPr>
      <w:r w:rsidRPr="00F241A9">
        <w:rPr>
          <w:rFonts w:ascii="Arial" w:hAnsi="Arial" w:cs="Arial"/>
          <w:sz w:val="20"/>
          <w:szCs w:val="20"/>
          <w:lang w:val="es-UY"/>
        </w:rPr>
        <w:t xml:space="preserve">La ejecución y pago de las indemnizaciones de todas las expropiaciones necesarias para las obras será responsabilidad de la Contratante excepto aquellos casos de expropiaciones no previstas en la traza aprobada y que sean propuestas con posterioridad por el Contratista quien asumirá en ese caso la totalidad de los </w:t>
      </w:r>
      <w:r w:rsidRPr="00F241A9">
        <w:rPr>
          <w:rFonts w:ascii="Arial" w:hAnsi="Arial" w:cs="Arial"/>
          <w:sz w:val="20"/>
          <w:szCs w:val="20"/>
          <w:lang w:val="es-UY"/>
        </w:rPr>
        <w:lastRenderedPageBreak/>
        <w:t>costos y los riesgos derivados en caso de incumplimiento de plazos.</w:t>
      </w:r>
      <w:r w:rsidR="00A3029F" w:rsidRPr="00E2664E">
        <w:rPr>
          <w:rFonts w:ascii="Arial" w:hAnsi="Arial" w:cs="Arial"/>
          <w:sz w:val="20"/>
          <w:szCs w:val="20"/>
          <w:lang w:val="es-UY"/>
        </w:rPr>
        <w:t xml:space="preserve"> </w:t>
      </w:r>
    </w:p>
    <w:p w14:paraId="4667CE3A" w14:textId="77777777" w:rsidR="006F223D" w:rsidRPr="00E2664E" w:rsidRDefault="006F223D" w:rsidP="00CC6497">
      <w:pPr>
        <w:autoSpaceDE w:val="0"/>
        <w:autoSpaceDN w:val="0"/>
        <w:adjustRightInd w:val="0"/>
        <w:spacing w:after="120"/>
        <w:jc w:val="both"/>
        <w:rPr>
          <w:rFonts w:ascii="Arial" w:hAnsi="Arial" w:cs="Arial"/>
          <w:sz w:val="20"/>
          <w:szCs w:val="20"/>
          <w:lang w:val="es-UY"/>
        </w:rPr>
      </w:pPr>
    </w:p>
    <w:p w14:paraId="175F6602" w14:textId="77777777" w:rsidR="00A3029F" w:rsidRPr="00E2664E" w:rsidRDefault="00A3029F" w:rsidP="009A58E0">
      <w:pPr>
        <w:pStyle w:val="T1"/>
        <w:numPr>
          <w:ilvl w:val="0"/>
          <w:numId w:val="90"/>
        </w:numPr>
        <w:outlineLvl w:val="2"/>
      </w:pPr>
      <w:bookmarkStart w:id="312" w:name="_Toc340671883"/>
      <w:bookmarkStart w:id="313" w:name="_Toc358821520"/>
      <w:bookmarkStart w:id="314" w:name="_Toc400622257"/>
      <w:bookmarkStart w:id="315" w:name="_Toc400629108"/>
      <w:bookmarkStart w:id="316" w:name="_Toc400634020"/>
      <w:bookmarkStart w:id="317" w:name="_Toc400635143"/>
      <w:bookmarkStart w:id="318" w:name="_Toc468288011"/>
      <w:bookmarkStart w:id="319" w:name="_Toc496266604"/>
      <w:bookmarkStart w:id="320" w:name="Lit_30"/>
      <w:r w:rsidRPr="00E2664E">
        <w:t>PERMISOS Y AUTORIZACIONES</w:t>
      </w:r>
      <w:bookmarkEnd w:id="312"/>
      <w:bookmarkEnd w:id="313"/>
      <w:bookmarkEnd w:id="314"/>
      <w:bookmarkEnd w:id="315"/>
      <w:bookmarkEnd w:id="316"/>
      <w:bookmarkEnd w:id="317"/>
      <w:bookmarkEnd w:id="318"/>
      <w:bookmarkEnd w:id="319"/>
    </w:p>
    <w:bookmarkEnd w:id="320"/>
    <w:p w14:paraId="41D91386"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El Contratista estará obligado a solicitar</w:t>
      </w:r>
      <w:r>
        <w:rPr>
          <w:rFonts w:ascii="Arial" w:hAnsi="Arial" w:cs="Arial"/>
          <w:sz w:val="20"/>
          <w:szCs w:val="20"/>
          <w:lang w:val="es-UY"/>
        </w:rPr>
        <w:t>, y asumir los costos, de</w:t>
      </w:r>
      <w:r w:rsidRPr="00E2664E">
        <w:rPr>
          <w:rFonts w:ascii="Arial" w:hAnsi="Arial" w:cs="Arial"/>
          <w:sz w:val="20"/>
          <w:szCs w:val="20"/>
          <w:lang w:val="es-UY"/>
        </w:rPr>
        <w:t xml:space="preserve"> las licencias y autorizaciones administrativas que le correspondan, de cualquier organismo público o privado y que sean necesarias para la iniciación y ejecución de las obras, así como de la realización de cada una de las prestaciones incluidas en el objeto del contrato.</w:t>
      </w:r>
    </w:p>
    <w:p w14:paraId="3FCEC961" w14:textId="77777777" w:rsidR="009643B8" w:rsidRPr="00E2664E" w:rsidRDefault="009643B8" w:rsidP="00CC6497">
      <w:pPr>
        <w:autoSpaceDE w:val="0"/>
        <w:autoSpaceDN w:val="0"/>
        <w:adjustRightInd w:val="0"/>
        <w:spacing w:after="120"/>
        <w:jc w:val="both"/>
        <w:rPr>
          <w:rFonts w:ascii="Arial" w:hAnsi="Arial" w:cs="Arial"/>
          <w:sz w:val="20"/>
          <w:szCs w:val="20"/>
          <w:lang w:val="es-UY"/>
        </w:rPr>
      </w:pPr>
    </w:p>
    <w:p w14:paraId="7B1075F0" w14:textId="77777777" w:rsidR="00A3029F" w:rsidRPr="00E2664E" w:rsidRDefault="00A3029F" w:rsidP="009A58E0">
      <w:pPr>
        <w:pStyle w:val="T1"/>
        <w:numPr>
          <w:ilvl w:val="0"/>
          <w:numId w:val="90"/>
        </w:numPr>
        <w:outlineLvl w:val="2"/>
      </w:pPr>
      <w:bookmarkStart w:id="321" w:name="_Toc340671884"/>
      <w:bookmarkStart w:id="322" w:name="_Toc358821521"/>
      <w:bookmarkStart w:id="323" w:name="_Toc400622258"/>
      <w:bookmarkStart w:id="324" w:name="_Toc400629109"/>
      <w:bookmarkStart w:id="325" w:name="_Toc400634021"/>
      <w:bookmarkStart w:id="326" w:name="_Toc400635144"/>
      <w:bookmarkStart w:id="327" w:name="_Toc468288012"/>
      <w:bookmarkStart w:id="328" w:name="_Toc496266605"/>
      <w:bookmarkStart w:id="329" w:name="Lit_31"/>
      <w:r w:rsidRPr="00E2664E">
        <w:t>OCUPANTES ILÍCITOS DE LA FAJA DE DOMINIO PÚBLICO Y “NON EDIFICANDI”</w:t>
      </w:r>
      <w:bookmarkEnd w:id="321"/>
      <w:bookmarkEnd w:id="322"/>
      <w:bookmarkEnd w:id="323"/>
      <w:bookmarkEnd w:id="324"/>
      <w:bookmarkEnd w:id="325"/>
      <w:bookmarkEnd w:id="326"/>
      <w:bookmarkEnd w:id="327"/>
      <w:bookmarkEnd w:id="328"/>
    </w:p>
    <w:bookmarkEnd w:id="329"/>
    <w:p w14:paraId="41896103"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s</w:t>
      </w:r>
      <w:r w:rsidR="002F2200">
        <w:rPr>
          <w:rFonts w:ascii="Arial" w:hAnsi="Arial" w:cs="Arial"/>
          <w:sz w:val="20"/>
          <w:szCs w:val="20"/>
          <w:lang w:val="es-UY"/>
        </w:rPr>
        <w:t>erá el responsable de velar por</w:t>
      </w:r>
      <w:r w:rsidRPr="00E2664E">
        <w:rPr>
          <w:rFonts w:ascii="Arial" w:hAnsi="Arial" w:cs="Arial"/>
          <w:sz w:val="20"/>
          <w:szCs w:val="20"/>
          <w:lang w:val="es-UY"/>
        </w:rPr>
        <w:t>que no exista ningún tipo de ocupantes ilícitos en la faja de dominio público, como asentamientos, animales pastoreando, avisos publicitarios, emprendimientos comerciales o de cualquier otra clase no desti</w:t>
      </w:r>
      <w:r w:rsidR="00E91E69">
        <w:rPr>
          <w:rFonts w:ascii="Arial" w:hAnsi="Arial" w:cs="Arial"/>
          <w:sz w:val="20"/>
          <w:szCs w:val="20"/>
          <w:lang w:val="es-UY"/>
        </w:rPr>
        <w:t>nados al objeto de la carretera;</w:t>
      </w:r>
      <w:r w:rsidR="00962335">
        <w:rPr>
          <w:rFonts w:ascii="Arial" w:hAnsi="Arial" w:cs="Arial"/>
          <w:sz w:val="20"/>
          <w:szCs w:val="20"/>
          <w:lang w:val="es-UY"/>
        </w:rPr>
        <w:t xml:space="preserve"> </w:t>
      </w:r>
      <w:r w:rsidR="00E91E69" w:rsidRPr="00143F4A">
        <w:rPr>
          <w:rFonts w:ascii="Arial" w:hAnsi="Arial" w:cs="Arial"/>
          <w:sz w:val="20"/>
          <w:szCs w:val="20"/>
          <w:lang w:val="es-UY"/>
        </w:rPr>
        <w:t>d</w:t>
      </w:r>
      <w:r w:rsidR="00962335" w:rsidRPr="00143F4A">
        <w:rPr>
          <w:rFonts w:ascii="Arial" w:hAnsi="Arial" w:cs="Arial"/>
          <w:sz w:val="20"/>
          <w:szCs w:val="20"/>
          <w:lang w:val="es-UY"/>
        </w:rPr>
        <w:t>ebiendo denunciarlo a la Contratante en un plazo máximo de 8 horas.</w:t>
      </w:r>
    </w:p>
    <w:p w14:paraId="4E5B8E6D"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lastRenderedPageBreak/>
        <w:t>Dentro de los límites del circuito el Contratista</w:t>
      </w:r>
      <w:r w:rsidR="00B14DCC">
        <w:rPr>
          <w:rFonts w:ascii="Arial" w:hAnsi="Arial" w:cs="Arial"/>
          <w:sz w:val="20"/>
          <w:szCs w:val="20"/>
          <w:lang w:val="es-UY"/>
        </w:rPr>
        <w:t xml:space="preserve"> </w:t>
      </w:r>
      <w:r w:rsidRPr="00E2664E">
        <w:rPr>
          <w:rFonts w:ascii="Arial" w:hAnsi="Arial" w:cs="Arial"/>
          <w:sz w:val="20"/>
          <w:szCs w:val="20"/>
          <w:lang w:val="es-UY"/>
        </w:rPr>
        <w:t>actuará de acuerdo con las competencias establecidas para la Contratante en cuanto al Reglamento de Circulación Vial, el Reglamento de Colocación de Avisos Visibles en Rutas Nacionales y toda otra legislación complementaria.</w:t>
      </w:r>
    </w:p>
    <w:p w14:paraId="2973B960" w14:textId="77777777" w:rsidR="00A3029F"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relación a las líneas de servicios públicos, el Contratista</w:t>
      </w:r>
      <w:r w:rsidR="00B14DCC">
        <w:rPr>
          <w:rFonts w:ascii="Arial" w:hAnsi="Arial" w:cs="Arial"/>
          <w:sz w:val="20"/>
          <w:szCs w:val="20"/>
          <w:lang w:val="es-UY"/>
        </w:rPr>
        <w:t xml:space="preserve"> </w:t>
      </w:r>
      <w:r w:rsidRPr="00E2664E">
        <w:rPr>
          <w:rFonts w:ascii="Arial" w:hAnsi="Arial" w:cs="Arial"/>
          <w:sz w:val="20"/>
          <w:szCs w:val="20"/>
          <w:lang w:val="es-UY"/>
        </w:rPr>
        <w:t>deberá velar por que no se instale ninguna nueva línea en la faja pública sin la debida autorización de la Contratante, debiendo denunciar</w:t>
      </w:r>
      <w:r w:rsidR="00143F4A">
        <w:rPr>
          <w:rFonts w:ascii="Arial" w:hAnsi="Arial" w:cs="Arial"/>
          <w:sz w:val="20"/>
          <w:szCs w:val="20"/>
          <w:lang w:val="es-UY"/>
        </w:rPr>
        <w:t>lo</w:t>
      </w:r>
      <w:r w:rsidRPr="00E2664E">
        <w:rPr>
          <w:rFonts w:ascii="Arial" w:hAnsi="Arial" w:cs="Arial"/>
          <w:sz w:val="20"/>
          <w:szCs w:val="20"/>
          <w:lang w:val="es-UY"/>
        </w:rPr>
        <w:t xml:space="preserve"> a ésta inmediatamente</w:t>
      </w:r>
      <w:r>
        <w:rPr>
          <w:rFonts w:ascii="Arial" w:hAnsi="Arial" w:cs="Arial"/>
          <w:sz w:val="20"/>
          <w:szCs w:val="20"/>
          <w:lang w:val="es-UY"/>
        </w:rPr>
        <w:t xml:space="preserve"> en un plazo de 24 horas</w:t>
      </w:r>
      <w:r w:rsidRPr="00E2664E">
        <w:rPr>
          <w:rFonts w:ascii="Arial" w:hAnsi="Arial" w:cs="Arial"/>
          <w:sz w:val="20"/>
          <w:szCs w:val="20"/>
          <w:lang w:val="es-UY"/>
        </w:rPr>
        <w:t xml:space="preserve">. </w:t>
      </w:r>
    </w:p>
    <w:p w14:paraId="579B602E" w14:textId="77777777" w:rsidR="00A03D4B" w:rsidRPr="00A03D4B" w:rsidRDefault="00A03D4B" w:rsidP="00A03D4B">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143F4A">
        <w:rPr>
          <w:rFonts w:ascii="Arial" w:hAnsi="Arial" w:cs="Arial"/>
          <w:sz w:val="20"/>
          <w:szCs w:val="20"/>
          <w:lang w:val="es-UY"/>
        </w:rPr>
        <w:t xml:space="preserve">En relación a los accesos de los predios a la faja </w:t>
      </w:r>
      <w:r w:rsidR="00143F4A" w:rsidRPr="00143F4A">
        <w:rPr>
          <w:rFonts w:ascii="Arial" w:hAnsi="Arial" w:cs="Arial"/>
          <w:sz w:val="20"/>
          <w:szCs w:val="20"/>
          <w:lang w:val="es-UY"/>
        </w:rPr>
        <w:t>pública</w:t>
      </w:r>
      <w:r w:rsidRPr="00143F4A">
        <w:rPr>
          <w:rFonts w:ascii="Arial" w:hAnsi="Arial" w:cs="Arial"/>
          <w:sz w:val="20"/>
          <w:szCs w:val="20"/>
          <w:lang w:val="es-UY"/>
        </w:rPr>
        <w:t>, el Contratista deberá velar porq</w:t>
      </w:r>
      <w:r w:rsidR="00FA1166" w:rsidRPr="00143F4A">
        <w:rPr>
          <w:rFonts w:ascii="Arial" w:hAnsi="Arial" w:cs="Arial"/>
          <w:sz w:val="20"/>
          <w:szCs w:val="20"/>
          <w:lang w:val="es-UY"/>
        </w:rPr>
        <w:t>ue</w:t>
      </w:r>
      <w:r w:rsidRPr="00143F4A">
        <w:rPr>
          <w:rFonts w:ascii="Arial" w:hAnsi="Arial" w:cs="Arial"/>
          <w:sz w:val="20"/>
          <w:szCs w:val="20"/>
          <w:lang w:val="es-UY"/>
        </w:rPr>
        <w:t xml:space="preserve"> no se construya ningún acceso,</w:t>
      </w:r>
      <w:r w:rsidR="00B14DCC" w:rsidRPr="00143F4A">
        <w:rPr>
          <w:rFonts w:ascii="Arial" w:hAnsi="Arial" w:cs="Arial"/>
          <w:sz w:val="20"/>
          <w:szCs w:val="20"/>
          <w:lang w:val="es-UY"/>
        </w:rPr>
        <w:t xml:space="preserve"> </w:t>
      </w:r>
      <w:r w:rsidRPr="00143F4A">
        <w:rPr>
          <w:rFonts w:ascii="Arial" w:hAnsi="Arial" w:cs="Arial"/>
          <w:sz w:val="20"/>
          <w:szCs w:val="20"/>
          <w:lang w:val="es-UY"/>
        </w:rPr>
        <w:t>sin la debida autorización de la Contratante, debiendo denunciar</w:t>
      </w:r>
      <w:r w:rsidR="00143F4A" w:rsidRPr="00143F4A">
        <w:rPr>
          <w:rFonts w:ascii="Arial" w:hAnsi="Arial" w:cs="Arial"/>
          <w:sz w:val="20"/>
          <w:szCs w:val="20"/>
          <w:lang w:val="es-UY"/>
        </w:rPr>
        <w:t>lo</w:t>
      </w:r>
      <w:r w:rsidRPr="00143F4A">
        <w:rPr>
          <w:rFonts w:ascii="Arial" w:hAnsi="Arial" w:cs="Arial"/>
          <w:sz w:val="20"/>
          <w:szCs w:val="20"/>
          <w:lang w:val="es-UY"/>
        </w:rPr>
        <w:t xml:space="preserve"> a ésta inmediatamente en un plazo de 24 horas.</w:t>
      </w:r>
      <w:r w:rsidRPr="00A03D4B">
        <w:rPr>
          <w:rFonts w:ascii="Arial" w:hAnsi="Arial" w:cs="Arial"/>
          <w:sz w:val="20"/>
          <w:szCs w:val="20"/>
          <w:lang w:val="es-UY"/>
        </w:rPr>
        <w:t xml:space="preserve"> </w:t>
      </w:r>
    </w:p>
    <w:p w14:paraId="7EC5A969" w14:textId="77777777" w:rsidR="00A3029F" w:rsidRPr="00E2664E" w:rsidRDefault="00A3029F" w:rsidP="00CC6497">
      <w:pPr>
        <w:tabs>
          <w:tab w:val="left" w:pos="851"/>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En lo referente a los carteles de avisos visibles desde la ruta, colocados en la faja de dominio público, regirá lo establecido en el Reglamento de Colocación de Avisos Visibles desde Rutas Nacionales, siendo el Contratista</w:t>
      </w:r>
      <w:r w:rsidR="00B14DCC">
        <w:rPr>
          <w:rFonts w:ascii="Arial" w:hAnsi="Arial" w:cs="Arial"/>
          <w:sz w:val="20"/>
          <w:szCs w:val="20"/>
          <w:lang w:val="es-UY"/>
        </w:rPr>
        <w:t xml:space="preserve"> </w:t>
      </w:r>
      <w:r w:rsidRPr="00E2664E">
        <w:rPr>
          <w:rFonts w:ascii="Arial" w:hAnsi="Arial" w:cs="Arial"/>
          <w:sz w:val="20"/>
          <w:szCs w:val="20"/>
          <w:lang w:val="es-UY"/>
        </w:rPr>
        <w:t>el responsable de fiscalizar su cumplimiento.</w:t>
      </w:r>
    </w:p>
    <w:p w14:paraId="00012625" w14:textId="77777777" w:rsidR="00A3029F" w:rsidRPr="004A000B" w:rsidRDefault="007676AC"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Pr>
          <w:rFonts w:ascii="Arial" w:hAnsi="Arial" w:cs="Arial"/>
          <w:sz w:val="20"/>
          <w:szCs w:val="20"/>
          <w:lang w:val="es-UY"/>
        </w:rPr>
        <w:t>En cuanto a l</w:t>
      </w:r>
      <w:r w:rsidR="00A3029F" w:rsidRPr="00E2664E">
        <w:rPr>
          <w:rFonts w:ascii="Arial" w:hAnsi="Arial" w:cs="Arial"/>
          <w:sz w:val="20"/>
          <w:szCs w:val="20"/>
          <w:lang w:val="es-UY"/>
        </w:rPr>
        <w:t xml:space="preserve">a fiscalización del uso de la faja “non edificandi” por parte de los propietarios y de los avisos </w:t>
      </w:r>
      <w:r w:rsidR="00A3029F" w:rsidRPr="004A000B">
        <w:rPr>
          <w:rFonts w:ascii="Arial" w:hAnsi="Arial" w:cs="Arial"/>
          <w:sz w:val="20"/>
          <w:szCs w:val="20"/>
          <w:lang w:val="es-UY"/>
        </w:rPr>
        <w:t>visibles</w:t>
      </w:r>
      <w:r>
        <w:rPr>
          <w:rFonts w:ascii="Arial" w:hAnsi="Arial" w:cs="Arial"/>
          <w:sz w:val="20"/>
          <w:szCs w:val="20"/>
          <w:lang w:val="es-UY"/>
        </w:rPr>
        <w:t>,</w:t>
      </w:r>
      <w:r w:rsidR="00A3029F" w:rsidRPr="004A000B">
        <w:rPr>
          <w:rFonts w:ascii="Arial" w:hAnsi="Arial" w:cs="Arial"/>
          <w:sz w:val="20"/>
          <w:szCs w:val="20"/>
          <w:lang w:val="es-UY"/>
        </w:rPr>
        <w:t xml:space="preserve"> será el Contratista</w:t>
      </w:r>
      <w:r w:rsidR="00B14DCC" w:rsidRPr="004A000B">
        <w:rPr>
          <w:rFonts w:ascii="Arial" w:hAnsi="Arial" w:cs="Arial"/>
          <w:sz w:val="20"/>
          <w:szCs w:val="20"/>
          <w:lang w:val="es-UY"/>
        </w:rPr>
        <w:t xml:space="preserve"> </w:t>
      </w:r>
      <w:r w:rsidR="00A3029F" w:rsidRPr="004A000B">
        <w:rPr>
          <w:rFonts w:ascii="Arial" w:hAnsi="Arial" w:cs="Arial"/>
          <w:sz w:val="20"/>
          <w:szCs w:val="20"/>
          <w:lang w:val="es-UY"/>
        </w:rPr>
        <w:t xml:space="preserve">el responsable de efectuar los controles y denunciar por escrito a </w:t>
      </w:r>
      <w:r w:rsidR="00A3029F" w:rsidRPr="004A000B">
        <w:rPr>
          <w:rFonts w:ascii="Arial" w:hAnsi="Arial" w:cs="Arial"/>
          <w:sz w:val="20"/>
          <w:szCs w:val="20"/>
          <w:lang w:val="es-UY"/>
        </w:rPr>
        <w:lastRenderedPageBreak/>
        <w:t>la Contratante</w:t>
      </w:r>
      <w:r w:rsidR="00B14DCC" w:rsidRPr="004A000B">
        <w:rPr>
          <w:rFonts w:ascii="Arial" w:hAnsi="Arial" w:cs="Arial"/>
          <w:sz w:val="20"/>
          <w:szCs w:val="20"/>
          <w:lang w:val="es-UY"/>
        </w:rPr>
        <w:t xml:space="preserve"> </w:t>
      </w:r>
      <w:r w:rsidR="00962335" w:rsidRPr="004A000B">
        <w:rPr>
          <w:rFonts w:ascii="Arial" w:hAnsi="Arial" w:cs="Arial"/>
          <w:sz w:val="20"/>
          <w:szCs w:val="20"/>
          <w:lang w:val="es-UY"/>
        </w:rPr>
        <w:t xml:space="preserve">en un plazo máximo de 24 horas </w:t>
      </w:r>
      <w:r w:rsidR="00A3029F" w:rsidRPr="004A000B">
        <w:rPr>
          <w:rFonts w:ascii="Arial" w:hAnsi="Arial" w:cs="Arial"/>
          <w:sz w:val="20"/>
          <w:szCs w:val="20"/>
          <w:lang w:val="es-UY"/>
        </w:rPr>
        <w:t>los incumplimientos que surgieran durante la vigencia del contrato.</w:t>
      </w:r>
    </w:p>
    <w:p w14:paraId="47211CCD" w14:textId="77777777" w:rsidR="00A3029F" w:rsidRPr="004A000B"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4A000B">
        <w:rPr>
          <w:rFonts w:ascii="Arial" w:hAnsi="Arial" w:cs="Arial"/>
          <w:sz w:val="20"/>
          <w:szCs w:val="20"/>
          <w:lang w:val="es-UY"/>
        </w:rPr>
        <w:t>El Contratista</w:t>
      </w:r>
      <w:r w:rsidR="00B14DCC" w:rsidRPr="004A000B">
        <w:rPr>
          <w:rFonts w:ascii="Arial" w:hAnsi="Arial" w:cs="Arial"/>
          <w:sz w:val="20"/>
          <w:szCs w:val="20"/>
          <w:lang w:val="es-UY"/>
        </w:rPr>
        <w:t xml:space="preserve"> </w:t>
      </w:r>
      <w:r w:rsidRPr="004A000B">
        <w:rPr>
          <w:rFonts w:ascii="Arial" w:hAnsi="Arial" w:cs="Arial"/>
          <w:sz w:val="20"/>
          <w:szCs w:val="20"/>
          <w:lang w:val="es-UY"/>
        </w:rPr>
        <w:t>se hará cargo del costo de los daños y perjuicios que sufra la Contratante por toda omisión en el cumplimiento de las obligaciones emanadas de las cláusulas anteriores.</w:t>
      </w:r>
      <w:bookmarkStart w:id="330" w:name="_Toc340671885"/>
    </w:p>
    <w:p w14:paraId="5C5AC9A0" w14:textId="77777777" w:rsidR="00DE6A09" w:rsidRPr="00E2664E" w:rsidRDefault="00DE6A09" w:rsidP="00DE6A09">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4A000B">
        <w:rPr>
          <w:rFonts w:ascii="Arial" w:hAnsi="Arial" w:cs="Arial"/>
          <w:sz w:val="20"/>
          <w:szCs w:val="20"/>
          <w:lang w:val="es-UY"/>
        </w:rPr>
        <w:t>Todas estas circunstancias deberán ser debidamente registradas en la bitácora del Contrato de acuerdo a lo establecido en la cláusula 64.</w:t>
      </w:r>
    </w:p>
    <w:p w14:paraId="21F5EF12" w14:textId="77777777" w:rsidR="00DE6A09" w:rsidRPr="00E2664E" w:rsidRDefault="00DE6A09"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p>
    <w:p w14:paraId="72E14740" w14:textId="77777777" w:rsidR="00A3029F" w:rsidRPr="00E2664E" w:rsidRDefault="00A3029F" w:rsidP="009A58E0">
      <w:pPr>
        <w:pStyle w:val="T1"/>
        <w:numPr>
          <w:ilvl w:val="0"/>
          <w:numId w:val="90"/>
        </w:numPr>
        <w:outlineLvl w:val="2"/>
      </w:pPr>
      <w:bookmarkStart w:id="331" w:name="_Toc358821522"/>
      <w:bookmarkStart w:id="332" w:name="_Toc400622259"/>
      <w:bookmarkStart w:id="333" w:name="_Toc400629110"/>
      <w:bookmarkStart w:id="334" w:name="_Toc400634022"/>
      <w:bookmarkStart w:id="335" w:name="_Toc400635145"/>
      <w:bookmarkStart w:id="336" w:name="_Toc468288013"/>
      <w:bookmarkStart w:id="337" w:name="_Toc496266606"/>
      <w:bookmarkStart w:id="338" w:name="Lit_32"/>
      <w:r w:rsidRPr="00E2664E">
        <w:t>CARTELES</w:t>
      </w:r>
      <w:bookmarkEnd w:id="330"/>
      <w:bookmarkEnd w:id="331"/>
      <w:bookmarkEnd w:id="332"/>
      <w:bookmarkEnd w:id="333"/>
      <w:bookmarkEnd w:id="334"/>
      <w:bookmarkEnd w:id="335"/>
      <w:bookmarkEnd w:id="336"/>
      <w:bookmarkEnd w:id="337"/>
    </w:p>
    <w:bookmarkEnd w:id="338"/>
    <w:p w14:paraId="4777478E" w14:textId="77777777" w:rsidR="00A3029F" w:rsidRPr="00E2664E" w:rsidRDefault="00A3029F" w:rsidP="00A80C2B">
      <w:pPr>
        <w:jc w:val="both"/>
        <w:rPr>
          <w:rFonts w:ascii="Arial" w:hAnsi="Arial" w:cs="Arial"/>
          <w:sz w:val="16"/>
          <w:szCs w:val="16"/>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colocará a lo largo del circuito, en lugares visibles que determinará la Contratante, 8 carteles de chapa, con letras y logotipos de colores de acuerdo al instructivo del MTOP, de por lo menos 4 m de altura por 5,5 m de ancho, de acuerdo con el siguiente texto:</w:t>
      </w:r>
    </w:p>
    <w:p w14:paraId="4600DC3E" w14:textId="77777777" w:rsidR="00A80C2B" w:rsidRDefault="00A80C2B" w:rsidP="00A80C2B">
      <w:pPr>
        <w:spacing w:after="0" w:line="240" w:lineRule="auto"/>
        <w:jc w:val="center"/>
        <w:rPr>
          <w:rFonts w:ascii="Arial" w:hAnsi="Arial" w:cs="Arial"/>
          <w:sz w:val="20"/>
          <w:szCs w:val="20"/>
          <w:lang w:val="es-UY"/>
        </w:rPr>
      </w:pPr>
    </w:p>
    <w:p w14:paraId="2A0DFF35"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t>MINISTERIO DE TRANSPORTE Y OBRAS PÚBLICAS</w:t>
      </w:r>
    </w:p>
    <w:p w14:paraId="76044F12"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r w:rsidRPr="00A80C2B">
        <w:rPr>
          <w:rFonts w:ascii="Arial" w:hAnsi="Arial" w:cs="Arial"/>
          <w:b/>
          <w:sz w:val="20"/>
          <w:szCs w:val="20"/>
          <w:lang w:val="es-UY"/>
        </w:rPr>
        <w:t>DIRECCION NACIONAL DE VIALIDAD</w:t>
      </w:r>
    </w:p>
    <w:p w14:paraId="1E5A55EF"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0A9F76FD" w14:textId="77777777" w:rsidR="00A3029F" w:rsidRPr="00E2664E"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r w:rsidRPr="00A80C2B">
        <w:rPr>
          <w:rFonts w:ascii="Arial" w:hAnsi="Arial" w:cs="Arial"/>
          <w:sz w:val="20"/>
          <w:szCs w:val="20"/>
          <w:lang w:val="es-UY"/>
        </w:rPr>
        <w:t xml:space="preserve">LOGO MTOP </w:t>
      </w:r>
      <w:r w:rsidRPr="00A80C2B">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E2664E">
        <w:rPr>
          <w:rFonts w:ascii="Arial" w:hAnsi="Arial" w:cs="Arial"/>
          <w:sz w:val="20"/>
          <w:szCs w:val="20"/>
          <w:lang w:val="es-UY"/>
        </w:rPr>
        <w:tab/>
      </w:r>
      <w:r w:rsidRPr="00A80C2B">
        <w:rPr>
          <w:rFonts w:ascii="Arial" w:hAnsi="Arial" w:cs="Arial"/>
          <w:sz w:val="20"/>
          <w:szCs w:val="20"/>
          <w:lang w:val="es-UY"/>
        </w:rPr>
        <w:t>LOGO DNV</w:t>
      </w:r>
    </w:p>
    <w:p w14:paraId="22A46E20"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19218D88"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lastRenderedPageBreak/>
        <w:t>CONTRATO DE PARTICIPACIÓN PÚBLICO PRIVADA</w:t>
      </w:r>
    </w:p>
    <w:p w14:paraId="373F4DF5"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20"/>
          <w:szCs w:val="20"/>
          <w:lang w:val="es-UY"/>
        </w:rPr>
      </w:pPr>
      <w:r w:rsidRPr="00A80C2B">
        <w:rPr>
          <w:rFonts w:ascii="Arial" w:hAnsi="Arial" w:cs="Arial"/>
          <w:b/>
          <w:sz w:val="20"/>
          <w:szCs w:val="20"/>
          <w:lang w:val="es-UY"/>
        </w:rPr>
        <w:t>CIRCUITO: xxx</w:t>
      </w:r>
    </w:p>
    <w:p w14:paraId="129E88A6" w14:textId="77777777" w:rsidR="00A80C2B" w:rsidRDefault="00A80C2B"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lang w:val="es-UY"/>
        </w:rPr>
      </w:pPr>
    </w:p>
    <w:p w14:paraId="66ECF735"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16"/>
          <w:szCs w:val="20"/>
          <w:lang w:val="es-UY"/>
        </w:rPr>
      </w:pPr>
      <w:r w:rsidRPr="00A80C2B">
        <w:rPr>
          <w:rFonts w:ascii="Arial" w:hAnsi="Arial" w:cs="Arial"/>
          <w:sz w:val="16"/>
          <w:szCs w:val="20"/>
          <w:lang w:val="es-UY"/>
        </w:rPr>
        <w:t>CONTRATISTA :………………..</w:t>
      </w:r>
    </w:p>
    <w:p w14:paraId="2BD4A138" w14:textId="77777777" w:rsidR="00A3029F" w:rsidRPr="00A80C2B" w:rsidRDefault="00A3029F" w:rsidP="00A80C2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16"/>
          <w:szCs w:val="20"/>
          <w:lang w:val="es-UY"/>
        </w:rPr>
      </w:pPr>
      <w:r w:rsidRPr="00A80C2B">
        <w:rPr>
          <w:rFonts w:ascii="Arial" w:hAnsi="Arial" w:cs="Arial"/>
          <w:sz w:val="16"/>
          <w:szCs w:val="20"/>
          <w:lang w:val="es-UY"/>
        </w:rPr>
        <w:t>TELEFONO DE RECLAMOS: ……</w:t>
      </w:r>
    </w:p>
    <w:p w14:paraId="1739A994" w14:textId="77777777" w:rsidR="00A3029F" w:rsidRPr="00E2664E" w:rsidRDefault="00A3029F" w:rsidP="00A80C2B">
      <w:pPr>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before="480" w:after="0"/>
        <w:jc w:val="both"/>
        <w:rPr>
          <w:rFonts w:ascii="Arial" w:hAnsi="Arial" w:cs="Arial"/>
          <w:sz w:val="18"/>
          <w:szCs w:val="18"/>
          <w:lang w:val="es-UY"/>
        </w:rPr>
      </w:pPr>
      <w:r w:rsidRPr="00E2664E">
        <w:rPr>
          <w:rFonts w:ascii="Arial" w:hAnsi="Arial" w:cs="Arial"/>
          <w:sz w:val="20"/>
          <w:szCs w:val="20"/>
          <w:lang w:val="es-UY"/>
        </w:rPr>
        <w:t xml:space="preserve">Los carteles se ubicarán dentro de los 7 primeros días calendario a partir del Acta de toma de posesión y se mantendrán en buenas condiciones de conservación hasta la finalización del contrato. </w:t>
      </w:r>
    </w:p>
    <w:p w14:paraId="1A2B4A24" w14:textId="77777777" w:rsidR="00A3029F" w:rsidRPr="00E2664E" w:rsidRDefault="00A3029F" w:rsidP="00CC6497">
      <w:pPr>
        <w:tabs>
          <w:tab w:val="left" w:pos="851"/>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lang w:val="es-UY"/>
        </w:rPr>
      </w:pPr>
      <w:r w:rsidRPr="00E2664E">
        <w:rPr>
          <w:rFonts w:ascii="Arial" w:hAnsi="Arial" w:cs="Arial"/>
          <w:sz w:val="20"/>
          <w:szCs w:val="20"/>
          <w:lang w:val="es-UY"/>
        </w:rPr>
        <w:t>No se permitirá colocar otros carteles sin la previa autorización de la Contratante.</w:t>
      </w:r>
    </w:p>
    <w:p w14:paraId="09C80379" w14:textId="77777777" w:rsidR="00A3029F" w:rsidRPr="00E2664E" w:rsidRDefault="00A3029F" w:rsidP="00EF37C1">
      <w:pPr>
        <w:tabs>
          <w:tab w:val="left" w:pos="851"/>
          <w:tab w:val="left" w:pos="1569"/>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0"/>
          <w:szCs w:val="20"/>
          <w:lang w:val="es-UY"/>
        </w:rPr>
        <w:sectPr w:rsidR="00A3029F" w:rsidRPr="00E2664E" w:rsidSect="00B238CC">
          <w:pgSz w:w="11906" w:h="16838"/>
          <w:pgMar w:top="1276" w:right="1701" w:bottom="1701" w:left="1701" w:header="709" w:footer="709" w:gutter="0"/>
          <w:cols w:space="708"/>
          <w:rtlGutter/>
          <w:docGrid w:linePitch="360"/>
        </w:sectPr>
      </w:pPr>
    </w:p>
    <w:p w14:paraId="5939FBDE" w14:textId="77777777" w:rsidR="00A3029F" w:rsidRPr="00E2664E" w:rsidRDefault="00A3029F" w:rsidP="000F5C7C">
      <w:pPr>
        <w:pStyle w:val="T0"/>
        <w:outlineLvl w:val="0"/>
      </w:pPr>
      <w:bookmarkStart w:id="339" w:name="_Toc340671886"/>
      <w:bookmarkStart w:id="340" w:name="_Toc358821523"/>
      <w:bookmarkStart w:id="341" w:name="_Toc400622260"/>
      <w:bookmarkStart w:id="342" w:name="_Toc400629111"/>
      <w:bookmarkStart w:id="343" w:name="_Toc400634023"/>
      <w:bookmarkStart w:id="344" w:name="_Toc400635146"/>
      <w:bookmarkStart w:id="345" w:name="_Toc468288014"/>
      <w:bookmarkStart w:id="346" w:name="_Toc496266607"/>
      <w:bookmarkStart w:id="347" w:name="CAP_4"/>
      <w:r>
        <w:lastRenderedPageBreak/>
        <w:t>CAPÍTULO IV:</w:t>
      </w:r>
      <w:r w:rsidRPr="00E2664E">
        <w:t xml:space="preserve"> RÉGIMEN ECONÓMICO DEL CONTRATO</w:t>
      </w:r>
      <w:bookmarkEnd w:id="339"/>
      <w:bookmarkEnd w:id="340"/>
      <w:bookmarkEnd w:id="341"/>
      <w:bookmarkEnd w:id="342"/>
      <w:bookmarkEnd w:id="343"/>
      <w:bookmarkEnd w:id="344"/>
      <w:bookmarkEnd w:id="345"/>
      <w:bookmarkEnd w:id="346"/>
    </w:p>
    <w:p w14:paraId="2080555B" w14:textId="77777777" w:rsidR="00A3029F" w:rsidRPr="00E2664E" w:rsidRDefault="00A3029F" w:rsidP="009A58E0">
      <w:pPr>
        <w:pStyle w:val="T1"/>
        <w:numPr>
          <w:ilvl w:val="0"/>
          <w:numId w:val="90"/>
        </w:numPr>
        <w:outlineLvl w:val="2"/>
      </w:pPr>
      <w:bookmarkStart w:id="348" w:name="_Toc358821524"/>
      <w:bookmarkStart w:id="349" w:name="_Toc340671887"/>
      <w:bookmarkStart w:id="350" w:name="_Toc400622261"/>
      <w:bookmarkStart w:id="351" w:name="_Toc400629112"/>
      <w:bookmarkStart w:id="352" w:name="_Toc400634024"/>
      <w:bookmarkStart w:id="353" w:name="_Toc400635147"/>
      <w:bookmarkStart w:id="354" w:name="_Toc468288015"/>
      <w:bookmarkStart w:id="355" w:name="_Toc496266608"/>
      <w:bookmarkStart w:id="356" w:name="Lit_33"/>
      <w:bookmarkEnd w:id="347"/>
      <w:r w:rsidRPr="00E2664E">
        <w:t>RETRIBUCIÓN AL CONTRATISTA</w:t>
      </w:r>
      <w:bookmarkEnd w:id="348"/>
      <w:bookmarkEnd w:id="349"/>
      <w:bookmarkEnd w:id="350"/>
      <w:bookmarkEnd w:id="351"/>
      <w:bookmarkEnd w:id="352"/>
      <w:bookmarkEnd w:id="353"/>
      <w:bookmarkEnd w:id="354"/>
      <w:bookmarkEnd w:id="355"/>
    </w:p>
    <w:bookmarkEnd w:id="356"/>
    <w:p w14:paraId="76575880"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retribución al Contratista por la ejecución de los trabajos y la prestación de los servicios incluidos en el objeto del presente contrato, está determinada por los “Pagos por Disponibilidad” (PPD, en adelante), es decir, las cantidades que la Contratante</w:t>
      </w:r>
      <w:r w:rsidR="00B14DCC">
        <w:rPr>
          <w:rFonts w:ascii="Arial" w:hAnsi="Arial" w:cs="Arial"/>
          <w:sz w:val="20"/>
          <w:szCs w:val="20"/>
          <w:lang w:val="es-UY"/>
        </w:rPr>
        <w:t xml:space="preserve"> </w:t>
      </w:r>
      <w:r w:rsidRPr="00E2664E">
        <w:rPr>
          <w:rFonts w:ascii="Arial" w:hAnsi="Arial" w:cs="Arial"/>
          <w:sz w:val="20"/>
          <w:szCs w:val="20"/>
          <w:lang w:val="es-UY"/>
        </w:rPr>
        <w:t>abonará al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 vinculado al cumplimiento de indicadores.</w:t>
      </w:r>
      <w:r w:rsidR="00B14DCC">
        <w:rPr>
          <w:rFonts w:ascii="Arial" w:hAnsi="Arial" w:cs="Arial"/>
          <w:sz w:val="20"/>
          <w:szCs w:val="20"/>
          <w:lang w:val="es-UY"/>
        </w:rPr>
        <w:t xml:space="preserve"> </w:t>
      </w:r>
    </w:p>
    <w:p w14:paraId="0FEB1B8B"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La Contratante no garantiza un nivel mínimo de ingresos</w:t>
      </w:r>
      <w:r>
        <w:rPr>
          <w:rFonts w:ascii="Arial" w:hAnsi="Arial" w:cs="Arial"/>
          <w:sz w:val="20"/>
          <w:szCs w:val="20"/>
          <w:lang w:val="es-UY"/>
        </w:rPr>
        <w:t>, ni asegura una rentabilidad mínima,</w:t>
      </w:r>
      <w:r w:rsidR="00B14DCC">
        <w:rPr>
          <w:rFonts w:ascii="Arial" w:hAnsi="Arial" w:cs="Arial"/>
          <w:sz w:val="20"/>
          <w:szCs w:val="20"/>
          <w:lang w:val="es-UY"/>
        </w:rPr>
        <w:t xml:space="preserve"> </w:t>
      </w:r>
      <w:r w:rsidRPr="00E2664E">
        <w:rPr>
          <w:rFonts w:ascii="Arial" w:hAnsi="Arial" w:cs="Arial"/>
          <w:sz w:val="20"/>
          <w:szCs w:val="20"/>
          <w:lang w:val="es-UY"/>
        </w:rPr>
        <w:t xml:space="preserve">por la ejecución del contrato. </w:t>
      </w:r>
    </w:p>
    <w:p w14:paraId="498C4C7B"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 xml:space="preserve">Los Oferentes tienen la opción de solicitar que una porción de los Pagos por Disponibilidad se denomine en Dólares Estadounidenses. Esta porción solicitada en Dólares no podrá ser superior al 50% y deberá ser indicada en el Modelo Resumen de la Propuesta Económica (Anexo II), sin que esta tenga efecto en el proceso de valoración de la Oferta Económica. </w:t>
      </w:r>
    </w:p>
    <w:p w14:paraId="265EF23D"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El Oferente que resulte adjudicatario provisional del presente proceso licitatorio, deberá informar a la Administración Contratante</w:t>
      </w:r>
      <w:r w:rsidR="00FC1A80">
        <w:rPr>
          <w:rFonts w:ascii="Arial" w:hAnsi="Arial" w:cs="Arial"/>
          <w:sz w:val="20"/>
          <w:szCs w:val="20"/>
          <w:lang w:val="es-UY"/>
        </w:rPr>
        <w:t>, previo a la adjudicación definitiva,</w:t>
      </w:r>
      <w:r w:rsidRPr="0075628B">
        <w:rPr>
          <w:rFonts w:ascii="Arial" w:hAnsi="Arial" w:cs="Arial"/>
          <w:sz w:val="20"/>
          <w:szCs w:val="20"/>
          <w:lang w:val="es-UY"/>
        </w:rPr>
        <w:t xml:space="preserve"> si mantiene o modifica el porcentaje de dólares solicitado en su Oferta Económica. Dicho porcentaje, que no podrá superar el 50%, deberá ser coherente con el </w:t>
      </w:r>
      <w:r w:rsidRPr="0075628B">
        <w:rPr>
          <w:rFonts w:ascii="Arial" w:hAnsi="Arial" w:cs="Arial"/>
          <w:sz w:val="20"/>
          <w:szCs w:val="20"/>
          <w:lang w:val="es-UY"/>
        </w:rPr>
        <w:lastRenderedPageBreak/>
        <w:t xml:space="preserve">Plan Económico Financiero Definitivo, y los instrumentos financieros allí contenidos. </w:t>
      </w:r>
    </w:p>
    <w:p w14:paraId="237FC2B0"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La retribución al Contratista (RC) se verificará en pesos uruguayos según la siguiente fórmula:</w:t>
      </w:r>
    </w:p>
    <w:p w14:paraId="775C9A13"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p>
    <w:p w14:paraId="368FB753"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RC = α * PPD * UI</w:t>
      </w:r>
      <w:r w:rsidRPr="00435CF0">
        <w:rPr>
          <w:rFonts w:ascii="Arial" w:hAnsi="Arial" w:cs="Arial"/>
          <w:sz w:val="20"/>
          <w:szCs w:val="20"/>
          <w:vertAlign w:val="subscript"/>
          <w:lang w:val="es-UY"/>
        </w:rPr>
        <w:t>O</w:t>
      </w:r>
      <w:r w:rsidRPr="0075628B">
        <w:rPr>
          <w:rFonts w:ascii="Arial" w:hAnsi="Arial" w:cs="Arial"/>
          <w:sz w:val="20"/>
          <w:szCs w:val="20"/>
          <w:lang w:val="es-UY"/>
        </w:rPr>
        <w:t xml:space="preserve"> * (TC/TC</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(1- α) * PPD * UI </w:t>
      </w:r>
    </w:p>
    <w:p w14:paraId="4278BEB3"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p>
    <w:p w14:paraId="2D38A0CF"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 xml:space="preserve">Donde: </w:t>
      </w:r>
    </w:p>
    <w:p w14:paraId="707DFF7C"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RC = Retribución al Contratista</w:t>
      </w:r>
      <w:r w:rsidR="00FC1A80">
        <w:rPr>
          <w:rFonts w:ascii="Arial" w:hAnsi="Arial" w:cs="Arial"/>
          <w:sz w:val="20"/>
          <w:szCs w:val="20"/>
          <w:lang w:val="es-UY"/>
        </w:rPr>
        <w:t xml:space="preserve"> en pesos uruguayos a la fecha de pago.</w:t>
      </w:r>
    </w:p>
    <w:p w14:paraId="2CBF3388"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PPD = Pago por Disponibilidad expresado en Unidades Indexadas.</w:t>
      </w:r>
    </w:p>
    <w:p w14:paraId="3E28A912"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UI = Valor de la Unidad Indexada a la fecha de pago.</w:t>
      </w:r>
    </w:p>
    <w:p w14:paraId="38EAE803"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UI</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Valor de la Unidad Indexada en el último día del mes anterior a la presentación de las ofertas.</w:t>
      </w:r>
    </w:p>
    <w:p w14:paraId="26D39814"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TC = Cotización interbancaria del  Dólar Estadounidense – Peso Uruguayo a la fecha de pago.</w:t>
      </w:r>
    </w:p>
    <w:p w14:paraId="1E7DFAB4" w14:textId="77777777" w:rsidR="0075628B" w:rsidRPr="0075628B" w:rsidRDefault="0075628B" w:rsidP="0075628B">
      <w:pPr>
        <w:autoSpaceDE w:val="0"/>
        <w:autoSpaceDN w:val="0"/>
        <w:adjustRightInd w:val="0"/>
        <w:spacing w:after="120"/>
        <w:jc w:val="both"/>
        <w:rPr>
          <w:rFonts w:ascii="Arial" w:hAnsi="Arial" w:cs="Arial"/>
          <w:sz w:val="20"/>
          <w:szCs w:val="20"/>
          <w:lang w:val="es-UY"/>
        </w:rPr>
      </w:pPr>
      <w:r w:rsidRPr="0075628B">
        <w:rPr>
          <w:rFonts w:ascii="Arial" w:hAnsi="Arial" w:cs="Arial"/>
          <w:sz w:val="20"/>
          <w:szCs w:val="20"/>
          <w:lang w:val="es-UY"/>
        </w:rPr>
        <w:t>TC</w:t>
      </w:r>
      <w:r w:rsidRPr="00435CF0">
        <w:rPr>
          <w:rFonts w:ascii="Arial" w:hAnsi="Arial" w:cs="Arial"/>
          <w:sz w:val="20"/>
          <w:szCs w:val="20"/>
          <w:vertAlign w:val="subscript"/>
          <w:lang w:val="es-UY"/>
        </w:rPr>
        <w:t>0</w:t>
      </w:r>
      <w:r w:rsidRPr="0075628B">
        <w:rPr>
          <w:rFonts w:ascii="Arial" w:hAnsi="Arial" w:cs="Arial"/>
          <w:sz w:val="20"/>
          <w:szCs w:val="20"/>
          <w:lang w:val="es-UY"/>
        </w:rPr>
        <w:t xml:space="preserve"> = Cotización interbancaria del  Dólar Estadounidense – Peso Uruguayo en el último día del mes anterior a la presentación de las ofertas.</w:t>
      </w:r>
    </w:p>
    <w:p w14:paraId="62079126" w14:textId="77777777" w:rsidR="0075628B" w:rsidRPr="00446BED" w:rsidRDefault="00435CF0" w:rsidP="0075628B">
      <w:pPr>
        <w:autoSpaceDE w:val="0"/>
        <w:autoSpaceDN w:val="0"/>
        <w:adjustRightInd w:val="0"/>
        <w:spacing w:after="120"/>
        <w:jc w:val="both"/>
        <w:rPr>
          <w:rFonts w:ascii="Arial" w:hAnsi="Arial" w:cs="Arial"/>
          <w:sz w:val="20"/>
          <w:szCs w:val="20"/>
          <w:lang w:val="es-UY"/>
        </w:rPr>
      </w:pPr>
      <w:r w:rsidRPr="00435CF0">
        <w:rPr>
          <w:rFonts w:ascii="Arial" w:hAnsi="Arial" w:cs="Arial"/>
          <w:sz w:val="20"/>
          <w:szCs w:val="20"/>
          <w:lang w:val="es-UY"/>
        </w:rPr>
        <w:lastRenderedPageBreak/>
        <w:t xml:space="preserve">α </w:t>
      </w:r>
      <w:r w:rsidR="0075628B" w:rsidRPr="0075628B">
        <w:rPr>
          <w:rFonts w:ascii="Arial" w:hAnsi="Arial" w:cs="Arial"/>
          <w:sz w:val="20"/>
          <w:szCs w:val="20"/>
          <w:lang w:val="es-UY"/>
        </w:rPr>
        <w:t xml:space="preserve"> = Porción de los Pagos por Disponibilidad denominada en Dólares Estadounidenses solicitada por el Contratista, con </w:t>
      </w:r>
      <w:r w:rsidRPr="00435CF0">
        <w:rPr>
          <w:rFonts w:ascii="Arial" w:hAnsi="Arial" w:cs="Arial"/>
          <w:sz w:val="20"/>
          <w:szCs w:val="20"/>
          <w:lang w:val="es-UY"/>
        </w:rPr>
        <w:t>α</w:t>
      </w:r>
      <w:r w:rsidR="0075628B" w:rsidRPr="0075628B">
        <w:rPr>
          <w:rFonts w:ascii="Arial" w:hAnsi="Arial" w:cs="Arial"/>
          <w:sz w:val="20"/>
          <w:szCs w:val="20"/>
          <w:lang w:val="es-UY"/>
        </w:rPr>
        <w:t xml:space="preserve"> no superior a 0.5.</w:t>
      </w:r>
    </w:p>
    <w:p w14:paraId="57583CC3" w14:textId="77777777" w:rsidR="006A09D7" w:rsidRPr="00E2664E" w:rsidRDefault="006A09D7" w:rsidP="00CC6497">
      <w:pPr>
        <w:autoSpaceDE w:val="0"/>
        <w:autoSpaceDN w:val="0"/>
        <w:adjustRightInd w:val="0"/>
        <w:spacing w:after="120"/>
        <w:jc w:val="both"/>
        <w:rPr>
          <w:rFonts w:ascii="Arial" w:hAnsi="Arial" w:cs="Arial"/>
          <w:sz w:val="20"/>
          <w:szCs w:val="20"/>
          <w:lang w:val="es-UY"/>
        </w:rPr>
      </w:pPr>
    </w:p>
    <w:p w14:paraId="6F1FFC7F" w14:textId="77777777" w:rsidR="00A3029F" w:rsidRPr="00E2664E" w:rsidRDefault="00A3029F" w:rsidP="009A58E0">
      <w:pPr>
        <w:pStyle w:val="T1"/>
        <w:numPr>
          <w:ilvl w:val="0"/>
          <w:numId w:val="90"/>
        </w:numPr>
        <w:outlineLvl w:val="2"/>
      </w:pPr>
      <w:bookmarkStart w:id="357" w:name="_Toc340671888"/>
      <w:bookmarkStart w:id="358" w:name="_Toc358821525"/>
      <w:bookmarkStart w:id="359" w:name="_Toc400622262"/>
      <w:bookmarkStart w:id="360" w:name="_Toc400629113"/>
      <w:bookmarkStart w:id="361" w:name="_Toc400634025"/>
      <w:bookmarkStart w:id="362" w:name="_Toc400635148"/>
      <w:bookmarkStart w:id="363" w:name="_Toc468288016"/>
      <w:bookmarkStart w:id="364" w:name="_Toc496266609"/>
      <w:bookmarkStart w:id="365" w:name="Lit_34"/>
      <w:r w:rsidRPr="00E2664E">
        <w:t>PAGOS POR DISPONIBILIDAD</w:t>
      </w:r>
      <w:bookmarkEnd w:id="357"/>
      <w:bookmarkEnd w:id="358"/>
      <w:bookmarkEnd w:id="359"/>
      <w:bookmarkEnd w:id="360"/>
      <w:bookmarkEnd w:id="361"/>
      <w:bookmarkEnd w:id="362"/>
      <w:bookmarkEnd w:id="363"/>
      <w:bookmarkEnd w:id="364"/>
    </w:p>
    <w:bookmarkEnd w:id="365"/>
    <w:p w14:paraId="39269769"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Se define el concepto de “disponibilidad” como el hecho de </w:t>
      </w:r>
      <w:r w:rsidR="00A314F1" w:rsidRPr="00CB076A">
        <w:rPr>
          <w:rFonts w:ascii="Arial" w:hAnsi="Arial" w:cs="Arial"/>
          <w:sz w:val="20"/>
          <w:szCs w:val="20"/>
          <w:lang w:val="es-UY"/>
        </w:rPr>
        <w:t>que los trabajos y servicios estén “disponibles” para los usuarios bajo las condiciones adecuadas</w:t>
      </w:r>
      <w:r w:rsidRPr="00E2664E">
        <w:rPr>
          <w:rFonts w:ascii="Arial" w:hAnsi="Arial" w:cs="Arial"/>
          <w:sz w:val="20"/>
          <w:szCs w:val="20"/>
          <w:lang w:val="es-UY"/>
        </w:rPr>
        <w:t xml:space="preserve"> de cumplimiento de los Indicadores de Calidad y Servicio definidos en el </w:t>
      </w:r>
      <w:hyperlink w:anchor="A_9" w:history="1">
        <w:r w:rsidRPr="009E2BFE">
          <w:rPr>
            <w:rStyle w:val="Hipervnculo"/>
            <w:rFonts w:ascii="Arial" w:hAnsi="Arial" w:cs="Arial"/>
            <w:bCs/>
            <w:sz w:val="20"/>
            <w:szCs w:val="20"/>
            <w:lang w:val="es-UY"/>
          </w:rPr>
          <w:t>Anexo IX</w:t>
        </w:r>
      </w:hyperlink>
      <w:r w:rsidRPr="009E2BFE">
        <w:rPr>
          <w:rFonts w:ascii="Arial" w:hAnsi="Arial" w:cs="Arial"/>
          <w:bCs/>
          <w:sz w:val="20"/>
          <w:szCs w:val="20"/>
          <w:lang w:val="es-UY"/>
        </w:rPr>
        <w:t>.</w:t>
      </w:r>
    </w:p>
    <w:p w14:paraId="188B79FA" w14:textId="77777777" w:rsidR="00A3029F" w:rsidRPr="00E2664E" w:rsidRDefault="00A3029F" w:rsidP="009A58E0">
      <w:pPr>
        <w:pStyle w:val="T1"/>
        <w:numPr>
          <w:ilvl w:val="0"/>
          <w:numId w:val="90"/>
        </w:numPr>
        <w:outlineLvl w:val="2"/>
      </w:pPr>
      <w:bookmarkStart w:id="366" w:name="_Toc340671889"/>
      <w:bookmarkStart w:id="367" w:name="_Toc358821526"/>
      <w:bookmarkStart w:id="368" w:name="_Toc400622263"/>
      <w:bookmarkStart w:id="369" w:name="_Toc400629114"/>
      <w:bookmarkStart w:id="370" w:name="_Toc400634026"/>
      <w:bookmarkStart w:id="371" w:name="_Toc400635149"/>
      <w:bookmarkStart w:id="372" w:name="_Toc468288017"/>
      <w:bookmarkStart w:id="373" w:name="_Toc496266610"/>
      <w:bookmarkStart w:id="374" w:name="Lit_35"/>
      <w:r w:rsidRPr="00E2664E">
        <w:t>CÁLCULO DEL PAGO POR DISPONIBILIDAD</w:t>
      </w:r>
      <w:bookmarkEnd w:id="366"/>
      <w:bookmarkEnd w:id="367"/>
      <w:bookmarkEnd w:id="368"/>
      <w:bookmarkEnd w:id="369"/>
      <w:bookmarkEnd w:id="370"/>
      <w:bookmarkEnd w:id="371"/>
      <w:bookmarkEnd w:id="372"/>
      <w:bookmarkEnd w:id="373"/>
    </w:p>
    <w:bookmarkEnd w:id="374"/>
    <w:p w14:paraId="39D335B3" w14:textId="77777777" w:rsidR="00A3029F" w:rsidRPr="00E2664E"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cálculo del pago por disponibilidad se describe en los </w:t>
      </w:r>
      <w:r w:rsidRPr="009E2BFE">
        <w:rPr>
          <w:rFonts w:ascii="Arial" w:hAnsi="Arial" w:cs="Arial"/>
          <w:bCs/>
          <w:sz w:val="20"/>
          <w:szCs w:val="20"/>
          <w:lang w:val="es-UY"/>
        </w:rPr>
        <w:t>Anexos</w:t>
      </w:r>
      <w:r w:rsidR="00F947CC" w:rsidRPr="009E2BFE">
        <w:rPr>
          <w:rFonts w:ascii="Arial" w:hAnsi="Arial" w:cs="Arial"/>
          <w:bCs/>
          <w:sz w:val="20"/>
          <w:szCs w:val="20"/>
          <w:lang w:val="es-UY"/>
        </w:rPr>
        <w:t xml:space="preserve"> </w:t>
      </w:r>
      <w:hyperlink w:anchor="A_2" w:history="1">
        <w:r w:rsidRPr="009E2BFE">
          <w:rPr>
            <w:rStyle w:val="Hipervnculo"/>
            <w:rFonts w:ascii="Arial" w:hAnsi="Arial" w:cs="Arial"/>
            <w:bCs/>
            <w:sz w:val="20"/>
            <w:szCs w:val="20"/>
            <w:lang w:val="es-UY"/>
          </w:rPr>
          <w:t>II</w:t>
        </w:r>
      </w:hyperlink>
      <w:r w:rsidRPr="009E2BFE">
        <w:rPr>
          <w:rFonts w:ascii="Arial" w:hAnsi="Arial" w:cs="Arial"/>
          <w:sz w:val="20"/>
          <w:szCs w:val="20"/>
          <w:lang w:val="es-UY"/>
        </w:rPr>
        <w:t xml:space="preserve">, </w:t>
      </w:r>
      <w:hyperlink w:anchor="A_3" w:history="1">
        <w:r w:rsidRPr="009E2BFE">
          <w:rPr>
            <w:rStyle w:val="Hipervnculo"/>
            <w:rFonts w:ascii="Arial" w:hAnsi="Arial" w:cs="Arial"/>
            <w:bCs/>
            <w:sz w:val="20"/>
            <w:szCs w:val="20"/>
            <w:lang w:val="es-UY"/>
          </w:rPr>
          <w:t>III</w:t>
        </w:r>
      </w:hyperlink>
      <w:r w:rsidRPr="009E2BFE">
        <w:rPr>
          <w:rFonts w:ascii="Arial" w:hAnsi="Arial" w:cs="Arial"/>
          <w:sz w:val="20"/>
          <w:szCs w:val="20"/>
          <w:lang w:val="es-UY"/>
        </w:rPr>
        <w:t xml:space="preserve">, </w:t>
      </w:r>
      <w:hyperlink w:anchor="A_9" w:history="1">
        <w:r w:rsidRPr="009E2BFE">
          <w:rPr>
            <w:rStyle w:val="Hipervnculo"/>
            <w:rFonts w:ascii="Arial" w:hAnsi="Arial" w:cs="Arial"/>
            <w:bCs/>
            <w:sz w:val="20"/>
            <w:szCs w:val="20"/>
            <w:lang w:val="es-UY"/>
          </w:rPr>
          <w:t>IX</w:t>
        </w:r>
      </w:hyperlink>
      <w:r w:rsidR="009773F0" w:rsidRPr="009E2BFE">
        <w:rPr>
          <w:rFonts w:ascii="Arial" w:hAnsi="Arial" w:cs="Arial"/>
          <w:bCs/>
          <w:sz w:val="20"/>
          <w:szCs w:val="20"/>
          <w:lang w:val="es-UY"/>
        </w:rPr>
        <w:t xml:space="preserve"> </w:t>
      </w:r>
      <w:r w:rsidRPr="009E2BFE">
        <w:rPr>
          <w:rFonts w:ascii="Arial" w:hAnsi="Arial" w:cs="Arial"/>
          <w:sz w:val="20"/>
          <w:szCs w:val="20"/>
          <w:lang w:val="es-UY"/>
        </w:rPr>
        <w:t xml:space="preserve">y </w:t>
      </w:r>
      <w:hyperlink w:anchor="A_10" w:history="1">
        <w:r w:rsidRPr="009E2BFE">
          <w:rPr>
            <w:rStyle w:val="Hipervnculo"/>
            <w:rFonts w:ascii="Arial" w:hAnsi="Arial" w:cs="Arial"/>
            <w:bCs/>
            <w:sz w:val="20"/>
            <w:szCs w:val="20"/>
            <w:lang w:val="es-UY"/>
          </w:rPr>
          <w:t>X</w:t>
        </w:r>
      </w:hyperlink>
      <w:r w:rsidR="00B14DCC">
        <w:rPr>
          <w:rFonts w:ascii="Arial" w:hAnsi="Arial" w:cs="Arial"/>
          <w:b/>
          <w:bCs/>
          <w:sz w:val="20"/>
          <w:szCs w:val="20"/>
          <w:lang w:val="es-UY"/>
        </w:rPr>
        <w:t xml:space="preserve"> </w:t>
      </w:r>
      <w:r w:rsidRPr="00E2664E">
        <w:rPr>
          <w:rFonts w:ascii="Arial" w:hAnsi="Arial" w:cs="Arial"/>
          <w:sz w:val="20"/>
          <w:szCs w:val="20"/>
          <w:lang w:val="es-UY"/>
        </w:rPr>
        <w:t>de este Pliego.</w:t>
      </w:r>
    </w:p>
    <w:p w14:paraId="76BFF19C" w14:textId="77777777" w:rsidR="00B461C7" w:rsidRDefault="00A3029F" w:rsidP="009A58E0">
      <w:pPr>
        <w:pStyle w:val="T1"/>
        <w:numPr>
          <w:ilvl w:val="0"/>
          <w:numId w:val="90"/>
        </w:numPr>
        <w:outlineLvl w:val="2"/>
      </w:pPr>
      <w:bookmarkStart w:id="375" w:name="_Toc340671890"/>
      <w:bookmarkStart w:id="376" w:name="_Toc358821527"/>
      <w:bookmarkStart w:id="377" w:name="_Toc400622264"/>
      <w:bookmarkStart w:id="378" w:name="_Toc400629115"/>
      <w:bookmarkStart w:id="379" w:name="_Toc400634027"/>
      <w:bookmarkStart w:id="380" w:name="_Toc400635150"/>
      <w:bookmarkStart w:id="381" w:name="_Toc468288018"/>
      <w:bookmarkStart w:id="382" w:name="_Toc496266611"/>
      <w:bookmarkStart w:id="383" w:name="Lit_36"/>
      <w:r w:rsidRPr="00E2664E">
        <w:t>FIDEICOMISO</w:t>
      </w:r>
      <w:bookmarkEnd w:id="375"/>
      <w:bookmarkEnd w:id="376"/>
      <w:bookmarkEnd w:id="377"/>
      <w:bookmarkEnd w:id="378"/>
      <w:bookmarkEnd w:id="379"/>
      <w:bookmarkEnd w:id="380"/>
      <w:bookmarkEnd w:id="381"/>
      <w:bookmarkEnd w:id="382"/>
    </w:p>
    <w:p w14:paraId="3CA4E8DB" w14:textId="0C789331" w:rsidR="00257432" w:rsidRPr="00CB076A" w:rsidRDefault="00A314F1" w:rsidP="00CB076A">
      <w:pPr>
        <w:autoSpaceDE w:val="0"/>
        <w:autoSpaceDN w:val="0"/>
        <w:adjustRightInd w:val="0"/>
        <w:spacing w:after="120"/>
        <w:jc w:val="both"/>
        <w:rPr>
          <w:sz w:val="20"/>
          <w:szCs w:val="20"/>
          <w:lang w:val="es-UY"/>
        </w:rPr>
      </w:pPr>
      <w:r w:rsidRPr="00275DAA">
        <w:rPr>
          <w:rFonts w:ascii="Arial" w:hAnsi="Arial" w:cs="Arial"/>
          <w:sz w:val="20"/>
          <w:szCs w:val="20"/>
          <w:lang w:val="es-UY"/>
        </w:rPr>
        <w:t xml:space="preserve">Se constituirá un Fideicomiso de acuerdo a la Ley Nº </w:t>
      </w:r>
      <w:hyperlink r:id="rId61" w:history="1">
        <w:r w:rsidRPr="00275DAA">
          <w:rPr>
            <w:rStyle w:val="Hipervnculo"/>
            <w:rFonts w:ascii="Arial" w:hAnsi="Arial" w:cs="Arial"/>
            <w:sz w:val="20"/>
            <w:szCs w:val="20"/>
            <w:lang w:val="es-UY"/>
          </w:rPr>
          <w:t>17.703</w:t>
        </w:r>
      </w:hyperlink>
      <w:r w:rsidRPr="00275DAA">
        <w:rPr>
          <w:rFonts w:ascii="Arial" w:hAnsi="Arial" w:cs="Arial"/>
          <w:sz w:val="20"/>
          <w:szCs w:val="20"/>
          <w:lang w:val="es-UY"/>
        </w:rPr>
        <w:t>. La Contratante es la responsable</w:t>
      </w:r>
      <w:r w:rsidRPr="00CB076A">
        <w:rPr>
          <w:rFonts w:ascii="Arial" w:hAnsi="Arial" w:cs="Arial"/>
          <w:sz w:val="20"/>
          <w:szCs w:val="20"/>
          <w:lang w:val="es-UY"/>
        </w:rPr>
        <w:t xml:space="preserve"> de la constitución del Fideicomiso y asumirá los gastos de constitución del Fideicomiso y de la comisión que cobre el fiduciario desde el inicio del contrato hasta el término del mismo.</w:t>
      </w:r>
    </w:p>
    <w:p w14:paraId="1D85E4B7" w14:textId="77777777" w:rsidR="00257432" w:rsidRPr="00CB076A" w:rsidRDefault="00A314F1" w:rsidP="00CB076A">
      <w:pPr>
        <w:autoSpaceDE w:val="0"/>
        <w:autoSpaceDN w:val="0"/>
        <w:adjustRightInd w:val="0"/>
        <w:spacing w:after="120"/>
        <w:jc w:val="both"/>
        <w:rPr>
          <w:sz w:val="20"/>
          <w:szCs w:val="20"/>
          <w:lang w:val="es-UY"/>
        </w:rPr>
      </w:pPr>
      <w:r w:rsidRPr="00CB076A">
        <w:rPr>
          <w:rFonts w:ascii="Arial" w:hAnsi="Arial" w:cs="Arial"/>
          <w:sz w:val="20"/>
          <w:szCs w:val="20"/>
          <w:lang w:val="es-UY"/>
        </w:rPr>
        <w:lastRenderedPageBreak/>
        <w:t>Constituirán ingresos del Fideicomiso los fondos presupuestales que vierta el MTOP, así como los aportes en concepto de fondos de provisión y aquellos aportes que realice el Contratista para el control de la correcta ejecución del contrato estipulado en el presente pliego</w:t>
      </w:r>
      <w:r w:rsidR="00F8091B">
        <w:rPr>
          <w:rFonts w:ascii="Arial" w:hAnsi="Arial" w:cs="Arial"/>
          <w:sz w:val="20"/>
          <w:szCs w:val="20"/>
          <w:lang w:val="es-UY"/>
        </w:rPr>
        <w:t>.</w:t>
      </w:r>
      <w:r w:rsidR="00F8091B" w:rsidRPr="00F8091B">
        <w:t xml:space="preserve"> </w:t>
      </w:r>
      <w:r w:rsidR="00F8091B" w:rsidRPr="00F8091B">
        <w:rPr>
          <w:rFonts w:ascii="Arial" w:hAnsi="Arial" w:cs="Arial"/>
          <w:sz w:val="20"/>
          <w:szCs w:val="20"/>
          <w:lang w:val="es-UY"/>
        </w:rPr>
        <w:t>El Contratista deberá depositar en la cuenta establecida del Fideicomiso, la suma de UI 3:000.000 (tres millones de unidades indexadas) al año, para gastos de contralor que realizará la Contratante; estos pagos del Contratista a la cuenta del Fideicomiso se verificarán dentro de los primeros 15 (quince) días de cada año contractual y no se deducirán del Pago por Disponibilidad</w:t>
      </w:r>
      <w:r w:rsidR="00F241A9">
        <w:rPr>
          <w:rFonts w:ascii="Arial" w:hAnsi="Arial" w:cs="Arial"/>
          <w:sz w:val="20"/>
          <w:szCs w:val="20"/>
          <w:lang w:val="es-UY"/>
        </w:rPr>
        <w:t xml:space="preserve"> </w:t>
      </w:r>
      <w:r w:rsidR="00F241A9" w:rsidRPr="00F241A9">
        <w:rPr>
          <w:rFonts w:ascii="Arial" w:hAnsi="Arial" w:cs="Arial"/>
          <w:sz w:val="20"/>
          <w:szCs w:val="20"/>
          <w:lang w:val="es-UY"/>
        </w:rPr>
        <w:t>a menos que así lo indique en forma expresa la Contratante</w:t>
      </w:r>
      <w:r w:rsidR="00F8091B" w:rsidRPr="00F8091B">
        <w:rPr>
          <w:rFonts w:ascii="Arial" w:hAnsi="Arial" w:cs="Arial"/>
          <w:sz w:val="20"/>
          <w:szCs w:val="20"/>
          <w:lang w:val="es-UY"/>
        </w:rPr>
        <w:t>.</w:t>
      </w:r>
      <w:r w:rsidRPr="00CB076A">
        <w:rPr>
          <w:rFonts w:ascii="Arial" w:hAnsi="Arial" w:cs="Arial"/>
          <w:sz w:val="20"/>
          <w:szCs w:val="20"/>
          <w:lang w:val="es-UY"/>
        </w:rPr>
        <w:t>El Fideicomiso tendrá como mínimo la misma duración que el período de ejecución del contrato, y podrá realizar las contrataciones que se le encomienden vinculadas al contrato.</w:t>
      </w:r>
    </w:p>
    <w:p w14:paraId="34A3FB13" w14:textId="77777777" w:rsidR="00A3029F" w:rsidRPr="00E2664E" w:rsidRDefault="00A3029F" w:rsidP="009A58E0">
      <w:pPr>
        <w:pStyle w:val="T1"/>
        <w:numPr>
          <w:ilvl w:val="0"/>
          <w:numId w:val="90"/>
        </w:numPr>
        <w:outlineLvl w:val="2"/>
      </w:pPr>
      <w:bookmarkStart w:id="384" w:name="_Toc358821528"/>
      <w:bookmarkStart w:id="385" w:name="_Toc340671891"/>
      <w:bookmarkStart w:id="386" w:name="_Toc400622265"/>
      <w:bookmarkStart w:id="387" w:name="_Toc400629116"/>
      <w:bookmarkStart w:id="388" w:name="_Toc400634028"/>
      <w:bookmarkStart w:id="389" w:name="_Toc400635151"/>
      <w:bookmarkStart w:id="390" w:name="_Toc468288019"/>
      <w:bookmarkStart w:id="391" w:name="_Toc496266612"/>
      <w:bookmarkStart w:id="392" w:name="Lit_37"/>
      <w:bookmarkEnd w:id="383"/>
      <w:r w:rsidRPr="00E2664E">
        <w:t>PROCEDIMIENTO DE PAGO AL CONTRATISTA</w:t>
      </w:r>
      <w:bookmarkEnd w:id="384"/>
      <w:bookmarkEnd w:id="385"/>
      <w:bookmarkEnd w:id="386"/>
      <w:bookmarkEnd w:id="387"/>
      <w:bookmarkEnd w:id="388"/>
      <w:bookmarkEnd w:id="389"/>
      <w:bookmarkEnd w:id="390"/>
      <w:bookmarkEnd w:id="391"/>
    </w:p>
    <w:bookmarkEnd w:id="392"/>
    <w:p w14:paraId="11E3E365"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El Contratista deberá presentar una factura en unidades indexadas y otra en dólares estadounidenses de acuerdo a la fórmula de Retribución al Contratista estipulada en la cláusula 33 y el correspondiente α seleccionado.</w:t>
      </w:r>
    </w:p>
    <w:p w14:paraId="6E9744D9"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 xml:space="preserve">La factura emitida en unidades indexadas será emitida por el siguiente valor: </w:t>
      </w:r>
    </w:p>
    <w:p w14:paraId="3C392AA6"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lastRenderedPageBreak/>
        <w:t>(1- α) * PPD.</w:t>
      </w:r>
    </w:p>
    <w:p w14:paraId="7825F8D8"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La factura emitida en dólares estadounidenses será emitida por el siguiente valor:</w:t>
      </w:r>
    </w:p>
    <w:p w14:paraId="63C86ECD"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α * PPD * (UI</w:t>
      </w:r>
      <w:r w:rsidRPr="003B3899">
        <w:rPr>
          <w:rFonts w:ascii="Arial" w:hAnsi="Arial" w:cs="Arial"/>
          <w:sz w:val="20"/>
          <w:szCs w:val="20"/>
          <w:vertAlign w:val="subscript"/>
          <w:lang w:val="es-UY"/>
        </w:rPr>
        <w:t>0</w:t>
      </w:r>
      <w:r w:rsidRPr="003B3899">
        <w:rPr>
          <w:rFonts w:ascii="Arial" w:hAnsi="Arial" w:cs="Arial"/>
          <w:sz w:val="20"/>
          <w:szCs w:val="20"/>
          <w:lang w:val="es-UY"/>
        </w:rPr>
        <w:t>/TC</w:t>
      </w:r>
      <w:r w:rsidRPr="003B3899">
        <w:rPr>
          <w:rFonts w:ascii="Arial" w:hAnsi="Arial" w:cs="Arial"/>
          <w:sz w:val="20"/>
          <w:szCs w:val="20"/>
          <w:vertAlign w:val="subscript"/>
          <w:lang w:val="es-UY"/>
        </w:rPr>
        <w:t>0</w:t>
      </w:r>
      <w:r w:rsidRPr="003B3899">
        <w:rPr>
          <w:rFonts w:ascii="Arial" w:hAnsi="Arial" w:cs="Arial"/>
          <w:sz w:val="20"/>
          <w:szCs w:val="20"/>
          <w:lang w:val="es-UY"/>
        </w:rPr>
        <w:t>).</w:t>
      </w:r>
    </w:p>
    <w:p w14:paraId="1B4FA3E3"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Ambas facturas serán pagadas en su equivalente en pesos uruguayos de acuerdo al valor de la unidad indexada y la cotización del dólar estadounidense vigentes a la fecha de pago, tal como lo establece la cláusula 33.</w:t>
      </w:r>
    </w:p>
    <w:p w14:paraId="594F0724"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El Contratista deberá presentar las facturas en la Dirección Nacional de Vialidad, Rincón 575, en un plazo no mayor a 10 días corridos, a partir de la notificación del Órgano de Control. Si el Contratista se atrasara en la presentación de las facturas se interrumpirá el plazo de pago en la misma cantidad de días de atraso.</w:t>
      </w:r>
    </w:p>
    <w:p w14:paraId="47D1DB73" w14:textId="77777777" w:rsidR="001A4E23" w:rsidRPr="003B3899" w:rsidRDefault="001A4E23" w:rsidP="001A4E23">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t xml:space="preserve">El Órgano de Control realizará la notificación establecida en la presente cláusula dentro de los 30 días de realizadas las evaluaciones trimestrales y anual dispuestas en la Cláusula 68 del presente Pliego y apartados tres y cuatro de la Cláusula 4 del Anexo III. En caso de no ser realizada dicha notificación por el Órgano de Control en el plazo previsto por razones imputables a la Contratante, dicho atraso se restará de los plazos previstos para el pago. La conformidad de las facturas se verificará dentro de los 10 días calendario de recibida la misma. </w:t>
      </w:r>
    </w:p>
    <w:p w14:paraId="58DCAFC8" w14:textId="1B67A803" w:rsidR="00403E70" w:rsidRPr="003B3899" w:rsidRDefault="001A4E23" w:rsidP="00CC6497">
      <w:pPr>
        <w:autoSpaceDE w:val="0"/>
        <w:autoSpaceDN w:val="0"/>
        <w:adjustRightInd w:val="0"/>
        <w:spacing w:after="120"/>
        <w:jc w:val="both"/>
        <w:rPr>
          <w:rFonts w:ascii="Arial" w:hAnsi="Arial" w:cs="Arial"/>
          <w:sz w:val="20"/>
          <w:szCs w:val="20"/>
          <w:lang w:val="es-UY"/>
        </w:rPr>
      </w:pPr>
      <w:r w:rsidRPr="003B3899">
        <w:rPr>
          <w:rFonts w:ascii="Arial" w:hAnsi="Arial" w:cs="Arial"/>
          <w:sz w:val="20"/>
          <w:szCs w:val="20"/>
          <w:lang w:val="es-UY"/>
        </w:rPr>
        <w:lastRenderedPageBreak/>
        <w:t xml:space="preserve">Los pagos serán efectuados en un plazo no mayor a 60 (sesenta) días a partir de recibida de conformidad las facturas. </w:t>
      </w:r>
    </w:p>
    <w:p w14:paraId="25505FCD" w14:textId="77777777" w:rsidR="00A3029F" w:rsidRPr="00E2664E" w:rsidRDefault="00A3029F" w:rsidP="009A58E0">
      <w:pPr>
        <w:pStyle w:val="T1"/>
        <w:numPr>
          <w:ilvl w:val="0"/>
          <w:numId w:val="90"/>
        </w:numPr>
        <w:outlineLvl w:val="2"/>
      </w:pPr>
      <w:bookmarkStart w:id="393" w:name="_Toc358821529"/>
      <w:bookmarkStart w:id="394" w:name="_Toc340671892"/>
      <w:bookmarkStart w:id="395" w:name="_Toc400622266"/>
      <w:bookmarkStart w:id="396" w:name="_Toc400629117"/>
      <w:bookmarkStart w:id="397" w:name="_Toc400634029"/>
      <w:bookmarkStart w:id="398" w:name="_Toc400635152"/>
      <w:bookmarkStart w:id="399" w:name="_Toc468288020"/>
      <w:bookmarkStart w:id="400" w:name="_Toc496266613"/>
      <w:bookmarkStart w:id="401" w:name="Lit_38"/>
      <w:r w:rsidRPr="00E2664E">
        <w:t>COMPENSACIÓN POR ATRASO EN LOS PAGOS AL CONTRATISTA</w:t>
      </w:r>
      <w:bookmarkEnd w:id="393"/>
      <w:bookmarkEnd w:id="394"/>
      <w:bookmarkEnd w:id="395"/>
      <w:bookmarkEnd w:id="396"/>
      <w:bookmarkEnd w:id="397"/>
      <w:bookmarkEnd w:id="398"/>
      <w:bookmarkEnd w:id="399"/>
      <w:bookmarkEnd w:id="400"/>
    </w:p>
    <w:bookmarkEnd w:id="401"/>
    <w:p w14:paraId="177814A4" w14:textId="373DCAB2" w:rsidR="0035259B" w:rsidRDefault="00A3029F" w:rsidP="00CC6497">
      <w:pPr>
        <w:tabs>
          <w:tab w:val="left" w:pos="1032"/>
          <w:tab w:val="left" w:pos="1200"/>
          <w:tab w:val="left" w:pos="1284"/>
          <w:tab w:val="left" w:pos="1536"/>
          <w:tab w:val="left" w:pos="1788"/>
          <w:tab w:val="left" w:pos="2016"/>
          <w:tab w:val="left" w:pos="2292"/>
          <w:tab w:val="left" w:pos="2544"/>
          <w:tab w:val="left" w:pos="2796"/>
          <w:tab w:val="left" w:pos="3048"/>
          <w:tab w:val="left" w:pos="3300"/>
          <w:tab w:val="left" w:pos="3552"/>
          <w:tab w:val="left" w:pos="3804"/>
        </w:tabs>
        <w:spacing w:after="120"/>
        <w:jc w:val="both"/>
        <w:rPr>
          <w:rFonts w:ascii="Arial" w:hAnsi="Arial" w:cs="Arial"/>
          <w:sz w:val="20"/>
          <w:szCs w:val="20"/>
        </w:rPr>
      </w:pPr>
      <w:r w:rsidRPr="00323C8A">
        <w:rPr>
          <w:rFonts w:ascii="Arial" w:hAnsi="Arial" w:cs="Arial"/>
          <w:sz w:val="20"/>
          <w:szCs w:val="20"/>
          <w:lang w:val="es-ES_tradnl"/>
        </w:rPr>
        <w:t xml:space="preserve">A efectos del cálculo por compensación en el atraso </w:t>
      </w:r>
      <w:r w:rsidR="008F1C27" w:rsidRPr="008F1C27">
        <w:rPr>
          <w:rFonts w:ascii="Arial" w:hAnsi="Arial" w:cs="Arial"/>
          <w:sz w:val="20"/>
          <w:szCs w:val="20"/>
          <w:lang w:val="es-ES_tradnl"/>
        </w:rPr>
        <w:t>de cualquier pago a la Contratista se tomará como referencia la tasa de interés para el plazo de 1 año de la curva CUI elaborada por BEVSA, que surge del promedio simple para los tres últimos días anteriores a la exigibilidad de la obligación, expresada en puntos porcentuales, más 1 por ciento.</w:t>
      </w:r>
    </w:p>
    <w:p w14:paraId="74BC90E5" w14:textId="77777777" w:rsidR="0035259B" w:rsidRDefault="0035259B">
      <w:pPr>
        <w:spacing w:after="0" w:line="240" w:lineRule="auto"/>
        <w:rPr>
          <w:rFonts w:ascii="Arial" w:hAnsi="Arial" w:cs="Arial"/>
          <w:sz w:val="20"/>
          <w:szCs w:val="20"/>
        </w:rPr>
      </w:pPr>
      <w:r>
        <w:rPr>
          <w:rFonts w:ascii="Arial" w:hAnsi="Arial" w:cs="Arial"/>
          <w:sz w:val="20"/>
          <w:szCs w:val="20"/>
        </w:rPr>
        <w:br w:type="page"/>
      </w:r>
    </w:p>
    <w:p w14:paraId="010F9FAD" w14:textId="77777777" w:rsidR="00A3029F" w:rsidRPr="00E3572A" w:rsidRDefault="00A3029F" w:rsidP="00CC6497">
      <w:pPr>
        <w:tabs>
          <w:tab w:val="left" w:pos="1032"/>
          <w:tab w:val="left" w:pos="1200"/>
          <w:tab w:val="left" w:pos="1284"/>
          <w:tab w:val="left" w:pos="1536"/>
          <w:tab w:val="left" w:pos="1788"/>
          <w:tab w:val="left" w:pos="2016"/>
          <w:tab w:val="left" w:pos="2292"/>
          <w:tab w:val="left" w:pos="2544"/>
          <w:tab w:val="left" w:pos="2796"/>
          <w:tab w:val="left" w:pos="3048"/>
          <w:tab w:val="left" w:pos="3300"/>
          <w:tab w:val="left" w:pos="3552"/>
          <w:tab w:val="left" w:pos="3804"/>
        </w:tabs>
        <w:spacing w:after="120"/>
        <w:jc w:val="both"/>
        <w:rPr>
          <w:rFonts w:ascii="Arial" w:hAnsi="Arial" w:cs="Arial"/>
          <w:sz w:val="20"/>
          <w:szCs w:val="20"/>
          <w:lang w:val="es-ES_tradnl"/>
        </w:rPr>
      </w:pPr>
    </w:p>
    <w:p w14:paraId="4F6D5456" w14:textId="77777777" w:rsidR="00A3029F" w:rsidRDefault="00A3029F" w:rsidP="00724E61">
      <w:pPr>
        <w:pStyle w:val="T0"/>
      </w:pPr>
      <w:bookmarkStart w:id="402" w:name="CAP_5"/>
      <w:bookmarkStart w:id="403" w:name="_Toc340671893"/>
      <w:bookmarkStart w:id="404" w:name="_Toc358821530"/>
      <w:bookmarkStart w:id="405" w:name="_Toc400622267"/>
      <w:bookmarkStart w:id="406" w:name="_Toc400629118"/>
      <w:bookmarkStart w:id="407" w:name="_Toc400634030"/>
      <w:bookmarkStart w:id="408" w:name="_Toc400635153"/>
      <w:bookmarkStart w:id="409" w:name="_Toc468288021"/>
      <w:bookmarkStart w:id="410" w:name="_Toc496266614"/>
      <w:r w:rsidRPr="00E2664E">
        <w:t>CAPÍTULO V</w:t>
      </w:r>
      <w:r>
        <w:t>:</w:t>
      </w:r>
      <w:r w:rsidR="005C66D1">
        <w:t xml:space="preserve"> </w:t>
      </w:r>
      <w:r>
        <w:t xml:space="preserve">GARANTÍA EN BENEFICIO DE LOS ACREEDORES FINANCIEROS, </w:t>
      </w:r>
      <w:bookmarkEnd w:id="402"/>
      <w:r w:rsidRPr="00E2664E">
        <w:t>SUBCONTRATACIÓN, CESIÓN, MODIFICACIÓN Y RENEGOCIACIÓN DEL CONTRATO</w:t>
      </w:r>
      <w:bookmarkEnd w:id="403"/>
      <w:bookmarkEnd w:id="404"/>
      <w:bookmarkEnd w:id="405"/>
      <w:bookmarkEnd w:id="406"/>
      <w:bookmarkEnd w:id="407"/>
      <w:bookmarkEnd w:id="408"/>
      <w:bookmarkEnd w:id="409"/>
      <w:bookmarkEnd w:id="410"/>
    </w:p>
    <w:p w14:paraId="304952B1" w14:textId="77777777" w:rsidR="00A3029F" w:rsidRPr="00E2664E" w:rsidRDefault="00A3029F" w:rsidP="009A58E0">
      <w:pPr>
        <w:pStyle w:val="T1"/>
        <w:numPr>
          <w:ilvl w:val="0"/>
          <w:numId w:val="90"/>
        </w:numPr>
        <w:outlineLvl w:val="2"/>
      </w:pPr>
      <w:bookmarkStart w:id="411" w:name="_Toc400622268"/>
      <w:bookmarkStart w:id="412" w:name="_Toc400629119"/>
      <w:bookmarkStart w:id="413" w:name="_Toc400634031"/>
      <w:bookmarkStart w:id="414" w:name="_Toc400635154"/>
      <w:bookmarkStart w:id="415" w:name="_Toc468288022"/>
      <w:bookmarkStart w:id="416" w:name="_Toc496266615"/>
      <w:bookmarkStart w:id="417" w:name="Lit_39"/>
      <w:r w:rsidRPr="00E2664E">
        <w:t>GARANTIA EN BENEFICIO DE LOS ACREEDORES</w:t>
      </w:r>
      <w:bookmarkEnd w:id="411"/>
      <w:bookmarkEnd w:id="412"/>
      <w:bookmarkEnd w:id="413"/>
      <w:bookmarkEnd w:id="414"/>
      <w:bookmarkEnd w:id="415"/>
      <w:bookmarkEnd w:id="416"/>
    </w:p>
    <w:bookmarkEnd w:id="417"/>
    <w:p w14:paraId="07F62160" w14:textId="77777777" w:rsidR="00A3029F" w:rsidRDefault="00A3029F" w:rsidP="00075F8F">
      <w:pPr>
        <w:spacing w:after="120"/>
        <w:jc w:val="both"/>
        <w:rPr>
          <w:rFonts w:ascii="Arial" w:hAnsi="Arial" w:cs="Arial"/>
          <w:sz w:val="20"/>
          <w:szCs w:val="20"/>
          <w:lang w:val="es-UY"/>
        </w:rPr>
      </w:pPr>
      <w:r w:rsidRPr="00B4079E">
        <w:rPr>
          <w:rFonts w:ascii="Arial" w:hAnsi="Arial" w:cs="Arial"/>
          <w:sz w:val="20"/>
          <w:szCs w:val="20"/>
          <w:lang w:val="es-UY"/>
        </w:rPr>
        <w:t>El Contratista</w:t>
      </w:r>
      <w:r w:rsidR="00B14DCC" w:rsidRPr="00B4079E">
        <w:rPr>
          <w:rFonts w:ascii="Arial" w:hAnsi="Arial" w:cs="Arial"/>
          <w:sz w:val="20"/>
          <w:szCs w:val="20"/>
          <w:lang w:val="es-UY"/>
        </w:rPr>
        <w:t xml:space="preserve"> </w:t>
      </w:r>
      <w:r w:rsidRPr="00B4079E">
        <w:rPr>
          <w:rFonts w:ascii="Arial" w:hAnsi="Arial" w:cs="Arial"/>
          <w:sz w:val="20"/>
          <w:szCs w:val="20"/>
          <w:lang w:val="es-UY"/>
        </w:rPr>
        <w:t>podrá constituir en beneficio de sus acreedores y en virtud de la ejecución de</w:t>
      </w:r>
      <w:r w:rsidR="00F35140" w:rsidRPr="00B4079E">
        <w:rPr>
          <w:rFonts w:ascii="Arial" w:hAnsi="Arial" w:cs="Arial"/>
          <w:sz w:val="20"/>
          <w:szCs w:val="20"/>
          <w:lang w:val="es-UY"/>
        </w:rPr>
        <w:t>l</w:t>
      </w:r>
      <w:r w:rsidRPr="00B4079E">
        <w:rPr>
          <w:rFonts w:ascii="Arial" w:hAnsi="Arial" w:cs="Arial"/>
          <w:sz w:val="20"/>
          <w:szCs w:val="20"/>
          <w:lang w:val="es-UY"/>
        </w:rPr>
        <w:t xml:space="preserve"> contrato de PPP todo tipo de garantías personales o reales.</w:t>
      </w:r>
    </w:p>
    <w:p w14:paraId="639B4581" w14:textId="633560CD" w:rsidR="004626DD" w:rsidRPr="00E2664E" w:rsidRDefault="004626DD" w:rsidP="00075F8F">
      <w:pPr>
        <w:spacing w:after="120"/>
        <w:jc w:val="both"/>
        <w:rPr>
          <w:rFonts w:ascii="Arial" w:hAnsi="Arial" w:cs="Arial"/>
          <w:sz w:val="20"/>
          <w:szCs w:val="20"/>
          <w:lang w:val="es-UY"/>
        </w:rPr>
      </w:pPr>
    </w:p>
    <w:p w14:paraId="086B27E3" w14:textId="77777777" w:rsidR="00A3029F" w:rsidRPr="00E2664E" w:rsidRDefault="00A3029F" w:rsidP="009A58E0">
      <w:pPr>
        <w:pStyle w:val="T2"/>
        <w:numPr>
          <w:ilvl w:val="1"/>
          <w:numId w:val="90"/>
        </w:numPr>
        <w:outlineLvl w:val="3"/>
      </w:pPr>
      <w:bookmarkStart w:id="418" w:name="_Toc400634032"/>
      <w:bookmarkStart w:id="419" w:name="_Toc400635155"/>
      <w:bookmarkStart w:id="420" w:name="_Toc468288023"/>
      <w:bookmarkStart w:id="421" w:name="_Toc496266616"/>
      <w:bookmarkStart w:id="422" w:name="Lit_39_1"/>
      <w:r w:rsidRPr="00E2664E">
        <w:t>CESIÓN EN GARANTÍA</w:t>
      </w:r>
      <w:bookmarkEnd w:id="418"/>
      <w:bookmarkEnd w:id="419"/>
      <w:bookmarkEnd w:id="420"/>
      <w:bookmarkEnd w:id="421"/>
    </w:p>
    <w:bookmarkEnd w:id="422"/>
    <w:p w14:paraId="11E5D1EF"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podrá ceder en garantía, exclusivamente a favor de entidades que financien la ejecución del proyecto, todos los derechos y obligaciones e</w:t>
      </w:r>
      <w:r w:rsidR="0015240A">
        <w:rPr>
          <w:rFonts w:ascii="Arial" w:hAnsi="Arial" w:cs="Arial"/>
          <w:sz w:val="20"/>
          <w:szCs w:val="20"/>
          <w:lang w:val="es-UY"/>
        </w:rPr>
        <w:t xml:space="preserve">mergentes del Contrato de PPP, </w:t>
      </w:r>
      <w:r w:rsidRPr="00E2664E">
        <w:rPr>
          <w:rFonts w:ascii="Arial" w:hAnsi="Arial" w:cs="Arial"/>
          <w:sz w:val="20"/>
          <w:szCs w:val="20"/>
          <w:lang w:val="es-UY"/>
        </w:rPr>
        <w:t xml:space="preserve">a efectos de que dichos acreedores cedan el mismo a un tercero. </w:t>
      </w:r>
    </w:p>
    <w:p w14:paraId="38B38695"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lastRenderedPageBreak/>
        <w:t>La cesión del Contrato a un tercero quedará condicionada a la previa autorización de la Contratante, quien resolverá si el tercero propuesto cumple los requisitos necesarios para constituirse en cesionario.</w:t>
      </w:r>
    </w:p>
    <w:p w14:paraId="5A3EC3EA"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A tales efectos el Contratista</w:t>
      </w:r>
      <w:r w:rsidR="00B14DCC">
        <w:rPr>
          <w:rFonts w:ascii="Arial" w:hAnsi="Arial" w:cs="Arial"/>
          <w:sz w:val="20"/>
          <w:szCs w:val="20"/>
          <w:lang w:val="es-UY"/>
        </w:rPr>
        <w:t xml:space="preserve"> </w:t>
      </w:r>
      <w:r w:rsidRPr="00E2664E">
        <w:rPr>
          <w:rFonts w:ascii="Arial" w:hAnsi="Arial" w:cs="Arial"/>
          <w:sz w:val="20"/>
          <w:szCs w:val="20"/>
          <w:lang w:val="es-UY"/>
        </w:rPr>
        <w:t>celebrará la cesión del contrato de PPP con la entidad que financie el proyecto, y lo notificará formalmente a la Contratante para que ésta tome conocimiento de la existencia de la misma a</w:t>
      </w:r>
      <w:r w:rsidR="00B14DCC">
        <w:rPr>
          <w:rFonts w:ascii="Arial" w:hAnsi="Arial" w:cs="Arial"/>
          <w:sz w:val="20"/>
          <w:szCs w:val="20"/>
          <w:lang w:val="es-UY"/>
        </w:rPr>
        <w:t xml:space="preserve"> </w:t>
      </w:r>
      <w:r w:rsidRPr="00E2664E">
        <w:rPr>
          <w:rFonts w:ascii="Arial" w:hAnsi="Arial" w:cs="Arial"/>
          <w:sz w:val="20"/>
          <w:szCs w:val="20"/>
          <w:lang w:val="es-UY"/>
        </w:rPr>
        <w:t>los efectos que correspondan de acuerdo a lo establecido en el presente pliego.</w:t>
      </w:r>
    </w:p>
    <w:p w14:paraId="34EED448"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Al momento de presentar el PEFD,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deberá informar de la existencia de los contratos de cesión en garantía a favor de los acreedores. Luego de aprobado el PEFD cualquier alteración en relación con estos contratos deberá requerir autorización de la Contratante. </w:t>
      </w:r>
    </w:p>
    <w:p w14:paraId="495293B1" w14:textId="77777777" w:rsidR="005C66D1" w:rsidRPr="007339F8" w:rsidRDefault="005C66D1" w:rsidP="005C66D1">
      <w:pPr>
        <w:spacing w:after="120"/>
        <w:jc w:val="both"/>
        <w:rPr>
          <w:rFonts w:ascii="Arial" w:hAnsi="Arial" w:cs="Arial"/>
          <w:color w:val="000000" w:themeColor="text1"/>
          <w:sz w:val="20"/>
          <w:szCs w:val="20"/>
        </w:rPr>
      </w:pPr>
      <w:r w:rsidRPr="007339F8">
        <w:rPr>
          <w:rFonts w:ascii="Arial" w:hAnsi="Arial" w:cs="Arial"/>
          <w:color w:val="000000" w:themeColor="text1"/>
          <w:sz w:val="20"/>
          <w:szCs w:val="20"/>
        </w:rPr>
        <w:t>En caso que se ceda la posición contractual por cualquiera de las contrapartes de los instrumentos de financiación, y lo anterior implique una alteración en relación a los contratos de cesión en garantía a favor de los acreedores financieros, el contratista deberá requerir autorización de la contratante.</w:t>
      </w:r>
    </w:p>
    <w:p w14:paraId="7FF8B65A"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La cesión del contrato deberá estar condicionada a la configuración de “hechos de incumplimiento”. </w:t>
      </w:r>
    </w:p>
    <w:p w14:paraId="03789EB9" w14:textId="77777777" w:rsidR="00A3029F"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sidRPr="00E2664E">
        <w:rPr>
          <w:rFonts w:ascii="Arial" w:hAnsi="Arial" w:cs="Arial"/>
          <w:sz w:val="20"/>
          <w:szCs w:val="20"/>
        </w:rPr>
        <w:lastRenderedPageBreak/>
        <w:t>A efectos de la presente cláusula, se consideran “hechos de incumplimiento” las siguientes circunstancias:</w:t>
      </w:r>
    </w:p>
    <w:p w14:paraId="456DD4C8" w14:textId="77777777" w:rsidR="00AC1FA0" w:rsidRPr="00AC1FA0" w:rsidRDefault="00AC1FA0" w:rsidP="009A58E0">
      <w:pPr>
        <w:pStyle w:val="Prrafodelista"/>
        <w:numPr>
          <w:ilvl w:val="0"/>
          <w:numId w:val="15"/>
        </w:numPr>
        <w:tabs>
          <w:tab w:val="left" w:pos="0"/>
          <w:tab w:val="left" w:pos="284"/>
          <w:tab w:val="left" w:pos="2880"/>
          <w:tab w:val="left" w:pos="3600"/>
          <w:tab w:val="left" w:pos="4320"/>
          <w:tab w:val="left" w:pos="5040"/>
          <w:tab w:val="left" w:pos="5760"/>
          <w:tab w:val="left" w:pos="6480"/>
          <w:tab w:val="left" w:pos="7200"/>
          <w:tab w:val="left" w:pos="7920"/>
        </w:tabs>
        <w:spacing w:after="120"/>
        <w:jc w:val="both"/>
        <w:rPr>
          <w:rFonts w:ascii="Arial" w:hAnsi="Arial" w:cs="Arial"/>
          <w:sz w:val="20"/>
          <w:szCs w:val="20"/>
        </w:rPr>
      </w:pPr>
      <w:r>
        <w:rPr>
          <w:rFonts w:ascii="Arial" w:hAnsi="Arial" w:cs="Arial"/>
          <w:sz w:val="20"/>
          <w:szCs w:val="20"/>
          <w:lang w:val="es-UY" w:eastAsia="es-UY"/>
        </w:rPr>
        <w:t>Demoras no autorizadas</w:t>
      </w:r>
      <w:r w:rsidRPr="00AC1FA0">
        <w:rPr>
          <w:rFonts w:ascii="Arial" w:hAnsi="Arial" w:cs="Arial"/>
          <w:sz w:val="20"/>
          <w:szCs w:val="20"/>
          <w:lang w:val="es-UY" w:eastAsia="es-UY"/>
        </w:rPr>
        <w:t xml:space="preserve"> </w:t>
      </w:r>
      <w:r>
        <w:rPr>
          <w:rFonts w:ascii="Arial" w:hAnsi="Arial" w:cs="Arial"/>
          <w:sz w:val="20"/>
          <w:szCs w:val="20"/>
          <w:lang w:val="es-UY" w:eastAsia="es-UY"/>
        </w:rPr>
        <w:t xml:space="preserve">en la ejecución de los trabajos, </w:t>
      </w:r>
      <w:r w:rsidR="008F3CDA">
        <w:rPr>
          <w:rFonts w:ascii="Arial" w:hAnsi="Arial" w:cs="Arial"/>
          <w:sz w:val="20"/>
          <w:szCs w:val="20"/>
          <w:lang w:val="es-UY" w:eastAsia="es-UY"/>
        </w:rPr>
        <w:t>en un periodo</w:t>
      </w:r>
      <w:r w:rsidRPr="00AC1FA0">
        <w:rPr>
          <w:rFonts w:ascii="Arial" w:hAnsi="Arial" w:cs="Arial"/>
          <w:sz w:val="20"/>
          <w:szCs w:val="20"/>
          <w:lang w:val="es-UY" w:eastAsia="es-UY"/>
        </w:rPr>
        <w:t xml:space="preserve"> </w:t>
      </w:r>
      <w:r w:rsidR="008F3CDA">
        <w:rPr>
          <w:rFonts w:ascii="Arial" w:hAnsi="Arial" w:cs="Arial"/>
          <w:sz w:val="20"/>
          <w:szCs w:val="20"/>
          <w:lang w:val="es-UY" w:eastAsia="es-UY"/>
        </w:rPr>
        <w:t xml:space="preserve">superior a </w:t>
      </w:r>
      <w:r w:rsidRPr="00AC1FA0">
        <w:rPr>
          <w:rFonts w:ascii="Arial" w:hAnsi="Arial" w:cs="Arial"/>
          <w:sz w:val="20"/>
          <w:szCs w:val="20"/>
          <w:lang w:val="es-UY" w:eastAsia="es-UY"/>
        </w:rPr>
        <w:t>90 (noventa</w:t>
      </w:r>
      <w:r w:rsidR="00DA12E8">
        <w:rPr>
          <w:rFonts w:ascii="Arial" w:hAnsi="Arial" w:cs="Arial"/>
          <w:sz w:val="20"/>
          <w:szCs w:val="20"/>
          <w:lang w:val="es-UY" w:eastAsia="es-UY"/>
        </w:rPr>
        <w:t>)</w:t>
      </w:r>
      <w:r w:rsidR="00B14DCC">
        <w:rPr>
          <w:rFonts w:ascii="Arial" w:hAnsi="Arial" w:cs="Arial"/>
          <w:sz w:val="20"/>
          <w:szCs w:val="20"/>
          <w:lang w:val="es-UY" w:eastAsia="es-UY"/>
        </w:rPr>
        <w:t xml:space="preserve"> </w:t>
      </w:r>
      <w:r w:rsidRPr="00AC1FA0">
        <w:rPr>
          <w:rFonts w:ascii="Arial" w:hAnsi="Arial" w:cs="Arial"/>
          <w:sz w:val="20"/>
          <w:szCs w:val="20"/>
          <w:lang w:val="es-UY" w:eastAsia="es-UY"/>
        </w:rPr>
        <w:t>días</w:t>
      </w:r>
      <w:r w:rsidR="00B14DCC">
        <w:rPr>
          <w:rFonts w:ascii="Arial" w:hAnsi="Arial" w:cs="Arial"/>
          <w:sz w:val="20"/>
          <w:szCs w:val="20"/>
          <w:lang w:val="es-UY" w:eastAsia="es-UY"/>
        </w:rPr>
        <w:t xml:space="preserve"> </w:t>
      </w:r>
      <w:r w:rsidRPr="00AC1FA0">
        <w:rPr>
          <w:rFonts w:ascii="Arial" w:hAnsi="Arial" w:cs="Arial"/>
          <w:sz w:val="20"/>
          <w:szCs w:val="20"/>
          <w:lang w:val="es-UY" w:eastAsia="es-UY"/>
        </w:rPr>
        <w:t xml:space="preserve">de los plazos </w:t>
      </w:r>
      <w:r w:rsidR="008F3CDA">
        <w:rPr>
          <w:rFonts w:ascii="Arial" w:hAnsi="Arial" w:cs="Arial"/>
          <w:sz w:val="20"/>
          <w:szCs w:val="20"/>
          <w:lang w:val="es-UY" w:eastAsia="es-UY"/>
        </w:rPr>
        <w:t>parciales y totales</w:t>
      </w:r>
      <w:r w:rsidRPr="00AC1FA0">
        <w:rPr>
          <w:rFonts w:ascii="Arial" w:hAnsi="Arial" w:cs="Arial"/>
          <w:sz w:val="20"/>
          <w:szCs w:val="20"/>
          <w:lang w:val="es-UY" w:eastAsia="es-UY"/>
        </w:rPr>
        <w:t xml:space="preserve"> establecidos en </w:t>
      </w:r>
      <w:r w:rsidRPr="002E508F">
        <w:rPr>
          <w:rFonts w:ascii="Arial" w:hAnsi="Arial" w:cs="Arial"/>
          <w:sz w:val="20"/>
          <w:szCs w:val="20"/>
          <w:lang w:val="es-UY" w:eastAsia="es-UY"/>
        </w:rPr>
        <w:t xml:space="preserve">tabla </w:t>
      </w:r>
      <w:r w:rsidR="00F46978" w:rsidRPr="002E508F">
        <w:rPr>
          <w:rFonts w:ascii="Arial" w:hAnsi="Arial" w:cs="Arial"/>
          <w:sz w:val="20"/>
          <w:szCs w:val="20"/>
          <w:lang w:val="es-UY" w:eastAsia="es-UY"/>
        </w:rPr>
        <w:t>C.</w:t>
      </w:r>
      <w:r w:rsidR="001F1152" w:rsidRPr="002E508F">
        <w:rPr>
          <w:rFonts w:ascii="Arial" w:hAnsi="Arial" w:cs="Arial"/>
          <w:sz w:val="20"/>
          <w:szCs w:val="20"/>
          <w:lang w:val="es-UY" w:eastAsia="es-UY"/>
        </w:rPr>
        <w:t>XI</w:t>
      </w:r>
      <w:r w:rsidR="00F46978" w:rsidRPr="002E508F">
        <w:rPr>
          <w:rFonts w:ascii="Arial" w:hAnsi="Arial" w:cs="Arial"/>
          <w:sz w:val="20"/>
          <w:szCs w:val="20"/>
          <w:lang w:val="es-UY" w:eastAsia="es-UY"/>
        </w:rPr>
        <w:t>-</w:t>
      </w:r>
      <w:r w:rsidR="001F1152" w:rsidRPr="002E508F">
        <w:rPr>
          <w:rFonts w:ascii="Arial" w:hAnsi="Arial" w:cs="Arial"/>
          <w:sz w:val="20"/>
          <w:szCs w:val="20"/>
          <w:lang w:val="es-UY" w:eastAsia="es-UY"/>
        </w:rPr>
        <w:t>5</w:t>
      </w:r>
      <w:r w:rsidRPr="00AC1FA0">
        <w:rPr>
          <w:rFonts w:ascii="Arial" w:hAnsi="Arial" w:cs="Arial"/>
          <w:sz w:val="20"/>
          <w:szCs w:val="20"/>
          <w:lang w:val="es-UY" w:eastAsia="es-UY"/>
        </w:rPr>
        <w:t xml:space="preserve"> del presente pliego de licitación.</w:t>
      </w:r>
    </w:p>
    <w:p w14:paraId="2188D1A1" w14:textId="77777777" w:rsidR="00A3029F" w:rsidRPr="00E2664E" w:rsidRDefault="00A3029F" w:rsidP="009A58E0">
      <w:pPr>
        <w:numPr>
          <w:ilvl w:val="0"/>
          <w:numId w:val="15"/>
        </w:numPr>
        <w:spacing w:after="120"/>
        <w:jc w:val="both"/>
        <w:rPr>
          <w:rFonts w:ascii="Arial" w:hAnsi="Arial" w:cs="Arial"/>
          <w:sz w:val="20"/>
          <w:szCs w:val="20"/>
        </w:rPr>
      </w:pPr>
      <w:r w:rsidRPr="00E2664E">
        <w:rPr>
          <w:rFonts w:ascii="Arial" w:hAnsi="Arial" w:cs="Arial"/>
          <w:sz w:val="20"/>
          <w:szCs w:val="20"/>
        </w:rPr>
        <w:t>Cuando en un año el monto correspondiente al Pago Por Disponibilidad:</w:t>
      </w:r>
    </w:p>
    <w:p w14:paraId="18DEC038" w14:textId="77777777" w:rsidR="00A3029F" w:rsidRPr="00E2664E" w:rsidRDefault="00A3029F" w:rsidP="00075F8F">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a) resulte inferior al 8</w:t>
      </w:r>
      <w:r>
        <w:rPr>
          <w:rFonts w:ascii="Arial" w:hAnsi="Arial" w:cs="Arial"/>
          <w:sz w:val="20"/>
          <w:szCs w:val="20"/>
        </w:rPr>
        <w:t>5</w:t>
      </w:r>
      <w:r w:rsidRPr="00E2664E">
        <w:rPr>
          <w:rFonts w:ascii="Arial" w:hAnsi="Arial" w:cs="Arial"/>
          <w:sz w:val="20"/>
          <w:szCs w:val="20"/>
        </w:rPr>
        <w:t xml:space="preserve">% del monto que hubiere correspondido cobrar por ese mismo concepto si la disponibilidad hubiera sido del 100%. </w:t>
      </w:r>
    </w:p>
    <w:p w14:paraId="3480D6B2" w14:textId="77777777" w:rsidR="0023745B" w:rsidRPr="00AC1FA0" w:rsidRDefault="00A3029F" w:rsidP="00AC1FA0">
      <w:pPr>
        <w:tabs>
          <w:tab w:val="left" w:pos="0"/>
          <w:tab w:val="left" w:pos="284"/>
          <w:tab w:val="left" w:pos="2880"/>
          <w:tab w:val="left" w:pos="3600"/>
          <w:tab w:val="left" w:pos="4320"/>
          <w:tab w:val="left" w:pos="5040"/>
          <w:tab w:val="left" w:pos="5760"/>
          <w:tab w:val="left" w:pos="6480"/>
          <w:tab w:val="left" w:pos="7200"/>
          <w:tab w:val="left" w:pos="7920"/>
        </w:tabs>
        <w:spacing w:after="120"/>
        <w:ind w:left="720"/>
        <w:jc w:val="both"/>
        <w:rPr>
          <w:rFonts w:ascii="Arial" w:hAnsi="Arial" w:cs="Arial"/>
          <w:sz w:val="20"/>
          <w:szCs w:val="20"/>
        </w:rPr>
      </w:pPr>
      <w:r w:rsidRPr="00E2664E">
        <w:rPr>
          <w:rFonts w:ascii="Arial" w:hAnsi="Arial" w:cs="Arial"/>
          <w:sz w:val="20"/>
          <w:szCs w:val="20"/>
        </w:rPr>
        <w:t>b) si en las mismas condiciones fuera inferior al 9</w:t>
      </w:r>
      <w:r>
        <w:rPr>
          <w:rFonts w:ascii="Arial" w:hAnsi="Arial" w:cs="Arial"/>
          <w:sz w:val="20"/>
          <w:szCs w:val="20"/>
        </w:rPr>
        <w:t>2</w:t>
      </w:r>
      <w:r w:rsidRPr="00E2664E">
        <w:rPr>
          <w:rFonts w:ascii="Arial" w:hAnsi="Arial" w:cs="Arial"/>
          <w:sz w:val="20"/>
          <w:szCs w:val="20"/>
        </w:rPr>
        <w:t>% durante dos años consecutivos.</w:t>
      </w:r>
    </w:p>
    <w:p w14:paraId="4DB946E6" w14:textId="77777777" w:rsidR="00A3029F" w:rsidRPr="00E2664E" w:rsidRDefault="00A3029F" w:rsidP="009A58E0">
      <w:pPr>
        <w:numPr>
          <w:ilvl w:val="0"/>
          <w:numId w:val="15"/>
        </w:numPr>
        <w:spacing w:before="240" w:after="120"/>
        <w:jc w:val="both"/>
        <w:rPr>
          <w:rFonts w:ascii="Arial" w:hAnsi="Arial" w:cs="Arial"/>
          <w:sz w:val="20"/>
          <w:szCs w:val="20"/>
          <w:lang w:val="es-ES_tradnl" w:eastAsia="es-ES"/>
        </w:rPr>
      </w:pPr>
      <w:r w:rsidRPr="00E2664E">
        <w:rPr>
          <w:rFonts w:ascii="Arial" w:hAnsi="Arial" w:cs="Arial"/>
          <w:sz w:val="20"/>
          <w:szCs w:val="20"/>
          <w:lang w:val="es-ES_tradnl" w:eastAsia="es-ES"/>
        </w:rPr>
        <w:t>Cualquier otro “hecho de incumplimiento” que se precise en el contrato celebrado entre el Contratista</w:t>
      </w:r>
      <w:r w:rsidR="00B14DCC">
        <w:rPr>
          <w:rFonts w:ascii="Arial" w:hAnsi="Arial" w:cs="Arial"/>
          <w:sz w:val="20"/>
          <w:szCs w:val="20"/>
          <w:lang w:val="es-ES_tradnl" w:eastAsia="es-ES"/>
        </w:rPr>
        <w:t xml:space="preserve"> </w:t>
      </w:r>
      <w:r w:rsidRPr="00E2664E">
        <w:rPr>
          <w:rFonts w:ascii="Arial" w:hAnsi="Arial" w:cs="Arial"/>
          <w:sz w:val="20"/>
          <w:szCs w:val="20"/>
          <w:lang w:val="es-ES_tradnl" w:eastAsia="es-ES"/>
        </w:rPr>
        <w:t>y las entidades que financian el proyecto, y que haya sido incorporado por la Contratante en el contrato de PPP por entender que el mismo pone en riesgo la continuidad de la ejecución del contrato.</w:t>
      </w:r>
    </w:p>
    <w:p w14:paraId="57E1D665"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La entidad que financie el proyecto, cuando entendiere que se verifican los “hechos de incumplimiento” establecidos en la presente </w:t>
      </w:r>
      <w:r w:rsidRPr="00E2664E">
        <w:rPr>
          <w:rFonts w:ascii="Arial" w:hAnsi="Arial" w:cs="Arial"/>
          <w:sz w:val="20"/>
          <w:szCs w:val="20"/>
          <w:lang w:val="es-UY"/>
        </w:rPr>
        <w:lastRenderedPageBreak/>
        <w:t>cláusula, y si tuviere la voluntad de hacer efectiva la mencionada cesión, deberá:</w:t>
      </w:r>
    </w:p>
    <w:p w14:paraId="0DEACFAA" w14:textId="77777777" w:rsidR="00A3029F" w:rsidRPr="00E2664E" w:rsidRDefault="00A3029F" w:rsidP="009A58E0">
      <w:pPr>
        <w:numPr>
          <w:ilvl w:val="0"/>
          <w:numId w:val="71"/>
        </w:numPr>
        <w:spacing w:after="120"/>
        <w:jc w:val="both"/>
        <w:rPr>
          <w:rFonts w:ascii="Arial" w:hAnsi="Arial" w:cs="Arial"/>
          <w:sz w:val="20"/>
          <w:szCs w:val="20"/>
          <w:lang w:val="es-UY"/>
        </w:rPr>
      </w:pPr>
      <w:r w:rsidRPr="00E2664E">
        <w:rPr>
          <w:rFonts w:ascii="Arial" w:hAnsi="Arial" w:cs="Arial"/>
          <w:sz w:val="20"/>
          <w:szCs w:val="20"/>
          <w:lang w:val="es-UY"/>
        </w:rPr>
        <w:t xml:space="preserve">notificar su voluntad a la Contratante, </w:t>
      </w:r>
    </w:p>
    <w:p w14:paraId="042D609D" w14:textId="77777777" w:rsidR="00A3029F" w:rsidRPr="00E2664E" w:rsidRDefault="00A3029F" w:rsidP="009A58E0">
      <w:pPr>
        <w:numPr>
          <w:ilvl w:val="0"/>
          <w:numId w:val="71"/>
        </w:numPr>
        <w:spacing w:after="120"/>
        <w:jc w:val="both"/>
        <w:rPr>
          <w:rFonts w:ascii="Arial" w:hAnsi="Arial" w:cs="Arial"/>
          <w:sz w:val="20"/>
          <w:szCs w:val="20"/>
          <w:lang w:val="es-UY"/>
        </w:rPr>
      </w:pPr>
      <w:r w:rsidRPr="00E2664E">
        <w:rPr>
          <w:rFonts w:ascii="Arial" w:hAnsi="Arial" w:cs="Arial"/>
          <w:sz w:val="20"/>
          <w:szCs w:val="20"/>
          <w:lang w:val="es-UY"/>
        </w:rPr>
        <w:t>proponer a la Contratante un cesionario, en un plazo máximo de 90 días a partir de efectuada la misma.</w:t>
      </w:r>
    </w:p>
    <w:p w14:paraId="5BE00ED2"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financista del proyecto deberá proporcionar a la Contratante toda la información que a su juicio acredite la capacidad de quien propone para cumplir con las obligaciones emergentes del Contrato de PPP. </w:t>
      </w:r>
    </w:p>
    <w:p w14:paraId="3DA57970"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Éste deberá contar con antecedentes de experiencia al menos equivalentes a los que se acreditaron en la oferta que fue adjudicada. Si el Contrato de Participación Público-Privad</w:t>
      </w:r>
      <w:r w:rsidR="005E1FD8">
        <w:rPr>
          <w:rFonts w:ascii="Arial" w:hAnsi="Arial" w:cs="Arial"/>
          <w:sz w:val="20"/>
          <w:szCs w:val="20"/>
          <w:lang w:val="es-UY"/>
        </w:rPr>
        <w:t>a</w:t>
      </w:r>
      <w:r w:rsidRPr="00E2664E">
        <w:rPr>
          <w:rFonts w:ascii="Arial" w:hAnsi="Arial" w:cs="Arial"/>
          <w:sz w:val="20"/>
          <w:szCs w:val="20"/>
          <w:lang w:val="es-UY"/>
        </w:rPr>
        <w:t xml:space="preserve"> estuviere parcialmente cumplido, el postulante deberá al menos cumplir con</w:t>
      </w:r>
      <w:r w:rsidR="00B14DCC">
        <w:rPr>
          <w:rFonts w:ascii="Arial" w:hAnsi="Arial" w:cs="Arial"/>
          <w:sz w:val="20"/>
          <w:szCs w:val="20"/>
          <w:lang w:val="es-UY"/>
        </w:rPr>
        <w:t xml:space="preserve"> </w:t>
      </w:r>
      <w:r w:rsidRPr="00E2664E">
        <w:rPr>
          <w:rFonts w:ascii="Arial" w:hAnsi="Arial" w:cs="Arial"/>
          <w:sz w:val="20"/>
          <w:szCs w:val="20"/>
          <w:lang w:val="es-UY"/>
        </w:rPr>
        <w:t>los requisitos correspondientes a los aspectos del objeto del contrato pendientes de cumplimiento.</w:t>
      </w:r>
    </w:p>
    <w:p w14:paraId="10308DCA" w14:textId="77777777" w:rsidR="001D5A33" w:rsidRPr="00E2664E" w:rsidRDefault="00B14002" w:rsidP="00075F8F">
      <w:pPr>
        <w:spacing w:after="120"/>
        <w:jc w:val="both"/>
        <w:rPr>
          <w:rFonts w:ascii="Arial" w:hAnsi="Arial" w:cs="Arial"/>
          <w:sz w:val="20"/>
          <w:szCs w:val="20"/>
          <w:lang w:val="es-UY"/>
        </w:rPr>
      </w:pPr>
      <w:r>
        <w:rPr>
          <w:rFonts w:ascii="Arial" w:hAnsi="Arial" w:cs="Arial"/>
          <w:sz w:val="20"/>
          <w:szCs w:val="20"/>
          <w:lang w:val="es-UY"/>
        </w:rPr>
        <w:t xml:space="preserve">En el plazo de </w:t>
      </w:r>
      <w:r w:rsidR="001D5A33">
        <w:rPr>
          <w:rFonts w:ascii="Arial" w:hAnsi="Arial" w:cs="Arial"/>
          <w:sz w:val="20"/>
          <w:szCs w:val="20"/>
          <w:lang w:val="es-UY"/>
        </w:rPr>
        <w:t>sesenta</w:t>
      </w:r>
      <w:r>
        <w:rPr>
          <w:rFonts w:ascii="Arial" w:hAnsi="Arial" w:cs="Arial"/>
          <w:sz w:val="20"/>
          <w:szCs w:val="20"/>
          <w:lang w:val="es-UY"/>
        </w:rPr>
        <w:t xml:space="preserve"> días corridos contados desde la presentación de la solicitud de cesión, la Contratante deberá verificar si el cesionario propuesto </w:t>
      </w:r>
      <w:r w:rsidR="00A3029F" w:rsidRPr="00E2664E">
        <w:rPr>
          <w:rFonts w:ascii="Arial" w:hAnsi="Arial" w:cs="Arial"/>
          <w:sz w:val="20"/>
          <w:szCs w:val="20"/>
          <w:lang w:val="es-UY"/>
        </w:rPr>
        <w:t xml:space="preserve">reúne los requisitos y condiciones necesarias para continuar con el </w:t>
      </w:r>
      <w:r>
        <w:rPr>
          <w:rFonts w:ascii="Arial" w:hAnsi="Arial" w:cs="Arial"/>
          <w:sz w:val="20"/>
          <w:szCs w:val="20"/>
          <w:lang w:val="es-UY"/>
        </w:rPr>
        <w:t xml:space="preserve">correcto </w:t>
      </w:r>
      <w:r w:rsidR="00A3029F" w:rsidRPr="00E2664E">
        <w:rPr>
          <w:rFonts w:ascii="Arial" w:hAnsi="Arial" w:cs="Arial"/>
          <w:sz w:val="20"/>
          <w:szCs w:val="20"/>
          <w:lang w:val="es-UY"/>
        </w:rPr>
        <w:t>cumplimiento del Contrato</w:t>
      </w:r>
      <w:r>
        <w:rPr>
          <w:rFonts w:ascii="Arial" w:hAnsi="Arial" w:cs="Arial"/>
          <w:sz w:val="20"/>
          <w:szCs w:val="20"/>
          <w:lang w:val="es-UY"/>
        </w:rPr>
        <w:t xml:space="preserve"> pudiendo </w:t>
      </w:r>
      <w:r w:rsidR="00C20015">
        <w:rPr>
          <w:rFonts w:ascii="Arial" w:hAnsi="Arial" w:cs="Arial"/>
          <w:sz w:val="20"/>
          <w:szCs w:val="20"/>
          <w:lang w:val="es-UY"/>
        </w:rPr>
        <w:t>solicitar</w:t>
      </w:r>
      <w:r>
        <w:rPr>
          <w:rFonts w:ascii="Arial" w:hAnsi="Arial" w:cs="Arial"/>
          <w:sz w:val="20"/>
          <w:szCs w:val="20"/>
          <w:lang w:val="es-UY"/>
        </w:rPr>
        <w:t xml:space="preserve"> las ampliaciones o aclaraciones que considere pertinentes en tal sentido</w:t>
      </w:r>
      <w:r w:rsidR="00A3029F" w:rsidRPr="00E2664E">
        <w:rPr>
          <w:rFonts w:ascii="Arial" w:hAnsi="Arial" w:cs="Arial"/>
          <w:sz w:val="20"/>
          <w:szCs w:val="20"/>
          <w:lang w:val="es-UY"/>
        </w:rPr>
        <w:t>.</w:t>
      </w:r>
      <w:r w:rsidR="008A66EA" w:rsidRPr="008A66EA">
        <w:rPr>
          <w:rFonts w:ascii="Arial" w:hAnsi="Arial" w:cs="Arial"/>
          <w:sz w:val="20"/>
          <w:szCs w:val="20"/>
          <w:lang w:val="es-UY"/>
        </w:rPr>
        <w:t xml:space="preserve"> </w:t>
      </w:r>
      <w:r w:rsidR="001D5A33">
        <w:rPr>
          <w:rFonts w:ascii="Arial" w:hAnsi="Arial" w:cs="Arial"/>
          <w:sz w:val="20"/>
          <w:szCs w:val="20"/>
          <w:lang w:val="es-UY"/>
        </w:rPr>
        <w:t xml:space="preserve">Habiendo transcurrido el plazo reseñado, sin que la </w:t>
      </w:r>
      <w:r w:rsidR="00C33B28">
        <w:rPr>
          <w:rFonts w:ascii="Arial" w:hAnsi="Arial" w:cs="Arial"/>
          <w:sz w:val="20"/>
          <w:szCs w:val="20"/>
          <w:lang w:val="es-UY"/>
        </w:rPr>
        <w:t>Contratante</w:t>
      </w:r>
      <w:r w:rsidR="001D5A33">
        <w:rPr>
          <w:rFonts w:ascii="Arial" w:hAnsi="Arial" w:cs="Arial"/>
          <w:sz w:val="20"/>
          <w:szCs w:val="20"/>
          <w:lang w:val="es-UY"/>
        </w:rPr>
        <w:t xml:space="preserve"> resolviera sobre la solicitud de cesión, se </w:t>
      </w:r>
      <w:r w:rsidR="001D5A33">
        <w:rPr>
          <w:rFonts w:ascii="Arial" w:hAnsi="Arial" w:cs="Arial"/>
          <w:sz w:val="20"/>
          <w:szCs w:val="20"/>
          <w:lang w:val="es-UY"/>
        </w:rPr>
        <w:lastRenderedPageBreak/>
        <w:t xml:space="preserve">entenderá que la misma es rechazada. Sin perjuicio de ello, la </w:t>
      </w:r>
      <w:r w:rsidR="00C33B28">
        <w:rPr>
          <w:rFonts w:ascii="Arial" w:hAnsi="Arial" w:cs="Arial"/>
          <w:sz w:val="20"/>
          <w:szCs w:val="20"/>
          <w:lang w:val="es-UY"/>
        </w:rPr>
        <w:t>C</w:t>
      </w:r>
      <w:r w:rsidR="001D5A33">
        <w:rPr>
          <w:rFonts w:ascii="Arial" w:hAnsi="Arial" w:cs="Arial"/>
          <w:sz w:val="20"/>
          <w:szCs w:val="20"/>
          <w:lang w:val="es-UY"/>
        </w:rPr>
        <w:t>ontratante podrá resolver, en cualquier momento,</w:t>
      </w:r>
      <w:r w:rsidR="00174174">
        <w:rPr>
          <w:rFonts w:ascii="Arial" w:hAnsi="Arial" w:cs="Arial"/>
          <w:sz w:val="20"/>
          <w:szCs w:val="20"/>
          <w:lang w:val="es-UY"/>
        </w:rPr>
        <w:t xml:space="preserve"> </w:t>
      </w:r>
      <w:r w:rsidR="001D5A33">
        <w:rPr>
          <w:rFonts w:ascii="Arial" w:hAnsi="Arial" w:cs="Arial"/>
          <w:sz w:val="20"/>
          <w:szCs w:val="20"/>
          <w:lang w:val="es-UY"/>
        </w:rPr>
        <w:t>en forma expresa sobre la solicitud de la cesión.</w:t>
      </w:r>
    </w:p>
    <w:p w14:paraId="31BC3887"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del Contrato de PPP a un tercero se hará efectiva una vez que la Contratante</w:t>
      </w:r>
      <w:r w:rsidR="00B14DCC">
        <w:rPr>
          <w:rFonts w:ascii="Arial" w:hAnsi="Arial" w:cs="Arial"/>
          <w:sz w:val="20"/>
          <w:szCs w:val="20"/>
          <w:lang w:val="es-UY"/>
        </w:rPr>
        <w:t xml:space="preserve"> </w:t>
      </w:r>
      <w:r w:rsidRPr="00E2664E">
        <w:rPr>
          <w:rFonts w:ascii="Arial" w:hAnsi="Arial" w:cs="Arial"/>
          <w:sz w:val="20"/>
          <w:szCs w:val="20"/>
          <w:lang w:val="es-UY"/>
        </w:rPr>
        <w:t xml:space="preserve">notifique la aceptación del </w:t>
      </w:r>
      <w:r w:rsidR="00F137A4">
        <w:rPr>
          <w:rFonts w:ascii="Arial" w:hAnsi="Arial" w:cs="Arial"/>
          <w:sz w:val="20"/>
          <w:szCs w:val="20"/>
          <w:lang w:val="es-UY"/>
        </w:rPr>
        <w:t>Cesionario</w:t>
      </w:r>
      <w:r w:rsidR="00F137A4" w:rsidRPr="00E2664E">
        <w:rPr>
          <w:rFonts w:ascii="Arial" w:hAnsi="Arial" w:cs="Arial"/>
          <w:sz w:val="20"/>
          <w:szCs w:val="20"/>
          <w:lang w:val="es-UY"/>
        </w:rPr>
        <w:t xml:space="preserve"> </w:t>
      </w:r>
      <w:r w:rsidRPr="00E2664E">
        <w:rPr>
          <w:rFonts w:ascii="Arial" w:hAnsi="Arial" w:cs="Arial"/>
          <w:sz w:val="20"/>
          <w:szCs w:val="20"/>
          <w:lang w:val="es-UY"/>
        </w:rPr>
        <w:t>propuesto.</w:t>
      </w:r>
    </w:p>
    <w:p w14:paraId="1CD16B16"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Operada la cesión del Contrato de PPP de acuerdo con lo establecido precedentemente, el cesionario será el titular de todos los derechos y obligaciones emergentes del Contrato.</w:t>
      </w:r>
    </w:p>
    <w:p w14:paraId="2905EEE1"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cesión operará de acuerdo a lo acordado entre el Contratista</w:t>
      </w:r>
      <w:r w:rsidR="00B14DCC">
        <w:rPr>
          <w:rFonts w:ascii="Arial" w:hAnsi="Arial" w:cs="Arial"/>
          <w:sz w:val="20"/>
          <w:szCs w:val="20"/>
          <w:lang w:val="es-UY"/>
        </w:rPr>
        <w:t xml:space="preserve"> </w:t>
      </w:r>
      <w:r w:rsidRPr="00E2664E">
        <w:rPr>
          <w:rFonts w:ascii="Arial" w:hAnsi="Arial" w:cs="Arial"/>
          <w:sz w:val="20"/>
          <w:szCs w:val="20"/>
          <w:lang w:val="es-UY"/>
        </w:rPr>
        <w:t>original y el acreedor en el contrato firmado por ambas partes, sin generar obligaciones a la Contratante.</w:t>
      </w:r>
    </w:p>
    <w:p w14:paraId="63A9F6F1" w14:textId="77777777" w:rsidR="00A3029F" w:rsidRPr="00E2664E" w:rsidRDefault="00A3029F" w:rsidP="009A58E0">
      <w:pPr>
        <w:pStyle w:val="T2"/>
        <w:numPr>
          <w:ilvl w:val="1"/>
          <w:numId w:val="90"/>
        </w:numPr>
        <w:outlineLvl w:val="3"/>
      </w:pPr>
      <w:bookmarkStart w:id="423" w:name="_Toc400634033"/>
      <w:bookmarkStart w:id="424" w:name="_Toc400635156"/>
      <w:bookmarkStart w:id="425" w:name="_Toc468288024"/>
      <w:bookmarkStart w:id="426" w:name="_Toc496266617"/>
      <w:bookmarkStart w:id="427" w:name="Lit_39_2"/>
      <w:r w:rsidRPr="00E2664E">
        <w:t>PRENDA ESPECIAL DE PARTICIPACIÓN PÚBLICO PRIVADA</w:t>
      </w:r>
      <w:bookmarkEnd w:id="423"/>
      <w:bookmarkEnd w:id="424"/>
      <w:bookmarkEnd w:id="425"/>
      <w:bookmarkEnd w:id="426"/>
    </w:p>
    <w:bookmarkEnd w:id="427"/>
    <w:p w14:paraId="0A736727"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La prenda especial de participación público-privad</w:t>
      </w:r>
      <w:r w:rsidR="00217549">
        <w:rPr>
          <w:rFonts w:ascii="Arial" w:hAnsi="Arial" w:cs="Arial"/>
          <w:sz w:val="20"/>
          <w:szCs w:val="20"/>
          <w:lang w:val="es-UY"/>
        </w:rPr>
        <w:t>a</w:t>
      </w:r>
      <w:r w:rsidRPr="00E2664E">
        <w:rPr>
          <w:rFonts w:ascii="Arial" w:hAnsi="Arial" w:cs="Arial"/>
          <w:sz w:val="20"/>
          <w:szCs w:val="20"/>
          <w:lang w:val="es-UY"/>
        </w:rPr>
        <w:t>, contemplada en el artículo 56 de la LCPPP, podrá ser pactada por el Contratista</w:t>
      </w:r>
      <w:r w:rsidR="00B14DCC">
        <w:rPr>
          <w:rFonts w:ascii="Arial" w:hAnsi="Arial" w:cs="Arial"/>
          <w:sz w:val="20"/>
          <w:szCs w:val="20"/>
          <w:lang w:val="es-UY"/>
        </w:rPr>
        <w:t xml:space="preserve"> </w:t>
      </w:r>
      <w:r w:rsidRPr="00E2664E">
        <w:rPr>
          <w:rFonts w:ascii="Arial" w:hAnsi="Arial" w:cs="Arial"/>
          <w:sz w:val="20"/>
          <w:szCs w:val="20"/>
          <w:lang w:val="es-UY"/>
        </w:rPr>
        <w:t>con los financistas de la obra</w:t>
      </w:r>
      <w:r>
        <w:rPr>
          <w:rFonts w:ascii="Arial" w:hAnsi="Arial" w:cs="Arial"/>
          <w:sz w:val="20"/>
          <w:szCs w:val="20"/>
          <w:lang w:val="es-UY"/>
        </w:rPr>
        <w:t>, de su operación o mantenimiento.</w:t>
      </w:r>
      <w:r w:rsidRPr="00E2664E">
        <w:rPr>
          <w:rFonts w:ascii="Arial" w:hAnsi="Arial" w:cs="Arial"/>
          <w:sz w:val="20"/>
          <w:szCs w:val="20"/>
          <w:lang w:val="es-UY"/>
        </w:rPr>
        <w:t xml:space="preserve"> Al momento de presentar el PEFD, el Contratista</w:t>
      </w:r>
      <w:r w:rsidR="00B14DCC">
        <w:rPr>
          <w:rFonts w:ascii="Arial" w:hAnsi="Arial" w:cs="Arial"/>
          <w:sz w:val="20"/>
          <w:szCs w:val="20"/>
          <w:lang w:val="es-UY"/>
        </w:rPr>
        <w:t xml:space="preserve"> </w:t>
      </w:r>
      <w:r w:rsidRPr="00E2664E">
        <w:rPr>
          <w:rFonts w:ascii="Arial" w:hAnsi="Arial" w:cs="Arial"/>
          <w:sz w:val="20"/>
          <w:szCs w:val="20"/>
          <w:lang w:val="es-UY"/>
        </w:rPr>
        <w:t>deberá informar de la existencia de acreedores prendarios. Luego de aprobado el PEFD cualquier alteración en relación a la prenda del contrato deberá requerir autorización de la Contratante.</w:t>
      </w:r>
    </w:p>
    <w:p w14:paraId="0848F05A"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lastRenderedPageBreak/>
        <w:t>En relación al párrafo anterior, dentro de los 30 días siguientes a la constitución de la referida prenda, el Contratista</w:t>
      </w:r>
      <w:r w:rsidR="00B14DCC">
        <w:rPr>
          <w:rFonts w:ascii="Arial" w:hAnsi="Arial" w:cs="Arial"/>
          <w:sz w:val="20"/>
          <w:szCs w:val="20"/>
          <w:lang w:val="es-UY"/>
        </w:rPr>
        <w:t xml:space="preserve"> </w:t>
      </w:r>
      <w:r w:rsidRPr="00E2664E">
        <w:rPr>
          <w:rFonts w:ascii="Arial" w:hAnsi="Arial" w:cs="Arial"/>
          <w:sz w:val="20"/>
          <w:szCs w:val="20"/>
          <w:lang w:val="es-UY"/>
        </w:rPr>
        <w:t>deberá entregar a la Contratante dos testimonios notariales de la escritura pública correspondiente o del documento privado con firmas certificadas notarialmente, con su correspondiente inscripción en el registro respectivo (</w:t>
      </w:r>
      <w:hyperlink r:id="rId62" w:history="1">
        <w:r w:rsidRPr="005029EE">
          <w:rPr>
            <w:rStyle w:val="Hipervnculo"/>
            <w:rFonts w:ascii="Arial" w:hAnsi="Arial" w:cs="Arial"/>
            <w:sz w:val="20"/>
            <w:szCs w:val="20"/>
            <w:lang w:val="es-UY"/>
          </w:rPr>
          <w:t>Art. 56</w:t>
        </w:r>
      </w:hyperlink>
      <w:r w:rsidRPr="00E2664E">
        <w:rPr>
          <w:rFonts w:ascii="Arial" w:hAnsi="Arial" w:cs="Arial"/>
          <w:sz w:val="20"/>
          <w:szCs w:val="20"/>
          <w:lang w:val="es-UY"/>
        </w:rPr>
        <w:t xml:space="preserve"> LCPPP).</w:t>
      </w:r>
    </w:p>
    <w:p w14:paraId="71397479" w14:textId="77777777" w:rsidR="00A3029F" w:rsidRPr="00E2664E"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El acreedor prendario tendrá derecho a ejecutar la prenda, ya sea porque la obligación garantizada no hubiera sido satisfecha total o parcialmente a su vencimiento, o cuando se hubiere dispuesto la resolución del contrato por incumplimiento del Contratista. </w:t>
      </w:r>
    </w:p>
    <w:p w14:paraId="4436469C" w14:textId="77777777" w:rsidR="00A3029F" w:rsidRDefault="00A3029F" w:rsidP="00075F8F">
      <w:pPr>
        <w:spacing w:after="120"/>
        <w:jc w:val="both"/>
        <w:rPr>
          <w:rFonts w:ascii="Arial" w:hAnsi="Arial" w:cs="Arial"/>
          <w:sz w:val="20"/>
          <w:szCs w:val="20"/>
          <w:lang w:val="es-UY"/>
        </w:rPr>
      </w:pPr>
      <w:r w:rsidRPr="00E2664E">
        <w:rPr>
          <w:rFonts w:ascii="Arial" w:hAnsi="Arial" w:cs="Arial"/>
          <w:sz w:val="20"/>
          <w:szCs w:val="20"/>
          <w:lang w:val="es-UY"/>
        </w:rPr>
        <w:t xml:space="preserve">Cuando la ejecución se origine en la resolución del contrato por incumplimiento del Contratista, la notificación de la pretensión de ejecutar la prenda deberá ocurrir dentro de los diez días siguientes al de la notificación al acreedor de la decisión de resolver el contrato. </w:t>
      </w:r>
    </w:p>
    <w:p w14:paraId="713FA3DD" w14:textId="77777777" w:rsidR="00A3029F" w:rsidRPr="00E2664E" w:rsidRDefault="00A3029F" w:rsidP="00075F8F">
      <w:pPr>
        <w:spacing w:after="120"/>
        <w:jc w:val="both"/>
        <w:rPr>
          <w:rFonts w:ascii="Arial" w:hAnsi="Arial" w:cs="Arial"/>
          <w:sz w:val="20"/>
          <w:szCs w:val="20"/>
          <w:lang w:val="es-UY"/>
        </w:rPr>
      </w:pPr>
      <w:r w:rsidRPr="00323C8A">
        <w:rPr>
          <w:rFonts w:ascii="Arial" w:hAnsi="Arial" w:cs="Arial"/>
          <w:sz w:val="20"/>
          <w:szCs w:val="20"/>
          <w:lang w:val="es-UY"/>
        </w:rPr>
        <w:t>La Contratante no procederá a resolver el Contrato de Participación Público Privada, sin primero notificar al acreedor prendario, de acuerdo a lo establecido en el artículo 57 de la L</w:t>
      </w:r>
      <w:r w:rsidR="00217549">
        <w:rPr>
          <w:rFonts w:ascii="Arial" w:hAnsi="Arial" w:cs="Arial"/>
          <w:sz w:val="20"/>
          <w:szCs w:val="20"/>
          <w:lang w:val="es-UY"/>
        </w:rPr>
        <w:t>CPPP</w:t>
      </w:r>
      <w:r w:rsidRPr="00323C8A">
        <w:rPr>
          <w:rFonts w:ascii="Arial" w:hAnsi="Arial" w:cs="Arial"/>
          <w:sz w:val="20"/>
          <w:szCs w:val="20"/>
          <w:lang w:val="es-UY"/>
        </w:rPr>
        <w:t>.</w:t>
      </w:r>
    </w:p>
    <w:p w14:paraId="317E4348" w14:textId="77777777" w:rsidR="00A3029F" w:rsidRPr="00E2664E" w:rsidRDefault="00A3029F" w:rsidP="009A58E0">
      <w:pPr>
        <w:pStyle w:val="T1"/>
        <w:numPr>
          <w:ilvl w:val="0"/>
          <w:numId w:val="90"/>
        </w:numPr>
        <w:outlineLvl w:val="2"/>
      </w:pPr>
      <w:bookmarkStart w:id="428" w:name="_Toc340671894"/>
      <w:bookmarkStart w:id="429" w:name="_Toc358821531"/>
      <w:bookmarkStart w:id="430" w:name="_Toc400622269"/>
      <w:bookmarkStart w:id="431" w:name="_Toc400629120"/>
      <w:bookmarkStart w:id="432" w:name="_Toc400634034"/>
      <w:bookmarkStart w:id="433" w:name="_Toc400635157"/>
      <w:bookmarkStart w:id="434" w:name="_Toc468288025"/>
      <w:bookmarkStart w:id="435" w:name="_Toc496266618"/>
      <w:bookmarkStart w:id="436" w:name="Lit_40"/>
      <w:r w:rsidRPr="00E2664E">
        <w:lastRenderedPageBreak/>
        <w:t>SUBCONTRATACIÓN</w:t>
      </w:r>
      <w:bookmarkEnd w:id="428"/>
      <w:bookmarkEnd w:id="429"/>
      <w:bookmarkEnd w:id="430"/>
      <w:bookmarkEnd w:id="431"/>
      <w:bookmarkEnd w:id="432"/>
      <w:bookmarkEnd w:id="433"/>
      <w:bookmarkEnd w:id="434"/>
      <w:bookmarkEnd w:id="435"/>
    </w:p>
    <w:bookmarkEnd w:id="436"/>
    <w:p w14:paraId="53E7ED82" w14:textId="6F2A4F60"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 xml:space="preserve">El Contratista podrá subcontratar las prestaciones puestas a su cargo, hasta en un </w:t>
      </w:r>
      <w:r w:rsidR="00F53408">
        <w:rPr>
          <w:rFonts w:ascii="Arial" w:hAnsi="Arial" w:cs="Arial"/>
          <w:sz w:val="20"/>
          <w:szCs w:val="20"/>
          <w:lang w:val="es-UY"/>
        </w:rPr>
        <w:t>8</w:t>
      </w:r>
      <w:r w:rsidRPr="00E2664E">
        <w:rPr>
          <w:rFonts w:ascii="Arial" w:hAnsi="Arial" w:cs="Arial"/>
          <w:sz w:val="20"/>
          <w:szCs w:val="20"/>
          <w:lang w:val="es-UY"/>
        </w:rPr>
        <w:t>0 % (</w:t>
      </w:r>
      <w:r w:rsidR="00F53408">
        <w:rPr>
          <w:rFonts w:ascii="Arial" w:hAnsi="Arial" w:cs="Arial"/>
          <w:sz w:val="20"/>
          <w:szCs w:val="20"/>
          <w:lang w:val="es-UY"/>
        </w:rPr>
        <w:t xml:space="preserve">ochenta </w:t>
      </w:r>
      <w:r w:rsidRPr="00E2664E">
        <w:rPr>
          <w:rFonts w:ascii="Arial" w:hAnsi="Arial" w:cs="Arial"/>
          <w:sz w:val="20"/>
          <w:szCs w:val="20"/>
          <w:lang w:val="es-UY"/>
        </w:rPr>
        <w:t xml:space="preserve">por ciento) a empresas constructoras que no integren la sociedad de objeto exclusivo. Esta limitación no aplica en la etapa de </w:t>
      </w:r>
      <w:r w:rsidRPr="00E71F87">
        <w:rPr>
          <w:rFonts w:ascii="Arial" w:hAnsi="Arial" w:cs="Arial"/>
          <w:sz w:val="20"/>
          <w:szCs w:val="20"/>
          <w:lang w:val="es-UY"/>
        </w:rPr>
        <w:t>operación</w:t>
      </w:r>
      <w:r w:rsidR="00B861A3" w:rsidRPr="00E71F87">
        <w:rPr>
          <w:rFonts w:ascii="Arial" w:hAnsi="Arial" w:cs="Arial"/>
          <w:sz w:val="20"/>
          <w:szCs w:val="20"/>
          <w:lang w:val="es-UY"/>
        </w:rPr>
        <w:t xml:space="preserve"> ni respecto de empresas constructoras viales que integren o sean filiales o subsidiarias de los grupos de accionistas de la sociedad de objeto exclusivo</w:t>
      </w:r>
      <w:r w:rsidRPr="00E71F87">
        <w:rPr>
          <w:rFonts w:ascii="Arial" w:hAnsi="Arial" w:cs="Arial"/>
          <w:sz w:val="20"/>
          <w:szCs w:val="20"/>
          <w:lang w:val="es-UY"/>
        </w:rPr>
        <w:t>.</w:t>
      </w:r>
    </w:p>
    <w:p w14:paraId="038F7197" w14:textId="77777777" w:rsidR="00F137A4" w:rsidRPr="00BC4337" w:rsidRDefault="00F137A4" w:rsidP="00CC6497">
      <w:pPr>
        <w:autoSpaceDE w:val="0"/>
        <w:autoSpaceDN w:val="0"/>
        <w:adjustRightInd w:val="0"/>
        <w:spacing w:after="120"/>
        <w:jc w:val="both"/>
        <w:rPr>
          <w:rFonts w:ascii="Arial" w:hAnsi="Arial" w:cs="Arial"/>
          <w:sz w:val="20"/>
          <w:szCs w:val="20"/>
          <w:lang w:val="es-UY" w:eastAsia="es-ES"/>
        </w:rPr>
      </w:pPr>
      <w:r w:rsidRPr="00BC4337">
        <w:rPr>
          <w:rFonts w:ascii="Arial" w:hAnsi="Arial" w:cs="Arial"/>
          <w:sz w:val="20"/>
          <w:szCs w:val="20"/>
          <w:lang w:val="es-UY" w:eastAsia="es-ES"/>
        </w:rPr>
        <w:t>Las empresas constructoras subcontratistas deberán cumplir las condiciones exigidas a las empresas constructoras que forman parte del oferente asociadas a la parte que se subcontrata.</w:t>
      </w:r>
    </w:p>
    <w:p w14:paraId="31056DC5" w14:textId="77777777" w:rsidR="00A3029F" w:rsidRDefault="00A3029F" w:rsidP="00CC6497">
      <w:pPr>
        <w:autoSpaceDE w:val="0"/>
        <w:autoSpaceDN w:val="0"/>
        <w:adjustRightInd w:val="0"/>
        <w:spacing w:after="120"/>
        <w:jc w:val="both"/>
        <w:rPr>
          <w:rFonts w:ascii="Arial" w:hAnsi="Arial" w:cs="Arial"/>
          <w:sz w:val="20"/>
          <w:szCs w:val="20"/>
          <w:lang w:val="es-UY"/>
        </w:rPr>
      </w:pPr>
      <w:r w:rsidRPr="00E2664E">
        <w:rPr>
          <w:rFonts w:ascii="Arial" w:hAnsi="Arial" w:cs="Arial"/>
          <w:sz w:val="20"/>
          <w:szCs w:val="20"/>
          <w:lang w:val="es-UY"/>
        </w:rPr>
        <w:t>Se</w:t>
      </w:r>
      <w:r w:rsidR="00B14DCC">
        <w:rPr>
          <w:rFonts w:ascii="Arial" w:hAnsi="Arial" w:cs="Arial"/>
          <w:sz w:val="20"/>
          <w:szCs w:val="20"/>
          <w:lang w:val="es-UY"/>
        </w:rPr>
        <w:t xml:space="preserve"> </w:t>
      </w:r>
      <w:r w:rsidRPr="00E2664E">
        <w:rPr>
          <w:rFonts w:ascii="Arial" w:hAnsi="Arial" w:cs="Arial"/>
          <w:sz w:val="20"/>
          <w:szCs w:val="20"/>
          <w:lang w:val="es-UY"/>
        </w:rPr>
        <w:t>exigirá a los subcontratistas el cumplimiento de la normativa legal y reglamentaria vigente.</w:t>
      </w:r>
      <w:r>
        <w:rPr>
          <w:rFonts w:ascii="Arial" w:hAnsi="Arial" w:cs="Arial"/>
          <w:sz w:val="20"/>
          <w:szCs w:val="20"/>
          <w:lang w:val="es-UY"/>
        </w:rPr>
        <w:t xml:space="preserve"> En todos los casos el Contratista será el único responsable ante la Contratante.</w:t>
      </w:r>
    </w:p>
    <w:p w14:paraId="3850F615" w14:textId="77777777" w:rsidR="00A3029F" w:rsidRPr="00E2664E" w:rsidRDefault="00A3029F" w:rsidP="009A58E0">
      <w:pPr>
        <w:pStyle w:val="T1"/>
        <w:numPr>
          <w:ilvl w:val="0"/>
          <w:numId w:val="90"/>
        </w:numPr>
        <w:outlineLvl w:val="2"/>
      </w:pPr>
      <w:bookmarkStart w:id="437" w:name="_Toc340671895"/>
      <w:bookmarkStart w:id="438" w:name="_Toc358821532"/>
      <w:bookmarkStart w:id="439" w:name="_Toc400622270"/>
      <w:bookmarkStart w:id="440" w:name="_Toc400629121"/>
      <w:bookmarkStart w:id="441" w:name="_Toc400634035"/>
      <w:bookmarkStart w:id="442" w:name="_Toc400635158"/>
      <w:bookmarkStart w:id="443" w:name="_Toc468288026"/>
      <w:bookmarkStart w:id="444" w:name="_Toc496266619"/>
      <w:bookmarkStart w:id="445" w:name="Lit_41"/>
      <w:r w:rsidRPr="00E2664E">
        <w:t>CESIÓN DEL CONTRATO</w:t>
      </w:r>
      <w:bookmarkEnd w:id="437"/>
      <w:bookmarkEnd w:id="438"/>
      <w:bookmarkEnd w:id="439"/>
      <w:bookmarkEnd w:id="440"/>
      <w:bookmarkEnd w:id="441"/>
      <w:bookmarkEnd w:id="442"/>
      <w:bookmarkEnd w:id="443"/>
      <w:bookmarkEnd w:id="444"/>
    </w:p>
    <w:bookmarkEnd w:id="445"/>
    <w:p w14:paraId="14FD6377"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El Contratista</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deberá solicitar a la Contratante la autorización previa y expresa para ceder total o parcialmente el contrato.</w:t>
      </w:r>
    </w:p>
    <w:p w14:paraId="57DD8BEB"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solicitud que deberá dirigirse a la Contratante deberá incluir entre otros aspectos: los plazos y condiciones en que se procederá a la cesión del contrato; la delimitación precisa del alcance de la cesión y objeto sobre el cual recae y un informe que avale las </w:t>
      </w:r>
      <w:r w:rsidRPr="00E2664E">
        <w:rPr>
          <w:rFonts w:ascii="Arial" w:hAnsi="Arial" w:cs="Arial"/>
          <w:sz w:val="20"/>
          <w:szCs w:val="20"/>
          <w:lang w:val="es-UY" w:eastAsia="es-ES"/>
        </w:rPr>
        <w:lastRenderedPageBreak/>
        <w:t>cualidades técnicas, económicas y financieras del cesionario para la debida ejecución del contrato que deben ser acordes a las que se le exigieron al Contratista y a su propuesta.</w:t>
      </w:r>
    </w:p>
    <w:p w14:paraId="694D9F58" w14:textId="77777777" w:rsidR="00A3029F" w:rsidRPr="00E2664E" w:rsidRDefault="00A3029F" w:rsidP="00CC6497">
      <w:pPr>
        <w:tabs>
          <w:tab w:val="left" w:pos="567"/>
        </w:tabs>
        <w:suppressAutoHyphens/>
        <w:spacing w:after="120"/>
        <w:jc w:val="both"/>
        <w:rPr>
          <w:rFonts w:ascii="Arial" w:hAnsi="Arial" w:cs="Arial"/>
          <w:sz w:val="24"/>
          <w:szCs w:val="24"/>
          <w:lang w:val="es-UY" w:eastAsia="es-ES"/>
        </w:rPr>
      </w:pPr>
      <w:r w:rsidRPr="00E2664E">
        <w:rPr>
          <w:rFonts w:ascii="Arial" w:hAnsi="Arial" w:cs="Arial"/>
          <w:sz w:val="20"/>
          <w:szCs w:val="20"/>
          <w:lang w:val="es-UY" w:eastAsia="es-ES"/>
        </w:rPr>
        <w:t>En el plazo de</w:t>
      </w:r>
      <w:r w:rsidR="00190ACD">
        <w:rPr>
          <w:rFonts w:ascii="Arial" w:hAnsi="Arial" w:cs="Arial"/>
          <w:sz w:val="20"/>
          <w:szCs w:val="20"/>
          <w:lang w:val="es-UY" w:eastAsia="es-ES"/>
        </w:rPr>
        <w:t xml:space="preserve"> 60</w:t>
      </w:r>
      <w:r w:rsidRPr="00E2664E">
        <w:rPr>
          <w:rFonts w:ascii="Arial" w:hAnsi="Arial" w:cs="Arial"/>
          <w:sz w:val="20"/>
          <w:szCs w:val="20"/>
          <w:lang w:val="es-UY" w:eastAsia="es-ES"/>
        </w:rPr>
        <w:t xml:space="preserve"> días contados desde la presentación de la solicitud de cesión, la Contratante deberá verificar si el cesionario propuesto reúne todos los requisitos y condiciones necesarios para el correcto cumplimiento del contrato, pudiendo solicitar las ampliaciones o aclaraciones que considere pertinentes en tal sentido.</w:t>
      </w:r>
    </w:p>
    <w:p w14:paraId="61E6DF2A"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Habiendo transcurrido el plazo reseñado, sin que la Contratante resolviera sobre la solicitud de cesión, se entenderá que la misma es rechazada. Sin perjuicio de ello, podrá resolver en cualquier momento, en forma expresa sobre la solicitud de la cesión, sea aceptándola, aceptándola con modificaciones o rechazándola total o parcialmente.</w:t>
      </w:r>
    </w:p>
    <w:p w14:paraId="710C332F"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decisión expresa de la Contratante, será notificada personalmente al Contratista. </w:t>
      </w:r>
    </w:p>
    <w:p w14:paraId="7C14859C"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En la resolución por la cual se autorice la cesión del contrato, se indicará expresamente el alcance y contenido de la cesión; los plazos dentro de los cuales la cesión deberá instrumentarse, así como la constitución de la garantía correspondiente.</w:t>
      </w:r>
    </w:p>
    <w:p w14:paraId="3A56B579"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lastRenderedPageBreak/>
        <w:t>Hasta tanto no se cumplan todas las formalidades relativas a la cesión y constitución de garantías, el Contratista</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cedente mantendrá todas sus obligaciones frente a la Contratante.</w:t>
      </w:r>
    </w:p>
    <w:p w14:paraId="2B7CA9EA"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Producida la cesión, el cesionario quedará subrogado en todos los derechos y obligaciones que correspondan al cedente.</w:t>
      </w:r>
    </w:p>
    <w:p w14:paraId="688F505F" w14:textId="77777777" w:rsidR="00A3029F"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No se autorizarán cesiones hasta la finalización de todas las obras de </w:t>
      </w:r>
      <w:r w:rsidRPr="00E11FDA">
        <w:rPr>
          <w:rFonts w:ascii="Arial" w:hAnsi="Arial" w:cs="Arial"/>
          <w:sz w:val="20"/>
          <w:szCs w:val="20"/>
          <w:lang w:val="es-UY" w:eastAsia="es-UY"/>
        </w:rPr>
        <w:t>puesta a punto</w:t>
      </w:r>
      <w:r w:rsidRPr="00E2664E">
        <w:rPr>
          <w:rFonts w:ascii="Arial" w:hAnsi="Arial" w:cs="Arial"/>
          <w:sz w:val="20"/>
          <w:szCs w:val="20"/>
          <w:lang w:val="es-UY" w:eastAsia="es-UY"/>
        </w:rPr>
        <w:t>, ni durante los últimos tres (3) años del contrato</w:t>
      </w:r>
      <w:r w:rsidR="000D2275">
        <w:rPr>
          <w:rFonts w:ascii="Arial" w:hAnsi="Arial" w:cs="Arial"/>
          <w:sz w:val="20"/>
          <w:szCs w:val="20"/>
          <w:lang w:val="es-UY" w:eastAsia="es-UY"/>
        </w:rPr>
        <w:t>, salvo casos de incumplimiento</w:t>
      </w:r>
      <w:r w:rsidRPr="00E2664E">
        <w:rPr>
          <w:rFonts w:ascii="Arial" w:hAnsi="Arial" w:cs="Arial"/>
          <w:sz w:val="20"/>
          <w:szCs w:val="20"/>
          <w:lang w:val="es-UY" w:eastAsia="es-UY"/>
        </w:rPr>
        <w:t xml:space="preserve">. </w:t>
      </w:r>
    </w:p>
    <w:p w14:paraId="40585300" w14:textId="63D76918" w:rsidR="00C95E98" w:rsidRPr="00E2664E" w:rsidRDefault="00C95E98" w:rsidP="00CC6497">
      <w:pPr>
        <w:spacing w:after="120"/>
        <w:jc w:val="both"/>
        <w:rPr>
          <w:rFonts w:ascii="Arial" w:hAnsi="Arial" w:cs="Arial"/>
          <w:sz w:val="20"/>
          <w:szCs w:val="20"/>
          <w:lang w:val="es-UY" w:eastAsia="es-UY"/>
        </w:rPr>
      </w:pPr>
      <w:r w:rsidRPr="005005B2">
        <w:rPr>
          <w:rFonts w:ascii="Arial" w:hAnsi="Arial" w:cs="Arial"/>
          <w:sz w:val="20"/>
          <w:szCs w:val="20"/>
          <w:lang w:val="es-UY" w:eastAsia="es-UY"/>
        </w:rPr>
        <w:t>El contratista deberá presentar la conformidad a la cesión por parte de los acreedores prendarios o cesionarios en garantía.</w:t>
      </w:r>
    </w:p>
    <w:p w14:paraId="5D0B2899" w14:textId="77777777" w:rsidR="00A3029F" w:rsidRDefault="00A3029F" w:rsidP="009A58E0">
      <w:pPr>
        <w:pStyle w:val="T1"/>
        <w:numPr>
          <w:ilvl w:val="0"/>
          <w:numId w:val="90"/>
        </w:numPr>
        <w:outlineLvl w:val="2"/>
      </w:pPr>
      <w:bookmarkStart w:id="446" w:name="_Toc340671896"/>
      <w:bookmarkStart w:id="447" w:name="_Toc358821533"/>
      <w:bookmarkStart w:id="448" w:name="_Toc400622271"/>
      <w:bookmarkStart w:id="449" w:name="_Toc400629122"/>
      <w:bookmarkStart w:id="450" w:name="_Toc400634036"/>
      <w:bookmarkStart w:id="451" w:name="_Toc400635159"/>
      <w:bookmarkStart w:id="452" w:name="_Toc468288027"/>
      <w:bookmarkStart w:id="453" w:name="_Toc496266620"/>
      <w:bookmarkStart w:id="454" w:name="Lit_42"/>
      <w:r w:rsidRPr="00E2664E">
        <w:t>MODIFICACIÓN DEL CONTRATO</w:t>
      </w:r>
      <w:bookmarkEnd w:id="446"/>
      <w:bookmarkEnd w:id="447"/>
      <w:bookmarkEnd w:id="448"/>
      <w:bookmarkEnd w:id="449"/>
      <w:bookmarkEnd w:id="450"/>
      <w:bookmarkEnd w:id="451"/>
      <w:bookmarkEnd w:id="452"/>
      <w:bookmarkEnd w:id="453"/>
    </w:p>
    <w:bookmarkEnd w:id="454"/>
    <w:p w14:paraId="1021587E" w14:textId="77777777" w:rsidR="00A3029F" w:rsidRPr="00CC6497" w:rsidRDefault="00A3029F" w:rsidP="009A77B7">
      <w:pPr>
        <w:pStyle w:val="pia2"/>
        <w:spacing w:line="276" w:lineRule="auto"/>
        <w:outlineLvl w:val="9"/>
        <w:rPr>
          <w:b w:val="0"/>
          <w:bCs w:val="0"/>
          <w:sz w:val="20"/>
          <w:szCs w:val="20"/>
        </w:rPr>
      </w:pPr>
      <w:r w:rsidRPr="00CC6497">
        <w:rPr>
          <w:b w:val="0"/>
          <w:bCs w:val="0"/>
          <w:sz w:val="20"/>
          <w:szCs w:val="20"/>
        </w:rPr>
        <w:t xml:space="preserve">Toda modificación del contrato no podrá realizarse sin informe previo de la Oficina de Planeamiento y Presupuesto y del Ministerio de Economía y Finanzas de acuerdo a lo establecido en el artículo </w:t>
      </w:r>
      <w:hyperlink r:id="rId63" w:history="1">
        <w:r w:rsidRPr="00EC7417">
          <w:rPr>
            <w:rStyle w:val="Hipervnculo"/>
            <w:b w:val="0"/>
            <w:bCs w:val="0"/>
            <w:sz w:val="20"/>
            <w:szCs w:val="20"/>
          </w:rPr>
          <w:t>71</w:t>
        </w:r>
      </w:hyperlink>
      <w:r w:rsidRPr="00CC6497">
        <w:rPr>
          <w:b w:val="0"/>
          <w:bCs w:val="0"/>
          <w:sz w:val="20"/>
          <w:szCs w:val="20"/>
        </w:rPr>
        <w:t xml:space="preserve">º del Decreto </w:t>
      </w:r>
      <w:hyperlink r:id="rId64" w:history="1">
        <w:r w:rsidRPr="00375150">
          <w:rPr>
            <w:rStyle w:val="Hipervnculo"/>
            <w:b w:val="0"/>
            <w:bCs w:val="0"/>
            <w:sz w:val="20"/>
            <w:szCs w:val="20"/>
          </w:rPr>
          <w:t>017/012</w:t>
        </w:r>
      </w:hyperlink>
      <w:r w:rsidRPr="00CC6497">
        <w:rPr>
          <w:b w:val="0"/>
          <w:bCs w:val="0"/>
          <w:sz w:val="20"/>
          <w:szCs w:val="20"/>
        </w:rPr>
        <w:t xml:space="preserve"> del 26 de enero de 2012</w:t>
      </w:r>
      <w:r w:rsidR="00810367">
        <w:rPr>
          <w:b w:val="0"/>
          <w:bCs w:val="0"/>
          <w:sz w:val="20"/>
          <w:szCs w:val="20"/>
        </w:rPr>
        <w:t xml:space="preserve"> en la redacción dada por el </w:t>
      </w:r>
      <w:hyperlink r:id="rId65" w:history="1">
        <w:r w:rsidR="00810367" w:rsidRPr="005029EE">
          <w:rPr>
            <w:rStyle w:val="Hipervnculo"/>
            <w:b w:val="0"/>
            <w:bCs w:val="0"/>
            <w:sz w:val="20"/>
            <w:szCs w:val="20"/>
          </w:rPr>
          <w:t>art 3 del Decreto 251/015</w:t>
        </w:r>
      </w:hyperlink>
      <w:r w:rsidR="00BA5289">
        <w:rPr>
          <w:b w:val="0"/>
          <w:bCs w:val="0"/>
          <w:sz w:val="20"/>
          <w:szCs w:val="20"/>
        </w:rPr>
        <w:t xml:space="preserve"> del 14 de setiembre de 2015.</w:t>
      </w:r>
    </w:p>
    <w:p w14:paraId="6A4C8441" w14:textId="77777777" w:rsidR="00A3029F" w:rsidRPr="00E2664E" w:rsidRDefault="00A3029F" w:rsidP="009A58E0">
      <w:pPr>
        <w:pStyle w:val="T2"/>
        <w:numPr>
          <w:ilvl w:val="1"/>
          <w:numId w:val="90"/>
        </w:numPr>
        <w:outlineLvl w:val="3"/>
      </w:pPr>
      <w:bookmarkStart w:id="455" w:name="_Toc340671897"/>
      <w:bookmarkStart w:id="456" w:name="_Toc358821534"/>
      <w:bookmarkStart w:id="457" w:name="_Toc400634037"/>
      <w:bookmarkStart w:id="458" w:name="_Toc400635160"/>
      <w:bookmarkStart w:id="459" w:name="_Toc468288028"/>
      <w:bookmarkStart w:id="460" w:name="_Toc496266621"/>
      <w:bookmarkStart w:id="461" w:name="Lit_42_1"/>
      <w:r w:rsidRPr="00E2664E">
        <w:t xml:space="preserve">MODIFICACIÓN POR </w:t>
      </w:r>
      <w:bookmarkEnd w:id="455"/>
      <w:r w:rsidRPr="00E2664E">
        <w:t>LA CONTRATANTE</w:t>
      </w:r>
      <w:bookmarkEnd w:id="456"/>
      <w:bookmarkEnd w:id="457"/>
      <w:bookmarkEnd w:id="458"/>
      <w:bookmarkEnd w:id="459"/>
      <w:bookmarkEnd w:id="460"/>
    </w:p>
    <w:bookmarkEnd w:id="461"/>
    <w:p w14:paraId="147AB172"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 xml:space="preserve">podrá proceder a la modificación de las características o la cuantía de las obras o de los servicios </w:t>
      </w:r>
      <w:r w:rsidRPr="00E2664E">
        <w:rPr>
          <w:rFonts w:ascii="Arial" w:hAnsi="Arial" w:cs="Arial"/>
          <w:sz w:val="20"/>
          <w:szCs w:val="20"/>
          <w:lang w:val="es-UY" w:eastAsia="es-UY"/>
        </w:rPr>
        <w:lastRenderedPageBreak/>
        <w:t>contratados, para mejorar o incrementar los niveles de servicio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14:paraId="41F6113F" w14:textId="77777777" w:rsidR="00A3029F" w:rsidRPr="00BC7A46" w:rsidRDefault="00377BC3"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Construcción o modificación de cualquier bypass o desvío de tránsito pesado en localidades eventualmente afectadas por las rutas que forman parte del circuito</w:t>
      </w:r>
      <w:r w:rsidR="004F693E" w:rsidRPr="00BC7A46">
        <w:rPr>
          <w:rFonts w:ascii="Arial" w:hAnsi="Arial" w:cs="Arial"/>
          <w:sz w:val="20"/>
          <w:szCs w:val="20"/>
          <w:lang w:val="es-UY"/>
        </w:rPr>
        <w:t>.</w:t>
      </w:r>
      <w:r w:rsidR="00A3029F" w:rsidRPr="00BC7A46">
        <w:rPr>
          <w:rFonts w:ascii="Arial" w:hAnsi="Arial" w:cs="Arial"/>
          <w:sz w:val="20"/>
          <w:szCs w:val="20"/>
          <w:lang w:val="es-UY"/>
        </w:rPr>
        <w:t xml:space="preserve"> </w:t>
      </w:r>
    </w:p>
    <w:p w14:paraId="18006585" w14:textId="77777777" w:rsidR="00A3029F" w:rsidRPr="00BC7A46" w:rsidRDefault="009826CE"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Construcción o modificación de cualquier empalme o intersección que conecte la traza de las rutas que forman parte del circuito con otras vías de igual o menor importancia y que justifiquen un cambio respecto del diseño actual.</w:t>
      </w:r>
    </w:p>
    <w:p w14:paraId="62436BAB" w14:textId="77777777" w:rsidR="007A7159" w:rsidRPr="00BC7A46" w:rsidRDefault="007A7159"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Modificaciones planialtim</w:t>
      </w:r>
      <w:r w:rsidR="00BC7A46">
        <w:rPr>
          <w:rFonts w:ascii="Arial" w:hAnsi="Arial" w:cs="Arial"/>
          <w:sz w:val="20"/>
          <w:szCs w:val="20"/>
          <w:lang w:val="es-UY"/>
        </w:rPr>
        <w:t>é</w:t>
      </w:r>
      <w:r w:rsidRPr="00BC7A46">
        <w:rPr>
          <w:rFonts w:ascii="Arial" w:hAnsi="Arial" w:cs="Arial"/>
          <w:sz w:val="20"/>
          <w:szCs w:val="20"/>
          <w:lang w:val="es-UY"/>
        </w:rPr>
        <w:t>tricas</w:t>
      </w:r>
      <w:r w:rsidR="00C70D4F" w:rsidRPr="00BC7A46">
        <w:rPr>
          <w:rFonts w:ascii="Arial" w:hAnsi="Arial" w:cs="Arial"/>
          <w:sz w:val="20"/>
          <w:szCs w:val="20"/>
          <w:lang w:val="es-UY"/>
        </w:rPr>
        <w:t xml:space="preserve"> en cualquiera de las rutas que forma</w:t>
      </w:r>
      <w:r w:rsidR="00F032BE">
        <w:rPr>
          <w:rFonts w:ascii="Arial" w:hAnsi="Arial" w:cs="Arial"/>
          <w:sz w:val="20"/>
          <w:szCs w:val="20"/>
          <w:lang w:val="es-UY"/>
        </w:rPr>
        <w:t>n</w:t>
      </w:r>
      <w:r w:rsidR="00C70D4F" w:rsidRPr="00BC7A46">
        <w:rPr>
          <w:rFonts w:ascii="Arial" w:hAnsi="Arial" w:cs="Arial"/>
          <w:sz w:val="20"/>
          <w:szCs w:val="20"/>
          <w:lang w:val="es-UY"/>
        </w:rPr>
        <w:t xml:space="preserve"> parte del circuito.</w:t>
      </w:r>
    </w:p>
    <w:p w14:paraId="4F865C7B" w14:textId="77777777" w:rsidR="00A3029F" w:rsidRPr="00872588" w:rsidRDefault="00F237C8" w:rsidP="009A58E0">
      <w:pPr>
        <w:numPr>
          <w:ilvl w:val="0"/>
          <w:numId w:val="45"/>
        </w:numPr>
        <w:spacing w:after="120"/>
        <w:jc w:val="both"/>
        <w:rPr>
          <w:rFonts w:ascii="Arial" w:hAnsi="Arial" w:cs="Arial"/>
          <w:sz w:val="20"/>
          <w:szCs w:val="20"/>
          <w:lang w:val="es-UY"/>
        </w:rPr>
      </w:pPr>
      <w:r w:rsidRPr="00872588">
        <w:rPr>
          <w:rFonts w:ascii="Arial" w:hAnsi="Arial" w:cs="Arial"/>
          <w:sz w:val="20"/>
          <w:szCs w:val="20"/>
          <w:lang w:val="es-UY"/>
        </w:rPr>
        <w:t>C</w:t>
      </w:r>
      <w:r w:rsidR="009826CE" w:rsidRPr="00872588">
        <w:rPr>
          <w:rFonts w:ascii="Arial" w:hAnsi="Arial" w:cs="Arial"/>
          <w:sz w:val="20"/>
          <w:szCs w:val="20"/>
          <w:lang w:val="es-UY"/>
        </w:rPr>
        <w:t>onstrucción de paradas de ómnibus.</w:t>
      </w:r>
      <w:r w:rsidR="00A3029F" w:rsidRPr="00872588">
        <w:rPr>
          <w:rFonts w:ascii="Arial" w:hAnsi="Arial" w:cs="Arial"/>
          <w:sz w:val="20"/>
          <w:szCs w:val="20"/>
          <w:lang w:val="es-UY"/>
        </w:rPr>
        <w:t xml:space="preserve"> </w:t>
      </w:r>
    </w:p>
    <w:p w14:paraId="7096C0F5" w14:textId="77777777" w:rsidR="00A3029F" w:rsidRPr="00872588" w:rsidRDefault="00F237C8" w:rsidP="009A58E0">
      <w:pPr>
        <w:numPr>
          <w:ilvl w:val="0"/>
          <w:numId w:val="45"/>
        </w:numPr>
        <w:spacing w:after="120"/>
        <w:jc w:val="both"/>
        <w:rPr>
          <w:rFonts w:ascii="Arial" w:hAnsi="Arial" w:cs="Arial"/>
          <w:sz w:val="20"/>
          <w:szCs w:val="20"/>
          <w:lang w:val="es-UY"/>
        </w:rPr>
      </w:pPr>
      <w:r w:rsidRPr="00872588">
        <w:rPr>
          <w:rFonts w:ascii="Arial" w:hAnsi="Arial" w:cs="Arial"/>
          <w:sz w:val="20"/>
          <w:szCs w:val="20"/>
          <w:lang w:val="es-UY"/>
        </w:rPr>
        <w:t>C</w:t>
      </w:r>
      <w:r w:rsidR="00976C56" w:rsidRPr="00872588">
        <w:rPr>
          <w:rFonts w:ascii="Arial" w:hAnsi="Arial" w:cs="Arial"/>
          <w:sz w:val="20"/>
          <w:szCs w:val="20"/>
          <w:lang w:val="es-UY"/>
        </w:rPr>
        <w:t>onstrucción de sendas de adelantamiento</w:t>
      </w:r>
      <w:r w:rsidR="0015240A" w:rsidRPr="00872588">
        <w:rPr>
          <w:rFonts w:ascii="Arial" w:hAnsi="Arial" w:cs="Arial"/>
          <w:sz w:val="20"/>
          <w:szCs w:val="20"/>
          <w:lang w:val="es-UY"/>
        </w:rPr>
        <w:t>.</w:t>
      </w:r>
      <w:r w:rsidR="00A3029F" w:rsidRPr="00872588">
        <w:rPr>
          <w:rFonts w:ascii="Arial" w:hAnsi="Arial" w:cs="Arial"/>
          <w:sz w:val="20"/>
          <w:szCs w:val="20"/>
          <w:lang w:val="es-UY"/>
        </w:rPr>
        <w:t xml:space="preserve"> </w:t>
      </w:r>
    </w:p>
    <w:p w14:paraId="627574E2" w14:textId="77777777" w:rsidR="00A3029F" w:rsidRPr="00BC7A46" w:rsidRDefault="00976C56" w:rsidP="009A58E0">
      <w:pPr>
        <w:numPr>
          <w:ilvl w:val="0"/>
          <w:numId w:val="45"/>
        </w:numPr>
        <w:spacing w:after="120"/>
        <w:jc w:val="both"/>
        <w:rPr>
          <w:rFonts w:ascii="Arial" w:hAnsi="Arial" w:cs="Arial"/>
          <w:sz w:val="20"/>
          <w:szCs w:val="20"/>
          <w:lang w:val="es-UY"/>
        </w:rPr>
      </w:pPr>
      <w:r w:rsidRPr="00BC7A46">
        <w:rPr>
          <w:rFonts w:ascii="Arial" w:hAnsi="Arial" w:cs="Arial"/>
          <w:sz w:val="20"/>
          <w:szCs w:val="20"/>
          <w:lang w:val="es-UY"/>
        </w:rPr>
        <w:t>Cualquier otra obra de mejora o servicio no comprendida en las anteriores y que en el futuro se considere necesaria para el buen funcionamiento del circuito y cuyo monto no exceda de un 5% del monto de las obras de puesta a punto.</w:t>
      </w:r>
    </w:p>
    <w:p w14:paraId="4F11E1EF"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lastRenderedPageBreak/>
        <w:t xml:space="preserve">El proyecto ejecutivo podrá ser suministrado por la Contratante. En caso contrario deberá contar con la aprobación de la misma. </w:t>
      </w:r>
    </w:p>
    <w:p w14:paraId="7C1573E0" w14:textId="77777777" w:rsidR="00A3029F" w:rsidRDefault="00A3029F" w:rsidP="00156A73">
      <w:pPr>
        <w:spacing w:after="120"/>
        <w:jc w:val="both"/>
        <w:rPr>
          <w:rFonts w:ascii="Arial" w:hAnsi="Arial" w:cs="Arial"/>
          <w:sz w:val="20"/>
          <w:szCs w:val="20"/>
          <w:lang w:val="es-UY"/>
        </w:rPr>
      </w:pPr>
      <w:r w:rsidRPr="00E2664E">
        <w:rPr>
          <w:rFonts w:ascii="Arial" w:hAnsi="Arial" w:cs="Arial"/>
          <w:sz w:val="20"/>
          <w:szCs w:val="20"/>
          <w:lang w:val="es-UY"/>
        </w:rPr>
        <w:t>El riesgo de diseño del proyecto ejecutivo será de cargo de quién lo haya realizado.</w:t>
      </w:r>
    </w:p>
    <w:p w14:paraId="70D6DF9A" w14:textId="77777777" w:rsidR="002053D6" w:rsidRPr="002053D6" w:rsidRDefault="00B13704" w:rsidP="002053D6">
      <w:pPr>
        <w:spacing w:after="120"/>
        <w:jc w:val="both"/>
        <w:rPr>
          <w:rFonts w:ascii="Arial" w:hAnsi="Arial" w:cs="Arial"/>
          <w:sz w:val="20"/>
          <w:szCs w:val="20"/>
          <w:lang w:val="es-UY"/>
        </w:rPr>
      </w:pPr>
      <w:r>
        <w:rPr>
          <w:rFonts w:ascii="Arial" w:hAnsi="Arial" w:cs="Arial"/>
          <w:sz w:val="20"/>
          <w:szCs w:val="20"/>
          <w:lang w:val="es-UY"/>
        </w:rPr>
        <w:t xml:space="preserve">Se pagará como máximo el monto correspondiente </w:t>
      </w:r>
      <w:r w:rsidR="00BF2ED5">
        <w:rPr>
          <w:rFonts w:ascii="Arial" w:hAnsi="Arial" w:cs="Arial"/>
          <w:sz w:val="20"/>
          <w:szCs w:val="20"/>
          <w:lang w:val="es-UY"/>
        </w:rPr>
        <w:t xml:space="preserve">a </w:t>
      </w:r>
      <w:r w:rsidR="00BF2ED5" w:rsidRPr="00E2664E">
        <w:rPr>
          <w:rFonts w:ascii="Arial" w:hAnsi="Arial" w:cs="Arial"/>
          <w:sz w:val="20"/>
          <w:szCs w:val="20"/>
          <w:lang w:val="es-UY"/>
        </w:rPr>
        <w:t>la</w:t>
      </w:r>
      <w:r w:rsidR="00A3029F" w:rsidRPr="00E2664E">
        <w:rPr>
          <w:rFonts w:ascii="Arial" w:hAnsi="Arial" w:cs="Arial"/>
          <w:sz w:val="20"/>
          <w:szCs w:val="20"/>
          <w:lang w:val="es-UY"/>
        </w:rPr>
        <w:t xml:space="preserve"> “Componente A” total de las obras </w:t>
      </w:r>
      <w:r w:rsidR="0015240A">
        <w:rPr>
          <w:rFonts w:ascii="Arial" w:hAnsi="Arial" w:cs="Arial"/>
          <w:sz w:val="20"/>
          <w:szCs w:val="20"/>
          <w:lang w:val="es-UY"/>
        </w:rPr>
        <w:t>mencionadas,</w:t>
      </w:r>
      <w:r w:rsidR="009643B8">
        <w:rPr>
          <w:rFonts w:ascii="Arial" w:hAnsi="Arial" w:cs="Arial"/>
          <w:sz w:val="20"/>
          <w:szCs w:val="20"/>
          <w:lang w:val="es-UY"/>
        </w:rPr>
        <w:t xml:space="preserve"> </w:t>
      </w:r>
      <w:r w:rsidR="0015240A" w:rsidRPr="00E2664E">
        <w:rPr>
          <w:rFonts w:ascii="Arial" w:hAnsi="Arial" w:cs="Arial"/>
          <w:sz w:val="20"/>
          <w:szCs w:val="20"/>
          <w:lang w:val="es-UY"/>
        </w:rPr>
        <w:t>el</w:t>
      </w:r>
      <w:r w:rsidR="00C07E0E" w:rsidRPr="00BF2ED5">
        <w:rPr>
          <w:rFonts w:ascii="Arial" w:hAnsi="Arial" w:cs="Arial"/>
          <w:sz w:val="20"/>
          <w:szCs w:val="20"/>
          <w:lang w:val="es-UY"/>
        </w:rPr>
        <w:t xml:space="preserve"> monto</w:t>
      </w:r>
      <w:r w:rsidR="0015240A">
        <w:rPr>
          <w:rFonts w:ascii="Arial" w:hAnsi="Arial" w:cs="Arial"/>
          <w:sz w:val="20"/>
          <w:szCs w:val="20"/>
          <w:lang w:val="es-UY"/>
        </w:rPr>
        <w:t xml:space="preserve"> </w:t>
      </w:r>
      <w:r w:rsidR="00A3029F" w:rsidRPr="00E2664E">
        <w:rPr>
          <w:rFonts w:ascii="Arial" w:hAnsi="Arial" w:cs="Arial"/>
          <w:sz w:val="20"/>
          <w:szCs w:val="20"/>
          <w:lang w:val="es-UY"/>
        </w:rPr>
        <w:t xml:space="preserve">se determinará multiplicando los metrajes de los rubros correspondientes por los </w:t>
      </w:r>
      <w:r w:rsidR="006D2C16">
        <w:rPr>
          <w:rFonts w:ascii="Arial" w:hAnsi="Arial" w:cs="Arial"/>
          <w:sz w:val="20"/>
          <w:szCs w:val="20"/>
          <w:lang w:val="es-UY"/>
        </w:rPr>
        <w:t>“</w:t>
      </w:r>
      <w:r w:rsidR="00A3029F" w:rsidRPr="00E2664E">
        <w:rPr>
          <w:rFonts w:ascii="Arial" w:hAnsi="Arial" w:cs="Arial"/>
          <w:sz w:val="20"/>
          <w:szCs w:val="20"/>
          <w:lang w:val="es-UY"/>
        </w:rPr>
        <w:t>precios unitarios base</w:t>
      </w:r>
      <w:r w:rsidR="006D2C16">
        <w:rPr>
          <w:rFonts w:ascii="Arial" w:hAnsi="Arial" w:cs="Arial"/>
          <w:sz w:val="20"/>
          <w:szCs w:val="20"/>
          <w:lang w:val="es-UY"/>
        </w:rPr>
        <w:t>”</w:t>
      </w:r>
      <w:r w:rsidR="00A3029F" w:rsidRPr="00E2664E">
        <w:rPr>
          <w:rFonts w:ascii="Arial" w:hAnsi="Arial" w:cs="Arial"/>
          <w:sz w:val="20"/>
          <w:szCs w:val="20"/>
          <w:lang w:val="es-UY"/>
        </w:rPr>
        <w:t xml:space="preserve"> suministrados por l</w:t>
      </w:r>
      <w:r w:rsidR="008F2655">
        <w:rPr>
          <w:rFonts w:ascii="Arial" w:hAnsi="Arial" w:cs="Arial"/>
          <w:sz w:val="20"/>
          <w:szCs w:val="20"/>
          <w:lang w:val="es-UY"/>
        </w:rPr>
        <w:t>a</w:t>
      </w:r>
      <w:r w:rsidR="00A3029F" w:rsidRPr="00E2664E">
        <w:rPr>
          <w:rFonts w:ascii="Arial" w:hAnsi="Arial" w:cs="Arial"/>
          <w:sz w:val="20"/>
          <w:szCs w:val="20"/>
          <w:lang w:val="es-UY"/>
        </w:rPr>
        <w:t xml:space="preserve"> Contratante en la licitación</w:t>
      </w:r>
      <w:r w:rsidR="00B14DCC">
        <w:rPr>
          <w:rFonts w:ascii="Arial" w:hAnsi="Arial" w:cs="Arial"/>
          <w:sz w:val="20"/>
          <w:szCs w:val="20"/>
          <w:lang w:val="es-UY"/>
        </w:rPr>
        <w:t xml:space="preserve"> </w:t>
      </w:r>
      <w:r w:rsidR="00A3029F" w:rsidRPr="00E2664E">
        <w:rPr>
          <w:rFonts w:ascii="Arial" w:hAnsi="Arial" w:cs="Arial"/>
          <w:sz w:val="20"/>
          <w:szCs w:val="20"/>
          <w:lang w:val="es-UY"/>
        </w:rPr>
        <w:t xml:space="preserve">por el coeficiente </w:t>
      </w:r>
      <w:r w:rsidR="00A3029F" w:rsidRPr="00197C20">
        <w:rPr>
          <w:rFonts w:ascii="Arial" w:hAnsi="Arial" w:cs="Arial"/>
          <w:bCs/>
          <w:sz w:val="20"/>
          <w:szCs w:val="20"/>
          <w:lang w:val="es-UY"/>
        </w:rPr>
        <w:t>f</w:t>
      </w:r>
      <w:r w:rsidR="00A3029F" w:rsidRPr="00197C20">
        <w:rPr>
          <w:bCs/>
          <w:sz w:val="20"/>
          <w:szCs w:val="20"/>
          <w:lang w:val="es-UY"/>
        </w:rPr>
        <w:t>₁</w:t>
      </w:r>
      <w:r w:rsidR="00A3029F" w:rsidRPr="00197C20">
        <w:rPr>
          <w:rFonts w:ascii="Arial" w:hAnsi="Arial" w:cs="Arial"/>
          <w:bCs/>
          <w:sz w:val="20"/>
          <w:szCs w:val="20"/>
          <w:lang w:val="es-UY"/>
        </w:rPr>
        <w:t>.</w:t>
      </w:r>
      <w:r w:rsidR="00A3029F" w:rsidRPr="00E2664E">
        <w:rPr>
          <w:rFonts w:ascii="Arial" w:hAnsi="Arial" w:cs="Arial"/>
          <w:b/>
          <w:bCs/>
          <w:sz w:val="20"/>
          <w:szCs w:val="20"/>
          <w:lang w:val="es-UY"/>
        </w:rPr>
        <w:t xml:space="preserve"> </w:t>
      </w:r>
      <w:r w:rsidR="002053D6" w:rsidRPr="009643B8">
        <w:rPr>
          <w:rFonts w:ascii="Arial" w:hAnsi="Arial" w:cs="Arial"/>
          <w:bCs/>
          <w:sz w:val="20"/>
          <w:szCs w:val="20"/>
          <w:lang w:val="es-UY"/>
        </w:rPr>
        <w:t>Se aplicar</w:t>
      </w:r>
      <w:r w:rsidR="00C63AEA" w:rsidRPr="009643B8">
        <w:rPr>
          <w:rFonts w:ascii="Arial" w:hAnsi="Arial" w:cs="Arial"/>
          <w:bCs/>
          <w:sz w:val="20"/>
          <w:szCs w:val="20"/>
          <w:lang w:val="es-UY"/>
        </w:rPr>
        <w:t>án</w:t>
      </w:r>
      <w:r w:rsidR="002053D6" w:rsidRPr="009643B8">
        <w:rPr>
          <w:rFonts w:ascii="Arial" w:hAnsi="Arial" w:cs="Arial"/>
          <w:bCs/>
          <w:sz w:val="20"/>
          <w:szCs w:val="20"/>
          <w:lang w:val="es-UY"/>
        </w:rPr>
        <w:t xml:space="preserve"> los adelantos trimestrales establecidos en el </w:t>
      </w:r>
      <w:hyperlink w:anchor="A_3" w:history="1">
        <w:r w:rsidR="002053D6" w:rsidRPr="00507A68">
          <w:rPr>
            <w:rStyle w:val="Hipervnculo"/>
            <w:rFonts w:ascii="Arial" w:hAnsi="Arial" w:cs="Arial"/>
            <w:bCs/>
            <w:sz w:val="20"/>
            <w:szCs w:val="20"/>
            <w:lang w:val="es-UY"/>
          </w:rPr>
          <w:t>Anexo III</w:t>
        </w:r>
      </w:hyperlink>
      <w:r w:rsidR="002053D6" w:rsidRPr="009643B8">
        <w:rPr>
          <w:rFonts w:ascii="Arial" w:hAnsi="Arial" w:cs="Arial"/>
          <w:bCs/>
          <w:sz w:val="20"/>
          <w:szCs w:val="20"/>
          <w:lang w:val="es-UY"/>
        </w:rPr>
        <w:t xml:space="preserve"> punto 4.</w:t>
      </w:r>
    </w:p>
    <w:p w14:paraId="7E4D02D7" w14:textId="77777777" w:rsidR="00A3029F" w:rsidRPr="00E2664E" w:rsidRDefault="00A3029F" w:rsidP="00CC6497">
      <w:pPr>
        <w:spacing w:after="120"/>
        <w:jc w:val="both"/>
        <w:rPr>
          <w:rFonts w:ascii="Arial" w:hAnsi="Arial" w:cs="Arial"/>
          <w:sz w:val="20"/>
          <w:szCs w:val="20"/>
          <w:lang w:val="es-UY"/>
        </w:rPr>
      </w:pPr>
    </w:p>
    <w:p w14:paraId="6B72E186"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será, en cada caso, una constante que se calculará según la siguiente fórmula:</w:t>
      </w:r>
    </w:p>
    <w:p w14:paraId="3142AF6B" w14:textId="77777777" w:rsidR="00A3029F" w:rsidRDefault="00A3029F" w:rsidP="00CC6497">
      <w:pPr>
        <w:spacing w:after="120"/>
        <w:jc w:val="both"/>
        <w:rPr>
          <w:rFonts w:ascii="Arial" w:hAnsi="Arial" w:cs="Arial"/>
          <w:sz w:val="20"/>
          <w:szCs w:val="20"/>
          <w:lang w:val="es-UY"/>
        </w:rPr>
      </w:pPr>
    </w:p>
    <w:p w14:paraId="1F27ED45" w14:textId="77777777" w:rsidR="00A3029F" w:rsidRPr="00854D3D" w:rsidRDefault="00854D3D" w:rsidP="003C0BA5">
      <w:pPr>
        <w:spacing w:after="120"/>
        <w:jc w:val="center"/>
        <w:rPr>
          <w:rFonts w:ascii="Arial" w:hAnsi="Arial" w:cs="Arial"/>
          <w:sz w:val="20"/>
          <w:szCs w:val="20"/>
          <w:lang w:val="es-UY"/>
        </w:rPr>
      </w:pPr>
      <w:r w:rsidRPr="00854D3D">
        <w:rPr>
          <w:rFonts w:ascii="Arial" w:hAnsi="Arial" w:cs="Arial"/>
          <w:position w:val="-24"/>
          <w:sz w:val="20"/>
          <w:szCs w:val="20"/>
          <w:lang w:val="es-UY"/>
        </w:rPr>
        <w:object w:dxaOrig="2740" w:dyaOrig="620" w14:anchorId="0A028EAB">
          <v:shape id="_x0000_i1026" type="#_x0000_t75" style="width:133.5pt;height:30pt" o:ole="">
            <v:imagedata r:id="rId66" o:title=""/>
          </v:shape>
          <o:OLEObject Type="Embed" ProgID="Equation.3" ShapeID="_x0000_i1026" DrawAspect="Content" ObjectID="_1571644616" r:id="rId67"/>
        </w:object>
      </w:r>
    </w:p>
    <w:p w14:paraId="3359CB7C" w14:textId="77777777" w:rsidR="00A3029F"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14:paraId="16E031A3" w14:textId="77777777" w:rsidR="001B066D" w:rsidRPr="00E2664E" w:rsidRDefault="001B066D" w:rsidP="009643B8">
      <w:pPr>
        <w:spacing w:after="120"/>
        <w:ind w:left="741" w:firstLine="57"/>
        <w:rPr>
          <w:rFonts w:ascii="Arial" w:hAnsi="Arial" w:cs="Arial"/>
          <w:sz w:val="20"/>
          <w:szCs w:val="20"/>
          <w:lang w:val="es-UY"/>
        </w:rPr>
      </w:pPr>
      <w:r>
        <w:rPr>
          <w:rFonts w:ascii="Arial" w:hAnsi="Arial" w:cs="Arial"/>
          <w:sz w:val="20"/>
          <w:szCs w:val="20"/>
          <w:lang w:val="es-UY"/>
        </w:rPr>
        <w:t>N: Plazo del Contrato</w:t>
      </w:r>
    </w:p>
    <w:p w14:paraId="31DCE8AC" w14:textId="77777777" w:rsidR="00A3029F" w:rsidRPr="00E2664E" w:rsidRDefault="00A3029F" w:rsidP="009643B8">
      <w:pPr>
        <w:spacing w:after="120"/>
        <w:ind w:left="741"/>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14:paraId="02D6D9A4" w14:textId="77777777" w:rsidR="00A3029F" w:rsidRPr="00E2664E" w:rsidRDefault="00A3029F" w:rsidP="009643B8">
      <w:pPr>
        <w:spacing w:after="120"/>
        <w:ind w:left="741"/>
        <w:jc w:val="both"/>
        <w:rPr>
          <w:rFonts w:ascii="Arial" w:hAnsi="Arial" w:cs="Arial"/>
          <w:sz w:val="20"/>
          <w:szCs w:val="20"/>
          <w:lang w:val="es-UY"/>
        </w:rPr>
      </w:pPr>
      <w:r w:rsidRPr="00E2664E">
        <w:rPr>
          <w:rFonts w:ascii="Arial" w:hAnsi="Arial" w:cs="Arial"/>
          <w:sz w:val="20"/>
          <w:szCs w:val="20"/>
          <w:lang w:val="es-UY"/>
        </w:rPr>
        <w:lastRenderedPageBreak/>
        <w:tab/>
        <w:t>f</w:t>
      </w:r>
      <w:r w:rsidRPr="00E2664E">
        <w:rPr>
          <w:sz w:val="20"/>
          <w:szCs w:val="20"/>
          <w:lang w:val="es-UY"/>
        </w:rPr>
        <w:t>₁</w:t>
      </w:r>
      <w:r w:rsidRPr="00E2664E">
        <w:rPr>
          <w:rFonts w:ascii="Arial" w:hAnsi="Arial" w:cs="Arial"/>
          <w:sz w:val="20"/>
          <w:szCs w:val="20"/>
          <w:lang w:val="es-UY"/>
        </w:rPr>
        <w:t xml:space="preserve">(n): el valor que multiplica a los </w:t>
      </w:r>
      <w:r w:rsidR="006D2C16">
        <w:rPr>
          <w:rFonts w:ascii="Arial" w:hAnsi="Arial" w:cs="Arial"/>
          <w:sz w:val="20"/>
          <w:szCs w:val="20"/>
          <w:lang w:val="es-UY"/>
        </w:rPr>
        <w:t>“</w:t>
      </w:r>
      <w:r w:rsidRPr="00E2664E">
        <w:rPr>
          <w:rFonts w:ascii="Arial" w:hAnsi="Arial" w:cs="Arial"/>
          <w:sz w:val="20"/>
          <w:szCs w:val="20"/>
          <w:lang w:val="es-UY"/>
        </w:rPr>
        <w:t xml:space="preserve">precios unitarios </w:t>
      </w:r>
      <w:r w:rsidR="006D2C16">
        <w:rPr>
          <w:rFonts w:ascii="Arial" w:hAnsi="Arial" w:cs="Arial"/>
          <w:sz w:val="20"/>
          <w:szCs w:val="20"/>
          <w:lang w:val="es-UY"/>
        </w:rPr>
        <w:t xml:space="preserve">base” </w:t>
      </w:r>
      <w:r w:rsidRPr="00E2664E">
        <w:rPr>
          <w:rFonts w:ascii="Arial" w:hAnsi="Arial" w:cs="Arial"/>
          <w:sz w:val="20"/>
          <w:szCs w:val="20"/>
          <w:lang w:val="es-UY"/>
        </w:rPr>
        <w:t xml:space="preserve">suministrados por la Contratante en </w:t>
      </w:r>
      <w:r w:rsidRPr="00E2664E">
        <w:rPr>
          <w:rFonts w:ascii="Arial" w:hAnsi="Arial" w:cs="Arial"/>
          <w:sz w:val="20"/>
          <w:szCs w:val="20"/>
          <w:lang w:val="es-UY"/>
        </w:rPr>
        <w:tab/>
        <w:t>el momento de la licitación.</w:t>
      </w:r>
    </w:p>
    <w:p w14:paraId="0768232D" w14:textId="77777777" w:rsidR="00A3029F" w:rsidRPr="00A03ABC" w:rsidRDefault="00A3029F" w:rsidP="009643B8">
      <w:pPr>
        <w:spacing w:after="120"/>
        <w:ind w:left="741"/>
        <w:jc w:val="both"/>
        <w:rPr>
          <w:rFonts w:ascii="Arial" w:hAnsi="Arial" w:cs="Arial"/>
          <w:sz w:val="20"/>
          <w:szCs w:val="20"/>
          <w:lang w:val="pt-BR"/>
        </w:rPr>
      </w:pPr>
      <w:r w:rsidRPr="00553100">
        <w:rPr>
          <w:rFonts w:ascii="Arial" w:hAnsi="Arial" w:cs="Arial"/>
          <w:sz w:val="20"/>
          <w:szCs w:val="20"/>
        </w:rPr>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 xml:space="preserve">(n) vale 1cuando </w:t>
      </w:r>
      <w:r w:rsidRPr="00A03ABC">
        <w:rPr>
          <w:rFonts w:ascii="Arial" w:hAnsi="Arial" w:cs="Arial"/>
          <w:sz w:val="20"/>
          <w:szCs w:val="20"/>
          <w:lang w:val="pt-BR"/>
        </w:rPr>
        <w:t>n=1</w:t>
      </w:r>
    </w:p>
    <w:p w14:paraId="411A2A79" w14:textId="77777777" w:rsidR="00A3029F" w:rsidRDefault="00A3029F" w:rsidP="009643B8">
      <w:pPr>
        <w:spacing w:after="120"/>
        <w:ind w:left="741"/>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n</w:t>
      </w:r>
      <w:r w:rsidRPr="002E508F">
        <w:rPr>
          <w:rFonts w:ascii="Arial" w:hAnsi="Arial" w:cs="Arial"/>
          <w:sz w:val="20"/>
          <w:szCs w:val="20"/>
          <w:lang w:val="es-UY"/>
        </w:rPr>
        <w:t xml:space="preserve">= </w:t>
      </w:r>
      <w:r w:rsidR="008F17AA" w:rsidRPr="002E508F">
        <w:rPr>
          <w:rFonts w:ascii="Arial" w:hAnsi="Arial" w:cs="Arial"/>
          <w:sz w:val="20"/>
          <w:szCs w:val="20"/>
          <w:lang w:val="es-UY"/>
        </w:rPr>
        <w:t>N</w:t>
      </w:r>
      <w:r w:rsidRPr="00800191">
        <w:rPr>
          <w:rFonts w:ascii="Arial" w:hAnsi="Arial" w:cs="Arial"/>
          <w:sz w:val="20"/>
          <w:szCs w:val="20"/>
          <w:lang w:val="es-UY"/>
        </w:rPr>
        <w:t xml:space="preserve"> es decir es el f</w:t>
      </w:r>
      <w:r w:rsidRPr="00800191">
        <w:rPr>
          <w:sz w:val="20"/>
          <w:szCs w:val="20"/>
          <w:lang w:val="es-UY"/>
        </w:rPr>
        <w:t>₁</w:t>
      </w:r>
      <w:r w:rsidRPr="00800191">
        <w:rPr>
          <w:rFonts w:ascii="Arial" w:hAnsi="Arial" w:cs="Arial"/>
          <w:sz w:val="20"/>
          <w:szCs w:val="20"/>
          <w:lang w:val="es-UY"/>
        </w:rPr>
        <w:t xml:space="preserve"> ofertado en la licitación.</w:t>
      </w:r>
    </w:p>
    <w:p w14:paraId="23DC4C7A" w14:textId="77777777" w:rsidR="00A3029F" w:rsidRDefault="00A3029F" w:rsidP="00CC6497">
      <w:pPr>
        <w:spacing w:after="120"/>
        <w:jc w:val="both"/>
        <w:rPr>
          <w:rFonts w:ascii="Arial" w:hAnsi="Arial" w:cs="Arial"/>
          <w:sz w:val="20"/>
          <w:szCs w:val="20"/>
          <w:lang w:val="es-UY"/>
        </w:rPr>
      </w:pPr>
      <w:r>
        <w:rPr>
          <w:rFonts w:ascii="Arial" w:hAnsi="Arial" w:cs="Arial"/>
          <w:sz w:val="20"/>
          <w:szCs w:val="20"/>
          <w:lang w:val="es-UY"/>
        </w:rPr>
        <w:t>En los casos intermedios la variación se considera lineal con la fórmula anterior.</w:t>
      </w:r>
    </w:p>
    <w:p w14:paraId="556E976C" w14:textId="77777777" w:rsidR="00A3029F" w:rsidRPr="00E2664E" w:rsidRDefault="00A3029F" w:rsidP="00411976">
      <w:pPr>
        <w:spacing w:after="120"/>
        <w:ind w:left="57" w:hanging="57"/>
        <w:jc w:val="both"/>
        <w:rPr>
          <w:rFonts w:ascii="Arial" w:hAnsi="Arial" w:cs="Arial"/>
          <w:sz w:val="20"/>
          <w:szCs w:val="20"/>
          <w:lang w:val="es-UY"/>
        </w:rPr>
      </w:pPr>
      <w:r w:rsidRPr="00E2664E">
        <w:rPr>
          <w:rFonts w:ascii="Arial" w:hAnsi="Arial" w:cs="Arial"/>
          <w:sz w:val="20"/>
          <w:szCs w:val="20"/>
          <w:lang w:val="es-UY"/>
        </w:rPr>
        <w:t>Para el caso en que el proyecto de la ampliación contenga</w:t>
      </w:r>
      <w:r w:rsidR="00B14DCC">
        <w:rPr>
          <w:rFonts w:ascii="Arial" w:hAnsi="Arial" w:cs="Arial"/>
          <w:sz w:val="20"/>
          <w:szCs w:val="20"/>
          <w:lang w:val="es-UY"/>
        </w:rPr>
        <w:t xml:space="preserve"> </w:t>
      </w:r>
      <w:r w:rsidRPr="00E2664E">
        <w:rPr>
          <w:rFonts w:ascii="Arial" w:hAnsi="Arial" w:cs="Arial"/>
          <w:sz w:val="20"/>
          <w:szCs w:val="20"/>
          <w:lang w:val="es-UY"/>
        </w:rPr>
        <w:t>rubros</w:t>
      </w:r>
      <w:r w:rsidR="00B14DCC">
        <w:rPr>
          <w:rFonts w:ascii="Arial" w:hAnsi="Arial" w:cs="Arial"/>
          <w:sz w:val="20"/>
          <w:szCs w:val="20"/>
          <w:lang w:val="es-UY"/>
        </w:rPr>
        <w:t xml:space="preserve"> </w:t>
      </w:r>
      <w:r w:rsidRPr="00E2664E">
        <w:rPr>
          <w:rFonts w:ascii="Arial" w:hAnsi="Arial" w:cs="Arial"/>
          <w:sz w:val="20"/>
          <w:szCs w:val="20"/>
          <w:lang w:val="es-UY"/>
        </w:rPr>
        <w:t>que no hubieren sido suministrados en ocasión de la licitación, serán utilizados los precios unitarios de obras similares contratadas por la DNV.</w:t>
      </w:r>
    </w:p>
    <w:p w14:paraId="0EB3DF6E" w14:textId="77777777" w:rsidR="008D5109" w:rsidRPr="008D5109" w:rsidRDefault="008D5109" w:rsidP="008D5109">
      <w:pPr>
        <w:spacing w:after="120"/>
        <w:jc w:val="both"/>
        <w:rPr>
          <w:rFonts w:ascii="Arial" w:hAnsi="Arial" w:cs="Arial"/>
          <w:sz w:val="20"/>
          <w:szCs w:val="20"/>
          <w:lang w:val="es-UY"/>
        </w:rPr>
      </w:pPr>
      <w:r w:rsidRPr="008D5109">
        <w:rPr>
          <w:rFonts w:ascii="Arial" w:hAnsi="Arial" w:cs="Arial"/>
          <w:sz w:val="20"/>
          <w:szCs w:val="20"/>
          <w:lang w:val="es-UY"/>
        </w:rPr>
        <w:t>La “Componente A” anual surge de dividir la “Componente A” total de las obras mencionadas, entre el número de años que restan entre la finalización de las obras y la finalización del contrato.</w:t>
      </w:r>
    </w:p>
    <w:p w14:paraId="04940193" w14:textId="3D68D3DA" w:rsidR="006A5E36" w:rsidRPr="00793D29" w:rsidRDefault="008D5109" w:rsidP="00CC6497">
      <w:pPr>
        <w:spacing w:after="120"/>
        <w:jc w:val="both"/>
        <w:rPr>
          <w:rFonts w:ascii="Arial" w:hAnsi="Arial" w:cs="Arial"/>
          <w:sz w:val="20"/>
          <w:szCs w:val="20"/>
          <w:lang w:val="es-UY"/>
        </w:rPr>
      </w:pPr>
      <w:r w:rsidRPr="00793D29">
        <w:rPr>
          <w:rFonts w:ascii="Arial" w:hAnsi="Arial" w:cs="Arial"/>
          <w:sz w:val="20"/>
          <w:szCs w:val="20"/>
          <w:lang w:val="es-UY"/>
        </w:rPr>
        <w:t>La Contratante se reserva el derecho de contratar y ejecutar las obras con un tercero, al que se le exigirán todas las garantías correspondientes a la correcta ejecución de la obra y las mismas condiciones de recepción.</w:t>
      </w:r>
    </w:p>
    <w:p w14:paraId="40490803" w14:textId="2B1E4851" w:rsidR="00CB7666" w:rsidRPr="00E2664E" w:rsidRDefault="00CB7666" w:rsidP="00CC6497">
      <w:pPr>
        <w:spacing w:after="120"/>
        <w:jc w:val="both"/>
        <w:rPr>
          <w:rFonts w:ascii="Arial" w:hAnsi="Arial" w:cs="Arial"/>
          <w:sz w:val="20"/>
          <w:szCs w:val="20"/>
          <w:lang w:val="es-UY"/>
        </w:rPr>
      </w:pPr>
      <w:r w:rsidRPr="00793D29">
        <w:rPr>
          <w:rFonts w:ascii="Arial" w:hAnsi="Arial" w:cs="Arial"/>
          <w:sz w:val="20"/>
          <w:szCs w:val="20"/>
          <w:lang w:val="es-UY"/>
        </w:rPr>
        <w:t xml:space="preserve">En cualquier caso el Contratista deberá cumplir con los estándares de mantenimiento establecidos en el Anexo IX. La Contratante y el Contratista acordarán los costos de mantenimiento rutinario, los </w:t>
      </w:r>
      <w:r w:rsidRPr="00793D29">
        <w:rPr>
          <w:rFonts w:ascii="Arial" w:hAnsi="Arial" w:cs="Arial"/>
          <w:sz w:val="20"/>
          <w:szCs w:val="20"/>
          <w:lang w:val="es-UY"/>
        </w:rPr>
        <w:lastRenderedPageBreak/>
        <w:t>que serán sumados al componente B del tramo que corresponda, y los costos de mantenimiento mayor, los que serán sumados al componente C, en la forma establecida en los Anexos II y III .</w:t>
      </w:r>
    </w:p>
    <w:p w14:paraId="3D0D1B66" w14:textId="77777777" w:rsidR="00A3029F" w:rsidRPr="00E2664E" w:rsidRDefault="00A3029F" w:rsidP="00ED1D85">
      <w:pPr>
        <w:tabs>
          <w:tab w:val="left" w:pos="5325"/>
        </w:tabs>
        <w:spacing w:after="120"/>
        <w:jc w:val="both"/>
        <w:rPr>
          <w:rFonts w:ascii="Arial" w:hAnsi="Arial" w:cs="Arial"/>
          <w:sz w:val="20"/>
          <w:szCs w:val="20"/>
          <w:lang w:val="es-UY"/>
        </w:rPr>
      </w:pPr>
      <w:r w:rsidRPr="00E2664E">
        <w:rPr>
          <w:rFonts w:ascii="Arial" w:hAnsi="Arial" w:cs="Arial"/>
          <w:sz w:val="20"/>
          <w:szCs w:val="20"/>
          <w:lang w:val="es-UY" w:eastAsia="es-ES"/>
        </w:rPr>
        <w:t xml:space="preserve">De acuerdo </w:t>
      </w:r>
      <w:r>
        <w:rPr>
          <w:rFonts w:ascii="Arial" w:hAnsi="Arial" w:cs="Arial"/>
          <w:sz w:val="20"/>
          <w:szCs w:val="20"/>
          <w:lang w:val="es-UY" w:eastAsia="es-ES"/>
        </w:rPr>
        <w:t>a</w:t>
      </w:r>
      <w:r w:rsidR="00EF5FCB">
        <w:rPr>
          <w:rFonts w:ascii="Arial" w:hAnsi="Arial" w:cs="Arial"/>
          <w:sz w:val="20"/>
          <w:szCs w:val="20"/>
          <w:lang w:val="es-UY" w:eastAsia="es-ES"/>
        </w:rPr>
        <w:t xml:space="preserve"> </w:t>
      </w:r>
      <w:r w:rsidRPr="00E2664E">
        <w:rPr>
          <w:rFonts w:ascii="Arial" w:hAnsi="Arial" w:cs="Arial"/>
          <w:sz w:val="20"/>
          <w:szCs w:val="20"/>
          <w:lang w:val="es-UY" w:eastAsia="es-ES"/>
        </w:rPr>
        <w:t>la LCPPP la modificación del contrato no podrá realizarse sin la obtención previa de un informe por parte de la Oficina de Planeamiento y Presupuesto y del Ministerio de Economía y Finanzas.</w:t>
      </w:r>
    </w:p>
    <w:p w14:paraId="3AE0FE55"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todo caso, el monto máximo acumulado de las nuevas inversiones o gastos del servicio, requeridos por las modificaciones dispuestas conforme al inciso anterior, no podrá en ningún caso exceder el </w:t>
      </w:r>
      <w:r w:rsidR="002053D6" w:rsidRPr="00800609">
        <w:rPr>
          <w:rFonts w:ascii="Arial" w:hAnsi="Arial" w:cs="Arial"/>
          <w:sz w:val="20"/>
          <w:szCs w:val="20"/>
          <w:lang w:val="es-UY" w:eastAsia="es-ES"/>
        </w:rPr>
        <w:t>15</w:t>
      </w:r>
      <w:r w:rsidRPr="00800609">
        <w:rPr>
          <w:rFonts w:ascii="Arial" w:hAnsi="Arial" w:cs="Arial"/>
          <w:sz w:val="20"/>
          <w:szCs w:val="20"/>
          <w:lang w:val="es-UY" w:eastAsia="es-ES"/>
        </w:rPr>
        <w:t>% (</w:t>
      </w:r>
      <w:r w:rsidR="002053D6" w:rsidRPr="00800609">
        <w:rPr>
          <w:rFonts w:ascii="Arial" w:hAnsi="Arial" w:cs="Arial"/>
          <w:sz w:val="20"/>
          <w:szCs w:val="20"/>
          <w:lang w:val="es-UY" w:eastAsia="es-ES"/>
        </w:rPr>
        <w:t xml:space="preserve">quince </w:t>
      </w:r>
      <w:r w:rsidRPr="00800609">
        <w:rPr>
          <w:rFonts w:ascii="Arial" w:hAnsi="Arial" w:cs="Arial"/>
          <w:sz w:val="20"/>
          <w:szCs w:val="20"/>
          <w:lang w:val="es-UY" w:eastAsia="es-ES"/>
        </w:rPr>
        <w:t>por ciento)</w:t>
      </w:r>
      <w:r w:rsidRPr="00E2664E">
        <w:rPr>
          <w:rFonts w:ascii="Arial" w:hAnsi="Arial" w:cs="Arial"/>
          <w:sz w:val="20"/>
          <w:szCs w:val="20"/>
          <w:lang w:val="es-UY" w:eastAsia="es-ES"/>
        </w:rPr>
        <w:t xml:space="preserve"> del valor de</w:t>
      </w:r>
      <w:r w:rsidR="00B14DCC">
        <w:rPr>
          <w:rFonts w:ascii="Arial" w:hAnsi="Arial" w:cs="Arial"/>
          <w:sz w:val="20"/>
          <w:szCs w:val="20"/>
          <w:lang w:val="es-UY" w:eastAsia="es-ES"/>
        </w:rPr>
        <w:t xml:space="preserve"> </w:t>
      </w:r>
      <w:r w:rsidRPr="00E2664E">
        <w:rPr>
          <w:rFonts w:ascii="Arial" w:hAnsi="Arial" w:cs="Arial"/>
          <w:sz w:val="20"/>
          <w:szCs w:val="20"/>
          <w:lang w:val="es-UY" w:eastAsia="es-ES"/>
        </w:rPr>
        <w:t>la “Componente A” de la oferta presentada en ocasión de la licitación.</w:t>
      </w:r>
      <w:bookmarkStart w:id="462" w:name="_Toc340671898"/>
    </w:p>
    <w:p w14:paraId="6489DA65" w14:textId="77777777" w:rsidR="00A3029F" w:rsidRPr="00E2664E" w:rsidRDefault="00A3029F" w:rsidP="009A58E0">
      <w:pPr>
        <w:pStyle w:val="T2"/>
        <w:numPr>
          <w:ilvl w:val="1"/>
          <w:numId w:val="90"/>
        </w:numPr>
        <w:outlineLvl w:val="3"/>
      </w:pPr>
      <w:bookmarkStart w:id="463" w:name="_Toc358821535"/>
      <w:bookmarkStart w:id="464" w:name="_Toc400634038"/>
      <w:bookmarkStart w:id="465" w:name="_Toc400635161"/>
      <w:bookmarkStart w:id="466" w:name="_Toc468288029"/>
      <w:bookmarkStart w:id="467" w:name="_Toc496266622"/>
      <w:bookmarkStart w:id="468" w:name="Lit_42_2"/>
      <w:r w:rsidRPr="00E2664E">
        <w:t xml:space="preserve">MODIFICACIONES </w:t>
      </w:r>
      <w:bookmarkEnd w:id="462"/>
      <w:r w:rsidRPr="00E2664E">
        <w:t>PREVISTAS EN EL CONTRATO</w:t>
      </w:r>
      <w:bookmarkEnd w:id="463"/>
      <w:bookmarkEnd w:id="464"/>
      <w:bookmarkEnd w:id="465"/>
      <w:bookmarkEnd w:id="466"/>
      <w:bookmarkEnd w:id="467"/>
    </w:p>
    <w:bookmarkEnd w:id="468"/>
    <w:p w14:paraId="178C3487" w14:textId="77777777" w:rsidR="00A3029F" w:rsidRPr="00E2664E" w:rsidRDefault="00A3029F" w:rsidP="00CC6497">
      <w:pPr>
        <w:tabs>
          <w:tab w:val="left" w:pos="567"/>
        </w:tabs>
        <w:suppressAutoHyphens/>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La Contratante </w:t>
      </w:r>
      <w:r w:rsidRPr="00E2664E">
        <w:rPr>
          <w:rFonts w:ascii="Arial" w:hAnsi="Arial" w:cs="Arial"/>
          <w:sz w:val="20"/>
          <w:szCs w:val="20"/>
          <w:lang w:val="es-UY" w:eastAsia="es-UY"/>
        </w:rPr>
        <w:t>podrá proceder con el acuerdo del Contratista, a la modificación de las características o la cuantía de las obras o de los servicios contratados, para mejorar o incrementar los niveles de servicios o estándares técnicos establecidos en el presente pliego y en el contrato, o por otras razones de interés público debidamente fundadas, sin afectar con ello las condiciones sustanciales del contrato</w:t>
      </w:r>
      <w:r w:rsidRPr="00E2664E">
        <w:rPr>
          <w:rFonts w:ascii="Arial" w:hAnsi="Arial" w:cs="Arial"/>
          <w:sz w:val="20"/>
          <w:szCs w:val="20"/>
          <w:lang w:val="es-UY" w:eastAsia="es-ES"/>
        </w:rPr>
        <w:t xml:space="preserve"> y sólo en relación a las siguientes obras y servicios: </w:t>
      </w:r>
    </w:p>
    <w:p w14:paraId="78C7DEBB" w14:textId="77777777" w:rsidR="00976C56" w:rsidRP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lastRenderedPageBreak/>
        <w:t>Construcción o modificación de cualquier bypass o desvío de tránsito pesado en localidades eventualmente afectadas por las rutas que forman parte del circuito</w:t>
      </w:r>
      <w:r w:rsidR="004F0DA1">
        <w:rPr>
          <w:rFonts w:ascii="Arial" w:hAnsi="Arial" w:cs="Arial"/>
          <w:sz w:val="20"/>
          <w:szCs w:val="20"/>
          <w:lang w:val="es-UY"/>
        </w:rPr>
        <w:t>.</w:t>
      </w:r>
      <w:r w:rsidRPr="00976C56">
        <w:rPr>
          <w:rFonts w:ascii="Arial" w:hAnsi="Arial" w:cs="Arial"/>
          <w:sz w:val="20"/>
          <w:szCs w:val="20"/>
          <w:lang w:val="es-UY"/>
        </w:rPr>
        <w:t xml:space="preserve"> </w:t>
      </w:r>
    </w:p>
    <w:p w14:paraId="26B894E9" w14:textId="77777777" w:rsid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t>Construcción o modificación de cualquier empalme o intersección que conecte la traza de las rutas que forman parte del circuito con otras vías de igual o menor importancia y que justifiquen un cam</w:t>
      </w:r>
      <w:r w:rsidR="004F0DA1">
        <w:rPr>
          <w:rFonts w:ascii="Arial" w:hAnsi="Arial" w:cs="Arial"/>
          <w:sz w:val="20"/>
          <w:szCs w:val="20"/>
          <w:lang w:val="es-UY"/>
        </w:rPr>
        <w:t>bio respecto del diseño actual.</w:t>
      </w:r>
    </w:p>
    <w:p w14:paraId="1235748E" w14:textId="77777777" w:rsidR="007A7159" w:rsidRPr="00976C56" w:rsidRDefault="007A7159" w:rsidP="009A58E0">
      <w:pPr>
        <w:numPr>
          <w:ilvl w:val="0"/>
          <w:numId w:val="46"/>
        </w:numPr>
        <w:spacing w:after="120"/>
        <w:jc w:val="both"/>
        <w:rPr>
          <w:rFonts w:ascii="Arial" w:hAnsi="Arial" w:cs="Arial"/>
          <w:sz w:val="20"/>
          <w:szCs w:val="20"/>
          <w:lang w:val="es-UY"/>
        </w:rPr>
      </w:pPr>
      <w:r>
        <w:rPr>
          <w:rFonts w:ascii="Arial" w:hAnsi="Arial" w:cs="Arial"/>
          <w:sz w:val="20"/>
          <w:szCs w:val="20"/>
          <w:lang w:val="es-UY"/>
        </w:rPr>
        <w:t>Modificaci</w:t>
      </w:r>
      <w:r w:rsidR="00AA08D1">
        <w:rPr>
          <w:rFonts w:ascii="Arial" w:hAnsi="Arial" w:cs="Arial"/>
          <w:sz w:val="20"/>
          <w:szCs w:val="20"/>
          <w:lang w:val="es-UY"/>
        </w:rPr>
        <w:t>o</w:t>
      </w:r>
      <w:r>
        <w:rPr>
          <w:rFonts w:ascii="Arial" w:hAnsi="Arial" w:cs="Arial"/>
          <w:sz w:val="20"/>
          <w:szCs w:val="20"/>
          <w:lang w:val="es-UY"/>
        </w:rPr>
        <w:t>n</w:t>
      </w:r>
      <w:r w:rsidR="00AA08D1">
        <w:rPr>
          <w:rFonts w:ascii="Arial" w:hAnsi="Arial" w:cs="Arial"/>
          <w:sz w:val="20"/>
          <w:szCs w:val="20"/>
          <w:lang w:val="es-UY"/>
        </w:rPr>
        <w:t>es</w:t>
      </w:r>
      <w:r w:rsidR="004F0DA1">
        <w:rPr>
          <w:rFonts w:ascii="Arial" w:hAnsi="Arial" w:cs="Arial"/>
          <w:sz w:val="20"/>
          <w:szCs w:val="20"/>
          <w:lang w:val="es-UY"/>
        </w:rPr>
        <w:t xml:space="preserve"> p</w:t>
      </w:r>
      <w:r>
        <w:rPr>
          <w:rFonts w:ascii="Arial" w:hAnsi="Arial" w:cs="Arial"/>
          <w:sz w:val="20"/>
          <w:szCs w:val="20"/>
          <w:lang w:val="es-UY"/>
        </w:rPr>
        <w:t>lanialtim</w:t>
      </w:r>
      <w:r w:rsidR="00C70D4F">
        <w:rPr>
          <w:rFonts w:ascii="Arial" w:hAnsi="Arial" w:cs="Arial"/>
          <w:sz w:val="20"/>
          <w:szCs w:val="20"/>
          <w:lang w:val="es-UY"/>
        </w:rPr>
        <w:t>é</w:t>
      </w:r>
      <w:r>
        <w:rPr>
          <w:rFonts w:ascii="Arial" w:hAnsi="Arial" w:cs="Arial"/>
          <w:sz w:val="20"/>
          <w:szCs w:val="20"/>
          <w:lang w:val="es-UY"/>
        </w:rPr>
        <w:t>trica</w:t>
      </w:r>
      <w:r w:rsidR="00C70D4F">
        <w:rPr>
          <w:rFonts w:ascii="Arial" w:hAnsi="Arial" w:cs="Arial"/>
          <w:sz w:val="20"/>
          <w:szCs w:val="20"/>
          <w:lang w:val="es-UY"/>
        </w:rPr>
        <w:t>s en cualquiera de las rutas que forma</w:t>
      </w:r>
      <w:r w:rsidR="00BC7A46">
        <w:rPr>
          <w:rFonts w:ascii="Arial" w:hAnsi="Arial" w:cs="Arial"/>
          <w:sz w:val="20"/>
          <w:szCs w:val="20"/>
          <w:lang w:val="es-UY"/>
        </w:rPr>
        <w:t xml:space="preserve">n </w:t>
      </w:r>
      <w:r w:rsidR="00C70D4F">
        <w:rPr>
          <w:rFonts w:ascii="Arial" w:hAnsi="Arial" w:cs="Arial"/>
          <w:sz w:val="20"/>
          <w:szCs w:val="20"/>
          <w:lang w:val="es-UY"/>
        </w:rPr>
        <w:t>parte del circuito</w:t>
      </w:r>
      <w:r>
        <w:rPr>
          <w:rFonts w:ascii="Arial" w:hAnsi="Arial" w:cs="Arial"/>
          <w:sz w:val="20"/>
          <w:szCs w:val="20"/>
          <w:lang w:val="es-UY"/>
        </w:rPr>
        <w:t>.</w:t>
      </w:r>
    </w:p>
    <w:p w14:paraId="27C5311F" w14:textId="77777777" w:rsidR="00976C56" w:rsidRPr="00296FE5" w:rsidRDefault="00A314F1" w:rsidP="009A58E0">
      <w:pPr>
        <w:numPr>
          <w:ilvl w:val="0"/>
          <w:numId w:val="46"/>
        </w:numPr>
        <w:spacing w:after="120"/>
        <w:jc w:val="both"/>
        <w:rPr>
          <w:rFonts w:ascii="Arial" w:hAnsi="Arial" w:cs="Arial"/>
          <w:sz w:val="20"/>
          <w:szCs w:val="20"/>
          <w:lang w:val="es-UY"/>
        </w:rPr>
      </w:pPr>
      <w:r w:rsidRPr="00296FE5">
        <w:rPr>
          <w:rFonts w:ascii="Arial" w:hAnsi="Arial" w:cs="Arial"/>
          <w:sz w:val="20"/>
          <w:szCs w:val="20"/>
          <w:lang w:val="es-UY"/>
        </w:rPr>
        <w:t xml:space="preserve">Construcción de paradas de ómnibus. </w:t>
      </w:r>
    </w:p>
    <w:p w14:paraId="52FA3B51" w14:textId="77777777" w:rsidR="00976C56" w:rsidRPr="00296FE5" w:rsidRDefault="00A314F1" w:rsidP="009A58E0">
      <w:pPr>
        <w:numPr>
          <w:ilvl w:val="0"/>
          <w:numId w:val="46"/>
        </w:numPr>
        <w:spacing w:after="120"/>
        <w:jc w:val="both"/>
        <w:rPr>
          <w:rFonts w:ascii="Arial" w:hAnsi="Arial" w:cs="Arial"/>
          <w:sz w:val="20"/>
          <w:szCs w:val="20"/>
          <w:lang w:val="es-UY"/>
        </w:rPr>
      </w:pPr>
      <w:r w:rsidRPr="00296FE5">
        <w:rPr>
          <w:rFonts w:ascii="Arial" w:hAnsi="Arial" w:cs="Arial"/>
          <w:sz w:val="20"/>
          <w:szCs w:val="20"/>
          <w:lang w:val="es-UY"/>
        </w:rPr>
        <w:t xml:space="preserve">Construcción de sendas de adelantamiento. </w:t>
      </w:r>
    </w:p>
    <w:p w14:paraId="64C27016" w14:textId="77777777" w:rsidR="00976C56" w:rsidRDefault="00976C56" w:rsidP="009A58E0">
      <w:pPr>
        <w:numPr>
          <w:ilvl w:val="0"/>
          <w:numId w:val="46"/>
        </w:numPr>
        <w:spacing w:after="120"/>
        <w:jc w:val="both"/>
        <w:rPr>
          <w:rFonts w:ascii="Arial" w:hAnsi="Arial" w:cs="Arial"/>
          <w:sz w:val="20"/>
          <w:szCs w:val="20"/>
          <w:lang w:val="es-UY"/>
        </w:rPr>
      </w:pPr>
      <w:r w:rsidRPr="00976C56">
        <w:rPr>
          <w:rFonts w:ascii="Arial" w:hAnsi="Arial" w:cs="Arial"/>
          <w:sz w:val="20"/>
          <w:szCs w:val="20"/>
          <w:lang w:val="es-UY"/>
        </w:rPr>
        <w:t>Cualquier otra obra de mejora o servicio no comprendida en las anteriores y que en el futuro se considere necesaria para el buen funcionamiento del circuito y cuyo monto no exceda de un 5% del monto de las obras de puesta a punto</w:t>
      </w:r>
      <w:r>
        <w:rPr>
          <w:rFonts w:ascii="Arial" w:hAnsi="Arial" w:cs="Arial"/>
          <w:sz w:val="20"/>
          <w:szCs w:val="20"/>
          <w:lang w:val="es-UY"/>
        </w:rPr>
        <w:t>.</w:t>
      </w:r>
    </w:p>
    <w:p w14:paraId="1252D7C8"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proyecto ejecutivo podrá ser suministrado por la Contratante. En caso contrario deberá contar con la aprobación de la misma. </w:t>
      </w:r>
    </w:p>
    <w:p w14:paraId="0F2CDAB1"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 xml:space="preserve">El riesgo de diseño del proyecto ejecutivo será de cargo de quién lo haya realizado. </w:t>
      </w:r>
    </w:p>
    <w:p w14:paraId="46CE7345" w14:textId="0EA4A611" w:rsidR="00A3029F" w:rsidRPr="002053D6" w:rsidRDefault="007A7159" w:rsidP="00CC6497">
      <w:pPr>
        <w:spacing w:after="120"/>
        <w:jc w:val="both"/>
        <w:rPr>
          <w:rFonts w:ascii="Arial" w:hAnsi="Arial" w:cs="Arial"/>
          <w:sz w:val="20"/>
          <w:szCs w:val="20"/>
          <w:lang w:val="es-UY"/>
        </w:rPr>
      </w:pPr>
      <w:r>
        <w:rPr>
          <w:rFonts w:ascii="Arial" w:hAnsi="Arial" w:cs="Arial"/>
          <w:sz w:val="20"/>
          <w:szCs w:val="20"/>
          <w:lang w:val="es-UY"/>
        </w:rPr>
        <w:t>En caso de acuerdo entre la Contratante y el Contratista, se pagará como máximo el monto correspondiente a l</w:t>
      </w:r>
      <w:r w:rsidR="00A3029F" w:rsidRPr="00E2664E">
        <w:rPr>
          <w:rFonts w:ascii="Arial" w:hAnsi="Arial" w:cs="Arial"/>
          <w:sz w:val="20"/>
          <w:szCs w:val="20"/>
          <w:lang w:val="es-UY"/>
        </w:rPr>
        <w:t xml:space="preserve">a “Componente A” total </w:t>
      </w:r>
      <w:r w:rsidR="00A3029F" w:rsidRPr="00E2664E">
        <w:rPr>
          <w:rFonts w:ascii="Arial" w:hAnsi="Arial" w:cs="Arial"/>
          <w:sz w:val="20"/>
          <w:szCs w:val="20"/>
          <w:lang w:val="es-UY"/>
        </w:rPr>
        <w:lastRenderedPageBreak/>
        <w:t xml:space="preserve">de las obras mencionadas, </w:t>
      </w:r>
      <w:r w:rsidR="00C07E0E" w:rsidRPr="00E92A5E">
        <w:rPr>
          <w:rFonts w:ascii="Arial" w:hAnsi="Arial" w:cs="Arial"/>
          <w:sz w:val="20"/>
          <w:szCs w:val="20"/>
          <w:lang w:val="es-UY"/>
        </w:rPr>
        <w:t>el monto</w:t>
      </w:r>
      <w:r w:rsidR="00A3029F" w:rsidRPr="00E2664E">
        <w:rPr>
          <w:rFonts w:ascii="Arial" w:hAnsi="Arial" w:cs="Arial"/>
          <w:sz w:val="20"/>
          <w:szCs w:val="20"/>
          <w:lang w:val="es-UY"/>
        </w:rPr>
        <w:t xml:space="preserve"> se determinará multiplicando los metrajes de los rubros correspondientes por los </w:t>
      </w:r>
      <w:r w:rsidR="006D2C16">
        <w:rPr>
          <w:rFonts w:ascii="Arial" w:hAnsi="Arial" w:cs="Arial"/>
          <w:sz w:val="20"/>
          <w:szCs w:val="20"/>
          <w:lang w:val="es-UY"/>
        </w:rPr>
        <w:t>“</w:t>
      </w:r>
      <w:r w:rsidR="00A3029F" w:rsidRPr="00E2664E">
        <w:rPr>
          <w:rFonts w:ascii="Arial" w:hAnsi="Arial" w:cs="Arial"/>
          <w:sz w:val="20"/>
          <w:szCs w:val="20"/>
          <w:lang w:val="es-UY"/>
        </w:rPr>
        <w:t>precios unitarios base</w:t>
      </w:r>
      <w:r w:rsidR="006D2C16">
        <w:rPr>
          <w:rFonts w:ascii="Arial" w:hAnsi="Arial" w:cs="Arial"/>
          <w:sz w:val="20"/>
          <w:szCs w:val="20"/>
          <w:lang w:val="es-UY"/>
        </w:rPr>
        <w:t>”</w:t>
      </w:r>
      <w:r w:rsidR="00A3029F" w:rsidRPr="00E2664E">
        <w:rPr>
          <w:rFonts w:ascii="Arial" w:hAnsi="Arial" w:cs="Arial"/>
          <w:sz w:val="20"/>
          <w:szCs w:val="20"/>
          <w:lang w:val="es-UY"/>
        </w:rPr>
        <w:t xml:space="preserve"> </w:t>
      </w:r>
      <w:r w:rsidR="00A3029F" w:rsidRPr="004F0DA1">
        <w:rPr>
          <w:rFonts w:ascii="Arial" w:hAnsi="Arial" w:cs="Arial"/>
          <w:sz w:val="20"/>
          <w:szCs w:val="20"/>
          <w:lang w:val="es-UY"/>
        </w:rPr>
        <w:t>suministrados por l</w:t>
      </w:r>
      <w:r w:rsidR="008F2655">
        <w:rPr>
          <w:rFonts w:ascii="Arial" w:hAnsi="Arial" w:cs="Arial"/>
          <w:sz w:val="20"/>
          <w:szCs w:val="20"/>
          <w:lang w:val="es-UY"/>
        </w:rPr>
        <w:t>a</w:t>
      </w:r>
      <w:r w:rsidR="00A3029F" w:rsidRPr="004F0DA1">
        <w:rPr>
          <w:rFonts w:ascii="Arial" w:hAnsi="Arial" w:cs="Arial"/>
          <w:sz w:val="20"/>
          <w:szCs w:val="20"/>
          <w:lang w:val="es-UY"/>
        </w:rPr>
        <w:t xml:space="preserve"> Contratante en la licitación por el coeficiente </w:t>
      </w:r>
      <w:r w:rsidR="00A3029F" w:rsidRPr="00197C20">
        <w:rPr>
          <w:rFonts w:ascii="Arial" w:hAnsi="Arial" w:cs="Arial"/>
          <w:bCs/>
          <w:sz w:val="20"/>
          <w:szCs w:val="20"/>
          <w:lang w:val="es-UY"/>
        </w:rPr>
        <w:t>f</w:t>
      </w:r>
      <w:r w:rsidR="00A3029F" w:rsidRPr="00197C20">
        <w:rPr>
          <w:bCs/>
          <w:sz w:val="20"/>
          <w:szCs w:val="20"/>
          <w:lang w:val="es-UY"/>
        </w:rPr>
        <w:t>₁</w:t>
      </w:r>
      <w:r w:rsidR="00A3029F" w:rsidRPr="00197C20">
        <w:rPr>
          <w:rFonts w:ascii="Arial" w:hAnsi="Arial" w:cs="Arial"/>
          <w:bCs/>
          <w:sz w:val="20"/>
          <w:szCs w:val="20"/>
          <w:lang w:val="es-UY"/>
        </w:rPr>
        <w:t>.</w:t>
      </w:r>
      <w:r w:rsidR="00A3029F" w:rsidRPr="004F0DA1">
        <w:rPr>
          <w:rFonts w:ascii="Arial" w:hAnsi="Arial" w:cs="Arial"/>
          <w:b/>
          <w:bCs/>
          <w:sz w:val="20"/>
          <w:szCs w:val="20"/>
          <w:lang w:val="es-UY"/>
        </w:rPr>
        <w:t xml:space="preserve"> </w:t>
      </w:r>
      <w:r w:rsidR="002053D6" w:rsidRPr="004F0DA1">
        <w:rPr>
          <w:rFonts w:ascii="Arial" w:hAnsi="Arial" w:cs="Arial"/>
          <w:bCs/>
          <w:sz w:val="20"/>
          <w:szCs w:val="20"/>
          <w:lang w:val="es-UY"/>
        </w:rPr>
        <w:t>Se aplicar</w:t>
      </w:r>
      <w:r w:rsidR="00C63AEA" w:rsidRPr="004F0DA1">
        <w:rPr>
          <w:rFonts w:ascii="Arial" w:hAnsi="Arial" w:cs="Arial"/>
          <w:bCs/>
          <w:sz w:val="20"/>
          <w:szCs w:val="20"/>
          <w:lang w:val="es-UY"/>
        </w:rPr>
        <w:t>á</w:t>
      </w:r>
      <w:r w:rsidR="002053D6" w:rsidRPr="004F0DA1">
        <w:rPr>
          <w:rFonts w:ascii="Arial" w:hAnsi="Arial" w:cs="Arial"/>
          <w:bCs/>
          <w:sz w:val="20"/>
          <w:szCs w:val="20"/>
          <w:lang w:val="es-UY"/>
        </w:rPr>
        <w:t>n los adelantos trimestrales est</w:t>
      </w:r>
      <w:r w:rsidR="003E163C" w:rsidRPr="004F0DA1">
        <w:rPr>
          <w:rFonts w:ascii="Arial" w:hAnsi="Arial" w:cs="Arial"/>
          <w:bCs/>
          <w:sz w:val="20"/>
          <w:szCs w:val="20"/>
          <w:lang w:val="es-UY"/>
        </w:rPr>
        <w:t>a</w:t>
      </w:r>
      <w:r w:rsidR="002053D6" w:rsidRPr="004F0DA1">
        <w:rPr>
          <w:rFonts w:ascii="Arial" w:hAnsi="Arial" w:cs="Arial"/>
          <w:bCs/>
          <w:sz w:val="20"/>
          <w:szCs w:val="20"/>
          <w:lang w:val="es-UY"/>
        </w:rPr>
        <w:t xml:space="preserve">blecidos en el </w:t>
      </w:r>
      <w:hyperlink w:anchor="A_3" w:history="1">
        <w:r w:rsidR="002053D6" w:rsidRPr="00507A68">
          <w:rPr>
            <w:rStyle w:val="Hipervnculo"/>
            <w:rFonts w:ascii="Arial" w:hAnsi="Arial" w:cs="Arial"/>
            <w:bCs/>
            <w:sz w:val="20"/>
            <w:szCs w:val="20"/>
            <w:lang w:val="es-UY"/>
          </w:rPr>
          <w:t>Anexo III</w:t>
        </w:r>
      </w:hyperlink>
      <w:r w:rsidR="002053D6" w:rsidRPr="004F0DA1">
        <w:rPr>
          <w:rFonts w:ascii="Arial" w:hAnsi="Arial" w:cs="Arial"/>
          <w:bCs/>
          <w:sz w:val="20"/>
          <w:szCs w:val="20"/>
          <w:lang w:val="es-UY"/>
        </w:rPr>
        <w:t xml:space="preserve"> punto 4.</w:t>
      </w:r>
    </w:p>
    <w:p w14:paraId="7928F607" w14:textId="77777777" w:rsidR="00A3029F"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El valor de f</w:t>
      </w:r>
      <w:r w:rsidRPr="00E2664E">
        <w:rPr>
          <w:sz w:val="20"/>
          <w:szCs w:val="20"/>
          <w:lang w:val="es-UY"/>
        </w:rPr>
        <w:t>₁</w:t>
      </w:r>
      <w:r w:rsidRPr="00E2664E">
        <w:rPr>
          <w:rFonts w:ascii="Arial" w:hAnsi="Arial" w:cs="Arial"/>
          <w:sz w:val="20"/>
          <w:szCs w:val="20"/>
          <w:lang w:val="es-UY"/>
        </w:rPr>
        <w:t xml:space="preserve"> será, en cada caso, una constante que se calculará según la siguiente fórmula:</w:t>
      </w:r>
    </w:p>
    <w:p w14:paraId="25422FA6" w14:textId="77777777" w:rsidR="00A3029F" w:rsidRDefault="001B066D" w:rsidP="004F0DA1">
      <w:pPr>
        <w:spacing w:before="240"/>
        <w:jc w:val="center"/>
        <w:rPr>
          <w:rFonts w:ascii="Arial" w:hAnsi="Arial" w:cs="Arial"/>
          <w:sz w:val="24"/>
          <w:szCs w:val="24"/>
        </w:rPr>
      </w:pPr>
      <w:r w:rsidRPr="003C0BA5">
        <w:rPr>
          <w:rFonts w:ascii="Arial" w:hAnsi="Arial" w:cs="Arial"/>
          <w:position w:val="-24"/>
          <w:sz w:val="20"/>
          <w:szCs w:val="20"/>
          <w:lang w:val="es-UY"/>
        </w:rPr>
        <w:object w:dxaOrig="2860" w:dyaOrig="620" w14:anchorId="59C63DEA">
          <v:shape id="_x0000_i1027" type="#_x0000_t75" style="width:139.5pt;height:30pt" o:ole="">
            <v:imagedata r:id="rId68" o:title=""/>
          </v:shape>
          <o:OLEObject Type="Embed" ProgID="Equation.3" ShapeID="_x0000_i1027" DrawAspect="Content" ObjectID="_1571644617" r:id="rId69"/>
        </w:object>
      </w:r>
    </w:p>
    <w:p w14:paraId="6F3D22D6" w14:textId="77777777" w:rsidR="00A3029F" w:rsidRDefault="00A3029F" w:rsidP="00CC6497">
      <w:pPr>
        <w:spacing w:after="120"/>
        <w:rPr>
          <w:rFonts w:ascii="Arial" w:hAnsi="Arial" w:cs="Arial"/>
          <w:sz w:val="20"/>
          <w:szCs w:val="20"/>
          <w:lang w:val="es-UY"/>
        </w:rPr>
      </w:pPr>
      <w:r w:rsidRPr="00E2664E">
        <w:rPr>
          <w:rFonts w:ascii="Arial" w:hAnsi="Arial" w:cs="Arial"/>
          <w:sz w:val="20"/>
          <w:szCs w:val="20"/>
          <w:lang w:val="es-UY"/>
        </w:rPr>
        <w:t>siendo:</w:t>
      </w:r>
    </w:p>
    <w:p w14:paraId="176E5DF0" w14:textId="77777777" w:rsidR="001B066D" w:rsidRPr="00E2664E" w:rsidRDefault="001B066D" w:rsidP="004F0DA1">
      <w:pPr>
        <w:spacing w:after="120"/>
        <w:ind w:left="684"/>
        <w:rPr>
          <w:rFonts w:ascii="Arial" w:hAnsi="Arial" w:cs="Arial"/>
          <w:sz w:val="20"/>
          <w:szCs w:val="20"/>
          <w:lang w:val="es-UY"/>
        </w:rPr>
      </w:pPr>
      <w:r w:rsidRPr="001B066D">
        <w:rPr>
          <w:rFonts w:ascii="Arial" w:hAnsi="Arial" w:cs="Arial"/>
          <w:sz w:val="20"/>
          <w:szCs w:val="20"/>
          <w:lang w:val="es-UY"/>
        </w:rPr>
        <w:t>N: Plazo del Contrato</w:t>
      </w:r>
      <w:r>
        <w:rPr>
          <w:rFonts w:ascii="Arial" w:hAnsi="Arial" w:cs="Arial"/>
          <w:sz w:val="20"/>
          <w:szCs w:val="20"/>
          <w:lang w:val="es-UY"/>
        </w:rPr>
        <w:t>.</w:t>
      </w:r>
    </w:p>
    <w:p w14:paraId="00166CC6" w14:textId="77777777" w:rsidR="00A3029F" w:rsidRPr="00E2664E" w:rsidRDefault="00A3029F" w:rsidP="004F0DA1">
      <w:pPr>
        <w:spacing w:after="120"/>
        <w:ind w:left="684"/>
        <w:jc w:val="both"/>
        <w:rPr>
          <w:rFonts w:ascii="Arial" w:hAnsi="Arial" w:cs="Arial"/>
          <w:sz w:val="20"/>
          <w:szCs w:val="20"/>
          <w:lang w:val="es-UY"/>
        </w:rPr>
      </w:pPr>
      <w:r w:rsidRPr="00E2664E">
        <w:rPr>
          <w:rFonts w:ascii="Arial" w:hAnsi="Arial" w:cs="Arial"/>
          <w:sz w:val="20"/>
          <w:szCs w:val="20"/>
          <w:lang w:val="es-UY"/>
        </w:rPr>
        <w:tab/>
        <w:t xml:space="preserve">n: los años que restan desde la fecha prevista para el comienzo de la obra en cuestión </w:t>
      </w:r>
      <w:r w:rsidRPr="00E2664E">
        <w:rPr>
          <w:rFonts w:ascii="Arial" w:hAnsi="Arial" w:cs="Arial"/>
          <w:sz w:val="20"/>
          <w:szCs w:val="20"/>
          <w:lang w:val="es-UY"/>
        </w:rPr>
        <w:tab/>
        <w:t>hasta la finalización del contrato.</w:t>
      </w:r>
    </w:p>
    <w:p w14:paraId="77579E53" w14:textId="77777777" w:rsidR="00A3029F" w:rsidRPr="00E2664E" w:rsidRDefault="00A3029F" w:rsidP="004F0DA1">
      <w:pPr>
        <w:spacing w:after="120"/>
        <w:ind w:left="684"/>
        <w:jc w:val="both"/>
        <w:rPr>
          <w:rFonts w:ascii="Arial" w:hAnsi="Arial" w:cs="Arial"/>
          <w:sz w:val="20"/>
          <w:szCs w:val="20"/>
          <w:lang w:val="es-UY"/>
        </w:rPr>
      </w:pPr>
      <w:r w:rsidRPr="00E2664E">
        <w:rPr>
          <w:rFonts w:ascii="Arial" w:hAnsi="Arial" w:cs="Arial"/>
          <w:sz w:val="20"/>
          <w:szCs w:val="20"/>
          <w:lang w:val="es-UY"/>
        </w:rPr>
        <w:tab/>
        <w:t>f</w:t>
      </w:r>
      <w:r w:rsidRPr="00E2664E">
        <w:rPr>
          <w:sz w:val="20"/>
          <w:szCs w:val="20"/>
          <w:lang w:val="es-UY"/>
        </w:rPr>
        <w:t>₁</w:t>
      </w:r>
      <w:r w:rsidRPr="00E2664E">
        <w:rPr>
          <w:rFonts w:ascii="Arial" w:hAnsi="Arial" w:cs="Arial"/>
          <w:sz w:val="20"/>
          <w:szCs w:val="20"/>
          <w:lang w:val="es-UY"/>
        </w:rPr>
        <w:t xml:space="preserve">(n): el valor que multiplica a los precios unitarios suministrados por la Contratante en </w:t>
      </w:r>
      <w:r w:rsidRPr="00E2664E">
        <w:rPr>
          <w:rFonts w:ascii="Arial" w:hAnsi="Arial" w:cs="Arial"/>
          <w:sz w:val="20"/>
          <w:szCs w:val="20"/>
          <w:lang w:val="es-UY"/>
        </w:rPr>
        <w:tab/>
        <w:t>el momento de la licitación.</w:t>
      </w:r>
    </w:p>
    <w:p w14:paraId="7761D168" w14:textId="77777777" w:rsidR="00A3029F" w:rsidRPr="00800191" w:rsidRDefault="00A3029F" w:rsidP="004F0DA1">
      <w:pPr>
        <w:spacing w:after="120"/>
        <w:ind w:left="684"/>
        <w:jc w:val="both"/>
        <w:rPr>
          <w:rFonts w:ascii="Arial" w:hAnsi="Arial" w:cs="Arial"/>
          <w:sz w:val="20"/>
          <w:szCs w:val="20"/>
          <w:lang w:val="pt-BR"/>
        </w:rPr>
      </w:pPr>
      <w:r w:rsidRPr="00553100">
        <w:rPr>
          <w:rFonts w:ascii="Arial" w:hAnsi="Arial" w:cs="Arial"/>
          <w:sz w:val="20"/>
          <w:szCs w:val="20"/>
        </w:rPr>
        <w:tab/>
      </w:r>
      <w:r w:rsidRPr="00800191">
        <w:rPr>
          <w:rFonts w:ascii="Arial" w:hAnsi="Arial" w:cs="Arial"/>
          <w:sz w:val="20"/>
          <w:szCs w:val="20"/>
          <w:lang w:val="pt-BR"/>
        </w:rPr>
        <w:t>f</w:t>
      </w:r>
      <w:r w:rsidRPr="00800191">
        <w:rPr>
          <w:sz w:val="20"/>
          <w:szCs w:val="20"/>
          <w:lang w:val="pt-BR"/>
        </w:rPr>
        <w:t>₁</w:t>
      </w:r>
      <w:r w:rsidRPr="00800191">
        <w:rPr>
          <w:rFonts w:ascii="Arial" w:hAnsi="Arial" w:cs="Arial"/>
          <w:sz w:val="20"/>
          <w:szCs w:val="20"/>
          <w:lang w:val="pt-BR"/>
        </w:rPr>
        <w:t>(n) vale 1cuando n=1.</w:t>
      </w:r>
    </w:p>
    <w:p w14:paraId="7EAB88F9" w14:textId="77777777" w:rsidR="00A3029F" w:rsidRDefault="00A3029F" w:rsidP="004F0DA1">
      <w:pPr>
        <w:spacing w:after="120"/>
        <w:ind w:left="684"/>
        <w:jc w:val="both"/>
        <w:rPr>
          <w:rFonts w:ascii="Arial" w:hAnsi="Arial" w:cs="Arial"/>
          <w:sz w:val="20"/>
          <w:szCs w:val="20"/>
          <w:lang w:val="es-UY"/>
        </w:rPr>
      </w:pPr>
      <w:r w:rsidRPr="00800191">
        <w:rPr>
          <w:rFonts w:ascii="Arial" w:hAnsi="Arial" w:cs="Arial"/>
          <w:sz w:val="20"/>
          <w:szCs w:val="20"/>
          <w:lang w:val="pt-BR"/>
        </w:rPr>
        <w:tab/>
      </w:r>
      <w:r w:rsidRPr="00800191">
        <w:rPr>
          <w:rFonts w:ascii="Arial" w:hAnsi="Arial" w:cs="Arial"/>
          <w:sz w:val="20"/>
          <w:szCs w:val="20"/>
          <w:lang w:val="es-UY"/>
        </w:rPr>
        <w:t>f</w:t>
      </w:r>
      <w:r w:rsidRPr="00800191">
        <w:rPr>
          <w:sz w:val="20"/>
          <w:szCs w:val="20"/>
          <w:lang w:val="es-UY"/>
        </w:rPr>
        <w:t>₁</w:t>
      </w:r>
      <w:r w:rsidRPr="00800191">
        <w:rPr>
          <w:rFonts w:ascii="Arial" w:hAnsi="Arial" w:cs="Arial"/>
          <w:sz w:val="20"/>
          <w:szCs w:val="20"/>
          <w:lang w:val="es-UY"/>
        </w:rPr>
        <w:t>(n) vale f</w:t>
      </w:r>
      <w:r w:rsidRPr="00800191">
        <w:rPr>
          <w:sz w:val="20"/>
          <w:szCs w:val="20"/>
          <w:lang w:val="es-UY"/>
        </w:rPr>
        <w:t>₁</w:t>
      </w:r>
      <w:r w:rsidRPr="00800191">
        <w:rPr>
          <w:rFonts w:ascii="Arial" w:hAnsi="Arial" w:cs="Arial"/>
          <w:sz w:val="20"/>
          <w:szCs w:val="20"/>
          <w:lang w:val="es-UY"/>
        </w:rPr>
        <w:t xml:space="preserve"> cuando </w:t>
      </w:r>
      <w:r w:rsidRPr="002E508F">
        <w:rPr>
          <w:rFonts w:ascii="Arial" w:hAnsi="Arial" w:cs="Arial"/>
          <w:sz w:val="20"/>
          <w:szCs w:val="20"/>
          <w:lang w:val="es-UY"/>
        </w:rPr>
        <w:t xml:space="preserve">n= </w:t>
      </w:r>
      <w:r w:rsidR="008F17AA" w:rsidRPr="002E508F">
        <w:rPr>
          <w:rFonts w:ascii="Arial" w:hAnsi="Arial" w:cs="Arial"/>
          <w:sz w:val="20"/>
          <w:szCs w:val="20"/>
          <w:lang w:val="es-UY"/>
        </w:rPr>
        <w:t>N</w:t>
      </w:r>
      <w:r w:rsidRPr="00800191">
        <w:rPr>
          <w:rFonts w:ascii="Arial" w:hAnsi="Arial" w:cs="Arial"/>
          <w:sz w:val="20"/>
          <w:szCs w:val="20"/>
          <w:lang w:val="es-UY"/>
        </w:rPr>
        <w:t xml:space="preserve"> es decir es el f</w:t>
      </w:r>
      <w:r w:rsidRPr="00800191">
        <w:rPr>
          <w:sz w:val="20"/>
          <w:szCs w:val="20"/>
          <w:lang w:val="es-UY"/>
        </w:rPr>
        <w:t>₁</w:t>
      </w:r>
      <w:r w:rsidRPr="00800191">
        <w:rPr>
          <w:rFonts w:ascii="Arial" w:hAnsi="Arial" w:cs="Arial"/>
          <w:sz w:val="20"/>
          <w:szCs w:val="20"/>
          <w:lang w:val="es-UY"/>
        </w:rPr>
        <w:t xml:space="preserve"> ofertado en la licitación.</w:t>
      </w:r>
    </w:p>
    <w:p w14:paraId="15B2C4F3" w14:textId="77777777" w:rsidR="00A3029F" w:rsidRDefault="00A3029F" w:rsidP="00CC6497">
      <w:pPr>
        <w:spacing w:after="120"/>
        <w:jc w:val="both"/>
        <w:rPr>
          <w:rFonts w:ascii="Arial" w:hAnsi="Arial" w:cs="Arial"/>
          <w:sz w:val="20"/>
          <w:szCs w:val="20"/>
          <w:lang w:val="es-UY"/>
        </w:rPr>
      </w:pPr>
      <w:r>
        <w:rPr>
          <w:rFonts w:ascii="Arial" w:hAnsi="Arial" w:cs="Arial"/>
          <w:sz w:val="20"/>
          <w:szCs w:val="20"/>
          <w:lang w:val="es-UY"/>
        </w:rPr>
        <w:lastRenderedPageBreak/>
        <w:t>En los casos intermedios la variación se considera lineal con la fórmula anterior.</w:t>
      </w:r>
    </w:p>
    <w:p w14:paraId="063A67F0" w14:textId="77777777"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Para el caso en que el proyecto de la ampliación contenga</w:t>
      </w:r>
      <w:r w:rsidR="00B14DCC">
        <w:rPr>
          <w:rFonts w:ascii="Arial" w:hAnsi="Arial" w:cs="Arial"/>
          <w:sz w:val="20"/>
          <w:szCs w:val="20"/>
          <w:lang w:val="es-UY"/>
        </w:rPr>
        <w:t xml:space="preserve"> </w:t>
      </w:r>
      <w:r w:rsidRPr="00E2664E">
        <w:rPr>
          <w:rFonts w:ascii="Arial" w:hAnsi="Arial" w:cs="Arial"/>
          <w:sz w:val="20"/>
          <w:szCs w:val="20"/>
          <w:lang w:val="es-UY"/>
        </w:rPr>
        <w:t>rubros</w:t>
      </w:r>
      <w:r w:rsidR="00B14DCC">
        <w:rPr>
          <w:rFonts w:ascii="Arial" w:hAnsi="Arial" w:cs="Arial"/>
          <w:sz w:val="20"/>
          <w:szCs w:val="20"/>
          <w:lang w:val="es-UY"/>
        </w:rPr>
        <w:t xml:space="preserve"> </w:t>
      </w:r>
      <w:r w:rsidRPr="00E2664E">
        <w:rPr>
          <w:rFonts w:ascii="Arial" w:hAnsi="Arial" w:cs="Arial"/>
          <w:sz w:val="20"/>
          <w:szCs w:val="20"/>
          <w:lang w:val="es-UY"/>
        </w:rPr>
        <w:t>que no hubieren sido suministrados en ocasión de la licitación, serán utilizados los precios unitarios de obras similares contratadas por la DNV.</w:t>
      </w:r>
    </w:p>
    <w:p w14:paraId="71B954F0" w14:textId="77777777" w:rsidR="005A05F0"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La Contratante y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podrán acordar precios menores. </w:t>
      </w:r>
    </w:p>
    <w:p w14:paraId="09B20482" w14:textId="6DFC6CB4" w:rsidR="00A3029F" w:rsidRPr="00E2664E" w:rsidRDefault="00A3029F" w:rsidP="00CC6497">
      <w:pPr>
        <w:spacing w:after="120"/>
        <w:jc w:val="both"/>
        <w:rPr>
          <w:rFonts w:ascii="Arial" w:hAnsi="Arial" w:cs="Arial"/>
          <w:sz w:val="20"/>
          <w:szCs w:val="20"/>
          <w:lang w:val="es-UY"/>
        </w:rPr>
      </w:pPr>
      <w:r w:rsidRPr="00E2664E">
        <w:rPr>
          <w:rFonts w:ascii="Arial" w:hAnsi="Arial" w:cs="Arial"/>
          <w:sz w:val="20"/>
          <w:szCs w:val="20"/>
          <w:lang w:val="es-UY"/>
        </w:rPr>
        <w:t>En caso de no fructificar un acuerdo entre ambas partes, la Contratante se reserva el derecho de contratar y ejecutar las obras con un tercero</w:t>
      </w:r>
      <w:r w:rsidR="00D24BD6" w:rsidRPr="00296FE5">
        <w:rPr>
          <w:rFonts w:ascii="Arial" w:hAnsi="Arial" w:cs="Arial"/>
          <w:sz w:val="20"/>
          <w:szCs w:val="20"/>
          <w:lang w:val="es-UY"/>
        </w:rPr>
        <w:t xml:space="preserve">, </w:t>
      </w:r>
      <w:r w:rsidR="00A314F1" w:rsidRPr="00296FE5">
        <w:rPr>
          <w:rFonts w:ascii="Arial" w:hAnsi="Arial" w:cs="Arial"/>
          <w:sz w:val="20"/>
          <w:szCs w:val="20"/>
          <w:lang w:val="es-UY"/>
        </w:rPr>
        <w:t xml:space="preserve">al que se le exigirán todas las garantías correspondientes a la correcta ejecución de la </w:t>
      </w:r>
      <w:r w:rsidR="00A314F1" w:rsidRPr="00793D29">
        <w:rPr>
          <w:rFonts w:ascii="Arial" w:hAnsi="Arial" w:cs="Arial"/>
          <w:sz w:val="20"/>
          <w:szCs w:val="20"/>
          <w:lang w:val="es-UY"/>
        </w:rPr>
        <w:t>obra</w:t>
      </w:r>
      <w:r w:rsidR="00091296" w:rsidRPr="00793D29">
        <w:rPr>
          <w:rFonts w:ascii="Arial" w:hAnsi="Arial" w:cs="Arial"/>
          <w:sz w:val="20"/>
          <w:szCs w:val="20"/>
          <w:lang w:val="es-UY"/>
        </w:rPr>
        <w:t xml:space="preserve"> y las mismas condiciones de recepción</w:t>
      </w:r>
      <w:r w:rsidR="00A314F1" w:rsidRPr="00793D29">
        <w:rPr>
          <w:rFonts w:ascii="Arial" w:hAnsi="Arial" w:cs="Arial"/>
          <w:sz w:val="20"/>
          <w:szCs w:val="20"/>
          <w:lang w:val="es-UY"/>
        </w:rPr>
        <w:t>.</w:t>
      </w:r>
    </w:p>
    <w:p w14:paraId="0D63AA0C" w14:textId="77777777" w:rsidR="005C360D" w:rsidRPr="005C360D" w:rsidRDefault="005C360D" w:rsidP="005C360D">
      <w:pPr>
        <w:spacing w:after="120"/>
        <w:jc w:val="both"/>
        <w:rPr>
          <w:rFonts w:ascii="Arial" w:hAnsi="Arial" w:cs="Arial"/>
          <w:sz w:val="20"/>
          <w:szCs w:val="20"/>
          <w:lang w:val="es-UY"/>
        </w:rPr>
      </w:pPr>
      <w:r w:rsidRPr="005C360D">
        <w:rPr>
          <w:rFonts w:ascii="Arial" w:hAnsi="Arial" w:cs="Arial"/>
          <w:sz w:val="20"/>
          <w:szCs w:val="20"/>
          <w:lang w:val="es-UY"/>
        </w:rPr>
        <w:t>En caso de acuerdo, la “Componente A” anual surge de dividir la “Componente A” total de las obras mencionadas, entre el número de años que restan entre la finalización de las obras y la finalización del contrato.</w:t>
      </w:r>
    </w:p>
    <w:p w14:paraId="437F5863" w14:textId="77777777" w:rsidR="00397089" w:rsidRPr="00467CB7" w:rsidRDefault="005C360D" w:rsidP="00E92CAC">
      <w:pPr>
        <w:rPr>
          <w:rFonts w:ascii="Arial" w:hAnsi="Arial" w:cs="Arial"/>
          <w:sz w:val="16"/>
          <w:szCs w:val="20"/>
          <w:lang w:val="es-UY"/>
        </w:rPr>
      </w:pPr>
      <w:r w:rsidRPr="005C360D">
        <w:rPr>
          <w:rFonts w:ascii="Arial" w:hAnsi="Arial" w:cs="Arial"/>
          <w:sz w:val="20"/>
          <w:szCs w:val="20"/>
          <w:lang w:val="es-UY"/>
        </w:rPr>
        <w:t xml:space="preserve">En caso de acuerdo o de obra ejecutada por un tercero, el Contratista deberá cumplir con los estándares de mantenimiento establecidos en el Anexo IX. La Contratante y el Contratista acordarán los costos de mantenimiento rutinario, los que serán sumados al </w:t>
      </w:r>
      <w:r w:rsidRPr="005C360D">
        <w:rPr>
          <w:rFonts w:ascii="Arial" w:hAnsi="Arial" w:cs="Arial"/>
          <w:sz w:val="20"/>
          <w:szCs w:val="20"/>
          <w:lang w:val="es-UY"/>
        </w:rPr>
        <w:lastRenderedPageBreak/>
        <w:t>componente B del tramo que corresponda, y los costos de mantenimiento mayor, los que serán sumados al componente C, en la forma establecida en los Anexos II y III</w:t>
      </w:r>
      <w:r>
        <w:rPr>
          <w:rFonts w:ascii="Arial" w:hAnsi="Arial" w:cs="Arial"/>
          <w:sz w:val="20"/>
          <w:szCs w:val="20"/>
          <w:lang w:val="es-UY"/>
        </w:rPr>
        <w:t>.</w:t>
      </w:r>
      <w:r w:rsidR="007C2304">
        <w:rPr>
          <w:rFonts w:ascii="Arial" w:hAnsi="Arial" w:cs="Arial"/>
          <w:sz w:val="20"/>
          <w:szCs w:val="20"/>
          <w:lang w:val="es-UY"/>
        </w:rPr>
        <w:t xml:space="preserve">  </w:t>
      </w:r>
    </w:p>
    <w:p w14:paraId="076EB97E" w14:textId="77777777" w:rsidR="00257432" w:rsidRDefault="00A3029F" w:rsidP="00CF4D08">
      <w:pPr>
        <w:jc w:val="both"/>
        <w:rPr>
          <w:rFonts w:ascii="Arial" w:hAnsi="Arial" w:cs="Arial"/>
          <w:sz w:val="20"/>
          <w:szCs w:val="20"/>
          <w:lang w:val="es-UY"/>
        </w:rPr>
      </w:pPr>
      <w:r w:rsidRPr="00E2664E">
        <w:rPr>
          <w:rFonts w:ascii="Arial" w:hAnsi="Arial" w:cs="Arial"/>
          <w:sz w:val="20"/>
          <w:szCs w:val="20"/>
          <w:lang w:val="es-UY"/>
        </w:rPr>
        <w:t>En todo caso, el monto máximo de las nuevas inversiones o gastos del servicio, requeridos por las modificaciones dispuestas conforme al inciso anterior, no podrá en ningún caso exceder del 50% (cincuenta por ciento) del valor de</w:t>
      </w:r>
      <w:r w:rsidR="00B14DCC">
        <w:rPr>
          <w:rFonts w:ascii="Arial" w:hAnsi="Arial" w:cs="Arial"/>
          <w:sz w:val="20"/>
          <w:szCs w:val="20"/>
          <w:lang w:val="es-UY"/>
        </w:rPr>
        <w:t xml:space="preserve"> </w:t>
      </w:r>
      <w:r w:rsidRPr="00E2664E">
        <w:rPr>
          <w:rFonts w:ascii="Arial" w:hAnsi="Arial" w:cs="Arial"/>
          <w:sz w:val="20"/>
          <w:szCs w:val="20"/>
          <w:lang w:val="es-UY"/>
        </w:rPr>
        <w:t>la “Componente A” de la oferta presentada en ocasión de la licitación.</w:t>
      </w:r>
    </w:p>
    <w:p w14:paraId="14655A5F" w14:textId="4C18E598" w:rsidR="0090444E" w:rsidRDefault="0090444E" w:rsidP="00CF4D08">
      <w:pPr>
        <w:jc w:val="both"/>
        <w:rPr>
          <w:rFonts w:ascii="Arial" w:hAnsi="Arial" w:cs="Arial"/>
          <w:sz w:val="20"/>
          <w:szCs w:val="20"/>
          <w:lang w:val="es-UY"/>
        </w:rPr>
      </w:pPr>
      <w:r>
        <w:rPr>
          <w:rFonts w:ascii="Arial" w:hAnsi="Arial" w:cs="Arial"/>
          <w:sz w:val="20"/>
          <w:szCs w:val="20"/>
          <w:lang w:val="es-UY"/>
        </w:rPr>
        <w:t>El contratista deberá presentar la conformidad a la modificación de los acreedres prendarios o cesionarios en garantía, según corresponda.</w:t>
      </w:r>
    </w:p>
    <w:p w14:paraId="3DCEBCFD" w14:textId="77777777" w:rsidR="00A3029F" w:rsidRPr="00E2664E" w:rsidRDefault="00A3029F" w:rsidP="009A58E0">
      <w:pPr>
        <w:pStyle w:val="T2"/>
        <w:numPr>
          <w:ilvl w:val="1"/>
          <w:numId w:val="90"/>
        </w:numPr>
        <w:outlineLvl w:val="3"/>
      </w:pPr>
      <w:bookmarkStart w:id="469" w:name="_Toc340671899"/>
      <w:bookmarkStart w:id="470" w:name="_Toc358821536"/>
      <w:bookmarkStart w:id="471" w:name="_Toc400634039"/>
      <w:bookmarkStart w:id="472" w:name="_Toc400635162"/>
      <w:bookmarkStart w:id="473" w:name="_Toc468288030"/>
      <w:bookmarkStart w:id="474" w:name="_Toc496266623"/>
      <w:bookmarkStart w:id="475" w:name="Lit_42_3"/>
      <w:r w:rsidRPr="00323C8A">
        <w:t>RENEGOCIACIÓN DEL CONTRATO</w:t>
      </w:r>
      <w:bookmarkEnd w:id="469"/>
      <w:bookmarkEnd w:id="470"/>
      <w:bookmarkEnd w:id="471"/>
      <w:bookmarkEnd w:id="472"/>
      <w:bookmarkEnd w:id="473"/>
      <w:bookmarkEnd w:id="474"/>
    </w:p>
    <w:bookmarkEnd w:id="475"/>
    <w:p w14:paraId="3F3501D0"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Cualquiera de las partes podrá requerir a la otra la renegociación del contrato cuando ocurra alguna d</w:t>
      </w:r>
      <w:r w:rsidR="00E92CAC">
        <w:rPr>
          <w:rFonts w:ascii="Arial" w:hAnsi="Arial" w:cs="Arial"/>
          <w:sz w:val="20"/>
          <w:szCs w:val="20"/>
          <w:lang w:val="es-UY" w:eastAsia="es-UY"/>
        </w:rPr>
        <w:t>e</w:t>
      </w:r>
      <w:r w:rsidRPr="00E2664E">
        <w:rPr>
          <w:rFonts w:ascii="Arial" w:hAnsi="Arial" w:cs="Arial"/>
          <w:sz w:val="20"/>
          <w:szCs w:val="20"/>
          <w:lang w:val="es-UY" w:eastAsia="es-UY"/>
        </w:rPr>
        <w:t xml:space="preserve"> las siguientes hipótesis:</w:t>
      </w:r>
    </w:p>
    <w:p w14:paraId="6F936279"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A) Cuando la Contratante modifique, por razones de interés público, los parámetros de costos y beneficios previstos al contratar, y se cumplan todos los siguientes requisitos:</w:t>
      </w:r>
    </w:p>
    <w:p w14:paraId="0435BAF7" w14:textId="77777777"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 Que la modificación ocurra con posterioridad a la firma del contrato y no haya podido ser razonablemente prevista por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al tiempo de su celebración.</w:t>
      </w:r>
    </w:p>
    <w:p w14:paraId="1C5244B7" w14:textId="77777777" w:rsidR="00A3029F" w:rsidRPr="00E2664E" w:rsidRDefault="00A3029F" w:rsidP="00CC6497">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lastRenderedPageBreak/>
        <w:t>II) Que la modificación altere significativamente la ecuación económico-financiera resultante del contrato al tiempo de su celebración.</w:t>
      </w:r>
    </w:p>
    <w:p w14:paraId="1B22CFB0" w14:textId="77777777" w:rsidR="00A3029F" w:rsidRPr="00E2664E" w:rsidRDefault="00A3029F" w:rsidP="00F127EC">
      <w:pPr>
        <w:spacing w:after="120"/>
        <w:ind w:left="708"/>
        <w:jc w:val="both"/>
        <w:rPr>
          <w:rFonts w:ascii="Arial" w:hAnsi="Arial" w:cs="Arial"/>
          <w:sz w:val="20"/>
          <w:szCs w:val="20"/>
          <w:lang w:val="es-UY" w:eastAsia="es-UY"/>
        </w:rPr>
      </w:pPr>
      <w:r w:rsidRPr="00E2664E">
        <w:rPr>
          <w:rFonts w:ascii="Arial" w:hAnsi="Arial" w:cs="Arial"/>
          <w:sz w:val="20"/>
          <w:szCs w:val="20"/>
          <w:lang w:val="es-UY" w:eastAsia="es-UY"/>
        </w:rPr>
        <w:t>III) Que la modificación sea relevante específicamente en el ámbito del contrato, y no sea producida por medidas que procuren un efecto económico-financiero de alcance general.</w:t>
      </w:r>
    </w:p>
    <w:p w14:paraId="2186570D" w14:textId="77777777" w:rsidR="00BC3689" w:rsidRDefault="00177235">
      <w:pPr>
        <w:spacing w:after="120"/>
        <w:jc w:val="both"/>
        <w:rPr>
          <w:rFonts w:ascii="Arial" w:hAnsi="Arial" w:cs="Arial"/>
          <w:sz w:val="20"/>
          <w:szCs w:val="20"/>
          <w:lang w:val="es-UY"/>
        </w:rPr>
      </w:pPr>
      <w:r>
        <w:rPr>
          <w:rFonts w:ascii="Arial" w:hAnsi="Arial" w:cs="Arial"/>
          <w:sz w:val="20"/>
          <w:szCs w:val="20"/>
          <w:lang w:val="es-UY"/>
        </w:rPr>
        <w:t>El</w:t>
      </w:r>
      <w:r w:rsidR="005037D4">
        <w:rPr>
          <w:rFonts w:ascii="Arial" w:hAnsi="Arial" w:cs="Arial"/>
          <w:sz w:val="20"/>
          <w:szCs w:val="20"/>
          <w:lang w:val="es-UY"/>
        </w:rPr>
        <w:t xml:space="preserve"> </w:t>
      </w:r>
      <w:r w:rsidR="0087075A" w:rsidRPr="00C24175">
        <w:rPr>
          <w:rFonts w:ascii="Arial" w:hAnsi="Arial" w:cs="Arial"/>
          <w:sz w:val="20"/>
          <w:szCs w:val="20"/>
          <w:lang w:val="es-UY"/>
        </w:rPr>
        <w:t>restablecimiento de la ecuación económico-financiera del contrato se calculará de la siguiente forma:</w:t>
      </w:r>
    </w:p>
    <w:p w14:paraId="39C64578" w14:textId="77777777" w:rsidR="00BC3689" w:rsidRDefault="0087075A">
      <w:pPr>
        <w:jc w:val="both"/>
      </w:pPr>
      <w:r w:rsidRPr="00C24175">
        <w:rPr>
          <w:rFonts w:ascii="Arial" w:hAnsi="Arial" w:cs="Arial"/>
          <w:sz w:val="20"/>
          <w:szCs w:val="20"/>
          <w:lang w:val="es-UY"/>
        </w:rPr>
        <w:t>Se determinarán los costos o ingresos resultantes del evento que dio causa a la renegociación del contrato, utilizando criterios de mercado</w:t>
      </w:r>
      <w:r>
        <w:t xml:space="preserve">. </w:t>
      </w:r>
    </w:p>
    <w:p w14:paraId="0663EBD5" w14:textId="77777777" w:rsidR="00BC3689" w:rsidRDefault="0087075A">
      <w:pPr>
        <w:jc w:val="both"/>
        <w:rPr>
          <w:rFonts w:ascii="Arial" w:hAnsi="Arial" w:cs="Arial"/>
          <w:sz w:val="20"/>
          <w:szCs w:val="20"/>
          <w:lang w:val="es-UY"/>
        </w:rPr>
      </w:pPr>
      <w:r w:rsidRPr="00C24175">
        <w:rPr>
          <w:rFonts w:ascii="Arial" w:hAnsi="Arial" w:cs="Arial"/>
          <w:sz w:val="20"/>
          <w:szCs w:val="20"/>
          <w:lang w:val="es-UY"/>
        </w:rPr>
        <w:t xml:space="preserve">Para determinar el valor de los costos ocasionados al contratista, éste deberá proponer un presupuesto, el que deberá ser aprobado por la </w:t>
      </w:r>
      <w:r w:rsidR="00C33B28">
        <w:rPr>
          <w:rFonts w:ascii="Arial" w:hAnsi="Arial" w:cs="Arial"/>
          <w:sz w:val="20"/>
          <w:szCs w:val="20"/>
          <w:lang w:val="es-UY"/>
        </w:rPr>
        <w:t>Contratante</w:t>
      </w:r>
      <w:r w:rsidRPr="00C24175">
        <w:rPr>
          <w:rFonts w:ascii="Arial" w:hAnsi="Arial" w:cs="Arial"/>
          <w:sz w:val="20"/>
          <w:szCs w:val="20"/>
          <w:lang w:val="es-UY"/>
        </w:rPr>
        <w:t xml:space="preserve">. </w:t>
      </w:r>
    </w:p>
    <w:p w14:paraId="425AF8AF" w14:textId="77777777" w:rsidR="00BC3689" w:rsidRDefault="0087075A">
      <w:pPr>
        <w:jc w:val="both"/>
        <w:rPr>
          <w:rFonts w:ascii="Arial" w:hAnsi="Arial" w:cs="Arial"/>
          <w:sz w:val="20"/>
          <w:szCs w:val="20"/>
          <w:lang w:val="es-UY"/>
        </w:rPr>
      </w:pPr>
      <w:r w:rsidRPr="00C24175">
        <w:rPr>
          <w:rFonts w:ascii="Arial" w:hAnsi="Arial" w:cs="Arial"/>
          <w:sz w:val="20"/>
          <w:szCs w:val="20"/>
          <w:lang w:val="es-UY"/>
        </w:rPr>
        <w:t xml:space="preserve">En el caso de que el evento resultase en ingresos extraordinarios para el contratista y se resuelva proceder a una renegociación, será la </w:t>
      </w:r>
      <w:r w:rsidR="00C33B28">
        <w:rPr>
          <w:rFonts w:ascii="Arial" w:hAnsi="Arial" w:cs="Arial"/>
          <w:sz w:val="20"/>
          <w:szCs w:val="20"/>
          <w:lang w:val="es-UY"/>
        </w:rPr>
        <w:t>Contratante</w:t>
      </w:r>
      <w:r w:rsidRPr="00C24175">
        <w:rPr>
          <w:rFonts w:ascii="Arial" w:hAnsi="Arial" w:cs="Arial"/>
          <w:sz w:val="20"/>
          <w:szCs w:val="20"/>
          <w:lang w:val="es-UY"/>
        </w:rPr>
        <w:t xml:space="preserve"> quién propondrá el monto del impacto.</w:t>
      </w:r>
    </w:p>
    <w:p w14:paraId="37033528" w14:textId="77777777" w:rsidR="0087075A" w:rsidRPr="00C24175" w:rsidRDefault="0087075A" w:rsidP="00C24175">
      <w:pPr>
        <w:jc w:val="both"/>
        <w:rPr>
          <w:rFonts w:ascii="Arial" w:hAnsi="Arial" w:cs="Arial"/>
          <w:sz w:val="20"/>
          <w:szCs w:val="20"/>
          <w:lang w:val="es-UY"/>
        </w:rPr>
      </w:pPr>
      <w:r w:rsidRPr="00C24175">
        <w:rPr>
          <w:rFonts w:ascii="Arial" w:hAnsi="Arial" w:cs="Arial"/>
          <w:sz w:val="20"/>
          <w:szCs w:val="20"/>
          <w:lang w:val="es-UY"/>
        </w:rPr>
        <w:t>Una vez determinados los flujos resultantes del evento y logrado un acuerdo entre las partes, se procederá a calcular el impacto de la renegociación, utilizando la siguiente fórmula:</w:t>
      </w:r>
    </w:p>
    <w:p w14:paraId="111B025F" w14:textId="77777777" w:rsidR="0087075A" w:rsidRDefault="0087075A" w:rsidP="0087075A"/>
    <w:p w14:paraId="5436AAE3" w14:textId="77777777" w:rsidR="0087075A" w:rsidRPr="008002A6" w:rsidRDefault="0087075A" w:rsidP="0087075A">
      <w:pPr>
        <w:jc w:val="center"/>
        <w:rPr>
          <w:sz w:val="28"/>
          <w:szCs w:val="28"/>
        </w:rPr>
      </w:pPr>
      <m:oMathPara>
        <m:oMath>
          <m:r>
            <w:rPr>
              <w:rFonts w:ascii="Cambria Math" w:hAnsi="Cambria Math"/>
              <w:szCs w:val="28"/>
            </w:rPr>
            <m:t xml:space="preserve">VPN= </m:t>
          </m:r>
          <m:nary>
            <m:naryPr>
              <m:chr m:val="∑"/>
              <m:limLoc m:val="undOvr"/>
              <m:ctrlPr>
                <w:rPr>
                  <w:rFonts w:ascii="Cambria Math" w:hAnsi="Cambria Math"/>
                  <w:i/>
                  <w:szCs w:val="28"/>
                </w:rPr>
              </m:ctrlPr>
            </m:naryPr>
            <m:sub>
              <m:r>
                <w:rPr>
                  <w:rFonts w:ascii="Cambria Math" w:hAnsi="Cambria Math"/>
                  <w:szCs w:val="28"/>
                </w:rPr>
                <m:t>t=1</m:t>
              </m:r>
            </m:sub>
            <m:sup>
              <m:r>
                <w:rPr>
                  <w:rFonts w:ascii="Cambria Math" w:hAnsi="Cambria Math"/>
                  <w:szCs w:val="28"/>
                </w:rPr>
                <m:t>T</m:t>
              </m:r>
            </m:sup>
            <m:e>
              <m:f>
                <m:fPr>
                  <m:ctrlPr>
                    <w:rPr>
                      <w:rFonts w:ascii="Cambria Math" w:hAnsi="Cambria Math"/>
                      <w:i/>
                      <w:szCs w:val="28"/>
                    </w:rPr>
                  </m:ctrlPr>
                </m:fPr>
                <m:num>
                  <m:r>
                    <w:rPr>
                      <w:rFonts w:ascii="Cambria Math" w:hAnsi="Cambria Math"/>
                      <w:szCs w:val="28"/>
                    </w:rPr>
                    <m:t>PPDM+INGR-C</m:t>
                  </m:r>
                </m:num>
                <m:den>
                  <m:sSup>
                    <m:sSupPr>
                      <m:ctrlPr>
                        <w:rPr>
                          <w:rFonts w:ascii="Cambria Math" w:hAnsi="Cambria Math"/>
                          <w:i/>
                          <w:szCs w:val="28"/>
                        </w:rPr>
                      </m:ctrlPr>
                    </m:sSupPr>
                    <m:e>
                      <m:r>
                        <w:rPr>
                          <w:rFonts w:ascii="Cambria Math" w:hAnsi="Cambria Math"/>
                          <w:szCs w:val="28"/>
                        </w:rPr>
                        <m:t>(1+r)</m:t>
                      </m:r>
                    </m:e>
                    <m:sup>
                      <m:r>
                        <w:rPr>
                          <w:rFonts w:ascii="Cambria Math" w:hAnsi="Cambria Math"/>
                          <w:szCs w:val="28"/>
                        </w:rPr>
                        <m:t>t</m:t>
                      </m:r>
                    </m:sup>
                  </m:sSup>
                </m:den>
              </m:f>
              <m:r>
                <w:rPr>
                  <w:rFonts w:ascii="Cambria Math" w:hAnsi="Cambria Math"/>
                  <w:szCs w:val="28"/>
                </w:rPr>
                <m:t>=0</m:t>
              </m:r>
            </m:e>
          </m:nary>
        </m:oMath>
      </m:oMathPara>
    </w:p>
    <w:p w14:paraId="50469F08" w14:textId="77777777" w:rsidR="0087075A" w:rsidRDefault="0087075A" w:rsidP="0087075A">
      <w:pPr>
        <w:jc w:val="center"/>
        <w:rPr>
          <w:sz w:val="28"/>
          <w:szCs w:val="28"/>
        </w:rPr>
      </w:pPr>
    </w:p>
    <w:p w14:paraId="404FC435" w14:textId="77777777" w:rsidR="0087075A" w:rsidRPr="008002A6" w:rsidRDefault="0087075A" w:rsidP="00BC3689">
      <w:pPr>
        <w:jc w:val="both"/>
      </w:pPr>
      <w:r w:rsidRPr="00C24175">
        <w:rPr>
          <w:rFonts w:ascii="Arial" w:hAnsi="Arial" w:cs="Arial"/>
          <w:sz w:val="20"/>
          <w:szCs w:val="20"/>
          <w:lang w:val="es-UY"/>
        </w:rPr>
        <w:t>Donde</w:t>
      </w:r>
      <w:r w:rsidRPr="008002A6">
        <w:t>:</w:t>
      </w:r>
    </w:p>
    <w:p w14:paraId="4F26F7F9" w14:textId="77777777" w:rsidR="0087075A" w:rsidRPr="00C24175" w:rsidRDefault="0087075A" w:rsidP="001310DE">
      <w:pPr>
        <w:jc w:val="both"/>
        <w:rPr>
          <w:rFonts w:ascii="Arial" w:hAnsi="Arial" w:cs="Arial"/>
          <w:sz w:val="20"/>
          <w:szCs w:val="20"/>
          <w:lang w:val="es-UY"/>
        </w:rPr>
      </w:pPr>
      <w:r w:rsidRPr="00C24175">
        <w:rPr>
          <w:rFonts w:ascii="Arial" w:hAnsi="Arial" w:cs="Arial"/>
          <w:sz w:val="20"/>
          <w:szCs w:val="20"/>
          <w:lang w:val="es-UY"/>
        </w:rPr>
        <w:t>VPN: valor presente neto del flujo de fondos que muestra los efectos de los eventos que dieron causa a la renegociación del contrato.</w:t>
      </w:r>
    </w:p>
    <w:p w14:paraId="2503F9AE" w14:textId="77777777" w:rsidR="000653BA" w:rsidRDefault="0087075A">
      <w:pPr>
        <w:jc w:val="both"/>
        <w:rPr>
          <w:rFonts w:ascii="Arial" w:hAnsi="Arial" w:cs="Arial"/>
          <w:sz w:val="20"/>
          <w:szCs w:val="20"/>
          <w:lang w:val="es-UY"/>
        </w:rPr>
      </w:pPr>
      <w:r w:rsidRPr="00C24175">
        <w:rPr>
          <w:rFonts w:ascii="Arial" w:hAnsi="Arial" w:cs="Arial"/>
          <w:sz w:val="20"/>
          <w:szCs w:val="20"/>
          <w:lang w:val="es-UY"/>
        </w:rPr>
        <w:t xml:space="preserve">PPDM: pago por disponibilidad marginal </w:t>
      </w:r>
      <w:r w:rsidR="00795477">
        <w:rPr>
          <w:rFonts w:ascii="Arial" w:hAnsi="Arial" w:cs="Arial"/>
          <w:sz w:val="20"/>
          <w:szCs w:val="20"/>
          <w:lang w:val="es-UY"/>
        </w:rPr>
        <w:t>(</w:t>
      </w:r>
      <w:r w:rsidRPr="00C24175">
        <w:rPr>
          <w:rFonts w:ascii="Arial" w:hAnsi="Arial" w:cs="Arial"/>
          <w:sz w:val="20"/>
          <w:szCs w:val="20"/>
          <w:lang w:val="es-UY"/>
        </w:rPr>
        <w:t>positivo o negativo)</w:t>
      </w:r>
      <w:r w:rsidR="00B14DCC">
        <w:rPr>
          <w:rFonts w:ascii="Arial" w:hAnsi="Arial" w:cs="Arial"/>
          <w:sz w:val="20"/>
          <w:szCs w:val="20"/>
          <w:lang w:val="es-UY"/>
        </w:rPr>
        <w:t xml:space="preserve"> </w:t>
      </w:r>
      <w:r w:rsidRPr="00C24175">
        <w:rPr>
          <w:rFonts w:ascii="Arial" w:hAnsi="Arial" w:cs="Arial"/>
          <w:sz w:val="20"/>
          <w:szCs w:val="20"/>
          <w:lang w:val="es-UY"/>
        </w:rPr>
        <w:t>requerido para que el VPN sea igual a cero.</w:t>
      </w:r>
    </w:p>
    <w:p w14:paraId="248E431B" w14:textId="77777777" w:rsidR="000653BA" w:rsidRDefault="0087075A">
      <w:pPr>
        <w:jc w:val="both"/>
        <w:rPr>
          <w:rFonts w:ascii="Arial" w:hAnsi="Arial" w:cs="Arial"/>
          <w:sz w:val="20"/>
          <w:szCs w:val="20"/>
          <w:lang w:val="es-UY"/>
        </w:rPr>
      </w:pPr>
      <w:r w:rsidRPr="00C24175">
        <w:rPr>
          <w:rFonts w:ascii="Arial" w:hAnsi="Arial" w:cs="Arial"/>
          <w:sz w:val="20"/>
          <w:szCs w:val="20"/>
          <w:lang w:val="es-UY"/>
        </w:rPr>
        <w:t>INGR: ingresos marginales resultantes de los eventos que dieron causa a la renegociación del contrato.</w:t>
      </w:r>
    </w:p>
    <w:p w14:paraId="00B133CF" w14:textId="77777777" w:rsidR="000653BA" w:rsidRDefault="0087075A">
      <w:pPr>
        <w:jc w:val="both"/>
      </w:pPr>
      <w:r>
        <w:t>C</w:t>
      </w:r>
      <w:r w:rsidRPr="00EF54A1">
        <w:rPr>
          <w:rFonts w:ascii="Arial" w:hAnsi="Arial" w:cs="Arial"/>
          <w:sz w:val="20"/>
          <w:szCs w:val="20"/>
          <w:lang w:val="es-UY"/>
        </w:rPr>
        <w:t>: costos resultantes de los eventos que dieron causa a la renegociación del contrato</w:t>
      </w:r>
      <w:r>
        <w:t>.</w:t>
      </w:r>
    </w:p>
    <w:p w14:paraId="291D4D3D"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t>T: último año en que se hace efectivo el PPD marginal.</w:t>
      </w:r>
    </w:p>
    <w:p w14:paraId="6428EA1C"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t xml:space="preserve">t=1 será el primer año en que se produce un pago por disponibilidad marginal. </w:t>
      </w:r>
    </w:p>
    <w:p w14:paraId="10AA2E6C" w14:textId="77777777" w:rsidR="000653BA" w:rsidRDefault="0087075A">
      <w:pPr>
        <w:jc w:val="both"/>
        <w:rPr>
          <w:rFonts w:ascii="Arial" w:hAnsi="Arial" w:cs="Arial"/>
          <w:sz w:val="20"/>
          <w:szCs w:val="20"/>
          <w:lang w:val="es-UY"/>
        </w:rPr>
      </w:pPr>
      <w:r w:rsidRPr="00EF54A1">
        <w:rPr>
          <w:rFonts w:ascii="Arial" w:hAnsi="Arial" w:cs="Arial"/>
          <w:sz w:val="20"/>
          <w:szCs w:val="20"/>
          <w:lang w:val="es-UY"/>
        </w:rPr>
        <w:lastRenderedPageBreak/>
        <w:t>r: tasa de descuento. La tasa de descuento se calculará de la siguiente manera:</w:t>
      </w:r>
    </w:p>
    <w:p w14:paraId="6BC392CA" w14:textId="77777777" w:rsidR="0087075A" w:rsidRDefault="0087075A" w:rsidP="00BC3689">
      <w:pPr>
        <w:jc w:val="both"/>
      </w:pPr>
      <m:oMathPara>
        <m:oMath>
          <m:r>
            <w:rPr>
              <w:rFonts w:ascii="Cambria Math" w:hAnsi="Cambria Math"/>
            </w:rPr>
            <m:t>r=WACC=</m:t>
          </m:r>
          <m:f>
            <m:fPr>
              <m:ctrlPr>
                <w:rPr>
                  <w:rFonts w:ascii="Cambria Math" w:hAnsi="Cambria Math"/>
                  <w:i/>
                </w:rPr>
              </m:ctrlPr>
            </m:fPr>
            <m:num>
              <m:r>
                <w:rPr>
                  <w:rFonts w:ascii="Cambria Math" w:hAnsi="Cambria Math"/>
                </w:rPr>
                <m:t>E</m:t>
              </m:r>
            </m:num>
            <m:den>
              <m:r>
                <w:rPr>
                  <w:rFonts w:ascii="Cambria Math" w:hAnsi="Cambria Math"/>
                </w:rPr>
                <m:t>(E+D)</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 xml:space="preserve">E </m:t>
              </m:r>
            </m:sub>
          </m:sSub>
          <m:r>
            <w:rPr>
              <w:rFonts w:ascii="Cambria Math" w:hAnsi="Cambria Math"/>
            </w:rPr>
            <m:t xml:space="preserve">+ </m:t>
          </m:r>
          <m:f>
            <m:fPr>
              <m:ctrlPr>
                <w:rPr>
                  <w:rFonts w:ascii="Cambria Math" w:hAnsi="Cambria Math"/>
                  <w:i/>
                </w:rPr>
              </m:ctrlPr>
            </m:fPr>
            <m:num>
              <m:r>
                <w:rPr>
                  <w:rFonts w:ascii="Cambria Math" w:hAnsi="Cambria Math"/>
                </w:rPr>
                <m:t>D</m:t>
              </m:r>
            </m:num>
            <m:den>
              <m:d>
                <m:dPr>
                  <m:ctrlPr>
                    <w:rPr>
                      <w:rFonts w:ascii="Cambria Math" w:hAnsi="Cambria Math"/>
                      <w:i/>
                    </w:rPr>
                  </m:ctrlPr>
                </m:dPr>
                <m:e>
                  <m:r>
                    <w:rPr>
                      <w:rFonts w:ascii="Cambria Math" w:hAnsi="Cambria Math"/>
                    </w:rPr>
                    <m:t>E+D</m:t>
                  </m:r>
                </m:e>
              </m:d>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*(1-tx)</m:t>
          </m:r>
        </m:oMath>
      </m:oMathPara>
    </w:p>
    <w:p w14:paraId="48E33A01" w14:textId="77777777" w:rsidR="0087075A" w:rsidRPr="00EF54A1" w:rsidRDefault="0087075A" w:rsidP="00BC3689">
      <w:pPr>
        <w:jc w:val="both"/>
        <w:rPr>
          <w:rFonts w:ascii="Arial" w:hAnsi="Arial" w:cs="Arial"/>
          <w:sz w:val="20"/>
          <w:szCs w:val="20"/>
          <w:lang w:val="es-UY"/>
        </w:rPr>
      </w:pPr>
      <w:r w:rsidRPr="00EF54A1">
        <w:rPr>
          <w:rFonts w:ascii="Arial" w:hAnsi="Arial" w:cs="Arial"/>
          <w:sz w:val="20"/>
          <w:szCs w:val="20"/>
          <w:lang w:val="es-UY"/>
        </w:rPr>
        <w:t xml:space="preserve">Donde: </w:t>
      </w:r>
    </w:p>
    <w:p w14:paraId="5035247C" w14:textId="019A6319"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E: capital propio, su</w:t>
      </w:r>
      <w:r w:rsidR="000A67C3">
        <w:rPr>
          <w:rFonts w:ascii="Arial" w:hAnsi="Arial" w:cs="Arial"/>
          <w:sz w:val="20"/>
          <w:szCs w:val="20"/>
          <w:lang w:val="es-UY"/>
        </w:rPr>
        <w:t>rge de</w:t>
      </w:r>
      <w:r w:rsidR="00B17AA9">
        <w:rPr>
          <w:rFonts w:ascii="Arial" w:hAnsi="Arial" w:cs="Arial"/>
          <w:sz w:val="20"/>
          <w:szCs w:val="20"/>
          <w:lang w:val="es-UY"/>
        </w:rPr>
        <w:t>l PEF</w:t>
      </w:r>
      <w:r w:rsidRPr="00C95E07">
        <w:rPr>
          <w:rFonts w:ascii="Arial" w:hAnsi="Arial" w:cs="Arial"/>
          <w:sz w:val="20"/>
          <w:szCs w:val="20"/>
          <w:lang w:val="es-UY"/>
        </w:rPr>
        <w:t>.</w:t>
      </w:r>
    </w:p>
    <w:p w14:paraId="21C58702" w14:textId="6D38A97F"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D: deuda con terceros, surge de</w:t>
      </w:r>
      <w:r w:rsidR="00B17AA9">
        <w:rPr>
          <w:rFonts w:ascii="Arial" w:hAnsi="Arial" w:cs="Arial"/>
          <w:sz w:val="20"/>
          <w:szCs w:val="20"/>
          <w:lang w:val="es-UY"/>
        </w:rPr>
        <w:t>l PEF</w:t>
      </w:r>
      <w:r w:rsidRPr="00C95E07">
        <w:rPr>
          <w:rFonts w:ascii="Arial" w:hAnsi="Arial" w:cs="Arial"/>
          <w:sz w:val="20"/>
          <w:szCs w:val="20"/>
          <w:lang w:val="es-UY"/>
        </w:rPr>
        <w:t>.</w:t>
      </w:r>
    </w:p>
    <w:p w14:paraId="31D92906" w14:textId="77777777" w:rsidR="0087075A" w:rsidRPr="00C95E07" w:rsidRDefault="00A314F1" w:rsidP="00CD23C8">
      <w:pPr>
        <w:ind w:left="570"/>
        <w:jc w:val="both"/>
        <w:rPr>
          <w:rFonts w:ascii="Arial" w:hAnsi="Arial" w:cs="Arial"/>
          <w:sz w:val="20"/>
          <w:szCs w:val="20"/>
          <w:lang w:val="es-UY"/>
        </w:rPr>
      </w:pPr>
      <w:r w:rsidRPr="00C95E07">
        <w:rPr>
          <w:rFonts w:ascii="Arial" w:hAnsi="Arial" w:cs="Arial"/>
          <w:sz w:val="20"/>
          <w:szCs w:val="20"/>
          <w:lang w:val="es-UY"/>
        </w:rPr>
        <w:t>tx: tasa de impuesto a la renta de las actividades económicas, es la vigente a la fecha de adjudicación provisional.</w:t>
      </w:r>
    </w:p>
    <w:p w14:paraId="7307A817" w14:textId="15E1934F" w:rsidR="0087075A" w:rsidRPr="00CF4D08" w:rsidRDefault="00931785" w:rsidP="00CD23C8">
      <w:pPr>
        <w:ind w:left="570"/>
        <w:jc w:val="both"/>
        <w:rPr>
          <w:rFonts w:ascii="Arial" w:hAnsi="Arial" w:cs="Arial"/>
          <w:sz w:val="20"/>
          <w:szCs w:val="20"/>
          <w:lang w:val="es-UY"/>
        </w:rPr>
      </w:pP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 xml:space="preserve">E </m:t>
            </m:r>
          </m:sub>
        </m:sSub>
      </m:oMath>
      <w:r w:rsidR="00A314F1" w:rsidRPr="00C95E07">
        <w:rPr>
          <w:rFonts w:ascii="Arial" w:hAnsi="Arial" w:cs="Arial"/>
          <w:sz w:val="20"/>
          <w:szCs w:val="20"/>
          <w:lang w:val="es-UY"/>
        </w:rPr>
        <w:t xml:space="preserve"> = TIR del inversionista, surge de</w:t>
      </w:r>
      <w:r w:rsidR="00B17AA9">
        <w:rPr>
          <w:rFonts w:ascii="Arial" w:hAnsi="Arial" w:cs="Arial"/>
          <w:sz w:val="20"/>
          <w:szCs w:val="20"/>
          <w:lang w:val="es-UY"/>
        </w:rPr>
        <w:t>l PEF</w:t>
      </w:r>
      <w:r w:rsidR="00A314F1" w:rsidRPr="00C95E07">
        <w:rPr>
          <w:rFonts w:ascii="Arial" w:hAnsi="Arial" w:cs="Arial"/>
          <w:sz w:val="20"/>
          <w:szCs w:val="20"/>
          <w:lang w:val="es-UY"/>
        </w:rPr>
        <w:t>.</w:t>
      </w:r>
    </w:p>
    <w:p w14:paraId="07C85D31" w14:textId="77777777" w:rsidR="0087075A" w:rsidRPr="00EF54A1" w:rsidRDefault="00931785" w:rsidP="00CD23C8">
      <w:pPr>
        <w:ind w:left="570"/>
        <w:jc w:val="both"/>
        <w:rPr>
          <w:rFonts w:ascii="Arial" w:hAnsi="Arial" w:cs="Arial"/>
          <w:sz w:val="20"/>
          <w:szCs w:val="20"/>
          <w:lang w:val="es-UY"/>
        </w:rPr>
      </w:pP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D</m:t>
            </m:r>
          </m:sub>
        </m:sSub>
      </m:oMath>
      <w:r w:rsidR="00A314F1" w:rsidRPr="00CF4D08">
        <w:rPr>
          <w:rFonts w:ascii="Arial" w:hAnsi="Arial" w:cs="Arial"/>
          <w:sz w:val="20"/>
          <w:szCs w:val="20"/>
          <w:lang w:val="es-UY"/>
        </w:rPr>
        <w:t xml:space="preserve"> = tasa de costo de la deuda contraída con terceros, surge como el promedio ponderado de las tasas de interés de las distintas deudas contraídas con terceros.</w:t>
      </w:r>
    </w:p>
    <w:p w14:paraId="2CABC465" w14:textId="6E129740" w:rsidR="0087075A" w:rsidRPr="00EF54A1" w:rsidRDefault="0087075A" w:rsidP="00BC3689">
      <w:pPr>
        <w:jc w:val="both"/>
        <w:rPr>
          <w:rFonts w:ascii="Arial" w:hAnsi="Arial" w:cs="Arial"/>
          <w:sz w:val="20"/>
          <w:szCs w:val="20"/>
          <w:lang w:val="es-UY"/>
        </w:rPr>
      </w:pPr>
      <w:r w:rsidRPr="00EF54A1">
        <w:rPr>
          <w:rFonts w:ascii="Arial" w:hAnsi="Arial" w:cs="Arial"/>
          <w:sz w:val="20"/>
          <w:szCs w:val="20"/>
          <w:lang w:val="es-UY"/>
        </w:rPr>
        <w:t xml:space="preserve">Los datos previos (E, D, </w:t>
      </w: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 xml:space="preserve">E, </m:t>
            </m:r>
          </m:sub>
        </m:sSub>
      </m:oMath>
      <w:r w:rsidRPr="00EF54A1">
        <w:rPr>
          <w:rFonts w:ascii="Arial" w:hAnsi="Arial" w:cs="Arial"/>
          <w:sz w:val="20"/>
          <w:szCs w:val="20"/>
          <w:lang w:val="es-UY"/>
        </w:rPr>
        <w:t xml:space="preserve"> </w:t>
      </w:r>
      <m:oMath>
        <m:sSub>
          <m:sSubPr>
            <m:ctrlPr>
              <w:rPr>
                <w:rFonts w:ascii="Cambria Math" w:hAnsi="Cambria Math" w:cs="Arial"/>
                <w:sz w:val="20"/>
                <w:szCs w:val="20"/>
                <w:lang w:val="es-UY"/>
              </w:rPr>
            </m:ctrlPr>
          </m:sSubPr>
          <m:e>
            <m:r>
              <m:rPr>
                <m:sty m:val="p"/>
              </m:rPr>
              <w:rPr>
                <w:rFonts w:ascii="Cambria Math" w:hAnsi="Cambria Math" w:cs="Arial"/>
                <w:sz w:val="20"/>
                <w:szCs w:val="20"/>
                <w:lang w:val="es-UY"/>
              </w:rPr>
              <m:t>R</m:t>
            </m:r>
          </m:e>
          <m:sub>
            <m:r>
              <m:rPr>
                <m:sty m:val="p"/>
              </m:rPr>
              <w:rPr>
                <w:rFonts w:ascii="Cambria Math" w:hAnsi="Cambria Math" w:cs="Arial"/>
                <w:sz w:val="20"/>
                <w:szCs w:val="20"/>
                <w:lang w:val="es-UY"/>
              </w:rPr>
              <m:t>D</m:t>
            </m:r>
          </m:sub>
        </m:sSub>
      </m:oMath>
      <w:r w:rsidRPr="00EF54A1">
        <w:rPr>
          <w:rFonts w:ascii="Arial" w:hAnsi="Arial" w:cs="Arial"/>
          <w:sz w:val="20"/>
          <w:szCs w:val="20"/>
          <w:lang w:val="es-UY"/>
        </w:rPr>
        <w:t>,</w:t>
      </w:r>
      <w:r w:rsidR="00935A04">
        <w:rPr>
          <w:rFonts w:ascii="Arial" w:hAnsi="Arial" w:cs="Arial"/>
          <w:sz w:val="20"/>
          <w:szCs w:val="20"/>
          <w:lang w:val="es-UY"/>
        </w:rPr>
        <w:t xml:space="preserve"> </w:t>
      </w:r>
      <w:r w:rsidRPr="00EF54A1">
        <w:rPr>
          <w:rFonts w:ascii="Arial" w:hAnsi="Arial" w:cs="Arial"/>
          <w:sz w:val="20"/>
          <w:szCs w:val="20"/>
          <w:lang w:val="es-UY"/>
        </w:rPr>
        <w:t>tx),</w:t>
      </w:r>
      <w:r w:rsidR="00B14DCC">
        <w:rPr>
          <w:rFonts w:ascii="Arial" w:hAnsi="Arial" w:cs="Arial"/>
          <w:sz w:val="20"/>
          <w:szCs w:val="20"/>
          <w:lang w:val="es-UY"/>
        </w:rPr>
        <w:t xml:space="preserve"> </w:t>
      </w:r>
      <w:r w:rsidRPr="00EF54A1">
        <w:rPr>
          <w:rFonts w:ascii="Arial" w:hAnsi="Arial" w:cs="Arial"/>
          <w:sz w:val="20"/>
          <w:szCs w:val="20"/>
          <w:lang w:val="es-UY"/>
        </w:rPr>
        <w:t xml:space="preserve">serán extraídos del PEF de la oferta. </w:t>
      </w:r>
    </w:p>
    <w:p w14:paraId="549A14E2" w14:textId="77777777" w:rsidR="00EA0F8C" w:rsidRPr="0016577A" w:rsidRDefault="0087075A" w:rsidP="00EA0F8C">
      <w:pPr>
        <w:jc w:val="both"/>
        <w:rPr>
          <w:rFonts w:ascii="Arial" w:hAnsi="Arial" w:cs="Arial"/>
          <w:sz w:val="20"/>
          <w:szCs w:val="20"/>
        </w:rPr>
      </w:pPr>
      <w:r w:rsidRPr="00EF54A1">
        <w:rPr>
          <w:rFonts w:ascii="Arial" w:hAnsi="Arial" w:cs="Arial"/>
          <w:sz w:val="20"/>
          <w:szCs w:val="20"/>
          <w:lang w:val="es-UY"/>
        </w:rPr>
        <w:t>Cabe al Contratante escoger la mejor forma de implementar la renegociación, reservándose el derecho de hacer efectivo un pago por disponibilidad marginal ya sea dentro del periodo original del contrato o fuera del mismo.</w:t>
      </w:r>
      <w:r w:rsidR="00EA0F8C">
        <w:rPr>
          <w:rFonts w:ascii="Arial" w:hAnsi="Arial" w:cs="Arial"/>
          <w:sz w:val="20"/>
          <w:szCs w:val="20"/>
          <w:lang w:val="es-UY"/>
        </w:rPr>
        <w:t xml:space="preserve"> </w:t>
      </w:r>
      <w:r w:rsidR="00EA0F8C" w:rsidRPr="0016577A">
        <w:rPr>
          <w:rFonts w:ascii="Arial" w:hAnsi="Arial" w:cs="Arial"/>
          <w:sz w:val="20"/>
          <w:szCs w:val="20"/>
          <w:lang w:val="es-UY"/>
        </w:rPr>
        <w:t xml:space="preserve">El pago por disponibilidad marginal es </w:t>
      </w:r>
      <w:r w:rsidR="00EA0F8C" w:rsidRPr="0016577A">
        <w:rPr>
          <w:rFonts w:ascii="Arial" w:hAnsi="Arial" w:cs="Arial"/>
          <w:sz w:val="20"/>
          <w:szCs w:val="20"/>
          <w:lang w:val="es-UY"/>
        </w:rPr>
        <w:lastRenderedPageBreak/>
        <w:t>un pago por un evento específico</w:t>
      </w:r>
      <w:r w:rsidR="00EA0F8C">
        <w:rPr>
          <w:rFonts w:ascii="Arial" w:hAnsi="Arial" w:cs="Arial"/>
          <w:sz w:val="20"/>
          <w:szCs w:val="20"/>
          <w:lang w:val="es-UY"/>
        </w:rPr>
        <w:t xml:space="preserve"> y no implica una ampliación del contrato de </w:t>
      </w:r>
      <w:r w:rsidR="00935A04">
        <w:rPr>
          <w:rFonts w:ascii="Arial" w:hAnsi="Arial" w:cs="Arial"/>
          <w:sz w:val="20"/>
          <w:szCs w:val="20"/>
          <w:lang w:val="es-UY"/>
        </w:rPr>
        <w:t>P</w:t>
      </w:r>
      <w:r w:rsidR="00EA0F8C">
        <w:rPr>
          <w:rFonts w:ascii="Arial" w:hAnsi="Arial" w:cs="Arial"/>
          <w:sz w:val="20"/>
          <w:szCs w:val="20"/>
          <w:lang w:val="es-UY"/>
        </w:rPr>
        <w:t xml:space="preserve">articipación </w:t>
      </w:r>
      <w:r w:rsidR="00935A04">
        <w:rPr>
          <w:rFonts w:ascii="Arial" w:hAnsi="Arial" w:cs="Arial"/>
          <w:sz w:val="20"/>
          <w:szCs w:val="20"/>
          <w:lang w:val="es-UY"/>
        </w:rPr>
        <w:t>P</w:t>
      </w:r>
      <w:r w:rsidR="00EA0F8C">
        <w:rPr>
          <w:rFonts w:ascii="Arial" w:hAnsi="Arial" w:cs="Arial"/>
          <w:sz w:val="20"/>
          <w:szCs w:val="20"/>
          <w:lang w:val="es-UY"/>
        </w:rPr>
        <w:t>úblico-</w:t>
      </w:r>
      <w:r w:rsidR="00935A04">
        <w:rPr>
          <w:rFonts w:ascii="Arial" w:hAnsi="Arial" w:cs="Arial"/>
          <w:sz w:val="20"/>
          <w:szCs w:val="20"/>
          <w:lang w:val="es-UY"/>
        </w:rPr>
        <w:t>P</w:t>
      </w:r>
      <w:r w:rsidR="00EA0F8C">
        <w:rPr>
          <w:rFonts w:ascii="Arial" w:hAnsi="Arial" w:cs="Arial"/>
          <w:sz w:val="20"/>
          <w:szCs w:val="20"/>
          <w:lang w:val="es-UY"/>
        </w:rPr>
        <w:t>rivada.</w:t>
      </w:r>
    </w:p>
    <w:p w14:paraId="361FF2CD" w14:textId="772AAD85" w:rsidR="00FD672C" w:rsidRDefault="0087075A" w:rsidP="00FD672C">
      <w:pPr>
        <w:jc w:val="both"/>
        <w:rPr>
          <w:rFonts w:ascii="Arial" w:hAnsi="Arial" w:cs="Arial"/>
          <w:sz w:val="20"/>
          <w:szCs w:val="20"/>
          <w:lang w:val="es-UY" w:eastAsia="es-UY"/>
        </w:rPr>
      </w:pPr>
      <w:r w:rsidRPr="00EF54A1">
        <w:rPr>
          <w:rFonts w:ascii="Arial" w:hAnsi="Arial" w:cs="Arial"/>
          <w:sz w:val="20"/>
          <w:szCs w:val="20"/>
          <w:lang w:val="es-UY"/>
        </w:rPr>
        <w:t>La no solicitud de</w:t>
      </w:r>
      <w:r w:rsidR="00B14DCC">
        <w:rPr>
          <w:rFonts w:ascii="Arial" w:hAnsi="Arial" w:cs="Arial"/>
          <w:sz w:val="20"/>
          <w:szCs w:val="20"/>
          <w:lang w:val="es-UY"/>
        </w:rPr>
        <w:t xml:space="preserve"> </w:t>
      </w:r>
      <w:r w:rsidRPr="00EF54A1">
        <w:rPr>
          <w:rFonts w:ascii="Arial" w:hAnsi="Arial" w:cs="Arial"/>
          <w:sz w:val="20"/>
          <w:szCs w:val="20"/>
          <w:lang w:val="es-UY"/>
        </w:rPr>
        <w:t xml:space="preserve">la implementación de la renegociación del contrato, implicará la renuncia de ese derecho a solicitarlo una vez transcurrido un año a partir de los eventos que pudieron </w:t>
      </w:r>
      <w:r w:rsidRPr="00CD23C8">
        <w:rPr>
          <w:rFonts w:ascii="Arial" w:hAnsi="Arial" w:cs="Arial"/>
          <w:sz w:val="20"/>
          <w:szCs w:val="20"/>
          <w:lang w:val="es-UY"/>
        </w:rPr>
        <w:t>haber</w:t>
      </w:r>
      <w:r w:rsidR="00B14DCC" w:rsidRPr="00CD23C8">
        <w:rPr>
          <w:rFonts w:ascii="Arial" w:hAnsi="Arial" w:cs="Arial"/>
          <w:sz w:val="20"/>
          <w:szCs w:val="20"/>
          <w:lang w:val="es-UY"/>
        </w:rPr>
        <w:t xml:space="preserve"> </w:t>
      </w:r>
      <w:r w:rsidRPr="00CD23C8">
        <w:rPr>
          <w:rFonts w:ascii="Arial" w:hAnsi="Arial" w:cs="Arial"/>
          <w:sz w:val="20"/>
          <w:szCs w:val="20"/>
          <w:lang w:val="es-UY"/>
        </w:rPr>
        <w:t>d</w:t>
      </w:r>
      <w:r w:rsidR="002053D6" w:rsidRPr="00CD23C8">
        <w:rPr>
          <w:rFonts w:ascii="Arial" w:hAnsi="Arial" w:cs="Arial"/>
          <w:sz w:val="20"/>
          <w:szCs w:val="20"/>
          <w:lang w:val="es-UY"/>
        </w:rPr>
        <w:t>ad</w:t>
      </w:r>
      <w:r w:rsidR="00FD672C" w:rsidRPr="00CD23C8">
        <w:rPr>
          <w:rFonts w:ascii="Arial" w:hAnsi="Arial" w:cs="Arial"/>
          <w:sz w:val="20"/>
          <w:szCs w:val="20"/>
          <w:lang w:val="es-UY"/>
        </w:rPr>
        <w:t xml:space="preserve">o causa a dicha renegociación. En caso que el </w:t>
      </w:r>
      <w:r w:rsidR="002053D6" w:rsidRPr="00CD23C8">
        <w:rPr>
          <w:rFonts w:ascii="Arial" w:hAnsi="Arial" w:cs="Arial"/>
          <w:sz w:val="20"/>
          <w:szCs w:val="20"/>
          <w:lang w:val="es-UY"/>
        </w:rPr>
        <w:t>even</w:t>
      </w:r>
      <w:r w:rsidR="003E163C" w:rsidRPr="00CD23C8">
        <w:rPr>
          <w:rFonts w:ascii="Arial" w:hAnsi="Arial" w:cs="Arial"/>
          <w:sz w:val="20"/>
          <w:szCs w:val="20"/>
          <w:lang w:val="es-UY"/>
        </w:rPr>
        <w:t>to se produzca</w:t>
      </w:r>
      <w:r w:rsidR="00FD672C" w:rsidRPr="00CD23C8">
        <w:rPr>
          <w:rFonts w:ascii="Arial" w:hAnsi="Arial" w:cs="Arial"/>
          <w:sz w:val="20"/>
          <w:szCs w:val="20"/>
          <w:lang w:val="es-UY"/>
        </w:rPr>
        <w:t xml:space="preserve"> durante la etapa de construcción de las obras de puesta a punto</w:t>
      </w:r>
      <w:r w:rsidR="003E163C" w:rsidRPr="00CD23C8">
        <w:rPr>
          <w:rFonts w:ascii="Arial" w:hAnsi="Arial" w:cs="Arial"/>
          <w:sz w:val="20"/>
          <w:szCs w:val="20"/>
          <w:lang w:val="es-UY"/>
        </w:rPr>
        <w:t>,</w:t>
      </w:r>
      <w:r w:rsidR="00FD672C" w:rsidRPr="00CD23C8">
        <w:rPr>
          <w:rFonts w:ascii="Arial" w:hAnsi="Arial" w:cs="Arial"/>
          <w:sz w:val="20"/>
          <w:szCs w:val="20"/>
          <w:lang w:val="es-UY"/>
        </w:rPr>
        <w:t xml:space="preserve"> el Contratista tendrá un plazo de 90 días para solicitar la renegociación. Dicho plazo se contará a partir del día siguiente</w:t>
      </w:r>
      <w:r w:rsidR="00B14DCC" w:rsidRPr="00CD23C8">
        <w:rPr>
          <w:rFonts w:ascii="Arial" w:hAnsi="Arial" w:cs="Arial"/>
          <w:sz w:val="20"/>
          <w:szCs w:val="20"/>
          <w:lang w:val="es-UY"/>
        </w:rPr>
        <w:t xml:space="preserve"> </w:t>
      </w:r>
      <w:r w:rsidR="00FD672C" w:rsidRPr="00CD23C8">
        <w:rPr>
          <w:rFonts w:ascii="Arial" w:hAnsi="Arial" w:cs="Arial"/>
          <w:sz w:val="20"/>
          <w:szCs w:val="20"/>
          <w:lang w:val="es-UY" w:eastAsia="es-ES"/>
        </w:rPr>
        <w:t>a la fecha del acta de compro</w:t>
      </w:r>
      <w:r w:rsidR="003E163C" w:rsidRPr="00CD23C8">
        <w:rPr>
          <w:rFonts w:ascii="Arial" w:hAnsi="Arial" w:cs="Arial"/>
          <w:sz w:val="20"/>
          <w:szCs w:val="20"/>
          <w:lang w:val="es-UY" w:eastAsia="es-ES"/>
        </w:rPr>
        <w:t xml:space="preserve">bación de la infraestructura </w:t>
      </w:r>
      <w:r w:rsidR="00FD672C" w:rsidRPr="00CD23C8">
        <w:rPr>
          <w:rFonts w:ascii="Arial" w:hAnsi="Arial" w:cs="Arial"/>
          <w:sz w:val="20"/>
          <w:szCs w:val="20"/>
          <w:lang w:val="es-UY" w:eastAsia="es-ES"/>
        </w:rPr>
        <w:t>del último tramo de las obras de puesta a punto de la primera etapa</w:t>
      </w:r>
      <w:r w:rsidR="008D1DF4">
        <w:rPr>
          <w:rFonts w:ascii="Arial" w:hAnsi="Arial" w:cs="Arial"/>
          <w:sz w:val="20"/>
          <w:szCs w:val="20"/>
          <w:lang w:val="es-UY" w:eastAsia="es-UY"/>
        </w:rPr>
        <w:t>.</w:t>
      </w:r>
    </w:p>
    <w:p w14:paraId="02B26E01" w14:textId="2EB6BD77" w:rsidR="00EC724D" w:rsidRPr="00E2664E" w:rsidRDefault="00EC724D" w:rsidP="00FD672C">
      <w:pPr>
        <w:jc w:val="both"/>
        <w:rPr>
          <w:rFonts w:ascii="Arial" w:hAnsi="Arial" w:cs="Arial"/>
          <w:sz w:val="20"/>
          <w:szCs w:val="20"/>
          <w:lang w:val="es-UY" w:eastAsia="es-UY"/>
        </w:rPr>
      </w:pPr>
      <w:r w:rsidRPr="00E2664E">
        <w:rPr>
          <w:rFonts w:ascii="Arial" w:hAnsi="Arial" w:cs="Arial"/>
          <w:sz w:val="20"/>
          <w:szCs w:val="20"/>
          <w:lang w:val="es-UY" w:eastAsia="es-UY"/>
        </w:rPr>
        <w:t xml:space="preserve">B) Cuando causas de fuerza mayor no previstas al celebrarse el contrato determinaran en forma directa la ruptura sustancial de la ecuación económico-financiera resultante del contrato al tiempo de su celebración, y afecten la </w:t>
      </w:r>
      <w:r w:rsidRPr="00183C65">
        <w:rPr>
          <w:rFonts w:ascii="Arial" w:hAnsi="Arial" w:cs="Arial"/>
          <w:sz w:val="20"/>
          <w:szCs w:val="20"/>
          <w:lang w:val="es-UY" w:eastAsia="es-UY"/>
        </w:rPr>
        <w:t xml:space="preserve">TIR </w:t>
      </w:r>
      <w:r w:rsidR="00151A42" w:rsidRPr="00183C65">
        <w:rPr>
          <w:rFonts w:ascii="Arial" w:hAnsi="Arial" w:cs="Arial"/>
          <w:sz w:val="20"/>
          <w:szCs w:val="20"/>
          <w:lang w:val="es-UY" w:eastAsia="es-UY"/>
        </w:rPr>
        <w:t xml:space="preserve">del </w:t>
      </w:r>
      <w:r w:rsidR="00183C65" w:rsidRPr="00183C65">
        <w:rPr>
          <w:rFonts w:ascii="Arial" w:hAnsi="Arial" w:cs="Arial"/>
          <w:sz w:val="20"/>
          <w:szCs w:val="20"/>
          <w:lang w:val="es-UY" w:eastAsia="es-UY"/>
        </w:rPr>
        <w:t xml:space="preserve">inversionista </w:t>
      </w:r>
      <w:r w:rsidRPr="00183C65">
        <w:rPr>
          <w:rFonts w:ascii="Arial" w:hAnsi="Arial" w:cs="Arial"/>
          <w:sz w:val="20"/>
          <w:szCs w:val="20"/>
          <w:lang w:val="es-UY" w:eastAsia="es-UY"/>
        </w:rPr>
        <w:t>de</w:t>
      </w:r>
      <w:r w:rsidRPr="00E2664E">
        <w:rPr>
          <w:rFonts w:ascii="Arial" w:hAnsi="Arial" w:cs="Arial"/>
          <w:sz w:val="20"/>
          <w:szCs w:val="20"/>
          <w:lang w:val="es-UY" w:eastAsia="es-UY"/>
        </w:rPr>
        <w:t xml:space="preserve"> la oferta en forma sustancial.</w:t>
      </w:r>
    </w:p>
    <w:p w14:paraId="1232D370" w14:textId="77777777" w:rsidR="00E92A5E"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Cuando en el circuito vial objeto del contrato, se presenten pérdidas o averías por razones de fuerza mayor, la Contratante podrá disponer la reconstrucción de la parte dañada</w:t>
      </w:r>
      <w:r>
        <w:rPr>
          <w:rFonts w:ascii="Arial" w:hAnsi="Arial" w:cs="Arial"/>
          <w:sz w:val="20"/>
          <w:szCs w:val="20"/>
          <w:lang w:val="es-UY"/>
        </w:rPr>
        <w:t>.</w:t>
      </w:r>
      <w:r w:rsidR="00BC3689" w:rsidRPr="00E2664E" w:rsidDel="00EC724D">
        <w:rPr>
          <w:rFonts w:ascii="Arial" w:hAnsi="Arial" w:cs="Arial"/>
          <w:sz w:val="20"/>
          <w:szCs w:val="20"/>
          <w:lang w:val="es-UY"/>
        </w:rPr>
        <w:t xml:space="preserve"> </w:t>
      </w:r>
    </w:p>
    <w:p w14:paraId="42E63692" w14:textId="79943493" w:rsidR="00ED1D85"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El Contratista</w:t>
      </w:r>
      <w:r w:rsidR="00B14DCC">
        <w:rPr>
          <w:rFonts w:ascii="Arial" w:hAnsi="Arial" w:cs="Arial"/>
          <w:sz w:val="20"/>
          <w:szCs w:val="20"/>
          <w:lang w:val="es-UY"/>
        </w:rPr>
        <w:t xml:space="preserve"> </w:t>
      </w:r>
      <w:r w:rsidRPr="00E2664E">
        <w:rPr>
          <w:rFonts w:ascii="Arial" w:hAnsi="Arial" w:cs="Arial"/>
          <w:sz w:val="20"/>
          <w:szCs w:val="20"/>
          <w:lang w:val="es-UY"/>
        </w:rPr>
        <w:t>no tendrá derecho a indemnización por pérdida, avería y demás perjuicios ocasionados en sus instalaciones, materia</w:t>
      </w:r>
      <w:r w:rsidRPr="00E2664E">
        <w:rPr>
          <w:rFonts w:ascii="Arial" w:hAnsi="Arial" w:cs="Arial"/>
          <w:sz w:val="20"/>
          <w:szCs w:val="20"/>
          <w:lang w:val="es-UY"/>
        </w:rPr>
        <w:lastRenderedPageBreak/>
        <w:t xml:space="preserve">les y útiles de trabajo, sean cuales fueren esos perjuicios y las causas de los mismos, aún en caso de que sean producidos por fuerza mayor perfectamente justificada, y </w:t>
      </w:r>
      <w:r w:rsidR="00220311" w:rsidRPr="00E2664E">
        <w:rPr>
          <w:rFonts w:ascii="Arial" w:hAnsi="Arial" w:cs="Arial"/>
          <w:sz w:val="20"/>
          <w:szCs w:val="20"/>
          <w:lang w:val="es-UY"/>
        </w:rPr>
        <w:t>aun</w:t>
      </w:r>
      <w:r w:rsidRPr="00E2664E">
        <w:rPr>
          <w:rFonts w:ascii="Arial" w:hAnsi="Arial" w:cs="Arial"/>
          <w:sz w:val="20"/>
          <w:szCs w:val="20"/>
          <w:lang w:val="es-UY"/>
        </w:rPr>
        <w:t xml:space="preserve"> cuando no resulten de la imprevisión, de negligencia, de deficiencia en los medios empleados o de maniobras equ</w:t>
      </w:r>
      <w:r w:rsidR="00091296">
        <w:rPr>
          <w:rFonts w:ascii="Arial" w:hAnsi="Arial" w:cs="Arial"/>
          <w:sz w:val="20"/>
          <w:szCs w:val="20"/>
          <w:lang w:val="es-UY"/>
        </w:rPr>
        <w:t>í</w:t>
      </w:r>
      <w:r w:rsidRPr="00E2664E">
        <w:rPr>
          <w:rFonts w:ascii="Arial" w:hAnsi="Arial" w:cs="Arial"/>
          <w:sz w:val="20"/>
          <w:szCs w:val="20"/>
          <w:lang w:val="es-UY"/>
        </w:rPr>
        <w:t>vocas.</w:t>
      </w:r>
    </w:p>
    <w:p w14:paraId="14C86971" w14:textId="77777777" w:rsidR="006D41FA" w:rsidRDefault="00EC724D" w:rsidP="00EC724D">
      <w:pPr>
        <w:spacing w:after="120"/>
        <w:jc w:val="both"/>
        <w:rPr>
          <w:rFonts w:ascii="Arial" w:hAnsi="Arial" w:cs="Arial"/>
          <w:sz w:val="20"/>
          <w:szCs w:val="20"/>
          <w:lang w:val="es-UY"/>
        </w:rPr>
      </w:pPr>
      <w:r w:rsidRPr="00E2664E">
        <w:rPr>
          <w:rFonts w:ascii="Arial" w:hAnsi="Arial" w:cs="Arial"/>
          <w:sz w:val="20"/>
          <w:szCs w:val="20"/>
          <w:lang w:val="es-UY"/>
        </w:rPr>
        <w:t>No se consideran causas de fuerza mayor las condiciones macroeconómicas ni</w:t>
      </w:r>
      <w:r w:rsidR="00B14DCC">
        <w:rPr>
          <w:rFonts w:ascii="Arial" w:hAnsi="Arial" w:cs="Arial"/>
          <w:sz w:val="20"/>
          <w:szCs w:val="20"/>
          <w:lang w:val="es-UY"/>
        </w:rPr>
        <w:t xml:space="preserve"> </w:t>
      </w:r>
      <w:r w:rsidRPr="00E2664E">
        <w:rPr>
          <w:rFonts w:ascii="Arial" w:hAnsi="Arial" w:cs="Arial"/>
          <w:sz w:val="20"/>
          <w:szCs w:val="20"/>
          <w:lang w:val="es-UY"/>
        </w:rPr>
        <w:t>las huelgas</w:t>
      </w:r>
    </w:p>
    <w:p w14:paraId="6781C4D4" w14:textId="77777777" w:rsidR="00E92A5E" w:rsidRDefault="006D41FA" w:rsidP="00EC724D">
      <w:pPr>
        <w:spacing w:after="120"/>
        <w:jc w:val="both"/>
        <w:rPr>
          <w:rFonts w:ascii="Arial" w:hAnsi="Arial" w:cs="Arial"/>
          <w:iCs/>
          <w:sz w:val="20"/>
          <w:szCs w:val="20"/>
        </w:rPr>
      </w:pPr>
      <w:r w:rsidRPr="006D41FA">
        <w:rPr>
          <w:rFonts w:ascii="Arial" w:hAnsi="Arial" w:cs="Arial"/>
          <w:iCs/>
          <w:sz w:val="20"/>
          <w:szCs w:val="20"/>
        </w:rPr>
        <w:t>En caso de eventos de fuerza mayor</w:t>
      </w:r>
      <w:r>
        <w:rPr>
          <w:rFonts w:ascii="Arial" w:hAnsi="Arial" w:cs="Arial"/>
          <w:iCs/>
          <w:sz w:val="20"/>
          <w:szCs w:val="20"/>
        </w:rPr>
        <w:t>,</w:t>
      </w:r>
      <w:r w:rsidRPr="006D41FA">
        <w:rPr>
          <w:rFonts w:ascii="Arial" w:hAnsi="Arial" w:cs="Arial"/>
          <w:iCs/>
          <w:sz w:val="20"/>
          <w:szCs w:val="20"/>
        </w:rPr>
        <w:t xml:space="preserve"> las partes acordarán si habrá lugar a recomposición del equilibrio económico financiero del contrato o a la extinción del mismo</w:t>
      </w:r>
      <w:r w:rsidR="008D1DF4">
        <w:rPr>
          <w:rFonts w:ascii="Arial" w:hAnsi="Arial" w:cs="Arial"/>
          <w:iCs/>
          <w:sz w:val="20"/>
          <w:szCs w:val="20"/>
        </w:rPr>
        <w:t>.</w:t>
      </w:r>
    </w:p>
    <w:p w14:paraId="7868DC5E" w14:textId="77777777" w:rsidR="006D41FA" w:rsidRPr="006D41FA" w:rsidRDefault="006D41FA" w:rsidP="00EC724D">
      <w:pPr>
        <w:spacing w:after="120"/>
        <w:jc w:val="both"/>
        <w:rPr>
          <w:rFonts w:ascii="Arial" w:hAnsi="Arial" w:cs="Arial"/>
          <w:sz w:val="20"/>
          <w:szCs w:val="20"/>
          <w:lang w:val="es-UY"/>
        </w:rPr>
      </w:pPr>
      <w:r>
        <w:rPr>
          <w:rFonts w:ascii="Arial" w:hAnsi="Arial" w:cs="Arial"/>
          <w:iCs/>
          <w:sz w:val="20"/>
          <w:szCs w:val="20"/>
        </w:rPr>
        <w:t xml:space="preserve">Las partes se comprometen a emplear todas las medidas y acciones necesarias a fin de </w:t>
      </w:r>
      <w:r w:rsidR="00394C14">
        <w:rPr>
          <w:rFonts w:ascii="Arial" w:hAnsi="Arial" w:cs="Arial"/>
          <w:iCs/>
          <w:sz w:val="20"/>
          <w:szCs w:val="20"/>
        </w:rPr>
        <w:t>minimizar los efectos generados por los eventos de fuerza mayor.</w:t>
      </w:r>
    </w:p>
    <w:p w14:paraId="69DAFCCE" w14:textId="77777777" w:rsidR="00A3029F" w:rsidRPr="00E2664E" w:rsidRDefault="00A3029F" w:rsidP="00CC6497">
      <w:pPr>
        <w:autoSpaceDE w:val="0"/>
        <w:autoSpaceDN w:val="0"/>
        <w:adjustRightInd w:val="0"/>
        <w:spacing w:after="120"/>
        <w:jc w:val="both"/>
        <w:rPr>
          <w:rFonts w:ascii="Arial" w:hAnsi="Arial" w:cs="Arial"/>
          <w:sz w:val="20"/>
          <w:szCs w:val="20"/>
          <w:lang w:val="es-UY" w:eastAsia="es-UY"/>
        </w:rPr>
      </w:pPr>
      <w:r w:rsidRPr="00E2664E">
        <w:rPr>
          <w:rFonts w:ascii="Arial" w:hAnsi="Arial" w:cs="Arial"/>
          <w:sz w:val="20"/>
          <w:szCs w:val="20"/>
          <w:lang w:val="es-UY"/>
        </w:rPr>
        <w:t>C)</w:t>
      </w:r>
      <w:r w:rsidRPr="00E2664E">
        <w:rPr>
          <w:rFonts w:ascii="Arial" w:hAnsi="Arial" w:cs="Arial"/>
          <w:sz w:val="20"/>
          <w:szCs w:val="20"/>
          <w:lang w:val="es-UY" w:eastAsia="es-UY"/>
        </w:rPr>
        <w:t xml:space="preserve"> Cuando se produzca alguno de los supuestos previstos como condición de su revisión conforme al artículo </w:t>
      </w:r>
      <w:hyperlink r:id="rId70" w:history="1">
        <w:r w:rsidRPr="005029EE">
          <w:rPr>
            <w:rStyle w:val="Hipervnculo"/>
            <w:rFonts w:ascii="Arial" w:hAnsi="Arial" w:cs="Arial"/>
            <w:sz w:val="20"/>
            <w:szCs w:val="20"/>
            <w:lang w:val="es-UY" w:eastAsia="es-UY"/>
          </w:rPr>
          <w:t>48</w:t>
        </w:r>
      </w:hyperlink>
      <w:r w:rsidRPr="00E2664E">
        <w:rPr>
          <w:rFonts w:ascii="Arial" w:hAnsi="Arial" w:cs="Arial"/>
          <w:sz w:val="20"/>
          <w:szCs w:val="20"/>
          <w:lang w:val="es-UY" w:eastAsia="es-UY"/>
        </w:rPr>
        <w:t xml:space="preserve"> de la </w:t>
      </w:r>
      <w:r w:rsidR="008D1DF4">
        <w:rPr>
          <w:rFonts w:ascii="Arial" w:hAnsi="Arial" w:cs="Arial"/>
          <w:sz w:val="20"/>
          <w:szCs w:val="20"/>
          <w:lang w:val="es-UY" w:eastAsia="es-UY"/>
        </w:rPr>
        <w:t>LCPPP</w:t>
      </w:r>
      <w:r w:rsidRPr="00E2664E">
        <w:rPr>
          <w:rFonts w:ascii="Arial" w:hAnsi="Arial" w:cs="Arial"/>
          <w:sz w:val="20"/>
          <w:szCs w:val="20"/>
          <w:lang w:val="es-UY" w:eastAsia="es-UY"/>
        </w:rPr>
        <w:t>, y las partes no lleguen a un acuerdo sobre las modificaciones del contrato.</w:t>
      </w:r>
    </w:p>
    <w:p w14:paraId="11215204" w14:textId="77777777" w:rsidR="00A3029F" w:rsidRPr="00E2664E" w:rsidRDefault="00A3029F" w:rsidP="00CC6497">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Si alguna de las partes no accediera a la renegociación, o las partes no llegaran a un acuerdo en las negociaciones, cualquiera de ellas podrá reclamar jurisdiccionalmente una indemnización de conformidad con el artículo </w:t>
      </w:r>
      <w:hyperlink r:id="rId71" w:history="1">
        <w:r w:rsidRPr="005029EE">
          <w:rPr>
            <w:rStyle w:val="Hipervnculo"/>
            <w:rFonts w:ascii="Arial" w:hAnsi="Arial" w:cs="Arial"/>
            <w:sz w:val="20"/>
            <w:szCs w:val="20"/>
            <w:lang w:val="es-UY" w:eastAsia="es-UY"/>
          </w:rPr>
          <w:t>54</w:t>
        </w:r>
      </w:hyperlink>
      <w:r w:rsidRPr="00E2664E">
        <w:rPr>
          <w:rFonts w:ascii="Arial" w:hAnsi="Arial" w:cs="Arial"/>
          <w:sz w:val="20"/>
          <w:szCs w:val="20"/>
          <w:lang w:val="es-UY" w:eastAsia="es-UY"/>
        </w:rPr>
        <w:t xml:space="preserve"> de la </w:t>
      </w:r>
      <w:r w:rsidR="008D1DF4">
        <w:rPr>
          <w:rFonts w:ascii="Arial" w:hAnsi="Arial" w:cs="Arial"/>
          <w:sz w:val="20"/>
          <w:szCs w:val="20"/>
          <w:lang w:val="es-UY" w:eastAsia="es-UY"/>
        </w:rPr>
        <w:t>LCPPP</w:t>
      </w:r>
      <w:r w:rsidRPr="00E2664E">
        <w:rPr>
          <w:rFonts w:ascii="Arial" w:hAnsi="Arial" w:cs="Arial"/>
          <w:sz w:val="20"/>
          <w:szCs w:val="20"/>
          <w:lang w:val="es-UY" w:eastAsia="es-UY"/>
        </w:rPr>
        <w:t>.</w:t>
      </w:r>
    </w:p>
    <w:p w14:paraId="46541B80" w14:textId="77777777" w:rsidR="00A3029F" w:rsidRDefault="00A3029F" w:rsidP="00CC6497">
      <w:pPr>
        <w:tabs>
          <w:tab w:val="right" w:pos="1134"/>
        </w:tabs>
        <w:suppressAutoHyphens/>
        <w:spacing w:after="120"/>
        <w:jc w:val="both"/>
        <w:rPr>
          <w:rFonts w:ascii="Arial" w:hAnsi="Arial" w:cs="Arial"/>
          <w:sz w:val="20"/>
          <w:szCs w:val="20"/>
          <w:lang w:val="es-UY" w:eastAsia="es-ES"/>
        </w:rPr>
      </w:pPr>
      <w:r w:rsidRPr="00006F7E">
        <w:rPr>
          <w:rFonts w:ascii="Arial" w:hAnsi="Arial" w:cs="Arial"/>
          <w:sz w:val="20"/>
          <w:szCs w:val="20"/>
          <w:lang w:val="es-UY" w:eastAsia="es-ES"/>
        </w:rPr>
        <w:lastRenderedPageBreak/>
        <w:t>La parte que solicite renegociar el contrato deberá notificarlo a la contraparte indicando las cláusulas objeto de renegociación, las causales que la justifican, así como las soluciones sugeridas en tal sentido</w:t>
      </w:r>
      <w:r>
        <w:rPr>
          <w:rFonts w:ascii="Arial" w:hAnsi="Arial" w:cs="Arial"/>
          <w:sz w:val="20"/>
          <w:szCs w:val="20"/>
          <w:lang w:val="es-UY" w:eastAsia="es-ES"/>
        </w:rPr>
        <w:t xml:space="preserve"> y se deberá proceder de acuerdo a lo establecido en el artículo </w:t>
      </w:r>
      <w:hyperlink r:id="rId72" w:history="1">
        <w:r w:rsidRPr="0056210C">
          <w:rPr>
            <w:rStyle w:val="Hipervnculo"/>
            <w:rFonts w:ascii="Arial" w:hAnsi="Arial" w:cs="Arial"/>
            <w:sz w:val="20"/>
            <w:szCs w:val="20"/>
            <w:lang w:val="es-UY" w:eastAsia="es-ES"/>
          </w:rPr>
          <w:t>66</w:t>
        </w:r>
      </w:hyperlink>
      <w:r>
        <w:rPr>
          <w:rFonts w:ascii="Arial" w:hAnsi="Arial" w:cs="Arial"/>
          <w:sz w:val="20"/>
          <w:szCs w:val="20"/>
          <w:lang w:val="es-UY" w:eastAsia="es-ES"/>
        </w:rPr>
        <w:t xml:space="preserve"> del </w:t>
      </w:r>
      <w:r w:rsidRPr="002E508F">
        <w:rPr>
          <w:rFonts w:ascii="Arial" w:hAnsi="Arial" w:cs="Arial"/>
          <w:sz w:val="20"/>
          <w:szCs w:val="20"/>
          <w:lang w:val="es-UY" w:eastAsia="es-ES"/>
        </w:rPr>
        <w:t xml:space="preserve">decreto </w:t>
      </w:r>
      <w:hyperlink r:id="rId73" w:history="1">
        <w:r w:rsidRPr="00375150">
          <w:rPr>
            <w:rStyle w:val="Hipervnculo"/>
            <w:rFonts w:ascii="Arial" w:hAnsi="Arial" w:cs="Arial"/>
            <w:sz w:val="20"/>
            <w:szCs w:val="20"/>
            <w:lang w:val="es-UY" w:eastAsia="es-ES"/>
          </w:rPr>
          <w:t>17/0</w:t>
        </w:r>
        <w:r w:rsidR="008D1DF4" w:rsidRPr="00375150">
          <w:rPr>
            <w:rStyle w:val="Hipervnculo"/>
            <w:rFonts w:ascii="Arial" w:hAnsi="Arial" w:cs="Arial"/>
            <w:sz w:val="20"/>
            <w:szCs w:val="20"/>
            <w:lang w:val="es-UY" w:eastAsia="es-ES"/>
          </w:rPr>
          <w:t>1</w:t>
        </w:r>
        <w:r w:rsidRPr="00375150">
          <w:rPr>
            <w:rStyle w:val="Hipervnculo"/>
            <w:rFonts w:ascii="Arial" w:hAnsi="Arial" w:cs="Arial"/>
            <w:sz w:val="20"/>
            <w:szCs w:val="20"/>
            <w:lang w:val="es-UY" w:eastAsia="es-ES"/>
          </w:rPr>
          <w:t>2</w:t>
        </w:r>
      </w:hyperlink>
      <w:r w:rsidR="004D053A">
        <w:rPr>
          <w:rFonts w:ascii="Arial" w:hAnsi="Arial" w:cs="Arial"/>
          <w:sz w:val="20"/>
          <w:szCs w:val="20"/>
          <w:lang w:val="es-UY" w:eastAsia="es-ES"/>
        </w:rPr>
        <w:t>.</w:t>
      </w:r>
    </w:p>
    <w:p w14:paraId="19481A84" w14:textId="77777777" w:rsidR="00A66B70" w:rsidRPr="00E2664E" w:rsidRDefault="00A66B70" w:rsidP="00CC6497">
      <w:pPr>
        <w:tabs>
          <w:tab w:val="right" w:pos="1134"/>
        </w:tabs>
        <w:suppressAutoHyphens/>
        <w:spacing w:after="120"/>
        <w:jc w:val="both"/>
        <w:rPr>
          <w:rFonts w:ascii="Arial" w:hAnsi="Arial" w:cs="Arial"/>
          <w:sz w:val="20"/>
          <w:szCs w:val="20"/>
          <w:lang w:val="es-UY" w:eastAsia="es-ES"/>
        </w:rPr>
      </w:pPr>
    </w:p>
    <w:p w14:paraId="7E2DE8A1" w14:textId="77777777" w:rsidR="00A3029F" w:rsidRPr="008A39DE" w:rsidRDefault="00A3029F" w:rsidP="009A58E0">
      <w:pPr>
        <w:pStyle w:val="T1"/>
        <w:numPr>
          <w:ilvl w:val="0"/>
          <w:numId w:val="90"/>
        </w:numPr>
        <w:outlineLvl w:val="2"/>
      </w:pPr>
      <w:bookmarkStart w:id="476" w:name="_Toc400622272"/>
      <w:bookmarkStart w:id="477" w:name="_Toc400629123"/>
      <w:bookmarkStart w:id="478" w:name="_Toc400634040"/>
      <w:bookmarkStart w:id="479" w:name="_Toc400635163"/>
      <w:bookmarkStart w:id="480" w:name="Lit_43"/>
      <w:bookmarkStart w:id="481" w:name="_Toc340671900"/>
      <w:bookmarkStart w:id="482" w:name="_Toc358821537"/>
      <w:bookmarkStart w:id="483" w:name="_Toc468288031"/>
      <w:bookmarkStart w:id="484" w:name="_Toc496266624"/>
      <w:r w:rsidRPr="008A39DE">
        <w:t>CONDICIÓN TEMPORAL PARA PROCEDER A LA MODIFICACIÓN O</w:t>
      </w:r>
      <w:bookmarkEnd w:id="476"/>
      <w:bookmarkEnd w:id="477"/>
      <w:bookmarkEnd w:id="478"/>
      <w:bookmarkEnd w:id="479"/>
      <w:r w:rsidR="00F51418" w:rsidRPr="008A39DE">
        <w:t xml:space="preserve"> </w:t>
      </w:r>
      <w:bookmarkEnd w:id="480"/>
      <w:r w:rsidRPr="008A39DE">
        <w:t>RENEGOCIACIÓN DEL CONTRATO.</w:t>
      </w:r>
      <w:bookmarkEnd w:id="481"/>
      <w:bookmarkEnd w:id="482"/>
      <w:bookmarkEnd w:id="483"/>
      <w:bookmarkEnd w:id="484"/>
    </w:p>
    <w:p w14:paraId="42426EE9" w14:textId="01968EA7" w:rsidR="001357D6" w:rsidRDefault="00A3029F" w:rsidP="00D475E5">
      <w:pPr>
        <w:spacing w:after="0"/>
        <w:jc w:val="both"/>
        <w:rPr>
          <w:rFonts w:ascii="Arial" w:hAnsi="Arial" w:cs="Arial"/>
          <w:sz w:val="20"/>
          <w:szCs w:val="20"/>
          <w:lang w:val="es-UY" w:eastAsia="es-ES"/>
        </w:rPr>
      </w:pPr>
      <w:r w:rsidRPr="00571674">
        <w:rPr>
          <w:rFonts w:ascii="Arial" w:hAnsi="Arial" w:cs="Arial"/>
          <w:sz w:val="20"/>
          <w:szCs w:val="20"/>
          <w:lang w:val="es-UY" w:eastAsia="es-ES"/>
        </w:rPr>
        <w:t xml:space="preserve">La Contratante no podrá </w:t>
      </w:r>
      <w:r w:rsidRPr="004C20B6">
        <w:rPr>
          <w:rFonts w:ascii="Arial" w:hAnsi="Arial" w:cs="Arial"/>
          <w:sz w:val="20"/>
          <w:szCs w:val="20"/>
          <w:lang w:val="es-UY" w:eastAsia="es-ES"/>
        </w:rPr>
        <w:t>solicitar, ni</w:t>
      </w:r>
      <w:r w:rsidRPr="00571674">
        <w:rPr>
          <w:rFonts w:ascii="Arial" w:hAnsi="Arial" w:cs="Arial"/>
          <w:sz w:val="20"/>
          <w:szCs w:val="20"/>
          <w:lang w:val="es-UY" w:eastAsia="es-ES"/>
        </w:rPr>
        <w:t xml:space="preserve"> aceptar solicitudes de modificación</w:t>
      </w:r>
      <w:r w:rsidR="00FD672C" w:rsidRPr="00571674">
        <w:rPr>
          <w:rFonts w:ascii="Arial" w:hAnsi="Arial" w:cs="Arial"/>
          <w:sz w:val="20"/>
          <w:szCs w:val="20"/>
          <w:lang w:val="es-UY" w:eastAsia="es-ES"/>
        </w:rPr>
        <w:t xml:space="preserve"> </w:t>
      </w:r>
      <w:r w:rsidR="003E163C" w:rsidRPr="00571674">
        <w:rPr>
          <w:rFonts w:ascii="Arial" w:hAnsi="Arial" w:cs="Arial"/>
          <w:sz w:val="20"/>
          <w:szCs w:val="20"/>
          <w:lang w:val="es-UY" w:eastAsia="es-ES"/>
        </w:rPr>
        <w:t xml:space="preserve">hasta transcurridos </w:t>
      </w:r>
      <w:r w:rsidR="00FD672C" w:rsidRPr="00571674">
        <w:rPr>
          <w:rFonts w:ascii="Arial" w:hAnsi="Arial" w:cs="Arial"/>
          <w:sz w:val="20"/>
          <w:szCs w:val="20"/>
          <w:lang w:val="es-UY" w:eastAsia="es-ES"/>
        </w:rPr>
        <w:t xml:space="preserve">6 meses contados </w:t>
      </w:r>
      <w:r w:rsidR="003E163C" w:rsidRPr="00571674">
        <w:rPr>
          <w:rFonts w:ascii="Arial" w:hAnsi="Arial" w:cs="Arial"/>
          <w:sz w:val="20"/>
          <w:szCs w:val="20"/>
          <w:lang w:val="es-UY" w:eastAsia="es-ES"/>
        </w:rPr>
        <w:t>a partir de</w:t>
      </w:r>
      <w:r w:rsidR="00B14DCC" w:rsidRPr="00571674">
        <w:rPr>
          <w:rFonts w:ascii="Arial" w:hAnsi="Arial" w:cs="Arial"/>
          <w:sz w:val="20"/>
          <w:szCs w:val="20"/>
          <w:lang w:val="es-UY" w:eastAsia="es-ES"/>
        </w:rPr>
        <w:t xml:space="preserve"> </w:t>
      </w:r>
      <w:r w:rsidR="00FD672C" w:rsidRPr="00571674">
        <w:rPr>
          <w:rFonts w:ascii="Arial" w:hAnsi="Arial" w:cs="Arial"/>
          <w:sz w:val="20"/>
          <w:szCs w:val="20"/>
          <w:lang w:val="es-UY" w:eastAsia="es-ES"/>
        </w:rPr>
        <w:t>la firma del cont</w:t>
      </w:r>
      <w:r w:rsidR="001357D6" w:rsidRPr="00571674">
        <w:rPr>
          <w:rFonts w:ascii="Arial" w:hAnsi="Arial" w:cs="Arial"/>
          <w:sz w:val="20"/>
          <w:szCs w:val="20"/>
          <w:lang w:val="es-UY" w:eastAsia="es-ES"/>
        </w:rPr>
        <w:t>r</w:t>
      </w:r>
      <w:r w:rsidR="00FD672C" w:rsidRPr="00571674">
        <w:rPr>
          <w:rFonts w:ascii="Arial" w:hAnsi="Arial" w:cs="Arial"/>
          <w:sz w:val="20"/>
          <w:szCs w:val="20"/>
          <w:lang w:val="es-UY" w:eastAsia="es-ES"/>
        </w:rPr>
        <w:t>ato</w:t>
      </w:r>
      <w:r w:rsidR="00B11864">
        <w:rPr>
          <w:rFonts w:ascii="Arial" w:hAnsi="Arial" w:cs="Arial"/>
          <w:sz w:val="20"/>
          <w:szCs w:val="20"/>
          <w:lang w:val="es-UY" w:eastAsia="es-ES"/>
        </w:rPr>
        <w:t>.</w:t>
      </w:r>
    </w:p>
    <w:p w14:paraId="09A5B564" w14:textId="77777777" w:rsidR="00411976" w:rsidRPr="00571674" w:rsidRDefault="00411976" w:rsidP="00D475E5">
      <w:pPr>
        <w:spacing w:after="0"/>
        <w:jc w:val="both"/>
        <w:rPr>
          <w:rFonts w:ascii="Arial" w:hAnsi="Arial" w:cs="Arial"/>
          <w:sz w:val="20"/>
          <w:szCs w:val="20"/>
          <w:lang w:val="es-UY" w:eastAsia="es-ES"/>
        </w:rPr>
      </w:pPr>
    </w:p>
    <w:p w14:paraId="352C8184" w14:textId="64CCA756" w:rsidR="00A3029F" w:rsidRPr="00E2664E" w:rsidRDefault="001357D6" w:rsidP="00D475E5">
      <w:pPr>
        <w:spacing w:after="0"/>
        <w:jc w:val="both"/>
        <w:rPr>
          <w:rFonts w:ascii="Arial" w:hAnsi="Arial" w:cs="Arial"/>
          <w:sz w:val="20"/>
          <w:szCs w:val="20"/>
          <w:lang w:val="es-UY" w:eastAsia="es-ES"/>
        </w:rPr>
      </w:pPr>
      <w:r w:rsidRPr="00571674">
        <w:rPr>
          <w:rFonts w:ascii="Arial" w:hAnsi="Arial" w:cs="Arial"/>
          <w:sz w:val="20"/>
          <w:szCs w:val="20"/>
          <w:lang w:val="es-UY" w:eastAsia="es-ES"/>
        </w:rPr>
        <w:t>Asimismo</w:t>
      </w:r>
      <w:r w:rsidR="00B11864">
        <w:rPr>
          <w:rFonts w:ascii="Arial" w:hAnsi="Arial" w:cs="Arial"/>
          <w:sz w:val="20"/>
          <w:szCs w:val="20"/>
          <w:lang w:val="es-UY" w:eastAsia="es-ES"/>
        </w:rPr>
        <w:t>,</w:t>
      </w:r>
      <w:r w:rsidRPr="00571674">
        <w:rPr>
          <w:rFonts w:ascii="Arial" w:hAnsi="Arial" w:cs="Arial"/>
          <w:sz w:val="20"/>
          <w:szCs w:val="20"/>
          <w:lang w:val="es-UY" w:eastAsia="es-ES"/>
        </w:rPr>
        <w:t xml:space="preserve"> no podrá solicitar ni aceptar solicitudes de</w:t>
      </w:r>
      <w:r w:rsidR="00A3029F" w:rsidRPr="00571674">
        <w:rPr>
          <w:rFonts w:ascii="Arial" w:hAnsi="Arial" w:cs="Arial"/>
          <w:sz w:val="20"/>
          <w:szCs w:val="20"/>
          <w:lang w:val="es-UY" w:eastAsia="es-ES"/>
        </w:rPr>
        <w:t xml:space="preserve"> renegociación del contrato antes de la fecha del acta de comprobación de la infraestructura</w:t>
      </w:r>
      <w:r w:rsidR="00B14DCC" w:rsidRPr="00571674">
        <w:rPr>
          <w:rFonts w:ascii="Arial" w:hAnsi="Arial" w:cs="Arial"/>
          <w:sz w:val="20"/>
          <w:szCs w:val="20"/>
          <w:lang w:val="es-UY" w:eastAsia="es-ES"/>
        </w:rPr>
        <w:t xml:space="preserve"> </w:t>
      </w:r>
      <w:r w:rsidR="00A3029F" w:rsidRPr="00571674">
        <w:rPr>
          <w:rFonts w:ascii="Arial" w:hAnsi="Arial" w:cs="Arial"/>
          <w:sz w:val="20"/>
          <w:szCs w:val="20"/>
          <w:lang w:val="es-UY" w:eastAsia="es-ES"/>
        </w:rPr>
        <w:t>del último tramo de las obras de puesta a punto</w:t>
      </w:r>
      <w:r w:rsidR="00BA419F" w:rsidRPr="00571674">
        <w:rPr>
          <w:rFonts w:ascii="Arial" w:hAnsi="Arial" w:cs="Arial"/>
          <w:sz w:val="20"/>
          <w:szCs w:val="20"/>
          <w:lang w:val="es-UY" w:eastAsia="es-ES"/>
        </w:rPr>
        <w:t xml:space="preserve"> de la primera etapa</w:t>
      </w:r>
      <w:r w:rsidRPr="00571674">
        <w:rPr>
          <w:rFonts w:ascii="Arial" w:hAnsi="Arial" w:cs="Arial"/>
          <w:sz w:val="20"/>
          <w:szCs w:val="20"/>
          <w:lang w:val="es-UY" w:eastAsia="es-ES"/>
        </w:rPr>
        <w:t xml:space="preserve">, salvo lo establecido en la cláusula </w:t>
      </w:r>
      <w:r w:rsidR="00FD137B" w:rsidRPr="00571674">
        <w:rPr>
          <w:rFonts w:ascii="Arial" w:hAnsi="Arial" w:cs="Arial"/>
          <w:sz w:val="20"/>
          <w:szCs w:val="20"/>
          <w:lang w:val="es-UY" w:eastAsia="es-ES"/>
        </w:rPr>
        <w:t>42</w:t>
      </w:r>
      <w:r w:rsidR="00C63AEA" w:rsidRPr="00571674">
        <w:rPr>
          <w:rFonts w:ascii="Arial" w:hAnsi="Arial" w:cs="Arial"/>
          <w:sz w:val="20"/>
          <w:szCs w:val="20"/>
          <w:lang w:val="es-UY" w:eastAsia="es-ES"/>
        </w:rPr>
        <w:t>.3</w:t>
      </w:r>
      <w:r w:rsidR="00FD137B" w:rsidRPr="00571674">
        <w:rPr>
          <w:rFonts w:ascii="Arial" w:hAnsi="Arial" w:cs="Arial"/>
          <w:sz w:val="20"/>
          <w:szCs w:val="20"/>
          <w:lang w:val="es-UY" w:eastAsia="es-ES"/>
        </w:rPr>
        <w:t xml:space="preserve"> </w:t>
      </w:r>
      <w:r w:rsidRPr="00571674">
        <w:rPr>
          <w:rFonts w:ascii="Arial" w:hAnsi="Arial" w:cs="Arial"/>
          <w:sz w:val="20"/>
          <w:szCs w:val="20"/>
          <w:lang w:val="es-UY" w:eastAsia="es-ES"/>
        </w:rPr>
        <w:t>del presente pliego de licitación</w:t>
      </w:r>
      <w:r w:rsidR="00FA1166" w:rsidRPr="00571674">
        <w:rPr>
          <w:rFonts w:ascii="Arial" w:hAnsi="Arial" w:cs="Arial"/>
          <w:sz w:val="20"/>
          <w:szCs w:val="20"/>
          <w:lang w:val="es-UY" w:eastAsia="es-ES"/>
        </w:rPr>
        <w:t>.</w:t>
      </w:r>
    </w:p>
    <w:p w14:paraId="077163AC" w14:textId="77777777" w:rsidR="00A3029F" w:rsidRPr="00E2664E" w:rsidRDefault="00A3029F" w:rsidP="000F5C7C">
      <w:pPr>
        <w:pStyle w:val="T0"/>
        <w:outlineLvl w:val="0"/>
      </w:pPr>
      <w:bookmarkStart w:id="485" w:name="_Toc340671901"/>
      <w:bookmarkStart w:id="486" w:name="_Toc358821538"/>
      <w:r>
        <w:br w:type="page"/>
      </w:r>
      <w:bookmarkStart w:id="487" w:name="_Toc400622273"/>
      <w:bookmarkStart w:id="488" w:name="_Toc400629124"/>
      <w:bookmarkStart w:id="489" w:name="_Toc400634041"/>
      <w:bookmarkStart w:id="490" w:name="_Toc400635164"/>
      <w:bookmarkStart w:id="491" w:name="_Toc468288032"/>
      <w:bookmarkStart w:id="492" w:name="_Toc496266625"/>
      <w:bookmarkStart w:id="493" w:name="CAP_6"/>
      <w:r>
        <w:lastRenderedPageBreak/>
        <w:t>CAPÍTULO VI:</w:t>
      </w:r>
      <w:r w:rsidRPr="00E2664E">
        <w:t xml:space="preserve"> CONTROL Y SEGUIMIENTO DEL CONTRATO</w:t>
      </w:r>
      <w:bookmarkEnd w:id="485"/>
      <w:bookmarkEnd w:id="486"/>
      <w:bookmarkEnd w:id="487"/>
      <w:bookmarkEnd w:id="488"/>
      <w:bookmarkEnd w:id="489"/>
      <w:bookmarkEnd w:id="490"/>
      <w:bookmarkEnd w:id="491"/>
      <w:bookmarkEnd w:id="492"/>
    </w:p>
    <w:p w14:paraId="2409723C" w14:textId="77777777" w:rsidR="00A3029F" w:rsidRPr="00E2664E" w:rsidRDefault="00A3029F" w:rsidP="009A58E0">
      <w:pPr>
        <w:pStyle w:val="T1"/>
        <w:numPr>
          <w:ilvl w:val="0"/>
          <w:numId w:val="90"/>
        </w:numPr>
        <w:outlineLvl w:val="2"/>
      </w:pPr>
      <w:bookmarkStart w:id="494" w:name="Lit_44"/>
      <w:bookmarkStart w:id="495" w:name="_Toc340671902"/>
      <w:bookmarkStart w:id="496" w:name="_Toc358821539"/>
      <w:bookmarkStart w:id="497" w:name="_Toc400622274"/>
      <w:bookmarkStart w:id="498" w:name="_Toc400629125"/>
      <w:bookmarkStart w:id="499" w:name="_Toc400634042"/>
      <w:bookmarkStart w:id="500" w:name="_Toc400635165"/>
      <w:bookmarkStart w:id="501" w:name="_Toc468288033"/>
      <w:bookmarkStart w:id="502" w:name="_Toc496266626"/>
      <w:bookmarkEnd w:id="493"/>
      <w:r w:rsidRPr="00E2664E">
        <w:t xml:space="preserve">INSTRUMENTOS Y FUNCIONAMIENTO PARA LA VERIFICACIÓN DEL </w:t>
      </w:r>
      <w:bookmarkEnd w:id="494"/>
      <w:r w:rsidRPr="00E2664E">
        <w:t>CUMPLIMIENTO</w:t>
      </w:r>
      <w:r w:rsidR="00B14DCC">
        <w:t xml:space="preserve"> </w:t>
      </w:r>
      <w:r w:rsidRPr="00E2664E">
        <w:t>y SEGUIMIENTO DEL CONTRATO.</w:t>
      </w:r>
      <w:bookmarkEnd w:id="495"/>
      <w:bookmarkEnd w:id="496"/>
      <w:bookmarkEnd w:id="497"/>
      <w:bookmarkEnd w:id="498"/>
      <w:bookmarkEnd w:id="499"/>
      <w:bookmarkEnd w:id="500"/>
      <w:bookmarkEnd w:id="501"/>
      <w:bookmarkEnd w:id="502"/>
    </w:p>
    <w:p w14:paraId="19703CD8"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La Contratante designará un grupo de técnicos que conformará el “Órgano de Control de la Contratante”. </w:t>
      </w:r>
    </w:p>
    <w:p w14:paraId="01DAE42B"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Es el órgano de máxima jerarquía en la función de control del contrato. Dichos</w:t>
      </w:r>
      <w:r w:rsidR="00B14DCC">
        <w:rPr>
          <w:rFonts w:ascii="Arial" w:hAnsi="Arial" w:cs="Arial"/>
          <w:sz w:val="20"/>
          <w:szCs w:val="20"/>
          <w:lang w:val="es-UY"/>
        </w:rPr>
        <w:t xml:space="preserve"> </w:t>
      </w:r>
      <w:r w:rsidRPr="00E2664E">
        <w:rPr>
          <w:rFonts w:ascii="Arial" w:hAnsi="Arial" w:cs="Arial"/>
          <w:sz w:val="20"/>
          <w:szCs w:val="20"/>
          <w:lang w:val="es-UY"/>
        </w:rPr>
        <w:t>técnicos ejercerán sus funciones de forma técnicamente independiente.</w:t>
      </w:r>
    </w:p>
    <w:p w14:paraId="456FF3DA"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Órgano de Control estará representado por un Ingeniero debidamente calificado que, como Supervisor de Obra, tendrá la responsabilidad de la Fiscalización.</w:t>
      </w:r>
    </w:p>
    <w:p w14:paraId="72EACECE"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El Supervisor de Obra podrá ser un funcionario de la Contratante o un Consultor contratado a tal fin.</w:t>
      </w:r>
    </w:p>
    <w:p w14:paraId="350CB929"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Las tareas de fiscalización serán realizadas por el Supervisor de Obra o el Órgano de Control según corresponda con equipos propios de la Contratante o por terceros contratados a los efectos.</w:t>
      </w:r>
    </w:p>
    <w:p w14:paraId="44282B57"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lastRenderedPageBreak/>
        <w:t>En ambos casos el equipo será seleccionado teniendo en cuenta la oportunidad, conveniencia, idoneidad y naturaleza de la tarea a realizar.</w:t>
      </w:r>
    </w:p>
    <w:p w14:paraId="54139374" w14:textId="77777777" w:rsidR="00D639DF" w:rsidRPr="007A76EA" w:rsidRDefault="00A3029F" w:rsidP="00D475E5">
      <w:pPr>
        <w:spacing w:after="120"/>
        <w:jc w:val="both"/>
        <w:rPr>
          <w:rFonts w:ascii="Arial" w:hAnsi="Arial" w:cs="Arial"/>
          <w:sz w:val="20"/>
          <w:szCs w:val="20"/>
          <w:lang w:val="es-UY"/>
        </w:rPr>
      </w:pPr>
      <w:r>
        <w:rPr>
          <w:rFonts w:ascii="Arial" w:hAnsi="Arial" w:cs="Arial"/>
          <w:sz w:val="20"/>
          <w:szCs w:val="20"/>
          <w:lang w:val="es-UY"/>
        </w:rPr>
        <w:t xml:space="preserve">El contratista, subcontratistas y suministradores del contratista principal quedarán obligados a proporcionar, a requerimiento de la Contratante, toda la información y documentación relativa al cumplimiento del contrato que esta les requiera, sin poder oponer a su respecto el secreto comercial. </w:t>
      </w:r>
      <w:r w:rsidR="00795477">
        <w:rPr>
          <w:rFonts w:ascii="Arial" w:hAnsi="Arial" w:cs="Arial"/>
          <w:sz w:val="20"/>
          <w:szCs w:val="20"/>
          <w:lang w:val="es-UY"/>
        </w:rPr>
        <w:t xml:space="preserve">En particular se </w:t>
      </w:r>
      <w:r w:rsidR="00E029D9">
        <w:rPr>
          <w:rFonts w:ascii="Arial" w:hAnsi="Arial" w:cs="Arial"/>
          <w:sz w:val="20"/>
          <w:szCs w:val="20"/>
          <w:lang w:val="es-UY"/>
        </w:rPr>
        <w:t>ajustará</w:t>
      </w:r>
      <w:r w:rsidR="00795477">
        <w:rPr>
          <w:rFonts w:ascii="Arial" w:hAnsi="Arial" w:cs="Arial"/>
          <w:sz w:val="20"/>
          <w:szCs w:val="20"/>
          <w:lang w:val="es-UY"/>
        </w:rPr>
        <w:t xml:space="preserve"> a lo dispuesto</w:t>
      </w:r>
      <w:r w:rsidR="00D639DF">
        <w:rPr>
          <w:rFonts w:ascii="Arial" w:hAnsi="Arial" w:cs="Arial"/>
          <w:sz w:val="20"/>
          <w:szCs w:val="20"/>
          <w:lang w:val="es-UY"/>
        </w:rPr>
        <w:t xml:space="preserve"> en el </w:t>
      </w:r>
      <w:r w:rsidR="00220311">
        <w:rPr>
          <w:rFonts w:ascii="Arial" w:hAnsi="Arial" w:cs="Arial"/>
          <w:sz w:val="20"/>
          <w:szCs w:val="20"/>
          <w:lang w:val="es-UY"/>
        </w:rPr>
        <w:t>artículo</w:t>
      </w:r>
      <w:r w:rsidR="00D639DF">
        <w:rPr>
          <w:rFonts w:ascii="Arial" w:hAnsi="Arial" w:cs="Arial"/>
          <w:sz w:val="20"/>
          <w:szCs w:val="20"/>
          <w:lang w:val="es-UY"/>
        </w:rPr>
        <w:t xml:space="preserve"> </w:t>
      </w:r>
      <w:hyperlink r:id="rId74" w:history="1">
        <w:r w:rsidR="00D639DF" w:rsidRPr="0056210C">
          <w:rPr>
            <w:rStyle w:val="Hipervnculo"/>
            <w:rFonts w:ascii="Arial" w:hAnsi="Arial" w:cs="Arial"/>
            <w:sz w:val="20"/>
            <w:szCs w:val="20"/>
            <w:lang w:val="es-UY"/>
          </w:rPr>
          <w:t>66</w:t>
        </w:r>
      </w:hyperlink>
      <w:r w:rsidR="00D639DF">
        <w:rPr>
          <w:rFonts w:ascii="Arial" w:hAnsi="Arial" w:cs="Arial"/>
          <w:sz w:val="20"/>
          <w:szCs w:val="20"/>
          <w:lang w:val="es-UY"/>
        </w:rPr>
        <w:t xml:space="preserve"> y siguientes del decreto </w:t>
      </w:r>
      <w:hyperlink r:id="rId75" w:history="1">
        <w:r w:rsidR="00D639DF" w:rsidRPr="00375150">
          <w:rPr>
            <w:rStyle w:val="Hipervnculo"/>
            <w:rFonts w:ascii="Arial" w:hAnsi="Arial" w:cs="Arial"/>
            <w:sz w:val="20"/>
            <w:szCs w:val="20"/>
            <w:lang w:val="es-UY"/>
          </w:rPr>
          <w:t>17/012</w:t>
        </w:r>
      </w:hyperlink>
      <w:r w:rsidR="00D639DF">
        <w:rPr>
          <w:rFonts w:ascii="Arial" w:hAnsi="Arial" w:cs="Arial"/>
          <w:sz w:val="20"/>
          <w:szCs w:val="20"/>
          <w:lang w:val="es-UY"/>
        </w:rPr>
        <w:t xml:space="preserve"> </w:t>
      </w:r>
      <w:r w:rsidR="00AE6E5C">
        <w:rPr>
          <w:rFonts w:ascii="Arial" w:hAnsi="Arial" w:cs="Arial"/>
          <w:sz w:val="20"/>
          <w:szCs w:val="20"/>
          <w:lang w:val="es-UY"/>
        </w:rPr>
        <w:t xml:space="preserve">de </w:t>
      </w:r>
      <w:r w:rsidR="00474180">
        <w:rPr>
          <w:rFonts w:ascii="Arial" w:hAnsi="Arial" w:cs="Arial"/>
          <w:sz w:val="20"/>
          <w:szCs w:val="20"/>
          <w:lang w:val="es-UY"/>
        </w:rPr>
        <w:t>2</w:t>
      </w:r>
      <w:r w:rsidR="00AE6E5C">
        <w:rPr>
          <w:rFonts w:ascii="Arial" w:hAnsi="Arial" w:cs="Arial"/>
          <w:sz w:val="20"/>
          <w:szCs w:val="20"/>
          <w:lang w:val="es-UY"/>
        </w:rPr>
        <w:t xml:space="preserve">6 de </w:t>
      </w:r>
      <w:r w:rsidR="00474180">
        <w:rPr>
          <w:rFonts w:ascii="Arial" w:hAnsi="Arial" w:cs="Arial"/>
          <w:sz w:val="20"/>
          <w:szCs w:val="20"/>
          <w:lang w:val="es-UY"/>
        </w:rPr>
        <w:t xml:space="preserve">enero </w:t>
      </w:r>
      <w:r w:rsidR="00AE6E5C">
        <w:rPr>
          <w:rFonts w:ascii="Arial" w:hAnsi="Arial" w:cs="Arial"/>
          <w:sz w:val="20"/>
          <w:szCs w:val="20"/>
          <w:lang w:val="es-UY"/>
        </w:rPr>
        <w:t xml:space="preserve">de 2012, </w:t>
      </w:r>
      <w:r w:rsidR="00D639DF">
        <w:rPr>
          <w:rFonts w:ascii="Arial" w:hAnsi="Arial" w:cs="Arial"/>
          <w:sz w:val="20"/>
          <w:szCs w:val="20"/>
          <w:lang w:val="es-UY"/>
        </w:rPr>
        <w:t xml:space="preserve">normas complementarias y modificativas y a lo establecido en la </w:t>
      </w:r>
      <w:r w:rsidR="00795477">
        <w:rPr>
          <w:rFonts w:ascii="Arial" w:hAnsi="Arial" w:cs="Arial"/>
          <w:sz w:val="20"/>
          <w:szCs w:val="20"/>
          <w:lang w:val="es-UY"/>
        </w:rPr>
        <w:t>“</w:t>
      </w:r>
      <w:r w:rsidR="00AE6E5C">
        <w:rPr>
          <w:rFonts w:ascii="Arial" w:hAnsi="Arial" w:cs="Arial"/>
          <w:sz w:val="20"/>
          <w:szCs w:val="20"/>
          <w:lang w:val="es-UY"/>
        </w:rPr>
        <w:t>Guía para presentación de informes de control y seguimiento</w:t>
      </w:r>
      <w:r w:rsidR="00795477" w:rsidRPr="007A76EA">
        <w:rPr>
          <w:rFonts w:ascii="Arial" w:hAnsi="Arial" w:cs="Arial"/>
          <w:sz w:val="20"/>
          <w:szCs w:val="20"/>
          <w:lang w:val="es-UY"/>
        </w:rPr>
        <w:t>”</w:t>
      </w:r>
      <w:r w:rsidR="00474180">
        <w:rPr>
          <w:rFonts w:ascii="Arial" w:hAnsi="Arial" w:cs="Arial"/>
          <w:sz w:val="20"/>
          <w:szCs w:val="20"/>
          <w:lang w:val="es-UY"/>
        </w:rPr>
        <w:t xml:space="preserve"> publicada en </w:t>
      </w:r>
      <w:hyperlink r:id="rId76" w:history="1">
        <w:r w:rsidR="006F1493" w:rsidRPr="007A76EA">
          <w:rPr>
            <w:rStyle w:val="Hipervnculo"/>
            <w:rFonts w:ascii="Arial" w:hAnsi="Arial" w:cs="Arial"/>
            <w:sz w:val="20"/>
            <w:szCs w:val="20"/>
          </w:rPr>
          <w:t>http://ppp.mef.gub.uy/10000/2/areas/guia-de-mejores-practicas-recomendadas.html</w:t>
        </w:r>
      </w:hyperlink>
      <w:r w:rsidR="00952259" w:rsidRPr="007A76EA">
        <w:rPr>
          <w:rFonts w:ascii="Arial" w:hAnsi="Arial" w:cs="Arial"/>
          <w:sz w:val="20"/>
          <w:szCs w:val="20"/>
          <w:lang w:val="es-UY"/>
        </w:rPr>
        <w:t>.</w:t>
      </w:r>
    </w:p>
    <w:p w14:paraId="0E0CA3BB" w14:textId="77777777" w:rsidR="00A3029F" w:rsidRPr="00E2664E" w:rsidRDefault="00A3029F" w:rsidP="00D475E5">
      <w:pPr>
        <w:spacing w:after="120"/>
        <w:jc w:val="both"/>
        <w:rPr>
          <w:rFonts w:ascii="Arial" w:hAnsi="Arial" w:cs="Arial"/>
          <w:sz w:val="20"/>
          <w:szCs w:val="20"/>
          <w:lang w:val="es-UY"/>
        </w:rPr>
      </w:pPr>
      <w:r w:rsidRPr="00E2664E">
        <w:rPr>
          <w:rFonts w:ascii="Arial" w:hAnsi="Arial" w:cs="Arial"/>
          <w:sz w:val="20"/>
          <w:szCs w:val="20"/>
          <w:lang w:val="es-UY"/>
        </w:rPr>
        <w:t xml:space="preserve">Serán cometidos del Órgano de Control: </w:t>
      </w:r>
    </w:p>
    <w:p w14:paraId="15F20791"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fiscalizar el cumplimiento de las obligaciones del Contratista;</w:t>
      </w:r>
    </w:p>
    <w:p w14:paraId="0118F5DC"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verificar la vigencia de las garantías y seguros;</w:t>
      </w:r>
    </w:p>
    <w:p w14:paraId="359CA488" w14:textId="77777777" w:rsidR="00A3029F" w:rsidRPr="00E2664E" w:rsidRDefault="00B14DCC"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establecer un nexo de coordinación entre la Contratante y el Contratista</w:t>
      </w:r>
      <w:r>
        <w:rPr>
          <w:rFonts w:ascii="Arial" w:hAnsi="Arial" w:cs="Arial"/>
          <w:sz w:val="20"/>
          <w:szCs w:val="20"/>
          <w:lang w:val="es-UY"/>
        </w:rPr>
        <w:t xml:space="preserve"> </w:t>
      </w:r>
      <w:r w:rsidR="00A3029F" w:rsidRPr="00E2664E">
        <w:rPr>
          <w:rFonts w:ascii="Arial" w:hAnsi="Arial" w:cs="Arial"/>
          <w:sz w:val="20"/>
          <w:szCs w:val="20"/>
          <w:lang w:val="es-UY"/>
        </w:rPr>
        <w:t>a los efectos de facilitar el adecuado cumplimiento de las obligaciones asumidas en el contrato;</w:t>
      </w:r>
    </w:p>
    <w:p w14:paraId="5560C44E"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evaluar la situación económica – financiera del contrato;</w:t>
      </w:r>
    </w:p>
    <w:p w14:paraId="7C57D3E7"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lastRenderedPageBreak/>
        <w:t>controlar la correcta ejecución de las obras y la operación de acuerdo a lo establecido en el PCT;</w:t>
      </w:r>
    </w:p>
    <w:p w14:paraId="50693084" w14:textId="77777777" w:rsidR="00A3029F" w:rsidRPr="00E2664E" w:rsidRDefault="006B4203"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aplicar las multas y penalidades por incumplimientos;</w:t>
      </w:r>
    </w:p>
    <w:p w14:paraId="6E770B7F"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recibir, verificar y archivar la documentación del contrato;</w:t>
      </w:r>
    </w:p>
    <w:p w14:paraId="6800F547"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realizar una primera valoración de las modificaciones y renegociaciones que se estimen necesarias o que proponga el Contratista;</w:t>
      </w:r>
    </w:p>
    <w:p w14:paraId="07CEA599"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notificar al Contratista el monto a facturar;</w:t>
      </w:r>
    </w:p>
    <w:p w14:paraId="1DB39B47"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y conformar</w:t>
      </w:r>
      <w:r w:rsidR="00B14DCC">
        <w:rPr>
          <w:rFonts w:ascii="Arial" w:hAnsi="Arial" w:cs="Arial"/>
          <w:sz w:val="20"/>
          <w:szCs w:val="20"/>
          <w:lang w:val="es-UY"/>
        </w:rPr>
        <w:t xml:space="preserve"> </w:t>
      </w:r>
      <w:r w:rsidRPr="00E2664E">
        <w:rPr>
          <w:rFonts w:ascii="Arial" w:hAnsi="Arial" w:cs="Arial"/>
          <w:sz w:val="20"/>
          <w:szCs w:val="20"/>
          <w:lang w:val="es-UY"/>
        </w:rPr>
        <w:t>las facturas de pago</w:t>
      </w:r>
      <w:r w:rsidR="00A147E5">
        <w:rPr>
          <w:rFonts w:ascii="Arial" w:hAnsi="Arial" w:cs="Arial"/>
          <w:sz w:val="20"/>
          <w:szCs w:val="20"/>
          <w:lang w:val="es-UY"/>
        </w:rPr>
        <w:t>;</w:t>
      </w:r>
    </w:p>
    <w:p w14:paraId="0E58AB38" w14:textId="77777777" w:rsidR="00A3029F" w:rsidRPr="00E2664E" w:rsidRDefault="00B14DCC"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Pr>
          <w:rFonts w:ascii="Arial" w:hAnsi="Arial" w:cs="Arial"/>
          <w:sz w:val="20"/>
          <w:szCs w:val="20"/>
          <w:lang w:val="es-UY"/>
        </w:rPr>
        <w:t xml:space="preserve"> </w:t>
      </w:r>
      <w:r w:rsidR="00A3029F" w:rsidRPr="00E2664E">
        <w:rPr>
          <w:rFonts w:ascii="Arial" w:hAnsi="Arial" w:cs="Arial"/>
          <w:sz w:val="20"/>
          <w:szCs w:val="20"/>
          <w:lang w:val="es-UY"/>
        </w:rPr>
        <w:t>Controlar el cumplimiento de los plazos parciales y totales de la ejecución de las obras que surjan de los cronogramas presentados</w:t>
      </w:r>
      <w:r w:rsidR="00A147E5">
        <w:rPr>
          <w:rFonts w:ascii="Arial" w:hAnsi="Arial" w:cs="Arial"/>
          <w:sz w:val="20"/>
          <w:szCs w:val="20"/>
          <w:lang w:val="es-UY"/>
        </w:rPr>
        <w:t>;</w:t>
      </w:r>
    </w:p>
    <w:p w14:paraId="7AAD2E33"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el cumplimiento de las normas de seguridad y calidad</w:t>
      </w:r>
      <w:r w:rsidR="00A147E5">
        <w:rPr>
          <w:rFonts w:ascii="Arial" w:hAnsi="Arial" w:cs="Arial"/>
          <w:sz w:val="20"/>
          <w:szCs w:val="20"/>
          <w:lang w:val="es-UY"/>
        </w:rPr>
        <w:t>;</w:t>
      </w:r>
    </w:p>
    <w:p w14:paraId="60D256D5"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Controlar que el Contratista cumpla con: a) la contratación para la ejecución de las obras de un mínimo equivalente al 5% del personal afectado a</w:t>
      </w:r>
      <w:r w:rsidR="00474180">
        <w:rPr>
          <w:rFonts w:ascii="Arial" w:hAnsi="Arial" w:cs="Arial"/>
          <w:sz w:val="20"/>
          <w:szCs w:val="20"/>
          <w:lang w:val="es-UY"/>
        </w:rPr>
        <w:t xml:space="preserve"> </w:t>
      </w:r>
      <w:r w:rsidRPr="00E2664E">
        <w:rPr>
          <w:rFonts w:ascii="Arial" w:hAnsi="Arial" w:cs="Arial"/>
          <w:sz w:val="20"/>
          <w:szCs w:val="20"/>
          <w:lang w:val="es-UY"/>
        </w:rPr>
        <w:t xml:space="preserve">tareas de peones o similares, a personas liberadas que se encuentren registradas en la Bolsa de Trabajo del Patronato Nacional de Encarcelados y Liberados, según lo establecido en la ley </w:t>
      </w:r>
      <w:hyperlink r:id="rId77" w:history="1">
        <w:r w:rsidRPr="005029EE">
          <w:rPr>
            <w:rStyle w:val="Hipervnculo"/>
            <w:rFonts w:ascii="Arial" w:hAnsi="Arial" w:cs="Arial"/>
            <w:sz w:val="20"/>
            <w:szCs w:val="20"/>
            <w:lang w:val="es-UY"/>
          </w:rPr>
          <w:t>17.897</w:t>
        </w:r>
      </w:hyperlink>
      <w:r w:rsidRPr="00E2664E">
        <w:rPr>
          <w:rFonts w:ascii="Arial" w:hAnsi="Arial" w:cs="Arial"/>
          <w:sz w:val="20"/>
          <w:szCs w:val="20"/>
          <w:lang w:val="es-UY"/>
        </w:rPr>
        <w:t xml:space="preserve"> de 14 de setiembre de 2005 y su reglamentación </w:t>
      </w:r>
      <w:r w:rsidRPr="00E2664E">
        <w:rPr>
          <w:rFonts w:ascii="Arial" w:hAnsi="Arial" w:cs="Arial"/>
          <w:sz w:val="20"/>
          <w:szCs w:val="20"/>
          <w:lang w:val="es-UY"/>
        </w:rPr>
        <w:lastRenderedPageBreak/>
        <w:t xml:space="preserve">el decreto </w:t>
      </w:r>
      <w:hyperlink r:id="rId78" w:history="1">
        <w:r w:rsidRPr="005029EE">
          <w:rPr>
            <w:rStyle w:val="Hipervnculo"/>
            <w:rFonts w:ascii="Arial" w:hAnsi="Arial" w:cs="Arial"/>
            <w:sz w:val="20"/>
            <w:szCs w:val="20"/>
            <w:lang w:val="es-UY"/>
          </w:rPr>
          <w:t>226/006</w:t>
        </w:r>
      </w:hyperlink>
      <w:r w:rsidRPr="00E2664E">
        <w:rPr>
          <w:rFonts w:ascii="Arial" w:hAnsi="Arial" w:cs="Arial"/>
          <w:sz w:val="20"/>
          <w:szCs w:val="20"/>
          <w:lang w:val="es-UY"/>
        </w:rPr>
        <w:t xml:space="preserve"> de 14 de julio de 2006; b) lo establecido en la ley </w:t>
      </w:r>
      <w:hyperlink r:id="rId79" w:history="1">
        <w:r w:rsidRPr="005029EE">
          <w:rPr>
            <w:rStyle w:val="Hipervnculo"/>
            <w:rFonts w:ascii="Arial" w:hAnsi="Arial" w:cs="Arial"/>
            <w:sz w:val="20"/>
            <w:szCs w:val="20"/>
            <w:lang w:val="es-UY"/>
          </w:rPr>
          <w:t>18.516</w:t>
        </w:r>
      </w:hyperlink>
      <w:r w:rsidRPr="00E2664E">
        <w:rPr>
          <w:rFonts w:ascii="Arial" w:hAnsi="Arial" w:cs="Arial"/>
          <w:sz w:val="20"/>
          <w:szCs w:val="20"/>
          <w:lang w:val="es-UY"/>
        </w:rPr>
        <w:t xml:space="preserve"> de 26 de junio de 2009 y decreto </w:t>
      </w:r>
      <w:hyperlink r:id="rId80" w:history="1">
        <w:r w:rsidRPr="005029EE">
          <w:rPr>
            <w:rStyle w:val="Hipervnculo"/>
            <w:rFonts w:ascii="Arial" w:hAnsi="Arial" w:cs="Arial"/>
            <w:sz w:val="20"/>
            <w:szCs w:val="20"/>
            <w:lang w:val="es-UY"/>
          </w:rPr>
          <w:t>255/2010</w:t>
        </w:r>
      </w:hyperlink>
      <w:r w:rsidRPr="00E2664E">
        <w:rPr>
          <w:rFonts w:ascii="Arial" w:hAnsi="Arial" w:cs="Arial"/>
          <w:sz w:val="20"/>
          <w:szCs w:val="20"/>
          <w:lang w:val="es-UY"/>
        </w:rPr>
        <w:t xml:space="preserve"> de 17 de agosto de 2010 a fin de satisfacer con mano de obra local la demanda de personal no permanente; c) lo previsto en la ley </w:t>
      </w:r>
      <w:hyperlink r:id="rId81" w:history="1">
        <w:r w:rsidRPr="005029EE">
          <w:rPr>
            <w:rStyle w:val="Hipervnculo"/>
            <w:rFonts w:ascii="Arial" w:hAnsi="Arial" w:cs="Arial"/>
            <w:sz w:val="20"/>
            <w:szCs w:val="20"/>
            <w:lang w:val="es-UY"/>
          </w:rPr>
          <w:t>18.098</w:t>
        </w:r>
      </w:hyperlink>
      <w:r w:rsidRPr="00E2664E">
        <w:rPr>
          <w:rFonts w:ascii="Arial" w:hAnsi="Arial" w:cs="Arial"/>
          <w:sz w:val="20"/>
          <w:szCs w:val="20"/>
          <w:lang w:val="es-UY"/>
        </w:rPr>
        <w:t xml:space="preserve"> de 12 de enero de 2007, en el sentido</w:t>
      </w:r>
      <w:r w:rsidR="00B14DCC">
        <w:rPr>
          <w:rFonts w:ascii="Arial" w:hAnsi="Arial" w:cs="Arial"/>
          <w:sz w:val="20"/>
          <w:szCs w:val="20"/>
          <w:lang w:val="es-UY"/>
        </w:rPr>
        <w:t xml:space="preserve"> </w:t>
      </w:r>
      <w:r w:rsidRPr="00E2664E">
        <w:rPr>
          <w:rFonts w:ascii="Arial" w:hAnsi="Arial" w:cs="Arial"/>
          <w:sz w:val="20"/>
          <w:szCs w:val="20"/>
          <w:lang w:val="es-UY"/>
        </w:rPr>
        <w:t xml:space="preserve">que el contratista deberá respetar los laudos salariales establecidos en los Consejos de Salarios para fijar la retribución de los trabajadores a su cargo; d) lo dispuesto en la ley </w:t>
      </w:r>
      <w:hyperlink r:id="rId82" w:history="1">
        <w:r w:rsidRPr="00B2709A">
          <w:rPr>
            <w:rStyle w:val="Hipervnculo"/>
            <w:rFonts w:ascii="Arial" w:hAnsi="Arial" w:cs="Arial"/>
            <w:sz w:val="20"/>
            <w:szCs w:val="20"/>
            <w:lang w:val="es-UY"/>
          </w:rPr>
          <w:t>16.074</w:t>
        </w:r>
      </w:hyperlink>
      <w:r w:rsidRPr="00E2664E">
        <w:rPr>
          <w:rFonts w:ascii="Arial" w:hAnsi="Arial" w:cs="Arial"/>
          <w:sz w:val="20"/>
          <w:szCs w:val="20"/>
          <w:lang w:val="es-UY"/>
        </w:rPr>
        <w:t xml:space="preserve"> de 10 de octubre de 1989 teniendo al día el seguro sobre accidentes de trabajo y enfermedades profesionales de sus trabajadores; e) lo establecido en la ley </w:t>
      </w:r>
      <w:hyperlink r:id="rId83" w:history="1">
        <w:r w:rsidRPr="00B2709A">
          <w:rPr>
            <w:rStyle w:val="Hipervnculo"/>
            <w:rFonts w:ascii="Arial" w:hAnsi="Arial" w:cs="Arial"/>
            <w:sz w:val="20"/>
            <w:szCs w:val="20"/>
            <w:lang w:val="es-UY"/>
          </w:rPr>
          <w:t>18.099</w:t>
        </w:r>
      </w:hyperlink>
      <w:r w:rsidRPr="00E2664E">
        <w:rPr>
          <w:rFonts w:ascii="Arial" w:hAnsi="Arial" w:cs="Arial"/>
          <w:sz w:val="20"/>
          <w:szCs w:val="20"/>
          <w:lang w:val="es-UY"/>
        </w:rPr>
        <w:t xml:space="preserve"> de 24 de enero de 2007 y </w:t>
      </w:r>
      <w:hyperlink r:id="rId84" w:history="1">
        <w:r w:rsidRPr="00B2709A">
          <w:rPr>
            <w:rStyle w:val="Hipervnculo"/>
            <w:rFonts w:ascii="Arial" w:hAnsi="Arial" w:cs="Arial"/>
            <w:sz w:val="20"/>
            <w:szCs w:val="20"/>
            <w:lang w:val="es-UY"/>
          </w:rPr>
          <w:t>18.251</w:t>
        </w:r>
      </w:hyperlink>
      <w:r w:rsidRPr="00E2664E">
        <w:rPr>
          <w:rFonts w:ascii="Arial" w:hAnsi="Arial" w:cs="Arial"/>
          <w:sz w:val="20"/>
          <w:szCs w:val="20"/>
          <w:lang w:val="es-UY"/>
        </w:rPr>
        <w:t xml:space="preserve"> de 6 de enero de 2008 relacionadas con las obligaciones laborales del Contratista</w:t>
      </w:r>
      <w:r w:rsidR="00B14DCC">
        <w:rPr>
          <w:rFonts w:ascii="Arial" w:hAnsi="Arial" w:cs="Arial"/>
          <w:sz w:val="20"/>
          <w:szCs w:val="20"/>
          <w:lang w:val="es-UY"/>
        </w:rPr>
        <w:t xml:space="preserve"> </w:t>
      </w:r>
      <w:r w:rsidRPr="00E2664E">
        <w:rPr>
          <w:rFonts w:ascii="Arial" w:hAnsi="Arial" w:cs="Arial"/>
          <w:sz w:val="20"/>
          <w:szCs w:val="20"/>
          <w:lang w:val="es-UY"/>
        </w:rPr>
        <w:t>hacia los trabajadores contratados, así como del pago de las contribuciones a la seguridad social a la entidad provisional que corresponda, de la prima de accidente de trabajo y enfermedad profesional y de las sanciones y recuperos que se adeuden al Banco de Seguros del Estado en relación a esos trabajadores</w:t>
      </w:r>
      <w:r w:rsidR="00A147E5">
        <w:rPr>
          <w:rFonts w:ascii="Arial" w:hAnsi="Arial" w:cs="Arial"/>
          <w:sz w:val="20"/>
          <w:szCs w:val="20"/>
          <w:lang w:val="es-UY"/>
        </w:rPr>
        <w:t>;</w:t>
      </w:r>
    </w:p>
    <w:p w14:paraId="005A1069" w14:textId="77777777" w:rsidR="00A3029F" w:rsidRPr="00E2664E" w:rsidRDefault="00A3029F" w:rsidP="009A58E0">
      <w:pPr>
        <w:widowControl w:val="0"/>
        <w:numPr>
          <w:ilvl w:val="0"/>
          <w:numId w:val="16"/>
        </w:numPr>
        <w:tabs>
          <w:tab w:val="left" w:pos="0"/>
          <w:tab w:val="left" w:pos="834"/>
          <w:tab w:val="num" w:pos="1134"/>
          <w:tab w:val="left" w:pos="1569"/>
          <w:tab w:val="left" w:pos="2160"/>
          <w:tab w:val="left" w:pos="2880"/>
          <w:tab w:val="left" w:pos="3600"/>
          <w:tab w:val="left" w:pos="4320"/>
          <w:tab w:val="left" w:pos="5040"/>
          <w:tab w:val="left" w:pos="5760"/>
          <w:tab w:val="left" w:pos="6480"/>
          <w:tab w:val="left" w:pos="7200"/>
          <w:tab w:val="left" w:pos="7920"/>
        </w:tabs>
        <w:spacing w:after="120"/>
        <w:ind w:left="1134" w:hanging="300"/>
        <w:jc w:val="both"/>
        <w:rPr>
          <w:rFonts w:ascii="Arial" w:hAnsi="Arial" w:cs="Arial"/>
          <w:sz w:val="20"/>
          <w:szCs w:val="20"/>
          <w:lang w:val="es-UY"/>
        </w:rPr>
      </w:pPr>
      <w:r w:rsidRPr="00E2664E">
        <w:rPr>
          <w:rFonts w:ascii="Arial" w:hAnsi="Arial" w:cs="Arial"/>
          <w:sz w:val="20"/>
          <w:szCs w:val="20"/>
          <w:lang w:val="es-UY"/>
        </w:rPr>
        <w:t xml:space="preserve">Exigirle al Contratista informe sobre el monto y el estado de cumplimiento de las obligaciones laborales, provisionales, así como las correspondientes a la protección de la </w:t>
      </w:r>
      <w:r w:rsidRPr="00E2664E">
        <w:rPr>
          <w:rFonts w:ascii="Arial" w:hAnsi="Arial" w:cs="Arial"/>
          <w:sz w:val="20"/>
          <w:szCs w:val="20"/>
          <w:lang w:val="es-UY"/>
        </w:rPr>
        <w:lastRenderedPageBreak/>
        <w:t xml:space="preserve">contingencia de accidentes de trabajo y enfermedades profesionales que correspondan respecto de sus trabajadores, solicitándole: A) declaración nominada de historia laboral, según el artículo </w:t>
      </w:r>
      <w:hyperlink r:id="rId85" w:history="1">
        <w:r w:rsidRPr="0056210C">
          <w:rPr>
            <w:rStyle w:val="Hipervnculo"/>
            <w:rFonts w:ascii="Arial" w:hAnsi="Arial" w:cs="Arial"/>
            <w:sz w:val="20"/>
            <w:szCs w:val="20"/>
            <w:lang w:val="es-UY"/>
          </w:rPr>
          <w:t>87</w:t>
        </w:r>
      </w:hyperlink>
      <w:r w:rsidRPr="00E2664E">
        <w:rPr>
          <w:rFonts w:ascii="Arial" w:hAnsi="Arial" w:cs="Arial"/>
          <w:sz w:val="20"/>
          <w:szCs w:val="20"/>
          <w:lang w:val="es-UY"/>
        </w:rPr>
        <w:t xml:space="preserve"> de la ley </w:t>
      </w:r>
      <w:hyperlink r:id="rId86" w:history="1">
        <w:r w:rsidRPr="00EC7417">
          <w:rPr>
            <w:rStyle w:val="Hipervnculo"/>
            <w:rFonts w:ascii="Arial" w:hAnsi="Arial" w:cs="Arial"/>
            <w:sz w:val="20"/>
            <w:szCs w:val="20"/>
            <w:lang w:val="es-UY"/>
          </w:rPr>
          <w:t>16.713</w:t>
        </w:r>
      </w:hyperlink>
      <w:r w:rsidRPr="00E2664E">
        <w:rPr>
          <w:rFonts w:ascii="Arial" w:hAnsi="Arial" w:cs="Arial"/>
          <w:sz w:val="20"/>
          <w:szCs w:val="20"/>
          <w:lang w:val="es-UY"/>
        </w:rPr>
        <w:t xml:space="preserve"> de 3 de setiembre de 1995, y recibo de pago de cotizaciones al organismo provisional; B) certificado que acredite situación regular de pago de las contribuciones de seguridad social a la entidad provisional que corresponda, según el artículo </w:t>
      </w:r>
      <w:hyperlink r:id="rId87" w:history="1">
        <w:r w:rsidRPr="0056210C">
          <w:rPr>
            <w:rStyle w:val="Hipervnculo"/>
            <w:rFonts w:ascii="Arial" w:hAnsi="Arial" w:cs="Arial"/>
            <w:sz w:val="20"/>
            <w:szCs w:val="20"/>
            <w:lang w:val="es-UY"/>
          </w:rPr>
          <w:t>663</w:t>
        </w:r>
      </w:hyperlink>
      <w:r w:rsidRPr="00E2664E">
        <w:rPr>
          <w:rFonts w:ascii="Arial" w:hAnsi="Arial" w:cs="Arial"/>
          <w:sz w:val="20"/>
          <w:szCs w:val="20"/>
          <w:lang w:val="es-UY"/>
        </w:rPr>
        <w:t xml:space="preserve"> de la ley </w:t>
      </w:r>
      <w:hyperlink r:id="rId88" w:history="1">
        <w:r w:rsidRPr="00EC7417">
          <w:rPr>
            <w:rStyle w:val="Hipervnculo"/>
            <w:rFonts w:ascii="Arial" w:hAnsi="Arial" w:cs="Arial"/>
            <w:sz w:val="20"/>
            <w:szCs w:val="20"/>
            <w:lang w:val="es-UY"/>
          </w:rPr>
          <w:t>16.170</w:t>
        </w:r>
      </w:hyperlink>
      <w:r w:rsidRPr="00E2664E">
        <w:rPr>
          <w:rFonts w:ascii="Arial" w:hAnsi="Arial" w:cs="Arial"/>
          <w:sz w:val="20"/>
          <w:szCs w:val="20"/>
          <w:lang w:val="es-UY"/>
        </w:rPr>
        <w:t xml:space="preserve"> de 28 de diciembre de 1990; C) constancia del Banco de Seguros del Estado que acredite la existencia del seguro de accidentes de trabajo y enfermedades profesionales; D) planilla de control de trabajo, recibos de haberes salariales, y en su caso, convenio colectivo aplicable; E)</w:t>
      </w:r>
      <w:r w:rsidR="002D39FE">
        <w:rPr>
          <w:rFonts w:ascii="Arial" w:hAnsi="Arial" w:cs="Arial"/>
          <w:sz w:val="20"/>
          <w:szCs w:val="20"/>
          <w:lang w:val="es-UY"/>
        </w:rPr>
        <w:t xml:space="preserve"> </w:t>
      </w:r>
      <w:r w:rsidRPr="00E2664E">
        <w:rPr>
          <w:rFonts w:ascii="Arial" w:hAnsi="Arial" w:cs="Arial"/>
          <w:sz w:val="20"/>
          <w:szCs w:val="20"/>
          <w:lang w:val="es-UY"/>
        </w:rPr>
        <w:t>datos personales de los trabajadores comprendidos en la prestación del servicio para realizar los controles pertinentes</w:t>
      </w:r>
      <w:r w:rsidR="00A147E5">
        <w:rPr>
          <w:rFonts w:ascii="Arial" w:hAnsi="Arial" w:cs="Arial"/>
          <w:sz w:val="20"/>
          <w:szCs w:val="20"/>
          <w:lang w:val="es-UY"/>
        </w:rPr>
        <w:t>;</w:t>
      </w:r>
    </w:p>
    <w:p w14:paraId="1A343642" w14:textId="77777777" w:rsidR="00A3029F" w:rsidRPr="00E2664E" w:rsidRDefault="00A3029F" w:rsidP="009A58E0">
      <w:pPr>
        <w:numPr>
          <w:ilvl w:val="0"/>
          <w:numId w:val="16"/>
        </w:numPr>
        <w:spacing w:after="120"/>
        <w:jc w:val="both"/>
        <w:rPr>
          <w:rFonts w:ascii="Arial" w:hAnsi="Arial" w:cs="Arial"/>
          <w:sz w:val="20"/>
          <w:szCs w:val="20"/>
          <w:lang w:val="es-UY"/>
        </w:rPr>
      </w:pPr>
      <w:r w:rsidRPr="00E2664E">
        <w:rPr>
          <w:rFonts w:ascii="Arial" w:hAnsi="Arial" w:cs="Arial"/>
          <w:sz w:val="20"/>
          <w:szCs w:val="20"/>
          <w:lang w:val="es-UY"/>
        </w:rPr>
        <w:t>Indicar los montos de las retenciones a los pagos a realizar al Contratista</w:t>
      </w:r>
      <w:r>
        <w:rPr>
          <w:rFonts w:ascii="Arial" w:hAnsi="Arial" w:cs="Arial"/>
          <w:sz w:val="20"/>
          <w:szCs w:val="20"/>
          <w:lang w:val="es-UY"/>
        </w:rPr>
        <w:t>,</w:t>
      </w:r>
      <w:r w:rsidRPr="00E2664E">
        <w:rPr>
          <w:rFonts w:ascii="Arial" w:hAnsi="Arial" w:cs="Arial"/>
          <w:sz w:val="20"/>
          <w:szCs w:val="20"/>
          <w:lang w:val="es-UY"/>
        </w:rPr>
        <w:t xml:space="preserve"> los montos correspondientes por el incumplimiento</w:t>
      </w:r>
      <w:r w:rsidR="00B14DCC">
        <w:rPr>
          <w:rFonts w:ascii="Arial" w:hAnsi="Arial" w:cs="Arial"/>
          <w:sz w:val="20"/>
          <w:szCs w:val="20"/>
          <w:lang w:val="es-UY"/>
        </w:rPr>
        <w:t xml:space="preserve"> </w:t>
      </w:r>
      <w:r w:rsidRPr="00E2664E">
        <w:rPr>
          <w:rFonts w:ascii="Arial" w:hAnsi="Arial" w:cs="Arial"/>
          <w:sz w:val="20"/>
          <w:szCs w:val="20"/>
          <w:lang w:val="es-UY"/>
        </w:rPr>
        <w:t>de las obligaciones laborales y previsionales y del seguro de accidentes de trabajo y enfermedades profesionales, según las normas citadas.</w:t>
      </w:r>
    </w:p>
    <w:p w14:paraId="60123899" w14:textId="77777777" w:rsidR="00A3029F" w:rsidRPr="00E2664E" w:rsidRDefault="00A3029F" w:rsidP="00692283">
      <w:pPr>
        <w:pStyle w:val="T0"/>
        <w:outlineLvl w:val="0"/>
        <w:rPr>
          <w:lang w:val="es-UY"/>
        </w:rPr>
      </w:pPr>
      <w:bookmarkStart w:id="503" w:name="_Toc340671903"/>
      <w:bookmarkStart w:id="504" w:name="_Toc358821540"/>
      <w:r>
        <w:br w:type="page"/>
      </w:r>
      <w:bookmarkStart w:id="505" w:name="CAP_7"/>
      <w:bookmarkStart w:id="506" w:name="_Toc400622275"/>
      <w:bookmarkStart w:id="507" w:name="_Toc400629126"/>
      <w:bookmarkStart w:id="508" w:name="_Toc400634043"/>
      <w:bookmarkStart w:id="509" w:name="_Toc400635166"/>
      <w:bookmarkStart w:id="510" w:name="_Toc468288034"/>
      <w:bookmarkStart w:id="511" w:name="_Toc496266627"/>
      <w:r w:rsidRPr="00E2664E">
        <w:lastRenderedPageBreak/>
        <w:t>CAPITULO VII</w:t>
      </w:r>
      <w:r>
        <w:t>:</w:t>
      </w:r>
      <w:r w:rsidRPr="00E2664E">
        <w:t xml:space="preserve"> SANCIONES Y PENALIDADES POR INCUMPLIMIENTOS DE </w:t>
      </w:r>
      <w:bookmarkEnd w:id="505"/>
      <w:r w:rsidRPr="00E2664E">
        <w:t>OBLIGACIONES CONTRACTUALES</w:t>
      </w:r>
      <w:bookmarkEnd w:id="503"/>
      <w:bookmarkEnd w:id="504"/>
      <w:bookmarkEnd w:id="506"/>
      <w:bookmarkEnd w:id="507"/>
      <w:bookmarkEnd w:id="508"/>
      <w:bookmarkEnd w:id="509"/>
      <w:bookmarkEnd w:id="510"/>
      <w:bookmarkEnd w:id="511"/>
    </w:p>
    <w:p w14:paraId="36123DC0" w14:textId="77777777" w:rsidR="00A3029F" w:rsidRDefault="00A3029F" w:rsidP="009A58E0">
      <w:pPr>
        <w:pStyle w:val="T1"/>
        <w:numPr>
          <w:ilvl w:val="0"/>
          <w:numId w:val="90"/>
        </w:numPr>
        <w:outlineLvl w:val="2"/>
      </w:pPr>
      <w:bookmarkStart w:id="512" w:name="_Toc340671904"/>
      <w:bookmarkStart w:id="513" w:name="_Toc358821541"/>
      <w:bookmarkStart w:id="514" w:name="_Toc400622276"/>
      <w:bookmarkStart w:id="515" w:name="_Toc400629127"/>
      <w:bookmarkStart w:id="516" w:name="_Toc400634044"/>
      <w:bookmarkStart w:id="517" w:name="_Toc400635167"/>
      <w:bookmarkStart w:id="518" w:name="_Toc468288035"/>
      <w:bookmarkStart w:id="519" w:name="_Toc496266628"/>
      <w:bookmarkStart w:id="520" w:name="Lit_45"/>
      <w:r w:rsidRPr="00E2664E">
        <w:t>PROCEDIMIENTO DE IMPOSICIÓN DE PENALIDADES.</w:t>
      </w:r>
      <w:bookmarkEnd w:id="512"/>
      <w:bookmarkEnd w:id="513"/>
      <w:bookmarkEnd w:id="514"/>
      <w:bookmarkEnd w:id="515"/>
      <w:bookmarkEnd w:id="516"/>
      <w:bookmarkEnd w:id="517"/>
      <w:bookmarkEnd w:id="518"/>
      <w:bookmarkEnd w:id="519"/>
    </w:p>
    <w:bookmarkEnd w:id="520"/>
    <w:p w14:paraId="74D7B794" w14:textId="77777777" w:rsidR="00A3029F" w:rsidRPr="00E2664E" w:rsidRDefault="00A3029F" w:rsidP="00170FC9">
      <w:pPr>
        <w:jc w:val="both"/>
        <w:rPr>
          <w:rFonts w:ascii="Arial" w:hAnsi="Arial" w:cs="Arial"/>
          <w:sz w:val="20"/>
          <w:szCs w:val="20"/>
          <w:lang w:val="es-UY" w:eastAsia="es-UY"/>
        </w:rPr>
      </w:pPr>
      <w:r w:rsidRPr="00E2664E">
        <w:rPr>
          <w:rFonts w:ascii="Arial" w:hAnsi="Arial" w:cs="Arial"/>
          <w:sz w:val="20"/>
          <w:szCs w:val="20"/>
          <w:lang w:val="es-UY" w:eastAsia="es-UY"/>
        </w:rPr>
        <w:t>La determinación de las sanciones aplicables tendrá lugar bajo los principios de legalidad, debido proceso, igualdad, proporcionalidad, generalidad y adecuación al fin.</w:t>
      </w:r>
    </w:p>
    <w:p w14:paraId="12AA97E3" w14:textId="77777777" w:rsidR="00A3029F" w:rsidRPr="00E2664E" w:rsidRDefault="00A3029F" w:rsidP="00170FC9">
      <w:pPr>
        <w:jc w:val="both"/>
        <w:rPr>
          <w:rFonts w:ascii="Arial" w:hAnsi="Arial" w:cs="Arial"/>
          <w:sz w:val="20"/>
          <w:szCs w:val="20"/>
          <w:lang w:val="es-UY" w:eastAsia="es-UY"/>
        </w:rPr>
      </w:pPr>
      <w:r w:rsidRPr="00563058">
        <w:rPr>
          <w:rFonts w:ascii="Arial" w:hAnsi="Arial" w:cs="Arial"/>
          <w:sz w:val="20"/>
          <w:szCs w:val="20"/>
          <w:lang w:val="es-UY" w:eastAsia="es-UY"/>
        </w:rPr>
        <w:t>La Contratante podrá retener de los pagos que en virtud del contrato le correspondiera realizar, las sumas necesarias para hacer efectivo el cobro de las sanciones pecuniarias impuestas.</w:t>
      </w:r>
    </w:p>
    <w:p w14:paraId="3591A154" w14:textId="77777777" w:rsidR="00A3029F" w:rsidRPr="00E2664E" w:rsidRDefault="00A3029F" w:rsidP="00170FC9">
      <w:pPr>
        <w:jc w:val="both"/>
        <w:rPr>
          <w:rFonts w:ascii="Arial" w:hAnsi="Arial" w:cs="Arial"/>
          <w:sz w:val="20"/>
          <w:szCs w:val="20"/>
          <w:lang w:val="es-UY" w:eastAsia="es-UY"/>
        </w:rPr>
      </w:pPr>
      <w:r w:rsidRPr="00E2664E">
        <w:rPr>
          <w:rFonts w:ascii="Arial" w:hAnsi="Arial" w:cs="Arial"/>
          <w:sz w:val="20"/>
          <w:szCs w:val="20"/>
          <w:lang w:val="es-UY" w:eastAsia="es-UY"/>
        </w:rPr>
        <w:t>Las sanciones se harán efectivas de inmediato, sin perjuicio de las acciones a que tenga derecho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 xml:space="preserve">en el marco de los procedimientos de solución de controversias y recursos previstos en la </w:t>
      </w:r>
      <w:r w:rsidR="00474180">
        <w:rPr>
          <w:rFonts w:ascii="Arial" w:hAnsi="Arial" w:cs="Arial"/>
          <w:sz w:val="20"/>
          <w:szCs w:val="20"/>
          <w:lang w:val="es-UY" w:eastAsia="es-UY"/>
        </w:rPr>
        <w:t>LCPPP</w:t>
      </w:r>
      <w:r w:rsidRPr="00E2664E">
        <w:rPr>
          <w:rFonts w:ascii="Arial" w:hAnsi="Arial" w:cs="Arial"/>
          <w:sz w:val="20"/>
          <w:szCs w:val="20"/>
          <w:lang w:val="es-UY" w:eastAsia="es-UY"/>
        </w:rPr>
        <w:t xml:space="preserve">, en </w:t>
      </w:r>
      <w:r w:rsidR="00474180">
        <w:rPr>
          <w:rFonts w:ascii="Arial" w:hAnsi="Arial" w:cs="Arial"/>
          <w:sz w:val="20"/>
          <w:szCs w:val="20"/>
          <w:lang w:val="es-UY" w:eastAsia="es-UY"/>
        </w:rPr>
        <w:t xml:space="preserve">sus decretos reglamentarios </w:t>
      </w:r>
      <w:r w:rsidRPr="00E2664E">
        <w:rPr>
          <w:rFonts w:ascii="Arial" w:hAnsi="Arial" w:cs="Arial"/>
          <w:sz w:val="20"/>
          <w:szCs w:val="20"/>
          <w:lang w:val="es-UY" w:eastAsia="es-UY"/>
        </w:rPr>
        <w:t xml:space="preserve"> o en el contrato, así como independientemente del cumplimiento de la resolución administrativa que impusiere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una determinada obligación de dar, hacer o no hacer conforme a lo previsto en la normativa.</w:t>
      </w:r>
    </w:p>
    <w:p w14:paraId="2EE6E065" w14:textId="77777777" w:rsidR="00A3029F" w:rsidRPr="00E2664E" w:rsidRDefault="00A3029F" w:rsidP="00170FC9">
      <w:pPr>
        <w:jc w:val="both"/>
        <w:rPr>
          <w:rFonts w:ascii="Arial" w:hAnsi="Arial" w:cs="Arial"/>
          <w:lang w:val="es-ES_tradnl" w:eastAsia="es-ES"/>
        </w:rPr>
      </w:pPr>
      <w:r w:rsidRPr="00E2664E">
        <w:rPr>
          <w:rFonts w:ascii="Arial" w:hAnsi="Arial" w:cs="Arial"/>
          <w:sz w:val="20"/>
          <w:szCs w:val="20"/>
          <w:lang w:val="es-UY" w:eastAsia="es-UY"/>
        </w:rPr>
        <w:t>La aplicación de tales sanciones procederá sin perjuicio de las responsabilidades administrativas, civiles o penales que pudieren corresponder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frente a la Contratante o</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 xml:space="preserve">frente a terceros, </w:t>
      </w:r>
      <w:r w:rsidRPr="00E2664E">
        <w:rPr>
          <w:rFonts w:ascii="Arial" w:hAnsi="Arial" w:cs="Arial"/>
          <w:sz w:val="20"/>
          <w:szCs w:val="20"/>
          <w:lang w:val="es-UY" w:eastAsia="es-UY"/>
        </w:rPr>
        <w:lastRenderedPageBreak/>
        <w:t>que hayan sido perjudicados como consecuencia del incumplimiento.</w:t>
      </w:r>
      <w:bookmarkStart w:id="521" w:name="_Toc340671905"/>
    </w:p>
    <w:p w14:paraId="6A3B441A" w14:textId="77777777" w:rsidR="00A3029F" w:rsidRPr="00C82F5B" w:rsidRDefault="00A3029F" w:rsidP="009A58E0">
      <w:pPr>
        <w:pStyle w:val="T2"/>
        <w:numPr>
          <w:ilvl w:val="1"/>
          <w:numId w:val="90"/>
        </w:numPr>
        <w:outlineLvl w:val="3"/>
      </w:pPr>
      <w:bookmarkStart w:id="522" w:name="_Toc400634045"/>
      <w:bookmarkStart w:id="523" w:name="_Toc400635168"/>
      <w:bookmarkStart w:id="524" w:name="_Toc468288036"/>
      <w:bookmarkStart w:id="525" w:name="_Toc496266629"/>
      <w:bookmarkStart w:id="526" w:name="_Toc358821542"/>
      <w:bookmarkStart w:id="527" w:name="Lit_45_1"/>
      <w:r w:rsidRPr="00C82F5B">
        <w:t>INFRACCIONES</w:t>
      </w:r>
      <w:bookmarkEnd w:id="522"/>
      <w:bookmarkEnd w:id="523"/>
      <w:bookmarkEnd w:id="524"/>
      <w:bookmarkEnd w:id="525"/>
    </w:p>
    <w:bookmarkEnd w:id="521"/>
    <w:bookmarkEnd w:id="526"/>
    <w:bookmarkEnd w:id="527"/>
    <w:p w14:paraId="7EB0893C" w14:textId="77777777" w:rsidR="00A3029F" w:rsidRPr="00E2664E" w:rsidRDefault="00A3029F" w:rsidP="00170FC9">
      <w:pPr>
        <w:jc w:val="both"/>
        <w:rPr>
          <w:rFonts w:ascii="Arial" w:hAnsi="Arial" w:cs="Arial"/>
          <w:sz w:val="20"/>
          <w:szCs w:val="20"/>
          <w:lang w:val="es-ES_tradnl" w:eastAsia="es-ES"/>
        </w:rPr>
      </w:pPr>
      <w:r w:rsidRPr="00E2664E">
        <w:rPr>
          <w:rFonts w:ascii="Arial" w:hAnsi="Arial" w:cs="Arial"/>
          <w:sz w:val="20"/>
          <w:szCs w:val="20"/>
          <w:lang w:val="es-ES_tradnl" w:eastAsia="es-ES"/>
        </w:rPr>
        <w:t xml:space="preserve">Se consideran infracciones a efectos del presente pliego: </w:t>
      </w:r>
    </w:p>
    <w:p w14:paraId="558DC34C"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w:t>
      </w:r>
      <w:r w:rsidR="00B14DCC">
        <w:rPr>
          <w:rFonts w:ascii="Arial" w:hAnsi="Arial" w:cs="Arial"/>
          <w:sz w:val="20"/>
          <w:szCs w:val="20"/>
          <w:lang w:val="es-UY"/>
        </w:rPr>
        <w:t xml:space="preserve"> </w:t>
      </w:r>
      <w:r w:rsidRPr="00E2664E">
        <w:rPr>
          <w:rFonts w:ascii="Arial" w:hAnsi="Arial" w:cs="Arial"/>
          <w:sz w:val="20"/>
          <w:szCs w:val="20"/>
          <w:lang w:val="es-UY"/>
        </w:rPr>
        <w:t>Encontrarse en situación de impago de las primas debidas por concepto de seguros y pólizas de garantía requeridas.</w:t>
      </w:r>
    </w:p>
    <w:p w14:paraId="3A8A283B"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No llevar los adecuados controles de gastos y costos de la actividad para que la Contratante pueda conocer el estado financiero del Contratista en cualquier momento de la vida del contrato.</w:t>
      </w:r>
    </w:p>
    <w:p w14:paraId="61362F4E"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No solicitar y obtener los permisos, licencias o autorizaciones legalmente que correspondiere, a efectos de realizar cualquier actividad que lleve a cabo el Contratista.</w:t>
      </w:r>
    </w:p>
    <w:p w14:paraId="76C1B54D"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xml:space="preserve">- No remitir la información documental requerida en tiempo y forma, o hacerlo falseando su contenido en el plazo que disponga este pliego o la Contratante. </w:t>
      </w:r>
    </w:p>
    <w:p w14:paraId="00552F61"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 xml:space="preserve">- Incumplimiento a </w:t>
      </w:r>
      <w:r w:rsidRPr="000C6090">
        <w:rPr>
          <w:rFonts w:ascii="Arial" w:hAnsi="Arial" w:cs="Arial"/>
          <w:sz w:val="20"/>
          <w:szCs w:val="20"/>
          <w:lang w:val="es-UY"/>
        </w:rPr>
        <w:t xml:space="preserve">una </w:t>
      </w:r>
      <w:r w:rsidRPr="00563058">
        <w:rPr>
          <w:rFonts w:ascii="Arial" w:hAnsi="Arial" w:cs="Arial"/>
          <w:sz w:val="20"/>
          <w:szCs w:val="20"/>
          <w:lang w:val="es-UY"/>
        </w:rPr>
        <w:t>orden de servicio</w:t>
      </w:r>
      <w:r w:rsidRPr="000C6090">
        <w:rPr>
          <w:rFonts w:ascii="Arial" w:hAnsi="Arial" w:cs="Arial"/>
          <w:sz w:val="20"/>
          <w:szCs w:val="20"/>
          <w:lang w:val="es-UY"/>
        </w:rPr>
        <w:t xml:space="preserve"> impartida</w:t>
      </w:r>
      <w:r w:rsidRPr="00E2664E">
        <w:rPr>
          <w:rFonts w:ascii="Arial" w:hAnsi="Arial" w:cs="Arial"/>
          <w:sz w:val="20"/>
          <w:szCs w:val="20"/>
          <w:lang w:val="es-UY"/>
        </w:rPr>
        <w:t xml:space="preserve"> por el Supervisor de Obra. </w:t>
      </w:r>
    </w:p>
    <w:p w14:paraId="5F075EFF"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t>-</w:t>
      </w:r>
      <w:r w:rsidR="00ED1D85">
        <w:rPr>
          <w:rFonts w:ascii="Arial" w:hAnsi="Arial" w:cs="Arial"/>
          <w:sz w:val="20"/>
          <w:szCs w:val="20"/>
          <w:lang w:val="es-UY"/>
        </w:rPr>
        <w:tab/>
      </w:r>
      <w:r w:rsidRPr="00E2664E">
        <w:rPr>
          <w:rFonts w:ascii="Arial" w:hAnsi="Arial" w:cs="Arial"/>
          <w:sz w:val="20"/>
          <w:szCs w:val="20"/>
          <w:lang w:val="es-UY"/>
        </w:rPr>
        <w:t>No presentar los estados contables auditados dentro de un plazo de seis meses contados a partir del cierre de cada Ejercicio Fiscal.</w:t>
      </w:r>
    </w:p>
    <w:p w14:paraId="38D456C6" w14:textId="77777777" w:rsidR="00A3029F" w:rsidRPr="00E2664E" w:rsidRDefault="00A3029F" w:rsidP="00170FC9">
      <w:pPr>
        <w:jc w:val="both"/>
        <w:rPr>
          <w:rFonts w:ascii="Arial" w:hAnsi="Arial" w:cs="Arial"/>
          <w:sz w:val="20"/>
          <w:szCs w:val="20"/>
          <w:lang w:val="es-UY"/>
        </w:rPr>
      </w:pPr>
      <w:r w:rsidRPr="00E2664E">
        <w:rPr>
          <w:rFonts w:ascii="Arial" w:hAnsi="Arial" w:cs="Arial"/>
          <w:sz w:val="20"/>
          <w:szCs w:val="20"/>
          <w:lang w:val="es-UY"/>
        </w:rPr>
        <w:lastRenderedPageBreak/>
        <w:t>-</w:t>
      </w:r>
      <w:r w:rsidR="00ED1D85">
        <w:rPr>
          <w:rFonts w:ascii="Arial" w:hAnsi="Arial" w:cs="Arial"/>
          <w:sz w:val="20"/>
          <w:szCs w:val="20"/>
          <w:lang w:val="es-UY"/>
        </w:rPr>
        <w:tab/>
      </w:r>
      <w:r w:rsidRPr="00E2664E">
        <w:rPr>
          <w:rFonts w:ascii="Arial" w:hAnsi="Arial" w:cs="Arial"/>
          <w:sz w:val="20"/>
          <w:szCs w:val="20"/>
          <w:lang w:val="es-UY"/>
        </w:rPr>
        <w:t xml:space="preserve">Incumplimiento de cualquier otro plazo u obligaciones </w:t>
      </w:r>
      <w:r w:rsidR="00563058" w:rsidRPr="00E2664E">
        <w:rPr>
          <w:rFonts w:ascii="Arial" w:hAnsi="Arial" w:cs="Arial"/>
          <w:sz w:val="20"/>
          <w:szCs w:val="20"/>
          <w:lang w:val="es-UY"/>
        </w:rPr>
        <w:t>establecid</w:t>
      </w:r>
      <w:r w:rsidR="00563058">
        <w:rPr>
          <w:rFonts w:ascii="Arial" w:hAnsi="Arial" w:cs="Arial"/>
          <w:sz w:val="20"/>
          <w:szCs w:val="20"/>
          <w:lang w:val="es-UY"/>
        </w:rPr>
        <w:t>as</w:t>
      </w:r>
      <w:r w:rsidR="00563058" w:rsidRPr="00E2664E">
        <w:rPr>
          <w:rFonts w:ascii="Arial" w:hAnsi="Arial" w:cs="Arial"/>
          <w:sz w:val="20"/>
          <w:szCs w:val="20"/>
          <w:lang w:val="es-UY"/>
        </w:rPr>
        <w:t xml:space="preserve"> </w:t>
      </w:r>
      <w:r w:rsidRPr="00E2664E">
        <w:rPr>
          <w:rFonts w:ascii="Arial" w:hAnsi="Arial" w:cs="Arial"/>
          <w:sz w:val="20"/>
          <w:szCs w:val="20"/>
          <w:lang w:val="es-UY"/>
        </w:rPr>
        <w:t xml:space="preserve">en el pliego y en el contrato que no tenga especificada una penalización. </w:t>
      </w:r>
    </w:p>
    <w:p w14:paraId="4511AEA4" w14:textId="77777777" w:rsidR="00A3029F" w:rsidRPr="00D0508A" w:rsidRDefault="00A3029F" w:rsidP="009A58E0">
      <w:pPr>
        <w:pStyle w:val="T2"/>
        <w:numPr>
          <w:ilvl w:val="1"/>
          <w:numId w:val="90"/>
        </w:numPr>
        <w:outlineLvl w:val="3"/>
      </w:pPr>
      <w:bookmarkStart w:id="528" w:name="_Toc340671906"/>
      <w:bookmarkStart w:id="529" w:name="_Toc358821543"/>
      <w:bookmarkStart w:id="530" w:name="_Toc400634046"/>
      <w:bookmarkStart w:id="531" w:name="_Toc400635169"/>
      <w:bookmarkStart w:id="532" w:name="_Toc468288037"/>
      <w:bookmarkStart w:id="533" w:name="_Toc496266630"/>
      <w:bookmarkStart w:id="534" w:name="Lit_45_2"/>
      <w:r w:rsidRPr="00D0508A">
        <w:t>PENALIDADES</w:t>
      </w:r>
      <w:bookmarkEnd w:id="528"/>
      <w:bookmarkEnd w:id="529"/>
      <w:bookmarkEnd w:id="530"/>
      <w:bookmarkEnd w:id="531"/>
      <w:bookmarkEnd w:id="532"/>
      <w:bookmarkEnd w:id="533"/>
    </w:p>
    <w:bookmarkEnd w:id="534"/>
    <w:p w14:paraId="73231D59" w14:textId="77777777" w:rsidR="003C66FC" w:rsidRDefault="00A3029F" w:rsidP="008A66FA">
      <w:pPr>
        <w:jc w:val="both"/>
        <w:rPr>
          <w:rFonts w:ascii="Arial" w:hAnsi="Arial" w:cs="Arial"/>
          <w:sz w:val="20"/>
          <w:szCs w:val="20"/>
          <w:lang w:val="es-UY" w:eastAsia="es-UY"/>
        </w:rPr>
      </w:pPr>
      <w:r w:rsidRPr="00E2664E">
        <w:rPr>
          <w:rFonts w:ascii="Arial" w:hAnsi="Arial" w:cs="Arial"/>
          <w:sz w:val="20"/>
          <w:szCs w:val="20"/>
          <w:lang w:val="es-UY" w:eastAsia="es-UY"/>
        </w:rPr>
        <w:t>Las infracciones enumeradas precedentemente serán p</w:t>
      </w:r>
      <w:r w:rsidR="00411976">
        <w:rPr>
          <w:rFonts w:ascii="Arial" w:hAnsi="Arial" w:cs="Arial"/>
          <w:sz w:val="20"/>
          <w:szCs w:val="20"/>
          <w:lang w:val="es-UY" w:eastAsia="es-UY"/>
        </w:rPr>
        <w:t xml:space="preserve">asibles de la aplicación de una </w:t>
      </w:r>
      <w:r w:rsidRPr="00E2664E">
        <w:rPr>
          <w:rFonts w:ascii="Arial" w:hAnsi="Arial" w:cs="Arial"/>
          <w:sz w:val="20"/>
          <w:szCs w:val="20"/>
          <w:lang w:val="es-UY" w:eastAsia="es-UY"/>
        </w:rPr>
        <w:t xml:space="preserve">penalidad de </w:t>
      </w:r>
      <w:r w:rsidR="00F716CF">
        <w:rPr>
          <w:rFonts w:ascii="Arial" w:hAnsi="Arial" w:cs="Arial"/>
          <w:sz w:val="20"/>
          <w:szCs w:val="20"/>
          <w:lang w:val="es-UY" w:eastAsia="es-UY"/>
        </w:rPr>
        <w:t>U$S</w:t>
      </w:r>
      <w:r w:rsidRPr="00E2664E">
        <w:rPr>
          <w:rFonts w:ascii="Arial" w:hAnsi="Arial" w:cs="Arial"/>
          <w:sz w:val="20"/>
          <w:szCs w:val="20"/>
          <w:lang w:val="es-UY" w:eastAsia="es-UY"/>
        </w:rPr>
        <w:t xml:space="preserve"> 300 (dólares estadounidenses trescientos) diarios, contados a partir de la fecha en que se produce la infracción, con excepción de la infracción vinculada a “Encontrarse en situación de impago de las primas debidas por concepto de seguros y pólizas de garantía requeridas”, la que será pasible de una penalidad de </w:t>
      </w:r>
      <w:r w:rsidR="00F716CF">
        <w:rPr>
          <w:rFonts w:ascii="Arial" w:hAnsi="Arial" w:cs="Arial"/>
          <w:sz w:val="20"/>
          <w:szCs w:val="20"/>
          <w:lang w:val="es-UY" w:eastAsia="es-UY"/>
        </w:rPr>
        <w:t>U$S</w:t>
      </w:r>
      <w:r w:rsidRPr="00E2664E">
        <w:rPr>
          <w:rFonts w:ascii="Arial" w:hAnsi="Arial" w:cs="Arial"/>
          <w:sz w:val="20"/>
          <w:szCs w:val="20"/>
          <w:lang w:val="es-UY" w:eastAsia="es-UY"/>
        </w:rPr>
        <w:t xml:space="preserve"> 1.000 (dólares estadounidenses mil) por día, desde la fecha en que se produjera el</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incumplimiento.</w:t>
      </w:r>
    </w:p>
    <w:p w14:paraId="1DA90DD7" w14:textId="1A3C818F" w:rsidR="003C66FC" w:rsidRPr="00E2664E" w:rsidRDefault="003C66FC" w:rsidP="008A66FA">
      <w:pPr>
        <w:jc w:val="both"/>
        <w:rPr>
          <w:rFonts w:ascii="Arial" w:hAnsi="Arial" w:cs="Arial"/>
          <w:sz w:val="20"/>
          <w:szCs w:val="20"/>
          <w:lang w:val="es-UY" w:eastAsia="es-UY"/>
        </w:rPr>
      </w:pPr>
      <w:r w:rsidRPr="003C66FC">
        <w:rPr>
          <w:rFonts w:ascii="Arial" w:hAnsi="Arial" w:cs="Arial"/>
          <w:sz w:val="20"/>
          <w:szCs w:val="20"/>
          <w:lang w:val="es-UY"/>
        </w:rPr>
        <w:t xml:space="preserve">La Administración Pública </w:t>
      </w:r>
      <w:r>
        <w:rPr>
          <w:rFonts w:ascii="Arial" w:hAnsi="Arial" w:cs="Arial"/>
          <w:sz w:val="20"/>
          <w:szCs w:val="20"/>
          <w:lang w:val="es-UY"/>
        </w:rPr>
        <w:t>c</w:t>
      </w:r>
      <w:r w:rsidRPr="003C66FC">
        <w:rPr>
          <w:rFonts w:ascii="Arial" w:hAnsi="Arial" w:cs="Arial"/>
          <w:sz w:val="20"/>
          <w:szCs w:val="20"/>
          <w:lang w:val="es-UY"/>
        </w:rPr>
        <w:t xml:space="preserve">ontratante no podrá aplicar </w:t>
      </w:r>
      <w:r>
        <w:rPr>
          <w:rFonts w:ascii="Arial" w:hAnsi="Arial" w:cs="Arial"/>
          <w:sz w:val="20"/>
          <w:szCs w:val="20"/>
          <w:lang w:val="es-UY"/>
        </w:rPr>
        <w:t>más de 10 penalidades</w:t>
      </w:r>
      <w:r w:rsidRPr="003C66FC">
        <w:rPr>
          <w:rFonts w:ascii="Arial" w:hAnsi="Arial" w:cs="Arial"/>
          <w:sz w:val="20"/>
          <w:szCs w:val="20"/>
          <w:lang w:val="es-UY"/>
        </w:rPr>
        <w:t xml:space="preserve"> </w:t>
      </w:r>
      <w:r>
        <w:rPr>
          <w:rFonts w:ascii="Arial" w:hAnsi="Arial" w:cs="Arial"/>
          <w:sz w:val="20"/>
          <w:szCs w:val="20"/>
          <w:lang w:val="es-UY"/>
        </w:rPr>
        <w:t>en el período de un año.</w:t>
      </w:r>
      <w:r w:rsidRPr="00E2664E">
        <w:rPr>
          <w:rFonts w:ascii="Arial" w:hAnsi="Arial" w:cs="Arial"/>
          <w:sz w:val="20"/>
          <w:szCs w:val="20"/>
          <w:lang w:val="es-UY"/>
        </w:rPr>
        <w:t xml:space="preserve"> </w:t>
      </w:r>
    </w:p>
    <w:p w14:paraId="6966892A" w14:textId="77777777" w:rsidR="003C66FC" w:rsidRPr="00E2664E" w:rsidRDefault="003C66FC" w:rsidP="00411976">
      <w:pPr>
        <w:jc w:val="both"/>
        <w:rPr>
          <w:rFonts w:ascii="Arial" w:hAnsi="Arial" w:cs="Arial"/>
          <w:sz w:val="20"/>
          <w:szCs w:val="20"/>
          <w:lang w:val="es-UY" w:eastAsia="es-UY"/>
        </w:rPr>
      </w:pPr>
    </w:p>
    <w:p w14:paraId="1DBA0E63" w14:textId="77777777" w:rsidR="00BC3689" w:rsidRDefault="00BC3689" w:rsidP="00170FC9">
      <w:pPr>
        <w:rPr>
          <w:rFonts w:ascii="Arial" w:hAnsi="Arial" w:cs="Arial"/>
          <w:sz w:val="20"/>
          <w:szCs w:val="20"/>
          <w:lang w:val="es-UY" w:eastAsia="es-UY"/>
        </w:rPr>
      </w:pPr>
    </w:p>
    <w:p w14:paraId="05C69D46" w14:textId="77777777" w:rsidR="00BC3689" w:rsidRPr="00BC3689" w:rsidRDefault="00BC3689" w:rsidP="00170FC9">
      <w:pPr>
        <w:rPr>
          <w:rFonts w:ascii="Arial" w:hAnsi="Arial" w:cs="Arial"/>
          <w:sz w:val="20"/>
          <w:szCs w:val="20"/>
          <w:lang w:val="es-UY" w:eastAsia="es-UY"/>
        </w:rPr>
      </w:pPr>
    </w:p>
    <w:p w14:paraId="2F8C2779" w14:textId="77777777" w:rsidR="00BC3689" w:rsidRPr="00BC3689" w:rsidRDefault="00BC3689" w:rsidP="00170FC9">
      <w:pPr>
        <w:rPr>
          <w:rFonts w:ascii="Arial" w:hAnsi="Arial" w:cs="Arial"/>
          <w:sz w:val="20"/>
          <w:szCs w:val="20"/>
          <w:lang w:val="es-UY" w:eastAsia="es-UY"/>
        </w:rPr>
      </w:pPr>
    </w:p>
    <w:p w14:paraId="2ED32AC5" w14:textId="77777777" w:rsidR="00BC3689" w:rsidRDefault="00BC3689" w:rsidP="00170FC9">
      <w:pPr>
        <w:rPr>
          <w:rFonts w:ascii="Arial" w:hAnsi="Arial" w:cs="Arial"/>
          <w:sz w:val="20"/>
          <w:szCs w:val="20"/>
          <w:lang w:val="es-UY" w:eastAsia="es-UY"/>
        </w:rPr>
      </w:pPr>
      <w:r>
        <w:rPr>
          <w:rFonts w:ascii="Arial" w:hAnsi="Arial" w:cs="Arial"/>
          <w:sz w:val="20"/>
          <w:szCs w:val="20"/>
          <w:lang w:val="es-UY" w:eastAsia="es-UY"/>
        </w:rPr>
        <w:tab/>
      </w:r>
    </w:p>
    <w:p w14:paraId="761C8AED" w14:textId="77777777" w:rsidR="00BC3689" w:rsidRDefault="00BC3689" w:rsidP="00170FC9">
      <w:pPr>
        <w:rPr>
          <w:rFonts w:ascii="Arial" w:hAnsi="Arial" w:cs="Arial"/>
          <w:sz w:val="20"/>
          <w:szCs w:val="20"/>
          <w:lang w:val="es-UY" w:eastAsia="es-UY"/>
        </w:rPr>
      </w:pPr>
    </w:p>
    <w:p w14:paraId="400A8B40" w14:textId="77777777" w:rsidR="00A3029F" w:rsidRPr="00BC3689" w:rsidRDefault="00A3029F" w:rsidP="00170FC9">
      <w:pPr>
        <w:rPr>
          <w:rFonts w:ascii="Arial" w:hAnsi="Arial" w:cs="Arial"/>
          <w:sz w:val="20"/>
          <w:szCs w:val="20"/>
          <w:lang w:val="es-UY" w:eastAsia="es-UY"/>
        </w:rPr>
        <w:sectPr w:rsidR="00A3029F" w:rsidRPr="00BC3689" w:rsidSect="00B238CC">
          <w:pgSz w:w="11906" w:h="16838"/>
          <w:pgMar w:top="1276" w:right="1701" w:bottom="1701" w:left="1701" w:header="709" w:footer="709" w:gutter="0"/>
          <w:cols w:space="708"/>
          <w:docGrid w:linePitch="360"/>
        </w:sectPr>
      </w:pPr>
    </w:p>
    <w:p w14:paraId="6F8CF87A" w14:textId="77777777" w:rsidR="00A3029F" w:rsidRDefault="00A3029F" w:rsidP="000F5C7C">
      <w:pPr>
        <w:pStyle w:val="T0"/>
        <w:outlineLvl w:val="0"/>
      </w:pPr>
      <w:bookmarkStart w:id="535" w:name="_Toc340671907"/>
      <w:bookmarkStart w:id="536" w:name="_Toc358821544"/>
      <w:bookmarkStart w:id="537" w:name="_Toc400622277"/>
      <w:bookmarkStart w:id="538" w:name="_Toc400629128"/>
      <w:bookmarkStart w:id="539" w:name="_Toc400634047"/>
      <w:bookmarkStart w:id="540" w:name="_Toc400635170"/>
      <w:bookmarkStart w:id="541" w:name="_Toc468288038"/>
      <w:bookmarkStart w:id="542" w:name="_Toc496266631"/>
      <w:bookmarkStart w:id="543" w:name="CAP_8"/>
      <w:r>
        <w:lastRenderedPageBreak/>
        <w:t>CAPÍTULO VIII:</w:t>
      </w:r>
      <w:r w:rsidRPr="00E2664E">
        <w:t xml:space="preserve"> EXTINCIÓN DEL CONTRATO</w:t>
      </w:r>
      <w:bookmarkEnd w:id="535"/>
      <w:bookmarkEnd w:id="536"/>
      <w:bookmarkEnd w:id="537"/>
      <w:bookmarkEnd w:id="538"/>
      <w:bookmarkEnd w:id="539"/>
      <w:bookmarkEnd w:id="540"/>
      <w:bookmarkEnd w:id="541"/>
      <w:bookmarkEnd w:id="542"/>
    </w:p>
    <w:p w14:paraId="0E25658C" w14:textId="77777777" w:rsidR="008A39DE" w:rsidRPr="00E2664E" w:rsidRDefault="008A39DE" w:rsidP="009A58E0">
      <w:pPr>
        <w:pStyle w:val="T1"/>
        <w:numPr>
          <w:ilvl w:val="0"/>
          <w:numId w:val="90"/>
        </w:numPr>
        <w:outlineLvl w:val="2"/>
      </w:pPr>
      <w:bookmarkStart w:id="544" w:name="_Toc340671908"/>
      <w:bookmarkStart w:id="545" w:name="_Toc358821545"/>
      <w:bookmarkStart w:id="546" w:name="_Toc400622278"/>
      <w:bookmarkStart w:id="547" w:name="_Toc400629129"/>
      <w:bookmarkStart w:id="548" w:name="_Toc400634048"/>
      <w:bookmarkStart w:id="549" w:name="_Toc400635171"/>
      <w:bookmarkStart w:id="550" w:name="_Toc438028484"/>
      <w:bookmarkStart w:id="551" w:name="_Toc468288039"/>
      <w:bookmarkStart w:id="552" w:name="_Toc496266632"/>
      <w:bookmarkStart w:id="553" w:name="Lit_46"/>
      <w:r w:rsidRPr="00E2664E">
        <w:t>EXTINCIÓN DEL CONTRATO</w:t>
      </w:r>
      <w:bookmarkEnd w:id="544"/>
      <w:bookmarkEnd w:id="545"/>
      <w:bookmarkEnd w:id="546"/>
      <w:bookmarkEnd w:id="547"/>
      <w:bookmarkEnd w:id="548"/>
      <w:bookmarkEnd w:id="549"/>
      <w:bookmarkEnd w:id="550"/>
      <w:bookmarkEnd w:id="551"/>
      <w:bookmarkEnd w:id="552"/>
    </w:p>
    <w:p w14:paraId="4BB55DD6" w14:textId="77777777" w:rsidR="00A3029F" w:rsidRPr="00E2664E" w:rsidRDefault="00A3029F" w:rsidP="009A58E0">
      <w:pPr>
        <w:pStyle w:val="T2"/>
        <w:numPr>
          <w:ilvl w:val="1"/>
          <w:numId w:val="90"/>
        </w:numPr>
        <w:outlineLvl w:val="3"/>
      </w:pPr>
      <w:bookmarkStart w:id="554" w:name="_Toc340671909"/>
      <w:bookmarkStart w:id="555" w:name="_Toc358821546"/>
      <w:bookmarkStart w:id="556" w:name="_Toc400634049"/>
      <w:bookmarkStart w:id="557" w:name="_Toc400635172"/>
      <w:bookmarkStart w:id="558" w:name="_Toc468288040"/>
      <w:bookmarkStart w:id="559" w:name="_Toc496266633"/>
      <w:bookmarkStart w:id="560" w:name="Lit_46_1"/>
      <w:bookmarkEnd w:id="543"/>
      <w:bookmarkEnd w:id="553"/>
      <w:r w:rsidRPr="00E2664E">
        <w:t>CAUSAS DE EXTINCIÓN</w:t>
      </w:r>
      <w:bookmarkEnd w:id="554"/>
      <w:bookmarkEnd w:id="555"/>
      <w:bookmarkEnd w:id="556"/>
      <w:bookmarkEnd w:id="557"/>
      <w:bookmarkEnd w:id="558"/>
      <w:bookmarkEnd w:id="559"/>
    </w:p>
    <w:bookmarkEnd w:id="560"/>
    <w:p w14:paraId="07DDBA81" w14:textId="77777777" w:rsidR="005F3A77"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El contrato se extinguirá por las siguientes causales:</w:t>
      </w:r>
    </w:p>
    <w:p w14:paraId="60489F95"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Cumplimiento del contrato conforme a los términos del mismo y a satisfacción de la Contratante de la totalidad de la prestación.</w:t>
      </w:r>
    </w:p>
    <w:p w14:paraId="5D1F0439"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Vencimiento del plazo señalado para su vigencia o el de sus prórrogas.</w:t>
      </w:r>
    </w:p>
    <w:p w14:paraId="09F1EA88" w14:textId="77777777" w:rsidR="00A3029F"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Resolución unilateral y anticipada del contrato por incumplimiento del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en los siguientes casos:</w:t>
      </w:r>
    </w:p>
    <w:p w14:paraId="20BF257F" w14:textId="0D8B12FC" w:rsidR="005F3A77" w:rsidRPr="00B638E3" w:rsidRDefault="008F3CDA" w:rsidP="00CB23FE">
      <w:pPr>
        <w:spacing w:after="120"/>
        <w:ind w:left="360"/>
        <w:jc w:val="both"/>
        <w:rPr>
          <w:rFonts w:ascii="Arial" w:hAnsi="Arial" w:cs="Arial"/>
          <w:sz w:val="20"/>
          <w:szCs w:val="20"/>
          <w:lang w:val="es-UY" w:eastAsia="es-UY"/>
        </w:rPr>
      </w:pPr>
      <w:r w:rsidRPr="00B638E3">
        <w:rPr>
          <w:rFonts w:ascii="Arial" w:hAnsi="Arial" w:cs="Arial"/>
          <w:sz w:val="20"/>
          <w:szCs w:val="20"/>
          <w:lang w:val="es-UY" w:eastAsia="es-UY"/>
        </w:rPr>
        <w:t>1</w:t>
      </w:r>
      <w:r w:rsidR="004F693E" w:rsidRPr="00B638E3">
        <w:rPr>
          <w:rFonts w:ascii="Arial" w:hAnsi="Arial" w:cs="Arial"/>
          <w:sz w:val="20"/>
          <w:szCs w:val="20"/>
          <w:lang w:val="es-UY" w:eastAsia="es-UY"/>
        </w:rPr>
        <w:t>.</w:t>
      </w:r>
      <w:r w:rsidRPr="00B638E3">
        <w:rPr>
          <w:rFonts w:ascii="Arial" w:hAnsi="Arial" w:cs="Arial"/>
          <w:sz w:val="20"/>
          <w:szCs w:val="20"/>
          <w:lang w:val="es-UY" w:eastAsia="es-UY"/>
        </w:rPr>
        <w:t>-</w:t>
      </w:r>
      <w:r w:rsidR="005F3A77" w:rsidRPr="00B638E3">
        <w:rPr>
          <w:rFonts w:ascii="Arial" w:hAnsi="Arial" w:cs="Arial"/>
          <w:sz w:val="20"/>
          <w:szCs w:val="20"/>
          <w:lang w:val="es-UY" w:eastAsia="es-UY"/>
        </w:rPr>
        <w:t xml:space="preserve"> No obtención</w:t>
      </w:r>
      <w:r w:rsidR="00760822" w:rsidRPr="00B638E3">
        <w:rPr>
          <w:rFonts w:ascii="Arial" w:hAnsi="Arial" w:cs="Arial"/>
          <w:sz w:val="20"/>
          <w:szCs w:val="20"/>
          <w:lang w:val="es-UY" w:eastAsia="es-UY"/>
        </w:rPr>
        <w:t xml:space="preserve">, </w:t>
      </w:r>
      <w:r w:rsidR="00B418AD" w:rsidRPr="00B638E3">
        <w:rPr>
          <w:rFonts w:ascii="Arial" w:hAnsi="Arial" w:cs="Arial"/>
          <w:sz w:val="20"/>
          <w:szCs w:val="20"/>
          <w:lang w:val="es-UY" w:eastAsia="es-UY"/>
        </w:rPr>
        <w:t xml:space="preserve">en </w:t>
      </w:r>
      <w:r w:rsidR="00760822" w:rsidRPr="00B638E3">
        <w:rPr>
          <w:rFonts w:ascii="Arial" w:hAnsi="Arial" w:cs="Arial"/>
          <w:sz w:val="20"/>
          <w:szCs w:val="20"/>
          <w:lang w:val="es-UY" w:eastAsia="es-UY"/>
        </w:rPr>
        <w:t xml:space="preserve">un </w:t>
      </w:r>
      <w:r w:rsidR="00B418AD" w:rsidRPr="00B638E3">
        <w:rPr>
          <w:rFonts w:ascii="Arial" w:hAnsi="Arial" w:cs="Arial"/>
          <w:sz w:val="20"/>
          <w:szCs w:val="20"/>
          <w:lang w:val="es-UY" w:eastAsia="es-UY"/>
        </w:rPr>
        <w:t xml:space="preserve">plazo </w:t>
      </w:r>
      <w:r w:rsidR="00760822" w:rsidRPr="00B638E3">
        <w:rPr>
          <w:rFonts w:ascii="Arial" w:hAnsi="Arial" w:cs="Arial"/>
          <w:sz w:val="20"/>
          <w:szCs w:val="20"/>
          <w:lang w:val="es-UY" w:eastAsia="es-UY"/>
        </w:rPr>
        <w:t xml:space="preserve">máximo </w:t>
      </w:r>
      <w:r w:rsidR="003A5E59" w:rsidRPr="00B638E3">
        <w:rPr>
          <w:rFonts w:ascii="Arial" w:hAnsi="Arial" w:cs="Arial"/>
          <w:sz w:val="20"/>
          <w:szCs w:val="20"/>
          <w:lang w:val="es-UY" w:eastAsia="es-UY"/>
        </w:rPr>
        <w:t>de sei</w:t>
      </w:r>
      <w:r w:rsidR="00B418AD" w:rsidRPr="00B638E3">
        <w:rPr>
          <w:rFonts w:ascii="Arial" w:hAnsi="Arial" w:cs="Arial"/>
          <w:sz w:val="20"/>
          <w:szCs w:val="20"/>
          <w:lang w:val="es-UY" w:eastAsia="es-UY"/>
        </w:rPr>
        <w:t>s meses</w:t>
      </w:r>
      <w:r w:rsidR="000F03AD" w:rsidRPr="00B638E3">
        <w:rPr>
          <w:rFonts w:ascii="Arial" w:hAnsi="Arial" w:cs="Arial"/>
          <w:sz w:val="20"/>
          <w:szCs w:val="20"/>
          <w:lang w:val="es-UY" w:eastAsia="es-UY"/>
        </w:rPr>
        <w:t xml:space="preserve"> contados a partir del día siguiente a la firma del contrato</w:t>
      </w:r>
      <w:r w:rsidR="00760822" w:rsidRPr="00B638E3">
        <w:rPr>
          <w:rFonts w:ascii="Arial" w:hAnsi="Arial" w:cs="Arial"/>
          <w:sz w:val="20"/>
          <w:szCs w:val="20"/>
          <w:lang w:val="es-UY" w:eastAsia="es-UY"/>
        </w:rPr>
        <w:t>,</w:t>
      </w:r>
      <w:r w:rsidR="005F3A77" w:rsidRPr="00B638E3">
        <w:rPr>
          <w:rFonts w:ascii="Arial" w:hAnsi="Arial" w:cs="Arial"/>
          <w:sz w:val="20"/>
          <w:szCs w:val="20"/>
          <w:lang w:val="es-UY" w:eastAsia="es-UY"/>
        </w:rPr>
        <w:t xml:space="preserve"> </w:t>
      </w:r>
      <w:r w:rsidR="004524AF" w:rsidRPr="00B638E3">
        <w:rPr>
          <w:rFonts w:ascii="Arial" w:hAnsi="Arial" w:cs="Arial"/>
          <w:sz w:val="20"/>
          <w:szCs w:val="20"/>
          <w:lang w:val="es-UY" w:eastAsia="es-UY"/>
        </w:rPr>
        <w:t>d</w:t>
      </w:r>
      <w:r w:rsidR="00760822" w:rsidRPr="00B638E3">
        <w:rPr>
          <w:rFonts w:ascii="Arial" w:hAnsi="Arial" w:cs="Arial"/>
          <w:sz w:val="20"/>
          <w:szCs w:val="20"/>
          <w:lang w:val="es-UY" w:eastAsia="es-UY"/>
        </w:rPr>
        <w:t>el</w:t>
      </w:r>
      <w:r w:rsidR="005F3A77" w:rsidRPr="00B638E3">
        <w:rPr>
          <w:rFonts w:ascii="Arial" w:hAnsi="Arial" w:cs="Arial"/>
          <w:sz w:val="20"/>
          <w:szCs w:val="20"/>
          <w:lang w:val="es-UY" w:eastAsia="es-UY"/>
        </w:rPr>
        <w:t xml:space="preserve"> 100%</w:t>
      </w:r>
      <w:r w:rsidR="00B638E3" w:rsidRPr="00B638E3">
        <w:rPr>
          <w:rFonts w:ascii="Arial" w:hAnsi="Arial" w:cs="Arial"/>
          <w:sz w:val="20"/>
          <w:szCs w:val="20"/>
          <w:lang w:val="es-UY" w:eastAsia="es-UY"/>
        </w:rPr>
        <w:t xml:space="preserve"> del monto</w:t>
      </w:r>
      <w:r w:rsidR="005F3A77" w:rsidRPr="00B638E3">
        <w:rPr>
          <w:rFonts w:ascii="Arial" w:hAnsi="Arial" w:cs="Arial"/>
          <w:sz w:val="20"/>
          <w:szCs w:val="20"/>
          <w:lang w:val="es-UY" w:eastAsia="es-UY"/>
        </w:rPr>
        <w:t xml:space="preserve"> </w:t>
      </w:r>
      <w:r w:rsidR="00B638E3" w:rsidRPr="00B638E3">
        <w:rPr>
          <w:rFonts w:ascii="Arial" w:hAnsi="Arial" w:cs="Arial"/>
          <w:sz w:val="20"/>
          <w:szCs w:val="20"/>
          <w:lang w:val="es-UY" w:eastAsia="es-UY"/>
        </w:rPr>
        <w:t xml:space="preserve">financiado por terceros </w:t>
      </w:r>
      <w:r w:rsidR="00B638E3" w:rsidRPr="00B638E3">
        <w:rPr>
          <w:rFonts w:ascii="Arial" w:hAnsi="Arial" w:cs="Arial"/>
          <w:sz w:val="20"/>
          <w:szCs w:val="20"/>
          <w:lang w:val="es-UY"/>
        </w:rPr>
        <w:t xml:space="preserve">del total de </w:t>
      </w:r>
      <w:r w:rsidR="00B638E3" w:rsidRPr="00BA1F97">
        <w:rPr>
          <w:rFonts w:ascii="Arial" w:hAnsi="Arial"/>
          <w:sz w:val="20"/>
          <w:lang w:val="es-UY"/>
        </w:rPr>
        <w:t>la inversión</w:t>
      </w:r>
      <w:r w:rsidR="00B638E3" w:rsidRPr="00B638E3">
        <w:rPr>
          <w:rFonts w:ascii="Arial" w:hAnsi="Arial" w:cs="Arial"/>
          <w:sz w:val="20"/>
          <w:szCs w:val="20"/>
          <w:lang w:val="es-UY"/>
        </w:rPr>
        <w:t xml:space="preserve"> </w:t>
      </w:r>
      <w:r w:rsidR="00B638E3" w:rsidRPr="005F4348">
        <w:rPr>
          <w:rFonts w:ascii="Arial" w:hAnsi="Arial" w:cs="Arial"/>
          <w:sz w:val="20"/>
          <w:szCs w:val="20"/>
          <w:lang w:val="es-UY"/>
        </w:rPr>
        <w:t>A</w:t>
      </w:r>
      <w:r w:rsidR="009E486E">
        <w:rPr>
          <w:rFonts w:ascii="Arial" w:hAnsi="Arial" w:cs="Arial"/>
          <w:sz w:val="20"/>
          <w:szCs w:val="20"/>
          <w:lang w:val="es-UY"/>
        </w:rPr>
        <w:t>.</w:t>
      </w:r>
      <w:r w:rsidR="00B638E3" w:rsidRPr="00B638E3">
        <w:rPr>
          <w:rFonts w:ascii="Arial" w:hAnsi="Arial" w:cs="Arial"/>
          <w:sz w:val="20"/>
          <w:szCs w:val="20"/>
          <w:lang w:val="es-UY"/>
        </w:rPr>
        <w:t xml:space="preserve"> </w:t>
      </w:r>
      <w:r w:rsidR="005F3A77" w:rsidRPr="00B638E3">
        <w:rPr>
          <w:rFonts w:ascii="Arial" w:hAnsi="Arial" w:cs="Arial"/>
          <w:sz w:val="20"/>
          <w:szCs w:val="20"/>
          <w:lang w:val="es-UY" w:eastAsia="es-UY"/>
        </w:rPr>
        <w:t xml:space="preserve"> </w:t>
      </w:r>
    </w:p>
    <w:p w14:paraId="600E348E" w14:textId="2C6732BD" w:rsidR="00B473D1" w:rsidRDefault="008F3CDA">
      <w:pPr>
        <w:ind w:left="360"/>
        <w:jc w:val="both"/>
        <w:rPr>
          <w:rFonts w:ascii="Arial" w:hAnsi="Arial" w:cs="Arial"/>
          <w:sz w:val="20"/>
          <w:szCs w:val="20"/>
          <w:lang w:val="es-UY" w:eastAsia="es-UY"/>
        </w:rPr>
      </w:pPr>
      <w:r w:rsidRPr="00B638E3">
        <w:rPr>
          <w:rFonts w:ascii="Arial" w:hAnsi="Arial" w:cs="Arial"/>
          <w:sz w:val="20"/>
          <w:szCs w:val="20"/>
          <w:lang w:val="es-UY" w:eastAsia="es-UY"/>
        </w:rPr>
        <w:t>2</w:t>
      </w:r>
      <w:r w:rsidR="004F693E" w:rsidRPr="00B638E3">
        <w:rPr>
          <w:rFonts w:ascii="Arial" w:hAnsi="Arial" w:cs="Arial"/>
          <w:sz w:val="20"/>
          <w:szCs w:val="20"/>
          <w:lang w:val="es-UY" w:eastAsia="es-UY"/>
        </w:rPr>
        <w:t>.</w:t>
      </w:r>
      <w:r w:rsidRPr="00B638E3">
        <w:rPr>
          <w:rFonts w:ascii="Arial" w:hAnsi="Arial" w:cs="Arial"/>
          <w:sz w:val="20"/>
          <w:szCs w:val="20"/>
          <w:lang w:val="es-UY" w:eastAsia="es-UY"/>
        </w:rPr>
        <w:t xml:space="preserve">- </w:t>
      </w:r>
      <w:r w:rsidR="000C6090" w:rsidRPr="00B638E3">
        <w:rPr>
          <w:rFonts w:ascii="Arial" w:hAnsi="Arial" w:cs="Arial"/>
          <w:sz w:val="20"/>
          <w:szCs w:val="20"/>
          <w:lang w:val="es-UY" w:eastAsia="es-UY"/>
        </w:rPr>
        <w:t>Demoras no autorizadas</w:t>
      </w:r>
      <w:r w:rsidR="0023745B" w:rsidRPr="00B638E3">
        <w:rPr>
          <w:rFonts w:ascii="Arial" w:hAnsi="Arial" w:cs="Arial"/>
          <w:sz w:val="20"/>
          <w:szCs w:val="20"/>
          <w:lang w:val="es-UY" w:eastAsia="es-UY"/>
        </w:rPr>
        <w:t xml:space="preserve"> </w:t>
      </w:r>
      <w:r w:rsidR="00E52A87" w:rsidRPr="00B638E3">
        <w:rPr>
          <w:rFonts w:ascii="Arial" w:hAnsi="Arial" w:cs="Arial"/>
          <w:sz w:val="20"/>
          <w:szCs w:val="20"/>
          <w:lang w:val="es-UY" w:eastAsia="es-UY"/>
        </w:rPr>
        <w:t xml:space="preserve">en la ejecución de los trabajos </w:t>
      </w:r>
      <w:r w:rsidR="0023745B" w:rsidRPr="00B638E3">
        <w:rPr>
          <w:rFonts w:ascii="Arial" w:hAnsi="Arial" w:cs="Arial"/>
          <w:sz w:val="20"/>
          <w:szCs w:val="20"/>
          <w:lang w:val="es-UY" w:eastAsia="es-UY"/>
        </w:rPr>
        <w:t xml:space="preserve">en </w:t>
      </w:r>
      <w:r w:rsidR="000C6090" w:rsidRPr="00B638E3">
        <w:rPr>
          <w:rFonts w:ascii="Arial" w:hAnsi="Arial" w:cs="Arial"/>
          <w:sz w:val="20"/>
          <w:szCs w:val="20"/>
          <w:lang w:val="es-UY" w:eastAsia="es-UY"/>
        </w:rPr>
        <w:t>un periodo superior</w:t>
      </w:r>
      <w:r w:rsidR="00B14DCC" w:rsidRPr="00B638E3">
        <w:rPr>
          <w:rFonts w:ascii="Arial" w:hAnsi="Arial" w:cs="Arial"/>
          <w:sz w:val="20"/>
          <w:szCs w:val="20"/>
          <w:lang w:val="es-UY" w:eastAsia="es-UY"/>
        </w:rPr>
        <w:t xml:space="preserve"> </w:t>
      </w:r>
      <w:r w:rsidR="000C6090" w:rsidRPr="00B638E3">
        <w:rPr>
          <w:rFonts w:ascii="Arial" w:hAnsi="Arial" w:cs="Arial"/>
          <w:sz w:val="20"/>
          <w:szCs w:val="20"/>
          <w:lang w:val="es-UY" w:eastAsia="es-UY"/>
        </w:rPr>
        <w:t xml:space="preserve">a </w:t>
      </w:r>
      <w:r w:rsidR="0023745B" w:rsidRPr="00B638E3">
        <w:rPr>
          <w:rFonts w:ascii="Arial" w:hAnsi="Arial" w:cs="Arial"/>
          <w:sz w:val="20"/>
          <w:szCs w:val="20"/>
          <w:lang w:val="es-UY" w:eastAsia="es-UY"/>
        </w:rPr>
        <w:t>120</w:t>
      </w:r>
      <w:r w:rsidR="0023745B" w:rsidRPr="0023745B">
        <w:rPr>
          <w:rFonts w:ascii="Arial" w:hAnsi="Arial" w:cs="Arial"/>
          <w:sz w:val="20"/>
          <w:szCs w:val="20"/>
          <w:lang w:val="es-UY" w:eastAsia="es-UY"/>
        </w:rPr>
        <w:t xml:space="preserve"> (</w:t>
      </w:r>
      <w:r w:rsidR="0023745B">
        <w:rPr>
          <w:rFonts w:ascii="Arial" w:hAnsi="Arial" w:cs="Arial"/>
          <w:sz w:val="20"/>
          <w:szCs w:val="20"/>
          <w:lang w:val="es-UY" w:eastAsia="es-UY"/>
        </w:rPr>
        <w:t>ciento veinte</w:t>
      </w:r>
      <w:r w:rsidR="0023745B" w:rsidRPr="0023745B">
        <w:rPr>
          <w:rFonts w:ascii="Arial" w:hAnsi="Arial" w:cs="Arial"/>
          <w:sz w:val="20"/>
          <w:szCs w:val="20"/>
          <w:lang w:val="es-UY" w:eastAsia="es-UY"/>
        </w:rPr>
        <w:t xml:space="preserve">) </w:t>
      </w:r>
      <w:r w:rsidR="00CB23FE">
        <w:rPr>
          <w:rFonts w:ascii="Arial" w:hAnsi="Arial" w:cs="Arial"/>
          <w:sz w:val="20"/>
          <w:szCs w:val="20"/>
          <w:lang w:val="es-UY" w:eastAsia="es-UY"/>
        </w:rPr>
        <w:t>días</w:t>
      </w:r>
      <w:r w:rsidR="00E52A87">
        <w:rPr>
          <w:rFonts w:ascii="Arial" w:hAnsi="Arial" w:cs="Arial"/>
          <w:sz w:val="20"/>
          <w:szCs w:val="20"/>
          <w:lang w:val="es-UY" w:eastAsia="es-UY"/>
        </w:rPr>
        <w:t>,</w:t>
      </w:r>
      <w:r w:rsidR="0023745B" w:rsidRPr="0023745B">
        <w:rPr>
          <w:rFonts w:ascii="Arial" w:hAnsi="Arial" w:cs="Arial"/>
          <w:sz w:val="20"/>
          <w:szCs w:val="20"/>
          <w:lang w:val="es-UY" w:eastAsia="es-UY"/>
        </w:rPr>
        <w:t xml:space="preserve"> </w:t>
      </w:r>
      <w:r w:rsidR="000C6090">
        <w:rPr>
          <w:rFonts w:ascii="Arial" w:hAnsi="Arial" w:cs="Arial"/>
          <w:sz w:val="20"/>
          <w:szCs w:val="20"/>
          <w:lang w:val="es-UY" w:eastAsia="es-UY"/>
        </w:rPr>
        <w:t>de</w:t>
      </w:r>
      <w:r w:rsidR="0023745B" w:rsidRPr="0023745B">
        <w:rPr>
          <w:rFonts w:ascii="Arial" w:hAnsi="Arial" w:cs="Arial"/>
          <w:sz w:val="20"/>
          <w:szCs w:val="20"/>
          <w:lang w:val="es-UY" w:eastAsia="es-UY"/>
        </w:rPr>
        <w:t xml:space="preserve"> los plazos</w:t>
      </w:r>
      <w:r w:rsidR="002D6998">
        <w:rPr>
          <w:rFonts w:ascii="Arial" w:hAnsi="Arial" w:cs="Arial"/>
          <w:sz w:val="20"/>
          <w:szCs w:val="20"/>
          <w:lang w:val="es-UY" w:eastAsia="es-UY"/>
        </w:rPr>
        <w:t xml:space="preserve"> parciales y</w:t>
      </w:r>
      <w:r w:rsidR="0023745B" w:rsidRPr="0023745B">
        <w:rPr>
          <w:rFonts w:ascii="Arial" w:hAnsi="Arial" w:cs="Arial"/>
          <w:sz w:val="20"/>
          <w:szCs w:val="20"/>
          <w:lang w:val="es-UY" w:eastAsia="es-UY"/>
        </w:rPr>
        <w:t xml:space="preserve"> </w:t>
      </w:r>
      <w:r>
        <w:rPr>
          <w:rFonts w:ascii="Arial" w:hAnsi="Arial" w:cs="Arial"/>
          <w:sz w:val="20"/>
          <w:szCs w:val="20"/>
          <w:lang w:val="es-UY" w:eastAsia="es-UY"/>
        </w:rPr>
        <w:t>totales</w:t>
      </w:r>
      <w:r w:rsidR="0023745B" w:rsidRPr="0023745B">
        <w:rPr>
          <w:rFonts w:ascii="Arial" w:hAnsi="Arial" w:cs="Arial"/>
          <w:sz w:val="20"/>
          <w:szCs w:val="20"/>
          <w:lang w:val="es-UY" w:eastAsia="es-UY"/>
        </w:rPr>
        <w:t xml:space="preserve"> establecidos en tabla</w:t>
      </w:r>
      <w:r w:rsidR="00CB23FE">
        <w:rPr>
          <w:rFonts w:ascii="Arial" w:hAnsi="Arial" w:cs="Arial"/>
          <w:sz w:val="20"/>
          <w:szCs w:val="20"/>
          <w:lang w:val="es-UY" w:eastAsia="es-UY"/>
        </w:rPr>
        <w:t xml:space="preserve"> </w:t>
      </w:r>
      <w:r w:rsidR="00F46978" w:rsidRPr="002E508F">
        <w:rPr>
          <w:rFonts w:ascii="Arial" w:hAnsi="Arial" w:cs="Arial"/>
          <w:sz w:val="20"/>
          <w:szCs w:val="20"/>
          <w:lang w:val="es-UY" w:eastAsia="es-UY"/>
        </w:rPr>
        <w:t>C.</w:t>
      </w:r>
      <w:r w:rsidR="001F1152" w:rsidRPr="002E508F">
        <w:rPr>
          <w:rFonts w:ascii="Arial" w:hAnsi="Arial" w:cs="Arial"/>
          <w:sz w:val="20"/>
          <w:szCs w:val="20"/>
          <w:lang w:val="es-UY" w:eastAsia="es-UY"/>
        </w:rPr>
        <w:t>XI</w:t>
      </w:r>
      <w:r w:rsidR="00F46978" w:rsidRPr="002E508F">
        <w:rPr>
          <w:rFonts w:ascii="Arial" w:hAnsi="Arial" w:cs="Arial"/>
          <w:sz w:val="20"/>
          <w:szCs w:val="20"/>
          <w:lang w:val="es-UY" w:eastAsia="es-UY"/>
        </w:rPr>
        <w:t>-</w:t>
      </w:r>
      <w:r w:rsidR="001F1152" w:rsidRPr="002E508F">
        <w:rPr>
          <w:rFonts w:ascii="Arial" w:hAnsi="Arial" w:cs="Arial"/>
          <w:sz w:val="20"/>
          <w:szCs w:val="20"/>
          <w:lang w:val="es-UY" w:eastAsia="es-UY"/>
        </w:rPr>
        <w:t>5</w:t>
      </w:r>
      <w:r w:rsidR="0023745B" w:rsidRPr="0023745B">
        <w:rPr>
          <w:rFonts w:ascii="Arial" w:hAnsi="Arial" w:cs="Arial"/>
          <w:sz w:val="20"/>
          <w:szCs w:val="20"/>
          <w:lang w:val="es-UY" w:eastAsia="es-UY"/>
        </w:rPr>
        <w:t xml:space="preserve"> del presente </w:t>
      </w:r>
      <w:r w:rsidR="00CB23FE">
        <w:rPr>
          <w:rFonts w:ascii="Arial" w:hAnsi="Arial" w:cs="Arial"/>
          <w:sz w:val="20"/>
          <w:szCs w:val="20"/>
          <w:lang w:val="es-UY" w:eastAsia="es-UY"/>
        </w:rPr>
        <w:t>pliego de Licitación</w:t>
      </w:r>
      <w:r w:rsidR="002D6998">
        <w:rPr>
          <w:rFonts w:ascii="Arial" w:hAnsi="Arial" w:cs="Arial"/>
          <w:sz w:val="20"/>
          <w:szCs w:val="20"/>
          <w:lang w:val="es-UY" w:eastAsia="es-UY"/>
        </w:rPr>
        <w:t xml:space="preserve"> o los indicados en la oferta cuando fueran más exigentes.</w:t>
      </w:r>
    </w:p>
    <w:p w14:paraId="1C030700"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lastRenderedPageBreak/>
        <w:t>3</w:t>
      </w:r>
      <w:r w:rsidR="007C7709">
        <w:rPr>
          <w:rFonts w:ascii="Arial" w:hAnsi="Arial" w:cs="Arial"/>
          <w:sz w:val="20"/>
          <w:szCs w:val="20"/>
        </w:rPr>
        <w:t>.</w:t>
      </w:r>
      <w:r w:rsidR="00A3029F" w:rsidRPr="00E2664E">
        <w:rPr>
          <w:rFonts w:ascii="Arial" w:hAnsi="Arial" w:cs="Arial"/>
          <w:sz w:val="20"/>
          <w:szCs w:val="20"/>
        </w:rPr>
        <w:t>- Cuando en un año el monto correspondiente al Pago Por Disponibilidad fuera inferior al 80% del monto que hubiere correspondido cobrar por ese mismo concepto si la disponibilidad hubiera sido del 100%, o si en las mismas condiciones fuera inferior al 90%</w:t>
      </w:r>
      <w:r w:rsidR="00A3029F">
        <w:rPr>
          <w:rFonts w:ascii="Arial" w:hAnsi="Arial" w:cs="Arial"/>
          <w:sz w:val="20"/>
          <w:szCs w:val="20"/>
        </w:rPr>
        <w:t xml:space="preserve"> por dos años consecutivos.</w:t>
      </w:r>
    </w:p>
    <w:p w14:paraId="3B30558E"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t>4</w:t>
      </w:r>
      <w:r w:rsidR="00A3029F" w:rsidRPr="00E2664E">
        <w:rPr>
          <w:rFonts w:ascii="Arial" w:hAnsi="Arial" w:cs="Arial"/>
          <w:sz w:val="20"/>
          <w:szCs w:val="20"/>
        </w:rPr>
        <w:t>.- Incumplimiento del Contratista de la obligación de integrar el capital inicial en el plazo establecido en el presente pliego.</w:t>
      </w:r>
    </w:p>
    <w:p w14:paraId="484EF829" w14:textId="77777777" w:rsidR="00A3029F" w:rsidRPr="00E2664E" w:rsidRDefault="0023745B" w:rsidP="009C7EFD">
      <w:pPr>
        <w:spacing w:after="120"/>
        <w:ind w:left="360"/>
        <w:jc w:val="both"/>
        <w:rPr>
          <w:rFonts w:ascii="Arial" w:hAnsi="Arial" w:cs="Arial"/>
          <w:sz w:val="20"/>
          <w:szCs w:val="20"/>
        </w:rPr>
      </w:pPr>
      <w:r>
        <w:rPr>
          <w:rFonts w:ascii="Arial" w:hAnsi="Arial" w:cs="Arial"/>
          <w:sz w:val="20"/>
          <w:szCs w:val="20"/>
        </w:rPr>
        <w:t>5</w:t>
      </w:r>
      <w:r w:rsidR="00A3029F" w:rsidRPr="00E2664E">
        <w:rPr>
          <w:rFonts w:ascii="Arial" w:hAnsi="Arial" w:cs="Arial"/>
          <w:sz w:val="20"/>
          <w:szCs w:val="20"/>
        </w:rPr>
        <w:t>.- Disminución del capital del Contratista sin autorización expresa de la Contratante.</w:t>
      </w:r>
    </w:p>
    <w:p w14:paraId="189312FD" w14:textId="7E2B707B" w:rsidR="00A3029F" w:rsidRDefault="0023745B" w:rsidP="009C7EFD">
      <w:pPr>
        <w:spacing w:after="120"/>
        <w:ind w:left="360"/>
        <w:jc w:val="both"/>
        <w:rPr>
          <w:rFonts w:ascii="Arial" w:hAnsi="Arial" w:cs="Arial"/>
          <w:sz w:val="20"/>
          <w:szCs w:val="20"/>
        </w:rPr>
      </w:pPr>
      <w:r w:rsidRPr="00C42832">
        <w:rPr>
          <w:rFonts w:ascii="Arial" w:hAnsi="Arial" w:cs="Arial"/>
          <w:sz w:val="20"/>
          <w:szCs w:val="20"/>
        </w:rPr>
        <w:t>6</w:t>
      </w:r>
      <w:r w:rsidR="00A3029F" w:rsidRPr="00C42832">
        <w:rPr>
          <w:rFonts w:ascii="Arial" w:hAnsi="Arial" w:cs="Arial"/>
          <w:sz w:val="20"/>
          <w:szCs w:val="20"/>
        </w:rPr>
        <w:t xml:space="preserve">.- Demoras no autorizadas en la ejecución de los trabajos en un período acumulado superior a </w:t>
      </w:r>
      <w:r w:rsidR="00CB1047">
        <w:rPr>
          <w:rFonts w:ascii="Arial" w:hAnsi="Arial" w:cs="Arial"/>
          <w:sz w:val="20"/>
          <w:szCs w:val="20"/>
        </w:rPr>
        <w:t>315</w:t>
      </w:r>
      <w:r w:rsidR="00A3029F" w:rsidRPr="00C42832">
        <w:rPr>
          <w:rFonts w:ascii="Arial" w:hAnsi="Arial" w:cs="Arial"/>
          <w:sz w:val="20"/>
          <w:szCs w:val="20"/>
        </w:rPr>
        <w:t xml:space="preserve"> días, </w:t>
      </w:r>
      <w:r w:rsidR="001B2753">
        <w:rPr>
          <w:rFonts w:ascii="Arial" w:hAnsi="Arial" w:cs="Arial"/>
          <w:sz w:val="20"/>
          <w:szCs w:val="20"/>
          <w:lang w:val="es-UY" w:eastAsia="es-UY"/>
        </w:rPr>
        <w:t>de</w:t>
      </w:r>
      <w:r w:rsidR="001B2753" w:rsidRPr="0023745B">
        <w:rPr>
          <w:rFonts w:ascii="Arial" w:hAnsi="Arial" w:cs="Arial"/>
          <w:sz w:val="20"/>
          <w:szCs w:val="20"/>
          <w:lang w:val="es-UY" w:eastAsia="es-UY"/>
        </w:rPr>
        <w:t xml:space="preserve"> los plazos </w:t>
      </w:r>
      <w:r w:rsidR="001B2753">
        <w:rPr>
          <w:rFonts w:ascii="Arial" w:hAnsi="Arial" w:cs="Arial"/>
          <w:sz w:val="20"/>
          <w:szCs w:val="20"/>
          <w:lang w:val="es-UY" w:eastAsia="es-UY"/>
        </w:rPr>
        <w:t>totales</w:t>
      </w:r>
      <w:r w:rsidR="001B2753" w:rsidRPr="0023745B">
        <w:rPr>
          <w:rFonts w:ascii="Arial" w:hAnsi="Arial" w:cs="Arial"/>
          <w:sz w:val="20"/>
          <w:szCs w:val="20"/>
          <w:lang w:val="es-UY" w:eastAsia="es-UY"/>
        </w:rPr>
        <w:t xml:space="preserve"> establecidos en tabla</w:t>
      </w:r>
      <w:r w:rsidR="001B2753">
        <w:rPr>
          <w:rFonts w:ascii="Arial" w:hAnsi="Arial" w:cs="Arial"/>
          <w:sz w:val="20"/>
          <w:szCs w:val="20"/>
          <w:lang w:val="es-UY" w:eastAsia="es-UY"/>
        </w:rPr>
        <w:t xml:space="preserve"> </w:t>
      </w:r>
      <w:r w:rsidR="001B2753" w:rsidRPr="002E508F">
        <w:rPr>
          <w:rFonts w:ascii="Arial" w:hAnsi="Arial" w:cs="Arial"/>
          <w:sz w:val="20"/>
          <w:szCs w:val="20"/>
          <w:lang w:val="es-UY" w:eastAsia="es-UY"/>
        </w:rPr>
        <w:t>C.XI-5</w:t>
      </w:r>
      <w:r w:rsidR="002D6998">
        <w:rPr>
          <w:rFonts w:ascii="Arial" w:hAnsi="Arial" w:cs="Arial"/>
          <w:sz w:val="20"/>
          <w:szCs w:val="20"/>
          <w:lang w:val="es-UY" w:eastAsia="es-UY"/>
        </w:rPr>
        <w:t xml:space="preserve"> o los indicados en la oferta cuando fueran más exigentes. </w:t>
      </w:r>
      <w:r w:rsidR="002D6998">
        <w:rPr>
          <w:rFonts w:ascii="Arial" w:hAnsi="Arial" w:cs="Arial"/>
          <w:sz w:val="20"/>
          <w:szCs w:val="20"/>
        </w:rPr>
        <w:t>S</w:t>
      </w:r>
      <w:r w:rsidR="00A3029F" w:rsidRPr="00C42832">
        <w:rPr>
          <w:rFonts w:ascii="Arial" w:hAnsi="Arial" w:cs="Arial"/>
          <w:sz w:val="20"/>
          <w:szCs w:val="20"/>
        </w:rPr>
        <w:t xml:space="preserve">in perjuicio de la aplicación de las multas establecidas en el presente </w:t>
      </w:r>
      <w:r w:rsidR="00484F06" w:rsidRPr="00C42832">
        <w:rPr>
          <w:rFonts w:ascii="Arial" w:hAnsi="Arial" w:cs="Arial"/>
          <w:sz w:val="20"/>
          <w:szCs w:val="20"/>
        </w:rPr>
        <w:t>Pliego.</w:t>
      </w:r>
      <w:r w:rsidR="00484F06">
        <w:rPr>
          <w:rFonts w:ascii="Arial" w:hAnsi="Arial" w:cs="Arial"/>
          <w:sz w:val="20"/>
          <w:szCs w:val="20"/>
        </w:rPr>
        <w:t xml:space="preserve"> </w:t>
      </w:r>
      <w:r w:rsidR="00A314F1" w:rsidRPr="00CF4D08">
        <w:rPr>
          <w:rFonts w:ascii="Arial" w:hAnsi="Arial" w:cs="Arial"/>
          <w:sz w:val="20"/>
          <w:szCs w:val="20"/>
        </w:rPr>
        <w:t>El acumulado se contabilizará</w:t>
      </w:r>
      <w:r w:rsidR="00281C54">
        <w:rPr>
          <w:rFonts w:ascii="Arial" w:hAnsi="Arial" w:cs="Arial"/>
          <w:sz w:val="20"/>
          <w:szCs w:val="20"/>
        </w:rPr>
        <w:t xml:space="preserve"> </w:t>
      </w:r>
      <w:r w:rsidR="001B2753">
        <w:rPr>
          <w:rFonts w:ascii="Arial" w:hAnsi="Arial" w:cs="Arial"/>
          <w:sz w:val="20"/>
          <w:szCs w:val="20"/>
        </w:rPr>
        <w:t>sumando las demoras de todos los</w:t>
      </w:r>
      <w:r w:rsidR="00A314F1" w:rsidRPr="00CF4D08">
        <w:rPr>
          <w:rFonts w:ascii="Arial" w:hAnsi="Arial" w:cs="Arial"/>
          <w:sz w:val="20"/>
          <w:szCs w:val="20"/>
        </w:rPr>
        <w:t xml:space="preserve"> tramo</w:t>
      </w:r>
      <w:r w:rsidR="001B2753">
        <w:rPr>
          <w:rFonts w:ascii="Arial" w:hAnsi="Arial" w:cs="Arial"/>
          <w:sz w:val="20"/>
          <w:szCs w:val="20"/>
        </w:rPr>
        <w:t>s</w:t>
      </w:r>
      <w:r w:rsidR="00A314F1" w:rsidRPr="00CF4D08">
        <w:rPr>
          <w:rFonts w:ascii="Arial" w:hAnsi="Arial" w:cs="Arial"/>
          <w:sz w:val="20"/>
          <w:szCs w:val="20"/>
        </w:rPr>
        <w:t>.</w:t>
      </w:r>
    </w:p>
    <w:p w14:paraId="5D4C426F" w14:textId="77777777" w:rsidR="00A3029F" w:rsidRPr="00E2664E" w:rsidRDefault="00EB2481" w:rsidP="009A58E0">
      <w:pPr>
        <w:numPr>
          <w:ilvl w:val="0"/>
          <w:numId w:val="10"/>
        </w:numPr>
        <w:spacing w:after="120"/>
        <w:jc w:val="both"/>
        <w:rPr>
          <w:rFonts w:ascii="Arial" w:hAnsi="Arial" w:cs="Arial"/>
          <w:sz w:val="20"/>
          <w:szCs w:val="20"/>
          <w:lang w:val="es-UY"/>
        </w:rPr>
      </w:pPr>
      <w:r>
        <w:rPr>
          <w:rFonts w:ascii="Arial" w:hAnsi="Arial" w:cs="Arial"/>
          <w:sz w:val="20"/>
          <w:szCs w:val="20"/>
          <w:lang w:val="es-UY"/>
        </w:rPr>
        <w:t>Por alcanzar 10 infracciones de las definidas en la Cláusula 45.1 INFRACCIONES en el período de un</w:t>
      </w:r>
      <w:r w:rsidR="00AB3570">
        <w:rPr>
          <w:rFonts w:ascii="Arial" w:hAnsi="Arial" w:cs="Arial"/>
          <w:sz w:val="20"/>
          <w:szCs w:val="20"/>
          <w:lang w:val="es-UY"/>
        </w:rPr>
        <w:t xml:space="preserve"> año</w:t>
      </w:r>
      <w:r w:rsidR="006004ED">
        <w:rPr>
          <w:rFonts w:ascii="Arial" w:hAnsi="Arial" w:cs="Arial"/>
          <w:sz w:val="20"/>
          <w:szCs w:val="20"/>
          <w:lang w:val="es-UY"/>
        </w:rPr>
        <w:t>,</w:t>
      </w:r>
      <w:r>
        <w:rPr>
          <w:rFonts w:ascii="Arial" w:hAnsi="Arial" w:cs="Arial"/>
          <w:sz w:val="20"/>
          <w:szCs w:val="20"/>
          <w:lang w:val="es-UY"/>
        </w:rPr>
        <w:t xml:space="preserve"> previo aviso al Contratista</w:t>
      </w:r>
      <w:r w:rsidR="00EB035E">
        <w:rPr>
          <w:rFonts w:ascii="Arial" w:hAnsi="Arial" w:cs="Arial"/>
          <w:sz w:val="20"/>
          <w:szCs w:val="20"/>
          <w:lang w:val="es-UY"/>
        </w:rPr>
        <w:t>.</w:t>
      </w:r>
      <w:r w:rsidR="00A3029F" w:rsidRPr="00E2664E">
        <w:rPr>
          <w:rFonts w:ascii="Arial" w:hAnsi="Arial" w:cs="Arial"/>
          <w:sz w:val="20"/>
          <w:szCs w:val="20"/>
          <w:lang w:val="es-UY"/>
        </w:rPr>
        <w:t xml:space="preserve"> </w:t>
      </w:r>
    </w:p>
    <w:p w14:paraId="519D83F3" w14:textId="77777777" w:rsidR="00A3029F" w:rsidRPr="00E2664E" w:rsidRDefault="00A3029F" w:rsidP="009A58E0">
      <w:pPr>
        <w:numPr>
          <w:ilvl w:val="0"/>
          <w:numId w:val="10"/>
        </w:numPr>
        <w:spacing w:after="120"/>
        <w:jc w:val="both"/>
        <w:rPr>
          <w:rFonts w:ascii="Arial" w:eastAsia="SimSun" w:hAnsi="Arial" w:cs="Arial"/>
          <w:sz w:val="20"/>
          <w:szCs w:val="20"/>
          <w:lang w:eastAsia="zh-CN"/>
        </w:rPr>
      </w:pPr>
      <w:r w:rsidRPr="00E2664E">
        <w:rPr>
          <w:rFonts w:ascii="Arial" w:eastAsia="SimSun" w:hAnsi="Arial" w:cs="Arial"/>
          <w:sz w:val="20"/>
          <w:szCs w:val="20"/>
          <w:lang w:eastAsia="zh-CN"/>
        </w:rPr>
        <w:t>Grave negligencia que ponga en riesgo la vida humana y/o el medio ambiente.</w:t>
      </w:r>
    </w:p>
    <w:p w14:paraId="22DBE323"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Rescate por razones de interés público dispuesto por la Contratante.</w:t>
      </w:r>
    </w:p>
    <w:p w14:paraId="68A571BB" w14:textId="5425C8D0" w:rsidR="00A3029F"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lastRenderedPageBreak/>
        <w:t xml:space="preserve">Imposibilidad de cumplimiento como consecuencia de medidas adoptadas por el </w:t>
      </w:r>
      <w:r w:rsidRPr="008A5305">
        <w:rPr>
          <w:rFonts w:ascii="Arial" w:hAnsi="Arial" w:cs="Arial"/>
          <w:sz w:val="20"/>
          <w:szCs w:val="20"/>
          <w:lang w:val="es-UY" w:eastAsia="es-UY"/>
        </w:rPr>
        <w:t>Estado.</w:t>
      </w:r>
      <w:r w:rsidR="00585151" w:rsidRPr="008A5305">
        <w:rPr>
          <w:rFonts w:ascii="Arial" w:hAnsi="Arial" w:cs="Arial"/>
          <w:sz w:val="20"/>
          <w:szCs w:val="20"/>
          <w:lang w:val="es-UY" w:eastAsia="es-UY"/>
        </w:rPr>
        <w:t xml:space="preserve"> Se considera una causal imputable a la Contratante, sujeta al mecanismo de extinción previsto en la cláusula 46.2.2 del presente Pliego.</w:t>
      </w:r>
    </w:p>
    <w:p w14:paraId="2E08FFBB"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del cumplimiento del contrato como consecuencia de un proceso concursal respecto del Contratista.</w:t>
      </w:r>
    </w:p>
    <w:p w14:paraId="2A4778E2"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Acaecimiento de cualquier causal que inhabilite al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el efectivo cumplimiento de su prestación.</w:t>
      </w:r>
    </w:p>
    <w:p w14:paraId="12F548AD" w14:textId="77777777" w:rsidR="00A3029F" w:rsidRPr="00E2664E" w:rsidRDefault="00A3029F" w:rsidP="009A58E0">
      <w:pPr>
        <w:numPr>
          <w:ilvl w:val="0"/>
          <w:numId w:val="10"/>
        </w:numPr>
        <w:spacing w:after="120"/>
        <w:jc w:val="both"/>
        <w:rPr>
          <w:rFonts w:ascii="Arial" w:hAnsi="Arial" w:cs="Arial"/>
          <w:sz w:val="20"/>
          <w:szCs w:val="20"/>
          <w:lang w:val="es-UY" w:eastAsia="es-UY"/>
        </w:rPr>
      </w:pPr>
      <w:r w:rsidRPr="00E2664E">
        <w:rPr>
          <w:rFonts w:ascii="Arial" w:hAnsi="Arial" w:cs="Arial"/>
          <w:sz w:val="20"/>
          <w:szCs w:val="20"/>
          <w:lang w:val="es-UY" w:eastAsia="es-UY"/>
        </w:rPr>
        <w:t>Imposibilidad de cumplimiento por el Contratista</w:t>
      </w:r>
      <w:r w:rsidR="00B14DCC">
        <w:rPr>
          <w:rFonts w:ascii="Arial" w:hAnsi="Arial" w:cs="Arial"/>
          <w:sz w:val="20"/>
          <w:szCs w:val="20"/>
          <w:lang w:val="es-UY" w:eastAsia="es-UY"/>
        </w:rPr>
        <w:t xml:space="preserve"> </w:t>
      </w:r>
      <w:r w:rsidRPr="00E2664E">
        <w:rPr>
          <w:rFonts w:ascii="Arial" w:hAnsi="Arial" w:cs="Arial"/>
          <w:sz w:val="20"/>
          <w:szCs w:val="20"/>
          <w:lang w:val="es-UY" w:eastAsia="es-UY"/>
        </w:rPr>
        <w:t>como consecuencia con carácter permanente de la existencia de fuerza mayor o caso fortuito. Si el caso fortuito o evento de fuerza mayor afectare solo el cumplimiento de algunas de las obligaciones del contrato, o de aquellas vinculadas a parte de la inversión comprometida, y en la medida que las demás obligaciones del contrato sean susceptibles de cumplimiento separado, las partes deberán acordar, de acuerdo a lo definido en las bases de contratación, el ajuste de las estipulaciones jurídicas, técnicas y económicas del contrato, para adecuarlo al cumplimiento de las obligaciones subsistentes.</w:t>
      </w:r>
    </w:p>
    <w:p w14:paraId="66F1CEC4" w14:textId="674A24A4" w:rsidR="00A3029F" w:rsidRDefault="00A3029F" w:rsidP="009A58E0">
      <w:pPr>
        <w:numPr>
          <w:ilvl w:val="0"/>
          <w:numId w:val="10"/>
        </w:numPr>
        <w:spacing w:after="240"/>
        <w:jc w:val="both"/>
        <w:rPr>
          <w:rFonts w:ascii="Arial" w:hAnsi="Arial" w:cs="Arial"/>
          <w:sz w:val="20"/>
          <w:szCs w:val="20"/>
          <w:lang w:val="es-UY" w:eastAsia="es-UY"/>
        </w:rPr>
      </w:pPr>
      <w:r w:rsidRPr="00E2664E">
        <w:rPr>
          <w:rFonts w:ascii="Arial" w:hAnsi="Arial" w:cs="Arial"/>
          <w:sz w:val="20"/>
          <w:szCs w:val="20"/>
          <w:lang w:val="es-UY" w:eastAsia="es-UY"/>
        </w:rPr>
        <w:t>Mutuo acuerdo entre la Contratante y el Contratista.</w:t>
      </w:r>
      <w:r w:rsidR="00A8021D">
        <w:rPr>
          <w:rFonts w:ascii="Arial" w:hAnsi="Arial" w:cs="Arial"/>
          <w:sz w:val="20"/>
          <w:szCs w:val="20"/>
          <w:lang w:val="es-UY" w:eastAsia="es-UY"/>
        </w:rPr>
        <w:t xml:space="preserve"> </w:t>
      </w:r>
      <w:r w:rsidR="00A8021D" w:rsidRPr="008A5305">
        <w:rPr>
          <w:rFonts w:ascii="Arial" w:hAnsi="Arial" w:cs="Arial"/>
          <w:sz w:val="20"/>
          <w:szCs w:val="20"/>
          <w:lang w:val="es-UY" w:eastAsia="es-UY"/>
        </w:rPr>
        <w:t>El Contratista deberá presentar la conformidad de los acreedores prendarios o cesionarios, según corresponda.</w:t>
      </w:r>
      <w:r w:rsidR="00A8021D">
        <w:rPr>
          <w:rFonts w:ascii="Arial" w:hAnsi="Arial" w:cs="Arial"/>
          <w:sz w:val="20"/>
          <w:szCs w:val="20"/>
          <w:lang w:val="es-UY" w:eastAsia="es-UY"/>
        </w:rPr>
        <w:t xml:space="preserve"> </w:t>
      </w:r>
      <w:r w:rsidR="00631725">
        <w:rPr>
          <w:rFonts w:ascii="Arial" w:hAnsi="Arial" w:cs="Arial"/>
          <w:sz w:val="20"/>
          <w:szCs w:val="20"/>
          <w:lang w:val="es-UY" w:eastAsia="es-UY"/>
        </w:rPr>
        <w:t xml:space="preserve"> </w:t>
      </w:r>
    </w:p>
    <w:p w14:paraId="65961EB3" w14:textId="38A68FA3" w:rsidR="00403E70" w:rsidRPr="008D5F3E" w:rsidRDefault="00403E70" w:rsidP="008D5F3E">
      <w:pPr>
        <w:spacing w:after="240"/>
        <w:jc w:val="both"/>
        <w:rPr>
          <w:rFonts w:ascii="Arial" w:hAnsi="Arial" w:cs="Arial"/>
          <w:sz w:val="16"/>
          <w:szCs w:val="20"/>
          <w:lang w:val="es-UY" w:eastAsia="es-UY"/>
        </w:rPr>
      </w:pPr>
      <w:r w:rsidRPr="008D5F3E">
        <w:rPr>
          <w:rFonts w:ascii="Arial" w:hAnsi="Arial" w:cs="Arial"/>
          <w:sz w:val="20"/>
          <w:szCs w:val="24"/>
        </w:rPr>
        <w:lastRenderedPageBreak/>
        <w:t>l) Incumplimiento de</w:t>
      </w:r>
      <w:r w:rsidR="00475C79">
        <w:rPr>
          <w:rFonts w:ascii="Arial" w:hAnsi="Arial" w:cs="Arial"/>
          <w:sz w:val="20"/>
          <w:szCs w:val="24"/>
        </w:rPr>
        <w:t xml:space="preserve"> </w:t>
      </w:r>
      <w:r w:rsidRPr="008D5F3E">
        <w:rPr>
          <w:rFonts w:ascii="Arial" w:hAnsi="Arial" w:cs="Arial"/>
          <w:sz w:val="20"/>
          <w:szCs w:val="24"/>
        </w:rPr>
        <w:t>l</w:t>
      </w:r>
      <w:r w:rsidR="00475C79">
        <w:rPr>
          <w:rFonts w:ascii="Arial" w:hAnsi="Arial" w:cs="Arial"/>
          <w:sz w:val="20"/>
          <w:szCs w:val="24"/>
        </w:rPr>
        <w:t>a</w:t>
      </w:r>
      <w:r w:rsidRPr="008D5F3E">
        <w:rPr>
          <w:rFonts w:ascii="Arial" w:hAnsi="Arial" w:cs="Arial"/>
          <w:sz w:val="20"/>
          <w:szCs w:val="24"/>
        </w:rPr>
        <w:t xml:space="preserve"> Contratante por el </w:t>
      </w:r>
      <w:r w:rsidRPr="008A5305">
        <w:rPr>
          <w:rFonts w:ascii="Arial" w:hAnsi="Arial" w:cs="Arial"/>
          <w:sz w:val="20"/>
          <w:szCs w:val="24"/>
        </w:rPr>
        <w:t>no pago</w:t>
      </w:r>
      <w:r w:rsidR="00F11E18">
        <w:rPr>
          <w:rFonts w:ascii="Arial" w:hAnsi="Arial" w:cs="Arial"/>
          <w:sz w:val="20"/>
          <w:szCs w:val="24"/>
        </w:rPr>
        <w:t xml:space="preserve"> total o pago parcial</w:t>
      </w:r>
      <w:r w:rsidRPr="008A5305">
        <w:rPr>
          <w:rFonts w:ascii="Arial" w:hAnsi="Arial" w:cs="Arial"/>
          <w:sz w:val="20"/>
          <w:szCs w:val="24"/>
        </w:rPr>
        <w:t xml:space="preserve"> de sus obligaciones con</w:t>
      </w:r>
      <w:r w:rsidRPr="008D5F3E">
        <w:rPr>
          <w:rFonts w:ascii="Arial" w:hAnsi="Arial" w:cs="Arial"/>
          <w:sz w:val="20"/>
          <w:szCs w:val="24"/>
        </w:rPr>
        <w:t xml:space="preserve"> el Contratista relativas al PPD por tres períodos consecutivos, o 10 periodos no consecutivos durante toda la vigencia del contrato. Se considerarán a efectos de evaluar el incumplimiento de pago en un periodo, tanto los pagos que refieran a las liquidaciones anuales como cualquiera de los adelantos trimestrales con cargo a la misma. Los pagos que se realizaren con atraso y abonando los correspondientes intereses por mora, no serán considerados incumplimientos de la contratante a los efectos de la presente cláusula</w:t>
      </w:r>
      <w:r w:rsidRPr="009D065E">
        <w:rPr>
          <w:rFonts w:ascii="Arial" w:hAnsi="Arial" w:cs="Arial"/>
          <w:sz w:val="20"/>
          <w:szCs w:val="24"/>
        </w:rPr>
        <w:t>.</w:t>
      </w:r>
      <w:r w:rsidR="00E11FB8" w:rsidRPr="009D065E">
        <w:rPr>
          <w:rFonts w:ascii="Arial" w:hAnsi="Arial" w:cs="Arial"/>
          <w:sz w:val="20"/>
          <w:szCs w:val="24"/>
        </w:rPr>
        <w:t xml:space="preserve"> </w:t>
      </w:r>
      <w:r w:rsidR="00E11FB8" w:rsidRPr="009D065E">
        <w:rPr>
          <w:rFonts w:ascii="Arial" w:hAnsi="Arial" w:cs="Arial"/>
          <w:sz w:val="20"/>
          <w:szCs w:val="20"/>
          <w:lang w:val="es-UY" w:eastAsia="es-UY"/>
        </w:rPr>
        <w:t>Se considera una causal imputable a la Contratante, sujeta al mecanismo de extinción previsto en la cláusula 46.2.2 del presente Pliego.</w:t>
      </w:r>
    </w:p>
    <w:p w14:paraId="4B24AFA3" w14:textId="77777777" w:rsidR="005F3A77" w:rsidRPr="005F3A77" w:rsidRDefault="005F3A77" w:rsidP="005F3A77">
      <w:pPr>
        <w:spacing w:after="240"/>
        <w:jc w:val="both"/>
        <w:rPr>
          <w:rFonts w:ascii="Arial" w:hAnsi="Arial" w:cs="Arial"/>
          <w:sz w:val="20"/>
          <w:szCs w:val="20"/>
          <w:lang w:val="es-UY" w:eastAsia="es-UY"/>
        </w:rPr>
      </w:pPr>
      <w:bookmarkStart w:id="561" w:name="_Toc340671910"/>
      <w:bookmarkStart w:id="562" w:name="_Toc358821547"/>
      <w:r w:rsidRPr="003A5E59">
        <w:rPr>
          <w:rFonts w:ascii="Arial" w:hAnsi="Arial" w:cs="Arial"/>
          <w:sz w:val="20"/>
          <w:szCs w:val="20"/>
          <w:lang w:val="es-UY" w:eastAsia="es-UY"/>
        </w:rPr>
        <w:t>Las causales previstas en los literales</w:t>
      </w:r>
      <w:r w:rsidR="00CF61A9" w:rsidRPr="003A5E59">
        <w:rPr>
          <w:rFonts w:ascii="Arial" w:hAnsi="Arial" w:cs="Arial"/>
          <w:sz w:val="20"/>
          <w:szCs w:val="20"/>
          <w:lang w:val="es-UY" w:eastAsia="es-UY"/>
        </w:rPr>
        <w:t xml:space="preserve"> (c),</w:t>
      </w:r>
      <w:r w:rsidRPr="003A5E59">
        <w:rPr>
          <w:rFonts w:ascii="Arial" w:hAnsi="Arial" w:cs="Arial"/>
          <w:sz w:val="20"/>
          <w:szCs w:val="20"/>
          <w:lang w:val="es-UY" w:eastAsia="es-UY"/>
        </w:rPr>
        <w:t xml:space="preserve"> (d)</w:t>
      </w:r>
      <w:r w:rsidR="002F4204" w:rsidRPr="003A5E59">
        <w:rPr>
          <w:rFonts w:ascii="Arial" w:hAnsi="Arial" w:cs="Arial"/>
          <w:sz w:val="20"/>
          <w:szCs w:val="20"/>
          <w:lang w:val="es-UY" w:eastAsia="es-UY"/>
        </w:rPr>
        <w:t>, (e</w:t>
      </w:r>
      <w:r w:rsidRPr="003A5E59">
        <w:rPr>
          <w:rFonts w:ascii="Arial" w:hAnsi="Arial" w:cs="Arial"/>
          <w:sz w:val="20"/>
          <w:szCs w:val="20"/>
          <w:lang w:val="es-UY" w:eastAsia="es-UY"/>
        </w:rPr>
        <w:t>), (h) e (i) se consideran una extinción</w:t>
      </w:r>
      <w:r w:rsidRPr="005F3A77">
        <w:rPr>
          <w:rFonts w:ascii="Arial" w:hAnsi="Arial" w:cs="Arial"/>
          <w:sz w:val="20"/>
          <w:szCs w:val="20"/>
          <w:lang w:val="es-UY" w:eastAsia="es-UY"/>
        </w:rPr>
        <w:t xml:space="preserve"> imputable al Contratista y se le aplican por ende las consecuencias y el mecanismo previstos en el </w:t>
      </w:r>
      <w:r w:rsidRPr="00B324C3">
        <w:rPr>
          <w:rFonts w:ascii="Arial" w:hAnsi="Arial" w:cs="Arial"/>
          <w:sz w:val="20"/>
          <w:szCs w:val="20"/>
          <w:lang w:val="es-UY" w:eastAsia="es-UY"/>
        </w:rPr>
        <w:t>artículo</w:t>
      </w:r>
      <w:r w:rsidRPr="0056210C">
        <w:rPr>
          <w:rFonts w:ascii="Arial" w:hAnsi="Arial" w:cs="Arial"/>
          <w:color w:val="FF0000"/>
          <w:sz w:val="20"/>
          <w:szCs w:val="20"/>
          <w:lang w:val="es-UY" w:eastAsia="es-UY"/>
        </w:rPr>
        <w:t xml:space="preserve"> </w:t>
      </w:r>
      <w:r w:rsidR="00F57BEE" w:rsidRPr="00F57BEE">
        <w:rPr>
          <w:rFonts w:ascii="Arial" w:hAnsi="Arial" w:cs="Arial"/>
          <w:sz w:val="20"/>
          <w:szCs w:val="20"/>
          <w:lang w:val="es-UY" w:eastAsia="es-UY"/>
        </w:rPr>
        <w:t>46.2.1</w:t>
      </w:r>
      <w:r w:rsidRPr="005F3A77">
        <w:rPr>
          <w:rFonts w:ascii="Arial" w:hAnsi="Arial" w:cs="Arial"/>
          <w:sz w:val="20"/>
          <w:szCs w:val="20"/>
          <w:lang w:val="es-UY" w:eastAsia="es-UY"/>
        </w:rPr>
        <w:t xml:space="preserve"> del Pliego.</w:t>
      </w:r>
    </w:p>
    <w:p w14:paraId="5972EEA8" w14:textId="745336DE" w:rsidR="005F3A77" w:rsidRPr="00362A8D" w:rsidRDefault="00E760AE" w:rsidP="009A58E0">
      <w:pPr>
        <w:pStyle w:val="T2"/>
        <w:numPr>
          <w:ilvl w:val="1"/>
          <w:numId w:val="90"/>
        </w:numPr>
        <w:outlineLvl w:val="3"/>
      </w:pPr>
      <w:bookmarkStart w:id="563" w:name="_Toc468288041"/>
      <w:bookmarkStart w:id="564" w:name="_Toc496266634"/>
      <w:r w:rsidRPr="00362A8D">
        <w:lastRenderedPageBreak/>
        <w:t>CONSECUENCIAS DE LA EXTINCIÓN</w:t>
      </w:r>
      <w:bookmarkEnd w:id="563"/>
      <w:bookmarkEnd w:id="564"/>
    </w:p>
    <w:p w14:paraId="293A9932" w14:textId="77777777" w:rsidR="00A3029F" w:rsidRPr="00867168" w:rsidRDefault="00A3029F" w:rsidP="009A58E0">
      <w:pPr>
        <w:pStyle w:val="T2"/>
        <w:numPr>
          <w:ilvl w:val="2"/>
          <w:numId w:val="90"/>
        </w:numPr>
        <w:outlineLvl w:val="9"/>
      </w:pPr>
      <w:bookmarkStart w:id="565" w:name="_Toc441146070"/>
      <w:bookmarkStart w:id="566" w:name="_Toc441146454"/>
      <w:bookmarkStart w:id="567" w:name="_Toc441146802"/>
      <w:bookmarkStart w:id="568" w:name="_Toc441161552"/>
      <w:bookmarkStart w:id="569" w:name="_Toc441161900"/>
      <w:bookmarkStart w:id="570" w:name="_Toc441162250"/>
      <w:bookmarkStart w:id="571" w:name="_Toc441229272"/>
      <w:bookmarkStart w:id="572" w:name="_Toc441229615"/>
      <w:bookmarkStart w:id="573" w:name="_Toc441229949"/>
      <w:bookmarkStart w:id="574" w:name="_Toc450552806"/>
      <w:bookmarkStart w:id="575" w:name="_Toc340671911"/>
      <w:bookmarkStart w:id="576" w:name="_Toc358821548"/>
      <w:bookmarkStart w:id="577" w:name="_Toc400635174"/>
      <w:bookmarkStart w:id="578" w:name="Lit_46_2_1"/>
      <w:bookmarkEnd w:id="561"/>
      <w:bookmarkEnd w:id="562"/>
      <w:bookmarkEnd w:id="565"/>
      <w:bookmarkEnd w:id="566"/>
      <w:bookmarkEnd w:id="567"/>
      <w:bookmarkEnd w:id="568"/>
      <w:bookmarkEnd w:id="569"/>
      <w:bookmarkEnd w:id="570"/>
      <w:bookmarkEnd w:id="571"/>
      <w:bookmarkEnd w:id="572"/>
      <w:bookmarkEnd w:id="573"/>
      <w:bookmarkEnd w:id="574"/>
      <w:r w:rsidRPr="00867168">
        <w:t>EXTINCIÓN IMPUTABLE AL CONTRATISTA</w:t>
      </w:r>
      <w:bookmarkEnd w:id="575"/>
      <w:bookmarkEnd w:id="576"/>
      <w:bookmarkEnd w:id="577"/>
    </w:p>
    <w:bookmarkEnd w:id="578"/>
    <w:p w14:paraId="4813D7CC" w14:textId="77777777" w:rsidR="00A3029F" w:rsidRPr="00867168" w:rsidRDefault="00A3029F" w:rsidP="00F136AE">
      <w:pPr>
        <w:rPr>
          <w:rFonts w:ascii="Arial" w:hAnsi="Arial" w:cs="Arial"/>
          <w:sz w:val="20"/>
          <w:szCs w:val="20"/>
          <w:lang w:val="es-UY"/>
        </w:rPr>
      </w:pPr>
      <w:r w:rsidRPr="00867168">
        <w:rPr>
          <w:rFonts w:ascii="Arial" w:hAnsi="Arial" w:cs="Arial"/>
          <w:sz w:val="20"/>
          <w:szCs w:val="20"/>
          <w:lang w:val="es-UY"/>
        </w:rPr>
        <w:t xml:space="preserve">Si la extinción del contrato fuere imputable al Contratista, se ejecutarán las pólizas de garantías de cumplimiento de contrato correspondientes, sin perjuicio de las penalizaciones y deducciones que pudiesen corresponder, así como por los daños y perjuicios ocasionados. </w:t>
      </w:r>
    </w:p>
    <w:p w14:paraId="3C4A95A3" w14:textId="77777777" w:rsidR="00A3029F" w:rsidRPr="00867168" w:rsidRDefault="00A3029F" w:rsidP="00F136AE">
      <w:pPr>
        <w:spacing w:after="120"/>
        <w:jc w:val="both"/>
        <w:rPr>
          <w:rFonts w:ascii="Arial" w:hAnsi="Arial" w:cs="Arial"/>
          <w:sz w:val="20"/>
          <w:szCs w:val="20"/>
          <w:lang w:val="es-UY"/>
        </w:rPr>
      </w:pPr>
      <w:r w:rsidRPr="00867168">
        <w:rPr>
          <w:rFonts w:ascii="Arial" w:hAnsi="Arial" w:cs="Arial"/>
          <w:sz w:val="20"/>
          <w:szCs w:val="20"/>
          <w:lang w:val="es-UY"/>
        </w:rPr>
        <w:t xml:space="preserve">Para el caso de que en el momento de la extinción del contrato los </w:t>
      </w:r>
      <w:r w:rsidRPr="00867168">
        <w:rPr>
          <w:rFonts w:ascii="Arial" w:hAnsi="Arial" w:cs="Arial"/>
          <w:sz w:val="20"/>
          <w:szCs w:val="20"/>
          <w:lang w:val="es-UY" w:eastAsia="es-UY"/>
        </w:rPr>
        <w:t>derechos emergentes del contrato de PPP estuvieren prendados, se procederá de acuerdo al siguiente procedimiento:</w:t>
      </w:r>
    </w:p>
    <w:p w14:paraId="145B509B" w14:textId="77777777" w:rsidR="00A3029F" w:rsidRPr="00867168" w:rsidRDefault="00A3029F" w:rsidP="009A58E0">
      <w:pPr>
        <w:pStyle w:val="Lista"/>
        <w:numPr>
          <w:ilvl w:val="0"/>
          <w:numId w:val="79"/>
        </w:numPr>
        <w:spacing w:before="240" w:after="120" w:line="276" w:lineRule="auto"/>
        <w:ind w:left="357" w:hanging="357"/>
        <w:jc w:val="both"/>
        <w:rPr>
          <w:rFonts w:ascii="Arial" w:hAnsi="Arial" w:cs="Arial"/>
          <w:sz w:val="20"/>
          <w:szCs w:val="20"/>
          <w:lang w:val="es-ES_tradnl"/>
        </w:rPr>
      </w:pPr>
      <w:r w:rsidRPr="00867168">
        <w:rPr>
          <w:rFonts w:ascii="Arial" w:hAnsi="Arial" w:cs="Arial"/>
          <w:sz w:val="20"/>
          <w:szCs w:val="20"/>
          <w:lang w:val="es-ES"/>
        </w:rPr>
        <w:t>La Contratante notificará al Contratista y a los acreedores que tengan constituida a su favor la prenda, sobre los incumplimientos del contrato y demás antecedentes relevantes.</w:t>
      </w:r>
    </w:p>
    <w:p w14:paraId="0E2FFB3D" w14:textId="24CF770E" w:rsidR="00A3029F" w:rsidRPr="00362A8D"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La Contratante podrá solicitar al Contratista</w:t>
      </w:r>
      <w:r w:rsidRPr="00362A8D">
        <w:rPr>
          <w:rFonts w:ascii="Arial" w:hAnsi="Arial" w:cs="Arial"/>
          <w:sz w:val="20"/>
          <w:szCs w:val="20"/>
          <w:lang w:val="es-ES_tradnl"/>
        </w:rPr>
        <w:t xml:space="preserve"> que en el plazo de 30 días entregue a la Contratante un informe que contenga las medidas para subsanar las faltas o evitar su ocurrencia en el futuro. </w:t>
      </w:r>
    </w:p>
    <w:p w14:paraId="61C61E16"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lastRenderedPageBreak/>
        <w:t xml:space="preserve">El informe podrá abordar, entre otras, las siguientes materias: medidas de gestión y cambios en la administración de la sociedad. Además se deberá especificar un cronograma de implementación de las acciones propuestas. </w:t>
      </w:r>
    </w:p>
    <w:p w14:paraId="087D2469"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La Contratante, sobre la base del informe, fijará un plazo para implementar las medidas.</w:t>
      </w:r>
    </w:p>
    <w:p w14:paraId="43EA91A2" w14:textId="77777777" w:rsidR="00A3029F"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 xml:space="preserve">Si la Contratante entendiere que el daño causado por el incumplimiento no podrá ser subsanado por el Contratista o que las medidas propuestas por este no son suficientes o </w:t>
      </w:r>
      <w:r w:rsidR="00BC4092" w:rsidRPr="00867168">
        <w:rPr>
          <w:rFonts w:ascii="Arial" w:hAnsi="Arial" w:cs="Arial"/>
          <w:sz w:val="20"/>
          <w:szCs w:val="20"/>
          <w:lang w:val="es-ES_tradnl"/>
        </w:rPr>
        <w:t>aun</w:t>
      </w:r>
      <w:r w:rsidRPr="00867168">
        <w:rPr>
          <w:rFonts w:ascii="Arial" w:hAnsi="Arial" w:cs="Arial"/>
          <w:sz w:val="20"/>
          <w:szCs w:val="20"/>
          <w:lang w:val="es-ES_tradnl"/>
        </w:rPr>
        <w:t xml:space="preserve"> cuando aceptadas las medidas si en un plazo razonable no se revierte la situación de incumplimiento, la Contratante notificará al acreedor prendario su decisión de resolver el contrato.</w:t>
      </w:r>
    </w:p>
    <w:p w14:paraId="18E1C441" w14:textId="77777777" w:rsidR="00D93490" w:rsidRPr="00867168" w:rsidRDefault="00A3029F" w:rsidP="009A58E0">
      <w:pPr>
        <w:pStyle w:val="Lista"/>
        <w:numPr>
          <w:ilvl w:val="0"/>
          <w:numId w:val="79"/>
        </w:numPr>
        <w:spacing w:after="120" w:line="276" w:lineRule="auto"/>
        <w:ind w:left="357" w:hanging="357"/>
        <w:jc w:val="both"/>
        <w:rPr>
          <w:rFonts w:ascii="Arial" w:hAnsi="Arial" w:cs="Arial"/>
          <w:sz w:val="20"/>
          <w:szCs w:val="20"/>
          <w:lang w:val="es-ES_tradnl"/>
        </w:rPr>
      </w:pPr>
      <w:r w:rsidRPr="00867168">
        <w:rPr>
          <w:rFonts w:ascii="Arial" w:hAnsi="Arial" w:cs="Arial"/>
          <w:sz w:val="20"/>
          <w:szCs w:val="20"/>
          <w:lang w:val="es-ES_tradnl"/>
        </w:rPr>
        <w:t>El acreedor prendario notificará a la Contratante, en un plazo de 10 días, su pretensión de ejecutar la prenda</w:t>
      </w:r>
      <w:r w:rsidR="004524AF" w:rsidRPr="00867168">
        <w:rPr>
          <w:rFonts w:ascii="Arial" w:hAnsi="Arial" w:cs="Arial"/>
          <w:sz w:val="20"/>
          <w:szCs w:val="20"/>
          <w:lang w:val="es-ES_tradnl"/>
        </w:rPr>
        <w:t xml:space="preserve"> </w:t>
      </w:r>
      <w:r w:rsidR="00D67837" w:rsidRPr="00867168">
        <w:rPr>
          <w:rFonts w:ascii="Arial" w:hAnsi="Arial" w:cs="Arial"/>
          <w:sz w:val="20"/>
          <w:szCs w:val="20"/>
          <w:lang w:val="es-ES_tradnl"/>
        </w:rPr>
        <w:t xml:space="preserve">o de </w:t>
      </w:r>
      <w:r w:rsidR="00FA6257" w:rsidRPr="00867168">
        <w:rPr>
          <w:rFonts w:ascii="Arial" w:hAnsi="Arial" w:cs="Arial"/>
          <w:sz w:val="20"/>
          <w:szCs w:val="20"/>
          <w:lang w:val="es-ES_tradnl"/>
        </w:rPr>
        <w:t xml:space="preserve">ceder el contrato en </w:t>
      </w:r>
      <w:r w:rsidR="00A2395A" w:rsidRPr="00867168">
        <w:rPr>
          <w:rFonts w:ascii="Arial" w:hAnsi="Arial" w:cs="Arial"/>
          <w:sz w:val="20"/>
          <w:szCs w:val="20"/>
          <w:lang w:val="es-ES_tradnl"/>
        </w:rPr>
        <w:t xml:space="preserve">garantía. </w:t>
      </w:r>
      <w:r w:rsidR="00C84FF8" w:rsidRPr="00867168">
        <w:rPr>
          <w:rFonts w:ascii="Arial" w:hAnsi="Arial" w:cs="Arial"/>
          <w:sz w:val="20"/>
          <w:szCs w:val="20"/>
          <w:lang w:val="es-ES_tradnl"/>
        </w:rPr>
        <w:t xml:space="preserve">En caso de optar por </w:t>
      </w:r>
      <w:r w:rsidR="00AB2E68" w:rsidRPr="00867168">
        <w:rPr>
          <w:rFonts w:ascii="Arial" w:hAnsi="Arial" w:cs="Arial"/>
          <w:sz w:val="20"/>
          <w:szCs w:val="20"/>
          <w:lang w:val="es-ES_tradnl"/>
        </w:rPr>
        <w:t xml:space="preserve">la cesión del contrato en garantía </w:t>
      </w:r>
      <w:r w:rsidR="00FA6257" w:rsidRPr="00867168">
        <w:rPr>
          <w:rFonts w:ascii="Arial" w:hAnsi="Arial" w:cs="Arial"/>
          <w:sz w:val="20"/>
          <w:szCs w:val="20"/>
          <w:lang w:val="es-ES_tradnl"/>
        </w:rPr>
        <w:t>se aplicará el procedimiento</w:t>
      </w:r>
      <w:r w:rsidR="00AB2E68" w:rsidRPr="00867168">
        <w:rPr>
          <w:rFonts w:ascii="Arial" w:hAnsi="Arial" w:cs="Arial"/>
          <w:sz w:val="20"/>
          <w:szCs w:val="20"/>
          <w:lang w:val="es-ES_tradnl"/>
        </w:rPr>
        <w:t xml:space="preserve"> establecido en la cláusu</w:t>
      </w:r>
      <w:r w:rsidR="00FA6257" w:rsidRPr="00867168">
        <w:rPr>
          <w:rFonts w:ascii="Arial" w:hAnsi="Arial" w:cs="Arial"/>
          <w:sz w:val="20"/>
          <w:szCs w:val="20"/>
          <w:lang w:val="es-ES_tradnl"/>
        </w:rPr>
        <w:t>la 39.1 del presente pliego de L</w:t>
      </w:r>
      <w:r w:rsidR="00AB2E68" w:rsidRPr="00867168">
        <w:rPr>
          <w:rFonts w:ascii="Arial" w:hAnsi="Arial" w:cs="Arial"/>
          <w:sz w:val="20"/>
          <w:szCs w:val="20"/>
          <w:lang w:val="es-ES_tradnl"/>
        </w:rPr>
        <w:t>icitación.</w:t>
      </w:r>
      <w:r w:rsidR="00B14DCC" w:rsidRPr="00867168">
        <w:rPr>
          <w:rFonts w:ascii="Arial" w:hAnsi="Arial" w:cs="Arial"/>
          <w:sz w:val="20"/>
          <w:szCs w:val="20"/>
          <w:lang w:val="es-ES_tradnl"/>
        </w:rPr>
        <w:t xml:space="preserve"> </w:t>
      </w:r>
    </w:p>
    <w:p w14:paraId="2832A145" w14:textId="77777777" w:rsidR="00A3029F" w:rsidRPr="00362A8D" w:rsidRDefault="00A3029F" w:rsidP="00F136AE">
      <w:pPr>
        <w:spacing w:after="120"/>
        <w:jc w:val="both"/>
        <w:rPr>
          <w:rFonts w:ascii="Arial" w:hAnsi="Arial" w:cs="Arial"/>
          <w:sz w:val="20"/>
          <w:szCs w:val="20"/>
        </w:rPr>
      </w:pPr>
      <w:r w:rsidRPr="00867168">
        <w:rPr>
          <w:rFonts w:ascii="Arial" w:hAnsi="Arial" w:cs="Arial"/>
          <w:sz w:val="20"/>
          <w:szCs w:val="20"/>
        </w:rPr>
        <w:t xml:space="preserve">Si el acreedor prendario notificara su pretensión de ejecutar la prenda, la Contratante convocará en forma pública a los interesados en participar de la subasta, conforme a lo establecido en el artículo </w:t>
      </w:r>
      <w:hyperlink r:id="rId89" w:history="1">
        <w:r w:rsidRPr="00362A8D">
          <w:rPr>
            <w:rStyle w:val="Hipervnculo"/>
            <w:rFonts w:ascii="Arial" w:hAnsi="Arial" w:cs="Arial"/>
            <w:sz w:val="20"/>
            <w:szCs w:val="20"/>
          </w:rPr>
          <w:t>58</w:t>
        </w:r>
      </w:hyperlink>
      <w:r w:rsidRPr="00362A8D">
        <w:rPr>
          <w:rFonts w:ascii="Arial" w:hAnsi="Arial" w:cs="Arial"/>
          <w:sz w:val="20"/>
          <w:szCs w:val="20"/>
        </w:rPr>
        <w:t xml:space="preserve"> de la </w:t>
      </w:r>
      <w:r w:rsidR="00BC4092" w:rsidRPr="00362A8D">
        <w:rPr>
          <w:rFonts w:ascii="Arial" w:hAnsi="Arial" w:cs="Arial"/>
          <w:sz w:val="20"/>
          <w:szCs w:val="20"/>
        </w:rPr>
        <w:t>LCPPP</w:t>
      </w:r>
      <w:r w:rsidRPr="00362A8D">
        <w:rPr>
          <w:rFonts w:ascii="Arial" w:hAnsi="Arial" w:cs="Arial"/>
          <w:sz w:val="20"/>
          <w:szCs w:val="20"/>
        </w:rPr>
        <w:t xml:space="preserve"> y artículos </w:t>
      </w:r>
      <w:hyperlink r:id="rId90" w:history="1">
        <w:r w:rsidRPr="00362A8D">
          <w:rPr>
            <w:rStyle w:val="Hipervnculo"/>
            <w:rFonts w:ascii="Arial" w:hAnsi="Arial" w:cs="Arial"/>
            <w:sz w:val="20"/>
            <w:szCs w:val="20"/>
          </w:rPr>
          <w:t>82</w:t>
        </w:r>
      </w:hyperlink>
      <w:r w:rsidRPr="00362A8D">
        <w:rPr>
          <w:rFonts w:ascii="Arial" w:hAnsi="Arial" w:cs="Arial"/>
          <w:sz w:val="20"/>
          <w:szCs w:val="20"/>
        </w:rPr>
        <w:t xml:space="preserve"> y siguientes del decreto </w:t>
      </w:r>
      <w:hyperlink r:id="rId91" w:history="1">
        <w:r w:rsidRPr="00362A8D">
          <w:rPr>
            <w:rStyle w:val="Hipervnculo"/>
            <w:rFonts w:ascii="Arial" w:hAnsi="Arial" w:cs="Arial"/>
            <w:sz w:val="20"/>
            <w:szCs w:val="20"/>
          </w:rPr>
          <w:t>017/2012</w:t>
        </w:r>
      </w:hyperlink>
      <w:r w:rsidRPr="00362A8D">
        <w:rPr>
          <w:rFonts w:ascii="Arial" w:hAnsi="Arial" w:cs="Arial"/>
          <w:sz w:val="20"/>
          <w:szCs w:val="20"/>
        </w:rPr>
        <w:t>.</w:t>
      </w:r>
    </w:p>
    <w:p w14:paraId="39619BA0" w14:textId="5293BE9F" w:rsidR="00A3029F" w:rsidRPr="00362A8D" w:rsidRDefault="00A3029F" w:rsidP="00F136AE">
      <w:pPr>
        <w:pStyle w:val="Textoindependiente"/>
        <w:jc w:val="both"/>
        <w:rPr>
          <w:rFonts w:ascii="Arial" w:hAnsi="Arial" w:cs="Arial"/>
          <w:sz w:val="20"/>
          <w:szCs w:val="20"/>
        </w:rPr>
      </w:pPr>
      <w:r w:rsidRPr="00867168">
        <w:rPr>
          <w:rFonts w:ascii="Arial" w:hAnsi="Arial" w:cs="Arial"/>
          <w:sz w:val="20"/>
          <w:szCs w:val="20"/>
        </w:rPr>
        <w:lastRenderedPageBreak/>
        <w:t xml:space="preserve">En caso de que la extinción se produzca por incumplimiento del Contratista y el acreedor prendario manifieste su pretensión de ejecutar la prenda de acuerdo con el plazo señalado en el artículo </w:t>
      </w:r>
      <w:r w:rsidR="00512811">
        <w:rPr>
          <w:rFonts w:ascii="Arial" w:hAnsi="Arial" w:cs="Arial"/>
          <w:sz w:val="20"/>
          <w:szCs w:val="20"/>
        </w:rPr>
        <w:t>57</w:t>
      </w:r>
      <w:r w:rsidRPr="00867168">
        <w:rPr>
          <w:rFonts w:ascii="Arial" w:hAnsi="Arial" w:cs="Arial"/>
          <w:sz w:val="20"/>
          <w:szCs w:val="20"/>
        </w:rPr>
        <w:t xml:space="preserve"> de la </w:t>
      </w:r>
      <w:r w:rsidR="00C33B28" w:rsidRPr="00867168">
        <w:rPr>
          <w:rFonts w:ascii="Arial" w:hAnsi="Arial" w:cs="Arial"/>
          <w:sz w:val="20"/>
          <w:szCs w:val="20"/>
        </w:rPr>
        <w:t>LCPPP</w:t>
      </w:r>
      <w:r w:rsidRPr="00867168">
        <w:rPr>
          <w:rFonts w:ascii="Arial" w:hAnsi="Arial" w:cs="Arial"/>
          <w:sz w:val="20"/>
          <w:szCs w:val="20"/>
        </w:rPr>
        <w:t>, todo lo producido en la subasta, deducidos los gastos ocasionados, serán destinados al pago de los créditos del o los acreedores prendarios. Si hubiere remanente quedará a disposición del contratista originario. Si resultara un saldo impago del crédito del acreedor prendario, el adjudicatario de la subasta deberá asumir el pago del mismo.</w:t>
      </w:r>
    </w:p>
    <w:p w14:paraId="709C0E82" w14:textId="2B3FD048" w:rsidR="00A3029F" w:rsidRPr="00362A8D" w:rsidRDefault="00A3029F" w:rsidP="00F136AE">
      <w:pPr>
        <w:pStyle w:val="Textoindependiente"/>
        <w:jc w:val="both"/>
        <w:rPr>
          <w:rFonts w:ascii="Arial" w:hAnsi="Arial" w:cs="Arial"/>
          <w:sz w:val="20"/>
          <w:szCs w:val="20"/>
        </w:rPr>
      </w:pPr>
      <w:r w:rsidRPr="00867168">
        <w:rPr>
          <w:rFonts w:ascii="Arial" w:hAnsi="Arial" w:cs="Arial"/>
          <w:sz w:val="20"/>
          <w:szCs w:val="20"/>
        </w:rPr>
        <w:t xml:space="preserve">Si ningún interesado fuere autorizado a participar en la subasta por razones fundadas o cuando no hubiere interesados, el o los acreedores prendarios podrán ejercer su derecho contra su deudor en la vía jurisdiccional que corresponda conforme a derecho común. Si la Contratante optare por realizar un nuevo llamado o asumiere por sí misma las actividades del objeto del Contrato se acudirá al procedimiento de arbitraje para definir el valor que la Contratante deberá abonar al contratista por las inversiones realizadas en el marco del </w:t>
      </w:r>
      <w:r w:rsidRPr="00930EF0">
        <w:rPr>
          <w:rFonts w:ascii="Arial" w:hAnsi="Arial" w:cs="Arial"/>
          <w:sz w:val="20"/>
          <w:szCs w:val="20"/>
        </w:rPr>
        <w:t>Contrato</w:t>
      </w:r>
      <w:r w:rsidR="00930EF0" w:rsidRPr="00930EF0">
        <w:rPr>
          <w:rFonts w:ascii="Arial" w:hAnsi="Arial" w:cs="Arial"/>
          <w:sz w:val="20"/>
          <w:szCs w:val="20"/>
        </w:rPr>
        <w:t xml:space="preserve"> valuado en UI, que a la fecha de terminación anticipada no hayan sido amortizadas</w:t>
      </w:r>
      <w:r w:rsidRPr="00362A8D">
        <w:rPr>
          <w:rFonts w:ascii="Arial" w:hAnsi="Arial" w:cs="Arial"/>
          <w:sz w:val="20"/>
          <w:szCs w:val="20"/>
        </w:rPr>
        <w:t>.</w:t>
      </w:r>
    </w:p>
    <w:p w14:paraId="2DE572B6" w14:textId="60C39175" w:rsidR="00A3029F" w:rsidRPr="00362A8D" w:rsidRDefault="00A3029F" w:rsidP="00F136AE">
      <w:pPr>
        <w:pStyle w:val="Textoindependiente"/>
        <w:spacing w:after="240"/>
        <w:jc w:val="both"/>
        <w:rPr>
          <w:rFonts w:ascii="Arial" w:hAnsi="Arial" w:cs="Arial"/>
          <w:sz w:val="20"/>
          <w:szCs w:val="20"/>
        </w:rPr>
      </w:pPr>
      <w:r w:rsidRPr="00362A8D">
        <w:rPr>
          <w:rFonts w:ascii="Arial" w:hAnsi="Arial" w:cs="Arial"/>
          <w:sz w:val="20"/>
          <w:szCs w:val="20"/>
        </w:rPr>
        <w:t xml:space="preserve">Si el acreedor prendario manifiesta su pretensión de ceder el Contrato a un cesionario y el mismo fuera de aceptación por parte de la Contratante, el acreedor y el contratista acordarán la forma en </w:t>
      </w:r>
      <w:r w:rsidRPr="00362A8D">
        <w:rPr>
          <w:rFonts w:ascii="Arial" w:hAnsi="Arial" w:cs="Arial"/>
          <w:sz w:val="20"/>
          <w:szCs w:val="20"/>
        </w:rPr>
        <w:lastRenderedPageBreak/>
        <w:t>que el primero compensará al segundo por las inversiones realizadas en el marco del Contrato.</w:t>
      </w:r>
    </w:p>
    <w:p w14:paraId="0BAB62C6" w14:textId="7B8C1BF1" w:rsidR="00B35AE7" w:rsidRPr="00FD3408" w:rsidRDefault="00A3029F" w:rsidP="00F136AE">
      <w:pPr>
        <w:spacing w:after="120"/>
        <w:jc w:val="both"/>
        <w:rPr>
          <w:rFonts w:ascii="Arial" w:hAnsi="Arial" w:cs="Arial"/>
          <w:sz w:val="20"/>
          <w:szCs w:val="20"/>
        </w:rPr>
      </w:pPr>
      <w:r w:rsidRPr="00362A8D">
        <w:rPr>
          <w:rFonts w:ascii="Arial" w:hAnsi="Arial" w:cs="Arial"/>
          <w:sz w:val="20"/>
          <w:szCs w:val="20"/>
        </w:rPr>
        <w:t xml:space="preserve">En cualquier caso además de las sanciones previstas en caso de incumplimiento, se ejecutará la garantía de cumplimiento de Contrato y se podrán descontar del pago al </w:t>
      </w:r>
      <w:r w:rsidRPr="00867168">
        <w:rPr>
          <w:rFonts w:ascii="Arial" w:hAnsi="Arial" w:cs="Arial"/>
          <w:sz w:val="20"/>
          <w:szCs w:val="20"/>
        </w:rPr>
        <w:t xml:space="preserve">contratista, el monto </w:t>
      </w:r>
      <w:r w:rsidRPr="00FD3408">
        <w:rPr>
          <w:rFonts w:ascii="Arial" w:hAnsi="Arial" w:cs="Arial"/>
          <w:sz w:val="20"/>
          <w:szCs w:val="20"/>
        </w:rPr>
        <w:t>de indemnización por daños y perjuicios que excedan el valor de la garantía ejecutada.</w:t>
      </w:r>
    </w:p>
    <w:p w14:paraId="22EA9473" w14:textId="7C067645" w:rsidR="00930EF0" w:rsidRPr="00362A8D" w:rsidRDefault="00930EF0" w:rsidP="00F136AE">
      <w:pPr>
        <w:spacing w:after="120"/>
        <w:jc w:val="both"/>
        <w:rPr>
          <w:rFonts w:ascii="Arial" w:hAnsi="Arial" w:cs="Arial"/>
          <w:sz w:val="20"/>
          <w:szCs w:val="20"/>
        </w:rPr>
      </w:pPr>
      <w:r w:rsidRPr="00FD3408">
        <w:rPr>
          <w:rFonts w:ascii="Arial" w:hAnsi="Arial" w:cs="Arial"/>
          <w:sz w:val="20"/>
          <w:szCs w:val="20"/>
        </w:rPr>
        <w:t>E</w:t>
      </w:r>
      <w:r w:rsidR="001B7E64" w:rsidRPr="00FD3408">
        <w:rPr>
          <w:rFonts w:ascii="Arial" w:hAnsi="Arial" w:cs="Arial"/>
          <w:sz w:val="20"/>
          <w:szCs w:val="20"/>
        </w:rPr>
        <w:t>n caso que e</w:t>
      </w:r>
      <w:r w:rsidRPr="00FD3408">
        <w:rPr>
          <w:rFonts w:ascii="Arial" w:hAnsi="Arial" w:cs="Arial"/>
          <w:sz w:val="20"/>
          <w:szCs w:val="20"/>
        </w:rPr>
        <w:t>l pago que realice la Contratante</w:t>
      </w:r>
      <w:r w:rsidR="001B7E64" w:rsidRPr="00FD3408">
        <w:rPr>
          <w:rFonts w:ascii="Arial" w:hAnsi="Arial" w:cs="Arial"/>
          <w:sz w:val="20"/>
          <w:szCs w:val="20"/>
        </w:rPr>
        <w:t xml:space="preserve"> se efectue en cuotas , las mismas deberán ser anuales y de igual importe, asimismo </w:t>
      </w:r>
      <w:r w:rsidRPr="00FD3408">
        <w:rPr>
          <w:rFonts w:ascii="Arial" w:hAnsi="Arial" w:cs="Arial"/>
          <w:sz w:val="20"/>
          <w:szCs w:val="20"/>
        </w:rPr>
        <w:t>no podrá</w:t>
      </w:r>
      <w:r w:rsidR="001B7E64" w:rsidRPr="00FD3408">
        <w:rPr>
          <w:rFonts w:ascii="Arial" w:hAnsi="Arial" w:cs="Arial"/>
          <w:sz w:val="20"/>
          <w:szCs w:val="20"/>
        </w:rPr>
        <w:t>n</w:t>
      </w:r>
      <w:r w:rsidRPr="00FD3408">
        <w:rPr>
          <w:rFonts w:ascii="Arial" w:hAnsi="Arial" w:cs="Arial"/>
          <w:sz w:val="20"/>
          <w:szCs w:val="20"/>
        </w:rPr>
        <w:t xml:space="preserve"> </w:t>
      </w:r>
      <w:r w:rsidR="001B7E64" w:rsidRPr="00FD3408">
        <w:rPr>
          <w:rFonts w:ascii="Arial" w:hAnsi="Arial" w:cs="Arial"/>
          <w:sz w:val="20"/>
          <w:szCs w:val="20"/>
        </w:rPr>
        <w:t>realizarse</w:t>
      </w:r>
      <w:r w:rsidRPr="00FD3408">
        <w:rPr>
          <w:rFonts w:ascii="Arial" w:hAnsi="Arial" w:cs="Arial"/>
          <w:sz w:val="20"/>
          <w:szCs w:val="20"/>
        </w:rPr>
        <w:t xml:space="preserve"> en un plazo mayor al que resta de ejecución del contrato</w:t>
      </w:r>
      <w:r w:rsidR="001B7E64" w:rsidRPr="00FD3408">
        <w:rPr>
          <w:rFonts w:ascii="Arial" w:hAnsi="Arial" w:cs="Arial"/>
          <w:sz w:val="20"/>
          <w:szCs w:val="20"/>
        </w:rPr>
        <w:t>,</w:t>
      </w:r>
      <w:r w:rsidRPr="00FD3408">
        <w:rPr>
          <w:rFonts w:ascii="Arial" w:hAnsi="Arial" w:cs="Arial"/>
          <w:sz w:val="20"/>
          <w:szCs w:val="20"/>
        </w:rPr>
        <w:t xml:space="preserve"> </w:t>
      </w:r>
      <w:r w:rsidR="001B7E64" w:rsidRPr="00FD3408">
        <w:rPr>
          <w:rFonts w:ascii="Arial" w:hAnsi="Arial" w:cs="Arial"/>
          <w:sz w:val="20"/>
          <w:szCs w:val="20"/>
        </w:rPr>
        <w:t xml:space="preserve">y </w:t>
      </w:r>
      <w:r w:rsidRPr="00FD3408">
        <w:rPr>
          <w:rFonts w:ascii="Arial" w:hAnsi="Arial" w:cs="Arial"/>
          <w:sz w:val="20"/>
          <w:szCs w:val="20"/>
        </w:rPr>
        <w:t xml:space="preserve">para </w:t>
      </w:r>
      <w:r w:rsidR="001B7E64" w:rsidRPr="00FD3408">
        <w:rPr>
          <w:rFonts w:ascii="Arial" w:hAnsi="Arial" w:cs="Arial"/>
          <w:sz w:val="20"/>
          <w:szCs w:val="20"/>
        </w:rPr>
        <w:t>su</w:t>
      </w:r>
      <w:r w:rsidRPr="00FD3408">
        <w:rPr>
          <w:rFonts w:ascii="Arial" w:hAnsi="Arial" w:cs="Arial"/>
          <w:sz w:val="20"/>
          <w:szCs w:val="20"/>
        </w:rPr>
        <w:t xml:space="preserve"> cálculo se aplicará a las cantidades adeudadas en cada momento</w:t>
      </w:r>
      <w:r w:rsidR="00175A61" w:rsidRPr="00AA2EE2">
        <w:rPr>
          <w:rFonts w:ascii="Arial" w:hAnsi="Arial" w:cs="Arial"/>
          <w:sz w:val="20"/>
          <w:szCs w:val="20"/>
        </w:rPr>
        <w:t xml:space="preserve">, la tasa de interés Rc; donde Rc será el menor valor que resulte de comparar: a) tasa de interés de deuda senior en Unidades Indexadas (UI) según surja de la operación de 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w:t>
      </w:r>
      <w:r w:rsidR="00175A61" w:rsidRPr="00AA2EE2">
        <w:rPr>
          <w:rFonts w:ascii="Arial" w:hAnsi="Arial" w:cs="Arial"/>
          <w:sz w:val="20"/>
          <w:szCs w:val="20"/>
        </w:rPr>
        <w:lastRenderedPageBreak/>
        <w:t>interés resultante quedará fijada al día de la concreción de la operación de financiamiento y se mantendrá incambiada en el tiempo, independientemente del momento en que ocurra la terminación anticipada</w:t>
      </w:r>
      <w:r w:rsidR="00175A61">
        <w:rPr>
          <w:rFonts w:ascii="Arial" w:hAnsi="Arial" w:cs="Arial"/>
          <w:sz w:val="20"/>
          <w:szCs w:val="20"/>
        </w:rPr>
        <w:t xml:space="preserve">; c) </w:t>
      </w:r>
      <w:r w:rsidRPr="00FD3408">
        <w:rPr>
          <w:rFonts w:ascii="Arial" w:hAnsi="Arial" w:cs="Arial"/>
          <w:sz w:val="20"/>
          <w:szCs w:val="20"/>
        </w:rPr>
        <w:t>la tasa de interés legal prevista en el art. 4 del Decreto Ley 14.500.</w:t>
      </w:r>
    </w:p>
    <w:p w14:paraId="65C13AF0" w14:textId="77777777" w:rsidR="00A3029F" w:rsidRPr="00867168" w:rsidRDefault="00A3029F" w:rsidP="009A58E0">
      <w:pPr>
        <w:pStyle w:val="T2"/>
        <w:numPr>
          <w:ilvl w:val="2"/>
          <w:numId w:val="90"/>
        </w:numPr>
        <w:outlineLvl w:val="9"/>
      </w:pPr>
      <w:bookmarkStart w:id="579" w:name="_Toc340671912"/>
      <w:bookmarkStart w:id="580" w:name="_Toc358821549"/>
      <w:bookmarkStart w:id="581" w:name="_Toc400635175"/>
      <w:bookmarkStart w:id="582" w:name="Lit_46_2_2"/>
      <w:r w:rsidRPr="00867168">
        <w:t>EXTINCIÓN IMPUTABLE A LA CONTRATANTE</w:t>
      </w:r>
      <w:bookmarkEnd w:id="579"/>
      <w:bookmarkEnd w:id="580"/>
      <w:bookmarkEnd w:id="581"/>
    </w:p>
    <w:bookmarkEnd w:id="582"/>
    <w:p w14:paraId="40FEF981" w14:textId="77777777" w:rsidR="00A3029F" w:rsidRPr="00867168" w:rsidRDefault="00A3029F" w:rsidP="00F136AE">
      <w:pPr>
        <w:spacing w:after="120"/>
        <w:jc w:val="both"/>
        <w:rPr>
          <w:rFonts w:ascii="Arial" w:hAnsi="Arial" w:cs="Arial"/>
          <w:sz w:val="20"/>
          <w:szCs w:val="20"/>
          <w:lang w:val="es-UY"/>
        </w:rPr>
      </w:pPr>
      <w:r w:rsidRPr="00867168">
        <w:rPr>
          <w:rFonts w:ascii="Arial" w:hAnsi="Arial" w:cs="Arial"/>
          <w:sz w:val="20"/>
          <w:szCs w:val="20"/>
          <w:lang w:val="es-UY"/>
        </w:rPr>
        <w:t>Si la extinción fuere imputable a la Contratante, 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 xml:space="preserve">será indemnizado por los daños y perjuicios que sufriera, abonándose adicionalmente la totalidad de las inversiones realizadas en el marco del contrato establecido en el PEF </w:t>
      </w:r>
      <w:r w:rsidR="00810126" w:rsidRPr="00867168">
        <w:rPr>
          <w:rFonts w:ascii="Arial" w:hAnsi="Arial" w:cs="Arial"/>
          <w:sz w:val="20"/>
          <w:szCs w:val="20"/>
          <w:lang w:val="es-UY"/>
        </w:rPr>
        <w:t xml:space="preserve">presentado en </w:t>
      </w:r>
      <w:r w:rsidRPr="00867168">
        <w:rPr>
          <w:rFonts w:ascii="Arial" w:hAnsi="Arial" w:cs="Arial"/>
          <w:sz w:val="20"/>
          <w:szCs w:val="20"/>
          <w:lang w:val="es-UY"/>
        </w:rPr>
        <w:t>la oferta</w:t>
      </w:r>
      <w:r w:rsidR="005F7BB9" w:rsidRPr="00867168">
        <w:rPr>
          <w:rFonts w:ascii="Arial" w:hAnsi="Arial" w:cs="Arial"/>
          <w:sz w:val="20"/>
          <w:szCs w:val="20"/>
          <w:lang w:val="es-UY"/>
        </w:rPr>
        <w:t xml:space="preserve"> </w:t>
      </w:r>
      <w:r w:rsidR="003443AB" w:rsidRPr="00867168">
        <w:rPr>
          <w:rFonts w:ascii="Arial" w:hAnsi="Arial" w:cs="Arial"/>
          <w:sz w:val="20"/>
          <w:szCs w:val="20"/>
          <w:lang w:val="es-UY"/>
        </w:rPr>
        <w:t xml:space="preserve">menos lo amortizado, teniendo en cuenta las inversiones iniciales asociadas a la componente A y el </w:t>
      </w:r>
      <w:r w:rsidR="00AB3570" w:rsidRPr="00867168">
        <w:rPr>
          <w:rFonts w:ascii="Arial" w:hAnsi="Arial" w:cs="Arial"/>
          <w:sz w:val="20"/>
          <w:szCs w:val="20"/>
          <w:lang w:val="es-UY"/>
        </w:rPr>
        <w:t>valor</w:t>
      </w:r>
      <w:r w:rsidR="003443AB" w:rsidRPr="00867168">
        <w:rPr>
          <w:rFonts w:ascii="Arial" w:hAnsi="Arial" w:cs="Arial"/>
          <w:sz w:val="20"/>
          <w:szCs w:val="20"/>
          <w:lang w:val="es-UY"/>
        </w:rPr>
        <w:t xml:space="preserve"> neto asociado a las inversiones de mantenimiento mayor vinculadas al componente C que se hubieran efectivamente realizado.</w:t>
      </w:r>
      <w:r w:rsidRPr="00867168">
        <w:rPr>
          <w:rFonts w:ascii="Arial" w:hAnsi="Arial" w:cs="Arial"/>
          <w:sz w:val="20"/>
          <w:szCs w:val="20"/>
          <w:lang w:val="es-UY"/>
        </w:rPr>
        <w:t xml:space="preserve"> </w:t>
      </w:r>
      <w:bookmarkStart w:id="583" w:name="_Toc340671913"/>
    </w:p>
    <w:p w14:paraId="10B6AE6C" w14:textId="77777777" w:rsidR="008E7047" w:rsidRPr="00867168" w:rsidRDefault="008E7047" w:rsidP="00E535B8">
      <w:pPr>
        <w:spacing w:after="120"/>
        <w:jc w:val="both"/>
        <w:rPr>
          <w:rFonts w:ascii="Arial" w:hAnsi="Arial" w:cs="Arial"/>
          <w:sz w:val="20"/>
          <w:szCs w:val="20"/>
          <w:lang w:val="es-UY"/>
        </w:rPr>
      </w:pPr>
      <w:r w:rsidRPr="00867168">
        <w:rPr>
          <w:rFonts w:ascii="Arial" w:hAnsi="Arial" w:cs="Arial"/>
          <w:sz w:val="20"/>
          <w:szCs w:val="20"/>
          <w:lang w:val="es-UY"/>
        </w:rPr>
        <w:t>La Contratante reconocerá por concepto de los daños y perjuicios previstos en esta cláusula, los siguientes:</w:t>
      </w:r>
    </w:p>
    <w:p w14:paraId="4B4E0F92" w14:textId="77777777" w:rsidR="008E7047" w:rsidRPr="00867168" w:rsidRDefault="008E7047" w:rsidP="00A9381E">
      <w:pPr>
        <w:jc w:val="center"/>
        <w:rPr>
          <w:rFonts w:ascii="Arial" w:hAnsi="Arial" w:cs="Arial"/>
          <w:sz w:val="20"/>
          <w:szCs w:val="20"/>
          <w:lang w:val="es-UY"/>
        </w:rPr>
      </w:pPr>
      <w:r w:rsidRPr="00867168">
        <w:rPr>
          <w:rFonts w:ascii="Arial" w:hAnsi="Arial" w:cs="Arial"/>
          <w:sz w:val="20"/>
          <w:szCs w:val="20"/>
          <w:lang w:val="es-UY"/>
        </w:rPr>
        <w:t xml:space="preserve">INV no amortizada </w:t>
      </w:r>
      <w:r w:rsidRPr="00867168">
        <w:rPr>
          <w:rFonts w:ascii="Arial" w:hAnsi="Arial" w:cs="Arial"/>
          <w:sz w:val="20"/>
          <w:szCs w:val="20"/>
          <w:vertAlign w:val="subscript"/>
          <w:lang w:val="es-UY"/>
        </w:rPr>
        <w:t>k</w:t>
      </w:r>
      <w:r w:rsidRPr="00867168">
        <w:rPr>
          <w:rFonts w:ascii="Arial" w:hAnsi="Arial" w:cs="Arial"/>
          <w:sz w:val="20"/>
          <w:szCs w:val="20"/>
          <w:lang w:val="es-UY"/>
        </w:rPr>
        <w:t xml:space="preserve"> *0,20 + PPD</w:t>
      </w:r>
      <w:r w:rsidR="009226CF" w:rsidRPr="00867168">
        <w:rPr>
          <w:rFonts w:ascii="Arial" w:hAnsi="Arial" w:cs="Arial"/>
          <w:sz w:val="20"/>
          <w:szCs w:val="20"/>
          <w:vertAlign w:val="subscript"/>
          <w:lang w:val="es-UY"/>
        </w:rPr>
        <w:t>k</w:t>
      </w:r>
      <w:r w:rsidRPr="00867168">
        <w:rPr>
          <w:rFonts w:ascii="Arial" w:hAnsi="Arial" w:cs="Arial"/>
          <w:sz w:val="20"/>
          <w:szCs w:val="20"/>
          <w:vertAlign w:val="subscript"/>
          <w:lang w:val="es-UY"/>
        </w:rPr>
        <w:t>-1</w:t>
      </w:r>
      <w:r w:rsidRPr="00867168">
        <w:rPr>
          <w:rFonts w:ascii="Arial" w:hAnsi="Arial" w:cs="Arial"/>
          <w:sz w:val="20"/>
          <w:szCs w:val="20"/>
          <w:lang w:val="es-UY"/>
        </w:rPr>
        <w:t xml:space="preserve"> * </w:t>
      </w:r>
      <w:r w:rsidR="00314108" w:rsidRPr="00867168">
        <w:rPr>
          <w:rFonts w:ascii="Arial" w:hAnsi="Arial" w:cs="Arial"/>
          <w:sz w:val="20"/>
          <w:szCs w:val="20"/>
          <w:lang w:val="es-UY"/>
        </w:rPr>
        <w:t>0,3</w:t>
      </w:r>
    </w:p>
    <w:p w14:paraId="0CB81F92" w14:textId="59F8DDE7" w:rsidR="008E7047" w:rsidRPr="00362A8D" w:rsidRDefault="008E7047" w:rsidP="00A84CE2">
      <w:pPr>
        <w:spacing w:after="120"/>
        <w:jc w:val="both"/>
        <w:rPr>
          <w:rFonts w:ascii="Arial" w:hAnsi="Arial" w:cs="Arial"/>
          <w:sz w:val="20"/>
          <w:szCs w:val="20"/>
          <w:lang w:val="es-UY"/>
        </w:rPr>
      </w:pPr>
      <w:r w:rsidRPr="00867168">
        <w:rPr>
          <w:rFonts w:ascii="Arial" w:hAnsi="Arial" w:cs="Arial"/>
          <w:sz w:val="20"/>
          <w:szCs w:val="20"/>
          <w:lang w:val="es-UY"/>
        </w:rPr>
        <w:t>INV no amortizada: corresponde a la inversión que integra el PEF que a la fecha de terminación anticipada no ha sido amortizada, teniendo en cuenta las inversiones iniciales asociadas a la compo</w:t>
      </w:r>
      <w:r w:rsidRPr="00867168">
        <w:rPr>
          <w:rFonts w:ascii="Arial" w:hAnsi="Arial" w:cs="Arial"/>
          <w:sz w:val="20"/>
          <w:szCs w:val="20"/>
          <w:lang w:val="es-UY"/>
        </w:rPr>
        <w:lastRenderedPageBreak/>
        <w:t xml:space="preserve">nente A y el </w:t>
      </w:r>
      <w:r w:rsidR="00AB3570"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w:t>
      </w:r>
      <w:r w:rsidRPr="000E75EB">
        <w:rPr>
          <w:rFonts w:ascii="Arial" w:hAnsi="Arial" w:cs="Arial"/>
          <w:sz w:val="20"/>
          <w:szCs w:val="20"/>
          <w:lang w:val="es-UY"/>
        </w:rPr>
        <w:t>realizado</w:t>
      </w:r>
      <w:r w:rsidR="000E75EB" w:rsidRPr="000E75EB">
        <w:rPr>
          <w:rFonts w:ascii="Arial" w:hAnsi="Arial" w:cs="Arial"/>
          <w:sz w:val="20"/>
          <w:szCs w:val="20"/>
          <w:lang w:val="es-UY"/>
        </w:rPr>
        <w:t xml:space="preserve"> e incluyendo a estos efectos las obras iniciales de construcción, puesta a punto y complementarias, así como aquellas realizadas conforme a las cláusulas 42.1 y 42.2 del presente Pliego</w:t>
      </w:r>
      <w:r w:rsidRPr="00B60B2D">
        <w:rPr>
          <w:rFonts w:ascii="Arial" w:hAnsi="Arial" w:cs="Arial"/>
          <w:sz w:val="20"/>
          <w:szCs w:val="20"/>
          <w:lang w:val="es-UY"/>
        </w:rPr>
        <w:t xml:space="preserve">. A los efectos de determinar el grado de amortización, se considerará </w:t>
      </w:r>
      <w:r w:rsidR="00C621EC" w:rsidRPr="00362A8D">
        <w:rPr>
          <w:rFonts w:ascii="Arial" w:hAnsi="Arial" w:cs="Arial"/>
          <w:sz w:val="20"/>
          <w:szCs w:val="20"/>
          <w:lang w:val="es-UY"/>
        </w:rPr>
        <w:t xml:space="preserve">el </w:t>
      </w:r>
      <w:r w:rsidR="007A7159" w:rsidRPr="00362A8D">
        <w:rPr>
          <w:rFonts w:ascii="Arial" w:hAnsi="Arial" w:cs="Arial"/>
          <w:sz w:val="20"/>
          <w:szCs w:val="20"/>
          <w:lang w:val="es-UY"/>
        </w:rPr>
        <w:t>porcentaje</w:t>
      </w:r>
      <w:r w:rsidR="00C621EC" w:rsidRPr="00362A8D">
        <w:rPr>
          <w:rFonts w:ascii="Arial" w:hAnsi="Arial" w:cs="Arial"/>
          <w:sz w:val="20"/>
          <w:szCs w:val="20"/>
          <w:lang w:val="es-UY"/>
        </w:rPr>
        <w:t xml:space="preserve"> que surge de </w:t>
      </w:r>
      <w:r w:rsidR="00AB3570" w:rsidRPr="00362A8D">
        <w:rPr>
          <w:rFonts w:ascii="Arial" w:hAnsi="Arial" w:cs="Arial"/>
          <w:sz w:val="20"/>
          <w:szCs w:val="20"/>
          <w:lang w:val="es-UY"/>
        </w:rPr>
        <w:t xml:space="preserve">la suma de las cuotas que </w:t>
      </w:r>
      <w:r w:rsidR="00314108" w:rsidRPr="00362A8D">
        <w:rPr>
          <w:rFonts w:ascii="Arial" w:hAnsi="Arial" w:cs="Arial"/>
          <w:sz w:val="20"/>
          <w:szCs w:val="20"/>
          <w:lang w:val="es-UY"/>
        </w:rPr>
        <w:t>hubiera pagado</w:t>
      </w:r>
      <w:r w:rsidR="00AB3570" w:rsidRPr="00362A8D">
        <w:rPr>
          <w:rFonts w:ascii="Arial" w:hAnsi="Arial" w:cs="Arial"/>
          <w:sz w:val="20"/>
          <w:szCs w:val="20"/>
          <w:lang w:val="es-UY"/>
        </w:rPr>
        <w:t xml:space="preserve"> por la componente A </w:t>
      </w:r>
      <w:r w:rsidR="00314108" w:rsidRPr="00867168">
        <w:rPr>
          <w:rFonts w:ascii="Arial" w:hAnsi="Arial" w:cs="Arial"/>
          <w:sz w:val="20"/>
          <w:szCs w:val="20"/>
          <w:lang w:val="es-UY"/>
        </w:rPr>
        <w:t>(</w:t>
      </w:r>
      <w:r w:rsidR="00AB3570" w:rsidRPr="00867168">
        <w:rPr>
          <w:rFonts w:ascii="Arial" w:hAnsi="Arial" w:cs="Arial"/>
          <w:sz w:val="20"/>
          <w:szCs w:val="20"/>
          <w:lang w:val="es-UY"/>
        </w:rPr>
        <w:t>si la disponibilidad hubiere sido del 100%</w:t>
      </w:r>
      <w:r w:rsidR="00314108" w:rsidRPr="00867168">
        <w:rPr>
          <w:rFonts w:ascii="Arial" w:hAnsi="Arial" w:cs="Arial"/>
          <w:sz w:val="20"/>
          <w:szCs w:val="20"/>
          <w:lang w:val="es-UY"/>
        </w:rPr>
        <w:t>)</w:t>
      </w:r>
      <w:r w:rsidR="00AB3570" w:rsidRPr="00867168">
        <w:rPr>
          <w:rFonts w:ascii="Arial" w:hAnsi="Arial" w:cs="Arial"/>
          <w:sz w:val="20"/>
          <w:szCs w:val="20"/>
          <w:lang w:val="es-UY"/>
        </w:rPr>
        <w:t xml:space="preserve"> en relación a la totalidad de la componente A.</w:t>
      </w:r>
      <w:r w:rsidR="00411976" w:rsidRPr="00867168">
        <w:rPr>
          <w:rFonts w:ascii="Arial" w:hAnsi="Arial" w:cs="Arial"/>
          <w:sz w:val="20"/>
          <w:szCs w:val="20"/>
          <w:lang w:val="es-UY"/>
        </w:rPr>
        <w:t xml:space="preserve"> </w:t>
      </w:r>
      <w:r w:rsidRPr="00867168">
        <w:rPr>
          <w:rFonts w:ascii="Arial" w:hAnsi="Arial" w:cs="Arial"/>
          <w:sz w:val="20"/>
          <w:szCs w:val="20"/>
          <w:lang w:val="es-UY"/>
        </w:rPr>
        <w:t>En caso de que no haya sido finalizada la etapa de construcción, se considerará la inversión realizada hasta el año k aprobada por el Órgano de Control del contrato</w:t>
      </w:r>
      <w:r w:rsidR="000E75EB">
        <w:rPr>
          <w:rFonts w:ascii="Arial" w:hAnsi="Arial" w:cs="Arial"/>
          <w:sz w:val="20"/>
          <w:szCs w:val="20"/>
          <w:lang w:val="es-UY"/>
        </w:rPr>
        <w:t xml:space="preserve"> </w:t>
      </w:r>
      <w:r w:rsidR="000E75EB" w:rsidRPr="000E75EB">
        <w:rPr>
          <w:rFonts w:ascii="Arial" w:hAnsi="Arial" w:cs="Arial"/>
          <w:sz w:val="20"/>
          <w:szCs w:val="20"/>
          <w:lang w:val="es-UY"/>
        </w:rPr>
        <w:t>y las obras realizadas hasta la fecha de la extinción que deberán ser valuadas por el Órgano de Control del contrato</w:t>
      </w:r>
      <w:r w:rsidRPr="000E75EB">
        <w:rPr>
          <w:rFonts w:ascii="Arial" w:hAnsi="Arial" w:cs="Arial"/>
          <w:sz w:val="20"/>
          <w:szCs w:val="20"/>
          <w:lang w:val="es-UY"/>
        </w:rPr>
        <w:t>.</w:t>
      </w:r>
    </w:p>
    <w:p w14:paraId="0E9FDB1D" w14:textId="77777777" w:rsidR="008E7047" w:rsidRPr="00867168" w:rsidRDefault="008E7047" w:rsidP="00F136AE">
      <w:pPr>
        <w:spacing w:line="360" w:lineRule="auto"/>
        <w:jc w:val="both"/>
        <w:rPr>
          <w:rFonts w:ascii="Arial" w:hAnsi="Arial" w:cs="Arial"/>
          <w:sz w:val="20"/>
          <w:szCs w:val="20"/>
          <w:lang w:val="es-UY"/>
        </w:rPr>
      </w:pPr>
      <w:r w:rsidRPr="00362A8D">
        <w:rPr>
          <w:rFonts w:ascii="Arial" w:hAnsi="Arial" w:cs="Arial"/>
          <w:sz w:val="20"/>
          <w:szCs w:val="20"/>
          <w:lang w:val="es-UY"/>
        </w:rPr>
        <w:t>PPD</w:t>
      </w:r>
      <w:r w:rsidRPr="00362A8D">
        <w:rPr>
          <w:rFonts w:ascii="Arial" w:hAnsi="Arial" w:cs="Arial"/>
          <w:sz w:val="20"/>
          <w:szCs w:val="20"/>
          <w:vertAlign w:val="subscript"/>
          <w:lang w:val="es-UY"/>
        </w:rPr>
        <w:t>k-1</w:t>
      </w:r>
      <w:r w:rsidRPr="00867168">
        <w:rPr>
          <w:rFonts w:ascii="Arial" w:hAnsi="Arial" w:cs="Arial"/>
          <w:sz w:val="20"/>
          <w:szCs w:val="20"/>
          <w:lang w:val="es-UY"/>
        </w:rPr>
        <w:t xml:space="preserve">: corresponde al Pago por Disponibilidad Anual valorado en Unidades Indexadas recibido por el contratista en el año k-1. </w:t>
      </w:r>
    </w:p>
    <w:p w14:paraId="25A5AE6B" w14:textId="77777777" w:rsidR="008E7047" w:rsidRPr="00867168" w:rsidRDefault="008E7047" w:rsidP="00F136AE">
      <w:pPr>
        <w:spacing w:line="360" w:lineRule="auto"/>
        <w:jc w:val="both"/>
        <w:rPr>
          <w:rFonts w:ascii="Arial" w:hAnsi="Arial" w:cs="Arial"/>
          <w:sz w:val="20"/>
          <w:szCs w:val="20"/>
          <w:lang w:val="es-UY"/>
        </w:rPr>
      </w:pPr>
      <w:r w:rsidRPr="00867168">
        <w:rPr>
          <w:rFonts w:ascii="Arial" w:hAnsi="Arial" w:cs="Arial"/>
          <w:sz w:val="20"/>
          <w:szCs w:val="20"/>
          <w:lang w:val="es-UY"/>
        </w:rPr>
        <w:t>k: corresponde al año en que se produce la terminación anticipada del contrato.</w:t>
      </w:r>
    </w:p>
    <w:p w14:paraId="60211244" w14:textId="77777777" w:rsidR="00314108" w:rsidRPr="00867168" w:rsidRDefault="00314108" w:rsidP="00F136AE">
      <w:pPr>
        <w:jc w:val="both"/>
        <w:rPr>
          <w:rFonts w:ascii="Arial" w:hAnsi="Arial" w:cs="Arial"/>
          <w:sz w:val="20"/>
          <w:szCs w:val="20"/>
          <w:lang w:val="es-UY"/>
        </w:rPr>
      </w:pPr>
      <w:r w:rsidRPr="00867168">
        <w:rPr>
          <w:rFonts w:ascii="Arial" w:hAnsi="Arial" w:cs="Arial"/>
          <w:sz w:val="20"/>
          <w:szCs w:val="20"/>
          <w:lang w:val="es-UY"/>
        </w:rPr>
        <w:t>Dentro del concepto “daños y perjuicios” a reco</w:t>
      </w:r>
      <w:r w:rsidR="00942670" w:rsidRPr="00867168">
        <w:rPr>
          <w:rFonts w:ascii="Arial" w:hAnsi="Arial" w:cs="Arial"/>
          <w:sz w:val="20"/>
          <w:szCs w:val="20"/>
          <w:lang w:val="es-UY"/>
        </w:rPr>
        <w:t>nocer al Contratista se incluye</w:t>
      </w:r>
      <w:r w:rsidRPr="00867168">
        <w:rPr>
          <w:rFonts w:ascii="Arial" w:hAnsi="Arial" w:cs="Arial"/>
          <w:sz w:val="20"/>
          <w:szCs w:val="20"/>
          <w:lang w:val="es-UY"/>
        </w:rPr>
        <w:t xml:space="preserve"> la compensación por el lucro cesante, por los costes financieros y por los costos de ruptura de contratos derivados, si </w:t>
      </w:r>
      <w:r w:rsidRPr="00867168">
        <w:rPr>
          <w:rFonts w:ascii="Arial" w:hAnsi="Arial" w:cs="Arial"/>
          <w:sz w:val="20"/>
          <w:szCs w:val="20"/>
          <w:lang w:val="es-UY"/>
        </w:rPr>
        <w:lastRenderedPageBreak/>
        <w:t>los hubiere; además</w:t>
      </w:r>
      <w:r w:rsidR="00C90402" w:rsidRPr="00867168">
        <w:rPr>
          <w:rFonts w:ascii="Arial" w:hAnsi="Arial" w:cs="Arial"/>
          <w:sz w:val="20"/>
          <w:szCs w:val="20"/>
          <w:lang w:val="es-UY"/>
        </w:rPr>
        <w:t xml:space="preserve"> </w:t>
      </w:r>
      <w:r w:rsidRPr="00867168">
        <w:rPr>
          <w:rFonts w:ascii="Arial" w:hAnsi="Arial" w:cs="Arial"/>
          <w:sz w:val="20"/>
          <w:szCs w:val="20"/>
          <w:lang w:val="es-UY"/>
        </w:rPr>
        <w:t>de todo otro posible daño presente o futuro, sea de naturaleza compensatoria, indemnizatoria o diferencial, y por cualquier concepto, sea de naturaleza administrativa, civil, laboral, tributario y/o penal.</w:t>
      </w:r>
    </w:p>
    <w:p w14:paraId="6FC69AE9" w14:textId="77777777"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Si existiesen adeudos del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la Contratante previa vista al Contratista por el término de diez (10) días, procederá en primer lugar al descuento de los adeudos con la Contratante, en segundo lugar descontará y abonará los adeudos al personal del Contratista y en tercer término descontará y abonará a los acreedores financieros sus créditos pendientes de pago.</w:t>
      </w:r>
    </w:p>
    <w:p w14:paraId="3131BF2D" w14:textId="77777777"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5C7FF5CA" w14:textId="77777777" w:rsidR="00D30E41" w:rsidRPr="00867168" w:rsidRDefault="00D30E41" w:rsidP="00F136AE">
      <w:pPr>
        <w:jc w:val="both"/>
        <w:rPr>
          <w:rFonts w:ascii="Arial" w:hAnsi="Arial" w:cs="Arial"/>
          <w:sz w:val="20"/>
          <w:szCs w:val="20"/>
          <w:lang w:val="es-UY"/>
        </w:rPr>
      </w:pPr>
      <w:r w:rsidRPr="00867168">
        <w:rPr>
          <w:rFonts w:ascii="Arial" w:hAnsi="Arial" w:cs="Arial"/>
          <w:sz w:val="20"/>
          <w:szCs w:val="20"/>
          <w:lang w:val="es-UY"/>
        </w:rPr>
        <w:t>El orden de prelación establecido en caso de adeudos, se aplica</w:t>
      </w:r>
      <w:r w:rsidR="00E91006" w:rsidRPr="00867168">
        <w:rPr>
          <w:rFonts w:ascii="Arial" w:hAnsi="Arial" w:cs="Arial"/>
          <w:sz w:val="20"/>
          <w:szCs w:val="20"/>
          <w:lang w:val="es-UY"/>
        </w:rPr>
        <w:t>rá</w:t>
      </w:r>
      <w:r w:rsidRPr="00867168">
        <w:rPr>
          <w:rFonts w:ascii="Arial" w:hAnsi="Arial" w:cs="Arial"/>
          <w:sz w:val="20"/>
          <w:szCs w:val="20"/>
          <w:lang w:val="es-UY"/>
        </w:rPr>
        <w:t xml:space="preserve"> tanto al componente de daños y perjuicios como al pago de rembolso de las inversiones</w:t>
      </w:r>
    </w:p>
    <w:p w14:paraId="34053B6C" w14:textId="5461FE20" w:rsidR="008E7047" w:rsidRPr="00867168" w:rsidRDefault="008E7047" w:rsidP="00F136AE">
      <w:pPr>
        <w:jc w:val="both"/>
        <w:rPr>
          <w:rFonts w:ascii="Arial" w:hAnsi="Arial" w:cs="Arial"/>
          <w:sz w:val="20"/>
          <w:szCs w:val="20"/>
          <w:lang w:val="es-UY"/>
        </w:rPr>
      </w:pPr>
      <w:r w:rsidRPr="00867168">
        <w:rPr>
          <w:rFonts w:ascii="Arial" w:hAnsi="Arial" w:cs="Arial"/>
          <w:sz w:val="20"/>
          <w:szCs w:val="20"/>
          <w:lang w:val="es-UY"/>
        </w:rPr>
        <w:t xml:space="preserve">Durante el proceso de extinción del contrato y hasta su verificación, </w:t>
      </w:r>
      <w:r w:rsidR="008F2655" w:rsidRPr="00867168">
        <w:rPr>
          <w:rFonts w:ascii="Arial" w:hAnsi="Arial" w:cs="Arial"/>
          <w:sz w:val="20"/>
          <w:szCs w:val="20"/>
          <w:lang w:val="es-UY"/>
        </w:rPr>
        <w:t>e</w:t>
      </w:r>
      <w:r w:rsidRPr="00867168">
        <w:rPr>
          <w:rFonts w:ascii="Arial" w:hAnsi="Arial" w:cs="Arial"/>
          <w:sz w:val="20"/>
          <w:szCs w:val="20"/>
          <w:lang w:val="es-UY"/>
        </w:rPr>
        <w:t>l Contratista no podrá ser privad</w:t>
      </w:r>
      <w:r w:rsidR="00472588" w:rsidRPr="00867168">
        <w:rPr>
          <w:rFonts w:ascii="Arial" w:hAnsi="Arial" w:cs="Arial"/>
          <w:sz w:val="20"/>
          <w:szCs w:val="20"/>
          <w:lang w:val="es-UY"/>
        </w:rPr>
        <w:t>o</w:t>
      </w:r>
      <w:r w:rsidRPr="00867168">
        <w:rPr>
          <w:rFonts w:ascii="Arial" w:hAnsi="Arial" w:cs="Arial"/>
          <w:sz w:val="20"/>
          <w:szCs w:val="20"/>
          <w:lang w:val="es-UY"/>
        </w:rPr>
        <w:t xml:space="preserve"> del PPD en tanto se mantengan en ejecución las contraprestaciones establecidas en el </w:t>
      </w:r>
      <w:r w:rsidRPr="00867168">
        <w:rPr>
          <w:rFonts w:ascii="Arial" w:hAnsi="Arial" w:cs="Arial"/>
          <w:sz w:val="20"/>
          <w:szCs w:val="20"/>
          <w:lang w:val="es-UY"/>
        </w:rPr>
        <w:lastRenderedPageBreak/>
        <w:t>contrato o las que eventualmente se acuerden con la Contratante correspondiendo en ese caso la proporción asociada del PPD.</w:t>
      </w:r>
    </w:p>
    <w:p w14:paraId="47C56D6F" w14:textId="77777777" w:rsidR="006710C4" w:rsidRPr="00867168" w:rsidRDefault="006710C4" w:rsidP="00F136AE">
      <w:pPr>
        <w:jc w:val="both"/>
        <w:rPr>
          <w:rFonts w:ascii="Arial" w:hAnsi="Arial" w:cs="Arial"/>
          <w:sz w:val="20"/>
          <w:szCs w:val="20"/>
          <w:lang w:val="es-UY"/>
        </w:rPr>
      </w:pPr>
      <w:r w:rsidRPr="00867168">
        <w:rPr>
          <w:rFonts w:ascii="Arial" w:hAnsi="Arial" w:cs="Arial"/>
          <w:sz w:val="20"/>
          <w:szCs w:val="20"/>
          <w:lang w:val="es-UY"/>
        </w:rPr>
        <w:t>En caso de extinción imputable a la Contratante o de rescate, las inversiones adicionales resultantes de las modificaciones del contrato serán consideradas a efectos del pago siguiendo los lineamientos del Pliego.</w:t>
      </w:r>
    </w:p>
    <w:p w14:paraId="16111889" w14:textId="0973FA94" w:rsidR="00D10FF9" w:rsidRPr="00867168" w:rsidRDefault="001B7E64" w:rsidP="00F136AE">
      <w:pPr>
        <w:jc w:val="both"/>
        <w:rPr>
          <w:rFonts w:ascii="Arial" w:hAnsi="Arial" w:cs="Arial"/>
          <w:sz w:val="20"/>
          <w:szCs w:val="20"/>
          <w:lang w:val="es-UY"/>
        </w:rPr>
      </w:pPr>
      <w:r w:rsidRPr="001B7E64">
        <w:rPr>
          <w:rFonts w:ascii="Arial" w:hAnsi="Arial" w:cs="Arial"/>
          <w:sz w:val="20"/>
          <w:szCs w:val="20"/>
        </w:rPr>
        <w:t>En caso que el pago que realice la Co</w:t>
      </w:r>
      <w:r w:rsidR="00C25162">
        <w:rPr>
          <w:rFonts w:ascii="Arial" w:hAnsi="Arial" w:cs="Arial"/>
          <w:sz w:val="20"/>
          <w:szCs w:val="20"/>
        </w:rPr>
        <w:t>ntratante se efectue en cuotas</w:t>
      </w:r>
      <w:r w:rsidRPr="001B7E64">
        <w:rPr>
          <w:rFonts w:ascii="Arial" w:hAnsi="Arial" w:cs="Arial"/>
          <w:sz w:val="20"/>
          <w:szCs w:val="20"/>
        </w:rPr>
        <w:t>, las mismas deberán ser anuales y de igual importe, asimism</w:t>
      </w:r>
      <w:r w:rsidR="00C25162">
        <w:rPr>
          <w:rFonts w:ascii="Arial" w:hAnsi="Arial" w:cs="Arial"/>
          <w:sz w:val="20"/>
          <w:szCs w:val="20"/>
        </w:rPr>
        <w:t>o no podrán realizarse</w:t>
      </w:r>
      <w:r w:rsidRPr="001B7E64">
        <w:rPr>
          <w:rFonts w:ascii="Arial" w:hAnsi="Arial" w:cs="Arial"/>
          <w:sz w:val="20"/>
          <w:szCs w:val="20"/>
        </w:rPr>
        <w:t xml:space="preserve"> en un plazo mayor al que resta de ejecución del con</w:t>
      </w:r>
      <w:r w:rsidR="00C25162">
        <w:rPr>
          <w:rFonts w:ascii="Arial" w:hAnsi="Arial" w:cs="Arial"/>
          <w:sz w:val="20"/>
          <w:szCs w:val="20"/>
        </w:rPr>
        <w:t xml:space="preserve">trato, y para su </w:t>
      </w:r>
      <w:r w:rsidR="00C25162" w:rsidRPr="00AA2EE2">
        <w:rPr>
          <w:rFonts w:ascii="Arial" w:hAnsi="Arial" w:cs="Arial"/>
          <w:sz w:val="20"/>
          <w:szCs w:val="20"/>
        </w:rPr>
        <w:t xml:space="preserve">cálculo </w:t>
      </w:r>
      <w:r w:rsidR="00882E2D" w:rsidRPr="00AA2EE2">
        <w:rPr>
          <w:rFonts w:ascii="Arial" w:hAnsi="Arial" w:cs="Arial"/>
          <w:sz w:val="20"/>
          <w:szCs w:val="20"/>
        </w:rPr>
        <w:t xml:space="preserve">se aplicará a las cantidades adeudadas en cada momento, la tasa de interés Rc; donde Rc será el menor valor que resulte de comparar: a) tasa de interés de deuda senior en Unidades Indexadas (UI) según surja de la operación de 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w:t>
      </w:r>
      <w:r w:rsidR="00882E2D" w:rsidRPr="00AA2EE2">
        <w:rPr>
          <w:rFonts w:ascii="Arial" w:hAnsi="Arial" w:cs="Arial"/>
          <w:sz w:val="20"/>
          <w:szCs w:val="20"/>
        </w:rPr>
        <w:lastRenderedPageBreak/>
        <w:t>interés resultante quedará fijada al día de la concreción de la operación de financiamiento y se mantendrá incambiada en el tiempo, independientemente del momento en que ocurra la terminación anticipada.</w:t>
      </w:r>
    </w:p>
    <w:p w14:paraId="7C0414EF" w14:textId="77777777" w:rsidR="00403E70" w:rsidRPr="00867168" w:rsidRDefault="00A3029F" w:rsidP="00F136AE">
      <w:pPr>
        <w:pStyle w:val="T2"/>
        <w:numPr>
          <w:ilvl w:val="2"/>
          <w:numId w:val="90"/>
        </w:numPr>
        <w:outlineLvl w:val="9"/>
      </w:pPr>
      <w:bookmarkStart w:id="584" w:name="_Toc358821550"/>
      <w:bookmarkStart w:id="585" w:name="_Toc400635176"/>
      <w:bookmarkStart w:id="586" w:name="Lit_46_2_3"/>
      <w:r w:rsidRPr="00867168">
        <w:t>EXTINCIÓN POR MUTUO ACUERDO</w:t>
      </w:r>
      <w:bookmarkEnd w:id="583"/>
      <w:bookmarkEnd w:id="584"/>
      <w:bookmarkEnd w:id="585"/>
      <w:bookmarkEnd w:id="586"/>
    </w:p>
    <w:p w14:paraId="43A41E51" w14:textId="77777777" w:rsidR="00403E70" w:rsidRPr="00867168" w:rsidRDefault="00403E70" w:rsidP="00F136AE">
      <w:pPr>
        <w:jc w:val="both"/>
        <w:rPr>
          <w:rFonts w:ascii="Arial" w:hAnsi="Arial" w:cs="Arial"/>
          <w:sz w:val="20"/>
          <w:szCs w:val="20"/>
          <w:lang w:val="es-UY"/>
        </w:rPr>
      </w:pPr>
      <w:r w:rsidRPr="00867168">
        <w:rPr>
          <w:rFonts w:ascii="Arial" w:hAnsi="Arial" w:cs="Arial"/>
          <w:sz w:val="20"/>
          <w:szCs w:val="24"/>
        </w:rPr>
        <w:t>El contrato podrá extinguirse en cualquier momento por mutuo acuerdo, con las consecuencias que ambas partes convengan en el documento respectivo, sin perjuicio de lo cual deberán obtener el consentimiento escrito de los acreedores que tengan constituida prenda sobre los derechos emergentes del contrato, y/o la cesión del mismo. En ningún caso la Contratante abonará al Contratista una suma mayor a la de las inversiones realizadas en el marco del contrato, teniendo en cuenta los costos financieros de dicha inversión, descontando el grado de amortización de las mismas y la estimación de costos que tendrían los trabajos que deban realizarse para que las condiciones de entrega de las instalaciones cumplan con los presentes Pliegos.</w:t>
      </w:r>
    </w:p>
    <w:p w14:paraId="0A2BEF42" w14:textId="77777777" w:rsidR="00BF377E" w:rsidRPr="00867168" w:rsidRDefault="00BF377E" w:rsidP="00F136AE">
      <w:pPr>
        <w:jc w:val="both"/>
        <w:rPr>
          <w:rFonts w:ascii="Arial" w:hAnsi="Arial" w:cs="Arial"/>
          <w:sz w:val="20"/>
          <w:szCs w:val="20"/>
          <w:lang w:val="es-UY"/>
        </w:rPr>
      </w:pPr>
      <w:r w:rsidRPr="00867168">
        <w:rPr>
          <w:rFonts w:ascii="Arial" w:hAnsi="Arial" w:cs="Arial"/>
          <w:sz w:val="20"/>
          <w:szCs w:val="20"/>
          <w:lang w:val="es-UY"/>
        </w:rPr>
        <w:t>Si existiesen adeudos del Contratista,</w:t>
      </w:r>
      <w:r w:rsidR="00B14DCC" w:rsidRPr="00867168">
        <w:rPr>
          <w:rFonts w:ascii="Arial" w:hAnsi="Arial" w:cs="Arial"/>
          <w:sz w:val="20"/>
          <w:szCs w:val="20"/>
          <w:lang w:val="es-UY"/>
        </w:rPr>
        <w:t xml:space="preserve"> </w:t>
      </w:r>
      <w:r w:rsidRPr="00867168">
        <w:rPr>
          <w:rFonts w:ascii="Arial" w:hAnsi="Arial" w:cs="Arial"/>
          <w:sz w:val="20"/>
          <w:szCs w:val="20"/>
          <w:lang w:val="es-UY"/>
        </w:rPr>
        <w:t xml:space="preserve">la Contratante previa vista al Contratista por el término de diez (10) días, procederá en primer lugar al descuento de los adeudos con la Contratante, en segundo lugar descontará y abonará los adeudos al personal del Contratista </w:t>
      </w:r>
      <w:r w:rsidRPr="00867168">
        <w:rPr>
          <w:rFonts w:ascii="Arial" w:hAnsi="Arial" w:cs="Arial"/>
          <w:sz w:val="20"/>
          <w:szCs w:val="20"/>
          <w:lang w:val="es-UY"/>
        </w:rPr>
        <w:lastRenderedPageBreak/>
        <w:t>y en tercer término descontará y abonará a los acreedores financieros sus créditos pendientes de pago.</w:t>
      </w:r>
    </w:p>
    <w:p w14:paraId="528664AF" w14:textId="77777777" w:rsidR="00810126" w:rsidRPr="00867168" w:rsidRDefault="00BF377E" w:rsidP="00F136AE">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08D15FC6" w14:textId="77777777" w:rsidR="00C74397" w:rsidRPr="00867168" w:rsidRDefault="00C74397" w:rsidP="00F136AE">
      <w:pPr>
        <w:jc w:val="both"/>
        <w:rPr>
          <w:rFonts w:ascii="Arial" w:hAnsi="Arial" w:cs="Arial"/>
          <w:sz w:val="20"/>
          <w:szCs w:val="20"/>
          <w:lang w:val="es-UY"/>
        </w:rPr>
      </w:pPr>
      <w:r w:rsidRPr="00867168">
        <w:rPr>
          <w:rFonts w:ascii="Arial" w:hAnsi="Arial" w:cs="Arial"/>
          <w:sz w:val="20"/>
          <w:szCs w:val="20"/>
          <w:lang w:val="es-UY"/>
        </w:rPr>
        <w:t>La forma de pago surgirá del acuerdo respectivo.</w:t>
      </w:r>
    </w:p>
    <w:p w14:paraId="6353EC5E" w14:textId="77777777" w:rsidR="00A3029F" w:rsidRPr="00867168" w:rsidRDefault="00A3029F" w:rsidP="009A58E0">
      <w:pPr>
        <w:pStyle w:val="T2"/>
        <w:numPr>
          <w:ilvl w:val="2"/>
          <w:numId w:val="90"/>
        </w:numPr>
        <w:outlineLvl w:val="9"/>
      </w:pPr>
      <w:bookmarkStart w:id="587" w:name="_Toc325098537"/>
      <w:bookmarkStart w:id="588" w:name="_Toc340671914"/>
      <w:bookmarkStart w:id="589" w:name="_Toc358821551"/>
      <w:bookmarkStart w:id="590" w:name="_Toc400635177"/>
      <w:bookmarkStart w:id="591" w:name="Lit_46_2_4"/>
      <w:r w:rsidRPr="00867168">
        <w:t>RESCATE</w:t>
      </w:r>
      <w:bookmarkEnd w:id="587"/>
      <w:bookmarkEnd w:id="588"/>
      <w:bookmarkEnd w:id="589"/>
      <w:bookmarkEnd w:id="590"/>
    </w:p>
    <w:bookmarkEnd w:id="591"/>
    <w:p w14:paraId="259FD041"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El rescate del contrato, aun cuando hubiere buena gestión por parte del titular del contrato, y por razones de interés público, requerirá Resolución fundada del Poder Ejecutivo actuando en acuerdo con MTOP y el MEF.</w:t>
      </w:r>
    </w:p>
    <w:p w14:paraId="7F051BFC" w14:textId="77777777" w:rsidR="00570A8E"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En este caso, la Contratante comunicará formalmente al Contratista dicha Resolución del Poder Ejecutivo</w:t>
      </w:r>
      <w:r w:rsidR="00570A8E" w:rsidRPr="00867168">
        <w:rPr>
          <w:rFonts w:ascii="Arial" w:hAnsi="Arial" w:cs="Arial"/>
          <w:sz w:val="20"/>
          <w:szCs w:val="20"/>
          <w:lang w:val="es-UY"/>
        </w:rPr>
        <w:t>, estableciendo una fecha para la extinción del contrato</w:t>
      </w:r>
      <w:r w:rsidRPr="00867168">
        <w:rPr>
          <w:rFonts w:ascii="Arial" w:hAnsi="Arial" w:cs="Arial"/>
          <w:sz w:val="20"/>
          <w:szCs w:val="20"/>
          <w:lang w:val="es-UY"/>
        </w:rPr>
        <w:t>,</w:t>
      </w:r>
      <w:r w:rsidR="00570A8E" w:rsidRPr="00867168">
        <w:rPr>
          <w:rFonts w:ascii="Arial" w:hAnsi="Arial" w:cs="Arial"/>
          <w:sz w:val="20"/>
          <w:szCs w:val="20"/>
          <w:lang w:val="es-UY"/>
        </w:rPr>
        <w:t xml:space="preserve"> la cual</w:t>
      </w:r>
      <w:r w:rsidR="00B14DCC" w:rsidRPr="00867168">
        <w:rPr>
          <w:rFonts w:ascii="Arial" w:hAnsi="Arial" w:cs="Arial"/>
          <w:sz w:val="20"/>
          <w:szCs w:val="20"/>
          <w:lang w:val="es-UY"/>
        </w:rPr>
        <w:t xml:space="preserve"> </w:t>
      </w:r>
      <w:r w:rsidR="00570A8E" w:rsidRPr="00867168">
        <w:rPr>
          <w:rFonts w:ascii="Arial" w:hAnsi="Arial" w:cs="Arial"/>
          <w:sz w:val="20"/>
          <w:szCs w:val="20"/>
          <w:lang w:val="es-UY"/>
        </w:rPr>
        <w:t xml:space="preserve">no podrá ser antes </w:t>
      </w:r>
      <w:r w:rsidRPr="00867168">
        <w:rPr>
          <w:rFonts w:ascii="Arial" w:hAnsi="Arial" w:cs="Arial"/>
          <w:sz w:val="20"/>
          <w:szCs w:val="20"/>
          <w:lang w:val="es-UY"/>
        </w:rPr>
        <w:t>de</w:t>
      </w:r>
      <w:r w:rsidR="00570A8E" w:rsidRPr="00867168">
        <w:rPr>
          <w:rFonts w:ascii="Arial" w:hAnsi="Arial" w:cs="Arial"/>
          <w:sz w:val="20"/>
          <w:szCs w:val="20"/>
          <w:lang w:val="es-UY"/>
        </w:rPr>
        <w:t xml:space="preserve"> los 6 meses ni posterior a los 12 meses de comunicado el rescate.</w:t>
      </w:r>
    </w:p>
    <w:p w14:paraId="020F929A" w14:textId="354F5DD2"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 xml:space="preserve">El monto a ser pagado corresponderá a </w:t>
      </w:r>
      <w:r w:rsidR="00744B02" w:rsidRPr="00867168">
        <w:rPr>
          <w:rFonts w:ascii="Arial" w:hAnsi="Arial" w:cs="Arial"/>
          <w:sz w:val="20"/>
          <w:szCs w:val="20"/>
          <w:lang w:val="es-UY"/>
        </w:rPr>
        <w:t xml:space="preserve">la totalidad de </w:t>
      </w:r>
      <w:r w:rsidRPr="00867168">
        <w:rPr>
          <w:rFonts w:ascii="Arial" w:hAnsi="Arial" w:cs="Arial"/>
          <w:sz w:val="20"/>
          <w:szCs w:val="20"/>
          <w:lang w:val="es-UY"/>
        </w:rPr>
        <w:t>las inversiones</w:t>
      </w:r>
      <w:r w:rsidR="0026041C">
        <w:rPr>
          <w:rFonts w:ascii="Arial" w:hAnsi="Arial" w:cs="Arial"/>
          <w:sz w:val="20"/>
          <w:szCs w:val="20"/>
          <w:lang w:val="es-UY"/>
        </w:rPr>
        <w:t>, valuadas en UI,</w:t>
      </w:r>
      <w:r w:rsidR="00093725" w:rsidRPr="00362A8D">
        <w:rPr>
          <w:rFonts w:ascii="Arial" w:hAnsi="Arial" w:cs="Arial"/>
          <w:sz w:val="20"/>
          <w:szCs w:val="20"/>
          <w:lang w:val="es-UY"/>
        </w:rPr>
        <w:t xml:space="preserve"> realizadas en el marco del contrato estable</w:t>
      </w:r>
      <w:r w:rsidR="00093725" w:rsidRPr="00362A8D">
        <w:rPr>
          <w:rFonts w:ascii="Arial" w:hAnsi="Arial" w:cs="Arial"/>
          <w:sz w:val="20"/>
          <w:szCs w:val="20"/>
          <w:lang w:val="es-UY"/>
        </w:rPr>
        <w:lastRenderedPageBreak/>
        <w:t>cido en el PEF presentado en la oferta</w:t>
      </w:r>
      <w:r w:rsidRPr="00B60B2D">
        <w:rPr>
          <w:rFonts w:ascii="Arial" w:hAnsi="Arial" w:cs="Arial"/>
          <w:sz w:val="20"/>
          <w:szCs w:val="20"/>
          <w:lang w:val="es-UY"/>
        </w:rPr>
        <w:t xml:space="preserve"> menos lo amortizado, teniendo en cuenta las inversiones iniciales asociadas a la componente A y el </w:t>
      </w:r>
      <w:r w:rsidR="00744B02"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realizado.</w:t>
      </w:r>
    </w:p>
    <w:p w14:paraId="2A77E1C2"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La Contratante reconocerá por conc</w:t>
      </w:r>
      <w:r w:rsidR="00EB5E00" w:rsidRPr="00867168">
        <w:rPr>
          <w:rFonts w:ascii="Arial" w:hAnsi="Arial" w:cs="Arial"/>
          <w:sz w:val="20"/>
          <w:szCs w:val="20"/>
          <w:lang w:val="es-UY"/>
        </w:rPr>
        <w:t>epto de los daños y perjuicios previstos en esta cláusula</w:t>
      </w:r>
      <w:r w:rsidRPr="00867168">
        <w:rPr>
          <w:rFonts w:ascii="Arial" w:hAnsi="Arial" w:cs="Arial"/>
          <w:sz w:val="20"/>
          <w:szCs w:val="20"/>
          <w:lang w:val="es-UY"/>
        </w:rPr>
        <w:t xml:space="preserve"> los siguientes:</w:t>
      </w:r>
    </w:p>
    <w:p w14:paraId="541C91B7" w14:textId="77777777" w:rsidR="004C05E1" w:rsidRPr="00867168" w:rsidRDefault="004C05E1" w:rsidP="00A9381E">
      <w:pPr>
        <w:jc w:val="center"/>
        <w:rPr>
          <w:rFonts w:ascii="Arial" w:hAnsi="Arial" w:cs="Arial"/>
          <w:sz w:val="20"/>
          <w:szCs w:val="20"/>
          <w:lang w:val="es-UY"/>
        </w:rPr>
      </w:pPr>
      <w:r w:rsidRPr="00867168">
        <w:rPr>
          <w:rFonts w:ascii="Arial" w:hAnsi="Arial" w:cs="Arial"/>
          <w:sz w:val="20"/>
          <w:szCs w:val="20"/>
          <w:lang w:val="es-UY"/>
        </w:rPr>
        <w:t xml:space="preserve">INV no amortizada </w:t>
      </w:r>
      <w:r w:rsidRPr="00867168">
        <w:rPr>
          <w:rFonts w:ascii="Arial" w:hAnsi="Arial" w:cs="Arial"/>
          <w:sz w:val="20"/>
          <w:szCs w:val="20"/>
          <w:vertAlign w:val="subscript"/>
          <w:lang w:val="es-UY"/>
        </w:rPr>
        <w:t>k</w:t>
      </w:r>
      <w:r w:rsidRPr="00867168">
        <w:rPr>
          <w:rFonts w:ascii="Arial" w:hAnsi="Arial" w:cs="Arial"/>
          <w:sz w:val="20"/>
          <w:szCs w:val="20"/>
          <w:lang w:val="es-UY"/>
        </w:rPr>
        <w:t xml:space="preserve"> *0,20 + PPD </w:t>
      </w:r>
      <w:r w:rsidR="007B6C5F" w:rsidRPr="00867168">
        <w:rPr>
          <w:rFonts w:ascii="Arial" w:hAnsi="Arial" w:cs="Arial"/>
          <w:sz w:val="20"/>
          <w:szCs w:val="20"/>
          <w:vertAlign w:val="subscript"/>
          <w:lang w:val="es-UY"/>
        </w:rPr>
        <w:t>k</w:t>
      </w:r>
      <w:r w:rsidRPr="00867168">
        <w:rPr>
          <w:rFonts w:ascii="Arial" w:hAnsi="Arial" w:cs="Arial"/>
          <w:sz w:val="20"/>
          <w:szCs w:val="20"/>
          <w:vertAlign w:val="subscript"/>
          <w:lang w:val="es-UY"/>
        </w:rPr>
        <w:t>-1</w:t>
      </w:r>
      <w:r w:rsidRPr="00867168">
        <w:rPr>
          <w:rFonts w:ascii="Arial" w:hAnsi="Arial" w:cs="Arial"/>
          <w:sz w:val="20"/>
          <w:szCs w:val="20"/>
          <w:lang w:val="es-UY"/>
        </w:rPr>
        <w:t xml:space="preserve"> * </w:t>
      </w:r>
      <w:r w:rsidR="00314108" w:rsidRPr="00867168">
        <w:rPr>
          <w:rFonts w:ascii="Arial" w:hAnsi="Arial" w:cs="Arial"/>
          <w:sz w:val="20"/>
          <w:szCs w:val="20"/>
          <w:lang w:val="es-UY"/>
        </w:rPr>
        <w:t>0,3</w:t>
      </w:r>
    </w:p>
    <w:p w14:paraId="670EF9D6" w14:textId="7C918BA6" w:rsidR="00C621EC"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 xml:space="preserve">INV no amortizada: corresponde a la inversión que integra el PEF que a la fecha de terminación anticipada no ha sido amortizada, teniendo en cuenta las inversiones iniciales asociadas a la componente A y el </w:t>
      </w:r>
      <w:r w:rsidR="00AE5568" w:rsidRPr="00867168">
        <w:rPr>
          <w:rFonts w:ascii="Arial" w:hAnsi="Arial" w:cs="Arial"/>
          <w:sz w:val="20"/>
          <w:szCs w:val="20"/>
          <w:lang w:val="es-UY"/>
        </w:rPr>
        <w:t>valor</w:t>
      </w:r>
      <w:r w:rsidRPr="00867168">
        <w:rPr>
          <w:rFonts w:ascii="Arial" w:hAnsi="Arial" w:cs="Arial"/>
          <w:sz w:val="20"/>
          <w:szCs w:val="20"/>
          <w:lang w:val="es-UY"/>
        </w:rPr>
        <w:t xml:space="preserve"> neto asociado a las inversiones de mantenimiento mayor vinculadas al componente C que se hubieran efectivamente </w:t>
      </w:r>
      <w:r w:rsidRPr="0098128A">
        <w:rPr>
          <w:rFonts w:ascii="Arial" w:hAnsi="Arial" w:cs="Arial"/>
          <w:sz w:val="20"/>
          <w:szCs w:val="20"/>
          <w:lang w:val="es-UY"/>
        </w:rPr>
        <w:t>realizado</w:t>
      </w:r>
      <w:r w:rsidR="0098128A" w:rsidRPr="0098128A">
        <w:rPr>
          <w:rFonts w:ascii="Arial" w:hAnsi="Arial" w:cs="Arial"/>
          <w:sz w:val="20"/>
          <w:szCs w:val="20"/>
          <w:lang w:val="es-UY"/>
        </w:rPr>
        <w:t xml:space="preserve"> e incluyendo a estos efectos las obras iniciales de construcción, puesta a punto y complementarias, así como aquellas realizadas conf</w:t>
      </w:r>
      <w:r w:rsidR="0098128A" w:rsidRPr="00930EF0">
        <w:rPr>
          <w:rFonts w:ascii="Arial" w:hAnsi="Arial" w:cs="Arial"/>
          <w:sz w:val="20"/>
          <w:szCs w:val="20"/>
          <w:lang w:val="es-UY"/>
        </w:rPr>
        <w:t>orme a las cláusulas 42.1 y 42.2 del presente Pliego</w:t>
      </w:r>
      <w:r w:rsidRPr="00B60B2D">
        <w:rPr>
          <w:rFonts w:ascii="Arial" w:hAnsi="Arial" w:cs="Arial"/>
          <w:sz w:val="20"/>
          <w:szCs w:val="20"/>
          <w:lang w:val="es-UY"/>
        </w:rPr>
        <w:t>. A los efectos de determinar el grado de amortización, se considerará</w:t>
      </w:r>
      <w:r w:rsidR="00314108" w:rsidRPr="00362A8D">
        <w:rPr>
          <w:rFonts w:ascii="Arial" w:hAnsi="Arial" w:cs="Arial"/>
          <w:sz w:val="20"/>
          <w:szCs w:val="20"/>
          <w:lang w:val="es-UY"/>
        </w:rPr>
        <w:t xml:space="preserve"> el </w:t>
      </w:r>
      <w:r w:rsidR="007A7159" w:rsidRPr="00362A8D">
        <w:rPr>
          <w:rFonts w:ascii="Arial" w:hAnsi="Arial" w:cs="Arial"/>
          <w:sz w:val="20"/>
          <w:szCs w:val="20"/>
          <w:lang w:val="es-UY"/>
        </w:rPr>
        <w:t>porcentaje</w:t>
      </w:r>
      <w:r w:rsidR="00314108" w:rsidRPr="00362A8D">
        <w:rPr>
          <w:rFonts w:ascii="Arial" w:hAnsi="Arial" w:cs="Arial"/>
          <w:sz w:val="20"/>
          <w:szCs w:val="20"/>
          <w:lang w:val="es-UY"/>
        </w:rPr>
        <w:t xml:space="preserve"> que surge de</w:t>
      </w:r>
      <w:r w:rsidR="00BF377E" w:rsidRPr="00362A8D">
        <w:rPr>
          <w:rFonts w:ascii="Arial" w:hAnsi="Arial" w:cs="Arial"/>
          <w:sz w:val="20"/>
          <w:szCs w:val="20"/>
          <w:lang w:val="es-UY"/>
        </w:rPr>
        <w:t xml:space="preserve"> la suma de las cuotas que hubiera </w:t>
      </w:r>
      <w:r w:rsidR="00C621EC" w:rsidRPr="00362A8D">
        <w:rPr>
          <w:rFonts w:ascii="Arial" w:hAnsi="Arial" w:cs="Arial"/>
          <w:sz w:val="20"/>
          <w:szCs w:val="20"/>
          <w:lang w:val="es-UY"/>
        </w:rPr>
        <w:t>pagado</w:t>
      </w:r>
      <w:r w:rsidR="00BF377E" w:rsidRPr="00362A8D">
        <w:rPr>
          <w:rFonts w:ascii="Arial" w:hAnsi="Arial" w:cs="Arial"/>
          <w:sz w:val="20"/>
          <w:szCs w:val="20"/>
          <w:lang w:val="es-UY"/>
        </w:rPr>
        <w:t xml:space="preserve"> por la componente A </w:t>
      </w:r>
      <w:r w:rsidR="00357038" w:rsidRPr="00867168">
        <w:rPr>
          <w:rFonts w:ascii="Arial" w:hAnsi="Arial" w:cs="Arial"/>
          <w:sz w:val="20"/>
          <w:szCs w:val="20"/>
          <w:lang w:val="es-UY"/>
        </w:rPr>
        <w:t>(</w:t>
      </w:r>
      <w:r w:rsidR="00BF377E" w:rsidRPr="00867168">
        <w:rPr>
          <w:rFonts w:ascii="Arial" w:hAnsi="Arial" w:cs="Arial"/>
          <w:sz w:val="20"/>
          <w:szCs w:val="20"/>
          <w:lang w:val="es-UY"/>
        </w:rPr>
        <w:t>si la disponibilidad hubiere sido del 100%</w:t>
      </w:r>
      <w:r w:rsidR="00357038" w:rsidRPr="00867168">
        <w:rPr>
          <w:rFonts w:ascii="Arial" w:hAnsi="Arial" w:cs="Arial"/>
          <w:sz w:val="20"/>
          <w:szCs w:val="20"/>
          <w:lang w:val="es-UY"/>
        </w:rPr>
        <w:t xml:space="preserve">) </w:t>
      </w:r>
      <w:r w:rsidR="00BF377E" w:rsidRPr="00867168">
        <w:rPr>
          <w:rFonts w:ascii="Arial" w:hAnsi="Arial" w:cs="Arial"/>
          <w:sz w:val="20"/>
          <w:szCs w:val="20"/>
          <w:lang w:val="es-UY"/>
        </w:rPr>
        <w:t>en relación a la totalidad de la componente A</w:t>
      </w:r>
      <w:r w:rsidR="00C336F0" w:rsidRPr="00867168">
        <w:rPr>
          <w:rFonts w:ascii="Arial" w:hAnsi="Arial" w:cs="Arial"/>
          <w:sz w:val="20"/>
          <w:szCs w:val="20"/>
          <w:lang w:val="es-UY"/>
        </w:rPr>
        <w:t>.</w:t>
      </w:r>
      <w:r w:rsidRPr="00867168">
        <w:rPr>
          <w:rFonts w:ascii="Arial" w:hAnsi="Arial" w:cs="Arial"/>
          <w:sz w:val="20"/>
          <w:szCs w:val="20"/>
          <w:lang w:val="es-UY"/>
        </w:rPr>
        <w:t xml:space="preserve"> </w:t>
      </w:r>
    </w:p>
    <w:p w14:paraId="44937736" w14:textId="4839A51D" w:rsidR="004C05E1" w:rsidRPr="00362A8D" w:rsidRDefault="004C05E1" w:rsidP="00683CB0">
      <w:pPr>
        <w:jc w:val="both"/>
        <w:rPr>
          <w:rFonts w:ascii="Arial" w:hAnsi="Arial" w:cs="Arial"/>
          <w:sz w:val="20"/>
          <w:szCs w:val="20"/>
          <w:lang w:val="es-UY"/>
        </w:rPr>
      </w:pPr>
      <w:r w:rsidRPr="00867168">
        <w:rPr>
          <w:rFonts w:ascii="Arial" w:hAnsi="Arial" w:cs="Arial"/>
          <w:sz w:val="20"/>
          <w:szCs w:val="20"/>
          <w:lang w:val="es-UY"/>
        </w:rPr>
        <w:lastRenderedPageBreak/>
        <w:t xml:space="preserve">En caso de que no haya sido finalizada la etapa de construcción, se considerará la inversión realizada hasta el año k aprobada por el Órgano de Control del </w:t>
      </w:r>
      <w:r w:rsidRPr="0098128A">
        <w:rPr>
          <w:rFonts w:ascii="Arial" w:hAnsi="Arial" w:cs="Arial"/>
          <w:sz w:val="20"/>
          <w:szCs w:val="20"/>
          <w:lang w:val="es-UY"/>
        </w:rPr>
        <w:t>contrato</w:t>
      </w:r>
      <w:r w:rsidR="0098128A" w:rsidRPr="00D22274">
        <w:rPr>
          <w:rFonts w:ascii="Arial" w:hAnsi="Arial" w:cs="Arial"/>
          <w:sz w:val="20"/>
          <w:szCs w:val="20"/>
          <w:lang w:val="es-UY"/>
        </w:rPr>
        <w:t xml:space="preserve"> y las obras realizadas hasta la fecha de la extinción que deberán ser valuadas por el Órgano de Control del contrato</w:t>
      </w:r>
      <w:r w:rsidRPr="00B60B2D">
        <w:rPr>
          <w:rFonts w:ascii="Arial" w:hAnsi="Arial" w:cs="Arial"/>
          <w:sz w:val="20"/>
          <w:szCs w:val="20"/>
          <w:lang w:val="es-UY"/>
        </w:rPr>
        <w:t>.</w:t>
      </w:r>
    </w:p>
    <w:p w14:paraId="68511EBE" w14:textId="77777777" w:rsidR="004C05E1" w:rsidRPr="00867168" w:rsidRDefault="004C05E1" w:rsidP="00683CB0">
      <w:pPr>
        <w:jc w:val="both"/>
        <w:rPr>
          <w:rFonts w:ascii="Arial" w:hAnsi="Arial" w:cs="Arial"/>
          <w:sz w:val="20"/>
          <w:szCs w:val="20"/>
          <w:lang w:val="es-UY"/>
        </w:rPr>
      </w:pPr>
      <w:r w:rsidRPr="00B60B2D">
        <w:rPr>
          <w:rFonts w:ascii="Arial" w:hAnsi="Arial" w:cs="Arial"/>
          <w:sz w:val="20"/>
          <w:szCs w:val="20"/>
          <w:lang w:val="es-UY"/>
        </w:rPr>
        <w:t>PPD</w:t>
      </w:r>
      <w:r w:rsidR="00894DC3" w:rsidRPr="00867168">
        <w:rPr>
          <w:rFonts w:ascii="Arial" w:hAnsi="Arial" w:cs="Arial"/>
          <w:sz w:val="20"/>
          <w:szCs w:val="20"/>
          <w:lang w:val="es-UY"/>
        </w:rPr>
        <w:t xml:space="preserve"> </w:t>
      </w:r>
      <w:r w:rsidRPr="00867168">
        <w:rPr>
          <w:rFonts w:ascii="Arial" w:hAnsi="Arial" w:cs="Arial"/>
          <w:sz w:val="20"/>
          <w:szCs w:val="20"/>
          <w:vertAlign w:val="subscript"/>
          <w:lang w:val="es-UY"/>
        </w:rPr>
        <w:t>k-1</w:t>
      </w:r>
      <w:r w:rsidRPr="00867168">
        <w:rPr>
          <w:rFonts w:ascii="Arial" w:hAnsi="Arial" w:cs="Arial"/>
          <w:sz w:val="20"/>
          <w:szCs w:val="20"/>
          <w:lang w:val="es-UY"/>
        </w:rPr>
        <w:t xml:space="preserve">: corresponde al Pago por Disponibilidad Anual valorado en Unidades Indexadas recibido por el contratista en el año k-1. </w:t>
      </w:r>
    </w:p>
    <w:p w14:paraId="0B154DD9"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k: corresponde al año en que se produce la terminación anticipada del contrato.</w:t>
      </w:r>
    </w:p>
    <w:p w14:paraId="4B5823BF"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Si existiesen adeudos del Contratista, la Contratante previa vista al Contratista por el término de diez (10) días, procederá en primer lugar al descuento de los adeudos con la Contratante, en segundo lugar descontará y abonará los adeudos al personal del Contratista y en tercer término descontará y abonará a los acreedores financieros sus créditos pendientes de pago.</w:t>
      </w:r>
    </w:p>
    <w:p w14:paraId="0F602CC8" w14:textId="77777777" w:rsidR="004C05E1" w:rsidRPr="00867168" w:rsidRDefault="004C05E1" w:rsidP="00683CB0">
      <w:pPr>
        <w:jc w:val="both"/>
        <w:rPr>
          <w:rFonts w:ascii="Arial" w:hAnsi="Arial" w:cs="Arial"/>
          <w:sz w:val="20"/>
          <w:szCs w:val="20"/>
          <w:lang w:val="es-UY"/>
        </w:rPr>
      </w:pPr>
      <w:r w:rsidRPr="00867168">
        <w:rPr>
          <w:rFonts w:ascii="Arial" w:hAnsi="Arial" w:cs="Arial"/>
          <w:sz w:val="20"/>
          <w:szCs w:val="20"/>
          <w:lang w:val="es-UY"/>
        </w:rPr>
        <w:t>El pago a los acreedores financieros se realizará en el orden de preferencia de sus créditos hasta el límite de los mismos y hasta el monto total de la indemnización a pagar al Contratista a consecuencia de la extinción del Contrato y en su caso a prorrata de sus créditos. En caso de existir remanente, se le abonará al Contratista.</w:t>
      </w:r>
    </w:p>
    <w:p w14:paraId="5D9376D4" w14:textId="77777777" w:rsidR="00A8021D" w:rsidRDefault="004C05E1" w:rsidP="00A8021D">
      <w:pPr>
        <w:jc w:val="both"/>
        <w:rPr>
          <w:rFonts w:ascii="Arial" w:hAnsi="Arial" w:cs="Arial"/>
          <w:sz w:val="20"/>
          <w:szCs w:val="20"/>
          <w:lang w:val="es-UY"/>
        </w:rPr>
      </w:pPr>
      <w:r w:rsidRPr="00867168">
        <w:rPr>
          <w:rFonts w:ascii="Arial" w:hAnsi="Arial" w:cs="Arial"/>
          <w:sz w:val="20"/>
          <w:szCs w:val="20"/>
          <w:lang w:val="es-UY"/>
        </w:rPr>
        <w:lastRenderedPageBreak/>
        <w:t xml:space="preserve">Durante el proceso de extinción del contrato y hasta su verificación, </w:t>
      </w:r>
      <w:r w:rsidR="008F2655" w:rsidRPr="00867168">
        <w:rPr>
          <w:rFonts w:ascii="Arial" w:hAnsi="Arial" w:cs="Arial"/>
          <w:sz w:val="20"/>
          <w:szCs w:val="20"/>
          <w:lang w:val="es-UY"/>
        </w:rPr>
        <w:t>e</w:t>
      </w:r>
      <w:r w:rsidRPr="00867168">
        <w:rPr>
          <w:rFonts w:ascii="Arial" w:hAnsi="Arial" w:cs="Arial"/>
          <w:sz w:val="20"/>
          <w:szCs w:val="20"/>
          <w:lang w:val="es-UY"/>
        </w:rPr>
        <w:t>l Contratista no podrá ser privad</w:t>
      </w:r>
      <w:r w:rsidR="00472588" w:rsidRPr="00867168">
        <w:rPr>
          <w:rFonts w:ascii="Arial" w:hAnsi="Arial" w:cs="Arial"/>
          <w:sz w:val="20"/>
          <w:szCs w:val="20"/>
          <w:lang w:val="es-UY"/>
        </w:rPr>
        <w:t>o</w:t>
      </w:r>
      <w:r w:rsidRPr="00867168">
        <w:rPr>
          <w:rFonts w:ascii="Arial" w:hAnsi="Arial" w:cs="Arial"/>
          <w:sz w:val="20"/>
          <w:szCs w:val="20"/>
          <w:lang w:val="es-UY"/>
        </w:rPr>
        <w:t xml:space="preserve"> del PPD en tanto se mantengan en ejecución las contraprestaciones establecidas en el contrato o las que eventualmente se acuerden con la Contratante correspondiendo en ese caso la proporción asociada del PPD.</w:t>
      </w:r>
      <w:bookmarkStart w:id="592" w:name="_Toc340671915"/>
      <w:bookmarkStart w:id="593" w:name="_Toc358821552"/>
      <w:bookmarkStart w:id="594" w:name="_Toc400622279"/>
      <w:bookmarkStart w:id="595" w:name="_Toc400629130"/>
      <w:bookmarkStart w:id="596" w:name="_Toc400634051"/>
      <w:bookmarkStart w:id="597" w:name="_Toc400635178"/>
    </w:p>
    <w:p w14:paraId="4AF69EEF" w14:textId="77777777" w:rsidR="00175A61" w:rsidRDefault="00175A61" w:rsidP="00A8021D">
      <w:pPr>
        <w:jc w:val="both"/>
        <w:rPr>
          <w:rFonts w:ascii="Arial" w:hAnsi="Arial" w:cs="Arial"/>
          <w:sz w:val="20"/>
          <w:szCs w:val="20"/>
          <w:lang w:val="es-UY"/>
        </w:rPr>
      </w:pPr>
    </w:p>
    <w:p w14:paraId="34223FF2" w14:textId="3A442333" w:rsidR="00FE6C69" w:rsidRDefault="00FE6C69" w:rsidP="0070441A">
      <w:pPr>
        <w:pStyle w:val="T2"/>
        <w:numPr>
          <w:ilvl w:val="2"/>
          <w:numId w:val="90"/>
        </w:numPr>
        <w:outlineLvl w:val="9"/>
      </w:pPr>
      <w:r w:rsidRPr="0070441A">
        <w:t>FUERZA MAYOR</w:t>
      </w:r>
    </w:p>
    <w:p w14:paraId="54F38654" w14:textId="7062B30B" w:rsidR="00FC631A" w:rsidRPr="00FC631A" w:rsidRDefault="00FC631A" w:rsidP="00FC631A">
      <w:pPr>
        <w:jc w:val="both"/>
        <w:rPr>
          <w:rFonts w:ascii="Arial" w:hAnsi="Arial" w:cs="Arial"/>
          <w:sz w:val="20"/>
          <w:szCs w:val="20"/>
          <w:lang w:val="es-UY"/>
        </w:rPr>
      </w:pPr>
      <w:r w:rsidRPr="00FC631A">
        <w:rPr>
          <w:rFonts w:ascii="Arial" w:hAnsi="Arial" w:cs="Arial"/>
          <w:sz w:val="20"/>
          <w:szCs w:val="20"/>
          <w:lang w:val="es-UY"/>
        </w:rPr>
        <w:t>En caso de imposibilidad de cumplimiento del contrato como consecuencia de la existencia de causas de caso fortuito o fuerza mayor, el contrato se extinguirá y la Administración Pública contratante abonará a la Contratista la totalidad de las inversiones realizadas en el marco del contrato establecido en el PEF presentado en la oferta menos lo amortizado, teniendo en cuenta las inversiones iniciales asociadas a la componente A y el valor neto asociado a las inversiones de mantenimiento mayor vinculadas al componente C que se hubieran efectivamente realizado</w:t>
      </w:r>
      <w:r w:rsidR="00D22274">
        <w:rPr>
          <w:rFonts w:ascii="Arial" w:hAnsi="Arial" w:cs="Arial"/>
          <w:sz w:val="20"/>
          <w:szCs w:val="20"/>
          <w:lang w:val="es-UY"/>
        </w:rPr>
        <w:t xml:space="preserve"> </w:t>
      </w:r>
      <w:r w:rsidR="00D22274" w:rsidRPr="0098128A">
        <w:rPr>
          <w:rFonts w:ascii="Arial" w:hAnsi="Arial" w:cs="Arial"/>
          <w:sz w:val="20"/>
          <w:szCs w:val="20"/>
          <w:lang w:val="es-UY"/>
        </w:rPr>
        <w:t>e incluyendo a estos efectos las obras iniciales de construcción, puesta a punto y complementarias, así como aquellas realizadas conf</w:t>
      </w:r>
      <w:r w:rsidR="00D22274" w:rsidRPr="00221032">
        <w:rPr>
          <w:rFonts w:ascii="Arial" w:hAnsi="Arial" w:cs="Arial"/>
          <w:sz w:val="20"/>
          <w:szCs w:val="20"/>
          <w:lang w:val="es-UY"/>
        </w:rPr>
        <w:t>orme a las cláusulas 42.1 y 42.2 del presente Pliego</w:t>
      </w:r>
      <w:r w:rsidRPr="00FC631A">
        <w:rPr>
          <w:rFonts w:ascii="Arial" w:hAnsi="Arial" w:cs="Arial"/>
          <w:sz w:val="20"/>
          <w:szCs w:val="20"/>
          <w:lang w:val="es-UY"/>
        </w:rPr>
        <w:t xml:space="preserve">. </w:t>
      </w:r>
    </w:p>
    <w:p w14:paraId="5D1E977A" w14:textId="2E032041" w:rsidR="001C02C3" w:rsidRPr="00867168" w:rsidRDefault="001C02C3" w:rsidP="001C02C3">
      <w:pPr>
        <w:jc w:val="both"/>
        <w:rPr>
          <w:rFonts w:ascii="Arial" w:hAnsi="Arial" w:cs="Arial"/>
          <w:sz w:val="20"/>
          <w:szCs w:val="20"/>
          <w:lang w:val="es-UY"/>
        </w:rPr>
      </w:pPr>
      <w:r w:rsidRPr="001B7E64">
        <w:rPr>
          <w:rFonts w:ascii="Arial" w:hAnsi="Arial" w:cs="Arial"/>
          <w:sz w:val="20"/>
          <w:szCs w:val="20"/>
        </w:rPr>
        <w:t>En caso que el pago que realice la Co</w:t>
      </w:r>
      <w:r>
        <w:rPr>
          <w:rFonts w:ascii="Arial" w:hAnsi="Arial" w:cs="Arial"/>
          <w:sz w:val="20"/>
          <w:szCs w:val="20"/>
        </w:rPr>
        <w:t>ntratante se efectue en cuotas</w:t>
      </w:r>
      <w:r w:rsidRPr="001B7E64">
        <w:rPr>
          <w:rFonts w:ascii="Arial" w:hAnsi="Arial" w:cs="Arial"/>
          <w:sz w:val="20"/>
          <w:szCs w:val="20"/>
        </w:rPr>
        <w:t>, las mismas deberán ser anuales y de igual importe, asimism</w:t>
      </w:r>
      <w:r>
        <w:rPr>
          <w:rFonts w:ascii="Arial" w:hAnsi="Arial" w:cs="Arial"/>
          <w:sz w:val="20"/>
          <w:szCs w:val="20"/>
        </w:rPr>
        <w:t xml:space="preserve">o </w:t>
      </w:r>
      <w:r>
        <w:rPr>
          <w:rFonts w:ascii="Arial" w:hAnsi="Arial" w:cs="Arial"/>
          <w:sz w:val="20"/>
          <w:szCs w:val="20"/>
        </w:rPr>
        <w:lastRenderedPageBreak/>
        <w:t>no podrán realizarse</w:t>
      </w:r>
      <w:r w:rsidRPr="001B7E64">
        <w:rPr>
          <w:rFonts w:ascii="Arial" w:hAnsi="Arial" w:cs="Arial"/>
          <w:sz w:val="20"/>
          <w:szCs w:val="20"/>
        </w:rPr>
        <w:t xml:space="preserve"> en un plazo mayor al que resta de ejecución del con</w:t>
      </w:r>
      <w:r>
        <w:rPr>
          <w:rFonts w:ascii="Arial" w:hAnsi="Arial" w:cs="Arial"/>
          <w:sz w:val="20"/>
          <w:szCs w:val="20"/>
        </w:rPr>
        <w:t xml:space="preserve">trato, y para su </w:t>
      </w:r>
      <w:r w:rsidRPr="00AA2EE2">
        <w:rPr>
          <w:rFonts w:ascii="Arial" w:hAnsi="Arial" w:cs="Arial"/>
          <w:sz w:val="20"/>
          <w:szCs w:val="20"/>
        </w:rPr>
        <w:t>cálculo se aplicará a las cantidades adeudadas en cada momento, la tasa de interés Rc; donde Rc será el menor valor que resulte de comparar: a) tasa de interés de deuda senior en Unidades Indexadas (UI) según surja de la operación de financiamiento realizada por la Contratista para cubrir las necesidades de financiamiento de las obras iniciales; b) tasa de interés para el plazo de 10 años de la curva CUI elaborada por BEVSA, que surge del promedio simple para los tres últimos días anteriores al día de concreción de la operación de financiamiento realizada por la Contratista para cubrir las necesidades de financiamiento de las obras iniciales, expresada en puntos porcentuales, más 2,5 por ciento. En cualquiera de los dos casos mencionados, la tasa de interés resultante quedará fijada al día de la concreción de la operación de financiamiento y se mantendrá incambiada en el tiempo, independientemente del momento en que ocurra la terminación anticipada.</w:t>
      </w:r>
    </w:p>
    <w:p w14:paraId="0E4E14FA" w14:textId="77777777" w:rsidR="00FC631A" w:rsidRDefault="00FC631A" w:rsidP="00FC631A">
      <w:pPr>
        <w:jc w:val="both"/>
        <w:rPr>
          <w:rFonts w:ascii="Arial" w:hAnsi="Arial" w:cs="Arial"/>
          <w:sz w:val="20"/>
          <w:szCs w:val="20"/>
          <w:lang w:val="es-UY"/>
        </w:rPr>
      </w:pPr>
      <w:r w:rsidRPr="00FC631A">
        <w:rPr>
          <w:rFonts w:ascii="Arial" w:hAnsi="Arial" w:cs="Arial"/>
          <w:sz w:val="20"/>
          <w:szCs w:val="20"/>
          <w:lang w:val="es-UY"/>
        </w:rPr>
        <w:t>La Administración Pública Contratante recibirá las indemnizaciones que correspondan por los seguros tomados por la Contratista en el marco de este proyecto.</w:t>
      </w:r>
    </w:p>
    <w:p w14:paraId="78F3DCD7" w14:textId="77777777" w:rsidR="00FE6C69" w:rsidRPr="00FE6C69" w:rsidRDefault="00FE6C69" w:rsidP="00A8021D">
      <w:pPr>
        <w:jc w:val="both"/>
        <w:rPr>
          <w:rFonts w:ascii="Arial" w:hAnsi="Arial" w:cs="Arial"/>
          <w:b/>
          <w:sz w:val="20"/>
          <w:szCs w:val="20"/>
          <w:lang w:val="es-UY"/>
        </w:rPr>
      </w:pPr>
    </w:p>
    <w:p w14:paraId="38943571" w14:textId="77777777" w:rsidR="00A3029F" w:rsidRPr="00E2664E" w:rsidRDefault="00A3029F" w:rsidP="00CC1C83">
      <w:pPr>
        <w:pStyle w:val="T1"/>
        <w:numPr>
          <w:ilvl w:val="0"/>
          <w:numId w:val="90"/>
        </w:numPr>
        <w:outlineLvl w:val="2"/>
      </w:pPr>
      <w:bookmarkStart w:id="598" w:name="_Toc468288042"/>
      <w:bookmarkStart w:id="599" w:name="_Toc496266635"/>
      <w:bookmarkStart w:id="600" w:name="Lit_47"/>
      <w:r w:rsidRPr="00E2664E">
        <w:lastRenderedPageBreak/>
        <w:t>INTERVENCIÓN POR LA CONTRATANTE</w:t>
      </w:r>
      <w:bookmarkEnd w:id="592"/>
      <w:bookmarkEnd w:id="593"/>
      <w:bookmarkEnd w:id="594"/>
      <w:bookmarkEnd w:id="595"/>
      <w:bookmarkEnd w:id="596"/>
      <w:bookmarkEnd w:id="597"/>
      <w:bookmarkEnd w:id="598"/>
      <w:bookmarkEnd w:id="599"/>
    </w:p>
    <w:bookmarkEnd w:id="600"/>
    <w:p w14:paraId="28D3137B" w14:textId="71923F8E" w:rsidR="00A3029F" w:rsidRPr="00E2664E"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De acuerdo al artículo </w:t>
      </w:r>
      <w:hyperlink r:id="rId92" w:history="1">
        <w:r w:rsidR="007237FA" w:rsidRPr="00EC7417">
          <w:rPr>
            <w:rStyle w:val="Hipervnculo"/>
            <w:rFonts w:ascii="Arial" w:hAnsi="Arial" w:cs="Arial"/>
            <w:sz w:val="20"/>
            <w:szCs w:val="20"/>
            <w:lang w:val="es-UY" w:eastAsia="es-UY"/>
          </w:rPr>
          <w:t>52</w:t>
        </w:r>
      </w:hyperlink>
      <w:r w:rsidR="007237FA" w:rsidRPr="00E2664E">
        <w:rPr>
          <w:rFonts w:ascii="Arial" w:hAnsi="Arial" w:cs="Arial"/>
          <w:sz w:val="20"/>
          <w:szCs w:val="20"/>
          <w:lang w:val="es-UY" w:eastAsia="es-UY"/>
        </w:rPr>
        <w:t xml:space="preserve"> </w:t>
      </w:r>
      <w:r w:rsidRPr="00E2664E">
        <w:rPr>
          <w:rFonts w:ascii="Arial" w:hAnsi="Arial" w:cs="Arial"/>
          <w:sz w:val="20"/>
          <w:szCs w:val="20"/>
          <w:lang w:val="es-UY" w:eastAsia="es-UY"/>
        </w:rPr>
        <w:t xml:space="preserve">de la </w:t>
      </w:r>
      <w:r w:rsidR="00C33B28">
        <w:rPr>
          <w:rFonts w:ascii="Arial" w:hAnsi="Arial" w:cs="Arial"/>
          <w:sz w:val="20"/>
          <w:szCs w:val="20"/>
          <w:lang w:val="es-UY" w:eastAsia="es-UY"/>
        </w:rPr>
        <w:t>LCPPP</w:t>
      </w:r>
      <w:r w:rsidRPr="00E2664E">
        <w:rPr>
          <w:rFonts w:ascii="Arial" w:hAnsi="Arial" w:cs="Arial"/>
          <w:sz w:val="20"/>
          <w:szCs w:val="20"/>
          <w:lang w:val="es-UY" w:eastAsia="es-UY"/>
        </w:rPr>
        <w:t xml:space="preserve"> si se dispusiera la resolución unilateral y anticipada del contrato de PPP por incumplimiento del Contratista, o si ocurriera el abandono del proyecto por el Contratista, la Contratante podrá hacerse cargo, por el tiempo que sea necesario, de la construcción o explotación de la instalación a efectos de asegurar la prestación eficiente, eficaz e ininterrumpida del servicio</w:t>
      </w:r>
      <w:r w:rsidR="002D1A3B" w:rsidRPr="004C3C3B">
        <w:rPr>
          <w:rFonts w:ascii="Arial" w:hAnsi="Arial" w:cs="Arial"/>
          <w:sz w:val="20"/>
          <w:szCs w:val="20"/>
          <w:lang w:val="es-UY" w:eastAsia="es-UY"/>
        </w:rPr>
        <w:t>, notificando a los acreedores prendarios o cesionarios en garantía, según corresponda</w:t>
      </w:r>
      <w:r w:rsidRPr="004C3C3B">
        <w:rPr>
          <w:rFonts w:ascii="Arial" w:hAnsi="Arial" w:cs="Arial"/>
          <w:sz w:val="20"/>
          <w:szCs w:val="20"/>
          <w:lang w:val="es-UY" w:eastAsia="es-UY"/>
        </w:rPr>
        <w:t>.</w:t>
      </w:r>
    </w:p>
    <w:p w14:paraId="449F30F2" w14:textId="6BCB6ABA" w:rsidR="00A3029F" w:rsidRPr="00E2664E"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A tales efectos, la Contratante designará un interventor, que tendrá las facultades necesarias para asegurar el cumplimiento de los objetos del contrato y responderá civil, penal y </w:t>
      </w:r>
      <w:r w:rsidRPr="00502C96">
        <w:rPr>
          <w:rFonts w:ascii="Arial" w:hAnsi="Arial" w:cs="Arial"/>
          <w:sz w:val="20"/>
          <w:szCs w:val="20"/>
          <w:lang w:val="es-UY" w:eastAsia="es-UY"/>
        </w:rPr>
        <w:t>administrativamente por las acciones u omisiones dolosas o culposas en que incurriere en el ejercicio del cargo.</w:t>
      </w:r>
      <w:r w:rsidR="002D1A3B">
        <w:rPr>
          <w:rFonts w:ascii="Arial" w:hAnsi="Arial" w:cs="Arial"/>
          <w:sz w:val="20"/>
          <w:szCs w:val="20"/>
          <w:lang w:val="es-UY" w:eastAsia="es-UY"/>
        </w:rPr>
        <w:t xml:space="preserve"> </w:t>
      </w:r>
    </w:p>
    <w:p w14:paraId="2A2596E5" w14:textId="77777777" w:rsidR="00A3029F" w:rsidRDefault="00A3029F" w:rsidP="00683CB0">
      <w:pPr>
        <w:jc w:val="both"/>
        <w:rPr>
          <w:rFonts w:ascii="Arial" w:hAnsi="Arial" w:cs="Arial"/>
          <w:sz w:val="20"/>
          <w:szCs w:val="20"/>
          <w:lang w:val="es-UY" w:eastAsia="es-UY"/>
        </w:rPr>
      </w:pPr>
      <w:r w:rsidRPr="00E2664E">
        <w:rPr>
          <w:rFonts w:ascii="Arial" w:hAnsi="Arial" w:cs="Arial"/>
          <w:sz w:val="20"/>
          <w:szCs w:val="20"/>
          <w:lang w:val="es-UY" w:eastAsia="es-UY"/>
        </w:rPr>
        <w:t xml:space="preserve">La intervención no podrá extenderse por un plazo superior a veinticuatro meses. En ese lapso, la Contratante deberá resolver sobre la continuidad o cese de las actividades objeto del contrato; y en el primer caso, procediendo a una nueva adjudicación conforme a los artículos </w:t>
      </w:r>
      <w:hyperlink r:id="rId93" w:history="1">
        <w:r w:rsidRPr="00EC7417">
          <w:rPr>
            <w:rStyle w:val="Hipervnculo"/>
            <w:rFonts w:ascii="Arial" w:hAnsi="Arial" w:cs="Arial"/>
            <w:sz w:val="20"/>
            <w:szCs w:val="20"/>
            <w:lang w:val="es-UY" w:eastAsia="es-UY"/>
          </w:rPr>
          <w:t>19</w:t>
        </w:r>
      </w:hyperlink>
      <w:r w:rsidRPr="00E2664E">
        <w:rPr>
          <w:rFonts w:ascii="Arial" w:hAnsi="Arial" w:cs="Arial"/>
          <w:sz w:val="20"/>
          <w:szCs w:val="20"/>
          <w:lang w:val="es-UY" w:eastAsia="es-UY"/>
        </w:rPr>
        <w:t xml:space="preserve"> y siguientes de la </w:t>
      </w:r>
      <w:r w:rsidR="00B30A1C">
        <w:rPr>
          <w:rFonts w:ascii="Arial" w:hAnsi="Arial" w:cs="Arial"/>
          <w:sz w:val="20"/>
          <w:szCs w:val="20"/>
          <w:lang w:val="es-UY" w:eastAsia="es-UY"/>
        </w:rPr>
        <w:t>LCPPP</w:t>
      </w:r>
      <w:r w:rsidRPr="00E2664E">
        <w:rPr>
          <w:rFonts w:ascii="Arial" w:hAnsi="Arial" w:cs="Arial"/>
          <w:sz w:val="20"/>
          <w:szCs w:val="20"/>
          <w:lang w:val="es-UY" w:eastAsia="es-UY"/>
        </w:rPr>
        <w:t xml:space="preserve">, o bien mediante la subasta pública prevista en el artículo </w:t>
      </w:r>
      <w:hyperlink r:id="rId94" w:history="1">
        <w:r w:rsidRPr="00EC7417">
          <w:rPr>
            <w:rStyle w:val="Hipervnculo"/>
            <w:rFonts w:ascii="Arial" w:hAnsi="Arial" w:cs="Arial"/>
            <w:sz w:val="20"/>
            <w:szCs w:val="20"/>
            <w:lang w:val="es-UY" w:eastAsia="es-UY"/>
          </w:rPr>
          <w:t>58</w:t>
        </w:r>
      </w:hyperlink>
      <w:r w:rsidRPr="00E2664E">
        <w:rPr>
          <w:rFonts w:ascii="Arial" w:hAnsi="Arial" w:cs="Arial"/>
          <w:sz w:val="20"/>
          <w:szCs w:val="20"/>
          <w:lang w:val="es-UY" w:eastAsia="es-UY"/>
        </w:rPr>
        <w:t xml:space="preserve"> de la misma ley, o en su caso asumiendo por sí misma esas actividades por sus propios </w:t>
      </w:r>
      <w:r w:rsidRPr="00E2664E">
        <w:rPr>
          <w:rFonts w:ascii="Arial" w:hAnsi="Arial" w:cs="Arial"/>
          <w:sz w:val="20"/>
          <w:szCs w:val="20"/>
          <w:lang w:val="es-UY" w:eastAsia="es-UY"/>
        </w:rPr>
        <w:lastRenderedPageBreak/>
        <w:t>medios y mediante las expropiaciones procedentes conforme a derecho, si correspondieran.</w:t>
      </w:r>
    </w:p>
    <w:p w14:paraId="7F1AA701" w14:textId="77777777" w:rsidR="00A3029F" w:rsidRPr="00E2664E" w:rsidRDefault="00A3029F" w:rsidP="004802D9">
      <w:pPr>
        <w:pStyle w:val="T1"/>
        <w:numPr>
          <w:ilvl w:val="0"/>
          <w:numId w:val="90"/>
        </w:numPr>
        <w:outlineLvl w:val="2"/>
      </w:pPr>
      <w:bookmarkStart w:id="601" w:name="_Toc340671916"/>
      <w:bookmarkStart w:id="602" w:name="_Toc358821553"/>
      <w:bookmarkStart w:id="603" w:name="_Toc400622280"/>
      <w:bookmarkStart w:id="604" w:name="_Toc400629131"/>
      <w:bookmarkStart w:id="605" w:name="_Toc400634052"/>
      <w:bookmarkStart w:id="606" w:name="_Toc400635179"/>
      <w:bookmarkStart w:id="607" w:name="_Toc468288043"/>
      <w:bookmarkStart w:id="608" w:name="_Toc496266636"/>
      <w:bookmarkStart w:id="609" w:name="Lit_48"/>
      <w:r w:rsidRPr="00E2664E">
        <w:t>TITULARIDAD DE LAS OBRAS</w:t>
      </w:r>
      <w:bookmarkEnd w:id="601"/>
      <w:bookmarkEnd w:id="602"/>
      <w:bookmarkEnd w:id="603"/>
      <w:bookmarkEnd w:id="604"/>
      <w:bookmarkEnd w:id="605"/>
      <w:bookmarkEnd w:id="606"/>
      <w:bookmarkEnd w:id="607"/>
      <w:bookmarkEnd w:id="608"/>
    </w:p>
    <w:bookmarkEnd w:id="609"/>
    <w:p w14:paraId="3C85CD12" w14:textId="77777777" w:rsidR="00A3029F" w:rsidRPr="00E2664E" w:rsidRDefault="00A3029F" w:rsidP="00683CB0">
      <w:pPr>
        <w:jc w:val="both"/>
        <w:rPr>
          <w:rFonts w:ascii="Arial" w:hAnsi="Arial" w:cs="Arial"/>
          <w:sz w:val="20"/>
          <w:szCs w:val="20"/>
          <w:lang w:val="es-UY"/>
        </w:rPr>
      </w:pPr>
      <w:r w:rsidRPr="00E2664E">
        <w:rPr>
          <w:rFonts w:ascii="Arial" w:hAnsi="Arial" w:cs="Arial"/>
          <w:sz w:val="20"/>
          <w:szCs w:val="20"/>
          <w:lang w:val="es-UY"/>
        </w:rPr>
        <w:t>Extinguido el contrato, la Contratante será titular de la totalidad de los derechos respecto de los proyectos, obras ejecutadas, instalaciones y mejoras existentes en la faja de dominio público, sin abonar por ello valor alguno, salvo lo establecido en el presente contrato.</w:t>
      </w:r>
    </w:p>
    <w:p w14:paraId="7419012E" w14:textId="77777777" w:rsidR="00A3029F" w:rsidRPr="00E2664E" w:rsidRDefault="00A3029F" w:rsidP="004802D9">
      <w:pPr>
        <w:pStyle w:val="T1"/>
        <w:numPr>
          <w:ilvl w:val="0"/>
          <w:numId w:val="90"/>
        </w:numPr>
        <w:outlineLvl w:val="2"/>
      </w:pPr>
      <w:bookmarkStart w:id="610" w:name="_Toc340671917"/>
      <w:bookmarkStart w:id="611" w:name="_Toc358821554"/>
      <w:bookmarkStart w:id="612" w:name="_Toc400622281"/>
      <w:bookmarkStart w:id="613" w:name="_Toc400629132"/>
      <w:bookmarkStart w:id="614" w:name="_Toc400634053"/>
      <w:bookmarkStart w:id="615" w:name="_Toc400635180"/>
      <w:bookmarkStart w:id="616" w:name="_Toc468288044"/>
      <w:bookmarkStart w:id="617" w:name="_Toc496266637"/>
      <w:bookmarkStart w:id="618" w:name="Lit_49"/>
      <w:r w:rsidRPr="00E2664E">
        <w:t>REVERSIÓN DE LAS OBRAS</w:t>
      </w:r>
      <w:bookmarkEnd w:id="610"/>
      <w:bookmarkEnd w:id="611"/>
      <w:bookmarkEnd w:id="612"/>
      <w:bookmarkEnd w:id="613"/>
      <w:bookmarkEnd w:id="614"/>
      <w:bookmarkEnd w:id="615"/>
      <w:bookmarkEnd w:id="616"/>
      <w:bookmarkEnd w:id="617"/>
    </w:p>
    <w:bookmarkEnd w:id="618"/>
    <w:p w14:paraId="7E4F3326" w14:textId="77777777" w:rsidR="00A3029F" w:rsidRPr="00E2664E" w:rsidRDefault="00A3029F" w:rsidP="00683CB0">
      <w:pPr>
        <w:jc w:val="both"/>
        <w:rPr>
          <w:rFonts w:ascii="Arial" w:hAnsi="Arial" w:cs="Arial"/>
          <w:sz w:val="20"/>
          <w:szCs w:val="20"/>
          <w:lang w:val="es-UY"/>
        </w:rPr>
      </w:pPr>
      <w:r w:rsidRPr="00E2664E">
        <w:rPr>
          <w:rFonts w:ascii="Arial" w:hAnsi="Arial" w:cs="Arial"/>
          <w:sz w:val="20"/>
          <w:szCs w:val="20"/>
          <w:lang w:val="es-UY"/>
        </w:rPr>
        <w:t>Al término del contrato, ya sea por cumplimiento del plazo o por cualquiera de las causas previstas en este pliego o en la legislación aplicable, la obra revertirá a la Contratante. El Contratista</w:t>
      </w:r>
      <w:r w:rsidR="00B14DCC">
        <w:rPr>
          <w:rFonts w:ascii="Arial" w:hAnsi="Arial" w:cs="Arial"/>
          <w:sz w:val="20"/>
          <w:szCs w:val="20"/>
          <w:lang w:val="es-UY"/>
        </w:rPr>
        <w:t xml:space="preserve"> </w:t>
      </w:r>
      <w:r w:rsidRPr="00E2664E">
        <w:rPr>
          <w:rFonts w:ascii="Arial" w:hAnsi="Arial" w:cs="Arial"/>
          <w:sz w:val="20"/>
          <w:szCs w:val="20"/>
          <w:lang w:val="es-UY"/>
        </w:rPr>
        <w:t xml:space="preserve">en el plazo que establezca la Contratante, hará entrega de las infraestructuras vinculadas al contrato de </w:t>
      </w:r>
      <w:r w:rsidR="002A1ECA">
        <w:rPr>
          <w:rFonts w:ascii="Arial" w:hAnsi="Arial" w:cs="Arial"/>
          <w:sz w:val="20"/>
          <w:szCs w:val="20"/>
          <w:lang w:val="es-UY"/>
        </w:rPr>
        <w:t>P</w:t>
      </w:r>
      <w:r w:rsidRPr="00E2664E">
        <w:rPr>
          <w:rFonts w:ascii="Arial" w:hAnsi="Arial" w:cs="Arial"/>
          <w:sz w:val="20"/>
          <w:szCs w:val="20"/>
          <w:lang w:val="es-UY"/>
        </w:rPr>
        <w:t xml:space="preserve">articipación </w:t>
      </w:r>
      <w:r w:rsidR="002A1ECA">
        <w:rPr>
          <w:rFonts w:ascii="Arial" w:hAnsi="Arial" w:cs="Arial"/>
          <w:sz w:val="20"/>
          <w:szCs w:val="20"/>
          <w:lang w:val="es-UY"/>
        </w:rPr>
        <w:t>P</w:t>
      </w:r>
      <w:r w:rsidRPr="00E2664E">
        <w:rPr>
          <w:rFonts w:ascii="Arial" w:hAnsi="Arial" w:cs="Arial"/>
          <w:sz w:val="20"/>
          <w:szCs w:val="20"/>
          <w:lang w:val="es-UY"/>
        </w:rPr>
        <w:t xml:space="preserve">úblico – </w:t>
      </w:r>
      <w:r w:rsidR="002A1ECA">
        <w:rPr>
          <w:rFonts w:ascii="Arial" w:hAnsi="Arial" w:cs="Arial"/>
          <w:sz w:val="20"/>
          <w:szCs w:val="20"/>
          <w:lang w:val="es-UY"/>
        </w:rPr>
        <w:t>P</w:t>
      </w:r>
      <w:r w:rsidRPr="00E2664E">
        <w:rPr>
          <w:rFonts w:ascii="Arial" w:hAnsi="Arial" w:cs="Arial"/>
          <w:sz w:val="20"/>
          <w:szCs w:val="20"/>
          <w:lang w:val="es-UY"/>
        </w:rPr>
        <w:t>rivada.</w:t>
      </w:r>
    </w:p>
    <w:p w14:paraId="3F6A394F" w14:textId="77777777" w:rsidR="00A3029F" w:rsidRPr="00E2664E" w:rsidRDefault="00A3029F" w:rsidP="000F5C7C">
      <w:pPr>
        <w:pStyle w:val="T0"/>
        <w:outlineLvl w:val="0"/>
        <w:rPr>
          <w:sz w:val="24"/>
          <w:szCs w:val="24"/>
          <w:u w:val="single"/>
          <w:lang w:val="es-UY"/>
        </w:rPr>
      </w:pPr>
      <w:bookmarkStart w:id="619" w:name="_Toc340671918"/>
      <w:bookmarkStart w:id="620" w:name="_Toc358821555"/>
      <w:r>
        <w:br w:type="page"/>
      </w:r>
      <w:bookmarkStart w:id="621" w:name="_Toc400622282"/>
      <w:bookmarkStart w:id="622" w:name="_Toc400629133"/>
      <w:bookmarkStart w:id="623" w:name="_Toc400634054"/>
      <w:bookmarkStart w:id="624" w:name="_Toc400635181"/>
      <w:bookmarkStart w:id="625" w:name="_Toc468288045"/>
      <w:bookmarkStart w:id="626" w:name="_Toc496266638"/>
      <w:bookmarkStart w:id="627" w:name="CAP_9"/>
      <w:r>
        <w:lastRenderedPageBreak/>
        <w:t>CAPÍTULO IX:</w:t>
      </w:r>
      <w:r w:rsidRPr="00E2664E">
        <w:t xml:space="preserve"> RESOLUCIÓN DE CONTROVERSIAS</w:t>
      </w:r>
      <w:bookmarkEnd w:id="619"/>
      <w:bookmarkEnd w:id="620"/>
      <w:bookmarkEnd w:id="621"/>
      <w:bookmarkEnd w:id="622"/>
      <w:bookmarkEnd w:id="623"/>
      <w:bookmarkEnd w:id="624"/>
      <w:bookmarkEnd w:id="625"/>
      <w:bookmarkEnd w:id="626"/>
    </w:p>
    <w:p w14:paraId="692552F4" w14:textId="77777777" w:rsidR="00A3029F" w:rsidRPr="00E2664E" w:rsidRDefault="00A3029F" w:rsidP="004802D9">
      <w:pPr>
        <w:pStyle w:val="T1"/>
        <w:numPr>
          <w:ilvl w:val="0"/>
          <w:numId w:val="90"/>
        </w:numPr>
        <w:outlineLvl w:val="2"/>
      </w:pPr>
      <w:bookmarkStart w:id="628" w:name="_Toc340671919"/>
      <w:bookmarkStart w:id="629" w:name="_Toc358821556"/>
      <w:bookmarkStart w:id="630" w:name="_Toc400622283"/>
      <w:bookmarkStart w:id="631" w:name="_Toc400629134"/>
      <w:bookmarkStart w:id="632" w:name="_Toc400634055"/>
      <w:bookmarkStart w:id="633" w:name="_Toc400635182"/>
      <w:bookmarkStart w:id="634" w:name="_Toc468288046"/>
      <w:bookmarkStart w:id="635" w:name="_Toc496266639"/>
      <w:bookmarkStart w:id="636" w:name="Lit_50"/>
      <w:bookmarkEnd w:id="627"/>
      <w:r w:rsidRPr="00E2664E">
        <w:t>ARBITRAJE</w:t>
      </w:r>
      <w:bookmarkEnd w:id="628"/>
      <w:bookmarkEnd w:id="629"/>
      <w:bookmarkEnd w:id="630"/>
      <w:bookmarkEnd w:id="631"/>
      <w:bookmarkEnd w:id="632"/>
      <w:bookmarkEnd w:id="633"/>
      <w:bookmarkEnd w:id="634"/>
      <w:bookmarkEnd w:id="635"/>
    </w:p>
    <w:bookmarkEnd w:id="636"/>
    <w:p w14:paraId="57EC50E0" w14:textId="77777777" w:rsidR="00A3029F" w:rsidRPr="00E2664E" w:rsidRDefault="00A3029F" w:rsidP="00C55E93">
      <w:pPr>
        <w:autoSpaceDE w:val="0"/>
        <w:autoSpaceDN w:val="0"/>
        <w:adjustRightInd w:val="0"/>
        <w:spacing w:after="120"/>
        <w:jc w:val="both"/>
        <w:rPr>
          <w:rFonts w:ascii="Arial" w:hAnsi="Arial" w:cs="Arial"/>
          <w:b/>
          <w:bCs/>
          <w:sz w:val="20"/>
          <w:szCs w:val="20"/>
          <w:lang w:val="es-UY"/>
        </w:rPr>
      </w:pPr>
      <w:r w:rsidRPr="00E2664E">
        <w:rPr>
          <w:rFonts w:ascii="Arial" w:hAnsi="Arial" w:cs="Arial"/>
          <w:sz w:val="20"/>
          <w:szCs w:val="20"/>
          <w:lang w:val="es-UY" w:eastAsia="es-UY"/>
        </w:rPr>
        <w:t>Para la solución de los conflictos que surjan con motivo de la aplicación, interpretación, ejecución, cumplimiento y extinción del contrato, las partes deberán recurrir al arbitraje.</w:t>
      </w:r>
    </w:p>
    <w:p w14:paraId="1FE79358" w14:textId="77777777" w:rsidR="00A3029F"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 xml:space="preserve">Los árbitros serán designados de común acuerdo por las partes o, en su defecto, de acuerdo a lo dispuesto por el artículo </w:t>
      </w:r>
      <w:hyperlink r:id="rId95" w:history="1">
        <w:r w:rsidRPr="0056210C">
          <w:rPr>
            <w:rStyle w:val="Hipervnculo"/>
            <w:rFonts w:ascii="Arial" w:hAnsi="Arial" w:cs="Arial"/>
            <w:sz w:val="20"/>
            <w:szCs w:val="20"/>
            <w:lang w:val="es-UY" w:eastAsia="es-UY"/>
          </w:rPr>
          <w:t>480</w:t>
        </w:r>
      </w:hyperlink>
      <w:r w:rsidRPr="00E2664E">
        <w:rPr>
          <w:rFonts w:ascii="Arial" w:hAnsi="Arial" w:cs="Arial"/>
          <w:sz w:val="20"/>
          <w:szCs w:val="20"/>
          <w:lang w:val="es-UY" w:eastAsia="es-UY"/>
        </w:rPr>
        <w:t xml:space="preserve"> del Código General del Proceso y deberán fallar de acuerdo a derecho. El laudo del Tribunal Arbitral será inapelable.</w:t>
      </w:r>
    </w:p>
    <w:p w14:paraId="120C5503" w14:textId="77777777" w:rsidR="00512F34" w:rsidRDefault="00512F34" w:rsidP="00C55E93">
      <w:pPr>
        <w:spacing w:after="120"/>
        <w:jc w:val="both"/>
        <w:rPr>
          <w:rFonts w:ascii="Arial" w:hAnsi="Arial" w:cs="Arial"/>
          <w:bCs/>
          <w:sz w:val="20"/>
          <w:szCs w:val="20"/>
          <w:lang w:val="es-UY"/>
        </w:rPr>
      </w:pPr>
      <w:r w:rsidRPr="00512F34">
        <w:rPr>
          <w:rFonts w:ascii="Arial" w:hAnsi="Arial" w:cs="Arial"/>
          <w:bCs/>
          <w:sz w:val="20"/>
          <w:szCs w:val="20"/>
          <w:lang w:val="es-UY"/>
        </w:rPr>
        <w:t xml:space="preserve">En el caso específico de supuestos y/o eventos relacionados y/o que deriven en forma directa o indirecta en la aplicación de la Cláusula </w:t>
      </w:r>
      <w:hyperlink w:anchor="Lit_46" w:history="1">
        <w:r w:rsidRPr="0056210C">
          <w:rPr>
            <w:rStyle w:val="Hipervnculo"/>
            <w:rFonts w:ascii="Arial" w:hAnsi="Arial" w:cs="Arial"/>
            <w:bCs/>
            <w:sz w:val="20"/>
            <w:szCs w:val="20"/>
            <w:lang w:val="es-UY"/>
          </w:rPr>
          <w:t>46</w:t>
        </w:r>
      </w:hyperlink>
      <w:r w:rsidRPr="00512F34">
        <w:rPr>
          <w:rFonts w:ascii="Arial" w:hAnsi="Arial" w:cs="Arial"/>
          <w:bCs/>
          <w:sz w:val="20"/>
          <w:szCs w:val="20"/>
          <w:lang w:val="es-UY"/>
        </w:rPr>
        <w:t xml:space="preserve"> del presente Pliego, las controversias que se deriven o que guarden relación con éstas, serán resueltas en forma definitiva por arbitraje de acuerdo con el Reglamento de Arbitraje de la CNUDMI. Los árbitros serán nombrados conforme al citado Reglamento. La sede del arbitraje será en Montevideo, República Oriental del Uruguay y se conducirá en idioma español. El Tribunal arbitral emitirá su fallo conforme a derecho y se regirá por el derecho vigente de la República Oriental del Uruguay. El fallo del Tribunal será inapelable.</w:t>
      </w:r>
      <w:r w:rsidR="00FD6DE3">
        <w:rPr>
          <w:rFonts w:ascii="Arial" w:hAnsi="Arial" w:cs="Arial"/>
          <w:bCs/>
          <w:sz w:val="20"/>
          <w:szCs w:val="20"/>
          <w:lang w:val="es-UY"/>
        </w:rPr>
        <w:t xml:space="preserve"> </w:t>
      </w:r>
    </w:p>
    <w:p w14:paraId="7E2616D9" w14:textId="77777777" w:rsidR="00A3029F" w:rsidRPr="00E2664E" w:rsidRDefault="00A3029F" w:rsidP="00C55E93">
      <w:pPr>
        <w:spacing w:after="120"/>
        <w:jc w:val="both"/>
        <w:rPr>
          <w:rFonts w:ascii="Arial" w:hAnsi="Arial" w:cs="Arial"/>
          <w:b/>
          <w:bCs/>
          <w:sz w:val="20"/>
          <w:szCs w:val="20"/>
          <w:lang w:val="es-UY"/>
        </w:rPr>
      </w:pPr>
      <w:r w:rsidRPr="00E2664E">
        <w:rPr>
          <w:rFonts w:ascii="Arial" w:hAnsi="Arial" w:cs="Arial"/>
          <w:sz w:val="20"/>
          <w:szCs w:val="20"/>
          <w:lang w:val="es-UY" w:eastAsia="es-UY"/>
        </w:rPr>
        <w:lastRenderedPageBreak/>
        <w:t xml:space="preserve">La parte que recurra al arbitraje deberá notificarlo a la contraparte por </w:t>
      </w:r>
      <w:r w:rsidRPr="00E2664E">
        <w:rPr>
          <w:rFonts w:ascii="Arial" w:hAnsi="Arial" w:cs="Arial"/>
          <w:sz w:val="20"/>
          <w:szCs w:val="20"/>
          <w:lang w:val="es-UY"/>
        </w:rPr>
        <w:t>telegrama colacionado certificado</w:t>
      </w:r>
      <w:r w:rsidR="00512F34">
        <w:rPr>
          <w:rFonts w:ascii="Arial" w:hAnsi="Arial" w:cs="Arial"/>
          <w:sz w:val="20"/>
          <w:szCs w:val="20"/>
          <w:lang w:val="es-UY"/>
        </w:rPr>
        <w:t xml:space="preserve"> </w:t>
      </w:r>
      <w:r w:rsidRPr="00E2664E">
        <w:rPr>
          <w:rFonts w:ascii="Arial" w:hAnsi="Arial" w:cs="Arial"/>
          <w:sz w:val="20"/>
          <w:szCs w:val="20"/>
          <w:lang w:val="es-UY"/>
        </w:rPr>
        <w:t>con aviso de entrega.</w:t>
      </w:r>
    </w:p>
    <w:p w14:paraId="16477CF8" w14:textId="77777777"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UY"/>
        </w:rPr>
        <w:t xml:space="preserve">Transcurrido el plazo de 30 días de recibida por la contraparte la solicitud de arbitraje enviada por el solicitante, sin que ninguna de las partes designe </w:t>
      </w:r>
      <w:r w:rsidRPr="00E2664E">
        <w:rPr>
          <w:rFonts w:ascii="Arial" w:hAnsi="Arial" w:cs="Arial"/>
          <w:sz w:val="20"/>
          <w:szCs w:val="20"/>
          <w:lang w:val="es-UY" w:eastAsia="es-ES"/>
        </w:rPr>
        <w:t xml:space="preserve">árbitro, la designación se realizará por el Juez competente conforme al procedimiento establecido en los artículos </w:t>
      </w:r>
      <w:hyperlink r:id="rId96" w:history="1">
        <w:r w:rsidRPr="0056210C">
          <w:rPr>
            <w:rStyle w:val="Hipervnculo"/>
            <w:rFonts w:ascii="Arial" w:hAnsi="Arial" w:cs="Arial"/>
            <w:sz w:val="20"/>
            <w:szCs w:val="20"/>
            <w:lang w:val="es-UY" w:eastAsia="es-ES"/>
          </w:rPr>
          <w:t>480</w:t>
        </w:r>
      </w:hyperlink>
      <w:r w:rsidRPr="00E2664E">
        <w:rPr>
          <w:rFonts w:ascii="Arial" w:hAnsi="Arial" w:cs="Arial"/>
          <w:sz w:val="20"/>
          <w:szCs w:val="20"/>
          <w:lang w:val="es-UY" w:eastAsia="es-ES"/>
        </w:rPr>
        <w:t xml:space="preserve"> y </w:t>
      </w:r>
      <w:hyperlink r:id="rId97" w:history="1">
        <w:r w:rsidRPr="0056210C">
          <w:rPr>
            <w:rStyle w:val="Hipervnculo"/>
            <w:rFonts w:ascii="Arial" w:hAnsi="Arial" w:cs="Arial"/>
            <w:sz w:val="20"/>
            <w:szCs w:val="20"/>
            <w:lang w:val="es-UY" w:eastAsia="es-ES"/>
          </w:rPr>
          <w:t>494</w:t>
        </w:r>
      </w:hyperlink>
      <w:r w:rsidRPr="00E2664E">
        <w:rPr>
          <w:rFonts w:ascii="Arial" w:hAnsi="Arial" w:cs="Arial"/>
          <w:sz w:val="20"/>
          <w:szCs w:val="20"/>
          <w:lang w:val="es-UY" w:eastAsia="es-ES"/>
        </w:rPr>
        <w:t xml:space="preserve"> del Código General del Proceso.</w:t>
      </w:r>
    </w:p>
    <w:p w14:paraId="4F91EC91" w14:textId="77777777"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 convención arbitral es autónoma respecto del contrato base. La inexistencia o invalidez de éste, no implica la nulidad de la convención arbitral.</w:t>
      </w:r>
    </w:p>
    <w:p w14:paraId="2C2D528A" w14:textId="77777777" w:rsidR="00A3029F" w:rsidRPr="00E2664E" w:rsidRDefault="00A3029F" w:rsidP="00C55E93">
      <w:pPr>
        <w:spacing w:after="120"/>
        <w:jc w:val="both"/>
        <w:rPr>
          <w:rFonts w:ascii="Arial" w:hAnsi="Arial" w:cs="Arial"/>
          <w:sz w:val="20"/>
          <w:szCs w:val="20"/>
          <w:lang w:val="es-UY" w:eastAsia="es-UY"/>
        </w:rPr>
      </w:pPr>
      <w:r w:rsidRPr="00E2664E">
        <w:rPr>
          <w:rFonts w:ascii="Arial" w:hAnsi="Arial" w:cs="Arial"/>
          <w:sz w:val="20"/>
          <w:szCs w:val="20"/>
          <w:lang w:val="es-UY" w:eastAsia="es-UY"/>
        </w:rPr>
        <w:t>Las cuestiones relativas a la existencia y validez de la convención arbitral serán resueltas por el tribunal arbitral, de oficio o a solicitud de parte.</w:t>
      </w:r>
    </w:p>
    <w:p w14:paraId="61C44622" w14:textId="77777777" w:rsidR="00A3029F" w:rsidRPr="00E2664E" w:rsidRDefault="00A3029F" w:rsidP="00C55E93">
      <w:pPr>
        <w:spacing w:after="120"/>
        <w:jc w:val="both"/>
        <w:rPr>
          <w:rFonts w:ascii="Arial" w:hAnsi="Arial" w:cs="Arial"/>
          <w:sz w:val="20"/>
          <w:szCs w:val="20"/>
          <w:lang w:val="es-UY" w:eastAsia="es-ES"/>
        </w:rPr>
      </w:pPr>
      <w:r w:rsidRPr="00E2664E">
        <w:rPr>
          <w:rFonts w:ascii="Arial" w:hAnsi="Arial" w:cs="Arial"/>
          <w:sz w:val="20"/>
          <w:szCs w:val="20"/>
          <w:lang w:val="es-UY" w:eastAsia="es-ES"/>
        </w:rPr>
        <w:t xml:space="preserve">En todo lo no previsto, resultará aplicable lo dispuesto en los artículos </w:t>
      </w:r>
      <w:hyperlink r:id="rId98" w:history="1">
        <w:r w:rsidRPr="0056210C">
          <w:rPr>
            <w:rStyle w:val="Hipervnculo"/>
            <w:rFonts w:ascii="Arial" w:hAnsi="Arial" w:cs="Arial"/>
            <w:sz w:val="20"/>
            <w:szCs w:val="20"/>
            <w:lang w:val="es-UY" w:eastAsia="es-ES"/>
          </w:rPr>
          <w:t>480</w:t>
        </w:r>
      </w:hyperlink>
      <w:r w:rsidRPr="00E2664E">
        <w:rPr>
          <w:rFonts w:ascii="Arial" w:hAnsi="Arial" w:cs="Arial"/>
          <w:sz w:val="20"/>
          <w:szCs w:val="20"/>
          <w:lang w:val="es-UY" w:eastAsia="es-ES"/>
        </w:rPr>
        <w:t xml:space="preserve"> a </w:t>
      </w:r>
      <w:hyperlink r:id="rId99" w:history="1">
        <w:r w:rsidRPr="0056210C">
          <w:rPr>
            <w:rStyle w:val="Hipervnculo"/>
            <w:rFonts w:ascii="Arial" w:hAnsi="Arial" w:cs="Arial"/>
            <w:sz w:val="20"/>
            <w:szCs w:val="20"/>
            <w:lang w:val="es-UY" w:eastAsia="es-ES"/>
          </w:rPr>
          <w:t>507</w:t>
        </w:r>
      </w:hyperlink>
      <w:r w:rsidRPr="00E2664E">
        <w:rPr>
          <w:rFonts w:ascii="Arial" w:hAnsi="Arial" w:cs="Arial"/>
          <w:sz w:val="20"/>
          <w:szCs w:val="20"/>
          <w:lang w:val="es-UY" w:eastAsia="es-ES"/>
        </w:rPr>
        <w:t xml:space="preserve"> del Código General del Proceso.</w:t>
      </w:r>
    </w:p>
    <w:p w14:paraId="41C36390" w14:textId="77777777" w:rsidR="00A3029F" w:rsidRPr="00E2664E" w:rsidRDefault="00A3029F" w:rsidP="004802D9">
      <w:pPr>
        <w:pStyle w:val="T1"/>
        <w:numPr>
          <w:ilvl w:val="0"/>
          <w:numId w:val="90"/>
        </w:numPr>
        <w:outlineLvl w:val="2"/>
      </w:pPr>
      <w:bookmarkStart w:id="637" w:name="_Toc340671920"/>
      <w:bookmarkStart w:id="638" w:name="_Toc358821557"/>
      <w:bookmarkStart w:id="639" w:name="_Toc400622284"/>
      <w:bookmarkStart w:id="640" w:name="_Toc400629135"/>
      <w:bookmarkStart w:id="641" w:name="_Toc400634056"/>
      <w:bookmarkStart w:id="642" w:name="_Toc400635183"/>
      <w:bookmarkStart w:id="643" w:name="_Toc468288047"/>
      <w:bookmarkStart w:id="644" w:name="_Toc496266640"/>
      <w:bookmarkStart w:id="645" w:name="Lit_51"/>
      <w:r w:rsidRPr="00E2664E">
        <w:t>DERECHO APLICABLE Y JURISDICCION COMPETENTE</w:t>
      </w:r>
      <w:bookmarkEnd w:id="637"/>
      <w:bookmarkEnd w:id="638"/>
      <w:bookmarkEnd w:id="639"/>
      <w:bookmarkEnd w:id="640"/>
      <w:bookmarkEnd w:id="641"/>
      <w:bookmarkEnd w:id="642"/>
      <w:bookmarkEnd w:id="643"/>
      <w:bookmarkEnd w:id="644"/>
    </w:p>
    <w:bookmarkEnd w:id="645"/>
    <w:p w14:paraId="7FCF63A6" w14:textId="77777777" w:rsidR="00A3029F" w:rsidRPr="00E2664E" w:rsidRDefault="00A3029F" w:rsidP="00C55E93">
      <w:pPr>
        <w:keepNext/>
        <w:tabs>
          <w:tab w:val="left" w:pos="0"/>
          <w:tab w:val="left" w:pos="834"/>
          <w:tab w:val="left" w:pos="1569"/>
          <w:tab w:val="left" w:pos="2160"/>
          <w:tab w:val="left" w:pos="2880"/>
          <w:tab w:val="left" w:pos="3600"/>
          <w:tab w:val="left" w:pos="4320"/>
          <w:tab w:val="left" w:pos="5040"/>
          <w:tab w:val="left" w:pos="5760"/>
          <w:tab w:val="left" w:pos="6480"/>
          <w:tab w:val="left" w:pos="7200"/>
          <w:tab w:val="left" w:pos="7920"/>
        </w:tabs>
        <w:spacing w:after="120"/>
        <w:jc w:val="both"/>
        <w:rPr>
          <w:rFonts w:ascii="Arial" w:hAnsi="Arial" w:cs="Arial"/>
          <w:sz w:val="24"/>
          <w:szCs w:val="24"/>
          <w:lang w:val="es-UY"/>
        </w:rPr>
        <w:sectPr w:rsidR="00A3029F" w:rsidRPr="00E2664E" w:rsidSect="00B238CC">
          <w:pgSz w:w="11906" w:h="16838"/>
          <w:pgMar w:top="1418" w:right="1701" w:bottom="1701" w:left="1701" w:header="709" w:footer="709" w:gutter="0"/>
          <w:cols w:space="708"/>
          <w:docGrid w:linePitch="360"/>
        </w:sectPr>
      </w:pPr>
      <w:r w:rsidRPr="00E2664E">
        <w:rPr>
          <w:rFonts w:ascii="Arial" w:hAnsi="Arial" w:cs="Arial"/>
          <w:sz w:val="20"/>
          <w:szCs w:val="20"/>
          <w:lang w:val="es-UY"/>
        </w:rPr>
        <w:t>El Derecho aplicable y la Jurisdicción competente en todas las cuestiones relativas a la contratación objeto de este Pliego, serán los de la República Oriental del Uruguay.</w:t>
      </w:r>
    </w:p>
    <w:p w14:paraId="522EDD6D" w14:textId="77777777" w:rsidR="005A11FF" w:rsidRPr="005A11FF" w:rsidRDefault="005A11FF" w:rsidP="000F5C7C">
      <w:pPr>
        <w:pStyle w:val="Ttulo1"/>
        <w:rPr>
          <w:rFonts w:ascii="Arial" w:hAnsi="Arial" w:cs="Arial"/>
          <w:b w:val="0"/>
          <w:bCs w:val="0"/>
          <w:sz w:val="24"/>
          <w:szCs w:val="24"/>
          <w:lang w:val="es-ES_tradnl" w:eastAsia="es-ES"/>
        </w:rPr>
      </w:pPr>
      <w:bookmarkStart w:id="646" w:name="_Toc400636144"/>
      <w:bookmarkStart w:id="647" w:name="_Toc468288048"/>
      <w:bookmarkStart w:id="648" w:name="_Toc496266641"/>
      <w:bookmarkStart w:id="649" w:name="_Toc340671921"/>
      <w:bookmarkStart w:id="650" w:name="_Toc400622285"/>
      <w:bookmarkStart w:id="651" w:name="_Toc400629136"/>
      <w:bookmarkStart w:id="652" w:name="_Toc400634057"/>
      <w:bookmarkStart w:id="653" w:name="_Toc400635184"/>
      <w:bookmarkStart w:id="654" w:name="SECCION_2"/>
      <w:r w:rsidRPr="005A11FF">
        <w:rPr>
          <w:rFonts w:ascii="Arial" w:hAnsi="Arial" w:cs="Arial"/>
          <w:sz w:val="24"/>
          <w:szCs w:val="24"/>
          <w:lang w:val="es-ES_tradnl" w:eastAsia="es-ES"/>
        </w:rPr>
        <w:lastRenderedPageBreak/>
        <w:t>SECCIÓN II - PLIEGO DE CONDICIONES TÉCNICAS</w:t>
      </w:r>
      <w:r>
        <w:rPr>
          <w:rFonts w:ascii="Arial" w:hAnsi="Arial" w:cs="Arial"/>
          <w:sz w:val="24"/>
          <w:szCs w:val="24"/>
          <w:lang w:val="es-ES_tradnl" w:eastAsia="es-ES"/>
        </w:rPr>
        <w:t xml:space="preserve"> </w:t>
      </w:r>
      <w:r w:rsidRPr="005A11FF">
        <w:rPr>
          <w:rFonts w:ascii="Arial" w:hAnsi="Arial" w:cs="Arial"/>
          <w:sz w:val="24"/>
          <w:szCs w:val="24"/>
          <w:lang w:val="es-ES_tradnl" w:eastAsia="es-ES"/>
        </w:rPr>
        <w:t>(PCT)</w:t>
      </w:r>
      <w:bookmarkEnd w:id="646"/>
      <w:bookmarkEnd w:id="647"/>
      <w:bookmarkEnd w:id="648"/>
    </w:p>
    <w:p w14:paraId="6AF17DD4" w14:textId="77777777" w:rsidR="005A11FF" w:rsidRPr="0081128D" w:rsidRDefault="005A11FF" w:rsidP="000F5C7C">
      <w:pPr>
        <w:pStyle w:val="T0"/>
        <w:outlineLvl w:val="0"/>
      </w:pPr>
      <w:bookmarkStart w:id="655" w:name="_Toc400636145"/>
      <w:bookmarkStart w:id="656" w:name="_Toc468288049"/>
      <w:bookmarkStart w:id="657" w:name="_Toc496266642"/>
      <w:bookmarkStart w:id="658" w:name="CAP_10"/>
      <w:r w:rsidRPr="0081128D">
        <w:t>CAPITULO X: INTRODUCCIÓN</w:t>
      </w:r>
      <w:bookmarkEnd w:id="655"/>
      <w:bookmarkEnd w:id="656"/>
      <w:bookmarkEnd w:id="657"/>
    </w:p>
    <w:bookmarkEnd w:id="658"/>
    <w:p w14:paraId="4D75290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w:t>
      </w:r>
      <w:r w:rsidR="00B14DCC">
        <w:rPr>
          <w:rFonts w:ascii="Arial" w:hAnsi="Arial" w:cs="Arial"/>
          <w:sz w:val="20"/>
          <w:szCs w:val="20"/>
          <w:lang w:val="es-UY"/>
        </w:rPr>
        <w:t xml:space="preserve"> </w:t>
      </w:r>
      <w:r w:rsidRPr="005A11FF">
        <w:rPr>
          <w:rFonts w:ascii="Arial" w:hAnsi="Arial" w:cs="Arial"/>
          <w:sz w:val="20"/>
          <w:szCs w:val="20"/>
          <w:lang w:val="es-UY"/>
        </w:rPr>
        <w:t>deberá desarrollar su gestión con el fin de cumplir, entre otros requerimientos, con determinados indicadores técnicos de disponibilidad que se cuantifican numéricamente a través de los denominados “</w:t>
      </w:r>
      <w:r w:rsidRPr="005A11FF">
        <w:rPr>
          <w:rFonts w:ascii="Arial" w:hAnsi="Arial" w:cs="Arial"/>
          <w:b/>
          <w:bCs/>
          <w:sz w:val="20"/>
          <w:szCs w:val="20"/>
          <w:lang w:val="es-UY"/>
        </w:rPr>
        <w:t>coeficientes técnicos de disponibilidad</w:t>
      </w:r>
      <w:r w:rsidRPr="005A11FF">
        <w:rPr>
          <w:rFonts w:ascii="Arial" w:hAnsi="Arial" w:cs="Arial"/>
          <w:sz w:val="20"/>
          <w:szCs w:val="20"/>
          <w:lang w:val="es-UY"/>
        </w:rPr>
        <w:t>” (en adelante “</w:t>
      </w:r>
      <w:r w:rsidRPr="005A11FF">
        <w:rPr>
          <w:rFonts w:ascii="Arial" w:hAnsi="Arial" w:cs="Arial"/>
          <w:b/>
          <w:bCs/>
          <w:sz w:val="20"/>
          <w:szCs w:val="20"/>
          <w:lang w:val="es-UY"/>
        </w:rPr>
        <w:t>ctd”</w:t>
      </w:r>
      <w:r w:rsidRPr="005A11FF">
        <w:rPr>
          <w:rFonts w:ascii="Arial" w:hAnsi="Arial" w:cs="Arial"/>
          <w:sz w:val="20"/>
          <w:szCs w:val="20"/>
          <w:lang w:val="es-UY"/>
        </w:rPr>
        <w:t>).</w:t>
      </w:r>
    </w:p>
    <w:p w14:paraId="22B4951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partir del valor alcanzado por dichos coeficientes se establecerá en qué grado de “disponibilidad” se encuentra el circuito lo que a su vez determinará el monto que recibirá el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como retribución de los servicios contratados por concepto de </w:t>
      </w:r>
      <w:r w:rsidRPr="005A11FF">
        <w:rPr>
          <w:rFonts w:ascii="Arial" w:hAnsi="Arial" w:cs="Arial"/>
          <w:b/>
          <w:bCs/>
          <w:sz w:val="20"/>
          <w:szCs w:val="20"/>
          <w:lang w:val="es-UY"/>
        </w:rPr>
        <w:t>Pago Por Disponibilidad</w:t>
      </w:r>
      <w:r w:rsidRPr="005A11FF">
        <w:rPr>
          <w:rFonts w:ascii="Arial" w:hAnsi="Arial" w:cs="Arial"/>
          <w:sz w:val="20"/>
          <w:szCs w:val="20"/>
          <w:lang w:val="es-UY"/>
        </w:rPr>
        <w:t xml:space="preserve"> (</w:t>
      </w:r>
      <w:r w:rsidRPr="005A11FF">
        <w:rPr>
          <w:rFonts w:ascii="Arial" w:hAnsi="Arial" w:cs="Arial"/>
          <w:b/>
          <w:bCs/>
          <w:sz w:val="20"/>
          <w:szCs w:val="20"/>
          <w:lang w:val="es-UY"/>
        </w:rPr>
        <w:t>PPD</w:t>
      </w:r>
      <w:r w:rsidRPr="005A11FF">
        <w:rPr>
          <w:rFonts w:ascii="Arial" w:hAnsi="Arial" w:cs="Arial"/>
          <w:sz w:val="20"/>
          <w:szCs w:val="20"/>
          <w:lang w:val="es-UY"/>
        </w:rPr>
        <w:t>).</w:t>
      </w:r>
    </w:p>
    <w:p w14:paraId="04C8642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esta sección se describen, </w:t>
      </w:r>
    </w:p>
    <w:p w14:paraId="16B6187D" w14:textId="0329AEDA"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el conjunto de tramos de ruta que conforman el circuito objeto del contrato y la categoría y naturaleza de las obras que el Contratista</w:t>
      </w:r>
      <w:r w:rsidR="00B14DCC">
        <w:rPr>
          <w:rFonts w:ascii="Arial" w:hAnsi="Arial" w:cs="Arial"/>
          <w:sz w:val="20"/>
          <w:szCs w:val="20"/>
          <w:lang w:val="es-UY"/>
        </w:rPr>
        <w:t xml:space="preserve"> </w:t>
      </w:r>
      <w:r w:rsidRPr="005A11FF">
        <w:rPr>
          <w:rFonts w:ascii="Arial" w:hAnsi="Arial" w:cs="Arial"/>
          <w:sz w:val="20"/>
          <w:szCs w:val="20"/>
          <w:lang w:val="es-UY"/>
        </w:rPr>
        <w:t>deberá definir y llevar a cabo en cada una de las etapas de ejecución de las obras.. (</w:t>
      </w:r>
      <w:hyperlink w:anchor="CAP_11" w:history="1">
        <w:r w:rsidRPr="00F47B8D">
          <w:rPr>
            <w:rStyle w:val="Hipervnculo"/>
            <w:rFonts w:ascii="Arial" w:hAnsi="Arial" w:cs="Arial"/>
            <w:b/>
            <w:bCs/>
            <w:sz w:val="20"/>
            <w:szCs w:val="20"/>
            <w:lang w:val="es-UY"/>
          </w:rPr>
          <w:t>CAPITULO XI</w:t>
        </w:r>
      </w:hyperlink>
      <w:r w:rsidRPr="005A11FF">
        <w:rPr>
          <w:rFonts w:ascii="Arial" w:hAnsi="Arial" w:cs="Arial"/>
          <w:sz w:val="20"/>
          <w:szCs w:val="20"/>
          <w:lang w:val="es-UY"/>
        </w:rPr>
        <w:t>),</w:t>
      </w:r>
    </w:p>
    <w:p w14:paraId="62D6265C"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lastRenderedPageBreak/>
        <w:t>los requerimientos que debe cumplir para mantener el circuito durante la vigencia del contrato, (</w:t>
      </w:r>
      <w:hyperlink w:anchor="CAP_12" w:history="1">
        <w:r w:rsidRPr="00F47B8D">
          <w:rPr>
            <w:rStyle w:val="Hipervnculo"/>
            <w:rFonts w:ascii="Arial" w:hAnsi="Arial" w:cs="Arial"/>
            <w:b/>
            <w:bCs/>
            <w:sz w:val="20"/>
            <w:szCs w:val="20"/>
            <w:lang w:val="es-UY"/>
          </w:rPr>
          <w:t>CAPITULO XII</w:t>
        </w:r>
      </w:hyperlink>
      <w:r w:rsidRPr="005A11FF">
        <w:rPr>
          <w:rFonts w:ascii="Arial" w:hAnsi="Arial" w:cs="Arial"/>
          <w:sz w:val="20"/>
          <w:szCs w:val="20"/>
          <w:lang w:val="es-UY"/>
        </w:rPr>
        <w:t>),</w:t>
      </w:r>
    </w:p>
    <w:p w14:paraId="4C8A850B"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los estándares, nivel de servicio y la metodología para medir el resultado de su gestión, (</w:t>
      </w:r>
      <w:hyperlink w:anchor="CAP_13" w:history="1">
        <w:r w:rsidRPr="00F47B8D">
          <w:rPr>
            <w:rStyle w:val="Hipervnculo"/>
            <w:rFonts w:ascii="Arial" w:hAnsi="Arial" w:cs="Arial"/>
            <w:b/>
            <w:bCs/>
            <w:sz w:val="20"/>
            <w:szCs w:val="20"/>
            <w:lang w:val="es-UY"/>
          </w:rPr>
          <w:t>CAPITULO XIII</w:t>
        </w:r>
      </w:hyperlink>
      <w:r w:rsidRPr="005A11FF">
        <w:rPr>
          <w:rFonts w:ascii="Arial" w:hAnsi="Arial" w:cs="Arial"/>
          <w:sz w:val="20"/>
          <w:szCs w:val="20"/>
          <w:lang w:val="es-UY"/>
        </w:rPr>
        <w:t>),</w:t>
      </w:r>
    </w:p>
    <w:p w14:paraId="791EC6DE"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la metodología para determinar los coeficientes técnicos de disponibilidad (</w:t>
      </w:r>
      <w:r w:rsidRPr="005A11FF">
        <w:rPr>
          <w:rFonts w:ascii="Arial" w:hAnsi="Arial" w:cs="Arial"/>
          <w:b/>
          <w:bCs/>
          <w:sz w:val="20"/>
          <w:szCs w:val="20"/>
          <w:lang w:val="es-UY"/>
        </w:rPr>
        <w:t>ctd</w:t>
      </w:r>
      <w:r w:rsidRPr="005A11FF">
        <w:rPr>
          <w:rFonts w:ascii="Arial" w:hAnsi="Arial" w:cs="Arial"/>
          <w:sz w:val="20"/>
          <w:szCs w:val="20"/>
          <w:lang w:val="es-UY"/>
        </w:rPr>
        <w:t>) cuyo valor determina el monto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como pago por alcanzar y mantener los niveles de servicio especificados (</w:t>
      </w:r>
      <w:hyperlink w:anchor="CAP_14" w:history="1">
        <w:r w:rsidRPr="00F47B8D">
          <w:rPr>
            <w:rStyle w:val="Hipervnculo"/>
            <w:rFonts w:ascii="Arial" w:hAnsi="Arial" w:cs="Arial"/>
            <w:b/>
            <w:bCs/>
            <w:sz w:val="20"/>
            <w:szCs w:val="20"/>
            <w:lang w:val="es-UY"/>
          </w:rPr>
          <w:t>CAPITULO XIV</w:t>
        </w:r>
      </w:hyperlink>
      <w:r w:rsidRPr="005A11FF">
        <w:rPr>
          <w:rFonts w:ascii="Arial" w:hAnsi="Arial" w:cs="Arial"/>
          <w:sz w:val="20"/>
          <w:szCs w:val="20"/>
          <w:lang w:val="es-UY"/>
        </w:rPr>
        <w:t>),</w:t>
      </w:r>
    </w:p>
    <w:p w14:paraId="2CC0249E" w14:textId="77777777" w:rsidR="005A11FF" w:rsidRPr="005A11FF" w:rsidRDefault="005A11FF" w:rsidP="009A58E0">
      <w:pPr>
        <w:numPr>
          <w:ilvl w:val="0"/>
          <w:numId w:val="18"/>
        </w:numPr>
        <w:spacing w:after="120"/>
        <w:ind w:hanging="11"/>
        <w:jc w:val="both"/>
        <w:rPr>
          <w:rFonts w:ascii="Arial" w:hAnsi="Arial" w:cs="Arial"/>
          <w:sz w:val="20"/>
          <w:szCs w:val="20"/>
          <w:lang w:val="es-UY"/>
        </w:rPr>
      </w:pPr>
      <w:r w:rsidRPr="005A11FF">
        <w:rPr>
          <w:rFonts w:ascii="Arial" w:hAnsi="Arial" w:cs="Arial"/>
          <w:sz w:val="20"/>
          <w:szCs w:val="20"/>
          <w:lang w:val="es-UY"/>
        </w:rPr>
        <w:t>la forma de control de cumplimiento del contrato (</w:t>
      </w:r>
      <w:hyperlink w:anchor="CAP_15" w:history="1">
        <w:r w:rsidRPr="00F47B8D">
          <w:rPr>
            <w:rStyle w:val="Hipervnculo"/>
            <w:rFonts w:ascii="Arial" w:hAnsi="Arial" w:cs="Arial"/>
            <w:b/>
            <w:bCs/>
            <w:sz w:val="20"/>
            <w:szCs w:val="20"/>
            <w:lang w:val="es-UY"/>
          </w:rPr>
          <w:t>CAPITULO XV</w:t>
        </w:r>
      </w:hyperlink>
      <w:r w:rsidRPr="005A11FF">
        <w:rPr>
          <w:rFonts w:ascii="Arial" w:hAnsi="Arial" w:cs="Arial"/>
          <w:sz w:val="20"/>
          <w:szCs w:val="20"/>
          <w:lang w:val="es-UY"/>
        </w:rPr>
        <w:t>).</w:t>
      </w:r>
    </w:p>
    <w:p w14:paraId="62497F83" w14:textId="77777777" w:rsidR="00D00865" w:rsidRDefault="00D00865" w:rsidP="00161482">
      <w:pPr>
        <w:pStyle w:val="T0"/>
        <w:outlineLvl w:val="9"/>
      </w:pPr>
      <w:bookmarkStart w:id="659" w:name="_Toc400636146"/>
      <w:bookmarkStart w:id="660" w:name="CAP_11"/>
    </w:p>
    <w:p w14:paraId="38ADB4AF" w14:textId="77777777" w:rsidR="00E53626" w:rsidRDefault="00E53626">
      <w:pPr>
        <w:spacing w:after="0" w:line="240" w:lineRule="auto"/>
        <w:rPr>
          <w:rFonts w:ascii="Arial" w:eastAsia="Calibri" w:hAnsi="Arial" w:cs="Arial"/>
          <w:b/>
          <w:bCs/>
          <w:lang w:val="es-ES_tradnl" w:eastAsia="es-ES"/>
        </w:rPr>
      </w:pPr>
      <w:r>
        <w:br w:type="page"/>
      </w:r>
    </w:p>
    <w:p w14:paraId="7AF96D38" w14:textId="77777777" w:rsidR="005A11FF" w:rsidRPr="0081128D" w:rsidRDefault="005A11FF" w:rsidP="000F5C7C">
      <w:pPr>
        <w:pStyle w:val="T0"/>
        <w:outlineLvl w:val="0"/>
      </w:pPr>
      <w:bookmarkStart w:id="661" w:name="_Toc468288050"/>
      <w:bookmarkStart w:id="662" w:name="_Toc496266643"/>
      <w:r w:rsidRPr="0081128D">
        <w:lastRenderedPageBreak/>
        <w:t>CAPITULO XI: OBRAS DE PUESTA A PUNTO Y COMPLEMENTARIAS.</w:t>
      </w:r>
      <w:bookmarkEnd w:id="659"/>
      <w:bookmarkEnd w:id="661"/>
      <w:bookmarkEnd w:id="662"/>
    </w:p>
    <w:p w14:paraId="4DE000C4" w14:textId="77777777" w:rsidR="005A11FF" w:rsidRPr="00D676A1" w:rsidRDefault="005A11FF" w:rsidP="00707A7F">
      <w:pPr>
        <w:pStyle w:val="T1"/>
        <w:numPr>
          <w:ilvl w:val="0"/>
          <w:numId w:val="90"/>
        </w:numPr>
        <w:outlineLvl w:val="2"/>
      </w:pPr>
      <w:bookmarkStart w:id="663" w:name="_Toc400636147"/>
      <w:bookmarkStart w:id="664" w:name="_Toc468288051"/>
      <w:bookmarkStart w:id="665" w:name="_Toc496266644"/>
      <w:bookmarkEnd w:id="660"/>
      <w:r w:rsidRPr="00D676A1">
        <w:t>DESCRIPCIÓN DE LAS OBRAS A CONSTRUIR Y REHABILITAR</w:t>
      </w:r>
      <w:bookmarkEnd w:id="663"/>
      <w:bookmarkEnd w:id="664"/>
      <w:bookmarkEnd w:id="665"/>
    </w:p>
    <w:p w14:paraId="258A501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contrato consiste en la ejecución de obras de construcción, adecuación y rehabilitación denominadas </w:t>
      </w:r>
      <w:r w:rsidRPr="005A11FF">
        <w:rPr>
          <w:rFonts w:ascii="Arial" w:hAnsi="Arial" w:cs="Arial"/>
          <w:b/>
          <w:bCs/>
          <w:sz w:val="20"/>
          <w:szCs w:val="20"/>
          <w:lang w:val="es-UY"/>
        </w:rPr>
        <w:t>obras de “puesta a punto”</w:t>
      </w:r>
      <w:r w:rsidRPr="005A11FF">
        <w:rPr>
          <w:rFonts w:ascii="Arial" w:hAnsi="Arial" w:cs="Arial"/>
          <w:sz w:val="20"/>
          <w:szCs w:val="20"/>
          <w:lang w:val="es-UY"/>
        </w:rPr>
        <w:t xml:space="preserve">, la construcción de un conjunto de </w:t>
      </w:r>
      <w:r w:rsidRPr="005A11FF">
        <w:rPr>
          <w:rFonts w:ascii="Arial" w:hAnsi="Arial" w:cs="Arial"/>
          <w:b/>
          <w:bCs/>
          <w:sz w:val="20"/>
          <w:szCs w:val="20"/>
          <w:lang w:val="es-UY"/>
        </w:rPr>
        <w:t>obras complementarias</w:t>
      </w:r>
      <w:r w:rsidRPr="005A11FF">
        <w:rPr>
          <w:rFonts w:ascii="Arial" w:hAnsi="Arial" w:cs="Arial"/>
          <w:sz w:val="20"/>
          <w:szCs w:val="20"/>
          <w:lang w:val="es-UY"/>
        </w:rPr>
        <w:t xml:space="preserve"> y la </w:t>
      </w:r>
      <w:r w:rsidRPr="005A11FF">
        <w:rPr>
          <w:rFonts w:ascii="Arial" w:hAnsi="Arial" w:cs="Arial"/>
          <w:b/>
          <w:bCs/>
          <w:sz w:val="20"/>
          <w:szCs w:val="20"/>
          <w:lang w:val="es-UY"/>
        </w:rPr>
        <w:t>gestión del mantenimiento</w:t>
      </w:r>
      <w:r w:rsidRPr="005A11FF">
        <w:rPr>
          <w:rFonts w:ascii="Arial" w:hAnsi="Arial" w:cs="Arial"/>
          <w:sz w:val="20"/>
          <w:szCs w:val="20"/>
          <w:lang w:val="es-UY"/>
        </w:rPr>
        <w:t xml:space="preserve"> de todos los tramos que componen el circuito y que se detallan a continuación.</w:t>
      </w:r>
    </w:p>
    <w:p w14:paraId="463084D6" w14:textId="77777777" w:rsidR="00557094" w:rsidRPr="00BA1F97" w:rsidRDefault="00557094" w:rsidP="007B7A61">
      <w:pPr>
        <w:spacing w:after="0"/>
        <w:jc w:val="both"/>
        <w:rPr>
          <w:rFonts w:ascii="Arial" w:hAnsi="Arial"/>
          <w:sz w:val="20"/>
          <w:lang w:val="es-UY"/>
        </w:rPr>
      </w:pPr>
    </w:p>
    <w:p w14:paraId="315530F4" w14:textId="77777777" w:rsidR="005A11FF" w:rsidRDefault="00FA1633" w:rsidP="005A11FF">
      <w:pPr>
        <w:spacing w:after="0"/>
        <w:jc w:val="both"/>
        <w:rPr>
          <w:rFonts w:ascii="Arial" w:hAnsi="Arial" w:cs="Arial"/>
          <w:sz w:val="16"/>
          <w:szCs w:val="16"/>
          <w:lang w:val="es-UY"/>
        </w:rPr>
      </w:pPr>
      <w:r w:rsidRPr="00FA1633">
        <w:rPr>
          <w:noProof/>
          <w:lang w:val="es-UY" w:eastAsia="es-UY"/>
        </w:rPr>
        <w:drawing>
          <wp:inline distT="0" distB="0" distL="0" distR="0" wp14:anchorId="16C276D1" wp14:editId="3D54DBFC">
            <wp:extent cx="5400040" cy="238745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0040" cy="2387456"/>
                    </a:xfrm>
                    <a:prstGeom prst="rect">
                      <a:avLst/>
                    </a:prstGeom>
                    <a:noFill/>
                    <a:ln>
                      <a:noFill/>
                    </a:ln>
                  </pic:spPr>
                </pic:pic>
              </a:graphicData>
            </a:graphic>
          </wp:inline>
        </w:drawing>
      </w:r>
    </w:p>
    <w:p w14:paraId="2C43C44D" w14:textId="77777777" w:rsidR="00557094" w:rsidRDefault="00557094" w:rsidP="005A11FF">
      <w:pPr>
        <w:spacing w:after="0"/>
        <w:jc w:val="both"/>
        <w:rPr>
          <w:rFonts w:ascii="Arial" w:hAnsi="Arial" w:cs="Arial"/>
          <w:sz w:val="16"/>
          <w:szCs w:val="16"/>
          <w:lang w:val="es-UY"/>
        </w:rPr>
      </w:pPr>
    </w:p>
    <w:p w14:paraId="3ECE98A3" w14:textId="77777777" w:rsidR="00557094" w:rsidRDefault="00557094" w:rsidP="005A11FF">
      <w:pPr>
        <w:spacing w:after="0"/>
        <w:jc w:val="both"/>
        <w:rPr>
          <w:rFonts w:ascii="Arial" w:hAnsi="Arial" w:cs="Arial"/>
          <w:sz w:val="16"/>
          <w:szCs w:val="16"/>
          <w:lang w:val="es-UY"/>
        </w:rPr>
      </w:pPr>
    </w:p>
    <w:p w14:paraId="0E526F45" w14:textId="77777777" w:rsidR="00557094" w:rsidRDefault="00557094" w:rsidP="005A11FF">
      <w:pPr>
        <w:spacing w:after="0"/>
        <w:jc w:val="both"/>
        <w:rPr>
          <w:rFonts w:ascii="Arial" w:hAnsi="Arial" w:cs="Arial"/>
          <w:sz w:val="16"/>
          <w:szCs w:val="16"/>
          <w:lang w:val="es-UY"/>
        </w:rPr>
      </w:pPr>
    </w:p>
    <w:p w14:paraId="0B836B55" w14:textId="77777777" w:rsidR="00557094" w:rsidRDefault="00557094" w:rsidP="005A11FF">
      <w:pPr>
        <w:spacing w:after="0"/>
        <w:jc w:val="both"/>
        <w:rPr>
          <w:rFonts w:ascii="Arial" w:hAnsi="Arial" w:cs="Arial"/>
          <w:sz w:val="16"/>
          <w:szCs w:val="16"/>
          <w:lang w:val="es-UY"/>
        </w:rPr>
      </w:pPr>
    </w:p>
    <w:p w14:paraId="4BB9575F" w14:textId="77777777" w:rsidR="00557094" w:rsidRDefault="00557094" w:rsidP="005A11FF">
      <w:pPr>
        <w:spacing w:after="0"/>
        <w:jc w:val="both"/>
        <w:rPr>
          <w:rFonts w:ascii="Arial" w:hAnsi="Arial" w:cs="Arial"/>
          <w:sz w:val="16"/>
          <w:szCs w:val="16"/>
          <w:lang w:val="es-UY"/>
        </w:rPr>
      </w:pPr>
    </w:p>
    <w:p w14:paraId="2059B9E5" w14:textId="77777777" w:rsidR="00557094" w:rsidRDefault="00557094" w:rsidP="005A11FF">
      <w:pPr>
        <w:spacing w:after="0"/>
        <w:jc w:val="both"/>
        <w:rPr>
          <w:rFonts w:ascii="Arial" w:hAnsi="Arial" w:cs="Arial"/>
          <w:sz w:val="16"/>
          <w:szCs w:val="16"/>
          <w:lang w:val="es-UY"/>
        </w:rPr>
      </w:pPr>
    </w:p>
    <w:p w14:paraId="2D3D4CA0" w14:textId="77777777" w:rsidR="00557094" w:rsidRDefault="00557094" w:rsidP="005A11FF">
      <w:pPr>
        <w:spacing w:after="0"/>
        <w:jc w:val="both"/>
        <w:rPr>
          <w:rFonts w:ascii="Arial" w:hAnsi="Arial" w:cs="Arial"/>
          <w:sz w:val="16"/>
          <w:szCs w:val="16"/>
          <w:lang w:val="es-UY"/>
        </w:rPr>
      </w:pPr>
    </w:p>
    <w:p w14:paraId="23B16613" w14:textId="766916AA" w:rsidR="00557094" w:rsidRDefault="00557094" w:rsidP="005A11FF">
      <w:pPr>
        <w:spacing w:after="0"/>
        <w:jc w:val="both"/>
        <w:rPr>
          <w:rFonts w:ascii="Arial" w:hAnsi="Arial" w:cs="Arial"/>
          <w:sz w:val="16"/>
          <w:szCs w:val="16"/>
          <w:lang w:val="es-UY"/>
        </w:rPr>
      </w:pPr>
    </w:p>
    <w:p w14:paraId="67A5B979" w14:textId="77777777" w:rsidR="00557094" w:rsidRDefault="00557094" w:rsidP="005A11FF">
      <w:pPr>
        <w:spacing w:after="0"/>
        <w:jc w:val="both"/>
        <w:rPr>
          <w:rFonts w:ascii="Arial" w:hAnsi="Arial" w:cs="Arial"/>
          <w:sz w:val="16"/>
          <w:szCs w:val="16"/>
          <w:lang w:val="es-UY"/>
        </w:rPr>
      </w:pPr>
    </w:p>
    <w:p w14:paraId="5BC9373D" w14:textId="77777777" w:rsidR="00557094" w:rsidRDefault="00557094" w:rsidP="005A11FF">
      <w:pPr>
        <w:spacing w:after="0"/>
        <w:jc w:val="both"/>
        <w:rPr>
          <w:rFonts w:ascii="Arial" w:hAnsi="Arial" w:cs="Arial"/>
          <w:sz w:val="16"/>
          <w:szCs w:val="16"/>
          <w:lang w:val="es-UY"/>
        </w:rPr>
      </w:pPr>
    </w:p>
    <w:p w14:paraId="515908A9" w14:textId="77777777" w:rsidR="00557094" w:rsidRPr="005A11FF" w:rsidRDefault="00557094" w:rsidP="005A11FF">
      <w:pPr>
        <w:spacing w:after="0"/>
        <w:jc w:val="both"/>
        <w:rPr>
          <w:rFonts w:ascii="Arial" w:hAnsi="Arial" w:cs="Arial"/>
          <w:sz w:val="16"/>
          <w:szCs w:val="16"/>
          <w:lang w:val="es-UY"/>
        </w:rPr>
      </w:pPr>
    </w:p>
    <w:p w14:paraId="5FAE0BA4" w14:textId="77777777" w:rsidR="00557094" w:rsidRPr="005A11FF" w:rsidRDefault="00557094" w:rsidP="005A11FF">
      <w:pPr>
        <w:spacing w:after="0"/>
        <w:jc w:val="both"/>
        <w:rPr>
          <w:rFonts w:ascii="Arial" w:hAnsi="Arial" w:cs="Arial"/>
          <w:sz w:val="16"/>
          <w:szCs w:val="16"/>
          <w:lang w:val="es-UY"/>
        </w:rPr>
      </w:pPr>
      <w:bookmarkStart w:id="666" w:name="T1_ObrasPtaPto"/>
      <w:bookmarkStart w:id="667" w:name="_Toc400636148"/>
    </w:p>
    <w:bookmarkEnd w:id="666"/>
    <w:p w14:paraId="33018106" w14:textId="77777777" w:rsidR="005A11FF" w:rsidRPr="005A11FF" w:rsidRDefault="005A11FF" w:rsidP="005A11FF">
      <w:pPr>
        <w:spacing w:after="0"/>
        <w:jc w:val="both"/>
        <w:rPr>
          <w:rFonts w:ascii="Arial" w:hAnsi="Arial" w:cs="Arial"/>
          <w:sz w:val="16"/>
          <w:szCs w:val="16"/>
          <w:lang w:val="es-UY"/>
        </w:rPr>
      </w:pPr>
    </w:p>
    <w:p w14:paraId="5BBF92FA" w14:textId="77777777" w:rsidR="009B7337" w:rsidRDefault="009B7337">
      <w:pPr>
        <w:spacing w:after="0" w:line="240" w:lineRule="auto"/>
        <w:rPr>
          <w:rFonts w:ascii="Arial" w:eastAsia="Calibri" w:hAnsi="Arial" w:cs="Arial"/>
          <w:b/>
          <w:bCs/>
          <w:sz w:val="21"/>
          <w:szCs w:val="21"/>
          <w:lang w:val="es-ES_tradnl" w:eastAsia="es-ES"/>
        </w:rPr>
      </w:pPr>
      <w:r>
        <w:br w:type="page"/>
      </w:r>
    </w:p>
    <w:p w14:paraId="5F766BD1" w14:textId="77777777" w:rsidR="005A11FF" w:rsidRPr="00BC2F8F" w:rsidRDefault="005A11FF" w:rsidP="00707A7F">
      <w:pPr>
        <w:pStyle w:val="T1"/>
        <w:numPr>
          <w:ilvl w:val="0"/>
          <w:numId w:val="90"/>
        </w:numPr>
        <w:outlineLvl w:val="2"/>
      </w:pPr>
      <w:bookmarkStart w:id="668" w:name="_Toc468288052"/>
      <w:bookmarkStart w:id="669" w:name="_Toc496266645"/>
      <w:r w:rsidRPr="00BC2F8F">
        <w:lastRenderedPageBreak/>
        <w:t>N</w:t>
      </w:r>
      <w:bookmarkEnd w:id="667"/>
      <w:r w:rsidR="00B049A0">
        <w:t>ATURALEZA DE LAS OBRAS</w:t>
      </w:r>
      <w:bookmarkEnd w:id="668"/>
      <w:bookmarkEnd w:id="669"/>
    </w:p>
    <w:p w14:paraId="5D131973"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Las obras a definir y/o ejecutar se clasifican en las siguientes categorías:</w:t>
      </w:r>
    </w:p>
    <w:p w14:paraId="40C43987" w14:textId="7B8824E4" w:rsidR="005A11FF" w:rsidRPr="005A11FF" w:rsidRDefault="005A11FF" w:rsidP="009A58E0">
      <w:pPr>
        <w:numPr>
          <w:ilvl w:val="0"/>
          <w:numId w:val="60"/>
        </w:numPr>
        <w:spacing w:after="0"/>
        <w:jc w:val="both"/>
        <w:rPr>
          <w:rFonts w:ascii="Arial" w:hAnsi="Arial" w:cs="Arial"/>
          <w:sz w:val="20"/>
          <w:szCs w:val="20"/>
          <w:lang w:val="es-UY"/>
        </w:rPr>
      </w:pPr>
      <w:r w:rsidRPr="005A11FF">
        <w:rPr>
          <w:rFonts w:ascii="Arial" w:hAnsi="Arial" w:cs="Arial"/>
          <w:sz w:val="20"/>
          <w:szCs w:val="20"/>
          <w:lang w:val="es-UY"/>
        </w:rPr>
        <w:t>Obras de puesta a punto (primera y segunda etapa)</w:t>
      </w:r>
    </w:p>
    <w:p w14:paraId="42DFC756" w14:textId="77777777" w:rsidR="005A11FF" w:rsidRPr="005A11FF" w:rsidRDefault="005A11FF" w:rsidP="009A58E0">
      <w:pPr>
        <w:numPr>
          <w:ilvl w:val="0"/>
          <w:numId w:val="60"/>
        </w:numPr>
        <w:spacing w:after="0"/>
        <w:jc w:val="both"/>
        <w:rPr>
          <w:rFonts w:ascii="Arial" w:hAnsi="Arial" w:cs="Arial"/>
          <w:sz w:val="20"/>
          <w:szCs w:val="20"/>
          <w:lang w:val="es-UY"/>
        </w:rPr>
      </w:pPr>
      <w:r w:rsidRPr="005A11FF">
        <w:rPr>
          <w:rFonts w:ascii="Arial" w:hAnsi="Arial" w:cs="Arial"/>
          <w:sz w:val="20"/>
          <w:szCs w:val="20"/>
          <w:lang w:val="es-UY"/>
        </w:rPr>
        <w:t>Obras complementarias</w:t>
      </w:r>
    </w:p>
    <w:p w14:paraId="1DEEF92C" w14:textId="77777777" w:rsidR="005A11FF" w:rsidRPr="005A11FF" w:rsidRDefault="005A11FF" w:rsidP="005A11FF">
      <w:pPr>
        <w:spacing w:after="0"/>
        <w:jc w:val="both"/>
        <w:rPr>
          <w:rFonts w:ascii="Arial" w:hAnsi="Arial" w:cs="Arial"/>
          <w:sz w:val="20"/>
          <w:szCs w:val="20"/>
          <w:lang w:val="es-UY"/>
        </w:rPr>
      </w:pPr>
    </w:p>
    <w:p w14:paraId="73D9D909" w14:textId="77777777" w:rsidR="005A11FF" w:rsidRPr="005A11FF" w:rsidRDefault="00D00865" w:rsidP="00707A7F">
      <w:pPr>
        <w:pStyle w:val="T2"/>
        <w:numPr>
          <w:ilvl w:val="1"/>
          <w:numId w:val="90"/>
        </w:numPr>
        <w:outlineLvl w:val="3"/>
      </w:pPr>
      <w:bookmarkStart w:id="670" w:name="_Toc438130167"/>
      <w:bookmarkStart w:id="671" w:name="_Toc438224064"/>
      <w:bookmarkStart w:id="672" w:name="_Toc441131786"/>
      <w:bookmarkStart w:id="673" w:name="_Toc400636150"/>
      <w:bookmarkStart w:id="674" w:name="_Toc468288053"/>
      <w:bookmarkStart w:id="675" w:name="_Toc496266646"/>
      <w:bookmarkEnd w:id="670"/>
      <w:bookmarkEnd w:id="671"/>
      <w:bookmarkEnd w:id="672"/>
      <w:r w:rsidRPr="005A11FF">
        <w:t>OBRAS DE PUESTA A PUNTO Y OBRAS MÍNIMAS OBLIGATORIAS</w:t>
      </w:r>
      <w:bookmarkEnd w:id="673"/>
      <w:bookmarkEnd w:id="674"/>
      <w:bookmarkEnd w:id="675"/>
    </w:p>
    <w:p w14:paraId="07681620" w14:textId="30FC3092"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Dentro de la categoría de las </w:t>
      </w:r>
      <w:r w:rsidRPr="0094478C">
        <w:rPr>
          <w:rFonts w:ascii="Arial" w:hAnsi="Arial" w:cs="Arial"/>
          <w:bCs/>
          <w:sz w:val="20"/>
          <w:szCs w:val="20"/>
          <w:lang w:val="es-UY"/>
        </w:rPr>
        <w:t>obras de puesta a punto</w:t>
      </w:r>
      <w:r w:rsidRPr="0094478C">
        <w:rPr>
          <w:rFonts w:ascii="Arial" w:hAnsi="Arial" w:cs="Arial"/>
          <w:sz w:val="20"/>
          <w:szCs w:val="20"/>
          <w:lang w:val="es-UY"/>
        </w:rPr>
        <w:t xml:space="preserve">, la Contratante ha definido un conjunto de obras denominadas </w:t>
      </w:r>
      <w:r w:rsidRPr="0094478C">
        <w:rPr>
          <w:rFonts w:ascii="Arial" w:hAnsi="Arial" w:cs="Arial"/>
          <w:bCs/>
          <w:sz w:val="20"/>
          <w:szCs w:val="20"/>
          <w:lang w:val="es-UY"/>
        </w:rPr>
        <w:t>obras mínimas obligatorias</w:t>
      </w:r>
      <w:r w:rsidRPr="005A11FF">
        <w:rPr>
          <w:rFonts w:ascii="Arial" w:hAnsi="Arial" w:cs="Arial"/>
          <w:sz w:val="20"/>
          <w:szCs w:val="20"/>
          <w:lang w:val="es-UY"/>
        </w:rPr>
        <w:t>. La contratante ha establecido una segunda etapa para la ejecuci</w:t>
      </w:r>
      <w:r w:rsidR="005F09C9">
        <w:rPr>
          <w:rFonts w:ascii="Arial" w:hAnsi="Arial" w:cs="Arial"/>
          <w:sz w:val="20"/>
          <w:szCs w:val="20"/>
          <w:lang w:val="es-UY"/>
        </w:rPr>
        <w:t>ón del ensanche de los puentes.</w:t>
      </w:r>
    </w:p>
    <w:p w14:paraId="3F2573C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plazo de puesta a punto para cada tramo, así como el cronograma de avance de las obras mínimas obligatorias es el que se indica en la tabla </w:t>
      </w:r>
      <w:hyperlink w:anchor="T5_PzoEjecObrasT1" w:history="1">
        <w:r w:rsidRPr="001E4491">
          <w:rPr>
            <w:rStyle w:val="Hipervnculo"/>
            <w:rFonts w:ascii="Arial" w:hAnsi="Arial" w:cs="Arial"/>
            <w:sz w:val="20"/>
            <w:szCs w:val="20"/>
            <w:lang w:val="es-UY"/>
          </w:rPr>
          <w:t>C.XI-5</w:t>
        </w:r>
      </w:hyperlink>
      <w:r w:rsidRPr="005A11FF">
        <w:rPr>
          <w:rFonts w:ascii="Arial" w:hAnsi="Arial" w:cs="Arial"/>
          <w:sz w:val="20"/>
          <w:szCs w:val="20"/>
          <w:lang w:val="es-UY"/>
        </w:rPr>
        <w:t>.</w:t>
      </w:r>
    </w:p>
    <w:p w14:paraId="1AD8B02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Las obras mínimas obligatorias no necesariamente aseguran el cumplimiento de los requerimientos de este Pliego, sino que tienen dos cometidos:</w:t>
      </w:r>
    </w:p>
    <w:p w14:paraId="05EAADD9" w14:textId="77777777" w:rsidR="005A11FF" w:rsidRPr="005A11FF" w:rsidRDefault="005A11FF" w:rsidP="009A58E0">
      <w:pPr>
        <w:numPr>
          <w:ilvl w:val="0"/>
          <w:numId w:val="95"/>
        </w:numPr>
        <w:spacing w:after="120"/>
        <w:jc w:val="both"/>
        <w:rPr>
          <w:rFonts w:ascii="Arial" w:hAnsi="Arial" w:cs="Arial"/>
          <w:sz w:val="20"/>
          <w:szCs w:val="20"/>
          <w:lang w:val="es-UY"/>
        </w:rPr>
      </w:pPr>
      <w:r w:rsidRPr="005A11FF">
        <w:rPr>
          <w:rFonts w:ascii="Arial" w:hAnsi="Arial" w:cs="Arial"/>
          <w:sz w:val="20"/>
          <w:szCs w:val="20"/>
          <w:lang w:val="es-UY"/>
        </w:rPr>
        <w:t xml:space="preserve">asegurar la mejora del nivel de la infraestructura existente en el circuito en relación con distintos aspectos de las rutas </w:t>
      </w:r>
      <w:r w:rsidRPr="005A11FF">
        <w:rPr>
          <w:rFonts w:ascii="Arial" w:hAnsi="Arial" w:cs="Arial"/>
          <w:sz w:val="20"/>
          <w:szCs w:val="20"/>
          <w:lang w:val="es-UY"/>
        </w:rPr>
        <w:lastRenderedPageBreak/>
        <w:t xml:space="preserve">como ser, accesos, empalmes, geometría, pavimento, señalización, puentes, drenajes, etc. </w:t>
      </w:r>
    </w:p>
    <w:p w14:paraId="171C23F8" w14:textId="77777777" w:rsidR="005A11FF" w:rsidRPr="005A11FF" w:rsidRDefault="005A11FF" w:rsidP="009A58E0">
      <w:pPr>
        <w:numPr>
          <w:ilvl w:val="0"/>
          <w:numId w:val="95"/>
        </w:numPr>
        <w:spacing w:after="120"/>
        <w:jc w:val="both"/>
        <w:rPr>
          <w:rFonts w:ascii="Arial" w:hAnsi="Arial" w:cs="Arial"/>
          <w:sz w:val="20"/>
          <w:szCs w:val="20"/>
          <w:lang w:val="es-UY"/>
        </w:rPr>
      </w:pPr>
      <w:r w:rsidRPr="005A11FF">
        <w:rPr>
          <w:rFonts w:ascii="Arial" w:hAnsi="Arial" w:cs="Arial"/>
          <w:sz w:val="20"/>
          <w:szCs w:val="20"/>
          <w:lang w:val="es-UY"/>
        </w:rPr>
        <w:t>proteger a la Contratante</w:t>
      </w:r>
      <w:r w:rsidR="00B14DCC">
        <w:rPr>
          <w:rFonts w:ascii="Arial" w:hAnsi="Arial" w:cs="Arial"/>
          <w:sz w:val="20"/>
          <w:szCs w:val="20"/>
          <w:lang w:val="es-UY"/>
        </w:rPr>
        <w:t xml:space="preserve"> </w:t>
      </w:r>
      <w:r w:rsidRPr="005A11FF">
        <w:rPr>
          <w:rFonts w:ascii="Arial" w:hAnsi="Arial" w:cs="Arial"/>
          <w:sz w:val="20"/>
          <w:szCs w:val="20"/>
          <w:lang w:val="es-UY"/>
        </w:rPr>
        <w:t>de propuestas sustentadas en estrategias de mantenimiento de muy corto plazo basadas en continuas intervenciones menores.</w:t>
      </w:r>
    </w:p>
    <w:p w14:paraId="2D9C952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 será el único responsable de definir y proponer las obras que entienda necesarias para dar cumplimiento a las</w:t>
      </w:r>
      <w:r w:rsidR="00B14DCC">
        <w:rPr>
          <w:rFonts w:ascii="Arial" w:hAnsi="Arial" w:cs="Arial"/>
          <w:sz w:val="20"/>
          <w:szCs w:val="20"/>
          <w:lang w:val="es-UY"/>
        </w:rPr>
        <w:t xml:space="preserve"> </w:t>
      </w:r>
      <w:r w:rsidRPr="005A11FF">
        <w:rPr>
          <w:rFonts w:ascii="Arial" w:hAnsi="Arial" w:cs="Arial"/>
          <w:sz w:val="20"/>
          <w:szCs w:val="20"/>
          <w:lang w:val="es-UY"/>
        </w:rPr>
        <w:t>exigencias técnicas establecidas en este pliego.</w:t>
      </w:r>
    </w:p>
    <w:p w14:paraId="6B1375A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Cualquier diseño de las obras mínimas obligatorias será de aceptación en tanto demuestre que resultará en una funcionalidad, vida útil y estándares de servicio iguales o superiores a las esperables de las obras mínimas obligatorias establecidas por la Contratante. </w:t>
      </w:r>
    </w:p>
    <w:p w14:paraId="64964CA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elaborar sus diseños, los oferentes podrán hacer uso de los procedimientos de construcción y tecnologías que mejor se adapten a su estrategia de mantenimiento a largo plazo.</w:t>
      </w:r>
    </w:p>
    <w:p w14:paraId="7506B425"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En caso de optar por tecnologías no tradicionales deberán acompañar sus propuestas técnicas con los documentos que avalen la tecnología propuesta. En particular deberán presentar el modelo de deterioro correspondiente al pavimento diseñado con esa tecnología. Este modelo de deterioro deberá contar con el reconocimiento internacional y estar respaldado por organismos mundialmente reconocidos.</w:t>
      </w:r>
    </w:p>
    <w:p w14:paraId="1D39F2B8"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lastRenderedPageBreak/>
        <w:t xml:space="preserve">Las obras de puesta a punto serán el resultado de la integración de las obras mínimas obligatorias y de otras obras sustitutivas y/o adicionales que definirá cada oferente de forma que el conjunto le permita alcanzar y mantener, dentro de los plazos establecidos, los indicadores técnicos de disponibilidad y cumplir con los estándares de mantenimiento que se detallan en el </w:t>
      </w:r>
      <w:hyperlink w:anchor="A_9" w:history="1">
        <w:r w:rsidRPr="00B324C3">
          <w:rPr>
            <w:rStyle w:val="Hipervnculo"/>
            <w:rFonts w:ascii="Arial" w:hAnsi="Arial" w:cs="Arial"/>
            <w:sz w:val="20"/>
            <w:szCs w:val="20"/>
            <w:lang w:val="es-UY" w:eastAsia="es-ES"/>
          </w:rPr>
          <w:t>Anexo IX</w:t>
        </w:r>
      </w:hyperlink>
      <w:r w:rsidRPr="00B324C3">
        <w:rPr>
          <w:rFonts w:ascii="Arial" w:hAnsi="Arial" w:cs="Arial"/>
          <w:sz w:val="20"/>
          <w:szCs w:val="20"/>
          <w:lang w:val="es-UY" w:eastAsia="es-ES"/>
        </w:rPr>
        <w:t>.</w:t>
      </w:r>
    </w:p>
    <w:p w14:paraId="5321394F"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El diseño de cada una de las obras de puesta a punto deberá estar debidamente justificado mediante los estudios técnicos correspondientes y ser consistente con el plan financiero y los programas de mantenimiento a lo largo de todo el contrato.</w:t>
      </w:r>
    </w:p>
    <w:p w14:paraId="3CA07BF1"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Los oferentes definirán y diseñarán las obras de puesta a punto que propongan en concordancia con las exigencias planteadas a través de los estándares de mantenimiento, el Nivel de Servicio al Usuario (NSU) y el IRI, de tal manera de satisfacer los coeficientes técnicos de disponibilidad (ctd) cuyos valores mínimos se deberán alcanzar y mantener o superar a lo largo de todo el contrato.</w:t>
      </w:r>
    </w:p>
    <w:p w14:paraId="73BFAA22"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Para ello deberán cotizar y realizar todas las obras que estimen necesarias para llevar cada tramo desde el estado en que lo reciban a uno que cumpla con los estándares de mantenimiento, Nivel de Servicio al Usuario e IRI requeridos.</w:t>
      </w:r>
    </w:p>
    <w:p w14:paraId="1AEED589" w14:textId="77777777" w:rsidR="005A11FF" w:rsidRPr="005A11FF" w:rsidRDefault="005A11FF" w:rsidP="005A11FF">
      <w:pPr>
        <w:tabs>
          <w:tab w:val="left" w:pos="-1440"/>
          <w:tab w:val="left" w:pos="-720"/>
        </w:tabs>
        <w:spacing w:after="120"/>
        <w:ind w:right="-3"/>
        <w:jc w:val="both"/>
        <w:rPr>
          <w:rFonts w:ascii="Arial" w:hAnsi="Arial" w:cs="Arial"/>
          <w:sz w:val="20"/>
          <w:szCs w:val="20"/>
          <w:lang w:val="es-UY" w:eastAsia="es-ES"/>
        </w:rPr>
      </w:pPr>
      <w:r w:rsidRPr="005A11FF">
        <w:rPr>
          <w:rFonts w:ascii="Arial" w:hAnsi="Arial" w:cs="Arial"/>
          <w:sz w:val="20"/>
          <w:szCs w:val="20"/>
          <w:lang w:val="es-UY" w:eastAsia="es-ES"/>
        </w:rPr>
        <w:t xml:space="preserve">A los efectos de considerar los trabajos necesarios para satisfacer los indicadores técnicos de disponibilidad y sus correspondientes </w:t>
      </w:r>
      <w:r w:rsidRPr="005A11FF">
        <w:rPr>
          <w:rFonts w:ascii="Arial" w:hAnsi="Arial" w:cs="Arial"/>
          <w:sz w:val="20"/>
          <w:szCs w:val="20"/>
          <w:lang w:val="es-UY" w:eastAsia="es-ES"/>
        </w:rPr>
        <w:lastRenderedPageBreak/>
        <w:t>costos asociados, los oferentes tomarán en consideración que todos los tramos serán incorporados al contrato sin preparación o tratamiento especial.</w:t>
      </w:r>
    </w:p>
    <w:p w14:paraId="5782B3EC" w14:textId="55E020B0" w:rsidR="005A11FF" w:rsidRPr="005A11FF" w:rsidRDefault="005A11FF" w:rsidP="005A11FF">
      <w:pPr>
        <w:spacing w:before="120" w:after="360"/>
        <w:jc w:val="both"/>
        <w:rPr>
          <w:rFonts w:ascii="Arial" w:hAnsi="Arial" w:cs="Arial"/>
          <w:sz w:val="20"/>
          <w:szCs w:val="20"/>
          <w:lang w:val="es-UY"/>
        </w:rPr>
      </w:pPr>
      <w:r w:rsidRPr="005A11FF">
        <w:rPr>
          <w:rFonts w:ascii="Arial" w:hAnsi="Arial" w:cs="Arial"/>
          <w:sz w:val="20"/>
          <w:szCs w:val="20"/>
          <w:lang w:val="es-UY"/>
        </w:rPr>
        <w:t xml:space="preserve">En </w:t>
      </w:r>
      <w:r w:rsidR="002032C1">
        <w:rPr>
          <w:rFonts w:ascii="Arial" w:hAnsi="Arial" w:cs="Arial"/>
          <w:sz w:val="20"/>
          <w:szCs w:val="20"/>
          <w:lang w:val="es-UY"/>
        </w:rPr>
        <w:t>el</w:t>
      </w:r>
      <w:r w:rsidR="002032C1" w:rsidRPr="005A11FF">
        <w:rPr>
          <w:rFonts w:ascii="Arial" w:hAnsi="Arial" w:cs="Arial"/>
          <w:sz w:val="20"/>
          <w:szCs w:val="20"/>
          <w:lang w:val="es-UY"/>
        </w:rPr>
        <w:t xml:space="preserve"> </w:t>
      </w:r>
      <w:r w:rsidRPr="005A11FF">
        <w:rPr>
          <w:rFonts w:ascii="Arial" w:hAnsi="Arial" w:cs="Arial"/>
          <w:sz w:val="20"/>
          <w:szCs w:val="20"/>
          <w:lang w:val="es-UY"/>
        </w:rPr>
        <w:t>punto siguiente se describen las obras mínimas obligatorias en cada uno de los tramos, su fecha de inicio y su plazo de ejecución. Los oferentes podrán adelantar las obras mínimas obligatorias de la primera etapa y siguientes si lo entienden conveniente.</w:t>
      </w:r>
    </w:p>
    <w:p w14:paraId="4C3D45B1" w14:textId="77777777" w:rsidR="005A11FF" w:rsidRPr="005A11FF" w:rsidRDefault="005A11FF" w:rsidP="005A11FF">
      <w:pPr>
        <w:spacing w:after="120"/>
        <w:jc w:val="both"/>
        <w:rPr>
          <w:rFonts w:ascii="Arial" w:hAnsi="Arial" w:cs="Arial"/>
          <w:sz w:val="18"/>
          <w:szCs w:val="18"/>
          <w:lang w:val="es-UY"/>
        </w:rPr>
      </w:pPr>
    </w:p>
    <w:p w14:paraId="65A772C9" w14:textId="77777777" w:rsidR="005A11FF" w:rsidRPr="003F74B6" w:rsidRDefault="00161482" w:rsidP="00707A7F">
      <w:pPr>
        <w:pStyle w:val="T2"/>
        <w:numPr>
          <w:ilvl w:val="1"/>
          <w:numId w:val="90"/>
        </w:numPr>
        <w:ind w:left="798" w:hanging="438"/>
        <w:outlineLvl w:val="3"/>
      </w:pPr>
      <w:bookmarkStart w:id="676" w:name="_Toc468288054"/>
      <w:bookmarkStart w:id="677" w:name="_Toc496266647"/>
      <w:r w:rsidRPr="003F74B6">
        <w:t>DESCRIPCIÓN DE LAS OBRAS MÍNIMAS OBLIGATORIAS</w:t>
      </w:r>
      <w:bookmarkEnd w:id="676"/>
      <w:bookmarkEnd w:id="677"/>
    </w:p>
    <w:p w14:paraId="24DFAB35" w14:textId="77777777" w:rsidR="005949EB" w:rsidRPr="00AC57A7" w:rsidRDefault="005949EB" w:rsidP="007B7A61">
      <w:pPr>
        <w:rPr>
          <w:rFonts w:ascii="Arial" w:hAnsi="Arial"/>
          <w:b/>
          <w:lang w:val="es-ES_tradnl"/>
        </w:rPr>
      </w:pPr>
      <w:bookmarkStart w:id="678" w:name="_Toc437874764"/>
      <w:bookmarkStart w:id="679" w:name="_Toc437875049"/>
      <w:bookmarkStart w:id="680" w:name="_Toc437875407"/>
      <w:bookmarkStart w:id="681" w:name="_Toc437875692"/>
      <w:bookmarkStart w:id="682" w:name="_Toc437876085"/>
      <w:bookmarkStart w:id="683" w:name="_Toc437876351"/>
      <w:bookmarkStart w:id="684" w:name="_Toc437876617"/>
      <w:bookmarkStart w:id="685" w:name="_Toc437876883"/>
      <w:bookmarkStart w:id="686" w:name="_Toc437877146"/>
      <w:bookmarkStart w:id="687" w:name="_Toc437877405"/>
      <w:bookmarkStart w:id="688" w:name="_Toc437877664"/>
      <w:bookmarkStart w:id="689" w:name="_Toc437877921"/>
      <w:bookmarkStart w:id="690" w:name="_Toc437878177"/>
      <w:bookmarkStart w:id="691" w:name="_Toc437878433"/>
      <w:bookmarkStart w:id="692" w:name="_Toc437878688"/>
      <w:bookmarkStart w:id="693" w:name="_Toc437878942"/>
      <w:bookmarkStart w:id="694" w:name="_Toc437879195"/>
      <w:bookmarkStart w:id="695" w:name="_Toc437879450"/>
      <w:bookmarkStart w:id="696" w:name="_Toc437879704"/>
      <w:bookmarkStart w:id="697" w:name="_Toc437879958"/>
      <w:bookmarkStart w:id="698" w:name="_Toc437880211"/>
      <w:bookmarkStart w:id="699" w:name="_Toc437942605"/>
      <w:bookmarkStart w:id="700" w:name="_Toc437942856"/>
      <w:bookmarkStart w:id="701" w:name="_Toc437943571"/>
      <w:bookmarkStart w:id="702" w:name="_Toc437944199"/>
      <w:bookmarkStart w:id="703" w:name="_Toc437950015"/>
      <w:bookmarkStart w:id="704" w:name="_Toc438026641"/>
      <w:bookmarkStart w:id="705" w:name="_Toc438026880"/>
      <w:bookmarkStart w:id="706" w:name="_Toc438027120"/>
      <w:bookmarkStart w:id="707" w:name="_Toc438027787"/>
      <w:bookmarkStart w:id="708" w:name="_Toc438028033"/>
      <w:bookmarkStart w:id="709" w:name="_Toc438028279"/>
      <w:bookmarkStart w:id="710" w:name="_Toc438028525"/>
      <w:bookmarkStart w:id="711" w:name="_Toc438031363"/>
      <w:bookmarkStart w:id="712" w:name="_Toc438031618"/>
      <w:bookmarkStart w:id="713" w:name="_Toc438052068"/>
      <w:bookmarkStart w:id="714" w:name="_Toc438052392"/>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AC57A7">
        <w:rPr>
          <w:rFonts w:ascii="Arial" w:eastAsia="Calibri" w:hAnsi="Arial"/>
          <w:b/>
          <w:lang w:val="es-ES_tradnl"/>
        </w:rPr>
        <w:t>1   Pavimentos</w:t>
      </w:r>
    </w:p>
    <w:p w14:paraId="3D609338" w14:textId="77777777" w:rsidR="00AC57A7" w:rsidRPr="007B7A61" w:rsidRDefault="00AC57A7" w:rsidP="007B7A61">
      <w:pPr>
        <w:jc w:val="both"/>
        <w:rPr>
          <w:rFonts w:ascii="Arial" w:eastAsia="Calibri" w:hAnsi="Arial" w:cs="Arial"/>
          <w:sz w:val="20"/>
          <w:lang w:val="es-ES_tradnl"/>
        </w:rPr>
      </w:pPr>
      <w:r w:rsidRPr="007B7A61">
        <w:rPr>
          <w:rFonts w:ascii="Arial" w:eastAsia="Calibri" w:hAnsi="Arial" w:cs="Arial"/>
          <w:sz w:val="20"/>
          <w:lang w:val="es-ES_tradnl"/>
        </w:rPr>
        <w:t>Tramos 148 y 149:</w:t>
      </w:r>
      <w:r w:rsidRPr="007B7A61">
        <w:rPr>
          <w:rFonts w:ascii="Arial" w:eastAsia="Calibri" w:hAnsi="Arial" w:cs="Arial"/>
          <w:sz w:val="20"/>
          <w:lang w:val="es-ES_tradnl"/>
        </w:rPr>
        <w:tab/>
        <w:t>En la duplicación de calzada según perfil de referencia con estabilizado granulométrico en la capa de CBR 80 y en la superficie existente sellado de fisuras, bacheo y fresado con reposición de carpeta de rodadura con asfalto modificado en un espesor de 5 cm. Tratamiento bituminoso doble con emulsión modificada en las banquinas.</w:t>
      </w:r>
    </w:p>
    <w:p w14:paraId="616CF336" w14:textId="77777777" w:rsidR="009709B5" w:rsidRDefault="009709B5" w:rsidP="009709B5">
      <w:pPr>
        <w:jc w:val="both"/>
        <w:rPr>
          <w:rFonts w:ascii="Arial" w:eastAsia="Calibri" w:hAnsi="Arial" w:cs="Arial"/>
          <w:sz w:val="20"/>
          <w:lang w:val="es-ES_tradnl"/>
        </w:rPr>
      </w:pPr>
      <w:r w:rsidRPr="009709B5">
        <w:rPr>
          <w:rFonts w:ascii="Arial" w:eastAsia="Calibri" w:hAnsi="Arial" w:cs="Arial"/>
          <w:sz w:val="20"/>
          <w:lang w:val="es-ES_tradnl"/>
        </w:rPr>
        <w:lastRenderedPageBreak/>
        <w:t>Para la duplicación de calzada de la Ruta 6 se propone un cantero central y la generación de un</w:t>
      </w:r>
      <w:r>
        <w:rPr>
          <w:rFonts w:ascii="Arial" w:eastAsia="Calibri" w:hAnsi="Arial" w:cs="Arial"/>
          <w:sz w:val="20"/>
          <w:lang w:val="es-ES_tradnl"/>
        </w:rPr>
        <w:t xml:space="preserve"> </w:t>
      </w:r>
      <w:r w:rsidRPr="009709B5">
        <w:rPr>
          <w:rFonts w:ascii="Arial" w:eastAsia="Calibri" w:hAnsi="Arial" w:cs="Arial"/>
          <w:sz w:val="20"/>
          <w:lang w:val="es-ES_tradnl"/>
        </w:rPr>
        <w:t>espacio de vereda y ciclovía a continuación de la banquina</w:t>
      </w:r>
      <w:r>
        <w:rPr>
          <w:rFonts w:ascii="Arial" w:eastAsia="Calibri" w:hAnsi="Arial" w:cs="Arial"/>
          <w:sz w:val="20"/>
          <w:lang w:val="es-ES_tradnl"/>
        </w:rPr>
        <w:t>. No se prevén expropiaciones para la duplicación de vía en Ruta 6.</w:t>
      </w:r>
    </w:p>
    <w:p w14:paraId="2BBB4353" w14:textId="77777777" w:rsidR="009709B5" w:rsidRDefault="009709B5" w:rsidP="009709B5">
      <w:pPr>
        <w:jc w:val="both"/>
        <w:rPr>
          <w:rFonts w:ascii="Arial" w:eastAsia="Calibri" w:hAnsi="Arial" w:cs="Arial"/>
          <w:sz w:val="20"/>
          <w:lang w:val="es-ES_tradnl"/>
        </w:rPr>
      </w:pPr>
      <w:r w:rsidRPr="00BA1187">
        <w:rPr>
          <w:rFonts w:ascii="Arial" w:eastAsia="Calibri" w:hAnsi="Arial" w:cs="Arial"/>
          <w:noProof/>
          <w:sz w:val="20"/>
          <w:lang w:val="es-UY" w:eastAsia="es-UY"/>
        </w:rPr>
        <w:drawing>
          <wp:inline distT="0" distB="0" distL="0" distR="0" wp14:anchorId="57992B49" wp14:editId="2A1E75B9">
            <wp:extent cx="5400040" cy="3103073"/>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00040" cy="3103073"/>
                    </a:xfrm>
                    <a:prstGeom prst="rect">
                      <a:avLst/>
                    </a:prstGeom>
                    <a:noFill/>
                    <a:ln>
                      <a:noFill/>
                    </a:ln>
                  </pic:spPr>
                </pic:pic>
              </a:graphicData>
            </a:graphic>
          </wp:inline>
        </w:drawing>
      </w:r>
    </w:p>
    <w:p w14:paraId="4A127F6C" w14:textId="77777777" w:rsidR="009709B5" w:rsidRPr="000C46AE" w:rsidRDefault="009709B5" w:rsidP="000C46AE">
      <w:pPr>
        <w:jc w:val="both"/>
        <w:rPr>
          <w:rFonts w:ascii="Arial" w:eastAsia="Calibri" w:hAnsi="Arial" w:cs="Arial"/>
          <w:sz w:val="20"/>
          <w:lang w:val="es-ES_tradnl"/>
        </w:rPr>
      </w:pPr>
    </w:p>
    <w:p w14:paraId="66C85D16" w14:textId="4A1D31C3" w:rsidR="009D0B23" w:rsidRPr="00F74771" w:rsidRDefault="000C46AE" w:rsidP="007B7A61">
      <w:pPr>
        <w:keepNext/>
        <w:numPr>
          <w:ilvl w:val="0"/>
          <w:numId w:val="159"/>
        </w:numPr>
        <w:rPr>
          <w:rFonts w:ascii="Arial" w:eastAsia="Calibri" w:hAnsi="Arial" w:cs="Arial"/>
          <w:sz w:val="20"/>
          <w:szCs w:val="20"/>
          <w:lang w:val="es-ES_tradnl"/>
        </w:rPr>
      </w:pPr>
      <w:r w:rsidRPr="000C46AE">
        <w:rPr>
          <w:rFonts w:ascii="Arial" w:eastAsia="Calibri" w:hAnsi="Arial" w:cs="Arial"/>
          <w:sz w:val="20"/>
          <w:lang w:val="es-ES_tradnl"/>
        </w:rPr>
        <w:t>Tramos 612, 613, 614</w:t>
      </w:r>
      <w:r w:rsidR="00AC57A7">
        <w:rPr>
          <w:rFonts w:ascii="Arial" w:eastAsia="Calibri" w:hAnsi="Arial" w:cs="Arial"/>
          <w:sz w:val="20"/>
          <w:lang w:val="es-ES_tradnl"/>
        </w:rPr>
        <w:t xml:space="preserve">, </w:t>
      </w:r>
      <w:r w:rsidRPr="000C46AE">
        <w:rPr>
          <w:rFonts w:ascii="Arial" w:eastAsia="Calibri" w:hAnsi="Arial" w:cs="Arial"/>
          <w:sz w:val="20"/>
          <w:lang w:val="es-ES_tradnl"/>
        </w:rPr>
        <w:t>615</w:t>
      </w:r>
      <w:r w:rsidR="00AC57A7">
        <w:rPr>
          <w:rFonts w:ascii="Arial" w:eastAsia="Calibri" w:hAnsi="Arial" w:cs="Arial"/>
          <w:sz w:val="20"/>
          <w:lang w:val="es-ES_tradnl"/>
        </w:rPr>
        <w:t>a y 615b</w:t>
      </w:r>
      <w:r w:rsidRPr="000C46AE">
        <w:rPr>
          <w:rFonts w:ascii="Arial" w:eastAsia="Calibri" w:hAnsi="Arial" w:cs="Arial"/>
          <w:sz w:val="20"/>
          <w:lang w:val="es-ES_tradnl"/>
        </w:rPr>
        <w:t>:</w:t>
      </w:r>
      <w:r w:rsidRPr="000C46AE">
        <w:rPr>
          <w:rFonts w:ascii="Arial" w:eastAsia="Calibri" w:hAnsi="Arial" w:cs="Arial"/>
          <w:sz w:val="20"/>
          <w:lang w:val="es-ES_tradnl"/>
        </w:rPr>
        <w:tab/>
        <w:t>Sellado</w:t>
      </w:r>
      <w:r w:rsidR="009D0B23" w:rsidRPr="00F74771">
        <w:rPr>
          <w:rFonts w:ascii="Arial" w:eastAsia="Calibri" w:hAnsi="Arial" w:cs="Arial"/>
          <w:sz w:val="20"/>
          <w:szCs w:val="20"/>
          <w:lang w:val="es-ES_tradnl"/>
        </w:rPr>
        <w:t xml:space="preserve"> de </w:t>
      </w:r>
      <w:r w:rsidRPr="000C46AE">
        <w:rPr>
          <w:rFonts w:ascii="Arial" w:eastAsia="Calibri" w:hAnsi="Arial" w:cs="Arial"/>
          <w:sz w:val="20"/>
          <w:lang w:val="es-ES_tradnl"/>
        </w:rPr>
        <w:t>fisuras, bacheo</w:t>
      </w:r>
      <w:r w:rsidR="009D0B23" w:rsidRPr="00F74771">
        <w:rPr>
          <w:rFonts w:ascii="Arial" w:eastAsia="Calibri" w:hAnsi="Arial" w:cs="Arial"/>
          <w:sz w:val="20"/>
          <w:szCs w:val="20"/>
          <w:lang w:val="es-ES_tradnl"/>
        </w:rPr>
        <w:t xml:space="preserve"> y</w:t>
      </w:r>
      <w:r w:rsidRPr="000C46AE">
        <w:rPr>
          <w:rFonts w:ascii="Arial" w:eastAsia="Calibri" w:hAnsi="Arial" w:cs="Arial"/>
          <w:sz w:val="20"/>
          <w:lang w:val="es-ES_tradnl"/>
        </w:rPr>
        <w:t xml:space="preserve"> corrección del ahuellamiento y recapado de carpeta</w:t>
      </w:r>
      <w:r w:rsidR="009D0B23" w:rsidRPr="00F74771">
        <w:rPr>
          <w:rFonts w:ascii="Arial" w:eastAsia="Calibri" w:hAnsi="Arial" w:cs="Arial"/>
          <w:sz w:val="20"/>
          <w:szCs w:val="20"/>
          <w:lang w:val="es-ES_tradnl"/>
        </w:rPr>
        <w:t xml:space="preserve"> de </w:t>
      </w:r>
      <w:r w:rsidRPr="000C46AE">
        <w:rPr>
          <w:rFonts w:ascii="Arial" w:eastAsia="Calibri" w:hAnsi="Arial" w:cs="Arial"/>
          <w:sz w:val="20"/>
          <w:lang w:val="es-ES_tradnl"/>
        </w:rPr>
        <w:t xml:space="preserve">rodadura con asfalto modificado en un </w:t>
      </w:r>
      <w:r w:rsidR="009D0B23" w:rsidRPr="00F74771">
        <w:rPr>
          <w:rFonts w:ascii="Arial" w:eastAsia="Calibri" w:hAnsi="Arial" w:cs="Arial"/>
          <w:sz w:val="20"/>
          <w:szCs w:val="20"/>
          <w:lang w:val="es-ES_tradnl"/>
        </w:rPr>
        <w:t xml:space="preserve">espesor de </w:t>
      </w:r>
      <w:r w:rsidRPr="000C46AE">
        <w:rPr>
          <w:rFonts w:ascii="Arial" w:eastAsia="Calibri" w:hAnsi="Arial" w:cs="Arial"/>
          <w:sz w:val="20"/>
          <w:lang w:val="es-ES_tradnl"/>
        </w:rPr>
        <w:t>5</w:t>
      </w:r>
      <w:r w:rsidR="009D0B23" w:rsidRPr="00F74771">
        <w:rPr>
          <w:rFonts w:ascii="Arial" w:eastAsia="Calibri" w:hAnsi="Arial" w:cs="Arial"/>
          <w:sz w:val="20"/>
          <w:szCs w:val="20"/>
          <w:lang w:val="es-ES_tradnl"/>
        </w:rPr>
        <w:t xml:space="preserve"> cm. </w:t>
      </w:r>
      <w:r w:rsidR="009D0B23" w:rsidRPr="00F74771">
        <w:rPr>
          <w:rFonts w:ascii="Arial" w:eastAsia="Calibri" w:hAnsi="Arial" w:cs="Arial"/>
          <w:sz w:val="20"/>
          <w:szCs w:val="20"/>
          <w:lang w:val="es-ES_tradnl"/>
        </w:rPr>
        <w:lastRenderedPageBreak/>
        <w:t>Tratamiento bituminoso doble</w:t>
      </w:r>
      <w:r w:rsidRPr="000C46AE">
        <w:rPr>
          <w:rFonts w:ascii="Arial" w:eastAsia="Calibri" w:hAnsi="Arial" w:cs="Arial"/>
          <w:sz w:val="20"/>
          <w:lang w:val="es-ES_tradnl"/>
        </w:rPr>
        <w:t xml:space="preserve"> con emulsi</w:t>
      </w:r>
      <w:r w:rsidR="00896EDA">
        <w:rPr>
          <w:rFonts w:ascii="Arial" w:eastAsia="Calibri" w:hAnsi="Arial" w:cs="Arial"/>
          <w:sz w:val="20"/>
          <w:lang w:val="es-ES_tradnl"/>
        </w:rPr>
        <w:t>ón modificada en las banquinas</w:t>
      </w:r>
      <w:r w:rsidR="009D0B23" w:rsidRPr="00F74771">
        <w:rPr>
          <w:rFonts w:ascii="Arial" w:eastAsia="Calibri" w:hAnsi="Arial" w:cs="Arial"/>
          <w:sz w:val="20"/>
          <w:szCs w:val="20"/>
          <w:lang w:val="es-ES_tradnl"/>
        </w:rPr>
        <w:t>.</w:t>
      </w:r>
    </w:p>
    <w:p w14:paraId="1299C385" w14:textId="66DD715F" w:rsidR="005949EB" w:rsidRPr="007B7A61" w:rsidRDefault="000C46AE" w:rsidP="00AC57A7">
      <w:pPr>
        <w:pStyle w:val="Prrafodelista"/>
        <w:numPr>
          <w:ilvl w:val="1"/>
          <w:numId w:val="150"/>
        </w:numPr>
        <w:spacing w:after="0"/>
        <w:ind w:left="567" w:firstLine="0"/>
        <w:contextualSpacing/>
        <w:jc w:val="both"/>
        <w:rPr>
          <w:rFonts w:ascii="Arial" w:hAnsi="Arial"/>
          <w:sz w:val="20"/>
          <w:lang w:val="es-ES_tradnl"/>
        </w:rPr>
      </w:pPr>
      <w:r w:rsidRPr="000C46AE">
        <w:rPr>
          <w:rFonts w:ascii="Arial" w:eastAsia="Calibri" w:hAnsi="Arial" w:cs="Arial"/>
          <w:sz w:val="20"/>
          <w:lang w:val="es-ES_tradnl"/>
        </w:rPr>
        <w:t>Tramo 650</w:t>
      </w:r>
      <w:r w:rsidR="00AC57A7">
        <w:rPr>
          <w:rFonts w:ascii="Arial" w:eastAsia="Calibri" w:hAnsi="Arial" w:cs="Arial"/>
          <w:sz w:val="20"/>
          <w:lang w:val="es-ES_tradnl"/>
        </w:rPr>
        <w:t>a y 650b</w:t>
      </w:r>
      <w:r w:rsidRPr="000C46AE">
        <w:rPr>
          <w:rFonts w:ascii="Arial" w:eastAsia="Calibri" w:hAnsi="Arial" w:cs="Arial"/>
          <w:sz w:val="20"/>
          <w:lang w:val="es-ES_tradnl"/>
        </w:rPr>
        <w:t>:</w:t>
      </w:r>
      <w:r w:rsidRPr="000C46AE">
        <w:rPr>
          <w:rFonts w:ascii="Arial" w:eastAsia="Calibri" w:hAnsi="Arial" w:cs="Arial"/>
          <w:sz w:val="20"/>
          <w:lang w:val="es-ES_tradnl"/>
        </w:rPr>
        <w:tab/>
        <w:t>Recargo de base CBR 60% de 20</w:t>
      </w:r>
      <w:r w:rsidR="000C2205" w:rsidRPr="000C2205">
        <w:rPr>
          <w:rFonts w:ascii="Arial" w:eastAsia="Calibri" w:hAnsi="Arial" w:cs="Arial"/>
          <w:sz w:val="20"/>
          <w:szCs w:val="20"/>
          <w:lang w:val="es-ES_tradnl"/>
        </w:rPr>
        <w:t xml:space="preserve"> cm de espesor </w:t>
      </w:r>
      <w:r w:rsidRPr="000C46AE">
        <w:rPr>
          <w:rFonts w:ascii="Arial" w:eastAsia="Calibri" w:hAnsi="Arial" w:cs="Arial"/>
          <w:sz w:val="20"/>
          <w:lang w:val="es-ES_tradnl"/>
        </w:rPr>
        <w:t xml:space="preserve">y recargo </w:t>
      </w:r>
      <w:r w:rsidR="000C2205" w:rsidRPr="000C2205">
        <w:rPr>
          <w:rFonts w:ascii="Arial" w:eastAsia="Calibri" w:hAnsi="Arial" w:cs="Arial"/>
          <w:sz w:val="20"/>
          <w:szCs w:val="20"/>
          <w:lang w:val="es-ES_tradnl"/>
        </w:rPr>
        <w:t xml:space="preserve">de base triturada estabilizada </w:t>
      </w:r>
      <w:r w:rsidRPr="000C46AE">
        <w:rPr>
          <w:rFonts w:ascii="Arial" w:eastAsia="Calibri" w:hAnsi="Arial" w:cs="Arial"/>
          <w:sz w:val="20"/>
          <w:lang w:val="es-ES_tradnl"/>
        </w:rPr>
        <w:t xml:space="preserve">granulométricamene de 20 cm de espesor y carpeta asfáltica de rodadura con asfalto modificado en un espesor de 5 cm. </w:t>
      </w:r>
      <w:r w:rsidR="000C2205" w:rsidRPr="000C2205">
        <w:rPr>
          <w:rFonts w:ascii="Arial" w:eastAsia="Calibri" w:hAnsi="Arial" w:cs="Arial"/>
          <w:sz w:val="20"/>
          <w:szCs w:val="20"/>
          <w:lang w:val="es-ES_tradnl"/>
        </w:rPr>
        <w:t>Tratamiento bituminoso doble</w:t>
      </w:r>
      <w:r w:rsidR="0020471A" w:rsidRPr="00AC57A7">
        <w:rPr>
          <w:rFonts w:ascii="Arial" w:hAnsi="Arial"/>
          <w:sz w:val="20"/>
          <w:lang w:val="es-ES_tradnl"/>
        </w:rPr>
        <w:t xml:space="preserve"> con </w:t>
      </w:r>
      <w:r w:rsidRPr="000C46AE">
        <w:rPr>
          <w:rFonts w:ascii="Arial" w:eastAsia="Calibri" w:hAnsi="Arial" w:cs="Arial"/>
          <w:sz w:val="20"/>
          <w:lang w:val="es-ES_tradnl"/>
        </w:rPr>
        <w:t>emulsión modificada en las banquinas.</w:t>
      </w:r>
    </w:p>
    <w:p w14:paraId="30FEEB94" w14:textId="77777777" w:rsidR="00AC57A7" w:rsidRPr="00AC57A7" w:rsidRDefault="00AC57A7" w:rsidP="00AC57A7">
      <w:pPr>
        <w:pStyle w:val="Prrafodelista"/>
        <w:numPr>
          <w:ilvl w:val="1"/>
          <w:numId w:val="150"/>
        </w:numPr>
        <w:spacing w:after="0"/>
        <w:ind w:left="567" w:firstLine="0"/>
        <w:contextualSpacing/>
        <w:jc w:val="both"/>
        <w:rPr>
          <w:rFonts w:ascii="Arial" w:hAnsi="Arial"/>
          <w:sz w:val="20"/>
          <w:lang w:val="es-ES_tradnl"/>
        </w:rPr>
      </w:pPr>
    </w:p>
    <w:p w14:paraId="349764CD" w14:textId="77777777" w:rsidR="004962BA" w:rsidRPr="007B7A61" w:rsidRDefault="004962BA" w:rsidP="004962BA">
      <w:pPr>
        <w:jc w:val="both"/>
        <w:rPr>
          <w:rFonts w:ascii="Arial" w:eastAsia="Calibri" w:hAnsi="Arial" w:cs="Arial"/>
          <w:sz w:val="20"/>
          <w:lang w:val="en-US"/>
        </w:rPr>
      </w:pPr>
      <w:r w:rsidRPr="007B7A61">
        <w:rPr>
          <w:rFonts w:ascii="Arial" w:eastAsia="Calibri" w:hAnsi="Arial" w:cs="Arial"/>
          <w:sz w:val="20"/>
          <w:lang w:val="en-US"/>
        </w:rPr>
        <w:t xml:space="preserve">Tramo By Pass San Ramón: </w:t>
      </w:r>
    </w:p>
    <w:p w14:paraId="2F02D993" w14:textId="77777777" w:rsidR="004962BA" w:rsidRPr="004962BA" w:rsidRDefault="004962BA" w:rsidP="004962BA">
      <w:pPr>
        <w:pStyle w:val="Sinespaciado"/>
        <w:numPr>
          <w:ilvl w:val="0"/>
          <w:numId w:val="161"/>
        </w:numPr>
        <w:rPr>
          <w:rFonts w:ascii="Arial" w:eastAsia="Calibri" w:hAnsi="Arial" w:cs="Arial"/>
          <w:sz w:val="20"/>
          <w:szCs w:val="20"/>
          <w:lang w:val="es-ES_tradnl"/>
        </w:rPr>
      </w:pPr>
      <w:r w:rsidRPr="004962BA">
        <w:rPr>
          <w:rFonts w:ascii="Arial" w:eastAsia="Calibri" w:hAnsi="Arial" w:cs="Arial"/>
          <w:sz w:val="20"/>
          <w:szCs w:val="20"/>
          <w:lang w:val="es-ES_tradnl"/>
        </w:rPr>
        <w:t>20 cm de base granular CBR&gt; 40%</w:t>
      </w:r>
    </w:p>
    <w:p w14:paraId="1B61B2B9" w14:textId="73C33421" w:rsidR="004962BA" w:rsidRPr="004962BA" w:rsidRDefault="00AC57A7" w:rsidP="004962BA">
      <w:pPr>
        <w:pStyle w:val="Sinespaciado"/>
        <w:numPr>
          <w:ilvl w:val="0"/>
          <w:numId w:val="161"/>
        </w:numPr>
        <w:rPr>
          <w:rFonts w:ascii="Arial" w:eastAsia="Calibri" w:hAnsi="Arial" w:cs="Arial"/>
          <w:sz w:val="20"/>
          <w:szCs w:val="20"/>
          <w:lang w:val="es-ES_tradnl"/>
        </w:rPr>
      </w:pPr>
      <w:r>
        <w:rPr>
          <w:rFonts w:ascii="Arial" w:eastAsia="Calibri" w:hAnsi="Arial" w:cs="Arial"/>
          <w:sz w:val="20"/>
          <w:szCs w:val="20"/>
          <w:lang w:val="es-ES_tradnl"/>
        </w:rPr>
        <w:t>15</w:t>
      </w:r>
      <w:r w:rsidRPr="004962BA">
        <w:rPr>
          <w:rFonts w:ascii="Arial" w:eastAsia="Calibri" w:hAnsi="Arial" w:cs="Arial"/>
          <w:sz w:val="20"/>
          <w:szCs w:val="20"/>
          <w:lang w:val="es-ES_tradnl"/>
        </w:rPr>
        <w:t xml:space="preserve"> </w:t>
      </w:r>
      <w:r w:rsidR="004962BA" w:rsidRPr="004962BA">
        <w:rPr>
          <w:rFonts w:ascii="Arial" w:eastAsia="Calibri" w:hAnsi="Arial" w:cs="Arial"/>
          <w:sz w:val="20"/>
          <w:szCs w:val="20"/>
          <w:lang w:val="es-ES_tradnl"/>
        </w:rPr>
        <w:t>cm de base granular CBR &gt; 60%</w:t>
      </w:r>
    </w:p>
    <w:p w14:paraId="0E122047" w14:textId="7C4BE1FB" w:rsidR="004962BA" w:rsidRPr="004962BA" w:rsidRDefault="00AC57A7" w:rsidP="004962BA">
      <w:pPr>
        <w:pStyle w:val="Sinespaciado"/>
        <w:numPr>
          <w:ilvl w:val="0"/>
          <w:numId w:val="161"/>
        </w:numPr>
        <w:rPr>
          <w:rFonts w:ascii="Arial" w:eastAsia="Calibri" w:hAnsi="Arial" w:cs="Arial"/>
          <w:sz w:val="20"/>
          <w:szCs w:val="20"/>
          <w:lang w:val="es-ES_tradnl"/>
        </w:rPr>
      </w:pPr>
      <w:r>
        <w:rPr>
          <w:rFonts w:ascii="Arial" w:eastAsia="Calibri" w:hAnsi="Arial" w:cs="Arial"/>
          <w:sz w:val="20"/>
          <w:szCs w:val="20"/>
          <w:lang w:val="es-ES_tradnl"/>
        </w:rPr>
        <w:t>15</w:t>
      </w:r>
      <w:r w:rsidRPr="004962BA">
        <w:rPr>
          <w:rFonts w:ascii="Arial" w:eastAsia="Calibri" w:hAnsi="Arial" w:cs="Arial"/>
          <w:sz w:val="20"/>
          <w:szCs w:val="20"/>
          <w:lang w:val="es-ES_tradnl"/>
        </w:rPr>
        <w:t xml:space="preserve"> </w:t>
      </w:r>
      <w:r w:rsidR="004962BA" w:rsidRPr="004962BA">
        <w:rPr>
          <w:rFonts w:ascii="Arial" w:eastAsia="Calibri" w:hAnsi="Arial" w:cs="Arial"/>
          <w:sz w:val="20"/>
          <w:szCs w:val="20"/>
          <w:lang w:val="es-ES_tradnl"/>
        </w:rPr>
        <w:t xml:space="preserve">cm de base triturada estabilizada granulométricamente CBR &gt; 80% </w:t>
      </w:r>
    </w:p>
    <w:p w14:paraId="686CF8B1" w14:textId="73E0141E" w:rsidR="004962BA" w:rsidRPr="004962BA" w:rsidRDefault="00AC57A7" w:rsidP="004962BA">
      <w:pPr>
        <w:pStyle w:val="Sinespaciado"/>
        <w:numPr>
          <w:ilvl w:val="0"/>
          <w:numId w:val="161"/>
        </w:numPr>
        <w:rPr>
          <w:rFonts w:ascii="Arial" w:eastAsia="Calibri" w:hAnsi="Arial" w:cs="Arial"/>
          <w:sz w:val="20"/>
          <w:szCs w:val="20"/>
          <w:lang w:val="es-ES_tradnl"/>
        </w:rPr>
      </w:pPr>
      <w:r>
        <w:rPr>
          <w:rFonts w:ascii="Arial" w:eastAsia="Calibri" w:hAnsi="Arial" w:cs="Arial"/>
          <w:sz w:val="20"/>
          <w:szCs w:val="20"/>
          <w:lang w:val="es-ES_tradnl"/>
        </w:rPr>
        <w:t xml:space="preserve">7 </w:t>
      </w:r>
      <w:r w:rsidR="004962BA" w:rsidRPr="004962BA">
        <w:rPr>
          <w:rFonts w:ascii="Arial" w:eastAsia="Calibri" w:hAnsi="Arial" w:cs="Arial"/>
          <w:sz w:val="20"/>
          <w:szCs w:val="20"/>
          <w:lang w:val="es-ES_tradnl"/>
        </w:rPr>
        <w:t>cm de Base Negra</w:t>
      </w:r>
    </w:p>
    <w:p w14:paraId="378D8148" w14:textId="6FDBDE70" w:rsidR="004962BA" w:rsidRPr="004962BA" w:rsidRDefault="00AC57A7" w:rsidP="004962BA">
      <w:pPr>
        <w:pStyle w:val="Sinespaciado"/>
        <w:numPr>
          <w:ilvl w:val="0"/>
          <w:numId w:val="161"/>
        </w:numPr>
        <w:rPr>
          <w:rFonts w:ascii="Arial" w:eastAsia="Calibri" w:hAnsi="Arial" w:cs="Arial"/>
          <w:sz w:val="20"/>
          <w:szCs w:val="20"/>
          <w:lang w:val="es-ES_tradnl"/>
        </w:rPr>
      </w:pPr>
      <w:r>
        <w:rPr>
          <w:rFonts w:ascii="Arial" w:eastAsia="Calibri" w:hAnsi="Arial" w:cs="Arial"/>
          <w:sz w:val="20"/>
          <w:szCs w:val="20"/>
          <w:lang w:val="es-ES_tradnl"/>
        </w:rPr>
        <w:t xml:space="preserve">5 </w:t>
      </w:r>
      <w:r w:rsidR="004962BA" w:rsidRPr="004962BA">
        <w:rPr>
          <w:rFonts w:ascii="Arial" w:eastAsia="Calibri" w:hAnsi="Arial" w:cs="Arial"/>
          <w:sz w:val="20"/>
          <w:szCs w:val="20"/>
          <w:lang w:val="es-ES_tradnl"/>
        </w:rPr>
        <w:t>cm de Carpeta Asfáltica con cemento asfáltico modificado</w:t>
      </w:r>
    </w:p>
    <w:p w14:paraId="4B8F0FCE" w14:textId="77777777" w:rsidR="00AC57A7" w:rsidRDefault="00AC57A7" w:rsidP="007B7A61">
      <w:pPr>
        <w:pStyle w:val="Prrafodelista"/>
        <w:ind w:left="567"/>
        <w:jc w:val="both"/>
        <w:rPr>
          <w:lang w:val="es-ES_tradnl"/>
        </w:rPr>
      </w:pPr>
    </w:p>
    <w:p w14:paraId="4F8230BE" w14:textId="77777777" w:rsidR="00AC57A7" w:rsidRPr="00AC57A7" w:rsidRDefault="00AC57A7" w:rsidP="00AC57A7">
      <w:pPr>
        <w:rPr>
          <w:rFonts w:ascii="Arial" w:hAnsi="Arial" w:cs="Arial"/>
          <w:sz w:val="20"/>
          <w:szCs w:val="20"/>
        </w:rPr>
      </w:pPr>
      <w:r w:rsidRPr="00AC57A7">
        <w:rPr>
          <w:rFonts w:ascii="Arial" w:hAnsi="Arial" w:cs="Arial"/>
          <w:sz w:val="20"/>
          <w:szCs w:val="20"/>
        </w:rPr>
        <w:t>En los tramos en los que se indique que serán desafectados del contrato queda establecido para la obra de pavimentos un período de conservación de 18 meses para los pavimentos en Tratamiento Bituminoso o Cape Seal y de 36 meses para los pavimentos en mezcla asfáltica u hormigón, contados a partir de la fecha de la desafectación del tramo.</w:t>
      </w:r>
    </w:p>
    <w:p w14:paraId="5094C99B" w14:textId="77777777" w:rsidR="00AC57A7" w:rsidRPr="00AC57A7" w:rsidRDefault="00AC57A7" w:rsidP="00AC57A7">
      <w:pPr>
        <w:rPr>
          <w:rFonts w:ascii="Arial" w:hAnsi="Arial" w:cs="Arial"/>
          <w:sz w:val="20"/>
          <w:szCs w:val="20"/>
        </w:rPr>
      </w:pPr>
      <w:r w:rsidRPr="00AC57A7">
        <w:rPr>
          <w:rFonts w:ascii="Arial" w:hAnsi="Arial" w:cs="Arial"/>
          <w:sz w:val="20"/>
          <w:szCs w:val="20"/>
        </w:rPr>
        <w:lastRenderedPageBreak/>
        <w:t>Durante esos meses el contratista deberá cumplir con lo establecido en:</w:t>
      </w:r>
    </w:p>
    <w:p w14:paraId="1ADCE735" w14:textId="393D6760" w:rsidR="00AC57A7" w:rsidRPr="00AC57A7" w:rsidRDefault="00AC57A7" w:rsidP="00AC57A7">
      <w:pPr>
        <w:rPr>
          <w:rFonts w:ascii="Arial" w:hAnsi="Arial" w:cs="Arial"/>
          <w:sz w:val="20"/>
          <w:szCs w:val="20"/>
        </w:rPr>
      </w:pPr>
      <w:r w:rsidRPr="00AC57A7">
        <w:rPr>
          <w:rFonts w:ascii="Arial" w:hAnsi="Arial" w:cs="Arial"/>
          <w:sz w:val="20"/>
          <w:szCs w:val="20"/>
        </w:rPr>
        <w:t>el Pliego de Condiciones de la DNV para la Construcción de Puentes y Carreteras, designado en adelante PV, aprobado por Decreto Nº</w:t>
      </w:r>
      <w:r w:rsidR="00B60D91">
        <w:rPr>
          <w:rFonts w:ascii="Arial" w:hAnsi="Arial" w:cs="Arial"/>
          <w:sz w:val="20"/>
          <w:szCs w:val="20"/>
        </w:rPr>
        <w:t xml:space="preserve"> 9/990</w:t>
      </w:r>
      <w:r w:rsidRPr="00AC57A7">
        <w:rPr>
          <w:rFonts w:ascii="Arial" w:hAnsi="Arial" w:cs="Arial"/>
          <w:sz w:val="20"/>
          <w:szCs w:val="20"/>
        </w:rPr>
        <w:t xml:space="preserve">  de 24 de enero de 1990, concordantes y modificativos y sustitutivos y</w:t>
      </w:r>
      <w:r w:rsidR="00B60D91">
        <w:rPr>
          <w:rFonts w:ascii="Arial" w:hAnsi="Arial" w:cs="Arial"/>
          <w:sz w:val="20"/>
          <w:szCs w:val="20"/>
        </w:rPr>
        <w:t xml:space="preserve"> </w:t>
      </w:r>
      <w:r w:rsidRPr="00AC57A7">
        <w:rPr>
          <w:rFonts w:ascii="Arial" w:hAnsi="Arial" w:cs="Arial"/>
          <w:sz w:val="20"/>
          <w:szCs w:val="20"/>
        </w:rPr>
        <w:t>las Especificaciones Técnicas Complementarias y/o Modificativas del Pliego de Condiciones para la Construcción de Puentes y Carreteras de la Dirección Nacional de Vialidad, del Ministerio de Transporte y Obras Públicas, en la versión vigente a la fecha del llamado designado en adelante ETCM.</w:t>
      </w:r>
    </w:p>
    <w:p w14:paraId="279E9713" w14:textId="77777777" w:rsidR="00AC57A7" w:rsidRPr="00AC57A7" w:rsidRDefault="00AC57A7" w:rsidP="00AC57A7">
      <w:pPr>
        <w:rPr>
          <w:rFonts w:ascii="Arial" w:hAnsi="Arial" w:cs="Arial"/>
          <w:sz w:val="20"/>
          <w:szCs w:val="20"/>
        </w:rPr>
      </w:pPr>
      <w:r w:rsidRPr="00AC57A7">
        <w:rPr>
          <w:rFonts w:ascii="Arial" w:hAnsi="Arial" w:cs="Arial"/>
          <w:sz w:val="20"/>
          <w:szCs w:val="20"/>
        </w:rPr>
        <w:t>En este contrato esto es aplicable a los tramos del contrato número 8 y 9.</w:t>
      </w:r>
    </w:p>
    <w:p w14:paraId="6794BEFF" w14:textId="77777777" w:rsidR="00AC57A7" w:rsidRPr="00AC57A7" w:rsidRDefault="00AC57A7" w:rsidP="00AC57A7">
      <w:pPr>
        <w:pStyle w:val="Prrafodelista"/>
        <w:ind w:left="567"/>
        <w:jc w:val="both"/>
      </w:pPr>
    </w:p>
    <w:p w14:paraId="1E7A6C90" w14:textId="77777777" w:rsidR="005949EB" w:rsidRPr="00AC57A7" w:rsidRDefault="005949EB" w:rsidP="007B7A61">
      <w:pPr>
        <w:keepNext/>
        <w:rPr>
          <w:rFonts w:ascii="Arial" w:eastAsia="Calibri" w:hAnsi="Arial"/>
          <w:b/>
        </w:rPr>
      </w:pPr>
      <w:r w:rsidRPr="00AC57A7">
        <w:rPr>
          <w:rFonts w:ascii="Arial" w:eastAsia="Calibri" w:hAnsi="Arial"/>
          <w:b/>
        </w:rPr>
        <w:t>2   Geometría</w:t>
      </w:r>
    </w:p>
    <w:p w14:paraId="59A39FF6" w14:textId="77777777" w:rsidR="005949EB" w:rsidRPr="009E315D" w:rsidRDefault="005949EB" w:rsidP="005949EB">
      <w:pPr>
        <w:rPr>
          <w:rFonts w:ascii="Arial" w:hAnsi="Arial" w:cs="Arial"/>
          <w:sz w:val="20"/>
          <w:szCs w:val="20"/>
        </w:rPr>
      </w:pPr>
      <w:r w:rsidRPr="009E315D">
        <w:rPr>
          <w:rFonts w:ascii="Arial" w:hAnsi="Arial" w:cs="Arial"/>
          <w:sz w:val="20"/>
          <w:szCs w:val="20"/>
        </w:rPr>
        <w:t>Planialtimetría</w:t>
      </w:r>
    </w:p>
    <w:p w14:paraId="753C7D6D" w14:textId="77777777" w:rsidR="005949EB" w:rsidRPr="009E315D" w:rsidRDefault="005949EB" w:rsidP="005949EB">
      <w:pPr>
        <w:autoSpaceDE w:val="0"/>
        <w:autoSpaceDN w:val="0"/>
        <w:adjustRightInd w:val="0"/>
        <w:spacing w:line="240" w:lineRule="auto"/>
        <w:rPr>
          <w:rFonts w:ascii="Arial" w:hAnsi="Arial" w:cs="Arial"/>
          <w:sz w:val="20"/>
          <w:szCs w:val="20"/>
        </w:rPr>
      </w:pPr>
      <w:r w:rsidRPr="009E315D">
        <w:rPr>
          <w:rFonts w:ascii="Arial" w:hAnsi="Arial" w:cs="Arial"/>
          <w:sz w:val="20"/>
          <w:szCs w:val="20"/>
        </w:rPr>
        <w:t>Se realizarán las obras necesarias para que en todo el circuito se cumplan las condiciones siguientes:</w:t>
      </w:r>
    </w:p>
    <w:p w14:paraId="2CA4AF5E" w14:textId="77777777" w:rsidR="005949EB" w:rsidRPr="009E315D" w:rsidRDefault="005949EB" w:rsidP="005949EB">
      <w:pPr>
        <w:autoSpaceDE w:val="0"/>
        <w:autoSpaceDN w:val="0"/>
        <w:adjustRightInd w:val="0"/>
        <w:spacing w:line="240" w:lineRule="auto"/>
        <w:rPr>
          <w:rFonts w:ascii="Arial" w:hAnsi="Arial" w:cs="Arial"/>
          <w:sz w:val="20"/>
          <w:szCs w:val="20"/>
        </w:rPr>
      </w:pPr>
      <w:r w:rsidRPr="009E315D">
        <w:rPr>
          <w:rFonts w:ascii="Arial" w:hAnsi="Arial" w:cs="Arial"/>
          <w:sz w:val="20"/>
          <w:szCs w:val="20"/>
        </w:rPr>
        <w:t>Velocidad 90 km/h:</w:t>
      </w:r>
    </w:p>
    <w:p w14:paraId="44E86ADC" w14:textId="77777777" w:rsidR="005949EB" w:rsidRPr="009E315D" w:rsidRDefault="005949EB" w:rsidP="009A58E0">
      <w:pPr>
        <w:numPr>
          <w:ilvl w:val="0"/>
          <w:numId w:val="148"/>
        </w:numPr>
        <w:autoSpaceDE w:val="0"/>
        <w:autoSpaceDN w:val="0"/>
        <w:adjustRightInd w:val="0"/>
        <w:spacing w:after="0" w:line="240" w:lineRule="auto"/>
        <w:jc w:val="both"/>
        <w:rPr>
          <w:rFonts w:ascii="Arial" w:hAnsi="Arial" w:cs="Arial"/>
          <w:sz w:val="20"/>
          <w:szCs w:val="20"/>
        </w:rPr>
      </w:pPr>
      <w:r w:rsidRPr="009E315D">
        <w:rPr>
          <w:rFonts w:ascii="Arial" w:hAnsi="Arial" w:cs="Arial"/>
          <w:sz w:val="20"/>
          <w:szCs w:val="20"/>
        </w:rPr>
        <w:t>acordamientos convexos K cv= 57</w:t>
      </w:r>
    </w:p>
    <w:p w14:paraId="23585F3A" w14:textId="77777777" w:rsidR="005949EB" w:rsidRPr="009E315D" w:rsidRDefault="005949EB" w:rsidP="009A58E0">
      <w:pPr>
        <w:numPr>
          <w:ilvl w:val="0"/>
          <w:numId w:val="148"/>
        </w:numPr>
        <w:autoSpaceDE w:val="0"/>
        <w:autoSpaceDN w:val="0"/>
        <w:adjustRightInd w:val="0"/>
        <w:spacing w:after="0" w:line="240" w:lineRule="auto"/>
        <w:jc w:val="both"/>
        <w:rPr>
          <w:rFonts w:ascii="Arial" w:hAnsi="Arial" w:cs="Arial"/>
          <w:sz w:val="20"/>
          <w:szCs w:val="20"/>
        </w:rPr>
      </w:pPr>
      <w:r w:rsidRPr="009E315D">
        <w:rPr>
          <w:rFonts w:ascii="Arial" w:hAnsi="Arial" w:cs="Arial"/>
          <w:sz w:val="20"/>
          <w:szCs w:val="20"/>
        </w:rPr>
        <w:t>acordamientos cóncavos K cc.= 41</w:t>
      </w:r>
    </w:p>
    <w:p w14:paraId="1049FDBA" w14:textId="77777777" w:rsidR="005949EB" w:rsidRPr="009E315D" w:rsidRDefault="005949EB" w:rsidP="005949EB">
      <w:pPr>
        <w:autoSpaceDE w:val="0"/>
        <w:autoSpaceDN w:val="0"/>
        <w:adjustRightInd w:val="0"/>
        <w:spacing w:line="240" w:lineRule="auto"/>
        <w:rPr>
          <w:rFonts w:ascii="Arial" w:hAnsi="Arial" w:cs="Arial"/>
          <w:sz w:val="20"/>
          <w:szCs w:val="20"/>
        </w:rPr>
      </w:pPr>
    </w:p>
    <w:p w14:paraId="01979141" w14:textId="77777777" w:rsidR="005949EB" w:rsidRPr="009E315D" w:rsidRDefault="005949EB" w:rsidP="005949EB">
      <w:pPr>
        <w:rPr>
          <w:rFonts w:ascii="Arial" w:hAnsi="Arial" w:cs="Arial"/>
          <w:sz w:val="20"/>
          <w:szCs w:val="20"/>
        </w:rPr>
      </w:pPr>
      <w:r w:rsidRPr="009E315D">
        <w:rPr>
          <w:rFonts w:ascii="Arial" w:hAnsi="Arial" w:cs="Arial"/>
          <w:sz w:val="20"/>
          <w:szCs w:val="20"/>
        </w:rPr>
        <w:t>Planimetría</w:t>
      </w:r>
    </w:p>
    <w:p w14:paraId="2EAC256F" w14:textId="77777777" w:rsidR="005949EB" w:rsidRPr="009E315D" w:rsidRDefault="005949EB" w:rsidP="009A58E0">
      <w:pPr>
        <w:pStyle w:val="Prrafodelista"/>
        <w:numPr>
          <w:ilvl w:val="0"/>
          <w:numId w:val="149"/>
        </w:numPr>
        <w:spacing w:after="0"/>
        <w:jc w:val="both"/>
        <w:rPr>
          <w:rFonts w:ascii="Arial" w:hAnsi="Arial" w:cs="Arial"/>
          <w:sz w:val="20"/>
          <w:szCs w:val="20"/>
        </w:rPr>
      </w:pPr>
      <w:r w:rsidRPr="009E315D">
        <w:rPr>
          <w:rFonts w:ascii="Arial" w:hAnsi="Arial" w:cs="Arial"/>
          <w:sz w:val="20"/>
          <w:szCs w:val="20"/>
        </w:rPr>
        <w:t>radio mínimo 340 m</w:t>
      </w:r>
    </w:p>
    <w:p w14:paraId="1D24DD5B" w14:textId="77777777" w:rsidR="00FB4C36" w:rsidRPr="009E315D" w:rsidRDefault="005949EB" w:rsidP="009A58E0">
      <w:pPr>
        <w:pStyle w:val="Prrafodelista"/>
        <w:numPr>
          <w:ilvl w:val="0"/>
          <w:numId w:val="149"/>
        </w:numPr>
        <w:spacing w:after="0"/>
        <w:jc w:val="both"/>
        <w:rPr>
          <w:rFonts w:ascii="Arial" w:hAnsi="Arial" w:cs="Arial"/>
          <w:sz w:val="20"/>
          <w:szCs w:val="20"/>
        </w:rPr>
      </w:pPr>
      <w:r w:rsidRPr="009E315D">
        <w:rPr>
          <w:rFonts w:ascii="Arial" w:hAnsi="Arial" w:cs="Arial"/>
          <w:sz w:val="20"/>
          <w:szCs w:val="20"/>
        </w:rPr>
        <w:t>peralte 6%</w:t>
      </w:r>
    </w:p>
    <w:p w14:paraId="2A4CBCB8" w14:textId="77777777" w:rsidR="00FB4C36" w:rsidRPr="009E315D" w:rsidRDefault="00FB4C36" w:rsidP="00AC57A7">
      <w:pPr>
        <w:rPr>
          <w:rFonts w:ascii="Arial" w:hAnsi="Arial" w:cs="Arial"/>
          <w:sz w:val="20"/>
          <w:szCs w:val="20"/>
        </w:rPr>
      </w:pPr>
    </w:p>
    <w:p w14:paraId="5CF0BA11" w14:textId="77777777" w:rsidR="005949EB" w:rsidRPr="009E315D" w:rsidRDefault="005949EB" w:rsidP="00AC57A7">
      <w:pPr>
        <w:keepNext/>
        <w:rPr>
          <w:rFonts w:ascii="Arial" w:hAnsi="Arial" w:cs="Arial"/>
          <w:sz w:val="20"/>
          <w:szCs w:val="20"/>
        </w:rPr>
      </w:pPr>
      <w:r w:rsidRPr="009E315D">
        <w:rPr>
          <w:rFonts w:ascii="Arial" w:hAnsi="Arial" w:cs="Arial"/>
          <w:sz w:val="20"/>
          <w:szCs w:val="20"/>
        </w:rPr>
        <w:t>Perfil transversal</w:t>
      </w:r>
    </w:p>
    <w:p w14:paraId="1A1F10DB" w14:textId="77777777" w:rsidR="005949EB" w:rsidRPr="0088479A" w:rsidRDefault="005949EB" w:rsidP="009A58E0">
      <w:pPr>
        <w:pStyle w:val="Prrafodelista"/>
        <w:numPr>
          <w:ilvl w:val="0"/>
          <w:numId w:val="147"/>
        </w:numPr>
        <w:spacing w:after="0"/>
        <w:jc w:val="both"/>
        <w:rPr>
          <w:rFonts w:ascii="Arial" w:hAnsi="Arial" w:cs="Arial"/>
          <w:sz w:val="20"/>
          <w:szCs w:val="20"/>
        </w:rPr>
      </w:pPr>
      <w:r w:rsidRPr="009E315D">
        <w:rPr>
          <w:rFonts w:ascii="Arial" w:hAnsi="Arial" w:cs="Arial"/>
          <w:sz w:val="20"/>
          <w:szCs w:val="20"/>
        </w:rPr>
        <w:t xml:space="preserve">En los tramos en donde se deben ejecutar cambios planialtimétricos u otras obras </w:t>
      </w:r>
      <w:r w:rsidRPr="0088479A">
        <w:rPr>
          <w:rFonts w:ascii="Arial" w:hAnsi="Arial" w:cs="Arial"/>
          <w:sz w:val="20"/>
          <w:szCs w:val="20"/>
        </w:rPr>
        <w:t>obligatorias.</w:t>
      </w:r>
    </w:p>
    <w:p w14:paraId="34D6684B" w14:textId="1C107F53" w:rsidR="005949EB" w:rsidRPr="0088479A" w:rsidRDefault="005949EB" w:rsidP="005949EB">
      <w:pPr>
        <w:rPr>
          <w:rFonts w:ascii="Arial" w:hAnsi="Arial" w:cs="Arial"/>
          <w:sz w:val="20"/>
          <w:szCs w:val="20"/>
        </w:rPr>
      </w:pPr>
      <w:r w:rsidRPr="0088479A">
        <w:rPr>
          <w:rFonts w:ascii="Arial" w:hAnsi="Arial" w:cs="Arial"/>
          <w:sz w:val="20"/>
          <w:szCs w:val="20"/>
        </w:rPr>
        <w:t>Ensanche de plataforma y</w:t>
      </w:r>
      <w:r w:rsidR="0086284D" w:rsidRPr="0088479A">
        <w:rPr>
          <w:rFonts w:ascii="Arial" w:hAnsi="Arial" w:cs="Arial"/>
          <w:sz w:val="20"/>
          <w:szCs w:val="20"/>
        </w:rPr>
        <w:t xml:space="preserve"> </w:t>
      </w:r>
      <w:r w:rsidRPr="0088479A">
        <w:rPr>
          <w:rFonts w:ascii="Arial" w:hAnsi="Arial" w:cs="Arial"/>
          <w:sz w:val="20"/>
          <w:szCs w:val="20"/>
        </w:rPr>
        <w:t>alcantarillas de manera de asegurar que en todo el circuito la superficie pavimentada de las rutas tenga un ancho de 7,20 m y que las banquinas nunca tengan un ancho menor a 2,00 metros con una superficie pavimentada mínima de 1,80 metros de ancho.</w:t>
      </w:r>
    </w:p>
    <w:p w14:paraId="206BCAB5" w14:textId="77777777" w:rsidR="005949EB" w:rsidRPr="0088479A" w:rsidRDefault="005949EB" w:rsidP="009A58E0">
      <w:pPr>
        <w:pStyle w:val="Prrafodelista"/>
        <w:numPr>
          <w:ilvl w:val="0"/>
          <w:numId w:val="147"/>
        </w:numPr>
        <w:spacing w:after="0"/>
        <w:jc w:val="both"/>
        <w:rPr>
          <w:rFonts w:ascii="Arial" w:hAnsi="Arial" w:cs="Arial"/>
          <w:sz w:val="20"/>
          <w:szCs w:val="20"/>
        </w:rPr>
      </w:pPr>
      <w:r w:rsidRPr="0088479A">
        <w:rPr>
          <w:rFonts w:ascii="Arial" w:hAnsi="Arial" w:cs="Arial"/>
          <w:sz w:val="20"/>
          <w:szCs w:val="20"/>
        </w:rPr>
        <w:t>En los tramos en donde NO se deben ejecutar cambios planialtimétricos u otras obras obligatorias.</w:t>
      </w:r>
    </w:p>
    <w:p w14:paraId="624C43D7" w14:textId="77777777" w:rsidR="005949EB" w:rsidRDefault="005949EB" w:rsidP="00AC57A7">
      <w:pPr>
        <w:pStyle w:val="Prrafodelista"/>
        <w:ind w:left="0"/>
        <w:rPr>
          <w:rFonts w:ascii="Arial" w:hAnsi="Arial" w:cs="Arial"/>
          <w:sz w:val="20"/>
          <w:szCs w:val="20"/>
        </w:rPr>
      </w:pPr>
      <w:r w:rsidRPr="0088479A">
        <w:rPr>
          <w:rFonts w:ascii="Arial" w:hAnsi="Arial" w:cs="Arial"/>
          <w:sz w:val="20"/>
          <w:szCs w:val="20"/>
        </w:rPr>
        <w:t xml:space="preserve">Los oferentes deberán prever el ensanche de la plataforma actual y el alargue de las alcantarillas existentes de manera que en ocasión de realizar el primer refuerzo de la estructura de tres o más centímetros de espesor y durante todo el transcurso del contrato </w:t>
      </w:r>
      <w:r w:rsidRPr="0088479A">
        <w:rPr>
          <w:rFonts w:ascii="Arial" w:hAnsi="Arial" w:cs="Arial"/>
          <w:sz w:val="20"/>
          <w:szCs w:val="20"/>
        </w:rPr>
        <w:lastRenderedPageBreak/>
        <w:t xml:space="preserve">el ancho de la calzada nunca sea inferior a 7,20 metros y las banquinas nunca tengan un ancho menor a 2,00 metros con una superficie pavimentada mínima de 1,80 metros de ancho. </w:t>
      </w:r>
    </w:p>
    <w:p w14:paraId="54677033" w14:textId="2B1A8679" w:rsidR="00B60D91" w:rsidRDefault="00B60D91" w:rsidP="00B60D91">
      <w:pPr>
        <w:pStyle w:val="Prrafodelista"/>
        <w:numPr>
          <w:ilvl w:val="0"/>
          <w:numId w:val="147"/>
        </w:numPr>
        <w:spacing w:after="0"/>
        <w:jc w:val="both"/>
      </w:pPr>
      <w:r>
        <w:t>En los tramos 148 y 149  Duplicación de calzada según perfil de referencia</w:t>
      </w:r>
    </w:p>
    <w:p w14:paraId="13925A78" w14:textId="4CF5BF2D" w:rsidR="00B60D91" w:rsidRDefault="00B60D91" w:rsidP="00AC57A7">
      <w:pPr>
        <w:pStyle w:val="Prrafodelista"/>
        <w:ind w:left="0"/>
        <w:rPr>
          <w:rFonts w:ascii="Arial" w:hAnsi="Arial" w:cs="Arial"/>
          <w:sz w:val="20"/>
          <w:szCs w:val="20"/>
        </w:rPr>
      </w:pPr>
    </w:p>
    <w:p w14:paraId="34CDF278" w14:textId="77777777" w:rsidR="00B60D91" w:rsidRPr="007B7A61" w:rsidRDefault="00B60D91" w:rsidP="00AC57A7">
      <w:pPr>
        <w:pStyle w:val="Prrafodelista"/>
        <w:ind w:left="0"/>
        <w:rPr>
          <w:rFonts w:ascii="Arial" w:hAnsi="Arial" w:cs="Arial"/>
          <w:sz w:val="20"/>
          <w:szCs w:val="20"/>
          <w:lang w:val="es-ES_tradnl"/>
        </w:rPr>
      </w:pPr>
    </w:p>
    <w:p w14:paraId="4A04EBCD" w14:textId="3B118640" w:rsidR="005A11FF" w:rsidRPr="00896EDA" w:rsidRDefault="005A11FF" w:rsidP="0090296A">
      <w:pPr>
        <w:spacing w:after="120"/>
        <w:rPr>
          <w:rFonts w:ascii="Arial" w:hAnsi="Arial" w:cs="Arial"/>
          <w:sz w:val="18"/>
          <w:szCs w:val="18"/>
        </w:rPr>
      </w:pPr>
    </w:p>
    <w:p w14:paraId="249E8FE1" w14:textId="77777777" w:rsidR="00B46B7A" w:rsidRPr="0088479A" w:rsidRDefault="00B46B7A" w:rsidP="00B46B7A">
      <w:pPr>
        <w:rPr>
          <w:rFonts w:ascii="Arial" w:eastAsia="Calibri" w:hAnsi="Arial" w:cs="Arial"/>
          <w:b/>
          <w:lang w:val="es-ES_tradnl"/>
        </w:rPr>
      </w:pPr>
    </w:p>
    <w:p w14:paraId="7202754A" w14:textId="77777777" w:rsidR="00A7481E" w:rsidRPr="00AC57A7" w:rsidRDefault="00B46B7A" w:rsidP="00B60D91">
      <w:pPr>
        <w:rPr>
          <w:rFonts w:ascii="Arial" w:eastAsia="Calibri" w:hAnsi="Arial"/>
          <w:b/>
          <w:lang w:val="es-ES_tradnl"/>
        </w:rPr>
      </w:pPr>
      <w:r w:rsidRPr="00AC57A7">
        <w:rPr>
          <w:rFonts w:ascii="Arial" w:eastAsia="Calibri" w:hAnsi="Arial"/>
          <w:b/>
          <w:lang w:val="es-ES_tradnl"/>
        </w:rPr>
        <w:t>3. Puentes</w:t>
      </w:r>
    </w:p>
    <w:p w14:paraId="635A8DD1" w14:textId="05AA2CD4" w:rsidR="00B46B7A" w:rsidRDefault="00B46B7A" w:rsidP="00AC57A7">
      <w:pPr>
        <w:rPr>
          <w:rFonts w:ascii="Arial" w:eastAsia="Calibri" w:hAnsi="Arial" w:cs="Arial"/>
          <w:sz w:val="20"/>
          <w:szCs w:val="20"/>
          <w:lang w:val="es-ES_tradnl"/>
        </w:rPr>
      </w:pPr>
      <w:r w:rsidRPr="0088479A">
        <w:rPr>
          <w:rFonts w:ascii="Arial" w:eastAsia="Calibri" w:hAnsi="Arial" w:cs="Arial"/>
          <w:sz w:val="20"/>
          <w:szCs w:val="20"/>
          <w:lang w:val="es-ES_tradnl"/>
        </w:rPr>
        <w:t>En el Anexo XIII se establecen las condiciones de diseño de los puentes que deberán repara</w:t>
      </w:r>
      <w:r w:rsidR="00C47573">
        <w:rPr>
          <w:rFonts w:ascii="Arial" w:eastAsia="Calibri" w:hAnsi="Arial" w:cs="Arial"/>
          <w:sz w:val="20"/>
          <w:szCs w:val="20"/>
          <w:lang w:val="es-ES_tradnl"/>
        </w:rPr>
        <w:t>r</w:t>
      </w:r>
      <w:r w:rsidRPr="0088479A">
        <w:rPr>
          <w:rFonts w:ascii="Arial" w:eastAsia="Calibri" w:hAnsi="Arial" w:cs="Arial"/>
          <w:sz w:val="20"/>
          <w:szCs w:val="20"/>
          <w:lang w:val="es-ES_tradnl"/>
        </w:rPr>
        <w:t>se</w:t>
      </w:r>
      <w:r w:rsidRPr="00C6058D">
        <w:rPr>
          <w:rFonts w:ascii="Arial" w:eastAsia="Calibri" w:hAnsi="Arial" w:cs="Arial"/>
          <w:sz w:val="20"/>
          <w:szCs w:val="20"/>
          <w:lang w:val="es-ES_tradnl"/>
        </w:rPr>
        <w:t xml:space="preserve"> o</w:t>
      </w:r>
      <w:r w:rsidRPr="0088479A">
        <w:rPr>
          <w:rFonts w:ascii="Arial" w:eastAsia="Calibri" w:hAnsi="Arial" w:cs="Arial"/>
          <w:sz w:val="20"/>
          <w:szCs w:val="20"/>
          <w:lang w:val="es-ES_tradnl"/>
        </w:rPr>
        <w:t xml:space="preserve"> ensancharse y se</w:t>
      </w:r>
      <w:r w:rsidRPr="00C6058D">
        <w:rPr>
          <w:rFonts w:ascii="Arial" w:eastAsia="Calibri" w:hAnsi="Arial" w:cs="Arial"/>
          <w:sz w:val="20"/>
          <w:szCs w:val="20"/>
          <w:lang w:val="es-ES_tradnl"/>
        </w:rPr>
        <w:t xml:space="preserve"> detallan a continuación.</w:t>
      </w:r>
    </w:p>
    <w:p w14:paraId="782E1645" w14:textId="77777777" w:rsidR="00B46B7A" w:rsidRPr="00896EDA" w:rsidRDefault="00D92A4D" w:rsidP="00B46B7A">
      <w:pPr>
        <w:rPr>
          <w:rFonts w:ascii="Arial" w:eastAsia="Calibri" w:hAnsi="Arial" w:cs="Arial"/>
        </w:rPr>
      </w:pPr>
      <w:r w:rsidRPr="00D92A4D">
        <w:rPr>
          <w:rFonts w:eastAsia="Calibri"/>
          <w:noProof/>
          <w:lang w:val="es-UY" w:eastAsia="es-UY"/>
        </w:rPr>
        <w:lastRenderedPageBreak/>
        <w:drawing>
          <wp:inline distT="0" distB="0" distL="0" distR="0" wp14:anchorId="31D878A1" wp14:editId="58989480">
            <wp:extent cx="5400040" cy="32492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3249225"/>
                    </a:xfrm>
                    <a:prstGeom prst="rect">
                      <a:avLst/>
                    </a:prstGeom>
                    <a:noFill/>
                    <a:ln>
                      <a:noFill/>
                    </a:ln>
                  </pic:spPr>
                </pic:pic>
              </a:graphicData>
            </a:graphic>
          </wp:inline>
        </w:drawing>
      </w:r>
    </w:p>
    <w:p w14:paraId="1B193A26" w14:textId="77777777" w:rsidR="00100731" w:rsidRDefault="00100731" w:rsidP="00C6058D">
      <w:pPr>
        <w:rPr>
          <w:rFonts w:ascii="Arial" w:eastAsia="Calibri" w:hAnsi="Arial" w:cs="Arial"/>
          <w:b/>
          <w:lang w:val="es-ES_tradnl"/>
        </w:rPr>
      </w:pPr>
    </w:p>
    <w:p w14:paraId="48C0B183" w14:textId="534CA8FE" w:rsidR="00B46B7A" w:rsidRPr="00AC57A7" w:rsidRDefault="00C6058D" w:rsidP="00C6058D">
      <w:pPr>
        <w:rPr>
          <w:rFonts w:ascii="Arial" w:eastAsia="Calibri" w:hAnsi="Arial"/>
          <w:b/>
          <w:lang w:val="es-ES_tradnl"/>
        </w:rPr>
      </w:pPr>
      <w:r w:rsidRPr="00AC57A7">
        <w:rPr>
          <w:rFonts w:ascii="Arial" w:eastAsia="Calibri" w:hAnsi="Arial"/>
          <w:b/>
          <w:lang w:val="es-ES_tradnl"/>
        </w:rPr>
        <w:t>4. Empalmes</w:t>
      </w:r>
    </w:p>
    <w:p w14:paraId="2366C9EE" w14:textId="69164E52" w:rsidR="001F4B6C" w:rsidRPr="00AC57A7" w:rsidRDefault="001F4B6C" w:rsidP="00AC57A7">
      <w:pPr>
        <w:rPr>
          <w:rFonts w:ascii="Arial" w:eastAsia="Calibri" w:hAnsi="Arial"/>
          <w:sz w:val="20"/>
        </w:rPr>
      </w:pPr>
      <w:r w:rsidRPr="001F4B6C">
        <w:rPr>
          <w:rFonts w:ascii="Arial" w:eastAsia="Calibri" w:hAnsi="Arial" w:cs="Arial"/>
          <w:sz w:val="20"/>
          <w:szCs w:val="20"/>
          <w:lang w:val="es-ES_tradnl"/>
        </w:rPr>
        <w:lastRenderedPageBreak/>
        <w:t xml:space="preserve">En el Anexo XIII se establecen las condiciones de diseño de empalmes que deberán construirse y se </w:t>
      </w:r>
      <w:r w:rsidR="00C6058D" w:rsidRPr="00C6058D">
        <w:rPr>
          <w:rFonts w:ascii="Arial" w:eastAsia="Calibri" w:hAnsi="Arial" w:cs="Arial"/>
          <w:sz w:val="20"/>
          <w:szCs w:val="20"/>
          <w:lang w:val="es-ES_tradnl"/>
        </w:rPr>
        <w:t>detallan</w:t>
      </w:r>
      <w:r w:rsidRPr="001F4B6C">
        <w:rPr>
          <w:rFonts w:ascii="Arial" w:eastAsia="Calibri" w:hAnsi="Arial" w:cs="Arial"/>
          <w:sz w:val="20"/>
          <w:szCs w:val="20"/>
          <w:lang w:val="es-ES_tradnl"/>
        </w:rPr>
        <w:t xml:space="preserve"> a continuación.</w:t>
      </w:r>
      <w:r w:rsidR="00FA1633" w:rsidRPr="00FA1633">
        <w:rPr>
          <w:rFonts w:ascii="Arial" w:eastAsia="Calibri" w:hAnsi="Arial" w:cs="Arial"/>
          <w:sz w:val="20"/>
          <w:szCs w:val="20"/>
          <w:lang w:val="es-ES_tradnl"/>
        </w:rPr>
        <w:t xml:space="preserve"> </w:t>
      </w:r>
      <w:r w:rsidR="00FA1633" w:rsidRPr="00FA1633">
        <w:rPr>
          <w:rFonts w:eastAsia="Calibri"/>
          <w:noProof/>
          <w:lang w:val="es-UY" w:eastAsia="es-UY"/>
        </w:rPr>
        <w:drawing>
          <wp:inline distT="0" distB="0" distL="0" distR="0" wp14:anchorId="6C81B6B7" wp14:editId="474B84D7">
            <wp:extent cx="5400040" cy="2503572"/>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503572"/>
                    </a:xfrm>
                    <a:prstGeom prst="rect">
                      <a:avLst/>
                    </a:prstGeom>
                    <a:noFill/>
                    <a:ln>
                      <a:noFill/>
                    </a:ln>
                  </pic:spPr>
                </pic:pic>
              </a:graphicData>
            </a:graphic>
          </wp:inline>
        </w:drawing>
      </w:r>
    </w:p>
    <w:p w14:paraId="1415301F" w14:textId="2A3C4B9C" w:rsidR="000C615F" w:rsidRDefault="000C615F" w:rsidP="00100731">
      <w:pPr>
        <w:spacing w:after="0" w:line="240" w:lineRule="auto"/>
        <w:jc w:val="both"/>
        <w:rPr>
          <w:rFonts w:ascii="Arial" w:eastAsia="Calibri" w:hAnsi="Arial" w:cs="Arial"/>
          <w:sz w:val="20"/>
          <w:szCs w:val="20"/>
          <w:lang w:val="es-ES_tradnl"/>
        </w:rPr>
      </w:pPr>
      <w:r w:rsidRPr="000C615F">
        <w:rPr>
          <w:rFonts w:ascii="Arial" w:eastAsia="Calibri" w:hAnsi="Arial" w:cs="Arial"/>
          <w:sz w:val="20"/>
          <w:szCs w:val="20"/>
          <w:lang w:val="es-ES_tradnl"/>
        </w:rPr>
        <w:t>Los diseños que se muestran a continuación se incluyen a título indicativo de los posibles esquemas de empalmes. Los mismos deberán considerarse como requisitos mínimos y no eximen al oferente de realizar sus propios estudios.</w:t>
      </w:r>
    </w:p>
    <w:p w14:paraId="662D75EA" w14:textId="77777777" w:rsidR="000C615F" w:rsidRDefault="000C615F" w:rsidP="00100731">
      <w:pPr>
        <w:spacing w:after="0" w:line="240" w:lineRule="auto"/>
        <w:jc w:val="both"/>
        <w:rPr>
          <w:rFonts w:ascii="Arial" w:eastAsia="Calibri" w:hAnsi="Arial" w:cs="Arial"/>
          <w:sz w:val="20"/>
          <w:szCs w:val="20"/>
          <w:lang w:val="es-ES_tradnl"/>
        </w:rPr>
      </w:pPr>
    </w:p>
    <w:p w14:paraId="5FA73FAC" w14:textId="77777777" w:rsidR="00100731" w:rsidRPr="00D045B4" w:rsidRDefault="001F4B6C" w:rsidP="00100731">
      <w:pPr>
        <w:spacing w:after="0" w:line="240" w:lineRule="auto"/>
        <w:jc w:val="both"/>
        <w:rPr>
          <w:rFonts w:ascii="Arial" w:eastAsia="Calibri" w:hAnsi="Arial" w:cs="Arial"/>
          <w:sz w:val="20"/>
          <w:szCs w:val="20"/>
          <w:lang w:val="es-ES_tradnl"/>
        </w:rPr>
      </w:pPr>
      <w:r w:rsidRPr="001F4B6C">
        <w:rPr>
          <w:rFonts w:ascii="Arial" w:eastAsia="Calibri" w:hAnsi="Arial" w:cs="Arial"/>
          <w:sz w:val="20"/>
          <w:szCs w:val="20"/>
          <w:lang w:val="es-ES_tradnl"/>
        </w:rPr>
        <w:t>Todos los empalmes incluyen, como obra obligatoria, la iluminación que corresponda</w:t>
      </w:r>
    </w:p>
    <w:p w14:paraId="706559CD" w14:textId="09635B53" w:rsidR="001F4B6C" w:rsidRDefault="001F4B6C" w:rsidP="00AC57A7">
      <w:pPr>
        <w:spacing w:after="0" w:line="240" w:lineRule="auto"/>
        <w:jc w:val="both"/>
        <w:rPr>
          <w:rFonts w:ascii="Arial" w:eastAsia="Calibri" w:hAnsi="Arial" w:cs="Arial"/>
          <w:sz w:val="20"/>
          <w:szCs w:val="20"/>
          <w:lang w:val="es-ES_tradnl"/>
        </w:rPr>
      </w:pPr>
      <w:r w:rsidRPr="001F4B6C">
        <w:rPr>
          <w:rFonts w:ascii="Arial" w:eastAsia="Calibri" w:hAnsi="Arial" w:cs="Arial"/>
          <w:sz w:val="20"/>
          <w:szCs w:val="20"/>
          <w:lang w:val="es-ES_tradnl"/>
        </w:rPr>
        <w:t>proyectada de acuerdo a la reglamentación vigente.</w:t>
      </w:r>
    </w:p>
    <w:p w14:paraId="2CF20B5D" w14:textId="77777777" w:rsidR="0004022C" w:rsidRPr="001F4B6C" w:rsidRDefault="0004022C" w:rsidP="00AC57A7">
      <w:pPr>
        <w:spacing w:after="0" w:line="240" w:lineRule="auto"/>
        <w:rPr>
          <w:rFonts w:ascii="Arial" w:eastAsia="Calibri" w:hAnsi="Arial" w:cs="Arial"/>
          <w:sz w:val="20"/>
          <w:szCs w:val="20"/>
          <w:lang w:val="es-ES_tradnl"/>
        </w:rPr>
      </w:pPr>
    </w:p>
    <w:p w14:paraId="2E42A318" w14:textId="77777777" w:rsidR="00C6058D" w:rsidRDefault="00D65774" w:rsidP="00D65774">
      <w:pPr>
        <w:spacing w:after="0" w:line="240" w:lineRule="auto"/>
        <w:jc w:val="both"/>
        <w:rPr>
          <w:rFonts w:ascii="Arial" w:eastAsia="Calibri" w:hAnsi="Arial" w:cs="Arial"/>
          <w:sz w:val="20"/>
          <w:szCs w:val="20"/>
          <w:lang w:val="es-ES_tradnl"/>
        </w:rPr>
      </w:pPr>
      <w:r w:rsidRPr="00D65774">
        <w:rPr>
          <w:rFonts w:ascii="Arial" w:eastAsia="Calibri" w:hAnsi="Arial" w:cs="Arial"/>
          <w:sz w:val="20"/>
          <w:szCs w:val="20"/>
          <w:lang w:val="es-ES_tradnl"/>
        </w:rPr>
        <w:t>En el cruce con Avda. Argentina el Tipo de obra sería Según proyecto DNV</w:t>
      </w:r>
      <w:r>
        <w:rPr>
          <w:rFonts w:ascii="Arial" w:eastAsia="Calibri" w:hAnsi="Arial" w:cs="Arial"/>
          <w:sz w:val="20"/>
          <w:szCs w:val="20"/>
          <w:lang w:val="es-ES_tradnl"/>
        </w:rPr>
        <w:t>.</w:t>
      </w:r>
    </w:p>
    <w:p w14:paraId="4D77A1FD" w14:textId="77777777" w:rsidR="009709B5" w:rsidRDefault="009709B5" w:rsidP="00D65774">
      <w:pPr>
        <w:spacing w:after="0" w:line="240" w:lineRule="auto"/>
        <w:jc w:val="both"/>
        <w:rPr>
          <w:rFonts w:ascii="Arial" w:eastAsia="Calibri" w:hAnsi="Arial" w:cs="Arial"/>
          <w:sz w:val="20"/>
          <w:szCs w:val="20"/>
          <w:lang w:val="es-ES_tradnl"/>
        </w:rPr>
      </w:pPr>
    </w:p>
    <w:p w14:paraId="2CC7D0FB" w14:textId="77777777" w:rsidR="000C615F" w:rsidRDefault="000C615F">
      <w:pPr>
        <w:spacing w:after="0" w:line="240" w:lineRule="auto"/>
        <w:rPr>
          <w:rFonts w:ascii="Arial" w:eastAsia="Calibri" w:hAnsi="Arial" w:cs="Arial"/>
          <w:b/>
          <w:sz w:val="20"/>
          <w:szCs w:val="20"/>
          <w:lang w:val="es-ES_tradnl"/>
        </w:rPr>
      </w:pPr>
      <w:r>
        <w:rPr>
          <w:rFonts w:ascii="Arial" w:eastAsia="Calibri" w:hAnsi="Arial" w:cs="Arial"/>
          <w:b/>
          <w:sz w:val="20"/>
          <w:szCs w:val="20"/>
          <w:lang w:val="es-ES_tradnl"/>
        </w:rPr>
        <w:lastRenderedPageBreak/>
        <w:br w:type="page"/>
      </w:r>
    </w:p>
    <w:p w14:paraId="4644E590" w14:textId="79116E77" w:rsidR="00270464" w:rsidRPr="00270464" w:rsidRDefault="00270464" w:rsidP="00270464">
      <w:pPr>
        <w:rPr>
          <w:rFonts w:ascii="Arial" w:eastAsia="Calibri" w:hAnsi="Arial" w:cs="Arial"/>
          <w:b/>
          <w:sz w:val="20"/>
          <w:szCs w:val="20"/>
          <w:lang w:val="es-ES_tradnl"/>
        </w:rPr>
      </w:pPr>
      <w:r w:rsidRPr="00742AA9">
        <w:rPr>
          <w:rFonts w:ascii="Arial" w:eastAsia="Calibri" w:hAnsi="Arial" w:cs="Arial"/>
          <w:b/>
          <w:sz w:val="20"/>
          <w:szCs w:val="20"/>
          <w:lang w:val="es-ES_tradnl"/>
        </w:rPr>
        <w:lastRenderedPageBreak/>
        <w:t xml:space="preserve">Ruta </w:t>
      </w:r>
      <w:r w:rsidR="00D37695" w:rsidRPr="00D37695">
        <w:rPr>
          <w:rFonts w:ascii="Arial" w:eastAsia="Calibri" w:hAnsi="Arial" w:cs="Arial"/>
          <w:b/>
          <w:sz w:val="20"/>
          <w:szCs w:val="20"/>
          <w:lang w:val="es-ES_tradnl"/>
        </w:rPr>
        <w:t>6</w:t>
      </w:r>
      <w:r w:rsidRPr="00742AA9">
        <w:rPr>
          <w:rFonts w:ascii="Arial" w:eastAsia="Calibri" w:hAnsi="Arial" w:cs="Arial"/>
          <w:b/>
          <w:sz w:val="20"/>
          <w:szCs w:val="20"/>
          <w:lang w:val="es-ES_tradnl"/>
        </w:rPr>
        <w:t xml:space="preserve"> y Ruta </w:t>
      </w:r>
      <w:r w:rsidR="00D37695" w:rsidRPr="00D37695">
        <w:rPr>
          <w:rFonts w:ascii="Arial" w:eastAsia="Calibri" w:hAnsi="Arial" w:cs="Arial"/>
          <w:b/>
          <w:sz w:val="20"/>
          <w:szCs w:val="20"/>
          <w:lang w:val="es-ES_tradnl"/>
        </w:rPr>
        <w:t>11</w:t>
      </w:r>
    </w:p>
    <w:p w14:paraId="0A7DDE07" w14:textId="7C3F4987" w:rsidR="004D01C5" w:rsidRDefault="004D01C5" w:rsidP="00C6058D">
      <w:pPr>
        <w:rPr>
          <w:rFonts w:ascii="Arial" w:eastAsia="Calibri" w:hAnsi="Arial" w:cs="Arial"/>
          <w:sz w:val="20"/>
          <w:szCs w:val="20"/>
          <w:lang w:val="es-ES_tradnl"/>
        </w:rPr>
      </w:pPr>
      <w:r w:rsidRPr="004D01C5">
        <w:rPr>
          <w:rFonts w:ascii="Arial" w:eastAsia="Calibri" w:hAnsi="Arial" w:cs="Arial"/>
          <w:sz w:val="20"/>
          <w:szCs w:val="20"/>
          <w:lang w:val="es-ES_tradnl"/>
        </w:rPr>
        <w:t xml:space="preserve">Se propone una rotonda cerrada de </w:t>
      </w:r>
      <w:r w:rsidR="00D37695" w:rsidRPr="00D37695">
        <w:rPr>
          <w:rFonts w:ascii="Arial" w:eastAsia="Calibri" w:hAnsi="Arial" w:cs="Arial"/>
          <w:sz w:val="20"/>
          <w:szCs w:val="20"/>
          <w:lang w:val="es-ES_tradnl"/>
        </w:rPr>
        <w:t>4</w:t>
      </w:r>
      <w:r w:rsidRPr="004D01C5">
        <w:rPr>
          <w:rFonts w:ascii="Arial" w:eastAsia="Calibri" w:hAnsi="Arial" w:cs="Arial"/>
          <w:sz w:val="20"/>
          <w:szCs w:val="20"/>
          <w:lang w:val="es-ES_tradnl"/>
        </w:rPr>
        <w:t xml:space="preserve"> ramas</w:t>
      </w:r>
      <w:r w:rsidR="00D37695" w:rsidRPr="00D37695">
        <w:rPr>
          <w:rFonts w:ascii="Arial" w:eastAsia="Calibri" w:hAnsi="Arial" w:cs="Arial"/>
          <w:sz w:val="20"/>
          <w:szCs w:val="20"/>
          <w:lang w:val="es-ES_tradnl"/>
        </w:rPr>
        <w:t xml:space="preserve"> con isletas separadoras de flujo, de manera de posibilitar las</w:t>
      </w:r>
      <w:r w:rsidR="00D37695">
        <w:rPr>
          <w:rFonts w:ascii="Arial" w:eastAsia="Calibri" w:hAnsi="Arial" w:cs="Arial"/>
          <w:sz w:val="20"/>
          <w:szCs w:val="20"/>
          <w:lang w:val="es-ES_tradnl"/>
        </w:rPr>
        <w:t xml:space="preserve"> </w:t>
      </w:r>
      <w:r w:rsidR="00D37695" w:rsidRPr="00D37695">
        <w:rPr>
          <w:rFonts w:ascii="Arial" w:eastAsia="Calibri" w:hAnsi="Arial" w:cs="Arial"/>
          <w:sz w:val="20"/>
          <w:szCs w:val="20"/>
          <w:lang w:val="es-ES_tradnl"/>
        </w:rPr>
        <w:t>maniobras de los vehículos pesados con adecuados radios de giro.</w:t>
      </w:r>
      <w:r w:rsidRPr="004D01C5">
        <w:rPr>
          <w:rFonts w:ascii="Arial" w:eastAsia="Calibri" w:hAnsi="Arial" w:cs="Arial"/>
          <w:sz w:val="20"/>
          <w:szCs w:val="20"/>
          <w:lang w:val="es-ES_tradnl"/>
        </w:rPr>
        <w:t xml:space="preserve"> Se </w:t>
      </w:r>
      <w:r w:rsidR="00D37695">
        <w:rPr>
          <w:rFonts w:ascii="Arial" w:eastAsia="Calibri" w:hAnsi="Arial" w:cs="Arial"/>
          <w:sz w:val="20"/>
          <w:szCs w:val="20"/>
          <w:lang w:val="es-ES_tradnl"/>
        </w:rPr>
        <w:t>estima que no son necesarias</w:t>
      </w:r>
      <w:r w:rsidRPr="004D01C5">
        <w:rPr>
          <w:rFonts w:ascii="Arial" w:eastAsia="Calibri" w:hAnsi="Arial" w:cs="Arial"/>
          <w:sz w:val="20"/>
          <w:szCs w:val="20"/>
          <w:lang w:val="es-ES_tradnl"/>
        </w:rPr>
        <w:t xml:space="preserve"> expropiaciones</w:t>
      </w:r>
      <w:r>
        <w:rPr>
          <w:rFonts w:ascii="Arial" w:eastAsia="Calibri" w:hAnsi="Arial" w:cs="Arial"/>
          <w:sz w:val="20"/>
          <w:szCs w:val="20"/>
          <w:lang w:val="es-ES_tradnl"/>
        </w:rPr>
        <w:t>.</w:t>
      </w:r>
    </w:p>
    <w:p w14:paraId="5A7A20C0" w14:textId="77777777" w:rsidR="00D37695" w:rsidRDefault="00D37695" w:rsidP="00D37695">
      <w:pPr>
        <w:rPr>
          <w:rFonts w:ascii="Arial" w:eastAsia="Calibri" w:hAnsi="Arial" w:cs="Arial"/>
          <w:sz w:val="20"/>
          <w:szCs w:val="20"/>
          <w:lang w:val="es-ES_tradnl"/>
        </w:rPr>
      </w:pPr>
      <w:r w:rsidRPr="00BA1187">
        <w:rPr>
          <w:rFonts w:eastAsia="Calibri"/>
          <w:noProof/>
          <w:lang w:val="es-UY" w:eastAsia="es-UY"/>
        </w:rPr>
        <w:drawing>
          <wp:inline distT="0" distB="0" distL="0" distR="0" wp14:anchorId="1A4756F8" wp14:editId="3DE02D2E">
            <wp:extent cx="5400040" cy="339224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3392249"/>
                    </a:xfrm>
                    <a:prstGeom prst="rect">
                      <a:avLst/>
                    </a:prstGeom>
                    <a:noFill/>
                    <a:ln>
                      <a:noFill/>
                    </a:ln>
                  </pic:spPr>
                </pic:pic>
              </a:graphicData>
            </a:graphic>
          </wp:inline>
        </w:drawing>
      </w:r>
    </w:p>
    <w:p w14:paraId="5312B5CE" w14:textId="77777777" w:rsidR="000C615F" w:rsidRDefault="000C615F">
      <w:pPr>
        <w:spacing w:after="0" w:line="240" w:lineRule="auto"/>
        <w:rPr>
          <w:rFonts w:ascii="Arial" w:eastAsia="Calibri" w:hAnsi="Arial"/>
          <w:b/>
          <w:sz w:val="20"/>
          <w:lang w:val="es-ES_tradnl"/>
        </w:rPr>
      </w:pPr>
      <w:r>
        <w:rPr>
          <w:rFonts w:ascii="Arial" w:eastAsia="Calibri" w:hAnsi="Arial"/>
          <w:b/>
          <w:sz w:val="20"/>
          <w:lang w:val="es-ES_tradnl"/>
        </w:rPr>
        <w:br w:type="page"/>
      </w:r>
    </w:p>
    <w:p w14:paraId="3C4187AB" w14:textId="08A8E981" w:rsidR="00270464" w:rsidRPr="00AC57A7" w:rsidRDefault="00270464" w:rsidP="00270464">
      <w:pPr>
        <w:rPr>
          <w:rFonts w:ascii="Arial" w:eastAsia="Calibri" w:hAnsi="Arial"/>
          <w:b/>
          <w:sz w:val="20"/>
          <w:lang w:val="es-ES_tradnl"/>
        </w:rPr>
      </w:pPr>
      <w:r w:rsidRPr="00AC57A7">
        <w:rPr>
          <w:rFonts w:ascii="Arial" w:eastAsia="Calibri" w:hAnsi="Arial"/>
          <w:b/>
          <w:sz w:val="20"/>
          <w:lang w:val="es-ES_tradnl"/>
        </w:rPr>
        <w:lastRenderedPageBreak/>
        <w:t xml:space="preserve">Ruta </w:t>
      </w:r>
      <w:r w:rsidR="00D37695" w:rsidRPr="00D37695">
        <w:rPr>
          <w:rFonts w:ascii="Arial" w:eastAsia="Calibri" w:hAnsi="Arial" w:cs="Arial"/>
          <w:b/>
          <w:sz w:val="20"/>
          <w:szCs w:val="20"/>
          <w:lang w:val="es-ES_tradnl"/>
        </w:rPr>
        <w:t>6</w:t>
      </w:r>
      <w:r w:rsidRPr="00AC57A7">
        <w:rPr>
          <w:rFonts w:ascii="Arial" w:eastAsia="Calibri" w:hAnsi="Arial"/>
          <w:b/>
          <w:sz w:val="20"/>
          <w:lang w:val="es-ES_tradnl"/>
        </w:rPr>
        <w:t xml:space="preserve"> y Ruta </w:t>
      </w:r>
      <w:r w:rsidR="00D37695" w:rsidRPr="00D37695">
        <w:rPr>
          <w:rFonts w:ascii="Arial" w:eastAsia="Calibri" w:hAnsi="Arial" w:cs="Arial"/>
          <w:b/>
          <w:sz w:val="20"/>
          <w:szCs w:val="20"/>
          <w:lang w:val="es-ES_tradnl"/>
        </w:rPr>
        <w:t>65</w:t>
      </w:r>
    </w:p>
    <w:p w14:paraId="30E90D5C" w14:textId="5C262275" w:rsidR="004D01C5" w:rsidRDefault="004D01C5" w:rsidP="00AC57A7">
      <w:pPr>
        <w:jc w:val="both"/>
        <w:rPr>
          <w:rFonts w:ascii="Arial" w:eastAsia="Calibri" w:hAnsi="Arial" w:cs="Arial"/>
          <w:sz w:val="20"/>
          <w:szCs w:val="20"/>
          <w:lang w:val="es-ES_tradnl"/>
        </w:rPr>
      </w:pPr>
      <w:r w:rsidRPr="004D01C5">
        <w:rPr>
          <w:rFonts w:ascii="Arial" w:eastAsia="Calibri" w:hAnsi="Arial" w:cs="Arial"/>
          <w:sz w:val="20"/>
          <w:szCs w:val="20"/>
          <w:lang w:val="es-ES_tradnl"/>
        </w:rPr>
        <w:t xml:space="preserve">Se propone </w:t>
      </w:r>
      <w:r w:rsidR="00D37695" w:rsidRPr="00D37695">
        <w:rPr>
          <w:rFonts w:ascii="Arial" w:eastAsia="Calibri" w:hAnsi="Arial" w:cs="Arial"/>
          <w:sz w:val="20"/>
          <w:szCs w:val="20"/>
          <w:lang w:val="es-ES_tradnl"/>
        </w:rPr>
        <w:t xml:space="preserve">mantener la geometría general de esta </w:t>
      </w:r>
      <w:r w:rsidRPr="004D01C5">
        <w:rPr>
          <w:rFonts w:ascii="Arial" w:eastAsia="Calibri" w:hAnsi="Arial" w:cs="Arial"/>
          <w:sz w:val="20"/>
          <w:szCs w:val="20"/>
          <w:lang w:val="es-ES_tradnl"/>
        </w:rPr>
        <w:t xml:space="preserve">rotonda de </w:t>
      </w:r>
      <w:r w:rsidR="00D37695" w:rsidRPr="00D37695">
        <w:rPr>
          <w:rFonts w:ascii="Arial" w:eastAsia="Calibri" w:hAnsi="Arial" w:cs="Arial"/>
          <w:sz w:val="20"/>
          <w:szCs w:val="20"/>
          <w:lang w:val="es-ES_tradnl"/>
        </w:rPr>
        <w:t>4</w:t>
      </w:r>
      <w:r w:rsidRPr="004D01C5">
        <w:rPr>
          <w:rFonts w:ascii="Arial" w:eastAsia="Calibri" w:hAnsi="Arial" w:cs="Arial"/>
          <w:sz w:val="20"/>
          <w:szCs w:val="20"/>
          <w:lang w:val="es-ES_tradnl"/>
        </w:rPr>
        <w:t xml:space="preserve"> ramas</w:t>
      </w:r>
      <w:r w:rsidR="00D37695" w:rsidRPr="00D37695">
        <w:rPr>
          <w:rFonts w:ascii="Arial" w:eastAsia="Calibri" w:hAnsi="Arial" w:cs="Arial"/>
          <w:sz w:val="20"/>
          <w:szCs w:val="20"/>
          <w:lang w:val="es-ES_tradnl"/>
        </w:rPr>
        <w:t xml:space="preserve"> mejorando las isletas separadoras de flujo, de manera de posibilitar las maniobras de los vehículos pesados con adecuados radios de giro y pavimentando el empalme.</w:t>
      </w:r>
      <w:r w:rsidRPr="004D01C5">
        <w:rPr>
          <w:rFonts w:ascii="Arial" w:eastAsia="Calibri" w:hAnsi="Arial" w:cs="Arial"/>
          <w:sz w:val="20"/>
          <w:szCs w:val="20"/>
          <w:lang w:val="es-ES_tradnl"/>
        </w:rPr>
        <w:t xml:space="preserve"> Se </w:t>
      </w:r>
      <w:r w:rsidR="00D37695" w:rsidRPr="00D37695">
        <w:rPr>
          <w:rFonts w:ascii="Arial" w:eastAsia="Calibri" w:hAnsi="Arial" w:cs="Arial"/>
          <w:sz w:val="20"/>
          <w:szCs w:val="20"/>
          <w:lang w:val="es-ES_tradnl"/>
        </w:rPr>
        <w:t>estima que no son necesarias</w:t>
      </w:r>
      <w:r w:rsidRPr="004D01C5">
        <w:rPr>
          <w:rFonts w:ascii="Arial" w:eastAsia="Calibri" w:hAnsi="Arial" w:cs="Arial"/>
          <w:sz w:val="20"/>
          <w:szCs w:val="20"/>
          <w:lang w:val="es-ES_tradnl"/>
        </w:rPr>
        <w:t xml:space="preserve"> expropiaciones.</w:t>
      </w:r>
    </w:p>
    <w:p w14:paraId="28383B50" w14:textId="77777777" w:rsidR="00D37695" w:rsidRDefault="00D37695" w:rsidP="00D37695">
      <w:pPr>
        <w:jc w:val="both"/>
        <w:rPr>
          <w:rFonts w:ascii="Arial" w:eastAsia="Calibri" w:hAnsi="Arial" w:cs="Arial"/>
          <w:sz w:val="20"/>
          <w:szCs w:val="20"/>
          <w:lang w:val="es-ES_tradnl"/>
        </w:rPr>
      </w:pPr>
      <w:r w:rsidRPr="00BA1187">
        <w:rPr>
          <w:rFonts w:ascii="Arial" w:eastAsia="Calibri" w:hAnsi="Arial" w:cs="Arial"/>
          <w:noProof/>
          <w:sz w:val="20"/>
          <w:szCs w:val="20"/>
          <w:lang w:val="es-UY" w:eastAsia="es-UY"/>
        </w:rPr>
        <w:lastRenderedPageBreak/>
        <w:drawing>
          <wp:inline distT="0" distB="0" distL="0" distR="0" wp14:anchorId="3E780E8F" wp14:editId="1ED34E0E">
            <wp:extent cx="5400040" cy="4087367"/>
            <wp:effectExtent l="0" t="0" r="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4087367"/>
                    </a:xfrm>
                    <a:prstGeom prst="rect">
                      <a:avLst/>
                    </a:prstGeom>
                    <a:noFill/>
                    <a:ln>
                      <a:noFill/>
                    </a:ln>
                  </pic:spPr>
                </pic:pic>
              </a:graphicData>
            </a:graphic>
          </wp:inline>
        </w:drawing>
      </w:r>
    </w:p>
    <w:p w14:paraId="10483DD0" w14:textId="77777777" w:rsidR="009709B5" w:rsidRDefault="009709B5" w:rsidP="00D37695">
      <w:pPr>
        <w:jc w:val="both"/>
        <w:rPr>
          <w:rFonts w:ascii="Arial" w:eastAsia="Calibri" w:hAnsi="Arial" w:cs="Arial"/>
          <w:b/>
          <w:sz w:val="20"/>
          <w:szCs w:val="20"/>
          <w:lang w:val="es-ES_tradnl"/>
        </w:rPr>
      </w:pPr>
    </w:p>
    <w:p w14:paraId="0D759ED5" w14:textId="77777777" w:rsidR="000C615F" w:rsidRDefault="000C615F">
      <w:pPr>
        <w:spacing w:after="0" w:line="240" w:lineRule="auto"/>
        <w:rPr>
          <w:rFonts w:ascii="Arial" w:eastAsia="Calibri" w:hAnsi="Arial" w:cs="Arial"/>
          <w:b/>
          <w:sz w:val="20"/>
          <w:szCs w:val="20"/>
          <w:lang w:val="es-ES_tradnl"/>
        </w:rPr>
      </w:pPr>
      <w:r>
        <w:rPr>
          <w:rFonts w:ascii="Arial" w:eastAsia="Calibri" w:hAnsi="Arial" w:cs="Arial"/>
          <w:b/>
          <w:sz w:val="20"/>
          <w:szCs w:val="20"/>
          <w:lang w:val="es-ES_tradnl"/>
        </w:rPr>
        <w:br w:type="page"/>
      </w:r>
    </w:p>
    <w:p w14:paraId="77B2488D" w14:textId="0FD585AB" w:rsidR="004D01C5" w:rsidRDefault="004D01C5" w:rsidP="00AC57A7">
      <w:pPr>
        <w:jc w:val="both"/>
        <w:rPr>
          <w:rFonts w:ascii="Arial" w:eastAsia="Calibri" w:hAnsi="Arial" w:cs="Arial"/>
          <w:b/>
          <w:sz w:val="20"/>
          <w:szCs w:val="20"/>
          <w:lang w:val="es-ES_tradnl"/>
        </w:rPr>
      </w:pPr>
      <w:r w:rsidRPr="004D01C5">
        <w:rPr>
          <w:rFonts w:ascii="Arial" w:eastAsia="Calibri" w:hAnsi="Arial" w:cs="Arial"/>
          <w:b/>
          <w:sz w:val="20"/>
          <w:szCs w:val="20"/>
          <w:lang w:val="es-ES_tradnl"/>
        </w:rPr>
        <w:lastRenderedPageBreak/>
        <w:t xml:space="preserve">Ruta </w:t>
      </w:r>
      <w:r w:rsidR="00D37695" w:rsidRPr="00D37695">
        <w:rPr>
          <w:rFonts w:ascii="Arial" w:eastAsia="Calibri" w:hAnsi="Arial" w:cs="Arial"/>
          <w:b/>
          <w:sz w:val="20"/>
          <w:szCs w:val="20"/>
          <w:lang w:val="es-ES_tradnl"/>
        </w:rPr>
        <w:t>6</w:t>
      </w:r>
      <w:r w:rsidRPr="004D01C5">
        <w:rPr>
          <w:rFonts w:ascii="Arial" w:eastAsia="Calibri" w:hAnsi="Arial" w:cs="Arial"/>
          <w:b/>
          <w:sz w:val="20"/>
          <w:szCs w:val="20"/>
          <w:lang w:val="es-ES_tradnl"/>
        </w:rPr>
        <w:t xml:space="preserve"> y Ruta </w:t>
      </w:r>
      <w:r w:rsidR="00D37695">
        <w:rPr>
          <w:rFonts w:ascii="Arial" w:eastAsia="Calibri" w:hAnsi="Arial" w:cs="Arial"/>
          <w:b/>
          <w:sz w:val="20"/>
          <w:szCs w:val="20"/>
          <w:lang w:val="es-ES_tradnl"/>
        </w:rPr>
        <w:t>12</w:t>
      </w:r>
      <w:r w:rsidR="00B60D91">
        <w:rPr>
          <w:rFonts w:ascii="Arial" w:eastAsia="Calibri" w:hAnsi="Arial" w:cs="Arial"/>
          <w:b/>
          <w:sz w:val="20"/>
          <w:szCs w:val="20"/>
          <w:lang w:val="es-ES_tradnl"/>
        </w:rPr>
        <w:t xml:space="preserve"> (oeste)</w:t>
      </w:r>
    </w:p>
    <w:p w14:paraId="040426D8" w14:textId="5ACE032A" w:rsidR="004D01C5" w:rsidRPr="00AC57A7" w:rsidRDefault="004D01C5" w:rsidP="007B7A61">
      <w:pPr>
        <w:rPr>
          <w:rFonts w:ascii="Arial" w:eastAsia="Calibri" w:hAnsi="Arial"/>
          <w:sz w:val="20"/>
          <w:lang w:val="es-ES_tradnl"/>
        </w:rPr>
      </w:pPr>
      <w:r w:rsidRPr="004D01C5">
        <w:rPr>
          <w:rFonts w:ascii="Arial" w:eastAsia="Calibri" w:hAnsi="Arial" w:cs="Arial"/>
          <w:sz w:val="20"/>
          <w:szCs w:val="20"/>
          <w:lang w:val="es-ES_tradnl"/>
        </w:rPr>
        <w:t xml:space="preserve">Se propone </w:t>
      </w:r>
      <w:r w:rsidR="00D37695" w:rsidRPr="00D37695">
        <w:rPr>
          <w:rFonts w:ascii="Arial" w:eastAsia="Calibri" w:hAnsi="Arial" w:cs="Arial"/>
          <w:sz w:val="20"/>
          <w:szCs w:val="20"/>
          <w:lang w:val="es-ES_tradnl"/>
        </w:rPr>
        <w:t>mantener la tipología para evitar</w:t>
      </w:r>
      <w:r w:rsidRPr="004D01C5">
        <w:rPr>
          <w:rFonts w:ascii="Arial" w:eastAsia="Calibri" w:hAnsi="Arial" w:cs="Arial"/>
          <w:sz w:val="20"/>
          <w:szCs w:val="20"/>
          <w:lang w:val="es-ES_tradnl"/>
        </w:rPr>
        <w:t xml:space="preserve"> expropiaciones</w:t>
      </w:r>
      <w:r w:rsidR="00D37695" w:rsidRPr="00D37695">
        <w:rPr>
          <w:rFonts w:ascii="Arial" w:eastAsia="Calibri" w:hAnsi="Arial" w:cs="Arial"/>
          <w:sz w:val="20"/>
          <w:szCs w:val="20"/>
          <w:lang w:val="es-ES_tradnl"/>
        </w:rPr>
        <w:t>, generando isletas de</w:t>
      </w:r>
      <w:r w:rsidRPr="00AC57A7">
        <w:rPr>
          <w:rFonts w:ascii="Arial" w:eastAsia="Calibri" w:hAnsi="Arial"/>
          <w:sz w:val="20"/>
          <w:lang w:val="es-ES_tradnl"/>
        </w:rPr>
        <w:t xml:space="preserve"> canalización </w:t>
      </w:r>
      <w:r w:rsidR="00D37695" w:rsidRPr="00D37695">
        <w:rPr>
          <w:rFonts w:ascii="Arial" w:eastAsia="Calibri" w:hAnsi="Arial" w:cs="Arial"/>
          <w:sz w:val="20"/>
          <w:szCs w:val="20"/>
          <w:lang w:val="es-ES_tradnl"/>
        </w:rPr>
        <w:t>y dársenas de giro a la izquierda con un diseño de empalme AASHTO</w:t>
      </w:r>
      <w:r w:rsidR="00D37695">
        <w:rPr>
          <w:rFonts w:ascii="Arial" w:eastAsia="Calibri" w:hAnsi="Arial" w:cs="Arial"/>
          <w:sz w:val="20"/>
          <w:szCs w:val="20"/>
          <w:lang w:val="es-ES_tradnl"/>
        </w:rPr>
        <w:t>.</w:t>
      </w:r>
      <w:r w:rsidR="005F4961">
        <w:rPr>
          <w:rFonts w:ascii="Arial" w:eastAsia="Calibri" w:hAnsi="Arial" w:cs="Arial"/>
          <w:sz w:val="20"/>
          <w:szCs w:val="20"/>
          <w:lang w:val="es-ES_tradnl"/>
        </w:rPr>
        <w:t xml:space="preserve"> </w:t>
      </w:r>
      <w:r w:rsidR="005F4961" w:rsidRPr="005F4961">
        <w:rPr>
          <w:rFonts w:ascii="Arial" w:eastAsia="Calibri" w:hAnsi="Arial" w:cs="Arial"/>
          <w:sz w:val="20"/>
          <w:szCs w:val="20"/>
          <w:lang w:val="es-ES_tradnl"/>
        </w:rPr>
        <w:t>Se estima que no son necesarias</w:t>
      </w:r>
      <w:r w:rsidRPr="00AC57A7">
        <w:rPr>
          <w:rFonts w:ascii="Arial" w:eastAsia="Calibri" w:hAnsi="Arial"/>
          <w:sz w:val="20"/>
          <w:lang w:val="es-ES_tradnl"/>
        </w:rPr>
        <w:t xml:space="preserve"> expropiaciones.</w:t>
      </w:r>
    </w:p>
    <w:p w14:paraId="2597B08A" w14:textId="77777777" w:rsidR="005F4961" w:rsidRPr="00D37695" w:rsidRDefault="005F4961" w:rsidP="00D37695">
      <w:pPr>
        <w:jc w:val="both"/>
        <w:rPr>
          <w:rFonts w:ascii="Arial" w:eastAsia="Calibri" w:hAnsi="Arial" w:cs="Arial"/>
          <w:sz w:val="20"/>
          <w:szCs w:val="20"/>
          <w:lang w:val="es-ES_tradnl"/>
        </w:rPr>
      </w:pPr>
      <w:r w:rsidRPr="00BA1187">
        <w:rPr>
          <w:rFonts w:ascii="Arial" w:eastAsia="Calibri" w:hAnsi="Arial" w:cs="Arial"/>
          <w:noProof/>
          <w:sz w:val="20"/>
          <w:szCs w:val="20"/>
          <w:lang w:val="es-UY" w:eastAsia="es-UY"/>
        </w:rPr>
        <w:drawing>
          <wp:inline distT="0" distB="0" distL="0" distR="0" wp14:anchorId="112C7D67" wp14:editId="72D38AEB">
            <wp:extent cx="5400040" cy="410459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040" cy="4104594"/>
                    </a:xfrm>
                    <a:prstGeom prst="rect">
                      <a:avLst/>
                    </a:prstGeom>
                    <a:noFill/>
                    <a:ln>
                      <a:noFill/>
                    </a:ln>
                  </pic:spPr>
                </pic:pic>
              </a:graphicData>
            </a:graphic>
          </wp:inline>
        </w:drawing>
      </w:r>
    </w:p>
    <w:p w14:paraId="61B0E46C" w14:textId="77777777" w:rsidR="000C615F" w:rsidRDefault="000C615F">
      <w:pPr>
        <w:spacing w:after="0" w:line="240" w:lineRule="auto"/>
        <w:rPr>
          <w:rFonts w:ascii="Arial" w:eastAsia="Calibri" w:hAnsi="Arial" w:cs="Arial"/>
          <w:b/>
          <w:sz w:val="20"/>
          <w:szCs w:val="20"/>
          <w:lang w:val="es-ES_tradnl"/>
        </w:rPr>
      </w:pPr>
      <w:r>
        <w:rPr>
          <w:rFonts w:ascii="Arial" w:eastAsia="Calibri" w:hAnsi="Arial" w:cs="Arial"/>
          <w:b/>
          <w:sz w:val="20"/>
          <w:szCs w:val="20"/>
          <w:lang w:val="es-ES_tradnl"/>
        </w:rPr>
        <w:lastRenderedPageBreak/>
        <w:br w:type="page"/>
      </w:r>
    </w:p>
    <w:p w14:paraId="475C5B20" w14:textId="4D41C8A0" w:rsidR="00701930" w:rsidRDefault="009709B5" w:rsidP="00701930">
      <w:pPr>
        <w:jc w:val="both"/>
        <w:rPr>
          <w:rFonts w:ascii="Arial" w:eastAsia="Calibri" w:hAnsi="Arial" w:cs="Arial"/>
          <w:sz w:val="20"/>
          <w:szCs w:val="20"/>
          <w:lang w:val="es-ES_tradnl"/>
        </w:rPr>
      </w:pPr>
      <w:r>
        <w:rPr>
          <w:rFonts w:ascii="Arial" w:eastAsia="Calibri" w:hAnsi="Arial" w:cs="Arial"/>
          <w:b/>
          <w:sz w:val="20"/>
          <w:szCs w:val="20"/>
          <w:lang w:val="es-ES_tradnl"/>
        </w:rPr>
        <w:lastRenderedPageBreak/>
        <w:t>5</w:t>
      </w:r>
      <w:r w:rsidRPr="009709B5">
        <w:rPr>
          <w:rFonts w:ascii="Arial" w:eastAsia="Calibri" w:hAnsi="Arial" w:cs="Arial"/>
          <w:b/>
          <w:sz w:val="20"/>
          <w:szCs w:val="20"/>
          <w:lang w:val="es-ES_tradnl"/>
        </w:rPr>
        <w:t xml:space="preserve">. </w:t>
      </w:r>
      <w:r>
        <w:rPr>
          <w:rFonts w:ascii="Arial" w:eastAsia="Calibri" w:hAnsi="Arial" w:cs="Arial"/>
          <w:b/>
          <w:sz w:val="20"/>
          <w:szCs w:val="20"/>
          <w:lang w:val="es-ES_tradnl"/>
        </w:rPr>
        <w:t>By Pass San Ramón</w:t>
      </w:r>
      <w:r w:rsidR="00FD1418">
        <w:rPr>
          <w:rFonts w:ascii="Arial" w:eastAsia="Calibri" w:hAnsi="Arial" w:cs="Arial"/>
          <w:b/>
          <w:sz w:val="20"/>
          <w:szCs w:val="20"/>
          <w:lang w:val="es-ES_tradnl"/>
        </w:rPr>
        <w:t xml:space="preserve"> </w:t>
      </w:r>
      <w:r w:rsidRPr="00701930">
        <w:rPr>
          <w:rFonts w:ascii="Arial" w:eastAsia="Calibri" w:hAnsi="Arial" w:cs="Arial"/>
          <w:sz w:val="20"/>
          <w:szCs w:val="20"/>
          <w:lang w:val="es-ES_tradnl"/>
        </w:rPr>
        <w:t>El By Pass se diagram</w:t>
      </w:r>
      <w:r w:rsidR="00B60D91">
        <w:rPr>
          <w:rFonts w:ascii="Arial" w:eastAsia="Calibri" w:hAnsi="Arial" w:cs="Arial"/>
          <w:sz w:val="20"/>
          <w:szCs w:val="20"/>
          <w:lang w:val="es-ES_tradnl"/>
        </w:rPr>
        <w:t>ó</w:t>
      </w:r>
      <w:r w:rsidRPr="00701930">
        <w:rPr>
          <w:rFonts w:ascii="Arial" w:eastAsia="Calibri" w:hAnsi="Arial" w:cs="Arial"/>
          <w:sz w:val="20"/>
          <w:szCs w:val="20"/>
          <w:lang w:val="es-ES_tradnl"/>
        </w:rPr>
        <w:t xml:space="preserve"> teniendo en cuenta la situación actual determinada por los planes de</w:t>
      </w:r>
      <w:r w:rsidR="00701930" w:rsidRPr="00701930">
        <w:rPr>
          <w:rFonts w:ascii="Arial" w:eastAsia="Calibri" w:hAnsi="Arial" w:cs="Arial"/>
          <w:sz w:val="20"/>
          <w:szCs w:val="20"/>
          <w:lang w:val="es-ES_tradnl"/>
        </w:rPr>
        <w:t xml:space="preserve"> </w:t>
      </w:r>
      <w:r w:rsidRPr="00701930">
        <w:rPr>
          <w:rFonts w:ascii="Arial" w:eastAsia="Calibri" w:hAnsi="Arial" w:cs="Arial"/>
          <w:sz w:val="20"/>
          <w:szCs w:val="20"/>
          <w:lang w:val="es-ES_tradnl"/>
        </w:rPr>
        <w:t>ordenamiento territorial respectivos, que se encuentran en el sitio web del MVOTMA (Inventario</w:t>
      </w:r>
      <w:r w:rsidR="00701930" w:rsidRPr="00701930">
        <w:rPr>
          <w:rFonts w:ascii="Arial" w:eastAsia="Calibri" w:hAnsi="Arial" w:cs="Arial"/>
          <w:sz w:val="20"/>
          <w:szCs w:val="20"/>
          <w:lang w:val="es-ES_tradnl"/>
        </w:rPr>
        <w:t xml:space="preserve"> </w:t>
      </w:r>
      <w:r w:rsidRPr="00701930">
        <w:rPr>
          <w:rFonts w:ascii="Arial" w:eastAsia="Calibri" w:hAnsi="Arial" w:cs="Arial"/>
          <w:sz w:val="20"/>
          <w:szCs w:val="20"/>
          <w:lang w:val="es-ES_tradnl"/>
        </w:rPr>
        <w:t>Nacional de Ordenamiento Territorial-DINOT)</w:t>
      </w:r>
      <w:r w:rsidR="00701930" w:rsidRPr="00701930">
        <w:rPr>
          <w:rFonts w:ascii="Arial" w:eastAsia="Calibri" w:hAnsi="Arial" w:cs="Arial"/>
          <w:sz w:val="20"/>
          <w:szCs w:val="20"/>
          <w:lang w:val="es-ES_tradnl"/>
        </w:rPr>
        <w:t>.</w:t>
      </w:r>
      <w:r w:rsidR="00701930">
        <w:rPr>
          <w:rFonts w:ascii="Arial" w:eastAsia="Calibri" w:hAnsi="Arial" w:cs="Arial"/>
          <w:sz w:val="20"/>
          <w:szCs w:val="20"/>
          <w:lang w:val="es-ES_tradnl"/>
        </w:rPr>
        <w:t xml:space="preserve"> T</w:t>
      </w:r>
      <w:r w:rsidR="00701930" w:rsidRPr="00701930">
        <w:rPr>
          <w:rFonts w:ascii="Arial" w:eastAsia="Calibri" w:hAnsi="Arial" w:cs="Arial"/>
          <w:sz w:val="20"/>
          <w:szCs w:val="20"/>
          <w:lang w:val="es-ES_tradnl"/>
        </w:rPr>
        <w:t>iene una longitud estimada en 6.132 m y se prevé la construcción de tres</w:t>
      </w:r>
      <w:r w:rsidR="00701930">
        <w:rPr>
          <w:rFonts w:ascii="Arial" w:eastAsia="Calibri" w:hAnsi="Arial" w:cs="Arial"/>
          <w:sz w:val="20"/>
          <w:szCs w:val="20"/>
          <w:lang w:val="es-ES_tradnl"/>
        </w:rPr>
        <w:t xml:space="preserve"> </w:t>
      </w:r>
      <w:r w:rsidR="00701930" w:rsidRPr="00701930">
        <w:rPr>
          <w:rFonts w:ascii="Arial" w:eastAsia="Calibri" w:hAnsi="Arial" w:cs="Arial"/>
          <w:sz w:val="20"/>
          <w:szCs w:val="20"/>
          <w:lang w:val="es-ES_tradnl"/>
        </w:rPr>
        <w:t>rotondas en las intersecciones con la Ruta 6 al sur, Ruta 12</w:t>
      </w:r>
      <w:r w:rsidR="00B60D91">
        <w:rPr>
          <w:rFonts w:ascii="Arial" w:eastAsia="Calibri" w:hAnsi="Arial" w:cs="Arial"/>
          <w:sz w:val="20"/>
          <w:szCs w:val="20"/>
          <w:lang w:val="es-ES_tradnl"/>
        </w:rPr>
        <w:t xml:space="preserve"> (este)</w:t>
      </w:r>
      <w:r w:rsidR="00701930" w:rsidRPr="00701930">
        <w:rPr>
          <w:rFonts w:ascii="Arial" w:eastAsia="Calibri" w:hAnsi="Arial" w:cs="Arial"/>
          <w:sz w:val="20"/>
          <w:szCs w:val="20"/>
          <w:lang w:val="es-ES_tradnl"/>
        </w:rPr>
        <w:t xml:space="preserve"> y Ruta 6 al norte.</w:t>
      </w:r>
      <w:r w:rsidR="00701930">
        <w:rPr>
          <w:rFonts w:ascii="Arial" w:eastAsia="Calibri" w:hAnsi="Arial" w:cs="Arial"/>
          <w:sz w:val="20"/>
          <w:szCs w:val="20"/>
          <w:lang w:val="es-ES_tradnl"/>
        </w:rPr>
        <w:t xml:space="preserve"> </w:t>
      </w:r>
    </w:p>
    <w:p w14:paraId="3D20AEEB" w14:textId="77777777" w:rsidR="00701930" w:rsidRDefault="00701930" w:rsidP="00701930">
      <w:pPr>
        <w:jc w:val="both"/>
        <w:rPr>
          <w:rFonts w:ascii="Arial" w:eastAsia="Calibri" w:hAnsi="Arial" w:cs="Arial"/>
          <w:sz w:val="20"/>
          <w:szCs w:val="20"/>
          <w:lang w:val="es-ES_tradnl"/>
        </w:rPr>
      </w:pPr>
      <w:r w:rsidRPr="00701930">
        <w:rPr>
          <w:rFonts w:ascii="Arial" w:eastAsia="Calibri" w:hAnsi="Arial" w:cs="Arial"/>
          <w:sz w:val="20"/>
          <w:szCs w:val="20"/>
          <w:lang w:val="es-ES_tradnl"/>
        </w:rPr>
        <w:t>La traza discurre por zonas consideradas rurales en el Inventario Nacional de Ordenamiento</w:t>
      </w:r>
      <w:r>
        <w:rPr>
          <w:rFonts w:ascii="Arial" w:eastAsia="Calibri" w:hAnsi="Arial" w:cs="Arial"/>
          <w:sz w:val="20"/>
          <w:szCs w:val="20"/>
          <w:lang w:val="es-ES_tradnl"/>
        </w:rPr>
        <w:t xml:space="preserve"> </w:t>
      </w:r>
      <w:r w:rsidRPr="00701930">
        <w:rPr>
          <w:rFonts w:ascii="Arial" w:eastAsia="Calibri" w:hAnsi="Arial" w:cs="Arial"/>
          <w:sz w:val="20"/>
          <w:szCs w:val="20"/>
          <w:lang w:val="es-ES_tradnl"/>
        </w:rPr>
        <w:t>Territorial.</w:t>
      </w:r>
    </w:p>
    <w:p w14:paraId="29E35479" w14:textId="77777777" w:rsidR="00701930" w:rsidRPr="00701930" w:rsidRDefault="00701930" w:rsidP="00701930">
      <w:pPr>
        <w:jc w:val="both"/>
        <w:rPr>
          <w:rFonts w:ascii="Arial" w:eastAsia="Calibri" w:hAnsi="Arial" w:cs="Arial"/>
          <w:sz w:val="20"/>
          <w:szCs w:val="20"/>
          <w:lang w:val="es-ES_tradnl"/>
        </w:rPr>
      </w:pPr>
      <w:r w:rsidRPr="00BA1187">
        <w:rPr>
          <w:rFonts w:ascii="Arial" w:eastAsia="Calibri" w:hAnsi="Arial" w:cs="Arial"/>
          <w:noProof/>
          <w:sz w:val="20"/>
          <w:szCs w:val="20"/>
          <w:lang w:val="es-UY" w:eastAsia="es-UY"/>
        </w:rPr>
        <w:lastRenderedPageBreak/>
        <w:drawing>
          <wp:inline distT="0" distB="0" distL="0" distR="0" wp14:anchorId="3885438C" wp14:editId="6B7D142B">
            <wp:extent cx="5400040" cy="573799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00040" cy="5737992"/>
                    </a:xfrm>
                    <a:prstGeom prst="rect">
                      <a:avLst/>
                    </a:prstGeom>
                    <a:noFill/>
                    <a:ln>
                      <a:noFill/>
                    </a:ln>
                  </pic:spPr>
                </pic:pic>
              </a:graphicData>
            </a:graphic>
          </wp:inline>
        </w:drawing>
      </w:r>
    </w:p>
    <w:p w14:paraId="4D3A4CDC" w14:textId="0D09152D" w:rsidR="00F9377F" w:rsidRDefault="00F9377F" w:rsidP="004C3C3B">
      <w:pPr>
        <w:pStyle w:val="T2"/>
        <w:numPr>
          <w:ilvl w:val="1"/>
          <w:numId w:val="90"/>
        </w:numPr>
        <w:outlineLvl w:val="3"/>
      </w:pPr>
      <w:bookmarkStart w:id="715" w:name="_Toc400636151"/>
      <w:bookmarkStart w:id="716" w:name="_Toc468288055"/>
      <w:bookmarkStart w:id="717" w:name="Lit_52_5_ObrasCompl"/>
      <w:r>
        <w:lastRenderedPageBreak/>
        <w:t xml:space="preserve"> </w:t>
      </w:r>
      <w:bookmarkStart w:id="718" w:name="_Toc496266648"/>
      <w:r>
        <w:t>PLAZO DE EJECUCIÓN DE LAS OBRAS DE PUESTA A PUNTO – OBRAS MÍNIMAS OBLIGATORIAS</w:t>
      </w:r>
      <w:bookmarkEnd w:id="718"/>
    </w:p>
    <w:p w14:paraId="050847F9" w14:textId="52051DB4" w:rsidR="00F9377F" w:rsidRDefault="00F9377F" w:rsidP="00437A94">
      <w:r w:rsidRPr="00D92A4D">
        <w:rPr>
          <w:noProof/>
          <w:lang w:val="es-UY" w:eastAsia="es-UY"/>
        </w:rPr>
        <w:drawing>
          <wp:inline distT="0" distB="0" distL="0" distR="0" wp14:anchorId="29515B1C" wp14:editId="3120F70C">
            <wp:extent cx="5400040" cy="37585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040" cy="3758500"/>
                    </a:xfrm>
                    <a:prstGeom prst="rect">
                      <a:avLst/>
                    </a:prstGeom>
                    <a:noFill/>
                    <a:ln>
                      <a:noFill/>
                    </a:ln>
                  </pic:spPr>
                </pic:pic>
              </a:graphicData>
            </a:graphic>
          </wp:inline>
        </w:drawing>
      </w:r>
    </w:p>
    <w:p w14:paraId="2E52E989" w14:textId="77777777" w:rsidR="005A11FF" w:rsidRPr="005A11FF" w:rsidRDefault="00D636B2" w:rsidP="004C3C3B">
      <w:pPr>
        <w:pStyle w:val="T2"/>
        <w:numPr>
          <w:ilvl w:val="1"/>
          <w:numId w:val="90"/>
        </w:numPr>
        <w:outlineLvl w:val="3"/>
      </w:pPr>
      <w:bookmarkStart w:id="719" w:name="_Toc496266649"/>
      <w:r w:rsidRPr="005A11FF">
        <w:t>OBRAS COMPLEMENTARIAS</w:t>
      </w:r>
      <w:bookmarkEnd w:id="715"/>
      <w:bookmarkEnd w:id="716"/>
      <w:bookmarkEnd w:id="719"/>
    </w:p>
    <w:bookmarkEnd w:id="717"/>
    <w:p w14:paraId="3DD60808" w14:textId="387BAC4F" w:rsidR="00A34CDD" w:rsidRPr="00D045B4" w:rsidRDefault="00A34CDD" w:rsidP="00A34CDD">
      <w:pPr>
        <w:pStyle w:val="Prrafodelista"/>
        <w:spacing w:after="0"/>
        <w:ind w:left="0"/>
        <w:jc w:val="both"/>
        <w:rPr>
          <w:rFonts w:ascii="Arial" w:hAnsi="Arial" w:cs="Arial"/>
          <w:bCs/>
          <w:sz w:val="20"/>
          <w:szCs w:val="20"/>
          <w:u w:val="single"/>
        </w:rPr>
      </w:pPr>
      <w:r w:rsidRPr="00D045B4">
        <w:rPr>
          <w:rFonts w:ascii="Arial" w:hAnsi="Arial" w:cs="Arial"/>
          <w:bCs/>
          <w:sz w:val="20"/>
          <w:szCs w:val="20"/>
          <w:u w:val="single"/>
        </w:rPr>
        <w:t>Obra Complementaria 1</w:t>
      </w:r>
    </w:p>
    <w:p w14:paraId="56FEFDE3" w14:textId="77777777" w:rsidR="00A34CDD" w:rsidRPr="00D045B4" w:rsidRDefault="00A34CDD" w:rsidP="00A34CDD">
      <w:pPr>
        <w:pStyle w:val="Prrafodelista"/>
        <w:spacing w:after="0"/>
        <w:ind w:left="0"/>
        <w:jc w:val="both"/>
        <w:rPr>
          <w:rFonts w:ascii="Arial" w:hAnsi="Arial" w:cs="Arial"/>
          <w:sz w:val="20"/>
          <w:szCs w:val="20"/>
        </w:rPr>
      </w:pPr>
    </w:p>
    <w:p w14:paraId="0F5EC549" w14:textId="77777777" w:rsidR="00A34CDD" w:rsidRPr="00D045B4" w:rsidRDefault="00A34CDD" w:rsidP="00A34CDD">
      <w:pPr>
        <w:pStyle w:val="Prrafodelista"/>
        <w:spacing w:after="0"/>
        <w:ind w:left="0"/>
        <w:jc w:val="both"/>
        <w:rPr>
          <w:rFonts w:ascii="Arial" w:hAnsi="Arial" w:cs="Arial"/>
          <w:sz w:val="20"/>
          <w:szCs w:val="20"/>
        </w:rPr>
      </w:pPr>
      <w:r w:rsidRPr="00D045B4">
        <w:rPr>
          <w:rFonts w:ascii="Arial" w:hAnsi="Arial" w:cs="Arial"/>
          <w:sz w:val="20"/>
          <w:szCs w:val="20"/>
        </w:rPr>
        <w:lastRenderedPageBreak/>
        <w:t xml:space="preserve">El oferente deberá indicar si propone ejecutar la totalidad del siguiente paquete de obras que se considera completo e indivisible como una única obra complementaria. </w:t>
      </w:r>
    </w:p>
    <w:p w14:paraId="41C33080" w14:textId="77777777" w:rsidR="00A34CDD" w:rsidRPr="00D045B4" w:rsidRDefault="00A34CDD" w:rsidP="00A34CDD">
      <w:pPr>
        <w:pStyle w:val="Prrafodelista"/>
        <w:spacing w:after="0"/>
        <w:ind w:left="0"/>
        <w:jc w:val="both"/>
        <w:rPr>
          <w:rFonts w:ascii="Arial" w:hAnsi="Arial" w:cs="Arial"/>
          <w:sz w:val="20"/>
          <w:szCs w:val="20"/>
        </w:rPr>
      </w:pPr>
    </w:p>
    <w:p w14:paraId="78287411" w14:textId="77777777" w:rsidR="00A34CDD" w:rsidRPr="00D045B4" w:rsidRDefault="00A34CDD" w:rsidP="009A58E0">
      <w:pPr>
        <w:pStyle w:val="Prrafodelista"/>
        <w:numPr>
          <w:ilvl w:val="0"/>
          <w:numId w:val="126"/>
        </w:numPr>
        <w:spacing w:after="0"/>
        <w:jc w:val="both"/>
        <w:rPr>
          <w:rFonts w:ascii="Arial" w:hAnsi="Arial" w:cs="Arial"/>
          <w:sz w:val="20"/>
          <w:szCs w:val="20"/>
        </w:rPr>
      </w:pPr>
      <w:r w:rsidRPr="00D045B4">
        <w:rPr>
          <w:rFonts w:ascii="Arial" w:hAnsi="Arial" w:cs="Arial"/>
          <w:sz w:val="20"/>
          <w:szCs w:val="20"/>
        </w:rPr>
        <w:t>5  kilómetros de iluminación</w:t>
      </w:r>
    </w:p>
    <w:p w14:paraId="42F99AA6" w14:textId="77777777" w:rsidR="00A34CDD" w:rsidRPr="00D045B4" w:rsidRDefault="00A34CDD" w:rsidP="009A58E0">
      <w:pPr>
        <w:pStyle w:val="Prrafodelista"/>
        <w:numPr>
          <w:ilvl w:val="0"/>
          <w:numId w:val="126"/>
        </w:numPr>
        <w:spacing w:after="0"/>
        <w:jc w:val="both"/>
        <w:rPr>
          <w:rFonts w:ascii="Arial" w:hAnsi="Arial" w:cs="Arial"/>
          <w:sz w:val="20"/>
          <w:szCs w:val="20"/>
        </w:rPr>
      </w:pPr>
      <w:r w:rsidRPr="00D045B4">
        <w:rPr>
          <w:rFonts w:ascii="Arial" w:hAnsi="Arial" w:cs="Arial"/>
          <w:sz w:val="20"/>
          <w:szCs w:val="20"/>
        </w:rPr>
        <w:t>15  refugios peatonales en paradas de ómnibus</w:t>
      </w:r>
    </w:p>
    <w:p w14:paraId="7CAEB07C" w14:textId="77777777" w:rsidR="00A34CDD" w:rsidRPr="00D045B4" w:rsidRDefault="00A34CDD" w:rsidP="009A58E0">
      <w:pPr>
        <w:pStyle w:val="Prrafodelista"/>
        <w:numPr>
          <w:ilvl w:val="0"/>
          <w:numId w:val="126"/>
        </w:numPr>
        <w:spacing w:after="0"/>
        <w:jc w:val="both"/>
        <w:rPr>
          <w:rFonts w:ascii="Arial" w:hAnsi="Arial" w:cs="Arial"/>
          <w:sz w:val="20"/>
          <w:szCs w:val="20"/>
        </w:rPr>
      </w:pPr>
      <w:r w:rsidRPr="00D045B4">
        <w:rPr>
          <w:rFonts w:ascii="Arial" w:hAnsi="Arial" w:cs="Arial"/>
          <w:sz w:val="20"/>
          <w:szCs w:val="20"/>
        </w:rPr>
        <w:t>10  kilómetros de ciclovías</w:t>
      </w:r>
    </w:p>
    <w:p w14:paraId="54B5919D" w14:textId="77777777" w:rsidR="00A34CDD" w:rsidRPr="00D045B4" w:rsidRDefault="00A34CDD" w:rsidP="009A58E0">
      <w:pPr>
        <w:pStyle w:val="Prrafodelista"/>
        <w:numPr>
          <w:ilvl w:val="0"/>
          <w:numId w:val="126"/>
        </w:numPr>
        <w:spacing w:after="0"/>
        <w:jc w:val="both"/>
        <w:rPr>
          <w:rFonts w:ascii="Arial" w:hAnsi="Arial" w:cs="Arial"/>
          <w:sz w:val="20"/>
          <w:szCs w:val="20"/>
          <w:lang w:val="es-UY"/>
        </w:rPr>
      </w:pPr>
      <w:r w:rsidRPr="00D045B4">
        <w:rPr>
          <w:rFonts w:ascii="Arial" w:hAnsi="Arial" w:cs="Arial"/>
          <w:sz w:val="20"/>
          <w:szCs w:val="20"/>
        </w:rPr>
        <w:t>10  kilómétros de calzadas laterales</w:t>
      </w:r>
    </w:p>
    <w:p w14:paraId="54A00495" w14:textId="77777777" w:rsidR="00A34CDD" w:rsidRPr="00D045B4" w:rsidRDefault="00A34CDD" w:rsidP="00A34CDD">
      <w:pPr>
        <w:pStyle w:val="Prrafodelista"/>
        <w:spacing w:after="0"/>
        <w:jc w:val="both"/>
        <w:rPr>
          <w:rFonts w:ascii="Arial" w:hAnsi="Arial" w:cs="Arial"/>
          <w:sz w:val="20"/>
          <w:szCs w:val="20"/>
          <w:u w:val="single"/>
          <w:lang w:val="es-UY"/>
        </w:rPr>
      </w:pPr>
    </w:p>
    <w:p w14:paraId="19DCAC16" w14:textId="77777777" w:rsidR="00A34CDD" w:rsidRPr="00D045B4" w:rsidRDefault="00A34CDD" w:rsidP="00A34CDD">
      <w:pPr>
        <w:pStyle w:val="Prrafodelista"/>
        <w:spacing w:after="0"/>
        <w:ind w:left="0"/>
        <w:jc w:val="both"/>
        <w:rPr>
          <w:rFonts w:ascii="Arial" w:hAnsi="Arial" w:cs="Arial"/>
          <w:sz w:val="20"/>
          <w:szCs w:val="20"/>
          <w:u w:val="single"/>
          <w:lang w:val="es-UY"/>
        </w:rPr>
      </w:pPr>
      <w:r w:rsidRPr="00D045B4">
        <w:rPr>
          <w:rFonts w:ascii="Arial" w:hAnsi="Arial" w:cs="Arial"/>
          <w:sz w:val="20"/>
          <w:szCs w:val="20"/>
          <w:u w:val="single"/>
          <w:lang w:val="es-UY"/>
        </w:rPr>
        <w:t>Plazo máximo de finalización a contar desde la comunicación del Supervisor de Obra (meses)</w:t>
      </w:r>
    </w:p>
    <w:p w14:paraId="41C2874F" w14:textId="77777777" w:rsidR="00A34CDD" w:rsidRPr="00D045B4" w:rsidRDefault="00A34CDD" w:rsidP="00A34CDD">
      <w:pPr>
        <w:pStyle w:val="Prrafodelista"/>
        <w:spacing w:after="0"/>
        <w:ind w:left="0"/>
        <w:jc w:val="both"/>
        <w:rPr>
          <w:rFonts w:ascii="Arial" w:hAnsi="Arial" w:cs="Arial"/>
          <w:sz w:val="20"/>
          <w:szCs w:val="20"/>
          <w:u w:val="single"/>
          <w:lang w:val="es-UY"/>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3653"/>
      </w:tblGrid>
      <w:tr w:rsidR="00A34CDD" w:rsidRPr="00D045B4" w14:paraId="7C70E4FA" w14:textId="77777777" w:rsidTr="00A34CDD">
        <w:tc>
          <w:tcPr>
            <w:tcW w:w="4928" w:type="dxa"/>
          </w:tcPr>
          <w:p w14:paraId="5ECDA7D5" w14:textId="77777777" w:rsidR="00A34CDD" w:rsidRPr="00D045B4" w:rsidRDefault="00A34CDD" w:rsidP="00795525">
            <w:pPr>
              <w:pStyle w:val="Prrafodelista"/>
              <w:spacing w:after="0"/>
              <w:ind w:left="0"/>
              <w:jc w:val="center"/>
              <w:rPr>
                <w:rFonts w:ascii="Arial" w:hAnsi="Arial" w:cs="Arial"/>
                <w:b/>
                <w:lang w:val="es-UY"/>
              </w:rPr>
            </w:pPr>
            <w:r w:rsidRPr="00D045B4">
              <w:rPr>
                <w:rFonts w:ascii="Arial" w:hAnsi="Arial" w:cs="Arial"/>
                <w:b/>
                <w:lang w:val="es-UY"/>
              </w:rPr>
              <w:t>Obra</w:t>
            </w:r>
          </w:p>
        </w:tc>
        <w:tc>
          <w:tcPr>
            <w:tcW w:w="3716" w:type="dxa"/>
          </w:tcPr>
          <w:p w14:paraId="12AC70D2" w14:textId="77777777" w:rsidR="00A34CDD" w:rsidRPr="00D045B4" w:rsidRDefault="00A34CDD" w:rsidP="00795525">
            <w:pPr>
              <w:pStyle w:val="Prrafodelista"/>
              <w:spacing w:after="0"/>
              <w:ind w:left="34"/>
              <w:jc w:val="center"/>
              <w:rPr>
                <w:rFonts w:ascii="Arial" w:hAnsi="Arial" w:cs="Arial"/>
                <w:b/>
                <w:lang w:val="es-UY"/>
              </w:rPr>
            </w:pPr>
            <w:r w:rsidRPr="00D045B4">
              <w:rPr>
                <w:rFonts w:ascii="Arial" w:hAnsi="Arial" w:cs="Arial"/>
                <w:b/>
                <w:lang w:val="es-UY"/>
              </w:rPr>
              <w:t>Meses</w:t>
            </w:r>
          </w:p>
        </w:tc>
      </w:tr>
      <w:tr w:rsidR="00A34CDD" w:rsidRPr="00D045B4" w14:paraId="584C0F3D" w14:textId="77777777" w:rsidTr="00A34CDD">
        <w:tc>
          <w:tcPr>
            <w:tcW w:w="4928" w:type="dxa"/>
          </w:tcPr>
          <w:p w14:paraId="120D4FF9" w14:textId="77777777" w:rsidR="00A34CDD" w:rsidRPr="00D045B4" w:rsidRDefault="00A34CDD" w:rsidP="00A34CDD">
            <w:pPr>
              <w:pStyle w:val="Prrafodelista"/>
              <w:spacing w:after="0"/>
              <w:ind w:left="0"/>
              <w:jc w:val="center"/>
              <w:rPr>
                <w:rFonts w:ascii="Arial" w:hAnsi="Arial" w:cs="Arial"/>
                <w:lang w:val="es-UY"/>
              </w:rPr>
            </w:pPr>
            <w:r w:rsidRPr="00D045B4">
              <w:rPr>
                <w:rFonts w:ascii="Arial" w:hAnsi="Arial" w:cs="Arial"/>
                <w:lang w:val="es-UY"/>
              </w:rPr>
              <w:t>5 kilómetros de iluminación</w:t>
            </w:r>
          </w:p>
        </w:tc>
        <w:tc>
          <w:tcPr>
            <w:tcW w:w="3716" w:type="dxa"/>
          </w:tcPr>
          <w:p w14:paraId="23C1AE65" w14:textId="77777777" w:rsidR="00A34CDD" w:rsidRPr="00D045B4" w:rsidRDefault="00A34CDD" w:rsidP="00795525">
            <w:pPr>
              <w:pStyle w:val="Prrafodelista"/>
              <w:spacing w:after="0"/>
              <w:ind w:left="34"/>
              <w:jc w:val="center"/>
              <w:rPr>
                <w:rFonts w:ascii="Arial" w:hAnsi="Arial" w:cs="Arial"/>
                <w:lang w:val="es-UY"/>
              </w:rPr>
            </w:pPr>
            <w:r w:rsidRPr="00D045B4">
              <w:rPr>
                <w:rFonts w:ascii="Arial" w:hAnsi="Arial" w:cs="Arial"/>
                <w:lang w:val="es-UY"/>
              </w:rPr>
              <w:t>3 meses por kilómetro</w:t>
            </w:r>
          </w:p>
        </w:tc>
      </w:tr>
      <w:tr w:rsidR="00A34CDD" w:rsidRPr="00D045B4" w14:paraId="0BD4E8E8" w14:textId="77777777" w:rsidTr="00A34CDD">
        <w:tc>
          <w:tcPr>
            <w:tcW w:w="4928" w:type="dxa"/>
          </w:tcPr>
          <w:p w14:paraId="78F179FD" w14:textId="77777777" w:rsidR="00A34CDD" w:rsidRPr="00D045B4" w:rsidRDefault="00A34CDD" w:rsidP="00A34CDD">
            <w:pPr>
              <w:pStyle w:val="Prrafodelista"/>
              <w:spacing w:after="0"/>
              <w:ind w:left="0"/>
              <w:jc w:val="center"/>
              <w:rPr>
                <w:rFonts w:ascii="Arial" w:hAnsi="Arial" w:cs="Arial"/>
                <w:lang w:val="es-UY"/>
              </w:rPr>
            </w:pPr>
            <w:r w:rsidRPr="00D045B4">
              <w:rPr>
                <w:rFonts w:ascii="Arial" w:hAnsi="Arial" w:cs="Arial"/>
                <w:lang w:val="es-UY"/>
              </w:rPr>
              <w:t>15 refugios peatonales en parada de ómnibus</w:t>
            </w:r>
          </w:p>
        </w:tc>
        <w:tc>
          <w:tcPr>
            <w:tcW w:w="3716" w:type="dxa"/>
          </w:tcPr>
          <w:p w14:paraId="62E1CF27" w14:textId="77777777" w:rsidR="00A34CDD" w:rsidRPr="00D045B4" w:rsidRDefault="00A34CDD" w:rsidP="00795525">
            <w:pPr>
              <w:pStyle w:val="Prrafodelista"/>
              <w:spacing w:after="0"/>
              <w:ind w:left="34"/>
              <w:jc w:val="center"/>
              <w:rPr>
                <w:rFonts w:ascii="Arial" w:hAnsi="Arial" w:cs="Arial"/>
                <w:lang w:val="es-UY"/>
              </w:rPr>
            </w:pPr>
            <w:r w:rsidRPr="00D045B4">
              <w:rPr>
                <w:rFonts w:ascii="Arial" w:hAnsi="Arial" w:cs="Arial"/>
                <w:lang w:val="es-UY"/>
              </w:rPr>
              <w:t>1 mes por cada refugio</w:t>
            </w:r>
          </w:p>
        </w:tc>
      </w:tr>
      <w:tr w:rsidR="00A34CDD" w:rsidRPr="00D045B4" w14:paraId="68658F2F" w14:textId="77777777" w:rsidTr="00A34CDD">
        <w:tc>
          <w:tcPr>
            <w:tcW w:w="4928" w:type="dxa"/>
          </w:tcPr>
          <w:p w14:paraId="01F7C8AD" w14:textId="77777777" w:rsidR="00A34CDD" w:rsidRPr="00D045B4" w:rsidRDefault="00A34CDD" w:rsidP="00A34CDD">
            <w:pPr>
              <w:pStyle w:val="Prrafodelista"/>
              <w:spacing w:after="0"/>
              <w:ind w:left="0"/>
              <w:jc w:val="center"/>
              <w:rPr>
                <w:rFonts w:ascii="Arial" w:hAnsi="Arial" w:cs="Arial"/>
                <w:lang w:val="es-UY"/>
              </w:rPr>
            </w:pPr>
            <w:r w:rsidRPr="00D045B4">
              <w:rPr>
                <w:rFonts w:ascii="Arial" w:hAnsi="Arial" w:cs="Arial"/>
                <w:lang w:val="es-UY"/>
              </w:rPr>
              <w:t>10 kilómetros de calzadas laterales</w:t>
            </w:r>
          </w:p>
        </w:tc>
        <w:tc>
          <w:tcPr>
            <w:tcW w:w="3716" w:type="dxa"/>
          </w:tcPr>
          <w:p w14:paraId="19DA57C3" w14:textId="77777777" w:rsidR="00A34CDD" w:rsidRPr="00D045B4" w:rsidRDefault="00A34CDD" w:rsidP="00795525">
            <w:pPr>
              <w:pStyle w:val="Prrafodelista"/>
              <w:spacing w:after="0"/>
              <w:ind w:left="34"/>
              <w:jc w:val="center"/>
              <w:rPr>
                <w:rFonts w:ascii="Arial" w:hAnsi="Arial" w:cs="Arial"/>
                <w:lang w:val="es-UY"/>
              </w:rPr>
            </w:pPr>
            <w:r w:rsidRPr="00D045B4">
              <w:rPr>
                <w:rFonts w:ascii="Arial" w:hAnsi="Arial" w:cs="Arial"/>
                <w:lang w:val="es-UY"/>
              </w:rPr>
              <w:t>1 mes por kilómetro</w:t>
            </w:r>
          </w:p>
        </w:tc>
      </w:tr>
      <w:tr w:rsidR="00A34CDD" w:rsidRPr="00A34CDD" w14:paraId="1E6109E9" w14:textId="77777777" w:rsidTr="00A34CDD">
        <w:tc>
          <w:tcPr>
            <w:tcW w:w="4928" w:type="dxa"/>
          </w:tcPr>
          <w:p w14:paraId="1B32E986" w14:textId="77777777" w:rsidR="00A34CDD" w:rsidRPr="00D045B4" w:rsidRDefault="00A34CDD" w:rsidP="00A34CDD">
            <w:pPr>
              <w:pStyle w:val="Prrafodelista"/>
              <w:spacing w:after="0"/>
              <w:ind w:left="0"/>
              <w:jc w:val="center"/>
              <w:rPr>
                <w:rFonts w:ascii="Arial" w:hAnsi="Arial" w:cs="Arial"/>
                <w:lang w:val="es-UY"/>
              </w:rPr>
            </w:pPr>
            <w:r w:rsidRPr="00D045B4">
              <w:rPr>
                <w:rFonts w:ascii="Arial" w:hAnsi="Arial" w:cs="Arial"/>
                <w:lang w:val="es-UY"/>
              </w:rPr>
              <w:t>10 kilómetros de calzadas</w:t>
            </w:r>
          </w:p>
        </w:tc>
        <w:tc>
          <w:tcPr>
            <w:tcW w:w="3716" w:type="dxa"/>
          </w:tcPr>
          <w:p w14:paraId="0B357F4B" w14:textId="77777777" w:rsidR="00A34CDD" w:rsidRPr="00A34CDD" w:rsidRDefault="00A34CDD" w:rsidP="00795525">
            <w:pPr>
              <w:pStyle w:val="Prrafodelista"/>
              <w:spacing w:after="0"/>
              <w:ind w:left="34"/>
              <w:jc w:val="center"/>
              <w:rPr>
                <w:rFonts w:ascii="Arial" w:hAnsi="Arial" w:cs="Arial"/>
                <w:lang w:val="es-UY"/>
              </w:rPr>
            </w:pPr>
            <w:r w:rsidRPr="00D045B4">
              <w:rPr>
                <w:rFonts w:ascii="Arial" w:hAnsi="Arial" w:cs="Arial"/>
                <w:lang w:val="es-UY"/>
              </w:rPr>
              <w:t>1 mes por kilómetro</w:t>
            </w:r>
          </w:p>
        </w:tc>
      </w:tr>
    </w:tbl>
    <w:p w14:paraId="0BC5E2D3" w14:textId="77777777" w:rsidR="00A34CDD" w:rsidRPr="00A34CDD" w:rsidRDefault="00A34CDD" w:rsidP="00A34CDD">
      <w:pPr>
        <w:pStyle w:val="Prrafodelista"/>
        <w:spacing w:after="0"/>
        <w:jc w:val="both"/>
        <w:rPr>
          <w:rFonts w:ascii="Arial" w:hAnsi="Arial" w:cs="Arial"/>
          <w:sz w:val="20"/>
          <w:szCs w:val="20"/>
          <w:lang w:val="es-UY"/>
        </w:rPr>
      </w:pPr>
    </w:p>
    <w:p w14:paraId="419B6E73" w14:textId="77777777" w:rsidR="00A34CDD" w:rsidRDefault="00A34CDD" w:rsidP="00795525">
      <w:pPr>
        <w:pStyle w:val="Prrafodelista"/>
        <w:spacing w:after="0"/>
        <w:ind w:left="0"/>
        <w:jc w:val="both"/>
        <w:rPr>
          <w:rFonts w:ascii="Arial" w:hAnsi="Arial" w:cs="Arial"/>
          <w:sz w:val="20"/>
          <w:szCs w:val="20"/>
          <w:lang w:val="es-UY"/>
        </w:rPr>
      </w:pPr>
      <w:r w:rsidRPr="00A34CDD">
        <w:rPr>
          <w:rFonts w:ascii="Arial" w:hAnsi="Arial" w:cs="Arial"/>
          <w:sz w:val="20"/>
          <w:szCs w:val="20"/>
          <w:lang w:val="es-UY"/>
        </w:rPr>
        <w:t>Si se retrasara la finalización de alguna de estas obras se sumará al tramo que corresponda, dos Faltas no Críticas (CAPITULO XIV) en cada evaluación trimestral mientras que no se termine la obra en cuestión.</w:t>
      </w:r>
    </w:p>
    <w:p w14:paraId="5BCD973D" w14:textId="77777777" w:rsidR="00F9377F" w:rsidRDefault="00F9377F" w:rsidP="00795525">
      <w:pPr>
        <w:pStyle w:val="Prrafodelista"/>
        <w:spacing w:after="0"/>
        <w:ind w:left="0"/>
        <w:jc w:val="both"/>
        <w:rPr>
          <w:rFonts w:ascii="Arial" w:hAnsi="Arial" w:cs="Arial"/>
          <w:sz w:val="20"/>
          <w:szCs w:val="20"/>
          <w:lang w:val="es-UY"/>
        </w:rPr>
      </w:pPr>
    </w:p>
    <w:p w14:paraId="0EB65B06" w14:textId="3C873C24" w:rsidR="00F9377F" w:rsidRDefault="00F9377F" w:rsidP="00F9377F">
      <w:pPr>
        <w:pStyle w:val="Prrafodelista"/>
        <w:spacing w:after="0"/>
        <w:ind w:left="0"/>
        <w:jc w:val="both"/>
        <w:rPr>
          <w:rFonts w:ascii="Arial" w:hAnsi="Arial" w:cs="Arial"/>
          <w:bCs/>
          <w:sz w:val="20"/>
          <w:szCs w:val="20"/>
          <w:u w:val="single"/>
        </w:rPr>
      </w:pPr>
      <w:r w:rsidRPr="00D045B4">
        <w:rPr>
          <w:rFonts w:ascii="Arial" w:hAnsi="Arial" w:cs="Arial"/>
          <w:bCs/>
          <w:sz w:val="20"/>
          <w:szCs w:val="20"/>
          <w:u w:val="single"/>
        </w:rPr>
        <w:t xml:space="preserve">Obra Complementaria </w:t>
      </w:r>
      <w:r>
        <w:rPr>
          <w:rFonts w:ascii="Arial" w:hAnsi="Arial" w:cs="Arial"/>
          <w:bCs/>
          <w:sz w:val="20"/>
          <w:szCs w:val="20"/>
          <w:u w:val="single"/>
        </w:rPr>
        <w:t>2</w:t>
      </w:r>
    </w:p>
    <w:p w14:paraId="04A9E445" w14:textId="77777777" w:rsidR="00F9377F" w:rsidRPr="00D045B4" w:rsidRDefault="00F9377F" w:rsidP="00F9377F">
      <w:pPr>
        <w:pStyle w:val="Prrafodelista"/>
        <w:spacing w:after="0"/>
        <w:ind w:left="0"/>
        <w:jc w:val="both"/>
        <w:rPr>
          <w:rFonts w:ascii="Arial" w:hAnsi="Arial" w:cs="Arial"/>
          <w:bCs/>
          <w:sz w:val="20"/>
          <w:szCs w:val="20"/>
          <w:u w:val="single"/>
        </w:rPr>
      </w:pPr>
    </w:p>
    <w:p w14:paraId="65F8B6BD" w14:textId="77777777" w:rsidR="00F9377F" w:rsidRPr="00D93EF6" w:rsidRDefault="00F9377F" w:rsidP="00F9377F">
      <w:pPr>
        <w:rPr>
          <w:rFonts w:ascii="Arial" w:hAnsi="Arial" w:cs="Arial"/>
          <w:sz w:val="20"/>
          <w:szCs w:val="20"/>
        </w:rPr>
      </w:pPr>
      <w:r w:rsidRPr="00D93EF6">
        <w:rPr>
          <w:rFonts w:ascii="Arial" w:hAnsi="Arial" w:cs="Arial"/>
          <w:sz w:val="20"/>
          <w:szCs w:val="20"/>
        </w:rPr>
        <w:lastRenderedPageBreak/>
        <w:t xml:space="preserve">El oferente deberá indicar si propone el siguiente paquete de obras que se considera completo e indivisible como Obra Complementaria </w:t>
      </w:r>
    </w:p>
    <w:p w14:paraId="510588FA" w14:textId="77777777" w:rsidR="00F9377F" w:rsidRDefault="00F9377F" w:rsidP="00F9377F">
      <w:pPr>
        <w:autoSpaceDE w:val="0"/>
        <w:autoSpaceDN w:val="0"/>
        <w:adjustRightInd w:val="0"/>
        <w:spacing w:line="240" w:lineRule="auto"/>
        <w:rPr>
          <w:rFonts w:ascii="Arial" w:hAnsi="Arial" w:cs="Arial"/>
          <w:sz w:val="20"/>
          <w:szCs w:val="20"/>
          <w:lang w:val="es-UY"/>
        </w:rPr>
      </w:pPr>
      <w:r>
        <w:rPr>
          <w:rFonts w:ascii="Arial" w:hAnsi="Arial" w:cs="Arial"/>
          <w:sz w:val="20"/>
          <w:szCs w:val="20"/>
          <w:lang w:val="es-UY"/>
        </w:rPr>
        <w:t>Ensanche y refuerzo de los puentes Río Santa Lucía y Río Santa Lucía (Paso Viejo).</w:t>
      </w:r>
    </w:p>
    <w:p w14:paraId="216B81C8" w14:textId="77777777" w:rsidR="00F9377F" w:rsidRDefault="00F9377F" w:rsidP="00F9377F">
      <w:pPr>
        <w:autoSpaceDE w:val="0"/>
        <w:autoSpaceDN w:val="0"/>
        <w:adjustRightInd w:val="0"/>
        <w:spacing w:line="240" w:lineRule="auto"/>
        <w:rPr>
          <w:rFonts w:ascii="Arial" w:hAnsi="Arial" w:cs="Arial"/>
          <w:sz w:val="20"/>
          <w:szCs w:val="20"/>
          <w:lang w:val="es-UY"/>
        </w:rPr>
      </w:pPr>
      <w:r>
        <w:rPr>
          <w:rFonts w:ascii="Arial" w:hAnsi="Arial" w:cs="Arial"/>
          <w:sz w:val="20"/>
          <w:szCs w:val="20"/>
          <w:lang w:val="es-UY"/>
        </w:rPr>
        <w:t>En caso de ofrecer esta obra Complementaria estos trabajos sustituyen a los de “Reparaciones” que se establecen en la tabla C.XI – Puentes.</w:t>
      </w:r>
    </w:p>
    <w:p w14:paraId="4D0C9287" w14:textId="77777777" w:rsidR="00F9377F" w:rsidRDefault="00F9377F" w:rsidP="00F9377F">
      <w:pPr>
        <w:spacing w:after="120"/>
        <w:rPr>
          <w:rFonts w:ascii="Arial" w:hAnsi="Arial" w:cs="Arial"/>
          <w:sz w:val="20"/>
          <w:szCs w:val="20"/>
          <w:lang w:val="es-UY"/>
        </w:rPr>
      </w:pPr>
      <w:r w:rsidRPr="00CB7E2E">
        <w:rPr>
          <w:rFonts w:ascii="Arial" w:hAnsi="Arial" w:cs="Arial"/>
          <w:sz w:val="20"/>
          <w:szCs w:val="20"/>
          <w:lang w:val="es-UY"/>
        </w:rPr>
        <w:t xml:space="preserve">Si se retrasara la finalización de alguna de </w:t>
      </w:r>
      <w:r>
        <w:rPr>
          <w:rFonts w:ascii="Arial" w:hAnsi="Arial" w:cs="Arial"/>
          <w:sz w:val="20"/>
          <w:szCs w:val="20"/>
          <w:lang w:val="es-UY"/>
        </w:rPr>
        <w:t xml:space="preserve">las Obras Complementarias </w:t>
      </w:r>
      <w:r w:rsidRPr="00CB7E2E">
        <w:rPr>
          <w:rFonts w:ascii="Arial" w:hAnsi="Arial" w:cs="Arial"/>
          <w:sz w:val="20"/>
          <w:szCs w:val="20"/>
          <w:lang w:val="es-UY"/>
        </w:rPr>
        <w:t>se sumará al tramo que corresponda, dos Faltas no Críticas (</w:t>
      </w:r>
      <w:hyperlink w:anchor="CAP_14" w:history="1">
        <w:r w:rsidRPr="00FA774B">
          <w:rPr>
            <w:rStyle w:val="Hipervnculo"/>
            <w:rFonts w:ascii="Arial" w:hAnsi="Arial" w:cs="Arial"/>
            <w:sz w:val="20"/>
            <w:szCs w:val="20"/>
          </w:rPr>
          <w:t>CAPITULO XIV</w:t>
        </w:r>
      </w:hyperlink>
      <w:r w:rsidRPr="00CB7E2E">
        <w:rPr>
          <w:rFonts w:ascii="Arial" w:hAnsi="Arial" w:cs="Arial"/>
          <w:sz w:val="20"/>
          <w:szCs w:val="20"/>
          <w:lang w:val="es-UY"/>
        </w:rPr>
        <w:t>) en cada evaluación trimestral mientras que no se termine la obra en cuestión.</w:t>
      </w:r>
    </w:p>
    <w:p w14:paraId="36D33015" w14:textId="77777777" w:rsidR="00F9377F" w:rsidRPr="00A34CDD" w:rsidRDefault="00F9377F" w:rsidP="00795525">
      <w:pPr>
        <w:pStyle w:val="Prrafodelista"/>
        <w:spacing w:after="0"/>
        <w:ind w:left="0"/>
        <w:jc w:val="both"/>
        <w:rPr>
          <w:rFonts w:ascii="Arial" w:hAnsi="Arial" w:cs="Arial"/>
          <w:sz w:val="20"/>
          <w:szCs w:val="20"/>
          <w:lang w:val="es-UY"/>
        </w:rPr>
      </w:pPr>
    </w:p>
    <w:p w14:paraId="43D6A265" w14:textId="77777777" w:rsidR="005A11FF" w:rsidRPr="005A11FF" w:rsidRDefault="005A11FF" w:rsidP="005A11FF">
      <w:pPr>
        <w:spacing w:after="120"/>
        <w:jc w:val="both"/>
        <w:rPr>
          <w:rFonts w:ascii="Arial" w:hAnsi="Arial" w:cs="Arial"/>
          <w:sz w:val="20"/>
          <w:szCs w:val="20"/>
          <w:lang w:val="es-UY"/>
        </w:rPr>
      </w:pPr>
    </w:p>
    <w:p w14:paraId="1C20D689" w14:textId="77777777" w:rsidR="005A11FF" w:rsidRPr="00D676A1" w:rsidRDefault="005A11FF" w:rsidP="004C3C3B">
      <w:pPr>
        <w:pStyle w:val="T1"/>
        <w:numPr>
          <w:ilvl w:val="0"/>
          <w:numId w:val="90"/>
        </w:numPr>
        <w:outlineLvl w:val="2"/>
      </w:pPr>
      <w:bookmarkStart w:id="720" w:name="Lit_53"/>
      <w:bookmarkStart w:id="721" w:name="_Toc400636152"/>
      <w:bookmarkStart w:id="722" w:name="_Toc468288056"/>
      <w:bookmarkStart w:id="723" w:name="_Toc496266650"/>
      <w:r w:rsidRPr="00D676A1">
        <w:t>I</w:t>
      </w:r>
      <w:r w:rsidR="00B049A0">
        <w:t xml:space="preserve">NCORPORACIÓN DE LOS TRAMOS Y/O SUB TRAMOS QUE SE ENCUENTRAN EN OBRA O EN PERÍODO DE </w:t>
      </w:r>
      <w:bookmarkEnd w:id="720"/>
      <w:bookmarkEnd w:id="721"/>
      <w:r w:rsidR="00B049A0">
        <w:t>CONSERVACIÓN</w:t>
      </w:r>
      <w:bookmarkEnd w:id="722"/>
      <w:bookmarkEnd w:id="723"/>
    </w:p>
    <w:p w14:paraId="32D3081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incorporación de estos tramos y/o sub tramos al contrato se realizará en dos etapas:</w:t>
      </w:r>
    </w:p>
    <w:p w14:paraId="64E9DDF3" w14:textId="77777777" w:rsidR="005A11FF" w:rsidRPr="005A11FF" w:rsidRDefault="005A11FF" w:rsidP="005A11FF">
      <w:pPr>
        <w:spacing w:after="120"/>
        <w:jc w:val="both"/>
        <w:rPr>
          <w:rFonts w:ascii="Arial" w:hAnsi="Arial" w:cs="Arial"/>
          <w:sz w:val="20"/>
          <w:szCs w:val="20"/>
          <w:lang w:val="es-UY"/>
        </w:rPr>
      </w:pPr>
      <w:bookmarkStart w:id="724" w:name="Lit_53_1"/>
      <w:r w:rsidRPr="00DE3A91">
        <w:rPr>
          <w:rFonts w:ascii="Arial" w:hAnsi="Arial" w:cs="Arial"/>
          <w:sz w:val="20"/>
          <w:szCs w:val="20"/>
          <w:lang w:val="es-UY"/>
        </w:rPr>
        <w:lastRenderedPageBreak/>
        <w:t>1º)</w:t>
      </w:r>
      <w:bookmarkEnd w:id="724"/>
      <w:r w:rsidRPr="00DE3A91">
        <w:rPr>
          <w:rFonts w:ascii="Arial" w:hAnsi="Arial" w:cs="Arial"/>
          <w:sz w:val="20"/>
          <w:szCs w:val="20"/>
          <w:lang w:val="es-UY"/>
        </w:rPr>
        <w:t xml:space="preserve"> A partir de la comunicación de la </w:t>
      </w:r>
      <w:r w:rsidR="00DE3A91" w:rsidRPr="00DE3A91">
        <w:rPr>
          <w:rFonts w:ascii="Arial" w:hAnsi="Arial" w:cs="Arial"/>
          <w:sz w:val="20"/>
          <w:szCs w:val="20"/>
          <w:lang w:val="es-UY"/>
        </w:rPr>
        <w:t>R</w:t>
      </w:r>
      <w:r w:rsidRPr="00DE3A91">
        <w:rPr>
          <w:rFonts w:ascii="Arial" w:hAnsi="Arial" w:cs="Arial"/>
          <w:sz w:val="20"/>
          <w:szCs w:val="20"/>
          <w:lang w:val="es-UY"/>
        </w:rPr>
        <w:t xml:space="preserve">ecepción </w:t>
      </w:r>
      <w:r w:rsidR="00DE3A91" w:rsidRPr="00DE3A91">
        <w:rPr>
          <w:rFonts w:ascii="Arial" w:hAnsi="Arial" w:cs="Arial"/>
          <w:sz w:val="20"/>
          <w:szCs w:val="20"/>
          <w:lang w:val="es-UY"/>
        </w:rPr>
        <w:t>P</w:t>
      </w:r>
      <w:r w:rsidRPr="00DE3A91">
        <w:rPr>
          <w:rFonts w:ascii="Arial" w:hAnsi="Arial" w:cs="Arial"/>
          <w:sz w:val="20"/>
          <w:szCs w:val="20"/>
          <w:lang w:val="es-UY"/>
        </w:rPr>
        <w:t>rovisoria el Contratista, titular del contrato a</w:t>
      </w:r>
      <w:r w:rsidRPr="005A11FF">
        <w:rPr>
          <w:rFonts w:ascii="Arial" w:hAnsi="Arial" w:cs="Arial"/>
          <w:sz w:val="20"/>
          <w:szCs w:val="20"/>
          <w:lang w:val="es-UY"/>
        </w:rPr>
        <w:t xml:space="preserve"> que se refiere este pliego, contará con un período de 3 </w:t>
      </w:r>
      <w:r w:rsidR="008D076E">
        <w:rPr>
          <w:rFonts w:ascii="Arial" w:hAnsi="Arial" w:cs="Arial"/>
          <w:sz w:val="20"/>
          <w:szCs w:val="20"/>
          <w:lang w:val="es-UY"/>
        </w:rPr>
        <w:t xml:space="preserve">(tres) </w:t>
      </w:r>
      <w:r w:rsidRPr="005A11FF">
        <w:rPr>
          <w:rFonts w:ascii="Arial" w:hAnsi="Arial" w:cs="Arial"/>
          <w:sz w:val="20"/>
          <w:szCs w:val="20"/>
          <w:lang w:val="es-UY"/>
        </w:rPr>
        <w:t xml:space="preserve">meses en los cuales deberá realizar todas las tareas que juzgue necesarias para cumplir con todos los estándares establecidos en el </w:t>
      </w:r>
      <w:hyperlink w:anchor="A_9" w:history="1">
        <w:r w:rsidRPr="00507A68">
          <w:rPr>
            <w:rStyle w:val="Hipervnculo"/>
            <w:rFonts w:ascii="Arial" w:hAnsi="Arial" w:cs="Arial"/>
            <w:sz w:val="20"/>
            <w:szCs w:val="20"/>
            <w:lang w:val="es-UY"/>
          </w:rPr>
          <w:t>Anexo</w:t>
        </w:r>
        <w:r w:rsidR="00B14DCC" w:rsidRPr="00507A68">
          <w:rPr>
            <w:rStyle w:val="Hipervnculo"/>
            <w:rFonts w:ascii="Arial" w:hAnsi="Arial" w:cs="Arial"/>
            <w:sz w:val="20"/>
            <w:szCs w:val="20"/>
            <w:lang w:val="es-UY"/>
          </w:rPr>
          <w:t xml:space="preserve"> </w:t>
        </w:r>
        <w:r w:rsidRPr="00507A68">
          <w:rPr>
            <w:rStyle w:val="Hipervnculo"/>
            <w:rFonts w:ascii="Arial" w:hAnsi="Arial" w:cs="Arial"/>
            <w:sz w:val="20"/>
            <w:szCs w:val="20"/>
            <w:lang w:val="es-UY"/>
          </w:rPr>
          <w:t>IX</w:t>
        </w:r>
      </w:hyperlink>
      <w:r w:rsidRPr="005A11FF">
        <w:rPr>
          <w:rFonts w:ascii="Arial" w:hAnsi="Arial" w:cs="Arial"/>
          <w:sz w:val="20"/>
          <w:szCs w:val="20"/>
          <w:lang w:val="es-UY"/>
        </w:rPr>
        <w:t xml:space="preserve"> salvo los correspondientes a calzada y banquina.</w:t>
      </w:r>
    </w:p>
    <w:p w14:paraId="7AF4A8B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Hasta la Recepción Definitiva de estos tramos y/o sub tramos el Contratista</w:t>
      </w:r>
      <w:r w:rsidR="00B14DCC">
        <w:rPr>
          <w:rFonts w:ascii="Arial" w:hAnsi="Arial" w:cs="Arial"/>
          <w:sz w:val="20"/>
          <w:szCs w:val="20"/>
          <w:lang w:val="es-UY"/>
        </w:rPr>
        <w:t xml:space="preserve"> </w:t>
      </w:r>
      <w:r w:rsidRPr="005A11FF">
        <w:rPr>
          <w:rFonts w:ascii="Arial" w:hAnsi="Arial" w:cs="Arial"/>
          <w:sz w:val="20"/>
          <w:szCs w:val="20"/>
          <w:lang w:val="es-UY"/>
        </w:rPr>
        <w:t>asegurará el cumplimiento de sus obligaciones mediante el mecanismo de Autocontrol. La Supervisión de Obra realizará inspecciones mediante Evaluaciones No Programadas.</w:t>
      </w:r>
    </w:p>
    <w:p w14:paraId="16F859F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incumplimientos darán lugar a las penalizaciones previstas en los apartados relacionados con las tareas de autocontrol.</w:t>
      </w:r>
    </w:p>
    <w:p w14:paraId="50A0B757" w14:textId="77777777" w:rsidR="005A11FF" w:rsidRPr="005A11FF" w:rsidRDefault="005A11FF" w:rsidP="005A11FF">
      <w:pPr>
        <w:spacing w:after="120"/>
        <w:jc w:val="both"/>
        <w:rPr>
          <w:rFonts w:ascii="Arial" w:hAnsi="Arial" w:cs="Arial"/>
          <w:sz w:val="20"/>
          <w:szCs w:val="20"/>
          <w:lang w:val="es-UY"/>
        </w:rPr>
      </w:pPr>
      <w:r w:rsidRPr="00DE3A91">
        <w:rPr>
          <w:rFonts w:ascii="Arial" w:hAnsi="Arial" w:cs="Arial"/>
          <w:sz w:val="20"/>
          <w:szCs w:val="20"/>
          <w:lang w:val="es-UY"/>
        </w:rPr>
        <w:t>2º) A partir de la comunicación al Contratista de la Recepción Definitiva, el Contratista</w:t>
      </w:r>
      <w:r w:rsidR="00B14DCC" w:rsidRPr="00DE3A91">
        <w:rPr>
          <w:rFonts w:ascii="Arial" w:hAnsi="Arial" w:cs="Arial"/>
          <w:sz w:val="20"/>
          <w:szCs w:val="20"/>
          <w:lang w:val="es-UY"/>
        </w:rPr>
        <w:t xml:space="preserve"> </w:t>
      </w:r>
      <w:r w:rsidRPr="00DE3A91">
        <w:rPr>
          <w:rFonts w:ascii="Arial" w:hAnsi="Arial" w:cs="Arial"/>
          <w:sz w:val="20"/>
          <w:szCs w:val="20"/>
          <w:lang w:val="es-UY"/>
        </w:rPr>
        <w:t>contará</w:t>
      </w:r>
      <w:r w:rsidRPr="005A11FF">
        <w:rPr>
          <w:rFonts w:ascii="Arial" w:hAnsi="Arial" w:cs="Arial"/>
          <w:sz w:val="20"/>
          <w:szCs w:val="20"/>
          <w:lang w:val="es-UY"/>
        </w:rPr>
        <w:t xml:space="preserve"> con un período de 3 </w:t>
      </w:r>
      <w:r w:rsidR="008D076E">
        <w:rPr>
          <w:rFonts w:ascii="Arial" w:hAnsi="Arial" w:cs="Arial"/>
          <w:sz w:val="20"/>
          <w:szCs w:val="20"/>
          <w:lang w:val="es-UY"/>
        </w:rPr>
        <w:t xml:space="preserve">(tres) </w:t>
      </w:r>
      <w:r w:rsidRPr="005A11FF">
        <w:rPr>
          <w:rFonts w:ascii="Arial" w:hAnsi="Arial" w:cs="Arial"/>
          <w:sz w:val="20"/>
          <w:szCs w:val="20"/>
          <w:lang w:val="es-UY"/>
        </w:rPr>
        <w:t xml:space="preserve">meses en los cuales deberá realizar todas las tareas que juzgue necesarias para cumplir con la totalidad de los estándares establecidos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Cumplido el plazo los tramos y/o sub tramos se incorporarán al circuito, por lo cual regirán las mismas condiciones que para el tramo en el cual el sub tramo esté incluido.</w:t>
      </w:r>
    </w:p>
    <w:p w14:paraId="40A6778C" w14:textId="77777777" w:rsidR="005A11FF" w:rsidRPr="005A11FF" w:rsidRDefault="005A11FF" w:rsidP="005A11FF">
      <w:pPr>
        <w:spacing w:after="120"/>
        <w:jc w:val="both"/>
        <w:rPr>
          <w:rFonts w:ascii="Arial" w:hAnsi="Arial" w:cs="Arial"/>
          <w:sz w:val="20"/>
          <w:szCs w:val="20"/>
          <w:lang w:val="es-UY"/>
        </w:rPr>
      </w:pPr>
    </w:p>
    <w:p w14:paraId="4D4501C3" w14:textId="68C033DA" w:rsidR="005A11FF" w:rsidRPr="004C3C3B" w:rsidRDefault="000C615F" w:rsidP="004C3C3B">
      <w:pPr>
        <w:pStyle w:val="T1"/>
        <w:numPr>
          <w:ilvl w:val="0"/>
          <w:numId w:val="90"/>
        </w:numPr>
        <w:outlineLvl w:val="2"/>
      </w:pPr>
      <w:bookmarkStart w:id="725" w:name="_Toc400636153"/>
      <w:bookmarkStart w:id="726" w:name="_Toc468288057"/>
      <w:bookmarkStart w:id="727" w:name="_Toc496266651"/>
      <w:r>
        <w:lastRenderedPageBreak/>
        <w:t>PUESTOS</w:t>
      </w:r>
      <w:r w:rsidRPr="004C3C3B">
        <w:t xml:space="preserve"> </w:t>
      </w:r>
      <w:r w:rsidR="005A11FF" w:rsidRPr="004C3C3B">
        <w:t>DE CONTEO DE TRÁNSITO</w:t>
      </w:r>
      <w:bookmarkEnd w:id="725"/>
      <w:bookmarkEnd w:id="726"/>
      <w:bookmarkEnd w:id="727"/>
    </w:p>
    <w:p w14:paraId="6D55D8CD" w14:textId="30CED575" w:rsidR="00797CB6" w:rsidRPr="00797CB6" w:rsidRDefault="000C615F" w:rsidP="005A11FF">
      <w:pPr>
        <w:spacing w:after="120"/>
        <w:jc w:val="both"/>
        <w:rPr>
          <w:rFonts w:ascii="Arial" w:hAnsi="Arial" w:cs="Arial"/>
          <w:sz w:val="20"/>
          <w:szCs w:val="20"/>
        </w:rPr>
      </w:pPr>
      <w:r w:rsidRPr="000C615F">
        <w:rPr>
          <w:rFonts w:ascii="Arial" w:hAnsi="Arial" w:cs="Arial"/>
          <w:sz w:val="20"/>
          <w:szCs w:val="20"/>
          <w:lang w:val="es-UY"/>
        </w:rPr>
        <w:t xml:space="preserve">La Contratante podrá instalar dentro del circuito Puestos de conteo a efectos de su incorporación al Sistema Estadístico de tránsito. </w:t>
      </w:r>
    </w:p>
    <w:p w14:paraId="58EECC4C" w14:textId="77777777" w:rsidR="005A11FF" w:rsidRPr="00061AA8" w:rsidRDefault="005A11FF" w:rsidP="00061AA8">
      <w:pPr>
        <w:pStyle w:val="T0"/>
      </w:pPr>
      <w:r w:rsidRPr="005A11FF">
        <w:rPr>
          <w:b w:val="0"/>
          <w:bCs w:val="0"/>
        </w:rPr>
        <w:br w:type="page"/>
      </w:r>
      <w:bookmarkStart w:id="728" w:name="CAP_12"/>
      <w:bookmarkStart w:id="729" w:name="_Toc400636154"/>
      <w:bookmarkStart w:id="730" w:name="_Toc468288058"/>
      <w:bookmarkStart w:id="731" w:name="_Toc496266652"/>
      <w:r w:rsidRPr="00061AA8">
        <w:lastRenderedPageBreak/>
        <w:t xml:space="preserve">CAPITULO XII: GESTIÓN Y CONSERVACIÓN DE LA INFRAESTRUCTURA EN LA </w:t>
      </w:r>
      <w:bookmarkEnd w:id="728"/>
      <w:r w:rsidRPr="00061AA8">
        <w:t>MODALIDAD DE PAGO POR DISPONIBILIDAD.</w:t>
      </w:r>
      <w:bookmarkEnd w:id="729"/>
      <w:bookmarkEnd w:id="730"/>
      <w:bookmarkEnd w:id="731"/>
    </w:p>
    <w:p w14:paraId="5C206B21" w14:textId="77777777" w:rsidR="005A11FF" w:rsidRPr="00813CD4" w:rsidRDefault="00CC6530" w:rsidP="004C3C3B">
      <w:pPr>
        <w:pStyle w:val="T1"/>
        <w:numPr>
          <w:ilvl w:val="0"/>
          <w:numId w:val="90"/>
        </w:numPr>
        <w:outlineLvl w:val="2"/>
      </w:pPr>
      <w:bookmarkStart w:id="732" w:name="Lit_54"/>
      <w:bookmarkStart w:id="733" w:name="_Toc400636155"/>
      <w:bookmarkStart w:id="734" w:name="_Toc468288059"/>
      <w:bookmarkStart w:id="735" w:name="_Toc496266653"/>
      <w:r>
        <w:t xml:space="preserve">CARACTERÍSTICAS DEL MANTENIMIENTO EN LA MODALIDAD DE </w:t>
      </w:r>
      <w:bookmarkEnd w:id="732"/>
      <w:r w:rsidR="00125501">
        <w:t>PPD</w:t>
      </w:r>
      <w:r>
        <w:t>.</w:t>
      </w:r>
      <w:bookmarkEnd w:id="733"/>
      <w:bookmarkEnd w:id="734"/>
      <w:bookmarkEnd w:id="735"/>
    </w:p>
    <w:p w14:paraId="62BAC3ED"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En el presente contrato se define la disponibilidad de un tramo en función del grado de cumplimiento de un conjunto de especificaciones que se expresan mediante indicadores técnicos de disponibilidad</w:t>
      </w:r>
      <w:r w:rsidR="00B85713">
        <w:rPr>
          <w:rFonts w:ascii="Arial" w:hAnsi="Arial" w:cs="Arial"/>
          <w:sz w:val="20"/>
          <w:szCs w:val="20"/>
          <w:lang w:val="es-UY"/>
        </w:rPr>
        <w:t>,</w:t>
      </w:r>
      <w:r w:rsidRPr="005A11FF">
        <w:rPr>
          <w:rFonts w:ascii="Arial" w:hAnsi="Arial" w:cs="Arial"/>
          <w:sz w:val="20"/>
          <w:szCs w:val="20"/>
          <w:lang w:val="es-UY"/>
        </w:rPr>
        <w:t xml:space="preserve"> los que a su vez se cuantifican a través de coeficientes técnicos de disponibilidad.</w:t>
      </w:r>
    </w:p>
    <w:p w14:paraId="31FB4D5D"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Estos coeficientes objetivarán numéricamente, a través de mediciones periódicas, el nivel del desempeño de la gestión del Contratista</w:t>
      </w:r>
      <w:r w:rsidR="00B14DCC">
        <w:rPr>
          <w:rFonts w:ascii="Arial" w:hAnsi="Arial" w:cs="Arial"/>
          <w:sz w:val="20"/>
          <w:szCs w:val="20"/>
          <w:lang w:val="es-UY"/>
        </w:rPr>
        <w:t xml:space="preserve"> </w:t>
      </w:r>
      <w:r w:rsidRPr="005A11FF">
        <w:rPr>
          <w:rFonts w:ascii="Arial" w:hAnsi="Arial" w:cs="Arial"/>
          <w:sz w:val="20"/>
          <w:szCs w:val="20"/>
          <w:lang w:val="es-UY"/>
        </w:rPr>
        <w:t>y por lo tanto determinarán el monto de la retribución que percibirá por cada sección concreta de la vía.</w:t>
      </w:r>
    </w:p>
    <w:p w14:paraId="10D3C2B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efectiva disponibilidad de cada tramo, entendida como la satisfacción de dichos indicadores será exigida desde la primera de las dos fechas siguientes:</w:t>
      </w:r>
    </w:p>
    <w:p w14:paraId="26E125AB" w14:textId="116B1E3F" w:rsidR="005A11FF" w:rsidRPr="005A11FF" w:rsidRDefault="005A11FF" w:rsidP="009A58E0">
      <w:pPr>
        <w:numPr>
          <w:ilvl w:val="0"/>
          <w:numId w:val="17"/>
        </w:numPr>
        <w:spacing w:after="0"/>
        <w:jc w:val="both"/>
        <w:rPr>
          <w:rFonts w:ascii="Arial" w:hAnsi="Arial" w:cs="Arial"/>
          <w:sz w:val="20"/>
          <w:szCs w:val="20"/>
          <w:lang w:val="es-UY"/>
        </w:rPr>
      </w:pPr>
      <w:r w:rsidRPr="005A11FF">
        <w:rPr>
          <w:rFonts w:ascii="Arial" w:hAnsi="Arial" w:cs="Arial"/>
          <w:sz w:val="20"/>
          <w:szCs w:val="20"/>
          <w:lang w:val="es-UY"/>
        </w:rPr>
        <w:lastRenderedPageBreak/>
        <w:t>fecha correspondiente al final del plazo establecido en la tabla C.XI-5 para las obras mínimas obligatorias correspondientes a la primera etapa.</w:t>
      </w:r>
    </w:p>
    <w:p w14:paraId="266EE664" w14:textId="77777777" w:rsidR="005A11FF" w:rsidRPr="005A11FF" w:rsidRDefault="005A11FF" w:rsidP="005A11FF">
      <w:pPr>
        <w:spacing w:after="0"/>
        <w:ind w:left="502"/>
        <w:jc w:val="both"/>
        <w:rPr>
          <w:rFonts w:ascii="Arial" w:hAnsi="Arial" w:cs="Arial"/>
          <w:sz w:val="20"/>
          <w:szCs w:val="20"/>
          <w:lang w:val="es-UY"/>
        </w:rPr>
      </w:pPr>
    </w:p>
    <w:p w14:paraId="078958EF" w14:textId="0F341512" w:rsidR="005A11FF" w:rsidRPr="005A11FF" w:rsidRDefault="005A11FF" w:rsidP="009A58E0">
      <w:pPr>
        <w:numPr>
          <w:ilvl w:val="0"/>
          <w:numId w:val="17"/>
        </w:numPr>
        <w:spacing w:after="120"/>
        <w:jc w:val="both"/>
        <w:rPr>
          <w:rFonts w:ascii="Arial" w:hAnsi="Arial" w:cs="Arial"/>
          <w:sz w:val="20"/>
          <w:szCs w:val="20"/>
          <w:lang w:val="es-UY"/>
        </w:rPr>
      </w:pPr>
      <w:r w:rsidRPr="005A11FF">
        <w:rPr>
          <w:rFonts w:ascii="Arial" w:hAnsi="Arial" w:cs="Arial"/>
          <w:sz w:val="20"/>
          <w:szCs w:val="20"/>
          <w:lang w:val="es-UY"/>
        </w:rPr>
        <w:t>fecha del Acta de Comprobación de la Infraestructura del Tramo (ACIT) de las obras de la primera etapa y hasta el final del contrato.</w:t>
      </w:r>
    </w:p>
    <w:p w14:paraId="3B256AB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contrato</w:t>
      </w:r>
      <w:r w:rsidR="00B85713">
        <w:rPr>
          <w:rFonts w:ascii="Arial" w:hAnsi="Arial" w:cs="Arial"/>
          <w:sz w:val="20"/>
          <w:szCs w:val="20"/>
          <w:lang w:val="es-UY"/>
        </w:rPr>
        <w:t>, la disponibilidad</w:t>
      </w:r>
      <w:r w:rsidRPr="005A11FF">
        <w:rPr>
          <w:rFonts w:ascii="Arial" w:hAnsi="Arial" w:cs="Arial"/>
          <w:sz w:val="20"/>
          <w:szCs w:val="20"/>
          <w:lang w:val="es-UY"/>
        </w:rPr>
        <w:t xml:space="preserve"> se expresa a través de dos indicadores técnicos de disponibilidad:</w:t>
      </w:r>
    </w:p>
    <w:p w14:paraId="257AE60A" w14:textId="77777777" w:rsidR="005A11FF" w:rsidRPr="005A11FF" w:rsidRDefault="005A11FF" w:rsidP="009A58E0">
      <w:pPr>
        <w:numPr>
          <w:ilvl w:val="0"/>
          <w:numId w:val="19"/>
        </w:numPr>
        <w:spacing w:after="120"/>
        <w:jc w:val="both"/>
        <w:rPr>
          <w:rFonts w:ascii="Arial" w:hAnsi="Arial" w:cs="Arial"/>
          <w:sz w:val="20"/>
          <w:szCs w:val="20"/>
          <w:lang w:val="es-UY"/>
        </w:rPr>
      </w:pPr>
      <w:r w:rsidRPr="005A11FF">
        <w:rPr>
          <w:rFonts w:ascii="Arial" w:hAnsi="Arial" w:cs="Arial"/>
          <w:sz w:val="20"/>
          <w:szCs w:val="20"/>
          <w:lang w:val="es-UY"/>
        </w:rPr>
        <w:t>un indicador del nivel de seguridad y confort que recibe el usuario denominado Nivel de Servicio al Usuario.</w:t>
      </w:r>
    </w:p>
    <w:p w14:paraId="76D7CA06" w14:textId="77777777" w:rsidR="005A11FF" w:rsidRPr="005A11FF" w:rsidRDefault="005A11FF" w:rsidP="009A58E0">
      <w:pPr>
        <w:numPr>
          <w:ilvl w:val="0"/>
          <w:numId w:val="19"/>
        </w:numPr>
        <w:spacing w:after="120"/>
        <w:jc w:val="both"/>
        <w:rPr>
          <w:rFonts w:ascii="Arial" w:hAnsi="Arial" w:cs="Arial"/>
          <w:sz w:val="20"/>
          <w:szCs w:val="20"/>
          <w:lang w:val="es-UY"/>
        </w:rPr>
      </w:pPr>
      <w:r w:rsidRPr="005A11FF">
        <w:rPr>
          <w:rFonts w:ascii="Arial" w:hAnsi="Arial" w:cs="Arial"/>
          <w:sz w:val="20"/>
          <w:szCs w:val="20"/>
          <w:lang w:val="es-UY"/>
        </w:rPr>
        <w:t>un indicador de evaluación anual, el IRI, que representa el nivel de confort de la capa de rodadura del pavimento.</w:t>
      </w:r>
    </w:p>
    <w:p w14:paraId="4F6E317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la evaluación del Nivel de Servicio al Usuario, a los distintos elementos de la carretera que integran el contrato (calzada, banquina, obras de arte mayor y menor, seguridad vial, y faja de uso público) se le establecen estándares de mantenimiento que representan en forma global el estado de la carretera.</w:t>
      </w:r>
    </w:p>
    <w:p w14:paraId="516C10E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estándares de mantenimiento se agrupan en las cinco categorías siguientes:</w:t>
      </w:r>
    </w:p>
    <w:p w14:paraId="39D20926"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Calzada</w:t>
      </w:r>
    </w:p>
    <w:p w14:paraId="49B5C15C"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Banquina</w:t>
      </w:r>
    </w:p>
    <w:p w14:paraId="5CC7B5FF"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lastRenderedPageBreak/>
        <w:t xml:space="preserve"> Obras de arte mayor y menor</w:t>
      </w:r>
    </w:p>
    <w:p w14:paraId="749DCDBA" w14:textId="77777777" w:rsidR="005A11FF" w:rsidRPr="005A11FF" w:rsidRDefault="005A11FF" w:rsidP="009A58E0">
      <w:pPr>
        <w:numPr>
          <w:ilvl w:val="0"/>
          <w:numId w:val="20"/>
        </w:numPr>
        <w:spacing w:after="0"/>
        <w:ind w:left="737" w:hanging="170"/>
        <w:jc w:val="both"/>
        <w:rPr>
          <w:rFonts w:ascii="Arial" w:hAnsi="Arial" w:cs="Arial"/>
          <w:sz w:val="20"/>
          <w:szCs w:val="20"/>
          <w:lang w:val="es-UY"/>
        </w:rPr>
      </w:pPr>
      <w:r w:rsidRPr="005A11FF">
        <w:rPr>
          <w:rFonts w:ascii="Arial" w:hAnsi="Arial" w:cs="Arial"/>
          <w:sz w:val="20"/>
          <w:szCs w:val="20"/>
          <w:lang w:val="es-UY"/>
        </w:rPr>
        <w:t>Seguridad vial</w:t>
      </w:r>
    </w:p>
    <w:p w14:paraId="64EA4D75" w14:textId="77777777" w:rsidR="005A11FF" w:rsidRPr="005A11FF" w:rsidRDefault="005A11FF" w:rsidP="009A58E0">
      <w:pPr>
        <w:numPr>
          <w:ilvl w:val="0"/>
          <w:numId w:val="20"/>
        </w:numPr>
        <w:spacing w:after="120"/>
        <w:ind w:left="737" w:hanging="170"/>
        <w:jc w:val="both"/>
        <w:rPr>
          <w:rFonts w:ascii="Arial" w:hAnsi="Arial" w:cs="Arial"/>
          <w:sz w:val="20"/>
          <w:szCs w:val="20"/>
          <w:lang w:val="es-UY"/>
        </w:rPr>
      </w:pPr>
      <w:r w:rsidRPr="005A11FF">
        <w:rPr>
          <w:rFonts w:ascii="Arial" w:hAnsi="Arial" w:cs="Arial"/>
          <w:sz w:val="20"/>
          <w:szCs w:val="20"/>
          <w:lang w:val="es-UY"/>
        </w:rPr>
        <w:t>Faja de uso público</w:t>
      </w:r>
    </w:p>
    <w:p w14:paraId="0BAA692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esta modalidad de gestión, con pagos sujetos a disponibilidad, el Contratista, además de las tareas rutinarias y periódicas para el mantenimiento de la infraestructura en igual o mejor estado y condición que los exigidos a través de los indicadores, deberá desarrollar todas las actividades tendientes a implementar acciones a corto, mediano y largo plazo con la finalidad de alcanzar, conservar o elevar los valores de esos indicadores previniendo su comportamiento futuro.</w:t>
      </w:r>
    </w:p>
    <w:p w14:paraId="238FF8D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los Anexos</w:t>
      </w:r>
      <w:hyperlink w:anchor="A_13" w:history="1">
        <w:r w:rsidRPr="00507A68">
          <w:rPr>
            <w:rStyle w:val="Hipervnculo"/>
            <w:rFonts w:ascii="Arial" w:hAnsi="Arial" w:cs="Arial"/>
            <w:sz w:val="20"/>
            <w:szCs w:val="20"/>
            <w:lang w:val="es-UY"/>
          </w:rPr>
          <w:t xml:space="preserve"> XIII</w:t>
        </w:r>
      </w:hyperlink>
      <w:r w:rsidRPr="005A11FF">
        <w:rPr>
          <w:rFonts w:ascii="Arial" w:hAnsi="Arial" w:cs="Arial"/>
          <w:sz w:val="20"/>
          <w:szCs w:val="20"/>
          <w:lang w:val="es-UY"/>
        </w:rPr>
        <w:t xml:space="preserve"> y </w:t>
      </w:r>
      <w:hyperlink w:anchor="A_9" w:history="1">
        <w:r w:rsidRPr="00507A68">
          <w:rPr>
            <w:rStyle w:val="Hipervnculo"/>
            <w:rFonts w:ascii="Arial" w:hAnsi="Arial" w:cs="Arial"/>
            <w:sz w:val="20"/>
            <w:szCs w:val="20"/>
            <w:lang w:val="es-UY"/>
          </w:rPr>
          <w:t>IX</w:t>
        </w:r>
      </w:hyperlink>
      <w:r w:rsidR="00B14DCC">
        <w:rPr>
          <w:rFonts w:ascii="Arial" w:hAnsi="Arial" w:cs="Arial"/>
          <w:sz w:val="20"/>
          <w:szCs w:val="20"/>
          <w:lang w:val="es-UY"/>
        </w:rPr>
        <w:t xml:space="preserve"> </w:t>
      </w:r>
      <w:r w:rsidRPr="005A11FF">
        <w:rPr>
          <w:rFonts w:ascii="Arial" w:hAnsi="Arial" w:cs="Arial"/>
          <w:sz w:val="20"/>
          <w:szCs w:val="20"/>
          <w:lang w:val="es-UY"/>
        </w:rPr>
        <w:t>y en los capítulos XII, XIII, XIV se establecen:</w:t>
      </w:r>
    </w:p>
    <w:p w14:paraId="654A58D9"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t>la exigencia para los estándares de mantenimiento y su correspondiente metodología de evaluación para todos los elementos de la carretera que integran el contrato cuyo incumplimiento se entiende como defecto,</w:t>
      </w:r>
    </w:p>
    <w:p w14:paraId="703F69A0"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t xml:space="preserve">la forma de cálculo del Nivel de Servicio al Usuario a partir de la evaluación de los estándares de mantenimiento, </w:t>
      </w:r>
    </w:p>
    <w:p w14:paraId="4BC41570" w14:textId="77777777" w:rsidR="005A11FF" w:rsidRPr="005A11FF" w:rsidRDefault="005A11FF" w:rsidP="009A58E0">
      <w:pPr>
        <w:numPr>
          <w:ilvl w:val="0"/>
          <w:numId w:val="64"/>
        </w:numPr>
        <w:spacing w:after="120"/>
        <w:jc w:val="both"/>
        <w:rPr>
          <w:rFonts w:ascii="Arial" w:hAnsi="Arial" w:cs="Arial"/>
          <w:sz w:val="20"/>
          <w:szCs w:val="20"/>
          <w:lang w:val="es-UY"/>
        </w:rPr>
      </w:pPr>
      <w:r w:rsidRPr="005A11FF">
        <w:rPr>
          <w:rFonts w:ascii="Arial" w:hAnsi="Arial" w:cs="Arial"/>
          <w:sz w:val="20"/>
          <w:szCs w:val="20"/>
          <w:lang w:val="es-UY"/>
        </w:rPr>
        <w:t xml:space="preserve">la exigencia para los indicadores de Nivel de Servicio al Usuario y de IRI tomados como base para expresar el grado de cumplimiento según los requerimientos establecidos para </w:t>
      </w:r>
      <w:r w:rsidRPr="005A11FF">
        <w:rPr>
          <w:rFonts w:ascii="Arial" w:hAnsi="Arial" w:cs="Arial"/>
          <w:sz w:val="20"/>
          <w:szCs w:val="20"/>
          <w:lang w:val="es-UY"/>
        </w:rPr>
        <w:lastRenderedPageBreak/>
        <w:t>los diversos elementos de la carretera</w:t>
      </w:r>
      <w:r w:rsidR="00761FDA">
        <w:rPr>
          <w:rFonts w:ascii="Arial" w:hAnsi="Arial" w:cs="Arial"/>
          <w:sz w:val="20"/>
          <w:szCs w:val="20"/>
          <w:lang w:val="es-UY"/>
        </w:rPr>
        <w:t xml:space="preserve"> en cada uno de los tramos del contrato</w:t>
      </w:r>
      <w:r w:rsidRPr="005A11FF">
        <w:rPr>
          <w:rFonts w:ascii="Arial" w:hAnsi="Arial" w:cs="Arial"/>
          <w:sz w:val="20"/>
          <w:szCs w:val="20"/>
          <w:lang w:val="es-UY"/>
        </w:rPr>
        <w:t>.</w:t>
      </w:r>
    </w:p>
    <w:p w14:paraId="3C773C55" w14:textId="77777777" w:rsidR="005A11FF" w:rsidRPr="00CC6530" w:rsidRDefault="005A11FF" w:rsidP="004C3C3B">
      <w:pPr>
        <w:pStyle w:val="T1"/>
        <w:numPr>
          <w:ilvl w:val="0"/>
          <w:numId w:val="90"/>
        </w:numPr>
        <w:outlineLvl w:val="2"/>
      </w:pPr>
      <w:bookmarkStart w:id="736" w:name="_Toc400636156"/>
      <w:bookmarkStart w:id="737" w:name="_Toc468288060"/>
      <w:bookmarkStart w:id="738" w:name="_Toc496266654"/>
      <w:bookmarkStart w:id="739" w:name="Lit_55"/>
      <w:r w:rsidRPr="00CC6530">
        <w:t>DESARROLLO DEL MANTENIMIENTO</w:t>
      </w:r>
      <w:bookmarkEnd w:id="736"/>
      <w:bookmarkEnd w:id="737"/>
      <w:bookmarkEnd w:id="738"/>
    </w:p>
    <w:bookmarkEnd w:id="739"/>
    <w:p w14:paraId="4552702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Contratista recibirá los tramos de ruta objeto del contrato en el estado en que se encuentren al momento de su toma de posesión </w:t>
      </w:r>
      <w:r w:rsidRPr="005A11FF">
        <w:rPr>
          <w:rFonts w:ascii="Arial" w:hAnsi="Arial" w:cs="Arial"/>
          <w:b/>
          <w:bCs/>
          <w:sz w:val="20"/>
          <w:szCs w:val="20"/>
          <w:lang w:val="es-UY"/>
        </w:rPr>
        <w:t>sin que esto le otorgue derecho a reclamo de ninguna índole</w:t>
      </w:r>
      <w:r w:rsidRPr="005A11FF">
        <w:rPr>
          <w:rFonts w:ascii="Arial" w:hAnsi="Arial" w:cs="Arial"/>
          <w:sz w:val="20"/>
          <w:szCs w:val="20"/>
          <w:lang w:val="es-UY"/>
        </w:rPr>
        <w:t>, disponiendo, para cada tramo de un plazo determinado por la Contratante (tabla C.XI-5)</w:t>
      </w:r>
      <w:r w:rsidR="00B14DCC">
        <w:rPr>
          <w:rFonts w:ascii="Arial" w:hAnsi="Arial" w:cs="Arial"/>
          <w:sz w:val="20"/>
          <w:szCs w:val="20"/>
          <w:lang w:val="es-UY"/>
        </w:rPr>
        <w:t xml:space="preserve"> </w:t>
      </w:r>
      <w:r w:rsidRPr="005A11FF">
        <w:rPr>
          <w:rFonts w:ascii="Arial" w:hAnsi="Arial" w:cs="Arial"/>
          <w:sz w:val="20"/>
          <w:szCs w:val="20"/>
          <w:lang w:val="es-UY"/>
        </w:rPr>
        <w:t>para realizar las tareas que estime necesarias y así satisfacer las exigencias establecidas.</w:t>
      </w:r>
    </w:p>
    <w:p w14:paraId="06A4875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ese plazo se le denomina “plazo de puesta a punto”.</w:t>
      </w:r>
    </w:p>
    <w:p w14:paraId="70E9F1C5" w14:textId="77777777" w:rsidR="005A11FF" w:rsidRPr="005A11FF" w:rsidRDefault="005A11FF" w:rsidP="005A11FF">
      <w:pPr>
        <w:spacing w:after="120"/>
        <w:jc w:val="both"/>
        <w:rPr>
          <w:rFonts w:ascii="Arial" w:hAnsi="Arial" w:cs="Arial"/>
          <w:sz w:val="20"/>
          <w:szCs w:val="20"/>
          <w:lang w:val="es-UY"/>
        </w:rPr>
      </w:pPr>
    </w:p>
    <w:p w14:paraId="59ECFD7D" w14:textId="77777777" w:rsidR="005A11FF" w:rsidRPr="00CC6530" w:rsidRDefault="005A11FF" w:rsidP="004C3C3B">
      <w:pPr>
        <w:pStyle w:val="T1"/>
        <w:numPr>
          <w:ilvl w:val="0"/>
          <w:numId w:val="90"/>
        </w:numPr>
        <w:outlineLvl w:val="2"/>
      </w:pPr>
      <w:bookmarkStart w:id="740" w:name="_Toc400636157"/>
      <w:bookmarkStart w:id="741" w:name="_Toc468288061"/>
      <w:bookmarkStart w:id="742" w:name="_Toc496266655"/>
      <w:bookmarkStart w:id="743" w:name="Lit_56"/>
      <w:r w:rsidRPr="00CC6530">
        <w:t>INICIO Y TERMINACIÓN DE LAS OBRAS</w:t>
      </w:r>
      <w:bookmarkEnd w:id="740"/>
      <w:bookmarkEnd w:id="741"/>
      <w:bookmarkEnd w:id="742"/>
    </w:p>
    <w:bookmarkEnd w:id="743"/>
    <w:p w14:paraId="73C5860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A partir de la fecha del Acta de toma de posesión empezarán a correr todos los plazos que se establecen en este pliego. </w:t>
      </w:r>
    </w:p>
    <w:p w14:paraId="7BB4217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Al inicio de cada una de las obras mencionadas en el CAPITULO XI, se realizará un Acta de Inicio de Obras. </w:t>
      </w:r>
    </w:p>
    <w:p w14:paraId="4874F1E7" w14:textId="77777777" w:rsidR="005A11FF" w:rsidRPr="005A11FF" w:rsidRDefault="005A11FF" w:rsidP="005A11FF">
      <w:pPr>
        <w:autoSpaceDE w:val="0"/>
        <w:autoSpaceDN w:val="0"/>
        <w:adjustRightInd w:val="0"/>
        <w:spacing w:after="120"/>
        <w:jc w:val="both"/>
        <w:rPr>
          <w:rFonts w:ascii="Arial" w:hAnsi="Arial" w:cs="Arial"/>
          <w:sz w:val="20"/>
          <w:szCs w:val="20"/>
          <w:lang w:val="es-UY"/>
        </w:rPr>
      </w:pPr>
      <w:r w:rsidRPr="005A11FF">
        <w:rPr>
          <w:rFonts w:ascii="Arial" w:hAnsi="Arial" w:cs="Arial"/>
          <w:sz w:val="20"/>
          <w:szCs w:val="20"/>
          <w:lang w:val="es-UY"/>
        </w:rPr>
        <w:t>Finalizadas las obras de puesta a punto y complementarias del tramo, y cuando el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estime que el tramo se encuentra en las condiciones de recepción establecidas, solicitará al Supervisor </w:t>
      </w:r>
      <w:r w:rsidRPr="005A11FF">
        <w:rPr>
          <w:rFonts w:ascii="Arial" w:hAnsi="Arial" w:cs="Arial"/>
          <w:sz w:val="20"/>
          <w:szCs w:val="20"/>
          <w:lang w:val="es-UY"/>
        </w:rPr>
        <w:lastRenderedPageBreak/>
        <w:t>de Obra la realización de un Acta de Comprobación de la Infraestructura del Tramo (ACIT).</w:t>
      </w:r>
    </w:p>
    <w:p w14:paraId="497107C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Dicha acta será expedida luego de realizada la inspección correspondiente, debiéndose constatar el cumplimiento de los estándares de mantenimiento, de las especificaciones contenidas en las ETCM para las recepciones de obra (en particular el IES e IRI medido según el instructivo de Vialidad) y de la Deflexión esperada según el proyecto comprometido en la oferta y perfeccionado luego de la firma del contrato.</w:t>
      </w:r>
    </w:p>
    <w:p w14:paraId="104352FB" w14:textId="77777777" w:rsidR="005A11FF" w:rsidRPr="00C81D0B"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los efectos de asegurar el cumplimiento de estas últimas dos condiciones, el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realizará evaluaciones de IRI y Deflexión durante la etapa constructiva para verificar si se están </w:t>
      </w:r>
      <w:r w:rsidRPr="00C81D0B">
        <w:rPr>
          <w:rFonts w:ascii="Arial" w:hAnsi="Arial" w:cs="Arial"/>
          <w:sz w:val="20"/>
          <w:szCs w:val="20"/>
          <w:lang w:val="es-UY"/>
        </w:rPr>
        <w:t>cumpliendo sus hipótesis de proyecto.</w:t>
      </w:r>
    </w:p>
    <w:p w14:paraId="01D30ED3" w14:textId="77777777" w:rsidR="00AA5A64" w:rsidRPr="005A11FF" w:rsidRDefault="00A314F1" w:rsidP="005A11FF">
      <w:pPr>
        <w:spacing w:after="120"/>
        <w:jc w:val="both"/>
        <w:rPr>
          <w:rFonts w:ascii="Arial" w:hAnsi="Arial" w:cs="Arial"/>
          <w:sz w:val="20"/>
          <w:szCs w:val="20"/>
          <w:lang w:val="es-UY"/>
        </w:rPr>
      </w:pPr>
      <w:r w:rsidRPr="00C81D0B">
        <w:rPr>
          <w:rFonts w:ascii="Arial" w:hAnsi="Arial" w:cs="Arial"/>
          <w:sz w:val="20"/>
          <w:szCs w:val="20"/>
          <w:lang w:val="es-UY"/>
        </w:rPr>
        <w:t>Las evaluaciones correspondientes al IRI y las deflexiones se realizarán como mínimo al finalizar cada capa de la estructura y siempre antes de cubrirla con la capa siguiente.</w:t>
      </w:r>
    </w:p>
    <w:p w14:paraId="18EC6B81" w14:textId="77777777" w:rsidR="005A11FF" w:rsidRPr="00CC6530" w:rsidRDefault="005A11FF" w:rsidP="004C3C3B">
      <w:pPr>
        <w:pStyle w:val="T1"/>
        <w:numPr>
          <w:ilvl w:val="0"/>
          <w:numId w:val="90"/>
        </w:numPr>
        <w:outlineLvl w:val="2"/>
      </w:pPr>
      <w:bookmarkStart w:id="744" w:name="_Toc400636158"/>
      <w:bookmarkStart w:id="745" w:name="_Toc468288062"/>
      <w:bookmarkStart w:id="746" w:name="_Toc496266656"/>
      <w:bookmarkStart w:id="747" w:name="Lit_57"/>
      <w:r w:rsidRPr="00CC6530">
        <w:t>GESTIÓN DE CONSERVACIÓN</w:t>
      </w:r>
      <w:bookmarkEnd w:id="744"/>
      <w:bookmarkEnd w:id="745"/>
      <w:bookmarkEnd w:id="746"/>
    </w:p>
    <w:bookmarkEnd w:id="747"/>
    <w:p w14:paraId="40E4E5D8"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El Contratista relevará los parámetros que le permitan conocer el estado de la infraestructura para planificar las intervenciones necesarias, evitando así un nivel de deterioro tal que comprometa los indicadores técnicos de disponibilidad.</w:t>
      </w:r>
    </w:p>
    <w:p w14:paraId="28525FD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Como parte de la gestión elaborará una serie de planes e informes que se detallan a continuación y que deberán entregarse dentro de los plazos establecidos al Supervisor de Obra.</w:t>
      </w:r>
    </w:p>
    <w:p w14:paraId="7B349DAA" w14:textId="77777777" w:rsidR="005A11FF" w:rsidRPr="00CC6530" w:rsidRDefault="005A11FF" w:rsidP="004C3C3B">
      <w:pPr>
        <w:pStyle w:val="T1"/>
        <w:numPr>
          <w:ilvl w:val="0"/>
          <w:numId w:val="90"/>
        </w:numPr>
        <w:outlineLvl w:val="2"/>
      </w:pPr>
      <w:bookmarkStart w:id="748" w:name="_Toc400636159"/>
      <w:bookmarkStart w:id="749" w:name="_Toc468288063"/>
      <w:bookmarkStart w:id="750" w:name="_Toc496266657"/>
      <w:bookmarkStart w:id="751" w:name="Lit_58"/>
      <w:r w:rsidRPr="00CC6530">
        <w:t>DOCUMENTOS E INFORMACIÓN</w:t>
      </w:r>
      <w:bookmarkEnd w:id="748"/>
      <w:bookmarkEnd w:id="749"/>
      <w:bookmarkEnd w:id="750"/>
    </w:p>
    <w:bookmarkEnd w:id="751"/>
    <w:p w14:paraId="2C9170AE"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Todos los documentos que se mencionan a continuación y en general toda la información intercambiada entre el Contratista</w:t>
      </w:r>
      <w:r w:rsidR="00B14DCC">
        <w:rPr>
          <w:rFonts w:ascii="Arial" w:hAnsi="Arial" w:cs="Arial"/>
          <w:sz w:val="20"/>
          <w:szCs w:val="20"/>
          <w:lang w:val="es-UY"/>
        </w:rPr>
        <w:t xml:space="preserve"> </w:t>
      </w:r>
      <w:r w:rsidRPr="005A11FF">
        <w:rPr>
          <w:rFonts w:ascii="Arial" w:hAnsi="Arial" w:cs="Arial"/>
          <w:sz w:val="20"/>
          <w:szCs w:val="20"/>
          <w:lang w:val="es-UY"/>
        </w:rPr>
        <w:t>y el Supervisor de Obra serán gestionados a través de un software especialmente diseñado, suministrado por el Contratista. Dicho software deberá ser aprobado previamente por la Contratante.</w:t>
      </w:r>
    </w:p>
    <w:p w14:paraId="629C88A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correcta instalación, mantenimiento, reparación, respaldo de la información, administración y todas las operaciones necesarias para el normal funcionamiento de este software, serán responsabilidad del Contratista. El acceso a ese software estará siempre disponible online a través de la web.</w:t>
      </w:r>
    </w:p>
    <w:p w14:paraId="2A33F09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Los costos asociados a estas tareas no serán objeto de ningún pago por separado por lo que el Contratista</w:t>
      </w:r>
      <w:r w:rsidR="00B14DCC">
        <w:rPr>
          <w:rFonts w:ascii="Arial" w:hAnsi="Arial" w:cs="Arial"/>
          <w:sz w:val="20"/>
          <w:szCs w:val="20"/>
          <w:lang w:val="es-UY"/>
        </w:rPr>
        <w:t xml:space="preserve"> </w:t>
      </w:r>
      <w:r w:rsidRPr="005A11FF">
        <w:rPr>
          <w:rFonts w:ascii="Arial" w:hAnsi="Arial" w:cs="Arial"/>
          <w:sz w:val="20"/>
          <w:szCs w:val="20"/>
          <w:lang w:val="es-UY"/>
        </w:rPr>
        <w:t>deberá prorratearlos incluyéndolos en el coeficiente f</w:t>
      </w:r>
      <w:r w:rsidRPr="005A11FF">
        <w:rPr>
          <w:sz w:val="24"/>
          <w:szCs w:val="24"/>
          <w:lang w:val="es-UY"/>
        </w:rPr>
        <w:t>₂</w:t>
      </w:r>
      <w:r w:rsidRPr="005A11FF">
        <w:rPr>
          <w:rFonts w:ascii="Arial" w:hAnsi="Arial" w:cs="Arial"/>
          <w:sz w:val="20"/>
          <w:szCs w:val="20"/>
          <w:lang w:val="es-UY"/>
        </w:rPr>
        <w:t xml:space="preserve"> cuya significación se explica en el </w:t>
      </w:r>
      <w:hyperlink w:anchor="A_2" w:history="1">
        <w:r w:rsidRPr="00507A68">
          <w:rPr>
            <w:rStyle w:val="Hipervnculo"/>
            <w:rFonts w:ascii="Arial" w:hAnsi="Arial" w:cs="Arial"/>
            <w:sz w:val="20"/>
            <w:szCs w:val="20"/>
            <w:lang w:val="es-UY"/>
          </w:rPr>
          <w:t>Anexo II</w:t>
        </w:r>
      </w:hyperlink>
      <w:r w:rsidRPr="005A11FF">
        <w:rPr>
          <w:rFonts w:ascii="Arial" w:hAnsi="Arial" w:cs="Arial"/>
          <w:sz w:val="20"/>
          <w:szCs w:val="20"/>
          <w:lang w:val="es-UY"/>
        </w:rPr>
        <w:t>.</w:t>
      </w:r>
    </w:p>
    <w:p w14:paraId="25A0F2D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Esta vía no sustituye la confección de los expedientes que correspondan sino que su sentido es complementar y facilitar la información y la comunicación entre la Contratante y el Contratista. </w:t>
      </w:r>
    </w:p>
    <w:p w14:paraId="2A903DB4"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 xml:space="preserve">Las especificaciones que deberá cumplir dicho software se detallan en el </w:t>
      </w:r>
      <w:hyperlink w:anchor="A_14" w:history="1">
        <w:r w:rsidRPr="00507A68">
          <w:rPr>
            <w:rStyle w:val="Hipervnculo"/>
            <w:rFonts w:ascii="Arial" w:hAnsi="Arial" w:cs="Arial"/>
            <w:sz w:val="20"/>
            <w:szCs w:val="20"/>
            <w:lang w:val="es-UY"/>
          </w:rPr>
          <w:t>Anexo XIV</w:t>
        </w:r>
      </w:hyperlink>
      <w:r w:rsidRPr="005A11FF">
        <w:rPr>
          <w:rFonts w:ascii="Arial" w:hAnsi="Arial" w:cs="Arial"/>
          <w:sz w:val="20"/>
          <w:szCs w:val="20"/>
          <w:lang w:val="es-UY"/>
        </w:rPr>
        <w:t xml:space="preserve">. </w:t>
      </w:r>
    </w:p>
    <w:p w14:paraId="7A9BECF1" w14:textId="77777777" w:rsidR="009550C7" w:rsidRDefault="009550C7" w:rsidP="009550C7">
      <w:pPr>
        <w:spacing w:after="0"/>
        <w:jc w:val="both"/>
        <w:rPr>
          <w:rFonts w:ascii="Arial" w:hAnsi="Arial" w:cs="Arial"/>
          <w:sz w:val="20"/>
          <w:szCs w:val="20"/>
          <w:lang w:val="es-UY"/>
        </w:rPr>
      </w:pPr>
      <w:r w:rsidRPr="00FF13B5">
        <w:rPr>
          <w:rFonts w:ascii="Arial" w:hAnsi="Arial" w:cs="Arial"/>
          <w:sz w:val="20"/>
          <w:szCs w:val="20"/>
          <w:lang w:val="es-UY"/>
        </w:rPr>
        <w:t>El software de referencia debe estar operativo desde la fecha del Acta de Toma de Posesión, al menos en los aspectos que respondan a la comunicación entre Contratista y Contratante para la etapa inicial del contrato.</w:t>
      </w:r>
    </w:p>
    <w:p w14:paraId="4ADDCF7D" w14:textId="77777777" w:rsidR="009550C7" w:rsidRPr="005A11FF" w:rsidRDefault="009550C7" w:rsidP="005A11FF">
      <w:pPr>
        <w:spacing w:after="120"/>
        <w:jc w:val="both"/>
        <w:rPr>
          <w:rFonts w:ascii="Arial" w:hAnsi="Arial" w:cs="Arial"/>
          <w:sz w:val="20"/>
          <w:szCs w:val="20"/>
          <w:lang w:val="es-UY"/>
        </w:rPr>
      </w:pPr>
    </w:p>
    <w:p w14:paraId="3A6DC4A7" w14:textId="08E5BC91" w:rsidR="005A11FF" w:rsidRPr="00CC6530" w:rsidRDefault="005A11FF" w:rsidP="004C3C3B">
      <w:pPr>
        <w:pStyle w:val="T1"/>
        <w:numPr>
          <w:ilvl w:val="0"/>
          <w:numId w:val="90"/>
        </w:numPr>
        <w:outlineLvl w:val="2"/>
      </w:pPr>
      <w:bookmarkStart w:id="752" w:name="Lit_59"/>
      <w:bookmarkStart w:id="753" w:name="_Toc400636160"/>
      <w:bookmarkStart w:id="754" w:name="_Toc468288064"/>
      <w:bookmarkStart w:id="755" w:name="_Toc496266658"/>
      <w:r w:rsidRPr="00CC6530">
        <w:t xml:space="preserve">PLAN DE ADECUACIÓN Y MANTENIMIENTO DE CADA TRAMO HASTA LA </w:t>
      </w:r>
      <w:bookmarkEnd w:id="752"/>
      <w:r w:rsidRPr="00CC6530">
        <w:t>FINALIZACIÓN DE LAS OBRAS DE PUESTA A PUNTO</w:t>
      </w:r>
      <w:bookmarkEnd w:id="753"/>
      <w:bookmarkEnd w:id="754"/>
      <w:bookmarkEnd w:id="755"/>
    </w:p>
    <w:p w14:paraId="201E1722" w14:textId="707FBB33"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A partir de la fecha del Acta de toma de posesión, el Contratista</w:t>
      </w:r>
      <w:r w:rsidR="00B14DCC">
        <w:rPr>
          <w:rFonts w:ascii="Arial" w:hAnsi="Arial" w:cs="Arial"/>
          <w:sz w:val="20"/>
          <w:szCs w:val="20"/>
          <w:lang w:val="es-UY"/>
        </w:rPr>
        <w:t xml:space="preserve"> </w:t>
      </w:r>
      <w:r w:rsidRPr="005A11FF">
        <w:rPr>
          <w:rFonts w:ascii="Arial" w:hAnsi="Arial" w:cs="Arial"/>
          <w:sz w:val="20"/>
          <w:szCs w:val="20"/>
          <w:lang w:val="es-UY"/>
        </w:rPr>
        <w:t>cuenta con un plazo para realizar un conjunto de intervenciones que aseguren, en cada tramo, una circulación segura hasta la finalización de las obras de puesta a punto.</w:t>
      </w:r>
    </w:p>
    <w:p w14:paraId="3D6A2C5F" w14:textId="2638872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Una vez finalizado el plazo establecido para las obras de puesta a punto el tramo deberá satisfacer todos los estándares, el Nivel de Servicio al Usuario y los requerimientos de IRI.</w:t>
      </w:r>
    </w:p>
    <w:p w14:paraId="2D351B1E" w14:textId="61A5A76D" w:rsidR="00257432"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 xml:space="preserve">Las características de estas intervenciones dependen del plan de obras de puesta punto presentado por el Contratista, perfeccionado luego de la firma del contrato y aprobado por la Contratante </w:t>
      </w:r>
      <w:r w:rsidRPr="005A11FF">
        <w:rPr>
          <w:rFonts w:ascii="Arial" w:hAnsi="Arial" w:cs="Arial"/>
          <w:sz w:val="20"/>
          <w:szCs w:val="20"/>
          <w:lang w:val="es-UY"/>
        </w:rPr>
        <w:lastRenderedPageBreak/>
        <w:t>y</w:t>
      </w:r>
      <w:r w:rsidR="00B14DCC">
        <w:rPr>
          <w:rFonts w:ascii="Arial" w:hAnsi="Arial" w:cs="Arial"/>
          <w:sz w:val="20"/>
          <w:szCs w:val="20"/>
          <w:lang w:val="es-UY"/>
        </w:rPr>
        <w:t xml:space="preserve"> </w:t>
      </w:r>
      <w:r w:rsidRPr="005A11FF">
        <w:rPr>
          <w:rFonts w:ascii="Arial" w:hAnsi="Arial" w:cs="Arial"/>
          <w:sz w:val="20"/>
          <w:szCs w:val="20"/>
          <w:lang w:val="es-UY"/>
        </w:rPr>
        <w:t>deberán ser ejecutadas de manera que se cumpla</w:t>
      </w:r>
      <w:r w:rsidR="006E48CA">
        <w:rPr>
          <w:rFonts w:ascii="Arial" w:hAnsi="Arial" w:cs="Arial"/>
          <w:sz w:val="20"/>
          <w:szCs w:val="20"/>
          <w:lang w:val="es-UY"/>
        </w:rPr>
        <w:t>n</w:t>
      </w:r>
      <w:r w:rsidRPr="005A11FF">
        <w:rPr>
          <w:rFonts w:ascii="Arial" w:hAnsi="Arial" w:cs="Arial"/>
          <w:sz w:val="20"/>
          <w:szCs w:val="20"/>
          <w:lang w:val="es-UY"/>
        </w:rPr>
        <w:t xml:space="preserve"> la</w:t>
      </w:r>
      <w:r w:rsidR="006E48CA">
        <w:rPr>
          <w:rFonts w:ascii="Arial" w:hAnsi="Arial" w:cs="Arial"/>
          <w:sz w:val="20"/>
          <w:szCs w:val="20"/>
          <w:lang w:val="es-UY"/>
        </w:rPr>
        <w:t>s</w:t>
      </w:r>
      <w:r w:rsidRPr="005A11FF">
        <w:rPr>
          <w:rFonts w:ascii="Arial" w:hAnsi="Arial" w:cs="Arial"/>
          <w:sz w:val="20"/>
          <w:szCs w:val="20"/>
          <w:lang w:val="es-UY"/>
        </w:rPr>
        <w:t xml:space="preserve"> siguiente</w:t>
      </w:r>
      <w:r w:rsidR="006E48CA">
        <w:rPr>
          <w:rFonts w:ascii="Arial" w:hAnsi="Arial" w:cs="Arial"/>
          <w:sz w:val="20"/>
          <w:szCs w:val="20"/>
          <w:lang w:val="es-UY"/>
        </w:rPr>
        <w:t>s</w:t>
      </w:r>
      <w:r w:rsidRPr="005A11FF">
        <w:rPr>
          <w:rFonts w:ascii="Arial" w:hAnsi="Arial" w:cs="Arial"/>
          <w:sz w:val="20"/>
          <w:szCs w:val="20"/>
          <w:lang w:val="es-UY"/>
        </w:rPr>
        <w:t xml:space="preserve"> condici</w:t>
      </w:r>
      <w:r w:rsidR="006E48CA">
        <w:rPr>
          <w:rFonts w:ascii="Arial" w:hAnsi="Arial" w:cs="Arial"/>
          <w:sz w:val="20"/>
          <w:szCs w:val="20"/>
          <w:lang w:val="es-UY"/>
        </w:rPr>
        <w:t>o</w:t>
      </w:r>
      <w:r w:rsidRPr="005A11FF">
        <w:rPr>
          <w:rFonts w:ascii="Arial" w:hAnsi="Arial" w:cs="Arial"/>
          <w:sz w:val="20"/>
          <w:szCs w:val="20"/>
          <w:lang w:val="es-UY"/>
        </w:rPr>
        <w:t>n</w:t>
      </w:r>
      <w:r w:rsidR="006E48CA">
        <w:rPr>
          <w:rFonts w:ascii="Arial" w:hAnsi="Arial" w:cs="Arial"/>
          <w:sz w:val="20"/>
          <w:szCs w:val="20"/>
          <w:lang w:val="es-UY"/>
        </w:rPr>
        <w:t>es</w:t>
      </w:r>
      <w:r w:rsidRPr="005A11FF">
        <w:rPr>
          <w:rFonts w:ascii="Arial" w:hAnsi="Arial" w:cs="Arial"/>
          <w:sz w:val="20"/>
          <w:szCs w:val="20"/>
          <w:lang w:val="es-UY"/>
        </w:rPr>
        <w:t>:</w:t>
      </w:r>
    </w:p>
    <w:p w14:paraId="695E293C" w14:textId="77777777" w:rsidR="00A9381E" w:rsidRDefault="00A9381E" w:rsidP="00A9381E">
      <w:pPr>
        <w:spacing w:line="240" w:lineRule="auto"/>
        <w:jc w:val="both"/>
        <w:rPr>
          <w:rFonts w:ascii="Arial" w:hAnsi="Arial" w:cs="Arial"/>
          <w:b/>
          <w:bCs/>
          <w:sz w:val="20"/>
          <w:szCs w:val="20"/>
        </w:rPr>
      </w:pPr>
    </w:p>
    <w:p w14:paraId="5C60CCBE"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1</w:t>
      </w:r>
    </w:p>
    <w:p w14:paraId="089B8F16"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Tramos a los que aplica</w:t>
      </w:r>
      <w:r w:rsidRPr="005A11FF">
        <w:rPr>
          <w:rFonts w:ascii="Arial" w:hAnsi="Arial" w:cs="Arial"/>
          <w:sz w:val="20"/>
          <w:szCs w:val="20"/>
          <w:lang w:val="es-UY"/>
        </w:rPr>
        <w:t>: Todos.</w:t>
      </w:r>
    </w:p>
    <w:p w14:paraId="52CCEE59"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 xml:space="preserve">Plazo máximo de adecuación a </w:t>
      </w:r>
      <w:r w:rsidR="00484F06" w:rsidRPr="005A11FF">
        <w:rPr>
          <w:rFonts w:ascii="Arial" w:hAnsi="Arial" w:cs="Arial"/>
          <w:b/>
          <w:bCs/>
          <w:sz w:val="20"/>
          <w:szCs w:val="20"/>
          <w:lang w:val="es-UY"/>
        </w:rPr>
        <w:t>la exigencia</w:t>
      </w:r>
      <w:r w:rsidRPr="005A11FF">
        <w:rPr>
          <w:rFonts w:ascii="Arial" w:hAnsi="Arial" w:cs="Arial"/>
          <w:sz w:val="20"/>
          <w:szCs w:val="20"/>
          <w:lang w:val="es-UY"/>
        </w:rPr>
        <w:t>: 30 días.</w:t>
      </w:r>
    </w:p>
    <w:p w14:paraId="1AE09E62" w14:textId="77777777" w:rsidR="005A11FF" w:rsidRPr="005A11FF" w:rsidRDefault="005A11FF" w:rsidP="00A9381E">
      <w:pPr>
        <w:spacing w:line="240" w:lineRule="auto"/>
        <w:jc w:val="both"/>
        <w:rPr>
          <w:rFonts w:ascii="Arial" w:hAnsi="Arial" w:cs="Arial"/>
          <w:sz w:val="20"/>
          <w:szCs w:val="20"/>
          <w:lang w:val="es-UY"/>
        </w:rPr>
      </w:pPr>
      <w:r w:rsidRPr="005A11FF">
        <w:rPr>
          <w:rFonts w:ascii="Arial" w:hAnsi="Arial" w:cs="Arial"/>
          <w:b/>
          <w:bCs/>
          <w:sz w:val="20"/>
          <w:szCs w:val="20"/>
          <w:lang w:val="es-UY"/>
        </w:rPr>
        <w:t>Exigencia</w:t>
      </w:r>
      <w:r w:rsidRPr="005A11FF">
        <w:rPr>
          <w:rFonts w:ascii="Arial" w:hAnsi="Arial" w:cs="Arial"/>
          <w:sz w:val="20"/>
          <w:szCs w:val="20"/>
          <w:lang w:val="es-UY"/>
        </w:rPr>
        <w:t>:</w:t>
      </w:r>
    </w:p>
    <w:p w14:paraId="3628C51B" w14:textId="77777777"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Estándar de existencia de pozos.</w:t>
      </w:r>
    </w:p>
    <w:p w14:paraId="551E7CCA" w14:textId="76BBFA8A"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Adecuación y/o reposición de las señales de tránsito.</w:t>
      </w:r>
    </w:p>
    <w:p w14:paraId="0DA64560" w14:textId="77777777" w:rsidR="005A11FF"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sz w:val="20"/>
          <w:szCs w:val="20"/>
          <w:lang w:eastAsia="zh-CN"/>
        </w:rPr>
        <w:t>La Contratante, a su solo juicio, podrá exigir el cumplimiento de cualquier otro estándar básico cuyo apartamiento respecto de los valores establecidos sea de tal magnitud que comprometa la seguridad del usuario.</w:t>
      </w:r>
    </w:p>
    <w:p w14:paraId="3EC02E3F" w14:textId="77777777" w:rsidR="00257432" w:rsidRPr="00C81D0B" w:rsidRDefault="00A314F1" w:rsidP="00A9381E">
      <w:pPr>
        <w:spacing w:line="240" w:lineRule="auto"/>
        <w:jc w:val="both"/>
        <w:rPr>
          <w:rFonts w:ascii="Arial" w:eastAsia="SimSun" w:hAnsi="Arial" w:cs="Arial"/>
          <w:sz w:val="20"/>
          <w:szCs w:val="20"/>
          <w:lang w:eastAsia="zh-CN"/>
        </w:rPr>
      </w:pPr>
      <w:r w:rsidRPr="00C81D0B">
        <w:rPr>
          <w:rFonts w:ascii="Arial" w:eastAsia="SimSun" w:hAnsi="Arial" w:cs="Arial"/>
          <w:b/>
          <w:sz w:val="20"/>
          <w:szCs w:val="20"/>
          <w:lang w:eastAsia="zh-CN"/>
        </w:rPr>
        <w:t>Plazo máximo de adecuación a la exigencia:</w:t>
      </w:r>
      <w:r w:rsidRPr="00C81D0B">
        <w:rPr>
          <w:rFonts w:ascii="Arial" w:eastAsia="SimSun" w:hAnsi="Arial" w:cs="Arial"/>
          <w:sz w:val="20"/>
          <w:szCs w:val="20"/>
          <w:lang w:eastAsia="zh-CN"/>
        </w:rPr>
        <w:t xml:space="preserve"> 90 días.</w:t>
      </w:r>
    </w:p>
    <w:p w14:paraId="6DBAED77" w14:textId="77777777" w:rsidR="00257432" w:rsidRPr="00540FC2" w:rsidRDefault="00A314F1" w:rsidP="00A9381E">
      <w:pPr>
        <w:spacing w:line="240" w:lineRule="auto"/>
        <w:jc w:val="both"/>
        <w:rPr>
          <w:rFonts w:ascii="Arial" w:eastAsia="SimSun" w:hAnsi="Arial" w:cs="Arial"/>
          <w:sz w:val="20"/>
          <w:szCs w:val="20"/>
          <w:highlight w:val="red"/>
          <w:lang w:eastAsia="zh-CN"/>
        </w:rPr>
      </w:pPr>
      <w:r w:rsidRPr="002545EC">
        <w:rPr>
          <w:rFonts w:ascii="Arial" w:eastAsia="SimSun" w:hAnsi="Arial" w:cs="Arial"/>
          <w:b/>
          <w:sz w:val="20"/>
          <w:szCs w:val="20"/>
          <w:lang w:eastAsia="zh-CN"/>
        </w:rPr>
        <w:t>Exigencia:</w:t>
      </w:r>
      <w:r w:rsidRPr="00C81D0B">
        <w:rPr>
          <w:rFonts w:ascii="Arial" w:eastAsia="SimSun" w:hAnsi="Arial" w:cs="Arial"/>
          <w:sz w:val="20"/>
          <w:szCs w:val="20"/>
          <w:lang w:eastAsia="zh-CN"/>
        </w:rPr>
        <w:tab/>
        <w:t>Estándar de exceso de altura del pasto en la faja pública.</w:t>
      </w:r>
    </w:p>
    <w:p w14:paraId="3734F27B" w14:textId="77777777" w:rsidR="00257432"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2</w:t>
      </w:r>
    </w:p>
    <w:p w14:paraId="05472317"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y finalicen en el transcurso del primer año.</w:t>
      </w:r>
    </w:p>
    <w:p w14:paraId="1519EAFF"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lastRenderedPageBreak/>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1E58F09C"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cualquier sub tramo </w:t>
      </w:r>
      <w:r w:rsidRPr="002545EC">
        <w:rPr>
          <w:rFonts w:ascii="Arial" w:hAnsi="Arial" w:cs="Arial"/>
          <w:bCs/>
          <w:sz w:val="20"/>
          <w:szCs w:val="20"/>
        </w:rPr>
        <w:t>continuo</w:t>
      </w:r>
      <w:r w:rsidRPr="005A11FF">
        <w:rPr>
          <w:rFonts w:ascii="Arial" w:hAnsi="Arial" w:cs="Arial"/>
          <w:sz w:val="20"/>
          <w:szCs w:val="20"/>
        </w:rPr>
        <w:t>, que no esté en ejecución y cuya longitud exceda el 30% de la longitud total del tramo.</w:t>
      </w:r>
    </w:p>
    <w:p w14:paraId="55135E72"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3</w:t>
      </w:r>
    </w:p>
    <w:p w14:paraId="631B2A15"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en el transcurso del primer año y finalicen en el transcurso del segundo y tercer año.</w:t>
      </w:r>
    </w:p>
    <w:p w14:paraId="242A4C56"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05BF3784"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cualquier sub tramo </w:t>
      </w:r>
      <w:r w:rsidRPr="002545EC">
        <w:rPr>
          <w:rFonts w:ascii="Arial" w:hAnsi="Arial" w:cs="Arial"/>
          <w:bCs/>
          <w:sz w:val="20"/>
          <w:szCs w:val="20"/>
        </w:rPr>
        <w:t>continuo</w:t>
      </w:r>
      <w:r w:rsidRPr="005A11FF">
        <w:rPr>
          <w:rFonts w:ascii="Arial" w:hAnsi="Arial" w:cs="Arial"/>
          <w:sz w:val="20"/>
          <w:szCs w:val="20"/>
        </w:rPr>
        <w:t>, que no esté en ejecución y cuya longitud exceda el 20% de la longitud total del tramo.</w:t>
      </w:r>
    </w:p>
    <w:p w14:paraId="13C1863E" w14:textId="77777777" w:rsidR="005A11FF" w:rsidRPr="0012636E" w:rsidRDefault="005A11FF" w:rsidP="00A9381E">
      <w:pPr>
        <w:spacing w:line="240" w:lineRule="auto"/>
        <w:jc w:val="both"/>
        <w:rPr>
          <w:rFonts w:ascii="Arial" w:hAnsi="Arial" w:cs="Arial"/>
          <w:b/>
          <w:bCs/>
          <w:sz w:val="20"/>
          <w:szCs w:val="20"/>
          <w:u w:val="single"/>
        </w:rPr>
      </w:pPr>
      <w:r w:rsidRPr="0012636E">
        <w:rPr>
          <w:rFonts w:ascii="Arial" w:hAnsi="Arial" w:cs="Arial"/>
          <w:b/>
          <w:bCs/>
          <w:sz w:val="20"/>
          <w:szCs w:val="20"/>
          <w:u w:val="single"/>
        </w:rPr>
        <w:t>Condición 4</w:t>
      </w:r>
    </w:p>
    <w:p w14:paraId="0247B059"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Tramos a los que aplica</w:t>
      </w:r>
      <w:r w:rsidRPr="005A11FF">
        <w:rPr>
          <w:rFonts w:ascii="Arial" w:hAnsi="Arial" w:cs="Arial"/>
          <w:sz w:val="20"/>
          <w:szCs w:val="20"/>
        </w:rPr>
        <w:t>: Aquellos con obras de puesta a punto que inicien en el transcurso del segundo y tercer año independientemente de cuándo finalicen.</w:t>
      </w:r>
    </w:p>
    <w:p w14:paraId="1345062D"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Plazo máximo de adecuación a las exigencia</w:t>
      </w:r>
      <w:r w:rsidR="00B62A6E">
        <w:rPr>
          <w:rFonts w:ascii="Arial" w:hAnsi="Arial" w:cs="Arial"/>
          <w:b/>
          <w:bCs/>
          <w:sz w:val="20"/>
          <w:szCs w:val="20"/>
        </w:rPr>
        <w:t>s</w:t>
      </w:r>
      <w:r w:rsidRPr="005A11FF">
        <w:rPr>
          <w:rFonts w:ascii="Arial" w:hAnsi="Arial" w:cs="Arial"/>
          <w:sz w:val="20"/>
          <w:szCs w:val="20"/>
        </w:rPr>
        <w:t>: 180 días.</w:t>
      </w:r>
    </w:p>
    <w:p w14:paraId="5A0A9689"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b/>
          <w:bCs/>
          <w:sz w:val="20"/>
          <w:szCs w:val="20"/>
        </w:rPr>
        <w:t>Exigencia</w:t>
      </w:r>
      <w:r w:rsidRPr="005A11FF">
        <w:rPr>
          <w:rFonts w:ascii="Arial" w:hAnsi="Arial" w:cs="Arial"/>
          <w:sz w:val="20"/>
          <w:szCs w:val="20"/>
        </w:rPr>
        <w:t xml:space="preserve">: Cumplimiento de los estándares básicos indicados en el </w:t>
      </w:r>
      <w:hyperlink w:anchor="A_9" w:history="1">
        <w:r w:rsidRPr="00507A68">
          <w:rPr>
            <w:rStyle w:val="Hipervnculo"/>
            <w:rFonts w:ascii="Arial" w:hAnsi="Arial" w:cs="Arial"/>
            <w:sz w:val="20"/>
            <w:szCs w:val="20"/>
          </w:rPr>
          <w:t>Anexo IX</w:t>
        </w:r>
      </w:hyperlink>
      <w:r w:rsidRPr="005A11FF">
        <w:rPr>
          <w:rFonts w:ascii="Arial" w:hAnsi="Arial" w:cs="Arial"/>
          <w:sz w:val="20"/>
          <w:szCs w:val="20"/>
        </w:rPr>
        <w:t xml:space="preserve"> en el 100% de la longitud del tramo.</w:t>
      </w:r>
    </w:p>
    <w:p w14:paraId="633DDA5D"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sz w:val="20"/>
          <w:szCs w:val="20"/>
        </w:rPr>
        <w:t xml:space="preserve">Las exigencias establecidas en las condiciones anteriores deberán cumplirse hasta que se elabore el Acta de Comprobación de la </w:t>
      </w:r>
      <w:r w:rsidRPr="005A11FF">
        <w:rPr>
          <w:rFonts w:ascii="Arial" w:hAnsi="Arial" w:cs="Arial"/>
          <w:sz w:val="20"/>
          <w:szCs w:val="20"/>
        </w:rPr>
        <w:lastRenderedPageBreak/>
        <w:t>Infraestructura de cada tramo, momento a partir del cual deberá cumplir con todas las exigencias establecidas en este pliego.</w:t>
      </w:r>
    </w:p>
    <w:p w14:paraId="56EEFE65" w14:textId="77777777" w:rsidR="005A11FF" w:rsidRPr="005A11FF" w:rsidRDefault="005A11FF" w:rsidP="00A9381E">
      <w:pPr>
        <w:spacing w:line="240" w:lineRule="auto"/>
        <w:jc w:val="both"/>
        <w:rPr>
          <w:rFonts w:ascii="Arial" w:hAnsi="Arial" w:cs="Arial"/>
          <w:sz w:val="20"/>
          <w:szCs w:val="20"/>
        </w:rPr>
      </w:pPr>
      <w:r w:rsidRPr="005A11FF">
        <w:rPr>
          <w:rFonts w:ascii="Arial" w:hAnsi="Arial" w:cs="Arial"/>
          <w:sz w:val="20"/>
          <w:szCs w:val="20"/>
        </w:rPr>
        <w:t xml:space="preserve">Cada incumplimiento de las exigencias aquí establecidas generará una multa de </w:t>
      </w:r>
      <w:r w:rsidR="002545EC">
        <w:rPr>
          <w:rFonts w:ascii="Arial" w:hAnsi="Arial" w:cs="Arial"/>
          <w:sz w:val="20"/>
          <w:szCs w:val="20"/>
        </w:rPr>
        <w:t xml:space="preserve">US$100 </w:t>
      </w:r>
      <w:r w:rsidR="006A04BC">
        <w:rPr>
          <w:rFonts w:ascii="Arial" w:hAnsi="Arial" w:cs="Arial"/>
          <w:sz w:val="20"/>
          <w:szCs w:val="20"/>
        </w:rPr>
        <w:t xml:space="preserve"> (dólares estadounidenses cien)</w:t>
      </w:r>
      <w:r w:rsidRPr="005A11FF">
        <w:rPr>
          <w:rFonts w:ascii="Arial" w:hAnsi="Arial" w:cs="Arial"/>
          <w:sz w:val="20"/>
          <w:szCs w:val="20"/>
        </w:rPr>
        <w:t>/día y por cada estándar no cumplido.</w:t>
      </w:r>
    </w:p>
    <w:p w14:paraId="29A25603" w14:textId="77777777" w:rsidR="005A11FF" w:rsidRDefault="005A11FF" w:rsidP="00A9381E">
      <w:pPr>
        <w:spacing w:line="240" w:lineRule="auto"/>
        <w:jc w:val="both"/>
        <w:rPr>
          <w:rFonts w:ascii="Arial" w:hAnsi="Arial" w:cs="Arial"/>
          <w:sz w:val="20"/>
          <w:szCs w:val="20"/>
        </w:rPr>
      </w:pPr>
      <w:r w:rsidRPr="005A11FF">
        <w:rPr>
          <w:rFonts w:ascii="Arial" w:hAnsi="Arial" w:cs="Arial"/>
          <w:sz w:val="20"/>
          <w:szCs w:val="20"/>
        </w:rPr>
        <w:t>Este Plan de Adecuación y Mantenimiento para asegurar la seguridad de la circulación deberá ser presentado al Supervisor de Obra dentro de los siete días calendario luego de la firma del contrato.</w:t>
      </w:r>
    </w:p>
    <w:p w14:paraId="1C54BD3B" w14:textId="77777777" w:rsidR="005A11FF" w:rsidRPr="00942670" w:rsidRDefault="005A11FF" w:rsidP="004C3C3B">
      <w:pPr>
        <w:pStyle w:val="T1"/>
        <w:numPr>
          <w:ilvl w:val="0"/>
          <w:numId w:val="90"/>
        </w:numPr>
        <w:outlineLvl w:val="2"/>
      </w:pPr>
      <w:bookmarkStart w:id="756" w:name="_Toc400636161"/>
      <w:bookmarkStart w:id="757" w:name="_Toc468288065"/>
      <w:bookmarkStart w:id="758" w:name="_Toc496266659"/>
      <w:bookmarkStart w:id="759" w:name="Lit_60"/>
      <w:r w:rsidRPr="00942670">
        <w:t>PLAN DE LAS OBRAS DE PUESTA A PUNTO</w:t>
      </w:r>
      <w:bookmarkEnd w:id="756"/>
      <w:r w:rsidR="002D6C57" w:rsidRPr="00942670">
        <w:t xml:space="preserve"> Y COMPLEMENTARIAS</w:t>
      </w:r>
      <w:bookmarkEnd w:id="757"/>
      <w:bookmarkEnd w:id="758"/>
    </w:p>
    <w:bookmarkEnd w:id="759"/>
    <w:p w14:paraId="7D38BB39" w14:textId="77777777"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Este plan, que originalmente formó parte de la oferta, deberá ser actualizado y perfeccionado por el Contratista y entregado dentro de los primeros 7 (siete) días-calendario siguientes al Acta de toma de posesión. Las actuaciones contenidas para cada tramo de este plan actualizado deberán ser iguales o superiores a las contenidas en el plan original que formó parte de la oferta.</w:t>
      </w:r>
    </w:p>
    <w:p w14:paraId="04736622" w14:textId="77777777"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 xml:space="preserve">El plan contendrá los proyectos de ingeniería de detalle, el IRI y, en los tramos con pavimento asfáltico, la deflexión a alcanzar en la última capa de la estructura de cada tramo y la planificación de las </w:t>
      </w:r>
      <w:r w:rsidRPr="00804C2A">
        <w:rPr>
          <w:rFonts w:ascii="Arial" w:hAnsi="Arial" w:cs="Arial"/>
          <w:sz w:val="20"/>
          <w:szCs w:val="20"/>
          <w:lang w:val="es-UY"/>
        </w:rPr>
        <w:lastRenderedPageBreak/>
        <w:t>tareas a realizar durante el período de puesta a punto para alcanzar las exigencias y los indicadores comprometidos.</w:t>
      </w:r>
    </w:p>
    <w:p w14:paraId="5A21D388" w14:textId="503041E1"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El Contratista también realizará mensualmente un informe en que consten los avances que se han realizado, los desfasajes (técnicos y/o temporales), si los hubiera, respecto de lo previsto en el plan de puesta a punto y el detalle de las medidas que se han tomado para corregirlos.</w:t>
      </w:r>
    </w:p>
    <w:p w14:paraId="5EBCF68D" w14:textId="77777777"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 xml:space="preserve">El Contratista entregará dentro de los primeros 30 (treinta) días-calendario siguientes a la firma del Contrato la planimetría aprobada por el Supervisor del tramo </w:t>
      </w:r>
      <w:r>
        <w:rPr>
          <w:rFonts w:ascii="Arial" w:hAnsi="Arial" w:cs="Arial"/>
          <w:sz w:val="20"/>
          <w:szCs w:val="20"/>
          <w:lang w:val="es-UY"/>
        </w:rPr>
        <w:t xml:space="preserve">By Pass de San Ramón </w:t>
      </w:r>
      <w:r w:rsidRPr="00804C2A">
        <w:rPr>
          <w:rFonts w:ascii="Arial" w:hAnsi="Arial" w:cs="Arial"/>
          <w:sz w:val="20"/>
          <w:szCs w:val="20"/>
          <w:lang w:val="es-UY"/>
        </w:rPr>
        <w:t xml:space="preserve">y de todos aquellos tramos y/o sub tramos que requieran expropiaciones. El comienzo de las expropiaciones quedará supeditado a la aprobación por la Contratante por lo que el adjudicatario deberá tomar las providencias para no afectar los plazos establecidos en la Tabla CXI-5.  </w:t>
      </w:r>
      <w:r w:rsidRPr="00F9377F">
        <w:rPr>
          <w:rFonts w:ascii="Arial" w:hAnsi="Arial" w:cs="Arial"/>
          <w:sz w:val="20"/>
          <w:szCs w:val="20"/>
          <w:lang w:val="es-UY"/>
        </w:rPr>
        <w:t>Se tendrán en cuenta para el trazado definitivo el anteproyecto de referencia (Inextec) tomando en consideración condiciones de insumergibilidad, y las necesarias revisiones atendiendo al estudio hidráulico detallado y a minimizar el impacto de las expropiaciones y demás consideraciones de la evaluación ambiental.</w:t>
      </w:r>
    </w:p>
    <w:p w14:paraId="124B5984" w14:textId="22240BD0"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El Contratista entregará dentro de los primeros 7 (siete) días</w:t>
      </w:r>
      <w:r w:rsidR="00B61B1C">
        <w:rPr>
          <w:rFonts w:ascii="Arial" w:hAnsi="Arial" w:cs="Arial"/>
          <w:sz w:val="20"/>
          <w:szCs w:val="20"/>
          <w:lang w:val="es-UY"/>
        </w:rPr>
        <w:t xml:space="preserve"> </w:t>
      </w:r>
      <w:r w:rsidRPr="00804C2A">
        <w:rPr>
          <w:rFonts w:ascii="Arial" w:hAnsi="Arial" w:cs="Arial"/>
          <w:sz w:val="20"/>
          <w:szCs w:val="20"/>
          <w:lang w:val="es-UY"/>
        </w:rPr>
        <w:t>calendario siguientes al Acta de toma de posesión los proyectos defini</w:t>
      </w:r>
      <w:r w:rsidRPr="00804C2A">
        <w:rPr>
          <w:rFonts w:ascii="Arial" w:hAnsi="Arial" w:cs="Arial"/>
          <w:sz w:val="20"/>
          <w:szCs w:val="20"/>
          <w:lang w:val="es-UY"/>
        </w:rPr>
        <w:lastRenderedPageBreak/>
        <w:t xml:space="preserve">tivos para las obras de puesta a punto y complementarias del primer año y dentro de los primeros 120 (ciento veinte) días los proyectos definitivos para las obras de los años siguientes, no obstante el comienzo de las obras quedará supeditado a la aprobación de los mismos por la Contratante por lo que el adjudicatario deberá tomar todas las previsiones necesarias para que no se vean afectados los plazos establecidos en la Tabla CXI-5. Se deberá presentar la totalidad de los documentos finales, gráficos y memorias que componen el proyecto ejecutivo de las obras, incluyendo descripción de los componentes tecnológicos a emplear y las prescripciones técnicas que cumplirán, los materiales y equipos propuestos, así como el programa de las obras y del mantenimiento actualizado desarrollados en sus detalles. </w:t>
      </w:r>
      <w:r w:rsidRPr="00F9377F">
        <w:rPr>
          <w:rFonts w:ascii="Arial" w:hAnsi="Arial" w:cs="Arial"/>
          <w:sz w:val="20"/>
          <w:szCs w:val="20"/>
          <w:lang w:val="es-UY"/>
        </w:rPr>
        <w:t>En particular en lo que refiere al tramo By Pass de San Ramón el Contratista presentará el proyecto ejecutivo con un detallado estudio hidráulico conjuntamente con el análisis de impacto ambiental.</w:t>
      </w:r>
    </w:p>
    <w:p w14:paraId="6FB5CBB5" w14:textId="77777777"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 xml:space="preserve">El proyecto ejecutivo deberá corresponder con el anteproyecto de la oferta, desarrollado en sus detalles, y los documentos deberán ser elaborados y firmados por las personas presentadas como Gerente de Proyecto de Diseño e Ingeniero Proyectista en la oferta técnica y los especialistas que corresponda para los temas específicos. </w:t>
      </w:r>
    </w:p>
    <w:p w14:paraId="2C54C5C8" w14:textId="77777777" w:rsidR="00F9377F" w:rsidRPr="00804C2A"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lastRenderedPageBreak/>
        <w:t>Se deberá entregar en el plazo de 7 (siete) días, además, Plan de Autocontrol de calidad, Estudio de Seguridad y Salud y Programa de Actuaciones Medioambientales para la etapa de construcción. Cualquier modificación estará sujeta a la aprobación del Supervisor de Obra.</w:t>
      </w:r>
    </w:p>
    <w:p w14:paraId="4B345A34" w14:textId="77777777" w:rsidR="00F9377F" w:rsidRDefault="00F9377F" w:rsidP="00F9377F">
      <w:pPr>
        <w:spacing w:after="120"/>
        <w:jc w:val="both"/>
        <w:rPr>
          <w:rFonts w:ascii="Arial" w:hAnsi="Arial" w:cs="Arial"/>
          <w:sz w:val="20"/>
          <w:szCs w:val="20"/>
          <w:lang w:val="es-UY"/>
        </w:rPr>
      </w:pPr>
      <w:r w:rsidRPr="00804C2A">
        <w:rPr>
          <w:rFonts w:ascii="Arial" w:hAnsi="Arial" w:cs="Arial"/>
          <w:sz w:val="20"/>
          <w:szCs w:val="20"/>
          <w:lang w:val="es-UY"/>
        </w:rPr>
        <w:t>En lo que se refiere a la obtención de los permisos ambientales la Contratante podrá conceder una extensión de los plazos (parciales y/o totales) a que hace referencia la tabla C.XI-5 si por motivos ajenos al Contratista se retrasara la aprobación del proyecto por parte de las autoridades competentes. La extensión de esos plazos no podrá exceder de  dos meses.</w:t>
      </w:r>
    </w:p>
    <w:p w14:paraId="67C7426A" w14:textId="77777777" w:rsidR="00F9377F" w:rsidRPr="00AE3C2E" w:rsidRDefault="00F9377F" w:rsidP="00630D26">
      <w:pPr>
        <w:jc w:val="both"/>
        <w:rPr>
          <w:rFonts w:ascii="Arial" w:hAnsi="Arial" w:cs="Arial"/>
          <w:sz w:val="20"/>
          <w:szCs w:val="20"/>
          <w:lang w:val="es-UY"/>
        </w:rPr>
      </w:pPr>
    </w:p>
    <w:p w14:paraId="693A40C2" w14:textId="77777777" w:rsidR="00AE3C2E" w:rsidRPr="005A11FF" w:rsidRDefault="00AE3C2E" w:rsidP="00A25ABA">
      <w:pPr>
        <w:spacing w:after="120"/>
        <w:jc w:val="both"/>
        <w:rPr>
          <w:rFonts w:ascii="Arial" w:hAnsi="Arial" w:cs="Arial"/>
          <w:sz w:val="20"/>
          <w:szCs w:val="20"/>
          <w:lang w:val="es-UY"/>
        </w:rPr>
      </w:pPr>
    </w:p>
    <w:p w14:paraId="71C8A28E" w14:textId="77777777" w:rsidR="005A11FF" w:rsidRPr="00CC6530" w:rsidRDefault="005A11FF" w:rsidP="004C3C3B">
      <w:pPr>
        <w:pStyle w:val="T1"/>
        <w:numPr>
          <w:ilvl w:val="0"/>
          <w:numId w:val="90"/>
        </w:numPr>
        <w:outlineLvl w:val="2"/>
      </w:pPr>
      <w:bookmarkStart w:id="760" w:name="_Toc400636162"/>
      <w:bookmarkStart w:id="761" w:name="_Toc468288066"/>
      <w:bookmarkStart w:id="762" w:name="_Toc496266660"/>
      <w:bookmarkStart w:id="763" w:name="Lit_61"/>
      <w:r w:rsidRPr="00CC6530">
        <w:t>PLAN DE MANTENIMIENTO MAYOR</w:t>
      </w:r>
      <w:bookmarkEnd w:id="760"/>
      <w:bookmarkEnd w:id="761"/>
      <w:bookmarkEnd w:id="762"/>
    </w:p>
    <w:bookmarkEnd w:id="763"/>
    <w:p w14:paraId="3911180C"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Este plan, que originalmente formó parte de la oferta, deberá ser actualizado por el Contratista</w:t>
      </w:r>
      <w:r w:rsidR="00B14DCC">
        <w:rPr>
          <w:rFonts w:ascii="Arial" w:hAnsi="Arial" w:cs="Arial"/>
          <w:sz w:val="20"/>
          <w:szCs w:val="20"/>
          <w:lang w:val="es-UY"/>
        </w:rPr>
        <w:t xml:space="preserve"> </w:t>
      </w:r>
      <w:r w:rsidRPr="005A11FF">
        <w:rPr>
          <w:rFonts w:ascii="Arial" w:hAnsi="Arial" w:cs="Arial"/>
          <w:sz w:val="20"/>
          <w:szCs w:val="20"/>
          <w:lang w:val="es-UY"/>
        </w:rPr>
        <w:t>(para cada tramo) y entregado dentro de los siete días calendario siguientes a la firma del Acta de Comprobación de la Infraestructura de cada tramo.</w:t>
      </w:r>
    </w:p>
    <w:p w14:paraId="5FD464F1" w14:textId="77777777" w:rsidR="005A11FF" w:rsidRP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lastRenderedPageBreak/>
        <w:t>El plan contendrá la planificación de las tareas necesarias para mantener los indicadores estipulados a lo largo de toda duración del contrato.</w:t>
      </w:r>
    </w:p>
    <w:p w14:paraId="7231508F" w14:textId="77777777" w:rsidR="005A11FF" w:rsidRDefault="005A11FF" w:rsidP="00A9381E">
      <w:pPr>
        <w:spacing w:after="120"/>
        <w:jc w:val="both"/>
        <w:rPr>
          <w:rFonts w:ascii="Arial" w:hAnsi="Arial" w:cs="Arial"/>
          <w:sz w:val="20"/>
          <w:szCs w:val="20"/>
          <w:lang w:val="es-UY"/>
        </w:rPr>
      </w:pPr>
      <w:r w:rsidRPr="005A11FF">
        <w:rPr>
          <w:rFonts w:ascii="Arial" w:hAnsi="Arial" w:cs="Arial"/>
          <w:sz w:val="20"/>
          <w:szCs w:val="20"/>
          <w:lang w:val="es-UY"/>
        </w:rPr>
        <w:t>Cada vez que el Contratista</w:t>
      </w:r>
      <w:r w:rsidR="00B14DCC">
        <w:rPr>
          <w:rFonts w:ascii="Arial" w:hAnsi="Arial" w:cs="Arial"/>
          <w:sz w:val="20"/>
          <w:szCs w:val="20"/>
          <w:lang w:val="es-UY"/>
        </w:rPr>
        <w:t xml:space="preserve"> </w:t>
      </w:r>
      <w:r w:rsidRPr="005A11FF">
        <w:rPr>
          <w:rFonts w:ascii="Arial" w:hAnsi="Arial" w:cs="Arial"/>
          <w:sz w:val="20"/>
          <w:szCs w:val="20"/>
          <w:lang w:val="es-UY"/>
        </w:rPr>
        <w:t>realice cambios en el tipo u oportunidad de las intervenciones que tenía previstas deberá comunicarlo previamente al Supervisor de Obra.</w:t>
      </w:r>
    </w:p>
    <w:p w14:paraId="68EC6413" w14:textId="77777777" w:rsidR="00377A8B" w:rsidRPr="00540FC2" w:rsidRDefault="00A25ABA" w:rsidP="00A9381E">
      <w:pPr>
        <w:jc w:val="both"/>
        <w:rPr>
          <w:rFonts w:ascii="Arial" w:hAnsi="Arial" w:cs="Arial"/>
          <w:sz w:val="20"/>
          <w:szCs w:val="20"/>
          <w:lang w:val="es-UY"/>
        </w:rPr>
      </w:pPr>
      <w:r w:rsidRPr="00540FC2">
        <w:rPr>
          <w:rFonts w:ascii="Arial" w:hAnsi="Arial" w:cs="Arial"/>
          <w:sz w:val="20"/>
          <w:szCs w:val="20"/>
          <w:lang w:val="es-UY"/>
        </w:rPr>
        <w:t>Los planes y programas de mantenimiento y reposiciones que sustituyan al vigente se entregarán al menos sesenta (60) días antes de la fecha en que esté previsto el inicio de su vigencia.</w:t>
      </w:r>
    </w:p>
    <w:p w14:paraId="4FC81CEB" w14:textId="77777777" w:rsidR="00A25ABA" w:rsidRPr="00A25ABA" w:rsidRDefault="00A25ABA" w:rsidP="00A9381E">
      <w:pPr>
        <w:jc w:val="both"/>
        <w:rPr>
          <w:rFonts w:ascii="Arial" w:hAnsi="Arial" w:cs="Arial"/>
          <w:sz w:val="20"/>
          <w:szCs w:val="20"/>
          <w:lang w:val="es-UY"/>
        </w:rPr>
      </w:pPr>
      <w:r w:rsidRPr="00540FC2">
        <w:rPr>
          <w:rFonts w:ascii="Arial" w:hAnsi="Arial" w:cs="Arial"/>
          <w:sz w:val="20"/>
          <w:szCs w:val="20"/>
          <w:lang w:val="es-UY"/>
        </w:rPr>
        <w:t xml:space="preserve">Cualquier modificación estará sujeta a la aprobación del Supervisor de </w:t>
      </w:r>
      <w:r w:rsidR="00377A8B" w:rsidRPr="00540FC2">
        <w:rPr>
          <w:rFonts w:ascii="Arial" w:hAnsi="Arial" w:cs="Arial"/>
          <w:sz w:val="20"/>
          <w:szCs w:val="20"/>
          <w:lang w:val="es-UY"/>
        </w:rPr>
        <w:t>Obra</w:t>
      </w:r>
      <w:r w:rsidRPr="00540FC2">
        <w:rPr>
          <w:rFonts w:ascii="Arial" w:hAnsi="Arial" w:cs="Arial"/>
          <w:sz w:val="20"/>
          <w:szCs w:val="20"/>
          <w:lang w:val="es-UY"/>
        </w:rPr>
        <w:t>.</w:t>
      </w:r>
    </w:p>
    <w:p w14:paraId="4B0A526A" w14:textId="77777777" w:rsidR="00A25ABA" w:rsidRPr="005A11FF" w:rsidRDefault="00A25ABA" w:rsidP="005A11FF">
      <w:pPr>
        <w:spacing w:after="120"/>
        <w:jc w:val="both"/>
        <w:rPr>
          <w:rFonts w:ascii="Arial" w:hAnsi="Arial" w:cs="Arial"/>
          <w:sz w:val="20"/>
          <w:szCs w:val="20"/>
          <w:lang w:val="es-UY"/>
        </w:rPr>
      </w:pPr>
    </w:p>
    <w:p w14:paraId="66088DB0" w14:textId="77777777" w:rsidR="005A11FF" w:rsidRPr="00CC6530" w:rsidRDefault="005A11FF" w:rsidP="004C3C3B">
      <w:pPr>
        <w:pStyle w:val="T1"/>
        <w:numPr>
          <w:ilvl w:val="0"/>
          <w:numId w:val="90"/>
        </w:numPr>
        <w:outlineLvl w:val="2"/>
      </w:pPr>
      <w:bookmarkStart w:id="764" w:name="_Toc400636163"/>
      <w:bookmarkStart w:id="765" w:name="_Toc468288067"/>
      <w:bookmarkStart w:id="766" w:name="_Toc496266661"/>
      <w:bookmarkStart w:id="767" w:name="Lit_62"/>
      <w:r w:rsidRPr="00CC6530">
        <w:t>BITÁCORA DEL CONTRATO</w:t>
      </w:r>
      <w:bookmarkEnd w:id="764"/>
      <w:bookmarkEnd w:id="765"/>
      <w:bookmarkEnd w:id="766"/>
    </w:p>
    <w:bookmarkEnd w:id="767"/>
    <w:p w14:paraId="7130895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 bitácora del contrato se documentará mediante el software de gestión mencionado en el presente capítulo. </w:t>
      </w:r>
    </w:p>
    <w:p w14:paraId="6E11470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w:t>
      </w:r>
      <w:r w:rsidR="00B14DCC">
        <w:rPr>
          <w:rFonts w:ascii="Arial" w:hAnsi="Arial" w:cs="Arial"/>
          <w:sz w:val="20"/>
          <w:szCs w:val="20"/>
          <w:lang w:val="es-UY"/>
        </w:rPr>
        <w:t xml:space="preserve"> </w:t>
      </w:r>
      <w:r w:rsidRPr="005A11FF">
        <w:rPr>
          <w:rFonts w:ascii="Arial" w:hAnsi="Arial" w:cs="Arial"/>
          <w:sz w:val="20"/>
          <w:szCs w:val="20"/>
          <w:lang w:val="es-UY"/>
        </w:rPr>
        <w:t>informará diariamente mediante este software de todas las incidencias que se hayan producido en el circuito según se describe en el Capítulo XV.</w:t>
      </w:r>
    </w:p>
    <w:p w14:paraId="27DF174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La correcta instalación de este software, su mantenimiento, actualización, capacitación a los usuarios, reparación, sustitución total o parcial, y todas las operaciones necesarias para su normal funcionamiento serán responsabilidad del Contratista.</w:t>
      </w:r>
    </w:p>
    <w:p w14:paraId="348D1E7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Contratista deberá prorratear los costos asociados a estas tareas incluyéndolo en el coeficiente f</w:t>
      </w:r>
      <w:r w:rsidRPr="005A11FF">
        <w:rPr>
          <w:sz w:val="24"/>
          <w:szCs w:val="24"/>
          <w:lang w:val="es-UY"/>
        </w:rPr>
        <w:t>₂</w:t>
      </w:r>
      <w:r w:rsidRPr="005A11FF">
        <w:rPr>
          <w:rFonts w:ascii="Arial" w:hAnsi="Arial" w:cs="Arial"/>
          <w:sz w:val="20"/>
          <w:szCs w:val="20"/>
          <w:lang w:val="es-UY"/>
        </w:rPr>
        <w:t xml:space="preserve"> cuya significación se explica en el </w:t>
      </w:r>
      <w:hyperlink w:anchor="A_2" w:history="1">
        <w:r w:rsidRPr="00507A68">
          <w:rPr>
            <w:rStyle w:val="Hipervnculo"/>
            <w:rFonts w:ascii="Arial" w:hAnsi="Arial" w:cs="Arial"/>
            <w:sz w:val="20"/>
            <w:szCs w:val="20"/>
            <w:lang w:val="es-UY"/>
          </w:rPr>
          <w:t>Anexo II</w:t>
        </w:r>
      </w:hyperlink>
      <w:r w:rsidRPr="005A11FF">
        <w:rPr>
          <w:rFonts w:ascii="Arial" w:hAnsi="Arial" w:cs="Arial"/>
          <w:sz w:val="20"/>
          <w:szCs w:val="20"/>
          <w:lang w:val="es-UY"/>
        </w:rPr>
        <w:t>.</w:t>
      </w:r>
    </w:p>
    <w:p w14:paraId="24D697F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Contratante podrá, en cualquier momento, auditar, calibrar y verificar el correcto funcionamiento del sistema.</w:t>
      </w:r>
    </w:p>
    <w:p w14:paraId="5791C02B" w14:textId="77777777" w:rsidR="005A11FF" w:rsidRPr="00CC6530" w:rsidRDefault="005A11FF" w:rsidP="004C3C3B">
      <w:pPr>
        <w:pStyle w:val="T1"/>
        <w:numPr>
          <w:ilvl w:val="0"/>
          <w:numId w:val="90"/>
        </w:numPr>
        <w:outlineLvl w:val="2"/>
      </w:pPr>
      <w:bookmarkStart w:id="768" w:name="_Toc400636164"/>
      <w:bookmarkStart w:id="769" w:name="_Toc468288068"/>
      <w:bookmarkStart w:id="770" w:name="_Toc496266662"/>
      <w:bookmarkStart w:id="771" w:name="Lit_63"/>
      <w:r w:rsidRPr="00CC6530">
        <w:t>SONDEOS DE CAUCE</w:t>
      </w:r>
      <w:bookmarkEnd w:id="768"/>
      <w:bookmarkEnd w:id="769"/>
      <w:bookmarkEnd w:id="770"/>
    </w:p>
    <w:bookmarkEnd w:id="771"/>
    <w:p w14:paraId="0D8603B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 </w:t>
      </w:r>
      <w:r w:rsidR="00B410F1">
        <w:rPr>
          <w:rFonts w:ascii="Arial" w:hAnsi="Arial" w:cs="Arial"/>
          <w:sz w:val="20"/>
          <w:szCs w:val="20"/>
          <w:lang w:val="es-UY"/>
        </w:rPr>
        <w:t xml:space="preserve">El </w:t>
      </w:r>
      <w:r w:rsidRPr="005A11FF">
        <w:rPr>
          <w:rFonts w:ascii="Arial" w:hAnsi="Arial" w:cs="Arial"/>
          <w:sz w:val="20"/>
          <w:szCs w:val="20"/>
          <w:lang w:val="es-UY"/>
        </w:rPr>
        <w:t>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efectuará sondeos de cauce en los cursos de los puentes con frecuencia semestral y siempre luego de lluvias o crecidas importantes, los que se incluirán en los informes correspondientes. </w:t>
      </w:r>
    </w:p>
    <w:p w14:paraId="694A6CD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particular se tomarán los niveles de terreno iniciales al comienzo del contrato. Las medidas se tomarán con una soga graduada con precisión de 1 cm y una pesa, aguas arriba y abajo, en cada pila intermedia y en los estribos, indicando el nivel de referencia (de preferencia la cara superior de la vereda o de las defensas en su caso). </w:t>
      </w:r>
    </w:p>
    <w:p w14:paraId="673F0FC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Las mediciones serán registradas y procesadas en el software de gestión.</w:t>
      </w:r>
    </w:p>
    <w:p w14:paraId="794D6004" w14:textId="77777777" w:rsidR="005A11FF" w:rsidRPr="00CC6530" w:rsidRDefault="005A11FF" w:rsidP="004C3C3B">
      <w:pPr>
        <w:pStyle w:val="T1"/>
        <w:numPr>
          <w:ilvl w:val="0"/>
          <w:numId w:val="90"/>
        </w:numPr>
        <w:outlineLvl w:val="2"/>
      </w:pPr>
      <w:bookmarkStart w:id="772" w:name="_Toc400636165"/>
      <w:bookmarkStart w:id="773" w:name="_Toc468288069"/>
      <w:bookmarkStart w:id="774" w:name="_Toc496266663"/>
      <w:bookmarkStart w:id="775" w:name="Lit_64"/>
      <w:r w:rsidRPr="00CC6530">
        <w:t>INFORME AMBIENTAL</w:t>
      </w:r>
      <w:bookmarkEnd w:id="772"/>
      <w:bookmarkEnd w:id="773"/>
      <w:bookmarkEnd w:id="774"/>
    </w:p>
    <w:bookmarkEnd w:id="775"/>
    <w:p w14:paraId="28697D0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partir de la fecha de la toma de posesión el Contratista, en un plazo no mayor de 7 días, deberá presentar para su aprobación el Plan de Gestión Ambiental y luego durante todo el desarrollo del contrato deberá presentar los informes ambientales de acuerdo a lo dispuesto en el Manual Ambiental para obras viales.</w:t>
      </w:r>
    </w:p>
    <w:p w14:paraId="71EE4DE1" w14:textId="77777777" w:rsidR="005A11FF" w:rsidRPr="001846D9" w:rsidRDefault="005A11FF" w:rsidP="000F5C7C">
      <w:pPr>
        <w:pStyle w:val="T0"/>
        <w:outlineLvl w:val="0"/>
      </w:pPr>
      <w:r w:rsidRPr="005A11FF">
        <w:rPr>
          <w:b w:val="0"/>
          <w:bCs w:val="0"/>
        </w:rPr>
        <w:br w:type="page"/>
      </w:r>
      <w:bookmarkStart w:id="776" w:name="_Toc400636166"/>
      <w:bookmarkStart w:id="777" w:name="_Toc468288070"/>
      <w:bookmarkStart w:id="778" w:name="_Toc496266664"/>
      <w:bookmarkStart w:id="779" w:name="CAP_13"/>
      <w:r w:rsidRPr="001846D9">
        <w:lastRenderedPageBreak/>
        <w:t>CAPITULO XIII: ESTÁNDARES Y NIVELES DE SERVICIO.</w:t>
      </w:r>
      <w:bookmarkEnd w:id="776"/>
      <w:bookmarkEnd w:id="777"/>
      <w:bookmarkEnd w:id="778"/>
    </w:p>
    <w:p w14:paraId="5E2EB6DC" w14:textId="77777777" w:rsidR="005A11FF" w:rsidRPr="00942670" w:rsidRDefault="005A11FF" w:rsidP="00A9381E">
      <w:pPr>
        <w:jc w:val="both"/>
        <w:rPr>
          <w:rFonts w:ascii="Arial" w:eastAsia="Calibri" w:hAnsi="Arial" w:cs="Arial"/>
          <w:caps/>
          <w:sz w:val="21"/>
          <w:szCs w:val="21"/>
          <w:lang w:val="es-ES_tradnl" w:eastAsia="es-ES"/>
        </w:rPr>
      </w:pPr>
      <w:bookmarkStart w:id="780" w:name="_Toc400636167"/>
      <w:bookmarkEnd w:id="779"/>
      <w:r w:rsidRPr="00942670">
        <w:rPr>
          <w:rFonts w:ascii="Arial" w:eastAsia="Calibri" w:hAnsi="Arial" w:cs="Arial"/>
          <w:caps/>
          <w:sz w:val="21"/>
          <w:szCs w:val="21"/>
          <w:lang w:val="es-ES_tradnl" w:eastAsia="es-ES"/>
        </w:rPr>
        <w:t>TIPOS DE ESTÁNDARES</w:t>
      </w:r>
      <w:bookmarkEnd w:id="780"/>
    </w:p>
    <w:p w14:paraId="4129F528"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Para los distintos elementos de la carretera que integran el contrato se establecen distintos indicadores de estado denominados estándares de mantenimiento.</w:t>
      </w:r>
    </w:p>
    <w:p w14:paraId="01AED434"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Estos estándares se clasifican en dos tipos: básicos y complementarios.</w:t>
      </w:r>
    </w:p>
    <w:p w14:paraId="2B0F8C1C" w14:textId="77777777" w:rsidR="005A11FF" w:rsidRPr="005A11FF" w:rsidRDefault="005A11FF" w:rsidP="00A9381E">
      <w:pPr>
        <w:jc w:val="both"/>
        <w:rPr>
          <w:rFonts w:ascii="Arial" w:eastAsia="Calibri" w:hAnsi="Arial" w:cs="Arial"/>
          <w:caps/>
          <w:sz w:val="21"/>
          <w:szCs w:val="21"/>
          <w:lang w:val="es-ES_tradnl" w:eastAsia="es-ES"/>
        </w:rPr>
      </w:pPr>
      <w:bookmarkStart w:id="781" w:name="_Toc400636168"/>
      <w:r w:rsidRPr="005A11FF">
        <w:rPr>
          <w:rFonts w:ascii="Arial" w:eastAsia="Calibri" w:hAnsi="Arial" w:cs="Arial"/>
          <w:caps/>
          <w:sz w:val="21"/>
          <w:szCs w:val="21"/>
          <w:lang w:val="es-ES_tradnl" w:eastAsia="es-ES"/>
        </w:rPr>
        <w:t>Estándares básicos</w:t>
      </w:r>
      <w:bookmarkEnd w:id="781"/>
    </w:p>
    <w:p w14:paraId="0E7ED103"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Refieren a estándares cuyo incumplimiento, catalogado como defecto, compromete la seguridad del usuario, requiriendo una inmediata respuesta para su solución.</w:t>
      </w:r>
    </w:p>
    <w:p w14:paraId="32252B78" w14:textId="77777777" w:rsidR="005A11FF" w:rsidRPr="002545EC" w:rsidRDefault="005A11FF" w:rsidP="00A9381E">
      <w:pPr>
        <w:jc w:val="both"/>
        <w:rPr>
          <w:rFonts w:ascii="Arial" w:eastAsia="Calibri" w:hAnsi="Arial" w:cs="Arial"/>
          <w:caps/>
          <w:sz w:val="21"/>
          <w:szCs w:val="21"/>
          <w:lang w:val="es-ES_tradnl" w:eastAsia="es-ES"/>
        </w:rPr>
      </w:pPr>
      <w:bookmarkStart w:id="782" w:name="_Toc400636169"/>
      <w:r w:rsidRPr="002545EC">
        <w:rPr>
          <w:rFonts w:ascii="Arial" w:eastAsia="Calibri" w:hAnsi="Arial" w:cs="Arial"/>
          <w:caps/>
          <w:sz w:val="21"/>
          <w:szCs w:val="21"/>
          <w:lang w:val="es-ES_tradnl" w:eastAsia="es-ES"/>
        </w:rPr>
        <w:t>Estándares complementarios</w:t>
      </w:r>
      <w:bookmarkEnd w:id="782"/>
    </w:p>
    <w:p w14:paraId="57016A17" w14:textId="77777777" w:rsidR="005A11FF" w:rsidRPr="005A11FF" w:rsidRDefault="005A11FF" w:rsidP="00A9381E">
      <w:pPr>
        <w:jc w:val="both"/>
        <w:rPr>
          <w:rFonts w:ascii="Arial" w:hAnsi="Arial" w:cs="Arial"/>
          <w:sz w:val="20"/>
          <w:szCs w:val="20"/>
          <w:lang w:val="es-UY"/>
        </w:rPr>
      </w:pPr>
      <w:r w:rsidRPr="005A11FF">
        <w:rPr>
          <w:rFonts w:ascii="Arial" w:hAnsi="Arial" w:cs="Arial"/>
          <w:sz w:val="20"/>
          <w:szCs w:val="20"/>
          <w:lang w:val="es-UY"/>
        </w:rPr>
        <w:t>Estos estándares están directamente relacionados con el mantenimiento preventivo del contrato</w:t>
      </w:r>
      <w:r w:rsidRPr="005A11FF">
        <w:rPr>
          <w:rFonts w:ascii="Arial" w:hAnsi="Arial" w:cs="Arial"/>
          <w:b/>
          <w:bCs/>
          <w:sz w:val="20"/>
          <w:szCs w:val="20"/>
          <w:lang w:val="es-UY"/>
        </w:rPr>
        <w:t xml:space="preserve">, </w:t>
      </w:r>
      <w:r w:rsidRPr="005A11FF">
        <w:rPr>
          <w:rFonts w:ascii="Arial" w:hAnsi="Arial" w:cs="Arial"/>
          <w:sz w:val="20"/>
          <w:szCs w:val="20"/>
          <w:lang w:val="es-UY"/>
        </w:rPr>
        <w:t>su finalidad es desacelerar el deterioro de la infraestructura. La corrección de un incumplimiento de este tipo no necesariamente amerita un plazo de respuesta inmediato si no compromete la seguridad del usuario.</w:t>
      </w:r>
    </w:p>
    <w:p w14:paraId="6C4FE9D7" w14:textId="77777777" w:rsidR="005A11FF" w:rsidRPr="00CC6530" w:rsidRDefault="005A11FF" w:rsidP="004C3C3B">
      <w:pPr>
        <w:pStyle w:val="T1"/>
        <w:numPr>
          <w:ilvl w:val="0"/>
          <w:numId w:val="90"/>
        </w:numPr>
        <w:outlineLvl w:val="2"/>
      </w:pPr>
      <w:bookmarkStart w:id="783" w:name="Lit_65"/>
      <w:bookmarkStart w:id="784" w:name="_Toc400636170"/>
      <w:bookmarkStart w:id="785" w:name="_Toc468288071"/>
      <w:bookmarkStart w:id="786" w:name="_Toc496266665"/>
      <w:r w:rsidRPr="00CC6530">
        <w:lastRenderedPageBreak/>
        <w:t xml:space="preserve">NATURALEZA Y FRECUENCIA DE LAS EVALUACIONES PARA VERIFICAR EL </w:t>
      </w:r>
      <w:bookmarkEnd w:id="783"/>
      <w:r w:rsidRPr="00CC6530">
        <w:t>CUMPLIMIENTO DE INDICADORES TÉCNICOS DE DISPONIBILIDAD</w:t>
      </w:r>
      <w:bookmarkEnd w:id="784"/>
      <w:bookmarkEnd w:id="785"/>
      <w:bookmarkEnd w:id="786"/>
    </w:p>
    <w:p w14:paraId="50CAD61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verificar el cumplimiento de los estándares de mantenimiento y cuando correspondiere calcular el Nivel de Servicio al Usuario y el IRI se realizarán las siguientes evaluaciones:</w:t>
      </w:r>
    </w:p>
    <w:p w14:paraId="1084FDDD" w14:textId="77777777" w:rsidR="005A11FF" w:rsidRPr="00942670" w:rsidRDefault="005A11FF" w:rsidP="009A58E0">
      <w:pPr>
        <w:pStyle w:val="Prrafodelista"/>
        <w:numPr>
          <w:ilvl w:val="0"/>
          <w:numId w:val="120"/>
        </w:numPr>
        <w:rPr>
          <w:rFonts w:ascii="Arial" w:eastAsia="Calibri" w:hAnsi="Arial" w:cs="Arial"/>
          <w:caps/>
          <w:sz w:val="21"/>
          <w:szCs w:val="21"/>
          <w:lang w:val="es-ES_tradnl" w:eastAsia="es-ES"/>
        </w:rPr>
      </w:pPr>
      <w:bookmarkStart w:id="787" w:name="_Toc400636171"/>
      <w:r w:rsidRPr="00942670">
        <w:rPr>
          <w:rFonts w:ascii="Arial" w:eastAsia="Calibri" w:hAnsi="Arial" w:cs="Arial"/>
          <w:caps/>
          <w:sz w:val="21"/>
          <w:szCs w:val="21"/>
          <w:lang w:val="es-ES_tradnl" w:eastAsia="es-ES"/>
        </w:rPr>
        <w:t>Evaluaciones de frecuencia no programada</w:t>
      </w:r>
      <w:bookmarkEnd w:id="787"/>
    </w:p>
    <w:p w14:paraId="590BCD4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por sí mismo o a través del Supervisor de Obra, en cualquier momento y tramo de ruta, y sin previo aviso al Contratista, realizará evaluaciones para verificar el cumplimiento de todas las obligaciones contractuales.</w:t>
      </w:r>
    </w:p>
    <w:p w14:paraId="34CE9C9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este tipo de evaluación se tomarán en cuenta sólo los estándares básicos de mantenimiento y, a juicio del Órgano de Control, aquellos estándares complementarios cuyo apartamiento respecto de los valores exigidos sea de tal magnitud que comprometa la seguridad del usuario, o de la estructura evaluada, para los que el Supervisor de Obra podrá reducir el plazo de respuesta a los valores que estime conveniente.</w:t>
      </w:r>
    </w:p>
    <w:p w14:paraId="755951F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objetivo de estas evaluaciones es detectar eventuales incumplimientos que a juicio de quien las realice comprometan la seguridad </w:t>
      </w:r>
      <w:r w:rsidRPr="005A11FF">
        <w:rPr>
          <w:rFonts w:ascii="Arial" w:hAnsi="Arial" w:cs="Arial"/>
          <w:sz w:val="20"/>
          <w:szCs w:val="20"/>
          <w:lang w:val="es-UY"/>
        </w:rPr>
        <w:lastRenderedPageBreak/>
        <w:t>de los usuarios, de la infraestructura, de las condiciones y prácticas laborales, técnicas constructivas y demás obligaciones contractuales.</w:t>
      </w:r>
    </w:p>
    <w:p w14:paraId="7EAA9B7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caso de que se detectaran incumplimientos que hubieran sido informados a través de la Bitácora del Contrato y se estuvieren tomando las medidas allí indicadas se verificará su grado de avance y la fecha prevista para la normalización de la situación.</w:t>
      </w:r>
    </w:p>
    <w:p w14:paraId="721C091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se detectaran incumplimientos que no hubieran sido informados a través de la Bitácora del Contrato, estos serán comunicados al Contratista.</w:t>
      </w:r>
    </w:p>
    <w:p w14:paraId="38967D5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Será obligación del Contratista responder con un comunicado de obra especificando las medidas a tomar e incluir el incidente en la Bitácora del Contrato.</w:t>
      </w:r>
    </w:p>
    <w:p w14:paraId="0054654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 reiteración de incumplimientos no informados a los estándares básicos de mantenimiento, según lo establecido en el Capítulo XV y cláusula </w:t>
      </w:r>
      <w:r w:rsidR="002545EC">
        <w:rPr>
          <w:rFonts w:ascii="Arial" w:hAnsi="Arial" w:cs="Arial"/>
          <w:sz w:val="20"/>
          <w:szCs w:val="20"/>
          <w:lang w:val="es-UY"/>
        </w:rPr>
        <w:t>77</w:t>
      </w:r>
      <w:r w:rsidRPr="005A11FF">
        <w:rPr>
          <w:rFonts w:ascii="Arial" w:hAnsi="Arial" w:cs="Arial"/>
          <w:sz w:val="20"/>
          <w:szCs w:val="20"/>
          <w:lang w:val="es-UY"/>
        </w:rPr>
        <w:t xml:space="preserve"> de la presente sección, dará lugar a la cancelación de la modalidad de autocontrol con las consecuencias previstas en lo referido a penalidades por incumplimientos del autocontrol.</w:t>
      </w:r>
    </w:p>
    <w:p w14:paraId="40BE1E5F"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Con este tipo de evaluación se controlará también lo estipulado en la cláusula 61.</w:t>
      </w:r>
      <w:r w:rsidR="00BD151F">
        <w:rPr>
          <w:rFonts w:ascii="Arial" w:hAnsi="Arial" w:cs="Arial"/>
          <w:sz w:val="20"/>
          <w:szCs w:val="20"/>
          <w:lang w:val="es-UY"/>
        </w:rPr>
        <w:t xml:space="preserve"> </w:t>
      </w:r>
      <w:r w:rsidRPr="005A11FF">
        <w:rPr>
          <w:rFonts w:ascii="Arial" w:hAnsi="Arial" w:cs="Arial"/>
          <w:sz w:val="20"/>
          <w:szCs w:val="20"/>
          <w:lang w:val="es-UY"/>
        </w:rPr>
        <w:t>En este caso se penalizarán esos incumplimientos a pesar de haber sido informados.</w:t>
      </w:r>
    </w:p>
    <w:p w14:paraId="58A00A96" w14:textId="77777777" w:rsidR="00457180" w:rsidRDefault="00457180" w:rsidP="00457180">
      <w:pPr>
        <w:rPr>
          <w:rFonts w:ascii="Arial" w:eastAsia="Calibri" w:hAnsi="Arial" w:cs="Arial"/>
          <w:caps/>
          <w:sz w:val="21"/>
          <w:szCs w:val="21"/>
          <w:lang w:val="es-ES_tradnl"/>
        </w:rPr>
      </w:pPr>
    </w:p>
    <w:p w14:paraId="0EC3102F" w14:textId="77777777" w:rsidR="00457180" w:rsidRPr="00E62943" w:rsidRDefault="00457180" w:rsidP="00E62943">
      <w:pPr>
        <w:pStyle w:val="Prrafodelista"/>
        <w:numPr>
          <w:ilvl w:val="0"/>
          <w:numId w:val="120"/>
        </w:numPr>
        <w:rPr>
          <w:rFonts w:ascii="Arial" w:eastAsia="Calibri" w:hAnsi="Arial" w:cs="Arial"/>
          <w:caps/>
          <w:sz w:val="21"/>
          <w:szCs w:val="21"/>
          <w:lang w:val="es-ES_tradnl"/>
        </w:rPr>
      </w:pPr>
      <w:r w:rsidRPr="00E62943">
        <w:rPr>
          <w:rFonts w:ascii="Arial" w:eastAsia="Calibri" w:hAnsi="Arial" w:cs="Arial"/>
          <w:caps/>
          <w:sz w:val="21"/>
          <w:szCs w:val="21"/>
          <w:lang w:val="es-ES_tradnl"/>
        </w:rPr>
        <w:lastRenderedPageBreak/>
        <w:t>Evaluaciones programadas de frecuencia pre establecidas</w:t>
      </w:r>
    </w:p>
    <w:p w14:paraId="6C509FEE" w14:textId="77777777" w:rsidR="00457180" w:rsidRDefault="00457180" w:rsidP="00457180">
      <w:pPr>
        <w:autoSpaceDE w:val="0"/>
        <w:autoSpaceDN w:val="0"/>
        <w:adjustRightInd w:val="0"/>
        <w:spacing w:after="120"/>
        <w:rPr>
          <w:rFonts w:ascii="Arial" w:eastAsiaTheme="minorEastAsia" w:hAnsi="Arial" w:cs="Arial"/>
          <w:sz w:val="20"/>
          <w:szCs w:val="20"/>
          <w:lang w:val="es-UY"/>
        </w:rPr>
      </w:pPr>
      <w:r>
        <w:rPr>
          <w:rFonts w:ascii="Arial" w:hAnsi="Arial" w:cs="Arial"/>
          <w:sz w:val="20"/>
          <w:szCs w:val="20"/>
          <w:lang w:val="es-UY"/>
        </w:rPr>
        <w:t>La evaluación del indicador correspondiente al Nivel de Servicio al Usuario se realizará trimestralmente en los meses siguientes:</w:t>
      </w:r>
    </w:p>
    <w:p w14:paraId="6C146AE3" w14:textId="2FD09EFA" w:rsidR="00457180" w:rsidRDefault="00BC4A85" w:rsidP="00F9377F">
      <w:pPr>
        <w:numPr>
          <w:ilvl w:val="0"/>
          <w:numId w:val="120"/>
        </w:num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Agosto</w:t>
      </w:r>
      <w:r w:rsidR="00457180">
        <w:rPr>
          <w:rFonts w:ascii="Arial" w:hAnsi="Arial" w:cs="Arial"/>
          <w:sz w:val="20"/>
          <w:szCs w:val="20"/>
          <w:lang w:val="es-UY"/>
        </w:rPr>
        <w:t>, correspondiente al trimestre, Mayo</w:t>
      </w:r>
      <w:r>
        <w:rPr>
          <w:rFonts w:ascii="Arial" w:hAnsi="Arial" w:cs="Arial"/>
          <w:sz w:val="20"/>
          <w:szCs w:val="20"/>
          <w:lang w:val="es-UY"/>
        </w:rPr>
        <w:t>,</w:t>
      </w:r>
      <w:r w:rsidR="00457180">
        <w:rPr>
          <w:rFonts w:ascii="Arial" w:hAnsi="Arial" w:cs="Arial"/>
          <w:sz w:val="20"/>
          <w:szCs w:val="20"/>
          <w:lang w:val="es-UY"/>
        </w:rPr>
        <w:t xml:space="preserve"> Junio</w:t>
      </w:r>
      <w:r>
        <w:rPr>
          <w:rFonts w:ascii="Arial" w:hAnsi="Arial" w:cs="Arial"/>
          <w:sz w:val="20"/>
          <w:szCs w:val="20"/>
          <w:lang w:val="es-UY"/>
        </w:rPr>
        <w:t xml:space="preserve"> y Julio</w:t>
      </w:r>
    </w:p>
    <w:p w14:paraId="6655895D" w14:textId="2FBB9195" w:rsidR="00457180" w:rsidRDefault="00BC4A85" w:rsidP="00F9377F">
      <w:pPr>
        <w:numPr>
          <w:ilvl w:val="0"/>
          <w:numId w:val="120"/>
        </w:num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Noviembre</w:t>
      </w:r>
      <w:r w:rsidR="00457180">
        <w:rPr>
          <w:rFonts w:ascii="Arial" w:hAnsi="Arial" w:cs="Arial"/>
          <w:sz w:val="20"/>
          <w:szCs w:val="20"/>
          <w:lang w:val="es-UY"/>
        </w:rPr>
        <w:t>, correspondiente al trimestre, Agosto</w:t>
      </w:r>
      <w:r>
        <w:rPr>
          <w:rFonts w:ascii="Arial" w:hAnsi="Arial" w:cs="Arial"/>
          <w:sz w:val="20"/>
          <w:szCs w:val="20"/>
          <w:lang w:val="es-UY"/>
        </w:rPr>
        <w:t>,</w:t>
      </w:r>
      <w:r w:rsidR="00457180">
        <w:rPr>
          <w:rFonts w:ascii="Arial" w:hAnsi="Arial" w:cs="Arial"/>
          <w:sz w:val="20"/>
          <w:szCs w:val="20"/>
          <w:lang w:val="es-UY"/>
        </w:rPr>
        <w:t xml:space="preserve"> Setiembre</w:t>
      </w:r>
      <w:r>
        <w:rPr>
          <w:rFonts w:ascii="Arial" w:hAnsi="Arial" w:cs="Arial"/>
          <w:sz w:val="20"/>
          <w:szCs w:val="20"/>
          <w:lang w:val="es-UY"/>
        </w:rPr>
        <w:t xml:space="preserve"> y Octubre</w:t>
      </w:r>
    </w:p>
    <w:p w14:paraId="7A839B35" w14:textId="52E0B39C" w:rsidR="00457180" w:rsidRDefault="00BC4A85" w:rsidP="00F9377F">
      <w:pPr>
        <w:numPr>
          <w:ilvl w:val="0"/>
          <w:numId w:val="120"/>
        </w:num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Febrero</w:t>
      </w:r>
      <w:r w:rsidR="00457180">
        <w:rPr>
          <w:rFonts w:ascii="Arial" w:hAnsi="Arial" w:cs="Arial"/>
          <w:sz w:val="20"/>
          <w:szCs w:val="20"/>
          <w:lang w:val="es-UY"/>
        </w:rPr>
        <w:t>, correspondiente al trimestre Noviembre</w:t>
      </w:r>
      <w:r>
        <w:rPr>
          <w:rFonts w:ascii="Arial" w:hAnsi="Arial" w:cs="Arial"/>
          <w:sz w:val="20"/>
          <w:szCs w:val="20"/>
          <w:lang w:val="es-UY"/>
        </w:rPr>
        <w:t>,</w:t>
      </w:r>
      <w:r w:rsidR="00457180">
        <w:rPr>
          <w:rFonts w:ascii="Arial" w:hAnsi="Arial" w:cs="Arial"/>
          <w:sz w:val="20"/>
          <w:szCs w:val="20"/>
          <w:lang w:val="es-UY"/>
        </w:rPr>
        <w:t xml:space="preserve"> Diciembre</w:t>
      </w:r>
      <w:r>
        <w:rPr>
          <w:rFonts w:ascii="Arial" w:hAnsi="Arial" w:cs="Arial"/>
          <w:sz w:val="20"/>
          <w:szCs w:val="20"/>
          <w:lang w:val="es-UY"/>
        </w:rPr>
        <w:t xml:space="preserve"> y Enero</w:t>
      </w:r>
    </w:p>
    <w:p w14:paraId="25E64C12" w14:textId="79C4B12C" w:rsidR="00457180" w:rsidRDefault="00BC4A85" w:rsidP="00F9377F">
      <w:pPr>
        <w:numPr>
          <w:ilvl w:val="0"/>
          <w:numId w:val="120"/>
        </w:numPr>
        <w:autoSpaceDE w:val="0"/>
        <w:autoSpaceDN w:val="0"/>
        <w:adjustRightInd w:val="0"/>
        <w:spacing w:after="120"/>
        <w:jc w:val="both"/>
        <w:rPr>
          <w:rFonts w:ascii="Arial" w:hAnsi="Arial" w:cs="Arial"/>
          <w:sz w:val="20"/>
          <w:szCs w:val="20"/>
          <w:lang w:val="es-UY"/>
        </w:rPr>
      </w:pPr>
      <w:r>
        <w:rPr>
          <w:rFonts w:ascii="Arial" w:hAnsi="Arial" w:cs="Arial"/>
          <w:sz w:val="20"/>
          <w:szCs w:val="20"/>
          <w:lang w:val="es-UY"/>
        </w:rPr>
        <w:t>Mayo</w:t>
      </w:r>
      <w:r w:rsidR="00457180">
        <w:rPr>
          <w:rFonts w:ascii="Arial" w:hAnsi="Arial" w:cs="Arial"/>
          <w:sz w:val="20"/>
          <w:szCs w:val="20"/>
          <w:lang w:val="es-UY"/>
        </w:rPr>
        <w:t>, correspondiente al trimestre Febrero</w:t>
      </w:r>
      <w:r>
        <w:rPr>
          <w:rFonts w:ascii="Arial" w:hAnsi="Arial" w:cs="Arial"/>
          <w:sz w:val="20"/>
          <w:szCs w:val="20"/>
          <w:lang w:val="es-UY"/>
        </w:rPr>
        <w:t>,</w:t>
      </w:r>
      <w:r w:rsidR="00457180">
        <w:rPr>
          <w:rFonts w:ascii="Arial" w:hAnsi="Arial" w:cs="Arial"/>
          <w:sz w:val="20"/>
          <w:szCs w:val="20"/>
          <w:lang w:val="es-UY"/>
        </w:rPr>
        <w:t xml:space="preserve"> Marzo</w:t>
      </w:r>
      <w:r>
        <w:rPr>
          <w:rFonts w:ascii="Arial" w:hAnsi="Arial" w:cs="Arial"/>
          <w:sz w:val="20"/>
          <w:szCs w:val="20"/>
          <w:lang w:val="es-UY"/>
        </w:rPr>
        <w:t xml:space="preserve"> y Abril</w:t>
      </w:r>
    </w:p>
    <w:p w14:paraId="2320AC31" w14:textId="77777777" w:rsidR="00C66D6B" w:rsidRPr="00242208" w:rsidRDefault="00C66D6B" w:rsidP="00C66D6B">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En estas evaluaciones se controlarán todos los estándares de mantenimiento que correspondan según la frecuencia establecida en el </w:t>
      </w:r>
      <w:hyperlink w:anchor="A_9" w:history="1">
        <w:r w:rsidRPr="00242208">
          <w:rPr>
            <w:rStyle w:val="Hipervnculo"/>
            <w:rFonts w:ascii="Arial" w:hAnsi="Arial" w:cs="Arial"/>
            <w:sz w:val="20"/>
            <w:szCs w:val="20"/>
            <w:lang w:val="es-UY"/>
          </w:rPr>
          <w:t>Anexo IX</w:t>
        </w:r>
      </w:hyperlink>
      <w:r w:rsidRPr="00242208">
        <w:rPr>
          <w:rFonts w:ascii="Arial" w:hAnsi="Arial" w:cs="Arial"/>
          <w:sz w:val="20"/>
          <w:szCs w:val="20"/>
          <w:lang w:val="es-UY"/>
        </w:rPr>
        <w:t>.</w:t>
      </w:r>
    </w:p>
    <w:p w14:paraId="377AA0D4" w14:textId="230D24CB" w:rsidR="00C66D6B" w:rsidRPr="00242208" w:rsidRDefault="00C66D6B" w:rsidP="00C66D6B">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evaluación anual del indicador correspondiente al IRI se realizará en el mes de </w:t>
      </w:r>
      <w:r w:rsidR="007B4DDF">
        <w:rPr>
          <w:rFonts w:ascii="Arial" w:hAnsi="Arial" w:cs="Arial"/>
          <w:sz w:val="20"/>
          <w:szCs w:val="20"/>
          <w:lang w:val="es-UY"/>
        </w:rPr>
        <w:t>Noviembre</w:t>
      </w:r>
      <w:r w:rsidRPr="00242208">
        <w:rPr>
          <w:rFonts w:ascii="Arial" w:hAnsi="Arial" w:cs="Arial"/>
          <w:sz w:val="20"/>
          <w:szCs w:val="20"/>
          <w:lang w:val="es-UY"/>
        </w:rPr>
        <w:t xml:space="preserve">, calculándose el valor de los coeficientes técnicos de disponibilidad correspondientes según lo establecido en el </w:t>
      </w:r>
      <w:hyperlink w:anchor="CAP_14" w:history="1">
        <w:r w:rsidRPr="00242208">
          <w:rPr>
            <w:rStyle w:val="Hipervnculo"/>
            <w:rFonts w:ascii="Arial" w:hAnsi="Arial" w:cs="Arial"/>
            <w:sz w:val="20"/>
            <w:szCs w:val="20"/>
            <w:lang w:val="es-UY"/>
          </w:rPr>
          <w:t>CAPITULO XIV</w:t>
        </w:r>
      </w:hyperlink>
      <w:r w:rsidRPr="00242208">
        <w:rPr>
          <w:rFonts w:ascii="Arial" w:hAnsi="Arial" w:cs="Arial"/>
          <w:sz w:val="20"/>
          <w:szCs w:val="20"/>
          <w:lang w:val="es-UY"/>
        </w:rPr>
        <w:t>.</w:t>
      </w:r>
    </w:p>
    <w:p w14:paraId="67BF8D78" w14:textId="77777777" w:rsidR="00C66D6B" w:rsidRPr="007B4DDF" w:rsidRDefault="00C66D6B" w:rsidP="007B7A61">
      <w:pPr>
        <w:autoSpaceDE w:val="0"/>
        <w:autoSpaceDN w:val="0"/>
        <w:adjustRightInd w:val="0"/>
        <w:spacing w:after="120"/>
        <w:ind w:left="360"/>
        <w:jc w:val="both"/>
        <w:rPr>
          <w:rFonts w:ascii="Arial" w:hAnsi="Arial"/>
          <w:sz w:val="20"/>
          <w:lang w:val="es-UY"/>
        </w:rPr>
      </w:pPr>
    </w:p>
    <w:p w14:paraId="0C393371" w14:textId="69A0CDFC" w:rsidR="00A33236" w:rsidRPr="00242208" w:rsidRDefault="00A33236" w:rsidP="007B4DDF">
      <w:pPr>
        <w:pStyle w:val="Prrafodelista"/>
        <w:numPr>
          <w:ilvl w:val="0"/>
          <w:numId w:val="151"/>
        </w:numPr>
        <w:rPr>
          <w:rFonts w:ascii="Arial" w:eastAsia="Calibri" w:hAnsi="Arial" w:cs="Arial"/>
          <w:caps/>
          <w:sz w:val="21"/>
          <w:szCs w:val="21"/>
          <w:lang w:val="es-ES_tradnl" w:eastAsia="es-ES"/>
        </w:rPr>
      </w:pPr>
      <w:bookmarkStart w:id="788" w:name="_Toc400636173"/>
      <w:r w:rsidRPr="00242208">
        <w:rPr>
          <w:rFonts w:ascii="Arial" w:eastAsia="Calibri" w:hAnsi="Arial" w:cs="Arial"/>
          <w:caps/>
          <w:sz w:val="21"/>
          <w:szCs w:val="21"/>
          <w:lang w:val="es-ES_tradnl" w:eastAsia="es-ES"/>
        </w:rPr>
        <w:t>Evaluaciones de frecuencia trimestral</w:t>
      </w:r>
      <w:bookmarkEnd w:id="788"/>
    </w:p>
    <w:p w14:paraId="09771F0A"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En estas evaluaciones se considerarán los Estándares Básicos y Complementarios según la frecuencia que corresponda (trimestral o semestral), y se obtendrá el coeficiente correspondiente al Nivel de Servicio al Usuario en cada uno de los tramos.</w:t>
      </w:r>
    </w:p>
    <w:p w14:paraId="39EE83D2"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Estas evaluaciones trimestrales tienen por objeto valorar la gestión del Contratista, identificar defectos localizados y calcular el coeficiente técnico de disponibilidad ctd</w:t>
      </w:r>
      <w:r w:rsidRPr="00242208">
        <w:rPr>
          <w:sz w:val="24"/>
          <w:szCs w:val="24"/>
          <w:lang w:val="es-UY"/>
        </w:rPr>
        <w:t>₂</w:t>
      </w:r>
      <w:r w:rsidRPr="00242208">
        <w:rPr>
          <w:rFonts w:ascii="Arial" w:hAnsi="Arial" w:cs="Arial"/>
          <w:sz w:val="20"/>
          <w:szCs w:val="20"/>
          <w:lang w:val="es-UY"/>
        </w:rPr>
        <w:t xml:space="preserve"> correspondiente al pago de la Componente B como resultado de la prestación del servicio brindado al usuario. Esta evaluación se efectuará sobre una muestra de la red de aproximadamente 10% seleccionada al azar según la metodología establecida en el </w:t>
      </w:r>
      <w:hyperlink w:anchor="A_9" w:history="1">
        <w:r w:rsidRPr="00242208">
          <w:rPr>
            <w:rFonts w:ascii="Arial" w:hAnsi="Arial" w:cs="Arial"/>
            <w:color w:val="00A1DE"/>
            <w:sz w:val="20"/>
            <w:szCs w:val="20"/>
            <w:u w:val="single"/>
            <w:lang w:val="es-UY"/>
          </w:rPr>
          <w:t>Anexo IX</w:t>
        </w:r>
      </w:hyperlink>
      <w:r w:rsidRPr="00242208">
        <w:rPr>
          <w:rFonts w:ascii="Arial" w:hAnsi="Arial" w:cs="Arial"/>
          <w:sz w:val="20"/>
          <w:szCs w:val="20"/>
          <w:lang w:val="es-UY"/>
        </w:rPr>
        <w:t>.</w:t>
      </w:r>
    </w:p>
    <w:p w14:paraId="0E43EA2E"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fecha de la evaluación será comunicada al Contratista con un mínimo de 3 días calendario de anticipación.</w:t>
      </w:r>
    </w:p>
    <w:p w14:paraId="5E7BA6D9"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El primer día de la evaluación se realizará el sorteo de los kilómetros a evaluar labrándose un acta con el resultado del mismo (Acta de Inicio de la Evaluación), que será suscrita por el Supervisor de Obra y el Jefe de Mantenimiento.</w:t>
      </w:r>
    </w:p>
    <w:p w14:paraId="48BCBF41"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Finalizada la evaluación se labrará un acta, describiéndose los incumplimientos detectados (Acta de Finalización de la Evaluación), que será suscrita por el Supervisor de Obra de la Contratante y el Representante Técnico del Contratista y/o el Jefe de Mantenimiento del Contratista.</w:t>
      </w:r>
    </w:p>
    <w:p w14:paraId="0C01F416"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 xml:space="preserve">El Contratista podrá concurrir a la evaluación y efectuar los descargos correspondientes en el Acta de Evaluación de Inicio o Finalización, según corresponda. Si el Contratista no concurriese a la evaluación, el mismo no podrá formular descargos sobre la misma. </w:t>
      </w:r>
    </w:p>
    <w:p w14:paraId="41FDB0CE"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Durante el período comprendido entre el Acta de Inicio y el Acta de Finalización de la evaluación el Contratista no podrá realizar ninguna tarea en los kilómetros a evaluar salvo si la omisión pusiera en riesgo la seguridad de los usuarios en cuyo caso se requerirá una autorización escrita y fundada del Supervisor de Obra.</w:t>
      </w:r>
    </w:p>
    <w:p w14:paraId="3C74AD3F"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violación a la prohibición de realizar tareas en los kilómetros a evaluar, dará lugar a una multa de U$S 50.000 (dólares estadounidenses cincuenta mil) y 3 eventos de incumplimiento en el sistema de autocontrol, salvo que por los motivos expresados en el párrafo anterior existiera una autorización escrita y fundada del Supervisor de Obra.</w:t>
      </w:r>
    </w:p>
    <w:p w14:paraId="63271EA1"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Si las circunstancias impidieran obtener dicha autorización escrita y se hiciera necesaria una intervención urgente, el Contratista igualmente podrá realizar las tareas necesarias para evitar que se vea claramente afectada la seguridad para los usuarios informando a la brevedad los motivos que dieron origen a los trabajos. Este hecho no eximirá al contratista de haber incurrido en un incumplimiento.</w:t>
      </w:r>
    </w:p>
    <w:p w14:paraId="6ECEF109"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 xml:space="preserve">Independientemente de las consecuencias que amerite el resultado de la evaluación del Nivel de Servicio al Usuario, con respecto a los incumplimientos detectados se procederá de la siguiente forma: </w:t>
      </w:r>
    </w:p>
    <w:p w14:paraId="1401CB5A" w14:textId="77777777" w:rsidR="00A33236" w:rsidRPr="00242208" w:rsidRDefault="00A33236" w:rsidP="00A33236">
      <w:pPr>
        <w:numPr>
          <w:ilvl w:val="0"/>
          <w:numId w:val="72"/>
        </w:num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Incumplimiento de los estándares Básicos: por cada uno de estos estándares incumplidos se remitirá una orden de servicio indicando los plazos de respuesta para su reparación. Si el incumplimiento no hubiera sido debidamente informado en la bitácora de la obra se aplicará la multa correspondiente y se registrará el antecedente de inconformidad del equipo de autocontrol.</w:t>
      </w:r>
    </w:p>
    <w:p w14:paraId="23E2F086" w14:textId="77777777" w:rsidR="00A33236" w:rsidRPr="00242208" w:rsidRDefault="00A33236" w:rsidP="00A33236">
      <w:pPr>
        <w:numPr>
          <w:ilvl w:val="0"/>
          <w:numId w:val="72"/>
        </w:num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Incumplimiento de Estándares Complementarios: por cada uno de estos estándares incumplidos se remitirá una orden de servicio indicando un plazo de respuesta según lo establecido en el </w:t>
      </w:r>
      <w:hyperlink w:anchor="A_9" w:history="1">
        <w:r w:rsidRPr="00242208">
          <w:rPr>
            <w:rFonts w:ascii="Arial" w:hAnsi="Arial" w:cs="Arial"/>
            <w:color w:val="00A1DE"/>
            <w:sz w:val="20"/>
            <w:szCs w:val="20"/>
            <w:u w:val="single"/>
            <w:lang w:val="es-UY"/>
          </w:rPr>
          <w:t>Anexo IX</w:t>
        </w:r>
      </w:hyperlink>
      <w:r w:rsidRPr="00242208">
        <w:rPr>
          <w:rFonts w:ascii="Arial" w:hAnsi="Arial" w:cs="Arial"/>
          <w:sz w:val="20"/>
          <w:szCs w:val="20"/>
          <w:lang w:val="es-UY"/>
        </w:rPr>
        <w:t>. No obstante si a juicio del Supervisor de Obra el estándar compromete la seguridad del usuario o de la estructura evaluada este plazo podrá reducirse.</w:t>
      </w:r>
    </w:p>
    <w:p w14:paraId="5431FA54"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Una vez resueltos los incumplimientos por parte del Contratista éste notificará a través de la Bitácora del Contrato al Supervisor de Obra que deberá verificar y comunicar al Contratista lo constatado dentro de los cuatro días hábiles siguientes.</w:t>
      </w:r>
    </w:p>
    <w:p w14:paraId="1C5D447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 xml:space="preserve">La ausencia del Representante Técnico del Contratista y/o el Jefe de Mantenimiento del Contratista y/o la falta de descargos del Contratista en cualquiera de las actas, se consideran como conformidad de lo actuado y del resultado de la evaluación realizada por la contratante, validándolo. </w:t>
      </w:r>
    </w:p>
    <w:p w14:paraId="3E023199" w14:textId="77C7CF06" w:rsidR="00E62943" w:rsidRPr="00242208" w:rsidRDefault="00E62943" w:rsidP="00E62943">
      <w:pPr>
        <w:autoSpaceDE w:val="0"/>
        <w:autoSpaceDN w:val="0"/>
        <w:adjustRightInd w:val="0"/>
        <w:rPr>
          <w:rFonts w:ascii="Arial" w:hAnsi="Arial" w:cs="Arial"/>
          <w:sz w:val="20"/>
          <w:szCs w:val="20"/>
          <w:lang w:val="es-UY"/>
        </w:rPr>
      </w:pPr>
      <w:r w:rsidRPr="00242208">
        <w:rPr>
          <w:rFonts w:ascii="Arial" w:hAnsi="Arial" w:cs="Arial"/>
          <w:sz w:val="20"/>
          <w:szCs w:val="20"/>
          <w:lang w:val="es-UY"/>
        </w:rPr>
        <w:t xml:space="preserve">Las evaluaciones correspondientes a los trimestres </w:t>
      </w:r>
      <w:r w:rsidR="00BC4A85" w:rsidRPr="00BC4A85">
        <w:rPr>
          <w:rFonts w:ascii="Arial" w:hAnsi="Arial" w:cs="Arial"/>
          <w:sz w:val="20"/>
          <w:szCs w:val="20"/>
          <w:lang w:val="es-UY"/>
        </w:rPr>
        <w:t xml:space="preserve">Noviembre – Enero, </w:t>
      </w:r>
      <w:r w:rsidRPr="00242208">
        <w:rPr>
          <w:rFonts w:ascii="Arial" w:hAnsi="Arial" w:cs="Arial"/>
          <w:sz w:val="20"/>
          <w:szCs w:val="20"/>
          <w:lang w:val="es-UY"/>
        </w:rPr>
        <w:t xml:space="preserve">a realizar en </w:t>
      </w:r>
      <w:r w:rsidR="00BC4A85" w:rsidRPr="00BC4A85">
        <w:rPr>
          <w:rFonts w:ascii="Arial" w:hAnsi="Arial" w:cs="Arial"/>
          <w:sz w:val="20"/>
          <w:szCs w:val="20"/>
          <w:lang w:val="es-UY"/>
        </w:rPr>
        <w:t>Febrero, Febrero – Abril</w:t>
      </w:r>
      <w:r w:rsidRPr="00242208">
        <w:rPr>
          <w:rFonts w:ascii="Arial" w:hAnsi="Arial" w:cs="Arial"/>
          <w:sz w:val="20"/>
          <w:szCs w:val="20"/>
          <w:lang w:val="es-UY"/>
        </w:rPr>
        <w:t xml:space="preserve">, a realizar en </w:t>
      </w:r>
      <w:r w:rsidR="00BC4A85" w:rsidRPr="00BC4A85">
        <w:rPr>
          <w:rFonts w:ascii="Arial" w:hAnsi="Arial" w:cs="Arial"/>
          <w:sz w:val="20"/>
          <w:szCs w:val="20"/>
          <w:lang w:val="es-UY"/>
        </w:rPr>
        <w:t>Mayo</w:t>
      </w:r>
      <w:r w:rsidRPr="00242208">
        <w:rPr>
          <w:rFonts w:ascii="Arial" w:hAnsi="Arial" w:cs="Arial"/>
          <w:sz w:val="20"/>
          <w:szCs w:val="20"/>
          <w:lang w:val="es-UY"/>
        </w:rPr>
        <w:t xml:space="preserve"> y </w:t>
      </w:r>
      <w:r w:rsidR="00BC4A85" w:rsidRPr="00BC4A85">
        <w:rPr>
          <w:rFonts w:ascii="Arial" w:hAnsi="Arial" w:cs="Arial"/>
          <w:sz w:val="20"/>
          <w:szCs w:val="20"/>
          <w:lang w:val="es-UY"/>
        </w:rPr>
        <w:t>Mayo - Julio</w:t>
      </w:r>
      <w:r w:rsidRPr="00242208">
        <w:rPr>
          <w:rFonts w:ascii="Arial" w:hAnsi="Arial" w:cs="Arial"/>
          <w:sz w:val="20"/>
          <w:szCs w:val="20"/>
          <w:lang w:val="es-UY"/>
        </w:rPr>
        <w:t xml:space="preserve">, a realizar en </w:t>
      </w:r>
      <w:r w:rsidR="00BC4A85" w:rsidRPr="00BC4A85">
        <w:rPr>
          <w:rFonts w:ascii="Arial" w:hAnsi="Arial" w:cs="Arial"/>
          <w:sz w:val="20"/>
          <w:szCs w:val="20"/>
          <w:lang w:val="es-UY"/>
        </w:rPr>
        <w:t>Agosto</w:t>
      </w:r>
      <w:r w:rsidRPr="00242208">
        <w:rPr>
          <w:rFonts w:ascii="Arial" w:hAnsi="Arial" w:cs="Arial"/>
          <w:sz w:val="20"/>
          <w:szCs w:val="20"/>
          <w:lang w:val="es-UY"/>
        </w:rPr>
        <w:t xml:space="preserve"> serán efectuadas por el Supervisor de Obra mientras que la evaluación anual correspondiente al trimestre </w:t>
      </w:r>
      <w:r w:rsidR="00BC4A85" w:rsidRPr="00BC4A85">
        <w:rPr>
          <w:rFonts w:ascii="Arial" w:hAnsi="Arial" w:cs="Arial"/>
          <w:sz w:val="20"/>
          <w:szCs w:val="20"/>
          <w:lang w:val="es-UY"/>
        </w:rPr>
        <w:t>Agosto – Octubre</w:t>
      </w:r>
      <w:r w:rsidRPr="00242208">
        <w:rPr>
          <w:rFonts w:ascii="Arial" w:hAnsi="Arial" w:cs="Arial"/>
          <w:sz w:val="20"/>
          <w:szCs w:val="20"/>
          <w:lang w:val="es-UY"/>
        </w:rPr>
        <w:t xml:space="preserve">, a realizar en </w:t>
      </w:r>
      <w:r w:rsidR="00BC4A85" w:rsidRPr="00BC4A85">
        <w:rPr>
          <w:rFonts w:ascii="Arial" w:hAnsi="Arial" w:cs="Arial"/>
          <w:sz w:val="20"/>
          <w:szCs w:val="20"/>
          <w:lang w:val="es-UY"/>
        </w:rPr>
        <w:t>Noviembre</w:t>
      </w:r>
      <w:r w:rsidRPr="00242208">
        <w:rPr>
          <w:rFonts w:ascii="Arial" w:hAnsi="Arial" w:cs="Arial"/>
          <w:sz w:val="20"/>
          <w:szCs w:val="20"/>
          <w:lang w:val="es-UY"/>
        </w:rPr>
        <w:t>, será efectuada por el Órgano de Control. En todos los casos se estará sujeto a lo dispuesto en el CAPÍTULO XV de esta sección.</w:t>
      </w:r>
    </w:p>
    <w:p w14:paraId="0636CD46" w14:textId="77777777" w:rsidR="00BC4A85" w:rsidRDefault="00BC4A85" w:rsidP="00BC4A85">
      <w:pPr>
        <w:rPr>
          <w:rFonts w:ascii="Arial" w:eastAsia="Calibri" w:hAnsi="Arial" w:cs="Arial"/>
          <w:sz w:val="21"/>
          <w:szCs w:val="21"/>
          <w:lang w:val="es-ES_tradnl" w:eastAsia="es-ES"/>
        </w:rPr>
      </w:pPr>
      <w:bookmarkStart w:id="789" w:name="_Toc400636174"/>
    </w:p>
    <w:p w14:paraId="4DA36A43"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primera evaluación trimestral se efectuará en el primero de los meses indicados en este capítulo luego de haberse aprobado el Acta de Comprobación de la Infraestructura del tramo en cuestión.</w:t>
      </w:r>
    </w:p>
    <w:p w14:paraId="1130650F"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Si el tiempo transcurrido entre dicha acta y la fecha en que correspondiere realizar la primera evaluación trimestral fuera inferior a dos meses la evaluación no se realizará. En este caso se asumirá que para esa primera evaluación trimestral el valor del Nivel de Servicio al Usuario es 96%. Ello no exime al Contratista de llevar a </w:t>
      </w:r>
      <w:r w:rsidRPr="00242208">
        <w:rPr>
          <w:rFonts w:ascii="Arial" w:hAnsi="Arial" w:cs="Arial"/>
          <w:sz w:val="20"/>
          <w:szCs w:val="20"/>
          <w:lang w:val="es-UY"/>
        </w:rPr>
        <w:lastRenderedPageBreak/>
        <w:t>cabo la tareas de Autocontrol y de corregir los incumplimientos detectados en el plazo fijado ni impide al Órgano de Control llevar a cabo una evaluación no programada si lo considera necesario y aplicar las deducciones correspondientes en caso de detectar incumplimientos.</w:t>
      </w:r>
    </w:p>
    <w:p w14:paraId="08A1A654" w14:textId="7631B237" w:rsidR="00A33236" w:rsidRPr="00242208" w:rsidRDefault="00A33236" w:rsidP="00A33236">
      <w:pPr>
        <w:numPr>
          <w:ilvl w:val="0"/>
          <w:numId w:val="121"/>
        </w:numPr>
        <w:rPr>
          <w:rFonts w:ascii="Arial" w:eastAsia="Calibri" w:hAnsi="Arial" w:cs="Arial"/>
          <w:caps/>
          <w:sz w:val="21"/>
          <w:szCs w:val="21"/>
          <w:lang w:val="es-ES_tradnl" w:eastAsia="es-ES"/>
        </w:rPr>
      </w:pPr>
      <w:r w:rsidRPr="00242208">
        <w:rPr>
          <w:rFonts w:ascii="Arial" w:eastAsia="Calibri" w:hAnsi="Arial" w:cs="Arial"/>
          <w:caps/>
          <w:sz w:val="21"/>
          <w:szCs w:val="21"/>
          <w:lang w:val="es-ES_tradnl" w:eastAsia="es-ES"/>
        </w:rPr>
        <w:t>Evaluaciones programadas de frecuencia anual</w:t>
      </w:r>
      <w:bookmarkEnd w:id="789"/>
    </w:p>
    <w:p w14:paraId="07543BCA" w14:textId="6801AA9F" w:rsidR="00E62943" w:rsidRDefault="00E62943" w:rsidP="00E62943">
      <w:pPr>
        <w:spacing w:after="120"/>
        <w:rPr>
          <w:rFonts w:ascii="Arial" w:eastAsiaTheme="minorEastAsia" w:hAnsi="Arial" w:cs="Arial"/>
          <w:sz w:val="20"/>
          <w:szCs w:val="20"/>
          <w:lang w:val="es-UY"/>
        </w:rPr>
      </w:pPr>
      <w:r>
        <w:rPr>
          <w:rFonts w:ascii="Arial" w:hAnsi="Arial" w:cs="Arial"/>
          <w:sz w:val="20"/>
          <w:szCs w:val="20"/>
          <w:lang w:val="es-UY"/>
        </w:rPr>
        <w:t xml:space="preserve">Esta evaluación coincide con la evaluación trimestral en la que se mide el Nivel de Servicio al Usuario correspondiente al trimestre </w:t>
      </w:r>
      <w:r w:rsidR="00BC4A85">
        <w:rPr>
          <w:rFonts w:ascii="Arial" w:hAnsi="Arial" w:cs="Arial"/>
          <w:sz w:val="20"/>
          <w:szCs w:val="20"/>
          <w:lang w:val="es-UY"/>
        </w:rPr>
        <w:t>Agosto</w:t>
      </w:r>
      <w:r w:rsidR="00BC4A85" w:rsidRPr="000A7C31">
        <w:rPr>
          <w:rFonts w:ascii="Arial" w:hAnsi="Arial" w:cs="Arial"/>
          <w:sz w:val="20"/>
          <w:szCs w:val="20"/>
          <w:lang w:val="es-UY"/>
        </w:rPr>
        <w:t xml:space="preserve"> – </w:t>
      </w:r>
      <w:r w:rsidR="00BC4A85">
        <w:rPr>
          <w:rFonts w:ascii="Arial" w:hAnsi="Arial" w:cs="Arial"/>
          <w:sz w:val="20"/>
          <w:szCs w:val="20"/>
          <w:lang w:val="es-UY"/>
        </w:rPr>
        <w:t>Octubre</w:t>
      </w:r>
      <w:r>
        <w:rPr>
          <w:rFonts w:ascii="Arial" w:hAnsi="Arial" w:cs="Arial"/>
          <w:sz w:val="20"/>
          <w:szCs w:val="20"/>
          <w:lang w:val="es-UY"/>
        </w:rPr>
        <w:t xml:space="preserve"> que se realiza en el mes de </w:t>
      </w:r>
      <w:r w:rsidR="00BC4A85">
        <w:rPr>
          <w:rFonts w:ascii="Arial" w:hAnsi="Arial" w:cs="Arial"/>
          <w:sz w:val="20"/>
          <w:szCs w:val="20"/>
          <w:lang w:val="es-UY"/>
        </w:rPr>
        <w:t>Noviembre</w:t>
      </w:r>
      <w:r>
        <w:rPr>
          <w:rFonts w:ascii="Arial" w:hAnsi="Arial" w:cs="Arial"/>
          <w:sz w:val="20"/>
          <w:szCs w:val="20"/>
          <w:lang w:val="es-UY"/>
        </w:rPr>
        <w:t>.</w:t>
      </w:r>
    </w:p>
    <w:p w14:paraId="77574A46" w14:textId="77777777" w:rsidR="00E62943" w:rsidRPr="00A33236" w:rsidRDefault="00E62943" w:rsidP="00E62943">
      <w:pPr>
        <w:ind w:left="360"/>
        <w:rPr>
          <w:rFonts w:ascii="Arial" w:eastAsia="Calibri" w:hAnsi="Arial" w:cs="Arial"/>
          <w:caps/>
          <w:sz w:val="21"/>
          <w:szCs w:val="21"/>
          <w:highlight w:val="green"/>
          <w:lang w:val="es-UY" w:eastAsia="es-ES"/>
        </w:rPr>
      </w:pPr>
    </w:p>
    <w:p w14:paraId="2A647775" w14:textId="77777777" w:rsidR="00A33236" w:rsidRPr="00242208"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La evaluación de este indicador de disponibilidad se realizará de la misma manera que se detalló en el parágrafo anterior salvo que la muestra de cada tramo podrá extenderse, a solo juicio de la contratante, hasta un 20% de la longitud del tramo y que la evaluación será efectuada por el Órgano de Control.</w:t>
      </w:r>
    </w:p>
    <w:p w14:paraId="6B479DB7"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En esta evaluación se efectuará, además, la medición anual del IRI, que se realizará en forma continua en la totalidad del tramo, así se obtendrá el valor correspondiente a este indicador para cada uno de los tramos.</w:t>
      </w:r>
    </w:p>
    <w:p w14:paraId="357A69FF"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lastRenderedPageBreak/>
        <w:t xml:space="preserve">Las evaluaciones anuales del Nivel de Servicio al Usuario y del IRI tienen por objeto valorar la gestión del Contratista y calcular los coeficientes de disponibilidad </w:t>
      </w:r>
      <w:r w:rsidRPr="00242208">
        <w:rPr>
          <w:rFonts w:ascii="Arial" w:hAnsi="Arial" w:cs="Arial"/>
          <w:b/>
          <w:bCs/>
          <w:sz w:val="20"/>
          <w:szCs w:val="20"/>
          <w:lang w:val="es-UY"/>
        </w:rPr>
        <w:t>cdt</w:t>
      </w:r>
      <w:r w:rsidRPr="00242208">
        <w:rPr>
          <w:b/>
          <w:bCs/>
          <w:sz w:val="20"/>
          <w:szCs w:val="20"/>
          <w:lang w:val="es-UY"/>
        </w:rPr>
        <w:t>₁</w:t>
      </w:r>
      <w:r w:rsidRPr="00242208">
        <w:rPr>
          <w:rFonts w:ascii="Arial" w:hAnsi="Arial" w:cs="Arial"/>
          <w:b/>
          <w:bCs/>
          <w:sz w:val="20"/>
          <w:szCs w:val="20"/>
          <w:lang w:val="es-UY"/>
        </w:rPr>
        <w:t>, cdt</w:t>
      </w:r>
      <w:r w:rsidRPr="00242208">
        <w:rPr>
          <w:b/>
          <w:bCs/>
          <w:sz w:val="20"/>
          <w:szCs w:val="20"/>
          <w:lang w:val="es-UY"/>
        </w:rPr>
        <w:t xml:space="preserve">₂ </w:t>
      </w:r>
      <w:r w:rsidRPr="00242208">
        <w:rPr>
          <w:rFonts w:ascii="Arial" w:hAnsi="Arial" w:cs="Arial"/>
          <w:sz w:val="20"/>
          <w:szCs w:val="20"/>
          <w:lang w:val="es-UY"/>
        </w:rPr>
        <w:t xml:space="preserve">y </w:t>
      </w:r>
      <w:r w:rsidRPr="00242208">
        <w:rPr>
          <w:rFonts w:ascii="Arial" w:hAnsi="Arial" w:cs="Arial"/>
          <w:b/>
          <w:bCs/>
          <w:sz w:val="20"/>
          <w:szCs w:val="20"/>
          <w:lang w:val="es-UY"/>
        </w:rPr>
        <w:t>cdt</w:t>
      </w:r>
      <w:r w:rsidRPr="00242208">
        <w:rPr>
          <w:b/>
          <w:bCs/>
          <w:sz w:val="20"/>
          <w:szCs w:val="20"/>
          <w:lang w:val="es-UY"/>
        </w:rPr>
        <w:t>₃</w:t>
      </w:r>
      <w:r w:rsidRPr="00242208">
        <w:rPr>
          <w:rFonts w:ascii="Arial" w:hAnsi="Arial" w:cs="Arial"/>
          <w:sz w:val="20"/>
          <w:szCs w:val="20"/>
          <w:lang w:val="es-UY"/>
        </w:rPr>
        <w:t xml:space="preserve"> relacionados respectivamente con las componentes A, B y C de la oferta.</w:t>
      </w:r>
    </w:p>
    <w:p w14:paraId="3441207F"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La fecha de la evaluación será comunicada al Contratista con un mínimo de 3 días calendario de anticipación. </w:t>
      </w:r>
    </w:p>
    <w:p w14:paraId="41887F34"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El primer día de la evaluación se labrará el Acta de Inicio de la Evaluación según el formato que se establecerá en el </w:t>
      </w:r>
      <w:hyperlink w:anchor="A_14" w:history="1">
        <w:r w:rsidRPr="00242208">
          <w:rPr>
            <w:rFonts w:ascii="Arial" w:hAnsi="Arial" w:cs="Arial"/>
            <w:color w:val="00A1DE"/>
            <w:sz w:val="20"/>
            <w:szCs w:val="20"/>
            <w:u w:val="single"/>
            <w:lang w:val="es-UY"/>
          </w:rPr>
          <w:t>Anexo XIV</w:t>
        </w:r>
      </w:hyperlink>
      <w:r w:rsidRPr="00242208">
        <w:rPr>
          <w:rFonts w:ascii="Arial" w:hAnsi="Arial" w:cs="Arial"/>
          <w:sz w:val="20"/>
          <w:szCs w:val="20"/>
          <w:lang w:val="es-UY"/>
        </w:rPr>
        <w:t>, y será suscrita por el Órgano de Control y Representante Técnico del Contratista y/o el Jefe de Mantenimiento del Contratista.</w:t>
      </w:r>
    </w:p>
    <w:p w14:paraId="2C84CA47"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Finalizada la evaluación se labrará el Acta de Finalización de la Evaluación según el formato que se establecerá en el </w:t>
      </w:r>
      <w:hyperlink w:anchor="A_14" w:history="1">
        <w:r w:rsidRPr="00242208">
          <w:rPr>
            <w:rFonts w:ascii="Arial" w:hAnsi="Arial" w:cs="Arial"/>
            <w:color w:val="00A1DE"/>
            <w:sz w:val="20"/>
            <w:szCs w:val="20"/>
            <w:u w:val="single"/>
            <w:lang w:val="es-UY"/>
          </w:rPr>
          <w:t>Anexo XIV</w:t>
        </w:r>
      </w:hyperlink>
      <w:r w:rsidRPr="00242208">
        <w:rPr>
          <w:rFonts w:ascii="Arial" w:hAnsi="Arial" w:cs="Arial"/>
          <w:sz w:val="20"/>
          <w:szCs w:val="20"/>
          <w:lang w:val="es-UY"/>
        </w:rPr>
        <w:t>, describiéndose las incidencias que se entienda deban quedar registradas. El Acta será suscrita por el Órgano de Control y por el Jefe de Mantenimiento.</w:t>
      </w:r>
    </w:p>
    <w:p w14:paraId="7D50DE34"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El Contratista podrá concurrir a la evaluación y efectuar los descargos correspondientes en el Acta de Evaluación de Inicio o Finalización, según corresponda. Si no concurriese a la evaluación, el mismo no podrá formular descargos sobre la misma. </w:t>
      </w:r>
    </w:p>
    <w:p w14:paraId="22697DFC"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Durante el periodo comprendido entre el Acta de Inicio y el Acta de Finalización de la evaluación el Contratista no podrá realizar ninguna tarea en los kilómetros a evaluar salvo si la omisión pusiera </w:t>
      </w:r>
      <w:r w:rsidRPr="00242208">
        <w:rPr>
          <w:rFonts w:ascii="Arial" w:hAnsi="Arial" w:cs="Arial"/>
          <w:sz w:val="20"/>
          <w:szCs w:val="20"/>
          <w:lang w:val="es-UY"/>
        </w:rPr>
        <w:lastRenderedPageBreak/>
        <w:t>en riesgo la seguridad de los usuarios, en cuyo caso se requerirá una autorización escrita y fundada del Órgano de Control. Este hecho no eximirá al Contratista de haber incurrido en un incumplimiento.</w:t>
      </w:r>
    </w:p>
    <w:p w14:paraId="4412E139"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violación a la prohibición de no realizar tareas en los kilómetros a evaluar, dará lugar a una multa de  U$S 50.000 (dólares estadounidenses cincuenta mil) y 3 eventos de incumplimiento en el sistema de autocontrol, salvo que por los motivos expresados en el párrafo anterior existiera una autorización escrita y fundada del Órgano de Control.</w:t>
      </w:r>
    </w:p>
    <w:p w14:paraId="235715C9"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Independientemente de las consecuencias que, por falta de disponibilidad, ameriten los resultados de esta evaluación anual, para los incumplimientos detectados, en el caso del IRI, se remitirá una orden de servicio indicando un plazo de respuesta de 90 días para su adecuación.</w:t>
      </w:r>
    </w:p>
    <w:p w14:paraId="5EEB7DD5"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Una vez resueltos los incumplimientos por parte del Contratista éste notificará a través de la Bitácora del Contrato al Supervisor de Obra que deberá verificar y comunicar al Contratista lo constatado dentro de los cuatro días hábiles siguientes.</w:t>
      </w:r>
    </w:p>
    <w:p w14:paraId="0B474EF7"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La ausencia del Representante Técnico del Contratista y/o el Jefe de Mantenimiento del Contratista y/o la falta de descargos del Con</w:t>
      </w:r>
      <w:r w:rsidRPr="00242208">
        <w:rPr>
          <w:rFonts w:ascii="Arial" w:hAnsi="Arial" w:cs="Arial"/>
          <w:sz w:val="20"/>
          <w:szCs w:val="20"/>
          <w:lang w:val="es-UY"/>
        </w:rPr>
        <w:lastRenderedPageBreak/>
        <w:t xml:space="preserve">tratista en cualquiera de las actas, se consideran como conformidad de lo actuado y del resultado de la evaluación realizada por la Contratante, validándolo. </w:t>
      </w:r>
    </w:p>
    <w:p w14:paraId="49AD1380" w14:textId="77777777" w:rsidR="00A33236" w:rsidRPr="00242208" w:rsidRDefault="00A33236" w:rsidP="00A33236">
      <w:pPr>
        <w:autoSpaceDE w:val="0"/>
        <w:autoSpaceDN w:val="0"/>
        <w:adjustRightInd w:val="0"/>
        <w:spacing w:after="120"/>
        <w:jc w:val="both"/>
        <w:rPr>
          <w:rFonts w:ascii="Arial" w:hAnsi="Arial" w:cs="Arial"/>
          <w:sz w:val="20"/>
          <w:szCs w:val="20"/>
          <w:lang w:val="es-UY"/>
        </w:rPr>
      </w:pPr>
      <w:r w:rsidRPr="00242208">
        <w:rPr>
          <w:rFonts w:ascii="Arial" w:hAnsi="Arial" w:cs="Arial"/>
          <w:sz w:val="20"/>
          <w:szCs w:val="20"/>
          <w:lang w:val="es-UY"/>
        </w:rPr>
        <w:t xml:space="preserve">Todas estas evaluaciones serán realizadas por el Órgano de Control según lo dispuesto en el </w:t>
      </w:r>
      <w:hyperlink w:anchor="CAP_15" w:history="1">
        <w:r w:rsidRPr="00242208">
          <w:rPr>
            <w:rFonts w:ascii="Arial" w:hAnsi="Arial" w:cs="Arial"/>
            <w:color w:val="00A1DE"/>
            <w:sz w:val="20"/>
            <w:szCs w:val="20"/>
            <w:u w:val="single"/>
            <w:lang w:val="es-UY"/>
          </w:rPr>
          <w:t>CAPITULO XV</w:t>
        </w:r>
      </w:hyperlink>
      <w:r w:rsidRPr="00242208">
        <w:rPr>
          <w:rFonts w:ascii="Arial" w:hAnsi="Arial" w:cs="Arial"/>
          <w:sz w:val="20"/>
          <w:szCs w:val="20"/>
          <w:lang w:val="es-UY"/>
        </w:rPr>
        <w:t xml:space="preserve"> de esta sección.</w:t>
      </w:r>
    </w:p>
    <w:p w14:paraId="0FD1F111" w14:textId="77777777" w:rsidR="00A33236" w:rsidRPr="00242208"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La primera evaluación anual se efectuará en el mes de Agosto luego de haberse aprobado el Acta de Comprobación Inicial del Tramo en cuestión.</w:t>
      </w:r>
    </w:p>
    <w:p w14:paraId="0419CB4F" w14:textId="77777777" w:rsidR="00A33236" w:rsidRPr="00A33236" w:rsidRDefault="00A33236" w:rsidP="00A33236">
      <w:pPr>
        <w:spacing w:after="120"/>
        <w:jc w:val="both"/>
        <w:rPr>
          <w:rFonts w:ascii="Arial" w:hAnsi="Arial" w:cs="Arial"/>
          <w:sz w:val="20"/>
          <w:szCs w:val="20"/>
          <w:lang w:val="es-UY"/>
        </w:rPr>
      </w:pPr>
      <w:r w:rsidRPr="00242208">
        <w:rPr>
          <w:rFonts w:ascii="Arial" w:hAnsi="Arial" w:cs="Arial"/>
          <w:sz w:val="20"/>
          <w:szCs w:val="20"/>
          <w:lang w:val="es-UY"/>
        </w:rPr>
        <w:t>Si el tiempo transcurrido entre dicha acta y la fecha en que correspondiere realizar la primera evaluación anual fuera inferior a dos meses la evaluación no se realizará. En este caso se asumirá que para esa primera evaluación anual el valor del Nivel de Servicio al Usuario es 96% y que se cumple con las dos condiciones establecidas para el IRI.</w:t>
      </w:r>
    </w:p>
    <w:p w14:paraId="0F012649" w14:textId="6C9936AA" w:rsidR="00457180" w:rsidRPr="005A11FF" w:rsidRDefault="00A33236" w:rsidP="00A33236">
      <w:pPr>
        <w:spacing w:after="120"/>
        <w:jc w:val="both"/>
        <w:rPr>
          <w:rFonts w:ascii="Arial" w:hAnsi="Arial" w:cs="Arial"/>
          <w:sz w:val="20"/>
          <w:szCs w:val="20"/>
          <w:lang w:val="es-UY"/>
        </w:rPr>
      </w:pPr>
      <w:r w:rsidRPr="00A33236">
        <w:rPr>
          <w:sz w:val="24"/>
          <w:szCs w:val="24"/>
          <w:lang w:val="es-UY"/>
        </w:rPr>
        <w:br w:type="page"/>
      </w:r>
    </w:p>
    <w:p w14:paraId="63DED3C7" w14:textId="365206AE" w:rsidR="005A11FF" w:rsidRPr="001846D9" w:rsidRDefault="005A11FF" w:rsidP="000F5C7C">
      <w:pPr>
        <w:pStyle w:val="T0"/>
        <w:outlineLvl w:val="0"/>
      </w:pPr>
      <w:bookmarkStart w:id="790" w:name="_Toc400636175"/>
      <w:bookmarkStart w:id="791" w:name="_Toc468288072"/>
      <w:bookmarkStart w:id="792" w:name="_Toc496266666"/>
      <w:bookmarkStart w:id="793" w:name="CAP_14"/>
      <w:r w:rsidRPr="001846D9">
        <w:lastRenderedPageBreak/>
        <w:t>CAPÍTULO XIV: DETERMINACIÓN DE LOS COEFICIENTES DE DISPONIBILIDAD</w:t>
      </w:r>
      <w:bookmarkEnd w:id="790"/>
      <w:bookmarkEnd w:id="791"/>
      <w:bookmarkEnd w:id="792"/>
    </w:p>
    <w:p w14:paraId="766F69AF" w14:textId="77777777" w:rsidR="005A11FF" w:rsidRPr="00CC6530" w:rsidRDefault="005A11FF" w:rsidP="004C3C3B">
      <w:pPr>
        <w:pStyle w:val="T1"/>
        <w:numPr>
          <w:ilvl w:val="0"/>
          <w:numId w:val="90"/>
        </w:numPr>
        <w:outlineLvl w:val="2"/>
      </w:pPr>
      <w:bookmarkStart w:id="794" w:name="Lit_66"/>
      <w:bookmarkStart w:id="795" w:name="_Toc400636176"/>
      <w:bookmarkStart w:id="796" w:name="_Toc468288073"/>
      <w:bookmarkStart w:id="797" w:name="_Toc496266667"/>
      <w:bookmarkEnd w:id="793"/>
      <w:r w:rsidRPr="00CC6530">
        <w:t>COEFICIENTES TÉCNICOS DE DISPONIBILIDAD Y AFECTACIÓN AL PP</w:t>
      </w:r>
      <w:bookmarkEnd w:id="794"/>
      <w:bookmarkEnd w:id="795"/>
      <w:r w:rsidR="00A03A0F">
        <w:t>D</w:t>
      </w:r>
      <w:bookmarkEnd w:id="796"/>
      <w:bookmarkEnd w:id="797"/>
    </w:p>
    <w:p w14:paraId="2B364A1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Como se estableció en las secciones anteriores el Contratista</w:t>
      </w:r>
      <w:r w:rsidR="00B14DCC">
        <w:rPr>
          <w:rFonts w:ascii="Arial" w:hAnsi="Arial" w:cs="Arial"/>
          <w:sz w:val="20"/>
          <w:szCs w:val="20"/>
          <w:lang w:val="es-UY"/>
        </w:rPr>
        <w:t xml:space="preserve"> </w:t>
      </w:r>
      <w:r w:rsidRPr="005A11FF">
        <w:rPr>
          <w:rFonts w:ascii="Arial" w:hAnsi="Arial" w:cs="Arial"/>
          <w:sz w:val="20"/>
          <w:szCs w:val="20"/>
          <w:lang w:val="es-UY"/>
        </w:rPr>
        <w:t>recibirá un único pago anual por concepto de disponibilidad (Pago Por Disponibilidad). El monto de dicho pago está asociado al nivel de cumplimiento de las exigencias de disponibilidad establecidas en este pliego que se cuantifican a través de los coeficientes técnicos de disponibilidad (</w:t>
      </w:r>
      <w:r w:rsidRPr="00197C20">
        <w:rPr>
          <w:rFonts w:ascii="Arial" w:hAnsi="Arial" w:cs="Arial"/>
          <w:bCs/>
          <w:sz w:val="20"/>
          <w:szCs w:val="20"/>
          <w:lang w:val="es-UY"/>
        </w:rPr>
        <w:t>ctd</w:t>
      </w:r>
      <w:r w:rsidRPr="005A11FF">
        <w:rPr>
          <w:rFonts w:ascii="Arial" w:hAnsi="Arial" w:cs="Arial"/>
          <w:sz w:val="20"/>
          <w:szCs w:val="20"/>
          <w:lang w:val="es-UY"/>
        </w:rPr>
        <w:t>).</w:t>
      </w:r>
    </w:p>
    <w:p w14:paraId="5CC56DBB" w14:textId="77777777" w:rsidR="005A11FF" w:rsidRPr="00197C20" w:rsidRDefault="005A11FF" w:rsidP="005A11FF">
      <w:pPr>
        <w:spacing w:after="120"/>
        <w:jc w:val="both"/>
        <w:rPr>
          <w:rFonts w:ascii="Arial" w:hAnsi="Arial" w:cs="Arial"/>
          <w:bCs/>
          <w:sz w:val="20"/>
          <w:szCs w:val="20"/>
          <w:lang w:val="es-UY"/>
        </w:rPr>
      </w:pPr>
      <w:r w:rsidRPr="005A11FF">
        <w:rPr>
          <w:rFonts w:ascii="Arial" w:hAnsi="Arial" w:cs="Arial"/>
          <w:sz w:val="20"/>
          <w:szCs w:val="20"/>
          <w:lang w:val="es-UY"/>
        </w:rPr>
        <w:t xml:space="preserve">El monto anual a percibir por el Contratista surgirá de la suma de las componentes A, B y C afectadas por los coeficientes técnicos de disponibilidad </w:t>
      </w:r>
      <w:r w:rsidRPr="00197C20">
        <w:rPr>
          <w:rFonts w:ascii="Arial" w:hAnsi="Arial" w:cs="Arial"/>
          <w:bCs/>
          <w:sz w:val="20"/>
          <w:szCs w:val="20"/>
          <w:lang w:val="es-UY"/>
        </w:rPr>
        <w:t>ctd</w:t>
      </w:r>
      <w:r w:rsidRPr="00197C20">
        <w:rPr>
          <w:bCs/>
          <w:sz w:val="20"/>
          <w:szCs w:val="20"/>
          <w:lang w:val="es-UY"/>
        </w:rPr>
        <w:t>₁</w:t>
      </w:r>
      <w:r w:rsidRPr="00197C20">
        <w:rPr>
          <w:rFonts w:ascii="Arial" w:hAnsi="Arial" w:cs="Arial"/>
          <w:sz w:val="20"/>
          <w:szCs w:val="20"/>
          <w:lang w:val="es-UY"/>
        </w:rPr>
        <w:t xml:space="preserve">, </w:t>
      </w:r>
      <w:r w:rsidRPr="00197C20">
        <w:rPr>
          <w:rFonts w:ascii="Arial" w:hAnsi="Arial" w:cs="Arial"/>
          <w:bCs/>
          <w:sz w:val="20"/>
          <w:szCs w:val="20"/>
          <w:lang w:val="es-UY"/>
        </w:rPr>
        <w:t>ctd</w:t>
      </w:r>
      <w:r w:rsidRPr="00197C20">
        <w:rPr>
          <w:bCs/>
          <w:sz w:val="20"/>
          <w:szCs w:val="20"/>
          <w:lang w:val="es-UY"/>
        </w:rPr>
        <w:t>₂,</w:t>
      </w:r>
      <w:r w:rsidR="006D28E1" w:rsidRPr="00197C20">
        <w:rPr>
          <w:bCs/>
          <w:sz w:val="20"/>
          <w:szCs w:val="20"/>
          <w:lang w:val="es-UY"/>
        </w:rPr>
        <w:t xml:space="preserve"> </w:t>
      </w:r>
      <w:r w:rsidRPr="00197C20">
        <w:rPr>
          <w:rFonts w:ascii="Arial" w:hAnsi="Arial" w:cs="Arial"/>
          <w:bCs/>
          <w:sz w:val="20"/>
          <w:szCs w:val="20"/>
          <w:lang w:val="es-UY"/>
        </w:rPr>
        <w:t>ctd</w:t>
      </w:r>
      <w:r w:rsidRPr="00197C20">
        <w:rPr>
          <w:bCs/>
          <w:sz w:val="20"/>
          <w:szCs w:val="20"/>
          <w:lang w:val="es-UY"/>
        </w:rPr>
        <w:t xml:space="preserve">₃ </w:t>
      </w:r>
      <w:r w:rsidRPr="00197C20">
        <w:rPr>
          <w:rFonts w:ascii="Arial" w:hAnsi="Arial" w:cs="Arial"/>
          <w:sz w:val="20"/>
          <w:szCs w:val="20"/>
          <w:lang w:val="es-UY"/>
        </w:rPr>
        <w:t xml:space="preserve">y </w:t>
      </w:r>
      <w:r w:rsidR="00B948A1" w:rsidRPr="00197C20">
        <w:rPr>
          <w:rFonts w:ascii="Arial" w:hAnsi="Arial" w:cs="Arial"/>
          <w:sz w:val="20"/>
          <w:szCs w:val="20"/>
          <w:lang w:val="es-UY"/>
        </w:rPr>
        <w:t>el factor</w:t>
      </w:r>
      <w:r w:rsidR="00B948A1" w:rsidRPr="00197C20">
        <w:rPr>
          <w:bCs/>
          <w:sz w:val="20"/>
          <w:szCs w:val="20"/>
          <w:lang w:val="es-UY"/>
        </w:rPr>
        <w:t xml:space="preserve"> </w:t>
      </w:r>
      <w:r w:rsidRPr="00197C20">
        <w:rPr>
          <w:bCs/>
          <w:sz w:val="20"/>
          <w:szCs w:val="20"/>
          <w:lang w:val="es-UY"/>
        </w:rPr>
        <w:t>Z</w:t>
      </w:r>
      <w:r w:rsidRPr="00197C20">
        <w:rPr>
          <w:rFonts w:ascii="Arial" w:hAnsi="Arial" w:cs="Arial"/>
          <w:bCs/>
          <w:sz w:val="20"/>
          <w:szCs w:val="20"/>
          <w:lang w:val="es-UY"/>
        </w:rPr>
        <w:t>.</w:t>
      </w:r>
    </w:p>
    <w:p w14:paraId="1D0F982C" w14:textId="77777777" w:rsidR="005A11FF" w:rsidRPr="00CC6530" w:rsidRDefault="005A11FF" w:rsidP="004C3C3B">
      <w:pPr>
        <w:pStyle w:val="T1"/>
        <w:numPr>
          <w:ilvl w:val="0"/>
          <w:numId w:val="90"/>
        </w:numPr>
        <w:outlineLvl w:val="2"/>
      </w:pPr>
      <w:bookmarkStart w:id="798" w:name="_Toc400636177"/>
      <w:bookmarkStart w:id="799" w:name="_Toc468288074"/>
      <w:bookmarkStart w:id="800" w:name="_Toc496266668"/>
      <w:bookmarkStart w:id="801" w:name="Lit_67"/>
      <w:r w:rsidRPr="00CC6530">
        <w:t>FALTAS NO CRÍTICAS (FnC)</w:t>
      </w:r>
      <w:bookmarkEnd w:id="798"/>
      <w:bookmarkEnd w:id="799"/>
      <w:bookmarkEnd w:id="800"/>
    </w:p>
    <w:bookmarkEnd w:id="801"/>
    <w:p w14:paraId="7A4D7F6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la medida que el estado efectivamente evaluado en cada tramo se aparte del requerido se generarán y acumularán Faltas no Críticas</w:t>
      </w:r>
      <w:r w:rsidR="00A36DBE">
        <w:rPr>
          <w:rFonts w:ascii="Arial" w:hAnsi="Arial" w:cs="Arial"/>
          <w:sz w:val="20"/>
          <w:szCs w:val="20"/>
          <w:lang w:val="es-UY"/>
        </w:rPr>
        <w:t>,</w:t>
      </w:r>
      <w:r w:rsidR="00B14DCC">
        <w:rPr>
          <w:rFonts w:ascii="Arial" w:hAnsi="Arial" w:cs="Arial"/>
          <w:sz w:val="20"/>
          <w:szCs w:val="20"/>
          <w:lang w:val="es-UY"/>
        </w:rPr>
        <w:t xml:space="preserve"> </w:t>
      </w:r>
      <w:r w:rsidRPr="005A11FF">
        <w:rPr>
          <w:rFonts w:ascii="Arial" w:hAnsi="Arial" w:cs="Arial"/>
          <w:sz w:val="20"/>
          <w:szCs w:val="20"/>
          <w:lang w:val="es-UY"/>
        </w:rPr>
        <w:t xml:space="preserve">lo que se traducirá en una disminución de la disponibilidad del </w:t>
      </w:r>
      <w:r w:rsidRPr="005A11FF">
        <w:rPr>
          <w:rFonts w:ascii="Arial" w:hAnsi="Arial" w:cs="Arial"/>
          <w:sz w:val="20"/>
          <w:szCs w:val="20"/>
          <w:lang w:val="es-UY"/>
        </w:rPr>
        <w:lastRenderedPageBreak/>
        <w:t>tramo, del valor de los coeficientes técnicos de disponibilidad, y por ende del monto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dicho tramo.</w:t>
      </w:r>
    </w:p>
    <w:p w14:paraId="0A1DDE87" w14:textId="77777777" w:rsidR="005A11FF" w:rsidRPr="00730B1E"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Las Faltas no Críticas se acumulan, por tramo, y trimestre a trimestre, a lo largo de todo el año, afectando los coeficientes de disponibilidad técnica. Luego de realizada la liquidación anual de pago, el número de Faltas no Críticas de cada tramo comienza a acumular desde cero para el año siguiente</w:t>
      </w:r>
      <w:r w:rsidRPr="008C5F91">
        <w:rPr>
          <w:rFonts w:ascii="Arial" w:hAnsi="Arial" w:cs="Arial"/>
          <w:sz w:val="20"/>
          <w:szCs w:val="20"/>
          <w:lang w:val="es-UY"/>
        </w:rPr>
        <w:t>.</w:t>
      </w:r>
      <w:r w:rsidR="00A36DBE" w:rsidRPr="008C5F91">
        <w:rPr>
          <w:rFonts w:ascii="Arial" w:hAnsi="Arial" w:cs="Arial"/>
          <w:sz w:val="20"/>
          <w:szCs w:val="20"/>
          <w:lang w:val="es-UY"/>
        </w:rPr>
        <w:t xml:space="preserve"> Por año se entiende al año que transcurre entre </w:t>
      </w:r>
      <w:r w:rsidR="00A96AE0" w:rsidRPr="008C5F91">
        <w:rPr>
          <w:rFonts w:ascii="Arial" w:hAnsi="Arial" w:cs="Arial"/>
          <w:sz w:val="20"/>
          <w:szCs w:val="20"/>
          <w:lang w:val="es-UY"/>
        </w:rPr>
        <w:t xml:space="preserve">los meses previstos en el Pliego para </w:t>
      </w:r>
      <w:r w:rsidR="00A36DBE" w:rsidRPr="008C5F91">
        <w:rPr>
          <w:rFonts w:ascii="Arial" w:hAnsi="Arial" w:cs="Arial"/>
          <w:sz w:val="20"/>
          <w:szCs w:val="20"/>
          <w:lang w:val="es-UY"/>
        </w:rPr>
        <w:t>dos evaluaciones anuales</w:t>
      </w:r>
      <w:r w:rsidR="00A96AE0" w:rsidRPr="008C5F91">
        <w:rPr>
          <w:rFonts w:ascii="Arial" w:hAnsi="Arial" w:cs="Arial"/>
          <w:sz w:val="20"/>
          <w:szCs w:val="20"/>
          <w:lang w:val="es-UY"/>
        </w:rPr>
        <w:t xml:space="preserve"> consecutivas</w:t>
      </w:r>
      <w:r w:rsidR="00A36DBE" w:rsidRPr="008C5F91">
        <w:rPr>
          <w:rFonts w:ascii="Arial" w:hAnsi="Arial" w:cs="Arial"/>
          <w:sz w:val="20"/>
          <w:szCs w:val="20"/>
          <w:lang w:val="es-UY"/>
        </w:rPr>
        <w:t>.</w:t>
      </w:r>
    </w:p>
    <w:p w14:paraId="36EE8C6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no Críticas se generan de </w:t>
      </w:r>
      <w:r w:rsidR="008D05EA" w:rsidRPr="00C60422">
        <w:rPr>
          <w:rFonts w:ascii="Arial" w:hAnsi="Arial" w:cs="Arial"/>
          <w:bCs/>
          <w:sz w:val="20"/>
          <w:szCs w:val="20"/>
          <w:lang w:val="es-UY"/>
        </w:rPr>
        <w:t>cinco</w:t>
      </w:r>
      <w:r w:rsidRPr="00C60422">
        <w:rPr>
          <w:rFonts w:ascii="Arial" w:hAnsi="Arial" w:cs="Arial"/>
          <w:bCs/>
          <w:sz w:val="20"/>
          <w:szCs w:val="20"/>
          <w:lang w:val="es-UY"/>
        </w:rPr>
        <w:t xml:space="preserve"> formas</w:t>
      </w:r>
      <w:r w:rsidRPr="005A11FF">
        <w:rPr>
          <w:rFonts w:ascii="Arial" w:hAnsi="Arial" w:cs="Arial"/>
          <w:sz w:val="20"/>
          <w:szCs w:val="20"/>
          <w:lang w:val="es-UY"/>
        </w:rPr>
        <w:t xml:space="preserve"> distintas:</w:t>
      </w:r>
    </w:p>
    <w:p w14:paraId="788E11F4"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En cada tramo, cuando en las evaluaciones trimestrales del Nivel de Servicio al Usuario el resultado sea inferior al valor establecido en el pliego.</w:t>
      </w:r>
      <w:r w:rsidR="00D72D91">
        <w:rPr>
          <w:rFonts w:ascii="Arial" w:hAnsi="Arial" w:cs="Arial"/>
          <w:sz w:val="20"/>
          <w:szCs w:val="20"/>
          <w:lang w:val="es-UY"/>
        </w:rPr>
        <w:t xml:space="preserve"> </w:t>
      </w:r>
      <w:r w:rsidRPr="005A11FF">
        <w:rPr>
          <w:rFonts w:ascii="Arial" w:hAnsi="Arial" w:cs="Arial"/>
          <w:sz w:val="20"/>
          <w:szCs w:val="20"/>
          <w:lang w:val="es-UY"/>
        </w:rPr>
        <w:t>(Tabla C.XIV-2</w:t>
      </w:r>
      <w:r w:rsidR="008D4344">
        <w:rPr>
          <w:rFonts w:ascii="Arial" w:hAnsi="Arial" w:cs="Arial"/>
          <w:sz w:val="20"/>
          <w:szCs w:val="20"/>
          <w:lang w:val="es-UY"/>
        </w:rPr>
        <w:t xml:space="preserve"> o fórmula correspondiente</w:t>
      </w:r>
      <w:r w:rsidRPr="005A11FF">
        <w:rPr>
          <w:rFonts w:ascii="Arial" w:hAnsi="Arial" w:cs="Arial"/>
          <w:sz w:val="20"/>
          <w:szCs w:val="20"/>
          <w:lang w:val="es-UY"/>
        </w:rPr>
        <w:t>)</w:t>
      </w:r>
    </w:p>
    <w:p w14:paraId="7D53AE1B"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En cada tramo, cuando el valor resultante de la evaluación anual del IRI no cumpla con uno o con los dos criterios de exigencia establecidos en el pliego. (Tabla C.XIV-1).</w:t>
      </w:r>
    </w:p>
    <w:p w14:paraId="0E4B3461" w14:textId="77777777" w:rsid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t xml:space="preserve">Cuando los valores de IRI medidos excedan en un 30% a los valores de referencia establecidos en el </w:t>
      </w:r>
      <w:hyperlink w:anchor="A_13" w:history="1">
        <w:r w:rsidRPr="00507A68">
          <w:rPr>
            <w:rStyle w:val="Hipervnculo"/>
            <w:rFonts w:ascii="Arial" w:hAnsi="Arial" w:cs="Arial"/>
            <w:sz w:val="20"/>
            <w:szCs w:val="20"/>
            <w:lang w:val="es-UY"/>
          </w:rPr>
          <w:t>A</w:t>
        </w:r>
        <w:r w:rsidR="00014F26" w:rsidRPr="00507A68">
          <w:rPr>
            <w:rStyle w:val="Hipervnculo"/>
            <w:rFonts w:ascii="Arial" w:hAnsi="Arial" w:cs="Arial"/>
            <w:sz w:val="20"/>
            <w:szCs w:val="20"/>
            <w:lang w:val="es-UY"/>
          </w:rPr>
          <w:t>nexo</w:t>
        </w:r>
        <w:r w:rsidRPr="00507A68">
          <w:rPr>
            <w:rStyle w:val="Hipervnculo"/>
            <w:rFonts w:ascii="Arial" w:hAnsi="Arial" w:cs="Arial"/>
            <w:sz w:val="20"/>
            <w:szCs w:val="20"/>
            <w:lang w:val="es-UY"/>
          </w:rPr>
          <w:t xml:space="preserve"> XIII</w:t>
        </w:r>
      </w:hyperlink>
      <w:r w:rsidRPr="005A11FF">
        <w:rPr>
          <w:rFonts w:ascii="Arial" w:hAnsi="Arial" w:cs="Arial"/>
          <w:sz w:val="20"/>
          <w:szCs w:val="20"/>
          <w:lang w:val="es-UY"/>
        </w:rPr>
        <w:t>,</w:t>
      </w:r>
      <w:r w:rsidR="00005967">
        <w:rPr>
          <w:rFonts w:ascii="Arial" w:hAnsi="Arial" w:cs="Arial"/>
          <w:sz w:val="20"/>
          <w:szCs w:val="20"/>
          <w:lang w:val="es-UY"/>
        </w:rPr>
        <w:t xml:space="preserve"> ajustados según </w:t>
      </w:r>
      <w:r w:rsidR="002C7C91">
        <w:rPr>
          <w:rFonts w:ascii="Arial" w:hAnsi="Arial" w:cs="Arial"/>
          <w:sz w:val="20"/>
          <w:szCs w:val="20"/>
          <w:lang w:val="es-UY"/>
        </w:rPr>
        <w:t xml:space="preserve"> lo establecido en </w:t>
      </w:r>
      <w:r w:rsidR="00005967">
        <w:rPr>
          <w:rFonts w:ascii="Arial" w:hAnsi="Arial" w:cs="Arial"/>
          <w:sz w:val="20"/>
          <w:szCs w:val="20"/>
          <w:lang w:val="es-UY"/>
        </w:rPr>
        <w:t xml:space="preserve">el </w:t>
      </w:r>
      <w:hyperlink w:anchor="A_7" w:history="1">
        <w:r w:rsidR="00005967" w:rsidRPr="00507A68">
          <w:rPr>
            <w:rStyle w:val="Hipervnculo"/>
            <w:rFonts w:ascii="Arial" w:hAnsi="Arial" w:cs="Arial"/>
            <w:sz w:val="20"/>
            <w:szCs w:val="20"/>
            <w:lang w:val="es-UY"/>
          </w:rPr>
          <w:t>A</w:t>
        </w:r>
        <w:r w:rsidR="00014F26" w:rsidRPr="00507A68">
          <w:rPr>
            <w:rStyle w:val="Hipervnculo"/>
            <w:rFonts w:ascii="Arial" w:hAnsi="Arial" w:cs="Arial"/>
            <w:sz w:val="20"/>
            <w:szCs w:val="20"/>
            <w:lang w:val="es-UY"/>
          </w:rPr>
          <w:t>nexo</w:t>
        </w:r>
        <w:r w:rsidR="00005967" w:rsidRPr="00507A68">
          <w:rPr>
            <w:rStyle w:val="Hipervnculo"/>
            <w:rFonts w:ascii="Arial" w:hAnsi="Arial" w:cs="Arial"/>
            <w:sz w:val="20"/>
            <w:szCs w:val="20"/>
            <w:lang w:val="es-UY"/>
          </w:rPr>
          <w:t xml:space="preserve"> VII</w:t>
        </w:r>
      </w:hyperlink>
      <w:r w:rsidR="00005967">
        <w:rPr>
          <w:rFonts w:ascii="Arial" w:hAnsi="Arial" w:cs="Arial"/>
          <w:sz w:val="20"/>
          <w:szCs w:val="20"/>
          <w:lang w:val="es-UY"/>
        </w:rPr>
        <w:t>,</w:t>
      </w:r>
      <w:r w:rsidRPr="005A11FF">
        <w:rPr>
          <w:rFonts w:ascii="Arial" w:hAnsi="Arial" w:cs="Arial"/>
          <w:sz w:val="20"/>
          <w:szCs w:val="20"/>
          <w:lang w:val="es-UY"/>
        </w:rPr>
        <w:t xml:space="preserve"> los valores de la Tabla C.XIV-1 - en relación a las Faltas no Críticas (FnC) - se duplicarán.</w:t>
      </w:r>
    </w:p>
    <w:p w14:paraId="7625165F" w14:textId="77777777" w:rsidR="008D05EA" w:rsidRPr="005A11FF" w:rsidRDefault="008D05EA" w:rsidP="008D05EA">
      <w:pPr>
        <w:spacing w:after="0"/>
        <w:ind w:left="1080"/>
        <w:jc w:val="both"/>
        <w:rPr>
          <w:rFonts w:ascii="Arial" w:hAnsi="Arial" w:cs="Arial"/>
          <w:sz w:val="16"/>
          <w:szCs w:val="16"/>
          <w:lang w:val="es-UY"/>
        </w:rPr>
      </w:pPr>
      <w:bookmarkStart w:id="802" w:name="T6_FNC"/>
      <w:bookmarkStart w:id="803" w:name="T6_FNC_IRI"/>
      <w:r w:rsidRPr="005A11FF">
        <w:rPr>
          <w:rFonts w:ascii="Arial" w:hAnsi="Arial" w:cs="Arial"/>
          <w:sz w:val="16"/>
          <w:szCs w:val="16"/>
          <w:lang w:val="es-UY"/>
        </w:rPr>
        <w:lastRenderedPageBreak/>
        <w:t xml:space="preserve">Tabla C.XIV-1 Tabla para la determinación del número de Faltas no Críticas en función del cumplimiento </w:t>
      </w:r>
      <w:bookmarkEnd w:id="802"/>
      <w:bookmarkEnd w:id="803"/>
      <w:r w:rsidRPr="005A11FF">
        <w:rPr>
          <w:rFonts w:ascii="Arial" w:hAnsi="Arial" w:cs="Arial"/>
          <w:sz w:val="16"/>
          <w:szCs w:val="16"/>
          <w:lang w:val="es-UY"/>
        </w:rPr>
        <w:t>de las Condiciones de IRI alcanzadas en las evaluaciones anuales</w:t>
      </w:r>
    </w:p>
    <w:p w14:paraId="07D83001" w14:textId="77777777" w:rsidR="008D05EA" w:rsidRPr="005A11FF" w:rsidRDefault="008D05EA" w:rsidP="008D05EA">
      <w:pPr>
        <w:spacing w:after="0"/>
        <w:ind w:left="1080"/>
        <w:jc w:val="both"/>
        <w:rPr>
          <w:rFonts w:ascii="Arial" w:hAnsi="Arial" w:cs="Arial"/>
          <w:sz w:val="16"/>
          <w:szCs w:val="16"/>
          <w:lang w:val="es-UY"/>
        </w:rPr>
      </w:pPr>
    </w:p>
    <w:p w14:paraId="0BB642A6" w14:textId="77777777" w:rsidR="008D05EA" w:rsidRPr="005A11FF" w:rsidRDefault="008D05EA" w:rsidP="008D05EA">
      <w:pPr>
        <w:spacing w:after="0"/>
        <w:ind w:left="1080"/>
        <w:jc w:val="both"/>
        <w:rPr>
          <w:rFonts w:ascii="Arial" w:hAnsi="Arial" w:cs="Arial"/>
          <w:sz w:val="20"/>
          <w:szCs w:val="20"/>
          <w:lang w:val="es-UY"/>
        </w:rPr>
      </w:pPr>
      <w:r w:rsidRPr="005A11FF">
        <w:rPr>
          <w:rFonts w:cs="Times New Roman"/>
          <w:noProof/>
          <w:lang w:val="es-UY" w:eastAsia="es-UY"/>
        </w:rPr>
        <w:drawing>
          <wp:inline distT="0" distB="0" distL="0" distR="0" wp14:anchorId="7BCC7611" wp14:editId="6DDA7564">
            <wp:extent cx="4686300" cy="828675"/>
            <wp:effectExtent l="19050" t="0" r="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9"/>
                    <a:srcRect/>
                    <a:stretch>
                      <a:fillRect/>
                    </a:stretch>
                  </pic:blipFill>
                  <pic:spPr bwMode="auto">
                    <a:xfrm>
                      <a:off x="0" y="0"/>
                      <a:ext cx="4686300" cy="828675"/>
                    </a:xfrm>
                    <a:prstGeom prst="rect">
                      <a:avLst/>
                    </a:prstGeom>
                    <a:noFill/>
                    <a:ln w="9525">
                      <a:noFill/>
                      <a:miter lim="800000"/>
                      <a:headEnd/>
                      <a:tailEnd/>
                    </a:ln>
                  </pic:spPr>
                </pic:pic>
              </a:graphicData>
            </a:graphic>
          </wp:inline>
        </w:drawing>
      </w:r>
    </w:p>
    <w:p w14:paraId="6A279B31" w14:textId="77777777" w:rsidR="00D72D91" w:rsidRDefault="00D72D91" w:rsidP="005234F5">
      <w:pPr>
        <w:spacing w:line="240" w:lineRule="auto"/>
        <w:rPr>
          <w:rFonts w:ascii="Arial" w:hAnsi="Arial" w:cs="Arial"/>
          <w:sz w:val="20"/>
          <w:szCs w:val="20"/>
          <w:lang w:val="es-UY"/>
        </w:rPr>
      </w:pPr>
    </w:p>
    <w:p w14:paraId="0C798C2F" w14:textId="77777777" w:rsidR="008D05EA" w:rsidRDefault="008D05EA" w:rsidP="005234F5">
      <w:pPr>
        <w:spacing w:line="240" w:lineRule="auto"/>
        <w:rPr>
          <w:rFonts w:ascii="Arial" w:hAnsi="Arial" w:cs="Arial"/>
          <w:sz w:val="20"/>
          <w:szCs w:val="20"/>
          <w:lang w:val="es-UY"/>
        </w:rPr>
      </w:pPr>
      <w:r w:rsidRPr="005A11FF">
        <w:rPr>
          <w:rFonts w:ascii="Arial" w:hAnsi="Arial" w:cs="Arial"/>
          <w:sz w:val="20"/>
          <w:szCs w:val="20"/>
          <w:lang w:val="es-UY"/>
        </w:rPr>
        <w:t xml:space="preserve">Según las condiciones establecidas en el </w:t>
      </w:r>
      <w:hyperlink w:anchor="A_13" w:history="1">
        <w:r w:rsidRPr="003218BC">
          <w:rPr>
            <w:rStyle w:val="Hipervnculo"/>
            <w:rFonts w:ascii="Arial" w:hAnsi="Arial" w:cs="Arial"/>
            <w:sz w:val="20"/>
            <w:szCs w:val="20"/>
            <w:lang w:val="es-UY"/>
          </w:rPr>
          <w:t>Anexo XIII</w:t>
        </w:r>
      </w:hyperlink>
      <w:r w:rsidRPr="005A11FF">
        <w:rPr>
          <w:rFonts w:ascii="Arial" w:hAnsi="Arial" w:cs="Arial"/>
          <w:sz w:val="20"/>
          <w:szCs w:val="20"/>
          <w:lang w:val="es-UY"/>
        </w:rPr>
        <w:t>.</w:t>
      </w:r>
    </w:p>
    <w:p w14:paraId="2E039156" w14:textId="77777777"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en los plazos de ejecución de las obras complementarias comprometidas.</w:t>
      </w:r>
    </w:p>
    <w:p w14:paraId="59EB54CD" w14:textId="64DF423E"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en cualquiera de los plazos parciales de ejecución de las obras de puesta a punto.</w:t>
      </w:r>
    </w:p>
    <w:p w14:paraId="34211E08" w14:textId="77777777" w:rsidR="005A11FF" w:rsidRP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t>En este caso se computará, por cada tramo en que se verifique el atraso, 1 Falta no Crítica por cada mes en que persista el atraso en el cumplimiento de los plazos parciales del cronograma establecido en la tabla C.XI-5.</w:t>
      </w:r>
    </w:p>
    <w:p w14:paraId="7589DF69" w14:textId="63FD210F" w:rsidR="005A11FF" w:rsidRPr="005A11FF" w:rsidRDefault="005A11FF" w:rsidP="009A58E0">
      <w:pPr>
        <w:numPr>
          <w:ilvl w:val="0"/>
          <w:numId w:val="65"/>
        </w:numPr>
        <w:spacing w:after="120"/>
        <w:jc w:val="both"/>
        <w:rPr>
          <w:rFonts w:ascii="Arial" w:hAnsi="Arial" w:cs="Arial"/>
          <w:sz w:val="20"/>
          <w:szCs w:val="20"/>
          <w:lang w:val="es-UY"/>
        </w:rPr>
      </w:pPr>
      <w:r w:rsidRPr="005A11FF">
        <w:rPr>
          <w:rFonts w:ascii="Arial" w:hAnsi="Arial" w:cs="Arial"/>
          <w:sz w:val="20"/>
          <w:szCs w:val="20"/>
          <w:lang w:val="es-UY"/>
        </w:rPr>
        <w:t>Por incumplimiento del plazo final de ejecución de las obras de puesta a punto.</w:t>
      </w:r>
    </w:p>
    <w:p w14:paraId="454CBC6D" w14:textId="77777777" w:rsidR="005A11FF" w:rsidRDefault="005A11FF" w:rsidP="005A11FF">
      <w:pPr>
        <w:spacing w:after="120"/>
        <w:ind w:left="588"/>
        <w:jc w:val="both"/>
        <w:rPr>
          <w:rFonts w:ascii="Arial" w:hAnsi="Arial" w:cs="Arial"/>
          <w:sz w:val="20"/>
          <w:szCs w:val="20"/>
          <w:lang w:val="es-UY"/>
        </w:rPr>
      </w:pPr>
      <w:r w:rsidRPr="005A11FF">
        <w:rPr>
          <w:rFonts w:ascii="Arial" w:hAnsi="Arial" w:cs="Arial"/>
          <w:sz w:val="20"/>
          <w:szCs w:val="20"/>
          <w:lang w:val="es-UY"/>
        </w:rPr>
        <w:lastRenderedPageBreak/>
        <w:t>En este caso se computarán, por cada tramo en que se verifique el atraso, 2 Faltas no Críticas por cada mes en que persista el atraso en el cumplimiento de los plazos finales del cronograma establecido en la tabla C.XI-5.</w:t>
      </w:r>
    </w:p>
    <w:p w14:paraId="2BE5700D" w14:textId="77777777" w:rsidR="005234F5" w:rsidRPr="005A11FF" w:rsidRDefault="005234F5" w:rsidP="005A11FF">
      <w:pPr>
        <w:spacing w:after="120"/>
        <w:ind w:left="588"/>
        <w:jc w:val="both"/>
        <w:rPr>
          <w:rFonts w:ascii="Arial" w:hAnsi="Arial" w:cs="Arial"/>
          <w:sz w:val="20"/>
          <w:szCs w:val="20"/>
          <w:lang w:val="es-UY"/>
        </w:rPr>
      </w:pPr>
    </w:p>
    <w:p w14:paraId="1C085D05" w14:textId="77777777" w:rsidR="005A11FF" w:rsidRPr="00CC6530" w:rsidRDefault="005A11FF" w:rsidP="004C3C3B">
      <w:pPr>
        <w:pStyle w:val="T1"/>
        <w:numPr>
          <w:ilvl w:val="0"/>
          <w:numId w:val="90"/>
        </w:numPr>
        <w:outlineLvl w:val="2"/>
      </w:pPr>
      <w:bookmarkStart w:id="804" w:name="_Toc400636178"/>
      <w:bookmarkStart w:id="805" w:name="_Toc468288075"/>
      <w:bookmarkStart w:id="806" w:name="_Toc496266669"/>
      <w:bookmarkStart w:id="807" w:name="Lit_68"/>
      <w:r w:rsidRPr="00CC6530">
        <w:t>FALTAS CRÍTICAS (FC)</w:t>
      </w:r>
      <w:bookmarkEnd w:id="804"/>
      <w:bookmarkEnd w:id="805"/>
      <w:bookmarkEnd w:id="806"/>
    </w:p>
    <w:bookmarkEnd w:id="807"/>
    <w:p w14:paraId="07E5486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Cuando en un tramo las Faltas no Críticas se acumulen más allá de cierto límite o el apartamiento respecto a las exigencias sea sustancial</w:t>
      </w:r>
      <w:r w:rsidR="00DF3CDE">
        <w:rPr>
          <w:rFonts w:ascii="Arial" w:hAnsi="Arial" w:cs="Arial"/>
          <w:sz w:val="20"/>
          <w:szCs w:val="20"/>
          <w:lang w:val="es-UY"/>
        </w:rPr>
        <w:t>,</w:t>
      </w:r>
      <w:r w:rsidRPr="005A11FF">
        <w:rPr>
          <w:rFonts w:ascii="Arial" w:hAnsi="Arial" w:cs="Arial"/>
          <w:sz w:val="20"/>
          <w:szCs w:val="20"/>
          <w:lang w:val="es-UY"/>
        </w:rPr>
        <w:t xml:space="preserve"> se generarán y acumularán Faltas Críticas. Estas faltas afectan la disponibilidad de todo el circuito en su conjunto y por ende del monto total a percibir por el Contratista. </w:t>
      </w:r>
    </w:p>
    <w:p w14:paraId="021885F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Críticas se generan de </w:t>
      </w:r>
      <w:r w:rsidRPr="00C60422">
        <w:rPr>
          <w:rFonts w:ascii="Arial" w:hAnsi="Arial" w:cs="Arial"/>
          <w:bCs/>
          <w:sz w:val="20"/>
          <w:szCs w:val="20"/>
          <w:lang w:val="es-UY"/>
        </w:rPr>
        <w:t>tres formas</w:t>
      </w:r>
      <w:r w:rsidRPr="005A11FF">
        <w:rPr>
          <w:rFonts w:ascii="Arial" w:hAnsi="Arial" w:cs="Arial"/>
          <w:sz w:val="20"/>
          <w:szCs w:val="20"/>
          <w:lang w:val="es-UY"/>
        </w:rPr>
        <w:t xml:space="preserve"> distintas:</w:t>
      </w:r>
    </w:p>
    <w:p w14:paraId="01D8450D" w14:textId="77777777" w:rsidR="005A11FF" w:rsidRPr="005A11FF" w:rsidRDefault="005A11FF" w:rsidP="009A58E0">
      <w:pPr>
        <w:numPr>
          <w:ilvl w:val="0"/>
          <w:numId w:val="66"/>
        </w:numPr>
        <w:spacing w:after="120"/>
        <w:jc w:val="both"/>
        <w:rPr>
          <w:rFonts w:ascii="Arial" w:hAnsi="Arial" w:cs="Arial"/>
          <w:sz w:val="20"/>
          <w:szCs w:val="20"/>
          <w:lang w:val="es-UY"/>
        </w:rPr>
      </w:pPr>
      <w:r w:rsidRPr="005A11FF">
        <w:rPr>
          <w:rFonts w:ascii="Arial" w:hAnsi="Arial" w:cs="Arial"/>
          <w:sz w:val="20"/>
          <w:szCs w:val="20"/>
          <w:lang w:val="es-UY"/>
        </w:rPr>
        <w:t>Por apartamientos sustanciales de los indicadores técnicos de disponibilidad en uno o más tramos. Las Faltas Críticas se generan en cada tramo según el valor alcanzado en las evaluaciones trimestrales del Nivel de Servicio al Usuario (Tabla C. XIV-2</w:t>
      </w:r>
      <w:r w:rsidR="001E36DD">
        <w:rPr>
          <w:rFonts w:ascii="Arial" w:hAnsi="Arial" w:cs="Arial"/>
          <w:sz w:val="20"/>
          <w:szCs w:val="20"/>
          <w:lang w:val="es-UY"/>
        </w:rPr>
        <w:t xml:space="preserve"> o fórmula correspondiente</w:t>
      </w:r>
      <w:r w:rsidRPr="005A11FF">
        <w:rPr>
          <w:rFonts w:ascii="Arial" w:hAnsi="Arial" w:cs="Arial"/>
          <w:sz w:val="20"/>
          <w:szCs w:val="20"/>
          <w:lang w:val="es-UY"/>
        </w:rPr>
        <w:t>) y también se acumulan por trimestre y por tramo</w:t>
      </w:r>
      <w:r w:rsidR="001E36DD">
        <w:rPr>
          <w:rFonts w:ascii="Arial" w:hAnsi="Arial" w:cs="Arial"/>
          <w:sz w:val="20"/>
          <w:szCs w:val="20"/>
          <w:lang w:val="es-UY"/>
        </w:rPr>
        <w:t>,</w:t>
      </w:r>
      <w:r w:rsidRPr="005A11FF">
        <w:rPr>
          <w:rFonts w:ascii="Arial" w:hAnsi="Arial" w:cs="Arial"/>
          <w:sz w:val="20"/>
          <w:szCs w:val="20"/>
          <w:lang w:val="es-UY"/>
        </w:rPr>
        <w:t xml:space="preserve"> pero su número acumulado afecta a la liquidación anual de todo el circuito.</w:t>
      </w:r>
    </w:p>
    <w:p w14:paraId="60DDC1EA" w14:textId="77777777" w:rsidR="001E36DD" w:rsidRPr="001E36DD" w:rsidRDefault="001E36DD" w:rsidP="001E36DD">
      <w:pPr>
        <w:spacing w:after="120" w:line="360" w:lineRule="auto"/>
        <w:rPr>
          <w:rFonts w:ascii="Arial" w:hAnsi="Arial" w:cs="Arial"/>
          <w:sz w:val="16"/>
          <w:szCs w:val="16"/>
          <w:lang w:val="es-UY"/>
        </w:rPr>
      </w:pPr>
    </w:p>
    <w:p w14:paraId="366515B4" w14:textId="77777777" w:rsidR="001E36DD" w:rsidRPr="001E36DD" w:rsidRDefault="001E36DD" w:rsidP="001E36DD">
      <w:pPr>
        <w:pStyle w:val="Prrafodelista"/>
        <w:spacing w:before="120" w:after="120"/>
        <w:jc w:val="both"/>
        <w:rPr>
          <w:rFonts w:ascii="Arial" w:hAnsi="Arial" w:cs="Arial"/>
          <w:sz w:val="20"/>
          <w:szCs w:val="20"/>
          <w:lang w:val="es-UY"/>
        </w:rPr>
      </w:pPr>
      <w:r w:rsidRPr="001E36DD">
        <w:rPr>
          <w:rFonts w:ascii="Arial" w:hAnsi="Arial" w:cs="Arial"/>
          <w:sz w:val="20"/>
          <w:szCs w:val="20"/>
          <w:lang w:val="es-UY"/>
        </w:rPr>
        <w:lastRenderedPageBreak/>
        <w:t>Si NSU ≥ 0,89</w:t>
      </w:r>
      <w:r w:rsidR="008D4344">
        <w:rPr>
          <w:rFonts w:ascii="Arial" w:hAnsi="Arial" w:cs="Arial"/>
          <w:sz w:val="20"/>
          <w:szCs w:val="20"/>
          <w:lang w:val="es-UY"/>
        </w:rPr>
        <w:t xml:space="preserve"> aplica la siguiente tabla y</w:t>
      </w:r>
      <w:r w:rsidRPr="001E36DD">
        <w:rPr>
          <w:rFonts w:ascii="Arial" w:hAnsi="Arial" w:cs="Arial"/>
          <w:sz w:val="20"/>
          <w:szCs w:val="20"/>
          <w:lang w:val="es-UY"/>
        </w:rPr>
        <w:t xml:space="preserve"> el valor se trunca en tres decimales (Ejemplo: 0,897)</w:t>
      </w:r>
    </w:p>
    <w:p w14:paraId="5EFE7B92" w14:textId="77777777" w:rsidR="005A11FF" w:rsidRPr="005A11FF" w:rsidRDefault="005A11FF" w:rsidP="005A11FF">
      <w:pPr>
        <w:spacing w:after="120"/>
        <w:ind w:left="720"/>
        <w:jc w:val="both"/>
        <w:rPr>
          <w:rFonts w:ascii="Arial" w:hAnsi="Arial" w:cs="Arial"/>
          <w:sz w:val="20"/>
          <w:szCs w:val="20"/>
          <w:highlight w:val="yellow"/>
          <w:lang w:val="es-UY"/>
        </w:rPr>
      </w:pPr>
    </w:p>
    <w:p w14:paraId="63D7806E" w14:textId="77777777" w:rsidR="005A11FF" w:rsidRDefault="005A11FF" w:rsidP="005A11FF">
      <w:pPr>
        <w:spacing w:after="120" w:line="360" w:lineRule="auto"/>
        <w:rPr>
          <w:rFonts w:ascii="Arial" w:hAnsi="Arial" w:cs="Arial"/>
          <w:sz w:val="16"/>
          <w:szCs w:val="16"/>
          <w:lang w:val="es-UY"/>
        </w:rPr>
      </w:pPr>
      <w:bookmarkStart w:id="808" w:name="T7_FNC_FC_NSU"/>
      <w:r w:rsidRPr="00540FC2">
        <w:rPr>
          <w:rFonts w:ascii="Arial" w:hAnsi="Arial" w:cs="Arial"/>
          <w:sz w:val="16"/>
          <w:szCs w:val="16"/>
          <w:lang w:val="es-UY"/>
        </w:rPr>
        <w:t>Tabla C.XIV-2</w:t>
      </w:r>
      <w:r w:rsidR="00B14DCC" w:rsidRPr="00540FC2">
        <w:rPr>
          <w:rFonts w:ascii="Arial" w:hAnsi="Arial" w:cs="Arial"/>
          <w:sz w:val="16"/>
          <w:szCs w:val="16"/>
          <w:lang w:val="es-UY"/>
        </w:rPr>
        <w:t xml:space="preserve"> </w:t>
      </w:r>
      <w:r w:rsidRPr="00540FC2">
        <w:rPr>
          <w:rFonts w:ascii="Arial" w:hAnsi="Arial" w:cs="Arial"/>
          <w:sz w:val="16"/>
          <w:szCs w:val="16"/>
          <w:lang w:val="es-UY"/>
        </w:rPr>
        <w:t xml:space="preserve">Tabla para la determinación del número de Faltas no Críticas y Faltas Críticas en función del Nivel de </w:t>
      </w:r>
      <w:bookmarkEnd w:id="808"/>
      <w:r w:rsidRPr="00540FC2">
        <w:rPr>
          <w:rFonts w:ascii="Arial" w:hAnsi="Arial" w:cs="Arial"/>
          <w:sz w:val="16"/>
          <w:szCs w:val="16"/>
          <w:lang w:val="es-UY"/>
        </w:rPr>
        <w:t>Servicio al Usuario (</w:t>
      </w:r>
      <w:r w:rsidRPr="00C60422">
        <w:rPr>
          <w:rFonts w:ascii="Arial" w:hAnsi="Arial" w:cs="Arial"/>
          <w:bCs/>
          <w:sz w:val="16"/>
          <w:szCs w:val="16"/>
          <w:lang w:val="es-UY"/>
        </w:rPr>
        <w:t>NSU</w:t>
      </w:r>
      <w:r w:rsidRPr="00540FC2">
        <w:rPr>
          <w:rFonts w:ascii="Arial" w:hAnsi="Arial" w:cs="Arial"/>
          <w:sz w:val="16"/>
          <w:szCs w:val="16"/>
          <w:lang w:val="es-UY"/>
        </w:rPr>
        <w:t>) alcanzado en las evaluaciones trimestrales</w:t>
      </w:r>
    </w:p>
    <w:p w14:paraId="5D66E77B" w14:textId="77777777" w:rsidR="003933AC" w:rsidRPr="005A11FF" w:rsidRDefault="003933AC" w:rsidP="005A11FF">
      <w:pPr>
        <w:spacing w:after="120" w:line="360" w:lineRule="auto"/>
        <w:rPr>
          <w:rFonts w:ascii="Arial" w:hAnsi="Arial" w:cs="Arial"/>
          <w:sz w:val="16"/>
          <w:szCs w:val="16"/>
          <w:lang w:val="es-UY"/>
        </w:rPr>
      </w:pPr>
      <w:r>
        <w:rPr>
          <w:rFonts w:ascii="Arial" w:hAnsi="Arial" w:cs="Arial"/>
          <w:sz w:val="16"/>
          <w:szCs w:val="16"/>
          <w:lang w:val="es-UY"/>
        </w:rPr>
        <w:t xml:space="preserve">                   </w:t>
      </w:r>
      <w:r w:rsidR="000F5C7C" w:rsidRPr="00540FC2">
        <w:rPr>
          <w:rFonts w:ascii="Arial" w:hAnsi="Arial" w:cs="Arial"/>
          <w:noProof/>
          <w:sz w:val="16"/>
          <w:szCs w:val="16"/>
          <w:lang w:val="es-UY" w:eastAsia="es-UY"/>
        </w:rPr>
        <w:drawing>
          <wp:inline distT="0" distB="0" distL="0" distR="0" wp14:anchorId="70D66A0C" wp14:editId="6CAF3DC6">
            <wp:extent cx="3596305" cy="2635885"/>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7532" cy="2644114"/>
                    </a:xfrm>
                    <a:prstGeom prst="rect">
                      <a:avLst/>
                    </a:prstGeom>
                    <a:noFill/>
                  </pic:spPr>
                </pic:pic>
              </a:graphicData>
            </a:graphic>
          </wp:inline>
        </w:drawing>
      </w:r>
    </w:p>
    <w:p w14:paraId="4FCB4C9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Si NSU &lt; 0,89 sólo se </w:t>
      </w:r>
      <w:r w:rsidR="0091296F">
        <w:rPr>
          <w:rFonts w:ascii="Arial" w:hAnsi="Arial" w:cs="Arial"/>
          <w:sz w:val="20"/>
          <w:szCs w:val="20"/>
          <w:lang w:val="es-UY"/>
        </w:rPr>
        <w:t xml:space="preserve">consideran dos decimales </w:t>
      </w:r>
      <w:r w:rsidRPr="005A11FF">
        <w:rPr>
          <w:rFonts w:ascii="Arial" w:hAnsi="Arial" w:cs="Arial"/>
          <w:sz w:val="20"/>
          <w:szCs w:val="20"/>
          <w:lang w:val="es-UY"/>
        </w:rPr>
        <w:t>sin redondeos (Ejemplo: 0,887 se toma como 0,88) y las Faltas no Críticas y Críticas se calculan de acuerdo a las fórmulas siguientes:</w:t>
      </w:r>
    </w:p>
    <w:p w14:paraId="45476207" w14:textId="77777777" w:rsidR="005A11FF" w:rsidRPr="005A11FF" w:rsidRDefault="005A11FF" w:rsidP="005A11FF">
      <w:pPr>
        <w:spacing w:after="120"/>
        <w:jc w:val="center"/>
        <w:rPr>
          <w:rFonts w:ascii="Arial" w:hAnsi="Arial" w:cs="Arial"/>
          <w:sz w:val="20"/>
          <w:szCs w:val="20"/>
          <w:lang w:val="es-UY"/>
        </w:rPr>
      </w:pPr>
      <w:r w:rsidRPr="005A11FF">
        <w:rPr>
          <w:rFonts w:ascii="Arial" w:hAnsi="Arial" w:cs="Arial"/>
          <w:sz w:val="20"/>
          <w:szCs w:val="20"/>
          <w:lang w:val="es-UY"/>
        </w:rPr>
        <w:t>FnC</w:t>
      </w:r>
      <w:r w:rsidRPr="005A11FF">
        <w:rPr>
          <w:rFonts w:ascii="Arial" w:hAnsi="Arial" w:cs="Arial"/>
          <w:sz w:val="20"/>
          <w:szCs w:val="20"/>
          <w:lang w:val="es-UY"/>
        </w:rPr>
        <w:tab/>
        <w:t>= 8 + 2 * (0,89 – NSU) * 100</w:t>
      </w:r>
    </w:p>
    <w:p w14:paraId="5E888075" w14:textId="77777777" w:rsidR="005A11FF" w:rsidRPr="005A11FF" w:rsidRDefault="005A11FF" w:rsidP="005A11FF">
      <w:pPr>
        <w:spacing w:after="120"/>
        <w:jc w:val="center"/>
        <w:rPr>
          <w:rFonts w:ascii="Arial" w:hAnsi="Arial" w:cs="Arial"/>
          <w:sz w:val="20"/>
          <w:szCs w:val="20"/>
          <w:lang w:val="es-UY"/>
        </w:rPr>
      </w:pPr>
      <w:r w:rsidRPr="005A11FF">
        <w:rPr>
          <w:rFonts w:ascii="Arial" w:hAnsi="Arial" w:cs="Arial"/>
          <w:sz w:val="20"/>
          <w:szCs w:val="20"/>
          <w:lang w:val="es-UY"/>
        </w:rPr>
        <w:lastRenderedPageBreak/>
        <w:t>FC</w:t>
      </w:r>
      <w:r w:rsidRPr="005A11FF">
        <w:rPr>
          <w:rFonts w:ascii="Arial" w:hAnsi="Arial" w:cs="Arial"/>
          <w:sz w:val="20"/>
          <w:szCs w:val="20"/>
          <w:lang w:val="es-UY"/>
        </w:rPr>
        <w:tab/>
        <w:t>= 1 + 1 * (0,89 – NSU) * 100</w:t>
      </w:r>
    </w:p>
    <w:p w14:paraId="35B4E125" w14:textId="77777777" w:rsidR="005A11FF" w:rsidRPr="005A11FF" w:rsidRDefault="005A11FF" w:rsidP="009A58E0">
      <w:pPr>
        <w:numPr>
          <w:ilvl w:val="0"/>
          <w:numId w:val="66"/>
        </w:numPr>
        <w:rPr>
          <w:rFonts w:ascii="Arial" w:hAnsi="Arial" w:cs="Arial"/>
          <w:sz w:val="20"/>
          <w:szCs w:val="20"/>
          <w:lang w:val="es-UY"/>
        </w:rPr>
      </w:pPr>
      <w:r w:rsidRPr="005A11FF">
        <w:rPr>
          <w:rFonts w:ascii="Arial" w:hAnsi="Arial" w:cs="Arial"/>
          <w:sz w:val="20"/>
          <w:szCs w:val="20"/>
          <w:lang w:val="es-UY"/>
        </w:rPr>
        <w:t xml:space="preserve">Por reiteración de Faltas no Críticas. La acumulación de 12 Faltas no Críticas originadas en un mismo tramo y en un mismo año, dará lugar a 1 Falta Crítica </w:t>
      </w:r>
    </w:p>
    <w:p w14:paraId="772E1DB5" w14:textId="77777777" w:rsidR="005A11FF" w:rsidRPr="005A11FF" w:rsidRDefault="005A11FF" w:rsidP="009A58E0">
      <w:pPr>
        <w:numPr>
          <w:ilvl w:val="0"/>
          <w:numId w:val="66"/>
        </w:numPr>
        <w:spacing w:after="0"/>
        <w:jc w:val="both"/>
        <w:rPr>
          <w:rFonts w:ascii="Arial" w:hAnsi="Arial" w:cs="Arial"/>
          <w:sz w:val="20"/>
          <w:szCs w:val="20"/>
          <w:lang w:val="es-UY"/>
        </w:rPr>
      </w:pPr>
      <w:r w:rsidRPr="005A11FF">
        <w:rPr>
          <w:rFonts w:ascii="Arial" w:hAnsi="Arial" w:cs="Arial"/>
          <w:sz w:val="20"/>
          <w:szCs w:val="20"/>
          <w:lang w:val="es-UY"/>
        </w:rPr>
        <w:t>Cada Falta Crítica originada en un mismo tramo se contará doble cuando se repita en años consecutivos por los mismos motivos.</w:t>
      </w:r>
    </w:p>
    <w:p w14:paraId="3F369DB8" w14:textId="77777777" w:rsidR="005A11FF" w:rsidRPr="005A11FF" w:rsidRDefault="005A11FF" w:rsidP="005A11FF">
      <w:pPr>
        <w:spacing w:after="0"/>
        <w:jc w:val="both"/>
        <w:rPr>
          <w:rFonts w:ascii="Arial" w:hAnsi="Arial" w:cs="Arial"/>
          <w:sz w:val="20"/>
          <w:szCs w:val="20"/>
          <w:highlight w:val="yellow"/>
          <w:lang w:val="es-UY"/>
        </w:rPr>
      </w:pPr>
    </w:p>
    <w:p w14:paraId="2D4D6427" w14:textId="77777777" w:rsidR="005A11FF" w:rsidRPr="005A11FF" w:rsidRDefault="005A11FF" w:rsidP="005A11FF">
      <w:pPr>
        <w:spacing w:after="0"/>
        <w:jc w:val="both"/>
        <w:rPr>
          <w:rFonts w:ascii="Arial" w:hAnsi="Arial" w:cs="Arial"/>
          <w:sz w:val="20"/>
          <w:szCs w:val="20"/>
          <w:lang w:val="es-UY"/>
        </w:rPr>
      </w:pPr>
      <w:r w:rsidRPr="005A11FF">
        <w:rPr>
          <w:rFonts w:ascii="Arial" w:hAnsi="Arial" w:cs="Arial"/>
          <w:sz w:val="20"/>
          <w:szCs w:val="20"/>
          <w:lang w:val="es-UY"/>
        </w:rPr>
        <w:t>En todos los casos, a los efectos de calcular el Pago por Disponibilidad, la Faltas Críticas</w:t>
      </w:r>
      <w:r w:rsidR="00B14DCC">
        <w:rPr>
          <w:rFonts w:ascii="Arial" w:hAnsi="Arial" w:cs="Arial"/>
          <w:sz w:val="20"/>
          <w:szCs w:val="20"/>
          <w:lang w:val="es-UY"/>
        </w:rPr>
        <w:t xml:space="preserve"> </w:t>
      </w:r>
      <w:r w:rsidRPr="005A11FF">
        <w:rPr>
          <w:rFonts w:ascii="Arial" w:hAnsi="Arial" w:cs="Arial"/>
          <w:sz w:val="20"/>
          <w:szCs w:val="20"/>
          <w:lang w:val="es-UY"/>
        </w:rPr>
        <w:t>se suman a las Faltas no Críticas.</w:t>
      </w:r>
    </w:p>
    <w:p w14:paraId="0D07EA83" w14:textId="77777777" w:rsidR="005A11FF" w:rsidRPr="005A11FF" w:rsidRDefault="005A11FF" w:rsidP="005A11FF">
      <w:pPr>
        <w:spacing w:after="120"/>
        <w:jc w:val="both"/>
        <w:rPr>
          <w:rFonts w:ascii="Arial" w:hAnsi="Arial" w:cs="Arial"/>
          <w:sz w:val="20"/>
          <w:szCs w:val="20"/>
          <w:lang w:val="es-UY"/>
        </w:rPr>
      </w:pPr>
    </w:p>
    <w:p w14:paraId="03BC5BDD" w14:textId="77777777" w:rsidR="005A11FF" w:rsidRPr="00CC6530" w:rsidRDefault="005A11FF" w:rsidP="004C3C3B">
      <w:pPr>
        <w:pStyle w:val="T1"/>
        <w:numPr>
          <w:ilvl w:val="0"/>
          <w:numId w:val="90"/>
        </w:numPr>
        <w:outlineLvl w:val="2"/>
      </w:pPr>
      <w:bookmarkStart w:id="809" w:name="Lit_69"/>
      <w:bookmarkStart w:id="810" w:name="_Toc400636179"/>
      <w:bookmarkStart w:id="811" w:name="_Toc468288076"/>
      <w:bookmarkStart w:id="812" w:name="_Toc496266670"/>
      <w:r w:rsidRPr="00CC6530">
        <w:t xml:space="preserve">AFECTACIÓN AL PAGO ANUAL POR DISPONIBILIDAD POR LAS FALTAS </w:t>
      </w:r>
      <w:bookmarkEnd w:id="809"/>
      <w:r w:rsidRPr="00CC6530">
        <w:t>CRÍTICAS</w:t>
      </w:r>
      <w:bookmarkEnd w:id="810"/>
      <w:bookmarkEnd w:id="811"/>
      <w:bookmarkEnd w:id="812"/>
    </w:p>
    <w:p w14:paraId="6C1CF092" w14:textId="77777777" w:rsidR="005A11FF" w:rsidRPr="005A11FF" w:rsidRDefault="005A11FF" w:rsidP="005234F5">
      <w:pPr>
        <w:rPr>
          <w:rFonts w:ascii="Arial" w:hAnsi="Arial" w:cs="Arial"/>
          <w:sz w:val="20"/>
          <w:szCs w:val="20"/>
        </w:rPr>
      </w:pPr>
      <w:r w:rsidRPr="005A11FF">
        <w:rPr>
          <w:rFonts w:ascii="Arial" w:hAnsi="Arial" w:cs="Arial"/>
          <w:sz w:val="20"/>
          <w:szCs w:val="20"/>
        </w:rPr>
        <w:t xml:space="preserve">El pago anual por Disponibilidad será afectado por un </w:t>
      </w:r>
      <w:r w:rsidR="0064093C">
        <w:rPr>
          <w:rFonts w:ascii="Arial" w:hAnsi="Arial" w:cs="Arial"/>
          <w:sz w:val="20"/>
          <w:szCs w:val="20"/>
        </w:rPr>
        <w:t>factor</w:t>
      </w:r>
      <w:r w:rsidRPr="005A11FF">
        <w:rPr>
          <w:rFonts w:ascii="Arial" w:hAnsi="Arial" w:cs="Arial"/>
          <w:sz w:val="20"/>
          <w:szCs w:val="20"/>
        </w:rPr>
        <w:t xml:space="preserve"> </w:t>
      </w:r>
      <w:r w:rsidRPr="00197C20">
        <w:rPr>
          <w:rFonts w:ascii="Arial" w:hAnsi="Arial" w:cs="Arial"/>
          <w:bCs/>
          <w:sz w:val="20"/>
          <w:szCs w:val="20"/>
        </w:rPr>
        <w:t>Z</w:t>
      </w:r>
      <w:r w:rsidRPr="005A11FF">
        <w:rPr>
          <w:rFonts w:ascii="Arial" w:hAnsi="Arial" w:cs="Arial"/>
          <w:sz w:val="20"/>
          <w:szCs w:val="20"/>
        </w:rPr>
        <w:t xml:space="preserve"> que refleja la incidencia de las Faltas Críticas y se calculará de acuerdo a la siguiente fórmula.</w:t>
      </w:r>
    </w:p>
    <w:p w14:paraId="2D45EF3A" w14:textId="77777777" w:rsidR="005A11FF" w:rsidRPr="005A11FF" w:rsidRDefault="005A11FF" w:rsidP="005234F5">
      <w:pPr>
        <w:jc w:val="center"/>
        <w:rPr>
          <w:rFonts w:ascii="Arial" w:hAnsi="Arial" w:cs="Arial"/>
          <w:sz w:val="20"/>
          <w:szCs w:val="20"/>
        </w:rPr>
      </w:pPr>
      <w:r w:rsidRPr="00197C20">
        <w:rPr>
          <w:rFonts w:ascii="Arial" w:hAnsi="Arial" w:cs="Arial"/>
          <w:bCs/>
          <w:sz w:val="20"/>
          <w:szCs w:val="20"/>
        </w:rPr>
        <w:t>Z</w:t>
      </w:r>
      <w:r w:rsidRPr="005A11FF">
        <w:rPr>
          <w:rFonts w:ascii="Arial" w:hAnsi="Arial" w:cs="Arial"/>
          <w:sz w:val="20"/>
          <w:szCs w:val="20"/>
        </w:rPr>
        <w:t xml:space="preserve"> = 1 - 0.01 * n</w:t>
      </w:r>
    </w:p>
    <w:p w14:paraId="6EF743FB" w14:textId="77777777" w:rsidR="005A11FF" w:rsidRPr="005A11FF" w:rsidRDefault="005A11FF" w:rsidP="005234F5">
      <w:pPr>
        <w:rPr>
          <w:rFonts w:ascii="Arial" w:hAnsi="Arial" w:cs="Arial"/>
          <w:sz w:val="20"/>
          <w:szCs w:val="20"/>
        </w:rPr>
      </w:pPr>
      <w:r w:rsidRPr="005A11FF">
        <w:rPr>
          <w:rFonts w:ascii="Arial" w:hAnsi="Arial" w:cs="Arial"/>
          <w:sz w:val="20"/>
          <w:szCs w:val="20"/>
        </w:rPr>
        <w:t>Siendo n el número de Faltas Críticas durante el año.</w:t>
      </w:r>
    </w:p>
    <w:p w14:paraId="1EF7F211" w14:textId="77777777" w:rsidR="005A11FF" w:rsidRPr="00CC6530" w:rsidRDefault="005A11FF" w:rsidP="004C3C3B">
      <w:pPr>
        <w:pStyle w:val="T1"/>
        <w:numPr>
          <w:ilvl w:val="0"/>
          <w:numId w:val="90"/>
        </w:numPr>
        <w:outlineLvl w:val="2"/>
      </w:pPr>
      <w:bookmarkStart w:id="813" w:name="_Toc400636180"/>
      <w:bookmarkStart w:id="814" w:name="_Toc468288077"/>
      <w:bookmarkStart w:id="815" w:name="_Toc496266671"/>
      <w:bookmarkStart w:id="816" w:name="Lit_70"/>
      <w:r w:rsidRPr="00CC6530">
        <w:lastRenderedPageBreak/>
        <w:t>CÁLCULO DE LOS COEFICIENTES TÉCNICOS DE DISPONIBILIDAD</w:t>
      </w:r>
      <w:bookmarkEnd w:id="813"/>
      <w:bookmarkEnd w:id="814"/>
      <w:bookmarkEnd w:id="815"/>
    </w:p>
    <w:bookmarkEnd w:id="816"/>
    <w:p w14:paraId="290E2FA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Luego de la evaluación anual, con el resultado de las cuatro evaluaciones trimestrales del Nivel de Servicio al Usuario y de la evaluación anual del IRI, se calcularán los coeficientes técnicos de disponibilidad.</w:t>
      </w:r>
    </w:p>
    <w:p w14:paraId="2046B2FF" w14:textId="77777777" w:rsidR="005A11FF" w:rsidRPr="00197C20"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eso se suman, por un lado, las Faltas no Críticas y por otro las Faltas Críticas</w:t>
      </w:r>
      <w:r w:rsidR="001777DB">
        <w:rPr>
          <w:rFonts w:ascii="Arial" w:hAnsi="Arial" w:cs="Arial"/>
          <w:sz w:val="20"/>
          <w:szCs w:val="20"/>
          <w:lang w:val="es-UY"/>
        </w:rPr>
        <w:t>.</w:t>
      </w:r>
      <w:r w:rsidRPr="005A11FF">
        <w:rPr>
          <w:rFonts w:ascii="Arial" w:hAnsi="Arial" w:cs="Arial"/>
          <w:sz w:val="20"/>
          <w:szCs w:val="20"/>
          <w:lang w:val="es-UY"/>
        </w:rPr>
        <w:t xml:space="preserve"> </w:t>
      </w:r>
      <w:r w:rsidR="001777DB">
        <w:rPr>
          <w:rFonts w:ascii="Arial" w:hAnsi="Arial" w:cs="Arial"/>
          <w:sz w:val="20"/>
          <w:szCs w:val="20"/>
          <w:lang w:val="es-UY"/>
        </w:rPr>
        <w:t>S</w:t>
      </w:r>
      <w:r w:rsidRPr="005A11FF">
        <w:rPr>
          <w:rFonts w:ascii="Arial" w:hAnsi="Arial" w:cs="Arial"/>
          <w:sz w:val="20"/>
          <w:szCs w:val="20"/>
          <w:lang w:val="es-UY"/>
        </w:rPr>
        <w:t>eguidamente</w:t>
      </w:r>
      <w:r w:rsidR="001777DB">
        <w:rPr>
          <w:rFonts w:ascii="Arial" w:hAnsi="Arial" w:cs="Arial"/>
          <w:sz w:val="20"/>
          <w:szCs w:val="20"/>
          <w:lang w:val="es-UY"/>
        </w:rPr>
        <w:t>,</w:t>
      </w:r>
      <w:r w:rsidRPr="005A11FF">
        <w:rPr>
          <w:rFonts w:ascii="Arial" w:hAnsi="Arial" w:cs="Arial"/>
          <w:sz w:val="20"/>
          <w:szCs w:val="20"/>
          <w:lang w:val="es-UY"/>
        </w:rPr>
        <w:t xml:space="preserve"> con las Tablas C.XIV-3, C.XIV-4 y C.XIV-5 se calculan los coeficientes técnicos de disponibilidad </w:t>
      </w:r>
      <w:r w:rsidRPr="00197C20">
        <w:rPr>
          <w:rFonts w:ascii="Arial" w:hAnsi="Arial" w:cs="Arial"/>
          <w:bCs/>
          <w:sz w:val="20"/>
          <w:szCs w:val="20"/>
          <w:lang w:val="es-UY"/>
        </w:rPr>
        <w:t>ctd</w:t>
      </w:r>
      <w:r w:rsidRPr="00197C20">
        <w:rPr>
          <w:rFonts w:ascii="Arial" w:hAnsi="Arial" w:cs="Arial"/>
          <w:bCs/>
          <w:sz w:val="20"/>
          <w:szCs w:val="20"/>
          <w:vertAlign w:val="subscript"/>
          <w:lang w:val="es-UY"/>
        </w:rPr>
        <w:t>1</w:t>
      </w:r>
      <w:r w:rsidRPr="00197C20">
        <w:rPr>
          <w:rFonts w:ascii="Arial" w:hAnsi="Arial" w:cs="Arial"/>
          <w:bCs/>
          <w:sz w:val="20"/>
          <w:szCs w:val="20"/>
          <w:lang w:val="es-UY"/>
        </w:rPr>
        <w:t>, ctd</w:t>
      </w:r>
      <w:r w:rsidRPr="00197C20">
        <w:rPr>
          <w:rFonts w:ascii="Arial" w:hAnsi="Arial" w:cs="Arial"/>
          <w:bCs/>
          <w:sz w:val="20"/>
          <w:szCs w:val="20"/>
          <w:vertAlign w:val="subscript"/>
          <w:lang w:val="es-UY"/>
        </w:rPr>
        <w:t>2</w:t>
      </w:r>
      <w:r w:rsidRPr="00197C20">
        <w:rPr>
          <w:rFonts w:ascii="Arial" w:hAnsi="Arial" w:cs="Arial"/>
          <w:bCs/>
          <w:sz w:val="20"/>
          <w:szCs w:val="20"/>
          <w:lang w:val="es-UY"/>
        </w:rPr>
        <w:t xml:space="preserve"> y ctd</w:t>
      </w:r>
      <w:r w:rsidRPr="00197C20">
        <w:rPr>
          <w:rFonts w:ascii="Arial" w:hAnsi="Arial" w:cs="Arial"/>
          <w:bCs/>
          <w:sz w:val="20"/>
          <w:szCs w:val="20"/>
          <w:vertAlign w:val="subscript"/>
          <w:lang w:val="es-UY"/>
        </w:rPr>
        <w:t>3</w:t>
      </w:r>
      <w:r w:rsidRPr="00197C20">
        <w:rPr>
          <w:rFonts w:ascii="Arial" w:hAnsi="Arial" w:cs="Arial"/>
          <w:bCs/>
          <w:sz w:val="20"/>
          <w:szCs w:val="20"/>
          <w:lang w:val="es-UY"/>
        </w:rPr>
        <w:t>.</w:t>
      </w:r>
    </w:p>
    <w:p w14:paraId="534DA33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Estos coeficientes son los que determinan el porcentaje a pagar al Contratista</w:t>
      </w:r>
      <w:r w:rsidR="00B14DCC">
        <w:rPr>
          <w:rFonts w:ascii="Arial" w:hAnsi="Arial" w:cs="Arial"/>
          <w:sz w:val="20"/>
          <w:szCs w:val="20"/>
          <w:lang w:val="es-UY"/>
        </w:rPr>
        <w:t xml:space="preserve"> </w:t>
      </w:r>
      <w:r w:rsidRPr="005A11FF">
        <w:rPr>
          <w:rFonts w:ascii="Arial" w:hAnsi="Arial" w:cs="Arial"/>
          <w:sz w:val="20"/>
          <w:szCs w:val="20"/>
          <w:lang w:val="es-UY"/>
        </w:rPr>
        <w:t>por la disponibilidad técnica del circuito correspondiente a las componentes anuales A, B y C.</w:t>
      </w:r>
    </w:p>
    <w:p w14:paraId="647C9415" w14:textId="77777777" w:rsidR="005A11FF" w:rsidRPr="00CC6530" w:rsidRDefault="005A11FF" w:rsidP="004C3C3B">
      <w:pPr>
        <w:pStyle w:val="T1"/>
        <w:numPr>
          <w:ilvl w:val="0"/>
          <w:numId w:val="90"/>
        </w:numPr>
        <w:outlineLvl w:val="2"/>
      </w:pPr>
      <w:bookmarkStart w:id="817" w:name="Lit_71"/>
      <w:bookmarkStart w:id="818" w:name="_Toc400636181"/>
      <w:bookmarkStart w:id="819" w:name="_Toc468288078"/>
      <w:bookmarkStart w:id="820" w:name="_Toc496266672"/>
      <w:r w:rsidRPr="00CC6530">
        <w:t xml:space="preserve">DETERMINACIÓN DE LOS </w:t>
      </w:r>
      <w:r w:rsidR="008D05EA">
        <w:t>cdt</w:t>
      </w:r>
      <w:r w:rsidR="008D05EA" w:rsidRPr="008D05EA">
        <w:rPr>
          <w:vertAlign w:val="subscript"/>
        </w:rPr>
        <w:t>1</w:t>
      </w:r>
      <w:r w:rsidRPr="00CC6530">
        <w:t xml:space="preserve"> </w:t>
      </w:r>
      <w:bookmarkEnd w:id="817"/>
      <w:r w:rsidRPr="00CC6530">
        <w:t>QUE DETERMINA</w:t>
      </w:r>
      <w:r w:rsidR="00C65D9E">
        <w:t>N</w:t>
      </w:r>
      <w:r w:rsidRPr="00CC6530">
        <w:t xml:space="preserve"> EL PAGO POR LA COMPONENTE A</w:t>
      </w:r>
      <w:bookmarkEnd w:id="818"/>
      <w:bookmarkEnd w:id="819"/>
      <w:bookmarkEnd w:id="820"/>
    </w:p>
    <w:p w14:paraId="1A49CE8F" w14:textId="77777777" w:rsidR="005A11FF" w:rsidRPr="005A11FF" w:rsidRDefault="005A11FF" w:rsidP="00813CD4">
      <w:pPr>
        <w:rPr>
          <w:rFonts w:ascii="Arial" w:hAnsi="Arial" w:cs="Arial"/>
          <w:sz w:val="20"/>
          <w:szCs w:val="20"/>
          <w:lang w:val="es-UY"/>
        </w:rPr>
      </w:pPr>
      <w:r w:rsidRPr="005A11FF">
        <w:rPr>
          <w:rFonts w:ascii="Arial" w:hAnsi="Arial" w:cs="Arial"/>
          <w:sz w:val="20"/>
          <w:szCs w:val="20"/>
          <w:lang w:val="es-UY"/>
        </w:rPr>
        <w:t>En función de la suma del número de Faltas no Críticas acumuladas por cada tramo en cada trimestre a lo largo del año se define el coeficiente de disponibilidad técnica (cdt</w:t>
      </w:r>
      <w:r w:rsidRPr="005A11FF">
        <w:rPr>
          <w:sz w:val="20"/>
          <w:szCs w:val="20"/>
          <w:lang w:val="es-UY"/>
        </w:rPr>
        <w:t>₁</w:t>
      </w:r>
      <w:r w:rsidRPr="005A11FF">
        <w:rPr>
          <w:rFonts w:ascii="Arial" w:hAnsi="Arial" w:cs="Arial"/>
          <w:sz w:val="20"/>
          <w:szCs w:val="20"/>
          <w:lang w:val="es-UY"/>
        </w:rPr>
        <w:t xml:space="preserve">) que determina el </w:t>
      </w:r>
      <w:r w:rsidRPr="005A11FF">
        <w:rPr>
          <w:rFonts w:ascii="Arial" w:hAnsi="Arial" w:cs="Arial"/>
          <w:sz w:val="20"/>
          <w:szCs w:val="20"/>
          <w:lang w:val="es-UY"/>
        </w:rPr>
        <w:lastRenderedPageBreak/>
        <w:t>monto anual definitivo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la componente A.</w:t>
      </w:r>
    </w:p>
    <w:p w14:paraId="1C86112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sz w:val="20"/>
          <w:szCs w:val="20"/>
          <w:lang w:val="es-UY"/>
        </w:rPr>
        <w:t>)</w:t>
      </w:r>
      <w:r w:rsidRPr="005A11FF">
        <w:rPr>
          <w:rFonts w:ascii="Arial" w:hAnsi="Arial" w:cs="Arial"/>
          <w:sz w:val="20"/>
          <w:szCs w:val="20"/>
          <w:lang w:val="es-UY"/>
        </w:rPr>
        <w:t xml:space="preserve"> correspondiente al pago de la cuota anual de la componente </w:t>
      </w:r>
      <w:r w:rsidRPr="00197C20">
        <w:rPr>
          <w:rFonts w:ascii="Arial" w:hAnsi="Arial" w:cs="Arial"/>
          <w:bCs/>
          <w:sz w:val="20"/>
          <w:szCs w:val="20"/>
          <w:lang w:val="es-UY"/>
        </w:rPr>
        <w:t>A</w:t>
      </w:r>
      <w:r w:rsidRPr="00197C20">
        <w:rPr>
          <w:rFonts w:ascii="Arial" w:hAnsi="Arial" w:cs="Arial"/>
          <w:sz w:val="20"/>
          <w:szCs w:val="20"/>
          <w:lang w:val="es-UY"/>
        </w:rPr>
        <w:t xml:space="preserve"> </w:t>
      </w:r>
      <w:r w:rsidRPr="005A11FF">
        <w:rPr>
          <w:rFonts w:ascii="Arial" w:hAnsi="Arial" w:cs="Arial"/>
          <w:sz w:val="20"/>
          <w:szCs w:val="20"/>
          <w:lang w:val="es-UY"/>
        </w:rPr>
        <w:t>depende del número de Faltas no Críticas que se hayan generado en cada tramo según se muestra en las Tablas C.XIV-1 y C.XIV-2</w:t>
      </w:r>
      <w:r w:rsidR="00586D82">
        <w:rPr>
          <w:rFonts w:ascii="Arial" w:hAnsi="Arial" w:cs="Arial"/>
          <w:sz w:val="20"/>
          <w:szCs w:val="20"/>
          <w:lang w:val="es-UY"/>
        </w:rPr>
        <w:t xml:space="preserve"> o la fórmula correspondiente</w:t>
      </w:r>
      <w:r w:rsidRPr="005A11FF">
        <w:rPr>
          <w:rFonts w:ascii="Arial" w:hAnsi="Arial" w:cs="Arial"/>
          <w:sz w:val="20"/>
          <w:szCs w:val="20"/>
          <w:lang w:val="es-UY"/>
        </w:rPr>
        <w:t>.</w:t>
      </w:r>
    </w:p>
    <w:p w14:paraId="5E4BD5E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Las Faltas no Críticas se generan y acumulan por tramo y por trimestre según el valor alcanzado en las evaluaciones trimestrales del Nivel de Servicio al Usuario y anuales del IRI y su suma determina el coeficiente de disponibilidad </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sz w:val="20"/>
          <w:szCs w:val="20"/>
          <w:lang w:val="es-UY"/>
        </w:rPr>
        <w:t xml:space="preserve"> y por tanto la liquidación anual correspondiente a la cuota anual de la componente </w:t>
      </w:r>
      <w:r w:rsidRPr="00197C20">
        <w:rPr>
          <w:rFonts w:ascii="Arial" w:hAnsi="Arial" w:cs="Arial"/>
          <w:bCs/>
          <w:sz w:val="20"/>
          <w:szCs w:val="20"/>
          <w:lang w:val="es-UY"/>
        </w:rPr>
        <w:t>A(i)</w:t>
      </w:r>
      <w:r w:rsidRPr="005A11FF">
        <w:rPr>
          <w:rFonts w:ascii="Arial" w:hAnsi="Arial" w:cs="Arial"/>
          <w:b/>
          <w:bCs/>
          <w:sz w:val="20"/>
          <w:szCs w:val="20"/>
          <w:lang w:val="es-UY"/>
        </w:rPr>
        <w:t xml:space="preserve"> </w:t>
      </w:r>
      <w:r w:rsidRPr="005A11FF">
        <w:rPr>
          <w:rFonts w:ascii="Arial" w:hAnsi="Arial" w:cs="Arial"/>
          <w:sz w:val="20"/>
          <w:szCs w:val="20"/>
          <w:lang w:val="es-UY"/>
        </w:rPr>
        <w:t>sólo del tramo donde se generaron y acumularon.</w:t>
      </w:r>
    </w:p>
    <w:p w14:paraId="1E5A2AF5" w14:textId="77777777" w:rsidR="005A11FF" w:rsidRPr="00E405E3"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Ese </w:t>
      </w:r>
      <w:r w:rsidRPr="00197C20">
        <w:rPr>
          <w:rFonts w:ascii="Arial" w:hAnsi="Arial" w:cs="Arial"/>
          <w:sz w:val="20"/>
          <w:szCs w:val="20"/>
          <w:lang w:val="es-UY"/>
        </w:rPr>
        <w:t xml:space="preserve">coeficiente </w:t>
      </w:r>
      <w:r w:rsidRPr="00197C20">
        <w:rPr>
          <w:rFonts w:ascii="Arial" w:hAnsi="Arial" w:cs="Arial"/>
          <w:bCs/>
          <w:sz w:val="20"/>
          <w:szCs w:val="20"/>
          <w:lang w:val="es-UY"/>
        </w:rPr>
        <w:t>(cdt</w:t>
      </w:r>
      <w:r w:rsidRPr="00197C20">
        <w:rPr>
          <w:bCs/>
          <w:sz w:val="20"/>
          <w:szCs w:val="20"/>
          <w:lang w:val="es-UY"/>
        </w:rPr>
        <w:t>₁</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 xml:space="preserve">es el que surge </w:t>
      </w:r>
      <w:r w:rsidRPr="00E405E3">
        <w:rPr>
          <w:rFonts w:ascii="Arial" w:hAnsi="Arial" w:cs="Arial"/>
          <w:sz w:val="20"/>
          <w:szCs w:val="20"/>
          <w:lang w:val="es-UY"/>
        </w:rPr>
        <w:t>de la Tabla C. XIV-3.</w:t>
      </w:r>
    </w:p>
    <w:p w14:paraId="042EAE48" w14:textId="77777777" w:rsidR="005A11FF" w:rsidRPr="005A11FF" w:rsidRDefault="00B14DCC" w:rsidP="005A11FF">
      <w:pPr>
        <w:spacing w:after="120"/>
        <w:jc w:val="both"/>
        <w:rPr>
          <w:rFonts w:ascii="Arial" w:hAnsi="Arial" w:cs="Arial"/>
          <w:sz w:val="16"/>
          <w:szCs w:val="16"/>
          <w:lang w:val="es-UY"/>
        </w:rPr>
      </w:pPr>
      <w:bookmarkStart w:id="821" w:name="T8_ctd_1"/>
      <w:r w:rsidRPr="00E405E3">
        <w:rPr>
          <w:rFonts w:ascii="Arial" w:hAnsi="Arial" w:cs="Arial"/>
          <w:sz w:val="16"/>
          <w:szCs w:val="16"/>
          <w:lang w:val="es-UY"/>
        </w:rPr>
        <w:t xml:space="preserve">                      </w:t>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E405E3">
        <w:rPr>
          <w:rFonts w:ascii="Arial" w:hAnsi="Arial" w:cs="Arial"/>
          <w:sz w:val="16"/>
          <w:szCs w:val="16"/>
          <w:lang w:val="es-UY"/>
        </w:rPr>
        <w:tab/>
      </w:r>
      <w:r w:rsidR="00A314F1" w:rsidRPr="00E405E3">
        <w:rPr>
          <w:rFonts w:ascii="Arial" w:hAnsi="Arial" w:cs="Arial"/>
          <w:sz w:val="16"/>
          <w:szCs w:val="16"/>
          <w:lang w:val="es-UY"/>
        </w:rPr>
        <w:t>Tabla C.XIV -3</w:t>
      </w:r>
      <w:bookmarkStart w:id="822" w:name="_Toc400636182"/>
    </w:p>
    <w:bookmarkEnd w:id="821"/>
    <w:p w14:paraId="0DE0B941" w14:textId="77777777" w:rsidR="005A11FF" w:rsidRPr="005A11FF" w:rsidRDefault="00E405E3" w:rsidP="005A11FF">
      <w:pPr>
        <w:spacing w:after="120"/>
        <w:jc w:val="center"/>
        <w:rPr>
          <w:rFonts w:ascii="Arial" w:hAnsi="Arial" w:cs="Arial"/>
          <w:sz w:val="16"/>
          <w:szCs w:val="16"/>
          <w:lang w:val="es-UY"/>
        </w:rPr>
      </w:pPr>
      <w:r w:rsidRPr="00E405E3">
        <w:rPr>
          <w:noProof/>
          <w:lang w:val="es-UY" w:eastAsia="es-UY"/>
        </w:rPr>
        <w:lastRenderedPageBreak/>
        <w:drawing>
          <wp:inline distT="0" distB="0" distL="0" distR="0" wp14:anchorId="19E1D908" wp14:editId="084FC461">
            <wp:extent cx="2228850" cy="458193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28850" cy="4581931"/>
                    </a:xfrm>
                    <a:prstGeom prst="rect">
                      <a:avLst/>
                    </a:prstGeom>
                    <a:noFill/>
                    <a:ln>
                      <a:noFill/>
                    </a:ln>
                  </pic:spPr>
                </pic:pic>
              </a:graphicData>
            </a:graphic>
          </wp:inline>
        </w:drawing>
      </w:r>
    </w:p>
    <w:p w14:paraId="012FB5D4" w14:textId="77777777" w:rsidR="005A11FF" w:rsidRDefault="005A11FF" w:rsidP="005A11FF">
      <w:pPr>
        <w:spacing w:after="120"/>
        <w:jc w:val="center"/>
        <w:rPr>
          <w:rFonts w:ascii="Arial" w:hAnsi="Arial" w:cs="Arial"/>
          <w:sz w:val="16"/>
          <w:szCs w:val="16"/>
          <w:lang w:val="es-UY"/>
        </w:rPr>
      </w:pPr>
    </w:p>
    <w:p w14:paraId="1E5F36DF" w14:textId="77777777" w:rsidR="005234F5" w:rsidRPr="005A11FF" w:rsidRDefault="005234F5" w:rsidP="005A11FF">
      <w:pPr>
        <w:spacing w:after="120"/>
        <w:jc w:val="center"/>
        <w:rPr>
          <w:rFonts w:ascii="Arial" w:hAnsi="Arial" w:cs="Arial"/>
          <w:sz w:val="16"/>
          <w:szCs w:val="16"/>
          <w:lang w:val="es-UY"/>
        </w:rPr>
      </w:pPr>
    </w:p>
    <w:p w14:paraId="45C8CCF9" w14:textId="77777777" w:rsidR="00CC6530" w:rsidRDefault="00A03A0F" w:rsidP="004C3C3B">
      <w:pPr>
        <w:pStyle w:val="T1"/>
        <w:numPr>
          <w:ilvl w:val="0"/>
          <w:numId w:val="90"/>
        </w:numPr>
        <w:outlineLvl w:val="2"/>
      </w:pPr>
      <w:bookmarkStart w:id="823" w:name="Lit_74"/>
      <w:bookmarkStart w:id="824" w:name="_Toc468288079"/>
      <w:bookmarkStart w:id="825" w:name="_Toc496266673"/>
      <w:bookmarkEnd w:id="822"/>
      <w:r>
        <w:lastRenderedPageBreak/>
        <w:t>DETERMINACIÓN DE LOS cdt</w:t>
      </w:r>
      <w:r w:rsidR="00D03FA1" w:rsidRPr="00D03FA1">
        <w:rPr>
          <w:vertAlign w:val="subscript"/>
        </w:rPr>
        <w:t>2</w:t>
      </w:r>
      <w:r w:rsidR="00CC6530" w:rsidRPr="00CC6530">
        <w:t xml:space="preserve"> CORRESPONDIENTE</w:t>
      </w:r>
      <w:r w:rsidR="00C65D9E">
        <w:t>S</w:t>
      </w:r>
      <w:r w:rsidR="00CC6530" w:rsidRPr="00CC6530">
        <w:t xml:space="preserve"> AL </w:t>
      </w:r>
      <w:bookmarkEnd w:id="823"/>
      <w:r w:rsidR="00CC6530" w:rsidRPr="00CC6530">
        <w:t>PAGO DE LA COMPONENTE B</w:t>
      </w:r>
      <w:bookmarkEnd w:id="824"/>
      <w:bookmarkEnd w:id="825"/>
    </w:p>
    <w:p w14:paraId="436C4822" w14:textId="77777777" w:rsidR="00722C0D" w:rsidRDefault="005A11FF" w:rsidP="00512D60">
      <w:pPr>
        <w:spacing w:after="120"/>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bCs/>
          <w:sz w:val="20"/>
          <w:szCs w:val="20"/>
          <w:lang w:val="es-UY"/>
        </w:rPr>
        <w:t>₂</w:t>
      </w:r>
      <w:r w:rsidRPr="00197C20">
        <w:rPr>
          <w:rFonts w:ascii="Arial" w:hAnsi="Arial" w:cs="Arial"/>
          <w:sz w:val="20"/>
          <w:szCs w:val="20"/>
          <w:lang w:val="es-UY"/>
        </w:rPr>
        <w:t>)</w:t>
      </w:r>
      <w:r w:rsidRPr="005A11FF">
        <w:rPr>
          <w:rFonts w:ascii="Arial" w:hAnsi="Arial" w:cs="Arial"/>
          <w:sz w:val="20"/>
          <w:szCs w:val="20"/>
          <w:lang w:val="es-UY"/>
        </w:rPr>
        <w:t xml:space="preserve"> correspondiente al pago anual de la componente </w:t>
      </w:r>
      <w:r w:rsidRPr="00197C20">
        <w:rPr>
          <w:rFonts w:ascii="Arial" w:hAnsi="Arial" w:cs="Arial"/>
          <w:bCs/>
          <w:sz w:val="20"/>
          <w:szCs w:val="20"/>
          <w:lang w:val="es-UY"/>
        </w:rPr>
        <w:t>B</w:t>
      </w:r>
      <w:r w:rsidR="00B14DCC" w:rsidRPr="00197C20">
        <w:rPr>
          <w:rFonts w:ascii="Arial" w:hAnsi="Arial" w:cs="Arial"/>
          <w:sz w:val="20"/>
          <w:szCs w:val="20"/>
          <w:lang w:val="es-UY"/>
        </w:rPr>
        <w:t xml:space="preserve"> </w:t>
      </w:r>
      <w:r w:rsidRPr="005A11FF">
        <w:rPr>
          <w:rFonts w:ascii="Arial" w:hAnsi="Arial" w:cs="Arial"/>
          <w:sz w:val="20"/>
          <w:szCs w:val="20"/>
          <w:lang w:val="es-UY"/>
        </w:rPr>
        <w:t>depende del Nivel de Servicio al Usuario alcanzado en cada tramo en cada trimestre según se muestra en la siguiente tabla.</w:t>
      </w:r>
      <w:bookmarkStart w:id="826" w:name="T8_ctd_2"/>
    </w:p>
    <w:p w14:paraId="2C181014" w14:textId="77777777" w:rsidR="00722C0D" w:rsidRDefault="00722C0D" w:rsidP="005A11FF">
      <w:pPr>
        <w:spacing w:after="0" w:line="360" w:lineRule="auto"/>
        <w:jc w:val="center"/>
        <w:rPr>
          <w:rFonts w:ascii="Arial" w:hAnsi="Arial" w:cs="Arial"/>
          <w:sz w:val="20"/>
          <w:szCs w:val="20"/>
          <w:lang w:val="es-UY"/>
        </w:rPr>
      </w:pPr>
    </w:p>
    <w:p w14:paraId="322D8CEF" w14:textId="77777777" w:rsidR="003933AC" w:rsidRDefault="00A314F1" w:rsidP="005A11FF">
      <w:pPr>
        <w:spacing w:after="0" w:line="360" w:lineRule="auto"/>
        <w:jc w:val="center"/>
        <w:rPr>
          <w:rFonts w:ascii="Arial" w:hAnsi="Arial" w:cs="Arial"/>
          <w:sz w:val="16"/>
          <w:szCs w:val="16"/>
          <w:lang w:val="es-UY"/>
        </w:rPr>
      </w:pPr>
      <w:r w:rsidRPr="00722C0D">
        <w:rPr>
          <w:rFonts w:ascii="Arial" w:hAnsi="Arial" w:cs="Arial"/>
          <w:sz w:val="18"/>
          <w:szCs w:val="18"/>
          <w:lang w:val="es-UY"/>
        </w:rPr>
        <w:t>Tabla C. XIV-4</w:t>
      </w:r>
      <w:r w:rsidR="00722C0D">
        <w:rPr>
          <w:rFonts w:ascii="Arial" w:hAnsi="Arial" w:cs="Arial"/>
          <w:sz w:val="18"/>
          <w:szCs w:val="18"/>
          <w:lang w:val="es-UY"/>
        </w:rPr>
        <w:t>:</w:t>
      </w:r>
      <w:r w:rsidRPr="00E405E3">
        <w:rPr>
          <w:rFonts w:ascii="Arial" w:hAnsi="Arial" w:cs="Arial"/>
          <w:sz w:val="20"/>
          <w:szCs w:val="20"/>
          <w:lang w:val="es-UY"/>
        </w:rPr>
        <w:t xml:space="preserve"> </w:t>
      </w:r>
      <w:r w:rsidRPr="00E405E3">
        <w:rPr>
          <w:rFonts w:ascii="Arial" w:hAnsi="Arial" w:cs="Arial"/>
          <w:sz w:val="16"/>
          <w:szCs w:val="16"/>
          <w:lang w:val="es-UY"/>
        </w:rPr>
        <w:t>Tabla para la determinación del coeficiente de disponibilidad técnica (</w:t>
      </w:r>
      <w:r w:rsidRPr="00197C20">
        <w:rPr>
          <w:rFonts w:ascii="Arial" w:hAnsi="Arial" w:cs="Arial"/>
          <w:bCs/>
          <w:sz w:val="16"/>
          <w:szCs w:val="16"/>
          <w:lang w:val="es-UY"/>
        </w:rPr>
        <w:t>cdt</w:t>
      </w:r>
      <w:r w:rsidRPr="00197C20">
        <w:rPr>
          <w:bCs/>
          <w:sz w:val="16"/>
          <w:szCs w:val="16"/>
          <w:lang w:val="es-UY"/>
        </w:rPr>
        <w:t>₂</w:t>
      </w:r>
      <w:r w:rsidRPr="00E405E3">
        <w:rPr>
          <w:rFonts w:ascii="Arial" w:hAnsi="Arial" w:cs="Arial"/>
          <w:b/>
          <w:bCs/>
          <w:sz w:val="16"/>
          <w:szCs w:val="16"/>
          <w:lang w:val="es-UY"/>
        </w:rPr>
        <w:t xml:space="preserve">) </w:t>
      </w:r>
      <w:r w:rsidRPr="00E405E3">
        <w:rPr>
          <w:rFonts w:ascii="Arial" w:hAnsi="Arial" w:cs="Arial"/>
          <w:sz w:val="16"/>
          <w:szCs w:val="16"/>
          <w:lang w:val="es-UY"/>
        </w:rPr>
        <w:t xml:space="preserve">correspondiente a la </w:t>
      </w:r>
      <w:bookmarkEnd w:id="826"/>
      <w:r w:rsidRPr="00E405E3">
        <w:rPr>
          <w:rFonts w:ascii="Arial" w:hAnsi="Arial" w:cs="Arial"/>
          <w:sz w:val="16"/>
          <w:szCs w:val="16"/>
          <w:lang w:val="es-UY"/>
        </w:rPr>
        <w:t xml:space="preserve">componente </w:t>
      </w:r>
      <w:r w:rsidRPr="00197C20">
        <w:rPr>
          <w:rFonts w:ascii="Arial" w:hAnsi="Arial" w:cs="Arial"/>
          <w:bCs/>
          <w:sz w:val="16"/>
          <w:szCs w:val="16"/>
          <w:lang w:val="es-UY"/>
        </w:rPr>
        <w:t>B</w:t>
      </w:r>
      <w:r w:rsidRPr="00E405E3">
        <w:rPr>
          <w:rFonts w:ascii="Arial" w:hAnsi="Arial" w:cs="Arial"/>
          <w:sz w:val="16"/>
          <w:szCs w:val="16"/>
          <w:lang w:val="es-UY"/>
        </w:rPr>
        <w:t xml:space="preserve"> en función del Nivel de Servicio al Usuario (NSU) alcanzado en las evaluaciones trimestrales</w:t>
      </w:r>
    </w:p>
    <w:p w14:paraId="1884731C" w14:textId="77777777" w:rsidR="003933AC" w:rsidRDefault="003933AC" w:rsidP="005A11FF">
      <w:pPr>
        <w:spacing w:after="0" w:line="360" w:lineRule="auto"/>
        <w:jc w:val="center"/>
        <w:rPr>
          <w:rFonts w:ascii="Arial" w:hAnsi="Arial" w:cs="Arial"/>
          <w:sz w:val="16"/>
          <w:szCs w:val="16"/>
          <w:lang w:val="es-UY"/>
        </w:rPr>
      </w:pPr>
    </w:p>
    <w:p w14:paraId="2C40BB2F" w14:textId="77777777" w:rsidR="00456292" w:rsidRPr="005A11FF" w:rsidRDefault="000F5C7C" w:rsidP="005A11FF">
      <w:pPr>
        <w:spacing w:after="0" w:line="360" w:lineRule="auto"/>
        <w:jc w:val="center"/>
        <w:rPr>
          <w:rFonts w:cs="Times New Roman"/>
          <w:noProof/>
          <w:lang w:eastAsia="es-ES"/>
        </w:rPr>
      </w:pPr>
      <w:r w:rsidRPr="00722C0D">
        <w:rPr>
          <w:rFonts w:cs="Times New Roman"/>
          <w:noProof/>
          <w:lang w:val="es-UY" w:eastAsia="es-UY"/>
        </w:rPr>
        <w:lastRenderedPageBreak/>
        <w:drawing>
          <wp:inline distT="0" distB="0" distL="0" distR="0" wp14:anchorId="772D60C0" wp14:editId="22E5A9B3">
            <wp:extent cx="2046518" cy="2520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71076" cy="2550558"/>
                    </a:xfrm>
                    <a:prstGeom prst="rect">
                      <a:avLst/>
                    </a:prstGeom>
                    <a:noFill/>
                  </pic:spPr>
                </pic:pic>
              </a:graphicData>
            </a:graphic>
          </wp:inline>
        </w:drawing>
      </w:r>
    </w:p>
    <w:p w14:paraId="4A59D4E3" w14:textId="77777777" w:rsidR="005A11FF" w:rsidRDefault="005A11FF" w:rsidP="005A11FF">
      <w:pPr>
        <w:spacing w:after="0" w:line="240" w:lineRule="auto"/>
        <w:ind w:left="2280" w:firstLine="57"/>
        <w:rPr>
          <w:rFonts w:ascii="Arial" w:hAnsi="Arial" w:cs="Arial"/>
          <w:sz w:val="16"/>
          <w:szCs w:val="16"/>
          <w:lang w:val="es-UY"/>
        </w:rPr>
      </w:pPr>
    </w:p>
    <w:p w14:paraId="7348E7FF" w14:textId="77777777" w:rsidR="005234F5" w:rsidRPr="005A11FF" w:rsidRDefault="005234F5" w:rsidP="005A11FF">
      <w:pPr>
        <w:spacing w:after="0" w:line="240" w:lineRule="auto"/>
        <w:ind w:left="2280" w:firstLine="57"/>
        <w:rPr>
          <w:rFonts w:ascii="Arial" w:hAnsi="Arial" w:cs="Arial"/>
          <w:sz w:val="16"/>
          <w:szCs w:val="16"/>
          <w:lang w:val="es-UY"/>
        </w:rPr>
      </w:pPr>
    </w:p>
    <w:p w14:paraId="4EF9122E" w14:textId="77777777" w:rsidR="005A11FF" w:rsidRPr="00CC6530" w:rsidRDefault="00C65D9E" w:rsidP="004C3C3B">
      <w:pPr>
        <w:pStyle w:val="T1"/>
        <w:numPr>
          <w:ilvl w:val="0"/>
          <w:numId w:val="90"/>
        </w:numPr>
        <w:outlineLvl w:val="2"/>
      </w:pPr>
      <w:bookmarkStart w:id="827" w:name="_Toc437864664"/>
      <w:bookmarkStart w:id="828" w:name="_Toc437864947"/>
      <w:bookmarkStart w:id="829" w:name="_Toc437865229"/>
      <w:bookmarkStart w:id="830" w:name="_Toc437865510"/>
      <w:bookmarkStart w:id="831" w:name="_Toc437874800"/>
      <w:bookmarkStart w:id="832" w:name="_Toc437875085"/>
      <w:bookmarkStart w:id="833" w:name="_Toc437875443"/>
      <w:bookmarkStart w:id="834" w:name="_Toc437875728"/>
      <w:bookmarkStart w:id="835" w:name="_Toc437876121"/>
      <w:bookmarkStart w:id="836" w:name="_Toc437876387"/>
      <w:bookmarkStart w:id="837" w:name="_Toc437876653"/>
      <w:bookmarkStart w:id="838" w:name="_Toc437876919"/>
      <w:bookmarkStart w:id="839" w:name="_Toc437877182"/>
      <w:bookmarkStart w:id="840" w:name="_Toc437877441"/>
      <w:bookmarkStart w:id="841" w:name="_Toc437877700"/>
      <w:bookmarkStart w:id="842" w:name="_Toc437877957"/>
      <w:bookmarkStart w:id="843" w:name="_Toc437878213"/>
      <w:bookmarkStart w:id="844" w:name="_Toc437878469"/>
      <w:bookmarkStart w:id="845" w:name="_Toc437878724"/>
      <w:bookmarkStart w:id="846" w:name="_Toc437878978"/>
      <w:bookmarkStart w:id="847" w:name="_Toc437879231"/>
      <w:bookmarkStart w:id="848" w:name="_Toc437879486"/>
      <w:bookmarkStart w:id="849" w:name="_Toc437879740"/>
      <w:bookmarkStart w:id="850" w:name="_Toc437879994"/>
      <w:bookmarkStart w:id="851" w:name="_Toc437880247"/>
      <w:bookmarkStart w:id="852" w:name="_Toc437942641"/>
      <w:bookmarkStart w:id="853" w:name="_Toc437942892"/>
      <w:bookmarkStart w:id="854" w:name="_Toc437943609"/>
      <w:bookmarkStart w:id="855" w:name="_Toc437944237"/>
      <w:bookmarkStart w:id="856" w:name="_Toc437950045"/>
      <w:bookmarkStart w:id="857" w:name="_Toc438026671"/>
      <w:bookmarkStart w:id="858" w:name="_Toc438026910"/>
      <w:bookmarkStart w:id="859" w:name="_Toc438027150"/>
      <w:bookmarkStart w:id="860" w:name="_Toc438027817"/>
      <w:bookmarkStart w:id="861" w:name="_Toc438028063"/>
      <w:bookmarkStart w:id="862" w:name="_Toc438028309"/>
      <w:bookmarkStart w:id="863" w:name="_Toc438028555"/>
      <w:bookmarkStart w:id="864" w:name="_Toc438031393"/>
      <w:bookmarkStart w:id="865" w:name="_Toc438031648"/>
      <w:bookmarkStart w:id="866" w:name="_Toc438052098"/>
      <w:bookmarkStart w:id="867" w:name="_Toc438052422"/>
      <w:bookmarkStart w:id="868" w:name="_Toc437864670"/>
      <w:bookmarkStart w:id="869" w:name="_Toc437864953"/>
      <w:bookmarkStart w:id="870" w:name="_Toc437865235"/>
      <w:bookmarkStart w:id="871" w:name="_Toc437865516"/>
      <w:bookmarkStart w:id="872" w:name="_Toc437874806"/>
      <w:bookmarkStart w:id="873" w:name="_Toc437875091"/>
      <w:bookmarkStart w:id="874" w:name="_Toc437875449"/>
      <w:bookmarkStart w:id="875" w:name="_Toc437875734"/>
      <w:bookmarkStart w:id="876" w:name="_Toc437876127"/>
      <w:bookmarkStart w:id="877" w:name="_Toc437876393"/>
      <w:bookmarkStart w:id="878" w:name="_Toc437876659"/>
      <w:bookmarkStart w:id="879" w:name="_Toc437876925"/>
      <w:bookmarkStart w:id="880" w:name="_Toc437877188"/>
      <w:bookmarkStart w:id="881" w:name="_Toc437877447"/>
      <w:bookmarkStart w:id="882" w:name="_Toc437877706"/>
      <w:bookmarkStart w:id="883" w:name="_Toc437877963"/>
      <w:bookmarkStart w:id="884" w:name="_Toc437878219"/>
      <w:bookmarkStart w:id="885" w:name="_Toc437878475"/>
      <w:bookmarkStart w:id="886" w:name="_Toc437878730"/>
      <w:bookmarkStart w:id="887" w:name="_Toc437878984"/>
      <w:bookmarkStart w:id="888" w:name="_Toc437879237"/>
      <w:bookmarkStart w:id="889" w:name="_Toc437879492"/>
      <w:bookmarkStart w:id="890" w:name="_Toc437879746"/>
      <w:bookmarkStart w:id="891" w:name="_Toc437880000"/>
      <w:bookmarkStart w:id="892" w:name="_Toc437880253"/>
      <w:bookmarkStart w:id="893" w:name="_Toc437942647"/>
      <w:bookmarkStart w:id="894" w:name="_Toc437942898"/>
      <w:bookmarkStart w:id="895" w:name="_Toc437943615"/>
      <w:bookmarkStart w:id="896" w:name="_Toc437944243"/>
      <w:bookmarkStart w:id="897" w:name="_Toc437950051"/>
      <w:bookmarkStart w:id="898" w:name="_Toc438026677"/>
      <w:bookmarkStart w:id="899" w:name="_Toc438026916"/>
      <w:bookmarkStart w:id="900" w:name="_Toc438027156"/>
      <w:bookmarkStart w:id="901" w:name="_Toc438027823"/>
      <w:bookmarkStart w:id="902" w:name="_Toc438028069"/>
      <w:bookmarkStart w:id="903" w:name="_Toc438028315"/>
      <w:bookmarkStart w:id="904" w:name="_Toc438028561"/>
      <w:bookmarkStart w:id="905" w:name="_Toc438031399"/>
      <w:bookmarkStart w:id="906" w:name="_Toc438031654"/>
      <w:bookmarkStart w:id="907" w:name="_Toc438052104"/>
      <w:bookmarkStart w:id="908" w:name="_Toc438052428"/>
      <w:bookmarkStart w:id="909" w:name="Lit_75"/>
      <w:bookmarkStart w:id="910" w:name="_Toc400636183"/>
      <w:bookmarkStart w:id="911" w:name="_Toc468288080"/>
      <w:bookmarkStart w:id="912" w:name="_Toc496266674"/>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t>DETERMINACIÓN DE LOS cdt</w:t>
      </w:r>
      <w:r w:rsidR="00D045B4" w:rsidRPr="00D045B4">
        <w:rPr>
          <w:vertAlign w:val="subscript"/>
        </w:rPr>
        <w:t>3</w:t>
      </w:r>
      <w:r w:rsidR="005A11FF" w:rsidRPr="00CC6530">
        <w:t xml:space="preserve"> CORRESPONDIENTE</w:t>
      </w:r>
      <w:r>
        <w:t>S</w:t>
      </w:r>
      <w:r w:rsidR="005A11FF" w:rsidRPr="00CC6530">
        <w:t xml:space="preserve"> AL </w:t>
      </w:r>
      <w:bookmarkEnd w:id="909"/>
      <w:r w:rsidR="005A11FF" w:rsidRPr="00CC6530">
        <w:t>PAGO DE LA COMPONENTE C</w:t>
      </w:r>
      <w:bookmarkEnd w:id="910"/>
      <w:bookmarkEnd w:id="911"/>
      <w:bookmarkEnd w:id="912"/>
    </w:p>
    <w:p w14:paraId="443B41F5"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El coeficiente de disponibilidad técnica </w:t>
      </w:r>
      <w:r w:rsidRPr="00197C20">
        <w:rPr>
          <w:rFonts w:ascii="Arial" w:hAnsi="Arial" w:cs="Arial"/>
          <w:sz w:val="20"/>
          <w:szCs w:val="20"/>
          <w:lang w:val="es-UY"/>
        </w:rPr>
        <w:t>(</w:t>
      </w:r>
      <w:r w:rsidRPr="00197C20">
        <w:rPr>
          <w:rFonts w:ascii="Arial" w:hAnsi="Arial" w:cs="Arial"/>
          <w:bCs/>
          <w:sz w:val="20"/>
          <w:szCs w:val="20"/>
          <w:lang w:val="es-UY"/>
        </w:rPr>
        <w:t>cdt</w:t>
      </w:r>
      <w:r w:rsidRPr="00197C20">
        <w:rPr>
          <w:rFonts w:ascii="Arial" w:hAnsi="Arial" w:cs="Arial"/>
          <w:bCs/>
          <w:sz w:val="20"/>
          <w:szCs w:val="20"/>
          <w:vertAlign w:val="subscript"/>
          <w:lang w:val="es-UY"/>
        </w:rPr>
        <w:t>3</w:t>
      </w:r>
      <w:r w:rsidRPr="00197C20">
        <w:rPr>
          <w:rFonts w:ascii="Arial" w:hAnsi="Arial" w:cs="Arial"/>
          <w:sz w:val="20"/>
          <w:szCs w:val="20"/>
          <w:lang w:val="es-UY"/>
        </w:rPr>
        <w:t>)</w:t>
      </w:r>
      <w:r w:rsidRPr="005A11FF">
        <w:rPr>
          <w:rFonts w:ascii="Arial" w:hAnsi="Arial" w:cs="Arial"/>
          <w:sz w:val="20"/>
          <w:szCs w:val="20"/>
          <w:lang w:val="es-UY"/>
        </w:rPr>
        <w:t xml:space="preserve"> correspondiente al pago anual de la Componente </w:t>
      </w:r>
      <w:r w:rsidRPr="005A11FF">
        <w:rPr>
          <w:rFonts w:ascii="Arial" w:hAnsi="Arial" w:cs="Arial"/>
          <w:b/>
          <w:bCs/>
          <w:sz w:val="20"/>
          <w:szCs w:val="20"/>
          <w:lang w:val="es-UY"/>
        </w:rPr>
        <w:t>C</w:t>
      </w:r>
      <w:r w:rsidR="00B14DCC">
        <w:rPr>
          <w:rFonts w:ascii="Arial" w:hAnsi="Arial" w:cs="Arial"/>
          <w:sz w:val="20"/>
          <w:szCs w:val="20"/>
          <w:lang w:val="es-UY"/>
        </w:rPr>
        <w:t xml:space="preserve"> </w:t>
      </w:r>
      <w:r w:rsidRPr="005A11FF">
        <w:rPr>
          <w:rFonts w:ascii="Arial" w:hAnsi="Arial" w:cs="Arial"/>
          <w:sz w:val="20"/>
          <w:szCs w:val="20"/>
          <w:lang w:val="es-UY"/>
        </w:rPr>
        <w:t>depende del número de Faltas no Críticas que se generan en cada tramo según se muestra en las Tablas C.XIV-1 y C.XIV-2</w:t>
      </w:r>
      <w:r w:rsidR="00586D82">
        <w:rPr>
          <w:rFonts w:ascii="Arial" w:hAnsi="Arial" w:cs="Arial"/>
          <w:sz w:val="20"/>
          <w:szCs w:val="20"/>
          <w:lang w:val="es-UY"/>
        </w:rPr>
        <w:t xml:space="preserve"> o la fórmula correspondiente</w:t>
      </w:r>
      <w:r w:rsidRPr="005A11FF">
        <w:rPr>
          <w:rFonts w:ascii="Arial" w:hAnsi="Arial" w:cs="Arial"/>
          <w:sz w:val="20"/>
          <w:szCs w:val="20"/>
          <w:lang w:val="es-UY"/>
        </w:rPr>
        <w:t>.</w:t>
      </w:r>
    </w:p>
    <w:p w14:paraId="305E2647"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Las Faltas no Críticas se generan y acumulan por tramo y por trimestre según el valor alcanzado en las evaluaciones trimestrales </w:t>
      </w:r>
      <w:r w:rsidRPr="005A11FF">
        <w:rPr>
          <w:rFonts w:ascii="Arial" w:hAnsi="Arial" w:cs="Arial"/>
          <w:sz w:val="20"/>
          <w:szCs w:val="20"/>
          <w:lang w:val="es-UY"/>
        </w:rPr>
        <w:lastRenderedPageBreak/>
        <w:t xml:space="preserve">del NSU y anuales del IRI y determinan los coeficientes de disponibilidad </w:t>
      </w:r>
      <w:r w:rsidRPr="00197C20">
        <w:rPr>
          <w:rFonts w:ascii="Arial" w:hAnsi="Arial" w:cs="Arial"/>
          <w:bCs/>
          <w:sz w:val="20"/>
          <w:szCs w:val="20"/>
          <w:lang w:val="es-UY"/>
        </w:rPr>
        <w:t>cdt</w:t>
      </w:r>
      <w:r w:rsidRPr="00197C20">
        <w:rPr>
          <w:bCs/>
          <w:sz w:val="20"/>
          <w:szCs w:val="20"/>
          <w:lang w:val="es-UY"/>
        </w:rPr>
        <w:t>₃,</w:t>
      </w:r>
      <w:r w:rsidRPr="005A11FF">
        <w:rPr>
          <w:rFonts w:ascii="Arial" w:hAnsi="Arial" w:cs="Arial"/>
          <w:sz w:val="20"/>
          <w:szCs w:val="20"/>
          <w:lang w:val="es-UY"/>
        </w:rPr>
        <w:t xml:space="preserve"> por tanto afectan a la liquidación anual correspondiente a la componente C sólo del tramo donde se generaron y acumularon.</w:t>
      </w:r>
    </w:p>
    <w:p w14:paraId="26EF3634" w14:textId="77777777" w:rsidR="005A11FF" w:rsidRP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En función de la suma del número de Faltas no Críticas acumuladas por cada tramo en cada trimestre a lo largo del año se define el coeficiente de disponibilidad técnica </w:t>
      </w:r>
      <w:r w:rsidRPr="00197C20">
        <w:rPr>
          <w:rFonts w:ascii="Arial" w:hAnsi="Arial" w:cs="Arial"/>
          <w:bCs/>
          <w:sz w:val="20"/>
          <w:szCs w:val="20"/>
          <w:lang w:val="es-UY"/>
        </w:rPr>
        <w:t>(cdt</w:t>
      </w:r>
      <w:r w:rsidRPr="00197C20">
        <w:rPr>
          <w:bCs/>
          <w:sz w:val="20"/>
          <w:szCs w:val="20"/>
          <w:lang w:val="es-UY"/>
        </w:rPr>
        <w:t>₃</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que determina el monto anual definitivo a percibir por el Contratista</w:t>
      </w:r>
      <w:r w:rsidR="00B14DCC">
        <w:rPr>
          <w:rFonts w:ascii="Arial" w:hAnsi="Arial" w:cs="Arial"/>
          <w:sz w:val="20"/>
          <w:szCs w:val="20"/>
          <w:lang w:val="es-UY"/>
        </w:rPr>
        <w:t xml:space="preserve"> </w:t>
      </w:r>
      <w:r w:rsidRPr="005A11FF">
        <w:rPr>
          <w:rFonts w:ascii="Arial" w:hAnsi="Arial" w:cs="Arial"/>
          <w:sz w:val="20"/>
          <w:szCs w:val="20"/>
          <w:lang w:val="es-UY"/>
        </w:rPr>
        <w:t>por la componente C.</w:t>
      </w:r>
    </w:p>
    <w:p w14:paraId="41FF3C83" w14:textId="77777777" w:rsidR="005A11FF" w:rsidRDefault="005A11FF" w:rsidP="005234F5">
      <w:pPr>
        <w:spacing w:line="240" w:lineRule="auto"/>
        <w:jc w:val="both"/>
        <w:rPr>
          <w:rFonts w:ascii="Arial" w:hAnsi="Arial" w:cs="Arial"/>
          <w:sz w:val="20"/>
          <w:szCs w:val="20"/>
          <w:lang w:val="es-UY"/>
        </w:rPr>
      </w:pPr>
      <w:r w:rsidRPr="005A11FF">
        <w:rPr>
          <w:rFonts w:ascii="Arial" w:hAnsi="Arial" w:cs="Arial"/>
          <w:sz w:val="20"/>
          <w:szCs w:val="20"/>
          <w:lang w:val="es-UY"/>
        </w:rPr>
        <w:t xml:space="preserve">Ese </w:t>
      </w:r>
      <w:r w:rsidRPr="00197C20">
        <w:rPr>
          <w:rFonts w:ascii="Arial" w:hAnsi="Arial" w:cs="Arial"/>
          <w:sz w:val="20"/>
          <w:szCs w:val="20"/>
          <w:lang w:val="es-UY"/>
        </w:rPr>
        <w:t xml:space="preserve">coeficiente </w:t>
      </w:r>
      <w:r w:rsidRPr="00197C20">
        <w:rPr>
          <w:rFonts w:ascii="Arial" w:hAnsi="Arial" w:cs="Arial"/>
          <w:bCs/>
          <w:sz w:val="20"/>
          <w:szCs w:val="20"/>
          <w:lang w:val="es-UY"/>
        </w:rPr>
        <w:t>(cdt</w:t>
      </w:r>
      <w:r w:rsidRPr="00197C20">
        <w:rPr>
          <w:bCs/>
          <w:sz w:val="20"/>
          <w:szCs w:val="20"/>
          <w:lang w:val="es-UY"/>
        </w:rPr>
        <w:t>₃</w:t>
      </w:r>
      <w:r w:rsidRPr="00197C20">
        <w:rPr>
          <w:rFonts w:ascii="Arial" w:hAnsi="Arial" w:cs="Arial"/>
          <w:bCs/>
          <w:sz w:val="20"/>
          <w:szCs w:val="20"/>
          <w:lang w:val="es-UY"/>
        </w:rPr>
        <w:t>)</w:t>
      </w:r>
      <w:r w:rsidRPr="005A11FF">
        <w:rPr>
          <w:rFonts w:ascii="Arial" w:hAnsi="Arial" w:cs="Arial"/>
          <w:b/>
          <w:bCs/>
          <w:sz w:val="20"/>
          <w:szCs w:val="20"/>
          <w:lang w:val="es-UY"/>
        </w:rPr>
        <w:t xml:space="preserve"> </w:t>
      </w:r>
      <w:r w:rsidRPr="005A11FF">
        <w:rPr>
          <w:rFonts w:ascii="Arial" w:hAnsi="Arial" w:cs="Arial"/>
          <w:sz w:val="20"/>
          <w:szCs w:val="20"/>
          <w:lang w:val="es-UY"/>
        </w:rPr>
        <w:t>es el que surge de la Tabla C.XIV-5.</w:t>
      </w:r>
    </w:p>
    <w:p w14:paraId="77C13C56" w14:textId="77777777" w:rsidR="005234F5" w:rsidRDefault="005234F5" w:rsidP="005234F5">
      <w:pPr>
        <w:spacing w:line="240" w:lineRule="auto"/>
        <w:jc w:val="both"/>
        <w:rPr>
          <w:rFonts w:ascii="Arial" w:hAnsi="Arial" w:cs="Arial"/>
          <w:sz w:val="16"/>
          <w:szCs w:val="16"/>
          <w:lang w:val="es-UY"/>
        </w:rPr>
      </w:pPr>
      <w:bookmarkStart w:id="913" w:name="T9_ctd_3"/>
    </w:p>
    <w:p w14:paraId="4B34ABC6" w14:textId="77777777" w:rsidR="005234F5" w:rsidRDefault="005234F5" w:rsidP="005234F5">
      <w:pPr>
        <w:spacing w:line="240" w:lineRule="auto"/>
        <w:jc w:val="both"/>
        <w:rPr>
          <w:rFonts w:ascii="Arial" w:hAnsi="Arial" w:cs="Arial"/>
          <w:sz w:val="16"/>
          <w:szCs w:val="16"/>
          <w:lang w:val="es-UY"/>
        </w:rPr>
      </w:pPr>
    </w:p>
    <w:p w14:paraId="3EAEA093" w14:textId="77777777" w:rsidR="005234F5" w:rsidRDefault="005234F5" w:rsidP="005234F5">
      <w:pPr>
        <w:spacing w:line="240" w:lineRule="auto"/>
        <w:jc w:val="both"/>
        <w:rPr>
          <w:rFonts w:ascii="Arial" w:hAnsi="Arial" w:cs="Arial"/>
          <w:sz w:val="16"/>
          <w:szCs w:val="16"/>
          <w:lang w:val="es-UY"/>
        </w:rPr>
      </w:pPr>
    </w:p>
    <w:p w14:paraId="4C52F27B" w14:textId="77777777" w:rsidR="005234F5" w:rsidRDefault="005234F5" w:rsidP="005234F5">
      <w:pPr>
        <w:spacing w:line="240" w:lineRule="auto"/>
        <w:jc w:val="both"/>
        <w:rPr>
          <w:rFonts w:ascii="Arial" w:hAnsi="Arial" w:cs="Arial"/>
          <w:sz w:val="16"/>
          <w:szCs w:val="16"/>
          <w:lang w:val="es-UY"/>
        </w:rPr>
      </w:pPr>
    </w:p>
    <w:p w14:paraId="252D32AD" w14:textId="77777777" w:rsidR="005234F5" w:rsidRDefault="005234F5" w:rsidP="005234F5">
      <w:pPr>
        <w:spacing w:line="240" w:lineRule="auto"/>
        <w:jc w:val="both"/>
        <w:rPr>
          <w:rFonts w:ascii="Arial" w:hAnsi="Arial" w:cs="Arial"/>
          <w:sz w:val="16"/>
          <w:szCs w:val="16"/>
          <w:lang w:val="es-UY"/>
        </w:rPr>
      </w:pPr>
    </w:p>
    <w:p w14:paraId="51FDD018" w14:textId="77777777" w:rsidR="005234F5" w:rsidRDefault="005234F5" w:rsidP="005234F5">
      <w:pPr>
        <w:spacing w:line="240" w:lineRule="auto"/>
        <w:jc w:val="both"/>
        <w:rPr>
          <w:rFonts w:ascii="Arial" w:hAnsi="Arial" w:cs="Arial"/>
          <w:sz w:val="16"/>
          <w:szCs w:val="16"/>
          <w:lang w:val="es-UY"/>
        </w:rPr>
      </w:pPr>
    </w:p>
    <w:p w14:paraId="1124F9DF" w14:textId="77777777" w:rsidR="005234F5" w:rsidRDefault="005234F5" w:rsidP="005234F5">
      <w:pPr>
        <w:spacing w:line="240" w:lineRule="auto"/>
        <w:jc w:val="both"/>
        <w:rPr>
          <w:rFonts w:ascii="Arial" w:hAnsi="Arial" w:cs="Arial"/>
          <w:sz w:val="16"/>
          <w:szCs w:val="16"/>
          <w:lang w:val="es-UY"/>
        </w:rPr>
      </w:pPr>
    </w:p>
    <w:p w14:paraId="5292889F" w14:textId="77777777" w:rsidR="005234F5" w:rsidRDefault="005234F5" w:rsidP="005234F5">
      <w:pPr>
        <w:spacing w:line="240" w:lineRule="auto"/>
        <w:jc w:val="both"/>
        <w:rPr>
          <w:rFonts w:ascii="Arial" w:hAnsi="Arial" w:cs="Arial"/>
          <w:sz w:val="16"/>
          <w:szCs w:val="16"/>
          <w:lang w:val="es-UY"/>
        </w:rPr>
      </w:pPr>
    </w:p>
    <w:p w14:paraId="5A9026D5" w14:textId="77777777" w:rsidR="005234F5" w:rsidRDefault="005234F5" w:rsidP="005234F5">
      <w:pPr>
        <w:spacing w:line="240" w:lineRule="auto"/>
        <w:jc w:val="both"/>
        <w:rPr>
          <w:rFonts w:ascii="Arial" w:hAnsi="Arial" w:cs="Arial"/>
          <w:sz w:val="16"/>
          <w:szCs w:val="16"/>
          <w:lang w:val="es-UY"/>
        </w:rPr>
      </w:pPr>
    </w:p>
    <w:p w14:paraId="672EA8DF" w14:textId="77777777" w:rsidR="005234F5" w:rsidRDefault="005234F5" w:rsidP="005234F5">
      <w:pPr>
        <w:spacing w:line="240" w:lineRule="auto"/>
        <w:jc w:val="both"/>
        <w:rPr>
          <w:rFonts w:ascii="Arial" w:hAnsi="Arial" w:cs="Arial"/>
          <w:sz w:val="16"/>
          <w:szCs w:val="16"/>
          <w:lang w:val="es-UY"/>
        </w:rPr>
      </w:pPr>
    </w:p>
    <w:p w14:paraId="041157A5" w14:textId="77777777" w:rsidR="001B17AC" w:rsidRDefault="001B17AC" w:rsidP="005234F5">
      <w:pPr>
        <w:spacing w:line="240" w:lineRule="auto"/>
        <w:jc w:val="both"/>
        <w:rPr>
          <w:rFonts w:ascii="Arial" w:hAnsi="Arial" w:cs="Arial"/>
          <w:sz w:val="16"/>
          <w:szCs w:val="16"/>
          <w:lang w:val="es-UY"/>
        </w:rPr>
      </w:pPr>
    </w:p>
    <w:p w14:paraId="285C063F" w14:textId="77777777" w:rsidR="001B17AC" w:rsidRDefault="001B17AC" w:rsidP="005234F5">
      <w:pPr>
        <w:spacing w:line="240" w:lineRule="auto"/>
        <w:jc w:val="both"/>
        <w:rPr>
          <w:rFonts w:ascii="Arial" w:hAnsi="Arial" w:cs="Arial"/>
          <w:sz w:val="16"/>
          <w:szCs w:val="16"/>
          <w:lang w:val="es-UY"/>
        </w:rPr>
      </w:pPr>
    </w:p>
    <w:p w14:paraId="6D68664A" w14:textId="77777777" w:rsidR="005A11FF" w:rsidRPr="005A11FF" w:rsidRDefault="005A11FF" w:rsidP="005234F5">
      <w:pPr>
        <w:spacing w:line="240" w:lineRule="auto"/>
        <w:jc w:val="both"/>
        <w:rPr>
          <w:rFonts w:ascii="Arial" w:hAnsi="Arial" w:cs="Arial"/>
          <w:sz w:val="16"/>
          <w:szCs w:val="16"/>
          <w:lang w:val="es-UY"/>
        </w:rPr>
      </w:pPr>
      <w:r w:rsidRPr="005A11FF">
        <w:rPr>
          <w:rFonts w:ascii="Arial" w:hAnsi="Arial" w:cs="Arial"/>
          <w:sz w:val="16"/>
          <w:szCs w:val="16"/>
          <w:lang w:val="es-UY"/>
        </w:rPr>
        <w:t>Tabla C.XIV-5</w:t>
      </w:r>
    </w:p>
    <w:bookmarkEnd w:id="913"/>
    <w:p w14:paraId="5929290E" w14:textId="77777777" w:rsidR="005A11FF" w:rsidRPr="005A11FF" w:rsidRDefault="005A11FF" w:rsidP="005A11FF">
      <w:pPr>
        <w:spacing w:after="0" w:line="360" w:lineRule="auto"/>
        <w:jc w:val="center"/>
        <w:rPr>
          <w:rFonts w:ascii="Arial" w:hAnsi="Arial" w:cs="Arial"/>
          <w:sz w:val="16"/>
          <w:szCs w:val="16"/>
          <w:lang w:val="es-UY"/>
        </w:rPr>
      </w:pPr>
      <w:r w:rsidRPr="005A11FF">
        <w:rPr>
          <w:rFonts w:cs="Times New Roman"/>
          <w:noProof/>
          <w:lang w:val="es-UY" w:eastAsia="es-UY"/>
        </w:rPr>
        <w:drawing>
          <wp:inline distT="0" distB="0" distL="0" distR="0" wp14:anchorId="5FAC0CEB" wp14:editId="66788BDB">
            <wp:extent cx="2042008" cy="3695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13"/>
                    <a:srcRect/>
                    <a:stretch>
                      <a:fillRect/>
                    </a:stretch>
                  </pic:blipFill>
                  <pic:spPr bwMode="auto">
                    <a:xfrm>
                      <a:off x="0" y="0"/>
                      <a:ext cx="2042008" cy="3695700"/>
                    </a:xfrm>
                    <a:prstGeom prst="rect">
                      <a:avLst/>
                    </a:prstGeom>
                    <a:noFill/>
                    <a:ln w="9525">
                      <a:noFill/>
                      <a:miter lim="800000"/>
                      <a:headEnd/>
                      <a:tailEnd/>
                    </a:ln>
                  </pic:spPr>
                </pic:pic>
              </a:graphicData>
            </a:graphic>
          </wp:inline>
        </w:drawing>
      </w:r>
    </w:p>
    <w:p w14:paraId="1B18E7D0" w14:textId="77777777" w:rsidR="005A11FF" w:rsidRPr="005A11FF" w:rsidRDefault="005A11FF" w:rsidP="005A11FF">
      <w:pPr>
        <w:spacing w:after="120" w:line="360" w:lineRule="auto"/>
        <w:jc w:val="center"/>
        <w:rPr>
          <w:rFonts w:ascii="Arial" w:hAnsi="Arial" w:cs="Arial"/>
          <w:b/>
          <w:bCs/>
        </w:rPr>
      </w:pPr>
    </w:p>
    <w:p w14:paraId="2581D55B" w14:textId="77777777" w:rsidR="005A11FF" w:rsidRPr="005A11FF" w:rsidRDefault="005A11FF" w:rsidP="005A11FF">
      <w:pPr>
        <w:spacing w:after="120" w:line="360" w:lineRule="auto"/>
        <w:jc w:val="center"/>
        <w:rPr>
          <w:rFonts w:ascii="Arial" w:hAnsi="Arial" w:cs="Arial"/>
          <w:b/>
          <w:bCs/>
        </w:rPr>
      </w:pPr>
    </w:p>
    <w:p w14:paraId="00E2BFC8" w14:textId="77777777" w:rsidR="005A11FF" w:rsidRPr="001846D9" w:rsidRDefault="005A11FF" w:rsidP="000F5C7C">
      <w:pPr>
        <w:pStyle w:val="T0"/>
        <w:outlineLvl w:val="0"/>
      </w:pPr>
      <w:r w:rsidRPr="005A11FF">
        <w:rPr>
          <w:b w:val="0"/>
          <w:bCs w:val="0"/>
        </w:rPr>
        <w:br w:type="page"/>
      </w:r>
      <w:bookmarkStart w:id="914" w:name="_Toc400636184"/>
      <w:bookmarkStart w:id="915" w:name="_Toc468288081"/>
      <w:bookmarkStart w:id="916" w:name="_Toc496266675"/>
      <w:bookmarkStart w:id="917" w:name="CAP_15"/>
      <w:r w:rsidRPr="001846D9">
        <w:lastRenderedPageBreak/>
        <w:t>CAPITULO XV: CONTROL DEL CUMPLIMIENTO DEL CONTRATO</w:t>
      </w:r>
      <w:bookmarkEnd w:id="914"/>
      <w:bookmarkEnd w:id="915"/>
      <w:bookmarkEnd w:id="916"/>
    </w:p>
    <w:p w14:paraId="15E40638" w14:textId="77777777" w:rsidR="005A11FF" w:rsidRPr="00CC6530" w:rsidRDefault="005A11FF" w:rsidP="004C3C3B">
      <w:pPr>
        <w:pStyle w:val="T1"/>
        <w:numPr>
          <w:ilvl w:val="0"/>
          <w:numId w:val="90"/>
        </w:numPr>
        <w:outlineLvl w:val="2"/>
      </w:pPr>
      <w:bookmarkStart w:id="918" w:name="_Toc400636185"/>
      <w:bookmarkStart w:id="919" w:name="_Toc468288082"/>
      <w:bookmarkStart w:id="920" w:name="_Toc496266676"/>
      <w:bookmarkStart w:id="921" w:name="Lit_76"/>
      <w:bookmarkEnd w:id="917"/>
      <w:r w:rsidRPr="00CC6530">
        <w:t>ELEMENTOS DE CONTROL DEL CONTRATO</w:t>
      </w:r>
      <w:bookmarkEnd w:id="918"/>
      <w:bookmarkEnd w:id="919"/>
      <w:bookmarkEnd w:id="920"/>
    </w:p>
    <w:bookmarkEnd w:id="921"/>
    <w:p w14:paraId="67CF4C6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pliego se definen tres niveles de control que deberán funcionar en forma complementaria para asegurar que se cumplan los requerimientos establecidos en el Pliego de condiciones.</w:t>
      </w:r>
    </w:p>
    <w:p w14:paraId="16B35B1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A continuación se establecen dichos elementos y sus competencias.</w:t>
      </w:r>
    </w:p>
    <w:p w14:paraId="79BA0B3E" w14:textId="77777777" w:rsidR="005A11FF" w:rsidRPr="00CC6530" w:rsidRDefault="005A11FF" w:rsidP="004C3C3B">
      <w:pPr>
        <w:pStyle w:val="T1"/>
        <w:numPr>
          <w:ilvl w:val="0"/>
          <w:numId w:val="90"/>
        </w:numPr>
        <w:outlineLvl w:val="2"/>
      </w:pPr>
      <w:bookmarkStart w:id="922" w:name="_Toc400636186"/>
      <w:bookmarkStart w:id="923" w:name="_Toc468288083"/>
      <w:bookmarkStart w:id="924" w:name="_Toc496266677"/>
      <w:bookmarkStart w:id="925" w:name="Lit_77"/>
      <w:r w:rsidRPr="00CC6530">
        <w:t>AUTOCONTROL</w:t>
      </w:r>
      <w:bookmarkEnd w:id="922"/>
      <w:bookmarkEnd w:id="923"/>
      <w:bookmarkEnd w:id="924"/>
    </w:p>
    <w:bookmarkEnd w:id="925"/>
    <w:p w14:paraId="714E48D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autocontrol será de exclusiva responsabilidad del Contratista pudiendo ejercerlo directamente con un equipo de trabajo propio constituido exclusivamente para tal fin o subcontratarlo.</w:t>
      </w:r>
    </w:p>
    <w:p w14:paraId="634CB7D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responsable del autocontrol tiene varias funciones que irán variando en sus objetivos e intensidad a lo largo del contrato.</w:t>
      </w:r>
    </w:p>
    <w:p w14:paraId="1136AB2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son:</w:t>
      </w:r>
    </w:p>
    <w:p w14:paraId="7951838F" w14:textId="77777777" w:rsidR="005A11FF" w:rsidRPr="00F75713" w:rsidRDefault="005A11FF" w:rsidP="009A58E0">
      <w:pPr>
        <w:pStyle w:val="Prrafodelista"/>
        <w:numPr>
          <w:ilvl w:val="0"/>
          <w:numId w:val="122"/>
        </w:numPr>
        <w:rPr>
          <w:rFonts w:ascii="Arial" w:eastAsia="Calibri" w:hAnsi="Arial" w:cs="Arial"/>
          <w:caps/>
          <w:sz w:val="21"/>
          <w:szCs w:val="21"/>
          <w:lang w:val="es-ES_tradnl" w:eastAsia="es-ES"/>
        </w:rPr>
      </w:pPr>
      <w:bookmarkStart w:id="926" w:name="_Toc400636187"/>
      <w:r w:rsidRPr="00F75713">
        <w:rPr>
          <w:rFonts w:ascii="Arial" w:eastAsia="Calibri" w:hAnsi="Arial" w:cs="Arial"/>
          <w:caps/>
          <w:sz w:val="21"/>
          <w:szCs w:val="21"/>
          <w:lang w:val="es-ES_tradnl" w:eastAsia="es-ES"/>
        </w:rPr>
        <w:t>Dirección</w:t>
      </w:r>
      <w:r w:rsidR="00C81B72">
        <w:rPr>
          <w:rFonts w:ascii="Arial" w:eastAsia="Calibri" w:hAnsi="Arial" w:cs="Arial"/>
          <w:caps/>
          <w:sz w:val="21"/>
          <w:szCs w:val="21"/>
          <w:lang w:val="es-ES_tradnl" w:eastAsia="es-ES"/>
        </w:rPr>
        <w:t xml:space="preserve"> de las obras de “construcción”,</w:t>
      </w:r>
      <w:r w:rsidRPr="00F75713">
        <w:rPr>
          <w:rFonts w:ascii="Arial" w:eastAsia="Calibri" w:hAnsi="Arial" w:cs="Arial"/>
          <w:caps/>
          <w:sz w:val="21"/>
          <w:szCs w:val="21"/>
          <w:lang w:val="es-ES_tradnl" w:eastAsia="es-ES"/>
        </w:rPr>
        <w:t xml:space="preserve"> de “puesta a punto”</w:t>
      </w:r>
      <w:bookmarkEnd w:id="926"/>
      <w:r w:rsidR="00C81B72">
        <w:rPr>
          <w:rFonts w:ascii="Arial" w:eastAsia="Calibri" w:hAnsi="Arial" w:cs="Arial"/>
          <w:caps/>
          <w:sz w:val="21"/>
          <w:szCs w:val="21"/>
          <w:lang w:val="es-ES_tradnl" w:eastAsia="es-ES"/>
        </w:rPr>
        <w:t xml:space="preserve"> Y “COMPLEMENTARIAS“</w:t>
      </w:r>
    </w:p>
    <w:p w14:paraId="4730F73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El Contratista, a través de su equipo de autocontrol, será responsable de asegurar la calidad, en los términos que el pliego defina, de todos los trabajos que se realicen, ya sean estos ejecutados por él mismo o por terceros.</w:t>
      </w:r>
    </w:p>
    <w:p w14:paraId="3C88D2F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ello deberá contratar o contar con todos los elementos que le permitan desarrollar adecuadamente su labor, (laboratorios debidamente equipados y calibrados, elementos de topografía, equipos de medición de IRI y Deflexiones, etc.) y con los recursos humanos, en cantidad y calificación, que estime necesarios.</w:t>
      </w:r>
    </w:p>
    <w:p w14:paraId="681253B3"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27" w:name="_Toc400636188"/>
      <w:r w:rsidRPr="005A11FF">
        <w:rPr>
          <w:rFonts w:ascii="Arial" w:eastAsia="Calibri" w:hAnsi="Arial" w:cs="Arial"/>
          <w:caps/>
          <w:sz w:val="21"/>
          <w:szCs w:val="21"/>
          <w:lang w:val="es-ES_tradnl" w:eastAsia="es-ES"/>
        </w:rPr>
        <w:t>Control diario de los elementos que pueden afectar los niveles de seguridad y calidad de circulación.</w:t>
      </w:r>
      <w:bookmarkEnd w:id="927"/>
    </w:p>
    <w:p w14:paraId="2221F18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de autocontrol deberá recorrer el circuito al menos una vez al día de manera de detectar rápidamente aquellos eventos que impliquen un no cumplimiento de los Estándares de Mantenimiento Básicos definidos en el pliego.</w:t>
      </w:r>
    </w:p>
    <w:p w14:paraId="0B3C0A1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caso y en otras situaciones imprevisibles que afecten la seguridad de los usuarios, deberá coordinar las medidas necesarias para resolver inmediatamente el problema. Las medidas a tomar podrán ser provisorias hasta tanto se puedan implementar las soluciones definitivas.</w:t>
      </w:r>
    </w:p>
    <w:p w14:paraId="195C98E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14:paraId="1061DF3C" w14:textId="77777777" w:rsidR="005A11FF" w:rsidRPr="005A11FF" w:rsidRDefault="005A11FF" w:rsidP="005A11FF">
      <w:pPr>
        <w:spacing w:after="120"/>
        <w:jc w:val="both"/>
        <w:rPr>
          <w:rFonts w:ascii="Arial" w:hAnsi="Arial" w:cs="Arial"/>
          <w:i/>
          <w:iCs/>
          <w:color w:val="984806"/>
          <w:sz w:val="20"/>
          <w:szCs w:val="20"/>
          <w:lang w:val="es-UY"/>
        </w:rPr>
      </w:pPr>
      <w:r w:rsidRPr="005A11FF">
        <w:rPr>
          <w:rFonts w:ascii="Arial" w:hAnsi="Arial" w:cs="Arial"/>
          <w:sz w:val="20"/>
          <w:szCs w:val="20"/>
          <w:lang w:val="es-UY"/>
        </w:rPr>
        <w:t>Estos eventos deben ser atendidos en el día, iniciando las acciones en el momento que se detectan con la premura que cada situación amerite</w:t>
      </w:r>
      <w:r w:rsidRPr="005A11FF">
        <w:rPr>
          <w:rFonts w:ascii="Arial" w:hAnsi="Arial" w:cs="Arial"/>
          <w:i/>
          <w:iCs/>
          <w:color w:val="984806"/>
          <w:sz w:val="20"/>
          <w:szCs w:val="20"/>
          <w:lang w:val="es-UY"/>
        </w:rPr>
        <w:t>.</w:t>
      </w:r>
    </w:p>
    <w:p w14:paraId="15BDBF1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14:paraId="2B57A07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Esto lo realizará a través del software de gestión mencionado en el</w:t>
      </w:r>
      <w:r w:rsidR="00B14DCC">
        <w:rPr>
          <w:rFonts w:ascii="Arial" w:hAnsi="Arial" w:cs="Arial"/>
          <w:sz w:val="20"/>
          <w:szCs w:val="20"/>
          <w:lang w:val="es-UY"/>
        </w:rPr>
        <w:t xml:space="preserve"> </w:t>
      </w:r>
      <w:hyperlink w:anchor="A_14" w:history="1">
        <w:r w:rsidRPr="003218BC">
          <w:rPr>
            <w:rStyle w:val="Hipervnculo"/>
            <w:rFonts w:ascii="Arial" w:hAnsi="Arial" w:cs="Arial"/>
            <w:sz w:val="20"/>
            <w:szCs w:val="20"/>
            <w:lang w:val="es-UY"/>
          </w:rPr>
          <w:t>Anexo XIV</w:t>
        </w:r>
      </w:hyperlink>
      <w:r w:rsidR="00B14DCC">
        <w:rPr>
          <w:rFonts w:ascii="Arial" w:hAnsi="Arial" w:cs="Arial"/>
          <w:sz w:val="20"/>
          <w:szCs w:val="20"/>
          <w:lang w:val="es-UY"/>
        </w:rPr>
        <w:t xml:space="preserve"> </w:t>
      </w:r>
      <w:r w:rsidRPr="005A11FF">
        <w:rPr>
          <w:rFonts w:ascii="Arial" w:hAnsi="Arial" w:cs="Arial"/>
          <w:sz w:val="20"/>
          <w:szCs w:val="20"/>
          <w:lang w:val="es-UY"/>
        </w:rPr>
        <w:t xml:space="preserve">y que estará siempre “en línea”. </w:t>
      </w:r>
    </w:p>
    <w:p w14:paraId="5BB45617" w14:textId="77777777" w:rsidR="005A11FF" w:rsidRPr="005A11FF" w:rsidRDefault="005A11FF" w:rsidP="005A11FF">
      <w:pPr>
        <w:spacing w:after="120"/>
        <w:jc w:val="both"/>
        <w:rPr>
          <w:rFonts w:ascii="Arial" w:hAnsi="Arial" w:cs="Arial"/>
          <w:sz w:val="20"/>
          <w:szCs w:val="20"/>
          <w:lang w:val="es-UY"/>
        </w:rPr>
      </w:pPr>
      <w:r w:rsidRPr="00512D60">
        <w:rPr>
          <w:rFonts w:ascii="Arial" w:hAnsi="Arial" w:cs="Arial"/>
          <w:sz w:val="20"/>
          <w:szCs w:val="20"/>
          <w:lang w:val="es-UY"/>
        </w:rPr>
        <w:t>El Contratista deberá proponer un tipo y un esquema para su aprobación por parte del Órgano de Control; el medio será el software de gestión.</w:t>
      </w:r>
    </w:p>
    <w:p w14:paraId="30578E2B"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28" w:name="_Toc400636189"/>
      <w:r w:rsidRPr="005A11FF">
        <w:rPr>
          <w:rFonts w:ascii="Arial" w:eastAsia="Calibri" w:hAnsi="Arial" w:cs="Arial"/>
          <w:caps/>
          <w:sz w:val="21"/>
          <w:szCs w:val="21"/>
          <w:lang w:val="es-ES_tradnl" w:eastAsia="es-ES"/>
        </w:rPr>
        <w:t>Evaluación mensual del Nivel de Servicio al Usuario (NSU) de cada tramo que compone el circuito.</w:t>
      </w:r>
      <w:bookmarkEnd w:id="928"/>
    </w:p>
    <w:p w14:paraId="29F5CAF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 xml:space="preserve">En el correr de los primeros cinco días de cada mes el Contratista, siguiendo la misma metodología descrita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xml:space="preserve"> evaluará el 10% de la longitud de cada tramo que compone el circuito.</w:t>
      </w:r>
    </w:p>
    <w:p w14:paraId="5578E45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metodología será la misma que la utilizada en las de frecuencia trimestral y los resultados detallados de dichas evaluaciones deberán comunicarse al Supervisor de Obra dentro de los dos días siguientes de realizada la evaluación.</w:t>
      </w:r>
    </w:p>
    <w:p w14:paraId="19DC995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se detectaran “no cumplimientos” deberán ser comunicados conjuntamente con los resultados del NSU obtenido en cada tramo. A partir de ese momento comenzará a correr el tiempo de respuesta para eliminar el “no cumplimiento”.</w:t>
      </w:r>
    </w:p>
    <w:p w14:paraId="3EF2D61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mediciones no generarán penalizaciones sino que tendrán valor estadístico.</w:t>
      </w:r>
    </w:p>
    <w:p w14:paraId="050B7757"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29" w:name="_Toc400636190"/>
      <w:r w:rsidRPr="005A11FF">
        <w:rPr>
          <w:rFonts w:ascii="Arial" w:eastAsia="Calibri" w:hAnsi="Arial" w:cs="Arial"/>
          <w:caps/>
          <w:sz w:val="21"/>
          <w:szCs w:val="21"/>
          <w:lang w:val="es-ES_tradnl" w:eastAsia="es-ES"/>
        </w:rPr>
        <w:t>Evaluación anual del IRI.</w:t>
      </w:r>
      <w:bookmarkEnd w:id="929"/>
    </w:p>
    <w:p w14:paraId="23EDEF51"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IRI deberá ser evaluado por el Contratista</w:t>
      </w:r>
      <w:r w:rsidR="00B14DCC">
        <w:rPr>
          <w:rFonts w:ascii="Arial" w:hAnsi="Arial" w:cs="Arial"/>
          <w:sz w:val="20"/>
          <w:szCs w:val="20"/>
          <w:lang w:val="es-UY"/>
        </w:rPr>
        <w:t xml:space="preserve"> </w:t>
      </w:r>
      <w:r w:rsidRPr="005A11FF">
        <w:rPr>
          <w:rFonts w:ascii="Arial" w:hAnsi="Arial" w:cs="Arial"/>
          <w:sz w:val="20"/>
          <w:szCs w:val="20"/>
          <w:lang w:val="es-UY"/>
        </w:rPr>
        <w:t>con seis meses de anterioridad a que se realicen en el ámbito de la Supervisión. Los resultados de esta evaluación no tendrán efectos a los efectos del pago por disponibilidad.</w:t>
      </w:r>
    </w:p>
    <w:p w14:paraId="7A02BE6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 esta evaluación se seguirá la misma metodología establecida para la evaluación que se realiza anualmente y que está definida en los instructivos de la DNV.</w:t>
      </w:r>
    </w:p>
    <w:p w14:paraId="5650712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Los resultados, junto con las medidas que el Contratista</w:t>
      </w:r>
      <w:r w:rsidR="00B14DCC">
        <w:rPr>
          <w:rFonts w:ascii="Arial" w:hAnsi="Arial" w:cs="Arial"/>
          <w:sz w:val="20"/>
          <w:szCs w:val="20"/>
          <w:lang w:val="es-UY"/>
        </w:rPr>
        <w:t xml:space="preserve"> </w:t>
      </w:r>
      <w:r w:rsidRPr="005A11FF">
        <w:rPr>
          <w:rFonts w:ascii="Arial" w:hAnsi="Arial" w:cs="Arial"/>
          <w:sz w:val="20"/>
          <w:szCs w:val="20"/>
          <w:lang w:val="es-UY"/>
        </w:rPr>
        <w:t>tomará para solucionar eventuales incumplimientos, deberán ser comunicados al Supervisor de Obra dentro de los primeros diez días de realizados los mismos.</w:t>
      </w:r>
    </w:p>
    <w:p w14:paraId="6711D44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Estas mediciones, realizadas por el Contratista, no generarán penalizaciones sino que tendrán valor estadístico.</w:t>
      </w:r>
    </w:p>
    <w:p w14:paraId="3209DCAC"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30" w:name="_Toc400636191"/>
      <w:r w:rsidRPr="005A11FF">
        <w:rPr>
          <w:rFonts w:ascii="Arial" w:eastAsia="Calibri" w:hAnsi="Arial" w:cs="Arial"/>
          <w:caps/>
          <w:sz w:val="21"/>
          <w:szCs w:val="21"/>
          <w:lang w:val="es-ES_tradnl" w:eastAsia="es-ES"/>
        </w:rPr>
        <w:t>Incumplimientos</w:t>
      </w:r>
      <w:bookmarkEnd w:id="930"/>
    </w:p>
    <w:p w14:paraId="3F637865"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Por cada evento de incumplimiento de la gestión de autocontrol se computará una o más observaciones atendiendo a la gravedad y/o reiteración de las mismas.</w:t>
      </w:r>
    </w:p>
    <w:p w14:paraId="660E803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en el lapso comprendido entre dos evaluaciones anuales se acumularan más de 6 observaciones se aplicará al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una multa de </w:t>
      </w:r>
      <w:r w:rsidR="00F716CF">
        <w:rPr>
          <w:rFonts w:ascii="Arial" w:hAnsi="Arial" w:cs="Arial"/>
          <w:sz w:val="20"/>
          <w:szCs w:val="20"/>
          <w:lang w:val="es-UY"/>
        </w:rPr>
        <w:t>U$S</w:t>
      </w:r>
      <w:r w:rsidRPr="005A11FF">
        <w:rPr>
          <w:rFonts w:ascii="Arial" w:hAnsi="Arial" w:cs="Arial"/>
          <w:sz w:val="20"/>
          <w:szCs w:val="20"/>
          <w:lang w:val="es-UY"/>
        </w:rPr>
        <w:t xml:space="preserve"> 12.000</w:t>
      </w:r>
      <w:r w:rsidR="00B37F8C">
        <w:rPr>
          <w:rFonts w:ascii="Arial" w:hAnsi="Arial" w:cs="Arial"/>
          <w:sz w:val="20"/>
          <w:szCs w:val="20"/>
          <w:lang w:val="es-UY"/>
        </w:rPr>
        <w:t xml:space="preserve"> (dólares estadounidenses doce mil)</w:t>
      </w:r>
      <w:r w:rsidRPr="005A11FF">
        <w:rPr>
          <w:rFonts w:ascii="Arial" w:hAnsi="Arial" w:cs="Arial"/>
          <w:sz w:val="20"/>
          <w:szCs w:val="20"/>
          <w:lang w:val="es-UY"/>
        </w:rPr>
        <w:t>.</w:t>
      </w:r>
    </w:p>
    <w:p w14:paraId="5559FA2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No obstante lo anterior las observaciones se acumularán a lo largo de todo el contrato.</w:t>
      </w:r>
    </w:p>
    <w:p w14:paraId="77DD7B4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Cuando el número acumulado de observaciones llegue a 50 se aplicará una multa de </w:t>
      </w:r>
      <w:r w:rsidR="00F716CF">
        <w:rPr>
          <w:rFonts w:ascii="Arial" w:hAnsi="Arial" w:cs="Arial"/>
          <w:sz w:val="20"/>
          <w:szCs w:val="20"/>
          <w:lang w:val="es-UY"/>
        </w:rPr>
        <w:t>U$S</w:t>
      </w:r>
      <w:r w:rsidRPr="005A11FF">
        <w:rPr>
          <w:rFonts w:ascii="Arial" w:hAnsi="Arial" w:cs="Arial"/>
          <w:sz w:val="20"/>
          <w:szCs w:val="20"/>
          <w:lang w:val="es-UY"/>
        </w:rPr>
        <w:t xml:space="preserve"> 50.000 </w:t>
      </w:r>
      <w:r w:rsidR="00B37F8C">
        <w:rPr>
          <w:rFonts w:ascii="Arial" w:hAnsi="Arial" w:cs="Arial"/>
          <w:sz w:val="20"/>
          <w:szCs w:val="20"/>
          <w:lang w:val="es-UY"/>
        </w:rPr>
        <w:t xml:space="preserve">(dólares estadounidenses cincuenta mil) </w:t>
      </w:r>
      <w:r w:rsidRPr="005A11FF">
        <w:rPr>
          <w:rFonts w:ascii="Arial" w:hAnsi="Arial" w:cs="Arial"/>
          <w:sz w:val="20"/>
          <w:szCs w:val="20"/>
          <w:lang w:val="es-UY"/>
        </w:rPr>
        <w:t>y simultáneamente caerá el sistema de autocontrol.</w:t>
      </w:r>
    </w:p>
    <w:p w14:paraId="06CF7B4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lastRenderedPageBreak/>
        <w:t>Una vez caído el autocontrol la Contratante contratará una empresa que preste los servicios que anteriormente cumplía el autocontrol y descontará de los pagos que deba realizar al Contratista</w:t>
      </w:r>
      <w:r w:rsidR="00B14DCC">
        <w:rPr>
          <w:rFonts w:ascii="Arial" w:hAnsi="Arial" w:cs="Arial"/>
          <w:sz w:val="20"/>
          <w:szCs w:val="20"/>
          <w:lang w:val="es-UY"/>
        </w:rPr>
        <w:t xml:space="preserve"> </w:t>
      </w:r>
      <w:r w:rsidRPr="005A11FF">
        <w:rPr>
          <w:rFonts w:ascii="Arial" w:hAnsi="Arial" w:cs="Arial"/>
          <w:sz w:val="20"/>
          <w:szCs w:val="20"/>
          <w:lang w:val="es-UY"/>
        </w:rPr>
        <w:t>el monto que deba pagar a la nueva empresa.</w:t>
      </w:r>
    </w:p>
    <w:p w14:paraId="60BA4CCE" w14:textId="77777777" w:rsidR="005A11FF" w:rsidRPr="00CC6530" w:rsidRDefault="005A11FF" w:rsidP="004C3C3B">
      <w:pPr>
        <w:pStyle w:val="T1"/>
        <w:numPr>
          <w:ilvl w:val="0"/>
          <w:numId w:val="90"/>
        </w:numPr>
        <w:outlineLvl w:val="2"/>
      </w:pPr>
      <w:bookmarkStart w:id="931" w:name="_Toc400636192"/>
      <w:bookmarkStart w:id="932" w:name="_Toc468288084"/>
      <w:bookmarkStart w:id="933" w:name="_Toc496266678"/>
      <w:bookmarkStart w:id="934" w:name="Lit_78"/>
      <w:r w:rsidRPr="00CC6530">
        <w:t>SUPERVISIÓN DEL CONTRATO</w:t>
      </w:r>
      <w:bookmarkEnd w:id="931"/>
      <w:bookmarkEnd w:id="932"/>
      <w:bookmarkEnd w:id="933"/>
    </w:p>
    <w:bookmarkEnd w:id="934"/>
    <w:p w14:paraId="6621632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Paralelamente a las tareas de autocontrol que ejerce el Contratista</w:t>
      </w:r>
      <w:r w:rsidR="00B14DCC">
        <w:rPr>
          <w:rFonts w:ascii="Arial" w:hAnsi="Arial" w:cs="Arial"/>
          <w:sz w:val="20"/>
          <w:szCs w:val="20"/>
          <w:lang w:val="es-UY"/>
        </w:rPr>
        <w:t xml:space="preserve"> </w:t>
      </w:r>
      <w:r w:rsidRPr="005A11FF">
        <w:rPr>
          <w:rFonts w:ascii="Arial" w:hAnsi="Arial" w:cs="Arial"/>
          <w:sz w:val="20"/>
          <w:szCs w:val="20"/>
          <w:lang w:val="es-UY"/>
        </w:rPr>
        <w:t>se realizarán las tareas de supervisión que aquí se establecen.</w:t>
      </w:r>
    </w:p>
    <w:p w14:paraId="29E50990"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Contratante designará un grupo de técnicos que conformará el Órgano de Control del contrato.</w:t>
      </w:r>
    </w:p>
    <w:p w14:paraId="52AC969A"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Este es el órgano de máxima jerarquía en la función de control, los técnicos que lo integren ejercerán sus funciones de manera técnicamente independiente.</w:t>
      </w:r>
    </w:p>
    <w:p w14:paraId="421A821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de la Contratante estará representado por un Ingeniero debidamente calificado que, como Supervisor de Obra, tendrá la responsabilidad de la Supervisión.</w:t>
      </w:r>
    </w:p>
    <w:p w14:paraId="0DFE6928"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Supervisor de Obra podrá ser un funcionario de la Contratante o un consultor contratado a tal fin.</w:t>
      </w:r>
    </w:p>
    <w:p w14:paraId="7414D61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Todas las tareas de supervisión que se detallan a continuación serán realizadas por el Supervisor de Obra o el Órgano de Control, </w:t>
      </w:r>
      <w:r w:rsidRPr="005A11FF">
        <w:rPr>
          <w:rFonts w:ascii="Arial" w:hAnsi="Arial" w:cs="Arial"/>
          <w:sz w:val="20"/>
          <w:szCs w:val="20"/>
          <w:lang w:val="es-UY"/>
        </w:rPr>
        <w:lastRenderedPageBreak/>
        <w:t>según corresponda, con equipos propios de la Contratante o por terceros contratados para tal fin.</w:t>
      </w:r>
    </w:p>
    <w:p w14:paraId="5E66BAF3"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ambos casos el equipo será seleccionado teniendo en cuenta la oportunidad, conveniencia, idoneidad y naturaleza de la tarea a realizar.</w:t>
      </w:r>
    </w:p>
    <w:p w14:paraId="261EE0E8"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cumple varias funciones que van variando en sus objetivos e intensidad a lo largo del contrato, estas son:</w:t>
      </w:r>
    </w:p>
    <w:p w14:paraId="09A6FBF3"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5" w:name="_Toc400636193"/>
      <w:r w:rsidRPr="00D03FA1">
        <w:rPr>
          <w:rFonts w:ascii="Arial" w:eastAsia="Calibri" w:hAnsi="Arial" w:cs="Arial"/>
          <w:caps/>
          <w:sz w:val="21"/>
          <w:szCs w:val="21"/>
          <w:lang w:val="es-ES_tradnl" w:eastAsia="es-ES"/>
        </w:rPr>
        <w:t>Supervisión de las obras de</w:t>
      </w:r>
      <w:r w:rsidR="00B14DCC" w:rsidRPr="00D03FA1">
        <w:rPr>
          <w:rFonts w:ascii="Arial" w:eastAsia="Calibri" w:hAnsi="Arial" w:cs="Arial"/>
          <w:caps/>
          <w:sz w:val="21"/>
          <w:szCs w:val="21"/>
          <w:lang w:val="es-ES_tradnl" w:eastAsia="es-ES"/>
        </w:rPr>
        <w:t xml:space="preserve"> </w:t>
      </w:r>
      <w:r w:rsidRPr="00D03FA1">
        <w:rPr>
          <w:rFonts w:ascii="Arial" w:eastAsia="Calibri" w:hAnsi="Arial" w:cs="Arial"/>
          <w:caps/>
          <w:sz w:val="21"/>
          <w:szCs w:val="21"/>
          <w:lang w:val="es-ES_tradnl" w:eastAsia="es-ES"/>
        </w:rPr>
        <w:t>“puesta a punto”</w:t>
      </w:r>
      <w:bookmarkEnd w:id="935"/>
      <w:r w:rsidR="00C81B72" w:rsidRPr="00D03FA1">
        <w:rPr>
          <w:rFonts w:ascii="Arial" w:eastAsia="Calibri" w:hAnsi="Arial" w:cs="Arial"/>
          <w:caps/>
          <w:sz w:val="21"/>
          <w:szCs w:val="21"/>
          <w:lang w:val="es-ES_tradnl" w:eastAsia="es-ES"/>
        </w:rPr>
        <w:t xml:space="preserve"> Y “COMPLEMENTARIAS”.</w:t>
      </w:r>
    </w:p>
    <w:p w14:paraId="661C60A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de las obras de “puesta a punto” tiene por objeto asegurar el completo apego a las condiciones que debe cumplir el autocontrol de la empresa Contratista</w:t>
      </w:r>
      <w:r w:rsidR="00B14DCC">
        <w:rPr>
          <w:rFonts w:ascii="Arial" w:hAnsi="Arial" w:cs="Arial"/>
          <w:sz w:val="20"/>
          <w:szCs w:val="20"/>
          <w:lang w:val="es-UY"/>
        </w:rPr>
        <w:t xml:space="preserve"> </w:t>
      </w:r>
      <w:r w:rsidRPr="005A11FF">
        <w:rPr>
          <w:rFonts w:ascii="Arial" w:hAnsi="Arial" w:cs="Arial"/>
          <w:sz w:val="20"/>
          <w:szCs w:val="20"/>
          <w:lang w:val="es-UY"/>
        </w:rPr>
        <w:t>e incluye la comprobación estadística de los ensayos de control de calidad.</w:t>
      </w:r>
    </w:p>
    <w:p w14:paraId="69B5F762"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Esta tarea comprenderá, además, la verificación de la calibración de los equipos usados por el equipo de autocontrol, la idoneidad del personal, el cumplimiento de las normas de ensayo, de los pliegos de condiciones técnicas, de las frecuencias de ensayo y de los criterios de aceptación y rechazo de los materiales, procesos y productos terminados.</w:t>
      </w:r>
    </w:p>
    <w:p w14:paraId="04E05454"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Supervisor de Obra realizará informes mensuales al Órgano de Control de la contratante, y a la empresa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acerca de la </w:t>
      </w:r>
      <w:r w:rsidRPr="005A11FF">
        <w:rPr>
          <w:rFonts w:ascii="Arial" w:hAnsi="Arial" w:cs="Arial"/>
          <w:sz w:val="20"/>
          <w:szCs w:val="20"/>
          <w:lang w:val="es-UY"/>
        </w:rPr>
        <w:lastRenderedPageBreak/>
        <w:t>forma en que se realiza el autocontrol especificando las posibles desviaciones, errores y omisiones, su gravedad y las medidas que se han tomado o que se deberán tomar para corregirlas.</w:t>
      </w:r>
    </w:p>
    <w:p w14:paraId="2D0FD94F"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6" w:name="_Toc400636194"/>
      <w:r w:rsidRPr="00D03FA1">
        <w:rPr>
          <w:rFonts w:ascii="Arial" w:eastAsia="Calibri" w:hAnsi="Arial" w:cs="Arial"/>
          <w:caps/>
          <w:sz w:val="21"/>
          <w:szCs w:val="21"/>
          <w:lang w:val="es-ES_tradnl" w:eastAsia="es-ES"/>
        </w:rPr>
        <w:t>Evaluación trimestral del Nivel de Servicio al Usuario (NSU) de cada tramo que compone el circuito.</w:t>
      </w:r>
      <w:bookmarkEnd w:id="936"/>
    </w:p>
    <w:p w14:paraId="5410676B"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En el correr de los primeros cinco días del mes que corresponda, la supervisión deberá evaluar la totalidad del circuito siguiendo la metodología establecida en el </w:t>
      </w:r>
      <w:hyperlink w:anchor="A_9" w:history="1">
        <w:r w:rsidRPr="00507A68">
          <w:rPr>
            <w:rStyle w:val="Hipervnculo"/>
            <w:rFonts w:ascii="Arial" w:hAnsi="Arial" w:cs="Arial"/>
            <w:sz w:val="20"/>
            <w:szCs w:val="20"/>
            <w:lang w:val="es-UY"/>
          </w:rPr>
          <w:t>Anexo IX</w:t>
        </w:r>
      </w:hyperlink>
      <w:r w:rsidRPr="005A11FF">
        <w:rPr>
          <w:rFonts w:ascii="Arial" w:hAnsi="Arial" w:cs="Arial"/>
          <w:sz w:val="20"/>
          <w:szCs w:val="20"/>
          <w:lang w:val="es-UY"/>
        </w:rPr>
        <w:t xml:space="preserve">. </w:t>
      </w:r>
    </w:p>
    <w:p w14:paraId="145C44C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Luego, siguiendo lo establecido en el CAPITULO XIV</w:t>
      </w:r>
      <w:r w:rsidR="00507A68">
        <w:rPr>
          <w:rFonts w:ascii="Arial" w:hAnsi="Arial" w:cs="Arial"/>
          <w:sz w:val="20"/>
          <w:szCs w:val="20"/>
          <w:lang w:val="es-UY"/>
        </w:rPr>
        <w:t>,</w:t>
      </w:r>
      <w:r w:rsidRPr="005A11FF">
        <w:rPr>
          <w:rFonts w:ascii="Arial" w:hAnsi="Arial" w:cs="Arial"/>
          <w:sz w:val="20"/>
          <w:szCs w:val="20"/>
          <w:lang w:val="es-UY"/>
        </w:rPr>
        <w:t xml:space="preserve"> calculará el Coeficiente Técnico de Disponibilidad de cada tramo y las Faltas no Críticas y Críticas que afectarán la liquidación anual del Pago Por Disponibilidad.</w:t>
      </w:r>
    </w:p>
    <w:p w14:paraId="32C8002E"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Si como resultado de la evaluación se hubieran detectado incumplimientos a los estándares, comenzarán a correr los plazos de respuesta con que cuenta el Contratista</w:t>
      </w:r>
      <w:r w:rsidR="00B14DCC">
        <w:rPr>
          <w:rFonts w:ascii="Arial" w:hAnsi="Arial" w:cs="Arial"/>
          <w:sz w:val="20"/>
          <w:szCs w:val="20"/>
          <w:lang w:val="es-UY"/>
        </w:rPr>
        <w:t xml:space="preserve"> </w:t>
      </w:r>
      <w:r w:rsidRPr="005A11FF">
        <w:rPr>
          <w:rFonts w:ascii="Arial" w:hAnsi="Arial" w:cs="Arial"/>
          <w:sz w:val="20"/>
          <w:szCs w:val="20"/>
          <w:lang w:val="es-UY"/>
        </w:rPr>
        <w:t>para levantar el incumplimiento.</w:t>
      </w:r>
    </w:p>
    <w:p w14:paraId="3DBBB5C9"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Supervisor de Obra comunicará los resultados detallados de estas evaluaciones a la empresa Contratista</w:t>
      </w:r>
      <w:r w:rsidR="00B14DCC">
        <w:rPr>
          <w:rFonts w:ascii="Arial" w:hAnsi="Arial" w:cs="Arial"/>
          <w:sz w:val="20"/>
          <w:szCs w:val="20"/>
          <w:lang w:val="es-UY"/>
        </w:rPr>
        <w:t xml:space="preserve"> </w:t>
      </w:r>
      <w:r w:rsidRPr="005A11FF">
        <w:rPr>
          <w:rFonts w:ascii="Arial" w:hAnsi="Arial" w:cs="Arial"/>
          <w:sz w:val="20"/>
          <w:szCs w:val="20"/>
          <w:lang w:val="es-UY"/>
        </w:rPr>
        <w:t>y al Órgano de Control de la Contratante dentro de los cinco días siguientes de realizada la evaluación.</w:t>
      </w:r>
    </w:p>
    <w:p w14:paraId="6539A806"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7" w:name="_Toc400636195"/>
      <w:r w:rsidRPr="00D03FA1">
        <w:rPr>
          <w:rFonts w:ascii="Arial" w:eastAsia="Calibri" w:hAnsi="Arial" w:cs="Arial"/>
          <w:caps/>
          <w:sz w:val="21"/>
          <w:szCs w:val="21"/>
          <w:lang w:val="es-ES_tradnl" w:eastAsia="es-ES"/>
        </w:rPr>
        <w:lastRenderedPageBreak/>
        <w:t>Evaluación anual del IRI de cada tramo que compone el circuito.</w:t>
      </w:r>
      <w:bookmarkEnd w:id="937"/>
    </w:p>
    <w:p w14:paraId="6FEFDD5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realizará la evaluación del IRI y de acuerdo a su resultado, siguiendo lo establecido en el CAPITULO XIV calculará, si las hubiere, las Faltas no Críticas y Críticas que afectarán la liquidación anual del Pago Por Disponibilidad e informará de todo lo actuado a la empresa Contratista, en un plazo de diez días hábiles.</w:t>
      </w:r>
    </w:p>
    <w:p w14:paraId="600C74A1" w14:textId="77777777" w:rsidR="005A11FF" w:rsidRPr="00D03FA1" w:rsidRDefault="005A11FF" w:rsidP="009A58E0">
      <w:pPr>
        <w:pStyle w:val="Prrafodelista"/>
        <w:numPr>
          <w:ilvl w:val="0"/>
          <w:numId w:val="122"/>
        </w:numPr>
        <w:rPr>
          <w:rFonts w:ascii="Arial" w:eastAsia="Calibri" w:hAnsi="Arial" w:cs="Arial"/>
          <w:caps/>
          <w:sz w:val="21"/>
          <w:szCs w:val="21"/>
          <w:lang w:val="es-ES_tradnl" w:eastAsia="es-ES"/>
        </w:rPr>
      </w:pPr>
      <w:bookmarkStart w:id="938" w:name="_Toc400636196"/>
      <w:r w:rsidRPr="00D03FA1">
        <w:rPr>
          <w:rFonts w:ascii="Arial" w:eastAsia="Calibri" w:hAnsi="Arial" w:cs="Arial"/>
          <w:caps/>
          <w:sz w:val="21"/>
          <w:szCs w:val="21"/>
          <w:lang w:val="es-ES_tradnl" w:eastAsia="es-ES"/>
        </w:rPr>
        <w:t>Informe anual del cumplimiento de las obligaciones respecto de la NSU y el IRI.</w:t>
      </w:r>
      <w:bookmarkEnd w:id="938"/>
    </w:p>
    <w:p w14:paraId="58E32CB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Como resultado de las cuatro evaluaciones trimestrales del Nivel de Servicio al Usuario y de la evaluación anual del IRI el Contratista</w:t>
      </w:r>
      <w:r w:rsidR="00B14DCC">
        <w:rPr>
          <w:rFonts w:ascii="Arial" w:hAnsi="Arial" w:cs="Arial"/>
          <w:sz w:val="20"/>
          <w:szCs w:val="20"/>
          <w:lang w:val="es-UY"/>
        </w:rPr>
        <w:t xml:space="preserve"> </w:t>
      </w:r>
      <w:r w:rsidRPr="005A11FF">
        <w:rPr>
          <w:rFonts w:ascii="Arial" w:hAnsi="Arial" w:cs="Arial"/>
          <w:sz w:val="20"/>
          <w:szCs w:val="20"/>
          <w:lang w:val="es-UY"/>
        </w:rPr>
        <w:t>puede haber acumulado un cierto número de Faltas no Críticas y Críticas.</w:t>
      </w:r>
    </w:p>
    <w:p w14:paraId="1E37355C"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La Supervisión de Obra realizará un detallado informe anual dirigido al Órgano de Control de la contratante.</w:t>
      </w:r>
    </w:p>
    <w:p w14:paraId="4706CBD6"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documento, además de las consideraciones que estime oportunas, deberá informar acerca del cumplimiento de la empresa Contratista</w:t>
      </w:r>
      <w:r w:rsidR="00B14DCC">
        <w:rPr>
          <w:rFonts w:ascii="Arial" w:hAnsi="Arial" w:cs="Arial"/>
          <w:sz w:val="20"/>
          <w:szCs w:val="20"/>
          <w:lang w:val="es-UY"/>
        </w:rPr>
        <w:t xml:space="preserve"> </w:t>
      </w:r>
      <w:r w:rsidRPr="005A11FF">
        <w:rPr>
          <w:rFonts w:ascii="Arial" w:hAnsi="Arial" w:cs="Arial"/>
          <w:sz w:val="20"/>
          <w:szCs w:val="20"/>
          <w:lang w:val="es-UY"/>
        </w:rPr>
        <w:t>en relación al autocontrol, a los valores obtenidos de NSU y a las mediciones de IRI y en aplicación de lo establecido en el CAPITULO XIV realizará la liquidación anual definitiva correspondiente al Pago Por Disponibilidad.</w:t>
      </w:r>
    </w:p>
    <w:p w14:paraId="6AC69A2B" w14:textId="77777777" w:rsidR="005A11FF" w:rsidRPr="00CC6530" w:rsidRDefault="005A11FF" w:rsidP="004C3C3B">
      <w:pPr>
        <w:pStyle w:val="T1"/>
        <w:numPr>
          <w:ilvl w:val="0"/>
          <w:numId w:val="90"/>
        </w:numPr>
        <w:outlineLvl w:val="2"/>
      </w:pPr>
      <w:bookmarkStart w:id="939" w:name="_Toc400636197"/>
      <w:bookmarkStart w:id="940" w:name="_Toc468288085"/>
      <w:bookmarkStart w:id="941" w:name="_Toc496266679"/>
      <w:bookmarkStart w:id="942" w:name="Lit_79"/>
      <w:r w:rsidRPr="00CC6530">
        <w:lastRenderedPageBreak/>
        <w:t>ÓRGANO DE CONTROL DE LA CONTRATANTE</w:t>
      </w:r>
      <w:bookmarkEnd w:id="939"/>
      <w:bookmarkEnd w:id="940"/>
      <w:bookmarkEnd w:id="941"/>
    </w:p>
    <w:bookmarkEnd w:id="942"/>
    <w:p w14:paraId="6015641F"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grupo de técnicos que conformará el Órgano de Control ejercerá las funciones que se establecen a continuación.</w:t>
      </w:r>
    </w:p>
    <w:p w14:paraId="2FAEE6E2" w14:textId="4415711C" w:rsidR="00A66B70" w:rsidRPr="00FF66D2" w:rsidRDefault="00A66B70" w:rsidP="005A11FF">
      <w:pPr>
        <w:spacing w:after="120"/>
        <w:jc w:val="both"/>
        <w:rPr>
          <w:rFonts w:ascii="Arial" w:hAnsi="Arial" w:cs="Arial"/>
          <w:sz w:val="16"/>
          <w:szCs w:val="20"/>
          <w:lang w:val="es-UY"/>
        </w:rPr>
      </w:pPr>
      <w:r w:rsidRPr="00FF66D2">
        <w:rPr>
          <w:rFonts w:ascii="Arial" w:hAnsi="Arial" w:cs="Arial"/>
          <w:sz w:val="20"/>
          <w:szCs w:val="24"/>
        </w:rPr>
        <w:t>Asesorará necesariamente, en los casos en que surjan discrepancias técnicas en la interpretación de las especificaciones contenidas en este pliego entre la supervisión y el equipo de autocontrol de la empresa contratista</w:t>
      </w:r>
      <w:r w:rsidR="00AA34FB">
        <w:rPr>
          <w:rFonts w:ascii="Arial" w:hAnsi="Arial" w:cs="Arial"/>
          <w:sz w:val="20"/>
          <w:szCs w:val="24"/>
        </w:rPr>
        <w:t>.</w:t>
      </w:r>
    </w:p>
    <w:p w14:paraId="63DC3BF9" w14:textId="77777777" w:rsidR="00A66B70" w:rsidRPr="005A11FF" w:rsidRDefault="00A66B70" w:rsidP="005A11FF">
      <w:pPr>
        <w:spacing w:after="120"/>
        <w:jc w:val="both"/>
        <w:rPr>
          <w:rFonts w:ascii="Arial" w:hAnsi="Arial" w:cs="Arial"/>
          <w:sz w:val="20"/>
          <w:szCs w:val="20"/>
          <w:lang w:val="es-UY"/>
        </w:rPr>
      </w:pPr>
    </w:p>
    <w:p w14:paraId="12F5B16D" w14:textId="77777777" w:rsidR="005A11FF" w:rsidRPr="005A11FF" w:rsidRDefault="001862F2" w:rsidP="009A58E0">
      <w:pPr>
        <w:pStyle w:val="Prrafodelista"/>
        <w:numPr>
          <w:ilvl w:val="0"/>
          <w:numId w:val="122"/>
        </w:numPr>
        <w:rPr>
          <w:rFonts w:ascii="Arial" w:eastAsia="Calibri" w:hAnsi="Arial" w:cs="Arial"/>
          <w:caps/>
          <w:sz w:val="21"/>
          <w:szCs w:val="21"/>
          <w:lang w:val="es-ES_tradnl" w:eastAsia="es-ES"/>
        </w:rPr>
      </w:pPr>
      <w:bookmarkStart w:id="943" w:name="_Toc400636199"/>
      <w:r>
        <w:rPr>
          <w:rFonts w:ascii="Arial" w:eastAsia="Calibri" w:hAnsi="Arial" w:cs="Arial"/>
          <w:caps/>
          <w:sz w:val="21"/>
          <w:szCs w:val="21"/>
          <w:lang w:val="es-ES_tradnl" w:eastAsia="es-ES"/>
        </w:rPr>
        <w:t>Informe</w:t>
      </w:r>
      <w:r w:rsidR="00C172B8">
        <w:rPr>
          <w:rFonts w:ascii="Arial" w:eastAsia="Calibri" w:hAnsi="Arial" w:cs="Arial"/>
          <w:caps/>
          <w:sz w:val="21"/>
          <w:szCs w:val="21"/>
          <w:lang w:val="es-ES_tradnl" w:eastAsia="es-ES"/>
        </w:rPr>
        <w:t>S</w:t>
      </w:r>
      <w:r>
        <w:rPr>
          <w:rFonts w:ascii="Arial" w:eastAsia="Calibri" w:hAnsi="Arial" w:cs="Arial"/>
          <w:caps/>
          <w:sz w:val="21"/>
          <w:szCs w:val="21"/>
          <w:lang w:val="es-ES_tradnl" w:eastAsia="es-ES"/>
        </w:rPr>
        <w:t xml:space="preserve"> </w:t>
      </w:r>
      <w:r w:rsidR="005A11FF" w:rsidRPr="005A11FF">
        <w:rPr>
          <w:rFonts w:ascii="Arial" w:eastAsia="Calibri" w:hAnsi="Arial" w:cs="Arial"/>
          <w:caps/>
          <w:sz w:val="21"/>
          <w:szCs w:val="21"/>
          <w:lang w:val="es-ES_tradnl" w:eastAsia="es-ES"/>
        </w:rPr>
        <w:t>del cumplimiento del contrato</w:t>
      </w:r>
      <w:bookmarkEnd w:id="943"/>
    </w:p>
    <w:p w14:paraId="76A460A3" w14:textId="77777777" w:rsidR="001862F2" w:rsidRDefault="005A11FF" w:rsidP="001862F2">
      <w:pPr>
        <w:spacing w:after="120"/>
        <w:jc w:val="both"/>
        <w:rPr>
          <w:rFonts w:ascii="Arial" w:hAnsi="Arial" w:cs="Arial"/>
          <w:sz w:val="20"/>
          <w:szCs w:val="20"/>
          <w:lang w:val="es-UY"/>
        </w:rPr>
      </w:pPr>
      <w:r w:rsidRPr="001F4980">
        <w:rPr>
          <w:rFonts w:ascii="Arial" w:hAnsi="Arial" w:cs="Arial"/>
          <w:sz w:val="20"/>
          <w:szCs w:val="20"/>
          <w:lang w:val="es-UY"/>
        </w:rPr>
        <w:t>El Órgano de Control realizará un detallado informe anual dirigido a las autoridades del MTOP, al Fiduciario encargado del pago, a la OPP y a la Unidad de Proyectos de PPP del MEF</w:t>
      </w:r>
      <w:r w:rsidR="00C172B8" w:rsidRPr="001F4980">
        <w:rPr>
          <w:rFonts w:ascii="Arial" w:hAnsi="Arial" w:cs="Arial"/>
          <w:sz w:val="20"/>
          <w:szCs w:val="20"/>
          <w:lang w:val="es-UY"/>
        </w:rPr>
        <w:t>.</w:t>
      </w:r>
    </w:p>
    <w:p w14:paraId="1B1C3658" w14:textId="77777777" w:rsid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En este documento, además de las consideraciones que estime oportunas, deberá informar acerca del cumplimiento de la empresa Contratista</w:t>
      </w:r>
      <w:r w:rsidR="00B14DCC">
        <w:rPr>
          <w:rFonts w:ascii="Arial" w:hAnsi="Arial" w:cs="Arial"/>
          <w:sz w:val="20"/>
          <w:szCs w:val="20"/>
          <w:lang w:val="es-UY"/>
        </w:rPr>
        <w:t xml:space="preserve"> </w:t>
      </w:r>
      <w:r w:rsidRPr="005A11FF">
        <w:rPr>
          <w:rFonts w:ascii="Arial" w:hAnsi="Arial" w:cs="Arial"/>
          <w:sz w:val="20"/>
          <w:szCs w:val="20"/>
          <w:lang w:val="es-UY"/>
        </w:rPr>
        <w:t>en relación al autocontrol, a los valores obtenidos de NSU y a las mediciones de IRI y en aplicación de lo establecido en el CAPITULO XIV, realizará la liquidación anual definitiva correspondiente al Pago Por Disponibilidad.</w:t>
      </w:r>
    </w:p>
    <w:p w14:paraId="245D7B74"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4" w:name="_Toc400636200"/>
      <w:r w:rsidRPr="005A11FF">
        <w:rPr>
          <w:rFonts w:ascii="Arial" w:eastAsia="Calibri" w:hAnsi="Arial" w:cs="Arial"/>
          <w:caps/>
          <w:sz w:val="21"/>
          <w:szCs w:val="21"/>
          <w:lang w:val="es-ES_tradnl" w:eastAsia="es-ES"/>
        </w:rPr>
        <w:t>Informar oportunamente a las autoridades de la contratante</w:t>
      </w:r>
      <w:bookmarkEnd w:id="944"/>
    </w:p>
    <w:p w14:paraId="3155CE6F" w14:textId="77777777" w:rsidR="00FC13C7" w:rsidRDefault="005A11FF" w:rsidP="00FC13C7">
      <w:pPr>
        <w:spacing w:after="120"/>
        <w:jc w:val="both"/>
        <w:rPr>
          <w:rFonts w:ascii="Arial" w:hAnsi="Arial" w:cs="Arial"/>
          <w:sz w:val="20"/>
          <w:szCs w:val="20"/>
          <w:lang w:val="es-UY"/>
        </w:rPr>
      </w:pPr>
      <w:r w:rsidRPr="005A11FF">
        <w:rPr>
          <w:rFonts w:ascii="Arial" w:hAnsi="Arial" w:cs="Arial"/>
          <w:sz w:val="20"/>
          <w:szCs w:val="20"/>
          <w:lang w:val="es-UY"/>
        </w:rPr>
        <w:lastRenderedPageBreak/>
        <w:t>El Órgano de Control de la Contr</w:t>
      </w:r>
      <w:r w:rsidR="00C172B8">
        <w:rPr>
          <w:rFonts w:ascii="Arial" w:hAnsi="Arial" w:cs="Arial"/>
          <w:sz w:val="20"/>
          <w:szCs w:val="20"/>
          <w:lang w:val="es-UY"/>
        </w:rPr>
        <w:t>atante realizará un informe semestral</w:t>
      </w:r>
      <w:r w:rsidRPr="005A11FF">
        <w:rPr>
          <w:rFonts w:ascii="Arial" w:hAnsi="Arial" w:cs="Arial"/>
          <w:sz w:val="20"/>
          <w:szCs w:val="20"/>
          <w:lang w:val="es-UY"/>
        </w:rPr>
        <w:t xml:space="preserve"> dirigido a las autoridades del MTOP, a la OPP, y a la Unidad de Proyectos de PPP del MEF</w:t>
      </w:r>
      <w:r w:rsidR="00FC13C7" w:rsidRPr="001F4980">
        <w:rPr>
          <w:rFonts w:ascii="Arial" w:hAnsi="Arial" w:cs="Arial"/>
          <w:sz w:val="20"/>
          <w:szCs w:val="20"/>
          <w:lang w:val="es-UY"/>
        </w:rPr>
        <w:t xml:space="preserve">, según lo establecido </w:t>
      </w:r>
      <w:r w:rsidR="001F4980" w:rsidRPr="001F4980">
        <w:rPr>
          <w:rFonts w:ascii="Arial" w:hAnsi="Arial" w:cs="Arial"/>
          <w:sz w:val="20"/>
          <w:szCs w:val="20"/>
          <w:lang w:val="es-UY"/>
        </w:rPr>
        <w:t>en el</w:t>
      </w:r>
      <w:r w:rsidR="00FC13C7" w:rsidRPr="001F4980">
        <w:rPr>
          <w:rFonts w:ascii="Arial" w:hAnsi="Arial" w:cs="Arial"/>
          <w:sz w:val="20"/>
          <w:szCs w:val="20"/>
          <w:lang w:val="es-UY"/>
        </w:rPr>
        <w:t xml:space="preserve"> artículo </w:t>
      </w:r>
      <w:hyperlink r:id="rId114" w:history="1">
        <w:r w:rsidR="00FC13C7" w:rsidRPr="001F4980">
          <w:rPr>
            <w:rStyle w:val="Hipervnculo"/>
            <w:rFonts w:ascii="Arial" w:hAnsi="Arial" w:cs="Arial"/>
            <w:sz w:val="20"/>
            <w:szCs w:val="20"/>
            <w:lang w:val="es-UY"/>
          </w:rPr>
          <w:t>66</w:t>
        </w:r>
      </w:hyperlink>
      <w:r w:rsidR="00FC13C7" w:rsidRPr="001F4980">
        <w:rPr>
          <w:rFonts w:ascii="Arial" w:hAnsi="Arial" w:cs="Arial"/>
          <w:sz w:val="20"/>
          <w:szCs w:val="20"/>
          <w:lang w:val="es-UY"/>
        </w:rPr>
        <w:t xml:space="preserve"> y siguientes del decreto </w:t>
      </w:r>
      <w:hyperlink r:id="rId115" w:history="1">
        <w:r w:rsidR="00FC13C7" w:rsidRPr="00375150">
          <w:rPr>
            <w:rStyle w:val="Hipervnculo"/>
            <w:rFonts w:ascii="Arial" w:hAnsi="Arial" w:cs="Arial"/>
            <w:sz w:val="20"/>
            <w:szCs w:val="20"/>
            <w:lang w:val="es-UY"/>
          </w:rPr>
          <w:t>17/012</w:t>
        </w:r>
      </w:hyperlink>
      <w:r w:rsidR="00FC13C7" w:rsidRPr="001F4980">
        <w:rPr>
          <w:rFonts w:ascii="Arial" w:hAnsi="Arial" w:cs="Arial"/>
          <w:sz w:val="20"/>
          <w:szCs w:val="20"/>
          <w:lang w:val="es-UY"/>
        </w:rPr>
        <w:t xml:space="preserve"> de </w:t>
      </w:r>
      <w:r w:rsidR="00B15093">
        <w:rPr>
          <w:rFonts w:ascii="Arial" w:hAnsi="Arial" w:cs="Arial"/>
          <w:sz w:val="20"/>
          <w:szCs w:val="20"/>
          <w:lang w:val="es-UY"/>
        </w:rPr>
        <w:t>2</w:t>
      </w:r>
      <w:r w:rsidR="00FC13C7" w:rsidRPr="001F4980">
        <w:rPr>
          <w:rFonts w:ascii="Arial" w:hAnsi="Arial" w:cs="Arial"/>
          <w:sz w:val="20"/>
          <w:szCs w:val="20"/>
          <w:lang w:val="es-UY"/>
        </w:rPr>
        <w:t xml:space="preserve">6 de </w:t>
      </w:r>
      <w:r w:rsidR="00B15093">
        <w:rPr>
          <w:rFonts w:ascii="Arial" w:hAnsi="Arial" w:cs="Arial"/>
          <w:sz w:val="20"/>
          <w:szCs w:val="20"/>
          <w:lang w:val="es-UY"/>
        </w:rPr>
        <w:t>enero</w:t>
      </w:r>
      <w:r w:rsidR="00B15093" w:rsidRPr="001F4980">
        <w:rPr>
          <w:rFonts w:ascii="Arial" w:hAnsi="Arial" w:cs="Arial"/>
          <w:sz w:val="20"/>
          <w:szCs w:val="20"/>
          <w:lang w:val="es-UY"/>
        </w:rPr>
        <w:t xml:space="preserve"> </w:t>
      </w:r>
      <w:r w:rsidR="00FC13C7" w:rsidRPr="001F4980">
        <w:rPr>
          <w:rFonts w:ascii="Arial" w:hAnsi="Arial" w:cs="Arial"/>
          <w:sz w:val="20"/>
          <w:szCs w:val="20"/>
          <w:lang w:val="es-UY"/>
        </w:rPr>
        <w:t>de 2012, normas complementarias y modificativas y a lo establecido en la “Guía para presentación de informes de control y seguimiento”</w:t>
      </w:r>
      <w:r w:rsidR="00C039A1">
        <w:rPr>
          <w:rFonts w:ascii="Arial" w:hAnsi="Arial" w:cs="Arial"/>
          <w:sz w:val="20"/>
          <w:szCs w:val="20"/>
          <w:lang w:val="es-UY"/>
        </w:rPr>
        <w:t xml:space="preserve"> publicada en</w:t>
      </w:r>
      <w:r w:rsidR="00D045B4">
        <w:rPr>
          <w:rFonts w:ascii="Arial" w:hAnsi="Arial" w:cs="Arial"/>
          <w:sz w:val="20"/>
          <w:szCs w:val="20"/>
          <w:lang w:val="es-UY"/>
        </w:rPr>
        <w:t xml:space="preserve"> </w:t>
      </w:r>
      <w:hyperlink r:id="rId116" w:history="1">
        <w:r w:rsidR="00FC13C7" w:rsidRPr="00C60422">
          <w:rPr>
            <w:rStyle w:val="Hipervnculo"/>
            <w:rFonts w:ascii="Arial" w:hAnsi="Arial" w:cs="Arial"/>
            <w:sz w:val="20"/>
            <w:szCs w:val="20"/>
          </w:rPr>
          <w:t>http://ppp.mef.gub.uy/10000/2/areas/guia-de-mejores-practicas-recomendadas.html</w:t>
        </w:r>
      </w:hyperlink>
      <w:r w:rsidR="00FC13C7" w:rsidRPr="00C039A1">
        <w:rPr>
          <w:rFonts w:ascii="Arial" w:hAnsi="Arial" w:cs="Arial"/>
          <w:sz w:val="20"/>
          <w:szCs w:val="20"/>
          <w:lang w:val="es-UY"/>
        </w:rPr>
        <w:t>.</w:t>
      </w:r>
    </w:p>
    <w:p w14:paraId="43DD4221" w14:textId="77777777" w:rsidR="005A11FF" w:rsidRPr="005A11FF" w:rsidRDefault="00FC13C7" w:rsidP="005A11FF">
      <w:pPr>
        <w:spacing w:after="120"/>
        <w:jc w:val="both"/>
        <w:rPr>
          <w:rFonts w:ascii="Arial" w:hAnsi="Arial" w:cs="Arial"/>
          <w:sz w:val="20"/>
          <w:szCs w:val="20"/>
          <w:lang w:val="es-UY"/>
        </w:rPr>
      </w:pPr>
      <w:r>
        <w:rPr>
          <w:rFonts w:ascii="Arial" w:hAnsi="Arial" w:cs="Arial"/>
          <w:sz w:val="20"/>
          <w:szCs w:val="20"/>
          <w:lang w:val="es-UY"/>
        </w:rPr>
        <w:t>El informe contendrá</w:t>
      </w:r>
      <w:r w:rsidR="005A11FF" w:rsidRPr="005A11FF">
        <w:rPr>
          <w:rFonts w:ascii="Arial" w:hAnsi="Arial" w:cs="Arial"/>
          <w:sz w:val="20"/>
          <w:szCs w:val="20"/>
          <w:lang w:val="es-UY"/>
        </w:rPr>
        <w:t>:</w:t>
      </w:r>
    </w:p>
    <w:p w14:paraId="1A3EC29C" w14:textId="77777777" w:rsidR="005A11FF" w:rsidRPr="005A11FF" w:rsidRDefault="005A11FF" w:rsidP="009A58E0">
      <w:pPr>
        <w:numPr>
          <w:ilvl w:val="0"/>
          <w:numId w:val="43"/>
        </w:numPr>
        <w:spacing w:after="120"/>
        <w:jc w:val="both"/>
        <w:rPr>
          <w:rFonts w:ascii="Arial" w:hAnsi="Arial" w:cs="Arial"/>
          <w:sz w:val="20"/>
          <w:szCs w:val="20"/>
          <w:lang w:val="es-UY"/>
        </w:rPr>
      </w:pPr>
      <w:r w:rsidRPr="005A11FF">
        <w:rPr>
          <w:rFonts w:ascii="Arial" w:hAnsi="Arial" w:cs="Arial"/>
          <w:sz w:val="20"/>
          <w:szCs w:val="20"/>
          <w:lang w:val="es-UY"/>
        </w:rPr>
        <w:t>una evaluación acerca del funcionamiento del contrato mencionando y si los hubiere los problemas e incumplimientos que hayan afectado al Contratista</w:t>
      </w:r>
      <w:r w:rsidR="00B14DCC">
        <w:rPr>
          <w:rFonts w:ascii="Arial" w:hAnsi="Arial" w:cs="Arial"/>
          <w:sz w:val="20"/>
          <w:szCs w:val="20"/>
          <w:lang w:val="es-UY"/>
        </w:rPr>
        <w:t xml:space="preserve"> </w:t>
      </w:r>
      <w:r w:rsidRPr="005A11FF">
        <w:rPr>
          <w:rFonts w:ascii="Arial" w:hAnsi="Arial" w:cs="Arial"/>
          <w:sz w:val="20"/>
          <w:szCs w:val="20"/>
          <w:lang w:val="es-UY"/>
        </w:rPr>
        <w:t>advirtiendo, si fuera el caso, de las dificultades que de persistir estos hechos podrían acarrear para la Contratante.</w:t>
      </w:r>
    </w:p>
    <w:p w14:paraId="74BC8D3F" w14:textId="77777777" w:rsidR="005A11FF" w:rsidRDefault="005A11FF" w:rsidP="009A58E0">
      <w:pPr>
        <w:numPr>
          <w:ilvl w:val="0"/>
          <w:numId w:val="43"/>
        </w:numPr>
        <w:spacing w:after="120"/>
        <w:jc w:val="both"/>
        <w:rPr>
          <w:rFonts w:ascii="Arial" w:hAnsi="Arial" w:cs="Arial"/>
          <w:sz w:val="20"/>
          <w:szCs w:val="20"/>
          <w:lang w:val="es-UY"/>
        </w:rPr>
      </w:pPr>
      <w:r w:rsidRPr="005A11FF">
        <w:rPr>
          <w:rFonts w:ascii="Arial" w:hAnsi="Arial" w:cs="Arial"/>
          <w:sz w:val="20"/>
          <w:szCs w:val="20"/>
          <w:lang w:val="es-UY"/>
        </w:rPr>
        <w:t>el informe anual del supervisor de obra según l</w:t>
      </w:r>
      <w:r w:rsidR="00EE6A34">
        <w:rPr>
          <w:rFonts w:ascii="Arial" w:hAnsi="Arial" w:cs="Arial"/>
          <w:sz w:val="20"/>
          <w:szCs w:val="20"/>
          <w:lang w:val="es-UY"/>
        </w:rPr>
        <w:t>o establecido en la cláusula 78</w:t>
      </w:r>
      <w:r w:rsidRPr="005A11FF">
        <w:rPr>
          <w:rFonts w:ascii="Arial" w:hAnsi="Arial" w:cs="Arial"/>
          <w:sz w:val="20"/>
          <w:szCs w:val="20"/>
          <w:lang w:val="es-UY"/>
        </w:rPr>
        <w:t>.</w:t>
      </w:r>
    </w:p>
    <w:p w14:paraId="00839B08" w14:textId="77777777" w:rsidR="00D03FA1" w:rsidRDefault="00D03FA1" w:rsidP="00D03FA1">
      <w:pPr>
        <w:spacing w:after="120"/>
        <w:ind w:left="720"/>
        <w:jc w:val="both"/>
        <w:rPr>
          <w:rFonts w:ascii="Arial" w:hAnsi="Arial" w:cs="Arial"/>
          <w:sz w:val="20"/>
          <w:szCs w:val="20"/>
          <w:lang w:val="es-UY"/>
        </w:rPr>
      </w:pPr>
    </w:p>
    <w:p w14:paraId="53DF402C"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5" w:name="_Toc400636201"/>
      <w:r w:rsidRPr="005A11FF">
        <w:rPr>
          <w:rFonts w:ascii="Arial" w:eastAsia="Calibri" w:hAnsi="Arial" w:cs="Arial"/>
          <w:caps/>
          <w:sz w:val="21"/>
          <w:szCs w:val="21"/>
          <w:lang w:val="es-ES_tradnl" w:eastAsia="es-ES"/>
        </w:rPr>
        <w:t>Realizar auditorías al equipo de autocontrol del Contratista</w:t>
      </w:r>
      <w:bookmarkEnd w:id="945"/>
    </w:p>
    <w:p w14:paraId="36ADAFA7"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El Órgano de Control de la Contratante auditará la gestión de autocontrol de la empresa Contratista</w:t>
      </w:r>
      <w:r w:rsidR="00B14DCC">
        <w:rPr>
          <w:rFonts w:ascii="Arial" w:hAnsi="Arial" w:cs="Arial"/>
          <w:sz w:val="20"/>
          <w:szCs w:val="20"/>
          <w:lang w:val="es-UY"/>
        </w:rPr>
        <w:t xml:space="preserve"> </w:t>
      </w:r>
      <w:r w:rsidRPr="005A11FF">
        <w:rPr>
          <w:rFonts w:ascii="Arial" w:hAnsi="Arial" w:cs="Arial"/>
          <w:sz w:val="20"/>
          <w:szCs w:val="20"/>
          <w:lang w:val="es-UY"/>
        </w:rPr>
        <w:t xml:space="preserve">y eventualmente recomendará </w:t>
      </w:r>
      <w:r w:rsidRPr="005A11FF">
        <w:rPr>
          <w:rFonts w:ascii="Arial" w:hAnsi="Arial" w:cs="Arial"/>
          <w:sz w:val="20"/>
          <w:szCs w:val="20"/>
          <w:lang w:val="es-UY"/>
        </w:rPr>
        <w:lastRenderedPageBreak/>
        <w:t>su sustitución si se verificaran las condiciones previstas en el pliego para ese caso.</w:t>
      </w:r>
    </w:p>
    <w:p w14:paraId="40386C8A" w14:textId="77777777" w:rsidR="005A11FF" w:rsidRPr="005A11FF" w:rsidRDefault="005A11FF" w:rsidP="009A58E0">
      <w:pPr>
        <w:pStyle w:val="Prrafodelista"/>
        <w:numPr>
          <w:ilvl w:val="0"/>
          <w:numId w:val="122"/>
        </w:numPr>
        <w:rPr>
          <w:rFonts w:ascii="Arial" w:eastAsia="Calibri" w:hAnsi="Arial" w:cs="Arial"/>
          <w:caps/>
          <w:sz w:val="21"/>
          <w:szCs w:val="21"/>
          <w:lang w:val="es-ES_tradnl" w:eastAsia="es-ES"/>
        </w:rPr>
      </w:pPr>
      <w:bookmarkStart w:id="946" w:name="_Toc400636202"/>
      <w:r w:rsidRPr="005A11FF">
        <w:rPr>
          <w:rFonts w:ascii="Arial" w:eastAsia="Calibri" w:hAnsi="Arial" w:cs="Arial"/>
          <w:caps/>
          <w:sz w:val="21"/>
          <w:szCs w:val="21"/>
          <w:lang w:val="es-ES_tradnl" w:eastAsia="es-ES"/>
        </w:rPr>
        <w:t>Realizar auditorías a la supervisión</w:t>
      </w:r>
      <w:bookmarkEnd w:id="946"/>
    </w:p>
    <w:p w14:paraId="4FA8BFED" w14:textId="77777777" w:rsidR="005A11FF" w:rsidRPr="005A11FF" w:rsidRDefault="005A11FF" w:rsidP="005A11FF">
      <w:pPr>
        <w:spacing w:after="120"/>
        <w:jc w:val="both"/>
        <w:rPr>
          <w:rFonts w:ascii="Arial" w:hAnsi="Arial" w:cs="Arial"/>
          <w:sz w:val="20"/>
          <w:szCs w:val="20"/>
          <w:lang w:val="es-UY"/>
        </w:rPr>
      </w:pPr>
      <w:r w:rsidRPr="005A11FF">
        <w:rPr>
          <w:rFonts w:ascii="Arial" w:hAnsi="Arial" w:cs="Arial"/>
          <w:sz w:val="20"/>
          <w:szCs w:val="20"/>
          <w:lang w:val="es-UY"/>
        </w:rPr>
        <w:t xml:space="preserve">El Órgano de Control de la Contratante podrá auditar la gestión de la supervisión ya sea que esta hubiera sido realizada por personal propio o contratado para tal fin y eventualmente </w:t>
      </w:r>
      <w:r w:rsidRPr="00C560DB">
        <w:rPr>
          <w:rFonts w:ascii="Arial" w:hAnsi="Arial" w:cs="Arial"/>
          <w:sz w:val="20"/>
          <w:szCs w:val="20"/>
          <w:lang w:val="es-UY"/>
        </w:rPr>
        <w:t>recomendará</w:t>
      </w:r>
      <w:r w:rsidRPr="005A11FF">
        <w:rPr>
          <w:rFonts w:ascii="Arial" w:hAnsi="Arial" w:cs="Arial"/>
          <w:sz w:val="20"/>
          <w:szCs w:val="20"/>
          <w:lang w:val="es-UY"/>
        </w:rPr>
        <w:t xml:space="preserve"> su sustitución. </w:t>
      </w:r>
    </w:p>
    <w:p w14:paraId="17D7C01E" w14:textId="77777777" w:rsidR="005A11FF" w:rsidRPr="005A11FF" w:rsidRDefault="005A11FF" w:rsidP="005A11FF">
      <w:pPr>
        <w:keepNext/>
        <w:tabs>
          <w:tab w:val="left" w:pos="720"/>
        </w:tabs>
        <w:spacing w:before="240" w:after="60" w:line="360" w:lineRule="auto"/>
        <w:jc w:val="center"/>
        <w:outlineLvl w:val="1"/>
        <w:rPr>
          <w:rFonts w:ascii="Arial" w:eastAsia="Calibri" w:hAnsi="Arial" w:cs="Arial"/>
          <w:b/>
          <w:bCs/>
          <w:lang w:val="es-ES_tradnl" w:eastAsia="es-ES"/>
        </w:rPr>
        <w:sectPr w:rsidR="005A11FF" w:rsidRPr="005A11FF" w:rsidSect="00B238CC">
          <w:headerReference w:type="even" r:id="rId117"/>
          <w:headerReference w:type="default" r:id="rId118"/>
          <w:footerReference w:type="default" r:id="rId119"/>
          <w:headerReference w:type="first" r:id="rId120"/>
          <w:pgSz w:w="11906" w:h="16838"/>
          <w:pgMar w:top="1560" w:right="1701" w:bottom="1701" w:left="1701" w:header="709" w:footer="709" w:gutter="0"/>
          <w:cols w:space="708"/>
          <w:docGrid w:linePitch="360"/>
        </w:sectPr>
      </w:pPr>
    </w:p>
    <w:bookmarkStart w:id="947" w:name="_Toc396403779"/>
    <w:bookmarkStart w:id="948" w:name="_Toc396404038"/>
    <w:bookmarkStart w:id="949" w:name="_Toc325098543"/>
    <w:bookmarkStart w:id="950" w:name="_Toc340671980"/>
    <w:bookmarkStart w:id="951" w:name="_Toc358821611"/>
    <w:bookmarkEnd w:id="649"/>
    <w:bookmarkEnd w:id="650"/>
    <w:bookmarkEnd w:id="651"/>
    <w:bookmarkEnd w:id="652"/>
    <w:bookmarkEnd w:id="653"/>
    <w:bookmarkEnd w:id="654"/>
    <w:p w14:paraId="4AF1EA48" w14:textId="05877329" w:rsidR="00A3029F" w:rsidRDefault="00802F6A" w:rsidP="005E3541">
      <w:pPr>
        <w:pStyle w:val="CND1"/>
        <w:outlineLvl w:val="9"/>
        <w:rPr>
          <w:color w:val="FFFFFF"/>
          <w:sz w:val="36"/>
          <w:szCs w:val="36"/>
        </w:rPr>
      </w:pPr>
      <w:r>
        <w:rPr>
          <w:noProof/>
          <w:lang w:val="es-UY" w:eastAsia="es-UY"/>
        </w:rPr>
        <w:lastRenderedPageBreak/>
        <mc:AlternateContent>
          <mc:Choice Requires="wps">
            <w:drawing>
              <wp:anchor distT="0" distB="0" distL="114300" distR="114300" simplePos="0" relativeHeight="251660288" behindDoc="1" locked="0" layoutInCell="1" allowOverlap="1" wp14:anchorId="4CF9B637" wp14:editId="66EF4DC5">
                <wp:simplePos x="0" y="0"/>
                <wp:positionH relativeFrom="column">
                  <wp:posOffset>-1244600</wp:posOffset>
                </wp:positionH>
                <wp:positionV relativeFrom="paragraph">
                  <wp:posOffset>-1605280</wp:posOffset>
                </wp:positionV>
                <wp:extent cx="7930515" cy="11257915"/>
                <wp:effectExtent l="0" t="0" r="13335" b="19685"/>
                <wp:wrapNone/>
                <wp:docPr id="102"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0515" cy="11257915"/>
                        </a:xfrm>
                        <a:prstGeom prst="rect">
                          <a:avLst/>
                        </a:prstGeom>
                        <a:solidFill>
                          <a:srgbClr val="404040"/>
                        </a:solidFill>
                        <a:ln w="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BD735" id="Rectangle 495" o:spid="_x0000_s1026" style="position:absolute;margin-left:-98pt;margin-top:-126.4pt;width:624.45pt;height:88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" fillcolor="#404040" strokecolor="white" strokeweight="0"/>
            </w:pict>
          </mc:Fallback>
        </mc:AlternateContent>
      </w:r>
      <w:bookmarkEnd w:id="947"/>
      <w:bookmarkEnd w:id="948"/>
    </w:p>
    <w:p w14:paraId="3DB5AC84" w14:textId="77777777" w:rsidR="00A3029F" w:rsidRDefault="00A3029F" w:rsidP="005E3541">
      <w:pPr>
        <w:pStyle w:val="CND1"/>
        <w:outlineLvl w:val="9"/>
        <w:rPr>
          <w:color w:val="FFFFFF"/>
          <w:sz w:val="36"/>
          <w:szCs w:val="36"/>
        </w:rPr>
      </w:pPr>
    </w:p>
    <w:p w14:paraId="7DA80E0E" w14:textId="77777777" w:rsidR="00A3029F" w:rsidRDefault="00A3029F" w:rsidP="005E3541">
      <w:pPr>
        <w:pStyle w:val="CND1"/>
        <w:outlineLvl w:val="9"/>
        <w:rPr>
          <w:color w:val="FFFFFF"/>
          <w:sz w:val="36"/>
          <w:szCs w:val="36"/>
        </w:rPr>
      </w:pPr>
    </w:p>
    <w:p w14:paraId="33302194" w14:textId="77777777" w:rsidR="00A3029F" w:rsidRDefault="00A3029F" w:rsidP="005E3541">
      <w:pPr>
        <w:pStyle w:val="CND1"/>
        <w:outlineLvl w:val="9"/>
        <w:rPr>
          <w:color w:val="FFFFFF"/>
          <w:sz w:val="36"/>
          <w:szCs w:val="36"/>
        </w:rPr>
      </w:pPr>
    </w:p>
    <w:p w14:paraId="5884F338" w14:textId="77777777" w:rsidR="00A3029F" w:rsidRDefault="00A3029F" w:rsidP="005E3541">
      <w:pPr>
        <w:pStyle w:val="CND1"/>
        <w:outlineLvl w:val="9"/>
        <w:rPr>
          <w:color w:val="FFFFFF"/>
          <w:sz w:val="36"/>
          <w:szCs w:val="36"/>
        </w:rPr>
      </w:pPr>
    </w:p>
    <w:p w14:paraId="7F739DFB" w14:textId="77777777" w:rsidR="00A3029F" w:rsidRDefault="00A3029F" w:rsidP="005E3541">
      <w:pPr>
        <w:pStyle w:val="CND1"/>
        <w:outlineLvl w:val="9"/>
        <w:rPr>
          <w:color w:val="FFFFFF"/>
          <w:sz w:val="36"/>
          <w:szCs w:val="36"/>
        </w:rPr>
      </w:pPr>
    </w:p>
    <w:p w14:paraId="1180A2F1" w14:textId="77777777" w:rsidR="00A3029F" w:rsidRDefault="00A3029F" w:rsidP="005E3541">
      <w:pPr>
        <w:pStyle w:val="CND1"/>
        <w:outlineLvl w:val="9"/>
        <w:rPr>
          <w:color w:val="FFFFFF"/>
          <w:sz w:val="36"/>
          <w:szCs w:val="36"/>
        </w:rPr>
      </w:pPr>
    </w:p>
    <w:p w14:paraId="0EF7BBAA" w14:textId="77777777" w:rsidR="00A3029F" w:rsidRDefault="00A3029F" w:rsidP="005E3541">
      <w:pPr>
        <w:pStyle w:val="CND1"/>
        <w:outlineLvl w:val="9"/>
        <w:rPr>
          <w:color w:val="FFFFFF"/>
          <w:sz w:val="36"/>
          <w:szCs w:val="36"/>
        </w:rPr>
      </w:pPr>
    </w:p>
    <w:p w14:paraId="50E72081" w14:textId="77777777" w:rsidR="00A3029F" w:rsidRDefault="00A3029F" w:rsidP="005E3541">
      <w:pPr>
        <w:pStyle w:val="CND1"/>
        <w:outlineLvl w:val="9"/>
        <w:rPr>
          <w:color w:val="FFFFFF"/>
          <w:sz w:val="36"/>
          <w:szCs w:val="36"/>
        </w:rPr>
      </w:pPr>
    </w:p>
    <w:p w14:paraId="4DD6D419" w14:textId="77777777" w:rsidR="00A3029F" w:rsidRPr="001A68EA" w:rsidRDefault="00A3029F" w:rsidP="005E3541">
      <w:pPr>
        <w:pStyle w:val="CND1"/>
        <w:outlineLvl w:val="9"/>
        <w:rPr>
          <w:color w:val="FFFFFF"/>
          <w:sz w:val="36"/>
          <w:szCs w:val="36"/>
        </w:rPr>
        <w:sectPr w:rsidR="00A3029F" w:rsidRPr="001A68EA" w:rsidSect="00B238CC">
          <w:headerReference w:type="even" r:id="rId121"/>
          <w:headerReference w:type="default" r:id="rId122"/>
          <w:footerReference w:type="default" r:id="rId123"/>
          <w:headerReference w:type="first" r:id="rId124"/>
          <w:pgSz w:w="11906" w:h="16838"/>
          <w:pgMar w:top="2268" w:right="1701" w:bottom="1701" w:left="1701" w:header="709" w:footer="709" w:gutter="0"/>
          <w:cols w:space="708"/>
          <w:vAlign w:val="center"/>
          <w:docGrid w:linePitch="360"/>
        </w:sectPr>
      </w:pPr>
      <w:r w:rsidRPr="001A68EA">
        <w:rPr>
          <w:color w:val="FFFFFF"/>
          <w:sz w:val="36"/>
          <w:szCs w:val="36"/>
        </w:rPr>
        <w:t>ANEXOS</w:t>
      </w:r>
      <w:bookmarkEnd w:id="949"/>
      <w:bookmarkEnd w:id="950"/>
      <w:bookmarkEnd w:id="951"/>
    </w:p>
    <w:p w14:paraId="4A318454" w14:textId="77777777" w:rsidR="00B24E17" w:rsidRPr="001846D9" w:rsidRDefault="00B24E17" w:rsidP="000F5C7C">
      <w:pPr>
        <w:pStyle w:val="T0"/>
        <w:outlineLvl w:val="0"/>
      </w:pPr>
      <w:bookmarkStart w:id="952" w:name="_Toc400636204"/>
      <w:bookmarkStart w:id="953" w:name="_Toc468288087"/>
      <w:bookmarkStart w:id="954" w:name="_Toc496266680"/>
      <w:bookmarkStart w:id="955" w:name="A_1"/>
      <w:bookmarkStart w:id="956" w:name="_Toc400622321"/>
      <w:bookmarkStart w:id="957" w:name="_Toc400629172"/>
      <w:bookmarkStart w:id="958" w:name="_Toc400634116"/>
      <w:bookmarkStart w:id="959" w:name="_Toc400635243"/>
      <w:bookmarkStart w:id="960" w:name="_Toc340671981"/>
      <w:bookmarkStart w:id="961" w:name="_Toc358821612"/>
      <w:r w:rsidRPr="001846D9">
        <w:lastRenderedPageBreak/>
        <w:t xml:space="preserve">ANEXO </w:t>
      </w:r>
      <w:r w:rsidR="00587284" w:rsidRPr="001846D9">
        <w:fldChar w:fldCharType="begin"/>
      </w:r>
      <w:r w:rsidRPr="001846D9">
        <w:instrText xml:space="preserve"> SEQ ANEXO \* ROMAN </w:instrText>
      </w:r>
      <w:r w:rsidR="00587284" w:rsidRPr="001846D9">
        <w:fldChar w:fldCharType="separate"/>
      </w:r>
      <w:r w:rsidR="00B16BDA">
        <w:rPr>
          <w:noProof/>
        </w:rPr>
        <w:t>I</w:t>
      </w:r>
      <w:r w:rsidR="00587284" w:rsidRPr="001846D9">
        <w:fldChar w:fldCharType="end"/>
      </w:r>
      <w:r w:rsidRPr="001846D9">
        <w:t>: DEFINICIÓN DE LA ZONA OBJETO DEL CONTRATO</w:t>
      </w:r>
      <w:bookmarkEnd w:id="952"/>
      <w:bookmarkEnd w:id="953"/>
      <w:bookmarkEnd w:id="954"/>
    </w:p>
    <w:bookmarkEnd w:id="955"/>
    <w:p w14:paraId="0DD9BA14" w14:textId="56585349" w:rsidR="008C4D49" w:rsidRPr="007B4DDF" w:rsidRDefault="0000549D" w:rsidP="007B7A61">
      <w:pPr>
        <w:rPr>
          <w:rFonts w:ascii="Arial" w:hAnsi="Arial"/>
          <w:b/>
          <w:sz w:val="28"/>
        </w:rPr>
      </w:pPr>
      <w:r w:rsidRPr="0000549D">
        <w:rPr>
          <w:noProof/>
          <w:lang w:val="es-UY" w:eastAsia="es-UY"/>
        </w:rPr>
        <w:drawing>
          <wp:inline distT="0" distB="0" distL="0" distR="0" wp14:anchorId="2469C0B5" wp14:editId="0812B6C0">
            <wp:extent cx="8801735" cy="26228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01735" cy="2622872"/>
                    </a:xfrm>
                    <a:prstGeom prst="rect">
                      <a:avLst/>
                    </a:prstGeom>
                    <a:noFill/>
                    <a:ln>
                      <a:noFill/>
                    </a:ln>
                  </pic:spPr>
                </pic:pic>
              </a:graphicData>
            </a:graphic>
          </wp:inline>
        </w:drawing>
      </w:r>
    </w:p>
    <w:p w14:paraId="0C33192C" w14:textId="77777777" w:rsidR="003809E2" w:rsidRPr="007B4DDF" w:rsidRDefault="003809E2" w:rsidP="007B7A61">
      <w:pPr>
        <w:pStyle w:val="T0"/>
        <w:outlineLvl w:val="0"/>
        <w:rPr>
          <w:b w:val="0"/>
          <w:bCs w:val="0"/>
          <w:sz w:val="28"/>
        </w:rPr>
        <w:sectPr w:rsidR="003809E2" w:rsidRPr="007B4DDF" w:rsidSect="00A9394B">
          <w:pgSz w:w="16838" w:h="11906" w:orient="landscape"/>
          <w:pgMar w:top="1701" w:right="1701" w:bottom="1701" w:left="1276" w:header="709" w:footer="709" w:gutter="0"/>
          <w:cols w:space="708"/>
          <w:docGrid w:linePitch="360"/>
        </w:sectPr>
      </w:pPr>
      <w:bookmarkStart w:id="962" w:name="_Toc400636205"/>
      <w:bookmarkStart w:id="963" w:name="_Toc468288088"/>
      <w:bookmarkStart w:id="964" w:name="A_2"/>
    </w:p>
    <w:p w14:paraId="3C2052E9" w14:textId="5E4EB2ED" w:rsidR="00B24E17" w:rsidRPr="001846D9" w:rsidRDefault="00B24E17" w:rsidP="000F5C7C">
      <w:pPr>
        <w:pStyle w:val="T0"/>
        <w:outlineLvl w:val="0"/>
      </w:pPr>
      <w:bookmarkStart w:id="965" w:name="_Toc496266681"/>
      <w:r w:rsidRPr="001846D9">
        <w:lastRenderedPageBreak/>
        <w:t xml:space="preserve">ANEXO </w:t>
      </w:r>
      <w:r w:rsidR="00587284" w:rsidRPr="001846D9">
        <w:fldChar w:fldCharType="begin"/>
      </w:r>
      <w:r w:rsidRPr="001846D9">
        <w:instrText xml:space="preserve"> SEQ ANEXO \* ROMAN </w:instrText>
      </w:r>
      <w:r w:rsidR="00587284" w:rsidRPr="001846D9">
        <w:fldChar w:fldCharType="separate"/>
      </w:r>
      <w:r w:rsidR="00B16BDA">
        <w:rPr>
          <w:noProof/>
        </w:rPr>
        <w:t>II</w:t>
      </w:r>
      <w:r w:rsidR="00587284" w:rsidRPr="001846D9">
        <w:fldChar w:fldCharType="end"/>
      </w:r>
      <w:r w:rsidRPr="001846D9">
        <w:t>: MODELO DE PROPUESTA ECONÓMICA</w:t>
      </w:r>
      <w:bookmarkEnd w:id="962"/>
      <w:bookmarkEnd w:id="963"/>
      <w:bookmarkEnd w:id="965"/>
    </w:p>
    <w:bookmarkEnd w:id="964"/>
    <w:p w14:paraId="3F1982F2" w14:textId="77777777" w:rsidR="00B24E17" w:rsidRPr="007B4DDF" w:rsidRDefault="00B24E17" w:rsidP="009A58E0">
      <w:pPr>
        <w:pStyle w:val="Prrafodelista"/>
        <w:numPr>
          <w:ilvl w:val="0"/>
          <w:numId w:val="135"/>
        </w:numPr>
        <w:jc w:val="both"/>
        <w:rPr>
          <w:rFonts w:ascii="Arial" w:hAnsi="Arial"/>
          <w:caps/>
          <w:sz w:val="20"/>
          <w:lang w:val="es-UY"/>
        </w:rPr>
      </w:pPr>
      <w:r w:rsidRPr="007B4DDF">
        <w:rPr>
          <w:rFonts w:ascii="Arial" w:hAnsi="Arial"/>
          <w:caps/>
          <w:sz w:val="20"/>
          <w:lang w:val="es-UY"/>
        </w:rPr>
        <w:t>Componentes de la cotización</w:t>
      </w:r>
    </w:p>
    <w:p w14:paraId="50C150A2"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La cotización se realizará en base a tres componentes denominados A, B y C que se corresponden con un conjunto de intervenciones que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deberá ejecutar en forma continua a lo largo de toda la vigencia del contrato. Con ese objetivo realizará los diseños de las obras que entienda necesarias para alcanzar y mantener el cumplimiento de los indicadores técnicos de disponibilidad en el corto, mediano y largo plazo. </w:t>
      </w:r>
    </w:p>
    <w:p w14:paraId="233F4513"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El cumplimiento de dichos indicadores determinará la cuantía de un único pago anual por concepto de disponibilidad.</w:t>
      </w:r>
    </w:p>
    <w:p w14:paraId="4D49A4CC" w14:textId="77777777" w:rsidR="00B24E17" w:rsidRPr="00CB7E2E" w:rsidRDefault="00611CB0" w:rsidP="00CB7E2E">
      <w:pPr>
        <w:jc w:val="both"/>
        <w:rPr>
          <w:rFonts w:ascii="Arial" w:eastAsia="Calibri" w:hAnsi="Arial" w:cs="Arial"/>
          <w:b/>
          <w:bCs/>
          <w:caps/>
          <w:vanish/>
          <w:sz w:val="20"/>
          <w:szCs w:val="20"/>
          <w:lang w:val="es-ES_tradnl" w:eastAsia="es-ES"/>
        </w:rPr>
      </w:pPr>
      <w:bookmarkStart w:id="966" w:name="_Toc400636206"/>
      <w:bookmarkStart w:id="967" w:name="A_2_1"/>
      <w:r w:rsidRPr="00CB7E2E">
        <w:rPr>
          <w:rFonts w:ascii="Arial" w:eastAsia="Calibri" w:hAnsi="Arial" w:cs="Arial"/>
          <w:b/>
          <w:bCs/>
          <w:caps/>
          <w:vanish/>
          <w:sz w:val="20"/>
          <w:szCs w:val="20"/>
          <w:lang w:val="es-ES_tradnl" w:eastAsia="es-ES"/>
        </w:rPr>
        <w:t>NATURALEZA DE LAS INTERVENCIONES A CARGO DEL CONTRATISTA</w:t>
      </w:r>
      <w:bookmarkStart w:id="968" w:name="_Toc450565641"/>
      <w:bookmarkStart w:id="969" w:name="_Toc450568690"/>
      <w:bookmarkStart w:id="970" w:name="_Toc450570231"/>
      <w:bookmarkEnd w:id="966"/>
      <w:bookmarkEnd w:id="968"/>
      <w:bookmarkEnd w:id="969"/>
      <w:bookmarkEnd w:id="970"/>
    </w:p>
    <w:bookmarkEnd w:id="967"/>
    <w:p w14:paraId="1D43F71C"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Las intervenciones necesarias para cumplir con los indicadores técnicos de disponibilidad pueden conceptualizarse según alguna de las tres categorías siguientes:</w:t>
      </w:r>
    </w:p>
    <w:p w14:paraId="536BAE35" w14:textId="77777777" w:rsidR="00B24E17" w:rsidRPr="001003E6" w:rsidRDefault="00B24E17" w:rsidP="009A58E0">
      <w:pPr>
        <w:pStyle w:val="Prrafodelista"/>
        <w:numPr>
          <w:ilvl w:val="1"/>
          <w:numId w:val="117"/>
        </w:numPr>
        <w:jc w:val="both"/>
        <w:rPr>
          <w:rFonts w:ascii="Arial" w:hAnsi="Arial" w:cs="Arial"/>
          <w:sz w:val="20"/>
          <w:szCs w:val="20"/>
        </w:rPr>
      </w:pPr>
      <w:bookmarkStart w:id="971" w:name="_Toc400636207"/>
      <w:bookmarkStart w:id="972" w:name="_Toc450568691"/>
      <w:bookmarkStart w:id="973" w:name="A_2_11"/>
      <w:r w:rsidRPr="001003E6">
        <w:rPr>
          <w:rFonts w:ascii="Arial" w:hAnsi="Arial" w:cs="Arial"/>
          <w:sz w:val="20"/>
          <w:szCs w:val="20"/>
        </w:rPr>
        <w:t>Componente A de la oferta</w:t>
      </w:r>
      <w:bookmarkEnd w:id="971"/>
      <w:bookmarkEnd w:id="972"/>
    </w:p>
    <w:p w14:paraId="65071A91" w14:textId="5EF1C982" w:rsidR="00B24E17" w:rsidRPr="007B5D27" w:rsidRDefault="00B24E17" w:rsidP="00CB7E2E">
      <w:pPr>
        <w:jc w:val="both"/>
        <w:rPr>
          <w:rFonts w:ascii="Arial" w:hAnsi="Arial" w:cs="Arial"/>
          <w:sz w:val="20"/>
          <w:szCs w:val="20"/>
          <w:lang w:val="es-UY"/>
        </w:rPr>
      </w:pPr>
      <w:bookmarkStart w:id="974" w:name="_Toc450568692"/>
      <w:bookmarkEnd w:id="973"/>
      <w:r w:rsidRPr="007B5D27">
        <w:rPr>
          <w:rFonts w:ascii="Arial" w:hAnsi="Arial" w:cs="Arial"/>
          <w:sz w:val="20"/>
          <w:szCs w:val="20"/>
          <w:lang w:val="es-UY"/>
        </w:rPr>
        <w:t xml:space="preserve">Al inicio del contrato cada tramo será entregado por la Contratante en las condiciones en que se encuentre, disponiéndose, para cada uno, de un plazo de construcción o “puesta a punto” según sea el </w:t>
      </w:r>
      <w:r w:rsidRPr="007B5D27">
        <w:rPr>
          <w:rFonts w:ascii="Arial" w:hAnsi="Arial" w:cs="Arial"/>
          <w:sz w:val="20"/>
          <w:szCs w:val="20"/>
          <w:lang w:val="es-UY"/>
        </w:rPr>
        <w:lastRenderedPageBreak/>
        <w:t>caso, dentro del cual el tramo deberá ser acondicionado de manera que cumpla con todos los indicadores técnicos de disponibilidad.</w:t>
      </w:r>
      <w:bookmarkEnd w:id="974"/>
    </w:p>
    <w:p w14:paraId="5C931B6B" w14:textId="3468CEE2" w:rsidR="00B24E17" w:rsidRPr="007B5D27" w:rsidRDefault="00FF23A6" w:rsidP="00CB7E2E">
      <w:pPr>
        <w:jc w:val="both"/>
        <w:rPr>
          <w:rFonts w:ascii="Arial" w:hAnsi="Arial" w:cs="Arial"/>
          <w:sz w:val="20"/>
          <w:szCs w:val="20"/>
          <w:lang w:val="es-UY"/>
        </w:rPr>
      </w:pPr>
      <w:bookmarkStart w:id="975" w:name="_Toc450568693"/>
      <w:r w:rsidRPr="007B5D27">
        <w:rPr>
          <w:rFonts w:ascii="Arial" w:hAnsi="Arial" w:cs="Arial"/>
          <w:sz w:val="20"/>
          <w:szCs w:val="20"/>
          <w:lang w:val="es-UY"/>
        </w:rPr>
        <w:t>El</w:t>
      </w:r>
      <w:r w:rsidR="00B24E17" w:rsidRPr="007B5D27">
        <w:rPr>
          <w:rFonts w:ascii="Arial" w:hAnsi="Arial" w:cs="Arial"/>
          <w:sz w:val="20"/>
          <w:szCs w:val="20"/>
          <w:lang w:val="es-UY"/>
        </w:rPr>
        <w:t xml:space="preserve"> plazo máximo de ejecución </w:t>
      </w:r>
      <w:r w:rsidR="007808BD" w:rsidRPr="007B5D27">
        <w:rPr>
          <w:rFonts w:ascii="Arial" w:hAnsi="Arial" w:cs="Arial"/>
          <w:sz w:val="20"/>
          <w:szCs w:val="20"/>
          <w:lang w:val="es-UY"/>
        </w:rPr>
        <w:t xml:space="preserve">de esas obras </w:t>
      </w:r>
      <w:r w:rsidR="00B24E17" w:rsidRPr="007B5D27">
        <w:rPr>
          <w:rFonts w:ascii="Arial" w:hAnsi="Arial" w:cs="Arial"/>
          <w:sz w:val="20"/>
          <w:szCs w:val="20"/>
          <w:lang w:val="es-UY"/>
        </w:rPr>
        <w:t>se establece en la tabla C.XI-</w:t>
      </w:r>
      <w:r w:rsidR="00D9461A" w:rsidRPr="007B5D27">
        <w:rPr>
          <w:rFonts w:ascii="Arial" w:hAnsi="Arial" w:cs="Arial"/>
          <w:sz w:val="20"/>
          <w:szCs w:val="20"/>
          <w:lang w:val="es-UY"/>
        </w:rPr>
        <w:t>5</w:t>
      </w:r>
      <w:r w:rsidR="00B24E17" w:rsidRPr="007B5D27">
        <w:rPr>
          <w:rFonts w:ascii="Arial" w:hAnsi="Arial" w:cs="Arial"/>
          <w:sz w:val="20"/>
          <w:szCs w:val="20"/>
          <w:lang w:val="es-UY"/>
        </w:rPr>
        <w:t>.</w:t>
      </w:r>
      <w:bookmarkEnd w:id="975"/>
    </w:p>
    <w:p w14:paraId="128FC38C" w14:textId="1E7E2CDE" w:rsidR="00B24E17" w:rsidRPr="007B5D27" w:rsidRDefault="00B24E17" w:rsidP="00CB7E2E">
      <w:pPr>
        <w:jc w:val="both"/>
        <w:rPr>
          <w:rFonts w:ascii="Arial" w:hAnsi="Arial" w:cs="Arial"/>
          <w:sz w:val="20"/>
          <w:szCs w:val="20"/>
          <w:lang w:val="es-UY"/>
        </w:rPr>
      </w:pPr>
      <w:bookmarkStart w:id="976" w:name="_Toc450568694"/>
      <w:r w:rsidRPr="007B5D27">
        <w:rPr>
          <w:rFonts w:ascii="Arial" w:hAnsi="Arial" w:cs="Arial"/>
          <w:sz w:val="20"/>
          <w:szCs w:val="20"/>
          <w:lang w:val="es-UY"/>
        </w:rPr>
        <w:t>Con la finalidad de cumplir con lo establecido, el oferente deberá diseñar y cotizar (componente A de la oferta) un conjunto de intervenciones con el objetivo de asegurar que en cada tramo</w:t>
      </w:r>
      <w:r w:rsidR="00E25AFD" w:rsidRPr="007B5D27">
        <w:rPr>
          <w:rFonts w:ascii="Arial" w:hAnsi="Arial" w:cs="Arial"/>
          <w:sz w:val="20"/>
          <w:szCs w:val="20"/>
          <w:lang w:val="es-UY"/>
        </w:rPr>
        <w:t>,</w:t>
      </w:r>
      <w:r w:rsidRPr="007B5D27">
        <w:rPr>
          <w:rFonts w:ascii="Arial" w:hAnsi="Arial" w:cs="Arial"/>
          <w:sz w:val="20"/>
          <w:szCs w:val="20"/>
          <w:lang w:val="es-UY"/>
        </w:rPr>
        <w:t xml:space="preserve"> se ejecuten, al menos, las obras mínimas establecidas en el punto </w:t>
      </w:r>
      <w:r w:rsidR="00531425" w:rsidRPr="007B5D27">
        <w:rPr>
          <w:rFonts w:ascii="Arial" w:hAnsi="Arial" w:cs="Arial"/>
          <w:sz w:val="20"/>
          <w:szCs w:val="20"/>
          <w:lang w:val="es-UY"/>
        </w:rPr>
        <w:t xml:space="preserve">53.1 </w:t>
      </w:r>
      <w:r w:rsidRPr="007B5D27">
        <w:rPr>
          <w:rFonts w:ascii="Arial" w:hAnsi="Arial" w:cs="Arial"/>
          <w:sz w:val="20"/>
          <w:szCs w:val="20"/>
          <w:lang w:val="es-UY"/>
        </w:rPr>
        <w:t>y se alcancen y mantengan los indicadores técnicos de disponibilidad.</w:t>
      </w:r>
      <w:bookmarkEnd w:id="976"/>
    </w:p>
    <w:p w14:paraId="304D8603" w14:textId="47A7BA8D" w:rsidR="00B24E17" w:rsidRPr="00CB7E2E" w:rsidRDefault="00B24E17" w:rsidP="00CB7E2E">
      <w:pPr>
        <w:jc w:val="both"/>
        <w:rPr>
          <w:rFonts w:ascii="Arial" w:hAnsi="Arial" w:cs="Arial"/>
          <w:sz w:val="20"/>
          <w:szCs w:val="20"/>
          <w:lang w:val="es-UY"/>
        </w:rPr>
      </w:pPr>
      <w:bookmarkStart w:id="977" w:name="_Toc450568695"/>
      <w:r w:rsidRPr="007B5D27">
        <w:rPr>
          <w:rFonts w:ascii="Arial" w:hAnsi="Arial" w:cs="Arial"/>
          <w:sz w:val="20"/>
          <w:szCs w:val="20"/>
          <w:lang w:val="es-UY"/>
        </w:rPr>
        <w:t xml:space="preserve">Estas actividades tienen como característica que se realizan una única vez, que deben finalizarse antes de concluidos los plazos establecidos </w:t>
      </w:r>
      <w:r w:rsidR="00FF23A6" w:rsidRPr="007B5D27">
        <w:rPr>
          <w:rFonts w:ascii="Arial" w:hAnsi="Arial" w:cs="Arial"/>
          <w:sz w:val="20"/>
          <w:szCs w:val="20"/>
          <w:lang w:val="es-UY"/>
        </w:rPr>
        <w:t>y</w:t>
      </w:r>
      <w:r w:rsidRPr="007B5D27">
        <w:rPr>
          <w:rFonts w:ascii="Arial" w:hAnsi="Arial" w:cs="Arial"/>
          <w:sz w:val="20"/>
          <w:szCs w:val="20"/>
          <w:lang w:val="es-UY"/>
        </w:rPr>
        <w:t xml:space="preserve"> que, luego de finalizadas las obras, mediante la sola ejecución de un plan de mantenimiento, sea posible cumplir con los indicadores técnicos de disponibilidad en un horizonte de al menos en el mediano plazo.</w:t>
      </w:r>
      <w:bookmarkEnd w:id="977"/>
    </w:p>
    <w:p w14:paraId="291AE4C0" w14:textId="77777777" w:rsidR="00B24E17" w:rsidRPr="001003E6" w:rsidRDefault="00B24E17" w:rsidP="009A58E0">
      <w:pPr>
        <w:pStyle w:val="Prrafodelista"/>
        <w:numPr>
          <w:ilvl w:val="1"/>
          <w:numId w:val="117"/>
        </w:numPr>
        <w:jc w:val="both"/>
        <w:rPr>
          <w:rFonts w:ascii="Arial" w:hAnsi="Arial" w:cs="Arial"/>
          <w:sz w:val="20"/>
          <w:szCs w:val="20"/>
        </w:rPr>
      </w:pPr>
      <w:bookmarkStart w:id="978" w:name="_Toc400636208"/>
      <w:bookmarkStart w:id="979" w:name="_Toc450568696"/>
      <w:bookmarkStart w:id="980" w:name="A_2_12"/>
      <w:r w:rsidRPr="001003E6">
        <w:rPr>
          <w:rFonts w:ascii="Arial" w:hAnsi="Arial" w:cs="Arial"/>
          <w:sz w:val="20"/>
          <w:szCs w:val="20"/>
        </w:rPr>
        <w:t>Componente B de la oferta</w:t>
      </w:r>
      <w:bookmarkEnd w:id="978"/>
      <w:bookmarkEnd w:id="979"/>
    </w:p>
    <w:bookmarkEnd w:id="980"/>
    <w:p w14:paraId="07C6746B"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Con el fin de preservar la calidad del servicio alcanzado como consecuencia de las intervenciones anteriores, el oferente deberá diseñar y cotizar </w:t>
      </w:r>
      <w:r w:rsidRPr="00CB7E2E">
        <w:rPr>
          <w:rFonts w:ascii="Arial" w:hAnsi="Arial" w:cs="Arial"/>
          <w:b/>
          <w:bCs/>
          <w:sz w:val="20"/>
          <w:szCs w:val="20"/>
          <w:lang w:val="es-UY"/>
        </w:rPr>
        <w:t>(componente B de la oferta)</w:t>
      </w:r>
      <w:r w:rsidRPr="00CB7E2E">
        <w:rPr>
          <w:rFonts w:ascii="Arial" w:hAnsi="Arial" w:cs="Arial"/>
          <w:sz w:val="20"/>
          <w:szCs w:val="20"/>
          <w:lang w:val="es-UY"/>
        </w:rPr>
        <w:t xml:space="preserve"> un plan integral de </w:t>
      </w:r>
      <w:r w:rsidRPr="00CB7E2E">
        <w:rPr>
          <w:rFonts w:ascii="Arial" w:hAnsi="Arial" w:cs="Arial"/>
          <w:sz w:val="20"/>
          <w:szCs w:val="20"/>
          <w:lang w:val="es-UY"/>
        </w:rPr>
        <w:lastRenderedPageBreak/>
        <w:t>mantenimiento de todos los elementos que constituyen la vía y de operación de la misma.</w:t>
      </w:r>
    </w:p>
    <w:p w14:paraId="636CD81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Este plan consiste básicamente aunque no necesariamente únicamente, en una serie de tareas periódicas de cuya correcta ejecución depende que perduren los indicadores técnicos de disponibilidad alcanzados dentro de los valores exigidos en el pliego.</w:t>
      </w:r>
    </w:p>
    <w:p w14:paraId="61AB563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Estas actividades se caracterizan por su condición repetitiva, periódica y, en términos generales, previsibles.</w:t>
      </w:r>
    </w:p>
    <w:p w14:paraId="0517E7C9" w14:textId="77777777" w:rsidR="00B24E17" w:rsidRPr="001003E6" w:rsidRDefault="00B24E17" w:rsidP="009A58E0">
      <w:pPr>
        <w:pStyle w:val="Prrafodelista"/>
        <w:numPr>
          <w:ilvl w:val="1"/>
          <w:numId w:val="117"/>
        </w:numPr>
        <w:jc w:val="both"/>
        <w:rPr>
          <w:rFonts w:ascii="Arial" w:hAnsi="Arial" w:cs="Arial"/>
          <w:sz w:val="20"/>
          <w:szCs w:val="20"/>
        </w:rPr>
      </w:pPr>
      <w:bookmarkStart w:id="981" w:name="_Toc400636209"/>
      <w:bookmarkStart w:id="982" w:name="_Toc450568697"/>
      <w:bookmarkStart w:id="983" w:name="A_2_13"/>
      <w:r w:rsidRPr="001003E6">
        <w:rPr>
          <w:rFonts w:ascii="Arial" w:hAnsi="Arial" w:cs="Arial"/>
          <w:sz w:val="20"/>
          <w:szCs w:val="20"/>
        </w:rPr>
        <w:t>Componente C de la oferta</w:t>
      </w:r>
      <w:bookmarkEnd w:id="981"/>
      <w:bookmarkEnd w:id="982"/>
    </w:p>
    <w:bookmarkEnd w:id="983"/>
    <w:p w14:paraId="0123AF0A" w14:textId="77777777" w:rsidR="00B24E17" w:rsidRPr="00CB7E2E" w:rsidRDefault="00B24E17" w:rsidP="00CB7E2E">
      <w:pPr>
        <w:jc w:val="both"/>
        <w:rPr>
          <w:rFonts w:ascii="Arial" w:hAnsi="Arial" w:cs="Arial"/>
          <w:sz w:val="20"/>
          <w:szCs w:val="20"/>
          <w:lang w:val="es-UY"/>
        </w:rPr>
      </w:pPr>
      <w:r w:rsidRPr="001003E6">
        <w:rPr>
          <w:rFonts w:ascii="Arial" w:hAnsi="Arial" w:cs="Arial"/>
          <w:bCs/>
          <w:sz w:val="20"/>
          <w:szCs w:val="20"/>
          <w:lang w:val="es-UY"/>
        </w:rPr>
        <w:t>A largo plazo</w:t>
      </w:r>
      <w:r w:rsidRPr="00CB7E2E">
        <w:rPr>
          <w:rFonts w:ascii="Arial" w:hAnsi="Arial" w:cs="Arial"/>
          <w:sz w:val="20"/>
          <w:szCs w:val="20"/>
          <w:lang w:val="es-UY"/>
        </w:rPr>
        <w:t>, en una fecha que depende del efecto destructivo del volumen de tránsito que haya circulado por cada tramo, las tareas que conforman el plan de mantenimiento no serán suficientes para sostener los indicadores técnicos de disponibilidad dentro de los valores exigidos en el pliego.</w:t>
      </w:r>
    </w:p>
    <w:p w14:paraId="50FEBBC5"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En ese momento, que será distinto para cada tramo,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deberá realizar ciertas intervenciones que aseguren el cumplimiento de los indicadores técnicos de disponibilidad. </w:t>
      </w:r>
    </w:p>
    <w:p w14:paraId="577643B1" w14:textId="1F28D354" w:rsidR="00B24E17" w:rsidRPr="00CB7E2E" w:rsidRDefault="00B24E17" w:rsidP="00CB7E2E">
      <w:pPr>
        <w:jc w:val="both"/>
        <w:rPr>
          <w:rFonts w:ascii="Arial" w:hAnsi="Arial" w:cs="Arial"/>
          <w:sz w:val="20"/>
          <w:szCs w:val="20"/>
          <w:lang w:val="es-UY"/>
        </w:rPr>
      </w:pPr>
      <w:r w:rsidRPr="007B5D27">
        <w:rPr>
          <w:rFonts w:ascii="Arial" w:hAnsi="Arial" w:cs="Arial"/>
          <w:sz w:val="20"/>
          <w:szCs w:val="20"/>
          <w:lang w:val="es-UY"/>
        </w:rPr>
        <w:t>La relación que se da entre el efecto destructivo del tránsito por el uso de la infraestructura y las acciones</w:t>
      </w:r>
      <w:r w:rsidR="00E07A2F" w:rsidRPr="007B5D27">
        <w:rPr>
          <w:rFonts w:ascii="Arial" w:hAnsi="Arial" w:cs="Arial"/>
          <w:sz w:val="20"/>
          <w:szCs w:val="20"/>
          <w:lang w:val="es-UY"/>
        </w:rPr>
        <w:t xml:space="preserve"> (que serán diseñadas por </w:t>
      </w:r>
      <w:r w:rsidR="00E07A2F" w:rsidRPr="007B5D27">
        <w:rPr>
          <w:rFonts w:ascii="Arial" w:hAnsi="Arial" w:cs="Arial"/>
          <w:sz w:val="20"/>
          <w:szCs w:val="20"/>
          <w:lang w:val="es-UY"/>
        </w:rPr>
        <w:lastRenderedPageBreak/>
        <w:t>el oferente)</w:t>
      </w:r>
      <w:r w:rsidRPr="007B5D27">
        <w:rPr>
          <w:rFonts w:ascii="Arial" w:hAnsi="Arial" w:cs="Arial"/>
          <w:sz w:val="20"/>
          <w:szCs w:val="20"/>
          <w:lang w:val="es-UY"/>
        </w:rPr>
        <w:t xml:space="preserve"> que permitan restablecer los valores exigidos, será cubierto mediante un </w:t>
      </w:r>
      <w:r w:rsidR="00DA698F">
        <w:rPr>
          <w:rFonts w:ascii="Arial" w:hAnsi="Arial" w:cs="Arial"/>
          <w:sz w:val="20"/>
          <w:szCs w:val="20"/>
          <w:lang w:val="es-UY"/>
        </w:rPr>
        <w:t>pago</w:t>
      </w:r>
      <w:r w:rsidRPr="00CB7E2E">
        <w:rPr>
          <w:rFonts w:ascii="Arial" w:hAnsi="Arial" w:cs="Arial"/>
          <w:sz w:val="20"/>
          <w:szCs w:val="20"/>
          <w:lang w:val="es-UY"/>
        </w:rPr>
        <w:t xml:space="preserve"> </w:t>
      </w:r>
      <w:r w:rsidR="00DA698F">
        <w:rPr>
          <w:rFonts w:ascii="Arial" w:hAnsi="Arial" w:cs="Arial"/>
          <w:sz w:val="20"/>
          <w:szCs w:val="20"/>
          <w:lang w:val="es-UY"/>
        </w:rPr>
        <w:t xml:space="preserve">que </w:t>
      </w:r>
      <w:r w:rsidRPr="007B5D27">
        <w:rPr>
          <w:rFonts w:ascii="Arial" w:hAnsi="Arial" w:cs="Arial"/>
          <w:sz w:val="20"/>
          <w:szCs w:val="20"/>
          <w:lang w:val="es-UY"/>
        </w:rPr>
        <w:t xml:space="preserve">el oferente deberá cotizar </w:t>
      </w:r>
      <w:r w:rsidRPr="007B5D27">
        <w:rPr>
          <w:rFonts w:ascii="Arial" w:hAnsi="Arial" w:cs="Arial"/>
          <w:b/>
          <w:bCs/>
          <w:sz w:val="20"/>
          <w:szCs w:val="20"/>
          <w:lang w:val="es-UY"/>
        </w:rPr>
        <w:t>(componente C de la oferta)</w:t>
      </w:r>
      <w:r w:rsidRPr="007B5D27">
        <w:rPr>
          <w:rFonts w:ascii="Arial" w:hAnsi="Arial" w:cs="Arial"/>
          <w:sz w:val="20"/>
          <w:szCs w:val="20"/>
          <w:lang w:val="es-UY"/>
        </w:rPr>
        <w:t>.</w:t>
      </w:r>
    </w:p>
    <w:p w14:paraId="6F0FBB68"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Durante toda la vigencia del contrato el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gestionará el mantenimiento de la ruta entendiendo por ello todas las actividades que implica dicho concepto, en particular las de prever, diseñar y ejecutar con la debida anticipación</w:t>
      </w:r>
      <w:r w:rsidR="00A30AAE">
        <w:rPr>
          <w:rFonts w:ascii="Arial" w:hAnsi="Arial" w:cs="Arial"/>
          <w:sz w:val="20"/>
          <w:szCs w:val="20"/>
          <w:lang w:val="es-UY"/>
        </w:rPr>
        <w:t>,</w:t>
      </w:r>
      <w:r w:rsidRPr="00CB7E2E">
        <w:rPr>
          <w:rFonts w:ascii="Arial" w:hAnsi="Arial" w:cs="Arial"/>
          <w:sz w:val="20"/>
          <w:szCs w:val="20"/>
          <w:lang w:val="es-UY"/>
        </w:rPr>
        <w:t xml:space="preserve"> las intervenciones que corresponda, ya sean estas de refuerzo, rehabilitación o reconstrucción y que fueren necesarias para mantener toda la infraestructura dentro de los valores establecidos para cumplir con los indicadores técnicos de disponibilidad.</w:t>
      </w:r>
    </w:p>
    <w:p w14:paraId="49958A61"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Estas actividades se caracterizan fundamentalmente por ser parte de un programa de mantenimiento mayor, </w:t>
      </w:r>
      <w:r w:rsidRPr="001003E6">
        <w:rPr>
          <w:rFonts w:ascii="Arial" w:hAnsi="Arial" w:cs="Arial"/>
          <w:bCs/>
          <w:sz w:val="20"/>
          <w:szCs w:val="20"/>
          <w:lang w:val="es-UY"/>
        </w:rPr>
        <w:t>de largo plazo,</w:t>
      </w:r>
      <w:r w:rsidRPr="00CB7E2E">
        <w:rPr>
          <w:rFonts w:ascii="Arial" w:hAnsi="Arial" w:cs="Arial"/>
          <w:sz w:val="20"/>
          <w:szCs w:val="20"/>
          <w:lang w:val="es-UY"/>
        </w:rPr>
        <w:t xml:space="preserve"> y comprende tareas de reposición y mejora del pavimento. Estos trabajos se vuelven necesarios debido al desgaste que le impone la repetición de las cargas a través del tiempo, por lo tanto no responden sólo a una periodicidad temporal sino que están ligadas a las solicitaciones que el tráfico ejerce sobre la infraestructura.</w:t>
      </w:r>
    </w:p>
    <w:p w14:paraId="08EA7FFC" w14:textId="77777777" w:rsidR="00A30AAE" w:rsidRPr="001003E6" w:rsidRDefault="00A30AAE" w:rsidP="009A58E0">
      <w:pPr>
        <w:pStyle w:val="Prrafodelista"/>
        <w:numPr>
          <w:ilvl w:val="0"/>
          <w:numId w:val="135"/>
        </w:numPr>
        <w:jc w:val="both"/>
        <w:rPr>
          <w:rFonts w:ascii="Arial" w:eastAsia="Calibri" w:hAnsi="Arial" w:cs="Arial"/>
          <w:b/>
          <w:bCs/>
          <w:caps/>
          <w:sz w:val="20"/>
          <w:szCs w:val="20"/>
          <w:lang w:val="es-ES_tradnl" w:eastAsia="es-ES"/>
        </w:rPr>
      </w:pPr>
      <w:bookmarkStart w:id="984" w:name="_Toc437944272"/>
      <w:bookmarkStart w:id="985" w:name="_Toc437950066"/>
      <w:bookmarkStart w:id="986" w:name="_Toc438026692"/>
      <w:bookmarkStart w:id="987" w:name="_Toc438026931"/>
      <w:bookmarkStart w:id="988" w:name="_Toc438027171"/>
      <w:bookmarkStart w:id="989" w:name="_Toc438027838"/>
      <w:bookmarkStart w:id="990" w:name="_Toc438028084"/>
      <w:bookmarkStart w:id="991" w:name="_Toc438028330"/>
      <w:bookmarkStart w:id="992" w:name="_Toc438028576"/>
      <w:bookmarkStart w:id="993" w:name="_Toc438031414"/>
      <w:bookmarkStart w:id="994" w:name="_Toc438031669"/>
      <w:bookmarkStart w:id="995" w:name="_Toc438052119"/>
      <w:bookmarkStart w:id="996" w:name="_Toc438052443"/>
      <w:bookmarkStart w:id="997" w:name="_Toc438056261"/>
      <w:bookmarkStart w:id="998" w:name="_Toc438056564"/>
      <w:bookmarkStart w:id="999" w:name="_Toc438057125"/>
      <w:bookmarkStart w:id="1000" w:name="_Toc438057657"/>
      <w:bookmarkStart w:id="1001" w:name="_Toc438105304"/>
      <w:bookmarkStart w:id="1002" w:name="_Toc438108306"/>
      <w:bookmarkStart w:id="1003" w:name="_Toc438109047"/>
      <w:bookmarkStart w:id="1004" w:name="_Toc438109165"/>
      <w:bookmarkStart w:id="1005" w:name="_Toc438111351"/>
      <w:bookmarkStart w:id="1006" w:name="_Toc438111611"/>
      <w:bookmarkStart w:id="1007" w:name="_Toc438111871"/>
      <w:bookmarkStart w:id="1008" w:name="_Toc438112171"/>
      <w:bookmarkStart w:id="1009" w:name="_Toc438112774"/>
      <w:bookmarkStart w:id="1010" w:name="_Toc438113450"/>
      <w:bookmarkStart w:id="1011" w:name="_Toc438113726"/>
      <w:bookmarkStart w:id="1012" w:name="_Toc438114736"/>
      <w:bookmarkStart w:id="1013" w:name="_Toc438115050"/>
      <w:bookmarkStart w:id="1014" w:name="_Toc438130216"/>
      <w:bookmarkStart w:id="1015" w:name="_Toc438224113"/>
      <w:bookmarkStart w:id="1016" w:name="_Toc441131835"/>
      <w:bookmarkStart w:id="1017" w:name="_Toc441146136"/>
      <w:bookmarkStart w:id="1018" w:name="_Toc441146541"/>
      <w:bookmarkStart w:id="1019" w:name="_Toc441146889"/>
      <w:bookmarkStart w:id="1020" w:name="_Toc441161639"/>
      <w:bookmarkStart w:id="1021" w:name="_Toc441161987"/>
      <w:bookmarkStart w:id="1022" w:name="_Toc441162337"/>
      <w:bookmarkStart w:id="1023" w:name="_Toc441229358"/>
      <w:bookmarkStart w:id="1024" w:name="_Toc441229693"/>
      <w:bookmarkStart w:id="1025" w:name="_Toc441230014"/>
      <w:bookmarkStart w:id="1026" w:name="_Toc450552865"/>
      <w:bookmarkStart w:id="1027" w:name="_Toc450555063"/>
      <w:bookmarkStart w:id="1028" w:name="_Toc450555318"/>
      <w:bookmarkStart w:id="1029" w:name="_Toc400636210"/>
      <w:bookmarkStart w:id="1030" w:name="_Toc400636211"/>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r>
        <w:rPr>
          <w:rFonts w:ascii="Arial" w:eastAsia="Calibri" w:hAnsi="Arial" w:cs="Arial"/>
          <w:b/>
          <w:bCs/>
          <w:caps/>
          <w:sz w:val="20"/>
          <w:szCs w:val="20"/>
          <w:lang w:val="es-ES_tradnl" w:eastAsia="es-ES"/>
        </w:rPr>
        <w:t>DEFINICI</w:t>
      </w:r>
      <w:r w:rsidR="00443A66">
        <w:rPr>
          <w:rFonts w:ascii="Arial" w:eastAsia="Calibri" w:hAnsi="Arial" w:cs="Arial"/>
          <w:b/>
          <w:bCs/>
          <w:caps/>
          <w:sz w:val="20"/>
          <w:szCs w:val="20"/>
          <w:lang w:val="es-ES_tradnl" w:eastAsia="es-ES"/>
        </w:rPr>
        <w:t>ÓN de las componentes</w:t>
      </w:r>
    </w:p>
    <w:p w14:paraId="273CAABC" w14:textId="77777777" w:rsidR="00F35A18" w:rsidRPr="00CB7E2E" w:rsidRDefault="00611CB0" w:rsidP="00CB7E2E">
      <w:pPr>
        <w:jc w:val="both"/>
        <w:rPr>
          <w:rFonts w:ascii="Arial" w:eastAsia="Calibri" w:hAnsi="Arial" w:cs="Arial"/>
          <w:b/>
          <w:bCs/>
          <w:caps/>
          <w:vanish/>
          <w:sz w:val="20"/>
          <w:szCs w:val="20"/>
          <w:lang w:val="es-ES_tradnl" w:eastAsia="es-ES"/>
        </w:rPr>
      </w:pPr>
      <w:r w:rsidRPr="00CB7E2E">
        <w:rPr>
          <w:rFonts w:ascii="Arial" w:eastAsia="Calibri" w:hAnsi="Arial" w:cs="Arial"/>
          <w:b/>
          <w:bCs/>
          <w:caps/>
          <w:vanish/>
          <w:sz w:val="20"/>
          <w:szCs w:val="20"/>
          <w:lang w:val="es-ES_tradnl" w:eastAsia="es-ES"/>
        </w:rPr>
        <w:t>DEFINICIÓN DE LAS COMPONENTES A, B Y C DE LA OFERTA</w:t>
      </w:r>
      <w:bookmarkStart w:id="1031" w:name="_Toc450565649"/>
      <w:bookmarkStart w:id="1032" w:name="_Toc450568698"/>
      <w:bookmarkStart w:id="1033" w:name="_Toc450570235"/>
      <w:bookmarkEnd w:id="1029"/>
      <w:bookmarkEnd w:id="1031"/>
      <w:bookmarkEnd w:id="1032"/>
      <w:bookmarkEnd w:id="1033"/>
    </w:p>
    <w:p w14:paraId="5D6EAD03" w14:textId="77777777" w:rsidR="00F35A18" w:rsidRPr="00CB7E2E" w:rsidRDefault="00F35A18" w:rsidP="00CB7E2E">
      <w:pPr>
        <w:jc w:val="both"/>
        <w:rPr>
          <w:rFonts w:ascii="Arial" w:hAnsi="Arial" w:cs="Arial"/>
          <w:sz w:val="20"/>
          <w:szCs w:val="20"/>
          <w:lang w:val="es-UY"/>
        </w:rPr>
      </w:pPr>
      <w:r w:rsidRPr="00CB7E2E">
        <w:rPr>
          <w:rFonts w:ascii="Arial" w:hAnsi="Arial" w:cs="Arial"/>
          <w:sz w:val="20"/>
          <w:szCs w:val="20"/>
          <w:lang w:val="es-UY"/>
        </w:rPr>
        <w:t>Los tres tipos de intervenciones mencionadas en el punto 1, difieren en su naturaleza, diseño, costo y previsibilidad.</w:t>
      </w:r>
    </w:p>
    <w:p w14:paraId="79F02733" w14:textId="6FBA6E1A" w:rsidR="00F35A18" w:rsidRDefault="00F35A18" w:rsidP="00CB7E2E">
      <w:pPr>
        <w:jc w:val="both"/>
        <w:rPr>
          <w:rFonts w:ascii="Arial" w:hAnsi="Arial" w:cs="Arial"/>
          <w:sz w:val="20"/>
          <w:szCs w:val="20"/>
          <w:lang w:val="es-UY"/>
        </w:rPr>
      </w:pPr>
      <w:r w:rsidRPr="00CB7E2E">
        <w:rPr>
          <w:rFonts w:ascii="Arial" w:hAnsi="Arial" w:cs="Arial"/>
          <w:sz w:val="20"/>
          <w:szCs w:val="20"/>
          <w:lang w:val="es-UY"/>
        </w:rPr>
        <w:lastRenderedPageBreak/>
        <w:t>Las retribuciones que recibirá el Contratista como contrapartida del servicio que se compromete a prestar no dependen de las intervenciones o tareas que haya realizado sino exclusivamente del grado de cumplimiento de las especificaciones técnicas establecidas en este pliego que se miden a través de los coeficientes técnicos de disponibilidad.</w:t>
      </w:r>
    </w:p>
    <w:p w14:paraId="0D1CCAF0" w14:textId="77777777" w:rsidR="00B24E17" w:rsidRPr="001003E6" w:rsidRDefault="00B24E17" w:rsidP="009A58E0">
      <w:pPr>
        <w:pStyle w:val="Prrafodelista"/>
        <w:numPr>
          <w:ilvl w:val="1"/>
          <w:numId w:val="118"/>
        </w:numPr>
        <w:jc w:val="both"/>
        <w:rPr>
          <w:rFonts w:ascii="Arial" w:hAnsi="Arial" w:cs="Arial"/>
          <w:sz w:val="20"/>
          <w:szCs w:val="20"/>
        </w:rPr>
      </w:pPr>
      <w:bookmarkStart w:id="1034" w:name="_Toc450568699"/>
      <w:r w:rsidRPr="001003E6">
        <w:rPr>
          <w:rFonts w:ascii="Arial" w:hAnsi="Arial" w:cs="Arial"/>
          <w:sz w:val="20"/>
          <w:szCs w:val="20"/>
        </w:rPr>
        <w:t>Definición de la componente A de la oferta</w:t>
      </w:r>
      <w:bookmarkEnd w:id="1030"/>
      <w:bookmarkEnd w:id="1034"/>
    </w:p>
    <w:p w14:paraId="24A212F6" w14:textId="5DA50B79" w:rsidR="00B24E17" w:rsidRPr="00CB7E2E" w:rsidRDefault="00B24E17" w:rsidP="00CB7E2E">
      <w:pPr>
        <w:jc w:val="both"/>
        <w:rPr>
          <w:rFonts w:ascii="Arial" w:hAnsi="Arial" w:cs="Arial"/>
          <w:sz w:val="20"/>
          <w:szCs w:val="20"/>
          <w:lang w:val="es-UY"/>
        </w:rPr>
      </w:pPr>
      <w:bookmarkStart w:id="1035" w:name="_Toc450568700"/>
      <w:r w:rsidRPr="00CB7E2E">
        <w:rPr>
          <w:rFonts w:ascii="Arial" w:hAnsi="Arial" w:cs="Arial"/>
          <w:sz w:val="20"/>
          <w:szCs w:val="20"/>
          <w:lang w:val="es-UY"/>
        </w:rPr>
        <w:t>Para cada tramo que compone el circuito, el oferente identificará en su propuesta, las obras de “puesta a punto”, que propone realizar (incluyendo rubros y metrajes) para lograr la recepción inicial del circuito en los plazos establecidos.</w:t>
      </w:r>
      <w:bookmarkEnd w:id="1035"/>
    </w:p>
    <w:p w14:paraId="78BE1C90" w14:textId="77777777" w:rsidR="00B24E17" w:rsidRDefault="00615FE1" w:rsidP="00CB7E2E">
      <w:pPr>
        <w:jc w:val="both"/>
        <w:rPr>
          <w:rFonts w:ascii="Arial" w:hAnsi="Arial" w:cs="Arial"/>
          <w:sz w:val="20"/>
          <w:szCs w:val="20"/>
          <w:lang w:val="es-UY"/>
        </w:rPr>
      </w:pPr>
      <w:bookmarkStart w:id="1036" w:name="_Toc450568701"/>
      <w:r>
        <w:rPr>
          <w:rFonts w:ascii="Arial" w:hAnsi="Arial" w:cs="Arial"/>
          <w:sz w:val="20"/>
          <w:szCs w:val="20"/>
          <w:lang w:val="es-UY"/>
        </w:rPr>
        <w:t xml:space="preserve">En el </w:t>
      </w:r>
      <w:hyperlink w:anchor="A_11" w:history="1">
        <w:r w:rsidRPr="003218BC">
          <w:rPr>
            <w:rStyle w:val="Hipervnculo"/>
            <w:rFonts w:ascii="Arial" w:hAnsi="Arial" w:cs="Arial"/>
            <w:sz w:val="20"/>
            <w:szCs w:val="20"/>
            <w:lang w:val="es-UY"/>
          </w:rPr>
          <w:t>Anexo XI</w:t>
        </w:r>
      </w:hyperlink>
      <w:r>
        <w:rPr>
          <w:rFonts w:ascii="Arial" w:hAnsi="Arial" w:cs="Arial"/>
          <w:sz w:val="20"/>
          <w:szCs w:val="20"/>
          <w:lang w:val="es-UY"/>
        </w:rPr>
        <w:t xml:space="preserve"> se </w:t>
      </w:r>
      <w:r w:rsidR="00B24E17" w:rsidRPr="00CB7E2E">
        <w:rPr>
          <w:rFonts w:ascii="Arial" w:hAnsi="Arial" w:cs="Arial"/>
          <w:sz w:val="20"/>
          <w:szCs w:val="20"/>
          <w:lang w:val="es-UY"/>
        </w:rPr>
        <w:t>suministra un “precio unitario base (en UI, con Leyes Sociales y sin IVA) para un amplio conjunto de rubros que pudieran formar parte de las ofertas. Si algún oferente necesitara para el diseño de sus obras de puesta a punto un rubro que no estuviera contenido en dicho conjunto lo solicitará, por escrito, antes de la fecha de apertura y dentro de los plazos establecidos en el Pliego.</w:t>
      </w:r>
      <w:bookmarkEnd w:id="1036"/>
    </w:p>
    <w:p w14:paraId="305ABF2B" w14:textId="269F108A" w:rsidR="00B24E17" w:rsidRPr="00CB7E2E" w:rsidRDefault="00B24E17" w:rsidP="00CB7E2E">
      <w:pPr>
        <w:jc w:val="both"/>
        <w:rPr>
          <w:rFonts w:ascii="Arial" w:hAnsi="Arial" w:cs="Arial"/>
          <w:sz w:val="20"/>
          <w:szCs w:val="20"/>
          <w:lang w:val="es-UY"/>
        </w:rPr>
      </w:pPr>
      <w:bookmarkStart w:id="1037" w:name="_Toc450568702"/>
      <w:r w:rsidRPr="00CB7E2E">
        <w:rPr>
          <w:rFonts w:ascii="Arial" w:hAnsi="Arial" w:cs="Arial"/>
          <w:sz w:val="20"/>
          <w:szCs w:val="20"/>
          <w:lang w:val="es-UY"/>
        </w:rPr>
        <w:t>Para cada tramo, el oferente multiplicará los metrajes que surgen de las obras que propone ejecutar en ese tramo por el “precio uni</w:t>
      </w:r>
      <w:r w:rsidRPr="00CB7E2E">
        <w:rPr>
          <w:rFonts w:ascii="Arial" w:hAnsi="Arial" w:cs="Arial"/>
          <w:sz w:val="20"/>
          <w:szCs w:val="20"/>
          <w:lang w:val="es-UY"/>
        </w:rPr>
        <w:lastRenderedPageBreak/>
        <w:t>tario base” de cada rubro suministrado por la Contratante y obtendrá así, para cada tramo, un monto según surge del ejemplo de la Tabla A.II-1. Se confeccionarán</w:t>
      </w:r>
      <w:r w:rsidR="00377A8B" w:rsidRPr="00CB7E2E">
        <w:rPr>
          <w:rFonts w:ascii="Arial" w:hAnsi="Arial" w:cs="Arial"/>
          <w:sz w:val="20"/>
          <w:szCs w:val="20"/>
          <w:lang w:val="es-UY"/>
        </w:rPr>
        <w:t>, e incluirán en el Sobre N°1,</w:t>
      </w:r>
      <w:r w:rsidRPr="00CB7E2E">
        <w:rPr>
          <w:rFonts w:ascii="Arial" w:hAnsi="Arial" w:cs="Arial"/>
          <w:sz w:val="20"/>
          <w:szCs w:val="20"/>
          <w:lang w:val="es-UY"/>
        </w:rPr>
        <w:t xml:space="preserve"> </w:t>
      </w:r>
      <w:r w:rsidRPr="001003E6">
        <w:rPr>
          <w:rFonts w:ascii="Arial" w:hAnsi="Arial" w:cs="Arial"/>
          <w:sz w:val="20"/>
          <w:szCs w:val="20"/>
          <w:lang w:val="es-UY"/>
        </w:rPr>
        <w:t>tablas separadas para las obras de puesta a punto  y de las complementarias</w:t>
      </w:r>
      <w:r w:rsidRPr="00CB7E2E">
        <w:rPr>
          <w:rFonts w:ascii="Arial" w:hAnsi="Arial" w:cs="Arial"/>
          <w:b/>
          <w:sz w:val="20"/>
          <w:szCs w:val="20"/>
          <w:lang w:val="es-UY"/>
        </w:rPr>
        <w:t xml:space="preserve"> </w:t>
      </w:r>
      <w:r w:rsidRPr="001003E6">
        <w:rPr>
          <w:rFonts w:ascii="Arial" w:hAnsi="Arial" w:cs="Arial"/>
          <w:sz w:val="20"/>
          <w:szCs w:val="20"/>
          <w:lang w:val="es-UY"/>
        </w:rPr>
        <w:t>comprometidas</w:t>
      </w:r>
      <w:r w:rsidRPr="00CB7E2E">
        <w:rPr>
          <w:rFonts w:ascii="Arial" w:hAnsi="Arial" w:cs="Arial"/>
          <w:sz w:val="20"/>
          <w:szCs w:val="20"/>
          <w:lang w:val="es-UY"/>
        </w:rPr>
        <w:t xml:space="preserve"> de manera que, junto con la descripción de los trabajos y la memoria de cálculo de las obras se cumplan las condiciones establecidas en el punto </w:t>
      </w:r>
      <w:r w:rsidR="00916100" w:rsidRPr="00CB7E2E">
        <w:rPr>
          <w:rFonts w:ascii="Arial" w:hAnsi="Arial" w:cs="Arial"/>
          <w:sz w:val="20"/>
          <w:szCs w:val="20"/>
          <w:lang w:val="es-UY"/>
        </w:rPr>
        <w:t>15.2</w:t>
      </w:r>
      <w:r w:rsidRPr="00CB7E2E">
        <w:rPr>
          <w:rFonts w:ascii="Arial" w:hAnsi="Arial" w:cs="Arial"/>
          <w:sz w:val="20"/>
          <w:szCs w:val="20"/>
          <w:lang w:val="es-UY"/>
        </w:rPr>
        <w:t>.</w:t>
      </w:r>
      <w:bookmarkEnd w:id="1037"/>
      <w:r w:rsidR="00377A8B" w:rsidRPr="00CB7E2E">
        <w:rPr>
          <w:rFonts w:ascii="Arial" w:hAnsi="Arial" w:cs="Arial"/>
          <w:sz w:val="20"/>
          <w:szCs w:val="20"/>
          <w:lang w:val="es-UY"/>
        </w:rPr>
        <w:t xml:space="preserve"> </w:t>
      </w:r>
    </w:p>
    <w:p w14:paraId="24649C08" w14:textId="77777777" w:rsidR="00B24E17" w:rsidRPr="00CB7E2E" w:rsidRDefault="00B24E17" w:rsidP="00CB7E2E">
      <w:pPr>
        <w:jc w:val="both"/>
        <w:rPr>
          <w:rFonts w:ascii="Arial" w:hAnsi="Arial" w:cs="Arial"/>
          <w:sz w:val="20"/>
          <w:szCs w:val="20"/>
          <w:lang w:val="es-UY"/>
        </w:rPr>
      </w:pPr>
      <w:bookmarkStart w:id="1038" w:name="_Toc450568703"/>
      <w:bookmarkStart w:id="1039" w:name="A_T2_RubrosMetrajesTramo"/>
      <w:r w:rsidRPr="00CB7E2E">
        <w:rPr>
          <w:rFonts w:ascii="Arial" w:hAnsi="Arial" w:cs="Arial"/>
          <w:sz w:val="20"/>
          <w:szCs w:val="20"/>
          <w:lang w:val="es-UY"/>
        </w:rPr>
        <w:t>Tabla A.II-1</w:t>
      </w:r>
      <w:bookmarkEnd w:id="1038"/>
    </w:p>
    <w:bookmarkEnd w:id="1039"/>
    <w:p w14:paraId="42C2965A" w14:textId="77777777" w:rsidR="00B24E17" w:rsidRPr="00CB7E2E" w:rsidRDefault="009E4FAB" w:rsidP="00CB7E2E">
      <w:pPr>
        <w:jc w:val="both"/>
        <w:rPr>
          <w:rFonts w:ascii="Arial" w:hAnsi="Arial" w:cs="Arial"/>
          <w:sz w:val="20"/>
          <w:szCs w:val="20"/>
          <w:lang w:val="es-UY"/>
        </w:rPr>
      </w:pPr>
      <w:r w:rsidRPr="00CB7E2E">
        <w:rPr>
          <w:noProof/>
          <w:sz w:val="20"/>
          <w:szCs w:val="20"/>
          <w:lang w:val="es-UY" w:eastAsia="es-UY"/>
        </w:rPr>
        <w:drawing>
          <wp:inline distT="0" distB="0" distL="0" distR="0" wp14:anchorId="254E47C8" wp14:editId="47247C9A">
            <wp:extent cx="5400675" cy="30671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00675" cy="3067146"/>
                    </a:xfrm>
                    <a:prstGeom prst="rect">
                      <a:avLst/>
                    </a:prstGeom>
                    <a:noFill/>
                    <a:ln>
                      <a:noFill/>
                    </a:ln>
                  </pic:spPr>
                </pic:pic>
              </a:graphicData>
            </a:graphic>
          </wp:inline>
        </w:drawing>
      </w:r>
    </w:p>
    <w:p w14:paraId="3E0EE46B" w14:textId="1CA8BBFC" w:rsidR="00B24E17" w:rsidRPr="00CB7E2E" w:rsidRDefault="00B24E17" w:rsidP="00CB7E2E">
      <w:pPr>
        <w:jc w:val="both"/>
        <w:rPr>
          <w:rFonts w:ascii="Arial" w:hAnsi="Arial" w:cs="Arial"/>
          <w:sz w:val="20"/>
          <w:szCs w:val="20"/>
          <w:lang w:val="es-UY"/>
        </w:rPr>
      </w:pPr>
      <w:bookmarkStart w:id="1040" w:name="_Toc450568704"/>
      <w:r w:rsidRPr="00CB7E2E">
        <w:rPr>
          <w:rFonts w:ascii="Arial" w:hAnsi="Arial" w:cs="Arial"/>
          <w:sz w:val="20"/>
          <w:szCs w:val="20"/>
          <w:lang w:val="es-UY"/>
        </w:rPr>
        <w:lastRenderedPageBreak/>
        <w:t xml:space="preserve">Para obtener cada valor de </w:t>
      </w:r>
      <w:r w:rsidRPr="00CB7E2E">
        <w:rPr>
          <w:rFonts w:ascii="Arial" w:hAnsi="Arial" w:cs="Arial"/>
          <w:b/>
          <w:bCs/>
          <w:sz w:val="20"/>
          <w:szCs w:val="20"/>
          <w:lang w:val="es-UY"/>
        </w:rPr>
        <w:t>“A(i)”</w:t>
      </w:r>
      <w:r w:rsidRPr="00CB7E2E">
        <w:rPr>
          <w:rFonts w:ascii="Arial" w:hAnsi="Arial" w:cs="Arial"/>
          <w:sz w:val="20"/>
          <w:szCs w:val="20"/>
          <w:lang w:val="es-UY"/>
        </w:rPr>
        <w:t xml:space="preserve">a cotizar por el oferente, éste elegirá y aplicará al </w:t>
      </w:r>
      <w:r w:rsidRPr="00CB7E2E">
        <w:rPr>
          <w:rFonts w:ascii="Arial" w:hAnsi="Arial" w:cs="Arial"/>
          <w:b/>
          <w:bCs/>
          <w:sz w:val="20"/>
          <w:szCs w:val="20"/>
          <w:lang w:val="es-UY"/>
        </w:rPr>
        <w:t>Total (i)</w:t>
      </w:r>
      <w:r w:rsidRPr="00CB7E2E">
        <w:rPr>
          <w:rFonts w:ascii="Arial" w:hAnsi="Arial" w:cs="Arial"/>
          <w:sz w:val="20"/>
          <w:szCs w:val="20"/>
          <w:lang w:val="es-UY"/>
        </w:rPr>
        <w:t xml:space="preserve"> que surja de las Tablas de cada tramo, un único </w:t>
      </w:r>
      <w:r w:rsidRPr="00CB7E2E">
        <w:rPr>
          <w:rFonts w:ascii="Arial" w:hAnsi="Arial" w:cs="Arial"/>
          <w:b/>
          <w:bCs/>
          <w:sz w:val="20"/>
          <w:szCs w:val="20"/>
          <w:lang w:val="es-UY"/>
        </w:rPr>
        <w:t>factor f</w:t>
      </w:r>
      <w:r w:rsidRPr="00CB7E2E">
        <w:rPr>
          <w:b/>
          <w:bCs/>
          <w:sz w:val="20"/>
          <w:szCs w:val="20"/>
          <w:lang w:val="es-UY"/>
        </w:rPr>
        <w:t>₁</w:t>
      </w:r>
      <w:r w:rsidRPr="00CB7E2E">
        <w:rPr>
          <w:rFonts w:ascii="Arial" w:hAnsi="Arial" w:cs="Arial"/>
          <w:sz w:val="20"/>
          <w:szCs w:val="20"/>
          <w:lang w:val="es-UY"/>
        </w:rPr>
        <w:t xml:space="preserve"> (idéntico para todos los tramos y todas las obras, puesta a punto y complementarias).</w:t>
      </w:r>
      <w:bookmarkEnd w:id="1040"/>
    </w:p>
    <w:p w14:paraId="5C5DC206" w14:textId="77777777" w:rsidR="00B24E17" w:rsidRPr="00CB7E2E" w:rsidRDefault="00B24E17" w:rsidP="00CB7E2E">
      <w:pPr>
        <w:jc w:val="both"/>
        <w:rPr>
          <w:rFonts w:ascii="Arial" w:hAnsi="Arial" w:cs="Arial"/>
          <w:sz w:val="20"/>
          <w:szCs w:val="20"/>
          <w:lang w:val="es-UY"/>
        </w:rPr>
      </w:pPr>
      <w:bookmarkStart w:id="1041" w:name="_Toc450568705"/>
      <w:r w:rsidRPr="00CB7E2E">
        <w:rPr>
          <w:rFonts w:ascii="Arial" w:hAnsi="Arial" w:cs="Arial"/>
          <w:sz w:val="20"/>
          <w:szCs w:val="20"/>
          <w:lang w:val="es-UY"/>
        </w:rPr>
        <w:t>El componente A de la oferta, para el total de los tramos se obtiene de la siguiente manera:</w:t>
      </w:r>
      <w:bookmarkEnd w:id="1041"/>
      <w:r w:rsidRPr="00CB7E2E">
        <w:rPr>
          <w:rFonts w:ascii="Arial" w:hAnsi="Arial" w:cs="Arial"/>
          <w:sz w:val="20"/>
          <w:szCs w:val="20"/>
          <w:lang w:val="es-UY"/>
        </w:rPr>
        <w:t xml:space="preserve"> </w:t>
      </w:r>
    </w:p>
    <w:p w14:paraId="13E94244" w14:textId="77777777" w:rsidR="00B24E17" w:rsidRPr="00CB7E2E" w:rsidRDefault="00B24E17" w:rsidP="00CB7E2E">
      <w:pPr>
        <w:jc w:val="both"/>
        <w:rPr>
          <w:rFonts w:ascii="Arial" w:hAnsi="Arial" w:cs="Arial"/>
          <w:sz w:val="20"/>
          <w:szCs w:val="20"/>
          <w:lang w:val="es-UY"/>
        </w:rPr>
      </w:pPr>
    </w:p>
    <w:p w14:paraId="769FD542" w14:textId="77777777" w:rsidR="00B24E17" w:rsidRPr="00CB7E2E" w:rsidRDefault="00B24E17" w:rsidP="00CB7E2E">
      <w:pPr>
        <w:jc w:val="both"/>
        <w:rPr>
          <w:rFonts w:ascii="Arial" w:hAnsi="Arial" w:cs="Arial"/>
          <w:b/>
          <w:bCs/>
          <w:sz w:val="20"/>
          <w:szCs w:val="20"/>
          <w:lang w:val="es-UY"/>
        </w:rPr>
      </w:pPr>
      <w:bookmarkStart w:id="1042" w:name="_Toc450568706"/>
      <w:r w:rsidRPr="00CB7E2E">
        <w:rPr>
          <w:rFonts w:ascii="Arial" w:hAnsi="Arial" w:cs="Arial"/>
          <w:b/>
          <w:bCs/>
          <w:sz w:val="20"/>
          <w:szCs w:val="20"/>
          <w:lang w:val="es-UY"/>
        </w:rPr>
        <w:t xml:space="preserve">Componente A de la oferta = </w:t>
      </w:r>
      <w:r w:rsidR="00587284" w:rsidRPr="00CB7E2E">
        <w:rPr>
          <w:rFonts w:ascii="Arial" w:hAnsi="Arial" w:cs="Arial"/>
          <w:b/>
          <w:bCs/>
          <w:sz w:val="20"/>
          <w:szCs w:val="20"/>
          <w:lang w:val="es-UY"/>
        </w:rPr>
        <w:fldChar w:fldCharType="begin"/>
      </w:r>
      <w:r w:rsidRPr="00CB7E2E">
        <w:rPr>
          <w:rFonts w:ascii="Arial" w:hAnsi="Arial" w:cs="Arial"/>
          <w:b/>
          <w:bCs/>
          <w:sz w:val="20"/>
          <w:szCs w:val="20"/>
          <w:lang w:val="es-UY"/>
        </w:rPr>
        <w:instrText xml:space="preserve"> QUOTE </w:instrText>
      </w:r>
      <w:r w:rsidRPr="00CB7E2E">
        <w:rPr>
          <w:rFonts w:cs="Times New Roman"/>
          <w:noProof/>
          <w:sz w:val="20"/>
          <w:szCs w:val="20"/>
          <w:lang w:val="es-UY" w:eastAsia="es-UY"/>
        </w:rPr>
        <w:drawing>
          <wp:inline distT="0" distB="0" distL="0" distR="0" wp14:anchorId="5DCCFB95" wp14:editId="1BDC6297">
            <wp:extent cx="495300" cy="46672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495300" cy="466725"/>
                    </a:xfrm>
                    <a:prstGeom prst="rect">
                      <a:avLst/>
                    </a:prstGeom>
                    <a:noFill/>
                    <a:ln w="9525">
                      <a:noFill/>
                      <a:miter lim="800000"/>
                      <a:headEnd/>
                      <a:tailEnd/>
                    </a:ln>
                  </pic:spPr>
                </pic:pic>
              </a:graphicData>
            </a:graphic>
          </wp:inline>
        </w:drawing>
      </w:r>
      <w:r w:rsidRPr="00CB7E2E">
        <w:rPr>
          <w:rFonts w:ascii="Arial" w:hAnsi="Arial" w:cs="Arial"/>
          <w:b/>
          <w:bCs/>
          <w:sz w:val="20"/>
          <w:szCs w:val="20"/>
          <w:lang w:val="es-UY"/>
        </w:rPr>
        <w:instrText xml:space="preserve"> </w:instrText>
      </w:r>
      <w:r w:rsidR="00587284"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70BEFE10" wp14:editId="6A25A964">
            <wp:extent cx="495300" cy="4667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495300" cy="466725"/>
                    </a:xfrm>
                    <a:prstGeom prst="rect">
                      <a:avLst/>
                    </a:prstGeom>
                    <a:noFill/>
                    <a:ln w="9525">
                      <a:noFill/>
                      <a:miter lim="800000"/>
                      <a:headEnd/>
                      <a:tailEnd/>
                    </a:ln>
                  </pic:spPr>
                </pic:pic>
              </a:graphicData>
            </a:graphic>
          </wp:inline>
        </w:drawing>
      </w:r>
      <w:bookmarkEnd w:id="1042"/>
      <w:r w:rsidR="00587284" w:rsidRPr="00CB7E2E">
        <w:rPr>
          <w:rFonts w:ascii="Arial" w:hAnsi="Arial" w:cs="Arial"/>
          <w:b/>
          <w:bCs/>
          <w:sz w:val="20"/>
          <w:szCs w:val="20"/>
          <w:lang w:val="es-UY"/>
        </w:rPr>
        <w:fldChar w:fldCharType="end"/>
      </w:r>
    </w:p>
    <w:p w14:paraId="6CC54BC5" w14:textId="77777777" w:rsidR="00B24E17" w:rsidRPr="00CB7E2E" w:rsidRDefault="00B24E17" w:rsidP="00CB7E2E">
      <w:pPr>
        <w:jc w:val="both"/>
        <w:rPr>
          <w:rFonts w:ascii="Arial" w:hAnsi="Arial" w:cs="Arial"/>
          <w:sz w:val="20"/>
          <w:szCs w:val="20"/>
          <w:lang w:val="es-UY"/>
        </w:rPr>
      </w:pPr>
      <w:bookmarkStart w:id="1043" w:name="_Toc450568707"/>
      <w:r w:rsidRPr="00CB7E2E">
        <w:rPr>
          <w:rFonts w:ascii="Arial" w:hAnsi="Arial" w:cs="Arial"/>
          <w:sz w:val="20"/>
          <w:szCs w:val="20"/>
          <w:lang w:val="es-UY"/>
        </w:rPr>
        <w:t>Siendo:</w:t>
      </w:r>
      <w:bookmarkEnd w:id="1043"/>
    </w:p>
    <w:p w14:paraId="67F8BC13" w14:textId="5E1EBC53" w:rsidR="00B24E17" w:rsidRPr="00CB7E2E" w:rsidRDefault="00B24E17" w:rsidP="00CB7E2E">
      <w:pPr>
        <w:jc w:val="both"/>
        <w:rPr>
          <w:rFonts w:ascii="Arial" w:hAnsi="Arial" w:cs="Arial"/>
          <w:sz w:val="20"/>
          <w:szCs w:val="20"/>
          <w:lang w:val="es-UY"/>
        </w:rPr>
      </w:pPr>
      <w:bookmarkStart w:id="1044" w:name="_Toc450568708"/>
      <w:r w:rsidRPr="00CB7E2E">
        <w:rPr>
          <w:rFonts w:ascii="Arial" w:hAnsi="Arial" w:cs="Arial"/>
          <w:sz w:val="20"/>
          <w:szCs w:val="20"/>
          <w:lang w:val="es-UY"/>
        </w:rPr>
        <w:t>A(i) el valor obtenido de la suma de todas las obras de cada tramo (puesta a punto y complementarias) resultado de la suma producto de los metraje</w:t>
      </w:r>
      <w:r w:rsidRPr="007B5D27">
        <w:rPr>
          <w:rFonts w:ascii="Arial" w:hAnsi="Arial" w:cs="Arial"/>
          <w:sz w:val="20"/>
          <w:szCs w:val="20"/>
          <w:lang w:val="es-UY"/>
        </w:rPr>
        <w:t>s</w:t>
      </w:r>
      <w:r w:rsidR="00083ED6" w:rsidRPr="007B5D27">
        <w:rPr>
          <w:rFonts w:ascii="Arial" w:hAnsi="Arial" w:cs="Arial"/>
          <w:sz w:val="20"/>
          <w:szCs w:val="20"/>
          <w:lang w:val="es-UY"/>
        </w:rPr>
        <w:t xml:space="preserve"> </w:t>
      </w:r>
      <w:r w:rsidR="002B701E">
        <w:rPr>
          <w:rFonts w:ascii="Arial" w:hAnsi="Arial" w:cs="Arial"/>
          <w:sz w:val="20"/>
          <w:szCs w:val="20"/>
          <w:lang w:val="es-UY"/>
        </w:rPr>
        <w:t xml:space="preserve">m(j) </w:t>
      </w:r>
      <w:r w:rsidRPr="007B5D27">
        <w:rPr>
          <w:rFonts w:ascii="Arial" w:hAnsi="Arial" w:cs="Arial"/>
          <w:sz w:val="20"/>
          <w:szCs w:val="20"/>
          <w:lang w:val="es-UY"/>
        </w:rPr>
        <w:t>propuestos por el oferente multiplicados por los “precios unitarios base</w:t>
      </w:r>
      <w:r w:rsidRPr="00CB7E2E">
        <w:rPr>
          <w:rFonts w:ascii="Arial" w:hAnsi="Arial" w:cs="Arial"/>
          <w:sz w:val="20"/>
          <w:szCs w:val="20"/>
          <w:lang w:val="es-UY"/>
        </w:rPr>
        <w:t>"</w:t>
      </w:r>
      <w:r w:rsidRPr="007B5D27">
        <w:rPr>
          <w:rFonts w:ascii="Arial" w:hAnsi="Arial" w:cs="Arial"/>
          <w:sz w:val="20"/>
          <w:szCs w:val="20"/>
          <w:lang w:val="es-UY"/>
        </w:rPr>
        <w:t xml:space="preserve"> </w:t>
      </w:r>
      <w:r w:rsidR="002B701E">
        <w:rPr>
          <w:rFonts w:ascii="Arial" w:hAnsi="Arial" w:cs="Arial"/>
          <w:sz w:val="20"/>
          <w:szCs w:val="20"/>
          <w:lang w:val="es-UY"/>
        </w:rPr>
        <w:t xml:space="preserve">p(j) </w:t>
      </w:r>
      <w:r w:rsidRPr="007B5D27">
        <w:rPr>
          <w:rFonts w:ascii="Arial" w:hAnsi="Arial" w:cs="Arial"/>
          <w:sz w:val="20"/>
          <w:szCs w:val="20"/>
          <w:lang w:val="es-UY"/>
        </w:rPr>
        <w:t>suministrados</w:t>
      </w:r>
      <w:r w:rsidRPr="00CB7E2E">
        <w:rPr>
          <w:rFonts w:ascii="Arial" w:hAnsi="Arial" w:cs="Arial"/>
          <w:sz w:val="20"/>
          <w:szCs w:val="20"/>
          <w:lang w:val="es-UY"/>
        </w:rPr>
        <w:t xml:space="preserve"> por la Contratante por el factor f</w:t>
      </w:r>
      <w:r w:rsidRPr="00CB7E2E">
        <w:rPr>
          <w:sz w:val="20"/>
          <w:szCs w:val="20"/>
          <w:lang w:val="es-UY"/>
        </w:rPr>
        <w:t>₁</w:t>
      </w:r>
      <w:r w:rsidRPr="00CB7E2E">
        <w:rPr>
          <w:rFonts w:ascii="Arial" w:hAnsi="Arial" w:cs="Arial"/>
          <w:sz w:val="20"/>
          <w:szCs w:val="20"/>
          <w:lang w:val="es-UY"/>
        </w:rPr>
        <w:t>.</w:t>
      </w:r>
      <w:bookmarkEnd w:id="1044"/>
      <w:r w:rsidRPr="00CB7E2E">
        <w:rPr>
          <w:rFonts w:ascii="Arial" w:hAnsi="Arial" w:cs="Arial"/>
          <w:sz w:val="20"/>
          <w:szCs w:val="20"/>
          <w:lang w:val="es-UY"/>
        </w:rPr>
        <w:t xml:space="preserve"> </w:t>
      </w:r>
    </w:p>
    <w:p w14:paraId="4C541A51" w14:textId="77777777" w:rsidR="00B24E17" w:rsidRPr="00CB7E2E" w:rsidRDefault="00B24E17" w:rsidP="00CB7E2E">
      <w:pPr>
        <w:jc w:val="both"/>
        <w:rPr>
          <w:rFonts w:ascii="Arial" w:hAnsi="Arial" w:cs="Arial"/>
          <w:sz w:val="20"/>
          <w:szCs w:val="20"/>
          <w:lang w:val="es-UY"/>
        </w:rPr>
      </w:pPr>
      <w:bookmarkStart w:id="1045" w:name="_Toc450568709"/>
      <w:r w:rsidRPr="00CB7E2E">
        <w:rPr>
          <w:rFonts w:ascii="Arial" w:hAnsi="Arial" w:cs="Arial"/>
          <w:sz w:val="20"/>
          <w:szCs w:val="20"/>
          <w:lang w:val="es-UY"/>
        </w:rPr>
        <w:t>N el número de tramos del circuito</w:t>
      </w:r>
      <w:bookmarkEnd w:id="1045"/>
    </w:p>
    <w:p w14:paraId="0D8B81A5" w14:textId="020E7FB6" w:rsidR="00B24E17" w:rsidRPr="00B66C41" w:rsidRDefault="00B14DCC">
      <w:pPr>
        <w:jc w:val="both"/>
        <w:rPr>
          <w:rFonts w:ascii="Arial" w:hAnsi="Arial" w:cs="Arial"/>
          <w:sz w:val="20"/>
          <w:szCs w:val="20"/>
          <w:highlight w:val="lightGray"/>
          <w:lang w:val="es-UY"/>
        </w:rPr>
      </w:pPr>
      <w:r w:rsidRPr="00CB7E2E">
        <w:rPr>
          <w:rFonts w:ascii="Arial" w:hAnsi="Arial" w:cs="Arial"/>
          <w:b/>
          <w:bCs/>
          <w:sz w:val="20"/>
          <w:szCs w:val="20"/>
        </w:rPr>
        <w:t xml:space="preserve"> </w:t>
      </w:r>
      <w:r w:rsidR="00B24E17" w:rsidRPr="00CB7E2E">
        <w:rPr>
          <w:rFonts w:ascii="Arial" w:hAnsi="Arial" w:cs="Arial"/>
          <w:b/>
          <w:bCs/>
          <w:sz w:val="20"/>
          <w:szCs w:val="20"/>
        </w:rPr>
        <w:t xml:space="preserve"> </w:t>
      </w:r>
    </w:p>
    <w:p w14:paraId="65669F84" w14:textId="77777777" w:rsidR="006D2C16" w:rsidRPr="00CB7E2E" w:rsidRDefault="006D2C16" w:rsidP="00CB7E2E">
      <w:pPr>
        <w:jc w:val="both"/>
        <w:rPr>
          <w:rFonts w:ascii="Arial" w:hAnsi="Arial" w:cs="Arial"/>
          <w:sz w:val="20"/>
          <w:szCs w:val="20"/>
          <w:lang w:val="es-UY"/>
        </w:rPr>
      </w:pPr>
    </w:p>
    <w:p w14:paraId="2D027667" w14:textId="77777777" w:rsidR="00B24E17" w:rsidRPr="001003E6" w:rsidRDefault="00B24E17" w:rsidP="009A58E0">
      <w:pPr>
        <w:pStyle w:val="Prrafodelista"/>
        <w:numPr>
          <w:ilvl w:val="1"/>
          <w:numId w:val="118"/>
        </w:numPr>
        <w:jc w:val="both"/>
        <w:rPr>
          <w:rFonts w:ascii="Arial" w:hAnsi="Arial" w:cs="Arial"/>
          <w:sz w:val="20"/>
          <w:szCs w:val="20"/>
        </w:rPr>
      </w:pPr>
      <w:bookmarkStart w:id="1046" w:name="_Toc400636212"/>
      <w:bookmarkStart w:id="1047" w:name="_Toc450568717"/>
      <w:r w:rsidRPr="001003E6">
        <w:rPr>
          <w:rFonts w:ascii="Arial" w:hAnsi="Arial" w:cs="Arial"/>
          <w:sz w:val="20"/>
          <w:szCs w:val="20"/>
        </w:rPr>
        <w:t>Definición de la componente B de la oferta</w:t>
      </w:r>
      <w:bookmarkEnd w:id="1046"/>
      <w:bookmarkEnd w:id="1047"/>
    </w:p>
    <w:p w14:paraId="52851307" w14:textId="77777777" w:rsidR="00B24E17" w:rsidRPr="00CB7E2E" w:rsidRDefault="00615FE1" w:rsidP="00CB7E2E">
      <w:pPr>
        <w:jc w:val="both"/>
        <w:rPr>
          <w:rFonts w:ascii="Arial" w:hAnsi="Arial" w:cs="Arial"/>
          <w:sz w:val="20"/>
          <w:szCs w:val="20"/>
          <w:lang w:val="es-UY"/>
        </w:rPr>
      </w:pPr>
      <w:bookmarkStart w:id="1048" w:name="_Toc450568718"/>
      <w:r>
        <w:rPr>
          <w:rFonts w:ascii="Arial" w:hAnsi="Arial" w:cs="Arial"/>
          <w:sz w:val="20"/>
          <w:szCs w:val="20"/>
          <w:lang w:val="es-UY"/>
        </w:rPr>
        <w:lastRenderedPageBreak/>
        <w:t xml:space="preserve">En el </w:t>
      </w:r>
      <w:hyperlink w:anchor="A_11" w:history="1">
        <w:r w:rsidRPr="003218BC">
          <w:rPr>
            <w:rStyle w:val="Hipervnculo"/>
            <w:rFonts w:ascii="Arial" w:hAnsi="Arial" w:cs="Arial"/>
            <w:sz w:val="20"/>
            <w:szCs w:val="20"/>
            <w:lang w:val="es-UY"/>
          </w:rPr>
          <w:t>Anexo XI</w:t>
        </w:r>
      </w:hyperlink>
      <w:r>
        <w:rPr>
          <w:rFonts w:ascii="Arial" w:hAnsi="Arial" w:cs="Arial"/>
          <w:sz w:val="20"/>
          <w:szCs w:val="20"/>
          <w:lang w:val="es-UY"/>
        </w:rPr>
        <w:t xml:space="preserve"> se </w:t>
      </w:r>
      <w:r w:rsidR="00B24E17" w:rsidRPr="00CB7E2E">
        <w:rPr>
          <w:rFonts w:ascii="Arial" w:hAnsi="Arial" w:cs="Arial"/>
          <w:sz w:val="20"/>
          <w:szCs w:val="20"/>
          <w:lang w:val="es-UY"/>
        </w:rPr>
        <w:t>suministra un “precio</w:t>
      </w:r>
      <w:r w:rsidR="00833691" w:rsidRPr="00CB7E2E">
        <w:rPr>
          <w:rFonts w:ascii="Arial" w:hAnsi="Arial" w:cs="Arial"/>
          <w:sz w:val="20"/>
          <w:szCs w:val="20"/>
          <w:lang w:val="es-UY"/>
        </w:rPr>
        <w:t xml:space="preserve"> unitario base” (en UI/km-mes).</w:t>
      </w:r>
      <w:r w:rsidR="00AB6666">
        <w:rPr>
          <w:rFonts w:ascii="Arial" w:hAnsi="Arial" w:cs="Arial"/>
          <w:sz w:val="20"/>
          <w:szCs w:val="20"/>
          <w:lang w:val="es-UY"/>
        </w:rPr>
        <w:t xml:space="preserve"> </w:t>
      </w:r>
      <w:r w:rsidR="0001163B">
        <w:rPr>
          <w:rFonts w:ascii="Arial" w:hAnsi="Arial" w:cs="Arial"/>
          <w:sz w:val="20"/>
          <w:szCs w:val="20"/>
          <w:lang w:val="es-UY"/>
        </w:rPr>
        <w:t>Este precio incluye</w:t>
      </w:r>
      <w:r w:rsidR="00B24E17" w:rsidRPr="00CB7E2E">
        <w:rPr>
          <w:rFonts w:ascii="Arial" w:hAnsi="Arial" w:cs="Arial"/>
          <w:sz w:val="20"/>
          <w:szCs w:val="20"/>
          <w:lang w:val="es-UY"/>
        </w:rPr>
        <w:t xml:space="preserve"> los costos de operación del contrato, las Leyes Sociales </w:t>
      </w:r>
      <w:r w:rsidR="00AB6666">
        <w:rPr>
          <w:rFonts w:ascii="Arial" w:hAnsi="Arial" w:cs="Arial"/>
          <w:sz w:val="20"/>
          <w:szCs w:val="20"/>
          <w:lang w:val="es-UY"/>
        </w:rPr>
        <w:t>y</w:t>
      </w:r>
      <w:r w:rsidR="00AB6666" w:rsidRPr="00CB7E2E">
        <w:rPr>
          <w:rFonts w:ascii="Arial" w:hAnsi="Arial" w:cs="Arial"/>
          <w:sz w:val="20"/>
          <w:szCs w:val="20"/>
          <w:lang w:val="es-UY"/>
        </w:rPr>
        <w:t xml:space="preserve"> </w:t>
      </w:r>
      <w:r w:rsidR="001D2D03">
        <w:rPr>
          <w:rFonts w:ascii="Arial" w:hAnsi="Arial" w:cs="Arial"/>
          <w:sz w:val="20"/>
          <w:szCs w:val="20"/>
          <w:lang w:val="es-UY"/>
        </w:rPr>
        <w:t>no incluye</w:t>
      </w:r>
      <w:r w:rsidR="00B24E17" w:rsidRPr="00CB7E2E">
        <w:rPr>
          <w:rFonts w:ascii="Arial" w:hAnsi="Arial" w:cs="Arial"/>
          <w:sz w:val="20"/>
          <w:szCs w:val="20"/>
          <w:lang w:val="es-UY"/>
        </w:rPr>
        <w:t xml:space="preserve"> el IVA, y constituirá la base de la remuneración que recibirá el Contratista</w:t>
      </w:r>
      <w:r w:rsidR="00B14DCC" w:rsidRPr="00CB7E2E">
        <w:rPr>
          <w:rFonts w:ascii="Arial" w:hAnsi="Arial" w:cs="Arial"/>
          <w:sz w:val="20"/>
          <w:szCs w:val="20"/>
          <w:lang w:val="es-UY"/>
        </w:rPr>
        <w:t xml:space="preserve"> </w:t>
      </w:r>
      <w:r w:rsidR="00B24E17" w:rsidRPr="00CB7E2E">
        <w:rPr>
          <w:rFonts w:ascii="Arial" w:hAnsi="Arial" w:cs="Arial"/>
          <w:sz w:val="20"/>
          <w:szCs w:val="20"/>
          <w:lang w:val="es-UY"/>
        </w:rPr>
        <w:t>para mantener el cumplimiento de los indicadores técnicos de disponibilidad.</w:t>
      </w:r>
      <w:bookmarkEnd w:id="1048"/>
    </w:p>
    <w:p w14:paraId="5637C391" w14:textId="77777777" w:rsidR="00B24E17" w:rsidRPr="00CB7E2E" w:rsidRDefault="00B24E17" w:rsidP="00CB7E2E">
      <w:pPr>
        <w:jc w:val="both"/>
        <w:rPr>
          <w:rFonts w:ascii="Arial" w:hAnsi="Arial" w:cs="Arial"/>
          <w:sz w:val="20"/>
          <w:szCs w:val="20"/>
          <w:lang w:val="es-UY"/>
        </w:rPr>
      </w:pPr>
      <w:bookmarkStart w:id="1049" w:name="_Toc450568719"/>
      <w:r w:rsidRPr="00CB7E2E">
        <w:rPr>
          <w:rFonts w:ascii="Arial" w:hAnsi="Arial" w:cs="Arial"/>
          <w:sz w:val="20"/>
          <w:szCs w:val="20"/>
          <w:lang w:val="es-UY"/>
        </w:rPr>
        <w:t xml:space="preserve">Para el cálculo de la </w:t>
      </w:r>
      <w:r w:rsidRPr="00915E20">
        <w:rPr>
          <w:rFonts w:ascii="Arial" w:hAnsi="Arial" w:cs="Arial"/>
          <w:bCs/>
          <w:sz w:val="20"/>
          <w:szCs w:val="20"/>
          <w:lang w:val="es-UY"/>
        </w:rPr>
        <w:t>componente B</w:t>
      </w:r>
      <w:r w:rsidRPr="00CB7E2E">
        <w:rPr>
          <w:rFonts w:ascii="Arial" w:hAnsi="Arial" w:cs="Arial"/>
          <w:sz w:val="20"/>
          <w:szCs w:val="20"/>
          <w:lang w:val="es-UY"/>
        </w:rPr>
        <w:t>, cada oferente diseñará un plan de mantenimiento acorde con las obras iniciales ofertadas.</w:t>
      </w:r>
      <w:bookmarkEnd w:id="1049"/>
      <w:r w:rsidRPr="00CB7E2E">
        <w:rPr>
          <w:rFonts w:ascii="Arial" w:hAnsi="Arial" w:cs="Arial"/>
          <w:sz w:val="20"/>
          <w:szCs w:val="20"/>
          <w:lang w:val="es-UY"/>
        </w:rPr>
        <w:t xml:space="preserve"> </w:t>
      </w:r>
    </w:p>
    <w:p w14:paraId="34566B37" w14:textId="77777777" w:rsidR="00B24E17" w:rsidRPr="00CB7E2E" w:rsidRDefault="00B24E17" w:rsidP="00CB7E2E">
      <w:pPr>
        <w:jc w:val="both"/>
        <w:rPr>
          <w:rFonts w:ascii="Arial" w:hAnsi="Arial" w:cs="Arial"/>
          <w:sz w:val="20"/>
          <w:szCs w:val="20"/>
          <w:lang w:val="es-UY"/>
        </w:rPr>
      </w:pPr>
      <w:bookmarkStart w:id="1050" w:name="_Toc450568720"/>
      <w:r w:rsidRPr="00CB7E2E">
        <w:rPr>
          <w:rFonts w:ascii="Arial" w:hAnsi="Arial" w:cs="Arial"/>
          <w:sz w:val="20"/>
          <w:szCs w:val="20"/>
          <w:lang w:val="es-UY"/>
        </w:rPr>
        <w:t xml:space="preserve">El componente B será la sumatoria de los valores </w:t>
      </w:r>
      <w:r w:rsidRPr="00915E20">
        <w:rPr>
          <w:rFonts w:ascii="Arial" w:hAnsi="Arial" w:cs="Arial"/>
          <w:bCs/>
          <w:sz w:val="20"/>
          <w:szCs w:val="20"/>
          <w:lang w:val="es-UY"/>
        </w:rPr>
        <w:t>B(i), obtenido para cada tramo. B(i)</w:t>
      </w:r>
      <w:r w:rsidRPr="00CB7E2E">
        <w:rPr>
          <w:rFonts w:ascii="Arial" w:hAnsi="Arial" w:cs="Arial"/>
          <w:sz w:val="20"/>
          <w:szCs w:val="20"/>
          <w:lang w:val="es-UY"/>
        </w:rPr>
        <w:t xml:space="preserve"> será el valor obtenido para cada tramo, resultado de multiplicar el “precio </w:t>
      </w:r>
      <w:r w:rsidR="006D2C16">
        <w:rPr>
          <w:rFonts w:ascii="Arial" w:hAnsi="Arial" w:cs="Arial"/>
          <w:sz w:val="20"/>
          <w:szCs w:val="20"/>
          <w:lang w:val="es-UY"/>
        </w:rPr>
        <w:t xml:space="preserve">unitario </w:t>
      </w:r>
      <w:r w:rsidRPr="00CB7E2E">
        <w:rPr>
          <w:rFonts w:ascii="Arial" w:hAnsi="Arial" w:cs="Arial"/>
          <w:sz w:val="20"/>
          <w:szCs w:val="20"/>
          <w:lang w:val="es-UY"/>
        </w:rPr>
        <w:t>base” de remuneración por mantenimiento en UI/km-mes suministrado, por la longitud en kilómetros de cada tramo, por el número de meses que surge de la Tabla A.II-2</w:t>
      </w:r>
      <w:r w:rsidR="00AB6666">
        <w:rPr>
          <w:rFonts w:ascii="Arial" w:hAnsi="Arial" w:cs="Arial"/>
          <w:sz w:val="20"/>
          <w:szCs w:val="20"/>
          <w:lang w:val="es-UY"/>
        </w:rPr>
        <w:t xml:space="preserve"> </w:t>
      </w:r>
      <w:r w:rsidRPr="00CB7E2E">
        <w:rPr>
          <w:rFonts w:ascii="Arial" w:hAnsi="Arial" w:cs="Arial"/>
          <w:sz w:val="20"/>
          <w:szCs w:val="20"/>
          <w:lang w:val="es-UY"/>
        </w:rPr>
        <w:t>que se presenta a continuación, por f</w:t>
      </w:r>
      <w:r w:rsidRPr="00CB7E2E">
        <w:rPr>
          <w:sz w:val="20"/>
          <w:szCs w:val="20"/>
          <w:lang w:val="es-UY"/>
        </w:rPr>
        <w:t>₂ (</w:t>
      </w:r>
      <w:r w:rsidRPr="00CB7E2E">
        <w:rPr>
          <w:rFonts w:ascii="Arial" w:hAnsi="Arial" w:cs="Arial"/>
          <w:sz w:val="20"/>
          <w:szCs w:val="20"/>
          <w:lang w:val="es-UY"/>
        </w:rPr>
        <w:t>coeficiente) idéntico para todos los tramos.</w:t>
      </w:r>
      <w:bookmarkEnd w:id="1050"/>
      <w:r w:rsidRPr="00CB7E2E">
        <w:rPr>
          <w:rFonts w:ascii="Arial" w:hAnsi="Arial" w:cs="Arial"/>
          <w:sz w:val="20"/>
          <w:szCs w:val="20"/>
          <w:lang w:val="es-UY"/>
        </w:rPr>
        <w:t xml:space="preserve"> </w:t>
      </w:r>
    </w:p>
    <w:p w14:paraId="725BF924" w14:textId="77777777" w:rsidR="00B24E17" w:rsidRPr="00CB7E2E" w:rsidRDefault="00B24E17" w:rsidP="00CB7E2E">
      <w:pPr>
        <w:jc w:val="both"/>
        <w:rPr>
          <w:rFonts w:ascii="Arial" w:hAnsi="Arial" w:cs="Arial"/>
          <w:sz w:val="20"/>
          <w:szCs w:val="20"/>
        </w:rPr>
      </w:pPr>
      <w:bookmarkStart w:id="1051" w:name="_Toc450568721"/>
      <w:r w:rsidRPr="00CB7E2E">
        <w:rPr>
          <w:rFonts w:ascii="Arial" w:hAnsi="Arial" w:cs="Arial"/>
          <w:sz w:val="20"/>
          <w:szCs w:val="20"/>
          <w:lang w:val="es-UY"/>
        </w:rPr>
        <w:t xml:space="preserve">Utilizando la fórmula siguiente. </w:t>
      </w:r>
      <w:r w:rsidR="00587284" w:rsidRPr="00CB7E2E">
        <w:rPr>
          <w:sz w:val="20"/>
          <w:szCs w:val="20"/>
        </w:rPr>
        <w:fldChar w:fldCharType="begin"/>
      </w:r>
      <w:r w:rsidRPr="00CB7E2E">
        <w:rPr>
          <w:sz w:val="20"/>
          <w:szCs w:val="20"/>
        </w:rPr>
        <w:instrText xml:space="preserve"> QUOTE </w:instrText>
      </w:r>
      <w:r w:rsidRPr="00CB7E2E">
        <w:rPr>
          <w:rFonts w:cs="Times New Roman"/>
          <w:noProof/>
          <w:sz w:val="20"/>
          <w:szCs w:val="20"/>
          <w:lang w:val="es-UY" w:eastAsia="es-UY"/>
        </w:rPr>
        <w:drawing>
          <wp:inline distT="0" distB="0" distL="0" distR="0" wp14:anchorId="41E04BA7" wp14:editId="54C315D7">
            <wp:extent cx="95250" cy="142875"/>
            <wp:effectExtent l="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8">
                      <a:clrChange>
                        <a:clrFrom>
                          <a:srgbClr val="FFFFFF"/>
                        </a:clrFrom>
                        <a:clrTo>
                          <a:srgbClr val="FFFFFF">
                            <a:alpha val="0"/>
                          </a:srgbClr>
                        </a:clrTo>
                      </a:clrChange>
                    </a:blip>
                    <a:srcRect/>
                    <a:stretch>
                      <a:fillRect/>
                    </a:stretch>
                  </pic:blipFill>
                  <pic:spPr bwMode="auto">
                    <a:xfrm>
                      <a:off x="0" y="0"/>
                      <a:ext cx="95250" cy="142875"/>
                    </a:xfrm>
                    <a:prstGeom prst="rect">
                      <a:avLst/>
                    </a:prstGeom>
                    <a:noFill/>
                    <a:ln w="9525">
                      <a:noFill/>
                      <a:miter lim="800000"/>
                      <a:headEnd/>
                      <a:tailEnd/>
                    </a:ln>
                  </pic:spPr>
                </pic:pic>
              </a:graphicData>
            </a:graphic>
          </wp:inline>
        </w:drawing>
      </w:r>
      <w:r w:rsidR="00587284" w:rsidRPr="00CB7E2E">
        <w:rPr>
          <w:sz w:val="20"/>
          <w:szCs w:val="20"/>
        </w:rPr>
        <w:fldChar w:fldCharType="separate"/>
      </w:r>
      <w:r w:rsidR="005735D1" w:rsidRPr="00CB7E2E">
        <w:rPr>
          <w:rFonts w:cs="Times New Roman"/>
          <w:noProof/>
          <w:sz w:val="20"/>
          <w:szCs w:val="20"/>
          <w:lang w:val="es-UY" w:eastAsia="es-UY"/>
        </w:rPr>
        <w:drawing>
          <wp:inline distT="0" distB="0" distL="0" distR="0" wp14:anchorId="5B29C095" wp14:editId="6BCDE80C">
            <wp:extent cx="95250" cy="14287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8">
                      <a:clrChange>
                        <a:clrFrom>
                          <a:srgbClr val="FFFFFF"/>
                        </a:clrFrom>
                        <a:clrTo>
                          <a:srgbClr val="FFFFFF">
                            <a:alpha val="0"/>
                          </a:srgbClr>
                        </a:clrTo>
                      </a:clrChange>
                    </a:blip>
                    <a:srcRect/>
                    <a:stretch>
                      <a:fillRect/>
                    </a:stretch>
                  </pic:blipFill>
                  <pic:spPr bwMode="auto">
                    <a:xfrm>
                      <a:off x="0" y="0"/>
                      <a:ext cx="95250" cy="142875"/>
                    </a:xfrm>
                    <a:prstGeom prst="rect">
                      <a:avLst/>
                    </a:prstGeom>
                    <a:noFill/>
                    <a:ln w="9525">
                      <a:noFill/>
                      <a:miter lim="800000"/>
                      <a:headEnd/>
                      <a:tailEnd/>
                    </a:ln>
                  </pic:spPr>
                </pic:pic>
              </a:graphicData>
            </a:graphic>
          </wp:inline>
        </w:drawing>
      </w:r>
      <w:bookmarkEnd w:id="1051"/>
      <w:r w:rsidR="00587284" w:rsidRPr="00CB7E2E">
        <w:rPr>
          <w:sz w:val="20"/>
          <w:szCs w:val="20"/>
        </w:rPr>
        <w:fldChar w:fldCharType="end"/>
      </w:r>
    </w:p>
    <w:bookmarkStart w:id="1052" w:name="_Toc450568722"/>
    <w:bookmarkEnd w:id="1052"/>
    <w:p w14:paraId="4D71C3F4" w14:textId="77777777" w:rsidR="00B24E17" w:rsidRPr="00CB7E2E" w:rsidRDefault="00B24E17" w:rsidP="00CB7E2E">
      <w:pPr>
        <w:jc w:val="both"/>
        <w:rPr>
          <w:rFonts w:ascii="Arial" w:hAnsi="Arial" w:cs="Arial"/>
          <w:sz w:val="20"/>
          <w:szCs w:val="20"/>
        </w:rPr>
      </w:pPr>
      <w:r w:rsidRPr="00CB7E2E">
        <w:rPr>
          <w:rFonts w:ascii="Arial" w:hAnsi="Arial" w:cs="Arial"/>
          <w:position w:val="-28"/>
          <w:sz w:val="20"/>
          <w:szCs w:val="20"/>
        </w:rPr>
        <w:object w:dxaOrig="4860" w:dyaOrig="680" w14:anchorId="713748B7">
          <v:shape id="_x0000_i1028" type="#_x0000_t75" style="width:244.5pt;height:28.5pt" o:ole="">
            <v:imagedata r:id="rId129" o:title=""/>
          </v:shape>
          <o:OLEObject Type="Embed" ProgID="Equation.3" ShapeID="_x0000_i1028" DrawAspect="Content" ObjectID="_1571644618" r:id="rId130"/>
        </w:object>
      </w:r>
    </w:p>
    <w:p w14:paraId="20773472" w14:textId="77777777" w:rsidR="00B24E17" w:rsidRPr="00CB7E2E" w:rsidRDefault="009826A3" w:rsidP="00CB7E2E">
      <w:pPr>
        <w:jc w:val="both"/>
        <w:rPr>
          <w:rFonts w:ascii="Arial" w:hAnsi="Arial" w:cs="Arial"/>
          <w:sz w:val="20"/>
          <w:szCs w:val="20"/>
        </w:rPr>
      </w:pPr>
      <w:bookmarkStart w:id="1053" w:name="_Toc450568723"/>
      <w:r w:rsidRPr="00CB7E2E">
        <w:rPr>
          <w:rFonts w:ascii="Arial" w:hAnsi="Arial" w:cs="Arial"/>
          <w:sz w:val="20"/>
          <w:szCs w:val="20"/>
        </w:rPr>
        <w:t>Siendo</w:t>
      </w:r>
      <w:r w:rsidR="00B24E17" w:rsidRPr="00CB7E2E">
        <w:rPr>
          <w:rFonts w:ascii="Arial" w:hAnsi="Arial" w:cs="Arial"/>
          <w:sz w:val="20"/>
          <w:szCs w:val="20"/>
        </w:rPr>
        <w:t>:</w:t>
      </w:r>
      <w:bookmarkEnd w:id="1053"/>
      <w:r w:rsidR="00B24E17" w:rsidRPr="00CB7E2E">
        <w:rPr>
          <w:rFonts w:ascii="Arial" w:hAnsi="Arial" w:cs="Arial"/>
          <w:sz w:val="20"/>
          <w:szCs w:val="20"/>
        </w:rPr>
        <w:t xml:space="preserve"> </w:t>
      </w:r>
    </w:p>
    <w:p w14:paraId="1823B3DC" w14:textId="0F6E0A85" w:rsidR="00B24E17" w:rsidRPr="00CB7E2E" w:rsidRDefault="00B24E17" w:rsidP="00CB7E2E">
      <w:pPr>
        <w:jc w:val="both"/>
        <w:rPr>
          <w:rFonts w:cs="Times New Roman"/>
          <w:sz w:val="20"/>
          <w:szCs w:val="20"/>
        </w:rPr>
      </w:pPr>
      <w:bookmarkStart w:id="1054" w:name="_Toc450568724"/>
      <w:r w:rsidRPr="00CB7E2E">
        <w:rPr>
          <w:rFonts w:ascii="Arial" w:hAnsi="Arial" w:cs="Arial"/>
          <w:i/>
          <w:iCs/>
          <w:sz w:val="20"/>
          <w:szCs w:val="20"/>
        </w:rPr>
        <w:t>pm</w:t>
      </w:r>
      <w:r w:rsidRPr="00CB7E2E">
        <w:rPr>
          <w:rFonts w:ascii="Arial" w:hAnsi="Arial" w:cs="Arial"/>
          <w:sz w:val="20"/>
          <w:szCs w:val="20"/>
        </w:rPr>
        <w:t xml:space="preserve"> =</w:t>
      </w:r>
      <w:r w:rsidRPr="00CB7E2E">
        <w:rPr>
          <w:rFonts w:ascii="Arial" w:hAnsi="Arial" w:cs="Arial"/>
          <w:sz w:val="20"/>
          <w:szCs w:val="20"/>
        </w:rPr>
        <w:tab/>
      </w:r>
      <w:r w:rsidRPr="00CB7E2E">
        <w:rPr>
          <w:rFonts w:ascii="Arial" w:hAnsi="Arial" w:cs="Arial"/>
          <w:sz w:val="20"/>
          <w:szCs w:val="20"/>
          <w:lang w:val="es-UY"/>
        </w:rPr>
        <w:t>“precio unitario base” de remuneración por mantenimiento. Este precio se</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suministra </w:t>
      </w:r>
      <w:r w:rsidR="002739D9">
        <w:rPr>
          <w:rFonts w:ascii="Arial" w:hAnsi="Arial" w:cs="Arial"/>
          <w:sz w:val="20"/>
          <w:szCs w:val="20"/>
          <w:lang w:val="es-UY"/>
        </w:rPr>
        <w:t xml:space="preserve">en el </w:t>
      </w:r>
      <w:hyperlink w:anchor="A_11" w:history="1">
        <w:r w:rsidR="002739D9" w:rsidRPr="003218BC">
          <w:rPr>
            <w:rStyle w:val="Hipervnculo"/>
            <w:rFonts w:ascii="Arial" w:hAnsi="Arial" w:cs="Arial"/>
            <w:sz w:val="20"/>
            <w:szCs w:val="20"/>
            <w:lang w:val="es-UY"/>
          </w:rPr>
          <w:t>Anexo XI</w:t>
        </w:r>
      </w:hyperlink>
      <w:r w:rsidR="002739D9">
        <w:rPr>
          <w:rFonts w:ascii="Arial" w:hAnsi="Arial" w:cs="Arial"/>
          <w:sz w:val="20"/>
          <w:szCs w:val="20"/>
          <w:lang w:val="es-UY"/>
        </w:rPr>
        <w:t>,</w:t>
      </w:r>
      <w:r w:rsidRPr="00CB7E2E">
        <w:rPr>
          <w:rFonts w:ascii="Arial" w:hAnsi="Arial" w:cs="Arial"/>
          <w:sz w:val="20"/>
          <w:szCs w:val="20"/>
          <w:lang w:val="es-UY"/>
        </w:rPr>
        <w:t xml:space="preserve"> en (UI/km-mes</w:t>
      </w:r>
      <w:r w:rsidR="00ED5F9B">
        <w:rPr>
          <w:rFonts w:ascii="Arial" w:hAnsi="Arial" w:cs="Arial"/>
          <w:sz w:val="20"/>
          <w:szCs w:val="20"/>
          <w:lang w:val="es-UY"/>
        </w:rPr>
        <w:t>) e incl</w:t>
      </w:r>
      <w:r w:rsidRPr="00CB7E2E">
        <w:rPr>
          <w:rFonts w:ascii="Arial" w:hAnsi="Arial" w:cs="Arial"/>
          <w:sz w:val="20"/>
          <w:szCs w:val="20"/>
          <w:lang w:val="es-UY"/>
        </w:rPr>
        <w:t>u</w:t>
      </w:r>
      <w:r w:rsidR="002739D9">
        <w:rPr>
          <w:rFonts w:ascii="Arial" w:hAnsi="Arial" w:cs="Arial"/>
          <w:sz w:val="20"/>
          <w:szCs w:val="20"/>
          <w:lang w:val="es-UY"/>
        </w:rPr>
        <w:t>ye</w:t>
      </w:r>
      <w:r w:rsidRPr="00CB7E2E">
        <w:rPr>
          <w:rFonts w:ascii="Arial" w:hAnsi="Arial" w:cs="Arial"/>
          <w:sz w:val="20"/>
          <w:szCs w:val="20"/>
          <w:lang w:val="es-UY"/>
        </w:rPr>
        <w:t xml:space="preserve"> </w:t>
      </w:r>
      <w:r w:rsidRPr="00CB7E2E">
        <w:rPr>
          <w:rFonts w:ascii="Arial" w:hAnsi="Arial" w:cs="Arial"/>
          <w:sz w:val="20"/>
          <w:szCs w:val="20"/>
          <w:lang w:val="es-UY"/>
        </w:rPr>
        <w:lastRenderedPageBreak/>
        <w:t>los costos de operación del contrato</w:t>
      </w:r>
      <w:r w:rsidR="002739D9">
        <w:rPr>
          <w:rFonts w:ascii="Arial" w:hAnsi="Arial" w:cs="Arial"/>
          <w:sz w:val="20"/>
          <w:szCs w:val="20"/>
          <w:lang w:val="es-UY"/>
        </w:rPr>
        <w:t xml:space="preserve">, </w:t>
      </w:r>
      <w:r w:rsidRPr="00CB7E2E">
        <w:rPr>
          <w:rFonts w:ascii="Arial" w:hAnsi="Arial" w:cs="Arial"/>
          <w:sz w:val="20"/>
          <w:szCs w:val="20"/>
          <w:lang w:val="es-UY"/>
        </w:rPr>
        <w:t xml:space="preserve"> las Leyes Sociales </w:t>
      </w:r>
      <w:r w:rsidR="00ED5F9B">
        <w:rPr>
          <w:rFonts w:ascii="Arial" w:hAnsi="Arial" w:cs="Arial"/>
          <w:sz w:val="20"/>
          <w:szCs w:val="20"/>
          <w:lang w:val="es-UY"/>
        </w:rPr>
        <w:t>y</w:t>
      </w:r>
      <w:r w:rsidR="00ED5F9B" w:rsidRPr="00CB7E2E">
        <w:rPr>
          <w:rFonts w:ascii="Arial" w:hAnsi="Arial" w:cs="Arial"/>
          <w:sz w:val="20"/>
          <w:szCs w:val="20"/>
          <w:lang w:val="es-UY"/>
        </w:rPr>
        <w:t xml:space="preserve"> </w:t>
      </w:r>
      <w:r w:rsidRPr="00CB7E2E">
        <w:rPr>
          <w:rFonts w:ascii="Arial" w:hAnsi="Arial" w:cs="Arial"/>
          <w:sz w:val="20"/>
          <w:szCs w:val="20"/>
          <w:lang w:val="es-UY"/>
        </w:rPr>
        <w:t>no inclu</w:t>
      </w:r>
      <w:r w:rsidR="002739D9">
        <w:rPr>
          <w:rFonts w:ascii="Arial" w:hAnsi="Arial" w:cs="Arial"/>
          <w:sz w:val="20"/>
          <w:szCs w:val="20"/>
          <w:lang w:val="es-UY"/>
        </w:rPr>
        <w:t>ye</w:t>
      </w:r>
      <w:r w:rsidRPr="00CB7E2E">
        <w:rPr>
          <w:rFonts w:ascii="Arial" w:hAnsi="Arial" w:cs="Arial"/>
          <w:sz w:val="20"/>
          <w:szCs w:val="20"/>
          <w:lang w:val="es-UY"/>
        </w:rPr>
        <w:t xml:space="preserve"> el IVA.</w:t>
      </w:r>
      <w:bookmarkEnd w:id="1054"/>
      <w:r w:rsidRPr="00CB7E2E">
        <w:rPr>
          <w:sz w:val="20"/>
          <w:szCs w:val="20"/>
        </w:rPr>
        <w:t xml:space="preserve"> </w:t>
      </w:r>
    </w:p>
    <w:p w14:paraId="2CB7CC79" w14:textId="77777777" w:rsidR="00B24E17" w:rsidRPr="00CB7E2E" w:rsidRDefault="00B24E17" w:rsidP="00CB7E2E">
      <w:pPr>
        <w:jc w:val="both"/>
        <w:rPr>
          <w:rFonts w:ascii="Arial" w:hAnsi="Arial" w:cs="Arial"/>
          <w:sz w:val="20"/>
          <w:szCs w:val="20"/>
          <w:lang w:val="es-UY"/>
        </w:rPr>
      </w:pPr>
      <w:bookmarkStart w:id="1055" w:name="_Toc450568725"/>
      <w:r w:rsidRPr="00CB7E2E">
        <w:rPr>
          <w:rFonts w:ascii="Arial" w:hAnsi="Arial" w:cs="Arial"/>
          <w:i/>
          <w:iCs/>
          <w:sz w:val="20"/>
          <w:szCs w:val="20"/>
        </w:rPr>
        <w:t>l(i)</w:t>
      </w:r>
      <w:r w:rsidRPr="00CB7E2E">
        <w:rPr>
          <w:rFonts w:ascii="Arial" w:hAnsi="Arial" w:cs="Arial"/>
          <w:sz w:val="20"/>
          <w:szCs w:val="20"/>
        </w:rPr>
        <w:t xml:space="preserve"> =</w:t>
      </w:r>
      <w:r w:rsidRPr="00CB7E2E">
        <w:rPr>
          <w:rFonts w:ascii="Arial" w:hAnsi="Arial" w:cs="Arial"/>
          <w:sz w:val="20"/>
          <w:szCs w:val="20"/>
        </w:rPr>
        <w:tab/>
      </w:r>
      <w:r w:rsidRPr="00CB7E2E">
        <w:rPr>
          <w:rFonts w:ascii="Arial" w:hAnsi="Arial" w:cs="Arial"/>
          <w:sz w:val="20"/>
          <w:szCs w:val="20"/>
          <w:lang w:val="es-UY"/>
        </w:rPr>
        <w:t>longitud en kilómetros del tramo “i”</w:t>
      </w:r>
      <w:bookmarkEnd w:id="1055"/>
    </w:p>
    <w:p w14:paraId="222C17B9" w14:textId="77777777" w:rsidR="00B24E17" w:rsidRPr="00CB7E2E" w:rsidRDefault="00B24E17" w:rsidP="00CB7E2E">
      <w:pPr>
        <w:jc w:val="both"/>
        <w:rPr>
          <w:rFonts w:ascii="Arial" w:hAnsi="Arial" w:cs="Arial"/>
          <w:i/>
          <w:iCs/>
          <w:sz w:val="20"/>
          <w:szCs w:val="20"/>
        </w:rPr>
      </w:pPr>
      <w:bookmarkStart w:id="1056" w:name="_Toc450568726"/>
      <w:r w:rsidRPr="00CB7E2E">
        <w:rPr>
          <w:rFonts w:ascii="Arial" w:hAnsi="Arial" w:cs="Arial"/>
          <w:i/>
          <w:iCs/>
          <w:sz w:val="20"/>
          <w:szCs w:val="20"/>
        </w:rPr>
        <w:t xml:space="preserve">número de meses: </w:t>
      </w:r>
      <w:r w:rsidRPr="00CB7E2E">
        <w:rPr>
          <w:rFonts w:ascii="Arial" w:hAnsi="Arial" w:cs="Arial"/>
          <w:sz w:val="20"/>
          <w:szCs w:val="20"/>
        </w:rPr>
        <w:t>es el número de meses que surge de la tabla</w:t>
      </w:r>
      <w:r w:rsidR="00AB6666">
        <w:rPr>
          <w:rFonts w:ascii="Arial" w:hAnsi="Arial" w:cs="Arial"/>
          <w:sz w:val="20"/>
          <w:szCs w:val="20"/>
        </w:rPr>
        <w:t xml:space="preserve"> </w:t>
      </w:r>
      <w:r w:rsidRPr="00CB7E2E">
        <w:rPr>
          <w:rFonts w:ascii="Arial" w:hAnsi="Arial" w:cs="Arial"/>
          <w:sz w:val="20"/>
          <w:szCs w:val="20"/>
          <w:lang w:val="es-UY"/>
        </w:rPr>
        <w:t>A.II-2</w:t>
      </w:r>
      <w:bookmarkEnd w:id="1056"/>
    </w:p>
    <w:p w14:paraId="1096DEEA" w14:textId="77777777" w:rsidR="00B24E17" w:rsidRPr="00CB7E2E" w:rsidRDefault="00B24E17" w:rsidP="00CB7E2E">
      <w:pPr>
        <w:jc w:val="both"/>
        <w:rPr>
          <w:rFonts w:ascii="Arial" w:hAnsi="Arial" w:cs="Arial"/>
          <w:sz w:val="20"/>
          <w:szCs w:val="20"/>
        </w:rPr>
      </w:pPr>
      <w:bookmarkStart w:id="1057" w:name="_Toc450568727"/>
      <w:r w:rsidRPr="00CB7E2E">
        <w:rPr>
          <w:rFonts w:ascii="Arial" w:hAnsi="Arial" w:cs="Arial"/>
          <w:i/>
          <w:iCs/>
          <w:sz w:val="20"/>
          <w:szCs w:val="20"/>
        </w:rPr>
        <w:t>f</w:t>
      </w:r>
      <w:r w:rsidRPr="00CB7E2E">
        <w:rPr>
          <w:rFonts w:ascii="Arial" w:hAnsi="Arial" w:cs="Arial"/>
          <w:i/>
          <w:iCs/>
          <w:sz w:val="20"/>
          <w:szCs w:val="20"/>
          <w:vertAlign w:val="subscript"/>
        </w:rPr>
        <w:t>2</w:t>
      </w:r>
      <w:r w:rsidRPr="00CB7E2E">
        <w:rPr>
          <w:rFonts w:ascii="Arial" w:hAnsi="Arial" w:cs="Arial"/>
          <w:sz w:val="20"/>
          <w:szCs w:val="20"/>
        </w:rPr>
        <w:t xml:space="preserve"> =</w:t>
      </w:r>
      <w:r w:rsidRPr="00CB7E2E">
        <w:rPr>
          <w:rFonts w:ascii="Arial" w:hAnsi="Arial" w:cs="Arial"/>
          <w:sz w:val="20"/>
          <w:szCs w:val="20"/>
        </w:rPr>
        <w:tab/>
        <w:t>coeficiente</w:t>
      </w:r>
      <w:bookmarkEnd w:id="1057"/>
      <w:r w:rsidRPr="00CB7E2E">
        <w:rPr>
          <w:rFonts w:ascii="Arial" w:hAnsi="Arial" w:cs="Arial"/>
          <w:sz w:val="20"/>
          <w:szCs w:val="20"/>
        </w:rPr>
        <w:t xml:space="preserve"> </w:t>
      </w:r>
    </w:p>
    <w:p w14:paraId="73562238" w14:textId="77777777" w:rsidR="0066267B" w:rsidRPr="00CB7E2E" w:rsidRDefault="0000549D" w:rsidP="00CB7E2E">
      <w:pPr>
        <w:jc w:val="both"/>
        <w:rPr>
          <w:rFonts w:ascii="Arial" w:hAnsi="Arial" w:cs="Arial"/>
          <w:sz w:val="20"/>
          <w:szCs w:val="20"/>
          <w:lang w:val="es-UY"/>
        </w:rPr>
      </w:pPr>
      <w:r w:rsidRPr="0000549D">
        <w:rPr>
          <w:noProof/>
          <w:lang w:val="es-UY" w:eastAsia="es-UY"/>
        </w:rPr>
        <w:drawing>
          <wp:inline distT="0" distB="0" distL="0" distR="0" wp14:anchorId="4A6BA3CC" wp14:editId="1E77A0DA">
            <wp:extent cx="5969661" cy="22669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75034" cy="2268990"/>
                    </a:xfrm>
                    <a:prstGeom prst="rect">
                      <a:avLst/>
                    </a:prstGeom>
                    <a:noFill/>
                    <a:ln>
                      <a:noFill/>
                    </a:ln>
                  </pic:spPr>
                </pic:pic>
              </a:graphicData>
            </a:graphic>
          </wp:inline>
        </w:drawing>
      </w:r>
    </w:p>
    <w:p w14:paraId="1D78C262" w14:textId="77777777" w:rsidR="00EC546E" w:rsidRPr="00CB7E2E" w:rsidRDefault="00EC546E" w:rsidP="00CB7E2E">
      <w:pPr>
        <w:jc w:val="both"/>
        <w:rPr>
          <w:rFonts w:ascii="Arial" w:hAnsi="Arial" w:cs="Arial"/>
          <w:sz w:val="20"/>
          <w:szCs w:val="20"/>
          <w:lang w:val="es-UY"/>
        </w:rPr>
      </w:pPr>
      <w:bookmarkStart w:id="1058" w:name="A_T3_Comp_B"/>
    </w:p>
    <w:p w14:paraId="3CC5F8E0" w14:textId="77777777" w:rsidR="00B24E17" w:rsidRPr="00CB7E2E" w:rsidRDefault="00B24E17" w:rsidP="00CB7E2E">
      <w:pPr>
        <w:jc w:val="both"/>
        <w:rPr>
          <w:rFonts w:ascii="Arial" w:hAnsi="Arial" w:cs="Arial"/>
          <w:sz w:val="20"/>
          <w:szCs w:val="20"/>
          <w:lang w:val="es-UY"/>
        </w:rPr>
      </w:pPr>
      <w:bookmarkStart w:id="1059" w:name="_Toc450568729"/>
      <w:bookmarkEnd w:id="1058"/>
      <w:r w:rsidRPr="00CB7E2E">
        <w:rPr>
          <w:rFonts w:ascii="Arial" w:hAnsi="Arial" w:cs="Arial"/>
          <w:sz w:val="20"/>
          <w:szCs w:val="20"/>
          <w:lang w:val="es-UY"/>
        </w:rPr>
        <w:t xml:space="preserve">Para obtener el valor de la componente B de la oferta los </w:t>
      </w:r>
      <w:r w:rsidRPr="009E2BFE">
        <w:rPr>
          <w:rFonts w:ascii="Arial" w:hAnsi="Arial" w:cs="Arial"/>
          <w:sz w:val="20"/>
          <w:szCs w:val="20"/>
          <w:lang w:val="es-UY"/>
        </w:rPr>
        <w:t xml:space="preserve">montos </w:t>
      </w:r>
      <w:r w:rsidRPr="009E2BFE">
        <w:rPr>
          <w:rFonts w:ascii="Arial" w:hAnsi="Arial" w:cs="Arial"/>
          <w:bCs/>
          <w:sz w:val="20"/>
          <w:szCs w:val="20"/>
          <w:lang w:val="es-UY"/>
        </w:rPr>
        <w:t>B(i)</w:t>
      </w:r>
      <w:r w:rsidRPr="00CB7E2E">
        <w:rPr>
          <w:rFonts w:ascii="Arial" w:hAnsi="Arial" w:cs="Arial"/>
          <w:sz w:val="20"/>
          <w:szCs w:val="20"/>
          <w:lang w:val="es-UY"/>
        </w:rPr>
        <w:t xml:space="preserve"> así obtenidos se suman, integrando todos los tramos.</w:t>
      </w:r>
      <w:bookmarkEnd w:id="1059"/>
    </w:p>
    <w:p w14:paraId="11E989F6" w14:textId="77777777" w:rsidR="002F4917" w:rsidRPr="00B66C41" w:rsidRDefault="002F4917" w:rsidP="00CB7E2E">
      <w:pPr>
        <w:jc w:val="both"/>
        <w:rPr>
          <w:rFonts w:ascii="Arial" w:hAnsi="Arial" w:cs="Arial"/>
          <w:sz w:val="20"/>
          <w:szCs w:val="20"/>
          <w:lang w:val="es-UY"/>
        </w:rPr>
      </w:pPr>
      <w:bookmarkStart w:id="1060" w:name="_Toc450568730"/>
      <w:r w:rsidRPr="00B66C41">
        <w:rPr>
          <w:rFonts w:ascii="Arial" w:hAnsi="Arial" w:cs="Arial"/>
          <w:sz w:val="20"/>
          <w:szCs w:val="20"/>
          <w:lang w:val="es-UY"/>
        </w:rPr>
        <w:t>Los valores establecidos en la presente tabla se usar</w:t>
      </w:r>
      <w:r w:rsidR="00A71467" w:rsidRPr="00B66C41">
        <w:rPr>
          <w:rFonts w:ascii="Arial" w:hAnsi="Arial" w:cs="Arial"/>
          <w:sz w:val="20"/>
          <w:szCs w:val="20"/>
          <w:lang w:val="es-UY"/>
        </w:rPr>
        <w:t>á</w:t>
      </w:r>
      <w:r w:rsidRPr="00B66C41">
        <w:rPr>
          <w:rFonts w:ascii="Arial" w:hAnsi="Arial" w:cs="Arial"/>
          <w:sz w:val="20"/>
          <w:szCs w:val="20"/>
          <w:lang w:val="es-UY"/>
        </w:rPr>
        <w:t>n al solo efecto de</w:t>
      </w:r>
      <w:r w:rsidR="005321DD" w:rsidRPr="00B66C41">
        <w:rPr>
          <w:rFonts w:ascii="Arial" w:hAnsi="Arial" w:cs="Arial"/>
          <w:sz w:val="20"/>
          <w:szCs w:val="20"/>
          <w:lang w:val="es-UY"/>
        </w:rPr>
        <w:t xml:space="preserve"> la comparación de las ofertas</w:t>
      </w:r>
      <w:r w:rsidRPr="00B66C41">
        <w:rPr>
          <w:rFonts w:ascii="Arial" w:hAnsi="Arial" w:cs="Arial"/>
          <w:sz w:val="20"/>
          <w:szCs w:val="20"/>
          <w:lang w:val="es-UY"/>
        </w:rPr>
        <w:t>. Los pagos se realizar</w:t>
      </w:r>
      <w:r w:rsidR="00A71467" w:rsidRPr="00B66C41">
        <w:rPr>
          <w:rFonts w:ascii="Arial" w:hAnsi="Arial" w:cs="Arial"/>
          <w:sz w:val="20"/>
          <w:szCs w:val="20"/>
          <w:lang w:val="es-UY"/>
        </w:rPr>
        <w:t>á</w:t>
      </w:r>
      <w:r w:rsidRPr="00B66C41">
        <w:rPr>
          <w:rFonts w:ascii="Arial" w:hAnsi="Arial" w:cs="Arial"/>
          <w:sz w:val="20"/>
          <w:szCs w:val="20"/>
          <w:lang w:val="es-UY"/>
        </w:rPr>
        <w:t xml:space="preserve">n </w:t>
      </w:r>
      <w:r w:rsidRPr="00B66C41">
        <w:rPr>
          <w:rFonts w:ascii="Arial" w:hAnsi="Arial" w:cs="Arial"/>
          <w:sz w:val="20"/>
          <w:szCs w:val="20"/>
          <w:lang w:val="es-UY"/>
        </w:rPr>
        <w:lastRenderedPageBreak/>
        <w:t xml:space="preserve">de acuerdo a lo establecido en el </w:t>
      </w:r>
      <w:hyperlink w:anchor="A_3" w:history="1">
        <w:r w:rsidRPr="00B66C41">
          <w:rPr>
            <w:rStyle w:val="Hipervnculo"/>
            <w:u w:val="none"/>
          </w:rPr>
          <w:t>Anexo III</w:t>
        </w:r>
      </w:hyperlink>
      <w:r w:rsidRPr="00B66C41">
        <w:rPr>
          <w:rFonts w:ascii="Arial" w:hAnsi="Arial" w:cs="Arial"/>
          <w:sz w:val="20"/>
          <w:szCs w:val="20"/>
          <w:lang w:val="es-UY"/>
        </w:rPr>
        <w:t xml:space="preserve"> y en la clá</w:t>
      </w:r>
      <w:r w:rsidR="00AA4BCE" w:rsidRPr="00B66C41">
        <w:rPr>
          <w:rFonts w:ascii="Arial" w:hAnsi="Arial" w:cs="Arial"/>
          <w:sz w:val="20"/>
          <w:szCs w:val="20"/>
          <w:lang w:val="es-UY"/>
        </w:rPr>
        <w:t>u</w:t>
      </w:r>
      <w:r w:rsidRPr="00B66C41">
        <w:rPr>
          <w:rFonts w:ascii="Arial" w:hAnsi="Arial" w:cs="Arial"/>
          <w:sz w:val="20"/>
          <w:szCs w:val="20"/>
          <w:lang w:val="es-UY"/>
        </w:rPr>
        <w:t>sula 54 del Capítulo XI de los presentes pliegos</w:t>
      </w:r>
      <w:r w:rsidR="00A71467" w:rsidRPr="00B66C41">
        <w:rPr>
          <w:rFonts w:ascii="Arial" w:hAnsi="Arial" w:cs="Arial"/>
          <w:sz w:val="20"/>
          <w:szCs w:val="20"/>
          <w:lang w:val="es-UY"/>
        </w:rPr>
        <w:t xml:space="preserve"> cuando corresponda</w:t>
      </w:r>
      <w:r w:rsidRPr="00B66C41">
        <w:rPr>
          <w:rFonts w:ascii="Arial" w:hAnsi="Arial" w:cs="Arial"/>
          <w:sz w:val="20"/>
          <w:szCs w:val="20"/>
          <w:lang w:val="es-UY"/>
        </w:rPr>
        <w:t>.</w:t>
      </w:r>
      <w:bookmarkEnd w:id="1060"/>
    </w:p>
    <w:p w14:paraId="475E5B03" w14:textId="77777777" w:rsidR="00B24E17" w:rsidRPr="00CB7E2E" w:rsidRDefault="00B24E17" w:rsidP="00CB7E2E">
      <w:pPr>
        <w:jc w:val="both"/>
        <w:rPr>
          <w:rFonts w:ascii="Arial" w:hAnsi="Arial" w:cs="Arial"/>
          <w:sz w:val="20"/>
          <w:szCs w:val="20"/>
          <w:lang w:val="es-UY"/>
        </w:rPr>
      </w:pPr>
    </w:p>
    <w:p w14:paraId="09D66839" w14:textId="77777777" w:rsidR="00B24E17" w:rsidRPr="00CB7E2E" w:rsidRDefault="00B24E17" w:rsidP="00CB7E2E">
      <w:pPr>
        <w:jc w:val="both"/>
        <w:rPr>
          <w:rFonts w:ascii="Arial" w:hAnsi="Arial" w:cs="Arial"/>
          <w:b/>
          <w:bCs/>
          <w:sz w:val="20"/>
          <w:szCs w:val="20"/>
          <w:lang w:val="es-UY"/>
        </w:rPr>
      </w:pPr>
      <w:bookmarkStart w:id="1061" w:name="_Toc450568731"/>
      <w:r w:rsidRPr="00CB7E2E">
        <w:rPr>
          <w:rFonts w:ascii="Arial" w:hAnsi="Arial" w:cs="Arial"/>
          <w:b/>
          <w:bCs/>
          <w:sz w:val="20"/>
          <w:szCs w:val="20"/>
          <w:lang w:val="es-UY"/>
        </w:rPr>
        <w:t xml:space="preserve">Componente B de la oferta = </w:t>
      </w:r>
      <w:r w:rsidR="00587284" w:rsidRPr="00CB7E2E">
        <w:rPr>
          <w:rFonts w:ascii="Arial" w:hAnsi="Arial" w:cs="Arial"/>
          <w:b/>
          <w:bCs/>
          <w:sz w:val="20"/>
          <w:szCs w:val="20"/>
          <w:lang w:val="es-UY"/>
        </w:rPr>
        <w:fldChar w:fldCharType="begin"/>
      </w:r>
      <w:r w:rsidRPr="00CB7E2E">
        <w:rPr>
          <w:rFonts w:ascii="Arial" w:hAnsi="Arial" w:cs="Arial"/>
          <w:b/>
          <w:bCs/>
          <w:sz w:val="20"/>
          <w:szCs w:val="20"/>
          <w:lang w:val="es-UY"/>
        </w:rPr>
        <w:instrText xml:space="preserve"> QUOTE </w:instrText>
      </w:r>
      <w:r w:rsidRPr="00CB7E2E">
        <w:rPr>
          <w:rFonts w:cs="Times New Roman"/>
          <w:noProof/>
          <w:sz w:val="20"/>
          <w:szCs w:val="20"/>
          <w:lang w:val="es-UY" w:eastAsia="es-UY"/>
        </w:rPr>
        <w:drawing>
          <wp:inline distT="0" distB="0" distL="0" distR="0" wp14:anchorId="5BD651E8" wp14:editId="48110E31">
            <wp:extent cx="504825" cy="46672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clrChange>
                        <a:clrFrom>
                          <a:srgbClr val="FFFFFF"/>
                        </a:clrFrom>
                        <a:clrTo>
                          <a:srgbClr val="FFFFFF">
                            <a:alpha val="0"/>
                          </a:srgbClr>
                        </a:clrTo>
                      </a:clrChange>
                    </a:blip>
                    <a:srcRect/>
                    <a:stretch>
                      <a:fillRect/>
                    </a:stretch>
                  </pic:blipFill>
                  <pic:spPr bwMode="auto">
                    <a:xfrm>
                      <a:off x="0" y="0"/>
                      <a:ext cx="504825" cy="466725"/>
                    </a:xfrm>
                    <a:prstGeom prst="rect">
                      <a:avLst/>
                    </a:prstGeom>
                    <a:noFill/>
                    <a:ln w="9525">
                      <a:noFill/>
                      <a:miter lim="800000"/>
                      <a:headEnd/>
                      <a:tailEnd/>
                    </a:ln>
                  </pic:spPr>
                </pic:pic>
              </a:graphicData>
            </a:graphic>
          </wp:inline>
        </w:drawing>
      </w:r>
      <w:r w:rsidRPr="00CB7E2E">
        <w:rPr>
          <w:rFonts w:ascii="Arial" w:hAnsi="Arial" w:cs="Arial"/>
          <w:b/>
          <w:bCs/>
          <w:sz w:val="20"/>
          <w:szCs w:val="20"/>
          <w:lang w:val="es-UY"/>
        </w:rPr>
        <w:instrText xml:space="preserve"> </w:instrText>
      </w:r>
      <w:r w:rsidR="00587284"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515A50A1" wp14:editId="10D420BC">
            <wp:extent cx="504825" cy="4667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clrChange>
                        <a:clrFrom>
                          <a:srgbClr val="FFFFFF"/>
                        </a:clrFrom>
                        <a:clrTo>
                          <a:srgbClr val="FFFFFF">
                            <a:alpha val="0"/>
                          </a:srgbClr>
                        </a:clrTo>
                      </a:clrChange>
                    </a:blip>
                    <a:srcRect/>
                    <a:stretch>
                      <a:fillRect/>
                    </a:stretch>
                  </pic:blipFill>
                  <pic:spPr bwMode="auto">
                    <a:xfrm>
                      <a:off x="0" y="0"/>
                      <a:ext cx="504825" cy="466725"/>
                    </a:xfrm>
                    <a:prstGeom prst="rect">
                      <a:avLst/>
                    </a:prstGeom>
                    <a:noFill/>
                    <a:ln w="9525">
                      <a:noFill/>
                      <a:miter lim="800000"/>
                      <a:headEnd/>
                      <a:tailEnd/>
                    </a:ln>
                  </pic:spPr>
                </pic:pic>
              </a:graphicData>
            </a:graphic>
          </wp:inline>
        </w:drawing>
      </w:r>
      <w:bookmarkEnd w:id="1061"/>
      <w:r w:rsidR="00587284" w:rsidRPr="00CB7E2E">
        <w:rPr>
          <w:rFonts w:ascii="Arial" w:hAnsi="Arial" w:cs="Arial"/>
          <w:b/>
          <w:bCs/>
          <w:sz w:val="20"/>
          <w:szCs w:val="20"/>
          <w:lang w:val="es-UY"/>
        </w:rPr>
        <w:fldChar w:fldCharType="end"/>
      </w:r>
    </w:p>
    <w:p w14:paraId="0168F5ED" w14:textId="77777777" w:rsidR="00B24E17" w:rsidRPr="00CB7E2E" w:rsidRDefault="00B24E17" w:rsidP="00CB7E2E">
      <w:pPr>
        <w:jc w:val="both"/>
        <w:rPr>
          <w:rFonts w:ascii="Arial" w:hAnsi="Arial" w:cs="Arial"/>
          <w:b/>
          <w:bCs/>
          <w:sz w:val="20"/>
          <w:szCs w:val="20"/>
          <w:lang w:val="es-UY"/>
        </w:rPr>
      </w:pPr>
    </w:p>
    <w:p w14:paraId="32AF46D0" w14:textId="77777777" w:rsidR="00B24E17" w:rsidRPr="001003E6" w:rsidRDefault="00B24E17" w:rsidP="009A58E0">
      <w:pPr>
        <w:pStyle w:val="Prrafodelista"/>
        <w:numPr>
          <w:ilvl w:val="1"/>
          <w:numId w:val="118"/>
        </w:numPr>
        <w:jc w:val="both"/>
        <w:rPr>
          <w:rFonts w:ascii="Arial" w:hAnsi="Arial" w:cs="Arial"/>
          <w:sz w:val="20"/>
          <w:szCs w:val="20"/>
        </w:rPr>
      </w:pPr>
      <w:bookmarkStart w:id="1062" w:name="_Toc400636213"/>
      <w:bookmarkStart w:id="1063" w:name="_Toc450568732"/>
      <w:r w:rsidRPr="001003E6">
        <w:rPr>
          <w:rFonts w:ascii="Arial" w:hAnsi="Arial" w:cs="Arial"/>
          <w:sz w:val="20"/>
          <w:szCs w:val="20"/>
        </w:rPr>
        <w:t>Definición de la componente C de la oferta</w:t>
      </w:r>
      <w:bookmarkEnd w:id="1062"/>
      <w:bookmarkEnd w:id="1063"/>
    </w:p>
    <w:p w14:paraId="332DADDB" w14:textId="4AD916F8" w:rsidR="00867BDC" w:rsidRPr="00CB7E2E" w:rsidRDefault="00B24E17">
      <w:pPr>
        <w:jc w:val="both"/>
        <w:rPr>
          <w:rFonts w:ascii="Arial" w:hAnsi="Arial" w:cs="Arial"/>
          <w:sz w:val="20"/>
          <w:szCs w:val="20"/>
          <w:lang w:val="es-UY"/>
        </w:rPr>
      </w:pPr>
      <w:bookmarkStart w:id="1064" w:name="_Toc450568733"/>
      <w:r w:rsidRPr="00CB7E2E">
        <w:rPr>
          <w:rFonts w:ascii="Arial" w:hAnsi="Arial" w:cs="Arial"/>
          <w:sz w:val="20"/>
          <w:szCs w:val="20"/>
          <w:lang w:val="es-UY"/>
        </w:rPr>
        <w:t>La Contratante realizará pagos al Contratista</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a través del mecanismo de pago por </w:t>
      </w:r>
      <w:bookmarkStart w:id="1065" w:name="_Toc450568735"/>
      <w:bookmarkEnd w:id="1064"/>
      <w:r w:rsidR="00812286">
        <w:rPr>
          <w:rFonts w:ascii="Arial" w:hAnsi="Arial" w:cs="Arial"/>
          <w:sz w:val="20"/>
          <w:szCs w:val="20"/>
          <w:lang w:val="es-UY"/>
        </w:rPr>
        <w:t>disponibilidad</w:t>
      </w:r>
      <w:r w:rsidR="00DA698F">
        <w:rPr>
          <w:rFonts w:ascii="Arial" w:hAnsi="Arial" w:cs="Arial"/>
          <w:sz w:val="20"/>
          <w:szCs w:val="20"/>
          <w:lang w:val="es-UY"/>
        </w:rPr>
        <w:t>.</w:t>
      </w:r>
      <w:r w:rsidRPr="00CB7E2E">
        <w:rPr>
          <w:rFonts w:ascii="Arial" w:hAnsi="Arial" w:cs="Arial"/>
          <w:sz w:val="20"/>
          <w:szCs w:val="20"/>
          <w:lang w:val="es-UY"/>
        </w:rPr>
        <w:t xml:space="preserve"> </w:t>
      </w:r>
      <w:bookmarkStart w:id="1066" w:name="A_T4_PuestosConteo"/>
      <w:bookmarkStart w:id="1067" w:name="_Toc450568738"/>
      <w:bookmarkEnd w:id="1065"/>
      <w:bookmarkEnd w:id="1066"/>
    </w:p>
    <w:p w14:paraId="34327861" w14:textId="055306E2"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La Contratante ha realizado su propia proyección de tránsito para cada año y tipo de vehículo.</w:t>
      </w:r>
      <w:bookmarkEnd w:id="1067"/>
    </w:p>
    <w:p w14:paraId="0F40F40A" w14:textId="5D3BB6F6" w:rsidR="00B24E17" w:rsidRPr="00CB7E2E" w:rsidRDefault="00B24E17" w:rsidP="00CB7E2E">
      <w:pPr>
        <w:jc w:val="both"/>
        <w:rPr>
          <w:rFonts w:ascii="Arial" w:hAnsi="Arial" w:cs="Arial"/>
          <w:sz w:val="20"/>
          <w:szCs w:val="20"/>
          <w:lang w:val="es-UY"/>
        </w:rPr>
      </w:pPr>
      <w:bookmarkStart w:id="1068" w:name="_Toc450568739"/>
      <w:r w:rsidRPr="00CB7E2E">
        <w:rPr>
          <w:rFonts w:ascii="Arial" w:hAnsi="Arial" w:cs="Arial"/>
          <w:sz w:val="20"/>
          <w:szCs w:val="20"/>
          <w:lang w:val="es-UY"/>
        </w:rPr>
        <w:t xml:space="preserve">En </w:t>
      </w:r>
      <w:r w:rsidR="00874848" w:rsidRPr="005D028D">
        <w:rPr>
          <w:rFonts w:ascii="Arial" w:hAnsi="Arial" w:cs="Arial"/>
          <w:sz w:val="20"/>
          <w:szCs w:val="20"/>
          <w:lang w:val="es-UY"/>
        </w:rPr>
        <w:t xml:space="preserve">el </w:t>
      </w:r>
      <w:hyperlink w:anchor="A_15" w:history="1">
        <w:r w:rsidR="00874848" w:rsidRPr="005D028D">
          <w:rPr>
            <w:rStyle w:val="Hipervnculo"/>
            <w:rFonts w:ascii="Arial" w:hAnsi="Arial" w:cs="Arial"/>
            <w:sz w:val="20"/>
            <w:szCs w:val="20"/>
            <w:lang w:val="es-UY"/>
          </w:rPr>
          <w:t>Anexo</w:t>
        </w:r>
        <w:r w:rsidRPr="005D028D">
          <w:rPr>
            <w:rStyle w:val="Hipervnculo"/>
            <w:rFonts w:ascii="Arial" w:hAnsi="Arial" w:cs="Arial"/>
            <w:sz w:val="20"/>
            <w:szCs w:val="20"/>
            <w:lang w:val="es-UY"/>
          </w:rPr>
          <w:t xml:space="preserve"> XV</w:t>
        </w:r>
      </w:hyperlink>
      <w:r w:rsidRPr="005D028D">
        <w:rPr>
          <w:rFonts w:ascii="Arial" w:hAnsi="Arial" w:cs="Arial"/>
          <w:sz w:val="20"/>
          <w:szCs w:val="20"/>
          <w:lang w:val="es-UY"/>
        </w:rPr>
        <w:t xml:space="preserve"> </w:t>
      </w:r>
      <w:r w:rsidR="00874848" w:rsidRPr="005D028D">
        <w:rPr>
          <w:rFonts w:ascii="Arial" w:hAnsi="Arial" w:cs="Arial"/>
          <w:sz w:val="20"/>
          <w:szCs w:val="20"/>
          <w:lang w:val="es-UY"/>
        </w:rPr>
        <w:t>-</w:t>
      </w:r>
      <w:r w:rsidRPr="005D028D">
        <w:rPr>
          <w:rFonts w:ascii="Arial" w:hAnsi="Arial" w:cs="Arial"/>
          <w:sz w:val="20"/>
          <w:szCs w:val="20"/>
          <w:lang w:val="es-UY"/>
        </w:rPr>
        <w:t xml:space="preserve"> se muestran las cantidades para cada </w:t>
      </w:r>
      <w:r w:rsidRPr="00CB7E2E">
        <w:rPr>
          <w:rFonts w:ascii="Arial" w:hAnsi="Arial" w:cs="Arial"/>
          <w:sz w:val="20"/>
          <w:szCs w:val="20"/>
          <w:lang w:val="es-UY"/>
        </w:rPr>
        <w:t>tipo</w:t>
      </w:r>
      <w:r w:rsidRPr="005D028D">
        <w:rPr>
          <w:rFonts w:ascii="Arial" w:hAnsi="Arial" w:cs="Arial"/>
          <w:sz w:val="20"/>
          <w:szCs w:val="20"/>
          <w:lang w:val="es-UY"/>
        </w:rPr>
        <w:t xml:space="preserve"> de vehículo por </w:t>
      </w:r>
      <w:r w:rsidR="00685322">
        <w:rPr>
          <w:rFonts w:ascii="Arial" w:hAnsi="Arial" w:cs="Arial"/>
          <w:sz w:val="20"/>
          <w:szCs w:val="20"/>
          <w:lang w:val="es-UY"/>
        </w:rPr>
        <w:t>tramo</w:t>
      </w:r>
      <w:r w:rsidR="008B4F90" w:rsidRPr="005D028D">
        <w:rPr>
          <w:rFonts w:ascii="Arial" w:hAnsi="Arial" w:cs="Arial"/>
          <w:sz w:val="20"/>
          <w:szCs w:val="20"/>
          <w:lang w:val="es-UY"/>
        </w:rPr>
        <w:t xml:space="preserve"> </w:t>
      </w:r>
      <w:r w:rsidRPr="005D028D">
        <w:rPr>
          <w:rFonts w:ascii="Arial" w:hAnsi="Arial" w:cs="Arial"/>
          <w:sz w:val="20"/>
          <w:szCs w:val="20"/>
          <w:lang w:val="es-UY"/>
        </w:rPr>
        <w:t>y</w:t>
      </w:r>
      <w:r w:rsidRPr="00CB7E2E">
        <w:rPr>
          <w:rFonts w:ascii="Arial" w:hAnsi="Arial" w:cs="Arial"/>
          <w:sz w:val="20"/>
          <w:szCs w:val="20"/>
          <w:lang w:val="es-UY"/>
        </w:rPr>
        <w:t xml:space="preserve"> por año que la Contratante utilizó para llegar al valor de cada año.</w:t>
      </w:r>
      <w:bookmarkEnd w:id="1068"/>
    </w:p>
    <w:p w14:paraId="49DECC18" w14:textId="76C28DFE" w:rsidR="00B24E17" w:rsidRPr="00CB7E2E" w:rsidRDefault="00B24E17" w:rsidP="00CB7E2E">
      <w:pPr>
        <w:jc w:val="both"/>
        <w:rPr>
          <w:rFonts w:ascii="Arial" w:hAnsi="Arial" w:cs="Arial"/>
          <w:sz w:val="20"/>
          <w:szCs w:val="20"/>
          <w:lang w:val="es-UY"/>
        </w:rPr>
      </w:pPr>
      <w:bookmarkStart w:id="1069" w:name="_Toc450568740"/>
      <w:r w:rsidRPr="00CB7E2E">
        <w:rPr>
          <w:rFonts w:ascii="Arial" w:hAnsi="Arial" w:cs="Arial"/>
          <w:sz w:val="20"/>
          <w:szCs w:val="20"/>
          <w:lang w:val="es-UY"/>
        </w:rPr>
        <w:t xml:space="preserve">Esta proyección de tránsito realizada por la Contratante </w:t>
      </w:r>
      <w:r w:rsidRPr="00FD1418">
        <w:rPr>
          <w:rFonts w:ascii="Arial" w:hAnsi="Arial" w:cs="Arial"/>
          <w:sz w:val="20"/>
          <w:szCs w:val="20"/>
          <w:lang w:val="es-UY"/>
        </w:rPr>
        <w:t xml:space="preserve">se utilizará al solo efecto </w:t>
      </w:r>
      <w:r w:rsidR="00DA698F" w:rsidRPr="00FD1418">
        <w:rPr>
          <w:rFonts w:ascii="Arial" w:hAnsi="Arial" w:cs="Arial"/>
          <w:sz w:val="20"/>
          <w:szCs w:val="20"/>
          <w:lang w:val="es-UY"/>
        </w:rPr>
        <w:t>del cálculo del pago base de la componente</w:t>
      </w:r>
      <w:r w:rsidR="00E4233A" w:rsidRPr="004C3C3B">
        <w:rPr>
          <w:rFonts w:ascii="Arial" w:hAnsi="Arial" w:cs="Arial"/>
          <w:sz w:val="20"/>
          <w:szCs w:val="20"/>
          <w:lang w:val="es-UY"/>
        </w:rPr>
        <w:t xml:space="preserve"> </w:t>
      </w:r>
      <w:r w:rsidRPr="004C3C3B">
        <w:rPr>
          <w:rFonts w:ascii="Arial" w:hAnsi="Arial" w:cs="Arial"/>
          <w:sz w:val="20"/>
          <w:szCs w:val="20"/>
          <w:lang w:val="es-UY"/>
        </w:rPr>
        <w:t xml:space="preserve">por lo que </w:t>
      </w:r>
      <w:r w:rsidR="00FD1418">
        <w:rPr>
          <w:rFonts w:ascii="Arial" w:hAnsi="Arial" w:cs="Arial"/>
          <w:sz w:val="20"/>
          <w:szCs w:val="20"/>
          <w:lang w:val="es-UY"/>
        </w:rPr>
        <w:t>no es vinculante.</w:t>
      </w:r>
      <w:r w:rsidRPr="004C3C3B">
        <w:rPr>
          <w:rFonts w:ascii="Arial" w:hAnsi="Arial" w:cs="Arial"/>
          <w:sz w:val="20"/>
          <w:szCs w:val="20"/>
          <w:lang w:val="es-UY"/>
        </w:rPr>
        <w:t xml:space="preserve"> La aceptación de una oferta no implica que la Co</w:t>
      </w:r>
      <w:r w:rsidRPr="00CB7E2E">
        <w:rPr>
          <w:rFonts w:ascii="Arial" w:hAnsi="Arial" w:cs="Arial"/>
          <w:sz w:val="20"/>
          <w:szCs w:val="20"/>
          <w:lang w:val="es-UY"/>
        </w:rPr>
        <w:t xml:space="preserve">ntratante acepta la proyección de tránsito del oferente la que </w:t>
      </w:r>
      <w:r w:rsidRPr="00CB7E2E">
        <w:rPr>
          <w:rFonts w:ascii="Arial" w:hAnsi="Arial" w:cs="Arial"/>
          <w:sz w:val="20"/>
          <w:szCs w:val="20"/>
          <w:lang w:val="es-UY"/>
        </w:rPr>
        <w:lastRenderedPageBreak/>
        <w:t>es de su cuenta y riesgo y no será en ningún caso motivo de renegociación del contrato.</w:t>
      </w:r>
      <w:bookmarkEnd w:id="1069"/>
    </w:p>
    <w:p w14:paraId="034891DC" w14:textId="4BC6B2DD" w:rsidR="00B24E17" w:rsidRPr="00CB7E2E" w:rsidRDefault="00B24E17" w:rsidP="00CB7E2E">
      <w:pPr>
        <w:jc w:val="both"/>
        <w:rPr>
          <w:rFonts w:ascii="Arial" w:hAnsi="Arial" w:cs="Arial"/>
          <w:sz w:val="20"/>
          <w:szCs w:val="20"/>
          <w:lang w:val="es-UY"/>
        </w:rPr>
      </w:pPr>
      <w:bookmarkStart w:id="1070" w:name="_Toc450568741"/>
      <w:r w:rsidRPr="004C3C3B">
        <w:rPr>
          <w:rFonts w:ascii="Arial" w:hAnsi="Arial" w:cs="Arial"/>
          <w:sz w:val="20"/>
          <w:szCs w:val="20"/>
          <w:lang w:val="es-UY"/>
        </w:rPr>
        <w:t xml:space="preserve">Utilizando su propia proyección de tránsito para cada </w:t>
      </w:r>
      <w:r w:rsidR="00DA698F">
        <w:rPr>
          <w:rFonts w:ascii="Arial" w:hAnsi="Arial" w:cs="Arial"/>
          <w:sz w:val="20"/>
          <w:szCs w:val="20"/>
          <w:lang w:val="es-UY"/>
        </w:rPr>
        <w:t xml:space="preserve">tramo </w:t>
      </w:r>
      <w:r w:rsidRPr="004C3C3B">
        <w:rPr>
          <w:rFonts w:ascii="Arial" w:hAnsi="Arial" w:cs="Arial"/>
          <w:sz w:val="20"/>
          <w:szCs w:val="20"/>
          <w:lang w:val="es-UY"/>
        </w:rPr>
        <w:t>y para cada año, la Contratante calculó un “monto base total” a pagar</w:t>
      </w:r>
      <w:r w:rsidRPr="00CB7E2E">
        <w:rPr>
          <w:rFonts w:ascii="Arial" w:hAnsi="Arial" w:cs="Arial"/>
          <w:sz w:val="20"/>
          <w:szCs w:val="20"/>
          <w:lang w:val="es-UY"/>
        </w:rPr>
        <w:t xml:space="preserve"> </w:t>
      </w:r>
      <w:r w:rsidRPr="004C3C3B">
        <w:rPr>
          <w:rFonts w:ascii="Arial" w:hAnsi="Arial" w:cs="Arial"/>
          <w:sz w:val="20"/>
          <w:szCs w:val="20"/>
          <w:lang w:val="es-UY"/>
        </w:rPr>
        <w:t>a lo largo de todo el plazo del contrato.</w:t>
      </w:r>
      <w:bookmarkEnd w:id="1070"/>
    </w:p>
    <w:p w14:paraId="12104FEF" w14:textId="77777777" w:rsidR="00B24E17" w:rsidRPr="00CB7E2E" w:rsidRDefault="00B24E17" w:rsidP="00CB7E2E">
      <w:pPr>
        <w:jc w:val="both"/>
        <w:rPr>
          <w:rFonts w:ascii="Arial" w:hAnsi="Arial" w:cs="Arial"/>
          <w:sz w:val="20"/>
          <w:szCs w:val="20"/>
          <w:lang w:val="es-UY"/>
        </w:rPr>
      </w:pPr>
      <w:bookmarkStart w:id="1071" w:name="_Toc450568742"/>
      <w:r w:rsidRPr="00CB7E2E">
        <w:rPr>
          <w:rFonts w:ascii="Arial" w:hAnsi="Arial" w:cs="Arial"/>
          <w:sz w:val="20"/>
          <w:szCs w:val="20"/>
          <w:lang w:val="es-UY"/>
        </w:rPr>
        <w:t xml:space="preserve">Los subtotales así obtenidos se suman por año y por tramo para obtener el “monto base total”. Para cada tramo el número de años es el que resulta de la Tabla </w:t>
      </w:r>
      <w:r w:rsidR="00124809" w:rsidRPr="00CB7E2E">
        <w:rPr>
          <w:rFonts w:ascii="Arial" w:hAnsi="Arial" w:cs="Arial"/>
          <w:sz w:val="20"/>
          <w:szCs w:val="20"/>
          <w:lang w:val="es-UY"/>
        </w:rPr>
        <w:t>C</w:t>
      </w:r>
      <w:r w:rsidRPr="00CB7E2E">
        <w:rPr>
          <w:rFonts w:ascii="Arial" w:hAnsi="Arial" w:cs="Arial"/>
          <w:sz w:val="20"/>
          <w:szCs w:val="20"/>
          <w:lang w:val="es-UY"/>
        </w:rPr>
        <w:t>.</w:t>
      </w:r>
      <w:r w:rsidR="00124809" w:rsidRPr="00CB7E2E">
        <w:rPr>
          <w:rFonts w:ascii="Arial" w:hAnsi="Arial" w:cs="Arial"/>
          <w:sz w:val="20"/>
          <w:szCs w:val="20"/>
          <w:lang w:val="es-UY"/>
        </w:rPr>
        <w:t>X</w:t>
      </w:r>
      <w:r w:rsidRPr="00CB7E2E">
        <w:rPr>
          <w:rFonts w:ascii="Arial" w:hAnsi="Arial" w:cs="Arial"/>
          <w:sz w:val="20"/>
          <w:szCs w:val="20"/>
          <w:lang w:val="es-UY"/>
        </w:rPr>
        <w:t>I-</w:t>
      </w:r>
      <w:r w:rsidR="00124809" w:rsidRPr="00CB7E2E">
        <w:rPr>
          <w:rFonts w:ascii="Arial" w:hAnsi="Arial" w:cs="Arial"/>
          <w:sz w:val="20"/>
          <w:szCs w:val="20"/>
          <w:lang w:val="es-UY"/>
        </w:rPr>
        <w:t>5</w:t>
      </w:r>
      <w:r w:rsidRPr="00CB7E2E">
        <w:rPr>
          <w:rFonts w:ascii="Arial" w:hAnsi="Arial" w:cs="Arial"/>
          <w:sz w:val="20"/>
          <w:szCs w:val="20"/>
          <w:lang w:val="es-UY"/>
        </w:rPr>
        <w:t>.</w:t>
      </w:r>
      <w:bookmarkEnd w:id="1071"/>
    </w:p>
    <w:p w14:paraId="16D74158" w14:textId="77777777" w:rsidR="00B24E17" w:rsidRPr="00CB7E2E" w:rsidRDefault="00B24E17" w:rsidP="00CB7E2E">
      <w:pPr>
        <w:jc w:val="both"/>
        <w:rPr>
          <w:rFonts w:ascii="Arial" w:hAnsi="Arial" w:cs="Arial"/>
          <w:sz w:val="20"/>
          <w:szCs w:val="20"/>
          <w:lang w:val="es-UY"/>
        </w:rPr>
      </w:pPr>
      <w:bookmarkStart w:id="1072" w:name="_Toc450568743"/>
      <w:r w:rsidRPr="00CB7E2E">
        <w:rPr>
          <w:rFonts w:ascii="Arial" w:hAnsi="Arial" w:cs="Arial"/>
          <w:sz w:val="20"/>
          <w:szCs w:val="20"/>
          <w:lang w:val="es-UY"/>
        </w:rPr>
        <w:t>Para determinar el componente C de su propia oferta, cada oferente realizará, por su cuenta y riesgo, su propio estudio y proyección de tránsito y cargas, y en base a él y a su estrategia para la gestión del proyecto</w:t>
      </w:r>
      <w:r w:rsidR="00874848">
        <w:rPr>
          <w:rFonts w:ascii="Arial" w:hAnsi="Arial" w:cs="Arial"/>
          <w:sz w:val="20"/>
          <w:szCs w:val="20"/>
          <w:lang w:val="es-UY"/>
        </w:rPr>
        <w:t>,</w:t>
      </w:r>
      <w:r w:rsidRPr="00CB7E2E">
        <w:rPr>
          <w:rFonts w:ascii="Arial" w:hAnsi="Arial" w:cs="Arial"/>
          <w:sz w:val="20"/>
          <w:szCs w:val="20"/>
          <w:lang w:val="es-UY"/>
        </w:rPr>
        <w:t xml:space="preserve"> determinará un único valor f</w:t>
      </w:r>
      <w:r w:rsidRPr="00CB7E2E">
        <w:rPr>
          <w:sz w:val="20"/>
          <w:szCs w:val="20"/>
          <w:lang w:val="es-UY"/>
        </w:rPr>
        <w:t>₃</w:t>
      </w:r>
      <w:r w:rsidRPr="00CB7E2E">
        <w:rPr>
          <w:rFonts w:ascii="Arial" w:hAnsi="Arial" w:cs="Arial"/>
          <w:sz w:val="20"/>
          <w:szCs w:val="20"/>
          <w:lang w:val="es-UY"/>
        </w:rPr>
        <w:t xml:space="preserve"> consistente con su análisis y los requerimientos del pliego.</w:t>
      </w:r>
      <w:bookmarkEnd w:id="1072"/>
      <w:r w:rsidRPr="00CB7E2E">
        <w:rPr>
          <w:rFonts w:ascii="Arial" w:hAnsi="Arial" w:cs="Arial"/>
          <w:sz w:val="20"/>
          <w:szCs w:val="20"/>
          <w:lang w:val="es-UY"/>
        </w:rPr>
        <w:t xml:space="preserve"> </w:t>
      </w:r>
    </w:p>
    <w:p w14:paraId="5AF29C51" w14:textId="7980F50B" w:rsidR="0013147C" w:rsidRDefault="0013147C" w:rsidP="00624338">
      <w:pPr>
        <w:jc w:val="both"/>
        <w:rPr>
          <w:rFonts w:ascii="Arial" w:hAnsi="Arial" w:cs="Arial"/>
          <w:sz w:val="20"/>
          <w:szCs w:val="20"/>
          <w:lang w:val="es-UY"/>
        </w:rPr>
      </w:pPr>
      <w:bookmarkStart w:id="1073" w:name="_Toc450568744"/>
      <w:r w:rsidRPr="0013147C">
        <w:rPr>
          <w:rFonts w:ascii="Arial" w:hAnsi="Arial" w:cs="Arial"/>
          <w:sz w:val="20"/>
          <w:szCs w:val="20"/>
          <w:lang w:val="es-UY"/>
        </w:rPr>
        <w:t xml:space="preserve">En cada período considerado, el monto que efectivamente percibe el contratista, se </w:t>
      </w:r>
      <w:r w:rsidR="006A5169" w:rsidRPr="006A5169">
        <w:rPr>
          <w:rFonts w:ascii="Arial" w:hAnsi="Arial" w:cs="Arial"/>
          <w:sz w:val="20"/>
          <w:szCs w:val="20"/>
          <w:lang w:val="es-UY"/>
        </w:rPr>
        <w:t>calcula considerando el monto base de la Tabla A.XII -1</w:t>
      </w:r>
      <w:r w:rsidR="00B24E17" w:rsidRPr="00CB7E2E">
        <w:rPr>
          <w:rFonts w:ascii="Arial" w:hAnsi="Arial" w:cs="Arial"/>
          <w:sz w:val="20"/>
          <w:szCs w:val="20"/>
          <w:lang w:val="es-UY"/>
        </w:rPr>
        <w:t xml:space="preserve"> </w:t>
      </w:r>
      <w:bookmarkStart w:id="1074" w:name="_Toc450568745"/>
      <w:bookmarkStart w:id="1075" w:name="A_T5_Comp_C"/>
      <w:bookmarkEnd w:id="1073"/>
    </w:p>
    <w:bookmarkEnd w:id="1074"/>
    <w:bookmarkEnd w:id="1075"/>
    <w:p w14:paraId="2DBE8EC9" w14:textId="4F120A4D" w:rsidR="00B24E17" w:rsidRPr="00CB7E2E" w:rsidRDefault="00B24E17" w:rsidP="00BA3946">
      <w:pPr>
        <w:rPr>
          <w:rFonts w:ascii="Arial" w:hAnsi="Arial" w:cs="Arial"/>
          <w:sz w:val="20"/>
          <w:szCs w:val="20"/>
          <w:lang w:val="es-UY"/>
        </w:rPr>
      </w:pPr>
    </w:p>
    <w:p w14:paraId="6D36E6F7" w14:textId="1B24656A" w:rsidR="000572CE" w:rsidRPr="00CB7E2E" w:rsidRDefault="00CB7E2E" w:rsidP="00CB7E2E">
      <w:pPr>
        <w:tabs>
          <w:tab w:val="left" w:pos="1455"/>
        </w:tabs>
        <w:jc w:val="both"/>
        <w:rPr>
          <w:rFonts w:ascii="Arial" w:hAnsi="Arial" w:cs="Arial"/>
          <w:b/>
          <w:bCs/>
          <w:sz w:val="20"/>
          <w:szCs w:val="20"/>
          <w:lang w:val="es-UY"/>
        </w:rPr>
      </w:pPr>
      <w:r>
        <w:rPr>
          <w:rFonts w:ascii="Arial" w:hAnsi="Arial" w:cs="Arial"/>
          <w:sz w:val="20"/>
          <w:szCs w:val="20"/>
          <w:lang w:val="es-UY"/>
        </w:rPr>
        <w:tab/>
      </w:r>
      <w:bookmarkStart w:id="1076" w:name="_Toc450568746"/>
      <w:r w:rsidR="00B24E17" w:rsidRPr="00CB7E2E">
        <w:rPr>
          <w:rFonts w:ascii="Arial" w:hAnsi="Arial" w:cs="Arial"/>
          <w:b/>
          <w:bCs/>
          <w:sz w:val="20"/>
          <w:szCs w:val="20"/>
          <w:lang w:val="es-UY"/>
        </w:rPr>
        <w:t xml:space="preserve">Componente C de la oferta = </w:t>
      </w:r>
      <w:r w:rsidR="00587284" w:rsidRPr="00CB7E2E">
        <w:rPr>
          <w:rFonts w:ascii="Arial" w:hAnsi="Arial" w:cs="Arial"/>
          <w:b/>
          <w:bCs/>
          <w:sz w:val="20"/>
          <w:szCs w:val="20"/>
          <w:lang w:val="es-UY"/>
        </w:rPr>
        <w:fldChar w:fldCharType="begin"/>
      </w:r>
      <w:r w:rsidR="00B24E17" w:rsidRPr="00CB7E2E">
        <w:rPr>
          <w:rFonts w:ascii="Arial" w:hAnsi="Arial" w:cs="Arial"/>
          <w:b/>
          <w:bCs/>
          <w:sz w:val="20"/>
          <w:szCs w:val="20"/>
          <w:lang w:val="es-UY"/>
        </w:rPr>
        <w:instrText xml:space="preserve"> QUOTE </w:instrText>
      </w:r>
      <w:r w:rsidR="00B24E17" w:rsidRPr="00CB7E2E">
        <w:rPr>
          <w:rFonts w:cs="Times New Roman"/>
          <w:noProof/>
          <w:sz w:val="20"/>
          <w:szCs w:val="20"/>
          <w:lang w:val="es-UY" w:eastAsia="es-UY"/>
        </w:rPr>
        <w:drawing>
          <wp:inline distT="0" distB="0" distL="0" distR="0" wp14:anchorId="11C759CD" wp14:editId="27CCB8A2">
            <wp:extent cx="876300" cy="50482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clrChange>
                        <a:clrFrom>
                          <a:srgbClr val="FFFFFF"/>
                        </a:clrFrom>
                        <a:clrTo>
                          <a:srgbClr val="FFFFFF">
                            <a:alpha val="0"/>
                          </a:srgbClr>
                        </a:clrTo>
                      </a:clrChange>
                    </a:blip>
                    <a:srcRect/>
                    <a:stretch>
                      <a:fillRect/>
                    </a:stretch>
                  </pic:blipFill>
                  <pic:spPr bwMode="auto">
                    <a:xfrm>
                      <a:off x="0" y="0"/>
                      <a:ext cx="876300" cy="504825"/>
                    </a:xfrm>
                    <a:prstGeom prst="rect">
                      <a:avLst/>
                    </a:prstGeom>
                    <a:noFill/>
                    <a:ln w="9525">
                      <a:noFill/>
                      <a:miter lim="800000"/>
                      <a:headEnd/>
                      <a:tailEnd/>
                    </a:ln>
                  </pic:spPr>
                </pic:pic>
              </a:graphicData>
            </a:graphic>
          </wp:inline>
        </w:drawing>
      </w:r>
      <w:r w:rsidR="00B24E17" w:rsidRPr="00CB7E2E">
        <w:rPr>
          <w:rFonts w:ascii="Arial" w:hAnsi="Arial" w:cs="Arial"/>
          <w:b/>
          <w:bCs/>
          <w:sz w:val="20"/>
          <w:szCs w:val="20"/>
          <w:lang w:val="es-UY"/>
        </w:rPr>
        <w:instrText xml:space="preserve"> </w:instrText>
      </w:r>
      <w:r w:rsidR="00587284" w:rsidRPr="00CB7E2E">
        <w:rPr>
          <w:rFonts w:ascii="Arial" w:hAnsi="Arial" w:cs="Arial"/>
          <w:b/>
          <w:bCs/>
          <w:sz w:val="20"/>
          <w:szCs w:val="20"/>
          <w:lang w:val="es-UY"/>
        </w:rPr>
        <w:fldChar w:fldCharType="separate"/>
      </w:r>
      <w:r w:rsidR="005735D1" w:rsidRPr="00CB7E2E">
        <w:rPr>
          <w:rFonts w:cs="Times New Roman"/>
          <w:noProof/>
          <w:sz w:val="20"/>
          <w:szCs w:val="20"/>
          <w:lang w:val="es-UY" w:eastAsia="es-UY"/>
        </w:rPr>
        <w:drawing>
          <wp:inline distT="0" distB="0" distL="0" distR="0" wp14:anchorId="73D3EA4D" wp14:editId="23D088CE">
            <wp:extent cx="876300" cy="50482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clrChange>
                        <a:clrFrom>
                          <a:srgbClr val="FFFFFF"/>
                        </a:clrFrom>
                        <a:clrTo>
                          <a:srgbClr val="FFFFFF">
                            <a:alpha val="0"/>
                          </a:srgbClr>
                        </a:clrTo>
                      </a:clrChange>
                    </a:blip>
                    <a:srcRect/>
                    <a:stretch>
                      <a:fillRect/>
                    </a:stretch>
                  </pic:blipFill>
                  <pic:spPr bwMode="auto">
                    <a:xfrm>
                      <a:off x="0" y="0"/>
                      <a:ext cx="876300" cy="504825"/>
                    </a:xfrm>
                    <a:prstGeom prst="rect">
                      <a:avLst/>
                    </a:prstGeom>
                    <a:noFill/>
                    <a:ln w="9525">
                      <a:noFill/>
                      <a:miter lim="800000"/>
                      <a:headEnd/>
                      <a:tailEnd/>
                    </a:ln>
                  </pic:spPr>
                </pic:pic>
              </a:graphicData>
            </a:graphic>
          </wp:inline>
        </w:drawing>
      </w:r>
      <w:bookmarkEnd w:id="1076"/>
      <w:r w:rsidR="00587284" w:rsidRPr="00CB7E2E">
        <w:rPr>
          <w:rFonts w:ascii="Arial" w:hAnsi="Arial" w:cs="Arial"/>
          <w:b/>
          <w:bCs/>
          <w:sz w:val="20"/>
          <w:szCs w:val="20"/>
          <w:lang w:val="es-UY"/>
        </w:rPr>
        <w:fldChar w:fldCharType="end"/>
      </w:r>
    </w:p>
    <w:p w14:paraId="6619A899" w14:textId="63459091" w:rsidR="00C85255" w:rsidRPr="00C85255" w:rsidRDefault="00C85255" w:rsidP="00C85255">
      <w:pPr>
        <w:tabs>
          <w:tab w:val="left" w:pos="1455"/>
        </w:tabs>
        <w:jc w:val="both"/>
        <w:rPr>
          <w:rFonts w:ascii="Arial" w:hAnsi="Arial" w:cs="Arial"/>
          <w:bCs/>
          <w:sz w:val="20"/>
          <w:szCs w:val="20"/>
          <w:lang w:val="es-UY"/>
        </w:rPr>
      </w:pPr>
      <w:bookmarkStart w:id="1077" w:name="_Toc450568747"/>
      <w:r w:rsidRPr="00C85255">
        <w:rPr>
          <w:rFonts w:ascii="Arial" w:hAnsi="Arial" w:cs="Arial"/>
          <w:bCs/>
          <w:sz w:val="20"/>
          <w:szCs w:val="20"/>
          <w:lang w:val="es-UY"/>
        </w:rPr>
        <w:lastRenderedPageBreak/>
        <w:t>C(i,t)=f</w:t>
      </w:r>
      <w:r w:rsidRPr="00ED13D3">
        <w:rPr>
          <w:rFonts w:ascii="Arial" w:hAnsi="Arial" w:cs="Arial"/>
          <w:bCs/>
          <w:sz w:val="20"/>
          <w:szCs w:val="20"/>
          <w:vertAlign w:val="subscript"/>
          <w:lang w:val="es-UY"/>
        </w:rPr>
        <w:t>3</w:t>
      </w:r>
      <w:r w:rsidRPr="00C85255">
        <w:rPr>
          <w:rFonts w:ascii="Arial" w:hAnsi="Arial" w:cs="Arial"/>
          <w:bCs/>
          <w:sz w:val="20"/>
          <w:szCs w:val="20"/>
          <w:lang w:val="es-UY"/>
        </w:rPr>
        <w:t>*monto base de la tabla A</w:t>
      </w:r>
      <w:r w:rsidR="00ED13D3">
        <w:rPr>
          <w:rFonts w:ascii="Arial" w:hAnsi="Arial" w:cs="Arial"/>
          <w:bCs/>
          <w:sz w:val="20"/>
          <w:szCs w:val="20"/>
          <w:lang w:val="es-UY"/>
        </w:rPr>
        <w:t>.</w:t>
      </w:r>
      <w:r w:rsidRPr="00C85255">
        <w:rPr>
          <w:rFonts w:ascii="Arial" w:hAnsi="Arial" w:cs="Arial"/>
          <w:bCs/>
          <w:sz w:val="20"/>
          <w:szCs w:val="20"/>
          <w:lang w:val="es-UY"/>
        </w:rPr>
        <w:t>XII-1 para el tramo i en el año t</w:t>
      </w:r>
      <w:r w:rsidR="00ED13D3">
        <w:rPr>
          <w:rFonts w:ascii="Arial" w:hAnsi="Arial" w:cs="Arial"/>
          <w:bCs/>
          <w:sz w:val="20"/>
          <w:szCs w:val="20"/>
          <w:lang w:val="es-UY"/>
        </w:rPr>
        <w:t>.</w:t>
      </w:r>
    </w:p>
    <w:p w14:paraId="6C33244A" w14:textId="77777777" w:rsidR="00C85255" w:rsidRDefault="00C85255" w:rsidP="00CB7E2E">
      <w:pPr>
        <w:jc w:val="both"/>
        <w:rPr>
          <w:rFonts w:ascii="Arial" w:hAnsi="Arial" w:cs="Arial"/>
          <w:sz w:val="20"/>
          <w:szCs w:val="20"/>
          <w:lang w:val="es-UY"/>
        </w:rPr>
      </w:pPr>
    </w:p>
    <w:p w14:paraId="121D5942" w14:textId="77777777" w:rsidR="00B24E17" w:rsidRDefault="00B24E17" w:rsidP="00CB7E2E">
      <w:pPr>
        <w:jc w:val="both"/>
        <w:rPr>
          <w:rFonts w:ascii="Arial" w:hAnsi="Arial" w:cs="Arial"/>
          <w:sz w:val="20"/>
          <w:szCs w:val="20"/>
          <w:lang w:val="es-UY"/>
        </w:rPr>
      </w:pPr>
      <w:r w:rsidRPr="00CB7E2E">
        <w:rPr>
          <w:rFonts w:ascii="Arial" w:hAnsi="Arial" w:cs="Arial"/>
          <w:sz w:val="20"/>
          <w:szCs w:val="20"/>
          <w:lang w:val="es-UY"/>
        </w:rPr>
        <w:t xml:space="preserve">El oferente presentará su Propuesta Económica según el siguiente </w:t>
      </w:r>
      <w:r w:rsidRPr="00CB7E2E">
        <w:rPr>
          <w:rFonts w:ascii="Arial" w:hAnsi="Arial" w:cs="Arial"/>
          <w:b/>
          <w:bCs/>
          <w:sz w:val="20"/>
          <w:szCs w:val="20"/>
          <w:lang w:val="es-UY"/>
        </w:rPr>
        <w:t>Modelo Resumen de Propuesta Económica</w:t>
      </w:r>
      <w:r w:rsidRPr="00CB7E2E">
        <w:rPr>
          <w:rFonts w:ascii="Arial" w:hAnsi="Arial" w:cs="Arial"/>
          <w:sz w:val="20"/>
          <w:szCs w:val="20"/>
          <w:lang w:val="es-UY"/>
        </w:rPr>
        <w:t>.</w:t>
      </w:r>
      <w:bookmarkEnd w:id="1077"/>
    </w:p>
    <w:p w14:paraId="0AF5FF0A" w14:textId="2EB9C40A" w:rsidR="00BA2B34" w:rsidRDefault="00BA2B34" w:rsidP="00CB7E2E">
      <w:pPr>
        <w:jc w:val="both"/>
        <w:rPr>
          <w:rFonts w:ascii="Arial" w:hAnsi="Arial" w:cs="Arial"/>
          <w:sz w:val="20"/>
          <w:szCs w:val="20"/>
          <w:lang w:val="es-UY"/>
        </w:rPr>
      </w:pPr>
    </w:p>
    <w:p w14:paraId="1A45CFBE" w14:textId="77777777" w:rsidR="00BA2B34" w:rsidRPr="006D2C16" w:rsidRDefault="00BA2B34" w:rsidP="009A58E0">
      <w:pPr>
        <w:pStyle w:val="Prrafodelista"/>
        <w:numPr>
          <w:ilvl w:val="0"/>
          <w:numId w:val="135"/>
        </w:numPr>
        <w:jc w:val="both"/>
        <w:rPr>
          <w:rFonts w:ascii="Arial" w:hAnsi="Arial" w:cs="Arial"/>
          <w:sz w:val="20"/>
          <w:szCs w:val="20"/>
          <w:lang w:val="es-UY"/>
        </w:rPr>
      </w:pPr>
      <w:r>
        <w:rPr>
          <w:rFonts w:ascii="Arial" w:hAnsi="Arial" w:cs="Arial"/>
          <w:sz w:val="20"/>
          <w:szCs w:val="20"/>
          <w:lang w:val="es-UY"/>
        </w:rPr>
        <w:t>MODELO RESUMEN DE PROPUESTA ECONÓMICA</w:t>
      </w:r>
    </w:p>
    <w:p w14:paraId="033F6CD7" w14:textId="77777777" w:rsidR="00CB7E2E" w:rsidRDefault="00CB7E2E" w:rsidP="00CB7E2E">
      <w:pPr>
        <w:jc w:val="both"/>
        <w:rPr>
          <w:rFonts w:ascii="Arial" w:eastAsia="Calibri" w:hAnsi="Arial" w:cs="Arial"/>
          <w:b/>
          <w:bCs/>
          <w:caps/>
          <w:vanish/>
          <w:sz w:val="20"/>
          <w:szCs w:val="20"/>
          <w:lang w:val="es-ES_tradnl" w:eastAsia="es-ES"/>
        </w:rPr>
      </w:pPr>
      <w:bookmarkStart w:id="1078" w:name="_Toc400636214"/>
    </w:p>
    <w:p w14:paraId="333F2C27" w14:textId="77777777" w:rsidR="00D034CB" w:rsidRPr="00CB7E2E" w:rsidRDefault="00B24E17" w:rsidP="00CB7E2E">
      <w:pPr>
        <w:jc w:val="both"/>
        <w:rPr>
          <w:rFonts w:ascii="Arial" w:eastAsia="Calibri" w:hAnsi="Arial" w:cs="Arial"/>
          <w:b/>
          <w:bCs/>
          <w:caps/>
          <w:vanish/>
          <w:sz w:val="20"/>
          <w:szCs w:val="20"/>
          <w:lang w:val="es-ES_tradnl" w:eastAsia="es-ES"/>
        </w:rPr>
      </w:pPr>
      <w:r w:rsidRPr="00CB7E2E">
        <w:rPr>
          <w:rFonts w:ascii="Arial" w:eastAsia="Calibri" w:hAnsi="Arial" w:cs="Arial"/>
          <w:b/>
          <w:bCs/>
          <w:caps/>
          <w:vanish/>
          <w:sz w:val="20"/>
          <w:szCs w:val="20"/>
          <w:lang w:val="es-ES_tradnl" w:eastAsia="es-ES"/>
        </w:rPr>
        <w:t>MODELO RESUMEN DE PROPUESTA ECONÓMICA</w:t>
      </w:r>
      <w:bookmarkStart w:id="1079" w:name="_Toc450565699"/>
      <w:bookmarkStart w:id="1080" w:name="_Toc450568748"/>
      <w:bookmarkStart w:id="1081" w:name="_Toc450570285"/>
      <w:bookmarkEnd w:id="1078"/>
      <w:bookmarkEnd w:id="1079"/>
      <w:bookmarkEnd w:id="1080"/>
      <w:bookmarkEnd w:id="1081"/>
    </w:p>
    <w:p w14:paraId="198DA8EB" w14:textId="77777777" w:rsidR="00637CBD" w:rsidRDefault="00637CBD" w:rsidP="00637CBD">
      <w:pPr>
        <w:jc w:val="both"/>
        <w:rPr>
          <w:rFonts w:ascii="Arial" w:hAnsi="Arial" w:cs="Arial"/>
          <w:sz w:val="20"/>
          <w:szCs w:val="20"/>
          <w:lang w:val="es-UY"/>
        </w:rPr>
      </w:pPr>
      <w:r w:rsidRPr="00637CBD">
        <w:rPr>
          <w:rFonts w:ascii="Arial" w:hAnsi="Arial" w:cs="Arial"/>
          <w:sz w:val="20"/>
          <w:szCs w:val="20"/>
          <w:lang w:val="es-UY"/>
        </w:rPr>
        <w:t>El Modelo Resumen de la Propuesta Económica deberá incluir las tablas A.II-5 y A.II-6, porcentaje de los Pagos por Disponibilidad denominada en Dólares Estadounidenses solicitada por el Oferente y los siguientes párrafos en forma textual:</w:t>
      </w:r>
    </w:p>
    <w:p w14:paraId="15C5FE2E" w14:textId="005E6C84" w:rsidR="00D034CB" w:rsidRPr="00CB7E2E" w:rsidRDefault="00D034CB" w:rsidP="00CB7E2E">
      <w:pPr>
        <w:jc w:val="both"/>
        <w:rPr>
          <w:rFonts w:ascii="Arial" w:hAnsi="Arial" w:cs="Arial"/>
          <w:sz w:val="20"/>
          <w:szCs w:val="20"/>
          <w:lang w:val="es-UY"/>
        </w:rPr>
      </w:pPr>
      <w:r w:rsidRPr="00365D00">
        <w:rPr>
          <w:rFonts w:ascii="Arial" w:hAnsi="Arial"/>
          <w:sz w:val="20"/>
          <w:lang w:val="es-UY"/>
        </w:rPr>
        <w:t xml:space="preserve">- Los abajo firmantes en nombre y representación del Oferente, declaran que se comprometen a la ejecución del Contrato de Participación Público Privada para el diseño, construcción, operación y financiamiento de la infraestructura vial dentro de la faja de dominio público en tramos de </w:t>
      </w:r>
      <w:r w:rsidR="00A676C5" w:rsidRPr="00365D00">
        <w:rPr>
          <w:rFonts w:ascii="Arial" w:hAnsi="Arial"/>
          <w:sz w:val="20"/>
          <w:lang w:val="es-UY"/>
        </w:rPr>
        <w:t>Ruta</w:t>
      </w:r>
      <w:r w:rsidR="00A676C5" w:rsidRPr="00365D00">
        <w:rPr>
          <w:sz w:val="20"/>
        </w:rPr>
        <w:t xml:space="preserve"> </w:t>
      </w:r>
      <w:r w:rsidR="00A676C5" w:rsidRPr="00365D00">
        <w:rPr>
          <w:rFonts w:ascii="Arial" w:hAnsi="Arial"/>
          <w:sz w:val="20"/>
          <w:lang w:val="es-UY"/>
        </w:rPr>
        <w:t xml:space="preserve">Nº </w:t>
      </w:r>
      <w:r w:rsidR="00B422E5" w:rsidRPr="00365D00">
        <w:rPr>
          <w:rFonts w:ascii="Arial" w:hAnsi="Arial" w:cs="Arial"/>
          <w:sz w:val="20"/>
          <w:szCs w:val="20"/>
          <w:lang w:val="es-UY"/>
        </w:rPr>
        <w:t>6</w:t>
      </w:r>
      <w:r w:rsidRPr="00365D00">
        <w:rPr>
          <w:rFonts w:ascii="Arial" w:hAnsi="Arial"/>
          <w:sz w:val="20"/>
          <w:lang w:val="es-UY"/>
        </w:rPr>
        <w:t>, de acuerdo a la siguiente proposición.</w:t>
      </w:r>
      <w:r w:rsidRPr="00CB7E2E">
        <w:rPr>
          <w:rFonts w:ascii="Arial" w:hAnsi="Arial" w:cs="Arial"/>
          <w:sz w:val="20"/>
          <w:szCs w:val="20"/>
          <w:lang w:val="es-UY"/>
        </w:rPr>
        <w:t xml:space="preserve"> </w:t>
      </w:r>
    </w:p>
    <w:p w14:paraId="67B4E048" w14:textId="77777777" w:rsidR="00D034CB" w:rsidRPr="00CB7E2E" w:rsidRDefault="00D034CB" w:rsidP="00CB7E2E">
      <w:pPr>
        <w:jc w:val="both"/>
        <w:rPr>
          <w:rFonts w:ascii="Arial" w:hAnsi="Arial" w:cs="Arial"/>
          <w:sz w:val="20"/>
          <w:szCs w:val="20"/>
          <w:lang w:val="es-UY"/>
        </w:rPr>
      </w:pPr>
      <w:r w:rsidRPr="00CB7E2E">
        <w:rPr>
          <w:rFonts w:ascii="Arial" w:hAnsi="Arial" w:cs="Arial"/>
          <w:sz w:val="20"/>
          <w:szCs w:val="20"/>
          <w:lang w:val="es-UY"/>
        </w:rPr>
        <w:t xml:space="preserve">- En caso de discrepancia entre los valores ofertados en la presente proposición y el resto de documentos de la oferta, predominarán los valores expresados en este </w:t>
      </w:r>
      <w:r w:rsidR="006D2C16">
        <w:rPr>
          <w:rFonts w:ascii="Arial" w:hAnsi="Arial" w:cs="Arial"/>
          <w:sz w:val="20"/>
          <w:szCs w:val="20"/>
          <w:lang w:val="es-UY"/>
        </w:rPr>
        <w:t xml:space="preserve">Modelo </w:t>
      </w:r>
      <w:r w:rsidRPr="00CB7E2E">
        <w:rPr>
          <w:rFonts w:ascii="Arial" w:hAnsi="Arial" w:cs="Arial"/>
          <w:sz w:val="20"/>
          <w:szCs w:val="20"/>
          <w:lang w:val="es-UY"/>
        </w:rPr>
        <w:t>Resumen de la Oferta Económica.</w:t>
      </w:r>
    </w:p>
    <w:p w14:paraId="210D257E" w14:textId="77777777" w:rsidR="00D034CB" w:rsidRPr="00CB7E2E" w:rsidRDefault="00D034CB" w:rsidP="00CB7E2E">
      <w:pPr>
        <w:jc w:val="both"/>
        <w:rPr>
          <w:rFonts w:ascii="Arial" w:hAnsi="Arial" w:cs="Arial"/>
          <w:sz w:val="20"/>
          <w:szCs w:val="20"/>
          <w:lang w:val="es-UY"/>
        </w:rPr>
      </w:pPr>
      <w:r w:rsidRPr="00CB7E2E">
        <w:rPr>
          <w:rFonts w:ascii="Arial" w:hAnsi="Arial" w:cs="Arial"/>
          <w:sz w:val="20"/>
          <w:szCs w:val="20"/>
          <w:lang w:val="es-UY"/>
        </w:rPr>
        <w:lastRenderedPageBreak/>
        <w:t xml:space="preserve">- Los importes son en UI (Unidades Indexadas) incluyendo contribuciones a la seguridad social, y demás impuestos y tributos pero sin incluir el IVA. </w:t>
      </w:r>
    </w:p>
    <w:p w14:paraId="10640581" w14:textId="77777777" w:rsidR="00B24E17" w:rsidRPr="00CB7E2E" w:rsidRDefault="00712E03" w:rsidP="005F5B3E">
      <w:pPr>
        <w:rPr>
          <w:rFonts w:ascii="Arial" w:hAnsi="Arial" w:cs="Arial"/>
          <w:sz w:val="20"/>
          <w:szCs w:val="20"/>
          <w:lang w:val="es-UY"/>
        </w:rPr>
      </w:pPr>
      <w:bookmarkStart w:id="1082" w:name="A_T6_ResumenPropEconom"/>
      <w:r w:rsidRPr="005F5B3E">
        <w:rPr>
          <w:rFonts w:ascii="Arial" w:hAnsi="Arial" w:cs="Arial"/>
          <w:sz w:val="18"/>
          <w:szCs w:val="18"/>
          <w:lang w:val="es-UY"/>
        </w:rPr>
        <w:t>Tabla A.II</w:t>
      </w:r>
      <w:r w:rsidR="00B24E17" w:rsidRPr="005F5B3E">
        <w:rPr>
          <w:rFonts w:ascii="Arial" w:hAnsi="Arial" w:cs="Arial"/>
          <w:sz w:val="18"/>
          <w:szCs w:val="18"/>
          <w:lang w:val="es-UY"/>
        </w:rPr>
        <w:t>-</w:t>
      </w:r>
      <w:r w:rsidR="00867052" w:rsidRPr="005F5B3E">
        <w:rPr>
          <w:rFonts w:ascii="Arial" w:hAnsi="Arial" w:cs="Arial"/>
          <w:sz w:val="18"/>
          <w:szCs w:val="18"/>
          <w:lang w:val="es-UY"/>
        </w:rPr>
        <w:t>5</w:t>
      </w:r>
      <w:bookmarkEnd w:id="1082"/>
      <w:r w:rsidR="00B24E17" w:rsidRPr="00CB7E2E">
        <w:rPr>
          <w:rFonts w:cs="Times New Roman"/>
          <w:noProof/>
          <w:sz w:val="20"/>
          <w:szCs w:val="20"/>
          <w:lang w:val="es-UY" w:eastAsia="es-UY"/>
        </w:rPr>
        <w:drawing>
          <wp:inline distT="0" distB="0" distL="0" distR="0" wp14:anchorId="121D11FE" wp14:editId="0047F7DF">
            <wp:extent cx="5334000" cy="22479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srcRect/>
                    <a:stretch>
                      <a:fillRect/>
                    </a:stretch>
                  </pic:blipFill>
                  <pic:spPr bwMode="auto">
                    <a:xfrm>
                      <a:off x="0" y="0"/>
                      <a:ext cx="5334000" cy="2247900"/>
                    </a:xfrm>
                    <a:prstGeom prst="rect">
                      <a:avLst/>
                    </a:prstGeom>
                    <a:noFill/>
                    <a:ln w="9525">
                      <a:noFill/>
                      <a:miter lim="800000"/>
                      <a:headEnd/>
                      <a:tailEnd/>
                    </a:ln>
                  </pic:spPr>
                </pic:pic>
              </a:graphicData>
            </a:graphic>
          </wp:inline>
        </w:drawing>
      </w:r>
    </w:p>
    <w:p w14:paraId="6833D837"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Descripción de lo que debe ir en cada celda:</w:t>
      </w:r>
    </w:p>
    <w:p w14:paraId="27FA9238" w14:textId="3D87844F" w:rsidR="002739D9" w:rsidRPr="00CB7E2E" w:rsidRDefault="002739D9" w:rsidP="002739D9">
      <w:pPr>
        <w:jc w:val="both"/>
        <w:rPr>
          <w:rFonts w:ascii="Arial" w:hAnsi="Arial" w:cs="Arial"/>
          <w:sz w:val="20"/>
          <w:szCs w:val="20"/>
          <w:lang w:val="es-UY"/>
        </w:rPr>
      </w:pPr>
      <w:r w:rsidRPr="00CB7E2E">
        <w:rPr>
          <w:rFonts w:ascii="Arial" w:hAnsi="Arial" w:cs="Arial"/>
          <w:sz w:val="20"/>
          <w:szCs w:val="20"/>
          <w:lang w:val="es-UY"/>
        </w:rPr>
        <w:t xml:space="preserve">Los oferentes completarán el cuadro </w:t>
      </w:r>
      <w:r>
        <w:rPr>
          <w:rFonts w:ascii="Arial" w:hAnsi="Arial" w:cs="Arial"/>
          <w:sz w:val="20"/>
          <w:szCs w:val="20"/>
          <w:lang w:val="es-UY"/>
        </w:rPr>
        <w:t>anterior</w:t>
      </w:r>
      <w:r w:rsidRPr="00CB7E2E">
        <w:rPr>
          <w:rFonts w:ascii="Arial" w:hAnsi="Arial" w:cs="Arial"/>
          <w:sz w:val="20"/>
          <w:szCs w:val="20"/>
          <w:lang w:val="es-UY"/>
        </w:rPr>
        <w:t>.</w:t>
      </w:r>
    </w:p>
    <w:p w14:paraId="52C838D2" w14:textId="77777777" w:rsidR="00B24E17" w:rsidRPr="00CB7E2E" w:rsidRDefault="002739D9" w:rsidP="002739D9">
      <w:pPr>
        <w:jc w:val="both"/>
        <w:rPr>
          <w:rFonts w:ascii="Arial" w:hAnsi="Arial" w:cs="Arial"/>
          <w:sz w:val="20"/>
          <w:szCs w:val="20"/>
          <w:lang w:val="es-UY"/>
        </w:rPr>
      </w:pPr>
      <w:r w:rsidRPr="00CB7E2E">
        <w:rPr>
          <w:rFonts w:ascii="Arial" w:hAnsi="Arial" w:cs="Arial"/>
          <w:b/>
          <w:sz w:val="20"/>
          <w:szCs w:val="20"/>
          <w:lang w:val="es-UY"/>
        </w:rPr>
        <w:t xml:space="preserve"> </w:t>
      </w:r>
      <w:r w:rsidR="000F705F" w:rsidRPr="00CB7E2E">
        <w:rPr>
          <w:rFonts w:ascii="Arial" w:hAnsi="Arial" w:cs="Arial"/>
          <w:b/>
          <w:sz w:val="20"/>
          <w:szCs w:val="20"/>
          <w:lang w:val="es-UY"/>
        </w:rPr>
        <w:t>(1)</w:t>
      </w:r>
      <w:r w:rsidR="000F705F" w:rsidRPr="00CB7E2E">
        <w:rPr>
          <w:rFonts w:ascii="Arial" w:hAnsi="Arial" w:cs="Arial"/>
          <w:sz w:val="20"/>
          <w:szCs w:val="20"/>
          <w:lang w:val="es-UY"/>
        </w:rPr>
        <w:t xml:space="preserve"> </w:t>
      </w:r>
      <w:r w:rsidR="005C4D16" w:rsidRPr="005C4D16">
        <w:rPr>
          <w:rFonts w:ascii="Arial" w:hAnsi="Arial" w:cs="Arial"/>
          <w:sz w:val="20"/>
          <w:szCs w:val="20"/>
        </w:rPr>
        <w:t>Es el monto total del componente A que surge de lo expuesto en el presente Anexo, previo a su multiplicación por el coeficiente f</w:t>
      </w:r>
      <w:r w:rsidR="005C4D16" w:rsidRPr="005C4D16">
        <w:rPr>
          <w:rFonts w:ascii="Arial" w:hAnsi="Arial" w:cs="Arial"/>
          <w:sz w:val="20"/>
          <w:szCs w:val="20"/>
          <w:vertAlign w:val="subscript"/>
        </w:rPr>
        <w:t>1</w:t>
      </w:r>
      <w:r w:rsidR="005C4D16" w:rsidRPr="005C4D16">
        <w:rPr>
          <w:rFonts w:ascii="Arial" w:hAnsi="Arial" w:cs="Arial"/>
          <w:sz w:val="20"/>
          <w:szCs w:val="20"/>
        </w:rPr>
        <w:t>. S</w:t>
      </w:r>
      <w:r w:rsidR="00B24E17" w:rsidRPr="005C4D16">
        <w:rPr>
          <w:rFonts w:ascii="Arial" w:hAnsi="Arial" w:cs="Arial"/>
          <w:sz w:val="20"/>
          <w:szCs w:val="20"/>
          <w:lang w:val="es-UY"/>
        </w:rPr>
        <w:t>urge</w:t>
      </w:r>
      <w:r w:rsidR="00B24E17" w:rsidRPr="00CB7E2E">
        <w:rPr>
          <w:rFonts w:ascii="Arial" w:hAnsi="Arial" w:cs="Arial"/>
          <w:sz w:val="20"/>
          <w:szCs w:val="20"/>
          <w:lang w:val="es-UY"/>
        </w:rPr>
        <w:t xml:space="preserve"> de:</w:t>
      </w:r>
    </w:p>
    <w:p w14:paraId="6638BF41" w14:textId="6C86EB00"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lastRenderedPageBreak/>
        <w:t>multiplicar, para todas las obras de puesta punto, y obras complementarias comprometidas, en cada tramo, los metrajes de cada rubro, según los diseños propuestos por el oferente por los “precio unitario base” suministrados por la contratante para dichos rubros,</w:t>
      </w:r>
    </w:p>
    <w:p w14:paraId="2A0E2131"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y luego sumar todos los valores calculados en el punto anterior.</w:t>
      </w:r>
    </w:p>
    <w:p w14:paraId="7B1C22F3" w14:textId="77777777" w:rsidR="00B24E17" w:rsidRPr="00CB7E2E" w:rsidRDefault="00B24E17" w:rsidP="00CB7E2E">
      <w:pPr>
        <w:jc w:val="both"/>
        <w:rPr>
          <w:rFonts w:ascii="Arial" w:hAnsi="Arial" w:cs="Arial"/>
          <w:sz w:val="20"/>
          <w:szCs w:val="20"/>
          <w:lang w:val="es-UY"/>
        </w:rPr>
      </w:pPr>
      <w:r w:rsidRPr="00CB7E2E">
        <w:rPr>
          <w:rFonts w:cs="Times New Roman"/>
          <w:noProof/>
          <w:sz w:val="20"/>
          <w:szCs w:val="20"/>
          <w:lang w:val="es-UY" w:eastAsia="es-UY"/>
        </w:rPr>
        <w:drawing>
          <wp:inline distT="0" distB="0" distL="0" distR="0" wp14:anchorId="63FCDB22" wp14:editId="766F9F3C">
            <wp:extent cx="1152525" cy="466725"/>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a:clrChange>
                        <a:clrFrom>
                          <a:srgbClr val="FFFFFF"/>
                        </a:clrFrom>
                        <a:clrTo>
                          <a:srgbClr val="FFFFFF">
                            <a:alpha val="0"/>
                          </a:srgbClr>
                        </a:clrTo>
                      </a:clrChange>
                    </a:blip>
                    <a:srcRect/>
                    <a:stretch>
                      <a:fillRect/>
                    </a:stretch>
                  </pic:blipFill>
                  <pic:spPr bwMode="auto">
                    <a:xfrm>
                      <a:off x="0" y="0"/>
                      <a:ext cx="1152525" cy="466725"/>
                    </a:xfrm>
                    <a:prstGeom prst="rect">
                      <a:avLst/>
                    </a:prstGeom>
                    <a:noFill/>
                    <a:ln w="9525">
                      <a:noFill/>
                      <a:miter lim="800000"/>
                      <a:headEnd/>
                      <a:tailEnd/>
                    </a:ln>
                  </pic:spPr>
                </pic:pic>
              </a:graphicData>
            </a:graphic>
          </wp:inline>
        </w:drawing>
      </w:r>
    </w:p>
    <w:p w14:paraId="0175AF6E"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En que:</w:t>
      </w:r>
    </w:p>
    <w:p w14:paraId="1AD7B8D9"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i, es el número del tramo del contrato</w:t>
      </w:r>
    </w:p>
    <w:p w14:paraId="60DB24EA"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k, son los rubros de todos los diseños del tramo “i”</w:t>
      </w:r>
    </w:p>
    <w:p w14:paraId="5224004F" w14:textId="7FFF44E1" w:rsidR="00B24E17" w:rsidRPr="00CB7E2E" w:rsidRDefault="00B24E17" w:rsidP="00CB7E2E">
      <w:pPr>
        <w:jc w:val="both"/>
        <w:rPr>
          <w:rFonts w:ascii="Arial" w:hAnsi="Arial" w:cs="Arial"/>
          <w:strike/>
          <w:sz w:val="20"/>
          <w:szCs w:val="20"/>
          <w:lang w:val="es-UY"/>
        </w:rPr>
      </w:pPr>
      <w:r w:rsidRPr="00CB7E2E">
        <w:rPr>
          <w:rFonts w:ascii="Arial" w:hAnsi="Arial" w:cs="Arial"/>
          <w:sz w:val="20"/>
          <w:szCs w:val="20"/>
          <w:lang w:val="es-UY"/>
        </w:rPr>
        <w:t>m (j,i), son los metrajes correspondientes al rubro “j” en todas las obras del tramo “i” (puesta a punto y complementarias)</w:t>
      </w:r>
    </w:p>
    <w:p w14:paraId="4A2CAA05"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p(j), es el precio unitario suministrado por la contratante para el rubro “j”</w:t>
      </w:r>
    </w:p>
    <w:p w14:paraId="2E835B0F"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N, es el número de tramos del contrato del circuito</w:t>
      </w:r>
    </w:p>
    <w:p w14:paraId="00490EBE" w14:textId="6B1CD090" w:rsidR="003D2824" w:rsidRPr="003D2824" w:rsidRDefault="006E3509" w:rsidP="003D2824">
      <w:pPr>
        <w:jc w:val="both"/>
        <w:rPr>
          <w:rFonts w:ascii="Arial" w:hAnsi="Arial" w:cs="Arial"/>
          <w:b/>
          <w:bCs/>
          <w:sz w:val="20"/>
          <w:szCs w:val="20"/>
        </w:rPr>
      </w:pPr>
      <w:r w:rsidRPr="006E3509">
        <w:rPr>
          <w:rFonts w:ascii="Arial" w:hAnsi="Arial" w:cs="Arial"/>
          <w:b/>
          <w:bCs/>
          <w:sz w:val="20"/>
          <w:szCs w:val="20"/>
        </w:rPr>
        <w:t xml:space="preserve">El oferente deberá explicitar si </w:t>
      </w:r>
      <w:r w:rsidR="003D2824" w:rsidRPr="003D2824">
        <w:rPr>
          <w:rFonts w:ascii="Arial" w:hAnsi="Arial" w:cs="Arial"/>
          <w:b/>
          <w:bCs/>
          <w:sz w:val="20"/>
          <w:szCs w:val="20"/>
        </w:rPr>
        <w:t xml:space="preserve">propone o no alguna de las obras complementarias y en caso que la proponga indicará cuál o cuáles (1 y/o 2) </w:t>
      </w:r>
      <w:r w:rsidRPr="006E3509">
        <w:rPr>
          <w:rFonts w:ascii="Arial" w:hAnsi="Arial" w:cs="Arial"/>
          <w:b/>
          <w:bCs/>
          <w:sz w:val="20"/>
          <w:szCs w:val="20"/>
        </w:rPr>
        <w:t>se compromete a ejecutar.</w:t>
      </w:r>
    </w:p>
    <w:p w14:paraId="0DC73CA8" w14:textId="032BB776" w:rsidR="003D2824" w:rsidRDefault="003D2824" w:rsidP="003D2824">
      <w:pPr>
        <w:jc w:val="both"/>
        <w:rPr>
          <w:rFonts w:ascii="Arial" w:hAnsi="Arial" w:cs="Arial"/>
          <w:b/>
          <w:bCs/>
          <w:sz w:val="20"/>
          <w:szCs w:val="20"/>
        </w:rPr>
      </w:pPr>
      <w:r w:rsidRPr="003D2824">
        <w:rPr>
          <w:rFonts w:ascii="Arial" w:hAnsi="Arial" w:cs="Arial"/>
          <w:b/>
          <w:bCs/>
          <w:sz w:val="20"/>
          <w:szCs w:val="20"/>
        </w:rPr>
        <w:lastRenderedPageBreak/>
        <w:t xml:space="preserve">En caso que el oferente proponga en su oferta la obra complementaria </w:t>
      </w:r>
      <w:r w:rsidR="007B4DDF">
        <w:rPr>
          <w:rFonts w:ascii="Arial" w:hAnsi="Arial" w:cs="Arial"/>
          <w:b/>
          <w:bCs/>
          <w:sz w:val="20"/>
          <w:szCs w:val="20"/>
        </w:rPr>
        <w:t>1</w:t>
      </w:r>
      <w:r w:rsidRPr="003D2824">
        <w:rPr>
          <w:rFonts w:ascii="Arial" w:hAnsi="Arial" w:cs="Arial"/>
          <w:b/>
          <w:bCs/>
          <w:sz w:val="20"/>
          <w:szCs w:val="20"/>
        </w:rPr>
        <w:t>, deberá considerar en la propuesta que el pago de la misma forma parte de la retribución de la componente A</w:t>
      </w:r>
      <w:r w:rsidR="007B4DDF">
        <w:rPr>
          <w:rFonts w:ascii="Arial" w:hAnsi="Arial" w:cs="Arial"/>
          <w:b/>
          <w:bCs/>
          <w:sz w:val="20"/>
          <w:szCs w:val="20"/>
        </w:rPr>
        <w:t xml:space="preserve"> de primerta etapa</w:t>
      </w:r>
      <w:r w:rsidRPr="003D2824">
        <w:rPr>
          <w:rFonts w:ascii="Arial" w:hAnsi="Arial" w:cs="Arial"/>
          <w:b/>
          <w:bCs/>
          <w:sz w:val="20"/>
          <w:szCs w:val="20"/>
        </w:rPr>
        <w:t xml:space="preserve"> y se realizará en 17 cuotas iguales y consecutivas a partir del año 4. Esta obra complementaria no se desglosa por tramos</w:t>
      </w:r>
      <w:r>
        <w:rPr>
          <w:rFonts w:ascii="Arial" w:hAnsi="Arial" w:cs="Arial"/>
          <w:b/>
          <w:bCs/>
          <w:sz w:val="20"/>
          <w:szCs w:val="20"/>
        </w:rPr>
        <w:t>.</w:t>
      </w:r>
      <w:r w:rsidRPr="003D2824" w:rsidDel="003D2824">
        <w:rPr>
          <w:rFonts w:ascii="Arial" w:hAnsi="Arial" w:cs="Arial"/>
          <w:b/>
          <w:bCs/>
          <w:sz w:val="20"/>
          <w:szCs w:val="20"/>
        </w:rPr>
        <w:t xml:space="preserve"> </w:t>
      </w:r>
    </w:p>
    <w:p w14:paraId="2F6EC443"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(2)</w:t>
      </w:r>
      <w:r w:rsidRPr="00CB7E2E">
        <w:rPr>
          <w:rFonts w:ascii="Arial" w:hAnsi="Arial" w:cs="Arial"/>
          <w:sz w:val="20"/>
          <w:szCs w:val="20"/>
          <w:lang w:val="es-UY"/>
        </w:rPr>
        <w:t xml:space="preserve"> </w:t>
      </w:r>
      <w:r w:rsidR="00B24E17" w:rsidRPr="00CB7E2E">
        <w:rPr>
          <w:rFonts w:ascii="Arial" w:hAnsi="Arial" w:cs="Arial"/>
          <w:sz w:val="20"/>
          <w:szCs w:val="20"/>
          <w:lang w:val="es-UY"/>
        </w:rPr>
        <w:t xml:space="preserve">Este valor se suministra </w:t>
      </w:r>
      <w:r w:rsidR="002739D9">
        <w:rPr>
          <w:rFonts w:ascii="Arial" w:hAnsi="Arial" w:cs="Arial"/>
          <w:sz w:val="20"/>
          <w:szCs w:val="20"/>
          <w:lang w:val="es-UY"/>
        </w:rPr>
        <w:t xml:space="preserve">en el </w:t>
      </w:r>
      <w:hyperlink w:anchor="A_11" w:history="1">
        <w:r w:rsidR="002739D9" w:rsidRPr="003218BC">
          <w:rPr>
            <w:rStyle w:val="Hipervnculo"/>
            <w:rFonts w:ascii="Arial" w:hAnsi="Arial" w:cs="Arial"/>
            <w:sz w:val="20"/>
            <w:szCs w:val="20"/>
            <w:lang w:val="es-UY"/>
          </w:rPr>
          <w:t>Anexo XI</w:t>
        </w:r>
      </w:hyperlink>
      <w:r w:rsidR="002739D9">
        <w:rPr>
          <w:rFonts w:ascii="Arial" w:hAnsi="Arial" w:cs="Arial"/>
          <w:sz w:val="20"/>
          <w:szCs w:val="20"/>
          <w:lang w:val="es-UY"/>
        </w:rPr>
        <w:t>.</w:t>
      </w:r>
    </w:p>
    <w:p w14:paraId="476C0E45"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Surge de multiplicar la cantidad total de kilómetros-mes a mantener durante todo el contrato por el “precio unitario base” suministrado por la contratante para esa tareas y que incluye el Costo de Operación de todo el Contrato.</w:t>
      </w:r>
    </w:p>
    <w:p w14:paraId="176C4782" w14:textId="0F248807" w:rsidR="00B24E17" w:rsidRPr="00F67C11" w:rsidRDefault="000F705F" w:rsidP="00CB7E2E">
      <w:pPr>
        <w:jc w:val="both"/>
        <w:rPr>
          <w:rFonts w:ascii="Arial" w:hAnsi="Arial" w:cs="Arial"/>
          <w:sz w:val="20"/>
          <w:szCs w:val="20"/>
          <w:lang w:val="es-UY"/>
        </w:rPr>
      </w:pPr>
      <w:r w:rsidRPr="00CB7E2E">
        <w:rPr>
          <w:rFonts w:ascii="Arial" w:hAnsi="Arial" w:cs="Arial"/>
          <w:b/>
          <w:sz w:val="20"/>
          <w:szCs w:val="20"/>
          <w:lang w:val="es-UY"/>
        </w:rPr>
        <w:t>(3)</w:t>
      </w:r>
      <w:r w:rsidRPr="00CB7E2E">
        <w:rPr>
          <w:rFonts w:ascii="Arial" w:hAnsi="Arial" w:cs="Arial"/>
          <w:sz w:val="20"/>
          <w:szCs w:val="20"/>
          <w:lang w:val="es-UY"/>
        </w:rPr>
        <w:t xml:space="preserve"> </w:t>
      </w:r>
      <w:r w:rsidR="00B24E17" w:rsidRPr="00CB7E2E">
        <w:rPr>
          <w:rFonts w:ascii="Arial" w:hAnsi="Arial" w:cs="Arial"/>
          <w:sz w:val="20"/>
          <w:szCs w:val="20"/>
          <w:lang w:val="es-UY"/>
        </w:rPr>
        <w:t xml:space="preserve">Este valor se suministra </w:t>
      </w:r>
      <w:r w:rsidR="002739D9">
        <w:rPr>
          <w:rFonts w:ascii="Arial" w:hAnsi="Arial" w:cs="Arial"/>
          <w:sz w:val="20"/>
          <w:szCs w:val="20"/>
          <w:lang w:val="es-UY"/>
        </w:rPr>
        <w:t xml:space="preserve">en el </w:t>
      </w:r>
      <w:hyperlink w:anchor="A_11" w:history="1">
        <w:r w:rsidR="002739D9" w:rsidRPr="00F67C11">
          <w:rPr>
            <w:rStyle w:val="Hipervnculo"/>
            <w:rFonts w:ascii="Arial" w:hAnsi="Arial" w:cs="Arial"/>
            <w:sz w:val="20"/>
            <w:szCs w:val="20"/>
            <w:lang w:val="es-UY"/>
          </w:rPr>
          <w:t>Anexo X</w:t>
        </w:r>
        <w:r w:rsidR="00C85883" w:rsidRPr="00F67C11">
          <w:rPr>
            <w:rStyle w:val="Hipervnculo"/>
            <w:rFonts w:ascii="Arial" w:hAnsi="Arial" w:cs="Arial"/>
            <w:sz w:val="20"/>
            <w:szCs w:val="20"/>
            <w:lang w:val="es-UY"/>
          </w:rPr>
          <w:t>I</w:t>
        </w:r>
        <w:r w:rsidR="002739D9" w:rsidRPr="00F67C11">
          <w:rPr>
            <w:rStyle w:val="Hipervnculo"/>
            <w:rFonts w:ascii="Arial" w:hAnsi="Arial" w:cs="Arial"/>
            <w:sz w:val="20"/>
            <w:szCs w:val="20"/>
            <w:lang w:val="es-UY"/>
          </w:rPr>
          <w:t>I</w:t>
        </w:r>
      </w:hyperlink>
      <w:r w:rsidR="002739D9" w:rsidRPr="00F67C11">
        <w:rPr>
          <w:rFonts w:ascii="Arial" w:hAnsi="Arial" w:cs="Arial"/>
          <w:sz w:val="20"/>
          <w:szCs w:val="20"/>
          <w:lang w:val="es-UY"/>
        </w:rPr>
        <w:t>.</w:t>
      </w:r>
    </w:p>
    <w:p w14:paraId="30452ED3" w14:textId="79D025F8" w:rsidR="00B24E17" w:rsidRPr="00CB7E2E" w:rsidRDefault="00466AF5" w:rsidP="00CB7E2E">
      <w:pPr>
        <w:jc w:val="both"/>
        <w:rPr>
          <w:rFonts w:ascii="Arial" w:hAnsi="Arial" w:cs="Arial"/>
          <w:sz w:val="20"/>
          <w:szCs w:val="20"/>
          <w:lang w:val="es-UY"/>
        </w:rPr>
      </w:pPr>
      <w:r w:rsidRPr="00F67C11">
        <w:rPr>
          <w:rFonts w:ascii="Arial" w:hAnsi="Arial" w:cs="Arial"/>
          <w:sz w:val="20"/>
          <w:szCs w:val="20"/>
          <w:lang w:val="es-UY"/>
        </w:rPr>
        <w:t>Corresponde al Monto Base de la Componente C suministrado en la Tabla A.XII-1</w:t>
      </w:r>
      <w:r w:rsidR="00ED13D3">
        <w:rPr>
          <w:rFonts w:ascii="Arial" w:hAnsi="Arial" w:cs="Arial"/>
          <w:sz w:val="20"/>
          <w:szCs w:val="20"/>
          <w:lang w:val="es-UY"/>
        </w:rPr>
        <w:t>.</w:t>
      </w:r>
      <w:r w:rsidR="00B24E17" w:rsidRPr="00CB7E2E">
        <w:rPr>
          <w:rFonts w:ascii="Arial" w:hAnsi="Arial" w:cs="Arial"/>
          <w:sz w:val="20"/>
          <w:szCs w:val="20"/>
          <w:lang w:val="es-UY"/>
        </w:rPr>
        <w:t xml:space="preserve"> </w:t>
      </w:r>
    </w:p>
    <w:p w14:paraId="0B7CD029" w14:textId="7A856797" w:rsidR="00B24E17" w:rsidRPr="00CB7E2E" w:rsidRDefault="000F705F" w:rsidP="00CB7E2E">
      <w:pPr>
        <w:jc w:val="both"/>
        <w:rPr>
          <w:rFonts w:ascii="Arial" w:hAnsi="Arial" w:cs="Arial"/>
          <w:sz w:val="20"/>
          <w:szCs w:val="20"/>
          <w:lang w:val="es-UY"/>
        </w:rPr>
      </w:pPr>
      <w:r w:rsidRPr="00F67C11">
        <w:rPr>
          <w:rFonts w:ascii="Arial" w:hAnsi="Arial" w:cs="Arial"/>
          <w:b/>
          <w:sz w:val="20"/>
          <w:szCs w:val="20"/>
          <w:lang w:val="es-UY"/>
        </w:rPr>
        <w:t>(4)</w:t>
      </w:r>
      <w:r w:rsidRPr="00F67C11">
        <w:rPr>
          <w:rFonts w:ascii="Arial" w:hAnsi="Arial" w:cs="Arial"/>
          <w:sz w:val="20"/>
          <w:szCs w:val="20"/>
          <w:lang w:val="es-UY"/>
        </w:rPr>
        <w:t xml:space="preserve"> </w:t>
      </w:r>
      <w:r w:rsidR="00B24E17" w:rsidRPr="00F67C11">
        <w:rPr>
          <w:rFonts w:ascii="Arial" w:hAnsi="Arial" w:cs="Arial"/>
          <w:sz w:val="20"/>
          <w:szCs w:val="20"/>
          <w:lang w:val="es-UY"/>
        </w:rPr>
        <w:t>= (1) +</w:t>
      </w:r>
      <w:r w:rsidRPr="00F67C11">
        <w:rPr>
          <w:rFonts w:ascii="Arial" w:hAnsi="Arial" w:cs="Arial"/>
          <w:sz w:val="20"/>
          <w:szCs w:val="20"/>
          <w:lang w:val="es-UY"/>
        </w:rPr>
        <w:t xml:space="preserve"> </w:t>
      </w:r>
      <w:r w:rsidR="00B24E17" w:rsidRPr="00F67C11">
        <w:rPr>
          <w:rFonts w:ascii="Arial" w:hAnsi="Arial" w:cs="Arial"/>
          <w:sz w:val="20"/>
          <w:szCs w:val="20"/>
          <w:lang w:val="es-UY"/>
        </w:rPr>
        <w:t>(2)+ (3).</w:t>
      </w:r>
    </w:p>
    <w:p w14:paraId="4E4A5FC1" w14:textId="6922257F"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(5)</w:t>
      </w:r>
      <w:r w:rsidRPr="00CB7E2E">
        <w:rPr>
          <w:rFonts w:ascii="Arial" w:hAnsi="Arial" w:cs="Arial"/>
          <w:sz w:val="20"/>
          <w:szCs w:val="20"/>
          <w:lang w:val="es-UY"/>
        </w:rPr>
        <w:t xml:space="preserve"> </w:t>
      </w:r>
      <w:r w:rsidR="00B24E17" w:rsidRPr="00CB7E2E">
        <w:rPr>
          <w:rFonts w:ascii="Arial" w:hAnsi="Arial" w:cs="Arial"/>
          <w:sz w:val="20"/>
          <w:szCs w:val="20"/>
          <w:lang w:val="es-UY"/>
        </w:rPr>
        <w:t xml:space="preserve">Es el monto total que el oferente pretende recibir por la componente A incluyendo las obras mencionadas en el ítem (1) y, </w:t>
      </w:r>
      <w:r w:rsidR="00B24E17" w:rsidRPr="00CB7E2E">
        <w:rPr>
          <w:rFonts w:ascii="Arial" w:hAnsi="Arial" w:cs="Arial"/>
          <w:sz w:val="20"/>
          <w:szCs w:val="20"/>
          <w:u w:val="single"/>
          <w:lang w:val="es-UY"/>
        </w:rPr>
        <w:t>si fuera el caso las obras complementarias</w:t>
      </w:r>
      <w:r w:rsidR="00B24E17" w:rsidRPr="00CB7E2E">
        <w:rPr>
          <w:rFonts w:ascii="Arial" w:hAnsi="Arial" w:cs="Arial"/>
          <w:sz w:val="20"/>
          <w:szCs w:val="20"/>
          <w:lang w:val="es-UY"/>
        </w:rPr>
        <w:t xml:space="preserve">. </w:t>
      </w:r>
    </w:p>
    <w:p w14:paraId="1648450F" w14:textId="414DA603"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(6)</w:t>
      </w:r>
      <w:r w:rsidRPr="00CB7E2E">
        <w:rPr>
          <w:rFonts w:ascii="Arial" w:hAnsi="Arial" w:cs="Arial"/>
          <w:sz w:val="20"/>
          <w:szCs w:val="20"/>
          <w:lang w:val="es-UY"/>
        </w:rPr>
        <w:t xml:space="preserve"> </w:t>
      </w:r>
      <w:r w:rsidR="00B24E17" w:rsidRPr="00CB7E2E">
        <w:rPr>
          <w:rFonts w:ascii="Arial" w:hAnsi="Arial" w:cs="Arial"/>
          <w:sz w:val="20"/>
          <w:szCs w:val="20"/>
          <w:lang w:val="es-UY"/>
        </w:rPr>
        <w:t>Es el monto total que el oferente pretende recibir por la componente B.</w:t>
      </w:r>
    </w:p>
    <w:p w14:paraId="6D8E1109" w14:textId="5AE691C9" w:rsidR="00B24E17" w:rsidRPr="00CB7E2E" w:rsidRDefault="00B24E17" w:rsidP="00CB7E2E">
      <w:pPr>
        <w:jc w:val="both"/>
        <w:rPr>
          <w:rFonts w:ascii="Arial" w:hAnsi="Arial" w:cs="Arial"/>
          <w:sz w:val="20"/>
          <w:szCs w:val="20"/>
          <w:lang w:val="es-UY"/>
        </w:rPr>
      </w:pPr>
      <w:r w:rsidRPr="00CB7E2E">
        <w:rPr>
          <w:rFonts w:ascii="Arial" w:hAnsi="Arial" w:cs="Arial"/>
          <w:b/>
          <w:bCs/>
          <w:sz w:val="20"/>
          <w:szCs w:val="20"/>
          <w:lang w:val="es-UY"/>
        </w:rPr>
        <w:lastRenderedPageBreak/>
        <w:t>(7)</w:t>
      </w:r>
      <w:r w:rsidR="000F705F" w:rsidRPr="00CB7E2E">
        <w:rPr>
          <w:rFonts w:ascii="Arial" w:hAnsi="Arial" w:cs="Arial"/>
          <w:b/>
          <w:bCs/>
          <w:sz w:val="20"/>
          <w:szCs w:val="20"/>
          <w:lang w:val="es-UY"/>
        </w:rPr>
        <w:t xml:space="preserve"> </w:t>
      </w:r>
      <w:r w:rsidRPr="00CB7E2E">
        <w:rPr>
          <w:rFonts w:ascii="Arial" w:hAnsi="Arial" w:cs="Arial"/>
          <w:sz w:val="20"/>
          <w:szCs w:val="20"/>
          <w:lang w:val="es-UY"/>
        </w:rPr>
        <w:t>Es el monto total que el oferente pretende recibir por la componente C.</w:t>
      </w:r>
    </w:p>
    <w:p w14:paraId="7E307622"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(8)</w:t>
      </w:r>
      <w:r w:rsidRPr="00CB7E2E">
        <w:rPr>
          <w:rFonts w:ascii="Arial" w:hAnsi="Arial" w:cs="Arial"/>
          <w:sz w:val="20"/>
          <w:szCs w:val="20"/>
          <w:lang w:val="es-UY"/>
        </w:rPr>
        <w:t xml:space="preserve"> </w:t>
      </w:r>
      <w:r w:rsidR="00B24E17" w:rsidRPr="00CB7E2E">
        <w:rPr>
          <w:rFonts w:ascii="Arial" w:hAnsi="Arial" w:cs="Arial"/>
          <w:sz w:val="20"/>
          <w:szCs w:val="20"/>
          <w:lang w:val="es-UY"/>
        </w:rPr>
        <w:t>= (5) + (6) + (7). Este será el importe de referencia para constatar que la oferta cumple los criterios relativos al Valor Máximo de la Oferta (Capítulo I Cláusula 5 de este pliego) y será también el valor utilizado a los efectos de la comparación de ofertas.</w:t>
      </w:r>
    </w:p>
    <w:p w14:paraId="2430FDE6"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(9)</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f</w:t>
      </w:r>
      <w:r w:rsidR="00B24E17" w:rsidRPr="00CB7E2E">
        <w:rPr>
          <w:sz w:val="20"/>
          <w:szCs w:val="20"/>
          <w:lang w:val="es-UY"/>
        </w:rPr>
        <w:t>₁</w:t>
      </w:r>
      <w:r w:rsidR="00B24E17" w:rsidRPr="00CB7E2E">
        <w:rPr>
          <w:rFonts w:ascii="Arial" w:hAnsi="Arial" w:cs="Arial"/>
          <w:sz w:val="20"/>
          <w:szCs w:val="20"/>
          <w:lang w:val="es-UY"/>
        </w:rPr>
        <w:t>, propuesto por el oferente y surge de dividir (5) entre (1).</w:t>
      </w:r>
    </w:p>
    <w:p w14:paraId="06892AAA" w14:textId="77777777"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(10)</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de f</w:t>
      </w:r>
      <w:r w:rsidR="00B24E17" w:rsidRPr="00CB7E2E">
        <w:rPr>
          <w:sz w:val="20"/>
          <w:szCs w:val="20"/>
          <w:lang w:val="es-UY"/>
        </w:rPr>
        <w:t>₂</w:t>
      </w:r>
      <w:r w:rsidR="00B24E17" w:rsidRPr="00CB7E2E">
        <w:rPr>
          <w:rFonts w:ascii="Arial" w:hAnsi="Arial" w:cs="Arial"/>
          <w:sz w:val="20"/>
          <w:szCs w:val="20"/>
          <w:lang w:val="es-UY"/>
        </w:rPr>
        <w:t>, propuesto por el oferente y surge de dividir (6) entre (2).</w:t>
      </w:r>
    </w:p>
    <w:p w14:paraId="57366185" w14:textId="286766D6" w:rsidR="00B24E17" w:rsidRPr="00CB7E2E" w:rsidRDefault="000F705F" w:rsidP="00CB7E2E">
      <w:pPr>
        <w:jc w:val="both"/>
        <w:rPr>
          <w:rFonts w:ascii="Arial" w:hAnsi="Arial" w:cs="Arial"/>
          <w:sz w:val="20"/>
          <w:szCs w:val="20"/>
          <w:lang w:val="es-UY"/>
        </w:rPr>
      </w:pPr>
      <w:r w:rsidRPr="00CB7E2E">
        <w:rPr>
          <w:rFonts w:ascii="Arial" w:hAnsi="Arial" w:cs="Arial"/>
          <w:b/>
          <w:sz w:val="20"/>
          <w:szCs w:val="20"/>
          <w:lang w:val="es-UY"/>
        </w:rPr>
        <w:t>(11)</w:t>
      </w:r>
      <w:r w:rsidRPr="00CB7E2E">
        <w:rPr>
          <w:rFonts w:ascii="Arial" w:hAnsi="Arial" w:cs="Arial"/>
          <w:sz w:val="20"/>
          <w:szCs w:val="20"/>
          <w:lang w:val="es-UY"/>
        </w:rPr>
        <w:t xml:space="preserve"> </w:t>
      </w:r>
      <w:r w:rsidR="00B24E17" w:rsidRPr="00CB7E2E">
        <w:rPr>
          <w:rFonts w:ascii="Arial" w:hAnsi="Arial" w:cs="Arial"/>
          <w:sz w:val="20"/>
          <w:szCs w:val="20"/>
          <w:lang w:val="es-UY"/>
        </w:rPr>
        <w:t>Es el coeficiente f</w:t>
      </w:r>
      <w:r w:rsidR="00B24E17" w:rsidRPr="00CB7E2E">
        <w:rPr>
          <w:sz w:val="20"/>
          <w:szCs w:val="20"/>
          <w:lang w:val="es-UY"/>
        </w:rPr>
        <w:t>₃</w:t>
      </w:r>
      <w:r w:rsidR="00B24E17" w:rsidRPr="00CB7E2E">
        <w:rPr>
          <w:rFonts w:ascii="Arial" w:hAnsi="Arial" w:cs="Arial"/>
          <w:sz w:val="20"/>
          <w:szCs w:val="20"/>
          <w:lang w:val="es-UY"/>
        </w:rPr>
        <w:t>, propuesto por el oferente y surge de dividir (7) entre (3)</w:t>
      </w:r>
      <w:r w:rsidR="00AD269E">
        <w:rPr>
          <w:rFonts w:ascii="Arial" w:hAnsi="Arial" w:cs="Arial"/>
          <w:sz w:val="20"/>
          <w:szCs w:val="20"/>
          <w:lang w:val="es-UY"/>
        </w:rPr>
        <w:t>.</w:t>
      </w:r>
    </w:p>
    <w:p w14:paraId="5C481A22" w14:textId="77777777"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Los montos se expresan en valores corrientes y sin calcular el valor actual.</w:t>
      </w:r>
      <w:r w:rsidR="00B14DCC" w:rsidRPr="00CB7E2E">
        <w:rPr>
          <w:rFonts w:ascii="Arial" w:hAnsi="Arial" w:cs="Arial"/>
          <w:sz w:val="20"/>
          <w:szCs w:val="20"/>
          <w:lang w:val="es-UY"/>
        </w:rPr>
        <w:t xml:space="preserve"> </w:t>
      </w:r>
    </w:p>
    <w:p w14:paraId="551F7CFE" w14:textId="38554184" w:rsidR="00B24E17" w:rsidRPr="00CB7E2E" w:rsidRDefault="00B24E17" w:rsidP="00CB7E2E">
      <w:pPr>
        <w:jc w:val="both"/>
        <w:rPr>
          <w:rFonts w:ascii="Arial" w:hAnsi="Arial" w:cs="Arial"/>
          <w:sz w:val="20"/>
          <w:szCs w:val="20"/>
          <w:lang w:val="es-UY"/>
        </w:rPr>
      </w:pPr>
      <w:r w:rsidRPr="00CB7E2E">
        <w:rPr>
          <w:rFonts w:ascii="Arial" w:hAnsi="Arial" w:cs="Arial"/>
          <w:sz w:val="20"/>
          <w:szCs w:val="20"/>
          <w:lang w:val="es-UY"/>
        </w:rPr>
        <w:t>Los coeficientes f</w:t>
      </w:r>
      <w:r w:rsidRPr="00CB7E2E">
        <w:rPr>
          <w:sz w:val="20"/>
          <w:szCs w:val="20"/>
          <w:lang w:val="es-UY"/>
        </w:rPr>
        <w:t>₁</w:t>
      </w:r>
      <w:r w:rsidRPr="00CB7E2E">
        <w:rPr>
          <w:rFonts w:ascii="Arial" w:hAnsi="Arial" w:cs="Arial"/>
          <w:sz w:val="20"/>
          <w:szCs w:val="20"/>
          <w:lang w:val="es-UY"/>
        </w:rPr>
        <w:t>, f</w:t>
      </w:r>
      <w:r w:rsidRPr="00CB7E2E">
        <w:rPr>
          <w:sz w:val="20"/>
          <w:szCs w:val="20"/>
          <w:lang w:val="es-UY"/>
        </w:rPr>
        <w:t>₂</w:t>
      </w:r>
      <w:r w:rsidRPr="00CB7E2E">
        <w:rPr>
          <w:rFonts w:ascii="Arial" w:hAnsi="Arial" w:cs="Arial"/>
          <w:sz w:val="20"/>
          <w:szCs w:val="20"/>
          <w:lang w:val="es-UY"/>
        </w:rPr>
        <w:t xml:space="preserve"> y f</w:t>
      </w:r>
      <w:r w:rsidRPr="00CB7E2E">
        <w:rPr>
          <w:sz w:val="20"/>
          <w:szCs w:val="20"/>
          <w:lang w:val="es-UY"/>
        </w:rPr>
        <w:t>₃</w:t>
      </w:r>
      <w:r w:rsidRPr="00CB7E2E">
        <w:rPr>
          <w:rFonts w:ascii="Arial" w:hAnsi="Arial" w:cs="Arial"/>
          <w:sz w:val="20"/>
          <w:szCs w:val="20"/>
          <w:lang w:val="es-UY"/>
        </w:rPr>
        <w:t xml:space="preserve"> son idénticos para todos los tramos y deberán cumplir las</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condiciones establecidas en </w:t>
      </w:r>
      <w:r w:rsidR="006A7D8F">
        <w:rPr>
          <w:rFonts w:ascii="Arial" w:hAnsi="Arial" w:cs="Arial"/>
          <w:sz w:val="20"/>
          <w:szCs w:val="20"/>
          <w:lang w:val="es-UY"/>
        </w:rPr>
        <w:t>la cláusula</w:t>
      </w:r>
      <w:r w:rsidRPr="00CB7E2E">
        <w:rPr>
          <w:rFonts w:ascii="Arial" w:hAnsi="Arial" w:cs="Arial"/>
          <w:sz w:val="20"/>
          <w:szCs w:val="20"/>
          <w:lang w:val="es-UY"/>
        </w:rPr>
        <w:t xml:space="preserve"> </w:t>
      </w:r>
      <w:r w:rsidR="007C4479">
        <w:fldChar w:fldCharType="begin"/>
      </w:r>
      <w:r w:rsidR="007C4479">
        <w:instrText xml:space="preserve"> REF _Ref438052994 \r \h  \* MERGEFORMAT </w:instrText>
      </w:r>
      <w:r w:rsidR="007C4479">
        <w:fldChar w:fldCharType="separate"/>
      </w:r>
      <w:r w:rsidR="00B16BDA" w:rsidRPr="00BC7EA8">
        <w:rPr>
          <w:rFonts w:ascii="Arial" w:hAnsi="Arial" w:cs="Arial"/>
          <w:sz w:val="20"/>
          <w:szCs w:val="20"/>
          <w:lang w:val="es-UY"/>
        </w:rPr>
        <w:t>18.4</w:t>
      </w:r>
      <w:r w:rsidR="007C4479">
        <w:fldChar w:fldCharType="end"/>
      </w:r>
      <w:r w:rsidRPr="00CB7E2E">
        <w:rPr>
          <w:rFonts w:ascii="Arial" w:hAnsi="Arial" w:cs="Arial"/>
          <w:sz w:val="20"/>
          <w:szCs w:val="20"/>
          <w:lang w:val="es-UY"/>
        </w:rPr>
        <w:t>.</w:t>
      </w:r>
    </w:p>
    <w:tbl>
      <w:tblPr>
        <w:tblW w:w="4838" w:type="pct"/>
        <w:jc w:val="center"/>
        <w:tblLayout w:type="fixed"/>
        <w:tblCellMar>
          <w:left w:w="70" w:type="dxa"/>
          <w:right w:w="70" w:type="dxa"/>
        </w:tblCellMar>
        <w:tblLook w:val="00A0" w:firstRow="1" w:lastRow="0" w:firstColumn="1" w:lastColumn="0" w:noHBand="0" w:noVBand="0"/>
      </w:tblPr>
      <w:tblGrid>
        <w:gridCol w:w="8220"/>
      </w:tblGrid>
      <w:tr w:rsidR="00B24E17" w:rsidRPr="00CB7E2E" w14:paraId="230C4E28" w14:textId="77777777" w:rsidTr="00F30B0E">
        <w:trPr>
          <w:trHeight w:val="270"/>
          <w:jc w:val="center"/>
        </w:trPr>
        <w:tc>
          <w:tcPr>
            <w:tcW w:w="5000" w:type="pct"/>
            <w:tcBorders>
              <w:top w:val="single" w:sz="4" w:space="0" w:color="808080"/>
              <w:left w:val="single" w:sz="4" w:space="0" w:color="808080"/>
              <w:bottom w:val="single" w:sz="4" w:space="0" w:color="808080"/>
              <w:right w:val="single" w:sz="4" w:space="0" w:color="808080"/>
            </w:tcBorders>
            <w:shd w:val="clear" w:color="000000" w:fill="FFFFFF"/>
            <w:noWrap/>
            <w:vAlign w:val="center"/>
          </w:tcPr>
          <w:p w14:paraId="340AF2AB" w14:textId="77777777" w:rsidR="00B24E17" w:rsidRPr="00CB7E2E" w:rsidRDefault="00B24E17" w:rsidP="00CB7E2E">
            <w:pPr>
              <w:jc w:val="both"/>
              <w:rPr>
                <w:rFonts w:ascii="Arial" w:hAnsi="Arial" w:cs="Arial"/>
                <w:sz w:val="20"/>
                <w:szCs w:val="20"/>
                <w:highlight w:val="lightGray"/>
                <w:lang w:val="es-UY" w:eastAsia="es-ES"/>
              </w:rPr>
            </w:pPr>
            <w:r w:rsidRPr="00CB7E2E">
              <w:rPr>
                <w:rFonts w:ascii="Arial" w:hAnsi="Arial" w:cs="Arial"/>
                <w:sz w:val="20"/>
                <w:szCs w:val="20"/>
                <w:lang w:val="es-UY" w:eastAsia="es-ES"/>
              </w:rPr>
              <w:t>Los importes son en UI (Unidades Indexadas) incluyendo contribuciones a la seguridad social, y demás impuestos y tributos pero sin incluir el</w:t>
            </w:r>
            <w:r w:rsidR="00B14DCC" w:rsidRPr="00CB7E2E">
              <w:rPr>
                <w:rFonts w:ascii="Arial" w:hAnsi="Arial" w:cs="Arial"/>
                <w:sz w:val="20"/>
                <w:szCs w:val="20"/>
                <w:lang w:val="es-UY" w:eastAsia="es-ES"/>
              </w:rPr>
              <w:t xml:space="preserve"> </w:t>
            </w:r>
            <w:r w:rsidRPr="00CB7E2E">
              <w:rPr>
                <w:rFonts w:ascii="Arial" w:hAnsi="Arial" w:cs="Arial"/>
                <w:sz w:val="20"/>
                <w:szCs w:val="20"/>
                <w:lang w:val="es-UY" w:eastAsia="es-ES"/>
              </w:rPr>
              <w:t>IVA.</w:t>
            </w:r>
          </w:p>
        </w:tc>
      </w:tr>
    </w:tbl>
    <w:p w14:paraId="08DB48D8" w14:textId="77777777" w:rsidR="00B24E17" w:rsidRPr="001003E6" w:rsidRDefault="00B24E17" w:rsidP="00CB7E2E">
      <w:pPr>
        <w:jc w:val="both"/>
        <w:rPr>
          <w:rFonts w:ascii="Arial" w:hAnsi="Arial" w:cs="Arial"/>
          <w:bCs/>
          <w:sz w:val="20"/>
          <w:szCs w:val="20"/>
          <w:lang w:val="es-UY"/>
        </w:rPr>
      </w:pPr>
      <w:r w:rsidRPr="001003E6">
        <w:rPr>
          <w:rFonts w:ascii="Arial" w:hAnsi="Arial" w:cs="Arial"/>
          <w:bCs/>
          <w:sz w:val="20"/>
          <w:szCs w:val="20"/>
          <w:lang w:val="es-UY"/>
        </w:rPr>
        <w:t>El mecanismo de pago (</w:t>
      </w:r>
      <w:hyperlink w:anchor="A_3" w:history="1">
        <w:r w:rsidRPr="001003E6">
          <w:rPr>
            <w:rStyle w:val="Hipervnculo"/>
          </w:rPr>
          <w:t>Anexo III</w:t>
        </w:r>
      </w:hyperlink>
      <w:r w:rsidRPr="001003E6">
        <w:rPr>
          <w:rFonts w:ascii="Arial" w:hAnsi="Arial" w:cs="Arial"/>
          <w:bCs/>
          <w:sz w:val="20"/>
          <w:szCs w:val="20"/>
          <w:lang w:val="es-UY"/>
        </w:rPr>
        <w:t xml:space="preserve">) prevé la aplicación de una fórmula paramétrica, la que se detalla en el </w:t>
      </w:r>
      <w:hyperlink w:anchor="A_10" w:history="1">
        <w:r w:rsidRPr="001003E6">
          <w:rPr>
            <w:rStyle w:val="Hipervnculo"/>
            <w:rFonts w:ascii="Arial" w:hAnsi="Arial" w:cs="Arial"/>
            <w:bCs/>
            <w:sz w:val="20"/>
            <w:szCs w:val="20"/>
            <w:lang w:val="es-UY"/>
          </w:rPr>
          <w:t>Anexo X</w:t>
        </w:r>
      </w:hyperlink>
      <w:r w:rsidRPr="001003E6">
        <w:rPr>
          <w:rFonts w:ascii="Arial" w:hAnsi="Arial" w:cs="Arial"/>
          <w:bCs/>
          <w:sz w:val="20"/>
          <w:szCs w:val="20"/>
          <w:lang w:val="es-UY"/>
        </w:rPr>
        <w:t xml:space="preserve">. Los oferentes </w:t>
      </w:r>
      <w:r w:rsidRPr="001003E6">
        <w:rPr>
          <w:rFonts w:ascii="Arial" w:hAnsi="Arial" w:cs="Arial"/>
          <w:bCs/>
          <w:sz w:val="20"/>
          <w:szCs w:val="20"/>
          <w:lang w:val="es-UY"/>
        </w:rPr>
        <w:lastRenderedPageBreak/>
        <w:t xml:space="preserve">establecerán los valores para los coeficientes </w:t>
      </w:r>
      <w:r w:rsidRPr="001003E6">
        <w:rPr>
          <w:rFonts w:ascii="Arial" w:hAnsi="Arial" w:cs="Arial"/>
          <w:sz w:val="20"/>
          <w:szCs w:val="20"/>
          <w:lang w:val="es-UY" w:eastAsia="es-ES"/>
        </w:rPr>
        <w:t>q</w:t>
      </w:r>
      <w:r w:rsidRPr="001003E6">
        <w:rPr>
          <w:sz w:val="20"/>
          <w:szCs w:val="20"/>
          <w:lang w:val="es-UY" w:eastAsia="es-ES"/>
        </w:rPr>
        <w:t>(1),</w:t>
      </w:r>
      <w:r w:rsidRPr="001003E6">
        <w:rPr>
          <w:rFonts w:ascii="Arial" w:hAnsi="Arial" w:cs="Arial"/>
          <w:sz w:val="20"/>
          <w:szCs w:val="20"/>
          <w:lang w:val="es-UY" w:eastAsia="es-ES"/>
        </w:rPr>
        <w:t xml:space="preserve"> q</w:t>
      </w:r>
      <w:r w:rsidRPr="001003E6">
        <w:rPr>
          <w:sz w:val="20"/>
          <w:szCs w:val="20"/>
          <w:lang w:val="es-UY" w:eastAsia="es-ES"/>
        </w:rPr>
        <w:t>(2) y</w:t>
      </w:r>
      <w:r w:rsidRPr="001003E6">
        <w:rPr>
          <w:rFonts w:ascii="Arial" w:hAnsi="Arial" w:cs="Arial"/>
          <w:sz w:val="20"/>
          <w:szCs w:val="20"/>
          <w:lang w:val="es-UY" w:eastAsia="es-ES"/>
        </w:rPr>
        <w:t xml:space="preserve"> q</w:t>
      </w:r>
      <w:r w:rsidRPr="001003E6">
        <w:rPr>
          <w:sz w:val="20"/>
          <w:szCs w:val="20"/>
          <w:lang w:val="es-UY" w:eastAsia="es-ES"/>
        </w:rPr>
        <w:t xml:space="preserve">(3) </w:t>
      </w:r>
      <w:r w:rsidRPr="001003E6">
        <w:rPr>
          <w:rFonts w:ascii="Arial" w:hAnsi="Arial" w:cs="Arial"/>
          <w:bCs/>
          <w:sz w:val="20"/>
          <w:szCs w:val="20"/>
          <w:lang w:val="es-UY"/>
        </w:rPr>
        <w:t>completando la tabla a continuación y teniendo en cuenta las restricciones allí establecidas.</w:t>
      </w:r>
    </w:p>
    <w:p w14:paraId="5F863466" w14:textId="77777777" w:rsidR="00B24E17" w:rsidRDefault="00B24E17" w:rsidP="00CB7E2E">
      <w:pPr>
        <w:jc w:val="both"/>
        <w:rPr>
          <w:rFonts w:ascii="Arial" w:hAnsi="Arial" w:cs="Arial"/>
          <w:b/>
          <w:bCs/>
          <w:sz w:val="20"/>
          <w:szCs w:val="20"/>
          <w:lang w:val="es-UY"/>
        </w:rPr>
      </w:pPr>
      <w:r w:rsidRPr="00CB7E2E">
        <w:rPr>
          <w:rFonts w:ascii="Arial" w:hAnsi="Arial" w:cs="Arial"/>
          <w:b/>
          <w:bCs/>
          <w:sz w:val="20"/>
          <w:szCs w:val="20"/>
          <w:lang w:val="es-UY"/>
        </w:rPr>
        <w:t>Cuadro resumen para la aplicación de la fórmula paramétrica del componente C</w:t>
      </w:r>
    </w:p>
    <w:p w14:paraId="19883ACD" w14:textId="72E56D5D" w:rsidR="00A41BAA" w:rsidRPr="00CB7E2E" w:rsidRDefault="00A41BAA" w:rsidP="00CB7E2E">
      <w:pPr>
        <w:jc w:val="both"/>
        <w:rPr>
          <w:rFonts w:ascii="Arial" w:hAnsi="Arial" w:cs="Arial"/>
          <w:b/>
          <w:bCs/>
          <w:sz w:val="20"/>
          <w:szCs w:val="20"/>
          <w:lang w:val="es-UY"/>
        </w:rPr>
      </w:pPr>
      <w:r w:rsidRPr="005F5B3E">
        <w:rPr>
          <w:rFonts w:ascii="Arial" w:hAnsi="Arial" w:cs="Arial"/>
          <w:sz w:val="18"/>
          <w:szCs w:val="18"/>
          <w:lang w:val="es-UY"/>
        </w:rPr>
        <w:t>Tabla.A II-6</w:t>
      </w:r>
    </w:p>
    <w:p w14:paraId="1AFBB9F7" w14:textId="5A738D4C" w:rsidR="00B24E17" w:rsidRPr="005F5B3E" w:rsidRDefault="00B14DCC" w:rsidP="00CB7E2E">
      <w:pPr>
        <w:jc w:val="both"/>
        <w:rPr>
          <w:rFonts w:ascii="Arial" w:hAnsi="Arial" w:cs="Arial"/>
          <w:sz w:val="18"/>
          <w:szCs w:val="18"/>
          <w:lang w:val="es-UY"/>
        </w:rPr>
      </w:pPr>
      <w:bookmarkStart w:id="1083" w:name="A_T7_AjusteParam"/>
      <w:r w:rsidRPr="00CB7E2E">
        <w:rPr>
          <w:rFonts w:ascii="Arial" w:hAnsi="Arial" w:cs="Arial"/>
          <w:sz w:val="20"/>
          <w:szCs w:val="20"/>
          <w:lang w:val="es-UY"/>
        </w:rPr>
        <w:t xml:space="preserve">     </w:t>
      </w:r>
      <w:r w:rsidR="00A41BAA" w:rsidRPr="00CB7E2E">
        <w:rPr>
          <w:rFonts w:cs="Times New Roman"/>
          <w:noProof/>
          <w:sz w:val="20"/>
          <w:szCs w:val="20"/>
          <w:lang w:val="es-UY" w:eastAsia="es-UY"/>
        </w:rPr>
        <w:drawing>
          <wp:inline distT="0" distB="0" distL="0" distR="0" wp14:anchorId="3EAD7D82" wp14:editId="20B4B0E1">
            <wp:extent cx="3590925" cy="1190625"/>
            <wp:effectExtent l="19050" t="0" r="9525" b="0"/>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6"/>
                    <a:srcRect/>
                    <a:stretch>
                      <a:fillRect/>
                    </a:stretch>
                  </pic:blipFill>
                  <pic:spPr bwMode="auto">
                    <a:xfrm>
                      <a:off x="0" y="0"/>
                      <a:ext cx="3590925" cy="1190625"/>
                    </a:xfrm>
                    <a:prstGeom prst="rect">
                      <a:avLst/>
                    </a:prstGeom>
                    <a:noFill/>
                    <a:ln w="9525">
                      <a:noFill/>
                      <a:miter lim="800000"/>
                      <a:headEnd/>
                      <a:tailEnd/>
                    </a:ln>
                  </pic:spPr>
                </pic:pic>
              </a:graphicData>
            </a:graphic>
          </wp:inline>
        </w:drawing>
      </w:r>
    </w:p>
    <w:bookmarkEnd w:id="1083"/>
    <w:p w14:paraId="6DBDC572" w14:textId="77777777" w:rsidR="00B24E17" w:rsidRPr="00CB7E2E" w:rsidRDefault="00B24E17" w:rsidP="00CB7E2E">
      <w:pPr>
        <w:jc w:val="both"/>
        <w:rPr>
          <w:rFonts w:ascii="Arial" w:hAnsi="Arial" w:cs="Arial"/>
          <w:sz w:val="20"/>
          <w:szCs w:val="20"/>
          <w:lang w:val="es-ES_tradnl"/>
        </w:rPr>
      </w:pPr>
      <w:r w:rsidRPr="00CB7E2E">
        <w:rPr>
          <w:rFonts w:ascii="Arial" w:hAnsi="Arial" w:cs="Arial"/>
          <w:sz w:val="20"/>
          <w:szCs w:val="20"/>
          <w:lang w:val="es-ES_tradnl"/>
        </w:rPr>
        <w:t xml:space="preserve">A los efectos de evaluar la coherencia técnica – económica – financiera de la propuesta, el contratista deberá presentar una memoria descriptiva que justifique la consistencia de las obras que propone realizar a lo largo de todo el contrato (incluye obras Iniciales de construcción, de Puesta a Punto, Complementarias, Mantenimiento Rutinario y </w:t>
      </w:r>
      <w:r w:rsidR="00DB28C1">
        <w:rPr>
          <w:rFonts w:ascii="Arial" w:hAnsi="Arial" w:cs="Arial"/>
          <w:sz w:val="20"/>
          <w:szCs w:val="20"/>
          <w:lang w:val="es-ES_tradnl"/>
        </w:rPr>
        <w:t>O</w:t>
      </w:r>
      <w:r w:rsidRPr="00CB7E2E">
        <w:rPr>
          <w:rFonts w:ascii="Arial" w:hAnsi="Arial" w:cs="Arial"/>
          <w:sz w:val="20"/>
          <w:szCs w:val="20"/>
          <w:lang w:val="es-ES_tradnl"/>
        </w:rPr>
        <w:t xml:space="preserve">peración y Mantenimiento Mayor relacionadas con las Componentes A, B y C respectivamente) acompañada de los cuadros de metrajes para cada tramo y cada obra según el año en que se planifica ejecutar, todo ello de acuerdo a lo establecido en el punto </w:t>
      </w:r>
      <w:r w:rsidR="008765A0" w:rsidRPr="00CB7E2E">
        <w:rPr>
          <w:rFonts w:ascii="Arial" w:hAnsi="Arial" w:cs="Arial"/>
          <w:sz w:val="20"/>
          <w:szCs w:val="20"/>
          <w:lang w:val="es-ES_tradnl"/>
        </w:rPr>
        <w:t>15.2</w:t>
      </w:r>
      <w:r w:rsidRPr="00CB7E2E">
        <w:rPr>
          <w:rFonts w:ascii="Arial" w:hAnsi="Arial" w:cs="Arial"/>
          <w:sz w:val="20"/>
          <w:szCs w:val="20"/>
          <w:lang w:val="es-ES_tradnl"/>
        </w:rPr>
        <w:t>.</w:t>
      </w:r>
    </w:p>
    <w:p w14:paraId="2AA0F8BB" w14:textId="77777777" w:rsidR="00DB28C1" w:rsidRDefault="00B24E17" w:rsidP="00DB28C1">
      <w:pPr>
        <w:tabs>
          <w:tab w:val="num" w:pos="851"/>
        </w:tabs>
        <w:jc w:val="both"/>
        <w:rPr>
          <w:rFonts w:ascii="Arial" w:hAnsi="Arial" w:cs="Arial"/>
          <w:sz w:val="20"/>
          <w:szCs w:val="20"/>
          <w:lang w:val="es-ES_tradnl"/>
        </w:rPr>
      </w:pPr>
      <w:r w:rsidRPr="00CB7E2E">
        <w:rPr>
          <w:rFonts w:ascii="Arial" w:hAnsi="Arial" w:cs="Arial"/>
          <w:sz w:val="20"/>
          <w:szCs w:val="20"/>
          <w:lang w:val="es-ES_tradnl"/>
        </w:rPr>
        <w:lastRenderedPageBreak/>
        <w:t>En el caso de</w:t>
      </w:r>
      <w:r w:rsidR="00DB28C1">
        <w:rPr>
          <w:rFonts w:ascii="Arial" w:hAnsi="Arial" w:cs="Arial"/>
          <w:sz w:val="20"/>
          <w:szCs w:val="20"/>
          <w:lang w:val="es-ES_tradnl"/>
        </w:rPr>
        <w:t>l</w:t>
      </w:r>
      <w:r w:rsidRPr="00CB7E2E">
        <w:rPr>
          <w:rFonts w:ascii="Arial" w:hAnsi="Arial" w:cs="Arial"/>
          <w:sz w:val="20"/>
          <w:szCs w:val="20"/>
          <w:lang w:val="es-ES_tradnl"/>
        </w:rPr>
        <w:t xml:space="preserve"> Componente B, no será necesaria más que una memoria descriptiva de las tareas que proyecta ejecutar así como su frecuencia.</w:t>
      </w:r>
      <w:r w:rsidR="00DB28C1">
        <w:rPr>
          <w:rFonts w:ascii="Arial" w:hAnsi="Arial" w:cs="Arial"/>
          <w:sz w:val="20"/>
          <w:szCs w:val="20"/>
          <w:lang w:val="es-ES_tradnl"/>
        </w:rPr>
        <w:t xml:space="preserve"> </w:t>
      </w:r>
    </w:p>
    <w:p w14:paraId="7C72F466" w14:textId="77777777" w:rsidR="00DB28C1" w:rsidRPr="00431491" w:rsidRDefault="00DB28C1" w:rsidP="00DB28C1">
      <w:pPr>
        <w:tabs>
          <w:tab w:val="num" w:pos="851"/>
        </w:tabs>
        <w:jc w:val="both"/>
        <w:rPr>
          <w:rFonts w:ascii="Arial" w:hAnsi="Arial" w:cs="Arial"/>
          <w:sz w:val="20"/>
          <w:szCs w:val="20"/>
        </w:rPr>
      </w:pPr>
      <w:r w:rsidRPr="00431491">
        <w:rPr>
          <w:rFonts w:ascii="Arial" w:hAnsi="Arial" w:cs="Arial"/>
          <w:sz w:val="20"/>
          <w:szCs w:val="20"/>
        </w:rPr>
        <w:t>La información técnica debe ser incluida en el Sobre Nº 1 y no necesita ser repetida en el Sobre Nº 2. En el Sobre Nº 1 no debe incluirse información relativa a la propuesta económica.</w:t>
      </w:r>
    </w:p>
    <w:p w14:paraId="6116DE6B" w14:textId="6DCA33CB" w:rsidR="00B24E17" w:rsidRPr="00CB7E2E" w:rsidRDefault="00B24E17" w:rsidP="00CB7E2E">
      <w:pPr>
        <w:jc w:val="both"/>
        <w:rPr>
          <w:rFonts w:ascii="Arial" w:hAnsi="Arial" w:cs="Arial"/>
          <w:sz w:val="20"/>
          <w:szCs w:val="20"/>
          <w:lang w:val="es-ES_tradnl"/>
        </w:rPr>
      </w:pPr>
      <w:r w:rsidRPr="00CB7E2E">
        <w:rPr>
          <w:rFonts w:ascii="Arial" w:hAnsi="Arial" w:cs="Arial"/>
          <w:sz w:val="20"/>
          <w:szCs w:val="20"/>
          <w:lang w:val="es-ES_tradnl"/>
        </w:rPr>
        <w:t xml:space="preserve">En el primer y último año de explotación, el pago será proporcional al período de operación para </w:t>
      </w:r>
      <w:r w:rsidRPr="000C65A3">
        <w:rPr>
          <w:rFonts w:ascii="Arial" w:hAnsi="Arial" w:cs="Arial"/>
          <w:sz w:val="20"/>
          <w:szCs w:val="20"/>
          <w:lang w:val="es-ES_tradnl"/>
        </w:rPr>
        <w:t>cada tramo</w:t>
      </w:r>
      <w:r w:rsidR="00A41BAA">
        <w:rPr>
          <w:rFonts w:ascii="Arial" w:hAnsi="Arial" w:cs="Arial"/>
          <w:sz w:val="20"/>
          <w:szCs w:val="20"/>
          <w:lang w:val="es-ES_tradnl"/>
        </w:rPr>
        <w:t>.</w:t>
      </w:r>
      <w:r w:rsidRPr="00CB7E2E">
        <w:rPr>
          <w:rFonts w:ascii="Arial" w:hAnsi="Arial" w:cs="Arial"/>
          <w:sz w:val="20"/>
          <w:szCs w:val="20"/>
          <w:lang w:val="es-ES_tradnl"/>
        </w:rPr>
        <w:t xml:space="preserve"> </w:t>
      </w:r>
    </w:p>
    <w:p w14:paraId="455FA854" w14:textId="77777777" w:rsidR="00611CB0" w:rsidRPr="00CB7E2E" w:rsidRDefault="00611CB0" w:rsidP="00CB7E2E">
      <w:pPr>
        <w:jc w:val="both"/>
        <w:rPr>
          <w:rFonts w:ascii="Arial" w:hAnsi="Arial" w:cs="Arial"/>
          <w:sz w:val="20"/>
          <w:szCs w:val="20"/>
          <w:lang w:val="es-ES_tradnl"/>
        </w:rPr>
        <w:sectPr w:rsidR="00611CB0" w:rsidRPr="00CB7E2E" w:rsidSect="00B238CC">
          <w:headerReference w:type="even" r:id="rId137"/>
          <w:headerReference w:type="default" r:id="rId138"/>
          <w:footerReference w:type="default" r:id="rId139"/>
          <w:headerReference w:type="first" r:id="rId140"/>
          <w:pgSz w:w="11907" w:h="16840" w:code="9"/>
          <w:pgMar w:top="1560" w:right="1701" w:bottom="1701" w:left="1701" w:header="709" w:footer="709" w:gutter="0"/>
          <w:cols w:space="708"/>
          <w:docGrid w:linePitch="360"/>
        </w:sectPr>
      </w:pPr>
    </w:p>
    <w:p w14:paraId="01C98938" w14:textId="77777777" w:rsidR="00B24E17" w:rsidRPr="001846D9" w:rsidRDefault="00B24E17" w:rsidP="000F5C7C">
      <w:pPr>
        <w:pStyle w:val="T0"/>
        <w:outlineLvl w:val="0"/>
      </w:pPr>
      <w:bookmarkStart w:id="1084" w:name="A_3"/>
      <w:bookmarkStart w:id="1085" w:name="_Toc400636215"/>
      <w:bookmarkStart w:id="1086" w:name="_Toc468288089"/>
      <w:bookmarkStart w:id="1087" w:name="_Toc496266682"/>
      <w:bookmarkEnd w:id="1084"/>
      <w:r w:rsidRPr="001846D9">
        <w:lastRenderedPageBreak/>
        <w:t xml:space="preserve">ANEXO </w:t>
      </w:r>
      <w:r w:rsidR="00587284" w:rsidRPr="001846D9">
        <w:fldChar w:fldCharType="begin"/>
      </w:r>
      <w:r w:rsidRPr="001846D9">
        <w:instrText xml:space="preserve"> SEQ ANEXO \* ROMAN </w:instrText>
      </w:r>
      <w:r w:rsidR="00587284" w:rsidRPr="001846D9">
        <w:fldChar w:fldCharType="separate"/>
      </w:r>
      <w:r w:rsidR="00B16BDA">
        <w:rPr>
          <w:noProof/>
        </w:rPr>
        <w:t>III</w:t>
      </w:r>
      <w:r w:rsidR="00587284" w:rsidRPr="001846D9">
        <w:fldChar w:fldCharType="end"/>
      </w:r>
      <w:r w:rsidRPr="001846D9">
        <w:t>: MECANISMO DE PAGO</w:t>
      </w:r>
      <w:bookmarkEnd w:id="1085"/>
      <w:bookmarkEnd w:id="1086"/>
      <w:bookmarkEnd w:id="1087"/>
    </w:p>
    <w:p w14:paraId="2BA1CFA2" w14:textId="77777777" w:rsidR="00B24E17" w:rsidRPr="002E63CC" w:rsidRDefault="00DB3669" w:rsidP="009A58E0">
      <w:pPr>
        <w:pStyle w:val="Prrafodelista"/>
        <w:numPr>
          <w:ilvl w:val="0"/>
          <w:numId w:val="103"/>
        </w:numPr>
        <w:spacing w:before="240" w:after="240"/>
        <w:jc w:val="both"/>
        <w:rPr>
          <w:rFonts w:ascii="Arial" w:hAnsi="Arial" w:cs="Arial"/>
          <w:b/>
          <w:bCs/>
          <w:vanish/>
          <w:sz w:val="20"/>
          <w:szCs w:val="20"/>
          <w:lang w:val="es-UY"/>
        </w:rPr>
      </w:pPr>
      <w:bookmarkStart w:id="1088" w:name="_Toc400636216"/>
      <w:r w:rsidRPr="002E63CC">
        <w:rPr>
          <w:rFonts w:ascii="Arial" w:hAnsi="Arial" w:cs="Arial"/>
          <w:b/>
          <w:bCs/>
          <w:vanish/>
          <w:sz w:val="20"/>
          <w:szCs w:val="20"/>
          <w:lang w:val="es-UY"/>
        </w:rPr>
        <w:t>TIPO Y NATURALEZA DE RETRIBUCIÓN QUE PERCIBIRÁ EL CONTRATISTA</w:t>
      </w:r>
      <w:bookmarkStart w:id="1089" w:name="_Toc450565701"/>
      <w:bookmarkStart w:id="1090" w:name="_Toc450568750"/>
      <w:bookmarkStart w:id="1091" w:name="_Toc450570287"/>
      <w:bookmarkStart w:id="1092" w:name="_Toc450571770"/>
      <w:bookmarkEnd w:id="1088"/>
      <w:bookmarkEnd w:id="1089"/>
      <w:bookmarkEnd w:id="1090"/>
      <w:bookmarkEnd w:id="1091"/>
      <w:bookmarkEnd w:id="1092"/>
    </w:p>
    <w:p w14:paraId="79A74CB9" w14:textId="77777777" w:rsidR="0021056C" w:rsidRPr="00B24E17" w:rsidRDefault="0021056C" w:rsidP="009A58E0">
      <w:pPr>
        <w:pStyle w:val="T2AAA"/>
        <w:numPr>
          <w:ilvl w:val="1"/>
          <w:numId w:val="103"/>
        </w:numPr>
        <w:rPr>
          <w:rFonts w:cs="Times New Roman"/>
        </w:rPr>
      </w:pPr>
      <w:r>
        <w:rPr>
          <w:rFonts w:cs="Times New Roman"/>
        </w:rPr>
        <w:t>TIPO Y NATURALEZA DE RETRIBUCIÓN QUE RECIBIRÁ EL CONTRATISTA</w:t>
      </w:r>
    </w:p>
    <w:p w14:paraId="22374201" w14:textId="77777777" w:rsid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recibirá una única retribución anual en la modalidad de </w:t>
      </w:r>
      <w:r w:rsidRPr="005A4187">
        <w:rPr>
          <w:rFonts w:ascii="Arial" w:hAnsi="Arial" w:cs="Arial"/>
          <w:bCs/>
          <w:sz w:val="20"/>
          <w:szCs w:val="20"/>
          <w:lang w:val="es-UY"/>
        </w:rPr>
        <w:t>Pago Por Disponibilidad</w:t>
      </w:r>
      <w:r w:rsidRPr="00B24E17">
        <w:rPr>
          <w:rFonts w:ascii="Arial" w:hAnsi="Arial" w:cs="Arial"/>
          <w:sz w:val="20"/>
          <w:szCs w:val="20"/>
          <w:lang w:val="es-UY"/>
        </w:rPr>
        <w:t xml:space="preserve"> como contrapartida por alcanzar y mantener a lo largo de todo el contrato los indicadores técnicos de disponibilidad.</w:t>
      </w:r>
    </w:p>
    <w:p w14:paraId="3CEBF050" w14:textId="77777777" w:rsidR="00CE2B24" w:rsidRPr="00B24E17" w:rsidRDefault="00CE2B24" w:rsidP="00CB7E2E">
      <w:pPr>
        <w:spacing w:line="240" w:lineRule="auto"/>
        <w:jc w:val="both"/>
        <w:rPr>
          <w:rFonts w:ascii="Arial" w:hAnsi="Arial" w:cs="Arial"/>
          <w:sz w:val="20"/>
          <w:szCs w:val="20"/>
          <w:lang w:val="es-UY"/>
        </w:rPr>
      </w:pPr>
      <w:r w:rsidRPr="00587F0F">
        <w:rPr>
          <w:rFonts w:ascii="Arial" w:hAnsi="Arial" w:cs="Arial"/>
          <w:sz w:val="20"/>
          <w:szCs w:val="20"/>
          <w:lang w:val="es-UY"/>
        </w:rPr>
        <w:t>El Contratista recibir</w:t>
      </w:r>
      <w:r w:rsidR="00CF61A9" w:rsidRPr="00587F0F">
        <w:rPr>
          <w:rFonts w:ascii="Arial" w:hAnsi="Arial" w:cs="Arial"/>
          <w:sz w:val="20"/>
          <w:szCs w:val="20"/>
          <w:lang w:val="es-UY"/>
        </w:rPr>
        <w:t>á adelantos trimestrales de acuerdo a lo establecido en el punto 4 del presente Anexo.</w:t>
      </w:r>
    </w:p>
    <w:p w14:paraId="426EFFA2" w14:textId="77777777" w:rsidR="00B24E17" w:rsidRP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 xml:space="preserve">El monto de esa retribución quedará determinado por el valor numérico de tres coeficientes de disponibilidad técnica </w:t>
      </w:r>
      <w:r w:rsidRPr="005A4187">
        <w:rPr>
          <w:rFonts w:ascii="Arial" w:hAnsi="Arial" w:cs="Arial"/>
          <w:bCs/>
          <w:sz w:val="20"/>
          <w:szCs w:val="20"/>
          <w:lang w:val="es-UY"/>
        </w:rPr>
        <w:t>(ctd</w:t>
      </w:r>
      <w:r w:rsidRPr="005A4187">
        <w:rPr>
          <w:rFonts w:ascii="Arial" w:hAnsi="Arial" w:cs="Arial"/>
          <w:bCs/>
          <w:sz w:val="20"/>
          <w:szCs w:val="20"/>
          <w:vertAlign w:val="subscript"/>
          <w:lang w:val="es-UY"/>
        </w:rPr>
        <w:t>1</w:t>
      </w:r>
      <w:r w:rsidRPr="005A4187">
        <w:rPr>
          <w:rFonts w:ascii="Arial" w:hAnsi="Arial" w:cs="Arial"/>
          <w:bCs/>
          <w:sz w:val="20"/>
          <w:szCs w:val="20"/>
          <w:lang w:val="es-UY"/>
        </w:rPr>
        <w:t>, ctd</w:t>
      </w:r>
      <w:r w:rsidRPr="005A4187">
        <w:rPr>
          <w:rFonts w:ascii="Arial" w:hAnsi="Arial" w:cs="Arial"/>
          <w:bCs/>
          <w:sz w:val="20"/>
          <w:szCs w:val="20"/>
          <w:vertAlign w:val="subscript"/>
          <w:lang w:val="es-UY"/>
        </w:rPr>
        <w:t>2</w:t>
      </w:r>
      <w:r w:rsidR="00CF0F36" w:rsidRPr="005A4187">
        <w:rPr>
          <w:rFonts w:ascii="Arial" w:hAnsi="Arial" w:cs="Arial"/>
          <w:bCs/>
          <w:sz w:val="20"/>
          <w:szCs w:val="20"/>
          <w:vertAlign w:val="subscript"/>
          <w:lang w:val="es-UY"/>
        </w:rPr>
        <w:t xml:space="preserve"> </w:t>
      </w:r>
      <w:r w:rsidR="00CF0F36" w:rsidRPr="005A4187">
        <w:rPr>
          <w:rFonts w:ascii="Arial" w:hAnsi="Arial" w:cs="Arial"/>
          <w:bCs/>
          <w:sz w:val="20"/>
          <w:szCs w:val="20"/>
          <w:lang w:val="es-UY"/>
        </w:rPr>
        <w:t>y</w:t>
      </w:r>
      <w:r w:rsidRPr="005A4187">
        <w:rPr>
          <w:rFonts w:ascii="Arial" w:hAnsi="Arial" w:cs="Arial"/>
          <w:bCs/>
          <w:sz w:val="20"/>
          <w:szCs w:val="20"/>
          <w:lang w:val="es-UY"/>
        </w:rPr>
        <w:t xml:space="preserve"> ctd</w:t>
      </w:r>
      <w:r w:rsidRPr="005A4187">
        <w:rPr>
          <w:rFonts w:ascii="Arial" w:hAnsi="Arial" w:cs="Arial"/>
          <w:bCs/>
          <w:sz w:val="20"/>
          <w:szCs w:val="20"/>
          <w:vertAlign w:val="subscript"/>
          <w:lang w:val="es-UY"/>
        </w:rPr>
        <w:t>3</w:t>
      </w:r>
      <w:r w:rsidRPr="005A4187">
        <w:rPr>
          <w:rFonts w:ascii="Arial" w:hAnsi="Arial" w:cs="Arial"/>
          <w:bCs/>
          <w:sz w:val="20"/>
          <w:szCs w:val="20"/>
          <w:lang w:val="es-UY"/>
        </w:rPr>
        <w:t>)</w:t>
      </w:r>
      <w:r w:rsidR="00CF0F36">
        <w:rPr>
          <w:rFonts w:ascii="Arial" w:hAnsi="Arial" w:cs="Arial"/>
          <w:b/>
          <w:bCs/>
          <w:sz w:val="20"/>
          <w:szCs w:val="20"/>
          <w:lang w:val="es-UY"/>
        </w:rPr>
        <w:t xml:space="preserve"> </w:t>
      </w:r>
      <w:r w:rsidR="00CF0F36" w:rsidRPr="00CF0F36">
        <w:rPr>
          <w:rFonts w:ascii="Arial" w:hAnsi="Arial" w:cs="Arial"/>
          <w:bCs/>
          <w:sz w:val="20"/>
          <w:szCs w:val="20"/>
          <w:lang w:val="es-UY"/>
        </w:rPr>
        <w:t>y el factor Z</w:t>
      </w:r>
      <w:r w:rsidRPr="00B24E17">
        <w:rPr>
          <w:rFonts w:ascii="Arial" w:hAnsi="Arial" w:cs="Arial"/>
          <w:b/>
          <w:bCs/>
          <w:sz w:val="20"/>
          <w:szCs w:val="20"/>
          <w:lang w:val="es-UY"/>
        </w:rPr>
        <w:t>,</w:t>
      </w:r>
      <w:r w:rsidRPr="00B24E17">
        <w:rPr>
          <w:rFonts w:ascii="Arial" w:hAnsi="Arial" w:cs="Arial"/>
          <w:sz w:val="20"/>
          <w:szCs w:val="20"/>
          <w:lang w:val="es-UY"/>
        </w:rPr>
        <w:t xml:space="preserve"> cada uno de ellos afectado por el resultado de las evaluaciones trimestrales y anuales de los indicadores técnicos de disponibilidad.</w:t>
      </w:r>
    </w:p>
    <w:p w14:paraId="3751CA23" w14:textId="77777777" w:rsidR="00B24E17" w:rsidRDefault="00B24E17" w:rsidP="00CB7E2E">
      <w:pPr>
        <w:spacing w:before="120" w:line="240" w:lineRule="auto"/>
        <w:jc w:val="both"/>
        <w:rPr>
          <w:rFonts w:ascii="Arial" w:hAnsi="Arial" w:cs="Arial"/>
          <w:sz w:val="20"/>
          <w:szCs w:val="20"/>
          <w:lang w:val="es-UY"/>
        </w:rPr>
      </w:pPr>
      <w:r w:rsidRPr="00B24E17">
        <w:rPr>
          <w:rFonts w:ascii="Arial" w:hAnsi="Arial" w:cs="Arial"/>
          <w:sz w:val="20"/>
          <w:szCs w:val="20"/>
          <w:lang w:val="es-UY"/>
        </w:rPr>
        <w:t xml:space="preserve">El </w:t>
      </w:r>
      <w:r w:rsidRPr="005A4187">
        <w:rPr>
          <w:rFonts w:ascii="Arial" w:hAnsi="Arial" w:cs="Arial"/>
          <w:bCs/>
          <w:sz w:val="20"/>
          <w:szCs w:val="20"/>
          <w:lang w:val="es-UY"/>
        </w:rPr>
        <w:t>Pago Por Disponibilidad</w:t>
      </w:r>
      <w:r w:rsidRPr="005A4187">
        <w:rPr>
          <w:rFonts w:ascii="Arial" w:hAnsi="Arial" w:cs="Arial"/>
          <w:sz w:val="20"/>
          <w:szCs w:val="20"/>
          <w:lang w:val="es-UY"/>
        </w:rPr>
        <w:t xml:space="preserve"> </w:t>
      </w:r>
      <w:r w:rsidR="00CE2B24" w:rsidRPr="00587F0F">
        <w:rPr>
          <w:rFonts w:ascii="Arial" w:hAnsi="Arial" w:cs="Arial"/>
          <w:sz w:val="20"/>
          <w:szCs w:val="20"/>
          <w:lang w:val="es-UY"/>
        </w:rPr>
        <w:t>será calculado</w:t>
      </w:r>
      <w:r w:rsidRPr="00587F0F">
        <w:rPr>
          <w:rFonts w:ascii="Arial" w:hAnsi="Arial" w:cs="Arial"/>
          <w:sz w:val="20"/>
          <w:szCs w:val="20"/>
          <w:lang w:val="es-UY"/>
        </w:rPr>
        <w:t xml:space="preserve"> de acuerdo al valor alcanzado por los coeficientes técnicos de disponibilidad (ctd) calculados según los</w:t>
      </w:r>
      <w:r w:rsidRPr="00B24E17">
        <w:rPr>
          <w:rFonts w:ascii="Arial" w:hAnsi="Arial" w:cs="Arial"/>
          <w:sz w:val="20"/>
          <w:szCs w:val="20"/>
          <w:lang w:val="es-UY"/>
        </w:rPr>
        <w:t xml:space="preserve"> procedimientos establecidos en el pliego.</w:t>
      </w:r>
    </w:p>
    <w:p w14:paraId="57C463D9" w14:textId="77777777" w:rsidR="0021056C" w:rsidRDefault="0021056C" w:rsidP="00CB7E2E">
      <w:pPr>
        <w:spacing w:before="120" w:line="240" w:lineRule="auto"/>
        <w:jc w:val="both"/>
        <w:rPr>
          <w:rFonts w:ascii="Arial" w:hAnsi="Arial" w:cs="Arial"/>
          <w:sz w:val="20"/>
          <w:szCs w:val="20"/>
          <w:lang w:val="es-UY"/>
        </w:rPr>
      </w:pPr>
    </w:p>
    <w:p w14:paraId="24377272" w14:textId="77777777" w:rsidR="0021056C" w:rsidRPr="00B24E17" w:rsidRDefault="0021056C" w:rsidP="009A58E0">
      <w:pPr>
        <w:pStyle w:val="T2AAA"/>
        <w:numPr>
          <w:ilvl w:val="1"/>
          <w:numId w:val="103"/>
        </w:numPr>
        <w:rPr>
          <w:rFonts w:cs="Times New Roman"/>
        </w:rPr>
      </w:pPr>
      <w:r>
        <w:rPr>
          <w:rFonts w:cs="Times New Roman"/>
        </w:rPr>
        <w:t>PAGO DE LAS COMPONENTES A, B Y C</w:t>
      </w:r>
    </w:p>
    <w:p w14:paraId="7E2E477E" w14:textId="77777777" w:rsidR="00CF0F36"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lastRenderedPageBreak/>
        <w:t>Cada tramo, tiene un primer plazo máximo de puesta a punto y de obras complementarias comprometidas dentro del cual se deberán alcanzar los indicadores técnicos de disponibilidad</w:t>
      </w:r>
      <w:r w:rsidR="00CF0F36">
        <w:rPr>
          <w:rFonts w:ascii="Arial" w:hAnsi="Arial" w:cs="Arial"/>
          <w:sz w:val="20"/>
          <w:szCs w:val="20"/>
          <w:lang w:val="es-UY"/>
        </w:rPr>
        <w:t>.</w:t>
      </w:r>
    </w:p>
    <w:p w14:paraId="656C95E5" w14:textId="2BAC94DA" w:rsidR="00B24E17" w:rsidRPr="00ED13D3" w:rsidRDefault="006737FE" w:rsidP="00CB7E2E">
      <w:pPr>
        <w:spacing w:line="240" w:lineRule="auto"/>
        <w:jc w:val="both"/>
        <w:rPr>
          <w:rFonts w:ascii="Arial" w:hAnsi="Arial" w:cs="Arial"/>
          <w:sz w:val="20"/>
          <w:szCs w:val="20"/>
          <w:lang w:val="es-UY"/>
        </w:rPr>
      </w:pPr>
      <w:r w:rsidRPr="00ED13D3">
        <w:rPr>
          <w:rFonts w:ascii="Arial" w:hAnsi="Arial" w:cs="Arial"/>
          <w:sz w:val="20"/>
          <w:szCs w:val="20"/>
          <w:lang w:val="es-UY"/>
        </w:rPr>
        <w:t>L</w:t>
      </w:r>
      <w:r w:rsidR="00CF0F36" w:rsidRPr="00ED13D3">
        <w:rPr>
          <w:rFonts w:ascii="Arial" w:hAnsi="Arial" w:cs="Arial"/>
          <w:sz w:val="20"/>
          <w:szCs w:val="20"/>
          <w:lang w:val="es-UY"/>
        </w:rPr>
        <w:t>os</w:t>
      </w:r>
      <w:r w:rsidR="008C272A" w:rsidRPr="00ED13D3">
        <w:rPr>
          <w:rFonts w:ascii="Arial" w:hAnsi="Arial" w:cs="Arial"/>
          <w:sz w:val="20"/>
          <w:szCs w:val="20"/>
          <w:lang w:val="es-UY"/>
        </w:rPr>
        <w:t xml:space="preserve"> plazos se comienzan a contar a partir de la firma del Acta de Toma de Posesión del tramo.</w:t>
      </w:r>
    </w:p>
    <w:p w14:paraId="11BF61B0" w14:textId="1D9D2B59" w:rsidR="00587F0F" w:rsidRDefault="00B24E17" w:rsidP="00CB7E2E">
      <w:pPr>
        <w:spacing w:line="240" w:lineRule="auto"/>
        <w:jc w:val="both"/>
        <w:rPr>
          <w:rFonts w:ascii="Arial" w:hAnsi="Arial" w:cs="Arial"/>
          <w:sz w:val="20"/>
          <w:szCs w:val="20"/>
          <w:lang w:val="es-UY"/>
        </w:rPr>
      </w:pPr>
      <w:r w:rsidRPr="00ED13D3">
        <w:rPr>
          <w:rFonts w:ascii="Arial" w:hAnsi="Arial" w:cs="Arial"/>
          <w:sz w:val="20"/>
          <w:szCs w:val="20"/>
          <w:lang w:val="es-UY"/>
        </w:rPr>
        <w:t>Transcurrido el plazo</w:t>
      </w:r>
      <w:r w:rsidR="00D232BF" w:rsidRPr="00ED13D3">
        <w:rPr>
          <w:rFonts w:ascii="Arial" w:hAnsi="Arial" w:cs="Arial"/>
          <w:sz w:val="20"/>
          <w:szCs w:val="20"/>
          <w:lang w:val="es-UY"/>
        </w:rPr>
        <w:t>,</w:t>
      </w:r>
      <w:r w:rsidRPr="00ED13D3">
        <w:rPr>
          <w:rFonts w:ascii="Arial" w:hAnsi="Arial" w:cs="Arial"/>
          <w:sz w:val="20"/>
          <w:szCs w:val="20"/>
          <w:lang w:val="es-UY"/>
        </w:rPr>
        <w:t xml:space="preserve"> </w:t>
      </w:r>
      <w:r w:rsidR="006737FE" w:rsidRPr="00ED13D3">
        <w:rPr>
          <w:rFonts w:ascii="Arial" w:hAnsi="Arial" w:cs="Arial"/>
          <w:sz w:val="20"/>
          <w:szCs w:val="20"/>
          <w:lang w:val="es-UY"/>
        </w:rPr>
        <w:t>deberán estar finalizadas las obras de cada tramo y los mismos</w:t>
      </w:r>
      <w:r w:rsidRPr="00ED13D3">
        <w:rPr>
          <w:rFonts w:ascii="Arial" w:hAnsi="Arial" w:cs="Arial"/>
          <w:sz w:val="20"/>
          <w:szCs w:val="20"/>
          <w:lang w:val="es-UY"/>
        </w:rPr>
        <w:t xml:space="preserve"> deberá</w:t>
      </w:r>
      <w:r w:rsidR="006737FE" w:rsidRPr="00ED13D3">
        <w:rPr>
          <w:rFonts w:ascii="Arial" w:hAnsi="Arial" w:cs="Arial"/>
          <w:sz w:val="20"/>
          <w:szCs w:val="20"/>
          <w:lang w:val="es-UY"/>
        </w:rPr>
        <w:t xml:space="preserve">n </w:t>
      </w:r>
      <w:r w:rsidRPr="00ED13D3">
        <w:rPr>
          <w:rFonts w:ascii="Arial" w:hAnsi="Arial" w:cs="Arial"/>
          <w:sz w:val="20"/>
          <w:szCs w:val="20"/>
          <w:lang w:val="es-UY"/>
        </w:rPr>
        <w:t xml:space="preserve"> alcanzar la condición establecida en el pliego</w:t>
      </w:r>
      <w:r w:rsidR="006737FE" w:rsidRPr="00ED13D3">
        <w:rPr>
          <w:rFonts w:ascii="Arial" w:hAnsi="Arial" w:cs="Arial"/>
          <w:sz w:val="20"/>
          <w:szCs w:val="20"/>
          <w:lang w:val="es-UY"/>
        </w:rPr>
        <w:t>.</w:t>
      </w:r>
    </w:p>
    <w:p w14:paraId="76135B33" w14:textId="77777777" w:rsidR="00B24E17" w:rsidRPr="00B24E17" w:rsidRDefault="00B24E17" w:rsidP="00CB7E2E">
      <w:pPr>
        <w:spacing w:line="240" w:lineRule="auto"/>
        <w:jc w:val="both"/>
        <w:rPr>
          <w:rFonts w:ascii="Arial" w:hAnsi="Arial" w:cs="Arial"/>
          <w:sz w:val="20"/>
          <w:szCs w:val="20"/>
          <w:lang w:val="es-UY"/>
        </w:rPr>
      </w:pPr>
      <w:r w:rsidRPr="00B24E17">
        <w:rPr>
          <w:rFonts w:ascii="Arial" w:hAnsi="Arial" w:cs="Arial"/>
          <w:sz w:val="20"/>
          <w:szCs w:val="20"/>
          <w:lang w:val="es-UY"/>
        </w:rPr>
        <w:t>Los plazos máximos de ejecución de la totalidad del circuito</w:t>
      </w:r>
      <w:r w:rsidR="000B4BB7">
        <w:rPr>
          <w:rFonts w:ascii="Arial" w:hAnsi="Arial" w:cs="Arial"/>
          <w:sz w:val="20"/>
          <w:szCs w:val="20"/>
          <w:lang w:val="es-UY"/>
        </w:rPr>
        <w:t>,</w:t>
      </w:r>
      <w:r w:rsidRPr="00B24E17">
        <w:rPr>
          <w:rFonts w:ascii="Arial" w:hAnsi="Arial" w:cs="Arial"/>
          <w:sz w:val="20"/>
          <w:szCs w:val="20"/>
          <w:lang w:val="es-UY"/>
        </w:rPr>
        <w:t xml:space="preserve"> conjuntamente con la duración total del contrato</w:t>
      </w:r>
      <w:r w:rsidR="000B4BB7">
        <w:rPr>
          <w:rFonts w:ascii="Arial" w:hAnsi="Arial" w:cs="Arial"/>
          <w:sz w:val="20"/>
          <w:szCs w:val="20"/>
          <w:lang w:val="es-UY"/>
        </w:rPr>
        <w:t>,</w:t>
      </w:r>
      <w:r w:rsidRPr="00B24E17">
        <w:rPr>
          <w:rFonts w:ascii="Arial" w:hAnsi="Arial" w:cs="Arial"/>
          <w:sz w:val="20"/>
          <w:szCs w:val="20"/>
          <w:lang w:val="es-UY"/>
        </w:rPr>
        <w:t xml:space="preserve"> determina</w:t>
      </w:r>
      <w:r w:rsidR="000B4BB7">
        <w:rPr>
          <w:rFonts w:ascii="Arial" w:hAnsi="Arial" w:cs="Arial"/>
          <w:sz w:val="20"/>
          <w:szCs w:val="20"/>
          <w:lang w:val="es-UY"/>
        </w:rPr>
        <w:t>n</w:t>
      </w:r>
      <w:r w:rsidRPr="00B24E17">
        <w:rPr>
          <w:rFonts w:ascii="Arial" w:hAnsi="Arial" w:cs="Arial"/>
          <w:sz w:val="20"/>
          <w:szCs w:val="20"/>
          <w:lang w:val="es-UY"/>
        </w:rPr>
        <w:t xml:space="preserve"> el número máximo de pagos anuales de la componente </w:t>
      </w:r>
      <w:r w:rsidRPr="005A4187">
        <w:rPr>
          <w:rFonts w:ascii="Arial" w:hAnsi="Arial" w:cs="Arial"/>
          <w:bCs/>
          <w:sz w:val="20"/>
          <w:szCs w:val="20"/>
          <w:lang w:val="es-UY"/>
        </w:rPr>
        <w:t>A(i)</w:t>
      </w:r>
      <w:r w:rsidR="00B14DCC">
        <w:rPr>
          <w:rFonts w:ascii="Arial" w:hAnsi="Arial" w:cs="Arial"/>
          <w:b/>
          <w:bCs/>
          <w:sz w:val="20"/>
          <w:szCs w:val="20"/>
          <w:lang w:val="es-UY"/>
        </w:rPr>
        <w:t xml:space="preserve"> </w:t>
      </w:r>
      <w:r w:rsidRPr="00B24E17">
        <w:rPr>
          <w:rFonts w:ascii="Arial" w:hAnsi="Arial" w:cs="Arial"/>
          <w:sz w:val="20"/>
          <w:szCs w:val="20"/>
          <w:lang w:val="es-UY"/>
        </w:rPr>
        <w:t>correspondientes a cada tramo (i)</w:t>
      </w:r>
      <w:r w:rsidR="000B4BB7">
        <w:rPr>
          <w:rFonts w:ascii="Arial" w:hAnsi="Arial" w:cs="Arial"/>
          <w:sz w:val="20"/>
          <w:szCs w:val="20"/>
          <w:lang w:val="es-UY"/>
        </w:rPr>
        <w:t>.</w:t>
      </w:r>
    </w:p>
    <w:p w14:paraId="5F9EB18E" w14:textId="77777777" w:rsidR="00B24E17" w:rsidRDefault="008C272A" w:rsidP="00CB7E2E">
      <w:pPr>
        <w:spacing w:line="240" w:lineRule="auto"/>
        <w:jc w:val="both"/>
        <w:rPr>
          <w:rFonts w:ascii="Arial" w:hAnsi="Arial" w:cs="Arial"/>
          <w:sz w:val="20"/>
          <w:szCs w:val="20"/>
          <w:lang w:val="es-UY"/>
        </w:rPr>
      </w:pPr>
      <w:r w:rsidRPr="00022C0A">
        <w:rPr>
          <w:rFonts w:ascii="Arial" w:hAnsi="Arial" w:cs="Arial"/>
          <w:sz w:val="20"/>
          <w:szCs w:val="20"/>
          <w:lang w:val="es-UY"/>
        </w:rPr>
        <w:t>Para</w:t>
      </w:r>
      <w:r w:rsidR="00B24E17" w:rsidRPr="00022C0A">
        <w:rPr>
          <w:rFonts w:ascii="Arial" w:hAnsi="Arial" w:cs="Arial"/>
          <w:sz w:val="20"/>
          <w:szCs w:val="20"/>
          <w:lang w:val="es-UY"/>
        </w:rPr>
        <w:t xml:space="preserve"> las componentes B(i) y C(i) </w:t>
      </w:r>
      <w:r w:rsidRPr="00022C0A">
        <w:rPr>
          <w:rFonts w:ascii="Arial" w:hAnsi="Arial" w:cs="Arial"/>
          <w:sz w:val="20"/>
          <w:szCs w:val="20"/>
          <w:lang w:val="es-UY"/>
        </w:rPr>
        <w:t xml:space="preserve">se aplica lo establecido </w:t>
      </w:r>
      <w:r w:rsidR="00B24E17" w:rsidRPr="00022C0A">
        <w:rPr>
          <w:rFonts w:ascii="Arial" w:hAnsi="Arial" w:cs="Arial"/>
          <w:sz w:val="20"/>
          <w:szCs w:val="20"/>
          <w:lang w:val="es-UY"/>
        </w:rPr>
        <w:t>en</w:t>
      </w:r>
      <w:r w:rsidR="0071366C">
        <w:rPr>
          <w:rFonts w:ascii="Arial" w:hAnsi="Arial" w:cs="Arial"/>
          <w:sz w:val="20"/>
          <w:szCs w:val="20"/>
          <w:lang w:val="es-UY"/>
        </w:rPr>
        <w:t xml:space="preserve"> los puntos</w:t>
      </w:r>
      <w:r w:rsidR="00B24E17" w:rsidRPr="00022C0A">
        <w:rPr>
          <w:rFonts w:ascii="Arial" w:hAnsi="Arial" w:cs="Arial"/>
          <w:sz w:val="20"/>
          <w:szCs w:val="20"/>
          <w:lang w:val="es-UY"/>
        </w:rPr>
        <w:t xml:space="preserve"> 2.2 y 2.3</w:t>
      </w:r>
      <w:r w:rsidR="0071366C">
        <w:rPr>
          <w:rFonts w:ascii="Arial" w:hAnsi="Arial" w:cs="Arial"/>
          <w:sz w:val="20"/>
          <w:szCs w:val="20"/>
          <w:lang w:val="es-UY"/>
        </w:rPr>
        <w:t xml:space="preserve"> del presente Anexo</w:t>
      </w:r>
      <w:r w:rsidR="00B24E17" w:rsidRPr="00022C0A">
        <w:rPr>
          <w:rFonts w:ascii="Arial" w:hAnsi="Arial" w:cs="Arial"/>
          <w:sz w:val="20"/>
          <w:szCs w:val="20"/>
          <w:lang w:val="es-UY"/>
        </w:rPr>
        <w:t>. Para los tramos y/o sub tramos en obra o en período de conservación se aplica lo establecido en la cláusula 54.</w:t>
      </w:r>
    </w:p>
    <w:p w14:paraId="660E8281" w14:textId="77777777" w:rsidR="009C5D63" w:rsidRPr="00B24E17" w:rsidRDefault="009C5D63" w:rsidP="00CB7E2E">
      <w:pPr>
        <w:spacing w:line="240" w:lineRule="auto"/>
        <w:jc w:val="both"/>
        <w:rPr>
          <w:rFonts w:ascii="Arial" w:hAnsi="Arial" w:cs="Arial"/>
          <w:sz w:val="20"/>
          <w:szCs w:val="20"/>
          <w:lang w:val="es-UY"/>
        </w:rPr>
      </w:pPr>
      <w:r>
        <w:rPr>
          <w:rFonts w:ascii="Arial" w:hAnsi="Arial" w:cs="Arial"/>
          <w:sz w:val="20"/>
          <w:szCs w:val="20"/>
          <w:lang w:val="es-UY"/>
        </w:rPr>
        <w:t>Las componentes B y C se pagan conjuntamente una vez al año en correspondencia con la liquidación anual definitiva mencionada en el punto 4 del presente Anexo y de acuerdo al procedimiento establecido en la cláusula 37.</w:t>
      </w:r>
    </w:p>
    <w:p w14:paraId="55B17A9C" w14:textId="77777777" w:rsidR="00B24E17" w:rsidRPr="00B24E17" w:rsidRDefault="00B24E17" w:rsidP="00CB7E2E">
      <w:pPr>
        <w:spacing w:before="240"/>
        <w:rPr>
          <w:rFonts w:ascii="Arial" w:hAnsi="Arial" w:cs="Arial"/>
          <w:sz w:val="16"/>
          <w:szCs w:val="16"/>
          <w:lang w:val="es-UY"/>
        </w:rPr>
      </w:pPr>
    </w:p>
    <w:p w14:paraId="14B99428" w14:textId="77777777" w:rsidR="00B24E17" w:rsidRPr="00B24E17" w:rsidRDefault="00B24E17" w:rsidP="00CB7E2E">
      <w:pPr>
        <w:spacing w:before="240" w:after="120"/>
        <w:rPr>
          <w:rFonts w:ascii="Arial" w:hAnsi="Arial" w:cs="Arial"/>
          <w:sz w:val="16"/>
          <w:szCs w:val="16"/>
          <w:lang w:val="es-UY"/>
        </w:rPr>
      </w:pPr>
    </w:p>
    <w:p w14:paraId="2E758212" w14:textId="77777777" w:rsidR="00B24E17" w:rsidRPr="00B24E17" w:rsidRDefault="00B24E17" w:rsidP="00CB7E2E">
      <w:pPr>
        <w:spacing w:before="240" w:after="120"/>
        <w:rPr>
          <w:rFonts w:ascii="Arial" w:hAnsi="Arial" w:cs="Arial"/>
          <w:sz w:val="16"/>
          <w:szCs w:val="16"/>
          <w:lang w:val="es-UY"/>
        </w:rPr>
      </w:pPr>
    </w:p>
    <w:p w14:paraId="6D0BC793" w14:textId="77777777" w:rsidR="00B24E17" w:rsidRPr="00B24E17" w:rsidRDefault="00B24E17" w:rsidP="00CB7E2E">
      <w:pPr>
        <w:spacing w:before="240" w:after="120"/>
        <w:rPr>
          <w:rFonts w:ascii="Arial" w:hAnsi="Arial" w:cs="Arial"/>
          <w:sz w:val="16"/>
          <w:szCs w:val="16"/>
          <w:lang w:val="es-UY"/>
        </w:rPr>
      </w:pPr>
    </w:p>
    <w:p w14:paraId="77F446D6" w14:textId="77777777" w:rsidR="00B24E17" w:rsidRPr="00B24E17" w:rsidRDefault="00B24E17" w:rsidP="00CB7E2E">
      <w:pPr>
        <w:spacing w:before="240" w:after="120"/>
        <w:rPr>
          <w:rFonts w:ascii="Arial" w:hAnsi="Arial" w:cs="Arial"/>
          <w:sz w:val="16"/>
          <w:szCs w:val="16"/>
          <w:lang w:val="es-UY"/>
        </w:rPr>
      </w:pPr>
    </w:p>
    <w:p w14:paraId="714E8A6F" w14:textId="77777777" w:rsidR="00B24E17" w:rsidRPr="00B24E17" w:rsidRDefault="00B24E17" w:rsidP="00CB7E2E">
      <w:pPr>
        <w:spacing w:before="240" w:after="120"/>
        <w:rPr>
          <w:rFonts w:ascii="Arial" w:hAnsi="Arial" w:cs="Arial"/>
          <w:sz w:val="16"/>
          <w:szCs w:val="16"/>
          <w:lang w:val="es-UY"/>
        </w:rPr>
      </w:pPr>
    </w:p>
    <w:p w14:paraId="3DBA9B70" w14:textId="014C1396" w:rsidR="008C4D49" w:rsidRDefault="008C4D49" w:rsidP="00003AAD">
      <w:pPr>
        <w:spacing w:before="240" w:after="120"/>
        <w:rPr>
          <w:rFonts w:ascii="Arial" w:hAnsi="Arial" w:cs="Arial"/>
          <w:sz w:val="16"/>
          <w:szCs w:val="16"/>
          <w:lang w:val="es-UY"/>
        </w:rPr>
      </w:pPr>
      <w:bookmarkStart w:id="1093" w:name="_Toc400636218"/>
    </w:p>
    <w:p w14:paraId="12FE70ED" w14:textId="77777777" w:rsidR="00FB1267" w:rsidRDefault="00053943" w:rsidP="00CB7E2E">
      <w:pPr>
        <w:spacing w:before="240" w:after="120"/>
        <w:rPr>
          <w:rFonts w:ascii="Arial" w:hAnsi="Arial" w:cs="Arial"/>
          <w:sz w:val="16"/>
          <w:szCs w:val="16"/>
        </w:rPr>
      </w:pPr>
      <w:bookmarkStart w:id="1094" w:name="A3_T1_Etapas"/>
      <w:r w:rsidRPr="00053943">
        <w:rPr>
          <w:noProof/>
          <w:lang w:val="es-UY" w:eastAsia="es-UY"/>
        </w:rPr>
        <w:drawing>
          <wp:inline distT="0" distB="0" distL="0" distR="0" wp14:anchorId="463EFBBB" wp14:editId="794C0148">
            <wp:extent cx="5400040" cy="310093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3100932"/>
                    </a:xfrm>
                    <a:prstGeom prst="rect">
                      <a:avLst/>
                    </a:prstGeom>
                    <a:noFill/>
                    <a:ln>
                      <a:noFill/>
                    </a:ln>
                  </pic:spPr>
                </pic:pic>
              </a:graphicData>
            </a:graphic>
          </wp:inline>
        </w:drawing>
      </w:r>
    </w:p>
    <w:p w14:paraId="4A4C25CF" w14:textId="77777777" w:rsidR="00625741" w:rsidRPr="007B4DDF" w:rsidRDefault="00625741" w:rsidP="00003AAD">
      <w:pPr>
        <w:spacing w:before="240" w:after="120"/>
        <w:rPr>
          <w:rFonts w:ascii="Arial" w:hAnsi="Arial"/>
          <w:sz w:val="16"/>
        </w:rPr>
      </w:pPr>
    </w:p>
    <w:bookmarkEnd w:id="1094"/>
    <w:p w14:paraId="3EFF7485" w14:textId="77777777" w:rsidR="008C4BAF" w:rsidRPr="008C4BAF" w:rsidRDefault="008C4BAF" w:rsidP="007B4DDF">
      <w:pPr>
        <w:pStyle w:val="Prrafodelista"/>
        <w:numPr>
          <w:ilvl w:val="0"/>
          <w:numId w:val="129"/>
        </w:numPr>
        <w:spacing w:after="0" w:line="240" w:lineRule="auto"/>
        <w:jc w:val="both"/>
        <w:rPr>
          <w:rFonts w:ascii="Arial" w:hAnsi="Arial" w:cs="Arial"/>
          <w:b/>
          <w:bCs/>
          <w:vanish/>
          <w:sz w:val="20"/>
          <w:szCs w:val="20"/>
          <w:lang w:val="es-UY"/>
        </w:rPr>
      </w:pPr>
    </w:p>
    <w:p w14:paraId="6925F18C" w14:textId="77777777" w:rsidR="008C4BAF" w:rsidRPr="008C4BAF" w:rsidRDefault="008C4BAF" w:rsidP="007B4DDF">
      <w:pPr>
        <w:pStyle w:val="Prrafodelista"/>
        <w:numPr>
          <w:ilvl w:val="0"/>
          <w:numId w:val="129"/>
        </w:numPr>
        <w:spacing w:after="0" w:line="240" w:lineRule="auto"/>
        <w:jc w:val="both"/>
        <w:rPr>
          <w:rFonts w:ascii="Arial" w:hAnsi="Arial" w:cs="Arial"/>
          <w:b/>
          <w:bCs/>
          <w:vanish/>
          <w:sz w:val="20"/>
          <w:szCs w:val="20"/>
          <w:lang w:val="es-UY"/>
        </w:rPr>
      </w:pPr>
    </w:p>
    <w:p w14:paraId="6FB082E4" w14:textId="77777777" w:rsidR="00B24E17" w:rsidRPr="00B24E17" w:rsidRDefault="00B24E17" w:rsidP="007B4DDF">
      <w:pPr>
        <w:pStyle w:val="T2AAA"/>
        <w:numPr>
          <w:ilvl w:val="1"/>
          <w:numId w:val="129"/>
        </w:numPr>
        <w:spacing w:before="0" w:after="0"/>
        <w:rPr>
          <w:rFonts w:cs="Times New Roman"/>
        </w:rPr>
      </w:pPr>
      <w:r w:rsidRPr="00B24E17">
        <w:t>Pago de la componente A</w:t>
      </w:r>
    </w:p>
    <w:bookmarkEnd w:id="1093"/>
    <w:p w14:paraId="619A4868"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lastRenderedPageBreak/>
        <w:t xml:space="preserve">La componente </w:t>
      </w:r>
      <w:r w:rsidRPr="005A4187">
        <w:rPr>
          <w:rFonts w:ascii="Arial" w:hAnsi="Arial" w:cs="Arial"/>
          <w:bCs/>
          <w:sz w:val="20"/>
          <w:szCs w:val="20"/>
          <w:lang w:val="es-UY"/>
        </w:rPr>
        <w:t>A(i)</w:t>
      </w:r>
      <w:r w:rsidRPr="00B24E17">
        <w:rPr>
          <w:rFonts w:ascii="Arial" w:hAnsi="Arial" w:cs="Arial"/>
          <w:sz w:val="20"/>
          <w:szCs w:val="20"/>
          <w:lang w:val="es-UY"/>
        </w:rPr>
        <w:t xml:space="preserve"> correspondiente a cada tramo se comenzará a devengar desde la </w:t>
      </w:r>
      <w:r w:rsidRPr="005A4187">
        <w:rPr>
          <w:rFonts w:ascii="Arial" w:hAnsi="Arial" w:cs="Arial"/>
          <w:bCs/>
          <w:sz w:val="20"/>
          <w:szCs w:val="20"/>
          <w:lang w:val="es-UY"/>
        </w:rPr>
        <w:t>última</w:t>
      </w:r>
      <w:r w:rsidRPr="00B24E17">
        <w:rPr>
          <w:rFonts w:ascii="Arial" w:hAnsi="Arial" w:cs="Arial"/>
          <w:sz w:val="20"/>
          <w:szCs w:val="20"/>
          <w:lang w:val="es-UY"/>
        </w:rPr>
        <w:t xml:space="preserve"> de las </w:t>
      </w:r>
      <w:r w:rsidR="00F36A82" w:rsidRPr="00587F0F">
        <w:rPr>
          <w:rFonts w:ascii="Arial" w:hAnsi="Arial" w:cs="Arial"/>
          <w:sz w:val="20"/>
          <w:szCs w:val="20"/>
          <w:lang w:val="es-UY"/>
        </w:rPr>
        <w:t>dos</w:t>
      </w:r>
      <w:r w:rsidRPr="00B24E17">
        <w:rPr>
          <w:rFonts w:ascii="Arial" w:hAnsi="Arial" w:cs="Arial"/>
          <w:sz w:val="20"/>
          <w:szCs w:val="20"/>
          <w:lang w:val="es-UY"/>
        </w:rPr>
        <w:t xml:space="preserve"> fechas siguientes:</w:t>
      </w:r>
    </w:p>
    <w:p w14:paraId="76D8A70D" w14:textId="28444D37" w:rsidR="00B24E17" w:rsidRPr="003A2712" w:rsidRDefault="00B24E17" w:rsidP="009A58E0">
      <w:pPr>
        <w:numPr>
          <w:ilvl w:val="0"/>
          <w:numId w:val="63"/>
        </w:numPr>
        <w:spacing w:after="120"/>
        <w:ind w:left="357" w:hanging="357"/>
        <w:jc w:val="both"/>
        <w:rPr>
          <w:rFonts w:ascii="Arial" w:hAnsi="Arial" w:cs="Arial"/>
          <w:sz w:val="20"/>
          <w:szCs w:val="20"/>
          <w:lang w:val="es-UY"/>
        </w:rPr>
      </w:pPr>
      <w:r w:rsidRPr="003A2712">
        <w:rPr>
          <w:rFonts w:ascii="Arial" w:hAnsi="Arial" w:cs="Arial"/>
          <w:sz w:val="20"/>
          <w:szCs w:val="20"/>
          <w:lang w:val="es-UY"/>
        </w:rPr>
        <w:t>fecha correspondiente</w:t>
      </w:r>
      <w:r w:rsidR="009702AC" w:rsidRPr="003A2712">
        <w:rPr>
          <w:rFonts w:ascii="Arial" w:hAnsi="Arial" w:cs="Arial"/>
          <w:sz w:val="20"/>
          <w:szCs w:val="20"/>
          <w:lang w:val="es-UY"/>
        </w:rPr>
        <w:t xml:space="preserve"> al final del plazo</w:t>
      </w:r>
      <w:r w:rsidRPr="003A2712">
        <w:rPr>
          <w:rFonts w:ascii="Arial" w:hAnsi="Arial" w:cs="Arial"/>
          <w:sz w:val="20"/>
          <w:szCs w:val="20"/>
          <w:lang w:val="es-UY"/>
        </w:rPr>
        <w:t xml:space="preserve"> de acuerdo a lo establecido en la tabla C.XI-5</w:t>
      </w:r>
    </w:p>
    <w:p w14:paraId="708DA5CA" w14:textId="5F52FFBC" w:rsidR="00587F0F" w:rsidRPr="003A2712" w:rsidRDefault="00B24E17" w:rsidP="009A58E0">
      <w:pPr>
        <w:numPr>
          <w:ilvl w:val="0"/>
          <w:numId w:val="63"/>
        </w:numPr>
        <w:spacing w:after="120"/>
        <w:ind w:left="357" w:hanging="357"/>
        <w:jc w:val="both"/>
        <w:rPr>
          <w:rFonts w:ascii="Arial" w:hAnsi="Arial" w:cs="Arial"/>
          <w:sz w:val="20"/>
          <w:szCs w:val="20"/>
          <w:lang w:val="es-UY"/>
        </w:rPr>
      </w:pPr>
      <w:r w:rsidRPr="003A2712">
        <w:rPr>
          <w:rFonts w:ascii="Arial" w:hAnsi="Arial" w:cs="Arial"/>
          <w:sz w:val="20"/>
          <w:szCs w:val="20"/>
          <w:lang w:val="es-UY"/>
        </w:rPr>
        <w:t xml:space="preserve">fecha del Acta de Comprobación de la Infraestructura del Tramo  (ACIT) </w:t>
      </w:r>
    </w:p>
    <w:p w14:paraId="051E3132" w14:textId="77777777" w:rsidR="00B24E17" w:rsidRPr="003A2712"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y hasta el final del contrato.</w:t>
      </w:r>
    </w:p>
    <w:p w14:paraId="7251F38C" w14:textId="5D0F3178" w:rsidR="00B24E17" w:rsidRPr="003A2712"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 xml:space="preserve">Si en algún tramo hubiere atraso en la fecha establecida </w:t>
      </w:r>
      <w:r w:rsidR="00BD644D" w:rsidRPr="003A2712">
        <w:rPr>
          <w:rFonts w:ascii="Arial" w:hAnsi="Arial" w:cs="Arial"/>
          <w:sz w:val="20"/>
          <w:szCs w:val="20"/>
          <w:lang w:val="es-UY"/>
        </w:rPr>
        <w:t>en cuanto al total cumplimiento de los indicadores técnicos de disponibilidad y correcta finalización de las obras,</w:t>
      </w:r>
      <w:r w:rsidRPr="003A2712">
        <w:rPr>
          <w:rFonts w:ascii="Arial" w:hAnsi="Arial" w:cs="Arial"/>
          <w:sz w:val="20"/>
          <w:szCs w:val="20"/>
          <w:lang w:val="es-UY"/>
        </w:rPr>
        <w:t>, el Contratista</w:t>
      </w:r>
      <w:r w:rsidR="00B14DCC" w:rsidRPr="003A2712">
        <w:rPr>
          <w:rFonts w:ascii="Arial" w:hAnsi="Arial" w:cs="Arial"/>
          <w:sz w:val="20"/>
          <w:szCs w:val="20"/>
          <w:lang w:val="es-UY"/>
        </w:rPr>
        <w:t xml:space="preserve"> </w:t>
      </w:r>
      <w:r w:rsidRPr="003A2712">
        <w:rPr>
          <w:rFonts w:ascii="Arial" w:hAnsi="Arial" w:cs="Arial"/>
          <w:sz w:val="20"/>
          <w:szCs w:val="20"/>
          <w:lang w:val="es-UY"/>
        </w:rPr>
        <w:t xml:space="preserve">perderá, en forma proporcional al lapso del atraso generado, la cuota parte anual del pago </w:t>
      </w:r>
      <w:r w:rsidRPr="003A2712">
        <w:rPr>
          <w:rFonts w:ascii="Arial" w:hAnsi="Arial" w:cs="Arial"/>
          <w:bCs/>
          <w:sz w:val="20"/>
          <w:szCs w:val="20"/>
          <w:lang w:val="es-UY"/>
        </w:rPr>
        <w:t>A(i)</w:t>
      </w:r>
      <w:r w:rsidRPr="003A2712">
        <w:rPr>
          <w:rFonts w:ascii="Arial" w:hAnsi="Arial" w:cs="Arial"/>
          <w:sz w:val="20"/>
          <w:szCs w:val="20"/>
          <w:lang w:val="es-UY"/>
        </w:rPr>
        <w:t xml:space="preserve"> correspondiente al tramo </w:t>
      </w:r>
      <w:r w:rsidR="00C503C5" w:rsidRPr="003A2712">
        <w:rPr>
          <w:rFonts w:ascii="Arial" w:hAnsi="Arial" w:cs="Arial"/>
          <w:sz w:val="20"/>
          <w:szCs w:val="20"/>
          <w:lang w:val="es-UY"/>
        </w:rPr>
        <w:t>en cuestión</w:t>
      </w:r>
      <w:r w:rsidRPr="003A2712">
        <w:rPr>
          <w:rFonts w:ascii="Arial" w:hAnsi="Arial" w:cs="Arial"/>
          <w:sz w:val="20"/>
          <w:szCs w:val="20"/>
          <w:lang w:val="es-UY"/>
        </w:rPr>
        <w:t xml:space="preserve">. </w:t>
      </w:r>
    </w:p>
    <w:p w14:paraId="4CF93E64" w14:textId="77777777" w:rsidR="00B24E17" w:rsidRDefault="00B24E17" w:rsidP="00CB7E2E">
      <w:pPr>
        <w:spacing w:after="120"/>
        <w:jc w:val="both"/>
        <w:rPr>
          <w:rFonts w:ascii="Arial" w:hAnsi="Arial" w:cs="Arial"/>
          <w:sz w:val="20"/>
          <w:szCs w:val="20"/>
          <w:lang w:val="es-UY"/>
        </w:rPr>
      </w:pPr>
      <w:r w:rsidRPr="003A2712">
        <w:rPr>
          <w:rFonts w:ascii="Arial" w:hAnsi="Arial" w:cs="Arial"/>
          <w:sz w:val="20"/>
          <w:szCs w:val="20"/>
          <w:lang w:val="es-UY"/>
        </w:rPr>
        <w:t>La finalización por anticipado de las obras no devengará pagos, por concepto de esta componente.</w:t>
      </w:r>
    </w:p>
    <w:p w14:paraId="10DB57F9" w14:textId="77777777" w:rsidR="00CB7E2E" w:rsidRPr="00B24E17" w:rsidRDefault="00CB7E2E" w:rsidP="00CB7E2E">
      <w:pPr>
        <w:spacing w:after="120"/>
        <w:jc w:val="both"/>
        <w:rPr>
          <w:rFonts w:ascii="Arial" w:hAnsi="Arial" w:cs="Arial"/>
          <w:strike/>
          <w:sz w:val="20"/>
          <w:szCs w:val="20"/>
          <w:lang w:val="es-UY"/>
        </w:rPr>
      </w:pPr>
    </w:p>
    <w:p w14:paraId="49CAB689" w14:textId="77777777" w:rsidR="00B24E17" w:rsidRPr="00587F0F" w:rsidRDefault="00B24E17" w:rsidP="009A58E0">
      <w:pPr>
        <w:pStyle w:val="T2AAA"/>
        <w:numPr>
          <w:ilvl w:val="1"/>
          <w:numId w:val="129"/>
        </w:numPr>
      </w:pPr>
      <w:bookmarkStart w:id="1095" w:name="_Toc400636219"/>
      <w:r w:rsidRPr="00587F0F">
        <w:t>Pago de la componente B</w:t>
      </w:r>
      <w:bookmarkEnd w:id="1095"/>
    </w:p>
    <w:p w14:paraId="00C97FC3" w14:textId="634528C0" w:rsidR="00622E97" w:rsidRPr="00622E97" w:rsidRDefault="00F36A82" w:rsidP="00053808">
      <w:pPr>
        <w:spacing w:after="120"/>
        <w:jc w:val="both"/>
        <w:rPr>
          <w:rFonts w:ascii="Arial" w:hAnsi="Arial" w:cs="Arial"/>
          <w:sz w:val="20"/>
          <w:szCs w:val="20"/>
          <w:lang w:val="es-UY"/>
        </w:rPr>
      </w:pPr>
      <w:r w:rsidRPr="00587F0F">
        <w:rPr>
          <w:rFonts w:ascii="Arial" w:hAnsi="Arial" w:cs="Arial"/>
          <w:sz w:val="20"/>
          <w:szCs w:val="20"/>
          <w:lang w:val="es-UY"/>
        </w:rPr>
        <w:t xml:space="preserve">La componente </w:t>
      </w:r>
      <w:r w:rsidRPr="005A4187">
        <w:rPr>
          <w:rFonts w:ascii="Arial" w:hAnsi="Arial" w:cs="Arial"/>
          <w:bCs/>
          <w:sz w:val="20"/>
          <w:szCs w:val="20"/>
          <w:lang w:val="es-UY"/>
        </w:rPr>
        <w:t>B(i)</w:t>
      </w:r>
      <w:r w:rsidRPr="00587F0F">
        <w:rPr>
          <w:rFonts w:ascii="Arial" w:hAnsi="Arial" w:cs="Arial"/>
          <w:sz w:val="20"/>
          <w:szCs w:val="20"/>
          <w:lang w:val="es-UY"/>
        </w:rPr>
        <w:t xml:space="preserve"> correspondiente a cada tramo </w:t>
      </w:r>
      <w:r w:rsidR="0057481F">
        <w:rPr>
          <w:rFonts w:ascii="Arial" w:hAnsi="Arial" w:cs="Arial"/>
          <w:sz w:val="20"/>
          <w:szCs w:val="20"/>
          <w:lang w:val="es-UY"/>
        </w:rPr>
        <w:t>(i)</w:t>
      </w:r>
      <w:r w:rsidR="00622E97">
        <w:rPr>
          <w:rFonts w:ascii="Arial" w:hAnsi="Arial" w:cs="Arial"/>
          <w:sz w:val="20"/>
          <w:szCs w:val="20"/>
          <w:lang w:val="es-UY"/>
        </w:rPr>
        <w:t xml:space="preserve"> </w:t>
      </w:r>
      <w:r w:rsidRPr="00587F0F">
        <w:rPr>
          <w:rFonts w:ascii="Arial" w:hAnsi="Arial" w:cs="Arial"/>
          <w:sz w:val="20"/>
          <w:szCs w:val="20"/>
          <w:lang w:val="es-UY"/>
        </w:rPr>
        <w:t xml:space="preserve">se comenzará a devengar desde la </w:t>
      </w:r>
      <w:r w:rsidRPr="00587F0F">
        <w:rPr>
          <w:rFonts w:ascii="Arial" w:hAnsi="Arial" w:cs="Arial"/>
          <w:sz w:val="20"/>
          <w:szCs w:val="20"/>
        </w:rPr>
        <w:t>fecha del Acta de Comprobación de la Infraestructura (ACIT</w:t>
      </w:r>
      <w:r w:rsidRPr="00022C0A">
        <w:rPr>
          <w:rFonts w:ascii="Arial" w:hAnsi="Arial" w:cs="Arial"/>
          <w:sz w:val="20"/>
          <w:szCs w:val="20"/>
        </w:rPr>
        <w:t>)</w:t>
      </w:r>
      <w:r w:rsidR="008C275B" w:rsidRPr="00022C0A">
        <w:rPr>
          <w:rFonts w:ascii="Arial" w:hAnsi="Arial" w:cs="Arial"/>
          <w:sz w:val="20"/>
          <w:szCs w:val="20"/>
        </w:rPr>
        <w:t xml:space="preserve"> </w:t>
      </w:r>
      <w:r w:rsidR="008C275B" w:rsidRPr="00587F0F">
        <w:rPr>
          <w:rFonts w:ascii="Arial" w:hAnsi="Arial" w:cs="Arial"/>
          <w:sz w:val="20"/>
          <w:szCs w:val="20"/>
        </w:rPr>
        <w:t>y hasta el final del contrato</w:t>
      </w:r>
      <w:r w:rsidR="007B286E">
        <w:rPr>
          <w:rFonts w:ascii="Arial" w:hAnsi="Arial" w:cs="Arial"/>
          <w:sz w:val="20"/>
          <w:szCs w:val="20"/>
        </w:rPr>
        <w:t>.</w:t>
      </w:r>
    </w:p>
    <w:p w14:paraId="4D371516" w14:textId="77777777" w:rsidR="00B24E17" w:rsidRDefault="00B24E17" w:rsidP="009A58E0">
      <w:pPr>
        <w:pStyle w:val="T2AAA"/>
        <w:numPr>
          <w:ilvl w:val="1"/>
          <w:numId w:val="129"/>
        </w:numPr>
      </w:pPr>
      <w:bookmarkStart w:id="1096" w:name="_Toc400636220"/>
      <w:r w:rsidRPr="008F11EC">
        <w:t>Pago de la componente C</w:t>
      </w:r>
      <w:bookmarkEnd w:id="1096"/>
    </w:p>
    <w:p w14:paraId="5530BE24" w14:textId="7EFB5A29" w:rsidR="00622E97" w:rsidRPr="00622E97" w:rsidRDefault="0057481F" w:rsidP="00622E97">
      <w:pPr>
        <w:spacing w:before="240" w:after="120"/>
        <w:jc w:val="both"/>
        <w:rPr>
          <w:rFonts w:ascii="Arial" w:hAnsi="Arial" w:cs="Arial"/>
          <w:sz w:val="20"/>
          <w:szCs w:val="20"/>
          <w:lang w:val="es-UY"/>
        </w:rPr>
      </w:pPr>
      <w:r w:rsidRPr="0057481F">
        <w:rPr>
          <w:rFonts w:ascii="Arial" w:hAnsi="Arial" w:cs="Arial"/>
          <w:sz w:val="20"/>
          <w:szCs w:val="20"/>
          <w:lang w:val="es-UY"/>
        </w:rPr>
        <w:lastRenderedPageBreak/>
        <w:t xml:space="preserve">La componente </w:t>
      </w:r>
      <w:r w:rsidRPr="005A4187">
        <w:rPr>
          <w:rFonts w:ascii="Arial" w:hAnsi="Arial" w:cs="Arial"/>
          <w:bCs/>
          <w:sz w:val="20"/>
          <w:szCs w:val="20"/>
          <w:lang w:val="es-UY"/>
        </w:rPr>
        <w:t>C(i)</w:t>
      </w:r>
      <w:r w:rsidRPr="0057481F">
        <w:rPr>
          <w:rFonts w:ascii="Arial" w:hAnsi="Arial" w:cs="Arial"/>
          <w:sz w:val="20"/>
          <w:szCs w:val="20"/>
          <w:lang w:val="es-UY"/>
        </w:rPr>
        <w:t xml:space="preserve"> correspondiente a cada tramo</w:t>
      </w:r>
      <w:r>
        <w:rPr>
          <w:rFonts w:ascii="Arial" w:hAnsi="Arial" w:cs="Arial"/>
          <w:sz w:val="20"/>
          <w:szCs w:val="20"/>
          <w:lang w:val="es-UY"/>
        </w:rPr>
        <w:t xml:space="preserve"> (i) </w:t>
      </w:r>
      <w:r w:rsidRPr="0057481F">
        <w:rPr>
          <w:rFonts w:ascii="Arial" w:hAnsi="Arial" w:cs="Arial"/>
          <w:sz w:val="20"/>
          <w:szCs w:val="20"/>
          <w:lang w:val="es-UY"/>
        </w:rPr>
        <w:t xml:space="preserve"> se comenzará a devengar desde la </w:t>
      </w:r>
      <w:r w:rsidRPr="0057481F">
        <w:rPr>
          <w:rFonts w:ascii="Arial" w:hAnsi="Arial" w:cs="Arial"/>
          <w:sz w:val="20"/>
          <w:szCs w:val="20"/>
        </w:rPr>
        <w:t>fecha del Acta de Comprobación de la Infraestructura (ACIT</w:t>
      </w:r>
      <w:r w:rsidRPr="00022C0A">
        <w:rPr>
          <w:rFonts w:ascii="Arial" w:hAnsi="Arial" w:cs="Arial"/>
          <w:sz w:val="20"/>
          <w:szCs w:val="20"/>
        </w:rPr>
        <w:t xml:space="preserve">) </w:t>
      </w:r>
      <w:r w:rsidRPr="0057481F">
        <w:rPr>
          <w:rFonts w:ascii="Arial" w:hAnsi="Arial" w:cs="Arial"/>
          <w:sz w:val="20"/>
          <w:szCs w:val="20"/>
        </w:rPr>
        <w:t>y hasta el final del contrato.</w:t>
      </w:r>
      <w:bookmarkStart w:id="1097" w:name="_Toc400636222"/>
    </w:p>
    <w:p w14:paraId="49FB4584" w14:textId="77777777" w:rsidR="00221736" w:rsidRPr="00B24E17" w:rsidRDefault="00221736" w:rsidP="009A58E0">
      <w:pPr>
        <w:pStyle w:val="T2AAA"/>
        <w:numPr>
          <w:ilvl w:val="0"/>
          <w:numId w:val="128"/>
        </w:numPr>
        <w:rPr>
          <w:rFonts w:cs="Times New Roman"/>
        </w:rPr>
      </w:pPr>
      <w:r>
        <w:rPr>
          <w:rFonts w:cs="Times New Roman"/>
        </w:rPr>
        <w:t>MONTO ANUAL A PERCIBIR POR LAS COMPONENTES A, B Y C</w:t>
      </w:r>
    </w:p>
    <w:p w14:paraId="47A6BC02" w14:textId="0131E3E5" w:rsidR="002E63CC" w:rsidRPr="002E63CC" w:rsidRDefault="00611CB0" w:rsidP="00CB7E2E">
      <w:pPr>
        <w:spacing w:after="120"/>
        <w:jc w:val="both"/>
        <w:rPr>
          <w:rFonts w:ascii="Arial" w:hAnsi="Arial" w:cs="Arial"/>
          <w:sz w:val="20"/>
          <w:szCs w:val="20"/>
          <w:lang w:val="es-UY"/>
        </w:rPr>
      </w:pPr>
      <w:r w:rsidRPr="00B24E17">
        <w:rPr>
          <w:rFonts w:ascii="Arial" w:hAnsi="Arial" w:cs="Arial"/>
          <w:sz w:val="20"/>
          <w:szCs w:val="20"/>
          <w:lang w:val="es-UY"/>
        </w:rPr>
        <w:t xml:space="preserve">El monto anual a percibir por el Contratista es la suma de los montos anuales de las componentes </w:t>
      </w:r>
      <w:r w:rsidRPr="00611CB0">
        <w:rPr>
          <w:rFonts w:ascii="Arial" w:hAnsi="Arial" w:cs="Arial"/>
          <w:sz w:val="20"/>
          <w:szCs w:val="20"/>
          <w:lang w:val="es-UY"/>
        </w:rPr>
        <w:t>A</w:t>
      </w:r>
      <w:r w:rsidRPr="00B24E17">
        <w:rPr>
          <w:rFonts w:ascii="Arial" w:hAnsi="Arial" w:cs="Arial"/>
          <w:sz w:val="20"/>
          <w:szCs w:val="20"/>
          <w:lang w:val="es-UY"/>
        </w:rPr>
        <w:t xml:space="preserve">, </w:t>
      </w:r>
      <w:r w:rsidRPr="00611CB0">
        <w:rPr>
          <w:rFonts w:ascii="Arial" w:hAnsi="Arial" w:cs="Arial"/>
          <w:sz w:val="20"/>
          <w:szCs w:val="20"/>
          <w:lang w:val="es-UY"/>
        </w:rPr>
        <w:t>B</w:t>
      </w:r>
      <w:r w:rsidRPr="00B24E17">
        <w:rPr>
          <w:rFonts w:ascii="Arial" w:hAnsi="Arial" w:cs="Arial"/>
          <w:sz w:val="20"/>
          <w:szCs w:val="20"/>
          <w:lang w:val="es-UY"/>
        </w:rPr>
        <w:t xml:space="preserve"> y </w:t>
      </w:r>
      <w:r w:rsidRPr="00611CB0">
        <w:rPr>
          <w:rFonts w:ascii="Arial" w:hAnsi="Arial" w:cs="Arial"/>
          <w:sz w:val="20"/>
          <w:szCs w:val="20"/>
          <w:lang w:val="es-UY"/>
        </w:rPr>
        <w:t>C</w:t>
      </w:r>
      <w:r w:rsidRPr="00B24E17">
        <w:rPr>
          <w:rFonts w:ascii="Arial" w:hAnsi="Arial" w:cs="Arial"/>
          <w:sz w:val="20"/>
          <w:szCs w:val="20"/>
          <w:lang w:val="es-UY"/>
        </w:rPr>
        <w:t xml:space="preserve"> y dependerá</w:t>
      </w:r>
      <w:r w:rsidR="00C37A4B">
        <w:rPr>
          <w:rFonts w:ascii="Arial" w:hAnsi="Arial" w:cs="Arial"/>
          <w:sz w:val="20"/>
          <w:szCs w:val="20"/>
          <w:lang w:val="es-UY"/>
        </w:rPr>
        <w:t xml:space="preserve"> </w:t>
      </w:r>
      <w:r w:rsidRPr="00B24E17">
        <w:rPr>
          <w:rFonts w:ascii="Arial" w:hAnsi="Arial" w:cs="Arial"/>
          <w:sz w:val="20"/>
          <w:szCs w:val="20"/>
          <w:lang w:val="es-UY"/>
        </w:rPr>
        <w:t xml:space="preserve">del resultado de las evaluaciones realizadas en cada tramo a lo largo de todo el año. Ese resultado se expresa numéricamente a través de los tres coeficientes de disponibilidad </w:t>
      </w:r>
      <w:r w:rsidRPr="00611CB0">
        <w:rPr>
          <w:rFonts w:ascii="Arial" w:hAnsi="Arial" w:cs="Arial"/>
          <w:sz w:val="20"/>
          <w:szCs w:val="20"/>
          <w:lang w:val="es-UY"/>
        </w:rPr>
        <w:t>ctd1, ctd2 y ctd3</w:t>
      </w:r>
      <w:r w:rsidRPr="00B24E17">
        <w:rPr>
          <w:rFonts w:ascii="Arial" w:hAnsi="Arial" w:cs="Arial"/>
          <w:sz w:val="20"/>
          <w:szCs w:val="20"/>
          <w:lang w:val="es-UY"/>
        </w:rPr>
        <w:t xml:space="preserve"> que afectan a las componentes </w:t>
      </w:r>
      <w:r w:rsidRPr="00611CB0">
        <w:rPr>
          <w:rFonts w:ascii="Arial" w:hAnsi="Arial" w:cs="Arial"/>
          <w:sz w:val="20"/>
          <w:szCs w:val="20"/>
          <w:lang w:val="es-UY"/>
        </w:rPr>
        <w:t>A, B y C</w:t>
      </w:r>
      <w:r w:rsidRPr="00B24E17">
        <w:rPr>
          <w:rFonts w:ascii="Arial" w:hAnsi="Arial" w:cs="Arial"/>
          <w:sz w:val="20"/>
          <w:szCs w:val="20"/>
          <w:lang w:val="es-UY"/>
        </w:rPr>
        <w:t xml:space="preserve"> respectivamente y de un factor “Z” que refleja la incidencia de las Faltas Críticas acumuladas en el año y que es el mismo para todos los tramos.</w:t>
      </w:r>
      <w:r w:rsidR="006141DA">
        <w:rPr>
          <w:rFonts w:ascii="Arial" w:hAnsi="Arial" w:cs="Arial"/>
          <w:sz w:val="20"/>
          <w:szCs w:val="20"/>
          <w:lang w:val="es-UY"/>
        </w:rPr>
        <w:t xml:space="preserve"> </w:t>
      </w:r>
      <w:r w:rsidRPr="00B24E17">
        <w:rPr>
          <w:rFonts w:ascii="Arial" w:hAnsi="Arial" w:cs="Arial"/>
          <w:sz w:val="20"/>
          <w:szCs w:val="20"/>
          <w:lang w:val="es-UY"/>
        </w:rPr>
        <w:t xml:space="preserve">El monto anual total a percibir por todos los tramos es la suma del monto anual de cada tramo actualizado por las fórmulas paramétricas establecidas en el </w:t>
      </w:r>
      <w:hyperlink w:anchor="A_10" w:history="1">
        <w:r w:rsidRPr="003218BC">
          <w:rPr>
            <w:rStyle w:val="Hipervnculo"/>
            <w:rFonts w:ascii="Arial" w:hAnsi="Arial" w:cs="Arial"/>
            <w:sz w:val="20"/>
            <w:szCs w:val="20"/>
            <w:lang w:val="es-UY"/>
          </w:rPr>
          <w:t>Anexo X</w:t>
        </w:r>
      </w:hyperlink>
      <w:r w:rsidRPr="00B24E17">
        <w:rPr>
          <w:rFonts w:ascii="Arial" w:hAnsi="Arial" w:cs="Arial"/>
          <w:sz w:val="20"/>
          <w:szCs w:val="20"/>
          <w:lang w:val="es-UY"/>
        </w:rPr>
        <w:t>.</w:t>
      </w:r>
    </w:p>
    <w:p w14:paraId="62877782" w14:textId="77777777" w:rsidR="00B24E17" w:rsidRPr="00B24E17" w:rsidRDefault="00B24E17" w:rsidP="009A58E0">
      <w:pPr>
        <w:pStyle w:val="T2AAA"/>
        <w:numPr>
          <w:ilvl w:val="1"/>
          <w:numId w:val="128"/>
        </w:numPr>
      </w:pPr>
      <w:r w:rsidRPr="00B24E17">
        <w:t>Monto anual a percibir por la componente A</w:t>
      </w:r>
      <w:bookmarkEnd w:id="1097"/>
    </w:p>
    <w:p w14:paraId="0200ADD1"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El resultado final de la evaluación del servicio asociado a la componente A se reflejará en el monto a percibir por el Contratista</w:t>
      </w:r>
      <w:r w:rsidR="00B14DCC">
        <w:rPr>
          <w:rFonts w:ascii="Arial" w:hAnsi="Arial" w:cs="Arial"/>
          <w:sz w:val="20"/>
          <w:szCs w:val="20"/>
          <w:lang w:val="es-UY"/>
        </w:rPr>
        <w:t xml:space="preserve"> </w:t>
      </w:r>
      <w:r w:rsidR="006141DA">
        <w:rPr>
          <w:rFonts w:ascii="Arial" w:hAnsi="Arial" w:cs="Arial"/>
          <w:sz w:val="20"/>
          <w:szCs w:val="20"/>
          <w:lang w:val="es-UY"/>
        </w:rPr>
        <w:t xml:space="preserve">a </w:t>
      </w:r>
      <w:r w:rsidRPr="00B24E17">
        <w:rPr>
          <w:rFonts w:ascii="Arial" w:hAnsi="Arial" w:cs="Arial"/>
          <w:sz w:val="20"/>
          <w:szCs w:val="20"/>
          <w:lang w:val="es-UY"/>
        </w:rPr>
        <w:t xml:space="preserve">través del coeficiente técnico de disponibilidad </w:t>
      </w:r>
      <w:r w:rsidRPr="005A4187">
        <w:rPr>
          <w:rFonts w:ascii="Arial" w:hAnsi="Arial" w:cs="Arial"/>
          <w:bCs/>
          <w:sz w:val="20"/>
          <w:szCs w:val="20"/>
          <w:lang w:val="es-UY"/>
        </w:rPr>
        <w:t>ctd</w:t>
      </w:r>
      <w:r w:rsidRPr="005A4187">
        <w:rPr>
          <w:rFonts w:ascii="Arial" w:hAnsi="Arial" w:cs="Arial"/>
          <w:bCs/>
          <w:sz w:val="20"/>
          <w:szCs w:val="20"/>
          <w:vertAlign w:val="subscript"/>
          <w:lang w:val="es-UY"/>
        </w:rPr>
        <w:t>1</w:t>
      </w:r>
      <w:r w:rsidRPr="00B24E17">
        <w:rPr>
          <w:rFonts w:ascii="Arial" w:hAnsi="Arial" w:cs="Arial"/>
          <w:sz w:val="20"/>
          <w:szCs w:val="20"/>
          <w:lang w:val="es-UY"/>
        </w:rPr>
        <w:t xml:space="preserve">. </w:t>
      </w:r>
    </w:p>
    <w:p w14:paraId="6F18DA81" w14:textId="346E1EE6"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lastRenderedPageBreak/>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por la componente A correspondiente al tramo “i” surge de la ecuación que se detalla más abajo y que representa la suma de las componentes A(i) de las obras de puesta a punto y complementarias de acuerdo al número de cuotas establecidas en la tabla A.III-1.</w:t>
      </w:r>
    </w:p>
    <w:p w14:paraId="27836DD2"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 xml:space="preserve">Las componentes A(i) de cada tramo se comenzarán a percibir de acuerdo a lo establecido en el punto 2.1 del </w:t>
      </w:r>
      <w:hyperlink w:anchor="A_3" w:history="1">
        <w:r w:rsidR="006C5BA5">
          <w:rPr>
            <w:rStyle w:val="Hipervnculo"/>
            <w:rFonts w:ascii="Arial" w:hAnsi="Arial" w:cs="Arial"/>
            <w:sz w:val="20"/>
            <w:szCs w:val="20"/>
            <w:lang w:val="es-UY"/>
          </w:rPr>
          <w:t>presente</w:t>
        </w:r>
      </w:hyperlink>
      <w:r w:rsidR="006C5BA5">
        <w:rPr>
          <w:rFonts w:ascii="Arial" w:hAnsi="Arial" w:cs="Arial"/>
          <w:sz w:val="20"/>
          <w:szCs w:val="20"/>
          <w:lang w:val="es-UY"/>
        </w:rPr>
        <w:t xml:space="preserve"> Anexo</w:t>
      </w:r>
      <w:r w:rsidRPr="00B24E17">
        <w:rPr>
          <w:rFonts w:ascii="Arial" w:hAnsi="Arial" w:cs="Arial"/>
          <w:sz w:val="20"/>
          <w:szCs w:val="20"/>
          <w:lang w:val="es-UY"/>
        </w:rPr>
        <w:t>:</w:t>
      </w:r>
    </w:p>
    <w:p w14:paraId="7818CB81" w14:textId="77777777" w:rsidR="00B24E17" w:rsidRPr="00B24E17" w:rsidRDefault="00B24E17" w:rsidP="00CB7E2E">
      <w:pPr>
        <w:spacing w:after="120"/>
        <w:jc w:val="both"/>
        <w:rPr>
          <w:rFonts w:ascii="Arial" w:hAnsi="Arial" w:cs="Arial"/>
          <w:sz w:val="20"/>
          <w:szCs w:val="20"/>
          <w:lang w:val="es-UY"/>
        </w:rPr>
      </w:pPr>
    </w:p>
    <w:p w14:paraId="6A44193C" w14:textId="56A3B541" w:rsidR="00FF40B7" w:rsidRPr="00B24E17" w:rsidRDefault="00FF40B7" w:rsidP="009A58E0">
      <w:pPr>
        <w:numPr>
          <w:ilvl w:val="0"/>
          <w:numId w:val="96"/>
        </w:numPr>
        <w:spacing w:after="120"/>
        <w:jc w:val="both"/>
        <w:rPr>
          <w:rFonts w:ascii="Arial" w:hAnsi="Arial" w:cs="Arial"/>
          <w:sz w:val="20"/>
          <w:szCs w:val="20"/>
          <w:lang w:val="es-UY"/>
        </w:rPr>
      </w:pPr>
      <w:r w:rsidRPr="00B24E17">
        <w:rPr>
          <w:rFonts w:ascii="Arial" w:hAnsi="Arial" w:cs="Arial"/>
          <w:sz w:val="20"/>
          <w:szCs w:val="20"/>
          <w:lang w:val="es-UY"/>
        </w:rPr>
        <w:t>Monto a percibir por cada tramo “i” por las obras de puesta a punto y complementarias correspondiente a ese tramo.</w:t>
      </w:r>
    </w:p>
    <w:p w14:paraId="5188F8EC" w14:textId="2051AC47" w:rsidR="00FF40B7" w:rsidRPr="0065709A" w:rsidRDefault="00FF40B7" w:rsidP="00FF40B7">
      <w:pPr>
        <w:jc w:val="center"/>
        <w:rPr>
          <w:rFonts w:ascii="Cambria Math" w:hAnsi="Cambria Math" w:cs="Cambria Math"/>
          <w:i/>
          <w:iCs/>
          <w:sz w:val="28"/>
          <w:szCs w:val="28"/>
        </w:rPr>
      </w:pPr>
      <w:r>
        <w:rPr>
          <w:rFonts w:ascii="Cambria Math" w:hAnsi="Cambria Math" w:cs="Times New Roman"/>
          <w:sz w:val="28"/>
          <w:szCs w:val="28"/>
        </w:rPr>
        <w:br/>
      </w:r>
      <m:oMathPara>
        <m:oMath>
          <m:r>
            <w:rPr>
              <w:rFonts w:ascii="Cambria Math" w:hAnsi="Cambria Math" w:cs="Times New Roman"/>
              <w:sz w:val="28"/>
              <w:szCs w:val="28"/>
            </w:rPr>
            <m:t>Z ×ctd</m:t>
          </m:r>
          <m:r>
            <m:rPr>
              <m:nor/>
            </m:rPr>
            <w:rPr>
              <w:rFonts w:ascii="Cambria Math" w:hAnsi="Cambria Math" w:cs="Times New Roman"/>
              <w:sz w:val="28"/>
              <w:szCs w:val="28"/>
              <w:vertAlign w:val="subscript"/>
            </w:rPr>
            <m:t>1</m:t>
          </m:r>
          <m:r>
            <w:rPr>
              <w:rFonts w:ascii="Cambria Math" w:hAnsi="Cambria Math" w:cs="Times New Roman"/>
              <w:sz w:val="28"/>
              <w:szCs w:val="28"/>
            </w:rPr>
            <m:t>×</m:t>
          </m:r>
          <m:r>
            <w:rPr>
              <w:rFonts w:ascii="Cambria Math" w:hAnsi="Cambria Math" w:cs="Times New Roman"/>
              <w:sz w:val="28"/>
              <w:szCs w:val="28"/>
              <w:vertAlign w:val="subscript"/>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d>
                    <m:dPr>
                      <m:ctrlPr>
                        <w:rPr>
                          <w:rFonts w:ascii="Cambria Math" w:hAnsi="Cambria Math" w:cs="Times New Roman"/>
                          <w:i/>
                          <w:sz w:val="28"/>
                          <w:szCs w:val="28"/>
                        </w:rPr>
                      </m:ctrlPr>
                    </m:dPr>
                    <m:e>
                      <m:r>
                        <w:rPr>
                          <w:rFonts w:ascii="Cambria Math" w:hAnsi="Cambria Math" w:cs="Times New Roman"/>
                          <w:sz w:val="28"/>
                          <w:szCs w:val="28"/>
                        </w:rPr>
                        <m:t>i</m:t>
                      </m:r>
                    </m:e>
                  </m:d>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oMath>
      </m:oMathPara>
    </w:p>
    <w:p w14:paraId="31F5940A" w14:textId="77777777" w:rsidR="00FF40B7" w:rsidRPr="0065709A" w:rsidRDefault="00FF40B7" w:rsidP="00FF40B7">
      <w:pPr>
        <w:jc w:val="both"/>
        <w:rPr>
          <w:rFonts w:ascii="Arial" w:hAnsi="Arial" w:cs="Arial"/>
          <w:sz w:val="20"/>
          <w:szCs w:val="20"/>
        </w:rPr>
      </w:pPr>
      <w:r w:rsidRPr="0065709A">
        <w:rPr>
          <w:rFonts w:ascii="Arial" w:hAnsi="Arial" w:cs="Arial"/>
          <w:sz w:val="20"/>
          <w:szCs w:val="20"/>
        </w:rPr>
        <w:t>siendo:</w:t>
      </w:r>
    </w:p>
    <w:p w14:paraId="353D0D4A" w14:textId="596C06E7" w:rsidR="00FF40B7" w:rsidRPr="006141DA" w:rsidRDefault="00931785" w:rsidP="00FF40B7">
      <w:pPr>
        <w:jc w:val="both"/>
        <w:rPr>
          <w:rFonts w:ascii="Arial" w:hAnsi="Arial" w:cs="Arial"/>
          <w:sz w:val="20"/>
          <w:szCs w:val="20"/>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00FF40B7" w:rsidRPr="0065709A">
        <w:rPr>
          <w:rFonts w:ascii="Arial" w:hAnsi="Arial" w:cs="Arial"/>
          <w:sz w:val="28"/>
          <w:szCs w:val="28"/>
          <w:vertAlign w:val="subscript"/>
        </w:rPr>
        <w:t xml:space="preserve">: </w:t>
      </w:r>
      <w:r w:rsidR="00DE40F9" w:rsidRPr="0065709A">
        <w:rPr>
          <w:rFonts w:ascii="Arial" w:hAnsi="Arial" w:cs="Arial"/>
          <w:sz w:val="20"/>
          <w:szCs w:val="20"/>
        </w:rPr>
        <w:t>el</w:t>
      </w:r>
      <w:r w:rsidR="00FF40B7" w:rsidRPr="0065709A">
        <w:rPr>
          <w:rFonts w:ascii="Arial" w:hAnsi="Arial" w:cs="Arial"/>
          <w:sz w:val="20"/>
          <w:szCs w:val="20"/>
        </w:rPr>
        <w:t xml:space="preserve">  número de cuotas establecidos en la tabla A.III-1</w:t>
      </w:r>
    </w:p>
    <w:p w14:paraId="02339891" w14:textId="77777777" w:rsidR="00FF40B7" w:rsidRPr="00B24E17" w:rsidRDefault="00FF40B7" w:rsidP="00FF40B7">
      <w:pPr>
        <w:spacing w:after="120"/>
        <w:jc w:val="both"/>
        <w:rPr>
          <w:rFonts w:ascii="Arial" w:hAnsi="Arial" w:cs="Arial"/>
          <w:sz w:val="20"/>
          <w:szCs w:val="20"/>
          <w:lang w:val="es-UY"/>
        </w:rPr>
      </w:pPr>
      <m:oMath>
        <m:r>
          <w:rPr>
            <w:rFonts w:ascii="Cambria Math" w:hAnsi="Cambria Math" w:cs="Times New Roman"/>
            <w:sz w:val="28"/>
            <w:szCs w:val="28"/>
          </w:rPr>
          <m:t>ctd</m:t>
        </m:r>
        <m:r>
          <m:rPr>
            <m:nor/>
          </m:rPr>
          <w:rPr>
            <w:rFonts w:ascii="Cambria Math" w:hAnsi="Cambria Math" w:cs="Times New Roman"/>
            <w:sz w:val="28"/>
            <w:szCs w:val="28"/>
            <w:vertAlign w:val="subscript"/>
          </w:rPr>
          <m:t>1</m:t>
        </m:r>
      </m:oMath>
      <w:r>
        <w:rPr>
          <w:rFonts w:ascii="Arial" w:hAnsi="Arial" w:cs="Arial"/>
          <w:sz w:val="20"/>
          <w:szCs w:val="20"/>
          <w:lang w:val="es-UY"/>
        </w:rPr>
        <w:t xml:space="preserve"> : </w:t>
      </w:r>
      <w:r w:rsidRPr="00B24E17">
        <w:rPr>
          <w:rFonts w:ascii="Arial" w:hAnsi="Arial" w:cs="Arial"/>
          <w:sz w:val="20"/>
          <w:szCs w:val="20"/>
          <w:lang w:val="es-UY"/>
        </w:rPr>
        <w:t>el coeficiente técnico de disponibilidad que alcanzó el tramo “i” en el transcurso del año</w:t>
      </w:r>
      <w:r>
        <w:rPr>
          <w:rFonts w:ascii="Arial" w:hAnsi="Arial" w:cs="Arial"/>
          <w:sz w:val="20"/>
          <w:szCs w:val="20"/>
          <w:lang w:val="es-UY"/>
        </w:rPr>
        <w:t xml:space="preserve"> y que surge de la Tabla C.XIV-3</w:t>
      </w:r>
    </w:p>
    <w:p w14:paraId="1070AD7F" w14:textId="77777777" w:rsidR="00FF40B7" w:rsidRPr="00B24E17" w:rsidRDefault="00FF40B7" w:rsidP="00FF40B7">
      <w:pPr>
        <w:spacing w:after="120"/>
        <w:jc w:val="both"/>
        <w:rPr>
          <w:rFonts w:ascii="Arial" w:hAnsi="Arial" w:cs="Arial"/>
          <w:sz w:val="20"/>
          <w:szCs w:val="20"/>
          <w:lang w:val="es-UY"/>
        </w:rPr>
      </w:pPr>
      <w:r w:rsidRPr="00B24E17">
        <w:rPr>
          <w:rFonts w:ascii="Arial" w:hAnsi="Arial" w:cs="Arial"/>
          <w:sz w:val="20"/>
          <w:szCs w:val="20"/>
          <w:lang w:val="es-UY"/>
        </w:rPr>
        <w:t>El monto anual total a percibir por todos los tramos es la suma del monto anual a percibir por cada tramo.</w:t>
      </w:r>
    </w:p>
    <w:p w14:paraId="4DBCAB2B" w14:textId="77777777" w:rsidR="00B24E17" w:rsidRPr="003B0C20" w:rsidRDefault="00FF40B7" w:rsidP="00FF40B7">
      <w:pPr>
        <w:spacing w:after="120"/>
        <w:jc w:val="both"/>
        <w:rPr>
          <w:rFonts w:ascii="Arial" w:hAnsi="Arial" w:cs="Arial"/>
          <w:sz w:val="20"/>
          <w:szCs w:val="20"/>
          <w:lang w:val="es-UY"/>
        </w:rPr>
      </w:pPr>
      <w:r w:rsidRPr="003B0C20">
        <w:rPr>
          <w:rFonts w:ascii="Arial" w:hAnsi="Arial" w:cs="Arial"/>
          <w:sz w:val="20"/>
          <w:szCs w:val="20"/>
          <w:lang w:val="es-UY"/>
        </w:rPr>
        <w:lastRenderedPageBreak/>
        <w:t>Para el primer pago de la componente A el valor de ctd</w:t>
      </w:r>
      <w:r w:rsidRPr="003B0C20">
        <w:rPr>
          <w:rFonts w:ascii="Cambria Math" w:hAnsi="Cambria Math" w:cs="Cambria Math"/>
          <w:sz w:val="20"/>
          <w:szCs w:val="20"/>
          <w:lang w:val="es-UY"/>
        </w:rPr>
        <w:t>₁</w:t>
      </w:r>
      <w:r w:rsidRPr="003B0C20">
        <w:rPr>
          <w:rFonts w:ascii="Arial" w:hAnsi="Arial" w:cs="Arial"/>
          <w:sz w:val="20"/>
          <w:szCs w:val="20"/>
          <w:lang w:val="es-UY"/>
        </w:rPr>
        <w:t xml:space="preserve"> será el </w:t>
      </w:r>
      <w:r w:rsidRPr="003B0C20">
        <w:rPr>
          <w:rFonts w:ascii="Arial" w:hAnsi="Arial" w:cs="Arial"/>
          <w:sz w:val="20"/>
          <w:szCs w:val="20"/>
          <w:lang w:val="es-UY"/>
        </w:rPr>
        <w:tab/>
        <w:t>que surge de la Tabla C.XIV-3 para el tramo y el período considerado.</w:t>
      </w:r>
    </w:p>
    <w:p w14:paraId="36FD1E88" w14:textId="77777777" w:rsidR="00B24E17" w:rsidRPr="001516D6" w:rsidRDefault="00B24E17" w:rsidP="009A58E0">
      <w:pPr>
        <w:pStyle w:val="T2AAA"/>
        <w:numPr>
          <w:ilvl w:val="1"/>
          <w:numId w:val="128"/>
        </w:numPr>
      </w:pPr>
      <w:bookmarkStart w:id="1098" w:name="_Toc400636223"/>
      <w:r w:rsidRPr="001516D6">
        <w:t>Monto anual a percibir por la componente B</w:t>
      </w:r>
      <w:bookmarkEnd w:id="1098"/>
    </w:p>
    <w:p w14:paraId="27891422"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El resultado final de la evaluación del servicio asociado a la componente B se reflejará en el monto a percibir por el Contratista</w:t>
      </w:r>
      <w:r w:rsidR="00FC688F">
        <w:rPr>
          <w:rFonts w:ascii="Arial" w:hAnsi="Arial" w:cs="Arial"/>
          <w:sz w:val="20"/>
          <w:szCs w:val="20"/>
          <w:lang w:val="es-UY"/>
        </w:rPr>
        <w:t xml:space="preserve"> a</w:t>
      </w:r>
      <w:r w:rsidR="00B14DCC">
        <w:rPr>
          <w:rFonts w:ascii="Arial" w:hAnsi="Arial" w:cs="Arial"/>
          <w:sz w:val="20"/>
          <w:szCs w:val="20"/>
          <w:lang w:val="es-UY"/>
        </w:rPr>
        <w:t xml:space="preserve"> </w:t>
      </w:r>
      <w:r w:rsidRPr="00B24E17">
        <w:rPr>
          <w:rFonts w:ascii="Arial" w:hAnsi="Arial" w:cs="Arial"/>
          <w:sz w:val="20"/>
          <w:szCs w:val="20"/>
          <w:lang w:val="es-UY"/>
        </w:rPr>
        <w:t xml:space="preserve">través del coeficiente técnico de disponibilidad </w:t>
      </w:r>
      <w:r w:rsidRPr="005A4187">
        <w:rPr>
          <w:rFonts w:ascii="Arial" w:hAnsi="Arial" w:cs="Arial"/>
          <w:bCs/>
          <w:sz w:val="20"/>
          <w:szCs w:val="20"/>
          <w:lang w:val="es-UY"/>
        </w:rPr>
        <w:t>ctd</w:t>
      </w:r>
      <w:r w:rsidRPr="005A4187">
        <w:rPr>
          <w:bCs/>
          <w:sz w:val="20"/>
          <w:szCs w:val="20"/>
          <w:lang w:val="es-UY"/>
        </w:rPr>
        <w:t>₂</w:t>
      </w:r>
      <w:r w:rsidRPr="00B24E17">
        <w:rPr>
          <w:rFonts w:ascii="Arial" w:hAnsi="Arial" w:cs="Arial"/>
          <w:sz w:val="20"/>
          <w:szCs w:val="20"/>
          <w:lang w:val="es-UY"/>
        </w:rPr>
        <w:t xml:space="preserve">. </w:t>
      </w:r>
    </w:p>
    <w:p w14:paraId="50D63631"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por la componente B correspondiente al tramo “i” surge de la siguiente ecuación: </w:t>
      </w:r>
    </w:p>
    <w:p w14:paraId="44E9C779" w14:textId="77777777" w:rsidR="00B24E17" w:rsidRPr="00B24E17" w:rsidRDefault="00B24E17" w:rsidP="00CB7E2E">
      <w:pPr>
        <w:spacing w:after="120"/>
        <w:jc w:val="right"/>
        <w:rPr>
          <w:rFonts w:ascii="Arial" w:hAnsi="Arial" w:cs="Arial"/>
          <w:sz w:val="20"/>
          <w:szCs w:val="20"/>
          <w:lang w:val="es-UY"/>
        </w:rPr>
      </w:pPr>
      <w:r w:rsidRPr="00B24E17">
        <w:rPr>
          <w:rFonts w:ascii="Arial" w:hAnsi="Arial" w:cs="Arial"/>
          <w:position w:val="-28"/>
          <w:sz w:val="20"/>
          <w:szCs w:val="20"/>
          <w:lang w:val="es-UY"/>
        </w:rPr>
        <w:object w:dxaOrig="8720" w:dyaOrig="680" w14:anchorId="55E86B94">
          <v:shape id="_x0000_i1029" type="#_x0000_t75" style="width:424.5pt;height:28.5pt" o:ole="">
            <v:imagedata r:id="rId142" o:title=""/>
          </v:shape>
          <o:OLEObject Type="Embed" ProgID="Equation.3" ShapeID="_x0000_i1029" DrawAspect="Content" ObjectID="_1571644619" r:id="rId143"/>
        </w:object>
      </w:r>
    </w:p>
    <w:p w14:paraId="57964658"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siendo:</w:t>
      </w:r>
    </w:p>
    <w:p w14:paraId="3B15928F"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l(i) la longitud en kilómetros del tramo “i” según la Tabla A.II-2.</w:t>
      </w:r>
    </w:p>
    <w:p w14:paraId="45A443B4" w14:textId="77777777" w:rsidR="00387A85" w:rsidRPr="00B24E17" w:rsidRDefault="00FC688F" w:rsidP="00387A85">
      <w:pPr>
        <w:spacing w:after="120"/>
        <w:jc w:val="both"/>
        <w:rPr>
          <w:rFonts w:ascii="Arial" w:hAnsi="Arial" w:cs="Arial"/>
          <w:sz w:val="20"/>
          <w:szCs w:val="20"/>
          <w:lang w:val="es-UY"/>
        </w:rPr>
      </w:pPr>
      <w:r>
        <w:rPr>
          <w:rFonts w:ascii="Arial" w:hAnsi="Arial" w:cs="Arial"/>
          <w:sz w:val="20"/>
          <w:szCs w:val="20"/>
          <w:lang w:val="es-UY"/>
        </w:rPr>
        <w:t>pm (UI / km-mes) el</w:t>
      </w:r>
      <w:r w:rsidR="00B24E17" w:rsidRPr="00B24E17">
        <w:rPr>
          <w:rFonts w:ascii="Arial" w:hAnsi="Arial" w:cs="Arial"/>
          <w:sz w:val="20"/>
          <w:szCs w:val="20"/>
          <w:lang w:val="es-UY"/>
        </w:rPr>
        <w:t xml:space="preserve"> “precio unitario base”</w:t>
      </w:r>
      <w:r w:rsidR="00387A85">
        <w:rPr>
          <w:rFonts w:ascii="Arial" w:hAnsi="Arial" w:cs="Arial"/>
          <w:sz w:val="20"/>
          <w:szCs w:val="20"/>
          <w:lang w:val="es-UY"/>
        </w:rPr>
        <w:t>,</w:t>
      </w:r>
      <w:r>
        <w:rPr>
          <w:rFonts w:ascii="Arial" w:hAnsi="Arial" w:cs="Arial"/>
          <w:sz w:val="20"/>
          <w:szCs w:val="20"/>
          <w:lang w:val="es-UY"/>
        </w:rPr>
        <w:t xml:space="preserve"> medido en UI por km-mes</w:t>
      </w:r>
      <w:r w:rsidR="00387A85">
        <w:rPr>
          <w:rFonts w:ascii="Arial" w:hAnsi="Arial" w:cs="Arial"/>
          <w:sz w:val="20"/>
          <w:szCs w:val="20"/>
          <w:lang w:val="es-UY"/>
        </w:rPr>
        <w:t xml:space="preserve">, </w:t>
      </w:r>
      <w:r w:rsidR="00387A85" w:rsidRPr="00B24E17">
        <w:rPr>
          <w:rFonts w:ascii="Arial" w:hAnsi="Arial" w:cs="Arial"/>
          <w:sz w:val="20"/>
          <w:szCs w:val="20"/>
          <w:lang w:val="es-UY"/>
        </w:rPr>
        <w:t xml:space="preserve"> suministrado por la Contratante</w:t>
      </w:r>
      <w:r w:rsidR="00387A85">
        <w:rPr>
          <w:rFonts w:ascii="Arial" w:hAnsi="Arial" w:cs="Arial"/>
          <w:sz w:val="20"/>
          <w:szCs w:val="20"/>
          <w:lang w:val="es-UY"/>
        </w:rPr>
        <w:t>. E</w:t>
      </w:r>
      <w:r w:rsidR="00387A85" w:rsidRPr="00B24E17">
        <w:rPr>
          <w:rFonts w:ascii="Arial" w:hAnsi="Arial" w:cs="Arial"/>
          <w:sz w:val="20"/>
          <w:szCs w:val="20"/>
          <w:lang w:val="es-UY"/>
        </w:rPr>
        <w:t>ste precio incluirá los costos de operación del contrato</w:t>
      </w:r>
      <w:r w:rsidR="00387A85">
        <w:rPr>
          <w:rFonts w:ascii="Arial" w:hAnsi="Arial" w:cs="Arial"/>
          <w:sz w:val="20"/>
          <w:szCs w:val="20"/>
          <w:lang w:val="es-UY"/>
        </w:rPr>
        <w:t xml:space="preserve"> y</w:t>
      </w:r>
      <w:r w:rsidR="00387A85" w:rsidRPr="00B24E17">
        <w:rPr>
          <w:rFonts w:ascii="Arial" w:hAnsi="Arial" w:cs="Arial"/>
          <w:sz w:val="20"/>
          <w:szCs w:val="20"/>
          <w:lang w:val="es-UY"/>
        </w:rPr>
        <w:t xml:space="preserve"> las Leyes Sociales pero no incluirá el IVA</w:t>
      </w:r>
      <w:r w:rsidR="00387A85">
        <w:rPr>
          <w:rFonts w:ascii="Arial" w:hAnsi="Arial" w:cs="Arial"/>
          <w:sz w:val="20"/>
          <w:szCs w:val="20"/>
          <w:lang w:val="es-UY"/>
        </w:rPr>
        <w:t>.</w:t>
      </w:r>
    </w:p>
    <w:p w14:paraId="49C61C5E"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f</w:t>
      </w:r>
      <w:r w:rsidRPr="00B24E17">
        <w:rPr>
          <w:sz w:val="20"/>
          <w:szCs w:val="20"/>
          <w:lang w:val="es-UY"/>
        </w:rPr>
        <w:t>₂</w:t>
      </w:r>
      <w:r w:rsidRPr="00B24E17">
        <w:rPr>
          <w:rFonts w:ascii="Arial" w:hAnsi="Arial" w:cs="Arial"/>
          <w:sz w:val="20"/>
          <w:szCs w:val="20"/>
          <w:lang w:val="es-UY"/>
        </w:rPr>
        <w:t xml:space="preserve"> el coeficiente propuesto por el oferente</w:t>
      </w:r>
    </w:p>
    <w:p w14:paraId="503B2308"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lastRenderedPageBreak/>
        <w:t>ctd</w:t>
      </w:r>
      <w:r w:rsidRPr="00B24E17">
        <w:rPr>
          <w:sz w:val="20"/>
          <w:szCs w:val="20"/>
          <w:lang w:val="es-UY"/>
        </w:rPr>
        <w:t>₂</w:t>
      </w:r>
      <w:r w:rsidRPr="00B24E17">
        <w:rPr>
          <w:rFonts w:ascii="Arial" w:hAnsi="Arial" w:cs="Arial"/>
          <w:sz w:val="20"/>
          <w:szCs w:val="20"/>
          <w:lang w:val="es-UY"/>
        </w:rPr>
        <w:t xml:space="preserve"> (i,v) el coeficiente técnico de disponibilidad que alcanzó el tramo “i” en cada una de las evaluaciones trimestrales (v)</w:t>
      </w:r>
      <w:r w:rsidR="00C12F20">
        <w:rPr>
          <w:rFonts w:ascii="Arial" w:hAnsi="Arial" w:cs="Arial"/>
          <w:sz w:val="20"/>
          <w:szCs w:val="20"/>
          <w:lang w:val="es-UY"/>
        </w:rPr>
        <w:t xml:space="preserve"> y que surge de la Tabla C.XIV-4</w:t>
      </w:r>
    </w:p>
    <w:p w14:paraId="07BBBE6E" w14:textId="197BFA4E"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Z el factor que refleja la incidencia de las Faltas Críticas, en cada año</w:t>
      </w:r>
      <w:r w:rsidR="00C63409">
        <w:rPr>
          <w:rFonts w:ascii="Arial" w:hAnsi="Arial" w:cs="Arial"/>
          <w:sz w:val="20"/>
          <w:szCs w:val="20"/>
          <w:lang w:val="es-UY"/>
        </w:rPr>
        <w:t>.</w:t>
      </w:r>
      <w:r w:rsidRPr="00B24E17">
        <w:rPr>
          <w:rFonts w:ascii="Arial" w:hAnsi="Arial" w:cs="Arial"/>
          <w:sz w:val="20"/>
          <w:szCs w:val="20"/>
          <w:lang w:val="es-UY"/>
        </w:rPr>
        <w:t xml:space="preserve"> </w:t>
      </w:r>
      <w:r w:rsidR="00D63685">
        <w:rPr>
          <w:rFonts w:ascii="Arial" w:hAnsi="Arial" w:cs="Arial"/>
          <w:sz w:val="20"/>
          <w:szCs w:val="20"/>
          <w:lang w:val="es-UY"/>
        </w:rPr>
        <w:t>E</w:t>
      </w:r>
      <w:r w:rsidRPr="00B24E17">
        <w:rPr>
          <w:rFonts w:ascii="Arial" w:hAnsi="Arial" w:cs="Arial"/>
          <w:sz w:val="20"/>
          <w:szCs w:val="20"/>
          <w:lang w:val="es-UY"/>
        </w:rPr>
        <w:t>s el mismo para todos los tramos.</w:t>
      </w:r>
    </w:p>
    <w:p w14:paraId="4885313E" w14:textId="5A73BDE9"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El monto anual total a percibir por todos los tramos es la suma del monto anual a percibir por cada tramo.</w:t>
      </w:r>
    </w:p>
    <w:p w14:paraId="38BEE29A" w14:textId="77777777" w:rsidR="00B24E17" w:rsidRPr="001003E6" w:rsidRDefault="00B24E17" w:rsidP="00CB7E2E">
      <w:pPr>
        <w:spacing w:after="120"/>
        <w:jc w:val="both"/>
        <w:rPr>
          <w:rFonts w:ascii="Arial" w:hAnsi="Arial" w:cs="Arial"/>
          <w:sz w:val="20"/>
          <w:szCs w:val="20"/>
          <w:lang w:val="es-UY"/>
        </w:rPr>
      </w:pPr>
      <w:r w:rsidRPr="001003E6">
        <w:rPr>
          <w:rFonts w:ascii="Arial" w:hAnsi="Arial" w:cs="Arial"/>
          <w:sz w:val="20"/>
          <w:szCs w:val="20"/>
          <w:lang w:val="es-UY"/>
        </w:rPr>
        <w:t>Para el primer pago de la componente B el valor de ctd</w:t>
      </w:r>
      <w:r w:rsidRPr="001003E6">
        <w:rPr>
          <w:rFonts w:ascii="Cambria Math" w:hAnsi="Cambria Math" w:cs="Cambria Math"/>
          <w:sz w:val="20"/>
          <w:szCs w:val="20"/>
          <w:lang w:val="es-UY"/>
        </w:rPr>
        <w:t>₂</w:t>
      </w:r>
      <w:r w:rsidRPr="001003E6">
        <w:rPr>
          <w:rFonts w:ascii="Arial" w:hAnsi="Arial" w:cs="Arial"/>
          <w:sz w:val="20"/>
          <w:szCs w:val="20"/>
          <w:lang w:val="es-UY"/>
        </w:rPr>
        <w:t xml:space="preserve"> será </w:t>
      </w:r>
      <w:r w:rsidR="005558E9" w:rsidRPr="001003E6">
        <w:rPr>
          <w:rFonts w:ascii="Arial" w:hAnsi="Arial" w:cs="Arial"/>
          <w:sz w:val="20"/>
          <w:szCs w:val="20"/>
          <w:lang w:val="es-UY"/>
        </w:rPr>
        <w:t>el valor promedio obtenido en las evaluaciones correspondientes desde la finalización del plazo de puesta a punto.</w:t>
      </w:r>
    </w:p>
    <w:p w14:paraId="0E0807F0" w14:textId="77777777" w:rsidR="00B24E17" w:rsidRPr="00B24E17" w:rsidRDefault="00CB7E2E" w:rsidP="00CB7E2E">
      <w:pPr>
        <w:tabs>
          <w:tab w:val="left" w:pos="1365"/>
        </w:tabs>
        <w:spacing w:after="120"/>
        <w:jc w:val="both"/>
        <w:rPr>
          <w:rFonts w:ascii="Arial" w:hAnsi="Arial" w:cs="Arial"/>
          <w:sz w:val="20"/>
          <w:szCs w:val="20"/>
          <w:lang w:val="es-UY"/>
        </w:rPr>
      </w:pPr>
      <w:r>
        <w:rPr>
          <w:rFonts w:ascii="Arial" w:hAnsi="Arial" w:cs="Arial"/>
          <w:sz w:val="20"/>
          <w:szCs w:val="20"/>
          <w:lang w:val="es-UY"/>
        </w:rPr>
        <w:tab/>
      </w:r>
    </w:p>
    <w:p w14:paraId="65253B6E" w14:textId="77777777" w:rsidR="00B24E17" w:rsidRPr="001516D6" w:rsidRDefault="00B24E17" w:rsidP="009A58E0">
      <w:pPr>
        <w:pStyle w:val="T2AAA"/>
        <w:numPr>
          <w:ilvl w:val="1"/>
          <w:numId w:val="128"/>
        </w:numPr>
      </w:pPr>
      <w:bookmarkStart w:id="1099" w:name="_Toc400636224"/>
      <w:r w:rsidRPr="001516D6">
        <w:t>Monto anual a percibir por la componente C</w:t>
      </w:r>
      <w:bookmarkEnd w:id="1099"/>
    </w:p>
    <w:p w14:paraId="6065E278" w14:textId="16E2E8D1" w:rsidR="00B24E17" w:rsidRPr="00B24E17" w:rsidRDefault="00A86736" w:rsidP="00CB7E2E">
      <w:pPr>
        <w:spacing w:after="120"/>
        <w:jc w:val="both"/>
        <w:rPr>
          <w:rFonts w:ascii="Arial" w:hAnsi="Arial" w:cs="Arial"/>
          <w:sz w:val="20"/>
          <w:szCs w:val="20"/>
          <w:lang w:val="es-UY"/>
        </w:rPr>
      </w:pPr>
      <w:r w:rsidRPr="00A86736">
        <w:rPr>
          <w:rFonts w:ascii="Arial" w:hAnsi="Arial" w:cs="Arial"/>
          <w:sz w:val="20"/>
          <w:szCs w:val="20"/>
          <w:lang w:val="es-UY"/>
        </w:rPr>
        <w:t>El resultado final de la evaluación del servicio asociado a la componente C se reflejará en el monto a percibir por el Contratista a través del coeficiente técnico de disponibilidad ctd</w:t>
      </w:r>
      <w:r w:rsidRPr="007B4DDF">
        <w:rPr>
          <w:sz w:val="20"/>
          <w:lang w:val="es-UY"/>
        </w:rPr>
        <w:t>₃</w:t>
      </w:r>
      <w:r w:rsidR="00E81229">
        <w:rPr>
          <w:sz w:val="20"/>
          <w:lang w:val="es-UY"/>
        </w:rPr>
        <w:t>,</w:t>
      </w:r>
      <w:r w:rsidRPr="007B4DDF">
        <w:rPr>
          <w:b/>
          <w:sz w:val="20"/>
          <w:lang w:val="es-UY"/>
        </w:rPr>
        <w:t xml:space="preserve"> </w:t>
      </w:r>
      <w:r w:rsidR="00B24E17" w:rsidRPr="00B24E17">
        <w:rPr>
          <w:rFonts w:ascii="Arial" w:hAnsi="Arial" w:cs="Arial"/>
          <w:sz w:val="20"/>
          <w:szCs w:val="20"/>
          <w:lang w:val="es-UY"/>
        </w:rPr>
        <w:t>el factor Z</w:t>
      </w:r>
      <w:r w:rsidR="00E81229">
        <w:rPr>
          <w:rFonts w:ascii="Arial" w:hAnsi="Arial" w:cs="Arial"/>
          <w:sz w:val="20"/>
          <w:szCs w:val="20"/>
          <w:lang w:val="es-UY"/>
        </w:rPr>
        <w:t xml:space="preserve">, el coeficiente </w:t>
      </w:r>
      <w:r w:rsidR="00E81229" w:rsidRPr="00B24E17">
        <w:rPr>
          <w:rFonts w:ascii="Arial" w:hAnsi="Arial" w:cs="Arial"/>
          <w:sz w:val="20"/>
          <w:szCs w:val="20"/>
          <w:lang w:val="es-UY"/>
        </w:rPr>
        <w:t>f</w:t>
      </w:r>
      <w:r w:rsidR="00E81229" w:rsidRPr="00B24E17">
        <w:rPr>
          <w:sz w:val="20"/>
          <w:szCs w:val="20"/>
          <w:lang w:val="es-UY"/>
        </w:rPr>
        <w:t>₃</w:t>
      </w:r>
      <w:r w:rsidR="00E81229">
        <w:rPr>
          <w:sz w:val="20"/>
          <w:szCs w:val="20"/>
          <w:lang w:val="es-UY"/>
        </w:rPr>
        <w:t xml:space="preserve"> </w:t>
      </w:r>
      <w:r w:rsidR="00E81229">
        <w:rPr>
          <w:rFonts w:ascii="Arial" w:hAnsi="Arial" w:cs="Arial"/>
          <w:sz w:val="20"/>
          <w:szCs w:val="20"/>
          <w:lang w:val="es-UY"/>
        </w:rPr>
        <w:t>y el valor que surge de la Tabla A.XII – 1.</w:t>
      </w:r>
    </w:p>
    <w:p w14:paraId="3FAE0AEF" w14:textId="04FAF71C"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Dicho monto anual a percibir por el Contratista</w:t>
      </w:r>
      <w:r w:rsidR="00B14DCC">
        <w:rPr>
          <w:rFonts w:ascii="Arial" w:hAnsi="Arial" w:cs="Arial"/>
          <w:sz w:val="20"/>
          <w:szCs w:val="20"/>
          <w:lang w:val="es-UY"/>
        </w:rPr>
        <w:t xml:space="preserve"> </w:t>
      </w:r>
      <w:r w:rsidRPr="00B24E17">
        <w:rPr>
          <w:rFonts w:ascii="Arial" w:hAnsi="Arial" w:cs="Arial"/>
          <w:sz w:val="20"/>
          <w:szCs w:val="20"/>
          <w:lang w:val="es-UY"/>
        </w:rPr>
        <w:t xml:space="preserve">por la componente C correspondiente al tramo “i” </w:t>
      </w:r>
      <w:r w:rsidRPr="00F67C11">
        <w:rPr>
          <w:rFonts w:ascii="Arial" w:hAnsi="Arial" w:cs="Arial"/>
          <w:sz w:val="20"/>
          <w:szCs w:val="20"/>
          <w:lang w:val="es-UY"/>
        </w:rPr>
        <w:t>surge de</w:t>
      </w:r>
      <w:r w:rsidRPr="00B24E17">
        <w:rPr>
          <w:rFonts w:ascii="Arial" w:hAnsi="Arial" w:cs="Arial"/>
          <w:sz w:val="20"/>
          <w:szCs w:val="20"/>
          <w:lang w:val="es-UY"/>
        </w:rPr>
        <w:t xml:space="preserve"> la siguiente ecuación:</w:t>
      </w:r>
    </w:p>
    <w:p w14:paraId="12E63789" w14:textId="77777777" w:rsidR="00B24E17" w:rsidRPr="00B24E17" w:rsidRDefault="00B24E17" w:rsidP="00CB7E2E">
      <w:pPr>
        <w:spacing w:after="120"/>
        <w:jc w:val="both"/>
        <w:rPr>
          <w:rFonts w:ascii="Arial" w:hAnsi="Arial" w:cs="Arial"/>
          <w:sz w:val="20"/>
          <w:szCs w:val="20"/>
          <w:lang w:val="es-UY"/>
        </w:rPr>
      </w:pPr>
    </w:p>
    <w:p w14:paraId="4B163CB8" w14:textId="77777777" w:rsidR="00B24E17" w:rsidRPr="00B24E17" w:rsidRDefault="00E81229" w:rsidP="00CB7E2E">
      <w:pPr>
        <w:spacing w:after="120"/>
        <w:jc w:val="center"/>
        <w:rPr>
          <w:rFonts w:ascii="Arial" w:hAnsi="Arial" w:cs="Arial"/>
          <w:sz w:val="20"/>
          <w:szCs w:val="20"/>
          <w:lang w:val="es-UY"/>
        </w:rPr>
      </w:pPr>
      <w:r w:rsidRPr="006E4854">
        <w:rPr>
          <w:rFonts w:ascii="Arial" w:hAnsi="Arial" w:cs="Arial"/>
          <w:position w:val="-12"/>
          <w:sz w:val="16"/>
          <w:szCs w:val="16"/>
          <w:lang w:val="es-UY"/>
        </w:rPr>
        <w:object w:dxaOrig="6060" w:dyaOrig="360" w14:anchorId="612B0972">
          <v:shape id="_x0000_i1030" type="#_x0000_t75" style="width:367.5pt;height:21pt" o:ole="">
            <v:imagedata r:id="rId144" o:title=""/>
          </v:shape>
          <o:OLEObject Type="Embed" ProgID="Equation.3" ShapeID="_x0000_i1030" DrawAspect="Content" ObjectID="_1571644620" r:id="rId145"/>
        </w:object>
      </w:r>
    </w:p>
    <w:p w14:paraId="3E859B2F" w14:textId="77777777" w:rsidR="00CB7E2E" w:rsidRDefault="00CB7E2E" w:rsidP="00CB7E2E">
      <w:pPr>
        <w:spacing w:after="120"/>
        <w:jc w:val="both"/>
        <w:rPr>
          <w:rFonts w:ascii="Arial" w:hAnsi="Arial" w:cs="Arial"/>
          <w:sz w:val="20"/>
          <w:szCs w:val="20"/>
          <w:lang w:val="es-UY"/>
        </w:rPr>
      </w:pPr>
    </w:p>
    <w:p w14:paraId="269F31BE"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siendo:</w:t>
      </w:r>
    </w:p>
    <w:p w14:paraId="44440D6E"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f</w:t>
      </w:r>
      <w:r w:rsidRPr="00B24E17">
        <w:rPr>
          <w:sz w:val="20"/>
          <w:szCs w:val="20"/>
          <w:lang w:val="es-UY"/>
        </w:rPr>
        <w:t>₃</w:t>
      </w:r>
      <w:r w:rsidRPr="00B24E17">
        <w:rPr>
          <w:rFonts w:ascii="Arial" w:hAnsi="Arial" w:cs="Arial"/>
          <w:sz w:val="20"/>
          <w:szCs w:val="20"/>
          <w:lang w:val="es-UY"/>
        </w:rPr>
        <w:t xml:space="preserve"> el coeficiente propuesto por el oferente</w:t>
      </w:r>
    </w:p>
    <w:p w14:paraId="5A10F94A"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ctd</w:t>
      </w:r>
      <w:r w:rsidRPr="00B24E17">
        <w:rPr>
          <w:sz w:val="20"/>
          <w:szCs w:val="20"/>
          <w:lang w:val="es-UY"/>
        </w:rPr>
        <w:t>₃</w:t>
      </w:r>
      <w:r w:rsidRPr="00B24E17">
        <w:rPr>
          <w:rFonts w:ascii="Arial" w:hAnsi="Arial" w:cs="Arial"/>
          <w:sz w:val="20"/>
          <w:szCs w:val="20"/>
          <w:lang w:val="es-UY"/>
        </w:rPr>
        <w:t xml:space="preserve"> (i) el coeficiente técnico de disponibilidad que alcanzó el tramo “i” en el transcurso del año</w:t>
      </w:r>
      <w:r w:rsidR="00C12F20">
        <w:rPr>
          <w:rFonts w:ascii="Arial" w:hAnsi="Arial" w:cs="Arial"/>
          <w:sz w:val="20"/>
          <w:szCs w:val="20"/>
          <w:lang w:val="es-UY"/>
        </w:rPr>
        <w:t xml:space="preserve"> y que surge de la Tabla C.XIV-5</w:t>
      </w:r>
    </w:p>
    <w:p w14:paraId="5838710A" w14:textId="77777777" w:rsidR="00B24E17" w:rsidRPr="00B24E17" w:rsidRDefault="00B24E17" w:rsidP="00CB7E2E">
      <w:pPr>
        <w:spacing w:after="120"/>
        <w:jc w:val="both"/>
        <w:rPr>
          <w:rFonts w:ascii="Arial" w:hAnsi="Arial" w:cs="Arial"/>
          <w:sz w:val="20"/>
          <w:szCs w:val="20"/>
          <w:lang w:val="es-UY"/>
        </w:rPr>
      </w:pPr>
      <w:r w:rsidRPr="00B24E17">
        <w:rPr>
          <w:rFonts w:ascii="Arial" w:hAnsi="Arial" w:cs="Arial"/>
          <w:sz w:val="20"/>
          <w:szCs w:val="20"/>
          <w:lang w:val="es-UY"/>
        </w:rPr>
        <w:t>Z el factor que refleja la incidencia de las Faltas Críticas</w:t>
      </w:r>
    </w:p>
    <w:p w14:paraId="1D6B4E8E" w14:textId="5669AD18" w:rsidR="00B24E17" w:rsidRPr="002126D4" w:rsidRDefault="00B24E17" w:rsidP="00CB7E2E">
      <w:pPr>
        <w:spacing w:after="120"/>
        <w:jc w:val="both"/>
        <w:rPr>
          <w:rFonts w:ascii="Arial" w:hAnsi="Arial" w:cs="Arial"/>
          <w:i/>
          <w:iCs/>
          <w:sz w:val="20"/>
          <w:szCs w:val="20"/>
          <w:lang w:val="es-UY"/>
        </w:rPr>
      </w:pPr>
      <w:r w:rsidRPr="003A2712">
        <w:rPr>
          <w:rFonts w:ascii="Arial" w:hAnsi="Arial" w:cs="Arial"/>
          <w:i/>
          <w:iCs/>
          <w:sz w:val="20"/>
          <w:szCs w:val="20"/>
          <w:lang w:val="es-UY"/>
        </w:rPr>
        <w:t>m(i) =</w:t>
      </w:r>
      <w:r w:rsidR="00C63409" w:rsidRPr="007B4DDF">
        <w:rPr>
          <w:rFonts w:ascii="Arial" w:hAnsi="Arial"/>
          <w:i/>
          <w:sz w:val="20"/>
          <w:lang w:val="es-UY"/>
        </w:rPr>
        <w:t xml:space="preserve"> </w:t>
      </w:r>
      <w:r w:rsidR="00E81229">
        <w:rPr>
          <w:rFonts w:ascii="Arial" w:hAnsi="Arial" w:cs="Arial"/>
          <w:iCs/>
          <w:sz w:val="20"/>
          <w:szCs w:val="20"/>
          <w:lang w:val="es-UY"/>
        </w:rPr>
        <w:t>monto base de</w:t>
      </w:r>
      <w:r w:rsidR="00B52CCE">
        <w:rPr>
          <w:rFonts w:ascii="Arial" w:hAnsi="Arial" w:cs="Arial"/>
          <w:iCs/>
          <w:sz w:val="20"/>
          <w:szCs w:val="20"/>
          <w:lang w:val="es-UY"/>
        </w:rPr>
        <w:t xml:space="preserve"> </w:t>
      </w:r>
      <w:r w:rsidR="00E81229">
        <w:rPr>
          <w:rFonts w:ascii="Arial" w:hAnsi="Arial" w:cs="Arial"/>
          <w:iCs/>
          <w:sz w:val="20"/>
          <w:szCs w:val="20"/>
          <w:lang w:val="es-UY"/>
        </w:rPr>
        <w:t>l</w:t>
      </w:r>
      <w:r w:rsidR="00B52CCE">
        <w:rPr>
          <w:rFonts w:ascii="Arial" w:hAnsi="Arial" w:cs="Arial"/>
          <w:iCs/>
          <w:sz w:val="20"/>
          <w:szCs w:val="20"/>
          <w:lang w:val="es-UY"/>
        </w:rPr>
        <w:t>a</w:t>
      </w:r>
      <w:r w:rsidR="00E81229">
        <w:rPr>
          <w:rFonts w:ascii="Arial" w:hAnsi="Arial" w:cs="Arial"/>
          <w:iCs/>
          <w:sz w:val="20"/>
          <w:szCs w:val="20"/>
          <w:lang w:val="es-UY"/>
        </w:rPr>
        <w:t xml:space="preserve"> componente C para el tramo i en el año t que surge de la Tabla A.XII – 1.</w:t>
      </w:r>
    </w:p>
    <w:p w14:paraId="08555F5B" w14:textId="5017B988" w:rsidR="00B24E17" w:rsidRPr="007B4DDF" w:rsidRDefault="00B24E17" w:rsidP="00CB7E2E">
      <w:pPr>
        <w:spacing w:after="120"/>
        <w:jc w:val="both"/>
        <w:rPr>
          <w:rFonts w:ascii="Arial" w:hAnsi="Arial"/>
          <w:sz w:val="20"/>
        </w:rPr>
      </w:pPr>
      <w:r w:rsidRPr="007B4DDF">
        <w:rPr>
          <w:rFonts w:ascii="Arial" w:hAnsi="Arial"/>
          <w:sz w:val="20"/>
        </w:rPr>
        <w:t xml:space="preserve"> </w:t>
      </w:r>
    </w:p>
    <w:p w14:paraId="52AF0B44" w14:textId="77777777" w:rsidR="00B24E17" w:rsidRPr="001003E6" w:rsidRDefault="00B24E17" w:rsidP="00CB7E2E">
      <w:pPr>
        <w:spacing w:after="120"/>
        <w:jc w:val="both"/>
        <w:rPr>
          <w:rFonts w:ascii="Arial" w:hAnsi="Arial" w:cs="Arial"/>
          <w:sz w:val="20"/>
          <w:szCs w:val="20"/>
          <w:lang w:val="es-UY"/>
        </w:rPr>
      </w:pPr>
      <w:r w:rsidRPr="001003E6">
        <w:rPr>
          <w:rFonts w:ascii="Arial" w:hAnsi="Arial" w:cs="Arial"/>
          <w:sz w:val="20"/>
          <w:szCs w:val="20"/>
          <w:lang w:val="es-UY"/>
        </w:rPr>
        <w:t>Para el primer pago de la componente C el valor de ctd</w:t>
      </w:r>
      <w:r w:rsidRPr="001003E6">
        <w:rPr>
          <w:rFonts w:ascii="Arial" w:hAnsi="Arial" w:cs="Arial"/>
          <w:sz w:val="20"/>
          <w:szCs w:val="20"/>
          <w:vertAlign w:val="subscript"/>
          <w:lang w:val="es-UY"/>
        </w:rPr>
        <w:t>3</w:t>
      </w:r>
      <w:r w:rsidRPr="001003E6">
        <w:rPr>
          <w:sz w:val="20"/>
          <w:szCs w:val="20"/>
          <w:lang w:val="es-UY"/>
        </w:rPr>
        <w:t xml:space="preserve"> </w:t>
      </w:r>
      <w:r w:rsidRPr="001003E6">
        <w:rPr>
          <w:rFonts w:ascii="Arial" w:hAnsi="Arial" w:cs="Arial"/>
          <w:sz w:val="20"/>
          <w:szCs w:val="20"/>
          <w:lang w:val="es-UY"/>
        </w:rPr>
        <w:t xml:space="preserve">será </w:t>
      </w:r>
      <w:r w:rsidR="005558E9" w:rsidRPr="001003E6">
        <w:rPr>
          <w:rFonts w:ascii="Arial" w:hAnsi="Arial" w:cs="Arial"/>
          <w:sz w:val="20"/>
          <w:szCs w:val="20"/>
          <w:lang w:val="es-UY"/>
        </w:rPr>
        <w:t>el que surge de la Tabla C.XIV-5 para el tramo y el período considerado.</w:t>
      </w:r>
    </w:p>
    <w:p w14:paraId="554C4898" w14:textId="55560D92" w:rsidR="00B24E17" w:rsidRPr="00B24E17" w:rsidRDefault="00A86736" w:rsidP="00CB7E2E">
      <w:pPr>
        <w:spacing w:after="120"/>
        <w:jc w:val="both"/>
        <w:rPr>
          <w:rFonts w:ascii="Arial" w:hAnsi="Arial" w:cs="Arial"/>
          <w:sz w:val="16"/>
          <w:szCs w:val="16"/>
        </w:rPr>
      </w:pPr>
      <w:r w:rsidRPr="007B4DDF">
        <w:rPr>
          <w:rFonts w:ascii="Arial" w:hAnsi="Arial"/>
          <w:sz w:val="20"/>
          <w:lang w:val="es-UY"/>
        </w:rPr>
        <w:t xml:space="preserve">El monto anual total a percibir por todos los tramos </w:t>
      </w:r>
      <w:r w:rsidR="00E81229">
        <w:rPr>
          <w:rFonts w:ascii="Arial" w:hAnsi="Arial" w:cs="Arial"/>
          <w:sz w:val="20"/>
          <w:szCs w:val="20"/>
          <w:lang w:val="es-UY"/>
        </w:rPr>
        <w:t>será</w:t>
      </w:r>
      <w:r w:rsidR="00E81229" w:rsidRPr="007B4DDF">
        <w:rPr>
          <w:rFonts w:ascii="Arial" w:hAnsi="Arial"/>
          <w:sz w:val="20"/>
          <w:lang w:val="es-UY"/>
        </w:rPr>
        <w:t xml:space="preserve"> </w:t>
      </w:r>
      <w:r w:rsidRPr="007B4DDF">
        <w:rPr>
          <w:rFonts w:ascii="Arial" w:hAnsi="Arial"/>
          <w:sz w:val="20"/>
          <w:lang w:val="es-UY"/>
        </w:rPr>
        <w:t>la suma del monto anual a percibir por cada tramo</w:t>
      </w:r>
      <w:r w:rsidR="00E81229">
        <w:rPr>
          <w:rFonts w:ascii="Arial" w:hAnsi="Arial" w:cs="Arial"/>
          <w:sz w:val="20"/>
          <w:szCs w:val="20"/>
          <w:lang w:val="es-UY"/>
        </w:rPr>
        <w:t xml:space="preserve"> que surge de la Tabla A XII-1, afectado por los coeficientes </w:t>
      </w:r>
      <w:r w:rsidR="00E81229" w:rsidRPr="00B24E17">
        <w:rPr>
          <w:rFonts w:ascii="Arial" w:hAnsi="Arial" w:cs="Arial"/>
          <w:sz w:val="20"/>
          <w:szCs w:val="20"/>
          <w:lang w:val="es-UY"/>
        </w:rPr>
        <w:t>ctd</w:t>
      </w:r>
      <w:r w:rsidR="00E81229" w:rsidRPr="00B24E17">
        <w:rPr>
          <w:sz w:val="20"/>
          <w:szCs w:val="20"/>
          <w:lang w:val="es-UY"/>
        </w:rPr>
        <w:t>₃</w:t>
      </w:r>
      <w:r w:rsidR="00E81229">
        <w:rPr>
          <w:sz w:val="20"/>
          <w:szCs w:val="20"/>
          <w:lang w:val="es-UY"/>
        </w:rPr>
        <w:t xml:space="preserve">, </w:t>
      </w:r>
      <w:r w:rsidR="00E81229" w:rsidRPr="00E81229">
        <w:rPr>
          <w:rFonts w:ascii="Arial" w:hAnsi="Arial"/>
          <w:sz w:val="20"/>
          <w:szCs w:val="20"/>
          <w:lang w:val="es-UY"/>
        </w:rPr>
        <w:t>Z</w:t>
      </w:r>
      <w:r w:rsidR="00E81229">
        <w:rPr>
          <w:sz w:val="20"/>
          <w:szCs w:val="20"/>
          <w:lang w:val="es-UY"/>
        </w:rPr>
        <w:t xml:space="preserve"> y </w:t>
      </w:r>
      <w:r w:rsidR="00E81229" w:rsidRPr="00B24E17">
        <w:rPr>
          <w:rFonts w:ascii="Arial" w:hAnsi="Arial" w:cs="Arial"/>
          <w:sz w:val="20"/>
          <w:szCs w:val="20"/>
          <w:lang w:val="es-UY"/>
        </w:rPr>
        <w:t>f</w:t>
      </w:r>
      <w:r w:rsidR="00E81229" w:rsidRPr="00B24E17">
        <w:rPr>
          <w:sz w:val="20"/>
          <w:szCs w:val="20"/>
          <w:lang w:val="es-UY"/>
        </w:rPr>
        <w:t>₃</w:t>
      </w:r>
      <w:r w:rsidR="00E81229">
        <w:rPr>
          <w:sz w:val="20"/>
          <w:szCs w:val="20"/>
          <w:lang w:val="es-UY"/>
        </w:rPr>
        <w:t>.</w:t>
      </w:r>
    </w:p>
    <w:p w14:paraId="72062A19" w14:textId="77777777" w:rsidR="00E81229" w:rsidRDefault="00B24E17" w:rsidP="00CB7E2E">
      <w:pPr>
        <w:spacing w:after="120"/>
        <w:jc w:val="both"/>
        <w:rPr>
          <w:rFonts w:ascii="Arial" w:hAnsi="Arial" w:cs="Arial"/>
          <w:sz w:val="16"/>
          <w:szCs w:val="16"/>
        </w:rPr>
      </w:pPr>
      <w:bookmarkStart w:id="1100" w:name="A3_T2_vehic"/>
      <w:r w:rsidRPr="00B24E17">
        <w:rPr>
          <w:rFonts w:ascii="Arial" w:hAnsi="Arial" w:cs="Arial"/>
          <w:sz w:val="16"/>
          <w:szCs w:val="16"/>
        </w:rPr>
        <w:t xml:space="preserve"> </w:t>
      </w:r>
    </w:p>
    <w:p w14:paraId="51EAF288" w14:textId="77777777" w:rsidR="00E81229" w:rsidRDefault="00E81229" w:rsidP="00CB7E2E">
      <w:pPr>
        <w:spacing w:after="120"/>
        <w:jc w:val="both"/>
        <w:rPr>
          <w:rFonts w:ascii="Arial" w:hAnsi="Arial" w:cs="Arial"/>
          <w:sz w:val="16"/>
          <w:szCs w:val="16"/>
        </w:rPr>
      </w:pPr>
    </w:p>
    <w:p w14:paraId="07AFDBA5" w14:textId="77777777" w:rsidR="002726AB" w:rsidRPr="00B24E17" w:rsidRDefault="002726AB" w:rsidP="00CB7E2E">
      <w:pPr>
        <w:spacing w:after="120" w:line="360" w:lineRule="auto"/>
        <w:jc w:val="both"/>
        <w:rPr>
          <w:rFonts w:ascii="Arial" w:hAnsi="Arial" w:cs="Arial"/>
          <w:sz w:val="20"/>
          <w:szCs w:val="20"/>
        </w:rPr>
      </w:pPr>
      <w:bookmarkStart w:id="1101" w:name="_Toc340671982"/>
      <w:bookmarkEnd w:id="956"/>
      <w:bookmarkEnd w:id="957"/>
      <w:bookmarkEnd w:id="958"/>
      <w:bookmarkEnd w:id="959"/>
      <w:bookmarkEnd w:id="960"/>
      <w:bookmarkEnd w:id="961"/>
      <w:bookmarkEnd w:id="1100"/>
    </w:p>
    <w:p w14:paraId="79635796" w14:textId="77777777" w:rsidR="003A2712" w:rsidRDefault="003A2712" w:rsidP="00A66B70">
      <w:pPr>
        <w:spacing w:line="240" w:lineRule="auto"/>
        <w:jc w:val="both"/>
        <w:rPr>
          <w:rFonts w:ascii="Arial" w:hAnsi="Arial" w:cs="Arial"/>
          <w:b/>
          <w:sz w:val="20"/>
          <w:szCs w:val="20"/>
        </w:rPr>
      </w:pPr>
    </w:p>
    <w:p w14:paraId="17013FAD" w14:textId="77777777" w:rsidR="00A66B70" w:rsidRPr="007B4DDF" w:rsidRDefault="00A66B70" w:rsidP="00A66B70">
      <w:pPr>
        <w:spacing w:line="240" w:lineRule="auto"/>
        <w:jc w:val="both"/>
      </w:pPr>
      <w:r w:rsidRPr="00F30B01">
        <w:rPr>
          <w:rFonts w:ascii="Arial" w:hAnsi="Arial" w:cs="Arial"/>
          <w:b/>
          <w:sz w:val="20"/>
          <w:szCs w:val="20"/>
        </w:rPr>
        <w:t xml:space="preserve">4. </w:t>
      </w:r>
      <w:r w:rsidRPr="00F30B01">
        <w:rPr>
          <w:rFonts w:ascii="Arial" w:hAnsi="Arial" w:cs="Arial"/>
          <w:b/>
          <w:sz w:val="20"/>
          <w:szCs w:val="20"/>
        </w:rPr>
        <w:tab/>
        <w:t>ADELANTOS TRIMESTRALES</w:t>
      </w:r>
    </w:p>
    <w:p w14:paraId="25F48C9E" w14:textId="3A68736C" w:rsidR="00A66B70" w:rsidRPr="008E7FA3" w:rsidRDefault="008E7FA3" w:rsidP="00EA4AAA">
      <w:pPr>
        <w:spacing w:after="120"/>
        <w:rPr>
          <w:rFonts w:ascii="Arial" w:hAnsi="Arial" w:cs="Arial"/>
          <w:sz w:val="20"/>
          <w:szCs w:val="20"/>
          <w:lang w:val="es-UY"/>
        </w:rPr>
      </w:pPr>
      <w:r>
        <w:rPr>
          <w:rFonts w:ascii="Arial" w:hAnsi="Arial" w:cs="Arial"/>
          <w:sz w:val="20"/>
          <w:szCs w:val="20"/>
          <w:lang w:val="es-UY"/>
        </w:rPr>
        <w:lastRenderedPageBreak/>
        <w:t>Esos adelantos se realizarán en correspondencia con los meses en que se realicen las evaluaciones de frecuencia trimestral</w:t>
      </w:r>
      <w:r w:rsidRPr="00982AD8">
        <w:rPr>
          <w:rFonts w:ascii="Arial" w:hAnsi="Arial" w:cs="Arial"/>
          <w:sz w:val="20"/>
          <w:szCs w:val="20"/>
          <w:lang w:val="es-UY"/>
        </w:rPr>
        <w:t xml:space="preserve">; </w:t>
      </w:r>
      <w:r w:rsidR="00DA4AC5" w:rsidRPr="00982AD8">
        <w:rPr>
          <w:rFonts w:ascii="Arial" w:hAnsi="Arial" w:cs="Arial"/>
          <w:sz w:val="20"/>
          <w:szCs w:val="20"/>
          <w:lang w:val="es-UY"/>
        </w:rPr>
        <w:t>Febrero, Mayo</w:t>
      </w:r>
      <w:r w:rsidRPr="00982AD8">
        <w:rPr>
          <w:rFonts w:ascii="Arial" w:hAnsi="Arial" w:cs="Arial"/>
          <w:sz w:val="20"/>
          <w:szCs w:val="20"/>
          <w:lang w:val="es-UY"/>
        </w:rPr>
        <w:t xml:space="preserve"> y </w:t>
      </w:r>
      <w:r w:rsidR="00DA4AC5" w:rsidRPr="00982AD8">
        <w:rPr>
          <w:rFonts w:ascii="Arial" w:hAnsi="Arial" w:cs="Arial"/>
          <w:sz w:val="20"/>
          <w:szCs w:val="20"/>
          <w:lang w:val="es-UY"/>
        </w:rPr>
        <w:t>Agosto</w:t>
      </w:r>
      <w:r w:rsidRPr="00982AD8">
        <w:rPr>
          <w:rFonts w:ascii="Arial" w:hAnsi="Arial" w:cs="Arial"/>
          <w:sz w:val="20"/>
          <w:szCs w:val="20"/>
          <w:lang w:val="es-UY"/>
        </w:rPr>
        <w:t>.</w:t>
      </w:r>
    </w:p>
    <w:p w14:paraId="33FA078E" w14:textId="77777777" w:rsidR="00234FE7" w:rsidRPr="00234FE7" w:rsidRDefault="00234FE7" w:rsidP="00234FE7">
      <w:pPr>
        <w:pStyle w:val="Prrafodelista"/>
        <w:numPr>
          <w:ilvl w:val="0"/>
          <w:numId w:val="128"/>
        </w:numPr>
        <w:spacing w:after="0"/>
        <w:jc w:val="both"/>
        <w:rPr>
          <w:rFonts w:ascii="Arial" w:hAnsi="Arial" w:cs="Arial"/>
          <w:b/>
          <w:bCs/>
          <w:vanish/>
          <w:color w:val="FFFFFF" w:themeColor="background1"/>
          <w:sz w:val="20"/>
          <w:szCs w:val="20"/>
          <w:lang w:val="es-UY"/>
        </w:rPr>
      </w:pPr>
    </w:p>
    <w:p w14:paraId="31C348CA" w14:textId="73C428DB" w:rsidR="00797B3B" w:rsidRPr="00050B49" w:rsidRDefault="00050B49" w:rsidP="00050B49">
      <w:pPr>
        <w:spacing w:line="240" w:lineRule="auto"/>
        <w:jc w:val="both"/>
        <w:rPr>
          <w:rFonts w:ascii="Arial" w:hAnsi="Arial" w:cs="Arial"/>
          <w:sz w:val="20"/>
          <w:szCs w:val="20"/>
        </w:rPr>
      </w:pPr>
      <w:r w:rsidRPr="00050B49">
        <w:rPr>
          <w:rFonts w:ascii="Arial" w:hAnsi="Arial" w:cs="Arial"/>
          <w:sz w:val="20"/>
          <w:szCs w:val="20"/>
        </w:rPr>
        <w:t xml:space="preserve">4.1 </w:t>
      </w:r>
      <w:r w:rsidR="00797B3B" w:rsidRPr="00050B49">
        <w:rPr>
          <w:rFonts w:ascii="Arial" w:hAnsi="Arial" w:cs="Arial"/>
          <w:sz w:val="20"/>
          <w:szCs w:val="20"/>
        </w:rPr>
        <w:t>Componente A</w:t>
      </w:r>
    </w:p>
    <w:p w14:paraId="2BCC3A7C" w14:textId="77777777" w:rsidR="00797B3B" w:rsidRPr="00D045B4" w:rsidRDefault="00797B3B" w:rsidP="00797B3B">
      <w:pPr>
        <w:spacing w:line="240" w:lineRule="auto"/>
        <w:jc w:val="both"/>
        <w:rPr>
          <w:rFonts w:ascii="Arial" w:hAnsi="Arial" w:cs="Arial"/>
          <w:sz w:val="20"/>
          <w:szCs w:val="20"/>
        </w:rPr>
      </w:pPr>
      <w:r w:rsidRPr="00D045B4">
        <w:rPr>
          <w:rFonts w:ascii="Arial" w:hAnsi="Arial" w:cs="Arial"/>
          <w:sz w:val="20"/>
          <w:szCs w:val="20"/>
        </w:rPr>
        <w:t>En cada tramo, a partir de la fecha en que se comenzó a devengar el pago que corresponda a la componente A, el Contratista recibirá tres adelantos trimestrales.</w:t>
      </w:r>
    </w:p>
    <w:p w14:paraId="54EC7D5D" w14:textId="77777777" w:rsidR="00797B3B" w:rsidRPr="00D045B4" w:rsidRDefault="00797B3B" w:rsidP="00797B3B">
      <w:pPr>
        <w:spacing w:line="240" w:lineRule="auto"/>
        <w:jc w:val="both"/>
        <w:rPr>
          <w:rFonts w:ascii="Arial" w:hAnsi="Arial" w:cs="Arial"/>
          <w:sz w:val="20"/>
          <w:szCs w:val="20"/>
        </w:rPr>
      </w:pPr>
      <w:r w:rsidRPr="00D045B4">
        <w:rPr>
          <w:rFonts w:ascii="Arial" w:hAnsi="Arial" w:cs="Arial"/>
          <w:sz w:val="20"/>
          <w:szCs w:val="20"/>
        </w:rPr>
        <w:t>El monto de cada adelanto trimestral será igual al 20% del monto anual que correspondería liquidar por dicho tramo y por dicha componente A, asumiendo condiciones de total disponibilidad.</w:t>
      </w:r>
    </w:p>
    <w:p w14:paraId="0F923C38" w14:textId="77777777" w:rsidR="00797B3B" w:rsidRPr="00B65E33" w:rsidRDefault="00797B3B" w:rsidP="00797B3B">
      <w:pPr>
        <w:spacing w:line="240" w:lineRule="auto"/>
        <w:jc w:val="both"/>
        <w:rPr>
          <w:rFonts w:ascii="Arial" w:hAnsi="Arial" w:cs="Arial"/>
          <w:sz w:val="20"/>
          <w:szCs w:val="20"/>
        </w:rPr>
      </w:pPr>
      <w:r w:rsidRPr="00D045B4">
        <w:rPr>
          <w:rFonts w:ascii="Arial" w:hAnsi="Arial" w:cs="Arial"/>
          <w:sz w:val="20"/>
          <w:szCs w:val="20"/>
        </w:rPr>
        <w:t>El monto máximo a adelantar nunca será superior al 60% del monto anual del tramo en cuestión suponiendo condiciones de máxima disponibilidad.</w:t>
      </w:r>
    </w:p>
    <w:p w14:paraId="781CE53D" w14:textId="1EF9BD52"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t>Esos adelantos se realizarán en correspondencia con los meses en que se realicen las evaluaciones de frecuencia trimestral</w:t>
      </w:r>
      <w:r w:rsidR="00982AD8">
        <w:rPr>
          <w:rFonts w:ascii="Arial" w:hAnsi="Arial" w:cs="Arial"/>
          <w:sz w:val="20"/>
          <w:szCs w:val="20"/>
        </w:rPr>
        <w:t>.</w:t>
      </w:r>
    </w:p>
    <w:p w14:paraId="07935E82" w14:textId="77777777" w:rsidR="00797B3B" w:rsidRPr="00B65E33" w:rsidRDefault="00797B3B" w:rsidP="00797B3B">
      <w:pPr>
        <w:spacing w:line="240" w:lineRule="auto"/>
        <w:jc w:val="both"/>
        <w:rPr>
          <w:rFonts w:ascii="Arial" w:hAnsi="Arial" w:cs="Arial"/>
          <w:sz w:val="20"/>
          <w:szCs w:val="20"/>
        </w:rPr>
      </w:pPr>
    </w:p>
    <w:p w14:paraId="3B9D52C1" w14:textId="6B45F95C" w:rsidR="00797B3B" w:rsidRPr="00050B49" w:rsidRDefault="00050B49" w:rsidP="00050B49">
      <w:pPr>
        <w:spacing w:line="240" w:lineRule="auto"/>
        <w:jc w:val="both"/>
        <w:rPr>
          <w:rFonts w:ascii="Arial" w:hAnsi="Arial" w:cs="Arial"/>
          <w:sz w:val="20"/>
          <w:szCs w:val="20"/>
        </w:rPr>
      </w:pPr>
      <w:r w:rsidRPr="00050B49">
        <w:rPr>
          <w:rFonts w:ascii="Arial" w:hAnsi="Arial" w:cs="Arial"/>
          <w:sz w:val="20"/>
          <w:szCs w:val="20"/>
        </w:rPr>
        <w:t xml:space="preserve">4.2 </w:t>
      </w:r>
      <w:r w:rsidR="00797B3B" w:rsidRPr="00050B49">
        <w:rPr>
          <w:rFonts w:ascii="Arial" w:hAnsi="Arial" w:cs="Arial"/>
          <w:sz w:val="20"/>
          <w:szCs w:val="20"/>
        </w:rPr>
        <w:t>Componente B</w:t>
      </w:r>
    </w:p>
    <w:p w14:paraId="1D7C926D" w14:textId="77777777"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t>En cada tramo, a partir de la fecha en que se comenzó a devengar el pago que corresponda a la componente B, el Contratista recibirá tres adelantos trimestrales.</w:t>
      </w:r>
    </w:p>
    <w:p w14:paraId="4F0A310B" w14:textId="77777777" w:rsidR="00797B3B" w:rsidRPr="00B65E33" w:rsidRDefault="00797B3B" w:rsidP="00797B3B">
      <w:pPr>
        <w:spacing w:line="240" w:lineRule="auto"/>
        <w:jc w:val="both"/>
        <w:rPr>
          <w:rFonts w:ascii="Arial" w:hAnsi="Arial" w:cs="Arial"/>
          <w:sz w:val="20"/>
          <w:szCs w:val="20"/>
        </w:rPr>
      </w:pPr>
      <w:r w:rsidRPr="00B65E33">
        <w:rPr>
          <w:rFonts w:ascii="Arial" w:hAnsi="Arial" w:cs="Arial"/>
          <w:sz w:val="20"/>
          <w:szCs w:val="20"/>
        </w:rPr>
        <w:lastRenderedPageBreak/>
        <w:t>El monto de cada adelanto trimestral será igual al 100% del monto que surja del resultado de la evaluación obtenida en el trimestre correspondiente a cada tramo.</w:t>
      </w:r>
    </w:p>
    <w:p w14:paraId="55085DD8" w14:textId="77777777" w:rsidR="00797B3B" w:rsidRPr="00241A4C" w:rsidRDefault="00797B3B" w:rsidP="00797B3B">
      <w:pPr>
        <w:spacing w:line="240" w:lineRule="auto"/>
        <w:jc w:val="both"/>
        <w:rPr>
          <w:rFonts w:ascii="Arial" w:hAnsi="Arial" w:cs="Arial"/>
          <w:sz w:val="20"/>
          <w:szCs w:val="20"/>
        </w:rPr>
      </w:pPr>
      <w:r w:rsidRPr="00B65E33">
        <w:rPr>
          <w:rFonts w:ascii="Arial" w:hAnsi="Arial" w:cs="Arial"/>
          <w:sz w:val="20"/>
          <w:szCs w:val="20"/>
        </w:rPr>
        <w:t xml:space="preserve">Esos adelantos se realizarán en correspondencia con los meses en que se realicen las evaluaciones de frecuencia trimestral; </w:t>
      </w:r>
      <w:r w:rsidRPr="00241A4C">
        <w:rPr>
          <w:rFonts w:ascii="Arial" w:hAnsi="Arial" w:cs="Arial"/>
          <w:sz w:val="20"/>
          <w:szCs w:val="20"/>
        </w:rPr>
        <w:t>Diciembre, Marzo y Junio</w:t>
      </w:r>
    </w:p>
    <w:p w14:paraId="3D05020F" w14:textId="77777777" w:rsidR="00797B3B" w:rsidRPr="00241A4C" w:rsidRDefault="00797B3B" w:rsidP="00797B3B">
      <w:pPr>
        <w:spacing w:line="240" w:lineRule="auto"/>
        <w:jc w:val="both"/>
        <w:rPr>
          <w:rFonts w:ascii="Arial" w:hAnsi="Arial" w:cs="Arial"/>
          <w:sz w:val="20"/>
          <w:szCs w:val="20"/>
        </w:rPr>
      </w:pPr>
    </w:p>
    <w:p w14:paraId="042CC415" w14:textId="73C25D8F" w:rsidR="00797B3B" w:rsidRPr="00050B49" w:rsidRDefault="00050B49" w:rsidP="00050B49">
      <w:pPr>
        <w:spacing w:line="240" w:lineRule="auto"/>
        <w:jc w:val="both"/>
        <w:rPr>
          <w:rFonts w:ascii="Arial" w:hAnsi="Arial" w:cs="Arial"/>
          <w:sz w:val="20"/>
          <w:szCs w:val="20"/>
        </w:rPr>
      </w:pPr>
      <w:r w:rsidRPr="00050B49">
        <w:rPr>
          <w:rFonts w:ascii="Arial" w:hAnsi="Arial" w:cs="Arial"/>
          <w:sz w:val="20"/>
          <w:szCs w:val="20"/>
        </w:rPr>
        <w:t xml:space="preserve">4.3 </w:t>
      </w:r>
      <w:r w:rsidR="00797B3B" w:rsidRPr="00050B49">
        <w:rPr>
          <w:rFonts w:ascii="Arial" w:hAnsi="Arial" w:cs="Arial"/>
          <w:sz w:val="20"/>
          <w:szCs w:val="20"/>
        </w:rPr>
        <w:t>Componente C</w:t>
      </w:r>
    </w:p>
    <w:p w14:paraId="446B09CF" w14:textId="77777777" w:rsidR="00797B3B" w:rsidRPr="00241A4C" w:rsidRDefault="00797B3B" w:rsidP="00797B3B">
      <w:pPr>
        <w:spacing w:line="240" w:lineRule="auto"/>
        <w:jc w:val="both"/>
        <w:rPr>
          <w:rFonts w:ascii="Arial" w:hAnsi="Arial" w:cs="Arial"/>
          <w:sz w:val="20"/>
          <w:szCs w:val="20"/>
        </w:rPr>
      </w:pPr>
      <w:r w:rsidRPr="00241A4C">
        <w:rPr>
          <w:rFonts w:ascii="Arial" w:hAnsi="Arial" w:cs="Arial"/>
          <w:sz w:val="20"/>
          <w:szCs w:val="20"/>
        </w:rPr>
        <w:t>En cada tramo, a partir de la fecha en que se comenzó a devengar el pago que corresponda a la componente C, el Contratista recibirá tres adelantos trimestrales.</w:t>
      </w:r>
    </w:p>
    <w:p w14:paraId="230C214D" w14:textId="0691C81C" w:rsidR="00F50AB8" w:rsidRPr="003A2712" w:rsidRDefault="00F50AB8" w:rsidP="00F50AB8">
      <w:pPr>
        <w:spacing w:line="240" w:lineRule="auto"/>
        <w:jc w:val="both"/>
        <w:rPr>
          <w:rFonts w:ascii="Arial" w:hAnsi="Arial" w:cs="Arial"/>
          <w:sz w:val="20"/>
          <w:szCs w:val="20"/>
        </w:rPr>
      </w:pPr>
      <w:r w:rsidRPr="003A2712">
        <w:rPr>
          <w:rFonts w:ascii="Arial" w:hAnsi="Arial" w:cs="Arial"/>
          <w:sz w:val="20"/>
          <w:szCs w:val="20"/>
        </w:rPr>
        <w:t>El monto de cada adelanto trimestral será igual al 20% del monto anual que correspondería liquidar por dicho tramo y por dicha componente C, asumiendo condiciones de total disponibilidad.</w:t>
      </w:r>
    </w:p>
    <w:p w14:paraId="23664C49" w14:textId="77777777" w:rsidR="00F50AB8" w:rsidRPr="00B65E33" w:rsidRDefault="00F50AB8" w:rsidP="00F50AB8">
      <w:pPr>
        <w:spacing w:line="240" w:lineRule="auto"/>
        <w:jc w:val="both"/>
        <w:rPr>
          <w:rFonts w:ascii="Arial" w:hAnsi="Arial" w:cs="Arial"/>
          <w:sz w:val="20"/>
          <w:szCs w:val="20"/>
        </w:rPr>
      </w:pPr>
      <w:r w:rsidRPr="003A2712">
        <w:rPr>
          <w:rFonts w:ascii="Arial" w:hAnsi="Arial" w:cs="Arial"/>
          <w:sz w:val="20"/>
          <w:szCs w:val="20"/>
        </w:rPr>
        <w:t>El monto máximo a adelantar nunca será superior al 60% del monto anual del tramo en cuestión suponiendo condiciones de máxima disponibilidad.</w:t>
      </w:r>
    </w:p>
    <w:p w14:paraId="709992E2" w14:textId="77777777" w:rsidR="00797B3B" w:rsidRPr="00241A4C" w:rsidRDefault="00797B3B" w:rsidP="00797B3B">
      <w:pPr>
        <w:spacing w:line="240" w:lineRule="auto"/>
        <w:jc w:val="both"/>
        <w:rPr>
          <w:rFonts w:ascii="Arial" w:hAnsi="Arial" w:cs="Arial"/>
          <w:sz w:val="20"/>
          <w:szCs w:val="20"/>
        </w:rPr>
      </w:pPr>
      <w:r w:rsidRPr="00241A4C">
        <w:rPr>
          <w:rFonts w:ascii="Arial" w:hAnsi="Arial" w:cs="Arial"/>
          <w:sz w:val="20"/>
          <w:szCs w:val="20"/>
        </w:rPr>
        <w:t>Esos adelantos se realizarán en correspondencia con los meses en que se realicen las evaluaciones de frecuencia trimestral; Diciembre, Marzo y Junio</w:t>
      </w:r>
    </w:p>
    <w:p w14:paraId="4EA4CC35" w14:textId="77777777" w:rsidR="00A66B70" w:rsidRPr="00241A4C" w:rsidRDefault="00A66B70" w:rsidP="00A66B70">
      <w:pPr>
        <w:spacing w:line="240" w:lineRule="auto"/>
        <w:jc w:val="both"/>
        <w:rPr>
          <w:rFonts w:ascii="Arial" w:hAnsi="Arial" w:cs="Arial"/>
          <w:sz w:val="20"/>
          <w:szCs w:val="20"/>
        </w:rPr>
      </w:pPr>
    </w:p>
    <w:p w14:paraId="233ADA82" w14:textId="77777777" w:rsidR="00A66B70" w:rsidRPr="00982AD8" w:rsidRDefault="00A66B70" w:rsidP="00A66B70">
      <w:pPr>
        <w:spacing w:line="240" w:lineRule="auto"/>
        <w:jc w:val="both"/>
      </w:pPr>
      <w:r w:rsidRPr="00241A4C">
        <w:rPr>
          <w:rFonts w:ascii="Arial" w:hAnsi="Arial" w:cs="Arial"/>
          <w:sz w:val="20"/>
          <w:szCs w:val="20"/>
        </w:rPr>
        <w:lastRenderedPageBreak/>
        <w:t>4.4 Condiciones para todos los adelantos</w:t>
      </w:r>
    </w:p>
    <w:p w14:paraId="23DD6B1F" w14:textId="77777777"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t>La causal “incumplimiento de la Contratante por el no pago de sus obligaciones al Contratista relativas al Pago Por Disponibilidad por tres períodos consecutivos”, definida en la Cláusula 46.1 literal l), aplica al no pago de los adelantos trimestrales previstos.</w:t>
      </w:r>
    </w:p>
    <w:p w14:paraId="00633917" w14:textId="33A8E25D"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t>Si hubiera atraso en la finalización de un tramo, el monto a cobrar por el Contratista por el primer año de ese tramo será proporcionalmente menor, por lo que el adelanto de ese primer año lo será en esa misma proporción.</w:t>
      </w:r>
    </w:p>
    <w:p w14:paraId="7991DD00" w14:textId="77777777" w:rsidR="00A66B70" w:rsidRPr="00241A4C" w:rsidRDefault="00A66B70" w:rsidP="00A66B70">
      <w:pPr>
        <w:spacing w:line="240" w:lineRule="auto"/>
        <w:jc w:val="both"/>
        <w:rPr>
          <w:rFonts w:ascii="Arial" w:hAnsi="Arial" w:cs="Arial"/>
          <w:sz w:val="20"/>
          <w:szCs w:val="20"/>
        </w:rPr>
      </w:pPr>
      <w:r w:rsidRPr="00241A4C">
        <w:rPr>
          <w:rFonts w:ascii="Arial" w:hAnsi="Arial" w:cs="Arial"/>
          <w:sz w:val="20"/>
          <w:szCs w:val="20"/>
        </w:rPr>
        <w:t xml:space="preserve">La liquidación definitiva de cada año se efectuará luego de realizada la evaluación correspondiente al mes de </w:t>
      </w:r>
      <w:r w:rsidR="0071709F" w:rsidRPr="00D045B4">
        <w:rPr>
          <w:rFonts w:ascii="Arial" w:hAnsi="Arial" w:cs="Arial"/>
          <w:sz w:val="20"/>
          <w:szCs w:val="20"/>
        </w:rPr>
        <w:t>Setiembre</w:t>
      </w:r>
      <w:r w:rsidRPr="00D045B4">
        <w:rPr>
          <w:rFonts w:ascii="Arial" w:hAnsi="Arial" w:cs="Arial"/>
          <w:sz w:val="20"/>
          <w:szCs w:val="20"/>
        </w:rPr>
        <w:t>,</w:t>
      </w:r>
      <w:r w:rsidRPr="00241A4C">
        <w:rPr>
          <w:rFonts w:ascii="Arial" w:hAnsi="Arial" w:cs="Arial"/>
          <w:sz w:val="20"/>
          <w:szCs w:val="20"/>
        </w:rPr>
        <w:t xml:space="preserve"> donde además de las evaluaciones trimestrales se realizará también la evaluación anual y se calcularán los valores finales de los coeficientes de disponibilidad técnica que cada tramo alcanzó durante el transcurso del año y el factor Z correspondiente a las faltas críticas.</w:t>
      </w:r>
    </w:p>
    <w:p w14:paraId="6BD84B4D" w14:textId="77777777" w:rsidR="009A18D4" w:rsidRPr="0071709F" w:rsidRDefault="00A66B70" w:rsidP="00A66B70">
      <w:pPr>
        <w:spacing w:line="240" w:lineRule="auto"/>
        <w:jc w:val="both"/>
        <w:rPr>
          <w:rFonts w:ascii="Arial" w:hAnsi="Arial" w:cs="Arial"/>
          <w:sz w:val="20"/>
          <w:szCs w:val="20"/>
        </w:rPr>
      </w:pPr>
      <w:r w:rsidRPr="00241A4C">
        <w:rPr>
          <w:rFonts w:ascii="Arial" w:hAnsi="Arial" w:cs="Arial"/>
          <w:sz w:val="20"/>
          <w:szCs w:val="20"/>
        </w:rPr>
        <w:t>En esta ocasión se realizará la liquidación anual en cuya instancia se descontarán los adelantos realizados.</w:t>
      </w:r>
    </w:p>
    <w:p w14:paraId="63CDAC67" w14:textId="77777777" w:rsidR="00A66B70" w:rsidRDefault="00A66B70" w:rsidP="004677B3">
      <w:pPr>
        <w:spacing w:line="240" w:lineRule="auto"/>
        <w:jc w:val="both"/>
        <w:rPr>
          <w:rFonts w:ascii="Arial" w:hAnsi="Arial" w:cs="Arial"/>
          <w:sz w:val="28"/>
          <w:szCs w:val="28"/>
        </w:rPr>
      </w:pPr>
    </w:p>
    <w:p w14:paraId="645BC6C1" w14:textId="77777777" w:rsidR="00711A26" w:rsidRDefault="00711A26">
      <w:pPr>
        <w:spacing w:after="0" w:line="240" w:lineRule="auto"/>
        <w:rPr>
          <w:rFonts w:ascii="Arial" w:eastAsia="Calibri" w:hAnsi="Arial" w:cs="Arial"/>
          <w:b/>
          <w:bCs/>
          <w:lang w:val="es-ES_tradnl" w:eastAsia="es-ES"/>
        </w:rPr>
      </w:pPr>
      <w:bookmarkStart w:id="1102" w:name="_Toc400622332"/>
      <w:bookmarkStart w:id="1103" w:name="_Toc400629183"/>
      <w:bookmarkStart w:id="1104" w:name="_Toc400634139"/>
      <w:bookmarkStart w:id="1105" w:name="_Toc400635266"/>
      <w:bookmarkStart w:id="1106" w:name="_Toc468288090"/>
      <w:bookmarkStart w:id="1107" w:name="A_4"/>
      <w:bookmarkStart w:id="1108" w:name="_Toc340671985"/>
      <w:bookmarkEnd w:id="1101"/>
      <w:r>
        <w:br w:type="page"/>
      </w:r>
    </w:p>
    <w:p w14:paraId="2FE4C410" w14:textId="6B88B98A" w:rsidR="00A3029F" w:rsidRPr="00081970" w:rsidRDefault="00A3029F" w:rsidP="00CB7E2E">
      <w:pPr>
        <w:pStyle w:val="T0"/>
        <w:outlineLvl w:val="0"/>
      </w:pPr>
      <w:bookmarkStart w:id="1109" w:name="_Toc496266683"/>
      <w:r w:rsidRPr="00081970">
        <w:lastRenderedPageBreak/>
        <w:t xml:space="preserve">ANEXO IV: </w:t>
      </w:r>
      <w:r w:rsidR="00081970" w:rsidRPr="00081970">
        <w:t>PRESENTACIÓN DEL PLAN ECONÓMICO FINANCIERO (PEF).</w:t>
      </w:r>
      <w:bookmarkEnd w:id="1102"/>
      <w:bookmarkEnd w:id="1103"/>
      <w:bookmarkEnd w:id="1104"/>
      <w:bookmarkEnd w:id="1105"/>
      <w:bookmarkEnd w:id="1106"/>
      <w:bookmarkEnd w:id="1109"/>
    </w:p>
    <w:p w14:paraId="76426D81" w14:textId="77777777" w:rsidR="00081970" w:rsidRPr="00CB7E2E" w:rsidRDefault="00081970" w:rsidP="009A58E0">
      <w:pPr>
        <w:pStyle w:val="T1AAA"/>
        <w:numPr>
          <w:ilvl w:val="0"/>
          <w:numId w:val="107"/>
        </w:numPr>
        <w:outlineLvl w:val="9"/>
        <w:rPr>
          <w:sz w:val="20"/>
          <w:szCs w:val="20"/>
        </w:rPr>
      </w:pPr>
      <w:bookmarkStart w:id="1110" w:name="_Toc400622333"/>
      <w:bookmarkStart w:id="1111" w:name="_Toc400629184"/>
      <w:bookmarkStart w:id="1112" w:name="_Toc400634140"/>
      <w:bookmarkStart w:id="1113" w:name="_Toc400635267"/>
      <w:bookmarkStart w:id="1114" w:name="_Toc400636227"/>
      <w:bookmarkStart w:id="1115" w:name="_Toc400622335"/>
      <w:bookmarkStart w:id="1116" w:name="_Toc400629186"/>
      <w:bookmarkStart w:id="1117" w:name="_Toc400634142"/>
      <w:bookmarkStart w:id="1118" w:name="_Toc400635269"/>
      <w:bookmarkStart w:id="1119" w:name="A_5"/>
      <w:bookmarkEnd w:id="1107"/>
      <w:r w:rsidRPr="00CB7E2E">
        <w:rPr>
          <w:sz w:val="20"/>
          <w:szCs w:val="20"/>
        </w:rPr>
        <w:t>NORMAS BÁSICAS</w:t>
      </w:r>
      <w:bookmarkEnd w:id="1110"/>
      <w:bookmarkEnd w:id="1111"/>
      <w:bookmarkEnd w:id="1112"/>
      <w:bookmarkEnd w:id="1113"/>
      <w:bookmarkEnd w:id="1114"/>
    </w:p>
    <w:p w14:paraId="6D6FE9F1" w14:textId="36632DB6" w:rsidR="00081970" w:rsidRPr="00CB7E2E" w:rsidRDefault="00081970" w:rsidP="00CB7E2E">
      <w:pPr>
        <w:jc w:val="both"/>
        <w:rPr>
          <w:rFonts w:ascii="Arial" w:hAnsi="Arial" w:cs="Arial"/>
          <w:sz w:val="20"/>
          <w:szCs w:val="20"/>
        </w:rPr>
      </w:pPr>
      <w:r w:rsidRPr="00CB7E2E">
        <w:rPr>
          <w:rFonts w:ascii="Arial" w:hAnsi="Arial" w:cs="Arial"/>
          <w:sz w:val="20"/>
          <w:szCs w:val="20"/>
        </w:rPr>
        <w:t>Los oferentes deberán incluir en sus ofertas un CD que contenga su PEF, elaborado con un soporte informático compatible con Microsoft Excel 2007.</w:t>
      </w:r>
    </w:p>
    <w:p w14:paraId="796EBAF5"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La información a presentar por los oferentes debe ser de la máxima homogeneidad, claridad y transparencia, para facilitar el análisis del cumplimiento de los requerimientos seguidos en este Anexo y el fiel reflejo de las exigencias del pliego y la coherencia del PEF, con la oferta técnica. Por tanto, los oferentes procederán a presentar un balance de obras o rubrado de las inversiones y una rigurosa contabilización de las partidas a incluir en el PEF, en base a los principios contables establecidos.</w:t>
      </w:r>
    </w:p>
    <w:p w14:paraId="28074550" w14:textId="7B0C6D65" w:rsidR="00081970" w:rsidRPr="00CB7E2E" w:rsidRDefault="00081970" w:rsidP="00CB7E2E">
      <w:pPr>
        <w:jc w:val="both"/>
        <w:rPr>
          <w:rFonts w:ascii="Arial" w:hAnsi="Arial" w:cs="Arial"/>
          <w:sz w:val="20"/>
          <w:szCs w:val="20"/>
          <w:highlight w:val="yellow"/>
        </w:rPr>
      </w:pPr>
      <w:r w:rsidRPr="00CB7E2E">
        <w:rPr>
          <w:rFonts w:ascii="Arial" w:hAnsi="Arial" w:cs="Arial"/>
          <w:sz w:val="20"/>
          <w:szCs w:val="20"/>
        </w:rPr>
        <w:t>El PEF deberá estar elaborado, tanto para el período de proyecto ejecutivo y construcción, como para el período de explotación, sobre una base anual y en Unidades Indexadas (UI).</w:t>
      </w:r>
    </w:p>
    <w:p w14:paraId="39FACEBA"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El PEF deberá facilitar la identificación de las variables input, las variables output y aquellas celdas de trabajo que permitan realizar variaciones en las variables más relevantes.</w:t>
      </w:r>
    </w:p>
    <w:p w14:paraId="65D9860B"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lastRenderedPageBreak/>
        <w:t>El PEF deberá acompañarse de un manual de utilización (el libro del modelo) en el que se indique cómo leer y utilizar los datos línea por línea, precisando los eventuales vínculos que existan entre los datos y ayudando o explicando de manera clara como efectuar los análisis de sensibilidades.</w:t>
      </w:r>
    </w:p>
    <w:p w14:paraId="64F830FB"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Los oferentes se comprometen a responder con claridad, sinceridad y diligencia, en su caso por escrito, a todo requerimiento de explicación o de aclaración por parte de los licitantes o de sus asesores sobre la configuración y el funcionamiento de su PEF.</w:t>
      </w:r>
    </w:p>
    <w:p w14:paraId="207BF6FC"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 xml:space="preserve">Los oferentes deberán igualmente remitir una memoria explicativa que detalle todas las hipótesis utilizadas para la construcción del modelo, las fuentes, si se trata de hipótesis adoptadas en estudios públicos, y las justificaciones de las opciones escogidas para el caso base y los casos de sensibilidad. El contenido de esta Memoria explicativa del PEF se expone más adelante. </w:t>
      </w:r>
    </w:p>
    <w:p w14:paraId="4EBEE74E"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t>A los efectos de evaluar la coherencia del Plan Económico Financiero se tendrán en cuenta los siguientes puntos:</w:t>
      </w:r>
    </w:p>
    <w:p w14:paraId="358629E8"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t>Consistencia entre la solución técnica planteada y los montos de inversión previstos para llevarla a cabo.</w:t>
      </w:r>
    </w:p>
    <w:p w14:paraId="77028630" w14:textId="77777777" w:rsidR="00AF03A1" w:rsidRPr="00AF03A1" w:rsidRDefault="00AF03A1" w:rsidP="00AF03A1">
      <w:pPr>
        <w:jc w:val="both"/>
        <w:rPr>
          <w:rFonts w:ascii="Arial" w:hAnsi="Arial" w:cs="Arial"/>
          <w:sz w:val="20"/>
          <w:szCs w:val="20"/>
        </w:rPr>
      </w:pPr>
      <w:r w:rsidRPr="00AF03A1">
        <w:rPr>
          <w:rFonts w:ascii="Arial" w:hAnsi="Arial" w:cs="Arial"/>
          <w:sz w:val="20"/>
          <w:szCs w:val="20"/>
        </w:rPr>
        <w:lastRenderedPageBreak/>
        <w:t>Consistencia del esquema de financiación considerando el Ratio de Cobertura del Servicio de la Deuda y la Tasa de Endeudamiento previstos.</w:t>
      </w:r>
    </w:p>
    <w:p w14:paraId="36E2E8A2" w14:textId="77777777" w:rsidR="00AF03A1" w:rsidRDefault="00AF03A1" w:rsidP="00AF03A1">
      <w:pPr>
        <w:jc w:val="both"/>
        <w:rPr>
          <w:rFonts w:ascii="Arial" w:hAnsi="Arial" w:cs="Arial"/>
          <w:sz w:val="20"/>
          <w:szCs w:val="20"/>
        </w:rPr>
      </w:pPr>
      <w:r w:rsidRPr="00AF03A1">
        <w:rPr>
          <w:rFonts w:ascii="Arial" w:hAnsi="Arial" w:cs="Arial"/>
          <w:sz w:val="20"/>
          <w:szCs w:val="20"/>
        </w:rPr>
        <w:t>Consistencia entre el esquema de financiación y la porción de los Pagos por Disponibilidad denominada en Dólares Estadounidenses solicitada por el Oferente.</w:t>
      </w:r>
    </w:p>
    <w:p w14:paraId="3A0358CE" w14:textId="77777777" w:rsidR="00AF03A1" w:rsidRPr="00CB7E2E" w:rsidRDefault="00AF03A1" w:rsidP="00CB7E2E">
      <w:pPr>
        <w:jc w:val="both"/>
        <w:rPr>
          <w:rFonts w:ascii="Arial" w:hAnsi="Arial" w:cs="Arial"/>
          <w:sz w:val="20"/>
          <w:szCs w:val="20"/>
        </w:rPr>
      </w:pPr>
    </w:p>
    <w:p w14:paraId="2D72BB64" w14:textId="77777777" w:rsidR="00081970" w:rsidRPr="00CB7E2E" w:rsidRDefault="00081970" w:rsidP="009A58E0">
      <w:pPr>
        <w:pStyle w:val="T1AAA"/>
        <w:numPr>
          <w:ilvl w:val="0"/>
          <w:numId w:val="84"/>
        </w:numPr>
        <w:spacing w:after="120"/>
        <w:outlineLvl w:val="9"/>
        <w:rPr>
          <w:sz w:val="20"/>
          <w:szCs w:val="20"/>
        </w:rPr>
      </w:pPr>
      <w:r w:rsidRPr="00CB7E2E">
        <w:rPr>
          <w:sz w:val="20"/>
          <w:szCs w:val="20"/>
        </w:rPr>
        <w:t>ESTRUCTURA Y CONTENIDOS DEL PEF</w:t>
      </w:r>
    </w:p>
    <w:p w14:paraId="258BBC07" w14:textId="77777777" w:rsidR="00081970" w:rsidRPr="00CB7E2E" w:rsidRDefault="00081970" w:rsidP="00CB7E2E">
      <w:pPr>
        <w:pStyle w:val="T1AAA"/>
        <w:spacing w:after="120"/>
        <w:ind w:left="360"/>
        <w:outlineLvl w:val="9"/>
        <w:rPr>
          <w:sz w:val="20"/>
          <w:szCs w:val="20"/>
        </w:rPr>
      </w:pPr>
      <w:r w:rsidRPr="00CB7E2E">
        <w:rPr>
          <w:sz w:val="20"/>
          <w:szCs w:val="20"/>
        </w:rPr>
        <w:t>Las principales hipótesis a definir serán las siguientes:</w:t>
      </w:r>
    </w:p>
    <w:p w14:paraId="7CB92411"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Hipótesis financieras, como mínimo, y para cada línea de financiación de manera diferenciada: (i) plazos de deuda, (ii) tipos de interés diferenciando tipo base y margen considerados, e indicando la parte que se considera  ser</w:t>
      </w:r>
      <w:r w:rsidR="00AE0C66">
        <w:rPr>
          <w:rFonts w:ascii="Arial" w:hAnsi="Arial" w:cs="Arial"/>
          <w:sz w:val="20"/>
          <w:szCs w:val="20"/>
        </w:rPr>
        <w:t>á</w:t>
      </w:r>
      <w:r w:rsidRPr="00CB7E2E">
        <w:rPr>
          <w:rFonts w:ascii="Arial" w:hAnsi="Arial" w:cs="Arial"/>
          <w:sz w:val="20"/>
          <w:szCs w:val="20"/>
        </w:rPr>
        <w:t xml:space="preserve"> objeto de aseguramiento o swap por cada línea de financiación relevante; (iii) comisiones bancarias de gestión/apertura y cualesquiera otras consideradas en las ofertas de las entidades financieras que estén apoyando al licitador u otras habituales en este tipo de operaciones. </w:t>
      </w:r>
    </w:p>
    <w:p w14:paraId="65A9A3F9" w14:textId="77777777" w:rsidR="00081970" w:rsidRPr="00CB7E2E" w:rsidRDefault="000B4EED" w:rsidP="009A58E0">
      <w:pPr>
        <w:numPr>
          <w:ilvl w:val="0"/>
          <w:numId w:val="36"/>
        </w:numPr>
        <w:spacing w:after="120"/>
        <w:ind w:hanging="341"/>
        <w:jc w:val="both"/>
        <w:rPr>
          <w:rFonts w:ascii="Arial" w:hAnsi="Arial" w:cs="Arial"/>
          <w:sz w:val="20"/>
          <w:szCs w:val="20"/>
        </w:rPr>
      </w:pPr>
      <w:r>
        <w:rPr>
          <w:rFonts w:ascii="Arial" w:hAnsi="Arial" w:cs="Arial"/>
          <w:sz w:val="20"/>
          <w:szCs w:val="20"/>
        </w:rPr>
        <w:t>Criterios</w:t>
      </w:r>
      <w:r w:rsidR="00081970" w:rsidRPr="00CB7E2E">
        <w:rPr>
          <w:rFonts w:ascii="Arial" w:hAnsi="Arial" w:cs="Arial"/>
          <w:sz w:val="20"/>
          <w:szCs w:val="20"/>
        </w:rPr>
        <w:t xml:space="preserve"> contables y fiscales considerados.</w:t>
      </w:r>
    </w:p>
    <w:p w14:paraId="380474C7"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lastRenderedPageBreak/>
        <w:t>Ingresos, diferenciando claramente los Pagos por Disponibilidad (PPD) por cada componente (A, B y C) y las deducciones, si es el caso, que considera el licitador que podrán aplicar.</w:t>
      </w:r>
      <w:r w:rsidR="00B14DCC" w:rsidRPr="00CB7E2E">
        <w:rPr>
          <w:rFonts w:ascii="Arial" w:hAnsi="Arial" w:cs="Arial"/>
          <w:sz w:val="20"/>
          <w:szCs w:val="20"/>
        </w:rPr>
        <w:t xml:space="preserve"> </w:t>
      </w:r>
    </w:p>
    <w:p w14:paraId="1E00D0A9"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La inversión en obras iniciales, de puesta a punto y complementarias, debidamente desglosadas</w:t>
      </w:r>
      <w:r w:rsidR="00B14DCC" w:rsidRPr="00CB7E2E">
        <w:rPr>
          <w:rFonts w:ascii="Arial" w:hAnsi="Arial" w:cs="Arial"/>
          <w:sz w:val="20"/>
          <w:szCs w:val="20"/>
        </w:rPr>
        <w:t xml:space="preserve"> </w:t>
      </w:r>
      <w:r w:rsidRPr="00CB7E2E">
        <w:rPr>
          <w:rFonts w:ascii="Arial" w:hAnsi="Arial" w:cs="Arial"/>
          <w:sz w:val="20"/>
          <w:szCs w:val="20"/>
        </w:rPr>
        <w:t>para cada tramo definido para cada año.</w:t>
      </w:r>
    </w:p>
    <w:p w14:paraId="2051991F" w14:textId="77777777" w:rsidR="00081970" w:rsidRPr="00CB7E2E"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t>Costos de mantenimiento mayor. Diferenciando estos últimos por tramo intervenido para cada año. Todo ello deberá ser coherente con lo previsto en el plan de Mantenimiento presentado en</w:t>
      </w:r>
      <w:r w:rsidR="00AE0C66">
        <w:rPr>
          <w:rFonts w:ascii="Arial" w:hAnsi="Arial" w:cs="Arial"/>
          <w:sz w:val="20"/>
          <w:szCs w:val="20"/>
        </w:rPr>
        <w:t xml:space="preserve"> la</w:t>
      </w:r>
      <w:r w:rsidRPr="00CB7E2E">
        <w:rPr>
          <w:rFonts w:ascii="Arial" w:hAnsi="Arial" w:cs="Arial"/>
          <w:sz w:val="20"/>
          <w:szCs w:val="20"/>
        </w:rPr>
        <w:t xml:space="preserve"> oferta técnica. </w:t>
      </w:r>
    </w:p>
    <w:p w14:paraId="756BF6CD" w14:textId="77777777" w:rsidR="00081970" w:rsidRPr="00CB7E2E" w:rsidRDefault="00081970" w:rsidP="009A58E0">
      <w:pPr>
        <w:numPr>
          <w:ilvl w:val="0"/>
          <w:numId w:val="36"/>
        </w:numPr>
        <w:spacing w:after="120"/>
        <w:ind w:left="1758" w:hanging="340"/>
        <w:jc w:val="both"/>
        <w:rPr>
          <w:rFonts w:ascii="Arial" w:hAnsi="Arial" w:cs="Arial"/>
          <w:sz w:val="20"/>
          <w:szCs w:val="20"/>
        </w:rPr>
      </w:pPr>
      <w:r w:rsidRPr="00CB7E2E">
        <w:rPr>
          <w:rFonts w:ascii="Arial" w:hAnsi="Arial" w:cs="Arial"/>
          <w:sz w:val="20"/>
          <w:szCs w:val="20"/>
        </w:rPr>
        <w:t>Costos de Operación o Administración de la Sociedad Contratista durante la vida del contrato. Las partidas de costos de Operación deberán</w:t>
      </w:r>
      <w:r w:rsidR="00B14DCC" w:rsidRPr="00CB7E2E">
        <w:rPr>
          <w:rFonts w:ascii="Arial" w:hAnsi="Arial" w:cs="Arial"/>
          <w:sz w:val="20"/>
          <w:szCs w:val="20"/>
        </w:rPr>
        <w:t xml:space="preserve"> </w:t>
      </w:r>
      <w:r w:rsidRPr="00CB7E2E">
        <w:rPr>
          <w:rFonts w:ascii="Arial" w:hAnsi="Arial" w:cs="Arial"/>
          <w:sz w:val="20"/>
          <w:szCs w:val="20"/>
        </w:rPr>
        <w:t>diferenciar al menos los siguientes conceptos:</w:t>
      </w:r>
    </w:p>
    <w:p w14:paraId="49E80DAF"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Costo de seguros.</w:t>
      </w:r>
    </w:p>
    <w:p w14:paraId="6661CC1D"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Pólizas.</w:t>
      </w:r>
    </w:p>
    <w:p w14:paraId="50E050B2"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Impuestos.</w:t>
      </w:r>
    </w:p>
    <w:p w14:paraId="4884A68A"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Gastos generales y administrativos.</w:t>
      </w:r>
    </w:p>
    <w:p w14:paraId="23F5C8DD" w14:textId="77777777" w:rsidR="00081970" w:rsidRPr="00CB7E2E" w:rsidRDefault="00081970" w:rsidP="009A58E0">
      <w:pPr>
        <w:pStyle w:val="Prrafodelista3"/>
        <w:numPr>
          <w:ilvl w:val="0"/>
          <w:numId w:val="61"/>
        </w:numPr>
        <w:spacing w:after="120"/>
        <w:ind w:left="1758" w:firstLine="85"/>
        <w:jc w:val="both"/>
        <w:rPr>
          <w:rFonts w:ascii="Arial" w:hAnsi="Arial" w:cs="Arial"/>
          <w:sz w:val="20"/>
          <w:szCs w:val="20"/>
        </w:rPr>
      </w:pPr>
      <w:r w:rsidRPr="00CB7E2E">
        <w:rPr>
          <w:rFonts w:ascii="Arial" w:hAnsi="Arial" w:cs="Arial"/>
          <w:sz w:val="20"/>
          <w:szCs w:val="20"/>
        </w:rPr>
        <w:t>Asistencias Técnicas</w:t>
      </w:r>
      <w:r w:rsidR="00A308BC">
        <w:rPr>
          <w:rFonts w:ascii="Arial" w:hAnsi="Arial" w:cs="Arial"/>
          <w:sz w:val="20"/>
          <w:szCs w:val="20"/>
        </w:rPr>
        <w:t>.</w:t>
      </w:r>
      <w:r w:rsidRPr="00CB7E2E">
        <w:rPr>
          <w:rFonts w:ascii="Arial" w:hAnsi="Arial" w:cs="Arial"/>
          <w:sz w:val="20"/>
          <w:szCs w:val="20"/>
        </w:rPr>
        <w:t xml:space="preserve"> </w:t>
      </w:r>
    </w:p>
    <w:p w14:paraId="272779C3" w14:textId="7100E4BF" w:rsidR="00DA123C" w:rsidRDefault="00081970" w:rsidP="009A58E0">
      <w:pPr>
        <w:numPr>
          <w:ilvl w:val="0"/>
          <w:numId w:val="36"/>
        </w:numPr>
        <w:spacing w:after="120"/>
        <w:ind w:hanging="341"/>
        <w:jc w:val="both"/>
        <w:rPr>
          <w:rFonts w:ascii="Arial" w:hAnsi="Arial" w:cs="Arial"/>
          <w:sz w:val="20"/>
          <w:szCs w:val="20"/>
        </w:rPr>
      </w:pPr>
      <w:r w:rsidRPr="00CB7E2E">
        <w:rPr>
          <w:rFonts w:ascii="Arial" w:hAnsi="Arial" w:cs="Arial"/>
          <w:sz w:val="20"/>
          <w:szCs w:val="20"/>
        </w:rPr>
        <w:lastRenderedPageBreak/>
        <w:t xml:space="preserve">Cuenta de Reserva para el servicio de la deuda. Se exigirá que esta cuenta en el año t tenga fondos suficientes para cubrir al menos el servicio (amortización e intereses) de la </w:t>
      </w:r>
      <w:r w:rsidR="00AE0C66">
        <w:rPr>
          <w:rFonts w:ascii="Arial" w:hAnsi="Arial" w:cs="Arial"/>
          <w:sz w:val="20"/>
          <w:szCs w:val="20"/>
        </w:rPr>
        <w:t>deuda</w:t>
      </w:r>
      <w:r w:rsidR="00AE0C66" w:rsidRPr="00CB7E2E">
        <w:rPr>
          <w:rFonts w:ascii="Arial" w:hAnsi="Arial" w:cs="Arial"/>
          <w:sz w:val="20"/>
          <w:szCs w:val="20"/>
        </w:rPr>
        <w:t xml:space="preserve"> </w:t>
      </w:r>
      <w:r w:rsidRPr="00CB7E2E">
        <w:rPr>
          <w:rFonts w:ascii="Arial" w:hAnsi="Arial" w:cs="Arial"/>
          <w:sz w:val="20"/>
          <w:szCs w:val="20"/>
        </w:rPr>
        <w:t>del período t+</w:t>
      </w:r>
      <w:r w:rsidR="006E5801" w:rsidRPr="006E6B0A">
        <w:rPr>
          <w:rFonts w:ascii="Arial" w:hAnsi="Arial" w:cs="Arial"/>
          <w:sz w:val="20"/>
          <w:szCs w:val="20"/>
        </w:rPr>
        <w:t>0,5</w:t>
      </w:r>
      <w:r w:rsidRPr="006E6B0A">
        <w:rPr>
          <w:rFonts w:ascii="Arial" w:hAnsi="Arial" w:cs="Arial"/>
          <w:sz w:val="20"/>
          <w:szCs w:val="20"/>
        </w:rPr>
        <w:t>.</w:t>
      </w:r>
    </w:p>
    <w:p w14:paraId="3076FF83" w14:textId="77777777" w:rsidR="00A66B70" w:rsidRPr="00DA123C" w:rsidRDefault="00A66B70" w:rsidP="009A58E0">
      <w:pPr>
        <w:numPr>
          <w:ilvl w:val="0"/>
          <w:numId w:val="36"/>
        </w:numPr>
        <w:spacing w:after="120"/>
        <w:ind w:hanging="341"/>
        <w:jc w:val="both"/>
        <w:rPr>
          <w:rFonts w:ascii="Arial" w:hAnsi="Arial" w:cs="Arial"/>
          <w:sz w:val="20"/>
          <w:szCs w:val="20"/>
        </w:rPr>
      </w:pPr>
      <w:r w:rsidRPr="00DA123C">
        <w:rPr>
          <w:rFonts w:ascii="Arial" w:hAnsi="Arial" w:cs="Arial"/>
          <w:sz w:val="20"/>
          <w:szCs w:val="20"/>
        </w:rPr>
        <w:t>Cuenta de Reserva para el mantenimiento mayor. El flujo de egresos de la cuenta de reserva para el Mantenimiento Mayor se compondrá de los costos de mantenimiento mayor (reinversiones).</w:t>
      </w:r>
    </w:p>
    <w:p w14:paraId="60351DFA" w14:textId="77777777" w:rsidR="00A66B70" w:rsidRPr="00A66B70" w:rsidRDefault="00A66B70" w:rsidP="00A66B70">
      <w:pPr>
        <w:pStyle w:val="Prrafodelista3"/>
        <w:spacing w:after="120"/>
        <w:ind w:left="1759"/>
        <w:jc w:val="both"/>
        <w:rPr>
          <w:rFonts w:ascii="Arial" w:hAnsi="Arial" w:cs="Arial"/>
          <w:sz w:val="20"/>
          <w:szCs w:val="20"/>
        </w:rPr>
      </w:pPr>
      <w:r w:rsidRPr="00A66B70">
        <w:rPr>
          <w:rFonts w:ascii="Arial" w:hAnsi="Arial" w:cs="Arial"/>
          <w:sz w:val="20"/>
          <w:szCs w:val="20"/>
        </w:rPr>
        <w:t xml:space="preserve">El flujo de ingresos de la cuenta de reserva de Mantenimiento Mayor se compondrá de los ingresos que se tenga previsto recibir más las dotaciones adicionales que sean necesarias a efectos de cumplir con el plan de mantenimiento mayor. Esta cuenta podrá generar intereses ganados y/o perdidos.  </w:t>
      </w:r>
    </w:p>
    <w:p w14:paraId="70CBF468" w14:textId="77777777" w:rsidR="00A66B70" w:rsidRDefault="00A66B70" w:rsidP="00A66B70">
      <w:pPr>
        <w:pStyle w:val="Prrafodelista3"/>
        <w:spacing w:after="120"/>
        <w:ind w:left="1759"/>
        <w:jc w:val="both"/>
        <w:rPr>
          <w:rFonts w:ascii="Arial" w:hAnsi="Arial" w:cs="Arial"/>
          <w:sz w:val="20"/>
          <w:szCs w:val="20"/>
        </w:rPr>
      </w:pPr>
      <w:r w:rsidRPr="00A66B70">
        <w:rPr>
          <w:rFonts w:ascii="Arial" w:hAnsi="Arial" w:cs="Arial"/>
          <w:sz w:val="20"/>
          <w:szCs w:val="20"/>
        </w:rPr>
        <w:t>La cuenta de reserva de Mantenimiento Mayor debe reflejar claramente tanto el ritmo de dotaciones como los momentos previstos de desembolsos / desdotaciones que deberán ser coherentes con el plan de mantenimiento mayor y el plan de intervenciones presentado en la oferta técnica.</w:t>
      </w:r>
    </w:p>
    <w:p w14:paraId="5B6C2BE5" w14:textId="77777777" w:rsidR="00A66B70" w:rsidRPr="00CB7E2E" w:rsidRDefault="00A66B70" w:rsidP="00CB7E2E">
      <w:pPr>
        <w:pStyle w:val="Prrafodelista3"/>
        <w:spacing w:after="120"/>
        <w:ind w:left="1759"/>
        <w:jc w:val="both"/>
        <w:rPr>
          <w:rFonts w:ascii="Arial" w:hAnsi="Arial" w:cs="Arial"/>
          <w:sz w:val="20"/>
          <w:szCs w:val="20"/>
        </w:rPr>
      </w:pPr>
    </w:p>
    <w:p w14:paraId="5FDCE29B" w14:textId="77777777" w:rsidR="00081970" w:rsidRPr="00CB7E2E" w:rsidRDefault="00081970" w:rsidP="00CB7E2E">
      <w:pPr>
        <w:pStyle w:val="T1AAA"/>
        <w:spacing w:after="120"/>
        <w:ind w:left="360"/>
        <w:outlineLvl w:val="9"/>
        <w:rPr>
          <w:sz w:val="20"/>
          <w:szCs w:val="20"/>
        </w:rPr>
      </w:pPr>
      <w:r w:rsidRPr="00CB7E2E">
        <w:rPr>
          <w:sz w:val="20"/>
          <w:szCs w:val="20"/>
        </w:rPr>
        <w:lastRenderedPageBreak/>
        <w:t>El PEF deberá presentar como mínimo:</w:t>
      </w:r>
    </w:p>
    <w:p w14:paraId="37EE3C29"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 xml:space="preserve">Estados Contables proyectados incluyendo: Estado de Resultados Proyectado y Estado de Situación Patrimonial Proyectado. </w:t>
      </w:r>
    </w:p>
    <w:p w14:paraId="4986C14B"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La estructura del flujo de fondos desde el punto de vista del proyecto y del inversor.</w:t>
      </w:r>
    </w:p>
    <w:p w14:paraId="51B23043"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Tasa interna de retorno (TIR) del proyecto.</w:t>
      </w:r>
    </w:p>
    <w:p w14:paraId="3BF26843"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Tasa interna de rentabilidad (TIR) de los accionistas.</w:t>
      </w:r>
      <w:r w:rsidRPr="00CB7E2E">
        <w:rPr>
          <w:rFonts w:ascii="Arial" w:hAnsi="Arial" w:cs="Arial"/>
          <w:sz w:val="20"/>
          <w:szCs w:val="20"/>
        </w:rPr>
        <w:tab/>
      </w:r>
    </w:p>
    <w:p w14:paraId="5D9697B9"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Ratio anual de Capital Propio/Inversión Total</w:t>
      </w:r>
      <w:r w:rsidR="00B14DCC" w:rsidRPr="00CB7E2E">
        <w:rPr>
          <w:rFonts w:ascii="Arial" w:hAnsi="Arial" w:cs="Arial"/>
          <w:sz w:val="20"/>
          <w:szCs w:val="20"/>
        </w:rPr>
        <w:t xml:space="preserve"> </w:t>
      </w:r>
      <w:r w:rsidRPr="00CB7E2E">
        <w:rPr>
          <w:rFonts w:ascii="Arial" w:hAnsi="Arial" w:cs="Arial"/>
          <w:sz w:val="20"/>
          <w:szCs w:val="20"/>
        </w:rPr>
        <w:t>(promedio para toda la vida del contrato).</w:t>
      </w:r>
    </w:p>
    <w:p w14:paraId="754775B0"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Ratio anual de cobertura del servicio de la deuda (promedio para toda la vida del préstamo), calculado como el cociente entre el flujo de caja disponible para el servicio de la deuda y el servicio de la deuda.</w:t>
      </w:r>
    </w:p>
    <w:p w14:paraId="6E2B0124"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La Estructura de Financiamiento.</w:t>
      </w:r>
    </w:p>
    <w:p w14:paraId="02D7B685"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El detalle o Balance de Inversiones.</w:t>
      </w:r>
    </w:p>
    <w:p w14:paraId="2881CA49" w14:textId="77777777" w:rsidR="00081970" w:rsidRPr="00CB7E2E" w:rsidRDefault="00081970" w:rsidP="009A58E0">
      <w:pPr>
        <w:pStyle w:val="Prrafodelista3"/>
        <w:numPr>
          <w:ilvl w:val="0"/>
          <w:numId w:val="67"/>
        </w:numPr>
        <w:spacing w:after="120"/>
        <w:ind w:hanging="483"/>
        <w:jc w:val="both"/>
        <w:rPr>
          <w:rFonts w:ascii="Arial" w:hAnsi="Arial" w:cs="Arial"/>
          <w:sz w:val="20"/>
          <w:szCs w:val="20"/>
        </w:rPr>
      </w:pPr>
      <w:r w:rsidRPr="00CB7E2E">
        <w:rPr>
          <w:rFonts w:ascii="Arial" w:hAnsi="Arial" w:cs="Arial"/>
          <w:sz w:val="20"/>
          <w:szCs w:val="20"/>
        </w:rPr>
        <w:t>Análisis de sensibilidad.</w:t>
      </w:r>
    </w:p>
    <w:p w14:paraId="163A0E51" w14:textId="77777777" w:rsidR="00081970" w:rsidRPr="00CB7E2E" w:rsidRDefault="00081970" w:rsidP="00CB7E2E">
      <w:pPr>
        <w:pStyle w:val="Prrafodelista3"/>
        <w:spacing w:after="120"/>
        <w:ind w:left="1759"/>
        <w:jc w:val="both"/>
        <w:rPr>
          <w:rFonts w:ascii="Arial" w:hAnsi="Arial" w:cs="Arial"/>
          <w:sz w:val="20"/>
          <w:szCs w:val="20"/>
        </w:rPr>
      </w:pPr>
    </w:p>
    <w:p w14:paraId="4C4401F5" w14:textId="77777777" w:rsidR="00081970" w:rsidRPr="00CB7E2E" w:rsidRDefault="00081970" w:rsidP="00CB7E2E">
      <w:pPr>
        <w:pStyle w:val="T1AAA"/>
        <w:spacing w:after="120"/>
        <w:ind w:left="360"/>
        <w:outlineLvl w:val="9"/>
        <w:rPr>
          <w:sz w:val="20"/>
          <w:szCs w:val="20"/>
        </w:rPr>
      </w:pPr>
      <w:r w:rsidRPr="00CB7E2E">
        <w:rPr>
          <w:sz w:val="20"/>
          <w:szCs w:val="20"/>
        </w:rPr>
        <w:lastRenderedPageBreak/>
        <w:t>Análisis de sensibilidad</w:t>
      </w:r>
    </w:p>
    <w:p w14:paraId="680BE73F"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oferentes deberán efectuar análisis de sensibilidad en relación con los principales parámetros</w:t>
      </w:r>
      <w:r w:rsidR="006750D5">
        <w:rPr>
          <w:rFonts w:ascii="Arial" w:hAnsi="Arial" w:cs="Arial"/>
          <w:sz w:val="20"/>
          <w:szCs w:val="20"/>
        </w:rPr>
        <w:t>,</w:t>
      </w:r>
      <w:r w:rsidRPr="00CB7E2E">
        <w:rPr>
          <w:rFonts w:ascii="Arial" w:hAnsi="Arial" w:cs="Arial"/>
          <w:sz w:val="20"/>
          <w:szCs w:val="20"/>
        </w:rPr>
        <w:t xml:space="preserve"> para permitir que se juzgue la solidez del proyecto.</w:t>
      </w:r>
    </w:p>
    <w:p w14:paraId="2BB35486"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licitantes deberán realizar, al menos, los análisis de sensibilidad siguientes:</w:t>
      </w:r>
    </w:p>
    <w:p w14:paraId="19BE5D18"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Variación del Presupuesto de obras iniciales de ±15%.</w:t>
      </w:r>
    </w:p>
    <w:p w14:paraId="37060EFA"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Variación de las Inversiones asociadas al mantenimiento mayor durante la fase de explotación de ±15%.</w:t>
      </w:r>
    </w:p>
    <w:p w14:paraId="7E795B91" w14:textId="77777777" w:rsidR="00081970" w:rsidRPr="00CB7E2E"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Reducción de ingresos anuales por</w:t>
      </w:r>
      <w:r w:rsidR="00B14DCC" w:rsidRPr="00CB7E2E">
        <w:rPr>
          <w:rFonts w:ascii="Arial" w:hAnsi="Arial" w:cs="Arial"/>
          <w:sz w:val="20"/>
          <w:szCs w:val="20"/>
        </w:rPr>
        <w:t xml:space="preserve"> </w:t>
      </w:r>
      <w:r w:rsidR="00A308BC" w:rsidRPr="00CB7E2E">
        <w:rPr>
          <w:rFonts w:ascii="Arial" w:hAnsi="Arial" w:cs="Arial"/>
          <w:sz w:val="20"/>
          <w:szCs w:val="20"/>
        </w:rPr>
        <w:t>P</w:t>
      </w:r>
      <w:r w:rsidR="00A308BC">
        <w:rPr>
          <w:rFonts w:ascii="Arial" w:hAnsi="Arial" w:cs="Arial"/>
          <w:sz w:val="20"/>
          <w:szCs w:val="20"/>
        </w:rPr>
        <w:t>P</w:t>
      </w:r>
      <w:r w:rsidR="00A308BC" w:rsidRPr="00CB7E2E">
        <w:rPr>
          <w:rFonts w:ascii="Arial" w:hAnsi="Arial" w:cs="Arial"/>
          <w:sz w:val="20"/>
          <w:szCs w:val="20"/>
        </w:rPr>
        <w:t xml:space="preserve">D </w:t>
      </w:r>
      <w:r w:rsidRPr="00CB7E2E">
        <w:rPr>
          <w:rFonts w:ascii="Arial" w:hAnsi="Arial" w:cs="Arial"/>
          <w:sz w:val="20"/>
          <w:szCs w:val="20"/>
        </w:rPr>
        <w:t>de 5% por concepto de deducciones.</w:t>
      </w:r>
      <w:r w:rsidR="00B14DCC" w:rsidRPr="00CB7E2E">
        <w:rPr>
          <w:rFonts w:ascii="Arial" w:hAnsi="Arial" w:cs="Arial"/>
          <w:sz w:val="20"/>
          <w:szCs w:val="20"/>
        </w:rPr>
        <w:t xml:space="preserve"> </w:t>
      </w:r>
      <w:r w:rsidRPr="00CB7E2E">
        <w:rPr>
          <w:rFonts w:ascii="Arial" w:hAnsi="Arial" w:cs="Arial"/>
          <w:sz w:val="20"/>
          <w:szCs w:val="20"/>
        </w:rPr>
        <w:t xml:space="preserve"> </w:t>
      </w:r>
    </w:p>
    <w:p w14:paraId="10BAC636" w14:textId="77777777" w:rsidR="00D33EFA" w:rsidRPr="00D33EFA" w:rsidRDefault="00081970" w:rsidP="009A58E0">
      <w:pPr>
        <w:pStyle w:val="Prrafodelista3"/>
        <w:numPr>
          <w:ilvl w:val="0"/>
          <w:numId w:val="68"/>
        </w:numPr>
        <w:spacing w:after="120"/>
        <w:ind w:hanging="483"/>
        <w:jc w:val="both"/>
        <w:rPr>
          <w:rFonts w:ascii="Arial" w:hAnsi="Arial" w:cs="Arial"/>
          <w:sz w:val="20"/>
          <w:szCs w:val="20"/>
        </w:rPr>
      </w:pPr>
      <w:r w:rsidRPr="00CB7E2E">
        <w:rPr>
          <w:rFonts w:ascii="Arial" w:hAnsi="Arial" w:cs="Arial"/>
          <w:sz w:val="20"/>
          <w:szCs w:val="20"/>
        </w:rPr>
        <w:t>Sensibilidad ante aumento de la tasa de financiamiento de 15%.</w:t>
      </w:r>
      <w:r w:rsidR="00B66A6D">
        <w:rPr>
          <w:rFonts w:ascii="Arial" w:hAnsi="Arial" w:cs="Arial"/>
          <w:sz w:val="20"/>
          <w:szCs w:val="20"/>
        </w:rPr>
        <w:t xml:space="preserve"> P</w:t>
      </w:r>
      <w:r w:rsidR="00B66A6D" w:rsidRPr="001E7634">
        <w:rPr>
          <w:rFonts w:ascii="Arial" w:hAnsi="Arial" w:cs="Arial"/>
          <w:sz w:val="20"/>
          <w:szCs w:val="20"/>
        </w:rPr>
        <w:t xml:space="preserve">ara esta sensibilidad </w:t>
      </w:r>
      <w:r w:rsidR="00B66A6D">
        <w:rPr>
          <w:rFonts w:ascii="Arial" w:hAnsi="Arial" w:cs="Arial"/>
          <w:sz w:val="20"/>
          <w:szCs w:val="20"/>
        </w:rPr>
        <w:t xml:space="preserve">se entiende </w:t>
      </w:r>
      <w:r w:rsidR="00B66A6D" w:rsidRPr="001E7634">
        <w:rPr>
          <w:rFonts w:ascii="Arial" w:hAnsi="Arial" w:cs="Arial"/>
          <w:sz w:val="20"/>
          <w:szCs w:val="20"/>
        </w:rPr>
        <w:t xml:space="preserve">un incremento porcentual del 15% sobre </w:t>
      </w:r>
      <w:r w:rsidR="00D33EFA">
        <w:rPr>
          <w:rFonts w:ascii="Arial" w:hAnsi="Arial" w:cs="Arial"/>
          <w:sz w:val="20"/>
          <w:szCs w:val="20"/>
        </w:rPr>
        <w:t>la tasa de interés de financiamiento.</w:t>
      </w:r>
    </w:p>
    <w:p w14:paraId="6852B4E5" w14:textId="77777777" w:rsidR="00081970" w:rsidRPr="00CB7E2E" w:rsidRDefault="00081970" w:rsidP="00CB7E2E">
      <w:pPr>
        <w:pStyle w:val="Prrafodelista3"/>
        <w:spacing w:after="120"/>
        <w:ind w:left="0"/>
        <w:jc w:val="both"/>
        <w:rPr>
          <w:rFonts w:ascii="Arial" w:hAnsi="Arial" w:cs="Arial"/>
          <w:sz w:val="20"/>
          <w:szCs w:val="20"/>
        </w:rPr>
      </w:pPr>
      <w:r w:rsidRPr="00CB7E2E">
        <w:rPr>
          <w:rFonts w:ascii="Arial" w:hAnsi="Arial" w:cs="Arial"/>
          <w:sz w:val="20"/>
          <w:szCs w:val="20"/>
        </w:rPr>
        <w:t>Los resultados de estos análisis deberán ser claramente explicitados en una tabla de síntesis en la que se recoja el impacto en:</w:t>
      </w:r>
    </w:p>
    <w:p w14:paraId="47F2A6A2" w14:textId="77777777" w:rsidR="00081970" w:rsidRPr="00CB7E2E" w:rsidRDefault="00081970" w:rsidP="009A58E0">
      <w:pPr>
        <w:pStyle w:val="Prrafodelista3"/>
        <w:numPr>
          <w:ilvl w:val="0"/>
          <w:numId w:val="69"/>
        </w:numPr>
        <w:spacing w:after="120"/>
        <w:ind w:left="1758" w:hanging="567"/>
        <w:jc w:val="both"/>
        <w:rPr>
          <w:rFonts w:ascii="Arial" w:hAnsi="Arial" w:cs="Arial"/>
          <w:sz w:val="20"/>
          <w:szCs w:val="20"/>
        </w:rPr>
      </w:pPr>
      <w:r w:rsidRPr="00CB7E2E">
        <w:rPr>
          <w:rFonts w:ascii="Arial" w:hAnsi="Arial" w:cs="Arial"/>
          <w:sz w:val="20"/>
          <w:szCs w:val="20"/>
        </w:rPr>
        <w:tab/>
        <w:t>TIR del accionista esperado y TIR del proyecto</w:t>
      </w:r>
    </w:p>
    <w:p w14:paraId="42EF6ED7" w14:textId="77777777" w:rsidR="00081970" w:rsidRPr="00CB7E2E" w:rsidRDefault="00081970" w:rsidP="009A58E0">
      <w:pPr>
        <w:pStyle w:val="Prrafodelista3"/>
        <w:numPr>
          <w:ilvl w:val="0"/>
          <w:numId w:val="69"/>
        </w:numPr>
        <w:spacing w:after="120"/>
        <w:ind w:left="1758" w:hanging="567"/>
        <w:jc w:val="both"/>
        <w:rPr>
          <w:rFonts w:ascii="Arial" w:hAnsi="Arial" w:cs="Arial"/>
          <w:sz w:val="20"/>
          <w:szCs w:val="20"/>
        </w:rPr>
      </w:pPr>
      <w:r w:rsidRPr="00CB7E2E">
        <w:rPr>
          <w:rFonts w:ascii="Arial" w:hAnsi="Arial" w:cs="Arial"/>
          <w:sz w:val="20"/>
          <w:szCs w:val="20"/>
        </w:rPr>
        <w:lastRenderedPageBreak/>
        <w:tab/>
        <w:t>Ratio de Cobertura</w:t>
      </w:r>
      <w:r w:rsidR="001040BB">
        <w:rPr>
          <w:rFonts w:ascii="Arial" w:hAnsi="Arial" w:cs="Arial"/>
          <w:sz w:val="20"/>
          <w:szCs w:val="20"/>
        </w:rPr>
        <w:t xml:space="preserve"> del Servicio</w:t>
      </w:r>
      <w:r w:rsidRPr="00CB7E2E">
        <w:rPr>
          <w:rFonts w:ascii="Arial" w:hAnsi="Arial" w:cs="Arial"/>
          <w:sz w:val="20"/>
          <w:szCs w:val="20"/>
        </w:rPr>
        <w:t xml:space="preserve"> de </w:t>
      </w:r>
      <w:r w:rsidR="001040BB">
        <w:rPr>
          <w:rFonts w:ascii="Arial" w:hAnsi="Arial" w:cs="Arial"/>
          <w:sz w:val="20"/>
          <w:szCs w:val="20"/>
        </w:rPr>
        <w:t xml:space="preserve">la </w:t>
      </w:r>
      <w:r w:rsidRPr="00CB7E2E">
        <w:rPr>
          <w:rFonts w:ascii="Arial" w:hAnsi="Arial" w:cs="Arial"/>
          <w:sz w:val="20"/>
          <w:szCs w:val="20"/>
        </w:rPr>
        <w:t>Deuda (RCSD), mínimo y promedio</w:t>
      </w:r>
      <w:r w:rsidR="00B14DCC" w:rsidRPr="00CB7E2E">
        <w:rPr>
          <w:rFonts w:ascii="Arial" w:hAnsi="Arial" w:cs="Arial"/>
          <w:sz w:val="20"/>
          <w:szCs w:val="20"/>
        </w:rPr>
        <w:t xml:space="preserve"> </w:t>
      </w:r>
      <w:r w:rsidRPr="00CB7E2E">
        <w:rPr>
          <w:rFonts w:ascii="Arial" w:hAnsi="Arial" w:cs="Arial"/>
          <w:sz w:val="20"/>
          <w:szCs w:val="20"/>
        </w:rPr>
        <w:t>para el plazo de la deuda considerado en la oferta.</w:t>
      </w:r>
    </w:p>
    <w:p w14:paraId="767C0DB6" w14:textId="77777777" w:rsidR="00081970" w:rsidRPr="00CB7E2E" w:rsidRDefault="00081970" w:rsidP="00CB7E2E">
      <w:pPr>
        <w:pStyle w:val="T1AAA"/>
        <w:spacing w:after="120"/>
        <w:ind w:left="360"/>
        <w:outlineLvl w:val="9"/>
        <w:rPr>
          <w:sz w:val="20"/>
          <w:szCs w:val="20"/>
        </w:rPr>
      </w:pPr>
      <w:r w:rsidRPr="00CB7E2E">
        <w:rPr>
          <w:sz w:val="20"/>
          <w:szCs w:val="20"/>
        </w:rPr>
        <w:t>Normas a tener en cuenta en la elaboración del PEF</w:t>
      </w:r>
    </w:p>
    <w:p w14:paraId="1026F6A2" w14:textId="77777777" w:rsidR="00081970" w:rsidRPr="00CB7E2E" w:rsidRDefault="00081970" w:rsidP="00CB7E2E">
      <w:pPr>
        <w:spacing w:after="120"/>
        <w:jc w:val="both"/>
        <w:rPr>
          <w:rFonts w:ascii="Arial" w:hAnsi="Arial" w:cs="Arial"/>
          <w:b/>
          <w:bCs/>
          <w:sz w:val="20"/>
          <w:szCs w:val="20"/>
        </w:rPr>
      </w:pPr>
      <w:r w:rsidRPr="00CB7E2E">
        <w:rPr>
          <w:rFonts w:ascii="Arial" w:hAnsi="Arial" w:cs="Arial"/>
          <w:sz w:val="20"/>
          <w:szCs w:val="20"/>
        </w:rPr>
        <w:t>La elaboración de los estados contables proyectados se ha de regir por la normativa vigente en Uruguay. En caso que durante el proceso de licitación se produjera algún cambio normativo que afecte a la elaboración de los estados contables, estos se redactarán conforme a lo que se establezca en la nueva regulación.</w:t>
      </w:r>
      <w:r w:rsidR="00B14DCC" w:rsidRPr="00CB7E2E">
        <w:rPr>
          <w:rFonts w:ascii="Arial" w:hAnsi="Arial" w:cs="Arial"/>
          <w:sz w:val="20"/>
          <w:szCs w:val="20"/>
        </w:rPr>
        <w:t xml:space="preserve"> </w:t>
      </w:r>
      <w:r w:rsidRPr="00CB7E2E">
        <w:rPr>
          <w:rFonts w:ascii="Arial" w:hAnsi="Arial" w:cs="Arial"/>
          <w:sz w:val="20"/>
          <w:szCs w:val="20"/>
        </w:rPr>
        <w:t xml:space="preserve"> </w:t>
      </w:r>
    </w:p>
    <w:p w14:paraId="41D04D8A"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Los oferentes aplicarán correctamente la normativa vigente para la activación, devengo e imputación de gastos financieros.</w:t>
      </w:r>
    </w:p>
    <w:p w14:paraId="6F3B72CF"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No se deberá asumir un escenario de beneficio fiscal que no haya sido indicado en el presente pliego.</w:t>
      </w:r>
    </w:p>
    <w:p w14:paraId="56B05A92"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Se reflejarán claramente las reinversiones previstas durante el período de contrato. Los oferentes mostrarán además los fondos de reserva previstos para mantenimiento mayor.</w:t>
      </w:r>
    </w:p>
    <w:p w14:paraId="468F781E"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Las dotaciones para reposición de activos reversibles al término del contrato, para provisión de mantenimiento, por gastos o riesgos, etc. deberán presentarse adecuadamente y de forma clara.</w:t>
      </w:r>
    </w:p>
    <w:p w14:paraId="08FFF204"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 xml:space="preserve">Todas las magnitudes monetarias se expresarán en Unidades Indexadas. Los ingresos y costos no deberán incluir los ajustes de </w:t>
      </w:r>
      <w:r w:rsidRPr="00CB7E2E">
        <w:rPr>
          <w:rFonts w:ascii="Arial" w:hAnsi="Arial" w:cs="Arial"/>
          <w:sz w:val="20"/>
          <w:szCs w:val="20"/>
        </w:rPr>
        <w:lastRenderedPageBreak/>
        <w:t>precios esperados del asfalto y gasoil que determinarán la variación de la paramétrica definida en el pliego.</w:t>
      </w:r>
    </w:p>
    <w:p w14:paraId="5DF43222" w14:textId="77777777" w:rsidR="00081970" w:rsidRPr="00CB7E2E" w:rsidRDefault="00081970" w:rsidP="00CB7E2E">
      <w:pPr>
        <w:spacing w:after="120"/>
        <w:jc w:val="both"/>
        <w:rPr>
          <w:rFonts w:ascii="Arial" w:hAnsi="Arial" w:cs="Arial"/>
          <w:sz w:val="20"/>
          <w:szCs w:val="20"/>
        </w:rPr>
      </w:pPr>
      <w:r w:rsidRPr="00CB7E2E">
        <w:rPr>
          <w:rFonts w:ascii="Arial" w:hAnsi="Arial" w:cs="Arial"/>
          <w:sz w:val="20"/>
          <w:szCs w:val="20"/>
        </w:rPr>
        <w:t>El flujo de fondos deberá contener al menos los siguientes conceptos:</w:t>
      </w:r>
    </w:p>
    <w:p w14:paraId="7C342268" w14:textId="77777777" w:rsidR="00081970" w:rsidRPr="00D33EFA" w:rsidRDefault="00081970" w:rsidP="009A58E0">
      <w:pPr>
        <w:numPr>
          <w:ilvl w:val="0"/>
          <w:numId w:val="77"/>
        </w:numPr>
        <w:spacing w:before="120" w:after="120"/>
        <w:jc w:val="both"/>
        <w:rPr>
          <w:rFonts w:ascii="Arial" w:eastAsia="SimSun" w:hAnsi="Arial" w:cs="Arial"/>
          <w:sz w:val="20"/>
          <w:szCs w:val="20"/>
          <w:lang w:eastAsia="zh-CN"/>
        </w:rPr>
      </w:pPr>
      <w:r w:rsidRPr="00CB7E2E">
        <w:rPr>
          <w:rFonts w:ascii="Arial" w:hAnsi="Arial" w:cs="Arial"/>
          <w:sz w:val="20"/>
          <w:szCs w:val="20"/>
          <w:lang w:val="es-UY"/>
        </w:rPr>
        <w:t>Flujos del proyecto, a calcular como resultados operativos antes de las</w:t>
      </w:r>
      <w:r w:rsidRPr="00CB7E2E">
        <w:rPr>
          <w:rFonts w:ascii="Arial" w:eastAsia="SimSun" w:hAnsi="Arial" w:cs="Arial"/>
          <w:sz w:val="20"/>
          <w:szCs w:val="20"/>
          <w:lang w:eastAsia="zh-CN"/>
        </w:rPr>
        <w:t xml:space="preserve"> dotaciones a la amortización y a las provisiones y antes de los gastos e ingresos financieros menos la inversión en infraestructura y equipamiento. </w:t>
      </w:r>
      <w:r w:rsidRPr="00D33EFA">
        <w:rPr>
          <w:rFonts w:ascii="Arial" w:eastAsia="SimSun" w:hAnsi="Arial" w:cs="Arial"/>
          <w:sz w:val="20"/>
          <w:szCs w:val="20"/>
          <w:lang w:eastAsia="zh-CN"/>
        </w:rPr>
        <w:t>En el cómputo de la inversión deberán figurar, junto con la inversión en el proyecto, las inversiones necesarias en activos durante todo el periodo de contrato.</w:t>
      </w:r>
    </w:p>
    <w:p w14:paraId="7718EABC"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 xml:space="preserve">Flujos de fondos financieros, a configurar como los incrementos de deuda financiera y los ingresos financieros, menos las amortizaciones de deuda y </w:t>
      </w:r>
      <w:r w:rsidR="00D33EFA">
        <w:rPr>
          <w:rFonts w:ascii="Arial" w:eastAsia="SimSun" w:hAnsi="Arial" w:cs="Arial"/>
          <w:sz w:val="20"/>
          <w:szCs w:val="20"/>
          <w:lang w:eastAsia="zh-CN"/>
        </w:rPr>
        <w:t>sus intereses</w:t>
      </w:r>
      <w:r w:rsidRPr="00CB7E2E">
        <w:rPr>
          <w:rFonts w:ascii="Arial" w:eastAsia="SimSun" w:hAnsi="Arial" w:cs="Arial"/>
          <w:sz w:val="20"/>
          <w:szCs w:val="20"/>
          <w:lang w:eastAsia="zh-CN"/>
        </w:rPr>
        <w:t xml:space="preserve">. </w:t>
      </w:r>
    </w:p>
    <w:p w14:paraId="11F23159"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 xml:space="preserve">En caso de deuda subordinada ésta se presentará en </w:t>
      </w:r>
      <w:r w:rsidR="001C739E">
        <w:rPr>
          <w:rFonts w:ascii="Arial" w:eastAsia="SimSun" w:hAnsi="Arial" w:cs="Arial"/>
          <w:sz w:val="20"/>
          <w:szCs w:val="20"/>
          <w:lang w:eastAsia="zh-CN"/>
        </w:rPr>
        <w:t>forma individualizada</w:t>
      </w:r>
      <w:r w:rsidRPr="00CB7E2E">
        <w:rPr>
          <w:rFonts w:ascii="Arial" w:eastAsia="SimSun" w:hAnsi="Arial" w:cs="Arial"/>
          <w:sz w:val="20"/>
          <w:szCs w:val="20"/>
          <w:lang w:eastAsia="zh-CN"/>
        </w:rPr>
        <w:t>.</w:t>
      </w:r>
    </w:p>
    <w:p w14:paraId="135BF156"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t>Los flujos de fondos dedicados al pago de impuestos se calcularán como las cantidades, con signo negativo, que la sociedad gestora pague en el ejercicio correspondiente en concepto de impuestos más la cantidad que, en su caso sea reintegrada</w:t>
      </w:r>
      <w:r w:rsidR="00B14DCC" w:rsidRPr="00CB7E2E">
        <w:rPr>
          <w:rFonts w:ascii="Arial" w:eastAsia="SimSun" w:hAnsi="Arial" w:cs="Arial"/>
          <w:sz w:val="20"/>
          <w:szCs w:val="20"/>
          <w:lang w:eastAsia="zh-CN"/>
        </w:rPr>
        <w:t xml:space="preserve"> </w:t>
      </w:r>
      <w:r w:rsidRPr="00CB7E2E">
        <w:rPr>
          <w:rFonts w:ascii="Arial" w:eastAsia="SimSun" w:hAnsi="Arial" w:cs="Arial"/>
          <w:sz w:val="20"/>
          <w:szCs w:val="20"/>
          <w:lang w:eastAsia="zh-CN"/>
        </w:rPr>
        <w:t xml:space="preserve">en el ejercicio correspondiente, por devoluciones de impuestos derivadas de ejercicios anteriores. </w:t>
      </w:r>
    </w:p>
    <w:p w14:paraId="49462717" w14:textId="77777777" w:rsidR="00081970" w:rsidRPr="00CB7E2E" w:rsidRDefault="00081970" w:rsidP="009A58E0">
      <w:pPr>
        <w:numPr>
          <w:ilvl w:val="0"/>
          <w:numId w:val="77"/>
        </w:numPr>
        <w:spacing w:before="100" w:beforeAutospacing="1" w:after="120"/>
        <w:jc w:val="both"/>
        <w:rPr>
          <w:rFonts w:ascii="Arial" w:eastAsia="SimSun" w:hAnsi="Arial" w:cs="Arial"/>
          <w:sz w:val="20"/>
          <w:szCs w:val="20"/>
          <w:lang w:eastAsia="zh-CN"/>
        </w:rPr>
      </w:pPr>
      <w:r w:rsidRPr="00CB7E2E">
        <w:rPr>
          <w:rFonts w:ascii="Arial" w:eastAsia="SimSun" w:hAnsi="Arial" w:cs="Arial"/>
          <w:sz w:val="20"/>
          <w:szCs w:val="20"/>
          <w:lang w:eastAsia="zh-CN"/>
        </w:rPr>
        <w:lastRenderedPageBreak/>
        <w:t>Los flujos de caja del capital, que se calcularán como las aportaciones de capital desembolsado en efectivo, menos los dividendos repartidos con cargo a beneficios o reservas y devoluciones de capital, en su caso.</w:t>
      </w:r>
    </w:p>
    <w:p w14:paraId="3585C752" w14:textId="77777777" w:rsidR="00081970" w:rsidRPr="00CB7E2E" w:rsidRDefault="00081970" w:rsidP="009A58E0">
      <w:pPr>
        <w:pStyle w:val="T1AAA"/>
        <w:numPr>
          <w:ilvl w:val="0"/>
          <w:numId w:val="84"/>
        </w:numPr>
        <w:tabs>
          <w:tab w:val="clear" w:pos="720"/>
        </w:tabs>
        <w:outlineLvl w:val="9"/>
        <w:rPr>
          <w:sz w:val="20"/>
          <w:szCs w:val="20"/>
        </w:rPr>
      </w:pPr>
      <w:bookmarkStart w:id="1120" w:name="_Toc400622334"/>
      <w:bookmarkStart w:id="1121" w:name="_Toc400629185"/>
      <w:bookmarkStart w:id="1122" w:name="_Toc400634141"/>
      <w:bookmarkStart w:id="1123" w:name="_Toc400635268"/>
      <w:bookmarkStart w:id="1124" w:name="_Toc400636228"/>
      <w:r w:rsidRPr="00CB7E2E">
        <w:rPr>
          <w:sz w:val="20"/>
          <w:szCs w:val="20"/>
        </w:rPr>
        <w:t>CONTENIDO DE LA MEMORIA EXPLICATIVA</w:t>
      </w:r>
      <w:bookmarkEnd w:id="1120"/>
      <w:bookmarkEnd w:id="1121"/>
      <w:bookmarkEnd w:id="1122"/>
      <w:bookmarkEnd w:id="1123"/>
      <w:bookmarkEnd w:id="1124"/>
    </w:p>
    <w:p w14:paraId="683C5B85" w14:textId="77777777" w:rsidR="00081970" w:rsidRPr="00CB7E2E" w:rsidRDefault="00081970" w:rsidP="00CB7E2E">
      <w:pPr>
        <w:jc w:val="both"/>
        <w:rPr>
          <w:rFonts w:ascii="Arial" w:hAnsi="Arial" w:cs="Arial"/>
          <w:b/>
          <w:bCs/>
          <w:sz w:val="20"/>
          <w:szCs w:val="20"/>
        </w:rPr>
      </w:pPr>
      <w:r w:rsidRPr="00CB7E2E">
        <w:rPr>
          <w:rFonts w:ascii="Arial" w:hAnsi="Arial" w:cs="Arial"/>
          <w:b/>
          <w:bCs/>
          <w:sz w:val="20"/>
          <w:szCs w:val="20"/>
        </w:rPr>
        <w:t>La Memoria explicativa debería incluir:</w:t>
      </w:r>
    </w:p>
    <w:p w14:paraId="6E8FE923" w14:textId="77777777" w:rsidR="00081970" w:rsidRPr="00CB7E2E" w:rsidRDefault="00081970" w:rsidP="00CB7E2E">
      <w:pPr>
        <w:jc w:val="both"/>
        <w:rPr>
          <w:rFonts w:ascii="Arial" w:hAnsi="Arial" w:cs="Arial"/>
          <w:sz w:val="20"/>
          <w:szCs w:val="20"/>
          <w:lang w:val="es-UY"/>
        </w:rPr>
      </w:pPr>
      <w:r w:rsidRPr="00CB7E2E">
        <w:rPr>
          <w:rFonts w:ascii="Arial" w:hAnsi="Arial" w:cs="Arial"/>
          <w:sz w:val="20"/>
          <w:szCs w:val="20"/>
          <w:lang w:val="es-UY"/>
        </w:rPr>
        <w:t>Exposición y explicación de las variables fundamentales que intervienen en el PEF y las hipótesis realizadas para determinar su evolución prevista, en especial, exposición y explicación de las hipótesis 1 a 8 del punto 2 del presente Anexo.</w:t>
      </w:r>
    </w:p>
    <w:p w14:paraId="21EFCC2B"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Respecto a los recursos propios:</w:t>
      </w:r>
    </w:p>
    <w:p w14:paraId="07784931" w14:textId="77777777" w:rsidR="00081970" w:rsidRPr="0002576C" w:rsidRDefault="00081970" w:rsidP="009A58E0">
      <w:pPr>
        <w:pStyle w:val="Prrafodelista"/>
        <w:numPr>
          <w:ilvl w:val="0"/>
          <w:numId w:val="130"/>
        </w:numPr>
        <w:jc w:val="both"/>
        <w:rPr>
          <w:rFonts w:ascii="Arial" w:hAnsi="Arial" w:cs="Arial"/>
          <w:sz w:val="20"/>
          <w:szCs w:val="20"/>
          <w:lang w:val="es-UY"/>
        </w:rPr>
      </w:pPr>
      <w:r w:rsidRPr="00E26581">
        <w:rPr>
          <w:rFonts w:ascii="Arial" w:hAnsi="Arial" w:cs="Arial"/>
          <w:sz w:val="20"/>
          <w:szCs w:val="20"/>
          <w:lang w:val="es-UY"/>
        </w:rPr>
        <w:t xml:space="preserve">Se detallará el capital social previsto, con expresión de cantidad y porcentaje que representa sobre la inversión total prevista por cada accionista, y en su caso </w:t>
      </w:r>
      <w:r w:rsidRPr="0002576C">
        <w:rPr>
          <w:rFonts w:ascii="Arial" w:hAnsi="Arial" w:cs="Arial"/>
          <w:sz w:val="20"/>
          <w:szCs w:val="20"/>
          <w:lang w:val="es-UY"/>
        </w:rPr>
        <w:t>inversiones en otros instrumentos considerables como recursos propios.</w:t>
      </w:r>
    </w:p>
    <w:p w14:paraId="2C9C9FCA" w14:textId="77777777" w:rsidR="00081970" w:rsidRPr="00E26581" w:rsidRDefault="004568FC" w:rsidP="009A58E0">
      <w:pPr>
        <w:pStyle w:val="Prrafodelista"/>
        <w:numPr>
          <w:ilvl w:val="0"/>
          <w:numId w:val="130"/>
        </w:numPr>
        <w:jc w:val="both"/>
        <w:rPr>
          <w:rFonts w:ascii="Arial" w:hAnsi="Arial" w:cs="Arial"/>
          <w:sz w:val="20"/>
          <w:szCs w:val="20"/>
          <w:lang w:val="es-UY"/>
        </w:rPr>
      </w:pPr>
      <w:r>
        <w:rPr>
          <w:rFonts w:ascii="Arial" w:hAnsi="Arial" w:cs="Arial"/>
          <w:sz w:val="20"/>
          <w:szCs w:val="20"/>
          <w:lang w:val="es-UY"/>
        </w:rPr>
        <w:t>Se e</w:t>
      </w:r>
      <w:r w:rsidR="00081970" w:rsidRPr="0002576C">
        <w:rPr>
          <w:rFonts w:ascii="Arial" w:hAnsi="Arial" w:cs="Arial"/>
          <w:sz w:val="20"/>
          <w:szCs w:val="20"/>
          <w:lang w:val="es-UY"/>
        </w:rPr>
        <w:t>xpresar</w:t>
      </w:r>
      <w:r>
        <w:rPr>
          <w:rFonts w:ascii="Arial" w:hAnsi="Arial" w:cs="Arial"/>
          <w:sz w:val="20"/>
          <w:szCs w:val="20"/>
          <w:lang w:val="es-UY"/>
        </w:rPr>
        <w:t>á</w:t>
      </w:r>
      <w:r w:rsidR="00081970" w:rsidRPr="0002576C">
        <w:rPr>
          <w:rFonts w:ascii="Arial" w:hAnsi="Arial" w:cs="Arial"/>
          <w:sz w:val="20"/>
          <w:szCs w:val="20"/>
          <w:lang w:val="es-UY"/>
        </w:rPr>
        <w:t xml:space="preserve"> la parte de capital social a suscribir por personas físicas o jurídicas residentes o domiciliadas fuera </w:t>
      </w:r>
      <w:r w:rsidR="00081970" w:rsidRPr="00E26581">
        <w:rPr>
          <w:rFonts w:ascii="Arial" w:hAnsi="Arial" w:cs="Arial"/>
          <w:sz w:val="20"/>
          <w:szCs w:val="20"/>
          <w:lang w:val="es-UY"/>
        </w:rPr>
        <w:t>de Uruguay.</w:t>
      </w:r>
    </w:p>
    <w:p w14:paraId="0FAACAB3" w14:textId="79E4EAFF" w:rsidR="00081970" w:rsidRPr="00E26581" w:rsidRDefault="00081970" w:rsidP="009A58E0">
      <w:pPr>
        <w:pStyle w:val="Prrafodelista"/>
        <w:numPr>
          <w:ilvl w:val="0"/>
          <w:numId w:val="130"/>
        </w:numPr>
        <w:jc w:val="both"/>
        <w:rPr>
          <w:rFonts w:ascii="Arial" w:hAnsi="Arial" w:cs="Arial"/>
          <w:sz w:val="20"/>
          <w:szCs w:val="20"/>
          <w:lang w:val="es-UY"/>
        </w:rPr>
      </w:pPr>
      <w:r w:rsidRPr="00E26581">
        <w:rPr>
          <w:rFonts w:ascii="Arial" w:hAnsi="Arial" w:cs="Arial"/>
          <w:sz w:val="20"/>
          <w:szCs w:val="20"/>
          <w:lang w:val="es-UY"/>
        </w:rPr>
        <w:lastRenderedPageBreak/>
        <w:t>Se detallará el calendario previsto para los desembolsos de capital social y de deuda subordinada en su caso.</w:t>
      </w:r>
      <w:r w:rsidR="00697B5D">
        <w:rPr>
          <w:rFonts w:ascii="Arial" w:hAnsi="Arial" w:cs="Arial"/>
          <w:sz w:val="20"/>
          <w:szCs w:val="20"/>
          <w:lang w:val="es-UY"/>
        </w:rPr>
        <w:t xml:space="preserve"> El calendario correspondiente al capital social deberá estar en concordancia con lo exigido en las </w:t>
      </w:r>
      <w:r w:rsidR="00697B5D" w:rsidRPr="000A1126">
        <w:rPr>
          <w:rFonts w:ascii="Arial" w:hAnsi="Arial" w:cs="Arial"/>
          <w:sz w:val="20"/>
          <w:szCs w:val="24"/>
        </w:rPr>
        <w:t>cartas de apoyo, cartas de términos indicativos de financiación, ofertas firmes si las hubiese, etc.</w:t>
      </w:r>
      <w:r w:rsidR="00697B5D">
        <w:rPr>
          <w:rFonts w:ascii="Arial" w:hAnsi="Arial" w:cs="Arial"/>
          <w:sz w:val="20"/>
          <w:szCs w:val="24"/>
        </w:rPr>
        <w:t xml:space="preserve"> que </w:t>
      </w:r>
      <w:r w:rsidR="001A5C95">
        <w:rPr>
          <w:rFonts w:ascii="Arial" w:hAnsi="Arial" w:cs="Arial"/>
          <w:sz w:val="20"/>
          <w:szCs w:val="24"/>
        </w:rPr>
        <w:t>de</w:t>
      </w:r>
      <w:r w:rsidR="00697B5D">
        <w:rPr>
          <w:rFonts w:ascii="Arial" w:hAnsi="Arial" w:cs="Arial"/>
          <w:sz w:val="20"/>
          <w:szCs w:val="24"/>
        </w:rPr>
        <w:t xml:space="preserve">n cuenta </w:t>
      </w:r>
      <w:r w:rsidR="00697B5D" w:rsidRPr="000A1126">
        <w:rPr>
          <w:rFonts w:ascii="Arial" w:hAnsi="Arial" w:cs="Arial"/>
          <w:sz w:val="20"/>
          <w:szCs w:val="24"/>
        </w:rPr>
        <w:t>del grado de avance y certeza respecto al cierre financiero</w:t>
      </w:r>
      <w:r w:rsidR="00697B5D">
        <w:rPr>
          <w:rFonts w:ascii="Arial" w:hAnsi="Arial" w:cs="Arial"/>
          <w:sz w:val="20"/>
          <w:szCs w:val="24"/>
        </w:rPr>
        <w:t>.</w:t>
      </w:r>
    </w:p>
    <w:p w14:paraId="262EDEFD" w14:textId="77777777" w:rsidR="00E26581" w:rsidRDefault="00081970" w:rsidP="009A58E0">
      <w:pPr>
        <w:pStyle w:val="Prrafodelista"/>
        <w:numPr>
          <w:ilvl w:val="0"/>
          <w:numId w:val="130"/>
        </w:numPr>
        <w:jc w:val="both"/>
        <w:rPr>
          <w:rFonts w:ascii="Arial" w:hAnsi="Arial" w:cs="Arial"/>
          <w:sz w:val="20"/>
          <w:szCs w:val="20"/>
          <w:lang w:val="es-UY"/>
        </w:rPr>
      </w:pPr>
      <w:r w:rsidRPr="00E26581">
        <w:rPr>
          <w:rFonts w:ascii="Arial" w:hAnsi="Arial" w:cs="Arial"/>
          <w:sz w:val="20"/>
          <w:szCs w:val="20"/>
          <w:lang w:val="es-UY"/>
        </w:rPr>
        <w:t>Se detallará la política de distribución de resultados.</w:t>
      </w:r>
    </w:p>
    <w:p w14:paraId="6F2D5EF5" w14:textId="77777777" w:rsidR="00081970" w:rsidRPr="00E26581" w:rsidRDefault="00081970" w:rsidP="009A58E0">
      <w:pPr>
        <w:pStyle w:val="Prrafodelista"/>
        <w:numPr>
          <w:ilvl w:val="0"/>
          <w:numId w:val="130"/>
        </w:numPr>
        <w:jc w:val="both"/>
        <w:rPr>
          <w:rFonts w:ascii="Arial" w:hAnsi="Arial" w:cs="Arial"/>
          <w:sz w:val="20"/>
          <w:szCs w:val="20"/>
          <w:lang w:val="es-UY"/>
        </w:rPr>
      </w:pPr>
      <w:r w:rsidRPr="00E26581">
        <w:rPr>
          <w:rFonts w:ascii="Arial" w:hAnsi="Arial" w:cs="Arial"/>
          <w:sz w:val="20"/>
          <w:szCs w:val="20"/>
          <w:lang w:val="es-UY"/>
        </w:rPr>
        <w:t>Se detallará el Préstamo subordinado que, en su caso, los accionistas tengan previsto conceder a la sociedad y términos del mismo.</w:t>
      </w:r>
    </w:p>
    <w:p w14:paraId="3AA0CF0C" w14:textId="77777777" w:rsidR="00081970" w:rsidRPr="00CB7E2E" w:rsidRDefault="00081970" w:rsidP="00CB7E2E">
      <w:pPr>
        <w:jc w:val="both"/>
        <w:rPr>
          <w:rFonts w:ascii="Arial" w:hAnsi="Arial" w:cs="Arial"/>
          <w:sz w:val="20"/>
          <w:szCs w:val="20"/>
          <w:lang w:val="es-UY"/>
        </w:rPr>
      </w:pPr>
    </w:p>
    <w:p w14:paraId="4633C485" w14:textId="77777777" w:rsidR="00081970" w:rsidRPr="00CB7E2E" w:rsidRDefault="00081970" w:rsidP="00CB7E2E">
      <w:pPr>
        <w:jc w:val="both"/>
        <w:rPr>
          <w:rFonts w:ascii="Arial" w:hAnsi="Arial" w:cs="Arial"/>
          <w:sz w:val="20"/>
          <w:szCs w:val="20"/>
        </w:rPr>
      </w:pPr>
      <w:r w:rsidRPr="00CB7E2E">
        <w:rPr>
          <w:rFonts w:ascii="Arial" w:hAnsi="Arial" w:cs="Arial"/>
          <w:sz w:val="20"/>
          <w:szCs w:val="20"/>
        </w:rPr>
        <w:t>Respecto a las fuentes de financiación ajena se detallarán:</w:t>
      </w:r>
    </w:p>
    <w:p w14:paraId="4B06EEE5" w14:textId="77777777" w:rsidR="00081970" w:rsidRPr="004E1863" w:rsidRDefault="00081970" w:rsidP="009A58E0">
      <w:pPr>
        <w:pStyle w:val="Prrafodelista"/>
        <w:numPr>
          <w:ilvl w:val="0"/>
          <w:numId w:val="131"/>
        </w:numPr>
        <w:jc w:val="both"/>
        <w:rPr>
          <w:rFonts w:ascii="Arial" w:hAnsi="Arial" w:cs="Arial"/>
          <w:sz w:val="20"/>
          <w:szCs w:val="20"/>
          <w:lang w:val="es-UY"/>
        </w:rPr>
      </w:pPr>
      <w:r w:rsidRPr="004E1863">
        <w:rPr>
          <w:rFonts w:ascii="Arial" w:hAnsi="Arial" w:cs="Arial"/>
          <w:sz w:val="20"/>
          <w:szCs w:val="20"/>
          <w:lang w:val="es-UY"/>
        </w:rPr>
        <w:t>Los instrumentos que se pretendan utilizar.</w:t>
      </w:r>
    </w:p>
    <w:p w14:paraId="64079318" w14:textId="77777777" w:rsidR="00081970" w:rsidRPr="004E1863" w:rsidRDefault="00081970" w:rsidP="009A58E0">
      <w:pPr>
        <w:pStyle w:val="Prrafodelista"/>
        <w:numPr>
          <w:ilvl w:val="0"/>
          <w:numId w:val="131"/>
        </w:numPr>
        <w:jc w:val="both"/>
        <w:rPr>
          <w:rFonts w:ascii="Arial" w:hAnsi="Arial" w:cs="Arial"/>
          <w:sz w:val="20"/>
          <w:szCs w:val="20"/>
          <w:lang w:val="es-UY"/>
        </w:rPr>
      </w:pPr>
      <w:r w:rsidRPr="004E1863">
        <w:rPr>
          <w:rFonts w:ascii="Arial" w:hAnsi="Arial" w:cs="Arial"/>
          <w:sz w:val="20"/>
          <w:szCs w:val="20"/>
          <w:lang w:val="es-UY"/>
        </w:rPr>
        <w:t>Su costo estimado y, en su caso, los instrumentos de cobertura de riesgo de intereses que se pretendan utilizar y el coste resultante.</w:t>
      </w:r>
    </w:p>
    <w:p w14:paraId="11A2D9A3" w14:textId="77777777" w:rsidR="00081970" w:rsidRPr="004E1863" w:rsidRDefault="00081970" w:rsidP="009A58E0">
      <w:pPr>
        <w:pStyle w:val="Prrafodelista"/>
        <w:numPr>
          <w:ilvl w:val="0"/>
          <w:numId w:val="131"/>
        </w:numPr>
        <w:jc w:val="both"/>
        <w:rPr>
          <w:rFonts w:ascii="Arial" w:hAnsi="Arial" w:cs="Arial"/>
          <w:sz w:val="20"/>
          <w:szCs w:val="20"/>
        </w:rPr>
      </w:pPr>
      <w:r w:rsidRPr="004E1863">
        <w:rPr>
          <w:rFonts w:ascii="Arial" w:hAnsi="Arial" w:cs="Arial"/>
          <w:sz w:val="20"/>
          <w:szCs w:val="20"/>
        </w:rPr>
        <w:t>Las reservas que se piensen constituir.</w:t>
      </w:r>
    </w:p>
    <w:p w14:paraId="2F83F47E" w14:textId="77777777" w:rsidR="00081970" w:rsidRPr="004E1863" w:rsidRDefault="00081970" w:rsidP="009A58E0">
      <w:pPr>
        <w:pStyle w:val="Prrafodelista"/>
        <w:numPr>
          <w:ilvl w:val="0"/>
          <w:numId w:val="131"/>
        </w:numPr>
        <w:jc w:val="both"/>
        <w:rPr>
          <w:rFonts w:ascii="Arial" w:hAnsi="Arial" w:cs="Arial"/>
          <w:sz w:val="20"/>
          <w:szCs w:val="20"/>
        </w:rPr>
      </w:pPr>
      <w:r w:rsidRPr="004E1863">
        <w:rPr>
          <w:rFonts w:ascii="Arial" w:hAnsi="Arial" w:cs="Arial"/>
          <w:sz w:val="20"/>
          <w:szCs w:val="20"/>
        </w:rPr>
        <w:t>Descripción de las hipótesis fiscales.</w:t>
      </w:r>
    </w:p>
    <w:p w14:paraId="74475B0A" w14:textId="77777777" w:rsidR="00081970" w:rsidRPr="004E1863" w:rsidRDefault="00081970" w:rsidP="009A58E0">
      <w:pPr>
        <w:pStyle w:val="Prrafodelista"/>
        <w:numPr>
          <w:ilvl w:val="0"/>
          <w:numId w:val="131"/>
        </w:numPr>
        <w:jc w:val="both"/>
        <w:rPr>
          <w:rFonts w:ascii="Arial" w:hAnsi="Arial" w:cs="Arial"/>
          <w:sz w:val="20"/>
          <w:szCs w:val="20"/>
        </w:rPr>
      </w:pPr>
      <w:r w:rsidRPr="004E1863">
        <w:rPr>
          <w:rFonts w:ascii="Arial" w:hAnsi="Arial" w:cs="Arial"/>
          <w:sz w:val="20"/>
          <w:szCs w:val="20"/>
        </w:rPr>
        <w:lastRenderedPageBreak/>
        <w:t>Descripción de las hipótesis contables, en especial las relativas al cálculo de los cuadros de amortización.</w:t>
      </w:r>
    </w:p>
    <w:p w14:paraId="707C8398" w14:textId="77777777" w:rsidR="00CB3220" w:rsidRDefault="00CB3220" w:rsidP="004568FC">
      <w:pPr>
        <w:jc w:val="both"/>
        <w:rPr>
          <w:rFonts w:ascii="Arial" w:hAnsi="Arial" w:cs="Arial"/>
          <w:sz w:val="20"/>
          <w:szCs w:val="20"/>
          <w:lang w:val="es-UY"/>
        </w:rPr>
      </w:pPr>
      <w:r>
        <w:rPr>
          <w:rFonts w:ascii="Arial" w:hAnsi="Arial" w:cs="Arial"/>
          <w:sz w:val="20"/>
          <w:szCs w:val="20"/>
          <w:lang w:val="es-UY"/>
        </w:rPr>
        <w:t xml:space="preserve">Adicionalmente se requerirá: </w:t>
      </w:r>
    </w:p>
    <w:p w14:paraId="73D14CE3" w14:textId="77777777" w:rsidR="004E1863" w:rsidRDefault="00CB3220" w:rsidP="009A58E0">
      <w:pPr>
        <w:pStyle w:val="Prrafodelista"/>
        <w:numPr>
          <w:ilvl w:val="0"/>
          <w:numId w:val="139"/>
        </w:numPr>
        <w:jc w:val="both"/>
        <w:rPr>
          <w:rFonts w:ascii="Arial" w:hAnsi="Arial" w:cs="Arial"/>
          <w:sz w:val="20"/>
          <w:szCs w:val="20"/>
          <w:lang w:val="es-UY"/>
        </w:rPr>
      </w:pPr>
      <w:r>
        <w:rPr>
          <w:rFonts w:ascii="Arial" w:hAnsi="Arial" w:cs="Arial"/>
          <w:sz w:val="20"/>
          <w:szCs w:val="20"/>
          <w:lang w:val="es-UY"/>
        </w:rPr>
        <w:t>Un análisis</w:t>
      </w:r>
      <w:r w:rsidR="00081970" w:rsidRPr="004E1863">
        <w:rPr>
          <w:rFonts w:ascii="Arial" w:hAnsi="Arial" w:cs="Arial"/>
          <w:sz w:val="20"/>
          <w:szCs w:val="20"/>
          <w:lang w:val="es-UY"/>
        </w:rPr>
        <w:t xml:space="preserve"> de solvencia de la futura sociedad Contratista, que incluirá por lo menos</w:t>
      </w:r>
      <w:r w:rsidR="004E1863">
        <w:rPr>
          <w:rFonts w:ascii="Arial" w:hAnsi="Arial" w:cs="Arial"/>
          <w:sz w:val="20"/>
          <w:szCs w:val="20"/>
          <w:lang w:val="es-UY"/>
        </w:rPr>
        <w:t>:</w:t>
      </w:r>
    </w:p>
    <w:p w14:paraId="3F7F853E" w14:textId="77777777" w:rsidR="004E1863" w:rsidRDefault="004E1863" w:rsidP="009A58E0">
      <w:pPr>
        <w:pStyle w:val="Prrafodelista"/>
        <w:numPr>
          <w:ilvl w:val="1"/>
          <w:numId w:val="139"/>
        </w:numPr>
        <w:jc w:val="both"/>
        <w:rPr>
          <w:rFonts w:ascii="Arial" w:hAnsi="Arial" w:cs="Arial"/>
          <w:sz w:val="20"/>
          <w:szCs w:val="20"/>
          <w:lang w:val="es-UY"/>
        </w:rPr>
      </w:pPr>
      <w:r>
        <w:rPr>
          <w:rFonts w:ascii="Arial" w:hAnsi="Arial" w:cs="Arial"/>
          <w:sz w:val="20"/>
          <w:szCs w:val="20"/>
          <w:lang w:val="es-UY"/>
        </w:rPr>
        <w:t>U</w:t>
      </w:r>
      <w:r w:rsidR="00CB3220">
        <w:rPr>
          <w:rFonts w:ascii="Arial" w:hAnsi="Arial" w:cs="Arial"/>
          <w:sz w:val="20"/>
          <w:szCs w:val="20"/>
          <w:lang w:val="es-UY"/>
        </w:rPr>
        <w:t>n a</w:t>
      </w:r>
      <w:r w:rsidR="00CB3220" w:rsidRPr="00CB3220">
        <w:rPr>
          <w:rFonts w:ascii="Arial" w:hAnsi="Arial" w:cs="Arial"/>
          <w:sz w:val="20"/>
          <w:szCs w:val="20"/>
          <w:lang w:val="es-UY"/>
        </w:rPr>
        <w:t xml:space="preserve">nálisis de rentabilidad del proyecto </w:t>
      </w:r>
      <w:r w:rsidR="00CB3220">
        <w:rPr>
          <w:rFonts w:ascii="Arial" w:hAnsi="Arial" w:cs="Arial"/>
          <w:sz w:val="20"/>
          <w:szCs w:val="20"/>
          <w:lang w:val="es-UY"/>
        </w:rPr>
        <w:t>incluyend</w:t>
      </w:r>
      <w:r w:rsidR="00B63E42">
        <w:rPr>
          <w:rFonts w:ascii="Arial" w:hAnsi="Arial" w:cs="Arial"/>
          <w:sz w:val="20"/>
          <w:szCs w:val="20"/>
          <w:lang w:val="es-UY"/>
        </w:rPr>
        <w:t>o</w:t>
      </w:r>
      <w:r w:rsidR="00CB3220" w:rsidRPr="00CB3220">
        <w:rPr>
          <w:rFonts w:ascii="Arial" w:hAnsi="Arial" w:cs="Arial"/>
          <w:sz w:val="20"/>
          <w:szCs w:val="20"/>
          <w:lang w:val="es-UY"/>
        </w:rPr>
        <w:t xml:space="preserve"> una estimación de la tasa interna de retorno del proyecto, así como de la tasa interna de retorno de los recursos propios invertidos en el mismo, tal y como se ha expuesto anteriormente.</w:t>
      </w:r>
    </w:p>
    <w:p w14:paraId="1A278134" w14:textId="77777777" w:rsidR="00081970" w:rsidRPr="004E1863" w:rsidRDefault="00081970" w:rsidP="009A58E0">
      <w:pPr>
        <w:pStyle w:val="Prrafodelista"/>
        <w:numPr>
          <w:ilvl w:val="1"/>
          <w:numId w:val="139"/>
        </w:numPr>
        <w:jc w:val="both"/>
        <w:rPr>
          <w:rFonts w:ascii="Arial" w:hAnsi="Arial" w:cs="Arial"/>
          <w:sz w:val="20"/>
          <w:szCs w:val="20"/>
          <w:lang w:val="es-UY"/>
        </w:rPr>
      </w:pPr>
      <w:r w:rsidRPr="004E1863">
        <w:rPr>
          <w:rFonts w:ascii="Arial" w:hAnsi="Arial" w:cs="Arial"/>
          <w:sz w:val="20"/>
          <w:szCs w:val="20"/>
        </w:rPr>
        <w:t>Porcentaje mínimo que representarán los recursos desembolsados por los accionistas sobre el total de recursos movilizados, que habrá de ser igual o superior al mínimo que a este respecto se establece en este Pliego.</w:t>
      </w:r>
    </w:p>
    <w:p w14:paraId="78946E05" w14:textId="77777777" w:rsidR="001E7EAB" w:rsidRDefault="001E7EAB">
      <w:pPr>
        <w:spacing w:after="0" w:line="240" w:lineRule="auto"/>
      </w:pPr>
    </w:p>
    <w:p w14:paraId="714DB69E" w14:textId="77777777" w:rsidR="00CB7E2E" w:rsidRPr="000A1126" w:rsidRDefault="001E7EAB" w:rsidP="009A58E0">
      <w:pPr>
        <w:pStyle w:val="Prrafodelista"/>
        <w:numPr>
          <w:ilvl w:val="0"/>
          <w:numId w:val="139"/>
        </w:numPr>
        <w:spacing w:after="0" w:line="240" w:lineRule="auto"/>
        <w:jc w:val="both"/>
        <w:rPr>
          <w:rFonts w:ascii="Arial" w:eastAsia="Calibri" w:hAnsi="Arial" w:cs="Arial"/>
          <w:b/>
          <w:bCs/>
          <w:lang w:val="es-ES_tradnl" w:eastAsia="es-ES"/>
        </w:rPr>
      </w:pPr>
      <w:r w:rsidRPr="000A1126">
        <w:rPr>
          <w:rFonts w:ascii="Arial" w:hAnsi="Arial" w:cs="Arial"/>
          <w:sz w:val="20"/>
          <w:szCs w:val="20"/>
          <w:lang w:val="es-UY"/>
        </w:rPr>
        <w:t>Argumentación del grado de avance y certeza en cuanto a cierre de la financiación en el</w:t>
      </w:r>
      <w:r w:rsidRPr="000A1126">
        <w:rPr>
          <w:rFonts w:ascii="Arial" w:hAnsi="Arial" w:cs="Arial"/>
          <w:sz w:val="20"/>
          <w:szCs w:val="24"/>
        </w:rPr>
        <w:t xml:space="preserve"> tiempo y bajo las condiciones previstas. A estos efectos, se anexará la documentación acreditativa que dé cuenta del grado de avance y certeza res</w:t>
      </w:r>
      <w:r w:rsidRPr="000A1126">
        <w:rPr>
          <w:rFonts w:ascii="Arial" w:hAnsi="Arial" w:cs="Arial"/>
          <w:sz w:val="20"/>
          <w:szCs w:val="24"/>
        </w:rPr>
        <w:lastRenderedPageBreak/>
        <w:t>pecto al cierre financiero en tiempo y forma (entre otros cartas de apoyo, cartas de términos indicativos de financiación, ofertas firmes si las hubiese, etc.).</w:t>
      </w:r>
      <w:r w:rsidR="00CB7E2E">
        <w:br w:type="page"/>
      </w:r>
    </w:p>
    <w:p w14:paraId="4D63AE87" w14:textId="77777777" w:rsidR="00A3029F" w:rsidRPr="0077527A" w:rsidRDefault="00A3029F" w:rsidP="00692283">
      <w:pPr>
        <w:pStyle w:val="T0"/>
        <w:outlineLvl w:val="0"/>
      </w:pPr>
      <w:bookmarkStart w:id="1125" w:name="_Toc468288091"/>
      <w:bookmarkStart w:id="1126" w:name="_Toc496266684"/>
      <w:r w:rsidRPr="0077527A">
        <w:lastRenderedPageBreak/>
        <w:t xml:space="preserve">ANEXO </w:t>
      </w:r>
      <w:r w:rsidR="00587284">
        <w:rPr>
          <w:noProof/>
        </w:rPr>
        <w:fldChar w:fldCharType="begin"/>
      </w:r>
      <w:r w:rsidR="00093E9E">
        <w:rPr>
          <w:noProof/>
        </w:rPr>
        <w:instrText>V</w:instrText>
      </w:r>
      <w:r w:rsidR="00587284">
        <w:rPr>
          <w:noProof/>
        </w:rPr>
        <w:fldChar w:fldCharType="separate"/>
      </w:r>
      <w:r w:rsidR="00093E9E">
        <w:rPr>
          <w:noProof/>
        </w:rPr>
        <w:t>V</w:t>
      </w:r>
      <w:r w:rsidR="00587284">
        <w:rPr>
          <w:noProof/>
        </w:rPr>
        <w:fldChar w:fldCharType="end"/>
      </w:r>
      <w:r>
        <w:rPr>
          <w:noProof/>
        </w:rPr>
        <w:t>:</w:t>
      </w:r>
      <w:r w:rsidRPr="0077527A">
        <w:rPr>
          <w:noProof/>
        </w:rPr>
        <w:t xml:space="preserve"> DECLARACION</w:t>
      </w:r>
      <w:r w:rsidR="00E621D9">
        <w:rPr>
          <w:noProof/>
        </w:rPr>
        <w:t>ES</w:t>
      </w:r>
      <w:r w:rsidRPr="0077527A">
        <w:rPr>
          <w:noProof/>
        </w:rPr>
        <w:t xml:space="preserve"> JURADA</w:t>
      </w:r>
      <w:bookmarkEnd w:id="1115"/>
      <w:bookmarkEnd w:id="1116"/>
      <w:bookmarkEnd w:id="1117"/>
      <w:bookmarkEnd w:id="1118"/>
      <w:r w:rsidR="00E621D9">
        <w:rPr>
          <w:noProof/>
        </w:rPr>
        <w:t>S Y FORMULARIOS</w:t>
      </w:r>
      <w:bookmarkEnd w:id="1125"/>
      <w:bookmarkEnd w:id="1126"/>
    </w:p>
    <w:p w14:paraId="042B56E0" w14:textId="77777777" w:rsidR="00A3029F" w:rsidRPr="00CB7E2E" w:rsidRDefault="00A3029F" w:rsidP="00692283">
      <w:pPr>
        <w:jc w:val="both"/>
        <w:rPr>
          <w:rFonts w:ascii="Arial" w:hAnsi="Arial" w:cs="Arial"/>
          <w:sz w:val="20"/>
          <w:szCs w:val="20"/>
        </w:rPr>
      </w:pPr>
      <w:bookmarkStart w:id="1127" w:name="A_5_1"/>
      <w:bookmarkEnd w:id="1119"/>
      <w:r w:rsidRPr="00CB7E2E">
        <w:rPr>
          <w:rFonts w:ascii="Arial" w:hAnsi="Arial" w:cs="Arial"/>
          <w:sz w:val="20"/>
          <w:szCs w:val="20"/>
        </w:rPr>
        <w:t>Declaración Jurada Nº 1</w:t>
      </w:r>
    </w:p>
    <w:bookmarkEnd w:id="1127"/>
    <w:p w14:paraId="0DB07D16"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t>Los abajo firmantes declaran:</w:t>
      </w:r>
    </w:p>
    <w:p w14:paraId="46BB60D3"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a) Integran “el Oferente” las siguientes personas físicas o jurídicas: (</w:t>
      </w:r>
      <w:r w:rsidRPr="00CB7E2E">
        <w:rPr>
          <w:rFonts w:ascii="Arial" w:hAnsi="Arial" w:cs="Arial"/>
          <w:i/>
          <w:iCs/>
          <w:sz w:val="20"/>
          <w:szCs w:val="20"/>
        </w:rPr>
        <w:t>determinar</w:t>
      </w:r>
      <w:r w:rsidRPr="00CB7E2E">
        <w:rPr>
          <w:rFonts w:ascii="Arial" w:hAnsi="Arial" w:cs="Arial"/>
          <w:sz w:val="20"/>
          <w:szCs w:val="20"/>
        </w:rPr>
        <w:t>).</w:t>
      </w:r>
    </w:p>
    <w:p w14:paraId="1D7E6276"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b) Los porcentajes de participación de cada integrante: (</w:t>
      </w:r>
      <w:r w:rsidRPr="00CB7E2E">
        <w:rPr>
          <w:rFonts w:ascii="Arial" w:hAnsi="Arial" w:cs="Arial"/>
          <w:i/>
          <w:iCs/>
          <w:sz w:val="20"/>
          <w:szCs w:val="20"/>
        </w:rPr>
        <w:t>determinar</w:t>
      </w:r>
      <w:r w:rsidRPr="00CB7E2E">
        <w:rPr>
          <w:rFonts w:ascii="Arial" w:hAnsi="Arial" w:cs="Arial"/>
          <w:sz w:val="20"/>
          <w:szCs w:val="20"/>
        </w:rPr>
        <w:t>).</w:t>
      </w:r>
    </w:p>
    <w:p w14:paraId="1493FA3F"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 xml:space="preserve">Dicha participación se mantendrá incambiada al constituirse la </w:t>
      </w:r>
      <w:r w:rsidRPr="00CB7E2E">
        <w:rPr>
          <w:rFonts w:ascii="Arial" w:hAnsi="Arial" w:cs="Arial"/>
          <w:sz w:val="20"/>
          <w:szCs w:val="20"/>
          <w:lang w:val="es-UY"/>
        </w:rPr>
        <w:t>sociedad de objeto exclusivo, bajo apercibimiento de</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las consecuencias establecidas. </w:t>
      </w:r>
    </w:p>
    <w:p w14:paraId="0BF41144"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c) Se designa como representante (</w:t>
      </w:r>
      <w:r w:rsidRPr="00CB7E2E">
        <w:rPr>
          <w:rFonts w:ascii="Arial" w:hAnsi="Arial" w:cs="Arial"/>
          <w:i/>
          <w:iCs/>
          <w:sz w:val="20"/>
          <w:szCs w:val="20"/>
        </w:rPr>
        <w:t>uno de sus integrantes</w:t>
      </w:r>
      <w:r w:rsidRPr="00CB7E2E">
        <w:rPr>
          <w:rFonts w:ascii="Arial" w:hAnsi="Arial" w:cs="Arial"/>
          <w:sz w:val="20"/>
          <w:szCs w:val="20"/>
        </w:rPr>
        <w:t xml:space="preserve">), el que estará autorizado para contraer obligaciones y </w:t>
      </w:r>
      <w:r w:rsidR="00F57EC5">
        <w:rPr>
          <w:rFonts w:ascii="Arial" w:hAnsi="Arial" w:cs="Arial"/>
          <w:sz w:val="20"/>
          <w:szCs w:val="20"/>
        </w:rPr>
        <w:t>realizar</w:t>
      </w:r>
      <w:r w:rsidRPr="00CB7E2E">
        <w:rPr>
          <w:rFonts w:ascii="Arial" w:hAnsi="Arial" w:cs="Arial"/>
          <w:sz w:val="20"/>
          <w:szCs w:val="20"/>
        </w:rPr>
        <w:t xml:space="preserve"> todos los trámites, las gestiones y peticiones referidas al llamado, hasta la adjudicación del mismo.</w:t>
      </w:r>
    </w:p>
    <w:p w14:paraId="2D471108"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d)</w:t>
      </w:r>
      <w:r w:rsidR="00111C83" w:rsidRPr="00CB7E2E">
        <w:rPr>
          <w:rFonts w:ascii="Arial" w:hAnsi="Arial" w:cs="Arial"/>
          <w:sz w:val="20"/>
          <w:szCs w:val="20"/>
        </w:rPr>
        <w:t xml:space="preserve"> </w:t>
      </w:r>
      <w:r w:rsidRPr="00CB7E2E">
        <w:rPr>
          <w:rFonts w:ascii="Arial" w:hAnsi="Arial" w:cs="Arial"/>
          <w:sz w:val="20"/>
          <w:szCs w:val="20"/>
        </w:rPr>
        <w:t>Las notificaciones que fueren pertinentes se realizarán en el siguiente correo electrónico (</w:t>
      </w:r>
      <w:r w:rsidRPr="00CB7E2E">
        <w:rPr>
          <w:rFonts w:ascii="Arial" w:hAnsi="Arial" w:cs="Arial"/>
          <w:i/>
          <w:iCs/>
          <w:sz w:val="20"/>
          <w:szCs w:val="20"/>
        </w:rPr>
        <w:t>determinar</w:t>
      </w:r>
      <w:r w:rsidRPr="00CB7E2E">
        <w:rPr>
          <w:rFonts w:ascii="Arial" w:hAnsi="Arial" w:cs="Arial"/>
          <w:sz w:val="20"/>
          <w:szCs w:val="20"/>
        </w:rPr>
        <w:t>), el cual permanecerá vigente durante el proceso de licitación (salvo modificación autorizada por la Contratante).</w:t>
      </w:r>
    </w:p>
    <w:p w14:paraId="1A6523A5" w14:textId="77777777" w:rsidR="00A3029F" w:rsidRPr="00CB7E2E" w:rsidRDefault="00A3029F" w:rsidP="00692283">
      <w:pPr>
        <w:jc w:val="both"/>
        <w:rPr>
          <w:rFonts w:ascii="Arial" w:hAnsi="Arial" w:cs="Arial"/>
          <w:i/>
          <w:iCs/>
          <w:sz w:val="20"/>
          <w:szCs w:val="20"/>
          <w:lang w:val="es-UY"/>
        </w:rPr>
      </w:pPr>
      <w:r w:rsidRPr="00CB7E2E">
        <w:rPr>
          <w:rFonts w:ascii="Arial" w:hAnsi="Arial" w:cs="Arial"/>
          <w:i/>
          <w:iCs/>
          <w:sz w:val="20"/>
          <w:szCs w:val="20"/>
          <w:lang w:val="es-UY"/>
        </w:rPr>
        <w:t>Certificación de firmas ante Escribano Público</w:t>
      </w:r>
      <w:r w:rsidR="0037195F" w:rsidRPr="00CB7E2E">
        <w:rPr>
          <w:rFonts w:ascii="Arial" w:hAnsi="Arial" w:cs="Arial"/>
          <w:i/>
          <w:iCs/>
          <w:sz w:val="20"/>
          <w:szCs w:val="20"/>
          <w:lang w:val="es-UY"/>
        </w:rPr>
        <w:t xml:space="preserve"> uruguayo</w:t>
      </w:r>
    </w:p>
    <w:p w14:paraId="35152C36"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lastRenderedPageBreak/>
        <w:br w:type="page"/>
      </w:r>
    </w:p>
    <w:p w14:paraId="084DE119" w14:textId="77777777" w:rsidR="00A3029F" w:rsidRPr="00CB7E2E" w:rsidRDefault="00A3029F" w:rsidP="00692283">
      <w:pPr>
        <w:jc w:val="both"/>
        <w:rPr>
          <w:rFonts w:ascii="Arial" w:hAnsi="Arial" w:cs="Arial"/>
          <w:sz w:val="20"/>
          <w:szCs w:val="20"/>
        </w:rPr>
      </w:pPr>
      <w:bookmarkStart w:id="1128" w:name="A_5_2"/>
      <w:r w:rsidRPr="00CB7E2E">
        <w:rPr>
          <w:rFonts w:ascii="Arial" w:hAnsi="Arial" w:cs="Arial"/>
          <w:sz w:val="20"/>
          <w:szCs w:val="20"/>
        </w:rPr>
        <w:lastRenderedPageBreak/>
        <w:t>Declaración Jurada Nº 2</w:t>
      </w:r>
    </w:p>
    <w:bookmarkEnd w:id="1128"/>
    <w:p w14:paraId="2EC12884" w14:textId="77777777" w:rsidR="00A3029F" w:rsidRPr="00CB7E2E" w:rsidRDefault="00A3029F" w:rsidP="00692283">
      <w:pPr>
        <w:jc w:val="both"/>
        <w:rPr>
          <w:rFonts w:ascii="Arial" w:hAnsi="Arial" w:cs="Arial"/>
          <w:b/>
          <w:bCs/>
          <w:sz w:val="20"/>
          <w:szCs w:val="20"/>
        </w:rPr>
      </w:pPr>
      <w:r w:rsidRPr="00CB7E2E">
        <w:rPr>
          <w:rFonts w:ascii="Arial" w:hAnsi="Arial" w:cs="Arial"/>
          <w:b/>
          <w:bCs/>
          <w:sz w:val="20"/>
          <w:szCs w:val="20"/>
        </w:rPr>
        <w:t>Los abajo firmantes declaran:</w:t>
      </w:r>
    </w:p>
    <w:p w14:paraId="433C1EC7"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Cada una de las personas físicas y/o jurídicas que integran “El Oferente”, no forman parte</w:t>
      </w:r>
      <w:r w:rsidR="00B14DCC" w:rsidRPr="00CB7E2E">
        <w:rPr>
          <w:rFonts w:ascii="Arial" w:hAnsi="Arial" w:cs="Arial"/>
          <w:sz w:val="20"/>
          <w:szCs w:val="20"/>
        </w:rPr>
        <w:t xml:space="preserve"> </w:t>
      </w:r>
      <w:r w:rsidRPr="00CB7E2E">
        <w:rPr>
          <w:rFonts w:ascii="Arial" w:hAnsi="Arial" w:cs="Arial"/>
          <w:sz w:val="20"/>
          <w:szCs w:val="20"/>
        </w:rPr>
        <w:t>de ningún otro Oferente</w:t>
      </w:r>
      <w:r w:rsidR="00B14DCC" w:rsidRPr="00CB7E2E">
        <w:rPr>
          <w:rFonts w:ascii="Arial" w:hAnsi="Arial" w:cs="Arial"/>
          <w:sz w:val="20"/>
          <w:szCs w:val="20"/>
        </w:rPr>
        <w:t xml:space="preserve"> </w:t>
      </w:r>
      <w:r w:rsidRPr="00CB7E2E">
        <w:rPr>
          <w:rFonts w:ascii="Arial" w:hAnsi="Arial" w:cs="Arial"/>
          <w:sz w:val="20"/>
          <w:szCs w:val="20"/>
        </w:rPr>
        <w:t>que se presenta a licitación.</w:t>
      </w:r>
    </w:p>
    <w:p w14:paraId="7475956D"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 xml:space="preserve">Se ha examinado y se presta conformidad a estas Bases de Licitación y demás antecedentes, documentos y disposiciones legales inherentes al proceso de licitación y adjudicación, aceptando expresamente las obligaciones que le imponen, el cumplimiento de la </w:t>
      </w:r>
      <w:r w:rsidR="00EB6625">
        <w:rPr>
          <w:rFonts w:ascii="Arial" w:hAnsi="Arial" w:cs="Arial"/>
          <w:sz w:val="20"/>
          <w:szCs w:val="20"/>
        </w:rPr>
        <w:t>L</w:t>
      </w:r>
      <w:r w:rsidRPr="00CB7E2E">
        <w:rPr>
          <w:rFonts w:ascii="Arial" w:hAnsi="Arial" w:cs="Arial"/>
          <w:sz w:val="20"/>
          <w:szCs w:val="20"/>
        </w:rPr>
        <w:t xml:space="preserve">ey de </w:t>
      </w:r>
      <w:r w:rsidR="00EB6625">
        <w:rPr>
          <w:rFonts w:ascii="Arial" w:hAnsi="Arial" w:cs="Arial"/>
          <w:sz w:val="20"/>
          <w:szCs w:val="20"/>
        </w:rPr>
        <w:t>C</w:t>
      </w:r>
      <w:r w:rsidRPr="00CB7E2E">
        <w:rPr>
          <w:rFonts w:ascii="Arial" w:hAnsi="Arial" w:cs="Arial"/>
          <w:sz w:val="20"/>
          <w:szCs w:val="20"/>
        </w:rPr>
        <w:t xml:space="preserve">ontratos de </w:t>
      </w:r>
      <w:r w:rsidR="00EB6625">
        <w:rPr>
          <w:rFonts w:ascii="Arial" w:hAnsi="Arial" w:cs="Arial"/>
          <w:sz w:val="20"/>
          <w:szCs w:val="20"/>
        </w:rPr>
        <w:t>P</w:t>
      </w:r>
      <w:r w:rsidRPr="00CB7E2E">
        <w:rPr>
          <w:rFonts w:ascii="Arial" w:hAnsi="Arial" w:cs="Arial"/>
          <w:sz w:val="20"/>
          <w:szCs w:val="20"/>
        </w:rPr>
        <w:t xml:space="preserve">articipación </w:t>
      </w:r>
      <w:r w:rsidR="00EB6625">
        <w:rPr>
          <w:rFonts w:ascii="Arial" w:hAnsi="Arial" w:cs="Arial"/>
          <w:sz w:val="20"/>
          <w:szCs w:val="20"/>
        </w:rPr>
        <w:t>P</w:t>
      </w:r>
      <w:r w:rsidRPr="00CB7E2E">
        <w:rPr>
          <w:rFonts w:ascii="Arial" w:hAnsi="Arial" w:cs="Arial"/>
          <w:sz w:val="20"/>
          <w:szCs w:val="20"/>
        </w:rPr>
        <w:t xml:space="preserve">úblico – </w:t>
      </w:r>
      <w:r w:rsidR="00EB6625">
        <w:rPr>
          <w:rFonts w:ascii="Arial" w:hAnsi="Arial" w:cs="Arial"/>
          <w:sz w:val="20"/>
          <w:szCs w:val="20"/>
        </w:rPr>
        <w:t>P</w:t>
      </w:r>
      <w:r w:rsidRPr="00CB7E2E">
        <w:rPr>
          <w:rFonts w:ascii="Arial" w:hAnsi="Arial" w:cs="Arial"/>
          <w:sz w:val="20"/>
          <w:szCs w:val="20"/>
        </w:rPr>
        <w:t>rivada con su reglamentación y demás normativa aplicable, no teniendo reparo u objeción que formular. En consecuencia, se libera al Estado persona pública mayor, de toda responsabilidad por eventuales errores u omisiones que pudieran tener los referidos antecedentes y documentos.</w:t>
      </w:r>
    </w:p>
    <w:p w14:paraId="5DF26E55"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t>El oferente acepta sin condiciones las cláusulas de este Pliego y de los restantes documentos todo lo cual tiene carácter contractual, sin salvedad alguna. Declara que reúne todas y cada una de las condiciones exigidas para contratar con la Contratante. Cualquier salvedad se entenderá en todo caso como no puesta.</w:t>
      </w:r>
    </w:p>
    <w:p w14:paraId="387F96E9" w14:textId="77777777" w:rsidR="00A3029F" w:rsidRPr="00CB7E2E" w:rsidRDefault="00A3029F" w:rsidP="00692283">
      <w:pPr>
        <w:jc w:val="both"/>
        <w:rPr>
          <w:rFonts w:ascii="Arial" w:hAnsi="Arial" w:cs="Arial"/>
          <w:sz w:val="20"/>
          <w:szCs w:val="20"/>
        </w:rPr>
      </w:pPr>
      <w:r w:rsidRPr="00CB7E2E">
        <w:rPr>
          <w:rFonts w:ascii="Arial" w:hAnsi="Arial" w:cs="Arial"/>
          <w:sz w:val="20"/>
          <w:szCs w:val="20"/>
        </w:rPr>
        <w:lastRenderedPageBreak/>
        <w:t>Por el solo hecho de presentarse al llamado, acepta la jurisdicción de los Juzgados y Tribunales del Departamento de Montevideo, de la República Oriental del Uruguay, para todas las incidencias que de modo directo o indirecto pudieran surgir del contrato, con renuncia, en su caso, al fuero jurisdiccional extranjero que pudiera corresponder a algún oferente.</w:t>
      </w:r>
    </w:p>
    <w:p w14:paraId="11CD2EEE" w14:textId="77777777" w:rsidR="00A3029F" w:rsidRPr="00CB7E2E" w:rsidRDefault="00A3029F" w:rsidP="00692283">
      <w:pPr>
        <w:jc w:val="both"/>
        <w:rPr>
          <w:rFonts w:ascii="Arial" w:hAnsi="Arial" w:cs="Arial"/>
          <w:sz w:val="20"/>
          <w:szCs w:val="20"/>
        </w:rPr>
      </w:pPr>
      <w:r w:rsidRPr="00CB7E2E">
        <w:rPr>
          <w:rFonts w:ascii="Arial" w:hAnsi="Arial" w:cs="Arial"/>
          <w:sz w:val="20"/>
          <w:szCs w:val="20"/>
          <w:lang w:val="es-UY"/>
        </w:rPr>
        <w:t>Litigios pendientes, u ocurridos en los últimos (5) cinco años</w:t>
      </w:r>
      <w:r w:rsidRPr="00CB7E2E">
        <w:rPr>
          <w:rFonts w:ascii="Arial" w:hAnsi="Arial" w:cs="Arial"/>
          <w:i/>
          <w:iCs/>
          <w:sz w:val="20"/>
          <w:szCs w:val="20"/>
          <w:lang w:val="es-UY"/>
        </w:rPr>
        <w:t xml:space="preserve">: </w:t>
      </w:r>
      <w:r w:rsidRPr="00CB7E2E">
        <w:rPr>
          <w:rFonts w:ascii="Arial" w:hAnsi="Arial" w:cs="Arial"/>
          <w:sz w:val="20"/>
          <w:szCs w:val="20"/>
          <w:lang w:val="es-UY"/>
        </w:rPr>
        <w:t>(</w:t>
      </w:r>
      <w:r w:rsidRPr="00CB7E2E">
        <w:rPr>
          <w:rFonts w:ascii="Arial" w:hAnsi="Arial" w:cs="Arial"/>
          <w:i/>
          <w:iCs/>
          <w:sz w:val="20"/>
          <w:szCs w:val="20"/>
          <w:lang w:val="es-UY"/>
        </w:rPr>
        <w:t>partes litigantes y</w:t>
      </w:r>
      <w:r w:rsidR="00345F72">
        <w:rPr>
          <w:rFonts w:ascii="Arial" w:hAnsi="Arial" w:cs="Arial"/>
          <w:i/>
          <w:iCs/>
          <w:sz w:val="20"/>
          <w:szCs w:val="20"/>
          <w:lang w:val="es-UY"/>
        </w:rPr>
        <w:t xml:space="preserve"> </w:t>
      </w:r>
      <w:r w:rsidRPr="00CB7E2E">
        <w:rPr>
          <w:rFonts w:ascii="Arial" w:hAnsi="Arial" w:cs="Arial"/>
          <w:i/>
          <w:iCs/>
          <w:sz w:val="20"/>
          <w:szCs w:val="20"/>
          <w:lang w:val="es-UY"/>
        </w:rPr>
        <w:t>monto reclamado).</w:t>
      </w:r>
    </w:p>
    <w:p w14:paraId="078E227A" w14:textId="77777777" w:rsidR="00711A26" w:rsidRDefault="00711A26" w:rsidP="00692283">
      <w:pPr>
        <w:jc w:val="both"/>
        <w:rPr>
          <w:rFonts w:ascii="Arial" w:hAnsi="Arial" w:cs="Arial"/>
          <w:sz w:val="20"/>
          <w:szCs w:val="20"/>
        </w:rPr>
      </w:pPr>
      <w:r w:rsidRPr="00711A26">
        <w:rPr>
          <w:rFonts w:ascii="Arial" w:hAnsi="Arial" w:cs="Arial"/>
          <w:sz w:val="20"/>
          <w:szCs w:val="20"/>
        </w:rPr>
        <w:t>Declaración de que no figura en la lista de penalizaciones The Worldbank, que surge de la página web www.worldbank.org/debarr.</w:t>
      </w:r>
    </w:p>
    <w:p w14:paraId="2A2BE6B3" w14:textId="77777777" w:rsidR="00A3029F" w:rsidRPr="00CB7E2E" w:rsidRDefault="00A3029F" w:rsidP="00692283">
      <w:pPr>
        <w:jc w:val="both"/>
        <w:rPr>
          <w:rFonts w:ascii="Arial" w:hAnsi="Arial" w:cs="Arial"/>
          <w:i/>
          <w:iCs/>
          <w:sz w:val="20"/>
          <w:szCs w:val="20"/>
          <w:lang w:val="es-UY"/>
        </w:rPr>
      </w:pPr>
    </w:p>
    <w:p w14:paraId="713E3B17" w14:textId="77777777" w:rsidR="00A3029F" w:rsidRPr="00CB7E2E" w:rsidRDefault="00A3029F" w:rsidP="00692283">
      <w:pPr>
        <w:jc w:val="both"/>
        <w:rPr>
          <w:rFonts w:ascii="Arial" w:hAnsi="Arial" w:cs="Arial"/>
          <w:i/>
          <w:iCs/>
          <w:sz w:val="20"/>
          <w:szCs w:val="20"/>
          <w:lang w:val="es-UY"/>
        </w:rPr>
      </w:pPr>
      <w:r w:rsidRPr="00CB7E2E">
        <w:rPr>
          <w:rFonts w:ascii="Arial" w:hAnsi="Arial" w:cs="Arial"/>
          <w:i/>
          <w:iCs/>
          <w:sz w:val="20"/>
          <w:szCs w:val="20"/>
          <w:lang w:val="es-UY"/>
        </w:rPr>
        <w:t>Certificación de firmas ante Escribano Público</w:t>
      </w:r>
      <w:r w:rsidR="0037195F" w:rsidRPr="00CB7E2E">
        <w:rPr>
          <w:rFonts w:ascii="Arial" w:hAnsi="Arial" w:cs="Arial"/>
          <w:i/>
          <w:iCs/>
          <w:sz w:val="20"/>
          <w:szCs w:val="20"/>
          <w:lang w:val="es-UY"/>
        </w:rPr>
        <w:t xml:space="preserve"> uruguayo</w:t>
      </w:r>
    </w:p>
    <w:p w14:paraId="7B6DC7EE" w14:textId="77777777" w:rsidR="008A46A0" w:rsidRPr="00CB7E2E" w:rsidRDefault="008A46A0" w:rsidP="00692283">
      <w:pPr>
        <w:jc w:val="both"/>
        <w:rPr>
          <w:rFonts w:ascii="Arial" w:hAnsi="Arial" w:cs="Arial"/>
          <w:sz w:val="20"/>
          <w:szCs w:val="20"/>
          <w:lang w:val="es-UY"/>
        </w:rPr>
      </w:pPr>
    </w:p>
    <w:p w14:paraId="3D9BE8ED" w14:textId="77777777" w:rsidR="008A46A0" w:rsidRPr="00CB7E2E" w:rsidRDefault="008A46A0" w:rsidP="00CB7E2E">
      <w:pPr>
        <w:rPr>
          <w:rFonts w:ascii="Arial" w:hAnsi="Arial" w:cs="Arial"/>
          <w:sz w:val="20"/>
          <w:szCs w:val="20"/>
          <w:lang w:val="es-UY"/>
        </w:rPr>
      </w:pPr>
    </w:p>
    <w:p w14:paraId="2143A27E" w14:textId="77777777" w:rsidR="008A46A0" w:rsidRPr="00CB7E2E" w:rsidRDefault="008A46A0" w:rsidP="00CB7E2E">
      <w:pPr>
        <w:rPr>
          <w:rFonts w:ascii="Arial" w:hAnsi="Arial" w:cs="Arial"/>
          <w:sz w:val="20"/>
          <w:szCs w:val="20"/>
          <w:lang w:val="es-UY"/>
        </w:rPr>
      </w:pPr>
    </w:p>
    <w:p w14:paraId="3ABD7FCF" w14:textId="77777777" w:rsidR="008A46A0" w:rsidRPr="00CB7E2E" w:rsidRDefault="008A46A0" w:rsidP="00CB7E2E">
      <w:pPr>
        <w:rPr>
          <w:rFonts w:ascii="Arial" w:hAnsi="Arial" w:cs="Arial"/>
          <w:sz w:val="20"/>
          <w:szCs w:val="20"/>
          <w:lang w:val="es-UY"/>
        </w:rPr>
      </w:pPr>
    </w:p>
    <w:p w14:paraId="12DCFF58" w14:textId="77777777" w:rsidR="008A46A0" w:rsidRPr="00CB7E2E" w:rsidRDefault="008A46A0" w:rsidP="00CB7E2E">
      <w:pPr>
        <w:rPr>
          <w:rFonts w:ascii="Arial" w:hAnsi="Arial" w:cs="Arial"/>
          <w:sz w:val="20"/>
          <w:szCs w:val="20"/>
          <w:lang w:val="es-UY"/>
        </w:rPr>
      </w:pPr>
    </w:p>
    <w:p w14:paraId="433C8FF6" w14:textId="77777777" w:rsidR="008A46A0" w:rsidRPr="00CB7E2E" w:rsidRDefault="008A46A0" w:rsidP="00CB7E2E">
      <w:pPr>
        <w:rPr>
          <w:rFonts w:ascii="Arial" w:hAnsi="Arial" w:cs="Arial"/>
          <w:sz w:val="20"/>
          <w:szCs w:val="20"/>
          <w:lang w:val="es-UY"/>
        </w:rPr>
      </w:pPr>
    </w:p>
    <w:p w14:paraId="056BA4AA" w14:textId="77777777" w:rsidR="008A46A0" w:rsidRPr="00CB7E2E" w:rsidRDefault="008A46A0" w:rsidP="00CB7E2E">
      <w:pPr>
        <w:rPr>
          <w:rFonts w:ascii="Arial" w:hAnsi="Arial" w:cs="Arial"/>
          <w:sz w:val="20"/>
          <w:szCs w:val="20"/>
          <w:lang w:val="es-UY"/>
        </w:rPr>
      </w:pPr>
    </w:p>
    <w:p w14:paraId="0D98CE80" w14:textId="77777777" w:rsidR="008A46A0" w:rsidRPr="00CB7E2E" w:rsidRDefault="008A46A0" w:rsidP="00CB7E2E">
      <w:pPr>
        <w:rPr>
          <w:rFonts w:ascii="Arial" w:hAnsi="Arial" w:cs="Arial"/>
          <w:sz w:val="20"/>
          <w:szCs w:val="20"/>
          <w:lang w:val="es-UY"/>
        </w:rPr>
      </w:pPr>
    </w:p>
    <w:p w14:paraId="3A36B594" w14:textId="77777777" w:rsidR="008A46A0" w:rsidRPr="00CB7E2E" w:rsidRDefault="008A46A0" w:rsidP="00CB7E2E">
      <w:pPr>
        <w:rPr>
          <w:rFonts w:ascii="Arial" w:hAnsi="Arial" w:cs="Arial"/>
          <w:sz w:val="20"/>
          <w:szCs w:val="20"/>
          <w:lang w:val="es-UY"/>
        </w:rPr>
      </w:pPr>
    </w:p>
    <w:p w14:paraId="5FE0C7A1" w14:textId="77777777" w:rsidR="008A46A0" w:rsidRDefault="008A46A0" w:rsidP="00CB7E2E">
      <w:pPr>
        <w:rPr>
          <w:rFonts w:ascii="Arial" w:hAnsi="Arial" w:cs="Arial"/>
          <w:sz w:val="20"/>
          <w:szCs w:val="20"/>
          <w:lang w:val="es-UY"/>
        </w:rPr>
      </w:pPr>
    </w:p>
    <w:p w14:paraId="5CA6368A" w14:textId="77777777" w:rsidR="006B26DB" w:rsidRPr="00CB7E2E" w:rsidRDefault="006B26DB" w:rsidP="00CB7E2E">
      <w:pPr>
        <w:rPr>
          <w:rFonts w:ascii="Arial" w:hAnsi="Arial" w:cs="Arial"/>
          <w:sz w:val="20"/>
          <w:szCs w:val="20"/>
          <w:lang w:val="es-UY"/>
        </w:rPr>
      </w:pPr>
    </w:p>
    <w:p w14:paraId="4D5755A9" w14:textId="77777777" w:rsidR="008A46A0" w:rsidRPr="00CB7E2E" w:rsidRDefault="008A46A0" w:rsidP="00692283">
      <w:pPr>
        <w:jc w:val="both"/>
        <w:rPr>
          <w:rFonts w:ascii="Arial" w:hAnsi="Arial" w:cs="Arial"/>
          <w:sz w:val="20"/>
          <w:szCs w:val="20"/>
          <w:lang w:val="es-UY"/>
        </w:rPr>
      </w:pPr>
      <w:bookmarkStart w:id="1129" w:name="A_5_3"/>
      <w:r w:rsidRPr="00CB7E2E">
        <w:rPr>
          <w:rFonts w:ascii="Arial" w:hAnsi="Arial" w:cs="Arial"/>
          <w:sz w:val="20"/>
          <w:szCs w:val="20"/>
          <w:lang w:val="es-UY"/>
        </w:rPr>
        <w:t xml:space="preserve">AVAL COMO GARANTÍA DE MANTENIMIENTO DE OFERTA </w:t>
      </w:r>
    </w:p>
    <w:bookmarkEnd w:id="1129"/>
    <w:p w14:paraId="2A7E1CFF" w14:textId="77777777" w:rsidR="00032A9D" w:rsidRPr="00CB7E2E" w:rsidRDefault="008A46A0" w:rsidP="00692283">
      <w:pPr>
        <w:jc w:val="both"/>
        <w:rPr>
          <w:rFonts w:ascii="Arial" w:hAnsi="Arial" w:cs="Arial"/>
          <w:sz w:val="20"/>
          <w:szCs w:val="20"/>
          <w:lang w:val="es-UY"/>
        </w:rPr>
      </w:pPr>
      <w:r w:rsidRPr="00CB7E2E">
        <w:rPr>
          <w:rFonts w:ascii="Arial" w:hAnsi="Arial" w:cs="Arial"/>
          <w:sz w:val="20"/>
          <w:szCs w:val="20"/>
          <w:lang w:val="es-UY"/>
        </w:rPr>
        <w:t>Sr. Ministro de Transporte y Obras Públicas.</w:t>
      </w:r>
      <w:r w:rsidR="00B14DCC" w:rsidRPr="00CB7E2E">
        <w:rPr>
          <w:rFonts w:ascii="Arial" w:hAnsi="Arial" w:cs="Arial"/>
          <w:sz w:val="20"/>
          <w:szCs w:val="20"/>
          <w:lang w:val="es-UY"/>
        </w:rPr>
        <w:t xml:space="preserve">                                  </w:t>
      </w:r>
      <w:r w:rsidRPr="00CB7E2E">
        <w:rPr>
          <w:rFonts w:ascii="Arial" w:hAnsi="Arial" w:cs="Arial"/>
          <w:sz w:val="20"/>
          <w:szCs w:val="20"/>
          <w:lang w:val="es-UY"/>
        </w:rPr>
        <w:t xml:space="preserve"> </w:t>
      </w:r>
    </w:p>
    <w:p w14:paraId="432B2BFE" w14:textId="77777777" w:rsidR="008A46A0" w:rsidRPr="00CB7E2E" w:rsidRDefault="008A46A0" w:rsidP="00692283">
      <w:pPr>
        <w:jc w:val="both"/>
        <w:rPr>
          <w:rFonts w:ascii="Arial" w:hAnsi="Arial" w:cs="Arial"/>
          <w:sz w:val="20"/>
          <w:szCs w:val="20"/>
          <w:lang w:val="es-UY"/>
        </w:rPr>
      </w:pPr>
      <w:r w:rsidRPr="00CB7E2E">
        <w:rPr>
          <w:rFonts w:ascii="Arial" w:hAnsi="Arial" w:cs="Arial"/>
          <w:sz w:val="20"/>
          <w:szCs w:val="20"/>
          <w:lang w:val="es-UY"/>
        </w:rPr>
        <w:t>Lugar y fecha</w:t>
      </w:r>
    </w:p>
    <w:p w14:paraId="6A438271" w14:textId="77777777" w:rsidR="008A46A0" w:rsidRPr="00CB7E2E" w:rsidRDefault="000C47E9" w:rsidP="00692283">
      <w:pPr>
        <w:jc w:val="both"/>
        <w:rPr>
          <w:rFonts w:ascii="Arial" w:hAnsi="Arial" w:cs="Arial"/>
          <w:sz w:val="20"/>
          <w:szCs w:val="20"/>
        </w:rPr>
      </w:pPr>
      <w:r w:rsidRPr="00CB7E2E">
        <w:rPr>
          <w:rFonts w:ascii="Arial" w:hAnsi="Arial" w:cs="Arial"/>
          <w:sz w:val="20"/>
          <w:szCs w:val="20"/>
        </w:rPr>
        <w:t>Por la presente nos constituimos avalistas solidarios, renunciando al beneficio de excusión, de la/s empresa/s (nombre del/los licitante/s)........, integrante/s del Oferente constituido por “xxx”, “yyy”, “zzz”_, por la suma de U$S...................... (dólares estadounidenses .............) como respaldo para el mantenimiento de la oferta de la Licitación N° __________ para la obra</w:t>
      </w:r>
      <w:r w:rsidR="00435D7B">
        <w:rPr>
          <w:rFonts w:ascii="Arial" w:hAnsi="Arial" w:cs="Arial"/>
          <w:sz w:val="20"/>
          <w:szCs w:val="20"/>
        </w:rPr>
        <w:t xml:space="preserve"> …………………………………………..</w:t>
      </w:r>
      <w:r w:rsidRPr="00CB7E2E">
        <w:rPr>
          <w:rFonts w:ascii="Arial" w:hAnsi="Arial" w:cs="Arial"/>
          <w:sz w:val="20"/>
          <w:szCs w:val="20"/>
        </w:rPr>
        <w:t xml:space="preserve"> </w:t>
      </w:r>
    </w:p>
    <w:p w14:paraId="3AF01AB8"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lastRenderedPageBreak/>
        <w:t>Este aval se mantendrá por el plazo de.....................días calendario,</w:t>
      </w:r>
      <w:r w:rsidR="00B14DCC" w:rsidRPr="00CB7E2E">
        <w:rPr>
          <w:rFonts w:ascii="Arial" w:hAnsi="Arial" w:cs="Arial"/>
          <w:sz w:val="20"/>
          <w:szCs w:val="20"/>
        </w:rPr>
        <w:t xml:space="preserve"> </w:t>
      </w:r>
      <w:r w:rsidRPr="00CB7E2E">
        <w:rPr>
          <w:rFonts w:ascii="Arial" w:hAnsi="Arial" w:cs="Arial"/>
          <w:sz w:val="20"/>
          <w:szCs w:val="20"/>
        </w:rPr>
        <w:t xml:space="preserve">hasta la presentación de la garantía de fiel cumplimiento de contrato. </w:t>
      </w:r>
    </w:p>
    <w:p w14:paraId="283DCD60"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t>El Banco se compromete a entregar al MTOP el importe garantizado, sin necesidad de ningún trámite judicial, siendo suficiente la intimación de entrega. Dicho pago se efectuará en la sede del MTOP, calle Rincón N° 561, Piso 7 de Montevideo.</w:t>
      </w:r>
    </w:p>
    <w:p w14:paraId="65FCAF1E" w14:textId="77777777" w:rsidR="008A46A0" w:rsidRPr="00CB7E2E" w:rsidRDefault="008A46A0" w:rsidP="00692283">
      <w:pPr>
        <w:jc w:val="both"/>
        <w:rPr>
          <w:rFonts w:ascii="Arial" w:hAnsi="Arial" w:cs="Arial"/>
          <w:sz w:val="20"/>
          <w:szCs w:val="20"/>
        </w:rPr>
      </w:pPr>
      <w:r w:rsidRPr="00CB7E2E">
        <w:rPr>
          <w:rFonts w:ascii="Arial" w:hAnsi="Arial" w:cs="Arial"/>
          <w:sz w:val="20"/>
          <w:szCs w:val="20"/>
        </w:rPr>
        <w:t>Se fija como domicilio especial a los efectos a que dé lugar este documento en Montevideo, calle..... N°...... Se solicita la intervención del Escribano.........</w:t>
      </w:r>
    </w:p>
    <w:p w14:paraId="29D70A89" w14:textId="77777777" w:rsidR="0043641F" w:rsidRDefault="0043641F" w:rsidP="00692283">
      <w:pPr>
        <w:jc w:val="both"/>
        <w:rPr>
          <w:rFonts w:ascii="Arial" w:hAnsi="Arial" w:cs="Arial"/>
          <w:sz w:val="20"/>
          <w:szCs w:val="20"/>
        </w:rPr>
      </w:pPr>
    </w:p>
    <w:p w14:paraId="39BBEE2E" w14:textId="77777777" w:rsidR="0043641F" w:rsidRDefault="0043641F" w:rsidP="00692283">
      <w:pPr>
        <w:jc w:val="both"/>
        <w:rPr>
          <w:rFonts w:ascii="Arial" w:hAnsi="Arial" w:cs="Arial"/>
          <w:sz w:val="20"/>
          <w:szCs w:val="20"/>
        </w:rPr>
      </w:pPr>
    </w:p>
    <w:p w14:paraId="79AD2E54" w14:textId="77777777" w:rsidR="0043641F" w:rsidRDefault="0043641F" w:rsidP="00692283">
      <w:pPr>
        <w:jc w:val="both"/>
        <w:rPr>
          <w:rFonts w:ascii="Arial" w:hAnsi="Arial" w:cs="Arial"/>
          <w:sz w:val="20"/>
          <w:szCs w:val="20"/>
        </w:rPr>
      </w:pPr>
    </w:p>
    <w:p w14:paraId="03D741A2" w14:textId="77777777" w:rsidR="0043641F" w:rsidRDefault="0043641F" w:rsidP="00692283">
      <w:pPr>
        <w:jc w:val="both"/>
        <w:rPr>
          <w:rFonts w:ascii="Arial" w:hAnsi="Arial" w:cs="Arial"/>
          <w:sz w:val="20"/>
          <w:szCs w:val="20"/>
        </w:rPr>
      </w:pPr>
    </w:p>
    <w:p w14:paraId="73FD93BA" w14:textId="77777777" w:rsidR="0043641F" w:rsidRDefault="0043641F" w:rsidP="00692283">
      <w:pPr>
        <w:jc w:val="both"/>
        <w:rPr>
          <w:rFonts w:ascii="Arial" w:hAnsi="Arial" w:cs="Arial"/>
          <w:sz w:val="20"/>
          <w:szCs w:val="20"/>
        </w:rPr>
      </w:pPr>
    </w:p>
    <w:p w14:paraId="62194965" w14:textId="77777777" w:rsidR="0043641F" w:rsidRDefault="0043641F" w:rsidP="00692283">
      <w:pPr>
        <w:jc w:val="both"/>
        <w:rPr>
          <w:rFonts w:ascii="Arial" w:hAnsi="Arial" w:cs="Arial"/>
          <w:sz w:val="20"/>
          <w:szCs w:val="20"/>
        </w:rPr>
      </w:pPr>
    </w:p>
    <w:p w14:paraId="7F218739" w14:textId="77777777" w:rsidR="0043641F" w:rsidRDefault="0043641F" w:rsidP="00692283">
      <w:pPr>
        <w:jc w:val="both"/>
        <w:rPr>
          <w:rFonts w:ascii="Arial" w:hAnsi="Arial" w:cs="Arial"/>
          <w:sz w:val="20"/>
          <w:szCs w:val="20"/>
        </w:rPr>
      </w:pPr>
    </w:p>
    <w:p w14:paraId="444D8640" w14:textId="77777777" w:rsidR="0043641F" w:rsidRDefault="0043641F" w:rsidP="00692283">
      <w:pPr>
        <w:jc w:val="both"/>
        <w:rPr>
          <w:rFonts w:ascii="Arial" w:hAnsi="Arial" w:cs="Arial"/>
          <w:sz w:val="20"/>
          <w:szCs w:val="20"/>
        </w:rPr>
      </w:pPr>
      <w:r>
        <w:rPr>
          <w:rFonts w:ascii="Arial" w:hAnsi="Arial" w:cs="Arial"/>
          <w:sz w:val="20"/>
          <w:szCs w:val="20"/>
        </w:rPr>
        <w:t>Nota:</w:t>
      </w:r>
    </w:p>
    <w:p w14:paraId="6D24187E" w14:textId="77777777" w:rsidR="00F364B1" w:rsidRPr="00CB7E2E" w:rsidRDefault="008A46A0" w:rsidP="00692283">
      <w:pPr>
        <w:jc w:val="both"/>
        <w:rPr>
          <w:rFonts w:ascii="Arial" w:hAnsi="Arial" w:cs="Arial"/>
          <w:sz w:val="20"/>
          <w:szCs w:val="20"/>
        </w:rPr>
      </w:pPr>
      <w:r w:rsidRPr="00CB7E2E">
        <w:rPr>
          <w:rFonts w:ascii="Arial" w:hAnsi="Arial" w:cs="Arial"/>
          <w:sz w:val="20"/>
          <w:szCs w:val="20"/>
        </w:rPr>
        <w:lastRenderedPageBreak/>
        <w:t>El aval bancario deberá tener firmas certificadas por Escribano Público.</w:t>
      </w:r>
      <w:r w:rsidR="00032A9D" w:rsidRPr="00CB7E2E">
        <w:rPr>
          <w:rFonts w:ascii="Arial" w:hAnsi="Arial" w:cs="Arial"/>
          <w:sz w:val="20"/>
          <w:szCs w:val="20"/>
        </w:rPr>
        <w:t xml:space="preserve"> </w:t>
      </w:r>
      <w:r w:rsidRPr="00CB7E2E">
        <w:rPr>
          <w:rFonts w:ascii="Arial" w:hAnsi="Arial" w:cs="Arial"/>
          <w:sz w:val="20"/>
          <w:szCs w:val="20"/>
        </w:rPr>
        <w:t>Dicha certificación deberá ser hecha en papel notarial de actuación, con los timbres correspondientes al monto de la garantía de que se trata. En caso de tratarse de sociedades</w:t>
      </w:r>
      <w:r w:rsidR="00435D7B">
        <w:rPr>
          <w:rFonts w:ascii="Arial" w:hAnsi="Arial" w:cs="Arial"/>
          <w:sz w:val="20"/>
          <w:szCs w:val="20"/>
        </w:rPr>
        <w:t>,</w:t>
      </w:r>
      <w:r w:rsidRPr="00CB7E2E">
        <w:rPr>
          <w:rFonts w:ascii="Arial" w:hAnsi="Arial" w:cs="Arial"/>
          <w:sz w:val="20"/>
          <w:szCs w:val="20"/>
        </w:rPr>
        <w:t xml:space="preserve"> el escribano actuante deberá hacer un control completo de las mismas (lugar y fecha de constitución, N°, F° y L° de inscripción en el Registro Público y General de Comercio, publicaciones, representación de los firmantes, vigencia de los cargos</w:t>
      </w:r>
      <w:r w:rsidR="00435D7B">
        <w:rPr>
          <w:rFonts w:ascii="Arial" w:hAnsi="Arial" w:cs="Arial"/>
          <w:sz w:val="20"/>
          <w:szCs w:val="20"/>
        </w:rPr>
        <w:t>)</w:t>
      </w:r>
      <w:r w:rsidRPr="00CB7E2E">
        <w:rPr>
          <w:rFonts w:ascii="Arial" w:hAnsi="Arial" w:cs="Arial"/>
          <w:sz w:val="20"/>
          <w:szCs w:val="20"/>
        </w:rPr>
        <w:t>. En caso que la sociedad actúe por poder, relacionar el poder y la vigencia del mismo.</w:t>
      </w:r>
    </w:p>
    <w:p w14:paraId="1CCC9269" w14:textId="77777777" w:rsidR="00F364B1" w:rsidRPr="00CB7E2E" w:rsidRDefault="00F364B1" w:rsidP="00CB7E2E">
      <w:pPr>
        <w:rPr>
          <w:rFonts w:ascii="Arial" w:hAnsi="Arial" w:cs="Arial"/>
          <w:sz w:val="20"/>
          <w:szCs w:val="20"/>
          <w:lang w:val="es-UY"/>
        </w:rPr>
      </w:pPr>
    </w:p>
    <w:p w14:paraId="6F198AB4" w14:textId="77777777" w:rsidR="00F364B1" w:rsidRPr="00CB7E2E" w:rsidRDefault="00F364B1" w:rsidP="00CB7E2E">
      <w:pPr>
        <w:rPr>
          <w:rFonts w:ascii="Arial" w:hAnsi="Arial" w:cs="Arial"/>
          <w:sz w:val="20"/>
          <w:szCs w:val="20"/>
          <w:highlight w:val="yellow"/>
        </w:rPr>
      </w:pPr>
      <w:bookmarkStart w:id="1130" w:name="_Toc428868820"/>
    </w:p>
    <w:bookmarkEnd w:id="1130"/>
    <w:p w14:paraId="41EAFCF3" w14:textId="77777777" w:rsidR="00C66A07" w:rsidRPr="00CB7E2E" w:rsidRDefault="00C66A07" w:rsidP="00CB7E2E">
      <w:pPr>
        <w:rPr>
          <w:rFonts w:ascii="Arial" w:hAnsi="Arial" w:cs="Arial"/>
          <w:sz w:val="20"/>
          <w:szCs w:val="20"/>
        </w:rPr>
      </w:pPr>
      <w:r w:rsidRPr="00CB7E2E">
        <w:rPr>
          <w:rFonts w:ascii="Arial" w:hAnsi="Arial" w:cs="Arial"/>
          <w:sz w:val="20"/>
          <w:szCs w:val="20"/>
        </w:rPr>
        <w:br w:type="page"/>
      </w:r>
    </w:p>
    <w:p w14:paraId="6EF6BCEF" w14:textId="77777777" w:rsidR="00247227" w:rsidRPr="00CB7E2E" w:rsidRDefault="00247227" w:rsidP="00CB7E2E">
      <w:pPr>
        <w:rPr>
          <w:rFonts w:ascii="Arial" w:hAnsi="Arial" w:cs="Arial"/>
          <w:sz w:val="20"/>
          <w:szCs w:val="20"/>
        </w:rPr>
      </w:pPr>
      <w:r w:rsidRPr="00CB7E2E">
        <w:rPr>
          <w:rFonts w:ascii="Arial" w:hAnsi="Arial" w:cs="Arial"/>
          <w:sz w:val="20"/>
          <w:szCs w:val="20"/>
        </w:rPr>
        <w:lastRenderedPageBreak/>
        <w:t>PATRIMONIO E INGRESOS DEL OFERENTE</w:t>
      </w:r>
    </w:p>
    <w:p w14:paraId="0ABB01AE" w14:textId="77777777" w:rsidR="00247227" w:rsidRPr="00CB7E2E" w:rsidRDefault="00247227" w:rsidP="00CB7E2E">
      <w:pPr>
        <w:rPr>
          <w:rFonts w:ascii="Arial" w:hAnsi="Arial" w:cs="Arial"/>
          <w:sz w:val="20"/>
          <w:szCs w:val="20"/>
          <w:lang w:val="es-CL"/>
        </w:rPr>
      </w:pPr>
    </w:p>
    <w:p w14:paraId="433C3692" w14:textId="77777777" w:rsidR="00247227" w:rsidRPr="00CB7E2E" w:rsidRDefault="00247227" w:rsidP="00CB7E2E">
      <w:pPr>
        <w:rPr>
          <w:rFonts w:ascii="Arial" w:hAnsi="Arial" w:cs="Arial"/>
          <w:sz w:val="20"/>
          <w:szCs w:val="20"/>
          <w:lang w:val="es-CL"/>
        </w:rPr>
      </w:pPr>
      <w:r w:rsidRPr="00CB7E2E">
        <w:rPr>
          <w:rFonts w:ascii="Arial" w:hAnsi="Arial" w:cs="Arial"/>
          <w:sz w:val="20"/>
          <w:szCs w:val="20"/>
          <w:lang w:val="es-CL"/>
        </w:rPr>
        <w:t>NOMBRE DEL OFERENTE: _____________________________________________________</w:t>
      </w:r>
    </w:p>
    <w:p w14:paraId="78064804" w14:textId="77777777" w:rsidR="00F364B1" w:rsidRPr="00CB7E2E" w:rsidRDefault="00247227" w:rsidP="00CB7E2E">
      <w:pPr>
        <w:rPr>
          <w:rFonts w:ascii="Arial" w:hAnsi="Arial" w:cs="Arial"/>
          <w:sz w:val="20"/>
          <w:szCs w:val="20"/>
          <w:lang w:val="es-CL"/>
        </w:rPr>
      </w:pPr>
      <w:r w:rsidRPr="00CB7E2E">
        <w:rPr>
          <w:rFonts w:ascii="Arial" w:hAnsi="Arial" w:cs="Arial"/>
          <w:sz w:val="20"/>
          <w:szCs w:val="20"/>
          <w:lang w:val="es-CL"/>
        </w:rPr>
        <w:t>REPRESENTANTE: _________________________________________________________</w:t>
      </w:r>
    </w:p>
    <w:p w14:paraId="2405BE83" w14:textId="77777777" w:rsidR="00247227" w:rsidRPr="00CB7E2E" w:rsidRDefault="00EE6853" w:rsidP="00CB7E2E">
      <w:pPr>
        <w:rPr>
          <w:rFonts w:ascii="Arial" w:hAnsi="Arial" w:cs="Arial"/>
          <w:sz w:val="20"/>
          <w:szCs w:val="20"/>
        </w:rPr>
      </w:pPr>
      <w:r>
        <w:rPr>
          <w:rFonts w:ascii="Arial" w:hAnsi="Arial" w:cs="Arial"/>
          <w:sz w:val="20"/>
          <w:szCs w:val="20"/>
        </w:rPr>
        <w:t>(Deberá detallarse el folio de la oferta en el que consta la persona o empresa habilitada como auitor externo en el BCU que efectuó la equivalencia entre monedas)</w:t>
      </w:r>
    </w:p>
    <w:p w14:paraId="0B6A6137" w14:textId="77777777" w:rsidR="00F364B1" w:rsidRPr="00CB7E2E" w:rsidRDefault="00F364B1" w:rsidP="00CB7E2E">
      <w:pPr>
        <w:rPr>
          <w:rFonts w:ascii="Arial" w:hAnsi="Arial" w:cs="Arial"/>
          <w:sz w:val="20"/>
          <w:szCs w:val="20"/>
        </w:rPr>
      </w:pPr>
      <w:r w:rsidRPr="00CB7E2E">
        <w:rPr>
          <w:rFonts w:ascii="Arial" w:hAnsi="Arial" w:cs="Arial"/>
          <w:sz w:val="20"/>
          <w:szCs w:val="20"/>
        </w:rPr>
        <w:t>Para el ejercicio más reciente. Cifras en millones de pesos uruguayos:</w:t>
      </w:r>
    </w:p>
    <w:tbl>
      <w:tblPr>
        <w:tblW w:w="86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2976"/>
      </w:tblGrid>
      <w:tr w:rsidR="00F364B1" w:rsidRPr="00CB7E2E" w14:paraId="5EF17AFC" w14:textId="77777777" w:rsidTr="000A2D1A">
        <w:trPr>
          <w:trHeight w:val="596"/>
        </w:trPr>
        <w:tc>
          <w:tcPr>
            <w:tcW w:w="2518" w:type="dxa"/>
            <w:vAlign w:val="center"/>
          </w:tcPr>
          <w:p w14:paraId="0B20223F"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Nombre o Razón Social</w:t>
            </w:r>
          </w:p>
        </w:tc>
        <w:tc>
          <w:tcPr>
            <w:tcW w:w="3119" w:type="dxa"/>
            <w:vAlign w:val="center"/>
          </w:tcPr>
          <w:p w14:paraId="6ACE8541"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Patrimonio</w:t>
            </w:r>
          </w:p>
        </w:tc>
        <w:tc>
          <w:tcPr>
            <w:tcW w:w="2976" w:type="dxa"/>
            <w:vAlign w:val="center"/>
          </w:tcPr>
          <w:p w14:paraId="0FDAFB90"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Ingresos operativos</w:t>
            </w:r>
          </w:p>
        </w:tc>
      </w:tr>
      <w:tr w:rsidR="00F364B1" w:rsidRPr="00CB7E2E" w14:paraId="6BB38C25" w14:textId="77777777" w:rsidTr="000A2D1A">
        <w:tc>
          <w:tcPr>
            <w:tcW w:w="2518" w:type="dxa"/>
            <w:vAlign w:val="center"/>
          </w:tcPr>
          <w:p w14:paraId="7107EDCF"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1</w:t>
            </w:r>
          </w:p>
        </w:tc>
        <w:tc>
          <w:tcPr>
            <w:tcW w:w="3119" w:type="dxa"/>
          </w:tcPr>
          <w:p w14:paraId="583B1D5A" w14:textId="77777777" w:rsidR="00F364B1" w:rsidRPr="00CB7E2E" w:rsidRDefault="00F364B1" w:rsidP="00CB7E2E">
            <w:pPr>
              <w:rPr>
                <w:rFonts w:ascii="Arial" w:hAnsi="Arial" w:cs="Arial"/>
                <w:sz w:val="20"/>
                <w:szCs w:val="20"/>
                <w:lang w:val="es-CL"/>
              </w:rPr>
            </w:pPr>
          </w:p>
        </w:tc>
        <w:tc>
          <w:tcPr>
            <w:tcW w:w="2976" w:type="dxa"/>
          </w:tcPr>
          <w:p w14:paraId="6EE1E8F9" w14:textId="77777777" w:rsidR="00F364B1" w:rsidRPr="00CB7E2E" w:rsidRDefault="00F364B1" w:rsidP="00CB7E2E">
            <w:pPr>
              <w:rPr>
                <w:rFonts w:ascii="Arial" w:hAnsi="Arial" w:cs="Arial"/>
                <w:sz w:val="20"/>
                <w:szCs w:val="20"/>
                <w:lang w:val="es-CL"/>
              </w:rPr>
            </w:pPr>
          </w:p>
        </w:tc>
      </w:tr>
      <w:tr w:rsidR="00F364B1" w:rsidRPr="00CB7E2E" w14:paraId="2D59DAF1" w14:textId="77777777" w:rsidTr="000A2D1A">
        <w:tc>
          <w:tcPr>
            <w:tcW w:w="2518" w:type="dxa"/>
            <w:vAlign w:val="center"/>
          </w:tcPr>
          <w:p w14:paraId="621452A9"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2</w:t>
            </w:r>
          </w:p>
        </w:tc>
        <w:tc>
          <w:tcPr>
            <w:tcW w:w="3119" w:type="dxa"/>
          </w:tcPr>
          <w:p w14:paraId="40B41AE6" w14:textId="77777777" w:rsidR="00F364B1" w:rsidRPr="00CB7E2E" w:rsidRDefault="00F364B1" w:rsidP="00CB7E2E">
            <w:pPr>
              <w:rPr>
                <w:rFonts w:ascii="Arial" w:hAnsi="Arial" w:cs="Arial"/>
                <w:sz w:val="20"/>
                <w:szCs w:val="20"/>
                <w:lang w:val="es-CL"/>
              </w:rPr>
            </w:pPr>
          </w:p>
        </w:tc>
        <w:tc>
          <w:tcPr>
            <w:tcW w:w="2976" w:type="dxa"/>
          </w:tcPr>
          <w:p w14:paraId="5878CCE9" w14:textId="77777777" w:rsidR="00F364B1" w:rsidRPr="00CB7E2E" w:rsidRDefault="00F364B1" w:rsidP="00CB7E2E">
            <w:pPr>
              <w:rPr>
                <w:rFonts w:ascii="Arial" w:hAnsi="Arial" w:cs="Arial"/>
                <w:sz w:val="20"/>
                <w:szCs w:val="20"/>
                <w:lang w:val="es-CL"/>
              </w:rPr>
            </w:pPr>
          </w:p>
        </w:tc>
      </w:tr>
      <w:tr w:rsidR="00F364B1" w:rsidRPr="00CB7E2E" w14:paraId="530B167F" w14:textId="77777777" w:rsidTr="000A2D1A">
        <w:tc>
          <w:tcPr>
            <w:tcW w:w="2518" w:type="dxa"/>
            <w:vAlign w:val="center"/>
          </w:tcPr>
          <w:p w14:paraId="6B311049"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w:t>
            </w:r>
          </w:p>
        </w:tc>
        <w:tc>
          <w:tcPr>
            <w:tcW w:w="3119" w:type="dxa"/>
          </w:tcPr>
          <w:p w14:paraId="544ABE53" w14:textId="77777777" w:rsidR="00F364B1" w:rsidRPr="00CB7E2E" w:rsidRDefault="00F364B1" w:rsidP="00CB7E2E">
            <w:pPr>
              <w:rPr>
                <w:rFonts w:ascii="Arial" w:hAnsi="Arial" w:cs="Arial"/>
                <w:sz w:val="20"/>
                <w:szCs w:val="20"/>
                <w:lang w:val="es-CL"/>
              </w:rPr>
            </w:pPr>
          </w:p>
        </w:tc>
        <w:tc>
          <w:tcPr>
            <w:tcW w:w="2976" w:type="dxa"/>
          </w:tcPr>
          <w:p w14:paraId="52744F17" w14:textId="77777777" w:rsidR="00F364B1" w:rsidRPr="00CB7E2E" w:rsidRDefault="00F364B1" w:rsidP="00CB7E2E">
            <w:pPr>
              <w:rPr>
                <w:rFonts w:ascii="Arial" w:hAnsi="Arial" w:cs="Arial"/>
                <w:sz w:val="20"/>
                <w:szCs w:val="20"/>
                <w:lang w:val="es-CL"/>
              </w:rPr>
            </w:pPr>
          </w:p>
        </w:tc>
      </w:tr>
      <w:tr w:rsidR="00F364B1" w:rsidRPr="00CB7E2E" w14:paraId="15A1685B" w14:textId="77777777" w:rsidTr="000A2D1A">
        <w:tc>
          <w:tcPr>
            <w:tcW w:w="2518" w:type="dxa"/>
            <w:vAlign w:val="center"/>
          </w:tcPr>
          <w:p w14:paraId="6B6AEA9D"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 xml:space="preserve">Integrante </w:t>
            </w:r>
            <w:r w:rsidRPr="00CB7E2E">
              <w:rPr>
                <w:rFonts w:ascii="Arial" w:hAnsi="Arial" w:cs="Arial"/>
                <w:i/>
                <w:sz w:val="20"/>
                <w:szCs w:val="20"/>
                <w:lang w:val="es-CL"/>
              </w:rPr>
              <w:t>n</w:t>
            </w:r>
          </w:p>
        </w:tc>
        <w:tc>
          <w:tcPr>
            <w:tcW w:w="3119" w:type="dxa"/>
          </w:tcPr>
          <w:p w14:paraId="7FB77920" w14:textId="77777777" w:rsidR="00F364B1" w:rsidRPr="00CB7E2E" w:rsidRDefault="00F364B1" w:rsidP="00CB7E2E">
            <w:pPr>
              <w:rPr>
                <w:rFonts w:ascii="Arial" w:hAnsi="Arial" w:cs="Arial"/>
                <w:sz w:val="20"/>
                <w:szCs w:val="20"/>
                <w:lang w:val="es-CL"/>
              </w:rPr>
            </w:pPr>
          </w:p>
        </w:tc>
        <w:tc>
          <w:tcPr>
            <w:tcW w:w="2976" w:type="dxa"/>
          </w:tcPr>
          <w:p w14:paraId="3CAEB6A3" w14:textId="77777777" w:rsidR="00F364B1" w:rsidRPr="00CB7E2E" w:rsidRDefault="00F364B1" w:rsidP="00CB7E2E">
            <w:pPr>
              <w:rPr>
                <w:rFonts w:ascii="Arial" w:hAnsi="Arial" w:cs="Arial"/>
                <w:sz w:val="20"/>
                <w:szCs w:val="20"/>
                <w:lang w:val="es-CL"/>
              </w:rPr>
            </w:pPr>
          </w:p>
        </w:tc>
      </w:tr>
    </w:tbl>
    <w:p w14:paraId="6C2D1611" w14:textId="77777777" w:rsidR="00F364B1" w:rsidRPr="00CB7E2E" w:rsidRDefault="00F364B1" w:rsidP="00CB7E2E">
      <w:pPr>
        <w:rPr>
          <w:rFonts w:ascii="Arial" w:hAnsi="Arial" w:cs="Arial"/>
          <w:sz w:val="20"/>
          <w:szCs w:val="20"/>
        </w:rPr>
      </w:pPr>
    </w:p>
    <w:p w14:paraId="18B46E0F" w14:textId="77777777" w:rsidR="00F364B1" w:rsidRPr="00CB7E2E" w:rsidRDefault="00F364B1" w:rsidP="00CB7E2E">
      <w:pPr>
        <w:rPr>
          <w:rFonts w:ascii="Arial" w:hAnsi="Arial" w:cs="Arial"/>
          <w:sz w:val="20"/>
          <w:szCs w:val="20"/>
        </w:rPr>
      </w:pPr>
      <w:r w:rsidRPr="00CB7E2E">
        <w:rPr>
          <w:rFonts w:ascii="Arial" w:hAnsi="Arial" w:cs="Arial"/>
          <w:sz w:val="20"/>
          <w:szCs w:val="20"/>
        </w:rPr>
        <w:lastRenderedPageBreak/>
        <w:t>Para el ejercicio anterior al más reciente. Cifras en millones de pesos uruguayos:</w:t>
      </w:r>
    </w:p>
    <w:tbl>
      <w:tblPr>
        <w:tblW w:w="86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2976"/>
      </w:tblGrid>
      <w:tr w:rsidR="00F364B1" w:rsidRPr="00CB7E2E" w14:paraId="3DD49D9D" w14:textId="77777777" w:rsidTr="000A2D1A">
        <w:trPr>
          <w:trHeight w:val="596"/>
        </w:trPr>
        <w:tc>
          <w:tcPr>
            <w:tcW w:w="2518" w:type="dxa"/>
            <w:vAlign w:val="center"/>
          </w:tcPr>
          <w:p w14:paraId="5CEEEDDE"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Nombre o Razón Social</w:t>
            </w:r>
          </w:p>
        </w:tc>
        <w:tc>
          <w:tcPr>
            <w:tcW w:w="3119" w:type="dxa"/>
            <w:vAlign w:val="center"/>
          </w:tcPr>
          <w:p w14:paraId="5528553C"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Patrimonio</w:t>
            </w:r>
          </w:p>
        </w:tc>
        <w:tc>
          <w:tcPr>
            <w:tcW w:w="2976" w:type="dxa"/>
            <w:vAlign w:val="center"/>
          </w:tcPr>
          <w:p w14:paraId="075AB4BE"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Ingresos operativos</w:t>
            </w:r>
          </w:p>
        </w:tc>
      </w:tr>
      <w:tr w:rsidR="00F364B1" w:rsidRPr="00CB7E2E" w14:paraId="78F500C5" w14:textId="77777777" w:rsidTr="000A2D1A">
        <w:tc>
          <w:tcPr>
            <w:tcW w:w="2518" w:type="dxa"/>
            <w:vAlign w:val="center"/>
          </w:tcPr>
          <w:p w14:paraId="20AF598B"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1</w:t>
            </w:r>
          </w:p>
        </w:tc>
        <w:tc>
          <w:tcPr>
            <w:tcW w:w="3119" w:type="dxa"/>
          </w:tcPr>
          <w:p w14:paraId="020AE43E" w14:textId="77777777" w:rsidR="00F364B1" w:rsidRPr="00CB7E2E" w:rsidRDefault="00F364B1" w:rsidP="00CB7E2E">
            <w:pPr>
              <w:rPr>
                <w:rFonts w:ascii="Arial" w:hAnsi="Arial" w:cs="Arial"/>
                <w:sz w:val="20"/>
                <w:szCs w:val="20"/>
                <w:lang w:val="es-CL"/>
              </w:rPr>
            </w:pPr>
          </w:p>
        </w:tc>
        <w:tc>
          <w:tcPr>
            <w:tcW w:w="2976" w:type="dxa"/>
          </w:tcPr>
          <w:p w14:paraId="76E2E195" w14:textId="77777777" w:rsidR="00F364B1" w:rsidRPr="00CB7E2E" w:rsidRDefault="00F364B1" w:rsidP="00CB7E2E">
            <w:pPr>
              <w:rPr>
                <w:rFonts w:ascii="Arial" w:hAnsi="Arial" w:cs="Arial"/>
                <w:sz w:val="20"/>
                <w:szCs w:val="20"/>
                <w:lang w:val="es-CL"/>
              </w:rPr>
            </w:pPr>
          </w:p>
        </w:tc>
      </w:tr>
      <w:tr w:rsidR="00F364B1" w:rsidRPr="00CB7E2E" w14:paraId="74BDA3E2" w14:textId="77777777" w:rsidTr="000A2D1A">
        <w:tc>
          <w:tcPr>
            <w:tcW w:w="2518" w:type="dxa"/>
            <w:vAlign w:val="center"/>
          </w:tcPr>
          <w:p w14:paraId="6A2B8F35"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2</w:t>
            </w:r>
          </w:p>
        </w:tc>
        <w:tc>
          <w:tcPr>
            <w:tcW w:w="3119" w:type="dxa"/>
          </w:tcPr>
          <w:p w14:paraId="2421D805" w14:textId="77777777" w:rsidR="00F364B1" w:rsidRPr="00CB7E2E" w:rsidRDefault="00F364B1" w:rsidP="00CB7E2E">
            <w:pPr>
              <w:rPr>
                <w:rFonts w:ascii="Arial" w:hAnsi="Arial" w:cs="Arial"/>
                <w:sz w:val="20"/>
                <w:szCs w:val="20"/>
                <w:lang w:val="es-CL"/>
              </w:rPr>
            </w:pPr>
          </w:p>
        </w:tc>
        <w:tc>
          <w:tcPr>
            <w:tcW w:w="2976" w:type="dxa"/>
          </w:tcPr>
          <w:p w14:paraId="416903A5" w14:textId="77777777" w:rsidR="00F364B1" w:rsidRPr="00CB7E2E" w:rsidRDefault="00F364B1" w:rsidP="00CB7E2E">
            <w:pPr>
              <w:rPr>
                <w:rFonts w:ascii="Arial" w:hAnsi="Arial" w:cs="Arial"/>
                <w:sz w:val="20"/>
                <w:szCs w:val="20"/>
                <w:lang w:val="es-CL"/>
              </w:rPr>
            </w:pPr>
          </w:p>
        </w:tc>
      </w:tr>
      <w:tr w:rsidR="00F364B1" w:rsidRPr="00CB7E2E" w14:paraId="36A2A1D0" w14:textId="77777777" w:rsidTr="000A2D1A">
        <w:tc>
          <w:tcPr>
            <w:tcW w:w="2518" w:type="dxa"/>
            <w:vAlign w:val="center"/>
          </w:tcPr>
          <w:p w14:paraId="2A45183A"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w:t>
            </w:r>
          </w:p>
        </w:tc>
        <w:tc>
          <w:tcPr>
            <w:tcW w:w="3119" w:type="dxa"/>
          </w:tcPr>
          <w:p w14:paraId="37BF3E1D" w14:textId="77777777" w:rsidR="00F364B1" w:rsidRPr="00CB7E2E" w:rsidRDefault="00F364B1" w:rsidP="00CB7E2E">
            <w:pPr>
              <w:rPr>
                <w:rFonts w:ascii="Arial" w:hAnsi="Arial" w:cs="Arial"/>
                <w:sz w:val="20"/>
                <w:szCs w:val="20"/>
                <w:lang w:val="es-CL"/>
              </w:rPr>
            </w:pPr>
          </w:p>
        </w:tc>
        <w:tc>
          <w:tcPr>
            <w:tcW w:w="2976" w:type="dxa"/>
          </w:tcPr>
          <w:p w14:paraId="3EBEBE98" w14:textId="77777777" w:rsidR="00F364B1" w:rsidRPr="00CB7E2E" w:rsidRDefault="00F364B1" w:rsidP="00CB7E2E">
            <w:pPr>
              <w:rPr>
                <w:rFonts w:ascii="Arial" w:hAnsi="Arial" w:cs="Arial"/>
                <w:sz w:val="20"/>
                <w:szCs w:val="20"/>
                <w:lang w:val="es-CL"/>
              </w:rPr>
            </w:pPr>
          </w:p>
        </w:tc>
      </w:tr>
      <w:tr w:rsidR="00F364B1" w:rsidRPr="00CB7E2E" w14:paraId="2DBAD71E" w14:textId="77777777" w:rsidTr="000A2D1A">
        <w:tc>
          <w:tcPr>
            <w:tcW w:w="2518" w:type="dxa"/>
            <w:vAlign w:val="center"/>
          </w:tcPr>
          <w:p w14:paraId="1826852D"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 xml:space="preserve">Integrante </w:t>
            </w:r>
            <w:r w:rsidRPr="00CB7E2E">
              <w:rPr>
                <w:rFonts w:ascii="Arial" w:hAnsi="Arial" w:cs="Arial"/>
                <w:i/>
                <w:sz w:val="20"/>
                <w:szCs w:val="20"/>
                <w:lang w:val="es-CL"/>
              </w:rPr>
              <w:t>n</w:t>
            </w:r>
          </w:p>
        </w:tc>
        <w:tc>
          <w:tcPr>
            <w:tcW w:w="3119" w:type="dxa"/>
          </w:tcPr>
          <w:p w14:paraId="18CFD64F" w14:textId="77777777" w:rsidR="00F364B1" w:rsidRPr="00CB7E2E" w:rsidRDefault="00F364B1" w:rsidP="00CB7E2E">
            <w:pPr>
              <w:rPr>
                <w:rFonts w:ascii="Arial" w:hAnsi="Arial" w:cs="Arial"/>
                <w:sz w:val="20"/>
                <w:szCs w:val="20"/>
                <w:lang w:val="es-CL"/>
              </w:rPr>
            </w:pPr>
          </w:p>
        </w:tc>
        <w:tc>
          <w:tcPr>
            <w:tcW w:w="2976" w:type="dxa"/>
          </w:tcPr>
          <w:p w14:paraId="785D48B2" w14:textId="77777777" w:rsidR="00F364B1" w:rsidRPr="00CB7E2E" w:rsidRDefault="00F364B1" w:rsidP="00CB7E2E">
            <w:pPr>
              <w:rPr>
                <w:rFonts w:ascii="Arial" w:hAnsi="Arial" w:cs="Arial"/>
                <w:sz w:val="20"/>
                <w:szCs w:val="20"/>
                <w:lang w:val="es-CL"/>
              </w:rPr>
            </w:pPr>
          </w:p>
        </w:tc>
      </w:tr>
    </w:tbl>
    <w:p w14:paraId="73DB5683" w14:textId="77777777" w:rsidR="00F364B1" w:rsidRPr="00CB7E2E" w:rsidRDefault="00F364B1" w:rsidP="00CB7E2E">
      <w:pPr>
        <w:rPr>
          <w:rFonts w:ascii="Arial" w:hAnsi="Arial" w:cs="Arial"/>
          <w:sz w:val="20"/>
          <w:szCs w:val="20"/>
        </w:rPr>
      </w:pPr>
    </w:p>
    <w:p w14:paraId="4092DDC5" w14:textId="77777777" w:rsidR="00F364B1" w:rsidRPr="00CB7E2E" w:rsidRDefault="00F364B1" w:rsidP="00CB7E2E">
      <w:pPr>
        <w:rPr>
          <w:rFonts w:ascii="Arial" w:hAnsi="Arial" w:cs="Arial"/>
          <w:sz w:val="20"/>
          <w:szCs w:val="20"/>
        </w:rPr>
      </w:pPr>
      <w:r w:rsidRPr="00CB7E2E">
        <w:rPr>
          <w:rFonts w:ascii="Arial" w:hAnsi="Arial" w:cs="Arial"/>
          <w:sz w:val="20"/>
          <w:szCs w:val="20"/>
        </w:rPr>
        <w:t>Para el ejercicio previo. Cifras en millones de pesos uruguayos:</w:t>
      </w:r>
    </w:p>
    <w:tbl>
      <w:tblPr>
        <w:tblW w:w="86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2976"/>
      </w:tblGrid>
      <w:tr w:rsidR="00F364B1" w:rsidRPr="00CB7E2E" w14:paraId="2430F978" w14:textId="77777777" w:rsidTr="000A2D1A">
        <w:trPr>
          <w:trHeight w:val="596"/>
        </w:trPr>
        <w:tc>
          <w:tcPr>
            <w:tcW w:w="2518" w:type="dxa"/>
            <w:vAlign w:val="center"/>
          </w:tcPr>
          <w:p w14:paraId="5D52A3E9"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Nombre o Razón Social</w:t>
            </w:r>
          </w:p>
        </w:tc>
        <w:tc>
          <w:tcPr>
            <w:tcW w:w="3119" w:type="dxa"/>
            <w:vAlign w:val="center"/>
          </w:tcPr>
          <w:p w14:paraId="4666F736"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Patrimonio</w:t>
            </w:r>
          </w:p>
        </w:tc>
        <w:tc>
          <w:tcPr>
            <w:tcW w:w="2976" w:type="dxa"/>
            <w:vAlign w:val="center"/>
          </w:tcPr>
          <w:p w14:paraId="7726BD16" w14:textId="77777777" w:rsidR="00F364B1" w:rsidRPr="00CB7E2E" w:rsidRDefault="00F364B1" w:rsidP="00CB7E2E">
            <w:pPr>
              <w:rPr>
                <w:rFonts w:ascii="Arial" w:hAnsi="Arial" w:cs="Arial"/>
                <w:b/>
                <w:sz w:val="20"/>
                <w:szCs w:val="20"/>
                <w:lang w:val="es-CL"/>
              </w:rPr>
            </w:pPr>
            <w:r w:rsidRPr="00CB7E2E">
              <w:rPr>
                <w:rFonts w:ascii="Arial" w:hAnsi="Arial" w:cs="Arial"/>
                <w:b/>
                <w:sz w:val="20"/>
                <w:szCs w:val="20"/>
                <w:lang w:val="es-CL"/>
              </w:rPr>
              <w:t>Ingresos operativos</w:t>
            </w:r>
          </w:p>
        </w:tc>
      </w:tr>
      <w:tr w:rsidR="00F364B1" w:rsidRPr="00CB7E2E" w14:paraId="48038E8D" w14:textId="77777777" w:rsidTr="000A2D1A">
        <w:tc>
          <w:tcPr>
            <w:tcW w:w="2518" w:type="dxa"/>
            <w:vAlign w:val="center"/>
          </w:tcPr>
          <w:p w14:paraId="05DF2978"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1</w:t>
            </w:r>
          </w:p>
        </w:tc>
        <w:tc>
          <w:tcPr>
            <w:tcW w:w="3119" w:type="dxa"/>
          </w:tcPr>
          <w:p w14:paraId="5D468EE6" w14:textId="77777777" w:rsidR="00F364B1" w:rsidRPr="00CB7E2E" w:rsidRDefault="00F364B1" w:rsidP="00CB7E2E">
            <w:pPr>
              <w:rPr>
                <w:rFonts w:ascii="Arial" w:hAnsi="Arial" w:cs="Arial"/>
                <w:sz w:val="20"/>
                <w:szCs w:val="20"/>
                <w:lang w:val="es-CL"/>
              </w:rPr>
            </w:pPr>
          </w:p>
        </w:tc>
        <w:tc>
          <w:tcPr>
            <w:tcW w:w="2976" w:type="dxa"/>
          </w:tcPr>
          <w:p w14:paraId="76E4F122" w14:textId="77777777" w:rsidR="00F364B1" w:rsidRPr="00CB7E2E" w:rsidRDefault="00F364B1" w:rsidP="00CB7E2E">
            <w:pPr>
              <w:rPr>
                <w:rFonts w:ascii="Arial" w:hAnsi="Arial" w:cs="Arial"/>
                <w:sz w:val="20"/>
                <w:szCs w:val="20"/>
                <w:lang w:val="es-CL"/>
              </w:rPr>
            </w:pPr>
          </w:p>
        </w:tc>
      </w:tr>
      <w:tr w:rsidR="00F364B1" w:rsidRPr="00CB7E2E" w14:paraId="38C85359" w14:textId="77777777" w:rsidTr="000A2D1A">
        <w:tc>
          <w:tcPr>
            <w:tcW w:w="2518" w:type="dxa"/>
            <w:vAlign w:val="center"/>
          </w:tcPr>
          <w:p w14:paraId="4B8091F6"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Integrante 2</w:t>
            </w:r>
          </w:p>
        </w:tc>
        <w:tc>
          <w:tcPr>
            <w:tcW w:w="3119" w:type="dxa"/>
          </w:tcPr>
          <w:p w14:paraId="1E6C62EF" w14:textId="77777777" w:rsidR="00F364B1" w:rsidRPr="00CB7E2E" w:rsidRDefault="00F364B1" w:rsidP="00CB7E2E">
            <w:pPr>
              <w:rPr>
                <w:rFonts w:ascii="Arial" w:hAnsi="Arial" w:cs="Arial"/>
                <w:sz w:val="20"/>
                <w:szCs w:val="20"/>
                <w:lang w:val="es-CL"/>
              </w:rPr>
            </w:pPr>
          </w:p>
        </w:tc>
        <w:tc>
          <w:tcPr>
            <w:tcW w:w="2976" w:type="dxa"/>
          </w:tcPr>
          <w:p w14:paraId="3F1C3920" w14:textId="77777777" w:rsidR="00F364B1" w:rsidRPr="00CB7E2E" w:rsidRDefault="00F364B1" w:rsidP="00CB7E2E">
            <w:pPr>
              <w:rPr>
                <w:rFonts w:ascii="Arial" w:hAnsi="Arial" w:cs="Arial"/>
                <w:sz w:val="20"/>
                <w:szCs w:val="20"/>
                <w:lang w:val="es-CL"/>
              </w:rPr>
            </w:pPr>
          </w:p>
        </w:tc>
      </w:tr>
      <w:tr w:rsidR="00F364B1" w:rsidRPr="00CB7E2E" w14:paraId="5501DE89" w14:textId="77777777" w:rsidTr="000A2D1A">
        <w:tc>
          <w:tcPr>
            <w:tcW w:w="2518" w:type="dxa"/>
            <w:vAlign w:val="center"/>
          </w:tcPr>
          <w:p w14:paraId="7832452F"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w:t>
            </w:r>
          </w:p>
        </w:tc>
        <w:tc>
          <w:tcPr>
            <w:tcW w:w="3119" w:type="dxa"/>
          </w:tcPr>
          <w:p w14:paraId="3B9523B2" w14:textId="77777777" w:rsidR="00F364B1" w:rsidRPr="00CB7E2E" w:rsidRDefault="00F364B1" w:rsidP="00CB7E2E">
            <w:pPr>
              <w:rPr>
                <w:rFonts w:ascii="Arial" w:hAnsi="Arial" w:cs="Arial"/>
                <w:sz w:val="20"/>
                <w:szCs w:val="20"/>
                <w:lang w:val="es-CL"/>
              </w:rPr>
            </w:pPr>
          </w:p>
        </w:tc>
        <w:tc>
          <w:tcPr>
            <w:tcW w:w="2976" w:type="dxa"/>
          </w:tcPr>
          <w:p w14:paraId="638734CF" w14:textId="77777777" w:rsidR="00F364B1" w:rsidRPr="00CB7E2E" w:rsidRDefault="00F364B1" w:rsidP="00CB7E2E">
            <w:pPr>
              <w:rPr>
                <w:rFonts w:ascii="Arial" w:hAnsi="Arial" w:cs="Arial"/>
                <w:sz w:val="20"/>
                <w:szCs w:val="20"/>
                <w:lang w:val="es-CL"/>
              </w:rPr>
            </w:pPr>
          </w:p>
        </w:tc>
      </w:tr>
      <w:tr w:rsidR="00F364B1" w:rsidRPr="00CB7E2E" w14:paraId="13125049" w14:textId="77777777" w:rsidTr="000A2D1A">
        <w:tc>
          <w:tcPr>
            <w:tcW w:w="2518" w:type="dxa"/>
            <w:vAlign w:val="center"/>
          </w:tcPr>
          <w:p w14:paraId="43C318D8" w14:textId="77777777" w:rsidR="00F364B1" w:rsidRPr="00CB7E2E" w:rsidRDefault="00F364B1" w:rsidP="00CB7E2E">
            <w:pPr>
              <w:rPr>
                <w:rFonts w:ascii="Arial" w:hAnsi="Arial" w:cs="Arial"/>
                <w:sz w:val="20"/>
                <w:szCs w:val="20"/>
                <w:lang w:val="es-CL"/>
              </w:rPr>
            </w:pPr>
            <w:r w:rsidRPr="00CB7E2E">
              <w:rPr>
                <w:rFonts w:ascii="Arial" w:hAnsi="Arial" w:cs="Arial"/>
                <w:sz w:val="20"/>
                <w:szCs w:val="20"/>
                <w:lang w:val="es-CL"/>
              </w:rPr>
              <w:t xml:space="preserve">Integrante </w:t>
            </w:r>
            <w:r w:rsidRPr="00CB7E2E">
              <w:rPr>
                <w:rFonts w:ascii="Arial" w:hAnsi="Arial" w:cs="Arial"/>
                <w:i/>
                <w:sz w:val="20"/>
                <w:szCs w:val="20"/>
                <w:lang w:val="es-CL"/>
              </w:rPr>
              <w:t>n</w:t>
            </w:r>
          </w:p>
        </w:tc>
        <w:tc>
          <w:tcPr>
            <w:tcW w:w="3119" w:type="dxa"/>
          </w:tcPr>
          <w:p w14:paraId="2E9CDF9A" w14:textId="77777777" w:rsidR="00F364B1" w:rsidRPr="00CB7E2E" w:rsidRDefault="00F364B1" w:rsidP="00CB7E2E">
            <w:pPr>
              <w:rPr>
                <w:rFonts w:ascii="Arial" w:hAnsi="Arial" w:cs="Arial"/>
                <w:sz w:val="20"/>
                <w:szCs w:val="20"/>
                <w:lang w:val="es-CL"/>
              </w:rPr>
            </w:pPr>
          </w:p>
        </w:tc>
        <w:tc>
          <w:tcPr>
            <w:tcW w:w="2976" w:type="dxa"/>
          </w:tcPr>
          <w:p w14:paraId="533AD536" w14:textId="77777777" w:rsidR="00F364B1" w:rsidRPr="00CB7E2E" w:rsidRDefault="00F364B1" w:rsidP="00CB7E2E">
            <w:pPr>
              <w:rPr>
                <w:rFonts w:ascii="Arial" w:hAnsi="Arial" w:cs="Arial"/>
                <w:sz w:val="20"/>
                <w:szCs w:val="20"/>
                <w:lang w:val="es-CL"/>
              </w:rPr>
            </w:pPr>
          </w:p>
        </w:tc>
      </w:tr>
    </w:tbl>
    <w:p w14:paraId="409EC7ED" w14:textId="77777777" w:rsidR="00EE6853" w:rsidRDefault="00EE6853" w:rsidP="00CB7E2E">
      <w:pPr>
        <w:pStyle w:val="T0"/>
        <w:outlineLvl w:val="0"/>
      </w:pPr>
      <w:bookmarkStart w:id="1131" w:name="_Toc340671987"/>
      <w:bookmarkStart w:id="1132" w:name="_Toc358821615"/>
      <w:bookmarkStart w:id="1133" w:name="_Toc400622336"/>
      <w:bookmarkStart w:id="1134" w:name="_Toc400629187"/>
      <w:bookmarkStart w:id="1135" w:name="_Toc400634143"/>
      <w:bookmarkStart w:id="1136" w:name="_Toc400635270"/>
      <w:bookmarkStart w:id="1137" w:name="A_6"/>
    </w:p>
    <w:p w14:paraId="2668ACE9" w14:textId="77777777" w:rsidR="00E03D2E" w:rsidRDefault="00E03D2E">
      <w:pPr>
        <w:spacing w:after="0" w:line="240" w:lineRule="auto"/>
      </w:pPr>
    </w:p>
    <w:p w14:paraId="18BE2A02" w14:textId="77777777" w:rsidR="00E03D2E" w:rsidRDefault="00E03D2E">
      <w:pPr>
        <w:spacing w:after="0" w:line="240" w:lineRule="auto"/>
        <w:rPr>
          <w:b/>
        </w:rPr>
      </w:pPr>
      <w:r w:rsidRPr="00E03D2E">
        <w:rPr>
          <w:b/>
        </w:rPr>
        <w:lastRenderedPageBreak/>
        <w:t>Formulario Resumen de la Información Contable</w:t>
      </w:r>
    </w:p>
    <w:p w14:paraId="525E4D84" w14:textId="77777777" w:rsidR="00E03D2E" w:rsidRDefault="00E03D2E">
      <w:pPr>
        <w:spacing w:after="0" w:line="240" w:lineRule="auto"/>
        <w:rPr>
          <w:b/>
        </w:rPr>
      </w:pPr>
    </w:p>
    <w:p w14:paraId="06D0A30A" w14:textId="77777777" w:rsidR="00EE6853" w:rsidRPr="00E03D2E" w:rsidRDefault="00EE6853">
      <w:pPr>
        <w:spacing w:after="0" w:line="240" w:lineRule="auto"/>
        <w:rPr>
          <w:b/>
        </w:rPr>
      </w:pPr>
    </w:p>
    <w:p w14:paraId="0D0B6132" w14:textId="77777777" w:rsidR="00EE6853" w:rsidRDefault="00E03D2E">
      <w:pPr>
        <w:spacing w:after="0" w:line="240" w:lineRule="auto"/>
        <w:rPr>
          <w:rFonts w:ascii="Arial" w:eastAsia="Calibri" w:hAnsi="Arial" w:cs="Arial"/>
          <w:b/>
          <w:bCs/>
          <w:lang w:val="es-ES_tradnl" w:eastAsia="es-ES"/>
        </w:rPr>
      </w:pPr>
      <w:r w:rsidRPr="00EB1557">
        <w:rPr>
          <w:noProof/>
          <w:lang w:val="es-UY" w:eastAsia="es-UY"/>
        </w:rPr>
        <w:drawing>
          <wp:inline distT="0" distB="0" distL="0" distR="0" wp14:anchorId="16F82428" wp14:editId="488FC28F">
            <wp:extent cx="5400040" cy="2784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00040" cy="2784475"/>
                    </a:xfrm>
                    <a:prstGeom prst="rect">
                      <a:avLst/>
                    </a:prstGeom>
                    <a:noFill/>
                    <a:ln>
                      <a:noFill/>
                    </a:ln>
                  </pic:spPr>
                </pic:pic>
              </a:graphicData>
            </a:graphic>
          </wp:inline>
        </w:drawing>
      </w:r>
      <w:r>
        <w:t xml:space="preserve"> </w:t>
      </w:r>
      <w:r w:rsidR="00EE6853">
        <w:br w:type="page"/>
      </w:r>
    </w:p>
    <w:p w14:paraId="089C753D" w14:textId="77777777" w:rsidR="00A3029F" w:rsidRPr="00E2664E" w:rsidRDefault="00A3029F" w:rsidP="00CB7E2E">
      <w:pPr>
        <w:pStyle w:val="T0"/>
        <w:outlineLvl w:val="0"/>
      </w:pPr>
      <w:bookmarkStart w:id="1138" w:name="_Toc468288092"/>
      <w:bookmarkStart w:id="1139" w:name="_Toc496266685"/>
      <w:r w:rsidRPr="00E2664E">
        <w:lastRenderedPageBreak/>
        <w:t xml:space="preserve">ANEXO </w:t>
      </w:r>
      <w:r>
        <w:t>VI:</w:t>
      </w:r>
      <w:r w:rsidRPr="00E2664E">
        <w:t xml:space="preserve"> DESCRIPCIÓN DEL EQUIPO TÉCNICO</w:t>
      </w:r>
      <w:bookmarkEnd w:id="1131"/>
      <w:bookmarkEnd w:id="1132"/>
      <w:bookmarkEnd w:id="1133"/>
      <w:bookmarkEnd w:id="1134"/>
      <w:bookmarkEnd w:id="1135"/>
      <w:bookmarkEnd w:id="1136"/>
      <w:bookmarkEnd w:id="1138"/>
      <w:bookmarkEnd w:id="1139"/>
    </w:p>
    <w:bookmarkEnd w:id="1137"/>
    <w:p w14:paraId="754A4FDE"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Gerente de proyecto de diseño de obras de puesta a punto:</w:t>
      </w:r>
      <w:r w:rsidRPr="00CB7E2E">
        <w:rPr>
          <w:rFonts w:ascii="Arial" w:hAnsi="Arial" w:cs="Arial"/>
          <w:sz w:val="20"/>
          <w:szCs w:val="20"/>
        </w:rPr>
        <w:t xml:space="preserve"> Ingeniero Civil Vial con 15 años de recibido y un mínimo de cinco años de experiencia específica en tareas similares.</w:t>
      </w:r>
    </w:p>
    <w:p w14:paraId="3EE6E605"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Ingeniero proyectista de las obras de puesta a punto:</w:t>
      </w:r>
      <w:r w:rsidRPr="00CB7E2E">
        <w:rPr>
          <w:rFonts w:ascii="Arial" w:hAnsi="Arial" w:cs="Arial"/>
          <w:sz w:val="20"/>
          <w:szCs w:val="20"/>
        </w:rPr>
        <w:t xml:space="preserve"> Ingeniero Civil Vial con 10 años de recibido y un mínimo de cinco años de experiencia específica en tareas similares.</w:t>
      </w:r>
    </w:p>
    <w:p w14:paraId="3B1316B9"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Representante técnico del Contratista:</w:t>
      </w:r>
      <w:r w:rsidRPr="00CB7E2E">
        <w:rPr>
          <w:rFonts w:ascii="Arial" w:hAnsi="Arial" w:cs="Arial"/>
          <w:sz w:val="20"/>
          <w:szCs w:val="20"/>
        </w:rPr>
        <w:t xml:space="preserve"> Ingeniero Civil Vial, egresado de la </w:t>
      </w:r>
      <w:r w:rsidRPr="001B4A3B">
        <w:rPr>
          <w:rFonts w:ascii="Arial" w:hAnsi="Arial" w:cs="Arial"/>
          <w:sz w:val="20"/>
          <w:szCs w:val="20"/>
        </w:rPr>
        <w:t>U</w:t>
      </w:r>
      <w:r w:rsidR="0043641F">
        <w:rPr>
          <w:rFonts w:ascii="Arial" w:hAnsi="Arial" w:cs="Arial"/>
          <w:sz w:val="20"/>
          <w:szCs w:val="20"/>
        </w:rPr>
        <w:t>dela</w:t>
      </w:r>
      <w:r w:rsidRPr="001B4A3B">
        <w:rPr>
          <w:rFonts w:ascii="Arial" w:hAnsi="Arial" w:cs="Arial"/>
          <w:sz w:val="20"/>
          <w:szCs w:val="20"/>
        </w:rPr>
        <w:t xml:space="preserve">R </w:t>
      </w:r>
      <w:r w:rsidR="001B4A3B" w:rsidRPr="001B4A3B">
        <w:rPr>
          <w:rFonts w:ascii="Arial" w:hAnsi="Arial" w:cs="Arial"/>
          <w:sz w:val="20"/>
          <w:szCs w:val="20"/>
          <w:lang w:val="es-UY"/>
        </w:rPr>
        <w:t>o su equivalente en otras universidades terciarias reconocidas por el Ministerio de Educación y Cultura</w:t>
      </w:r>
      <w:r w:rsidR="001B4A3B" w:rsidRPr="001B4A3B">
        <w:rPr>
          <w:rFonts w:ascii="Arial" w:hAnsi="Arial" w:cs="Arial"/>
          <w:sz w:val="20"/>
          <w:szCs w:val="20"/>
        </w:rPr>
        <w:t xml:space="preserve"> </w:t>
      </w:r>
      <w:r w:rsidRPr="00CB7E2E">
        <w:rPr>
          <w:rFonts w:ascii="Arial" w:hAnsi="Arial" w:cs="Arial"/>
          <w:sz w:val="20"/>
          <w:szCs w:val="20"/>
        </w:rPr>
        <w:t>o con título revalidado</w:t>
      </w:r>
      <w:r w:rsidR="0043641F">
        <w:rPr>
          <w:rStyle w:val="Refdenotaalpie"/>
          <w:rFonts w:ascii="Arial" w:hAnsi="Arial" w:cs="Arial"/>
          <w:sz w:val="20"/>
          <w:szCs w:val="20"/>
        </w:rPr>
        <w:footnoteReference w:id="2"/>
      </w:r>
      <w:r w:rsidRPr="00CB7E2E">
        <w:rPr>
          <w:rFonts w:ascii="Arial" w:hAnsi="Arial" w:cs="Arial"/>
          <w:sz w:val="20"/>
          <w:szCs w:val="20"/>
        </w:rPr>
        <w:t>, con 20 o más años de recibido y un mínimo de diez años de experiencia específica en el gerenciamiento de proyectos similares.</w:t>
      </w:r>
    </w:p>
    <w:p w14:paraId="665B86EE"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lastRenderedPageBreak/>
        <w:t>Jefe de Obras del Contratista:</w:t>
      </w:r>
      <w:r w:rsidRPr="00CB7E2E">
        <w:rPr>
          <w:rFonts w:ascii="Arial" w:hAnsi="Arial" w:cs="Arial"/>
          <w:sz w:val="20"/>
          <w:szCs w:val="20"/>
        </w:rPr>
        <w:t xml:space="preserve"> Ingeniero </w:t>
      </w:r>
      <w:r w:rsidR="0043641F">
        <w:rPr>
          <w:rFonts w:ascii="Arial" w:hAnsi="Arial" w:cs="Arial"/>
          <w:sz w:val="20"/>
          <w:szCs w:val="20"/>
        </w:rPr>
        <w:t>Civil Vial, egresado de la Udela</w:t>
      </w:r>
      <w:r w:rsidRPr="00CB7E2E">
        <w:rPr>
          <w:rFonts w:ascii="Arial" w:hAnsi="Arial" w:cs="Arial"/>
          <w:sz w:val="20"/>
          <w:szCs w:val="20"/>
        </w:rPr>
        <w:t xml:space="preserve">R </w:t>
      </w:r>
      <w:r w:rsidR="001B4A3B" w:rsidRPr="001B4A3B">
        <w:rPr>
          <w:rFonts w:ascii="Arial" w:hAnsi="Arial" w:cs="Arial"/>
          <w:sz w:val="20"/>
          <w:szCs w:val="20"/>
          <w:lang w:val="es-UY"/>
        </w:rPr>
        <w:t xml:space="preserve">o su equivalente en otras universidades terciarias reconocidas por el Ministerio de Educación y Cultura </w:t>
      </w:r>
      <w:r w:rsidRPr="00CB7E2E">
        <w:rPr>
          <w:rFonts w:ascii="Arial" w:hAnsi="Arial" w:cs="Arial"/>
          <w:sz w:val="20"/>
          <w:szCs w:val="20"/>
        </w:rPr>
        <w:t>o con título revalidado</w:t>
      </w:r>
      <w:r w:rsidR="00A1166B">
        <w:rPr>
          <w:rStyle w:val="Refdenotaalpie"/>
          <w:rFonts w:ascii="Arial" w:hAnsi="Arial" w:cs="Arial"/>
          <w:sz w:val="20"/>
          <w:szCs w:val="20"/>
        </w:rPr>
        <w:footnoteReference w:id="3"/>
      </w:r>
      <w:r w:rsidRPr="00CB7E2E">
        <w:rPr>
          <w:rFonts w:ascii="Arial" w:hAnsi="Arial" w:cs="Arial"/>
          <w:sz w:val="20"/>
          <w:szCs w:val="20"/>
        </w:rPr>
        <w:t>, con 10 o más años de recibido y un mínimo de cinco años de experiencia específica en tareas similares.</w:t>
      </w:r>
    </w:p>
    <w:p w14:paraId="60543C7D"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b/>
          <w:sz w:val="20"/>
          <w:szCs w:val="20"/>
        </w:rPr>
        <w:t>Jefe de Mantenimiento del Contratista:</w:t>
      </w:r>
      <w:r w:rsidRPr="00CB7E2E">
        <w:rPr>
          <w:rFonts w:ascii="Arial" w:hAnsi="Arial" w:cs="Arial"/>
          <w:sz w:val="20"/>
          <w:szCs w:val="20"/>
        </w:rPr>
        <w:t xml:space="preserve"> Ingeniero Civil Vial, egresado de la U</w:t>
      </w:r>
      <w:r w:rsidR="0043641F">
        <w:rPr>
          <w:rFonts w:ascii="Arial" w:hAnsi="Arial" w:cs="Arial"/>
          <w:sz w:val="20"/>
          <w:szCs w:val="20"/>
        </w:rPr>
        <w:t>dela</w:t>
      </w:r>
      <w:r w:rsidRPr="00CB7E2E">
        <w:rPr>
          <w:rFonts w:ascii="Arial" w:hAnsi="Arial" w:cs="Arial"/>
          <w:sz w:val="20"/>
          <w:szCs w:val="20"/>
        </w:rPr>
        <w:t xml:space="preserve">R </w:t>
      </w:r>
      <w:r w:rsidR="001B4A3B" w:rsidRPr="001B4A3B">
        <w:rPr>
          <w:rFonts w:ascii="Arial" w:hAnsi="Arial" w:cs="Arial"/>
          <w:sz w:val="20"/>
          <w:szCs w:val="20"/>
          <w:lang w:val="es-UY"/>
        </w:rPr>
        <w:t xml:space="preserve">o su equivalente en otras universidades terciarias reconocidas por el Ministerio de Educación y Cultura, </w:t>
      </w:r>
      <w:r w:rsidRPr="00CB7E2E">
        <w:rPr>
          <w:rFonts w:ascii="Arial" w:hAnsi="Arial" w:cs="Arial"/>
          <w:sz w:val="20"/>
          <w:szCs w:val="20"/>
        </w:rPr>
        <w:t>o con título revalidado</w:t>
      </w:r>
      <w:r w:rsidR="00A1166B">
        <w:rPr>
          <w:rStyle w:val="Refdenotaalpie"/>
          <w:rFonts w:ascii="Arial" w:hAnsi="Arial" w:cs="Arial"/>
          <w:sz w:val="20"/>
          <w:szCs w:val="20"/>
        </w:rPr>
        <w:footnoteReference w:id="4"/>
      </w:r>
      <w:r w:rsidRPr="00CB7E2E">
        <w:rPr>
          <w:rFonts w:ascii="Arial" w:hAnsi="Arial" w:cs="Arial"/>
          <w:sz w:val="20"/>
          <w:szCs w:val="20"/>
        </w:rPr>
        <w:t>, con 10 o más años de recibido y un mínimo de cinco años de experiencia específica en tareas similares.</w:t>
      </w:r>
    </w:p>
    <w:p w14:paraId="1AA1740F" w14:textId="77777777" w:rsidR="0046459C" w:rsidRPr="00CB7E2E" w:rsidRDefault="0046459C" w:rsidP="00692283">
      <w:pPr>
        <w:spacing w:line="360" w:lineRule="auto"/>
        <w:jc w:val="both"/>
        <w:rPr>
          <w:rFonts w:ascii="Arial" w:hAnsi="Arial" w:cs="Arial"/>
          <w:sz w:val="20"/>
          <w:szCs w:val="20"/>
        </w:rPr>
      </w:pPr>
      <w:r w:rsidRPr="00CB7E2E">
        <w:rPr>
          <w:rFonts w:ascii="Arial" w:hAnsi="Arial" w:cs="Arial"/>
          <w:sz w:val="20"/>
          <w:szCs w:val="20"/>
        </w:rPr>
        <w:t>Esta descripción del equipo técnico no exime al Contratista de la obligación de contar cuando se requiera de profesionales especialistas en aspectos específicos.</w:t>
      </w:r>
    </w:p>
    <w:p w14:paraId="3EEE2576" w14:textId="77777777" w:rsidR="00A3029F" w:rsidRPr="00CB7E2E" w:rsidRDefault="0087101A" w:rsidP="00692283">
      <w:pPr>
        <w:pStyle w:val="CND2"/>
        <w:spacing w:before="120"/>
        <w:outlineLvl w:val="9"/>
        <w:rPr>
          <w:b w:val="0"/>
          <w:sz w:val="20"/>
          <w:szCs w:val="20"/>
          <w:lang w:val="es-ES"/>
        </w:rPr>
      </w:pPr>
      <w:r w:rsidRPr="00CB7E2E">
        <w:rPr>
          <w:b w:val="0"/>
          <w:sz w:val="20"/>
          <w:szCs w:val="20"/>
          <w:lang w:val="es-ES"/>
        </w:rPr>
        <w:lastRenderedPageBreak/>
        <w:t>No es requisito que los técnicos pertenezcan</w:t>
      </w:r>
      <w:r w:rsidR="000C47E9" w:rsidRPr="00CB7E2E">
        <w:rPr>
          <w:b w:val="0"/>
          <w:sz w:val="20"/>
          <w:szCs w:val="20"/>
          <w:lang w:val="es-ES"/>
        </w:rPr>
        <w:t xml:space="preserve"> previamente</w:t>
      </w:r>
      <w:r w:rsidRPr="00CB7E2E">
        <w:rPr>
          <w:b w:val="0"/>
          <w:sz w:val="20"/>
          <w:szCs w:val="20"/>
          <w:lang w:val="es-ES"/>
        </w:rPr>
        <w:t xml:space="preserve"> a la</w:t>
      </w:r>
      <w:r w:rsidR="000C47E9" w:rsidRPr="00CB7E2E">
        <w:rPr>
          <w:b w:val="0"/>
          <w:sz w:val="20"/>
          <w:szCs w:val="20"/>
          <w:lang w:val="es-ES"/>
        </w:rPr>
        <w:t>s</w:t>
      </w:r>
      <w:r w:rsidRPr="00CB7E2E">
        <w:rPr>
          <w:b w:val="0"/>
          <w:sz w:val="20"/>
          <w:szCs w:val="20"/>
          <w:lang w:val="es-ES"/>
        </w:rPr>
        <w:t xml:space="preserve"> empresa</w:t>
      </w:r>
      <w:r w:rsidR="000C47E9" w:rsidRPr="00CB7E2E">
        <w:rPr>
          <w:b w:val="0"/>
          <w:sz w:val="20"/>
          <w:szCs w:val="20"/>
          <w:lang w:val="es-ES"/>
        </w:rPr>
        <w:t>s del oferente</w:t>
      </w:r>
      <w:r w:rsidRPr="00CB7E2E">
        <w:rPr>
          <w:b w:val="0"/>
          <w:sz w:val="20"/>
          <w:szCs w:val="20"/>
          <w:lang w:val="es-ES"/>
        </w:rPr>
        <w:t>.</w:t>
      </w:r>
    </w:p>
    <w:p w14:paraId="511FFAAE" w14:textId="77777777" w:rsidR="00A3029F" w:rsidRDefault="00A3029F">
      <w:pPr>
        <w:spacing w:after="0" w:line="240" w:lineRule="auto"/>
        <w:rPr>
          <w:rFonts w:ascii="Arial" w:hAnsi="Arial" w:cs="Arial"/>
          <w:b/>
          <w:bCs/>
          <w:lang w:val="es-ES_tradnl" w:eastAsia="es-ES"/>
        </w:rPr>
      </w:pPr>
      <w:r>
        <w:rPr>
          <w:rFonts w:cs="Times New Roman"/>
        </w:rPr>
        <w:br w:type="page"/>
      </w:r>
    </w:p>
    <w:p w14:paraId="52E0C4BE" w14:textId="77777777" w:rsidR="00AA76E7" w:rsidRPr="007F56F5" w:rsidRDefault="00A3029F" w:rsidP="00B57CFA">
      <w:pPr>
        <w:pStyle w:val="T0"/>
        <w:ind w:left="720" w:hanging="720"/>
        <w:outlineLvl w:val="0"/>
      </w:pPr>
      <w:bookmarkStart w:id="1140" w:name="_Toc400622337"/>
      <w:bookmarkStart w:id="1141" w:name="_Toc400629188"/>
      <w:bookmarkStart w:id="1142" w:name="_Toc400634144"/>
      <w:bookmarkStart w:id="1143" w:name="_Toc400635271"/>
      <w:bookmarkStart w:id="1144" w:name="_Toc468288093"/>
      <w:bookmarkStart w:id="1145" w:name="_Toc453596688"/>
      <w:bookmarkStart w:id="1146" w:name="_Toc496266686"/>
      <w:bookmarkStart w:id="1147" w:name="A_7"/>
      <w:r w:rsidRPr="007F56F5">
        <w:lastRenderedPageBreak/>
        <w:t xml:space="preserve">ANEXO </w:t>
      </w:r>
      <w:r w:rsidR="003B613E" w:rsidRPr="007F56F5">
        <w:t>VII</w:t>
      </w:r>
      <w:r w:rsidRPr="007F56F5">
        <w:rPr>
          <w:noProof/>
        </w:rPr>
        <w:t xml:space="preserve">: </w:t>
      </w:r>
      <w:r w:rsidRPr="007F56F5">
        <w:t>CRITERIOS DE SELECCIÓN</w:t>
      </w:r>
      <w:bookmarkStart w:id="1148" w:name="_Toc400636231"/>
      <w:bookmarkEnd w:id="1108"/>
      <w:bookmarkEnd w:id="1140"/>
      <w:bookmarkEnd w:id="1141"/>
      <w:bookmarkEnd w:id="1142"/>
      <w:bookmarkEnd w:id="1143"/>
      <w:bookmarkEnd w:id="1144"/>
      <w:bookmarkEnd w:id="1145"/>
      <w:bookmarkEnd w:id="1146"/>
      <w:r w:rsidR="00AA76E7" w:rsidRPr="007F56F5">
        <w:rPr>
          <w:b w:val="0"/>
          <w:bCs w:val="0"/>
        </w:rPr>
        <w:t xml:space="preserve"> </w:t>
      </w:r>
      <w:bookmarkEnd w:id="1148"/>
    </w:p>
    <w:p w14:paraId="6428CECD" w14:textId="77777777" w:rsidR="00982AD8" w:rsidRPr="00CB7E2E" w:rsidRDefault="00982AD8" w:rsidP="00982AD8">
      <w:pPr>
        <w:pStyle w:val="Prrafodelista"/>
        <w:keepNext/>
        <w:numPr>
          <w:ilvl w:val="0"/>
          <w:numId w:val="104"/>
        </w:numPr>
        <w:tabs>
          <w:tab w:val="left" w:pos="284"/>
        </w:tabs>
        <w:spacing w:before="240" w:after="240" w:line="360" w:lineRule="auto"/>
        <w:jc w:val="both"/>
        <w:rPr>
          <w:rFonts w:ascii="Arial" w:eastAsia="Calibri" w:hAnsi="Arial" w:cs="Arial"/>
          <w:vanish/>
          <w:sz w:val="20"/>
          <w:szCs w:val="20"/>
          <w:lang w:val="es-ES_tradnl"/>
        </w:rPr>
      </w:pPr>
      <w:bookmarkStart w:id="1149" w:name="_Toc400629189"/>
      <w:bookmarkStart w:id="1150" w:name="_Toc400634145"/>
      <w:bookmarkStart w:id="1151" w:name="_Toc400635272"/>
      <w:bookmarkStart w:id="1152" w:name="_Toc400636232"/>
      <w:bookmarkStart w:id="1153" w:name="_Toc400622338"/>
      <w:bookmarkStart w:id="1154" w:name="_Toc400634147"/>
      <w:bookmarkStart w:id="1155" w:name="_Toc400635274"/>
      <w:bookmarkStart w:id="1156" w:name="_Toc400636234"/>
      <w:bookmarkStart w:id="1157" w:name="A_7_11_CompromisoIRI"/>
      <w:bookmarkStart w:id="1158" w:name="_Toc400622341"/>
      <w:bookmarkStart w:id="1159" w:name="_Toc400629191"/>
      <w:bookmarkStart w:id="1160" w:name="_Toc400634158"/>
      <w:bookmarkStart w:id="1161" w:name="_Toc400635285"/>
      <w:bookmarkStart w:id="1162" w:name="_Toc468288094"/>
      <w:bookmarkStart w:id="1163" w:name="A_8"/>
      <w:bookmarkStart w:id="1164" w:name="_Toc340671986"/>
      <w:bookmarkEnd w:id="1147"/>
      <w:r w:rsidRPr="00CB7E2E">
        <w:rPr>
          <w:rFonts w:ascii="Arial" w:eastAsia="Calibri" w:hAnsi="Arial" w:cs="Arial"/>
          <w:b/>
          <w:bCs/>
          <w:sz w:val="20"/>
          <w:szCs w:val="20"/>
          <w:lang w:val="es-ES_tradnl"/>
        </w:rPr>
        <w:t xml:space="preserve">TOTAL PUNTUACIÓN SOBRE 1 (hasta un máximo de </w:t>
      </w:r>
      <w:r>
        <w:rPr>
          <w:rFonts w:ascii="Arial" w:eastAsia="Calibri" w:hAnsi="Arial" w:cs="Arial"/>
          <w:b/>
          <w:bCs/>
          <w:sz w:val="20"/>
          <w:szCs w:val="20"/>
          <w:lang w:val="es-ES_tradnl"/>
        </w:rPr>
        <w:t>340</w:t>
      </w:r>
      <w:r w:rsidRPr="00CB7E2E">
        <w:rPr>
          <w:rFonts w:ascii="Arial" w:eastAsia="Calibri" w:hAnsi="Arial" w:cs="Arial"/>
          <w:b/>
          <w:bCs/>
          <w:sz w:val="20"/>
          <w:szCs w:val="20"/>
          <w:lang w:val="es-ES_tradnl"/>
        </w:rPr>
        <w:t xml:space="preserve"> puntos)</w:t>
      </w:r>
      <w:bookmarkEnd w:id="1149"/>
      <w:bookmarkEnd w:id="1150"/>
      <w:bookmarkEnd w:id="1151"/>
      <w:bookmarkEnd w:id="1152"/>
    </w:p>
    <w:p w14:paraId="4A0AF635" w14:textId="77777777" w:rsidR="00BD1AFD" w:rsidRDefault="00BD1AFD" w:rsidP="00255193">
      <w:pPr>
        <w:pStyle w:val="T2BIS"/>
        <w:numPr>
          <w:ilvl w:val="1"/>
          <w:numId w:val="104"/>
        </w:numPr>
        <w:outlineLvl w:val="9"/>
        <w:rPr>
          <w:sz w:val="20"/>
          <w:szCs w:val="20"/>
        </w:rPr>
      </w:pPr>
    </w:p>
    <w:p w14:paraId="6CDA3BA1" w14:textId="77777777" w:rsidR="00982AD8" w:rsidRPr="00255193" w:rsidRDefault="00982AD8" w:rsidP="00BD1AFD">
      <w:pPr>
        <w:pStyle w:val="T2BIS"/>
        <w:numPr>
          <w:ilvl w:val="1"/>
          <w:numId w:val="170"/>
        </w:numPr>
        <w:outlineLvl w:val="9"/>
        <w:rPr>
          <w:sz w:val="20"/>
          <w:szCs w:val="20"/>
        </w:rPr>
      </w:pPr>
      <w:r w:rsidRPr="00255193">
        <w:rPr>
          <w:sz w:val="20"/>
          <w:szCs w:val="20"/>
        </w:rPr>
        <w:t>Compromiso de IRI en los años 8, 14 y 20 (hasta un máximo de 135 puntos)</w:t>
      </w:r>
      <w:bookmarkEnd w:id="1153"/>
      <w:bookmarkEnd w:id="1154"/>
      <w:bookmarkEnd w:id="1155"/>
      <w:bookmarkEnd w:id="1156"/>
    </w:p>
    <w:bookmarkEnd w:id="1157"/>
    <w:p w14:paraId="0B2E8BB9" w14:textId="4D2C300B" w:rsidR="00982AD8" w:rsidRPr="00CB7E2E" w:rsidRDefault="00982AD8" w:rsidP="00982AD8">
      <w:pPr>
        <w:rPr>
          <w:rFonts w:ascii="Arial" w:hAnsi="Arial" w:cs="Arial"/>
          <w:sz w:val="20"/>
          <w:szCs w:val="20"/>
        </w:rPr>
      </w:pPr>
      <w:r>
        <w:rPr>
          <w:rFonts w:ascii="Arial" w:hAnsi="Arial" w:cs="Arial"/>
          <w:sz w:val="20"/>
          <w:szCs w:val="20"/>
        </w:rPr>
        <w:t>S</w:t>
      </w:r>
      <w:r w:rsidRPr="00CB7E2E">
        <w:rPr>
          <w:rFonts w:ascii="Arial" w:hAnsi="Arial" w:cs="Arial"/>
          <w:sz w:val="20"/>
          <w:szCs w:val="20"/>
        </w:rPr>
        <w:t xml:space="preserve">e evaluará individualmente para cada </w:t>
      </w:r>
      <w:r>
        <w:rPr>
          <w:rFonts w:ascii="Arial" w:hAnsi="Arial" w:cs="Arial"/>
          <w:sz w:val="20"/>
          <w:szCs w:val="20"/>
        </w:rPr>
        <w:t>subgrupo de tramos</w:t>
      </w:r>
      <w:r w:rsidR="0019251C">
        <w:rPr>
          <w:rFonts w:ascii="Arial" w:hAnsi="Arial" w:cs="Arial"/>
          <w:sz w:val="20"/>
          <w:szCs w:val="20"/>
        </w:rPr>
        <w:t xml:space="preserve"> </w:t>
      </w:r>
      <w:r w:rsidRPr="00CB7E2E">
        <w:rPr>
          <w:rFonts w:ascii="Arial" w:hAnsi="Arial" w:cs="Arial"/>
          <w:sz w:val="20"/>
          <w:szCs w:val="20"/>
        </w:rPr>
        <w:t>que conforma</w:t>
      </w:r>
      <w:r>
        <w:rPr>
          <w:rFonts w:ascii="Arial" w:hAnsi="Arial" w:cs="Arial"/>
          <w:sz w:val="20"/>
          <w:szCs w:val="20"/>
        </w:rPr>
        <w:t>n</w:t>
      </w:r>
      <w:r w:rsidRPr="00CB7E2E">
        <w:rPr>
          <w:rFonts w:ascii="Arial" w:hAnsi="Arial" w:cs="Arial"/>
          <w:sz w:val="20"/>
          <w:szCs w:val="20"/>
        </w:rPr>
        <w:t xml:space="preserve"> el contrato según el valor medio del IRI que cada oferente comprometa para los años 8, 14 y 20 del contrato.</w:t>
      </w:r>
    </w:p>
    <w:p w14:paraId="52F9DF62" w14:textId="35068344" w:rsidR="00982AD8" w:rsidRPr="00CB7E2E" w:rsidRDefault="00982AD8" w:rsidP="00982AD8">
      <w:pPr>
        <w:rPr>
          <w:rFonts w:ascii="Arial" w:hAnsi="Arial" w:cs="Arial"/>
          <w:sz w:val="20"/>
          <w:szCs w:val="20"/>
        </w:rPr>
      </w:pPr>
      <w:r w:rsidRPr="00CB7E2E">
        <w:rPr>
          <w:rFonts w:ascii="Arial" w:hAnsi="Arial" w:cs="Arial"/>
          <w:sz w:val="20"/>
          <w:szCs w:val="20"/>
        </w:rPr>
        <w:t xml:space="preserve">En caso de optar por esta forma de obtener puntos el oferente se compromete a obtener un valor de IRI menor o igual al 85%de los valores establecidos en el </w:t>
      </w:r>
      <w:hyperlink w:anchor="A_13" w:history="1">
        <w:r w:rsidRPr="00CB7E2E">
          <w:rPr>
            <w:rStyle w:val="Hipervnculo"/>
            <w:rFonts w:ascii="Arial" w:hAnsi="Arial" w:cs="Arial"/>
            <w:sz w:val="20"/>
            <w:szCs w:val="20"/>
          </w:rPr>
          <w:t xml:space="preserve">Anexo XIII </w:t>
        </w:r>
      </w:hyperlink>
      <w:r w:rsidRPr="00CB7E2E">
        <w:rPr>
          <w:rFonts w:ascii="Arial" w:hAnsi="Arial" w:cs="Arial"/>
          <w:sz w:val="20"/>
          <w:szCs w:val="20"/>
        </w:rPr>
        <w:t>“Condiciones técnicas particulares” (3.25 m/km para pavimentos de hormigón y asfálticos y de 4,0 m/km para pavimentos con tratamientos bituminosos)</w:t>
      </w:r>
      <w:r>
        <w:rPr>
          <w:rFonts w:ascii="Arial" w:hAnsi="Arial" w:cs="Arial"/>
          <w:sz w:val="20"/>
          <w:szCs w:val="20"/>
        </w:rPr>
        <w:t>. E</w:t>
      </w:r>
      <w:r w:rsidRPr="00CB7E2E">
        <w:rPr>
          <w:rFonts w:ascii="Arial" w:hAnsi="Arial" w:cs="Arial"/>
          <w:sz w:val="20"/>
          <w:szCs w:val="20"/>
        </w:rPr>
        <w:t>n ambos casos la exigencia se refiere al promedio del</w:t>
      </w:r>
      <w:r w:rsidR="00A2779B">
        <w:rPr>
          <w:rFonts w:ascii="Arial" w:hAnsi="Arial" w:cs="Arial"/>
          <w:sz w:val="20"/>
          <w:szCs w:val="20"/>
        </w:rPr>
        <w:t xml:space="preserve"> </w:t>
      </w:r>
      <w:r w:rsidRPr="00CB7E2E">
        <w:rPr>
          <w:rFonts w:ascii="Arial" w:hAnsi="Arial" w:cs="Arial"/>
          <w:sz w:val="20"/>
          <w:szCs w:val="20"/>
        </w:rPr>
        <w:t>tramo.</w:t>
      </w:r>
    </w:p>
    <w:p w14:paraId="0B13DF0E" w14:textId="77777777" w:rsidR="00982AD8" w:rsidRPr="00CB7E2E" w:rsidRDefault="00982AD8" w:rsidP="00982AD8">
      <w:pPr>
        <w:rPr>
          <w:rFonts w:ascii="Arial" w:hAnsi="Arial" w:cs="Arial"/>
          <w:sz w:val="20"/>
          <w:szCs w:val="20"/>
        </w:rPr>
      </w:pPr>
      <w:r w:rsidRPr="00CB7E2E">
        <w:rPr>
          <w:rFonts w:ascii="Arial" w:hAnsi="Arial" w:cs="Arial"/>
          <w:sz w:val="20"/>
          <w:szCs w:val="20"/>
        </w:rPr>
        <w:t xml:space="preserve">El valor resultante de aplicar el 85% a los valores establecidos en dicho Anexo compromete al oferente en todos los </w:t>
      </w:r>
      <w:r>
        <w:rPr>
          <w:rFonts w:ascii="Arial" w:hAnsi="Arial" w:cs="Arial"/>
          <w:sz w:val="20"/>
          <w:szCs w:val="20"/>
        </w:rPr>
        <w:t>subgrupos de tramos</w:t>
      </w:r>
      <w:r w:rsidRPr="00CB7E2E">
        <w:rPr>
          <w:rFonts w:ascii="Arial" w:hAnsi="Arial" w:cs="Arial"/>
          <w:sz w:val="20"/>
          <w:szCs w:val="20"/>
        </w:rPr>
        <w:t xml:space="preserve"> y sustituirá a los valores mínimos establecidos en el </w:t>
      </w:r>
      <w:hyperlink w:anchor="A_13" w:history="1">
        <w:r w:rsidRPr="003218BC">
          <w:rPr>
            <w:rStyle w:val="Hipervnculo"/>
            <w:rFonts w:ascii="Arial" w:hAnsi="Arial" w:cs="Arial"/>
            <w:sz w:val="20"/>
            <w:szCs w:val="20"/>
          </w:rPr>
          <w:t>Anexo XIII</w:t>
        </w:r>
      </w:hyperlink>
      <w:r w:rsidRPr="00CB7E2E">
        <w:rPr>
          <w:rFonts w:ascii="Arial" w:hAnsi="Arial" w:cs="Arial"/>
          <w:sz w:val="20"/>
          <w:szCs w:val="20"/>
        </w:rPr>
        <w:t xml:space="preserve"> para el promedio del tramo en la evaluación anual del IRI en los años 8, 14 y 20.</w:t>
      </w:r>
    </w:p>
    <w:p w14:paraId="60949E28" w14:textId="77777777" w:rsidR="00982AD8" w:rsidRDefault="00982AD8" w:rsidP="00982AD8">
      <w:pPr>
        <w:rPr>
          <w:rFonts w:ascii="Arial" w:hAnsi="Arial" w:cs="Arial"/>
          <w:sz w:val="16"/>
          <w:szCs w:val="20"/>
        </w:rPr>
      </w:pPr>
      <w:r w:rsidRPr="00CB7E2E">
        <w:rPr>
          <w:rFonts w:ascii="Arial" w:hAnsi="Arial" w:cs="Arial"/>
          <w:sz w:val="20"/>
          <w:szCs w:val="20"/>
        </w:rPr>
        <w:lastRenderedPageBreak/>
        <w:tab/>
      </w:r>
      <w:r w:rsidRPr="00255193">
        <w:rPr>
          <w:rFonts w:ascii="Arial" w:hAnsi="Arial" w:cs="Arial"/>
          <w:sz w:val="16"/>
          <w:szCs w:val="20"/>
        </w:rPr>
        <w:t>Tabla A.VII – 1</w:t>
      </w:r>
    </w:p>
    <w:p w14:paraId="432A960B" w14:textId="53CB0DB8" w:rsidR="00C65184" w:rsidRDefault="00C65184" w:rsidP="00C65184">
      <w:pPr>
        <w:jc w:val="center"/>
        <w:rPr>
          <w:rFonts w:ascii="Arial" w:hAnsi="Arial" w:cs="Arial"/>
          <w:sz w:val="16"/>
          <w:szCs w:val="20"/>
        </w:rPr>
      </w:pPr>
      <w:r w:rsidRPr="00982AD8">
        <w:rPr>
          <w:noProof/>
          <w:lang w:val="es-UY" w:eastAsia="es-UY"/>
        </w:rPr>
        <w:drawing>
          <wp:inline distT="0" distB="0" distL="0" distR="0" wp14:anchorId="2FDA3100" wp14:editId="609688B7">
            <wp:extent cx="4314825" cy="2609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14825" cy="2609850"/>
                    </a:xfrm>
                    <a:prstGeom prst="rect">
                      <a:avLst/>
                    </a:prstGeom>
                    <a:noFill/>
                    <a:ln>
                      <a:noFill/>
                    </a:ln>
                  </pic:spPr>
                </pic:pic>
              </a:graphicData>
            </a:graphic>
          </wp:inline>
        </w:drawing>
      </w:r>
    </w:p>
    <w:p w14:paraId="2DFD414E" w14:textId="0A2EF395" w:rsidR="00982AD8" w:rsidRDefault="00982AD8" w:rsidP="00982AD8">
      <w:pPr>
        <w:jc w:val="center"/>
        <w:rPr>
          <w:rFonts w:ascii="Arial" w:hAnsi="Arial" w:cs="Arial"/>
          <w:sz w:val="20"/>
          <w:szCs w:val="20"/>
        </w:rPr>
      </w:pPr>
    </w:p>
    <w:p w14:paraId="4643580C" w14:textId="77777777" w:rsidR="00C65184" w:rsidRDefault="00C65184" w:rsidP="00982AD8">
      <w:pPr>
        <w:rPr>
          <w:rFonts w:ascii="Arial" w:hAnsi="Arial" w:cs="Arial"/>
          <w:sz w:val="20"/>
          <w:szCs w:val="20"/>
        </w:rPr>
      </w:pPr>
    </w:p>
    <w:p w14:paraId="209591B0" w14:textId="77777777" w:rsidR="00C65184" w:rsidRDefault="00C65184" w:rsidP="00982AD8">
      <w:pPr>
        <w:rPr>
          <w:rFonts w:ascii="Arial" w:hAnsi="Arial" w:cs="Arial"/>
          <w:sz w:val="20"/>
          <w:szCs w:val="20"/>
        </w:rPr>
      </w:pPr>
    </w:p>
    <w:p w14:paraId="2502D1CC" w14:textId="77777777" w:rsidR="00C65184" w:rsidRDefault="00C65184" w:rsidP="00982AD8">
      <w:pPr>
        <w:rPr>
          <w:rFonts w:ascii="Arial" w:hAnsi="Arial" w:cs="Arial"/>
          <w:sz w:val="20"/>
          <w:szCs w:val="20"/>
        </w:rPr>
      </w:pPr>
    </w:p>
    <w:p w14:paraId="7837562C" w14:textId="77777777" w:rsidR="00C65184" w:rsidRDefault="00C65184" w:rsidP="00982AD8">
      <w:pPr>
        <w:rPr>
          <w:rFonts w:ascii="Arial" w:hAnsi="Arial" w:cs="Arial"/>
          <w:sz w:val="20"/>
          <w:szCs w:val="20"/>
        </w:rPr>
      </w:pPr>
    </w:p>
    <w:p w14:paraId="7DF1D8BB" w14:textId="77777777" w:rsidR="00C65184" w:rsidRDefault="00C65184" w:rsidP="00982AD8">
      <w:pPr>
        <w:rPr>
          <w:rFonts w:ascii="Arial" w:hAnsi="Arial" w:cs="Arial"/>
          <w:sz w:val="20"/>
          <w:szCs w:val="20"/>
        </w:rPr>
      </w:pPr>
    </w:p>
    <w:p w14:paraId="42147CCA" w14:textId="77777777" w:rsidR="00C65184" w:rsidRDefault="00C65184" w:rsidP="00982AD8">
      <w:pPr>
        <w:rPr>
          <w:rFonts w:ascii="Arial" w:hAnsi="Arial" w:cs="Arial"/>
          <w:sz w:val="20"/>
          <w:szCs w:val="20"/>
        </w:rPr>
      </w:pPr>
    </w:p>
    <w:p w14:paraId="270418CB" w14:textId="77777777" w:rsidR="00C65184" w:rsidRDefault="00C65184" w:rsidP="00982AD8">
      <w:pPr>
        <w:rPr>
          <w:rFonts w:ascii="Arial" w:hAnsi="Arial" w:cs="Arial"/>
          <w:sz w:val="20"/>
          <w:szCs w:val="20"/>
        </w:rPr>
      </w:pPr>
    </w:p>
    <w:p w14:paraId="67BF0C80" w14:textId="77777777" w:rsidR="00982AD8" w:rsidRPr="00CB7E2E" w:rsidRDefault="00982AD8" w:rsidP="00982AD8">
      <w:pPr>
        <w:rPr>
          <w:rFonts w:ascii="Arial" w:hAnsi="Arial" w:cs="Arial"/>
          <w:sz w:val="20"/>
          <w:szCs w:val="20"/>
        </w:rPr>
      </w:pPr>
      <w:r w:rsidRPr="00CB7E2E">
        <w:rPr>
          <w:rFonts w:ascii="Arial" w:hAnsi="Arial" w:cs="Arial"/>
          <w:sz w:val="20"/>
          <w:szCs w:val="20"/>
        </w:rPr>
        <w:t>El oferente completará la siguiente tabla:</w:t>
      </w:r>
    </w:p>
    <w:p w14:paraId="2C7E4722" w14:textId="77777777" w:rsidR="00982AD8" w:rsidRDefault="00982AD8" w:rsidP="00982AD8">
      <w:pPr>
        <w:rPr>
          <w:rFonts w:ascii="Arial" w:hAnsi="Arial" w:cs="Arial"/>
          <w:sz w:val="16"/>
          <w:szCs w:val="20"/>
        </w:rPr>
      </w:pPr>
      <w:r w:rsidRPr="00255193">
        <w:rPr>
          <w:rFonts w:ascii="Arial" w:hAnsi="Arial" w:cs="Arial"/>
          <w:sz w:val="16"/>
          <w:szCs w:val="20"/>
        </w:rPr>
        <w:t>Tabla A.VII – 2</w:t>
      </w:r>
    </w:p>
    <w:p w14:paraId="037B9F4C" w14:textId="7ACA10E3" w:rsidR="00982AD8" w:rsidRDefault="00C65184" w:rsidP="00982AD8">
      <w:pPr>
        <w:jc w:val="center"/>
        <w:rPr>
          <w:rFonts w:ascii="Arial" w:hAnsi="Arial" w:cs="Arial"/>
          <w:sz w:val="20"/>
          <w:szCs w:val="20"/>
        </w:rPr>
      </w:pPr>
      <w:r w:rsidRPr="00982AD8">
        <w:rPr>
          <w:noProof/>
          <w:lang w:val="es-UY" w:eastAsia="es-UY"/>
        </w:rPr>
        <w:drawing>
          <wp:inline distT="0" distB="0" distL="0" distR="0" wp14:anchorId="34F6C1DC" wp14:editId="7977F640">
            <wp:extent cx="3695700" cy="3095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95700" cy="3095625"/>
                    </a:xfrm>
                    <a:prstGeom prst="rect">
                      <a:avLst/>
                    </a:prstGeom>
                    <a:noFill/>
                    <a:ln>
                      <a:noFill/>
                    </a:ln>
                  </pic:spPr>
                </pic:pic>
              </a:graphicData>
            </a:graphic>
          </wp:inline>
        </w:drawing>
      </w:r>
    </w:p>
    <w:p w14:paraId="389AE613" w14:textId="77777777" w:rsidR="00982AD8" w:rsidRDefault="00982AD8" w:rsidP="00982AD8">
      <w:pPr>
        <w:jc w:val="center"/>
        <w:rPr>
          <w:rFonts w:ascii="Arial" w:hAnsi="Arial" w:cs="Arial"/>
          <w:sz w:val="20"/>
          <w:szCs w:val="20"/>
        </w:rPr>
      </w:pPr>
    </w:p>
    <w:p w14:paraId="2AD834A8" w14:textId="30269F51" w:rsidR="00982AD8" w:rsidRDefault="00982AD8" w:rsidP="00BD1AFD">
      <w:pPr>
        <w:pStyle w:val="T2BIS"/>
        <w:numPr>
          <w:ilvl w:val="1"/>
          <w:numId w:val="170"/>
        </w:numPr>
        <w:outlineLvl w:val="9"/>
        <w:rPr>
          <w:sz w:val="20"/>
          <w:szCs w:val="20"/>
        </w:rPr>
      </w:pPr>
      <w:r w:rsidRPr="000C57FC">
        <w:rPr>
          <w:sz w:val="20"/>
          <w:szCs w:val="20"/>
        </w:rPr>
        <w:lastRenderedPageBreak/>
        <w:t xml:space="preserve"> </w:t>
      </w:r>
      <w:r w:rsidRPr="000C57FC">
        <w:rPr>
          <w:sz w:val="20"/>
          <w:szCs w:val="20"/>
        </w:rPr>
        <w:tab/>
        <w:t>Volumen, calidad y coherencia del plan de intervenciones (100 puntos)</w:t>
      </w:r>
    </w:p>
    <w:p w14:paraId="26C5CFB3" w14:textId="77777777" w:rsidR="00982AD8" w:rsidRPr="000C57FC" w:rsidRDefault="00982AD8" w:rsidP="00982AD8">
      <w:pPr>
        <w:rPr>
          <w:rFonts w:ascii="Arial" w:hAnsi="Arial" w:cs="Arial"/>
          <w:sz w:val="20"/>
        </w:rPr>
      </w:pPr>
      <w:r w:rsidRPr="000C57FC">
        <w:rPr>
          <w:rFonts w:ascii="Arial" w:hAnsi="Arial" w:cs="Arial"/>
          <w:sz w:val="20"/>
        </w:rPr>
        <w:t>La comisión asesora adjudicará a cada oferta un puntaje acorde con el volumen, calidad y coherencia del programa de intervenciones asociado a las obras de puesta punto que se comprometan.</w:t>
      </w:r>
    </w:p>
    <w:p w14:paraId="0DBDD468" w14:textId="77777777" w:rsidR="00982AD8" w:rsidRPr="000C57FC" w:rsidRDefault="00982AD8" w:rsidP="00982AD8">
      <w:pPr>
        <w:rPr>
          <w:rFonts w:ascii="Arial" w:hAnsi="Arial" w:cs="Arial"/>
          <w:sz w:val="20"/>
        </w:rPr>
      </w:pPr>
      <w:r w:rsidRPr="000C57FC">
        <w:rPr>
          <w:rFonts w:ascii="Arial" w:hAnsi="Arial" w:cs="Arial"/>
          <w:sz w:val="20"/>
        </w:rPr>
        <w:t>Se tomarán en consideración sólo las obras que excedan a las mínimas obligatorias establecidas en el pliego cuya naturaleza es de cumplimiento forzoso, por lo tanto una oferta cuya propuesta sólo contemplara la ejecución de las obras mínimas obligatorias no obtendrá ningún punto</w:t>
      </w:r>
      <w:r>
        <w:rPr>
          <w:rFonts w:ascii="Arial" w:hAnsi="Arial" w:cs="Arial"/>
          <w:sz w:val="20"/>
        </w:rPr>
        <w:t xml:space="preserve"> en este ítem</w:t>
      </w:r>
      <w:r w:rsidRPr="000C57FC">
        <w:rPr>
          <w:rFonts w:ascii="Arial" w:hAnsi="Arial" w:cs="Arial"/>
          <w:sz w:val="20"/>
        </w:rPr>
        <w:t>.</w:t>
      </w:r>
    </w:p>
    <w:p w14:paraId="468A4D1B" w14:textId="77777777" w:rsidR="00982AD8" w:rsidRPr="000C57FC" w:rsidRDefault="00982AD8" w:rsidP="00982AD8">
      <w:pPr>
        <w:rPr>
          <w:rFonts w:ascii="Arial" w:hAnsi="Arial" w:cs="Arial"/>
          <w:sz w:val="20"/>
        </w:rPr>
      </w:pPr>
      <w:r w:rsidRPr="000C57FC">
        <w:rPr>
          <w:rFonts w:ascii="Arial" w:hAnsi="Arial" w:cs="Arial"/>
          <w:sz w:val="20"/>
        </w:rPr>
        <w:t xml:space="preserve">A los efectos del puntaje a otorgar en este ítem no se tomarán en cuenta las obras complementarias comprometidas ya que éstas se </w:t>
      </w:r>
      <w:r w:rsidRPr="0040609D">
        <w:rPr>
          <w:rFonts w:ascii="Arial" w:hAnsi="Arial" w:cs="Arial"/>
          <w:sz w:val="20"/>
        </w:rPr>
        <w:t>puntúan en los ítem 1.3 y 1.4.</w:t>
      </w:r>
    </w:p>
    <w:p w14:paraId="65261BE9" w14:textId="77777777" w:rsidR="00982AD8" w:rsidRPr="00255193" w:rsidRDefault="00982AD8" w:rsidP="00255193">
      <w:pPr>
        <w:keepNext/>
        <w:tabs>
          <w:tab w:val="left" w:pos="284"/>
        </w:tabs>
        <w:spacing w:before="240" w:after="240" w:line="360" w:lineRule="auto"/>
        <w:jc w:val="both"/>
        <w:rPr>
          <w:rFonts w:ascii="Arial" w:eastAsia="Calibri" w:hAnsi="Arial" w:cs="Arial"/>
          <w:vanish/>
          <w:sz w:val="20"/>
          <w:szCs w:val="20"/>
          <w:lang w:val="es-ES_tradnl"/>
        </w:rPr>
      </w:pPr>
      <w:bookmarkStart w:id="1165" w:name="_Toc437864711"/>
      <w:bookmarkStart w:id="1166" w:name="_Toc437864994"/>
      <w:bookmarkStart w:id="1167" w:name="_Toc437865276"/>
      <w:bookmarkStart w:id="1168" w:name="_Toc437865557"/>
      <w:bookmarkStart w:id="1169" w:name="_Toc437874847"/>
      <w:bookmarkStart w:id="1170" w:name="_Toc437875132"/>
      <w:bookmarkStart w:id="1171" w:name="_Toc437875490"/>
      <w:bookmarkStart w:id="1172" w:name="_Toc437875775"/>
      <w:bookmarkStart w:id="1173" w:name="_Toc437876168"/>
      <w:bookmarkStart w:id="1174" w:name="_Toc437876434"/>
      <w:bookmarkStart w:id="1175" w:name="_Toc437876700"/>
      <w:bookmarkStart w:id="1176" w:name="_Toc437876966"/>
      <w:bookmarkStart w:id="1177" w:name="_Toc437877229"/>
      <w:bookmarkStart w:id="1178" w:name="_Toc437877488"/>
      <w:bookmarkStart w:id="1179" w:name="_Toc437877747"/>
      <w:bookmarkStart w:id="1180" w:name="_Toc437878004"/>
      <w:bookmarkStart w:id="1181" w:name="_Toc437878260"/>
      <w:bookmarkStart w:id="1182" w:name="_Toc437878516"/>
      <w:bookmarkStart w:id="1183" w:name="_Toc437878771"/>
      <w:bookmarkStart w:id="1184" w:name="_Toc437879025"/>
      <w:bookmarkStart w:id="1185" w:name="_Toc437879278"/>
      <w:bookmarkStart w:id="1186" w:name="_Toc437879533"/>
      <w:bookmarkStart w:id="1187" w:name="_Toc437879787"/>
      <w:bookmarkStart w:id="1188" w:name="_Toc437880041"/>
      <w:bookmarkStart w:id="1189" w:name="_Toc437880294"/>
      <w:bookmarkStart w:id="1190" w:name="_Toc437942688"/>
      <w:bookmarkStart w:id="1191" w:name="_Toc437942939"/>
      <w:bookmarkStart w:id="1192" w:name="_Toc437943656"/>
      <w:bookmarkStart w:id="1193" w:name="_Toc437944291"/>
      <w:bookmarkStart w:id="1194" w:name="_Toc437950085"/>
      <w:bookmarkStart w:id="1195" w:name="_Toc438026711"/>
      <w:bookmarkStart w:id="1196" w:name="_Toc438026950"/>
      <w:bookmarkStart w:id="1197" w:name="_Toc438027189"/>
      <w:bookmarkStart w:id="1198" w:name="_Toc438027856"/>
      <w:bookmarkStart w:id="1199" w:name="_Toc438028102"/>
      <w:bookmarkStart w:id="1200" w:name="_Toc438028348"/>
      <w:bookmarkStart w:id="1201" w:name="_Toc438028594"/>
      <w:bookmarkStart w:id="1202" w:name="_Toc438031432"/>
      <w:bookmarkStart w:id="1203" w:name="_Toc438031687"/>
      <w:bookmarkStart w:id="1204" w:name="_Toc438052143"/>
      <w:bookmarkStart w:id="1205" w:name="_Toc438052467"/>
      <w:bookmarkStart w:id="1206" w:name="_Toc438056285"/>
      <w:bookmarkStart w:id="1207" w:name="_Toc438056588"/>
      <w:bookmarkStart w:id="1208" w:name="_Toc438057149"/>
      <w:bookmarkStart w:id="1209" w:name="_Toc438057681"/>
      <w:bookmarkStart w:id="1210" w:name="_Toc438105328"/>
      <w:bookmarkStart w:id="1211" w:name="_Toc438108326"/>
      <w:bookmarkStart w:id="1212" w:name="_Toc438109067"/>
      <w:bookmarkStart w:id="1213" w:name="_Toc438109185"/>
      <w:bookmarkStart w:id="1214" w:name="_Toc438111371"/>
      <w:bookmarkStart w:id="1215" w:name="_Toc438111631"/>
      <w:bookmarkStart w:id="1216" w:name="_Toc438111891"/>
      <w:bookmarkStart w:id="1217" w:name="_Toc438112191"/>
      <w:bookmarkStart w:id="1218" w:name="_Toc438112800"/>
      <w:bookmarkStart w:id="1219" w:name="_Toc438113478"/>
      <w:bookmarkStart w:id="1220" w:name="_Toc438113754"/>
      <w:bookmarkStart w:id="1221" w:name="_Toc438114764"/>
      <w:bookmarkStart w:id="1222" w:name="_Toc438115079"/>
      <w:bookmarkStart w:id="1223" w:name="_Toc438130245"/>
      <w:bookmarkStart w:id="1224" w:name="_Toc438224142"/>
      <w:bookmarkStart w:id="1225" w:name="_Toc441131864"/>
      <w:bookmarkStart w:id="1226" w:name="_Toc441146169"/>
      <w:bookmarkStart w:id="1227" w:name="_Toc441146574"/>
      <w:bookmarkStart w:id="1228" w:name="_Toc441146922"/>
      <w:bookmarkStart w:id="1229" w:name="_Toc441161672"/>
      <w:bookmarkStart w:id="1230" w:name="_Toc441162020"/>
      <w:bookmarkStart w:id="1231" w:name="_Toc441162370"/>
      <w:bookmarkStart w:id="1232" w:name="_Toc441229387"/>
      <w:bookmarkStart w:id="1233" w:name="_Toc441229722"/>
      <w:bookmarkStart w:id="1234" w:name="_Toc441230043"/>
      <w:bookmarkStart w:id="1235" w:name="_Toc450552894"/>
      <w:bookmarkStart w:id="1236" w:name="_Toc450555092"/>
      <w:bookmarkStart w:id="1237" w:name="_Toc450555347"/>
      <w:bookmarkStart w:id="1238" w:name="_Toc437864712"/>
      <w:bookmarkStart w:id="1239" w:name="_Toc437864995"/>
      <w:bookmarkStart w:id="1240" w:name="_Toc437865277"/>
      <w:bookmarkStart w:id="1241" w:name="_Toc437865558"/>
      <w:bookmarkStart w:id="1242" w:name="_Toc437874848"/>
      <w:bookmarkStart w:id="1243" w:name="_Toc437875133"/>
      <w:bookmarkStart w:id="1244" w:name="_Toc437875491"/>
      <w:bookmarkStart w:id="1245" w:name="_Toc437875776"/>
      <w:bookmarkStart w:id="1246" w:name="_Toc437876169"/>
      <w:bookmarkStart w:id="1247" w:name="_Toc437876435"/>
      <w:bookmarkStart w:id="1248" w:name="_Toc437876701"/>
      <w:bookmarkStart w:id="1249" w:name="_Toc437876967"/>
      <w:bookmarkStart w:id="1250" w:name="_Toc437877230"/>
      <w:bookmarkStart w:id="1251" w:name="_Toc437877489"/>
      <w:bookmarkStart w:id="1252" w:name="_Toc437877748"/>
      <w:bookmarkStart w:id="1253" w:name="_Toc437878005"/>
      <w:bookmarkStart w:id="1254" w:name="_Toc437878261"/>
      <w:bookmarkStart w:id="1255" w:name="_Toc437878517"/>
      <w:bookmarkStart w:id="1256" w:name="_Toc437878772"/>
      <w:bookmarkStart w:id="1257" w:name="_Toc437879026"/>
      <w:bookmarkStart w:id="1258" w:name="_Toc437879279"/>
      <w:bookmarkStart w:id="1259" w:name="_Toc437879534"/>
      <w:bookmarkStart w:id="1260" w:name="_Toc437879788"/>
      <w:bookmarkStart w:id="1261" w:name="_Toc437880042"/>
      <w:bookmarkStart w:id="1262" w:name="_Toc437880295"/>
      <w:bookmarkStart w:id="1263" w:name="_Toc437942689"/>
      <w:bookmarkStart w:id="1264" w:name="_Toc437942940"/>
      <w:bookmarkStart w:id="1265" w:name="_Toc437943657"/>
      <w:bookmarkStart w:id="1266" w:name="_Toc437944292"/>
      <w:bookmarkStart w:id="1267" w:name="_Toc437950086"/>
      <w:bookmarkStart w:id="1268" w:name="_Toc438026712"/>
      <w:bookmarkStart w:id="1269" w:name="_Toc438026951"/>
      <w:bookmarkStart w:id="1270" w:name="_Toc438027190"/>
      <w:bookmarkStart w:id="1271" w:name="_Toc438027857"/>
      <w:bookmarkStart w:id="1272" w:name="_Toc438028103"/>
      <w:bookmarkStart w:id="1273" w:name="_Toc438028349"/>
      <w:bookmarkStart w:id="1274" w:name="_Toc438028595"/>
      <w:bookmarkStart w:id="1275" w:name="_Toc438031433"/>
      <w:bookmarkStart w:id="1276" w:name="_Toc438031688"/>
      <w:bookmarkStart w:id="1277" w:name="_Toc438052144"/>
      <w:bookmarkStart w:id="1278" w:name="_Toc438052468"/>
      <w:bookmarkStart w:id="1279" w:name="_Toc438056286"/>
      <w:bookmarkStart w:id="1280" w:name="_Toc438056589"/>
      <w:bookmarkStart w:id="1281" w:name="_Toc438057150"/>
      <w:bookmarkStart w:id="1282" w:name="_Toc438057682"/>
      <w:bookmarkStart w:id="1283" w:name="_Toc438105329"/>
      <w:bookmarkStart w:id="1284" w:name="_Toc438108327"/>
      <w:bookmarkStart w:id="1285" w:name="_Toc438109068"/>
      <w:bookmarkStart w:id="1286" w:name="_Toc438109186"/>
      <w:bookmarkStart w:id="1287" w:name="_Toc438111372"/>
      <w:bookmarkStart w:id="1288" w:name="_Toc438111632"/>
      <w:bookmarkStart w:id="1289" w:name="_Toc438111892"/>
      <w:bookmarkStart w:id="1290" w:name="_Toc438112192"/>
      <w:bookmarkStart w:id="1291" w:name="_Toc438112801"/>
      <w:bookmarkStart w:id="1292" w:name="_Toc438113479"/>
      <w:bookmarkStart w:id="1293" w:name="_Toc438113755"/>
      <w:bookmarkStart w:id="1294" w:name="_Toc438114765"/>
      <w:bookmarkStart w:id="1295" w:name="_Toc438115080"/>
      <w:bookmarkStart w:id="1296" w:name="_Toc438130246"/>
      <w:bookmarkStart w:id="1297" w:name="_Toc438224143"/>
      <w:bookmarkStart w:id="1298" w:name="_Toc441131865"/>
      <w:bookmarkStart w:id="1299" w:name="_Toc441146170"/>
      <w:bookmarkStart w:id="1300" w:name="_Toc441146575"/>
      <w:bookmarkStart w:id="1301" w:name="_Toc441146923"/>
      <w:bookmarkStart w:id="1302" w:name="_Toc441161673"/>
      <w:bookmarkStart w:id="1303" w:name="_Toc441162021"/>
      <w:bookmarkStart w:id="1304" w:name="_Toc441162371"/>
      <w:bookmarkStart w:id="1305" w:name="_Toc441229388"/>
      <w:bookmarkStart w:id="1306" w:name="_Toc441229723"/>
      <w:bookmarkStart w:id="1307" w:name="_Toc441230044"/>
      <w:bookmarkStart w:id="1308" w:name="_Toc450552895"/>
      <w:bookmarkStart w:id="1309" w:name="_Toc450555093"/>
      <w:bookmarkStart w:id="1310" w:name="_Toc450555348"/>
      <w:bookmarkStart w:id="1311" w:name="_Toc400634149"/>
      <w:bookmarkStart w:id="1312" w:name="_Toc400635276"/>
      <w:bookmarkStart w:id="1313" w:name="_Toc400636236"/>
      <w:bookmarkStart w:id="1314" w:name="A_7_12"/>
      <w:bookmarkStart w:id="1315" w:name="A_7_12_ObrasCompl"/>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0209AD7D" w14:textId="77777777" w:rsidR="00982AD8" w:rsidRPr="00255193" w:rsidRDefault="00982AD8" w:rsidP="00BD1AFD">
      <w:pPr>
        <w:pStyle w:val="T2BIS"/>
        <w:numPr>
          <w:ilvl w:val="1"/>
          <w:numId w:val="170"/>
        </w:numPr>
        <w:outlineLvl w:val="9"/>
        <w:rPr>
          <w:sz w:val="20"/>
          <w:szCs w:val="20"/>
        </w:rPr>
      </w:pPr>
      <w:r w:rsidRPr="00255193">
        <w:rPr>
          <w:sz w:val="20"/>
          <w:szCs w:val="20"/>
        </w:rPr>
        <w:t>Obra complementaria 1 (45 puntos)</w:t>
      </w:r>
      <w:bookmarkEnd w:id="1311"/>
      <w:bookmarkEnd w:id="1312"/>
      <w:bookmarkEnd w:id="1313"/>
    </w:p>
    <w:bookmarkEnd w:id="1314"/>
    <w:bookmarkEnd w:id="1315"/>
    <w:p w14:paraId="485140D8" w14:textId="33928EBB" w:rsidR="00982AD8" w:rsidRPr="003D6CD9" w:rsidRDefault="00982AD8" w:rsidP="00982AD8">
      <w:pPr>
        <w:rPr>
          <w:rFonts w:ascii="Arial" w:hAnsi="Arial" w:cs="Arial"/>
          <w:sz w:val="20"/>
          <w:szCs w:val="20"/>
        </w:rPr>
      </w:pPr>
      <w:r w:rsidRPr="00CB7E2E">
        <w:rPr>
          <w:rFonts w:ascii="Arial" w:hAnsi="Arial" w:cs="Arial"/>
          <w:sz w:val="20"/>
          <w:szCs w:val="20"/>
        </w:rPr>
        <w:t xml:space="preserve">El oferente deberá indicar si propone el siguiente paquete de obras que se considera completo e indivisible </w:t>
      </w:r>
      <w:r w:rsidRPr="003D6CD9">
        <w:rPr>
          <w:rFonts w:ascii="Arial" w:hAnsi="Arial" w:cs="Arial"/>
          <w:sz w:val="20"/>
          <w:szCs w:val="20"/>
        </w:rPr>
        <w:t>como Obra Complementaria</w:t>
      </w:r>
      <w:r w:rsidR="00CB2B6B">
        <w:rPr>
          <w:rFonts w:ascii="Arial" w:hAnsi="Arial" w:cs="Arial"/>
          <w:sz w:val="20"/>
          <w:szCs w:val="20"/>
        </w:rPr>
        <w:t>.</w:t>
      </w:r>
    </w:p>
    <w:p w14:paraId="63E3FB82" w14:textId="09B3679D" w:rsidR="00982AD8" w:rsidRPr="00CB7E2E" w:rsidRDefault="00982AD8" w:rsidP="00982AD8">
      <w:pPr>
        <w:rPr>
          <w:rFonts w:ascii="Arial" w:hAnsi="Arial" w:cs="Arial"/>
          <w:sz w:val="20"/>
          <w:szCs w:val="20"/>
        </w:rPr>
      </w:pPr>
      <w:r w:rsidRPr="003D6CD9">
        <w:rPr>
          <w:rFonts w:ascii="Arial" w:hAnsi="Arial" w:cs="Arial"/>
          <w:color w:val="000000"/>
          <w:sz w:val="20"/>
          <w:szCs w:val="20"/>
          <w:lang w:val="es-UY"/>
        </w:rPr>
        <w:t>El oferente</w:t>
      </w:r>
      <w:r w:rsidRPr="00CB7E2E">
        <w:rPr>
          <w:rFonts w:ascii="Arial" w:hAnsi="Arial" w:cs="Arial"/>
          <w:color w:val="000000"/>
          <w:sz w:val="20"/>
          <w:szCs w:val="20"/>
          <w:lang w:val="es-UY"/>
        </w:rPr>
        <w:t xml:space="preserve"> </w:t>
      </w:r>
      <w:r w:rsidRPr="00255193">
        <w:rPr>
          <w:rFonts w:ascii="Arial" w:hAnsi="Arial" w:cs="Arial"/>
          <w:color w:val="000000"/>
          <w:sz w:val="20"/>
          <w:szCs w:val="20"/>
          <w:lang w:val="es-UY"/>
        </w:rPr>
        <w:t>ganará 45 puntos</w:t>
      </w:r>
      <w:r w:rsidR="00255193">
        <w:rPr>
          <w:rFonts w:ascii="Arial" w:hAnsi="Arial" w:cs="Arial"/>
          <w:color w:val="000000"/>
          <w:sz w:val="20"/>
          <w:szCs w:val="20"/>
          <w:lang w:val="es-UY"/>
        </w:rPr>
        <w:t xml:space="preserve"> si como parte de su oferta se compromete a construir o ejecutar:</w:t>
      </w:r>
    </w:p>
    <w:p w14:paraId="3C34A722" w14:textId="77777777" w:rsidR="00982AD8" w:rsidRPr="00CB7E2E" w:rsidRDefault="00982AD8" w:rsidP="00982AD8">
      <w:pPr>
        <w:pStyle w:val="Prrafodelista"/>
        <w:numPr>
          <w:ilvl w:val="0"/>
          <w:numId w:val="126"/>
        </w:numPr>
        <w:spacing w:after="0"/>
        <w:contextualSpacing/>
        <w:jc w:val="both"/>
        <w:rPr>
          <w:rFonts w:ascii="Arial" w:hAnsi="Arial" w:cs="Arial"/>
          <w:sz w:val="20"/>
          <w:szCs w:val="20"/>
        </w:rPr>
      </w:pPr>
      <w:r w:rsidRPr="00CB7E2E">
        <w:rPr>
          <w:rFonts w:ascii="Arial" w:hAnsi="Arial" w:cs="Arial"/>
          <w:sz w:val="20"/>
          <w:szCs w:val="20"/>
        </w:rPr>
        <w:lastRenderedPageBreak/>
        <w:t>5  kilómetros de iluminación</w:t>
      </w:r>
    </w:p>
    <w:p w14:paraId="4AFC9553" w14:textId="77777777" w:rsidR="00982AD8" w:rsidRPr="00CB7E2E" w:rsidRDefault="00982AD8" w:rsidP="00982AD8">
      <w:pPr>
        <w:pStyle w:val="Prrafodelista"/>
        <w:numPr>
          <w:ilvl w:val="0"/>
          <w:numId w:val="126"/>
        </w:numPr>
        <w:spacing w:after="0"/>
        <w:contextualSpacing/>
        <w:jc w:val="both"/>
        <w:rPr>
          <w:rFonts w:ascii="Arial" w:hAnsi="Arial" w:cs="Arial"/>
          <w:sz w:val="20"/>
          <w:szCs w:val="20"/>
        </w:rPr>
      </w:pPr>
      <w:r w:rsidRPr="00CB7E2E">
        <w:rPr>
          <w:rFonts w:ascii="Arial" w:hAnsi="Arial" w:cs="Arial"/>
          <w:sz w:val="20"/>
          <w:szCs w:val="20"/>
        </w:rPr>
        <w:t>15  refugios peatonales en paradas de ómnibus</w:t>
      </w:r>
    </w:p>
    <w:p w14:paraId="56F9600D" w14:textId="77777777" w:rsidR="00982AD8" w:rsidRPr="00CB7E2E" w:rsidRDefault="00982AD8" w:rsidP="00982AD8">
      <w:pPr>
        <w:pStyle w:val="Prrafodelista"/>
        <w:numPr>
          <w:ilvl w:val="0"/>
          <w:numId w:val="126"/>
        </w:numPr>
        <w:spacing w:after="0"/>
        <w:contextualSpacing/>
        <w:jc w:val="both"/>
        <w:rPr>
          <w:rFonts w:ascii="Arial" w:hAnsi="Arial" w:cs="Arial"/>
          <w:sz w:val="20"/>
          <w:szCs w:val="20"/>
        </w:rPr>
      </w:pPr>
      <w:r w:rsidRPr="00CB7E2E">
        <w:rPr>
          <w:rFonts w:ascii="Arial" w:hAnsi="Arial" w:cs="Arial"/>
          <w:sz w:val="20"/>
          <w:szCs w:val="20"/>
        </w:rPr>
        <w:t>10  kilómetros de ciclo vías</w:t>
      </w:r>
    </w:p>
    <w:p w14:paraId="37E6B6D4" w14:textId="77777777" w:rsidR="00982AD8" w:rsidRPr="00CB7E2E" w:rsidRDefault="00982AD8" w:rsidP="00982AD8">
      <w:pPr>
        <w:pStyle w:val="Prrafodelista"/>
        <w:numPr>
          <w:ilvl w:val="0"/>
          <w:numId w:val="126"/>
        </w:numPr>
        <w:spacing w:after="0"/>
        <w:contextualSpacing/>
        <w:jc w:val="both"/>
        <w:rPr>
          <w:rFonts w:ascii="Arial" w:hAnsi="Arial" w:cs="Arial"/>
          <w:sz w:val="20"/>
          <w:szCs w:val="20"/>
          <w:lang w:val="es-UY"/>
        </w:rPr>
      </w:pPr>
      <w:r w:rsidRPr="00CB7E2E">
        <w:rPr>
          <w:rFonts w:ascii="Arial" w:hAnsi="Arial" w:cs="Arial"/>
          <w:sz w:val="20"/>
          <w:szCs w:val="20"/>
        </w:rPr>
        <w:t>10  kilómetros de calzadas laterales</w:t>
      </w:r>
    </w:p>
    <w:p w14:paraId="2900B045" w14:textId="77777777" w:rsidR="00982AD8" w:rsidRPr="00CB7E2E" w:rsidRDefault="00982AD8" w:rsidP="00982AD8">
      <w:pPr>
        <w:pStyle w:val="Prrafodelista"/>
        <w:rPr>
          <w:rFonts w:ascii="Arial" w:hAnsi="Arial" w:cs="Arial"/>
          <w:sz w:val="20"/>
          <w:szCs w:val="20"/>
          <w:lang w:val="es-UY"/>
        </w:rPr>
      </w:pPr>
    </w:p>
    <w:p w14:paraId="1A7704F6" w14:textId="77777777" w:rsidR="00982AD8" w:rsidRDefault="00982AD8" w:rsidP="00982AD8">
      <w:pPr>
        <w:autoSpaceDE w:val="0"/>
        <w:autoSpaceDN w:val="0"/>
        <w:adjustRightInd w:val="0"/>
        <w:spacing w:line="240" w:lineRule="auto"/>
        <w:rPr>
          <w:rFonts w:ascii="Arial" w:hAnsi="Arial" w:cs="Arial"/>
          <w:sz w:val="20"/>
          <w:szCs w:val="20"/>
        </w:rPr>
      </w:pPr>
      <w:r w:rsidRPr="00CB7E2E">
        <w:rPr>
          <w:rFonts w:ascii="Arial" w:hAnsi="Arial" w:cs="Arial"/>
          <w:sz w:val="20"/>
          <w:szCs w:val="20"/>
          <w:u w:val="single"/>
          <w:lang w:val="es-UY" w:eastAsia="es-UY"/>
        </w:rPr>
        <w:t>Plazo máximo de finalización a contar desde la comunicación del Supervisor de Obra (meses)</w:t>
      </w:r>
      <w:r w:rsidRPr="00CB7E2E">
        <w:rPr>
          <w:rFonts w:ascii="Arial" w:hAnsi="Arial" w:cs="Arial"/>
          <w:sz w:val="20"/>
          <w:szCs w:val="20"/>
        </w:rPr>
        <w:t xml:space="preserve"> </w:t>
      </w:r>
    </w:p>
    <w:p w14:paraId="63060631" w14:textId="77777777" w:rsidR="00982AD8" w:rsidRDefault="00982AD8" w:rsidP="00982AD8">
      <w:pPr>
        <w:autoSpaceDE w:val="0"/>
        <w:autoSpaceDN w:val="0"/>
        <w:adjustRightInd w:val="0"/>
        <w:spacing w:line="240" w:lineRule="auto"/>
        <w:rPr>
          <w:rFonts w:ascii="Arial" w:hAnsi="Arial" w:cs="Arial"/>
          <w:sz w:val="20"/>
          <w:szCs w:val="20"/>
        </w:rPr>
      </w:pPr>
    </w:p>
    <w:p w14:paraId="792861CF" w14:textId="02567E3C" w:rsidR="00982AD8" w:rsidRPr="00CB7E2E" w:rsidRDefault="00982AD8" w:rsidP="00CB2B6B">
      <w:pPr>
        <w:contextualSpacing/>
        <w:rPr>
          <w:rFonts w:ascii="Arial" w:hAnsi="Arial" w:cs="Arial"/>
          <w:sz w:val="20"/>
          <w:szCs w:val="20"/>
        </w:rPr>
      </w:pPr>
      <w:r w:rsidRPr="00CB7E2E">
        <w:rPr>
          <w:rFonts w:ascii="Arial" w:hAnsi="Arial" w:cs="Arial"/>
          <w:sz w:val="20"/>
          <w:szCs w:val="20"/>
        </w:rPr>
        <w:t>5  kilómetros de iluminación</w:t>
      </w:r>
      <w:r w:rsidRPr="00CB7E2E">
        <w:rPr>
          <w:rFonts w:ascii="Arial" w:hAnsi="Arial" w:cs="Arial"/>
          <w:sz w:val="20"/>
          <w:szCs w:val="20"/>
        </w:rPr>
        <w:tab/>
      </w:r>
      <w:r w:rsidRPr="00CB7E2E">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Pr="00CB7E2E">
        <w:rPr>
          <w:rFonts w:ascii="Arial" w:hAnsi="Arial" w:cs="Arial"/>
          <w:sz w:val="20"/>
          <w:szCs w:val="20"/>
        </w:rPr>
        <w:t>3 meses por kilómetro</w:t>
      </w:r>
    </w:p>
    <w:p w14:paraId="1D3D4481" w14:textId="00C6DF9B" w:rsidR="00982AD8" w:rsidRPr="003127A7" w:rsidRDefault="00982AD8" w:rsidP="00982AD8">
      <w:pPr>
        <w:contextualSpacing/>
        <w:rPr>
          <w:rFonts w:ascii="Arial" w:hAnsi="Arial" w:cs="Arial"/>
          <w:sz w:val="20"/>
          <w:szCs w:val="20"/>
        </w:rPr>
      </w:pPr>
      <w:r w:rsidRPr="003127A7">
        <w:rPr>
          <w:rFonts w:ascii="Arial" w:hAnsi="Arial" w:cs="Arial"/>
          <w:sz w:val="20"/>
          <w:szCs w:val="20"/>
        </w:rPr>
        <w:t>15  refugios peatonales en paradas de ómnibus</w:t>
      </w:r>
      <w:r w:rsidRPr="003127A7">
        <w:rPr>
          <w:rFonts w:ascii="Arial" w:hAnsi="Arial" w:cs="Arial"/>
          <w:sz w:val="20"/>
          <w:szCs w:val="20"/>
        </w:rPr>
        <w:tab/>
      </w:r>
      <w:r w:rsidRPr="003127A7">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Pr="003127A7">
        <w:rPr>
          <w:rFonts w:ascii="Arial" w:hAnsi="Arial" w:cs="Arial"/>
          <w:sz w:val="20"/>
          <w:szCs w:val="20"/>
        </w:rPr>
        <w:t>1 mes por cada refugio</w:t>
      </w:r>
    </w:p>
    <w:p w14:paraId="5279B78B" w14:textId="4308C1FA" w:rsidR="00982AD8" w:rsidRPr="003127A7" w:rsidRDefault="00982AD8" w:rsidP="00982AD8">
      <w:pPr>
        <w:contextualSpacing/>
        <w:rPr>
          <w:rFonts w:ascii="Arial" w:hAnsi="Arial" w:cs="Arial"/>
          <w:sz w:val="20"/>
          <w:szCs w:val="20"/>
        </w:rPr>
      </w:pPr>
      <w:r w:rsidRPr="003127A7">
        <w:rPr>
          <w:rFonts w:ascii="Arial" w:hAnsi="Arial" w:cs="Arial"/>
          <w:sz w:val="20"/>
          <w:szCs w:val="20"/>
        </w:rPr>
        <w:t>10  kilómetros de ciclo vías</w:t>
      </w:r>
      <w:r w:rsidRPr="003127A7">
        <w:rPr>
          <w:rFonts w:ascii="Arial" w:hAnsi="Arial" w:cs="Arial"/>
          <w:sz w:val="20"/>
          <w:szCs w:val="20"/>
        </w:rPr>
        <w:tab/>
      </w:r>
      <w:r w:rsidRPr="003127A7">
        <w:rPr>
          <w:rFonts w:ascii="Arial" w:hAnsi="Arial" w:cs="Arial"/>
          <w:sz w:val="20"/>
          <w:szCs w:val="20"/>
        </w:rPr>
        <w:tab/>
      </w:r>
      <w:r w:rsidRPr="003127A7">
        <w:rPr>
          <w:rFonts w:ascii="Arial" w:hAnsi="Arial" w:cs="Arial"/>
          <w:sz w:val="20"/>
          <w:szCs w:val="20"/>
        </w:rPr>
        <w:tab/>
      </w:r>
      <w:r w:rsidRPr="003127A7">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Pr="003127A7">
        <w:rPr>
          <w:rFonts w:ascii="Arial" w:hAnsi="Arial" w:cs="Arial"/>
          <w:sz w:val="20"/>
          <w:szCs w:val="20"/>
        </w:rPr>
        <w:t>1 mes por kilómetro</w:t>
      </w:r>
    </w:p>
    <w:p w14:paraId="22832F8E" w14:textId="3BCA83E1" w:rsidR="00982AD8" w:rsidRPr="003127A7" w:rsidRDefault="00982AD8" w:rsidP="00982AD8">
      <w:pPr>
        <w:autoSpaceDE w:val="0"/>
        <w:autoSpaceDN w:val="0"/>
        <w:adjustRightInd w:val="0"/>
        <w:spacing w:line="240" w:lineRule="auto"/>
        <w:contextualSpacing/>
        <w:rPr>
          <w:rFonts w:ascii="Arial" w:hAnsi="Arial" w:cs="Arial"/>
          <w:sz w:val="20"/>
          <w:szCs w:val="20"/>
          <w:lang w:val="es-UY"/>
        </w:rPr>
      </w:pPr>
      <w:r w:rsidRPr="003127A7">
        <w:rPr>
          <w:rFonts w:ascii="Arial" w:hAnsi="Arial" w:cs="Arial"/>
          <w:sz w:val="20"/>
          <w:szCs w:val="20"/>
        </w:rPr>
        <w:t>10  kilómetros de calzadas laterales</w:t>
      </w:r>
      <w:r w:rsidRPr="003127A7">
        <w:rPr>
          <w:rFonts w:ascii="Arial" w:hAnsi="Arial" w:cs="Arial"/>
          <w:sz w:val="20"/>
          <w:szCs w:val="20"/>
        </w:rPr>
        <w:tab/>
      </w:r>
      <w:r w:rsidRPr="003127A7">
        <w:rPr>
          <w:rFonts w:ascii="Arial" w:hAnsi="Arial" w:cs="Arial"/>
          <w:sz w:val="20"/>
          <w:szCs w:val="20"/>
        </w:rPr>
        <w:tab/>
      </w:r>
      <w:r w:rsidRPr="003127A7">
        <w:rPr>
          <w:rFonts w:ascii="Arial" w:hAnsi="Arial" w:cs="Arial"/>
          <w:sz w:val="20"/>
          <w:szCs w:val="20"/>
        </w:rPr>
        <w:tab/>
      </w:r>
      <w:r>
        <w:rPr>
          <w:rFonts w:ascii="Arial" w:hAnsi="Arial" w:cs="Arial"/>
          <w:sz w:val="20"/>
          <w:szCs w:val="20"/>
        </w:rPr>
        <w:tab/>
      </w:r>
      <w:r>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00CB2B6B">
        <w:rPr>
          <w:rFonts w:ascii="Arial" w:hAnsi="Arial" w:cs="Arial"/>
          <w:sz w:val="20"/>
          <w:szCs w:val="20"/>
        </w:rPr>
        <w:tab/>
      </w:r>
      <w:r w:rsidRPr="003127A7">
        <w:rPr>
          <w:rFonts w:ascii="Arial" w:hAnsi="Arial" w:cs="Arial"/>
          <w:sz w:val="20"/>
          <w:szCs w:val="20"/>
        </w:rPr>
        <w:t>1 mes por kilómetro</w:t>
      </w:r>
    </w:p>
    <w:p w14:paraId="1DC42F2F" w14:textId="77777777" w:rsidR="00982AD8" w:rsidRDefault="00982AD8" w:rsidP="00982AD8">
      <w:pPr>
        <w:autoSpaceDE w:val="0"/>
        <w:autoSpaceDN w:val="0"/>
        <w:adjustRightInd w:val="0"/>
        <w:spacing w:line="240" w:lineRule="auto"/>
        <w:rPr>
          <w:rFonts w:ascii="Arial" w:hAnsi="Arial" w:cs="Arial"/>
          <w:sz w:val="20"/>
          <w:szCs w:val="20"/>
          <w:lang w:val="es-UY"/>
        </w:rPr>
      </w:pPr>
    </w:p>
    <w:p w14:paraId="0A52D453" w14:textId="77777777" w:rsidR="00982AD8" w:rsidRPr="00EC19AB" w:rsidRDefault="00982AD8" w:rsidP="00982AD8">
      <w:pPr>
        <w:spacing w:after="120"/>
        <w:rPr>
          <w:rFonts w:ascii="Arial" w:hAnsi="Arial" w:cs="Arial"/>
          <w:sz w:val="20"/>
          <w:szCs w:val="20"/>
          <w:lang w:val="es-UY"/>
        </w:rPr>
      </w:pPr>
      <w:r w:rsidRPr="00EC19AB">
        <w:rPr>
          <w:rFonts w:ascii="Arial" w:hAnsi="Arial" w:cs="Arial"/>
          <w:sz w:val="20"/>
          <w:szCs w:val="20"/>
          <w:lang w:val="es-UY"/>
        </w:rPr>
        <w:t>Si se retrasara la finalización de alguna de las Obras Complementarias se sumará al tramo que corresponda, dos Faltas no Críticas (</w:t>
      </w:r>
      <w:hyperlink w:anchor="CAP_14" w:history="1">
        <w:r w:rsidRPr="00EC19AB">
          <w:rPr>
            <w:rStyle w:val="Hipervnculo"/>
            <w:rFonts w:ascii="Arial" w:hAnsi="Arial" w:cs="Arial"/>
            <w:sz w:val="20"/>
            <w:szCs w:val="20"/>
          </w:rPr>
          <w:t>CAPITULO XIV</w:t>
        </w:r>
      </w:hyperlink>
      <w:r w:rsidRPr="00EC19AB">
        <w:rPr>
          <w:rFonts w:ascii="Arial" w:hAnsi="Arial" w:cs="Arial"/>
          <w:sz w:val="20"/>
          <w:szCs w:val="20"/>
          <w:lang w:val="es-UY"/>
        </w:rPr>
        <w:t>) en cada evaluación trimestral mientras que no se termine la obra en cuestión.</w:t>
      </w:r>
    </w:p>
    <w:p w14:paraId="1EF07B8A" w14:textId="77777777" w:rsidR="00982AD8" w:rsidRPr="00EC19AB" w:rsidRDefault="00982AD8" w:rsidP="00982AD8">
      <w:pPr>
        <w:spacing w:after="120"/>
        <w:rPr>
          <w:rFonts w:ascii="Arial" w:hAnsi="Arial" w:cs="Arial"/>
          <w:sz w:val="20"/>
          <w:szCs w:val="20"/>
          <w:lang w:val="es-UY"/>
        </w:rPr>
      </w:pPr>
    </w:p>
    <w:p w14:paraId="0AC012DC" w14:textId="77777777" w:rsidR="00982AD8" w:rsidRDefault="00982AD8" w:rsidP="00982AD8">
      <w:pPr>
        <w:rPr>
          <w:rFonts w:ascii="Arial" w:hAnsi="Arial" w:cs="Arial"/>
          <w:b/>
          <w:bCs/>
          <w:sz w:val="20"/>
          <w:szCs w:val="20"/>
        </w:rPr>
      </w:pPr>
      <w:r w:rsidRPr="00EC19AB">
        <w:rPr>
          <w:rFonts w:ascii="Arial" w:hAnsi="Arial" w:cs="Arial"/>
          <w:b/>
          <w:bCs/>
          <w:sz w:val="20"/>
          <w:szCs w:val="20"/>
        </w:rPr>
        <w:lastRenderedPageBreak/>
        <w:t>De no ofrecer la obra complementaria anterior el oferente obtendrá cero puntos en este ítem.</w:t>
      </w:r>
    </w:p>
    <w:p w14:paraId="001D9FD8" w14:textId="77777777" w:rsidR="00982AD8" w:rsidRPr="00255193" w:rsidRDefault="00982AD8" w:rsidP="00BD1AFD">
      <w:pPr>
        <w:pStyle w:val="T2BIS"/>
        <w:numPr>
          <w:ilvl w:val="1"/>
          <w:numId w:val="170"/>
        </w:numPr>
        <w:outlineLvl w:val="9"/>
        <w:rPr>
          <w:sz w:val="20"/>
          <w:szCs w:val="20"/>
        </w:rPr>
      </w:pPr>
      <w:r w:rsidRPr="00255193">
        <w:rPr>
          <w:sz w:val="20"/>
          <w:szCs w:val="20"/>
        </w:rPr>
        <w:t>Obra complementaria 2 (60 puntos)</w:t>
      </w:r>
    </w:p>
    <w:p w14:paraId="2DF2C2DF" w14:textId="37919573" w:rsidR="00982AD8" w:rsidRPr="00D93EF6" w:rsidRDefault="00982AD8" w:rsidP="00982AD8">
      <w:pPr>
        <w:rPr>
          <w:rFonts w:ascii="Arial" w:hAnsi="Arial" w:cs="Arial"/>
          <w:sz w:val="20"/>
          <w:szCs w:val="20"/>
        </w:rPr>
      </w:pPr>
      <w:r w:rsidRPr="00255193">
        <w:rPr>
          <w:rFonts w:ascii="Arial" w:hAnsi="Arial" w:cs="Arial"/>
          <w:color w:val="000000"/>
          <w:sz w:val="20"/>
          <w:szCs w:val="20"/>
          <w:lang w:val="es-UY"/>
        </w:rPr>
        <w:t>El oferente ganará 60 puntos</w:t>
      </w:r>
      <w:r w:rsidR="00255193" w:rsidRPr="00255193">
        <w:t xml:space="preserve"> </w:t>
      </w:r>
      <w:r w:rsidR="00255193" w:rsidRPr="00255193">
        <w:rPr>
          <w:rFonts w:ascii="Arial" w:hAnsi="Arial" w:cs="Arial"/>
          <w:color w:val="000000"/>
          <w:sz w:val="20"/>
          <w:szCs w:val="20"/>
          <w:lang w:val="es-UY"/>
        </w:rPr>
        <w:t>si como parte de su ofe</w:t>
      </w:r>
      <w:r w:rsidR="00602774">
        <w:rPr>
          <w:rFonts w:ascii="Arial" w:hAnsi="Arial" w:cs="Arial"/>
          <w:color w:val="000000"/>
          <w:sz w:val="20"/>
          <w:szCs w:val="20"/>
          <w:lang w:val="es-UY"/>
        </w:rPr>
        <w:t xml:space="preserve">rta se compromete a construir o </w:t>
      </w:r>
      <w:r w:rsidR="00255193" w:rsidRPr="00255193">
        <w:rPr>
          <w:rFonts w:ascii="Arial" w:hAnsi="Arial" w:cs="Arial"/>
          <w:color w:val="000000"/>
          <w:sz w:val="20"/>
          <w:szCs w:val="20"/>
          <w:lang w:val="es-UY"/>
        </w:rPr>
        <w:t>ejecutar:</w:t>
      </w:r>
      <w:r w:rsidRPr="00D93EF6">
        <w:rPr>
          <w:rFonts w:ascii="Arial" w:hAnsi="Arial" w:cs="Arial"/>
          <w:sz w:val="20"/>
          <w:szCs w:val="20"/>
        </w:rPr>
        <w:t>el siguiente paquete de obras que se considera completo e indivisible como Obra Complementaria</w:t>
      </w:r>
      <w:r w:rsidR="00ED7765">
        <w:rPr>
          <w:rFonts w:ascii="Arial" w:hAnsi="Arial" w:cs="Arial"/>
          <w:sz w:val="20"/>
          <w:szCs w:val="20"/>
        </w:rPr>
        <w:t>:</w:t>
      </w:r>
    </w:p>
    <w:p w14:paraId="503EDA5A" w14:textId="2740D038" w:rsidR="00982AD8" w:rsidRPr="00ED7765" w:rsidRDefault="00982AD8" w:rsidP="00ED7765">
      <w:pPr>
        <w:pStyle w:val="Prrafodelista"/>
        <w:numPr>
          <w:ilvl w:val="0"/>
          <w:numId w:val="77"/>
        </w:numPr>
        <w:autoSpaceDE w:val="0"/>
        <w:autoSpaceDN w:val="0"/>
        <w:adjustRightInd w:val="0"/>
        <w:spacing w:line="240" w:lineRule="auto"/>
        <w:rPr>
          <w:rFonts w:ascii="Arial" w:hAnsi="Arial" w:cs="Arial"/>
          <w:sz w:val="20"/>
          <w:szCs w:val="20"/>
          <w:lang w:val="es-UY"/>
        </w:rPr>
      </w:pPr>
      <w:r w:rsidRPr="00ED7765">
        <w:rPr>
          <w:rFonts w:ascii="Arial" w:hAnsi="Arial" w:cs="Arial"/>
          <w:sz w:val="20"/>
          <w:szCs w:val="20"/>
          <w:lang w:val="es-UY"/>
        </w:rPr>
        <w:t>Ensanche y refuerzo de los puentes Río Santa Lucía y Río Santa Lucía (Paso Viejo).</w:t>
      </w:r>
    </w:p>
    <w:p w14:paraId="6BEF93DC" w14:textId="0076E457" w:rsidR="00982AD8" w:rsidRDefault="00982AD8" w:rsidP="00982AD8">
      <w:pPr>
        <w:autoSpaceDE w:val="0"/>
        <w:autoSpaceDN w:val="0"/>
        <w:adjustRightInd w:val="0"/>
        <w:spacing w:line="240" w:lineRule="auto"/>
        <w:rPr>
          <w:rFonts w:ascii="Arial" w:hAnsi="Arial" w:cs="Arial"/>
          <w:sz w:val="20"/>
          <w:szCs w:val="20"/>
          <w:lang w:val="es-UY"/>
        </w:rPr>
      </w:pPr>
      <w:r>
        <w:rPr>
          <w:rFonts w:ascii="Arial" w:hAnsi="Arial" w:cs="Arial"/>
          <w:sz w:val="20"/>
          <w:szCs w:val="20"/>
          <w:lang w:val="es-UY"/>
        </w:rPr>
        <w:t>En caso de ofrecer esta obra Complementaria estos trabajos sustituyen a los de “Reparaciones” que se establecen en la tabla C.XI – Puentes.</w:t>
      </w:r>
    </w:p>
    <w:p w14:paraId="1D8BFB09" w14:textId="77777777" w:rsidR="00982AD8" w:rsidRDefault="00982AD8" w:rsidP="00982AD8">
      <w:pPr>
        <w:spacing w:after="120"/>
        <w:rPr>
          <w:rFonts w:ascii="Arial" w:hAnsi="Arial" w:cs="Arial"/>
          <w:sz w:val="20"/>
          <w:szCs w:val="20"/>
          <w:lang w:val="es-UY"/>
        </w:rPr>
      </w:pPr>
      <w:r w:rsidRPr="00CB7E2E">
        <w:rPr>
          <w:rFonts w:ascii="Arial" w:hAnsi="Arial" w:cs="Arial"/>
          <w:sz w:val="20"/>
          <w:szCs w:val="20"/>
          <w:lang w:val="es-UY"/>
        </w:rPr>
        <w:t xml:space="preserve">Si se retrasara la finalización de alguna de </w:t>
      </w:r>
      <w:r>
        <w:rPr>
          <w:rFonts w:ascii="Arial" w:hAnsi="Arial" w:cs="Arial"/>
          <w:sz w:val="20"/>
          <w:szCs w:val="20"/>
          <w:lang w:val="es-UY"/>
        </w:rPr>
        <w:t xml:space="preserve">las Obras Complementarias </w:t>
      </w:r>
      <w:r w:rsidRPr="00CB7E2E">
        <w:rPr>
          <w:rFonts w:ascii="Arial" w:hAnsi="Arial" w:cs="Arial"/>
          <w:sz w:val="20"/>
          <w:szCs w:val="20"/>
          <w:lang w:val="es-UY"/>
        </w:rPr>
        <w:t>se sumará al tramo que corresponda, dos Faltas no Críticas (</w:t>
      </w:r>
      <w:hyperlink w:anchor="CAP_14" w:history="1">
        <w:r w:rsidRPr="00FA774B">
          <w:rPr>
            <w:rStyle w:val="Hipervnculo"/>
            <w:rFonts w:ascii="Arial" w:hAnsi="Arial" w:cs="Arial"/>
            <w:sz w:val="20"/>
            <w:szCs w:val="20"/>
          </w:rPr>
          <w:t>CAPITULO XIV</w:t>
        </w:r>
      </w:hyperlink>
      <w:r w:rsidRPr="00CB7E2E">
        <w:rPr>
          <w:rFonts w:ascii="Arial" w:hAnsi="Arial" w:cs="Arial"/>
          <w:sz w:val="20"/>
          <w:szCs w:val="20"/>
          <w:lang w:val="es-UY"/>
        </w:rPr>
        <w:t>) en cada evaluación trimestral mientras que no se termine la obra en cuestión.</w:t>
      </w:r>
    </w:p>
    <w:p w14:paraId="1E2A3CCC" w14:textId="77777777" w:rsidR="00982AD8" w:rsidRDefault="00982AD8" w:rsidP="00982AD8">
      <w:pPr>
        <w:rPr>
          <w:rFonts w:ascii="Arial" w:hAnsi="Arial" w:cs="Arial"/>
          <w:b/>
          <w:bCs/>
          <w:sz w:val="20"/>
          <w:szCs w:val="20"/>
        </w:rPr>
      </w:pPr>
      <w:r w:rsidRPr="00CB7E2E">
        <w:rPr>
          <w:rFonts w:ascii="Arial" w:hAnsi="Arial" w:cs="Arial"/>
          <w:b/>
          <w:bCs/>
          <w:sz w:val="20"/>
          <w:szCs w:val="20"/>
        </w:rPr>
        <w:t>De no ofrecer la obra complementaria anterior el oferente obtendrá cero puntos en este ítem.</w:t>
      </w:r>
    </w:p>
    <w:p w14:paraId="5EBF3184" w14:textId="77777777" w:rsidR="00982AD8" w:rsidRPr="00381885" w:rsidRDefault="00982AD8" w:rsidP="00982AD8">
      <w:pPr>
        <w:rPr>
          <w:rFonts w:ascii="Arial" w:eastAsia="Calibri" w:hAnsi="Arial" w:cs="Arial"/>
          <w:b/>
          <w:bCs/>
          <w:sz w:val="20"/>
          <w:szCs w:val="20"/>
          <w:u w:val="single"/>
          <w:lang w:val="es-ES_tradnl"/>
        </w:rPr>
      </w:pPr>
      <w:bookmarkStart w:id="1316" w:name="_Toc400629190"/>
      <w:bookmarkStart w:id="1317" w:name="_Toc400634155"/>
      <w:bookmarkStart w:id="1318" w:name="_Toc400635282"/>
      <w:bookmarkStart w:id="1319" w:name="_Toc400636242"/>
      <w:r w:rsidRPr="00381885">
        <w:rPr>
          <w:rFonts w:ascii="Arial" w:eastAsia="Calibri" w:hAnsi="Arial" w:cs="Arial"/>
          <w:b/>
          <w:bCs/>
          <w:sz w:val="20"/>
          <w:szCs w:val="20"/>
          <w:u w:val="single"/>
          <w:lang w:val="es-ES_tradnl"/>
        </w:rPr>
        <w:t>RESUMEN</w:t>
      </w:r>
    </w:p>
    <w:p w14:paraId="67DB900F" w14:textId="77777777" w:rsidR="00982AD8" w:rsidRPr="00E26581" w:rsidRDefault="00982AD8" w:rsidP="00982AD8">
      <w:pPr>
        <w:rPr>
          <w:rFonts w:ascii="Arial" w:eastAsia="Calibri" w:hAnsi="Arial" w:cs="Arial"/>
          <w:bCs/>
          <w:sz w:val="20"/>
          <w:szCs w:val="20"/>
          <w:lang w:val="es-ES_tradnl"/>
        </w:rPr>
      </w:pPr>
      <w:r w:rsidRPr="00E26581">
        <w:rPr>
          <w:rFonts w:ascii="Arial" w:eastAsia="Calibri" w:hAnsi="Arial" w:cs="Arial"/>
          <w:bCs/>
          <w:sz w:val="20"/>
          <w:szCs w:val="20"/>
          <w:lang w:val="es-ES_tradnl"/>
        </w:rPr>
        <w:t>El oferente deberá incluir dentro del Sobre 1 un resumen que contenga:</w:t>
      </w:r>
    </w:p>
    <w:p w14:paraId="6D3279FF" w14:textId="77777777" w:rsidR="00982AD8" w:rsidRPr="00E26581" w:rsidRDefault="00982AD8" w:rsidP="00982AD8">
      <w:pPr>
        <w:pStyle w:val="Prrafodelista"/>
        <w:numPr>
          <w:ilvl w:val="0"/>
          <w:numId w:val="140"/>
        </w:numPr>
        <w:rPr>
          <w:rFonts w:ascii="Arial" w:eastAsia="Calibri" w:hAnsi="Arial" w:cs="Arial"/>
          <w:bCs/>
          <w:sz w:val="20"/>
          <w:szCs w:val="20"/>
          <w:lang w:val="es-ES_tradnl"/>
        </w:rPr>
      </w:pPr>
      <w:r w:rsidRPr="00E26581">
        <w:rPr>
          <w:rFonts w:ascii="Arial" w:eastAsia="Calibri" w:hAnsi="Arial" w:cs="Arial"/>
          <w:bCs/>
          <w:sz w:val="20"/>
          <w:szCs w:val="20"/>
          <w:lang w:val="es-ES_tradnl"/>
        </w:rPr>
        <w:lastRenderedPageBreak/>
        <w:t>Tabla A.VII-2 completada.</w:t>
      </w:r>
    </w:p>
    <w:p w14:paraId="447F10B7" w14:textId="77777777" w:rsidR="00982AD8" w:rsidRDefault="00982AD8" w:rsidP="00982AD8">
      <w:pPr>
        <w:pStyle w:val="Prrafodelista"/>
        <w:numPr>
          <w:ilvl w:val="0"/>
          <w:numId w:val="140"/>
        </w:numPr>
        <w:jc w:val="both"/>
        <w:rPr>
          <w:rFonts w:ascii="Arial" w:eastAsia="Calibri" w:hAnsi="Arial" w:cs="Arial"/>
          <w:bCs/>
          <w:sz w:val="20"/>
          <w:szCs w:val="20"/>
          <w:lang w:val="es-ES_tradnl"/>
        </w:rPr>
      </w:pPr>
      <w:r w:rsidRPr="00E26581">
        <w:rPr>
          <w:rFonts w:ascii="Arial" w:eastAsia="Calibri" w:hAnsi="Arial" w:cs="Arial"/>
          <w:bCs/>
          <w:sz w:val="20"/>
          <w:szCs w:val="20"/>
          <w:lang w:val="es-ES_tradnl"/>
        </w:rPr>
        <w:t xml:space="preserve">Indicación expresa de </w:t>
      </w:r>
      <w:r>
        <w:rPr>
          <w:rFonts w:ascii="Arial" w:eastAsia="Calibri" w:hAnsi="Arial" w:cs="Arial"/>
          <w:bCs/>
          <w:sz w:val="20"/>
          <w:szCs w:val="20"/>
          <w:lang w:val="es-ES_tradnl"/>
        </w:rPr>
        <w:t xml:space="preserve">qué </w:t>
      </w:r>
      <w:r w:rsidRPr="00E26581">
        <w:rPr>
          <w:rFonts w:ascii="Arial" w:eastAsia="Calibri" w:hAnsi="Arial" w:cs="Arial"/>
          <w:bCs/>
          <w:sz w:val="20"/>
          <w:szCs w:val="20"/>
          <w:lang w:val="es-ES_tradnl"/>
        </w:rPr>
        <w:t>paquete de obras complementarias</w:t>
      </w:r>
      <w:r>
        <w:rPr>
          <w:rFonts w:ascii="Arial" w:eastAsia="Calibri" w:hAnsi="Arial" w:cs="Arial"/>
          <w:bCs/>
          <w:sz w:val="20"/>
          <w:szCs w:val="20"/>
          <w:lang w:val="es-ES_tradnl"/>
        </w:rPr>
        <w:t xml:space="preserve"> ofrece construir, 1 ó 2 (en caso de proponer sólo uno),  o los dos o ninguno según cuál sea el caso.</w:t>
      </w:r>
    </w:p>
    <w:p w14:paraId="59B117AB" w14:textId="77777777" w:rsidR="00982AD8" w:rsidRPr="0004795E" w:rsidRDefault="00982AD8" w:rsidP="00982AD8">
      <w:pPr>
        <w:rPr>
          <w:rFonts w:ascii="Arial" w:eastAsia="Calibri" w:hAnsi="Arial" w:cs="Arial"/>
          <w:bCs/>
          <w:sz w:val="20"/>
          <w:szCs w:val="20"/>
          <w:lang w:val="es-ES_tradnl"/>
        </w:rPr>
      </w:pPr>
    </w:p>
    <w:p w14:paraId="79E5D721" w14:textId="77777777" w:rsidR="00982AD8" w:rsidRPr="00CB7E2E" w:rsidRDefault="00982AD8" w:rsidP="00982AD8">
      <w:pPr>
        <w:pStyle w:val="Prrafodelista"/>
        <w:keepNext/>
        <w:numPr>
          <w:ilvl w:val="0"/>
          <w:numId w:val="164"/>
        </w:numPr>
        <w:tabs>
          <w:tab w:val="left" w:pos="284"/>
        </w:tabs>
        <w:spacing w:before="240" w:after="240" w:line="360" w:lineRule="auto"/>
        <w:jc w:val="both"/>
        <w:rPr>
          <w:rFonts w:ascii="Arial" w:eastAsia="Calibri" w:hAnsi="Arial" w:cs="Arial"/>
          <w:b/>
          <w:bCs/>
          <w:sz w:val="20"/>
          <w:szCs w:val="20"/>
          <w:lang w:val="es-ES_tradnl"/>
        </w:rPr>
      </w:pPr>
      <w:r w:rsidRPr="00CB7E2E">
        <w:rPr>
          <w:rFonts w:ascii="Arial" w:eastAsia="Calibri" w:hAnsi="Arial" w:cs="Arial"/>
          <w:b/>
          <w:bCs/>
          <w:sz w:val="20"/>
          <w:szCs w:val="20"/>
          <w:lang w:val="es-ES_tradnl"/>
        </w:rPr>
        <w:t xml:space="preserve">TOTAL PUNTUACIÓN SOBRE 2 (hasta un máximo de </w:t>
      </w:r>
      <w:r>
        <w:rPr>
          <w:rFonts w:ascii="Arial" w:eastAsia="Calibri" w:hAnsi="Arial" w:cs="Arial"/>
          <w:b/>
          <w:bCs/>
          <w:sz w:val="20"/>
          <w:szCs w:val="20"/>
          <w:lang w:val="es-ES_tradnl"/>
        </w:rPr>
        <w:t>660</w:t>
      </w:r>
      <w:r w:rsidRPr="00CB7E2E">
        <w:rPr>
          <w:rFonts w:ascii="Arial" w:eastAsia="Calibri" w:hAnsi="Arial" w:cs="Arial"/>
          <w:b/>
          <w:bCs/>
          <w:sz w:val="20"/>
          <w:szCs w:val="20"/>
          <w:lang w:val="es-ES_tradnl"/>
        </w:rPr>
        <w:t xml:space="preserve"> puntos</w:t>
      </w:r>
      <w:bookmarkEnd w:id="1316"/>
      <w:bookmarkEnd w:id="1317"/>
      <w:bookmarkEnd w:id="1318"/>
      <w:bookmarkEnd w:id="1319"/>
      <w:r w:rsidRPr="00CB7E2E">
        <w:rPr>
          <w:rFonts w:ascii="Arial" w:eastAsia="Calibri" w:hAnsi="Arial" w:cs="Arial"/>
          <w:b/>
          <w:bCs/>
          <w:sz w:val="20"/>
          <w:szCs w:val="20"/>
          <w:lang w:val="es-ES_tradnl"/>
        </w:rPr>
        <w:t>)</w:t>
      </w:r>
      <w:bookmarkStart w:id="1320" w:name="_Toc437864715"/>
      <w:bookmarkStart w:id="1321" w:name="_Toc437864998"/>
      <w:bookmarkStart w:id="1322" w:name="_Toc437865280"/>
      <w:bookmarkStart w:id="1323" w:name="_Toc437865561"/>
      <w:bookmarkStart w:id="1324" w:name="_Toc437874851"/>
      <w:bookmarkStart w:id="1325" w:name="_Toc437875136"/>
      <w:bookmarkStart w:id="1326" w:name="_Toc437875494"/>
      <w:bookmarkStart w:id="1327" w:name="_Toc437875779"/>
      <w:bookmarkStart w:id="1328" w:name="_Toc437876172"/>
      <w:bookmarkStart w:id="1329" w:name="_Toc437876438"/>
      <w:bookmarkStart w:id="1330" w:name="_Toc437876704"/>
      <w:bookmarkStart w:id="1331" w:name="_Toc437876970"/>
      <w:bookmarkStart w:id="1332" w:name="_Toc437877233"/>
      <w:bookmarkStart w:id="1333" w:name="_Toc437877492"/>
      <w:bookmarkStart w:id="1334" w:name="_Toc437877751"/>
      <w:bookmarkStart w:id="1335" w:name="_Toc437878008"/>
      <w:bookmarkStart w:id="1336" w:name="_Toc437878264"/>
      <w:bookmarkStart w:id="1337" w:name="_Toc437878520"/>
      <w:bookmarkStart w:id="1338" w:name="_Toc437878775"/>
      <w:bookmarkStart w:id="1339" w:name="_Toc437879029"/>
      <w:bookmarkStart w:id="1340" w:name="_Toc437879282"/>
      <w:bookmarkStart w:id="1341" w:name="_Toc437879537"/>
      <w:bookmarkStart w:id="1342" w:name="_Toc437879791"/>
      <w:bookmarkStart w:id="1343" w:name="_Toc437880045"/>
      <w:bookmarkStart w:id="1344" w:name="_Toc437880298"/>
      <w:bookmarkStart w:id="1345" w:name="_Toc437942692"/>
      <w:bookmarkStart w:id="1346" w:name="_Toc437942943"/>
      <w:bookmarkStart w:id="1347" w:name="_Toc437943660"/>
      <w:bookmarkStart w:id="1348" w:name="_Toc437944295"/>
      <w:bookmarkStart w:id="1349" w:name="_Toc437950089"/>
      <w:bookmarkStart w:id="1350" w:name="_Toc438026715"/>
      <w:bookmarkStart w:id="1351" w:name="_Toc438026954"/>
      <w:bookmarkStart w:id="1352" w:name="_Toc438027193"/>
      <w:bookmarkStart w:id="1353" w:name="_Toc438027860"/>
      <w:bookmarkStart w:id="1354" w:name="_Toc438028106"/>
      <w:bookmarkStart w:id="1355" w:name="_Toc438028352"/>
      <w:bookmarkStart w:id="1356" w:name="_Toc438028598"/>
      <w:bookmarkStart w:id="1357" w:name="_Toc438031436"/>
      <w:bookmarkStart w:id="1358" w:name="_Toc438031691"/>
      <w:bookmarkStart w:id="1359" w:name="_Toc438052147"/>
      <w:bookmarkStart w:id="1360" w:name="_Toc438052471"/>
      <w:bookmarkStart w:id="1361" w:name="_Toc438056289"/>
      <w:bookmarkStart w:id="1362" w:name="_Toc438056592"/>
      <w:bookmarkStart w:id="1363" w:name="_Toc438057153"/>
      <w:bookmarkStart w:id="1364" w:name="_Toc438057685"/>
      <w:bookmarkStart w:id="1365" w:name="_Toc438105332"/>
      <w:bookmarkStart w:id="1366" w:name="_Toc438108330"/>
      <w:bookmarkStart w:id="1367" w:name="_Toc438109071"/>
      <w:bookmarkStart w:id="1368" w:name="_Toc438109189"/>
      <w:bookmarkStart w:id="1369" w:name="_Toc438111375"/>
      <w:bookmarkStart w:id="1370" w:name="_Toc438111635"/>
      <w:bookmarkStart w:id="1371" w:name="_Toc438111895"/>
      <w:bookmarkStart w:id="1372" w:name="_Toc438112195"/>
      <w:bookmarkStart w:id="1373" w:name="_Toc438112804"/>
      <w:bookmarkStart w:id="1374" w:name="_Toc438113482"/>
      <w:bookmarkStart w:id="1375" w:name="_Toc438113758"/>
      <w:bookmarkStart w:id="1376" w:name="_Toc438114768"/>
      <w:bookmarkStart w:id="1377" w:name="_Toc438115083"/>
      <w:bookmarkStart w:id="1378" w:name="_Toc438130249"/>
      <w:bookmarkStart w:id="1379" w:name="_Toc438224146"/>
      <w:bookmarkStart w:id="1380" w:name="_Toc441131868"/>
      <w:bookmarkStart w:id="1381" w:name="_Toc441146173"/>
      <w:bookmarkStart w:id="1382" w:name="_Toc441146578"/>
      <w:bookmarkStart w:id="1383" w:name="_Toc441146926"/>
      <w:bookmarkStart w:id="1384" w:name="_Toc441161676"/>
      <w:bookmarkStart w:id="1385" w:name="_Toc441162024"/>
      <w:bookmarkStart w:id="1386" w:name="_Toc441162374"/>
      <w:bookmarkStart w:id="1387" w:name="_Toc441229391"/>
      <w:bookmarkStart w:id="1388" w:name="_Toc441229726"/>
      <w:bookmarkStart w:id="1389" w:name="_Toc441230047"/>
      <w:bookmarkStart w:id="1390" w:name="_Toc450552898"/>
      <w:bookmarkStart w:id="1391" w:name="_Toc450555096"/>
      <w:bookmarkStart w:id="1392" w:name="_Toc450555351"/>
      <w:bookmarkStart w:id="1393" w:name="_Toc400634157"/>
      <w:bookmarkStart w:id="1394" w:name="_Toc400635284"/>
      <w:bookmarkStart w:id="1395" w:name="_Toc400636244"/>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bookmarkEnd w:id="1393"/>
    <w:bookmarkEnd w:id="1394"/>
    <w:bookmarkEnd w:id="1395"/>
    <w:p w14:paraId="017B0F4B" w14:textId="77777777" w:rsidR="00982AD8" w:rsidRPr="00CB7E2E" w:rsidRDefault="00982AD8" w:rsidP="00982AD8">
      <w:pPr>
        <w:pStyle w:val="T2BIS"/>
        <w:numPr>
          <w:ilvl w:val="1"/>
          <w:numId w:val="164"/>
        </w:numPr>
        <w:outlineLvl w:val="9"/>
        <w:rPr>
          <w:sz w:val="20"/>
          <w:szCs w:val="20"/>
        </w:rPr>
      </w:pPr>
      <w:r w:rsidRPr="00CB7E2E">
        <w:rPr>
          <w:sz w:val="20"/>
          <w:szCs w:val="20"/>
        </w:rPr>
        <w:t>Propuesta económica (</w:t>
      </w:r>
      <w:r>
        <w:rPr>
          <w:sz w:val="20"/>
          <w:szCs w:val="20"/>
        </w:rPr>
        <w:t>660</w:t>
      </w:r>
      <w:r w:rsidRPr="00CB7E2E">
        <w:rPr>
          <w:sz w:val="20"/>
          <w:szCs w:val="20"/>
        </w:rPr>
        <w:t xml:space="preserve"> puntos) </w:t>
      </w:r>
    </w:p>
    <w:p w14:paraId="69065EED" w14:textId="77777777" w:rsidR="00982AD8" w:rsidRPr="00CB7E2E" w:rsidRDefault="003C03A8" w:rsidP="00982AD8">
      <w:pPr>
        <w:spacing w:before="120"/>
        <w:rPr>
          <w:rFonts w:ascii="Arial" w:hAnsi="Arial" w:cs="Arial"/>
          <w:sz w:val="20"/>
          <w:szCs w:val="20"/>
        </w:rPr>
      </w:pPr>
      <w:r w:rsidRPr="00CB7E2E">
        <w:rPr>
          <w:rFonts w:ascii="Arial" w:hAnsi="Arial" w:cs="Arial"/>
          <w:position w:val="-30"/>
          <w:sz w:val="20"/>
          <w:szCs w:val="20"/>
        </w:rPr>
        <w:object w:dxaOrig="7380" w:dyaOrig="680" w14:anchorId="672A7DCB">
          <v:shape id="_x0000_i1031" type="#_x0000_t75" style="width:437.25pt;height:34.5pt" o:ole="">
            <v:imagedata r:id="rId149" o:title=""/>
          </v:shape>
          <o:OLEObject Type="Embed" ProgID="Equation.3" ShapeID="_x0000_i1031" DrawAspect="Content" ObjectID="_1571644621" r:id="rId150"/>
        </w:object>
      </w:r>
    </w:p>
    <w:p w14:paraId="75E50096" w14:textId="77777777" w:rsidR="00982AD8" w:rsidRPr="00CB7E2E" w:rsidRDefault="00982AD8" w:rsidP="00982AD8">
      <w:pPr>
        <w:rPr>
          <w:rFonts w:ascii="Arial" w:hAnsi="Arial" w:cs="Arial"/>
          <w:sz w:val="20"/>
          <w:szCs w:val="20"/>
        </w:rPr>
      </w:pPr>
      <w:r w:rsidRPr="00CB7E2E">
        <w:rPr>
          <w:rFonts w:ascii="Arial" w:hAnsi="Arial" w:cs="Arial"/>
          <w:sz w:val="20"/>
          <w:szCs w:val="20"/>
        </w:rPr>
        <w:t xml:space="preserve">Total puntuación Sobre </w:t>
      </w:r>
      <w:r>
        <w:rPr>
          <w:rFonts w:ascii="Arial" w:hAnsi="Arial" w:cs="Arial"/>
          <w:sz w:val="20"/>
          <w:szCs w:val="20"/>
        </w:rPr>
        <w:t>Dos</w:t>
      </w:r>
      <w:r w:rsidRPr="00CB7E2E">
        <w:rPr>
          <w:rFonts w:ascii="Arial" w:hAnsi="Arial" w:cs="Arial"/>
          <w:sz w:val="20"/>
          <w:szCs w:val="20"/>
        </w:rPr>
        <w:t xml:space="preserve">: </w:t>
      </w:r>
      <w:r>
        <w:rPr>
          <w:rFonts w:ascii="Arial" w:hAnsi="Arial" w:cs="Arial"/>
          <w:sz w:val="20"/>
          <w:szCs w:val="20"/>
        </w:rPr>
        <w:t>660</w:t>
      </w:r>
      <w:r w:rsidRPr="00CB7E2E">
        <w:rPr>
          <w:rFonts w:ascii="Arial" w:hAnsi="Arial" w:cs="Arial"/>
          <w:sz w:val="20"/>
          <w:szCs w:val="20"/>
        </w:rPr>
        <w:t xml:space="preserve"> puntos</w:t>
      </w:r>
    </w:p>
    <w:p w14:paraId="6D547572" w14:textId="77777777" w:rsidR="00982AD8" w:rsidRPr="00CB7E2E" w:rsidRDefault="00982AD8" w:rsidP="00982AD8">
      <w:pPr>
        <w:rPr>
          <w:rFonts w:ascii="Arial" w:hAnsi="Arial" w:cs="Arial"/>
          <w:sz w:val="20"/>
          <w:szCs w:val="20"/>
        </w:rPr>
      </w:pPr>
    </w:p>
    <w:p w14:paraId="5C2A9976" w14:textId="77777777" w:rsidR="00982AD8" w:rsidRPr="00CB7E2E" w:rsidRDefault="00982AD8" w:rsidP="00982AD8">
      <w:pPr>
        <w:rPr>
          <w:rFonts w:ascii="Arial" w:hAnsi="Arial" w:cs="Arial"/>
          <w:sz w:val="20"/>
          <w:szCs w:val="20"/>
        </w:rPr>
      </w:pPr>
      <w:r w:rsidRPr="00CB7E2E">
        <w:rPr>
          <w:rFonts w:ascii="Arial" w:hAnsi="Arial" w:cs="Arial"/>
          <w:sz w:val="20"/>
          <w:szCs w:val="20"/>
        </w:rPr>
        <w:t>La tabla siguiente resume el peso relativo de cada criterio:</w:t>
      </w:r>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590"/>
        <w:gridCol w:w="4955"/>
        <w:gridCol w:w="1179"/>
        <w:gridCol w:w="1770"/>
      </w:tblGrid>
      <w:tr w:rsidR="00982AD8" w:rsidRPr="00CB7E2E" w14:paraId="739F1FFD" w14:textId="77777777" w:rsidTr="000D6BD2">
        <w:tc>
          <w:tcPr>
            <w:tcW w:w="3264" w:type="pct"/>
            <w:gridSpan w:val="2"/>
            <w:shd w:val="clear" w:color="auto" w:fill="595959"/>
            <w:vAlign w:val="center"/>
          </w:tcPr>
          <w:p w14:paraId="694E383B" w14:textId="77777777" w:rsidR="00982AD8" w:rsidRPr="00CB7E2E" w:rsidRDefault="00982AD8" w:rsidP="000D6BD2">
            <w:pPr>
              <w:spacing w:before="60" w:after="60" w:line="240" w:lineRule="auto"/>
              <w:jc w:val="center"/>
              <w:rPr>
                <w:rFonts w:ascii="Arial" w:hAnsi="Arial" w:cs="Arial"/>
                <w:color w:val="FFFFFF"/>
                <w:sz w:val="20"/>
                <w:szCs w:val="20"/>
              </w:rPr>
            </w:pPr>
            <w:r w:rsidRPr="00CB7E2E">
              <w:rPr>
                <w:rFonts w:ascii="Arial" w:hAnsi="Arial" w:cs="Arial"/>
                <w:color w:val="FFFFFF"/>
                <w:sz w:val="20"/>
                <w:szCs w:val="20"/>
              </w:rPr>
              <w:t>Criterio de evaluación</w:t>
            </w:r>
          </w:p>
        </w:tc>
        <w:tc>
          <w:tcPr>
            <w:tcW w:w="694" w:type="pct"/>
            <w:shd w:val="clear" w:color="auto" w:fill="595959"/>
            <w:vAlign w:val="center"/>
          </w:tcPr>
          <w:p w14:paraId="78D00CA4" w14:textId="77777777" w:rsidR="00982AD8" w:rsidRPr="00CB7E2E" w:rsidRDefault="00982AD8" w:rsidP="000D6BD2">
            <w:pPr>
              <w:spacing w:before="60" w:after="60" w:line="240" w:lineRule="auto"/>
              <w:jc w:val="center"/>
              <w:rPr>
                <w:rFonts w:ascii="Arial" w:hAnsi="Arial" w:cs="Arial"/>
                <w:color w:val="FFFFFF"/>
                <w:sz w:val="20"/>
                <w:szCs w:val="20"/>
              </w:rPr>
            </w:pPr>
            <w:r w:rsidRPr="00CB7E2E">
              <w:rPr>
                <w:rFonts w:ascii="Arial" w:hAnsi="Arial" w:cs="Arial"/>
                <w:color w:val="FFFFFF"/>
                <w:sz w:val="20"/>
                <w:szCs w:val="20"/>
              </w:rPr>
              <w:t>Puntaje máximo</w:t>
            </w:r>
          </w:p>
        </w:tc>
        <w:tc>
          <w:tcPr>
            <w:tcW w:w="1042" w:type="pct"/>
            <w:shd w:val="clear" w:color="auto" w:fill="595959"/>
            <w:vAlign w:val="center"/>
          </w:tcPr>
          <w:p w14:paraId="6081EE48" w14:textId="77777777" w:rsidR="00982AD8" w:rsidRPr="00CB7E2E" w:rsidRDefault="00982AD8" w:rsidP="000D6BD2">
            <w:pPr>
              <w:spacing w:before="60" w:after="60" w:line="240" w:lineRule="auto"/>
              <w:jc w:val="center"/>
              <w:rPr>
                <w:rFonts w:ascii="Arial" w:hAnsi="Arial" w:cs="Arial"/>
                <w:color w:val="FFFFFF"/>
                <w:sz w:val="20"/>
                <w:szCs w:val="20"/>
              </w:rPr>
            </w:pPr>
            <w:r w:rsidRPr="00CB7E2E">
              <w:rPr>
                <w:rFonts w:ascii="Arial" w:hAnsi="Arial" w:cs="Arial"/>
                <w:color w:val="FFFFFF"/>
                <w:sz w:val="20"/>
                <w:szCs w:val="20"/>
              </w:rPr>
              <w:t>Peso relativo en la calificación total</w:t>
            </w:r>
          </w:p>
        </w:tc>
      </w:tr>
      <w:tr w:rsidR="00982AD8" w:rsidRPr="00CB7E2E" w14:paraId="4F9DD300" w14:textId="77777777" w:rsidTr="000D6BD2">
        <w:tc>
          <w:tcPr>
            <w:tcW w:w="347" w:type="pct"/>
            <w:vMerge w:val="restart"/>
            <w:vAlign w:val="center"/>
          </w:tcPr>
          <w:p w14:paraId="3A9B12F7" w14:textId="77777777" w:rsidR="00982AD8" w:rsidRPr="00CB7E2E" w:rsidRDefault="00982AD8" w:rsidP="000D6BD2">
            <w:pPr>
              <w:spacing w:before="60" w:after="60" w:line="240" w:lineRule="auto"/>
              <w:jc w:val="center"/>
              <w:rPr>
                <w:rFonts w:ascii="Arial" w:hAnsi="Arial" w:cs="Arial"/>
                <w:sz w:val="20"/>
                <w:szCs w:val="20"/>
              </w:rPr>
            </w:pPr>
            <w:r w:rsidRPr="00CB7E2E">
              <w:rPr>
                <w:rFonts w:ascii="Arial" w:hAnsi="Arial" w:cs="Arial"/>
                <w:sz w:val="20"/>
                <w:szCs w:val="20"/>
              </w:rPr>
              <w:t>1.1</w:t>
            </w:r>
          </w:p>
        </w:tc>
        <w:tc>
          <w:tcPr>
            <w:tcW w:w="2917" w:type="pct"/>
          </w:tcPr>
          <w:p w14:paraId="6A33507D"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Compromiso de IRI en el año 8</w:t>
            </w:r>
          </w:p>
        </w:tc>
        <w:tc>
          <w:tcPr>
            <w:tcW w:w="694" w:type="pct"/>
            <w:vAlign w:val="center"/>
          </w:tcPr>
          <w:p w14:paraId="4DA3C58B"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p>
        </w:tc>
        <w:tc>
          <w:tcPr>
            <w:tcW w:w="1042" w:type="pct"/>
            <w:vAlign w:val="center"/>
          </w:tcPr>
          <w:p w14:paraId="1EDE422F"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r w:rsidRPr="00CB7E2E">
              <w:rPr>
                <w:rFonts w:ascii="Arial" w:hAnsi="Arial" w:cs="Arial"/>
                <w:sz w:val="20"/>
                <w:szCs w:val="20"/>
              </w:rPr>
              <w:t>%</w:t>
            </w:r>
          </w:p>
        </w:tc>
      </w:tr>
      <w:tr w:rsidR="00982AD8" w:rsidRPr="00CB7E2E" w14:paraId="544C714B" w14:textId="77777777" w:rsidTr="000D6BD2">
        <w:tc>
          <w:tcPr>
            <w:tcW w:w="347" w:type="pct"/>
            <w:vMerge/>
            <w:vAlign w:val="center"/>
          </w:tcPr>
          <w:p w14:paraId="74B47D3D" w14:textId="77777777" w:rsidR="00982AD8" w:rsidRPr="00CB7E2E" w:rsidRDefault="00982AD8" w:rsidP="000D6BD2">
            <w:pPr>
              <w:spacing w:before="60" w:after="60" w:line="240" w:lineRule="auto"/>
              <w:jc w:val="center"/>
              <w:rPr>
                <w:rFonts w:ascii="Arial" w:hAnsi="Arial" w:cs="Arial"/>
                <w:sz w:val="20"/>
                <w:szCs w:val="20"/>
              </w:rPr>
            </w:pPr>
          </w:p>
        </w:tc>
        <w:tc>
          <w:tcPr>
            <w:tcW w:w="2917" w:type="pct"/>
          </w:tcPr>
          <w:p w14:paraId="4B358FFC"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Compromiso de IRI en el año 14</w:t>
            </w:r>
          </w:p>
        </w:tc>
        <w:tc>
          <w:tcPr>
            <w:tcW w:w="694" w:type="pct"/>
            <w:vAlign w:val="center"/>
          </w:tcPr>
          <w:p w14:paraId="60E19614"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p>
        </w:tc>
        <w:tc>
          <w:tcPr>
            <w:tcW w:w="1042" w:type="pct"/>
            <w:vAlign w:val="center"/>
          </w:tcPr>
          <w:p w14:paraId="49476DCF"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r w:rsidRPr="00CB7E2E">
              <w:rPr>
                <w:rFonts w:ascii="Arial" w:hAnsi="Arial" w:cs="Arial"/>
                <w:sz w:val="20"/>
                <w:szCs w:val="20"/>
              </w:rPr>
              <w:t>%</w:t>
            </w:r>
          </w:p>
        </w:tc>
      </w:tr>
      <w:tr w:rsidR="00982AD8" w:rsidRPr="00CB7E2E" w14:paraId="3D2CA880" w14:textId="77777777" w:rsidTr="000D6BD2">
        <w:tc>
          <w:tcPr>
            <w:tcW w:w="347" w:type="pct"/>
            <w:vMerge/>
            <w:vAlign w:val="center"/>
          </w:tcPr>
          <w:p w14:paraId="13A334F2" w14:textId="77777777" w:rsidR="00982AD8" w:rsidRPr="00CB7E2E" w:rsidRDefault="00982AD8" w:rsidP="000D6BD2">
            <w:pPr>
              <w:spacing w:before="60" w:after="60" w:line="240" w:lineRule="auto"/>
              <w:jc w:val="center"/>
              <w:rPr>
                <w:rFonts w:ascii="Arial" w:hAnsi="Arial" w:cs="Arial"/>
                <w:sz w:val="20"/>
                <w:szCs w:val="20"/>
              </w:rPr>
            </w:pPr>
          </w:p>
        </w:tc>
        <w:tc>
          <w:tcPr>
            <w:tcW w:w="2917" w:type="pct"/>
          </w:tcPr>
          <w:p w14:paraId="7732F490"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Compromiso de IRI en el año 20</w:t>
            </w:r>
          </w:p>
        </w:tc>
        <w:tc>
          <w:tcPr>
            <w:tcW w:w="694" w:type="pct"/>
            <w:vAlign w:val="center"/>
          </w:tcPr>
          <w:p w14:paraId="78DD318B"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p>
        </w:tc>
        <w:tc>
          <w:tcPr>
            <w:tcW w:w="1042" w:type="pct"/>
            <w:vAlign w:val="center"/>
          </w:tcPr>
          <w:p w14:paraId="58C29DCD"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r w:rsidRPr="00CB7E2E">
              <w:rPr>
                <w:rFonts w:ascii="Arial" w:hAnsi="Arial" w:cs="Arial"/>
                <w:sz w:val="20"/>
                <w:szCs w:val="20"/>
              </w:rPr>
              <w:t>%</w:t>
            </w:r>
          </w:p>
        </w:tc>
      </w:tr>
      <w:tr w:rsidR="00982AD8" w:rsidRPr="00CB7E2E" w14:paraId="56AAE77E" w14:textId="77777777" w:rsidTr="000D6BD2">
        <w:tc>
          <w:tcPr>
            <w:tcW w:w="347" w:type="pct"/>
            <w:vAlign w:val="center"/>
          </w:tcPr>
          <w:p w14:paraId="754906F8" w14:textId="77777777" w:rsidR="00982AD8" w:rsidRPr="00CB7E2E" w:rsidRDefault="00982AD8" w:rsidP="000D6BD2">
            <w:pPr>
              <w:spacing w:before="60" w:after="60" w:line="240" w:lineRule="auto"/>
              <w:jc w:val="center"/>
              <w:rPr>
                <w:rFonts w:ascii="Arial" w:hAnsi="Arial" w:cs="Arial"/>
                <w:sz w:val="20"/>
                <w:szCs w:val="20"/>
              </w:rPr>
            </w:pPr>
            <w:r w:rsidRPr="00CB7E2E">
              <w:rPr>
                <w:rFonts w:ascii="Arial" w:hAnsi="Arial" w:cs="Arial"/>
                <w:sz w:val="20"/>
                <w:szCs w:val="20"/>
              </w:rPr>
              <w:t>1.2</w:t>
            </w:r>
          </w:p>
        </w:tc>
        <w:tc>
          <w:tcPr>
            <w:tcW w:w="2917" w:type="pct"/>
          </w:tcPr>
          <w:p w14:paraId="0D9D5B72" w14:textId="77777777" w:rsidR="00982AD8" w:rsidRPr="00CB7E2E" w:rsidRDefault="00982AD8" w:rsidP="000D6BD2">
            <w:pPr>
              <w:spacing w:before="60" w:after="60" w:line="240" w:lineRule="auto"/>
              <w:rPr>
                <w:rFonts w:ascii="Arial" w:hAnsi="Arial" w:cs="Arial"/>
                <w:sz w:val="20"/>
                <w:szCs w:val="20"/>
              </w:rPr>
            </w:pPr>
            <w:r>
              <w:rPr>
                <w:rFonts w:ascii="Arial" w:hAnsi="Arial" w:cs="Arial"/>
                <w:sz w:val="20"/>
                <w:szCs w:val="20"/>
              </w:rPr>
              <w:t>Volumen, calidad y coherencia del plan de inversiones</w:t>
            </w:r>
          </w:p>
        </w:tc>
        <w:tc>
          <w:tcPr>
            <w:tcW w:w="694" w:type="pct"/>
            <w:vAlign w:val="center"/>
          </w:tcPr>
          <w:p w14:paraId="68C9E7EC"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10</w:t>
            </w:r>
            <w:r w:rsidRPr="00CB7E2E">
              <w:rPr>
                <w:rFonts w:ascii="Arial" w:hAnsi="Arial" w:cs="Arial"/>
                <w:sz w:val="20"/>
                <w:szCs w:val="20"/>
              </w:rPr>
              <w:t>0</w:t>
            </w:r>
          </w:p>
        </w:tc>
        <w:tc>
          <w:tcPr>
            <w:tcW w:w="1042" w:type="pct"/>
            <w:vAlign w:val="center"/>
          </w:tcPr>
          <w:p w14:paraId="24D33BD4"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10.0</w:t>
            </w:r>
            <w:r w:rsidRPr="00CB7E2E">
              <w:rPr>
                <w:rFonts w:ascii="Arial" w:hAnsi="Arial" w:cs="Arial"/>
                <w:sz w:val="20"/>
                <w:szCs w:val="20"/>
              </w:rPr>
              <w:t>%</w:t>
            </w:r>
          </w:p>
        </w:tc>
      </w:tr>
      <w:tr w:rsidR="00982AD8" w:rsidRPr="00CB7E2E" w14:paraId="5F7F368B" w14:textId="77777777" w:rsidTr="000D6BD2">
        <w:tc>
          <w:tcPr>
            <w:tcW w:w="347" w:type="pct"/>
            <w:vAlign w:val="center"/>
          </w:tcPr>
          <w:p w14:paraId="757F9E71" w14:textId="77777777" w:rsidR="00982AD8" w:rsidRPr="00CB7E2E" w:rsidRDefault="00982AD8" w:rsidP="000D6BD2">
            <w:pPr>
              <w:spacing w:before="60" w:after="60" w:line="240" w:lineRule="auto"/>
              <w:jc w:val="center"/>
              <w:rPr>
                <w:rFonts w:ascii="Arial" w:hAnsi="Arial" w:cs="Arial"/>
                <w:sz w:val="20"/>
                <w:szCs w:val="20"/>
              </w:rPr>
            </w:pPr>
            <w:r w:rsidRPr="00CB7E2E">
              <w:rPr>
                <w:rFonts w:ascii="Arial" w:hAnsi="Arial" w:cs="Arial"/>
                <w:sz w:val="20"/>
                <w:szCs w:val="20"/>
              </w:rPr>
              <w:t>1.</w:t>
            </w:r>
            <w:r>
              <w:rPr>
                <w:rFonts w:ascii="Arial" w:hAnsi="Arial" w:cs="Arial"/>
                <w:sz w:val="20"/>
                <w:szCs w:val="20"/>
              </w:rPr>
              <w:t>3</w:t>
            </w:r>
          </w:p>
        </w:tc>
        <w:tc>
          <w:tcPr>
            <w:tcW w:w="2917" w:type="pct"/>
          </w:tcPr>
          <w:p w14:paraId="3BEE54CE"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Obras complementarias</w:t>
            </w:r>
            <w:r>
              <w:rPr>
                <w:rFonts w:ascii="Arial" w:hAnsi="Arial" w:cs="Arial"/>
                <w:sz w:val="20"/>
                <w:szCs w:val="20"/>
              </w:rPr>
              <w:t xml:space="preserve"> 1</w:t>
            </w:r>
          </w:p>
        </w:tc>
        <w:tc>
          <w:tcPr>
            <w:tcW w:w="694" w:type="pct"/>
            <w:vAlign w:val="center"/>
          </w:tcPr>
          <w:p w14:paraId="41383123"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p>
        </w:tc>
        <w:tc>
          <w:tcPr>
            <w:tcW w:w="1042" w:type="pct"/>
            <w:vAlign w:val="center"/>
          </w:tcPr>
          <w:p w14:paraId="23C1DE70"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4.5</w:t>
            </w:r>
            <w:r w:rsidRPr="00CB7E2E">
              <w:rPr>
                <w:rFonts w:ascii="Arial" w:hAnsi="Arial" w:cs="Arial"/>
                <w:sz w:val="20"/>
                <w:szCs w:val="20"/>
              </w:rPr>
              <w:t>%</w:t>
            </w:r>
          </w:p>
        </w:tc>
      </w:tr>
      <w:tr w:rsidR="00982AD8" w:rsidRPr="00CB7E2E" w14:paraId="72588470" w14:textId="77777777" w:rsidTr="000D6BD2">
        <w:tc>
          <w:tcPr>
            <w:tcW w:w="347" w:type="pct"/>
            <w:vAlign w:val="center"/>
          </w:tcPr>
          <w:p w14:paraId="2E5C53C1" w14:textId="77777777" w:rsidR="00982AD8" w:rsidRPr="00CB7E2E" w:rsidRDefault="00982AD8" w:rsidP="000D6BD2">
            <w:pPr>
              <w:spacing w:before="60" w:after="60" w:line="240" w:lineRule="auto"/>
              <w:jc w:val="center"/>
              <w:rPr>
                <w:rFonts w:ascii="Arial" w:hAnsi="Arial" w:cs="Arial"/>
                <w:sz w:val="20"/>
                <w:szCs w:val="20"/>
              </w:rPr>
            </w:pPr>
            <w:r w:rsidRPr="00CB7E2E">
              <w:rPr>
                <w:rFonts w:ascii="Arial" w:hAnsi="Arial" w:cs="Arial"/>
                <w:sz w:val="20"/>
                <w:szCs w:val="20"/>
              </w:rPr>
              <w:t>1.</w:t>
            </w:r>
            <w:r>
              <w:rPr>
                <w:rFonts w:ascii="Arial" w:hAnsi="Arial" w:cs="Arial"/>
                <w:sz w:val="20"/>
                <w:szCs w:val="20"/>
              </w:rPr>
              <w:t>4</w:t>
            </w:r>
          </w:p>
        </w:tc>
        <w:tc>
          <w:tcPr>
            <w:tcW w:w="2917" w:type="pct"/>
          </w:tcPr>
          <w:p w14:paraId="2705E41D"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Obras complementarias</w:t>
            </w:r>
            <w:r>
              <w:rPr>
                <w:rFonts w:ascii="Arial" w:hAnsi="Arial" w:cs="Arial"/>
                <w:sz w:val="20"/>
                <w:szCs w:val="20"/>
              </w:rPr>
              <w:t xml:space="preserve"> 2</w:t>
            </w:r>
          </w:p>
        </w:tc>
        <w:tc>
          <w:tcPr>
            <w:tcW w:w="694" w:type="pct"/>
            <w:vAlign w:val="center"/>
          </w:tcPr>
          <w:p w14:paraId="280CED93"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60</w:t>
            </w:r>
          </w:p>
        </w:tc>
        <w:tc>
          <w:tcPr>
            <w:tcW w:w="1042" w:type="pct"/>
            <w:vAlign w:val="center"/>
          </w:tcPr>
          <w:p w14:paraId="1302ED5B"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6.0</w:t>
            </w:r>
            <w:r w:rsidRPr="00CB7E2E">
              <w:rPr>
                <w:rFonts w:ascii="Arial" w:hAnsi="Arial" w:cs="Arial"/>
                <w:sz w:val="20"/>
                <w:szCs w:val="20"/>
              </w:rPr>
              <w:t>%</w:t>
            </w:r>
          </w:p>
        </w:tc>
      </w:tr>
      <w:tr w:rsidR="00982AD8" w:rsidRPr="00CB7E2E" w14:paraId="2E010DF0" w14:textId="77777777" w:rsidTr="000D6BD2">
        <w:tc>
          <w:tcPr>
            <w:tcW w:w="347" w:type="pct"/>
            <w:vAlign w:val="center"/>
          </w:tcPr>
          <w:p w14:paraId="48DDA85C" w14:textId="2F1CE48B" w:rsidR="00982AD8" w:rsidRPr="00CB7E2E" w:rsidRDefault="00982AD8" w:rsidP="00921523">
            <w:pPr>
              <w:spacing w:before="60" w:after="60" w:line="240" w:lineRule="auto"/>
              <w:jc w:val="center"/>
              <w:rPr>
                <w:rFonts w:ascii="Arial" w:hAnsi="Arial" w:cs="Arial"/>
                <w:sz w:val="20"/>
                <w:szCs w:val="20"/>
              </w:rPr>
            </w:pPr>
            <w:r w:rsidRPr="00CB7E2E">
              <w:rPr>
                <w:rFonts w:ascii="Arial" w:hAnsi="Arial" w:cs="Arial"/>
                <w:sz w:val="20"/>
                <w:szCs w:val="20"/>
              </w:rPr>
              <w:t>2.</w:t>
            </w:r>
            <w:r w:rsidR="00921523">
              <w:rPr>
                <w:rFonts w:ascii="Arial" w:hAnsi="Arial" w:cs="Arial"/>
                <w:sz w:val="20"/>
                <w:szCs w:val="20"/>
              </w:rPr>
              <w:t>1</w:t>
            </w:r>
          </w:p>
        </w:tc>
        <w:tc>
          <w:tcPr>
            <w:tcW w:w="2917" w:type="pct"/>
          </w:tcPr>
          <w:p w14:paraId="7A90AC02" w14:textId="77777777" w:rsidR="00982AD8" w:rsidRPr="00CB7E2E" w:rsidRDefault="00982AD8" w:rsidP="000D6BD2">
            <w:pPr>
              <w:spacing w:before="60" w:after="60" w:line="240" w:lineRule="auto"/>
              <w:rPr>
                <w:rFonts w:ascii="Arial" w:hAnsi="Arial" w:cs="Arial"/>
                <w:sz w:val="20"/>
                <w:szCs w:val="20"/>
              </w:rPr>
            </w:pPr>
            <w:r w:rsidRPr="00CB7E2E">
              <w:rPr>
                <w:rFonts w:ascii="Arial" w:hAnsi="Arial" w:cs="Arial"/>
                <w:sz w:val="20"/>
                <w:szCs w:val="20"/>
              </w:rPr>
              <w:t>Propuesta económica (monto de comparación)</w:t>
            </w:r>
          </w:p>
        </w:tc>
        <w:tc>
          <w:tcPr>
            <w:tcW w:w="694" w:type="pct"/>
            <w:vAlign w:val="center"/>
          </w:tcPr>
          <w:p w14:paraId="1B23B9B9"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660</w:t>
            </w:r>
          </w:p>
        </w:tc>
        <w:tc>
          <w:tcPr>
            <w:tcW w:w="1042" w:type="pct"/>
            <w:vAlign w:val="center"/>
          </w:tcPr>
          <w:p w14:paraId="44989E63" w14:textId="77777777" w:rsidR="00982AD8" w:rsidRPr="00CB7E2E" w:rsidRDefault="00982AD8" w:rsidP="000D6BD2">
            <w:pPr>
              <w:spacing w:before="60" w:after="60" w:line="240" w:lineRule="auto"/>
              <w:jc w:val="right"/>
              <w:rPr>
                <w:rFonts w:ascii="Arial" w:hAnsi="Arial" w:cs="Arial"/>
                <w:sz w:val="20"/>
                <w:szCs w:val="20"/>
              </w:rPr>
            </w:pPr>
            <w:r>
              <w:rPr>
                <w:rFonts w:ascii="Arial" w:hAnsi="Arial" w:cs="Arial"/>
                <w:sz w:val="20"/>
                <w:szCs w:val="20"/>
              </w:rPr>
              <w:t>66.0</w:t>
            </w:r>
            <w:r w:rsidRPr="00CB7E2E">
              <w:rPr>
                <w:rFonts w:ascii="Arial" w:hAnsi="Arial" w:cs="Arial"/>
                <w:sz w:val="20"/>
                <w:szCs w:val="20"/>
              </w:rPr>
              <w:t>%</w:t>
            </w:r>
          </w:p>
        </w:tc>
      </w:tr>
      <w:tr w:rsidR="00982AD8" w:rsidRPr="00CB7E2E" w14:paraId="57C4A822" w14:textId="77777777" w:rsidTr="000D6BD2">
        <w:tc>
          <w:tcPr>
            <w:tcW w:w="3264" w:type="pct"/>
            <w:gridSpan w:val="2"/>
            <w:vAlign w:val="center"/>
          </w:tcPr>
          <w:p w14:paraId="79807F15" w14:textId="77777777" w:rsidR="00982AD8" w:rsidRPr="00CB7E2E" w:rsidRDefault="00982AD8" w:rsidP="000D6BD2">
            <w:pPr>
              <w:spacing w:before="60" w:after="60" w:line="240" w:lineRule="auto"/>
              <w:jc w:val="right"/>
              <w:rPr>
                <w:rFonts w:ascii="Arial" w:hAnsi="Arial" w:cs="Arial"/>
                <w:sz w:val="20"/>
                <w:szCs w:val="20"/>
              </w:rPr>
            </w:pPr>
            <w:r w:rsidRPr="00CB7E2E">
              <w:rPr>
                <w:rFonts w:ascii="Arial" w:hAnsi="Arial" w:cs="Arial"/>
                <w:sz w:val="20"/>
                <w:szCs w:val="20"/>
              </w:rPr>
              <w:t>Total:</w:t>
            </w:r>
          </w:p>
        </w:tc>
        <w:tc>
          <w:tcPr>
            <w:tcW w:w="694" w:type="pct"/>
            <w:vAlign w:val="center"/>
          </w:tcPr>
          <w:p w14:paraId="51985318" w14:textId="77777777" w:rsidR="00982AD8" w:rsidRPr="00CB7E2E" w:rsidRDefault="00982AD8" w:rsidP="000D6BD2">
            <w:pPr>
              <w:spacing w:before="60" w:after="60" w:line="240" w:lineRule="auto"/>
              <w:jc w:val="right"/>
              <w:rPr>
                <w:rFonts w:ascii="Arial" w:hAnsi="Arial" w:cs="Arial"/>
                <w:sz w:val="20"/>
                <w:szCs w:val="20"/>
              </w:rPr>
            </w:pPr>
            <w:r w:rsidRPr="00CB7E2E">
              <w:rPr>
                <w:rFonts w:ascii="Arial" w:hAnsi="Arial" w:cs="Arial"/>
                <w:sz w:val="20"/>
                <w:szCs w:val="20"/>
              </w:rPr>
              <w:t>1.000</w:t>
            </w:r>
          </w:p>
        </w:tc>
        <w:tc>
          <w:tcPr>
            <w:tcW w:w="1042" w:type="pct"/>
            <w:vAlign w:val="center"/>
          </w:tcPr>
          <w:p w14:paraId="5BB8B355" w14:textId="77777777" w:rsidR="00982AD8" w:rsidRPr="00CB7E2E" w:rsidRDefault="00982AD8" w:rsidP="000D6BD2">
            <w:pPr>
              <w:spacing w:before="60" w:after="60" w:line="240" w:lineRule="auto"/>
              <w:jc w:val="right"/>
              <w:rPr>
                <w:rFonts w:ascii="Arial" w:hAnsi="Arial" w:cs="Arial"/>
                <w:sz w:val="20"/>
                <w:szCs w:val="20"/>
              </w:rPr>
            </w:pPr>
            <w:r w:rsidRPr="00CB7E2E">
              <w:rPr>
                <w:rFonts w:ascii="Arial" w:hAnsi="Arial" w:cs="Arial"/>
                <w:sz w:val="20"/>
                <w:szCs w:val="20"/>
              </w:rPr>
              <w:t>100</w:t>
            </w:r>
            <w:r>
              <w:rPr>
                <w:rFonts w:ascii="Arial" w:hAnsi="Arial" w:cs="Arial"/>
                <w:sz w:val="20"/>
                <w:szCs w:val="20"/>
              </w:rPr>
              <w:t>.0</w:t>
            </w:r>
            <w:r w:rsidRPr="00CB7E2E">
              <w:rPr>
                <w:rFonts w:ascii="Arial" w:hAnsi="Arial" w:cs="Arial"/>
                <w:sz w:val="20"/>
                <w:szCs w:val="20"/>
              </w:rPr>
              <w:t>%</w:t>
            </w:r>
          </w:p>
        </w:tc>
      </w:tr>
    </w:tbl>
    <w:p w14:paraId="2E72FB8A" w14:textId="77777777" w:rsidR="00982AD8" w:rsidRDefault="00982AD8" w:rsidP="00982AD8">
      <w:pPr>
        <w:rPr>
          <w:b/>
        </w:rPr>
      </w:pPr>
    </w:p>
    <w:p w14:paraId="132035CE" w14:textId="77777777" w:rsidR="00D55A9C" w:rsidRDefault="00D55A9C" w:rsidP="00CE4FA2">
      <w:pPr>
        <w:rPr>
          <w:b/>
        </w:rPr>
      </w:pPr>
    </w:p>
    <w:p w14:paraId="10280227" w14:textId="77777777" w:rsidR="002860CE" w:rsidRPr="00982AD8" w:rsidRDefault="002860CE" w:rsidP="002860CE">
      <w:pPr>
        <w:rPr>
          <w:b/>
        </w:rPr>
      </w:pPr>
    </w:p>
    <w:p w14:paraId="34B029E6" w14:textId="77777777" w:rsidR="00C65184" w:rsidRDefault="00C65184">
      <w:pPr>
        <w:spacing w:after="0" w:line="240" w:lineRule="auto"/>
        <w:rPr>
          <w:rFonts w:ascii="Arial" w:eastAsia="Calibri" w:hAnsi="Arial" w:cs="Arial"/>
          <w:b/>
          <w:bCs/>
          <w:lang w:val="es-ES_tradnl" w:eastAsia="es-ES"/>
        </w:rPr>
      </w:pPr>
      <w:r>
        <w:br w:type="page"/>
      </w:r>
    </w:p>
    <w:p w14:paraId="69E75334" w14:textId="468D4580" w:rsidR="00A3029F" w:rsidRPr="00E2664E" w:rsidRDefault="00A3029F" w:rsidP="000F5C7C">
      <w:pPr>
        <w:pStyle w:val="T0"/>
        <w:outlineLvl w:val="0"/>
      </w:pPr>
      <w:bookmarkStart w:id="1396" w:name="_Toc496266687"/>
      <w:r w:rsidRPr="00E2664E">
        <w:lastRenderedPageBreak/>
        <w:t xml:space="preserve">ANEXO </w:t>
      </w:r>
      <w:r>
        <w:t>VIII:</w:t>
      </w:r>
      <w:r w:rsidRPr="00E2664E">
        <w:t xml:space="preserve"> CONDICIONES PARA LA RECEPCIÓN FINAL DEL CONTRATO</w:t>
      </w:r>
      <w:bookmarkEnd w:id="1158"/>
      <w:bookmarkEnd w:id="1159"/>
      <w:bookmarkEnd w:id="1160"/>
      <w:bookmarkEnd w:id="1161"/>
      <w:bookmarkEnd w:id="1162"/>
      <w:bookmarkEnd w:id="1396"/>
    </w:p>
    <w:bookmarkEnd w:id="1163"/>
    <w:p w14:paraId="6A6FE534" w14:textId="77777777" w:rsidR="00A3029F" w:rsidRPr="00E2664E" w:rsidRDefault="00A3029F" w:rsidP="00A57EF0">
      <w:pPr>
        <w:spacing w:after="0"/>
        <w:jc w:val="both"/>
        <w:rPr>
          <w:rFonts w:ascii="Arial" w:hAnsi="Arial" w:cs="Arial"/>
          <w:sz w:val="20"/>
          <w:szCs w:val="20"/>
          <w:lang w:val="es-UY" w:eastAsia="es-UY"/>
        </w:rPr>
      </w:pPr>
      <w:r w:rsidRPr="00E2664E">
        <w:rPr>
          <w:rFonts w:ascii="Arial" w:hAnsi="Arial" w:cs="Arial"/>
          <w:sz w:val="20"/>
          <w:szCs w:val="20"/>
          <w:lang w:val="es-UY" w:eastAsia="es-UY"/>
        </w:rPr>
        <w:t>Al finalizar el contrato, los tramos objeto del mismo deberán cumplir con las siguientes condiciones:</w:t>
      </w:r>
    </w:p>
    <w:p w14:paraId="61B8EAA2" w14:textId="56739345" w:rsidR="00A3029F" w:rsidRPr="00E2664E" w:rsidRDefault="00A3029F" w:rsidP="009A58E0">
      <w:pPr>
        <w:pStyle w:val="Prrafodelista3"/>
        <w:numPr>
          <w:ilvl w:val="0"/>
          <w:numId w:val="58"/>
        </w:numPr>
        <w:spacing w:before="120" w:after="0"/>
        <w:jc w:val="both"/>
        <w:rPr>
          <w:rFonts w:ascii="Arial" w:hAnsi="Arial" w:cs="Arial"/>
          <w:sz w:val="20"/>
          <w:szCs w:val="20"/>
          <w:lang w:eastAsia="es-UY"/>
        </w:rPr>
      </w:pPr>
      <w:r w:rsidRPr="00E2664E">
        <w:rPr>
          <w:rFonts w:ascii="Arial" w:hAnsi="Arial" w:cs="Arial"/>
          <w:sz w:val="20"/>
          <w:szCs w:val="20"/>
          <w:lang w:eastAsia="es-UY"/>
        </w:rPr>
        <w:t xml:space="preserve">satisfacer todos los estándares básicos y los establecidos en el </w:t>
      </w:r>
      <w:hyperlink w:anchor="A_9" w:history="1">
        <w:r w:rsidRPr="005F4B0B">
          <w:rPr>
            <w:rStyle w:val="Hipervnculo"/>
            <w:rFonts w:ascii="Arial" w:hAnsi="Arial" w:cs="Arial"/>
            <w:sz w:val="20"/>
            <w:szCs w:val="20"/>
            <w:lang w:eastAsia="es-UY"/>
          </w:rPr>
          <w:t xml:space="preserve">Anexo </w:t>
        </w:r>
        <w:r w:rsidR="00D95C9C" w:rsidRPr="005F4B0B">
          <w:rPr>
            <w:rStyle w:val="Hipervnculo"/>
            <w:rFonts w:ascii="Arial" w:hAnsi="Arial" w:cs="Arial"/>
            <w:sz w:val="20"/>
            <w:szCs w:val="20"/>
            <w:lang w:eastAsia="es-UY"/>
          </w:rPr>
          <w:t>IX</w:t>
        </w:r>
      </w:hyperlink>
      <w:r w:rsidRPr="00E2664E">
        <w:rPr>
          <w:rFonts w:ascii="Arial" w:hAnsi="Arial" w:cs="Arial"/>
          <w:sz w:val="20"/>
          <w:szCs w:val="20"/>
          <w:lang w:eastAsia="es-UY"/>
        </w:rPr>
        <w:t>,</w:t>
      </w:r>
    </w:p>
    <w:p w14:paraId="0E0E3487"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tener un NSU mayor al 95%,</w:t>
      </w:r>
    </w:p>
    <w:p w14:paraId="5201D331"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lang w:eastAsia="es-UY"/>
        </w:rPr>
      </w:pPr>
      <w:r w:rsidRPr="00E2664E">
        <w:rPr>
          <w:rFonts w:ascii="Arial" w:hAnsi="Arial" w:cs="Arial"/>
          <w:sz w:val="20"/>
          <w:szCs w:val="20"/>
          <w:lang w:eastAsia="es-UY"/>
        </w:rPr>
        <w:t>satisfacer los valores de IRI establecidos en el presente pliego (por tramo y por Kilómetro),</w:t>
      </w:r>
    </w:p>
    <w:p w14:paraId="2B0FE8D3" w14:textId="77777777" w:rsidR="00A3029F" w:rsidRPr="00E2664E" w:rsidRDefault="00A3029F" w:rsidP="009A58E0">
      <w:pPr>
        <w:pStyle w:val="Prrafodelista3"/>
        <w:numPr>
          <w:ilvl w:val="0"/>
          <w:numId w:val="58"/>
        </w:numPr>
        <w:spacing w:before="100" w:beforeAutospacing="1" w:after="0"/>
        <w:jc w:val="both"/>
        <w:rPr>
          <w:rFonts w:ascii="Arial" w:hAnsi="Arial" w:cs="Arial"/>
          <w:sz w:val="20"/>
          <w:szCs w:val="20"/>
        </w:rPr>
      </w:pPr>
      <w:r w:rsidRPr="005F4B0B">
        <w:rPr>
          <w:rFonts w:ascii="Arial" w:hAnsi="Arial" w:cs="Arial"/>
          <w:sz w:val="20"/>
          <w:szCs w:val="20"/>
        </w:rPr>
        <w:t xml:space="preserve">que la deflexión característica medida en cada tramo </w:t>
      </w:r>
      <w:r w:rsidR="00843E1E" w:rsidRPr="005F4B0B">
        <w:rPr>
          <w:rFonts w:ascii="Arial" w:hAnsi="Arial" w:cs="Arial"/>
          <w:sz w:val="20"/>
          <w:szCs w:val="20"/>
        </w:rPr>
        <w:t xml:space="preserve">no supere en más de un 30% </w:t>
      </w:r>
      <w:r w:rsidRPr="005F4B0B">
        <w:rPr>
          <w:rFonts w:ascii="Arial" w:hAnsi="Arial" w:cs="Arial"/>
          <w:sz w:val="20"/>
          <w:szCs w:val="20"/>
        </w:rPr>
        <w:t>la</w:t>
      </w:r>
      <w:r w:rsidRPr="00E2664E">
        <w:rPr>
          <w:rFonts w:ascii="Arial" w:hAnsi="Arial" w:cs="Arial"/>
          <w:sz w:val="20"/>
          <w:szCs w:val="20"/>
        </w:rPr>
        <w:t xml:space="preserve"> deflexión característica, medida al momento del Acta de Comprobación de la Infraestructura del mismo tramo.</w:t>
      </w:r>
    </w:p>
    <w:bookmarkEnd w:id="1164"/>
    <w:p w14:paraId="4AE354A0" w14:textId="77777777" w:rsidR="00AE1EAE" w:rsidRDefault="00AE1EAE" w:rsidP="00AE1EAE">
      <w:pPr>
        <w:pStyle w:val="Prrafodelista3"/>
        <w:spacing w:before="100" w:beforeAutospacing="1" w:after="0"/>
        <w:jc w:val="both"/>
        <w:rPr>
          <w:rFonts w:ascii="Arial" w:hAnsi="Arial" w:cs="Arial"/>
          <w:sz w:val="20"/>
          <w:szCs w:val="20"/>
        </w:rPr>
      </w:pPr>
    </w:p>
    <w:p w14:paraId="0E326AB3" w14:textId="77777777" w:rsidR="00AE1EAE" w:rsidRPr="00AE1EAE" w:rsidRDefault="00AE1EAE" w:rsidP="00AE1EAE">
      <w:pPr>
        <w:pStyle w:val="Prrafodelista3"/>
        <w:spacing w:before="100" w:beforeAutospacing="1" w:after="0"/>
        <w:ind w:left="0"/>
        <w:jc w:val="both"/>
        <w:rPr>
          <w:rFonts w:ascii="Arial" w:hAnsi="Arial" w:cs="Arial"/>
          <w:sz w:val="20"/>
          <w:szCs w:val="20"/>
        </w:rPr>
        <w:sectPr w:rsidR="00AE1EAE" w:rsidRPr="00AE1EAE" w:rsidSect="00B238CC">
          <w:headerReference w:type="even" r:id="rId151"/>
          <w:headerReference w:type="default" r:id="rId152"/>
          <w:headerReference w:type="first" r:id="rId153"/>
          <w:pgSz w:w="11906" w:h="16838"/>
          <w:pgMar w:top="1418" w:right="1701" w:bottom="1701" w:left="1701" w:header="709" w:footer="709" w:gutter="0"/>
          <w:cols w:space="708"/>
          <w:docGrid w:linePitch="360"/>
        </w:sectPr>
      </w:pPr>
    </w:p>
    <w:p w14:paraId="164C429B" w14:textId="77777777" w:rsidR="00A3029F" w:rsidRPr="00B7174F" w:rsidRDefault="00A3029F" w:rsidP="000F5C7C">
      <w:pPr>
        <w:pStyle w:val="T0"/>
        <w:outlineLvl w:val="0"/>
      </w:pPr>
      <w:bookmarkStart w:id="1397" w:name="_Toc340671990"/>
      <w:bookmarkStart w:id="1398" w:name="_Toc340677452"/>
      <w:bookmarkStart w:id="1399" w:name="_Toc358821618"/>
      <w:bookmarkStart w:id="1400" w:name="_Toc400622342"/>
      <w:bookmarkStart w:id="1401" w:name="_Toc400629192"/>
      <w:bookmarkStart w:id="1402" w:name="_Toc400634159"/>
      <w:bookmarkStart w:id="1403" w:name="_Toc400635286"/>
      <w:bookmarkStart w:id="1404" w:name="_Toc468288095"/>
      <w:bookmarkStart w:id="1405" w:name="_Toc496266688"/>
      <w:bookmarkStart w:id="1406" w:name="A_9"/>
      <w:bookmarkStart w:id="1407" w:name="_Toc148253093"/>
      <w:bookmarkStart w:id="1408" w:name="_Toc148253133"/>
      <w:bookmarkStart w:id="1409" w:name="_Toc308521362"/>
      <w:bookmarkStart w:id="1410" w:name="_Toc142471194"/>
      <w:r w:rsidRPr="00B7174F">
        <w:lastRenderedPageBreak/>
        <w:t xml:space="preserve">ANEXO </w:t>
      </w:r>
      <w:r>
        <w:t>IX:</w:t>
      </w:r>
      <w:r w:rsidR="00EE090E">
        <w:t xml:space="preserve"> </w:t>
      </w:r>
      <w:r w:rsidRPr="00B7174F">
        <w:t>NIVELES DE SERVICIO</w:t>
      </w:r>
      <w:bookmarkEnd w:id="1397"/>
      <w:bookmarkEnd w:id="1398"/>
      <w:bookmarkEnd w:id="1399"/>
      <w:bookmarkEnd w:id="1400"/>
      <w:bookmarkEnd w:id="1401"/>
      <w:bookmarkEnd w:id="1402"/>
      <w:bookmarkEnd w:id="1403"/>
      <w:bookmarkEnd w:id="1404"/>
      <w:bookmarkEnd w:id="1405"/>
    </w:p>
    <w:p w14:paraId="06A3E04C" w14:textId="77777777" w:rsidR="00A3029F" w:rsidRPr="00B7174F" w:rsidRDefault="00A3029F" w:rsidP="00CF69B3">
      <w:pPr>
        <w:pStyle w:val="T1AAA"/>
        <w:outlineLvl w:val="9"/>
      </w:pPr>
      <w:bookmarkStart w:id="1411" w:name="_Toc400629193"/>
      <w:bookmarkStart w:id="1412" w:name="_Toc400634160"/>
      <w:bookmarkStart w:id="1413" w:name="_Toc400635287"/>
      <w:bookmarkEnd w:id="1406"/>
      <w:r w:rsidRPr="00B7174F">
        <w:t>NIVELES DE SERVICIO.</w:t>
      </w:r>
      <w:bookmarkEnd w:id="1407"/>
      <w:bookmarkEnd w:id="1408"/>
      <w:bookmarkEnd w:id="1409"/>
      <w:bookmarkEnd w:id="1411"/>
      <w:bookmarkEnd w:id="1412"/>
      <w:bookmarkEnd w:id="1413"/>
    </w:p>
    <w:p w14:paraId="57E0689F" w14:textId="77777777" w:rsidR="00A3029F" w:rsidRPr="00AA7015" w:rsidRDefault="00A3029F" w:rsidP="00CF69B3">
      <w:pPr>
        <w:pStyle w:val="T1A"/>
        <w:numPr>
          <w:ilvl w:val="0"/>
          <w:numId w:val="0"/>
        </w:numPr>
        <w:tabs>
          <w:tab w:val="clear" w:pos="1778"/>
        </w:tabs>
        <w:jc w:val="left"/>
        <w:rPr>
          <w:b/>
          <w:bCs/>
        </w:rPr>
      </w:pPr>
      <w:bookmarkStart w:id="1414" w:name="A_9_1"/>
      <w:bookmarkStart w:id="1415" w:name="_Toc308521363"/>
      <w:bookmarkStart w:id="1416" w:name="_Toc400622343"/>
      <w:bookmarkStart w:id="1417" w:name="_Toc400634161"/>
      <w:bookmarkStart w:id="1418" w:name="_Toc400635288"/>
      <w:r w:rsidRPr="00AA7015">
        <w:rPr>
          <w:b/>
          <w:bCs/>
        </w:rPr>
        <w:t xml:space="preserve">Definición de ítems y exigencia para los estándares de </w:t>
      </w:r>
      <w:bookmarkEnd w:id="1414"/>
      <w:r w:rsidRPr="00AA7015">
        <w:rPr>
          <w:b/>
          <w:bCs/>
        </w:rPr>
        <w:t>mantenimiento rutinario.</w:t>
      </w:r>
      <w:bookmarkEnd w:id="1415"/>
      <w:bookmarkEnd w:id="1416"/>
      <w:bookmarkEnd w:id="1417"/>
      <w:bookmarkEnd w:id="1418"/>
    </w:p>
    <w:p w14:paraId="571A919F"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El contrato abarcará toda la infraestructura vial contenida en la faja de dominio público: calzada, banquinas, señalización, obras de arte, faja, equipamiento urbano (calzadas de servicio, retornos, sendas peatonales, refugios, señalizaciones especiales, estacionamiento, áreas de descanso, etc.) así como el pavimento y las señales de los puestos de </w:t>
      </w:r>
      <w:r>
        <w:rPr>
          <w:rFonts w:ascii="Arial" w:hAnsi="Arial" w:cs="Arial"/>
          <w:snapToGrid w:val="0"/>
          <w:sz w:val="20"/>
          <w:szCs w:val="20"/>
          <w:lang w:val="es-ES_tradnl" w:eastAsia="es-ES"/>
        </w:rPr>
        <w:t>conteo</w:t>
      </w:r>
      <w:r w:rsidR="00AE303D">
        <w:rPr>
          <w:rFonts w:ascii="Arial" w:hAnsi="Arial" w:cs="Arial"/>
          <w:snapToGrid w:val="0"/>
          <w:sz w:val="20"/>
          <w:szCs w:val="20"/>
          <w:lang w:val="es-ES_tradnl" w:eastAsia="es-ES"/>
        </w:rPr>
        <w:t xml:space="preserve"> </w:t>
      </w:r>
      <w:r w:rsidRPr="00B7174F">
        <w:rPr>
          <w:rFonts w:ascii="Arial" w:hAnsi="Arial" w:cs="Arial"/>
          <w:snapToGrid w:val="0"/>
          <w:sz w:val="20"/>
          <w:szCs w:val="20"/>
          <w:lang w:val="es-ES_tradnl" w:eastAsia="es-ES"/>
        </w:rPr>
        <w:t>y de los puestos de pesaje.</w:t>
      </w:r>
    </w:p>
    <w:p w14:paraId="31517640"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Eventualmente la zona del contrato se extenderá lateralmente fuera de la faja de dominio público perteneciente a la ruta contratada, de forma de asegurar la conservación de todos aquellos elementos que hacen al correcto y seguro funcionamiento de la infraestructura propia de la ruta contratada (por ejemplo la señalización de los caminos o rutas de acceso a la ruta contratada, los cauces de agua que atraviesan la ruta contratada, las ramas de los empalmes hasta donde se adopta el perfil de la ruta de acceso, etc.). </w:t>
      </w:r>
    </w:p>
    <w:p w14:paraId="1D3247E6" w14:textId="77777777" w:rsidR="00A3029F" w:rsidRPr="00036887" w:rsidRDefault="00A3029F" w:rsidP="00CF69B3">
      <w:pPr>
        <w:pStyle w:val="T1A"/>
        <w:numPr>
          <w:ilvl w:val="0"/>
          <w:numId w:val="0"/>
        </w:numPr>
        <w:tabs>
          <w:tab w:val="clear" w:pos="1778"/>
        </w:tabs>
        <w:rPr>
          <w:b/>
          <w:bCs/>
        </w:rPr>
      </w:pPr>
      <w:bookmarkStart w:id="1419" w:name="_Toc142471193"/>
      <w:bookmarkStart w:id="1420" w:name="_Toc308521364"/>
      <w:bookmarkStart w:id="1421" w:name="_Toc400622344"/>
      <w:bookmarkStart w:id="1422" w:name="_Toc400634162"/>
      <w:bookmarkStart w:id="1423" w:name="_Toc400635289"/>
      <w:bookmarkStart w:id="1424" w:name="A_9_2"/>
      <w:r w:rsidRPr="00036887">
        <w:rPr>
          <w:b/>
          <w:bCs/>
        </w:rPr>
        <w:lastRenderedPageBreak/>
        <w:t>Calzada, banquina, sendas peatonales y calzadas de servicio</w:t>
      </w:r>
      <w:bookmarkEnd w:id="1419"/>
      <w:r w:rsidRPr="00036887">
        <w:rPr>
          <w:b/>
          <w:bCs/>
        </w:rPr>
        <w:t>.</w:t>
      </w:r>
      <w:bookmarkEnd w:id="1420"/>
      <w:bookmarkEnd w:id="1421"/>
      <w:bookmarkEnd w:id="1422"/>
      <w:bookmarkEnd w:id="1423"/>
    </w:p>
    <w:bookmarkEnd w:id="1424"/>
    <w:p w14:paraId="2CFD0372"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Calzada</w:t>
      </w:r>
      <w:r w:rsidRPr="00B7174F">
        <w:rPr>
          <w:rFonts w:ascii="Arial" w:hAnsi="Arial" w:cs="Arial"/>
          <w:snapToGrid w:val="0"/>
          <w:sz w:val="20"/>
          <w:szCs w:val="20"/>
          <w:lang w:val="es-ES_tradnl" w:eastAsia="es-ES"/>
        </w:rPr>
        <w:t xml:space="preserve"> a los dos carriles centrales, así como también sobre anchos en curvas, sobrepiso de los puentes y puestos de </w:t>
      </w:r>
      <w:r>
        <w:rPr>
          <w:rFonts w:ascii="Arial" w:hAnsi="Arial" w:cs="Arial"/>
          <w:snapToGrid w:val="0"/>
          <w:sz w:val="20"/>
          <w:szCs w:val="20"/>
          <w:lang w:val="es-ES_tradnl" w:eastAsia="es-ES"/>
        </w:rPr>
        <w:t>conteo.</w:t>
      </w:r>
    </w:p>
    <w:p w14:paraId="0179EB6F"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 xml:space="preserve">Se entiende por </w:t>
      </w:r>
      <w:r w:rsidRPr="00B7174F">
        <w:rPr>
          <w:rFonts w:ascii="Arial" w:hAnsi="Arial" w:cs="Arial"/>
          <w:b/>
          <w:bCs/>
          <w:snapToGrid w:val="0"/>
          <w:sz w:val="20"/>
          <w:szCs w:val="20"/>
          <w:lang w:val="es-ES_tradnl" w:eastAsia="es-ES"/>
        </w:rPr>
        <w:t>Banquinas</w:t>
      </w:r>
      <w:r w:rsidRPr="00B7174F">
        <w:rPr>
          <w:rFonts w:ascii="Arial" w:hAnsi="Arial" w:cs="Arial"/>
          <w:snapToGrid w:val="0"/>
          <w:sz w:val="20"/>
          <w:szCs w:val="20"/>
          <w:lang w:val="es-ES_tradnl" w:eastAsia="es-ES"/>
        </w:rPr>
        <w:t xml:space="preserve">, al firme existente adyacente a la calzada incluyendo sendas de aceleración y desaceleración, dársenas para paradas de ómnibus, puestos de pesaje, veredas de puentes, entradas a caminos particulares no pertenecientes al Contrato etc. </w:t>
      </w:r>
    </w:p>
    <w:p w14:paraId="3D49AB96"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Tanto la calzada como las banquinas se deberán mantener con el mismo tipo de pavimento existente al momento de la toma de posesión o el que surja de las obras que se realicen en el período de la contratación.</w:t>
      </w:r>
    </w:p>
    <w:p w14:paraId="4E485E0D"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todos los casos en las reparaciones de los pavimentos de calzada y banquina deberán utilizarse materiales similares o superiores (previa autorización en este último caso de la Dirección de Obra) a los de la estructura original, para los cuales se exigirá el estándar correspondiente al pavimento utilizado.</w:t>
      </w:r>
    </w:p>
    <w:p w14:paraId="494D05BE"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Las fisuras lineales solo podrán ser reparadas mediante la técnica de sellado por puenteo descriptas en las ETCM.</w:t>
      </w:r>
    </w:p>
    <w:p w14:paraId="2AE22EE1"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lastRenderedPageBreak/>
        <w:t xml:space="preserve">Si en la reparación de un pavimento de mezcla asfáltica se utiliza un tratamiento bituminoso de sellado o una lechada asfáltica, ya sea en un área parcial o total, serán </w:t>
      </w:r>
      <w:r w:rsidR="00D966C8" w:rsidRPr="00B7174F">
        <w:rPr>
          <w:rFonts w:ascii="Arial" w:hAnsi="Arial" w:cs="Arial"/>
          <w:snapToGrid w:val="0"/>
          <w:sz w:val="20"/>
          <w:szCs w:val="20"/>
          <w:lang w:val="es-ES_tradnl" w:eastAsia="es-ES"/>
        </w:rPr>
        <w:t>válidos</w:t>
      </w:r>
      <w:r w:rsidRPr="00B7174F">
        <w:rPr>
          <w:rFonts w:ascii="Arial" w:hAnsi="Arial" w:cs="Arial"/>
          <w:snapToGrid w:val="0"/>
          <w:sz w:val="20"/>
          <w:szCs w:val="20"/>
          <w:lang w:val="es-ES_tradnl" w:eastAsia="es-ES"/>
        </w:rPr>
        <w:t xml:space="preserve"> los estándares correspondiente a calzada de mezcla asfáltica.</w:t>
      </w:r>
    </w:p>
    <w:p w14:paraId="422D33F2"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Esta técnica se podrá ejecutar en el caso de que el pavimento presente fisuras interconectadas y ramificadas sin deformación, y se deberá utilizar asfalto modificado.</w:t>
      </w:r>
    </w:p>
    <w:p w14:paraId="5B2EAC52"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En el caso de sendas peatonales y calzadas de servicio deberán cumplirse los estándares correspondientes a banquinas en tratamiento bituminoso. Un incumplimiento de estándares en sendas peatonales y calzadas de servicio darán lugar a una cruz en el hectómetro correspondiente en el ítem faja de uso público.</w:t>
      </w:r>
    </w:p>
    <w:p w14:paraId="2895A4BA" w14:textId="77777777" w:rsidR="00A3029F" w:rsidRPr="00B7174F" w:rsidRDefault="00A3029F" w:rsidP="00CF69B3">
      <w:pPr>
        <w:widowControl w:val="0"/>
        <w:spacing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t>Se define un estándar denominado Disponibilidad funcional de la vía:</w:t>
      </w:r>
    </w:p>
    <w:p w14:paraId="0FDD2C5F"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Para cumplir con este estándar, el equipo de autocontrol deberá recorrer el circuito al menos una vez al día de manera de detectar rápidamente aquellos eventos que impliquen un no cumplimiento de los Estándares de Mantenimiento Básicos definidos en el pliego.</w:t>
      </w:r>
    </w:p>
    <w:p w14:paraId="32FBDFDA"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En este caso y en otras situaciones imprevisibles que afecten la seguridad de los usuarios deberá coordinar las medidas necesa</w:t>
      </w:r>
      <w:r w:rsidRPr="00B7174F">
        <w:rPr>
          <w:rFonts w:ascii="Arial" w:hAnsi="Arial" w:cs="Arial"/>
          <w:sz w:val="20"/>
          <w:szCs w:val="20"/>
          <w:lang w:val="es-UY"/>
        </w:rPr>
        <w:lastRenderedPageBreak/>
        <w:t>rias para resolver inmediatamente el problema. Las medidas a tomar podrán ser provisorias hasta tanto se puedan implementar las soluciones definitivas.</w:t>
      </w:r>
    </w:p>
    <w:p w14:paraId="03C76F89"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A vía de ejemplo de lo expresado en el párrafo anterior: troncos, trozos de cubiertas, animales, y otros obstáculos caídos en la ruta; señalización horizontal o vertical cuya ausencia pueda ser causa de accidentes, pozos o depresiones producidas por elementos mecánicos que configuren un peligro para la circulación, deberán ser atendidos de inmediato.</w:t>
      </w:r>
    </w:p>
    <w:p w14:paraId="150E9D3C" w14:textId="77777777" w:rsidR="00A3029F" w:rsidRPr="00B7174F" w:rsidRDefault="00A3029F" w:rsidP="00CF69B3">
      <w:pPr>
        <w:spacing w:after="120"/>
        <w:jc w:val="both"/>
        <w:rPr>
          <w:rFonts w:ascii="Arial" w:hAnsi="Arial" w:cs="Arial"/>
          <w:sz w:val="20"/>
          <w:szCs w:val="20"/>
          <w:lang w:val="es-UY"/>
        </w:rPr>
      </w:pPr>
      <w:r w:rsidRPr="00B7174F">
        <w:rPr>
          <w:rFonts w:ascii="Arial" w:hAnsi="Arial" w:cs="Arial"/>
          <w:sz w:val="20"/>
          <w:szCs w:val="20"/>
          <w:lang w:val="es-UY"/>
        </w:rPr>
        <w:t>El equipo de autocontrol deberá informar diariamente al Supervisor de Obra de todos los eventos, de los “no cumplimientos” de los estándares básicos detectados, de las medidas que tomará para revertir la situación y la fecha en que quedará solucionado el “no cumplimiento”.</w:t>
      </w:r>
    </w:p>
    <w:p w14:paraId="6CB2BEB1"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Esto lo realizará a través del software de gestión mencionado en el</w:t>
      </w:r>
      <w:r w:rsidR="00B14DCC">
        <w:rPr>
          <w:rFonts w:ascii="Arial" w:hAnsi="Arial" w:cs="Arial"/>
          <w:sz w:val="20"/>
          <w:szCs w:val="20"/>
          <w:lang w:val="es-UY"/>
        </w:rPr>
        <w:t xml:space="preserve"> </w:t>
      </w:r>
      <w:hyperlink w:anchor="A_13" w:history="1">
        <w:r w:rsidRPr="003218BC">
          <w:rPr>
            <w:rStyle w:val="Hipervnculo"/>
            <w:rFonts w:ascii="Arial" w:hAnsi="Arial" w:cs="Arial"/>
            <w:sz w:val="20"/>
            <w:szCs w:val="20"/>
            <w:lang w:val="es-UY"/>
          </w:rPr>
          <w:t>Anexo XIII</w:t>
        </w:r>
      </w:hyperlink>
      <w:r w:rsidR="00B14DCC">
        <w:rPr>
          <w:rFonts w:ascii="Arial" w:hAnsi="Arial" w:cs="Arial"/>
          <w:sz w:val="20"/>
          <w:szCs w:val="20"/>
          <w:lang w:val="es-UY"/>
        </w:rPr>
        <w:t xml:space="preserve"> </w:t>
      </w:r>
      <w:r w:rsidRPr="00B7174F">
        <w:rPr>
          <w:rFonts w:ascii="Arial" w:hAnsi="Arial" w:cs="Arial"/>
          <w:sz w:val="20"/>
          <w:szCs w:val="20"/>
          <w:lang w:val="es-UY"/>
        </w:rPr>
        <w:t>y que estará siempre “en línea”.</w:t>
      </w:r>
    </w:p>
    <w:p w14:paraId="204A7979"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Cada constatación al incumplimiento de este estándar dará lugar a:</w:t>
      </w:r>
    </w:p>
    <w:p w14:paraId="6422E375"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 xml:space="preserve">Una observación de acuerdo a lo establecido en </w:t>
      </w:r>
      <w:r w:rsidR="00207E62">
        <w:rPr>
          <w:rFonts w:ascii="Arial" w:hAnsi="Arial" w:cs="Arial"/>
          <w:sz w:val="20"/>
          <w:szCs w:val="20"/>
          <w:lang w:val="es-UY"/>
        </w:rPr>
        <w:t>la cláusula</w:t>
      </w:r>
      <w:r w:rsidRPr="00B7174F">
        <w:rPr>
          <w:rFonts w:ascii="Arial" w:hAnsi="Arial" w:cs="Arial"/>
          <w:sz w:val="20"/>
          <w:szCs w:val="20"/>
          <w:lang w:val="es-UY"/>
        </w:rPr>
        <w:t xml:space="preserve"> 7</w:t>
      </w:r>
      <w:r w:rsidR="00207E62">
        <w:rPr>
          <w:rFonts w:ascii="Arial" w:hAnsi="Arial" w:cs="Arial"/>
          <w:sz w:val="20"/>
          <w:szCs w:val="20"/>
          <w:lang w:val="es-UY"/>
        </w:rPr>
        <w:t>7</w:t>
      </w:r>
      <w:r w:rsidRPr="00B7174F">
        <w:rPr>
          <w:rFonts w:ascii="Arial" w:hAnsi="Arial" w:cs="Arial"/>
          <w:sz w:val="20"/>
          <w:szCs w:val="20"/>
          <w:lang w:val="es-UY"/>
        </w:rPr>
        <w:t xml:space="preserve"> con las consecuencias allí descriptas.</w:t>
      </w:r>
    </w:p>
    <w:p w14:paraId="297CEACE" w14:textId="77777777" w:rsidR="00A3029F" w:rsidRPr="00B7174F" w:rsidRDefault="00A3029F" w:rsidP="00CF69B3">
      <w:pPr>
        <w:widowControl w:val="0"/>
        <w:spacing w:after="120"/>
        <w:jc w:val="both"/>
        <w:rPr>
          <w:rFonts w:ascii="Arial" w:hAnsi="Arial" w:cs="Arial"/>
          <w:sz w:val="20"/>
          <w:szCs w:val="20"/>
          <w:lang w:val="es-UY"/>
        </w:rPr>
      </w:pPr>
      <w:r w:rsidRPr="00B7174F">
        <w:rPr>
          <w:rFonts w:ascii="Arial" w:hAnsi="Arial" w:cs="Arial"/>
          <w:sz w:val="20"/>
          <w:szCs w:val="20"/>
          <w:lang w:val="es-UY"/>
        </w:rPr>
        <w:t xml:space="preserve">Cada tres observaciones en un trimestre se sumará una Falta no Crítica en ese trimestre. </w:t>
      </w:r>
    </w:p>
    <w:p w14:paraId="38489882" w14:textId="77777777" w:rsidR="00A3029F" w:rsidRPr="00B7174F" w:rsidRDefault="00A3029F" w:rsidP="00CF69B3">
      <w:pPr>
        <w:widowControl w:val="0"/>
        <w:spacing w:before="240" w:after="120"/>
        <w:jc w:val="both"/>
        <w:rPr>
          <w:rFonts w:ascii="Arial" w:hAnsi="Arial" w:cs="Arial"/>
          <w:snapToGrid w:val="0"/>
          <w:sz w:val="20"/>
          <w:szCs w:val="20"/>
          <w:lang w:val="es-ES_tradnl" w:eastAsia="es-ES"/>
        </w:rPr>
      </w:pPr>
      <w:r w:rsidRPr="00B7174F">
        <w:rPr>
          <w:rFonts w:ascii="Arial" w:hAnsi="Arial" w:cs="Arial"/>
          <w:snapToGrid w:val="0"/>
          <w:sz w:val="20"/>
          <w:szCs w:val="20"/>
          <w:lang w:val="es-ES_tradnl" w:eastAsia="es-ES"/>
        </w:rPr>
        <w:lastRenderedPageBreak/>
        <w:t>Se deberán mantener los estándares de los pavimentos de calzada y banquina que se detallan a continuación:</w:t>
      </w:r>
    </w:p>
    <w:p w14:paraId="540F8B7E" w14:textId="77777777" w:rsidR="00A3029F" w:rsidRPr="00B7174F" w:rsidRDefault="00A3029F" w:rsidP="00CF69B3">
      <w:pPr>
        <w:widowControl w:val="0"/>
        <w:spacing w:after="0" w:line="240" w:lineRule="auto"/>
        <w:jc w:val="both"/>
        <w:rPr>
          <w:rFonts w:ascii="Arial" w:hAnsi="Arial" w:cs="Arial"/>
          <w:snapToGrid w:val="0"/>
          <w:sz w:val="18"/>
          <w:szCs w:val="18"/>
          <w:lang w:val="es-ES_tradnl" w:eastAsia="es-ES"/>
        </w:rPr>
        <w:sectPr w:rsidR="00A3029F" w:rsidRPr="00B7174F" w:rsidSect="00B238CC">
          <w:headerReference w:type="even" r:id="rId154"/>
          <w:headerReference w:type="default" r:id="rId155"/>
          <w:footerReference w:type="default" r:id="rId156"/>
          <w:headerReference w:type="first" r:id="rId157"/>
          <w:pgSz w:w="11906" w:h="16838" w:code="9"/>
          <w:pgMar w:top="1418" w:right="1701" w:bottom="1701" w:left="1701" w:header="720" w:footer="720" w:gutter="0"/>
          <w:cols w:space="708"/>
          <w:docGrid w:linePitch="360"/>
        </w:sectPr>
      </w:pPr>
    </w:p>
    <w:p w14:paraId="73673990" w14:textId="77777777" w:rsidR="00386FC6" w:rsidRPr="00386FC6" w:rsidRDefault="00386FC6" w:rsidP="009A58E0">
      <w:pPr>
        <w:pStyle w:val="Prrafodelista"/>
        <w:keepNext/>
        <w:numPr>
          <w:ilvl w:val="0"/>
          <w:numId w:val="105"/>
        </w:numPr>
        <w:tabs>
          <w:tab w:val="left" w:pos="720"/>
        </w:tabs>
        <w:spacing w:before="240" w:after="60" w:line="360" w:lineRule="auto"/>
        <w:jc w:val="both"/>
        <w:rPr>
          <w:rFonts w:ascii="Arial" w:eastAsia="Calibri" w:hAnsi="Arial" w:cs="Arial"/>
          <w:b/>
          <w:bCs/>
          <w:caps/>
          <w:vanish/>
          <w:sz w:val="21"/>
          <w:szCs w:val="21"/>
          <w:lang w:val="es-ES_tradnl" w:eastAsia="es-ES"/>
        </w:rPr>
      </w:pPr>
      <w:bookmarkStart w:id="1425" w:name="_Toc400634163"/>
      <w:bookmarkStart w:id="1426" w:name="_Toc400635290"/>
      <w:bookmarkStart w:id="1427" w:name="_Toc400635291"/>
      <w:r w:rsidRPr="00386FC6">
        <w:rPr>
          <w:rFonts w:ascii="Arial" w:hAnsi="Arial"/>
          <w:b/>
        </w:rPr>
        <w:lastRenderedPageBreak/>
        <w:t>NIVELES DE SERVICIO PARA CALZADA.</w:t>
      </w:r>
      <w:bookmarkEnd w:id="1425"/>
      <w:bookmarkEnd w:id="1426"/>
    </w:p>
    <w:p w14:paraId="5A182C84" w14:textId="77777777" w:rsidR="00A3029F" w:rsidRPr="00B7174F" w:rsidRDefault="00A3029F" w:rsidP="009A58E0">
      <w:pPr>
        <w:pStyle w:val="T2A5"/>
        <w:numPr>
          <w:ilvl w:val="1"/>
          <w:numId w:val="105"/>
        </w:numPr>
        <w:outlineLvl w:val="9"/>
      </w:pPr>
      <w:r w:rsidRPr="00B7174F">
        <w:t>Calzada: Pavimento de Hormigón</w:t>
      </w:r>
      <w:bookmarkEnd w:id="1410"/>
      <w:r w:rsidRPr="00B7174F">
        <w:t>.</w:t>
      </w:r>
      <w:bookmarkEnd w:id="1427"/>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
        <w:gridCol w:w="866"/>
        <w:gridCol w:w="866"/>
        <w:gridCol w:w="1481"/>
        <w:gridCol w:w="2595"/>
        <w:gridCol w:w="1481"/>
        <w:gridCol w:w="2226"/>
        <w:gridCol w:w="991"/>
        <w:gridCol w:w="1359"/>
        <w:gridCol w:w="1008"/>
        <w:gridCol w:w="1110"/>
      </w:tblGrid>
      <w:tr w:rsidR="00E61CFA" w:rsidRPr="00B7174F" w14:paraId="5487FF6C" w14:textId="77777777">
        <w:trPr>
          <w:cantSplit/>
          <w:trHeight w:val="567"/>
          <w:tblHeader/>
          <w:jc w:val="center"/>
        </w:trPr>
        <w:tc>
          <w:tcPr>
            <w:tcW w:w="314" w:type="pct"/>
            <w:gridSpan w:val="2"/>
            <w:shd w:val="clear" w:color="auto" w:fill="595959"/>
            <w:vAlign w:val="center"/>
          </w:tcPr>
          <w:p w14:paraId="6C70B0A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10" w:type="pct"/>
            <w:shd w:val="clear" w:color="auto" w:fill="595959"/>
            <w:vAlign w:val="center"/>
          </w:tcPr>
          <w:p w14:paraId="3A36A5D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5D848CD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28" w:type="pct"/>
            <w:shd w:val="clear" w:color="auto" w:fill="595959"/>
            <w:vAlign w:val="center"/>
          </w:tcPr>
          <w:p w14:paraId="411C9B6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0" w:type="pct"/>
            <w:shd w:val="clear" w:color="auto" w:fill="595959"/>
            <w:vAlign w:val="center"/>
          </w:tcPr>
          <w:p w14:paraId="0182A33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96" w:type="pct"/>
            <w:shd w:val="clear" w:color="auto" w:fill="595959"/>
            <w:vAlign w:val="center"/>
          </w:tcPr>
          <w:p w14:paraId="0BBB9AC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355" w:type="pct"/>
            <w:shd w:val="clear" w:color="auto" w:fill="595959"/>
            <w:vAlign w:val="center"/>
          </w:tcPr>
          <w:p w14:paraId="372D36B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6" w:type="pct"/>
            <w:shd w:val="clear" w:color="auto" w:fill="595959"/>
            <w:vAlign w:val="center"/>
          </w:tcPr>
          <w:p w14:paraId="5C998DF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14:paraId="09E93A9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97" w:type="pct"/>
            <w:shd w:val="clear" w:color="auto" w:fill="595959"/>
          </w:tcPr>
          <w:p w14:paraId="537898B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17BB4A67" w14:textId="77777777" w:rsidTr="00084EE9">
        <w:trPr>
          <w:trHeight w:val="837"/>
          <w:jc w:val="center"/>
        </w:trPr>
        <w:tc>
          <w:tcPr>
            <w:tcW w:w="314" w:type="pct"/>
            <w:gridSpan w:val="2"/>
            <w:vMerge w:val="restart"/>
            <w:shd w:val="clear" w:color="auto" w:fill="A6A6A6"/>
            <w:textDirection w:val="btLr"/>
            <w:vAlign w:val="center"/>
          </w:tcPr>
          <w:p w14:paraId="005EA2A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10" w:type="pct"/>
            <w:vMerge w:val="restart"/>
            <w:vAlign w:val="center"/>
          </w:tcPr>
          <w:p w14:paraId="4991F6D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Rot</w:t>
            </w:r>
          </w:p>
        </w:tc>
        <w:tc>
          <w:tcPr>
            <w:tcW w:w="530" w:type="pct"/>
            <w:vAlign w:val="center"/>
          </w:tcPr>
          <w:p w14:paraId="7FB8909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28" w:type="pct"/>
            <w:vAlign w:val="center"/>
          </w:tcPr>
          <w:p w14:paraId="668F04C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0" w:type="pct"/>
            <w:vAlign w:val="center"/>
          </w:tcPr>
          <w:p w14:paraId="17B8560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15C973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cuya medición arroje un ancho de firme menor</w:t>
            </w:r>
          </w:p>
        </w:tc>
        <w:tc>
          <w:tcPr>
            <w:tcW w:w="355" w:type="pct"/>
            <w:vAlign w:val="center"/>
          </w:tcPr>
          <w:p w14:paraId="6C52AD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3AD132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069AC6A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7AC2A1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30F45F59" w14:textId="77777777" w:rsidTr="00084EE9">
        <w:trPr>
          <w:trHeight w:val="872"/>
          <w:jc w:val="center"/>
        </w:trPr>
        <w:tc>
          <w:tcPr>
            <w:tcW w:w="314" w:type="pct"/>
            <w:gridSpan w:val="2"/>
            <w:vMerge/>
            <w:shd w:val="clear" w:color="auto" w:fill="A6A6A6"/>
          </w:tcPr>
          <w:p w14:paraId="0722183B"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vAlign w:val="center"/>
          </w:tcPr>
          <w:p w14:paraId="4208357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4FF92D7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28" w:type="pct"/>
            <w:vAlign w:val="center"/>
          </w:tcPr>
          <w:p w14:paraId="2552106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mayor a 25 mm de diámetro y más de 13 mm de profundidad.</w:t>
            </w:r>
          </w:p>
        </w:tc>
        <w:tc>
          <w:tcPr>
            <w:tcW w:w="530" w:type="pct"/>
            <w:vAlign w:val="center"/>
          </w:tcPr>
          <w:p w14:paraId="584B7DD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632816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14023A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3489855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14:paraId="1ACDA8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5EBDC3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8452E5B" w14:textId="77777777" w:rsidTr="00084EE9">
        <w:trPr>
          <w:trHeight w:val="1675"/>
          <w:jc w:val="center"/>
        </w:trPr>
        <w:tc>
          <w:tcPr>
            <w:tcW w:w="314" w:type="pct"/>
            <w:gridSpan w:val="2"/>
            <w:vMerge/>
            <w:shd w:val="clear" w:color="auto" w:fill="A6A6A6"/>
          </w:tcPr>
          <w:p w14:paraId="29FAAB4E"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108A9E3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30E547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w:t>
            </w:r>
          </w:p>
          <w:p w14:paraId="6704362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y alto</w:t>
            </w:r>
          </w:p>
        </w:tc>
        <w:tc>
          <w:tcPr>
            <w:tcW w:w="928" w:type="pct"/>
            <w:vAlign w:val="center"/>
          </w:tcPr>
          <w:p w14:paraId="279EF3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baches que no sean de H, que presenten algún tipo de deformación o defecto sobre los mismos o que los bordes no estén perfectamente aserrados y adheridos con el resto de la superficie de H, o que no estén nivelados.</w:t>
            </w:r>
          </w:p>
        </w:tc>
        <w:tc>
          <w:tcPr>
            <w:tcW w:w="530" w:type="pct"/>
            <w:vAlign w:val="center"/>
          </w:tcPr>
          <w:p w14:paraId="17FEB39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213B77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015D87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C14525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32A713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4E9A15D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08BC025" w14:textId="77777777" w:rsidTr="00084EE9">
        <w:trPr>
          <w:trHeight w:val="537"/>
          <w:jc w:val="center"/>
        </w:trPr>
        <w:tc>
          <w:tcPr>
            <w:tcW w:w="314" w:type="pct"/>
            <w:gridSpan w:val="2"/>
            <w:vMerge/>
            <w:shd w:val="clear" w:color="auto" w:fill="A6A6A6"/>
          </w:tcPr>
          <w:p w14:paraId="61100A96"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3F72F8C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38BFC8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Esquinas rotas Nivel medio y alto</w:t>
            </w:r>
          </w:p>
        </w:tc>
        <w:tc>
          <w:tcPr>
            <w:tcW w:w="928" w:type="pct"/>
            <w:vAlign w:val="center"/>
          </w:tcPr>
          <w:p w14:paraId="30735D0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una esquina de la losa</w:t>
            </w:r>
          </w:p>
        </w:tc>
        <w:tc>
          <w:tcPr>
            <w:tcW w:w="530" w:type="pct"/>
            <w:vAlign w:val="center"/>
          </w:tcPr>
          <w:p w14:paraId="54C3C9F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7627604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5FA50D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5A07EBB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7CEAC7B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55FC711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1E98945" w14:textId="77777777" w:rsidTr="00084EE9">
        <w:trPr>
          <w:trHeight w:val="828"/>
          <w:jc w:val="center"/>
        </w:trPr>
        <w:tc>
          <w:tcPr>
            <w:tcW w:w="314" w:type="pct"/>
            <w:gridSpan w:val="2"/>
            <w:vMerge/>
            <w:shd w:val="clear" w:color="auto" w:fill="A6A6A6"/>
          </w:tcPr>
          <w:p w14:paraId="1C573325"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5851D4E7"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566180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Bordes rotos Nivel medio y alto sin estar perfectamente sellados</w:t>
            </w:r>
          </w:p>
        </w:tc>
        <w:tc>
          <w:tcPr>
            <w:tcW w:w="928" w:type="pct"/>
            <w:vAlign w:val="center"/>
          </w:tcPr>
          <w:p w14:paraId="757F2B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parte del firme contra el borde de la losa</w:t>
            </w:r>
          </w:p>
        </w:tc>
        <w:tc>
          <w:tcPr>
            <w:tcW w:w="530" w:type="pct"/>
            <w:vAlign w:val="center"/>
          </w:tcPr>
          <w:p w14:paraId="2AB559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0A40B2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6F0708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BEB6B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1178076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44BFECB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6CF95379" w14:textId="77777777" w:rsidTr="00084EE9">
        <w:trPr>
          <w:trHeight w:val="1023"/>
          <w:jc w:val="center"/>
        </w:trPr>
        <w:tc>
          <w:tcPr>
            <w:tcW w:w="314" w:type="pct"/>
            <w:gridSpan w:val="2"/>
            <w:vMerge/>
            <w:shd w:val="clear" w:color="auto" w:fill="A6A6A6"/>
          </w:tcPr>
          <w:p w14:paraId="4743CC8B"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val="restart"/>
            <w:vAlign w:val="center"/>
          </w:tcPr>
          <w:p w14:paraId="0F0ADE58"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CHO Otr</w:t>
            </w:r>
          </w:p>
        </w:tc>
        <w:tc>
          <w:tcPr>
            <w:tcW w:w="530" w:type="pct"/>
            <w:vAlign w:val="center"/>
          </w:tcPr>
          <w:p w14:paraId="2F00946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28" w:type="pct"/>
            <w:vAlign w:val="center"/>
          </w:tcPr>
          <w:p w14:paraId="444959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0" w:type="pct"/>
            <w:vAlign w:val="center"/>
          </w:tcPr>
          <w:p w14:paraId="4CF005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2F0CB86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160C36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6D9913E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w:t>
            </w:r>
          </w:p>
        </w:tc>
        <w:tc>
          <w:tcPr>
            <w:tcW w:w="354" w:type="pct"/>
            <w:vAlign w:val="center"/>
          </w:tcPr>
          <w:p w14:paraId="249CAAE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295640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1FE1F77" w14:textId="77777777" w:rsidTr="00084EE9">
        <w:trPr>
          <w:trHeight w:val="828"/>
          <w:jc w:val="center"/>
        </w:trPr>
        <w:tc>
          <w:tcPr>
            <w:tcW w:w="314" w:type="pct"/>
            <w:gridSpan w:val="2"/>
            <w:vMerge/>
            <w:shd w:val="clear" w:color="auto" w:fill="A6A6A6"/>
          </w:tcPr>
          <w:p w14:paraId="340428A4"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10" w:type="pct"/>
            <w:vMerge/>
          </w:tcPr>
          <w:p w14:paraId="1E97F3C5"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530" w:type="pct"/>
            <w:vAlign w:val="center"/>
          </w:tcPr>
          <w:p w14:paraId="466F9E6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28" w:type="pct"/>
            <w:vAlign w:val="center"/>
          </w:tcPr>
          <w:p w14:paraId="431C234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0" w:type="pct"/>
            <w:vAlign w:val="center"/>
          </w:tcPr>
          <w:p w14:paraId="2982BA3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796" w:type="pct"/>
            <w:vAlign w:val="center"/>
          </w:tcPr>
          <w:p w14:paraId="172F35F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355" w:type="pct"/>
            <w:vAlign w:val="center"/>
          </w:tcPr>
          <w:p w14:paraId="0934FD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50DF6C4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w:t>
            </w:r>
          </w:p>
        </w:tc>
        <w:tc>
          <w:tcPr>
            <w:tcW w:w="354" w:type="pct"/>
            <w:vAlign w:val="center"/>
          </w:tcPr>
          <w:p w14:paraId="264A77E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11E5A52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AD77CE2" w14:textId="77777777" w:rsidTr="00084EE9">
        <w:trPr>
          <w:gridBefore w:val="1"/>
          <w:wBefore w:w="4" w:type="pct"/>
          <w:trHeight w:val="1062"/>
          <w:jc w:val="center"/>
        </w:trPr>
        <w:tc>
          <w:tcPr>
            <w:tcW w:w="310" w:type="pct"/>
            <w:shd w:val="clear" w:color="auto" w:fill="A6A6A6"/>
            <w:textDirection w:val="btLr"/>
            <w:vAlign w:val="center"/>
          </w:tcPr>
          <w:p w14:paraId="7D09DE96"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BASICOS</w:t>
            </w:r>
          </w:p>
        </w:tc>
        <w:tc>
          <w:tcPr>
            <w:tcW w:w="310" w:type="pct"/>
            <w:vAlign w:val="center"/>
          </w:tcPr>
          <w:p w14:paraId="7EAD0FD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Blo</w:t>
            </w:r>
          </w:p>
        </w:tc>
        <w:tc>
          <w:tcPr>
            <w:tcW w:w="530" w:type="pct"/>
            <w:vAlign w:val="center"/>
          </w:tcPr>
          <w:p w14:paraId="50455B9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Descenso o ascenso de bordes, blow-up y hundimientos de losas o partes de losas Nivel medio y alto</w:t>
            </w:r>
          </w:p>
        </w:tc>
        <w:tc>
          <w:tcPr>
            <w:tcW w:w="928" w:type="pct"/>
            <w:vAlign w:val="center"/>
          </w:tcPr>
          <w:p w14:paraId="0FD7510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Levantamiento o hundimientos de las losas o partes de losas con respecto a las losas adyacentes, que sean mayores a 10 mm</w:t>
            </w:r>
          </w:p>
        </w:tc>
        <w:tc>
          <w:tcPr>
            <w:tcW w:w="530" w:type="pct"/>
            <w:vAlign w:val="center"/>
          </w:tcPr>
          <w:p w14:paraId="524D251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74955E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214F22C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3F654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4C03918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3FF2A6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DE34165" w14:textId="77777777" w:rsidTr="00084EE9">
        <w:trPr>
          <w:gridBefore w:val="1"/>
          <w:wBefore w:w="4" w:type="pct"/>
          <w:cantSplit/>
          <w:trHeight w:val="1658"/>
          <w:jc w:val="center"/>
        </w:trPr>
        <w:tc>
          <w:tcPr>
            <w:tcW w:w="310" w:type="pct"/>
            <w:vMerge w:val="restart"/>
            <w:shd w:val="clear" w:color="auto" w:fill="A6A6A6"/>
            <w:textDirection w:val="btLr"/>
            <w:vAlign w:val="center"/>
          </w:tcPr>
          <w:p w14:paraId="17DEC1F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10" w:type="pct"/>
            <w:vAlign w:val="center"/>
          </w:tcPr>
          <w:p w14:paraId="57C5099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Fis</w:t>
            </w:r>
          </w:p>
        </w:tc>
        <w:tc>
          <w:tcPr>
            <w:tcW w:w="530" w:type="pct"/>
            <w:vAlign w:val="center"/>
          </w:tcPr>
          <w:p w14:paraId="3D0D90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Juntas sin estar perfectamente selladas</w:t>
            </w:r>
          </w:p>
        </w:tc>
        <w:tc>
          <w:tcPr>
            <w:tcW w:w="928" w:type="pct"/>
            <w:vAlign w:val="center"/>
          </w:tcPr>
          <w:p w14:paraId="4C7E320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entiende por perfectamente sellado, que el material sellado no rebase la superficie de las losas, o que esté por debajo del Nivel del firme, de forma de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no permitir la entrada de material no compresible y que el material de relleno de juntas sea deformable</w:t>
            </w:r>
          </w:p>
        </w:tc>
        <w:tc>
          <w:tcPr>
            <w:tcW w:w="530" w:type="pct"/>
            <w:vAlign w:val="center"/>
          </w:tcPr>
          <w:p w14:paraId="20525DD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12E78B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adyacentes a la junta</w:t>
            </w:r>
          </w:p>
        </w:tc>
        <w:tc>
          <w:tcPr>
            <w:tcW w:w="355" w:type="pct"/>
            <w:vAlign w:val="center"/>
          </w:tcPr>
          <w:p w14:paraId="57E176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7F960F2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3AD1003F"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7F03551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88E3075" w14:textId="77777777" w:rsidTr="00084EE9">
        <w:trPr>
          <w:gridBefore w:val="1"/>
          <w:wBefore w:w="4" w:type="pct"/>
          <w:trHeight w:val="1554"/>
          <w:jc w:val="center"/>
        </w:trPr>
        <w:tc>
          <w:tcPr>
            <w:tcW w:w="310" w:type="pct"/>
            <w:vMerge/>
            <w:shd w:val="clear" w:color="auto" w:fill="A6A6A6"/>
          </w:tcPr>
          <w:p w14:paraId="52509FD3"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Merge w:val="restart"/>
            <w:vAlign w:val="center"/>
          </w:tcPr>
          <w:p w14:paraId="7A103D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p w14:paraId="5C093F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Fra</w:t>
            </w:r>
          </w:p>
        </w:tc>
        <w:tc>
          <w:tcPr>
            <w:tcW w:w="530" w:type="pct"/>
            <w:vAlign w:val="center"/>
          </w:tcPr>
          <w:p w14:paraId="69D4CC5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Nivel medio y alto sin estar perfectamente reparados</w:t>
            </w:r>
          </w:p>
        </w:tc>
        <w:tc>
          <w:tcPr>
            <w:tcW w:w="928" w:type="pct"/>
            <w:vAlign w:val="center"/>
          </w:tcPr>
          <w:p w14:paraId="23B0E99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lineales, fisuras tipo mapa, de esquina, con bordes rotos, sin sellar con espesor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&gt;=2mm, con algún descascaramiento , interior fisurado o con alguna pérdida de material</w:t>
            </w:r>
          </w:p>
        </w:tc>
        <w:tc>
          <w:tcPr>
            <w:tcW w:w="530" w:type="pct"/>
            <w:vAlign w:val="center"/>
          </w:tcPr>
          <w:p w14:paraId="54FE55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3C33E3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2DB352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536FBC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00ADE42D"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2A173D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63A424BD" w14:textId="77777777" w:rsidTr="00084EE9">
        <w:trPr>
          <w:gridBefore w:val="1"/>
          <w:wBefore w:w="4" w:type="pct"/>
          <w:trHeight w:val="1137"/>
          <w:jc w:val="center"/>
        </w:trPr>
        <w:tc>
          <w:tcPr>
            <w:tcW w:w="310" w:type="pct"/>
            <w:vMerge/>
            <w:shd w:val="clear" w:color="auto" w:fill="A6A6A6"/>
          </w:tcPr>
          <w:p w14:paraId="61E5CCD5"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Merge/>
            <w:vAlign w:val="center"/>
          </w:tcPr>
          <w:p w14:paraId="47F005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5E00D51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Losas fracturadas Nivel bajo, medio y alto</w:t>
            </w:r>
          </w:p>
        </w:tc>
        <w:tc>
          <w:tcPr>
            <w:tcW w:w="928" w:type="pct"/>
            <w:vAlign w:val="center"/>
          </w:tcPr>
          <w:p w14:paraId="60FADB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Losa dividida en más de tres partes que comprometan todo el espesor</w:t>
            </w:r>
          </w:p>
        </w:tc>
        <w:tc>
          <w:tcPr>
            <w:tcW w:w="530" w:type="pct"/>
            <w:vAlign w:val="center"/>
          </w:tcPr>
          <w:p w14:paraId="12C272D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losas afectadas</w:t>
            </w:r>
          </w:p>
        </w:tc>
        <w:tc>
          <w:tcPr>
            <w:tcW w:w="796" w:type="pct"/>
            <w:vAlign w:val="center"/>
          </w:tcPr>
          <w:p w14:paraId="48BBAF2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cuentan el número de losas afectadas</w:t>
            </w:r>
          </w:p>
        </w:tc>
        <w:tc>
          <w:tcPr>
            <w:tcW w:w="355" w:type="pct"/>
            <w:vAlign w:val="center"/>
          </w:tcPr>
          <w:p w14:paraId="633BC6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6" w:type="pct"/>
            <w:vAlign w:val="center"/>
          </w:tcPr>
          <w:p w14:paraId="072910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4D727D2A"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97" w:type="pct"/>
          </w:tcPr>
          <w:p w14:paraId="3C38A1C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20D91B99" w14:textId="77777777" w:rsidTr="00084EE9">
        <w:trPr>
          <w:gridBefore w:val="1"/>
          <w:wBefore w:w="4" w:type="pct"/>
          <w:trHeight w:val="969"/>
          <w:jc w:val="center"/>
        </w:trPr>
        <w:tc>
          <w:tcPr>
            <w:tcW w:w="310" w:type="pct"/>
            <w:vMerge/>
            <w:shd w:val="clear" w:color="auto" w:fill="A6A6A6"/>
          </w:tcPr>
          <w:p w14:paraId="2B225CC0"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10" w:type="pct"/>
            <w:vAlign w:val="center"/>
          </w:tcPr>
          <w:p w14:paraId="604CEF6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CHO Hom</w:t>
            </w:r>
          </w:p>
        </w:tc>
        <w:tc>
          <w:tcPr>
            <w:tcW w:w="530" w:type="pct"/>
            <w:vAlign w:val="center"/>
          </w:tcPr>
          <w:p w14:paraId="0289A2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28" w:type="pct"/>
            <w:vAlign w:val="center"/>
          </w:tcPr>
          <w:p w14:paraId="751E9A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0" w:type="pct"/>
            <w:vAlign w:val="center"/>
          </w:tcPr>
          <w:p w14:paraId="321BA1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con reparaciones</w:t>
            </w:r>
          </w:p>
        </w:tc>
        <w:tc>
          <w:tcPr>
            <w:tcW w:w="796" w:type="pct"/>
            <w:vAlign w:val="center"/>
          </w:tcPr>
          <w:p w14:paraId="69084A4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en forma directa</w:t>
            </w:r>
          </w:p>
        </w:tc>
        <w:tc>
          <w:tcPr>
            <w:tcW w:w="355" w:type="pct"/>
            <w:vAlign w:val="center"/>
          </w:tcPr>
          <w:p w14:paraId="7E17A7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486" w:type="pct"/>
            <w:vAlign w:val="center"/>
          </w:tcPr>
          <w:p w14:paraId="6C74063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3A203D3C"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97" w:type="pct"/>
          </w:tcPr>
          <w:p w14:paraId="01D9F0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44049021" w14:textId="77777777" w:rsidR="00A3029F" w:rsidRDefault="00A3029F" w:rsidP="00CF69B3">
      <w:pPr>
        <w:widowControl w:val="0"/>
        <w:spacing w:after="0" w:line="240" w:lineRule="auto"/>
        <w:jc w:val="both"/>
        <w:rPr>
          <w:rFonts w:ascii="Arial" w:hAnsi="Arial" w:cs="Arial"/>
          <w:bCs/>
          <w:snapToGrid w:val="0"/>
          <w:sz w:val="16"/>
          <w:szCs w:val="16"/>
          <w:lang w:val="es-ES_tradnl" w:eastAsia="es-ES"/>
        </w:rPr>
      </w:pPr>
      <w:r w:rsidRPr="00B7174F">
        <w:rPr>
          <w:rFonts w:ascii="Arial" w:hAnsi="Arial" w:cs="Arial"/>
          <w:b/>
          <w:bCs/>
          <w:snapToGrid w:val="0"/>
          <w:sz w:val="16"/>
          <w:szCs w:val="16"/>
          <w:lang w:val="es-ES_tradnl" w:eastAsia="es-ES"/>
        </w:rPr>
        <w:t>Nota:</w:t>
      </w:r>
      <w:r w:rsidRPr="00497566">
        <w:rPr>
          <w:rFonts w:ascii="Arial" w:hAnsi="Arial" w:cs="Arial"/>
          <w:bCs/>
          <w:snapToGrid w:val="0"/>
          <w:sz w:val="16"/>
          <w:szCs w:val="16"/>
          <w:lang w:val="es-ES_tradnl" w:eastAsia="es-ES"/>
        </w:rPr>
        <w:t xml:space="preserve"> Los Baches de severidad baja (debidamente recuadrados y nivelados) deberán tener por losa una superficie mínima de 6 m2.</w:t>
      </w:r>
    </w:p>
    <w:p w14:paraId="7E1A20C5"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4B681D27"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7433371C" w14:textId="77777777" w:rsidR="00497566" w:rsidRDefault="00497566" w:rsidP="00CF69B3">
      <w:pPr>
        <w:widowControl w:val="0"/>
        <w:spacing w:after="0" w:line="240" w:lineRule="auto"/>
        <w:jc w:val="both"/>
        <w:rPr>
          <w:rFonts w:ascii="Arial" w:hAnsi="Arial" w:cs="Arial"/>
          <w:bCs/>
          <w:snapToGrid w:val="0"/>
          <w:sz w:val="16"/>
          <w:szCs w:val="16"/>
          <w:lang w:val="es-ES_tradnl" w:eastAsia="es-ES"/>
        </w:rPr>
      </w:pPr>
    </w:p>
    <w:p w14:paraId="6BD6141F"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0ECED948"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307267EA"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30093DCC"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6D948104"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75266259"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5C97DFC0" w14:textId="77777777" w:rsidR="002860CE" w:rsidRDefault="002860CE" w:rsidP="00CF69B3">
      <w:pPr>
        <w:widowControl w:val="0"/>
        <w:spacing w:after="0" w:line="240" w:lineRule="auto"/>
        <w:jc w:val="both"/>
        <w:rPr>
          <w:rFonts w:ascii="Arial" w:hAnsi="Arial" w:cs="Arial"/>
          <w:bCs/>
          <w:snapToGrid w:val="0"/>
          <w:sz w:val="16"/>
          <w:szCs w:val="16"/>
          <w:lang w:val="es-ES_tradnl" w:eastAsia="es-ES"/>
        </w:rPr>
      </w:pPr>
    </w:p>
    <w:p w14:paraId="496FA67C" w14:textId="77777777" w:rsidR="00497566" w:rsidRPr="00497566" w:rsidRDefault="00497566" w:rsidP="00CF69B3">
      <w:pPr>
        <w:widowControl w:val="0"/>
        <w:spacing w:after="0" w:line="240" w:lineRule="auto"/>
        <w:jc w:val="both"/>
        <w:rPr>
          <w:rFonts w:ascii="Arial" w:hAnsi="Arial" w:cs="Arial"/>
          <w:bCs/>
          <w:snapToGrid w:val="0"/>
          <w:sz w:val="16"/>
          <w:szCs w:val="16"/>
          <w:lang w:val="es-ES_tradnl" w:eastAsia="es-ES"/>
        </w:rPr>
      </w:pPr>
    </w:p>
    <w:p w14:paraId="5B52C5CD" w14:textId="77777777" w:rsidR="00A3029F" w:rsidRPr="00B7174F" w:rsidRDefault="00A3029F" w:rsidP="009A58E0">
      <w:pPr>
        <w:pStyle w:val="T2A5"/>
        <w:numPr>
          <w:ilvl w:val="1"/>
          <w:numId w:val="105"/>
        </w:numPr>
        <w:outlineLvl w:val="9"/>
      </w:pPr>
      <w:bookmarkStart w:id="1428" w:name="_Toc438113493"/>
      <w:bookmarkStart w:id="1429" w:name="_Toc438113769"/>
      <w:bookmarkStart w:id="1430" w:name="_Toc438114779"/>
      <w:bookmarkStart w:id="1431" w:name="_Toc438115094"/>
      <w:bookmarkStart w:id="1432" w:name="_Toc438130260"/>
      <w:bookmarkStart w:id="1433" w:name="_Toc438224157"/>
      <w:bookmarkStart w:id="1434" w:name="_Toc441131879"/>
      <w:bookmarkStart w:id="1435" w:name="_Toc441146184"/>
      <w:bookmarkStart w:id="1436" w:name="_Toc441146589"/>
      <w:bookmarkStart w:id="1437" w:name="_Toc441146937"/>
      <w:bookmarkStart w:id="1438" w:name="_Toc441161687"/>
      <w:bookmarkStart w:id="1439" w:name="_Toc441162035"/>
      <w:bookmarkStart w:id="1440" w:name="_Toc441162385"/>
      <w:bookmarkStart w:id="1441" w:name="_Toc441229402"/>
      <w:bookmarkStart w:id="1442" w:name="_Toc441229737"/>
      <w:bookmarkStart w:id="1443" w:name="_Toc441230058"/>
      <w:bookmarkStart w:id="1444" w:name="_Toc450552909"/>
      <w:bookmarkStart w:id="1445" w:name="_Toc450555107"/>
      <w:bookmarkStart w:id="1446" w:name="_Toc450555362"/>
      <w:bookmarkStart w:id="1447" w:name="_Toc400635292"/>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B7174F">
        <w:t>Calzada: Pavimento de Mezcla Asfáltica.</w:t>
      </w:r>
      <w:bookmarkEnd w:id="1447"/>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002"/>
        <w:gridCol w:w="793"/>
        <w:gridCol w:w="1506"/>
        <w:gridCol w:w="2610"/>
        <w:gridCol w:w="1533"/>
        <w:gridCol w:w="2523"/>
        <w:gridCol w:w="1141"/>
        <w:gridCol w:w="973"/>
        <w:gridCol w:w="1008"/>
        <w:gridCol w:w="903"/>
      </w:tblGrid>
      <w:tr w:rsidR="00A3029F" w:rsidRPr="00B7174F" w14:paraId="1D7B55EB" w14:textId="77777777">
        <w:trPr>
          <w:cantSplit/>
          <w:trHeight w:val="567"/>
          <w:tblHeader/>
          <w:jc w:val="center"/>
        </w:trPr>
        <w:tc>
          <w:tcPr>
            <w:tcW w:w="352" w:type="pct"/>
            <w:shd w:val="clear" w:color="auto" w:fill="595959"/>
            <w:vAlign w:val="center"/>
          </w:tcPr>
          <w:p w14:paraId="117B32C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4" w:type="pct"/>
            <w:shd w:val="clear" w:color="auto" w:fill="595959"/>
            <w:vAlign w:val="center"/>
          </w:tcPr>
          <w:p w14:paraId="3E56AB1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1DEE8C2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Denominación </w:t>
            </w:r>
          </w:p>
        </w:tc>
        <w:tc>
          <w:tcPr>
            <w:tcW w:w="943" w:type="pct"/>
            <w:shd w:val="clear" w:color="auto" w:fill="595959"/>
            <w:vAlign w:val="center"/>
          </w:tcPr>
          <w:p w14:paraId="6383F5E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Descripción </w:t>
            </w:r>
          </w:p>
        </w:tc>
        <w:tc>
          <w:tcPr>
            <w:tcW w:w="539" w:type="pct"/>
            <w:shd w:val="clear" w:color="auto" w:fill="595959"/>
            <w:vAlign w:val="center"/>
          </w:tcPr>
          <w:p w14:paraId="587EA10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12" w:type="pct"/>
            <w:shd w:val="clear" w:color="auto" w:fill="595959"/>
            <w:vAlign w:val="center"/>
          </w:tcPr>
          <w:p w14:paraId="0CF43CC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Método de evaluación </w:t>
            </w:r>
          </w:p>
        </w:tc>
        <w:tc>
          <w:tcPr>
            <w:tcW w:w="401" w:type="pct"/>
            <w:shd w:val="clear" w:color="auto" w:fill="595959"/>
            <w:vAlign w:val="center"/>
          </w:tcPr>
          <w:p w14:paraId="10CD1AE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2" w:type="pct"/>
            <w:shd w:val="clear" w:color="auto" w:fill="595959"/>
            <w:vAlign w:val="center"/>
          </w:tcPr>
          <w:p w14:paraId="278CE92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 xml:space="preserve">Plazo de reparación </w:t>
            </w:r>
          </w:p>
        </w:tc>
        <w:tc>
          <w:tcPr>
            <w:tcW w:w="354" w:type="pct"/>
            <w:shd w:val="clear" w:color="auto" w:fill="595959"/>
            <w:vAlign w:val="center"/>
          </w:tcPr>
          <w:p w14:paraId="63D8641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33" w:type="pct"/>
            <w:shd w:val="clear" w:color="auto" w:fill="595959"/>
          </w:tcPr>
          <w:p w14:paraId="7F849CA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6DE3D5F6" w14:textId="77777777" w:rsidTr="00084EE9">
        <w:trPr>
          <w:trHeight w:val="1230"/>
          <w:jc w:val="center"/>
        </w:trPr>
        <w:tc>
          <w:tcPr>
            <w:tcW w:w="352" w:type="pct"/>
            <w:vMerge w:val="restart"/>
            <w:shd w:val="clear" w:color="auto" w:fill="A6A6A6"/>
            <w:textDirection w:val="btLr"/>
            <w:tcFitText/>
            <w:vAlign w:val="center"/>
          </w:tcPr>
          <w:p w14:paraId="1F9BCD59" w14:textId="77777777" w:rsidR="00A3029F" w:rsidRPr="00B7174F" w:rsidRDefault="00A3029F" w:rsidP="00CF69B3">
            <w:pPr>
              <w:widowControl w:val="0"/>
              <w:spacing w:after="0" w:line="240" w:lineRule="auto"/>
              <w:jc w:val="center"/>
              <w:rPr>
                <w:rFonts w:ascii="Arial" w:hAnsi="Arial" w:cs="Arial"/>
                <w:i/>
                <w:iCs/>
                <w:snapToGrid w:val="0"/>
                <w:color w:val="FFFFFF"/>
                <w:sz w:val="16"/>
                <w:szCs w:val="16"/>
                <w:lang w:val="es-UY" w:eastAsia="es-ES"/>
              </w:rPr>
            </w:pPr>
            <w:r w:rsidRPr="00084EE9">
              <w:rPr>
                <w:rFonts w:ascii="Arial" w:hAnsi="Arial" w:cs="Arial"/>
                <w:snapToGrid w:val="0"/>
                <w:color w:val="FFFFFF"/>
                <w:sz w:val="16"/>
                <w:szCs w:val="16"/>
                <w:lang w:val="es-UY" w:eastAsia="es-ES"/>
              </w:rPr>
              <w:t>BÁSICOS</w:t>
            </w:r>
          </w:p>
        </w:tc>
        <w:tc>
          <w:tcPr>
            <w:tcW w:w="294" w:type="pct"/>
            <w:vMerge w:val="restart"/>
            <w:vAlign w:val="center"/>
          </w:tcPr>
          <w:p w14:paraId="372192E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Des1</w:t>
            </w:r>
          </w:p>
        </w:tc>
        <w:tc>
          <w:tcPr>
            <w:tcW w:w="530" w:type="pct"/>
            <w:vAlign w:val="center"/>
          </w:tcPr>
          <w:p w14:paraId="1E0E151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943" w:type="pct"/>
            <w:vAlign w:val="center"/>
          </w:tcPr>
          <w:p w14:paraId="1D4B02E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del ancho del firme definido en el inventario de la DNV</w:t>
            </w:r>
          </w:p>
        </w:tc>
        <w:tc>
          <w:tcPr>
            <w:tcW w:w="539" w:type="pct"/>
            <w:vAlign w:val="center"/>
          </w:tcPr>
          <w:p w14:paraId="61BADD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912" w:type="pct"/>
            <w:vAlign w:val="center"/>
          </w:tcPr>
          <w:p w14:paraId="58C643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14:paraId="490643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10595F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54" w:type="pct"/>
            <w:vAlign w:val="center"/>
          </w:tcPr>
          <w:p w14:paraId="4FB803D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6178AF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3B009286" w14:textId="77777777" w:rsidTr="00084EE9">
        <w:trPr>
          <w:trHeight w:val="708"/>
          <w:jc w:val="center"/>
        </w:trPr>
        <w:tc>
          <w:tcPr>
            <w:tcW w:w="352" w:type="pct"/>
            <w:vMerge/>
            <w:shd w:val="clear" w:color="auto" w:fill="A6A6A6"/>
            <w:textDirection w:val="btLr"/>
          </w:tcPr>
          <w:p w14:paraId="58942F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47DE33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3269D8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943" w:type="pct"/>
            <w:vAlign w:val="center"/>
          </w:tcPr>
          <w:p w14:paraId="2195AA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39" w:type="pct"/>
            <w:vAlign w:val="center"/>
          </w:tcPr>
          <w:p w14:paraId="05B9FC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4B19008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1936648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56BB8A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14:paraId="73B57E1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14B33B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55B9F25" w14:textId="77777777" w:rsidTr="00084EE9">
        <w:trPr>
          <w:trHeight w:val="691"/>
          <w:jc w:val="center"/>
        </w:trPr>
        <w:tc>
          <w:tcPr>
            <w:tcW w:w="352" w:type="pct"/>
            <w:vMerge/>
            <w:shd w:val="clear" w:color="auto" w:fill="A6A6A6"/>
            <w:textDirection w:val="btLr"/>
          </w:tcPr>
          <w:p w14:paraId="2001F3A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05ED006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7034FB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943" w:type="pct"/>
            <w:vAlign w:val="center"/>
          </w:tcPr>
          <w:p w14:paraId="3B9DA10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39" w:type="pct"/>
            <w:vAlign w:val="center"/>
          </w:tcPr>
          <w:p w14:paraId="2937075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3F22971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2D0AFD1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199C03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0 </w:t>
            </w:r>
            <w:r w:rsidR="00120471" w:rsidRPr="00B7174F">
              <w:rPr>
                <w:rFonts w:ascii="Arial" w:hAnsi="Arial" w:cs="Arial"/>
                <w:snapToGrid w:val="0"/>
                <w:sz w:val="16"/>
                <w:szCs w:val="16"/>
                <w:lang w:val="es-UY" w:eastAsia="es-ES"/>
              </w:rPr>
              <w:t>día</w:t>
            </w:r>
          </w:p>
        </w:tc>
        <w:tc>
          <w:tcPr>
            <w:tcW w:w="354" w:type="pct"/>
            <w:vAlign w:val="center"/>
          </w:tcPr>
          <w:p w14:paraId="113FC69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56B1FD9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3483658A" w14:textId="77777777" w:rsidTr="00084EE9">
        <w:trPr>
          <w:trHeight w:val="984"/>
          <w:jc w:val="center"/>
        </w:trPr>
        <w:tc>
          <w:tcPr>
            <w:tcW w:w="352" w:type="pct"/>
            <w:vMerge/>
            <w:shd w:val="clear" w:color="auto" w:fill="A6A6A6"/>
          </w:tcPr>
          <w:p w14:paraId="26F514E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232EA5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Fis1</w:t>
            </w:r>
          </w:p>
        </w:tc>
        <w:tc>
          <w:tcPr>
            <w:tcW w:w="530" w:type="pct"/>
            <w:vAlign w:val="center"/>
          </w:tcPr>
          <w:p w14:paraId="4F8933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943" w:type="pct"/>
            <w:vAlign w:val="center"/>
          </w:tcPr>
          <w:p w14:paraId="5D92207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 o deformación mayor a 10mm.</w:t>
            </w:r>
          </w:p>
        </w:tc>
        <w:tc>
          <w:tcPr>
            <w:tcW w:w="539" w:type="pct"/>
            <w:vAlign w:val="center"/>
          </w:tcPr>
          <w:p w14:paraId="49F544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61616EE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71E80F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6E9EC0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4" w:type="pct"/>
            <w:vAlign w:val="center"/>
          </w:tcPr>
          <w:p w14:paraId="5B415C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7578C0A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AA0CF9A" w14:textId="77777777" w:rsidTr="00084EE9">
        <w:trPr>
          <w:trHeight w:val="1410"/>
          <w:jc w:val="center"/>
        </w:trPr>
        <w:tc>
          <w:tcPr>
            <w:tcW w:w="352" w:type="pct"/>
            <w:vMerge/>
            <w:shd w:val="clear" w:color="auto" w:fill="A6A6A6"/>
          </w:tcPr>
          <w:p w14:paraId="2FDB32A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073404F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Bac</w:t>
            </w:r>
          </w:p>
        </w:tc>
        <w:tc>
          <w:tcPr>
            <w:tcW w:w="530" w:type="pct"/>
            <w:vAlign w:val="center"/>
          </w:tcPr>
          <w:p w14:paraId="71B05E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943" w:type="pct"/>
            <w:vAlign w:val="center"/>
          </w:tcPr>
          <w:p w14:paraId="16288F6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no estén perfectamente recuadrados o con un material que no tenga igual comportamiento que el pavimento </w:t>
            </w:r>
            <w:r w:rsidRPr="00022C0A">
              <w:rPr>
                <w:rFonts w:ascii="Arial" w:hAnsi="Arial" w:cs="Arial"/>
                <w:snapToGrid w:val="0"/>
                <w:sz w:val="16"/>
                <w:szCs w:val="16"/>
                <w:lang w:val="es-UY" w:eastAsia="es-ES"/>
              </w:rPr>
              <w:t>circundante</w:t>
            </w:r>
            <w:r w:rsidR="00A1468E" w:rsidRPr="00022C0A">
              <w:rPr>
                <w:rFonts w:ascii="Arial" w:hAnsi="Arial" w:cs="Arial"/>
                <w:snapToGrid w:val="0"/>
                <w:sz w:val="16"/>
                <w:szCs w:val="16"/>
                <w:lang w:val="es-UY" w:eastAsia="es-ES"/>
              </w:rPr>
              <w:t xml:space="preserve"> </w:t>
            </w:r>
            <w:r w:rsidR="00A314F1" w:rsidRPr="00022C0A">
              <w:rPr>
                <w:rFonts w:ascii="Arial" w:hAnsi="Arial" w:cs="Arial"/>
                <w:snapToGrid w:val="0"/>
                <w:sz w:val="16"/>
                <w:szCs w:val="16"/>
                <w:lang w:val="es-UY" w:eastAsia="es-ES"/>
              </w:rPr>
              <w:t>o que esté realizado con material de inferior calidad al del pavimento existente</w:t>
            </w:r>
          </w:p>
        </w:tc>
        <w:tc>
          <w:tcPr>
            <w:tcW w:w="539" w:type="pct"/>
            <w:vAlign w:val="center"/>
          </w:tcPr>
          <w:p w14:paraId="2D1355F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59D69B6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1913DB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29DBF34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4" w:type="pct"/>
            <w:vAlign w:val="center"/>
          </w:tcPr>
          <w:p w14:paraId="76114A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1050E6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445BCEB6" w14:textId="77777777" w:rsidTr="00084EE9">
        <w:trPr>
          <w:trHeight w:val="976"/>
          <w:jc w:val="center"/>
        </w:trPr>
        <w:tc>
          <w:tcPr>
            <w:tcW w:w="352" w:type="pct"/>
            <w:vMerge/>
            <w:shd w:val="clear" w:color="auto" w:fill="A6A6A6"/>
          </w:tcPr>
          <w:p w14:paraId="56490B6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4B48558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Ahu</w:t>
            </w:r>
          </w:p>
        </w:tc>
        <w:tc>
          <w:tcPr>
            <w:tcW w:w="530" w:type="pct"/>
            <w:vAlign w:val="center"/>
          </w:tcPr>
          <w:p w14:paraId="3106CCD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943" w:type="pct"/>
            <w:vAlign w:val="center"/>
          </w:tcPr>
          <w:p w14:paraId="6CED9D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del pavimento por hundimiento a lo largo de la huella cuyo valor sea mayor a 10mm</w:t>
            </w:r>
          </w:p>
        </w:tc>
        <w:tc>
          <w:tcPr>
            <w:tcW w:w="539" w:type="pct"/>
            <w:vAlign w:val="center"/>
          </w:tcPr>
          <w:p w14:paraId="72C92DA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afectada(sumados ambos Niveles)</w:t>
            </w:r>
          </w:p>
        </w:tc>
        <w:tc>
          <w:tcPr>
            <w:tcW w:w="912" w:type="pct"/>
            <w:vAlign w:val="center"/>
          </w:tcPr>
          <w:p w14:paraId="2AE86E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14:paraId="31F35F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60AA15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54" w:type="pct"/>
            <w:vAlign w:val="center"/>
          </w:tcPr>
          <w:p w14:paraId="780630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20890A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340C6C0C" w14:textId="77777777" w:rsidTr="00084EE9">
        <w:trPr>
          <w:trHeight w:val="693"/>
          <w:jc w:val="center"/>
        </w:trPr>
        <w:tc>
          <w:tcPr>
            <w:tcW w:w="352" w:type="pct"/>
            <w:vMerge/>
            <w:shd w:val="clear" w:color="auto" w:fill="A6A6A6"/>
          </w:tcPr>
          <w:p w14:paraId="1115E73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Align w:val="center"/>
          </w:tcPr>
          <w:p w14:paraId="105343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Exu1</w:t>
            </w:r>
          </w:p>
        </w:tc>
        <w:tc>
          <w:tcPr>
            <w:tcW w:w="530" w:type="pct"/>
            <w:vAlign w:val="center"/>
          </w:tcPr>
          <w:p w14:paraId="65440EC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943" w:type="pct"/>
            <w:vAlign w:val="center"/>
          </w:tcPr>
          <w:p w14:paraId="7EF7B9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calzada tal que la exudación cubra totalmente el agregado</w:t>
            </w:r>
          </w:p>
        </w:tc>
        <w:tc>
          <w:tcPr>
            <w:tcW w:w="539" w:type="pct"/>
            <w:vAlign w:val="center"/>
          </w:tcPr>
          <w:p w14:paraId="0091F30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7A25186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7C25FE7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58A0C2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54" w:type="pct"/>
            <w:vAlign w:val="center"/>
          </w:tcPr>
          <w:p w14:paraId="2A64A1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71A3CD6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2EC44ED4" w14:textId="77777777" w:rsidTr="00084EE9">
        <w:trPr>
          <w:trHeight w:val="838"/>
          <w:jc w:val="center"/>
        </w:trPr>
        <w:tc>
          <w:tcPr>
            <w:tcW w:w="352" w:type="pct"/>
            <w:vMerge/>
            <w:shd w:val="clear" w:color="auto" w:fill="A6A6A6"/>
          </w:tcPr>
          <w:p w14:paraId="5B99CAA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restart"/>
            <w:vAlign w:val="center"/>
          </w:tcPr>
          <w:p w14:paraId="3600F8C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CMA Otr</w:t>
            </w:r>
          </w:p>
        </w:tc>
        <w:tc>
          <w:tcPr>
            <w:tcW w:w="530" w:type="pct"/>
            <w:vAlign w:val="center"/>
          </w:tcPr>
          <w:p w14:paraId="5E55EC3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943" w:type="pct"/>
            <w:vAlign w:val="center"/>
          </w:tcPr>
          <w:p w14:paraId="21551EE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39" w:type="pct"/>
            <w:vAlign w:val="center"/>
          </w:tcPr>
          <w:p w14:paraId="599055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112BC19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56AEDE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0DA35E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1 </w:t>
            </w:r>
            <w:r w:rsidR="00120471" w:rsidRPr="00B7174F">
              <w:rPr>
                <w:rFonts w:ascii="Arial" w:hAnsi="Arial" w:cs="Arial"/>
                <w:snapToGrid w:val="0"/>
                <w:sz w:val="16"/>
                <w:szCs w:val="16"/>
                <w:lang w:val="es-UY" w:eastAsia="es-ES"/>
              </w:rPr>
              <w:t>día</w:t>
            </w:r>
          </w:p>
        </w:tc>
        <w:tc>
          <w:tcPr>
            <w:tcW w:w="354" w:type="pct"/>
            <w:vAlign w:val="center"/>
          </w:tcPr>
          <w:p w14:paraId="4F7631F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0468424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C7C4AF6" w14:textId="77777777" w:rsidTr="00084EE9">
        <w:trPr>
          <w:trHeight w:val="698"/>
          <w:jc w:val="center"/>
        </w:trPr>
        <w:tc>
          <w:tcPr>
            <w:tcW w:w="352" w:type="pct"/>
            <w:vMerge/>
            <w:shd w:val="clear" w:color="auto" w:fill="A6A6A6"/>
          </w:tcPr>
          <w:p w14:paraId="3C10E01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294" w:type="pct"/>
            <w:vMerge/>
            <w:vAlign w:val="center"/>
          </w:tcPr>
          <w:p w14:paraId="6E720B0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81EE8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943" w:type="pct"/>
            <w:vAlign w:val="center"/>
          </w:tcPr>
          <w:p w14:paraId="44BB53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39" w:type="pct"/>
            <w:vAlign w:val="center"/>
          </w:tcPr>
          <w:p w14:paraId="618749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912" w:type="pct"/>
            <w:vAlign w:val="center"/>
          </w:tcPr>
          <w:p w14:paraId="1E1312A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5CBFF6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4B6DBC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54" w:type="pct"/>
            <w:vAlign w:val="center"/>
          </w:tcPr>
          <w:p w14:paraId="4BEBE42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339CABE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C86136C" w14:textId="77777777" w:rsidTr="00084EE9">
        <w:trPr>
          <w:trHeight w:val="833"/>
          <w:jc w:val="center"/>
        </w:trPr>
        <w:tc>
          <w:tcPr>
            <w:tcW w:w="352" w:type="pct"/>
            <w:vMerge w:val="restart"/>
            <w:shd w:val="clear" w:color="auto" w:fill="A6A6A6"/>
            <w:textDirection w:val="btLr"/>
            <w:vAlign w:val="center"/>
          </w:tcPr>
          <w:p w14:paraId="67548B1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4" w:type="pct"/>
            <w:vMerge w:val="restart"/>
            <w:vAlign w:val="center"/>
          </w:tcPr>
          <w:p w14:paraId="3169F03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Fis</w:t>
            </w:r>
          </w:p>
        </w:tc>
        <w:tc>
          <w:tcPr>
            <w:tcW w:w="530" w:type="pct"/>
            <w:vAlign w:val="center"/>
          </w:tcPr>
          <w:p w14:paraId="483235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w:t>
            </w:r>
            <w:r w:rsidRPr="00B7174F">
              <w:rPr>
                <w:rFonts w:ascii="Arial" w:hAnsi="Arial" w:cs="Arial"/>
                <w:b/>
                <w:bCs/>
                <w:snapToGrid w:val="0"/>
                <w:sz w:val="16"/>
                <w:szCs w:val="16"/>
                <w:lang w:val="es-UY" w:eastAsia="es-ES"/>
              </w:rPr>
              <w:t>3</w:t>
            </w:r>
            <w:r w:rsidRPr="00B7174F">
              <w:rPr>
                <w:rFonts w:ascii="Arial" w:hAnsi="Arial" w:cs="Arial"/>
                <w:snapToGrid w:val="0"/>
                <w:sz w:val="16"/>
                <w:szCs w:val="16"/>
                <w:lang w:val="es-UY" w:eastAsia="es-ES"/>
              </w:rPr>
              <w:t>mm de espesor que no estén perfectamente selladas</w:t>
            </w:r>
          </w:p>
        </w:tc>
        <w:tc>
          <w:tcPr>
            <w:tcW w:w="943" w:type="pct"/>
            <w:vAlign w:val="center"/>
          </w:tcPr>
          <w:p w14:paraId="4929BB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9" w:type="pct"/>
            <w:vAlign w:val="center"/>
          </w:tcPr>
          <w:p w14:paraId="610B8C9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131D94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multiplicando la longitud de la fisura por 0,50m(área de influencia)</w:t>
            </w:r>
          </w:p>
        </w:tc>
        <w:tc>
          <w:tcPr>
            <w:tcW w:w="401" w:type="pct"/>
            <w:vAlign w:val="center"/>
          </w:tcPr>
          <w:p w14:paraId="70DCF16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42" w:type="pct"/>
            <w:vAlign w:val="center"/>
          </w:tcPr>
          <w:p w14:paraId="67251C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15B814C4"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5201722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45504343" w14:textId="77777777" w:rsidTr="00084EE9">
        <w:trPr>
          <w:trHeight w:val="1270"/>
          <w:jc w:val="center"/>
        </w:trPr>
        <w:tc>
          <w:tcPr>
            <w:tcW w:w="352" w:type="pct"/>
            <w:vMerge/>
            <w:shd w:val="clear" w:color="auto" w:fill="A6A6A6"/>
          </w:tcPr>
          <w:p w14:paraId="5EA3DF5D"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Merge/>
            <w:vAlign w:val="center"/>
          </w:tcPr>
          <w:p w14:paraId="4FBCD76A"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530" w:type="pct"/>
            <w:vAlign w:val="center"/>
          </w:tcPr>
          <w:p w14:paraId="1AA0D52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&gt;1mm que no estén perfectamente selladas</w:t>
            </w:r>
          </w:p>
        </w:tc>
        <w:tc>
          <w:tcPr>
            <w:tcW w:w="943" w:type="pct"/>
            <w:vAlign w:val="center"/>
          </w:tcPr>
          <w:p w14:paraId="271EE6C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39" w:type="pct"/>
            <w:vAlign w:val="center"/>
          </w:tcPr>
          <w:p w14:paraId="678757E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4E44E27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43B087A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342" w:type="pct"/>
            <w:vAlign w:val="center"/>
          </w:tcPr>
          <w:p w14:paraId="66511A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50639B75"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33" w:type="pct"/>
          </w:tcPr>
          <w:p w14:paraId="184FB7F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2B55175B" w14:textId="77777777" w:rsidTr="00084EE9">
        <w:trPr>
          <w:trHeight w:val="703"/>
          <w:jc w:val="center"/>
        </w:trPr>
        <w:tc>
          <w:tcPr>
            <w:tcW w:w="352" w:type="pct"/>
            <w:vMerge/>
            <w:shd w:val="clear" w:color="auto" w:fill="A6A6A6"/>
          </w:tcPr>
          <w:p w14:paraId="33312959"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000C042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Des2</w:t>
            </w:r>
          </w:p>
        </w:tc>
        <w:tc>
          <w:tcPr>
            <w:tcW w:w="530" w:type="pct"/>
            <w:vAlign w:val="center"/>
          </w:tcPr>
          <w:p w14:paraId="680888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w:t>
            </w:r>
          </w:p>
        </w:tc>
        <w:tc>
          <w:tcPr>
            <w:tcW w:w="943" w:type="pct"/>
            <w:vAlign w:val="center"/>
          </w:tcPr>
          <w:p w14:paraId="2A56C33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39" w:type="pct"/>
            <w:vAlign w:val="center"/>
          </w:tcPr>
          <w:p w14:paraId="5D8CF51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912" w:type="pct"/>
            <w:vAlign w:val="center"/>
          </w:tcPr>
          <w:p w14:paraId="03A27B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0B61D3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14:paraId="42EB7B6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5EE945A0"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Trimestral</w:t>
            </w:r>
          </w:p>
        </w:tc>
        <w:tc>
          <w:tcPr>
            <w:tcW w:w="333" w:type="pct"/>
          </w:tcPr>
          <w:p w14:paraId="362101F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3E785B1" w14:textId="77777777" w:rsidTr="00084EE9">
        <w:trPr>
          <w:trHeight w:val="1115"/>
          <w:jc w:val="center"/>
        </w:trPr>
        <w:tc>
          <w:tcPr>
            <w:tcW w:w="352" w:type="pct"/>
            <w:vMerge/>
            <w:shd w:val="clear" w:color="auto" w:fill="A6A6A6"/>
          </w:tcPr>
          <w:p w14:paraId="7A6DC17E"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5FA4EAE5"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CMA Exu2</w:t>
            </w:r>
          </w:p>
        </w:tc>
        <w:tc>
          <w:tcPr>
            <w:tcW w:w="530" w:type="pct"/>
            <w:vAlign w:val="center"/>
          </w:tcPr>
          <w:p w14:paraId="54D431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bajo y medio</w:t>
            </w:r>
          </w:p>
        </w:tc>
        <w:tc>
          <w:tcPr>
            <w:tcW w:w="943" w:type="pct"/>
            <w:vAlign w:val="center"/>
          </w:tcPr>
          <w:p w14:paraId="6B71565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Presencia de ligante en zonas de la superficie de la calzada tal que la exudación no cubre totalmente el agregado o si lo cubre lo hace en </w:t>
            </w:r>
            <w:r w:rsidRPr="00B7174F">
              <w:rPr>
                <w:rFonts w:ascii="Arial" w:hAnsi="Arial" w:cs="Arial"/>
                <w:snapToGrid w:val="0"/>
                <w:sz w:val="16"/>
                <w:szCs w:val="16"/>
                <w:lang w:val="es-UY" w:eastAsia="es-ES"/>
              </w:rPr>
              <w:lastRenderedPageBreak/>
              <w:t>forma localizada en áreas de no más de 1m2</w:t>
            </w:r>
          </w:p>
        </w:tc>
        <w:tc>
          <w:tcPr>
            <w:tcW w:w="539" w:type="pct"/>
            <w:vAlign w:val="center"/>
          </w:tcPr>
          <w:p w14:paraId="7609FA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Porcentaje máximo de área afectada</w:t>
            </w:r>
          </w:p>
        </w:tc>
        <w:tc>
          <w:tcPr>
            <w:tcW w:w="912" w:type="pct"/>
            <w:vAlign w:val="center"/>
          </w:tcPr>
          <w:p w14:paraId="77C9E82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17DD46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w:t>
            </w:r>
          </w:p>
        </w:tc>
        <w:tc>
          <w:tcPr>
            <w:tcW w:w="342" w:type="pct"/>
            <w:vAlign w:val="center"/>
          </w:tcPr>
          <w:p w14:paraId="1EF372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7C6990A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14:paraId="78DEBC3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070294EC" w14:textId="77777777" w:rsidTr="00084EE9">
        <w:trPr>
          <w:trHeight w:val="2831"/>
          <w:jc w:val="center"/>
        </w:trPr>
        <w:tc>
          <w:tcPr>
            <w:tcW w:w="352" w:type="pct"/>
            <w:vMerge/>
            <w:shd w:val="clear" w:color="auto" w:fill="A6A6A6"/>
          </w:tcPr>
          <w:p w14:paraId="34008695"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94" w:type="pct"/>
            <w:vAlign w:val="center"/>
          </w:tcPr>
          <w:p w14:paraId="1337CD3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CMA </w:t>
            </w:r>
            <w:r w:rsidR="00120471" w:rsidRPr="00B7174F">
              <w:rPr>
                <w:rFonts w:ascii="Arial" w:hAnsi="Arial" w:cs="Arial"/>
                <w:snapToGrid w:val="0"/>
                <w:sz w:val="16"/>
                <w:szCs w:val="16"/>
                <w:lang w:val="es-UY" w:eastAsia="es-ES"/>
              </w:rPr>
              <w:t>Hoy</w:t>
            </w:r>
          </w:p>
        </w:tc>
        <w:tc>
          <w:tcPr>
            <w:tcW w:w="530" w:type="pct"/>
            <w:vAlign w:val="center"/>
          </w:tcPr>
          <w:p w14:paraId="5EC8443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943" w:type="pct"/>
            <w:vAlign w:val="center"/>
          </w:tcPr>
          <w:p w14:paraId="43EEDE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39" w:type="pct"/>
            <w:vAlign w:val="center"/>
          </w:tcPr>
          <w:p w14:paraId="3DCC8F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Tipo y cantidad de reparaciones</w:t>
            </w:r>
          </w:p>
        </w:tc>
        <w:tc>
          <w:tcPr>
            <w:tcW w:w="912" w:type="pct"/>
            <w:vAlign w:val="center"/>
          </w:tcPr>
          <w:p w14:paraId="6BA9F0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en forma directa</w:t>
            </w:r>
          </w:p>
        </w:tc>
        <w:tc>
          <w:tcPr>
            <w:tcW w:w="401" w:type="pct"/>
            <w:vAlign w:val="center"/>
          </w:tcPr>
          <w:p w14:paraId="717B3D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5 reparaciones realizadas por hectómetro, o más de 20 por kilómetro (baches o</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tratamientos bituminosos parciales).</w:t>
            </w:r>
          </w:p>
          <w:p w14:paraId="1FE1251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900 m de sellado por puenteo por hectómetro</w:t>
            </w:r>
          </w:p>
        </w:tc>
        <w:tc>
          <w:tcPr>
            <w:tcW w:w="342" w:type="pct"/>
            <w:vAlign w:val="center"/>
          </w:tcPr>
          <w:p w14:paraId="1B598E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45 días</w:t>
            </w:r>
          </w:p>
        </w:tc>
        <w:tc>
          <w:tcPr>
            <w:tcW w:w="354" w:type="pct"/>
            <w:vAlign w:val="center"/>
          </w:tcPr>
          <w:p w14:paraId="55C9CEFB"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33" w:type="pct"/>
          </w:tcPr>
          <w:p w14:paraId="3A165D3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0917CCF9" w14:textId="77777777" w:rsidR="00A3029F" w:rsidRPr="00497566" w:rsidRDefault="00A3029F" w:rsidP="00CF69B3">
      <w:pPr>
        <w:widowControl w:val="0"/>
        <w:spacing w:after="0" w:line="240" w:lineRule="auto"/>
        <w:jc w:val="both"/>
        <w:rPr>
          <w:rFonts w:ascii="Arial" w:hAnsi="Arial" w:cs="Arial"/>
          <w:b/>
          <w:bCs/>
          <w:snapToGrid w:val="0"/>
          <w:sz w:val="16"/>
          <w:szCs w:val="16"/>
          <w:lang w:val="es-ES_tradnl" w:eastAsia="es-ES"/>
        </w:rPr>
      </w:pPr>
    </w:p>
    <w:p w14:paraId="711F1883" w14:textId="77777777" w:rsidR="00A3029F" w:rsidRPr="00497566" w:rsidRDefault="00A3029F" w:rsidP="00CF69B3">
      <w:pPr>
        <w:widowControl w:val="0"/>
        <w:spacing w:after="0" w:line="240" w:lineRule="auto"/>
        <w:jc w:val="both"/>
        <w:rPr>
          <w:rFonts w:ascii="Arial" w:hAnsi="Arial" w:cs="Arial"/>
          <w:bCs/>
          <w:snapToGrid w:val="0"/>
          <w:sz w:val="16"/>
          <w:szCs w:val="16"/>
          <w:lang w:val="es-ES_tradnl" w:eastAsia="es-ES"/>
        </w:rPr>
      </w:pPr>
      <w:r w:rsidRPr="00B7174F">
        <w:rPr>
          <w:rFonts w:ascii="Arial" w:hAnsi="Arial" w:cs="Arial"/>
          <w:b/>
          <w:bCs/>
          <w:snapToGrid w:val="0"/>
          <w:sz w:val="16"/>
          <w:szCs w:val="16"/>
          <w:lang w:val="es-ES_tradnl" w:eastAsia="es-ES"/>
        </w:rPr>
        <w:t>Nota:(*)</w:t>
      </w:r>
      <w:r w:rsidRPr="00497566">
        <w:rPr>
          <w:rFonts w:ascii="Arial" w:hAnsi="Arial" w:cs="Arial"/>
          <w:b/>
          <w:bCs/>
          <w:snapToGrid w:val="0"/>
          <w:sz w:val="16"/>
          <w:szCs w:val="16"/>
          <w:lang w:val="es-ES_tradnl" w:eastAsia="es-ES"/>
        </w:rPr>
        <w:t xml:space="preserve"> </w:t>
      </w:r>
      <w:r w:rsidRPr="00497566">
        <w:rPr>
          <w:rFonts w:ascii="Arial" w:hAnsi="Arial" w:cs="Arial"/>
          <w:bCs/>
          <w:snapToGrid w:val="0"/>
          <w:sz w:val="16"/>
          <w:szCs w:val="16"/>
          <w:lang w:val="es-ES_tradnl" w:eastAsia="es-ES"/>
        </w:rPr>
        <w:t>Para la medición de ahuellamientos y hundimientos se utiliza una regla de 1.20m de largo y una cuña graduada. En el caso de haber más de una huella en el hectómetro evaluado el Nivel de Servicio se aplica a cada una de las huellas.</w:t>
      </w:r>
    </w:p>
    <w:p w14:paraId="50FC524C" w14:textId="77777777" w:rsidR="00A3029F" w:rsidRDefault="00A3029F" w:rsidP="00CF69B3">
      <w:pPr>
        <w:widowControl w:val="0"/>
        <w:spacing w:after="0" w:line="240" w:lineRule="auto"/>
        <w:jc w:val="both"/>
        <w:rPr>
          <w:rFonts w:ascii="Arial" w:hAnsi="Arial" w:cs="Arial"/>
          <w:b/>
          <w:bCs/>
          <w:snapToGrid w:val="0"/>
          <w:sz w:val="20"/>
          <w:szCs w:val="20"/>
          <w:lang w:val="es-UY" w:eastAsia="es-ES"/>
        </w:rPr>
      </w:pPr>
      <w:r w:rsidRPr="00497566">
        <w:rPr>
          <w:rFonts w:ascii="Arial" w:hAnsi="Arial" w:cs="Arial"/>
          <w:bCs/>
          <w:snapToGrid w:val="0"/>
          <w:sz w:val="16"/>
          <w:szCs w:val="16"/>
          <w:lang w:val="es-ES_tradnl" w:eastAsia="es-ES"/>
        </w:rPr>
        <w:t>Los desprendimientos de slurryseal, microaglomerados o cualquier tipo de tratamiento realizado sobre la superficie del firme serán considerados desprendimientos de severidad alta.</w:t>
      </w:r>
    </w:p>
    <w:p w14:paraId="7AEE1F6C" w14:textId="77777777" w:rsidR="003E4911" w:rsidRPr="003E4911" w:rsidRDefault="00497566" w:rsidP="009A58E0">
      <w:pPr>
        <w:pStyle w:val="T2A5"/>
        <w:numPr>
          <w:ilvl w:val="1"/>
          <w:numId w:val="105"/>
        </w:numPr>
        <w:outlineLvl w:val="9"/>
      </w:pPr>
      <w:r w:rsidRPr="00386FC6">
        <w:rPr>
          <w:caps w:val="0"/>
        </w:rPr>
        <w:t xml:space="preserve">CALZADA: PAVIMENTO DE TRATAMIENTO BITUMINOSO. </w:t>
      </w:r>
    </w:p>
    <w:tbl>
      <w:tblPr>
        <w:tblW w:w="1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2"/>
        <w:gridCol w:w="1083"/>
        <w:gridCol w:w="2019"/>
        <w:gridCol w:w="2792"/>
        <w:gridCol w:w="1819"/>
        <w:gridCol w:w="2129"/>
        <w:gridCol w:w="1300"/>
        <w:gridCol w:w="1353"/>
        <w:gridCol w:w="1870"/>
      </w:tblGrid>
      <w:tr w:rsidR="003E4911" w:rsidRPr="001771C1" w14:paraId="68174338" w14:textId="77777777" w:rsidTr="00CF69B3">
        <w:trPr>
          <w:cantSplit/>
          <w:trHeight w:val="578"/>
          <w:jc w:val="center"/>
        </w:trPr>
        <w:tc>
          <w:tcPr>
            <w:tcW w:w="972" w:type="dxa"/>
            <w:tcBorders>
              <w:top w:val="single" w:sz="4" w:space="0" w:color="auto"/>
              <w:left w:val="single" w:sz="4" w:space="0" w:color="auto"/>
              <w:bottom w:val="single" w:sz="4" w:space="0" w:color="auto"/>
            </w:tcBorders>
            <w:shd w:val="clear" w:color="auto" w:fill="B3B3B3"/>
            <w:vAlign w:val="center"/>
          </w:tcPr>
          <w:p w14:paraId="1C386F11"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Tipo de nivel</w:t>
            </w:r>
          </w:p>
        </w:tc>
        <w:tc>
          <w:tcPr>
            <w:tcW w:w="1083" w:type="dxa"/>
            <w:tcBorders>
              <w:top w:val="single" w:sz="4" w:space="0" w:color="auto"/>
              <w:bottom w:val="single" w:sz="4" w:space="0" w:color="auto"/>
            </w:tcBorders>
            <w:shd w:val="clear" w:color="auto" w:fill="B3B3B3"/>
            <w:vAlign w:val="center"/>
          </w:tcPr>
          <w:p w14:paraId="3C09AA54"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br w:type="page"/>
              <w:t>Código</w:t>
            </w:r>
          </w:p>
        </w:tc>
        <w:tc>
          <w:tcPr>
            <w:tcW w:w="2019" w:type="dxa"/>
            <w:tcBorders>
              <w:top w:val="single" w:sz="4" w:space="0" w:color="auto"/>
              <w:bottom w:val="single" w:sz="4" w:space="0" w:color="auto"/>
            </w:tcBorders>
            <w:shd w:val="clear" w:color="auto" w:fill="B3B3B3"/>
            <w:vAlign w:val="center"/>
          </w:tcPr>
          <w:p w14:paraId="59D83979"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Denominación</w:t>
            </w:r>
          </w:p>
        </w:tc>
        <w:tc>
          <w:tcPr>
            <w:tcW w:w="2792" w:type="dxa"/>
            <w:tcBorders>
              <w:top w:val="single" w:sz="4" w:space="0" w:color="auto"/>
              <w:bottom w:val="single" w:sz="4" w:space="0" w:color="auto"/>
            </w:tcBorders>
            <w:shd w:val="clear" w:color="auto" w:fill="B3B3B3"/>
            <w:vAlign w:val="center"/>
          </w:tcPr>
          <w:p w14:paraId="5721B272"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Descripción</w:t>
            </w:r>
          </w:p>
        </w:tc>
        <w:tc>
          <w:tcPr>
            <w:tcW w:w="1819" w:type="dxa"/>
            <w:tcBorders>
              <w:top w:val="single" w:sz="4" w:space="0" w:color="auto"/>
              <w:bottom w:val="single" w:sz="4" w:space="0" w:color="auto"/>
            </w:tcBorders>
            <w:shd w:val="clear" w:color="auto" w:fill="B3B3B3"/>
            <w:vAlign w:val="center"/>
          </w:tcPr>
          <w:p w14:paraId="42C790F0"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Parámetro</w:t>
            </w:r>
          </w:p>
        </w:tc>
        <w:tc>
          <w:tcPr>
            <w:tcW w:w="2129" w:type="dxa"/>
            <w:tcBorders>
              <w:top w:val="single" w:sz="4" w:space="0" w:color="auto"/>
              <w:bottom w:val="single" w:sz="4" w:space="0" w:color="auto"/>
            </w:tcBorders>
            <w:shd w:val="clear" w:color="auto" w:fill="B3B3B3"/>
            <w:vAlign w:val="center"/>
          </w:tcPr>
          <w:p w14:paraId="7D1012A3"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Método de evaluación</w:t>
            </w:r>
          </w:p>
        </w:tc>
        <w:tc>
          <w:tcPr>
            <w:tcW w:w="1300" w:type="dxa"/>
            <w:tcBorders>
              <w:top w:val="single" w:sz="4" w:space="0" w:color="auto"/>
              <w:bottom w:val="single" w:sz="4" w:space="0" w:color="auto"/>
            </w:tcBorders>
            <w:shd w:val="clear" w:color="auto" w:fill="B3B3B3"/>
            <w:vAlign w:val="center"/>
          </w:tcPr>
          <w:p w14:paraId="6CA7F40B"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Exigencia</w:t>
            </w:r>
          </w:p>
        </w:tc>
        <w:tc>
          <w:tcPr>
            <w:tcW w:w="1353" w:type="dxa"/>
            <w:tcBorders>
              <w:top w:val="single" w:sz="4" w:space="0" w:color="auto"/>
              <w:bottom w:val="single" w:sz="4" w:space="0" w:color="auto"/>
            </w:tcBorders>
            <w:shd w:val="clear" w:color="auto" w:fill="B3B3B3"/>
            <w:vAlign w:val="center"/>
          </w:tcPr>
          <w:p w14:paraId="024A3B84"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Plazo de reparación</w:t>
            </w:r>
          </w:p>
        </w:tc>
        <w:tc>
          <w:tcPr>
            <w:tcW w:w="1870" w:type="dxa"/>
            <w:tcBorders>
              <w:top w:val="single" w:sz="4" w:space="0" w:color="auto"/>
              <w:bottom w:val="single" w:sz="4" w:space="0" w:color="auto"/>
            </w:tcBorders>
            <w:shd w:val="clear" w:color="auto" w:fill="B3B3B3"/>
            <w:vAlign w:val="center"/>
          </w:tcPr>
          <w:p w14:paraId="74D9F19E" w14:textId="77777777" w:rsidR="003E4911" w:rsidRPr="001771C1" w:rsidRDefault="003E4911" w:rsidP="00CF69B3">
            <w:pPr>
              <w:spacing w:before="120" w:after="120"/>
              <w:rPr>
                <w:rFonts w:ascii="Arial" w:hAnsi="Arial" w:cs="Times New Roman"/>
                <w:b/>
                <w:sz w:val="20"/>
                <w:lang w:val="es-ES_tradnl" w:eastAsia="es-ES"/>
              </w:rPr>
            </w:pPr>
            <w:r w:rsidRPr="001771C1">
              <w:rPr>
                <w:rFonts w:ascii="Arial" w:hAnsi="Arial" w:cs="Times New Roman"/>
                <w:b/>
                <w:sz w:val="20"/>
                <w:lang w:val="es-ES_tradnl" w:eastAsia="es-ES"/>
              </w:rPr>
              <w:t>Frecuencia</w:t>
            </w:r>
          </w:p>
        </w:tc>
      </w:tr>
      <w:tr w:rsidR="003E4911" w:rsidRPr="001771C1" w14:paraId="4513EF07" w14:textId="77777777" w:rsidTr="00E618F0">
        <w:trPr>
          <w:trHeight w:val="338"/>
          <w:jc w:val="center"/>
        </w:trPr>
        <w:tc>
          <w:tcPr>
            <w:tcW w:w="972" w:type="dxa"/>
            <w:vMerge w:val="restart"/>
            <w:tcBorders>
              <w:left w:val="single" w:sz="4" w:space="0" w:color="auto"/>
            </w:tcBorders>
            <w:shd w:val="clear" w:color="auto" w:fill="B3B3B3"/>
            <w:textDirection w:val="btLr"/>
          </w:tcPr>
          <w:p w14:paraId="5F7A9FD2" w14:textId="77777777" w:rsidR="003E4911" w:rsidRPr="001771C1" w:rsidRDefault="003E4911" w:rsidP="00CF69B3">
            <w:pPr>
              <w:spacing w:before="120" w:after="120"/>
              <w:jc w:val="center"/>
              <w:rPr>
                <w:rFonts w:ascii="Arial" w:hAnsi="Arial" w:cs="Times New Roman"/>
                <w:b/>
                <w:sz w:val="20"/>
                <w:lang w:val="es-ES_tradnl" w:eastAsia="es-ES"/>
              </w:rPr>
            </w:pPr>
            <w:r w:rsidRPr="001771C1">
              <w:rPr>
                <w:rFonts w:ascii="Arial" w:hAnsi="Arial" w:cs="Times New Roman"/>
                <w:b/>
                <w:sz w:val="20"/>
                <w:lang w:val="es-ES_tradnl" w:eastAsia="es-ES"/>
              </w:rPr>
              <w:t>BASICOS</w:t>
            </w:r>
          </w:p>
        </w:tc>
        <w:tc>
          <w:tcPr>
            <w:tcW w:w="1083" w:type="dxa"/>
            <w:vMerge w:val="restart"/>
            <w:vAlign w:val="center"/>
          </w:tcPr>
          <w:p w14:paraId="7E522B6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Des1</w:t>
            </w:r>
          </w:p>
        </w:tc>
        <w:tc>
          <w:tcPr>
            <w:tcW w:w="2019" w:type="dxa"/>
            <w:vMerge w:val="restart"/>
            <w:vAlign w:val="center"/>
          </w:tcPr>
          <w:p w14:paraId="31571E40"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Reducción del ancho de superficie de rodadura</w:t>
            </w:r>
          </w:p>
        </w:tc>
        <w:tc>
          <w:tcPr>
            <w:tcW w:w="2792" w:type="dxa"/>
            <w:vAlign w:val="center"/>
          </w:tcPr>
          <w:p w14:paraId="76305A62"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Disminución (en </w:t>
            </w:r>
            <w:r w:rsidR="00120471" w:rsidRPr="001771C1">
              <w:rPr>
                <w:rFonts w:ascii="Arial" w:hAnsi="Arial" w:cs="Arial"/>
                <w:color w:val="000000"/>
                <w:sz w:val="16"/>
                <w:szCs w:val="16"/>
                <w:lang w:eastAsia="es-ES"/>
              </w:rPr>
              <w:t>más</w:t>
            </w:r>
            <w:r w:rsidRPr="001771C1">
              <w:rPr>
                <w:rFonts w:ascii="Arial" w:hAnsi="Arial" w:cs="Arial"/>
                <w:color w:val="000000"/>
                <w:sz w:val="16"/>
                <w:szCs w:val="16"/>
                <w:lang w:eastAsia="es-ES"/>
              </w:rPr>
              <w:t xml:space="preserve"> de 0,20 m) del ancho del firme definido en el inventario de la DNV </w:t>
            </w:r>
          </w:p>
        </w:tc>
        <w:tc>
          <w:tcPr>
            <w:tcW w:w="1819" w:type="dxa"/>
            <w:shd w:val="clear" w:color="auto" w:fill="auto"/>
          </w:tcPr>
          <w:p w14:paraId="38085956"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Porcentaje máximo de la longitud del firme del hectómetro afectadas </w:t>
            </w:r>
          </w:p>
        </w:tc>
        <w:tc>
          <w:tcPr>
            <w:tcW w:w="2129" w:type="dxa"/>
            <w:shd w:val="clear" w:color="auto" w:fill="auto"/>
          </w:tcPr>
          <w:p w14:paraId="33581C46"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Se mide el ancho de firme </w:t>
            </w:r>
          </w:p>
        </w:tc>
        <w:tc>
          <w:tcPr>
            <w:tcW w:w="1300" w:type="dxa"/>
            <w:vMerge w:val="restart"/>
            <w:shd w:val="clear" w:color="auto" w:fill="auto"/>
            <w:vAlign w:val="center"/>
          </w:tcPr>
          <w:p w14:paraId="56416FB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2767817E"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14 días</w:t>
            </w:r>
          </w:p>
        </w:tc>
        <w:tc>
          <w:tcPr>
            <w:tcW w:w="1870" w:type="dxa"/>
            <w:vAlign w:val="center"/>
          </w:tcPr>
          <w:p w14:paraId="48DF9996"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567B2134" w14:textId="77777777" w:rsidTr="00E618F0">
        <w:trPr>
          <w:trHeight w:val="338"/>
          <w:jc w:val="center"/>
        </w:trPr>
        <w:tc>
          <w:tcPr>
            <w:tcW w:w="972" w:type="dxa"/>
            <w:vMerge/>
            <w:tcBorders>
              <w:left w:val="single" w:sz="4" w:space="0" w:color="auto"/>
            </w:tcBorders>
            <w:shd w:val="clear" w:color="auto" w:fill="B3B3B3"/>
            <w:textDirection w:val="btLr"/>
          </w:tcPr>
          <w:p w14:paraId="28C5A9B9" w14:textId="77777777" w:rsidR="003E4911" w:rsidRPr="001771C1" w:rsidRDefault="003E4911" w:rsidP="00CF69B3">
            <w:pPr>
              <w:spacing w:before="120" w:after="120"/>
              <w:jc w:val="center"/>
              <w:rPr>
                <w:rFonts w:ascii="Arial" w:hAnsi="Arial" w:cs="Times New Roman"/>
                <w:b/>
                <w:sz w:val="20"/>
                <w:lang w:val="es-ES_tradnl" w:eastAsia="es-ES"/>
              </w:rPr>
            </w:pPr>
          </w:p>
        </w:tc>
        <w:tc>
          <w:tcPr>
            <w:tcW w:w="1083" w:type="dxa"/>
            <w:vMerge/>
            <w:vAlign w:val="center"/>
          </w:tcPr>
          <w:p w14:paraId="420CF14D"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Merge/>
            <w:vAlign w:val="center"/>
          </w:tcPr>
          <w:p w14:paraId="059201AD" w14:textId="77777777" w:rsidR="003E4911" w:rsidRPr="001771C1" w:rsidRDefault="003E4911" w:rsidP="00CF69B3">
            <w:pPr>
              <w:spacing w:before="120" w:after="120"/>
              <w:rPr>
                <w:rFonts w:ascii="Arial" w:hAnsi="Arial" w:cs="Times New Roman"/>
                <w:sz w:val="16"/>
                <w:szCs w:val="16"/>
                <w:lang w:val="es-ES_tradnl" w:eastAsia="es-ES"/>
              </w:rPr>
            </w:pPr>
          </w:p>
        </w:tc>
        <w:tc>
          <w:tcPr>
            <w:tcW w:w="2792" w:type="dxa"/>
          </w:tcPr>
          <w:p w14:paraId="4D56F023" w14:textId="77777777" w:rsidR="003E4911" w:rsidRPr="001771C1" w:rsidRDefault="003E4911" w:rsidP="00CF69B3">
            <w:pPr>
              <w:autoSpaceDE w:val="0"/>
              <w:autoSpaceDN w:val="0"/>
              <w:adjustRightInd w:val="0"/>
              <w:rPr>
                <w:rFonts w:ascii="Arial" w:hAnsi="Arial" w:cs="Arial"/>
                <w:color w:val="000000"/>
                <w:sz w:val="16"/>
                <w:szCs w:val="16"/>
                <w:lang w:eastAsia="es-ES"/>
              </w:rPr>
            </w:pPr>
          </w:p>
          <w:p w14:paraId="1B474197"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Disminución menor a 10% del ancho del firme definido en el inventario de la D.N.V</w:t>
            </w:r>
          </w:p>
          <w:p w14:paraId="17ABED4A"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 </w:t>
            </w:r>
          </w:p>
        </w:tc>
        <w:tc>
          <w:tcPr>
            <w:tcW w:w="1819" w:type="dxa"/>
            <w:shd w:val="clear" w:color="auto" w:fill="auto"/>
          </w:tcPr>
          <w:p w14:paraId="39BAE289"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Porcentaje máximo de la longitud del firme dentro del hectómetro afectado </w:t>
            </w:r>
          </w:p>
        </w:tc>
        <w:tc>
          <w:tcPr>
            <w:tcW w:w="2129" w:type="dxa"/>
            <w:shd w:val="clear" w:color="auto" w:fill="auto"/>
          </w:tcPr>
          <w:p w14:paraId="51917384" w14:textId="77777777" w:rsidR="003E4911" w:rsidRPr="001771C1" w:rsidRDefault="003E4911" w:rsidP="00CF69B3">
            <w:pPr>
              <w:autoSpaceDE w:val="0"/>
              <w:autoSpaceDN w:val="0"/>
              <w:adjustRightInd w:val="0"/>
              <w:rPr>
                <w:rFonts w:ascii="Arial" w:hAnsi="Arial" w:cs="Arial"/>
                <w:color w:val="000000"/>
                <w:sz w:val="16"/>
                <w:szCs w:val="16"/>
                <w:lang w:eastAsia="es-ES"/>
              </w:rPr>
            </w:pPr>
            <w:r w:rsidRPr="001771C1">
              <w:rPr>
                <w:rFonts w:ascii="Arial" w:hAnsi="Arial" w:cs="Arial"/>
                <w:color w:val="000000"/>
                <w:sz w:val="16"/>
                <w:szCs w:val="16"/>
                <w:lang w:eastAsia="es-ES"/>
              </w:rPr>
              <w:t xml:space="preserve">Se mide el ancho de firme, se calcula % disminución respecto al ancho definido. Se mide longitud de la zona afectada, se calcula % respecto a la long. de la muestra </w:t>
            </w:r>
          </w:p>
        </w:tc>
        <w:tc>
          <w:tcPr>
            <w:tcW w:w="1300" w:type="dxa"/>
            <w:vMerge/>
            <w:shd w:val="clear" w:color="auto" w:fill="auto"/>
            <w:vAlign w:val="center"/>
          </w:tcPr>
          <w:p w14:paraId="54096F4F" w14:textId="77777777" w:rsidR="003E4911" w:rsidRPr="001771C1" w:rsidRDefault="003E4911" w:rsidP="00CF69B3">
            <w:pPr>
              <w:spacing w:before="120" w:after="120"/>
              <w:rPr>
                <w:rFonts w:ascii="Arial" w:hAnsi="Arial" w:cs="Times New Roman"/>
                <w:sz w:val="16"/>
                <w:szCs w:val="16"/>
                <w:lang w:val="es-ES_tradnl" w:eastAsia="es-ES"/>
              </w:rPr>
            </w:pPr>
          </w:p>
        </w:tc>
        <w:tc>
          <w:tcPr>
            <w:tcW w:w="1353" w:type="dxa"/>
            <w:vAlign w:val="center"/>
          </w:tcPr>
          <w:p w14:paraId="09001A2C" w14:textId="77777777" w:rsidR="003E4911" w:rsidRPr="001771C1" w:rsidRDefault="003E4911" w:rsidP="00CF69B3">
            <w:pPr>
              <w:widowControl w:val="0"/>
              <w:rPr>
                <w:rFonts w:ascii="Arial" w:hAnsi="Arial" w:cs="Arial"/>
                <w:sz w:val="16"/>
                <w:szCs w:val="16"/>
                <w:lang w:eastAsia="es-ES"/>
              </w:rPr>
            </w:pPr>
          </w:p>
        </w:tc>
        <w:tc>
          <w:tcPr>
            <w:tcW w:w="1870" w:type="dxa"/>
            <w:vAlign w:val="center"/>
          </w:tcPr>
          <w:p w14:paraId="63F8AFB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3A529637" w14:textId="77777777" w:rsidTr="00E618F0">
        <w:trPr>
          <w:jc w:val="center"/>
        </w:trPr>
        <w:tc>
          <w:tcPr>
            <w:tcW w:w="972" w:type="dxa"/>
            <w:vMerge/>
            <w:tcBorders>
              <w:left w:val="single" w:sz="4" w:space="0" w:color="auto"/>
            </w:tcBorders>
            <w:shd w:val="clear" w:color="auto" w:fill="B3B3B3"/>
            <w:textDirection w:val="btLr"/>
          </w:tcPr>
          <w:p w14:paraId="4CB5BA88"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72C1C9CC"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0F67818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Desprendimientos de Nivel alto </w:t>
            </w:r>
          </w:p>
        </w:tc>
        <w:tc>
          <w:tcPr>
            <w:tcW w:w="2792" w:type="dxa"/>
            <w:vAlign w:val="center"/>
          </w:tcPr>
          <w:p w14:paraId="10E02F5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Pérdida de parte del firme </w:t>
            </w:r>
          </w:p>
        </w:tc>
        <w:tc>
          <w:tcPr>
            <w:tcW w:w="1819" w:type="dxa"/>
            <w:vAlign w:val="center"/>
          </w:tcPr>
          <w:p w14:paraId="03860C8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489A852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6AF336A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0F83BC4C"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5 días</w:t>
            </w:r>
          </w:p>
        </w:tc>
        <w:tc>
          <w:tcPr>
            <w:tcW w:w="1870" w:type="dxa"/>
            <w:vAlign w:val="center"/>
          </w:tcPr>
          <w:p w14:paraId="4BDB6230"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4D634F2E" w14:textId="77777777" w:rsidTr="00E618F0">
        <w:trPr>
          <w:jc w:val="center"/>
        </w:trPr>
        <w:tc>
          <w:tcPr>
            <w:tcW w:w="972" w:type="dxa"/>
            <w:vMerge/>
            <w:tcBorders>
              <w:left w:val="single" w:sz="4" w:space="0" w:color="auto"/>
            </w:tcBorders>
            <w:shd w:val="clear" w:color="auto" w:fill="B3B3B3"/>
            <w:textDirection w:val="btLr"/>
          </w:tcPr>
          <w:p w14:paraId="0D59A076"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426D9899"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0183F53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Pozos</w:t>
            </w:r>
          </w:p>
        </w:tc>
        <w:tc>
          <w:tcPr>
            <w:tcW w:w="2792" w:type="dxa"/>
            <w:vAlign w:val="center"/>
          </w:tcPr>
          <w:p w14:paraId="3E63B57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Cavidades producidas en el firme de forma irregular y diferentes tamaños </w:t>
            </w:r>
          </w:p>
        </w:tc>
        <w:tc>
          <w:tcPr>
            <w:tcW w:w="1819" w:type="dxa"/>
            <w:vAlign w:val="center"/>
          </w:tcPr>
          <w:p w14:paraId="1236938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52C7089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w:t>
            </w:r>
          </w:p>
        </w:tc>
        <w:tc>
          <w:tcPr>
            <w:tcW w:w="1300" w:type="dxa"/>
            <w:vAlign w:val="center"/>
          </w:tcPr>
          <w:p w14:paraId="38A1ABE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2D4C79FC"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0 día</w:t>
            </w:r>
          </w:p>
        </w:tc>
        <w:tc>
          <w:tcPr>
            <w:tcW w:w="1870" w:type="dxa"/>
            <w:vAlign w:val="center"/>
          </w:tcPr>
          <w:p w14:paraId="69F093C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0B4E9A9D" w14:textId="77777777" w:rsidTr="00E618F0">
        <w:trPr>
          <w:jc w:val="center"/>
        </w:trPr>
        <w:tc>
          <w:tcPr>
            <w:tcW w:w="972" w:type="dxa"/>
            <w:vMerge/>
            <w:tcBorders>
              <w:left w:val="single" w:sz="4" w:space="0" w:color="auto"/>
            </w:tcBorders>
            <w:shd w:val="clear" w:color="auto" w:fill="B3B3B3"/>
          </w:tcPr>
          <w:p w14:paraId="75E16F86"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6480636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Fis1</w:t>
            </w:r>
          </w:p>
        </w:tc>
        <w:tc>
          <w:tcPr>
            <w:tcW w:w="2019" w:type="dxa"/>
            <w:vAlign w:val="center"/>
          </w:tcPr>
          <w:p w14:paraId="2C71A29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Fisuras por fatiga Nivel medio y alto con deformación y/o desprendimiento </w:t>
            </w:r>
          </w:p>
        </w:tc>
        <w:tc>
          <w:tcPr>
            <w:tcW w:w="2792" w:type="dxa"/>
            <w:vAlign w:val="center"/>
          </w:tcPr>
          <w:p w14:paraId="1E7805C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Fisuras generalizadas en forma de malla cerrada y fisuras generalizadas con desprendimiento de material y o deformación mayor a 15mm. </w:t>
            </w:r>
          </w:p>
        </w:tc>
        <w:tc>
          <w:tcPr>
            <w:tcW w:w="1819" w:type="dxa"/>
            <w:vAlign w:val="center"/>
          </w:tcPr>
          <w:p w14:paraId="7D8170B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69CEE24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40CB423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50B806F4"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7 días</w:t>
            </w:r>
          </w:p>
        </w:tc>
        <w:tc>
          <w:tcPr>
            <w:tcW w:w="1870" w:type="dxa"/>
            <w:vAlign w:val="center"/>
          </w:tcPr>
          <w:p w14:paraId="3EEFA9B7"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641F9456" w14:textId="77777777" w:rsidTr="00E618F0">
        <w:trPr>
          <w:jc w:val="center"/>
        </w:trPr>
        <w:tc>
          <w:tcPr>
            <w:tcW w:w="972" w:type="dxa"/>
            <w:vMerge/>
            <w:tcBorders>
              <w:left w:val="single" w:sz="4" w:space="0" w:color="auto"/>
            </w:tcBorders>
            <w:shd w:val="clear" w:color="auto" w:fill="B3B3B3"/>
          </w:tcPr>
          <w:p w14:paraId="618E374D"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27EC5CA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Bac</w:t>
            </w:r>
          </w:p>
        </w:tc>
        <w:tc>
          <w:tcPr>
            <w:tcW w:w="2019" w:type="dxa"/>
            <w:vAlign w:val="center"/>
          </w:tcPr>
          <w:p w14:paraId="31AAC6F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Reparaciones Nivel medio y alto</w:t>
            </w:r>
          </w:p>
        </w:tc>
        <w:tc>
          <w:tcPr>
            <w:tcW w:w="2792" w:type="dxa"/>
            <w:vAlign w:val="center"/>
          </w:tcPr>
          <w:p w14:paraId="7FA08F5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Reparaciones localizadas realizadas en el pavimento que presenten deterioro, desniveles, deformaciones , que  no estén perfectamente recuadrados o con un material que no tenga igual comportamiento que el pavimento circundante</w:t>
            </w:r>
          </w:p>
        </w:tc>
        <w:tc>
          <w:tcPr>
            <w:tcW w:w="1819" w:type="dxa"/>
            <w:vAlign w:val="center"/>
          </w:tcPr>
          <w:p w14:paraId="4DA87FC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543B00E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w:t>
            </w:r>
          </w:p>
        </w:tc>
        <w:tc>
          <w:tcPr>
            <w:tcW w:w="1300" w:type="dxa"/>
            <w:vAlign w:val="center"/>
          </w:tcPr>
          <w:p w14:paraId="769DC72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1DEDEFF9"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2 días</w:t>
            </w:r>
          </w:p>
        </w:tc>
        <w:tc>
          <w:tcPr>
            <w:tcW w:w="1870" w:type="dxa"/>
            <w:vAlign w:val="center"/>
          </w:tcPr>
          <w:p w14:paraId="4C1BDDFA"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06D5769D" w14:textId="77777777" w:rsidTr="00E618F0">
        <w:trPr>
          <w:jc w:val="center"/>
        </w:trPr>
        <w:tc>
          <w:tcPr>
            <w:tcW w:w="972" w:type="dxa"/>
            <w:vMerge/>
            <w:tcBorders>
              <w:left w:val="single" w:sz="4" w:space="0" w:color="auto"/>
            </w:tcBorders>
            <w:shd w:val="clear" w:color="auto" w:fill="B3B3B3"/>
          </w:tcPr>
          <w:p w14:paraId="2A8AA340"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23A5995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Ahu</w:t>
            </w:r>
          </w:p>
        </w:tc>
        <w:tc>
          <w:tcPr>
            <w:tcW w:w="2019" w:type="dxa"/>
            <w:vAlign w:val="center"/>
          </w:tcPr>
          <w:p w14:paraId="22F80582"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Ahuellamiento y hundimiento Nivel medio y alto</w:t>
            </w:r>
          </w:p>
        </w:tc>
        <w:tc>
          <w:tcPr>
            <w:tcW w:w="2792" w:type="dxa"/>
            <w:vAlign w:val="center"/>
          </w:tcPr>
          <w:p w14:paraId="1FF8057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Alteración del Nivel de la superficie de calzada por hundimiento &gt;15mm </w:t>
            </w:r>
          </w:p>
        </w:tc>
        <w:tc>
          <w:tcPr>
            <w:tcW w:w="1819" w:type="dxa"/>
            <w:vAlign w:val="center"/>
          </w:tcPr>
          <w:p w14:paraId="08F6C41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7DCE0EC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Se calcula el área afectada multiplicando la longitud afectada por 1 m (ancho de la huella) </w:t>
            </w:r>
          </w:p>
        </w:tc>
        <w:tc>
          <w:tcPr>
            <w:tcW w:w="1300" w:type="dxa"/>
            <w:vAlign w:val="center"/>
          </w:tcPr>
          <w:p w14:paraId="6519F9B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308E4424"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9 días</w:t>
            </w:r>
          </w:p>
        </w:tc>
        <w:tc>
          <w:tcPr>
            <w:tcW w:w="1870" w:type="dxa"/>
            <w:vAlign w:val="center"/>
          </w:tcPr>
          <w:p w14:paraId="5CD8DE4F"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0577D8FA" w14:textId="77777777" w:rsidTr="00E618F0">
        <w:trPr>
          <w:jc w:val="center"/>
        </w:trPr>
        <w:tc>
          <w:tcPr>
            <w:tcW w:w="972" w:type="dxa"/>
            <w:vMerge/>
            <w:tcBorders>
              <w:left w:val="single" w:sz="4" w:space="0" w:color="auto"/>
            </w:tcBorders>
            <w:shd w:val="clear" w:color="auto" w:fill="B3B3B3"/>
          </w:tcPr>
          <w:p w14:paraId="46340674"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Align w:val="center"/>
          </w:tcPr>
          <w:p w14:paraId="54E86A6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Exu1</w:t>
            </w:r>
          </w:p>
        </w:tc>
        <w:tc>
          <w:tcPr>
            <w:tcW w:w="2019" w:type="dxa"/>
            <w:vAlign w:val="center"/>
          </w:tcPr>
          <w:p w14:paraId="7347D314"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Exudación de Nivel alto</w:t>
            </w:r>
          </w:p>
        </w:tc>
        <w:tc>
          <w:tcPr>
            <w:tcW w:w="2792" w:type="dxa"/>
            <w:vAlign w:val="center"/>
          </w:tcPr>
          <w:p w14:paraId="25798D4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Presencia de ligante en zonas de la superficie de la banquina tal que la exudación cubre totalmente el agregado </w:t>
            </w:r>
          </w:p>
        </w:tc>
        <w:tc>
          <w:tcPr>
            <w:tcW w:w="1819" w:type="dxa"/>
            <w:vAlign w:val="center"/>
          </w:tcPr>
          <w:p w14:paraId="432E46C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615EBDB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0AA061B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10%</w:t>
            </w:r>
          </w:p>
        </w:tc>
        <w:tc>
          <w:tcPr>
            <w:tcW w:w="1353" w:type="dxa"/>
            <w:vAlign w:val="center"/>
          </w:tcPr>
          <w:p w14:paraId="45D122E3"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5 días</w:t>
            </w:r>
          </w:p>
        </w:tc>
        <w:tc>
          <w:tcPr>
            <w:tcW w:w="1870" w:type="dxa"/>
            <w:vAlign w:val="center"/>
          </w:tcPr>
          <w:p w14:paraId="033438E8"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2474C46F" w14:textId="77777777" w:rsidTr="00E618F0">
        <w:trPr>
          <w:jc w:val="center"/>
        </w:trPr>
        <w:tc>
          <w:tcPr>
            <w:tcW w:w="972" w:type="dxa"/>
            <w:vMerge/>
            <w:tcBorders>
              <w:left w:val="single" w:sz="4" w:space="0" w:color="auto"/>
            </w:tcBorders>
            <w:shd w:val="clear" w:color="auto" w:fill="B3B3B3"/>
          </w:tcPr>
          <w:p w14:paraId="61CBA73E"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restart"/>
            <w:vAlign w:val="center"/>
          </w:tcPr>
          <w:p w14:paraId="5CDBDDBD"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Otr</w:t>
            </w:r>
          </w:p>
        </w:tc>
        <w:tc>
          <w:tcPr>
            <w:tcW w:w="2019" w:type="dxa"/>
            <w:vAlign w:val="center"/>
          </w:tcPr>
          <w:p w14:paraId="79D67F9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Existencia de material suelto</w:t>
            </w:r>
          </w:p>
        </w:tc>
        <w:tc>
          <w:tcPr>
            <w:tcW w:w="2792" w:type="dxa"/>
            <w:vAlign w:val="center"/>
          </w:tcPr>
          <w:p w14:paraId="34EA8FB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Entendiéndose por material suelto cualquier tipo de material que no permitiera la correcta adherencia del neumático con la superficie de rodadura </w:t>
            </w:r>
          </w:p>
        </w:tc>
        <w:tc>
          <w:tcPr>
            <w:tcW w:w="1819" w:type="dxa"/>
            <w:vAlign w:val="center"/>
          </w:tcPr>
          <w:p w14:paraId="259825B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58EAB25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3EC8B8E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356A5514"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1 día</w:t>
            </w:r>
          </w:p>
        </w:tc>
        <w:tc>
          <w:tcPr>
            <w:tcW w:w="1870" w:type="dxa"/>
            <w:vAlign w:val="center"/>
          </w:tcPr>
          <w:p w14:paraId="4B4EADF7"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393AEC3A" w14:textId="77777777" w:rsidTr="00E618F0">
        <w:trPr>
          <w:jc w:val="center"/>
        </w:trPr>
        <w:tc>
          <w:tcPr>
            <w:tcW w:w="972" w:type="dxa"/>
            <w:vMerge/>
            <w:tcBorders>
              <w:left w:val="single" w:sz="4" w:space="0" w:color="auto"/>
            </w:tcBorders>
            <w:shd w:val="clear" w:color="auto" w:fill="B3B3B3"/>
          </w:tcPr>
          <w:p w14:paraId="2EA098C9" w14:textId="77777777" w:rsidR="003E4911" w:rsidRPr="001771C1" w:rsidRDefault="003E4911" w:rsidP="00CF69B3">
            <w:pPr>
              <w:widowControl w:val="0"/>
              <w:tabs>
                <w:tab w:val="left" w:pos="567"/>
              </w:tabs>
              <w:spacing w:before="120" w:after="120"/>
              <w:rPr>
                <w:rFonts w:ascii="Arial" w:hAnsi="Arial" w:cs="Times New Roman"/>
                <w:snapToGrid w:val="0"/>
                <w:sz w:val="20"/>
                <w:szCs w:val="20"/>
                <w:lang w:val="es-ES_tradnl" w:eastAsia="es-ES"/>
              </w:rPr>
            </w:pPr>
          </w:p>
        </w:tc>
        <w:tc>
          <w:tcPr>
            <w:tcW w:w="1083" w:type="dxa"/>
            <w:vMerge/>
            <w:vAlign w:val="center"/>
          </w:tcPr>
          <w:p w14:paraId="62123547"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6F92D1F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Existencia de obstáculos</w:t>
            </w:r>
          </w:p>
        </w:tc>
        <w:tc>
          <w:tcPr>
            <w:tcW w:w="2792" w:type="dxa"/>
            <w:vAlign w:val="center"/>
          </w:tcPr>
          <w:p w14:paraId="6E8DBD2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Entendiéndose por obstáculo, todo tipo de elemento que impida la libre circulación.</w:t>
            </w:r>
          </w:p>
        </w:tc>
        <w:tc>
          <w:tcPr>
            <w:tcW w:w="1819" w:type="dxa"/>
            <w:vAlign w:val="center"/>
          </w:tcPr>
          <w:p w14:paraId="4E9E8BD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2129" w:type="dxa"/>
            <w:vAlign w:val="center"/>
          </w:tcPr>
          <w:p w14:paraId="3368592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1300" w:type="dxa"/>
            <w:vAlign w:val="center"/>
          </w:tcPr>
          <w:p w14:paraId="45310C07"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05A740BD"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0 días</w:t>
            </w:r>
          </w:p>
        </w:tc>
        <w:tc>
          <w:tcPr>
            <w:tcW w:w="1870" w:type="dxa"/>
            <w:vAlign w:val="center"/>
          </w:tcPr>
          <w:p w14:paraId="7C6B3E1D"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46646EF0" w14:textId="77777777" w:rsidTr="00E618F0">
        <w:trPr>
          <w:jc w:val="center"/>
        </w:trPr>
        <w:tc>
          <w:tcPr>
            <w:tcW w:w="972" w:type="dxa"/>
            <w:vMerge w:val="restart"/>
            <w:tcBorders>
              <w:top w:val="double" w:sz="4" w:space="0" w:color="auto"/>
            </w:tcBorders>
            <w:shd w:val="clear" w:color="auto" w:fill="B3B3B3"/>
            <w:textDirection w:val="btLr"/>
            <w:vAlign w:val="center"/>
          </w:tcPr>
          <w:p w14:paraId="24853321" w14:textId="77777777" w:rsidR="003E4911" w:rsidRPr="001771C1" w:rsidRDefault="003E4911" w:rsidP="00CF69B3">
            <w:pPr>
              <w:spacing w:before="120" w:after="120"/>
              <w:jc w:val="center"/>
              <w:rPr>
                <w:rFonts w:ascii="Arial" w:hAnsi="Arial" w:cs="Times New Roman"/>
                <w:b/>
                <w:sz w:val="20"/>
                <w:lang w:val="es-ES_tradnl" w:eastAsia="es-ES"/>
              </w:rPr>
            </w:pPr>
            <w:r w:rsidRPr="001771C1">
              <w:rPr>
                <w:rFonts w:ascii="Arial" w:hAnsi="Arial" w:cs="Times New Roman"/>
                <w:b/>
                <w:sz w:val="20"/>
                <w:lang w:val="es-ES_tradnl" w:eastAsia="es-ES"/>
              </w:rPr>
              <w:t>COMPLEMENTARIOS</w:t>
            </w:r>
          </w:p>
        </w:tc>
        <w:tc>
          <w:tcPr>
            <w:tcW w:w="1083" w:type="dxa"/>
            <w:vMerge w:val="restart"/>
            <w:tcBorders>
              <w:top w:val="double" w:sz="4" w:space="0" w:color="auto"/>
            </w:tcBorders>
            <w:vAlign w:val="center"/>
          </w:tcPr>
          <w:p w14:paraId="25074C7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Fis2</w:t>
            </w:r>
          </w:p>
        </w:tc>
        <w:tc>
          <w:tcPr>
            <w:tcW w:w="2019" w:type="dxa"/>
            <w:tcBorders>
              <w:top w:val="double" w:sz="4" w:space="0" w:color="auto"/>
            </w:tcBorders>
            <w:vAlign w:val="center"/>
          </w:tcPr>
          <w:p w14:paraId="240D0BA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por fatiga Nivel medio y alto &lt; 3mm que no estén perfectamente selladas</w:t>
            </w:r>
          </w:p>
        </w:tc>
        <w:tc>
          <w:tcPr>
            <w:tcW w:w="2792" w:type="dxa"/>
            <w:tcBorders>
              <w:top w:val="double" w:sz="4" w:space="0" w:color="auto"/>
            </w:tcBorders>
            <w:vAlign w:val="center"/>
          </w:tcPr>
          <w:p w14:paraId="2385F09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interconectadas y ramificadas sin llegar a formar una malla con leve pérdida de material. Fisuras generalizadas en forma de malla, sin pérdida de material y sin deformación de la superficie pavimentada</w:t>
            </w:r>
          </w:p>
        </w:tc>
        <w:tc>
          <w:tcPr>
            <w:tcW w:w="1819" w:type="dxa"/>
            <w:tcBorders>
              <w:top w:val="double" w:sz="4" w:space="0" w:color="auto"/>
            </w:tcBorders>
            <w:vAlign w:val="center"/>
          </w:tcPr>
          <w:p w14:paraId="646CD881"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tcBorders>
              <w:top w:val="double" w:sz="4" w:space="0" w:color="auto"/>
            </w:tcBorders>
            <w:vAlign w:val="center"/>
          </w:tcPr>
          <w:p w14:paraId="3EBAB769"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tcBorders>
              <w:top w:val="double" w:sz="4" w:space="0" w:color="auto"/>
            </w:tcBorders>
            <w:vAlign w:val="center"/>
          </w:tcPr>
          <w:p w14:paraId="1C1B1C3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5%</w:t>
            </w:r>
          </w:p>
        </w:tc>
        <w:tc>
          <w:tcPr>
            <w:tcW w:w="1353" w:type="dxa"/>
            <w:tcBorders>
              <w:top w:val="double" w:sz="4" w:space="0" w:color="auto"/>
            </w:tcBorders>
            <w:vAlign w:val="center"/>
          </w:tcPr>
          <w:p w14:paraId="571691D2"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tcBorders>
              <w:top w:val="double" w:sz="4" w:space="0" w:color="auto"/>
            </w:tcBorders>
            <w:vAlign w:val="center"/>
          </w:tcPr>
          <w:p w14:paraId="17E4FA56"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761EC1D0" w14:textId="77777777" w:rsidTr="00E618F0">
        <w:trPr>
          <w:jc w:val="center"/>
        </w:trPr>
        <w:tc>
          <w:tcPr>
            <w:tcW w:w="972" w:type="dxa"/>
            <w:vMerge/>
            <w:shd w:val="clear" w:color="auto" w:fill="B3B3B3"/>
          </w:tcPr>
          <w:p w14:paraId="1600C1C9" w14:textId="77777777" w:rsidR="003E4911" w:rsidRPr="001771C1" w:rsidRDefault="003E4911" w:rsidP="00CF69B3">
            <w:pPr>
              <w:spacing w:before="120" w:after="120"/>
              <w:rPr>
                <w:rFonts w:ascii="Arial" w:hAnsi="Arial" w:cs="Times New Roman"/>
                <w:sz w:val="20"/>
                <w:lang w:eastAsia="es-ES"/>
              </w:rPr>
            </w:pPr>
          </w:p>
        </w:tc>
        <w:tc>
          <w:tcPr>
            <w:tcW w:w="1083" w:type="dxa"/>
            <w:vMerge/>
            <w:vAlign w:val="center"/>
          </w:tcPr>
          <w:p w14:paraId="3616F245" w14:textId="77777777" w:rsidR="003E4911" w:rsidRPr="001771C1" w:rsidRDefault="003E4911" w:rsidP="00CF69B3">
            <w:pPr>
              <w:spacing w:before="120" w:after="120"/>
              <w:rPr>
                <w:rFonts w:ascii="Arial" w:hAnsi="Arial" w:cs="Times New Roman"/>
                <w:sz w:val="16"/>
                <w:szCs w:val="16"/>
                <w:lang w:val="es-ES_tradnl" w:eastAsia="es-ES"/>
              </w:rPr>
            </w:pPr>
          </w:p>
        </w:tc>
        <w:tc>
          <w:tcPr>
            <w:tcW w:w="2019" w:type="dxa"/>
            <w:vAlign w:val="center"/>
          </w:tcPr>
          <w:p w14:paraId="2959080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Fisuras &gt; 3mm de espesor que no estén perfectamente selladas</w:t>
            </w:r>
          </w:p>
        </w:tc>
        <w:tc>
          <w:tcPr>
            <w:tcW w:w="2792" w:type="dxa"/>
            <w:vAlign w:val="center"/>
          </w:tcPr>
          <w:p w14:paraId="5795A88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w:t>
            </w:r>
          </w:p>
        </w:tc>
        <w:tc>
          <w:tcPr>
            <w:tcW w:w="1819" w:type="dxa"/>
            <w:vAlign w:val="center"/>
          </w:tcPr>
          <w:p w14:paraId="236FB896"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10090F0A"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el caso de fisura lineal el área afectada se calcula  multiplicando la longitud de la fisura por 0,50m(área de influencia)</w:t>
            </w:r>
          </w:p>
        </w:tc>
        <w:tc>
          <w:tcPr>
            <w:tcW w:w="1300" w:type="dxa"/>
            <w:vAlign w:val="center"/>
          </w:tcPr>
          <w:p w14:paraId="46929D1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0%</w:t>
            </w:r>
          </w:p>
        </w:tc>
        <w:tc>
          <w:tcPr>
            <w:tcW w:w="1353" w:type="dxa"/>
            <w:vAlign w:val="center"/>
          </w:tcPr>
          <w:p w14:paraId="01A2615E"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 7 días</w:t>
            </w:r>
          </w:p>
        </w:tc>
        <w:tc>
          <w:tcPr>
            <w:tcW w:w="1870" w:type="dxa"/>
            <w:vAlign w:val="center"/>
          </w:tcPr>
          <w:p w14:paraId="4D7E01FA"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6EE32C00" w14:textId="77777777" w:rsidTr="00E618F0">
        <w:trPr>
          <w:jc w:val="center"/>
        </w:trPr>
        <w:tc>
          <w:tcPr>
            <w:tcW w:w="972" w:type="dxa"/>
            <w:vMerge/>
            <w:shd w:val="clear" w:color="auto" w:fill="B3B3B3"/>
          </w:tcPr>
          <w:p w14:paraId="14FE46BF" w14:textId="77777777" w:rsidR="003E4911" w:rsidRPr="001771C1" w:rsidRDefault="003E4911" w:rsidP="00CF69B3">
            <w:pPr>
              <w:spacing w:before="120" w:after="120"/>
              <w:rPr>
                <w:rFonts w:ascii="Arial" w:hAnsi="Arial" w:cs="Times New Roman"/>
                <w:sz w:val="20"/>
                <w:lang w:eastAsia="es-ES"/>
              </w:rPr>
            </w:pPr>
          </w:p>
        </w:tc>
        <w:tc>
          <w:tcPr>
            <w:tcW w:w="1083" w:type="dxa"/>
            <w:vAlign w:val="center"/>
          </w:tcPr>
          <w:p w14:paraId="79ECBC5D"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Des2</w:t>
            </w:r>
          </w:p>
        </w:tc>
        <w:tc>
          <w:tcPr>
            <w:tcW w:w="2019" w:type="dxa"/>
            <w:vAlign w:val="center"/>
          </w:tcPr>
          <w:p w14:paraId="0A0337B8"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 xml:space="preserve">Desprendimientos de Nivel medio </w:t>
            </w:r>
          </w:p>
        </w:tc>
        <w:tc>
          <w:tcPr>
            <w:tcW w:w="2792" w:type="dxa"/>
            <w:vAlign w:val="center"/>
          </w:tcPr>
          <w:p w14:paraId="387D521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Desprendimiento de toda la piedra del tratamiento</w:t>
            </w:r>
          </w:p>
        </w:tc>
        <w:tc>
          <w:tcPr>
            <w:tcW w:w="1819" w:type="dxa"/>
            <w:vAlign w:val="center"/>
          </w:tcPr>
          <w:p w14:paraId="3AC39B7E"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Porcentaje máximo de área afectada</w:t>
            </w:r>
          </w:p>
        </w:tc>
        <w:tc>
          <w:tcPr>
            <w:tcW w:w="2129" w:type="dxa"/>
            <w:vAlign w:val="center"/>
          </w:tcPr>
          <w:p w14:paraId="7D3107C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el área afectada en forma directa</w:t>
            </w:r>
          </w:p>
        </w:tc>
        <w:tc>
          <w:tcPr>
            <w:tcW w:w="1300" w:type="dxa"/>
            <w:vAlign w:val="center"/>
          </w:tcPr>
          <w:p w14:paraId="5D03BF9F"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25%</w:t>
            </w:r>
          </w:p>
        </w:tc>
        <w:tc>
          <w:tcPr>
            <w:tcW w:w="1353" w:type="dxa"/>
            <w:vAlign w:val="center"/>
          </w:tcPr>
          <w:p w14:paraId="73DB134C"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vAlign w:val="center"/>
          </w:tcPr>
          <w:p w14:paraId="368030F6"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Trimestral</w:t>
            </w:r>
          </w:p>
        </w:tc>
      </w:tr>
      <w:tr w:rsidR="003E4911" w:rsidRPr="001771C1" w14:paraId="143A1AD2" w14:textId="77777777" w:rsidTr="00E618F0">
        <w:trPr>
          <w:jc w:val="center"/>
        </w:trPr>
        <w:tc>
          <w:tcPr>
            <w:tcW w:w="972" w:type="dxa"/>
            <w:vMerge/>
            <w:shd w:val="clear" w:color="auto" w:fill="B3B3B3"/>
          </w:tcPr>
          <w:p w14:paraId="1C1BE5A7" w14:textId="77777777" w:rsidR="003E4911" w:rsidRPr="001771C1" w:rsidRDefault="003E4911" w:rsidP="00CF69B3">
            <w:pPr>
              <w:spacing w:before="120" w:after="120"/>
              <w:rPr>
                <w:rFonts w:ascii="Arial" w:hAnsi="Arial" w:cs="Times New Roman"/>
                <w:sz w:val="20"/>
                <w:lang w:eastAsia="es-ES"/>
              </w:rPr>
            </w:pPr>
          </w:p>
        </w:tc>
        <w:tc>
          <w:tcPr>
            <w:tcW w:w="1083" w:type="dxa"/>
            <w:vAlign w:val="center"/>
          </w:tcPr>
          <w:p w14:paraId="7545EFA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CTB Hom</w:t>
            </w:r>
          </w:p>
        </w:tc>
        <w:tc>
          <w:tcPr>
            <w:tcW w:w="2019" w:type="dxa"/>
            <w:vAlign w:val="center"/>
          </w:tcPr>
          <w:p w14:paraId="1707345B"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Pérdida de homogeneidad de la superficie original</w:t>
            </w:r>
          </w:p>
        </w:tc>
        <w:tc>
          <w:tcPr>
            <w:tcW w:w="2792" w:type="dxa"/>
            <w:vAlign w:val="center"/>
          </w:tcPr>
          <w:p w14:paraId="0A704F85"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Cuando la superficie del firme presenta numerosa cantidad de reparaciones que conforman una superficie no homogénea</w:t>
            </w:r>
          </w:p>
        </w:tc>
        <w:tc>
          <w:tcPr>
            <w:tcW w:w="1819" w:type="dxa"/>
            <w:vAlign w:val="center"/>
          </w:tcPr>
          <w:p w14:paraId="11A7473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Tipo y cantidad de reparaciones</w:t>
            </w:r>
          </w:p>
        </w:tc>
        <w:tc>
          <w:tcPr>
            <w:tcW w:w="2129" w:type="dxa"/>
            <w:vAlign w:val="center"/>
          </w:tcPr>
          <w:p w14:paraId="596478D3"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Se calcula en forma directa</w:t>
            </w:r>
          </w:p>
        </w:tc>
        <w:tc>
          <w:tcPr>
            <w:tcW w:w="1300" w:type="dxa"/>
            <w:vAlign w:val="center"/>
          </w:tcPr>
          <w:p w14:paraId="7E7C210C" w14:textId="77777777" w:rsidR="003E4911" w:rsidRPr="001771C1" w:rsidRDefault="003E4911" w:rsidP="00CF69B3">
            <w:pPr>
              <w:spacing w:before="120" w:after="120"/>
              <w:rPr>
                <w:rFonts w:ascii="Arial" w:hAnsi="Arial" w:cs="Times New Roman"/>
                <w:sz w:val="16"/>
                <w:szCs w:val="16"/>
                <w:lang w:val="es-ES_tradnl" w:eastAsia="es-ES"/>
              </w:rPr>
            </w:pPr>
            <w:r w:rsidRPr="001771C1">
              <w:rPr>
                <w:rFonts w:ascii="Arial" w:hAnsi="Arial" w:cs="Times New Roman"/>
                <w:sz w:val="16"/>
                <w:szCs w:val="16"/>
                <w:lang w:val="es-ES_tradnl" w:eastAsia="es-ES"/>
              </w:rPr>
              <w:t>Más de 30 reparaciones realizadas por hect., o más de 100 por km (baches o  tratamientos bituminosos parciales).</w:t>
            </w:r>
          </w:p>
        </w:tc>
        <w:tc>
          <w:tcPr>
            <w:tcW w:w="1353" w:type="dxa"/>
            <w:vAlign w:val="center"/>
          </w:tcPr>
          <w:p w14:paraId="7B0CC6DC" w14:textId="77777777" w:rsidR="003E4911" w:rsidRPr="001771C1" w:rsidRDefault="003E4911" w:rsidP="00CF69B3">
            <w:pPr>
              <w:widowControl w:val="0"/>
              <w:rPr>
                <w:rFonts w:ascii="Arial" w:hAnsi="Arial" w:cs="Arial"/>
                <w:sz w:val="16"/>
                <w:szCs w:val="16"/>
                <w:lang w:eastAsia="es-ES"/>
              </w:rPr>
            </w:pPr>
            <w:r w:rsidRPr="001771C1">
              <w:rPr>
                <w:rFonts w:ascii="Arial" w:hAnsi="Arial" w:cs="Arial"/>
                <w:sz w:val="16"/>
                <w:szCs w:val="16"/>
                <w:lang w:eastAsia="es-ES"/>
              </w:rPr>
              <w:t>60 días</w:t>
            </w:r>
          </w:p>
        </w:tc>
        <w:tc>
          <w:tcPr>
            <w:tcW w:w="1870" w:type="dxa"/>
            <w:vAlign w:val="center"/>
          </w:tcPr>
          <w:p w14:paraId="3435EFB7" w14:textId="77777777" w:rsidR="003E4911" w:rsidRPr="001771C1" w:rsidRDefault="003E4911" w:rsidP="00CF69B3">
            <w:pPr>
              <w:widowControl w:val="0"/>
              <w:jc w:val="center"/>
              <w:rPr>
                <w:rFonts w:ascii="Arial" w:hAnsi="Arial" w:cs="Arial"/>
                <w:sz w:val="16"/>
                <w:szCs w:val="16"/>
                <w:lang w:eastAsia="es-ES"/>
              </w:rPr>
            </w:pPr>
            <w:r w:rsidRPr="001771C1">
              <w:rPr>
                <w:rFonts w:ascii="Arial" w:hAnsi="Arial" w:cs="Arial"/>
                <w:sz w:val="16"/>
                <w:szCs w:val="16"/>
                <w:lang w:eastAsia="es-ES"/>
              </w:rPr>
              <w:t>Semestral</w:t>
            </w:r>
          </w:p>
        </w:tc>
      </w:tr>
    </w:tbl>
    <w:p w14:paraId="1423ADE1" w14:textId="77777777" w:rsidR="003E4911" w:rsidRPr="00B7174F" w:rsidRDefault="003E4911" w:rsidP="00CF69B3">
      <w:pPr>
        <w:widowControl w:val="0"/>
        <w:spacing w:before="360" w:after="240" w:line="240" w:lineRule="auto"/>
        <w:jc w:val="both"/>
        <w:rPr>
          <w:rFonts w:ascii="Arial" w:hAnsi="Arial" w:cs="Arial"/>
          <w:b/>
          <w:bCs/>
          <w:snapToGrid w:val="0"/>
          <w:sz w:val="20"/>
          <w:szCs w:val="20"/>
          <w:lang w:val="es-UY" w:eastAsia="es-ES"/>
        </w:rPr>
        <w:sectPr w:rsidR="003E4911" w:rsidRPr="00B7174F" w:rsidSect="00B238CC">
          <w:pgSz w:w="16838" w:h="11906" w:orient="landscape" w:code="9"/>
          <w:pgMar w:top="1134" w:right="1418" w:bottom="1276" w:left="1418" w:header="720" w:footer="720" w:gutter="0"/>
          <w:cols w:space="708"/>
          <w:docGrid w:linePitch="360"/>
        </w:sectPr>
      </w:pPr>
    </w:p>
    <w:p w14:paraId="37D23E12" w14:textId="77777777" w:rsidR="00A3029F" w:rsidRPr="00386FC6" w:rsidRDefault="00386FC6" w:rsidP="009A58E0">
      <w:pPr>
        <w:pStyle w:val="Prrafodelista"/>
        <w:keepNext/>
        <w:numPr>
          <w:ilvl w:val="0"/>
          <w:numId w:val="105"/>
        </w:numPr>
        <w:tabs>
          <w:tab w:val="left" w:pos="720"/>
        </w:tabs>
        <w:spacing w:before="240" w:after="60" w:line="360" w:lineRule="auto"/>
        <w:jc w:val="both"/>
        <w:rPr>
          <w:rFonts w:ascii="Arial" w:hAnsi="Arial"/>
          <w:b/>
        </w:rPr>
      </w:pPr>
      <w:bookmarkStart w:id="1448" w:name="_Toc400634164"/>
      <w:bookmarkStart w:id="1449" w:name="_Toc400635293"/>
      <w:r w:rsidRPr="00386FC6">
        <w:rPr>
          <w:rFonts w:ascii="Arial" w:hAnsi="Arial"/>
          <w:b/>
        </w:rPr>
        <w:lastRenderedPageBreak/>
        <w:t>NIVELES DE SERVICIO PARA BANQUINA.</w:t>
      </w:r>
      <w:bookmarkEnd w:id="1448"/>
      <w:bookmarkEnd w:id="1449"/>
    </w:p>
    <w:p w14:paraId="17A40E43" w14:textId="77777777" w:rsidR="00A3029F" w:rsidRPr="00B7174F" w:rsidRDefault="00A3029F" w:rsidP="009A58E0">
      <w:pPr>
        <w:pStyle w:val="T2A5"/>
        <w:numPr>
          <w:ilvl w:val="1"/>
          <w:numId w:val="105"/>
        </w:numPr>
        <w:outlineLvl w:val="9"/>
      </w:pPr>
      <w:bookmarkStart w:id="1450" w:name="_Toc438111385"/>
      <w:bookmarkStart w:id="1451" w:name="_Toc438111645"/>
      <w:bookmarkStart w:id="1452" w:name="_Toc438111905"/>
      <w:bookmarkStart w:id="1453" w:name="_Toc438112205"/>
      <w:bookmarkStart w:id="1454" w:name="_Toc438112814"/>
      <w:bookmarkStart w:id="1455" w:name="_Toc438113497"/>
      <w:bookmarkStart w:id="1456" w:name="_Toc438113773"/>
      <w:bookmarkStart w:id="1457" w:name="_Toc438114783"/>
      <w:bookmarkStart w:id="1458" w:name="_Toc438115098"/>
      <w:bookmarkStart w:id="1459" w:name="_Toc438130264"/>
      <w:bookmarkStart w:id="1460" w:name="_Toc438224161"/>
      <w:bookmarkStart w:id="1461" w:name="_Toc441131883"/>
      <w:bookmarkStart w:id="1462" w:name="_Toc441146188"/>
      <w:bookmarkStart w:id="1463" w:name="_Toc441146593"/>
      <w:bookmarkStart w:id="1464" w:name="_Toc441146941"/>
      <w:bookmarkStart w:id="1465" w:name="_Toc441161691"/>
      <w:bookmarkStart w:id="1466" w:name="_Toc441162039"/>
      <w:bookmarkStart w:id="1467" w:name="_Toc441162389"/>
      <w:bookmarkStart w:id="1468" w:name="_Toc441229406"/>
      <w:bookmarkStart w:id="1469" w:name="_Toc441229741"/>
      <w:bookmarkStart w:id="1470" w:name="_Toc441230062"/>
      <w:bookmarkStart w:id="1471" w:name="_Toc450552914"/>
      <w:bookmarkStart w:id="1472" w:name="_Toc450555112"/>
      <w:bookmarkStart w:id="1473" w:name="_Toc450555367"/>
      <w:bookmarkStart w:id="1474" w:name="_Toc400635294"/>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sidRPr="00B7174F">
        <w:t>Banquina: Pavimento de Mezcla Asfáltica.</w:t>
      </w:r>
      <w:bookmarkEnd w:id="1474"/>
    </w:p>
    <w:tbl>
      <w:tblPr>
        <w:tblW w:w="5000" w:type="pct"/>
        <w:tblInd w:w="-10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27"/>
        <w:gridCol w:w="854"/>
        <w:gridCol w:w="1506"/>
        <w:gridCol w:w="2455"/>
        <w:gridCol w:w="1593"/>
        <w:gridCol w:w="2085"/>
        <w:gridCol w:w="1141"/>
        <w:gridCol w:w="1347"/>
        <w:gridCol w:w="1103"/>
        <w:gridCol w:w="981"/>
      </w:tblGrid>
      <w:tr w:rsidR="00A3029F" w:rsidRPr="00B7174F" w14:paraId="72F1A6ED" w14:textId="77777777">
        <w:trPr>
          <w:cantSplit/>
          <w:trHeight w:val="567"/>
          <w:tblHeader/>
        </w:trPr>
        <w:tc>
          <w:tcPr>
            <w:tcW w:w="333" w:type="pct"/>
            <w:shd w:val="clear" w:color="auto" w:fill="595959"/>
            <w:vAlign w:val="center"/>
          </w:tcPr>
          <w:p w14:paraId="0BC3CC0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7" w:type="pct"/>
            <w:shd w:val="clear" w:color="auto" w:fill="595959"/>
            <w:vAlign w:val="center"/>
          </w:tcPr>
          <w:p w14:paraId="7176D80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30" w:type="pct"/>
            <w:shd w:val="clear" w:color="auto" w:fill="595959"/>
            <w:vAlign w:val="center"/>
          </w:tcPr>
          <w:p w14:paraId="774B245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79" w:type="pct"/>
            <w:shd w:val="clear" w:color="auto" w:fill="595959"/>
            <w:vAlign w:val="center"/>
          </w:tcPr>
          <w:p w14:paraId="18BE11A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71" w:type="pct"/>
            <w:shd w:val="clear" w:color="auto" w:fill="595959"/>
            <w:vAlign w:val="center"/>
          </w:tcPr>
          <w:p w14:paraId="4EB8B4E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47" w:type="pct"/>
            <w:shd w:val="clear" w:color="auto" w:fill="595959"/>
            <w:vAlign w:val="center"/>
          </w:tcPr>
          <w:p w14:paraId="1F00A4FD"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401" w:type="pct"/>
            <w:shd w:val="clear" w:color="auto" w:fill="595959"/>
            <w:vAlign w:val="center"/>
          </w:tcPr>
          <w:p w14:paraId="76C631A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83" w:type="pct"/>
            <w:shd w:val="clear" w:color="auto" w:fill="595959"/>
            <w:vAlign w:val="center"/>
          </w:tcPr>
          <w:p w14:paraId="2C6CF41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6" w:type="pct"/>
            <w:shd w:val="clear" w:color="auto" w:fill="595959"/>
            <w:vAlign w:val="center"/>
          </w:tcPr>
          <w:p w14:paraId="6ADE125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52" w:type="pct"/>
            <w:shd w:val="clear" w:color="auto" w:fill="595959"/>
          </w:tcPr>
          <w:p w14:paraId="64718B1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5B63A30B" w14:textId="77777777" w:rsidTr="00084EE9">
        <w:trPr>
          <w:trHeight w:val="598"/>
        </w:trPr>
        <w:tc>
          <w:tcPr>
            <w:tcW w:w="333" w:type="pct"/>
            <w:vMerge w:val="restart"/>
            <w:shd w:val="clear" w:color="auto" w:fill="A6A6A6"/>
            <w:textDirection w:val="btLr"/>
            <w:vAlign w:val="center"/>
          </w:tcPr>
          <w:p w14:paraId="3B9DCD6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7" w:type="pct"/>
            <w:vMerge w:val="restart"/>
            <w:vAlign w:val="center"/>
          </w:tcPr>
          <w:p w14:paraId="2FDECE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Des1</w:t>
            </w:r>
          </w:p>
        </w:tc>
        <w:tc>
          <w:tcPr>
            <w:tcW w:w="530" w:type="pct"/>
            <w:vMerge w:val="restart"/>
            <w:vAlign w:val="center"/>
          </w:tcPr>
          <w:p w14:paraId="1199612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Reducción del ancho de superficie de rodadura</w:t>
            </w:r>
          </w:p>
        </w:tc>
        <w:tc>
          <w:tcPr>
            <w:tcW w:w="879" w:type="pct"/>
            <w:vAlign w:val="center"/>
          </w:tcPr>
          <w:p w14:paraId="4431F5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(en más de 0,20 m) del ancho del firme definido en el inventario de la DNV</w:t>
            </w:r>
          </w:p>
        </w:tc>
        <w:tc>
          <w:tcPr>
            <w:tcW w:w="571" w:type="pct"/>
            <w:vAlign w:val="center"/>
          </w:tcPr>
          <w:p w14:paraId="4BABEB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la banquina disminuido</w:t>
            </w:r>
          </w:p>
        </w:tc>
        <w:tc>
          <w:tcPr>
            <w:tcW w:w="747" w:type="pct"/>
            <w:vAlign w:val="center"/>
          </w:tcPr>
          <w:p w14:paraId="1D88E41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w:t>
            </w:r>
          </w:p>
        </w:tc>
        <w:tc>
          <w:tcPr>
            <w:tcW w:w="401" w:type="pct"/>
            <w:vAlign w:val="center"/>
          </w:tcPr>
          <w:p w14:paraId="27A3DD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Merge w:val="restart"/>
            <w:vAlign w:val="center"/>
          </w:tcPr>
          <w:p w14:paraId="5476C9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96" w:type="pct"/>
            <w:vAlign w:val="center"/>
          </w:tcPr>
          <w:p w14:paraId="6C0AFF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7D059CF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3076C455" w14:textId="77777777" w:rsidTr="00084EE9">
        <w:trPr>
          <w:trHeight w:val="1334"/>
        </w:trPr>
        <w:tc>
          <w:tcPr>
            <w:tcW w:w="333" w:type="pct"/>
            <w:vMerge/>
            <w:shd w:val="clear" w:color="auto" w:fill="A6A6A6"/>
            <w:textDirection w:val="btLr"/>
            <w:vAlign w:val="center"/>
          </w:tcPr>
          <w:p w14:paraId="1872CBD1" w14:textId="77777777" w:rsidR="00A3029F" w:rsidRPr="00B7174F" w:rsidRDefault="00A3029F" w:rsidP="00CF69B3">
            <w:pPr>
              <w:widowControl w:val="0"/>
              <w:spacing w:after="0" w:line="240" w:lineRule="auto"/>
              <w:ind w:left="113" w:right="113"/>
              <w:jc w:val="both"/>
              <w:rPr>
                <w:rFonts w:ascii="Arial" w:hAnsi="Arial" w:cs="Arial"/>
                <w:b/>
                <w:bCs/>
                <w:snapToGrid w:val="0"/>
                <w:sz w:val="16"/>
                <w:szCs w:val="16"/>
                <w:lang w:val="es-ES_tradnl" w:eastAsia="es-ES"/>
              </w:rPr>
            </w:pPr>
          </w:p>
        </w:tc>
        <w:tc>
          <w:tcPr>
            <w:tcW w:w="307" w:type="pct"/>
            <w:vMerge/>
            <w:vAlign w:val="center"/>
          </w:tcPr>
          <w:p w14:paraId="0701DD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Merge/>
            <w:vAlign w:val="center"/>
          </w:tcPr>
          <w:p w14:paraId="6D8FEA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879" w:type="pct"/>
            <w:vAlign w:val="center"/>
          </w:tcPr>
          <w:p w14:paraId="451BB6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Disminución menor 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 del ancho del firme definido en el inventario de la D.N.V</w:t>
            </w:r>
          </w:p>
        </w:tc>
        <w:tc>
          <w:tcPr>
            <w:tcW w:w="571" w:type="pct"/>
            <w:vAlign w:val="center"/>
          </w:tcPr>
          <w:p w14:paraId="53373C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del firme dentro del hectómetro afectado</w:t>
            </w:r>
          </w:p>
        </w:tc>
        <w:tc>
          <w:tcPr>
            <w:tcW w:w="747" w:type="pct"/>
            <w:vAlign w:val="center"/>
          </w:tcPr>
          <w:p w14:paraId="09218EE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mide el ancho de firme, se calcula % disminución respecto al ancho definido. Se mide longitud de la zona afectada, se calcula % respecto a la long. de la muestra</w:t>
            </w:r>
          </w:p>
        </w:tc>
        <w:tc>
          <w:tcPr>
            <w:tcW w:w="401" w:type="pct"/>
            <w:vAlign w:val="center"/>
          </w:tcPr>
          <w:p w14:paraId="6774EE6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w:t>
            </w:r>
          </w:p>
        </w:tc>
        <w:tc>
          <w:tcPr>
            <w:tcW w:w="483" w:type="pct"/>
            <w:vMerge/>
            <w:vAlign w:val="center"/>
          </w:tcPr>
          <w:p w14:paraId="0BEA596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6" w:type="pct"/>
            <w:vAlign w:val="center"/>
          </w:tcPr>
          <w:p w14:paraId="3875A86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14CA50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7E555F43" w14:textId="77777777" w:rsidTr="00084EE9">
        <w:trPr>
          <w:trHeight w:val="485"/>
        </w:trPr>
        <w:tc>
          <w:tcPr>
            <w:tcW w:w="333" w:type="pct"/>
            <w:vMerge/>
            <w:shd w:val="clear" w:color="auto" w:fill="A6A6A6"/>
            <w:textDirection w:val="btLr"/>
            <w:vAlign w:val="center"/>
          </w:tcPr>
          <w:p w14:paraId="5756B31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14:paraId="34224F4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34743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alto</w:t>
            </w:r>
          </w:p>
        </w:tc>
        <w:tc>
          <w:tcPr>
            <w:tcW w:w="879" w:type="pct"/>
            <w:vAlign w:val="center"/>
          </w:tcPr>
          <w:p w14:paraId="000041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parte del firme</w:t>
            </w:r>
          </w:p>
        </w:tc>
        <w:tc>
          <w:tcPr>
            <w:tcW w:w="571" w:type="pct"/>
            <w:vAlign w:val="center"/>
          </w:tcPr>
          <w:p w14:paraId="24D6D5A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60D06DD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3711F1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4664B7E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20F0DB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53299C1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3F48FFA" w14:textId="77777777" w:rsidTr="00084EE9">
        <w:trPr>
          <w:trHeight w:val="407"/>
        </w:trPr>
        <w:tc>
          <w:tcPr>
            <w:tcW w:w="333" w:type="pct"/>
            <w:vMerge/>
            <w:shd w:val="clear" w:color="auto" w:fill="A6A6A6"/>
            <w:textDirection w:val="btLr"/>
            <w:vAlign w:val="center"/>
          </w:tcPr>
          <w:p w14:paraId="2C348FCB"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7" w:type="pct"/>
            <w:vMerge/>
            <w:vAlign w:val="center"/>
          </w:tcPr>
          <w:p w14:paraId="777D1B5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158F96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Pozos</w:t>
            </w:r>
          </w:p>
        </w:tc>
        <w:tc>
          <w:tcPr>
            <w:tcW w:w="879" w:type="pct"/>
            <w:vAlign w:val="center"/>
          </w:tcPr>
          <w:p w14:paraId="409167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Cavidades producidas en el firme de forma irregular y diferentes tamaños</w:t>
            </w:r>
          </w:p>
        </w:tc>
        <w:tc>
          <w:tcPr>
            <w:tcW w:w="571" w:type="pct"/>
            <w:vAlign w:val="center"/>
          </w:tcPr>
          <w:p w14:paraId="2534577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640BC14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3201925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0158B2A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0 </w:t>
            </w:r>
            <w:r w:rsidR="00120471" w:rsidRPr="00B7174F">
              <w:rPr>
                <w:rFonts w:ascii="Arial" w:hAnsi="Arial" w:cs="Arial"/>
                <w:snapToGrid w:val="0"/>
                <w:sz w:val="16"/>
                <w:szCs w:val="16"/>
                <w:lang w:val="es-UY" w:eastAsia="es-ES"/>
              </w:rPr>
              <w:t>día</w:t>
            </w:r>
          </w:p>
        </w:tc>
        <w:tc>
          <w:tcPr>
            <w:tcW w:w="396" w:type="pct"/>
            <w:vAlign w:val="center"/>
          </w:tcPr>
          <w:p w14:paraId="42CAABB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7429D5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CA7C46F" w14:textId="77777777" w:rsidTr="00084EE9">
        <w:trPr>
          <w:trHeight w:val="1070"/>
        </w:trPr>
        <w:tc>
          <w:tcPr>
            <w:tcW w:w="333" w:type="pct"/>
            <w:vMerge/>
            <w:shd w:val="clear" w:color="auto" w:fill="A6A6A6"/>
            <w:vAlign w:val="center"/>
          </w:tcPr>
          <w:p w14:paraId="58441640"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47168A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Fis1</w:t>
            </w:r>
          </w:p>
        </w:tc>
        <w:tc>
          <w:tcPr>
            <w:tcW w:w="530" w:type="pct"/>
            <w:vAlign w:val="center"/>
          </w:tcPr>
          <w:p w14:paraId="46C9C7D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con deformación y/o desprendimiento</w:t>
            </w:r>
          </w:p>
        </w:tc>
        <w:tc>
          <w:tcPr>
            <w:tcW w:w="879" w:type="pct"/>
            <w:vAlign w:val="center"/>
          </w:tcPr>
          <w:p w14:paraId="4603BB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generalizadas en forma de malla cerrada y fisuras generalizadas con desprendimiento de material y/o deformación mayor a 15mm.</w:t>
            </w:r>
          </w:p>
        </w:tc>
        <w:tc>
          <w:tcPr>
            <w:tcW w:w="571" w:type="pct"/>
            <w:vAlign w:val="center"/>
          </w:tcPr>
          <w:p w14:paraId="182AB91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3A0A53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392516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5ECF89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96" w:type="pct"/>
            <w:vAlign w:val="center"/>
          </w:tcPr>
          <w:p w14:paraId="5AE8F0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554AE1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4D3F1078" w14:textId="77777777" w:rsidTr="00084EE9">
        <w:trPr>
          <w:trHeight w:val="1539"/>
        </w:trPr>
        <w:tc>
          <w:tcPr>
            <w:tcW w:w="333" w:type="pct"/>
            <w:vMerge/>
            <w:shd w:val="clear" w:color="auto" w:fill="A6A6A6"/>
            <w:vAlign w:val="center"/>
          </w:tcPr>
          <w:p w14:paraId="1B279784"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58EC577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Bac</w:t>
            </w:r>
          </w:p>
        </w:tc>
        <w:tc>
          <w:tcPr>
            <w:tcW w:w="530" w:type="pct"/>
            <w:vAlign w:val="center"/>
          </w:tcPr>
          <w:p w14:paraId="7DE4C9D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Baches Nivel medio y alto</w:t>
            </w:r>
          </w:p>
        </w:tc>
        <w:tc>
          <w:tcPr>
            <w:tcW w:w="879" w:type="pct"/>
            <w:vAlign w:val="center"/>
          </w:tcPr>
          <w:p w14:paraId="4D1F69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Reparaciones localizadas realizadas en el pavimento que presenten deterioro, desniveles, deformaciones, que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no estén perfectamente recuadrados o con un material que no tenga igual comportamiento que el pavimento circundante</w:t>
            </w:r>
          </w:p>
        </w:tc>
        <w:tc>
          <w:tcPr>
            <w:tcW w:w="571" w:type="pct"/>
            <w:vAlign w:val="center"/>
          </w:tcPr>
          <w:p w14:paraId="49273EA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019BC7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401" w:type="pct"/>
            <w:vAlign w:val="center"/>
          </w:tcPr>
          <w:p w14:paraId="5042D36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2EB5AB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96" w:type="pct"/>
            <w:vAlign w:val="center"/>
          </w:tcPr>
          <w:p w14:paraId="0A7B8E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410A8FE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8596EDF" w14:textId="77777777" w:rsidTr="00084EE9">
        <w:trPr>
          <w:trHeight w:val="1165"/>
        </w:trPr>
        <w:tc>
          <w:tcPr>
            <w:tcW w:w="333" w:type="pct"/>
            <w:vMerge/>
            <w:shd w:val="clear" w:color="auto" w:fill="A6A6A6"/>
            <w:vAlign w:val="center"/>
          </w:tcPr>
          <w:p w14:paraId="0767A1FD"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2DBE2A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Ahu</w:t>
            </w:r>
          </w:p>
        </w:tc>
        <w:tc>
          <w:tcPr>
            <w:tcW w:w="530" w:type="pct"/>
            <w:vAlign w:val="center"/>
          </w:tcPr>
          <w:p w14:paraId="73825D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Ahuellamiento y hundimiento Nivel medio y alto</w:t>
            </w:r>
          </w:p>
        </w:tc>
        <w:tc>
          <w:tcPr>
            <w:tcW w:w="879" w:type="pct"/>
            <w:vAlign w:val="center"/>
          </w:tcPr>
          <w:p w14:paraId="6B38C5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Alteración del Nivel de la superficie de banquina por hundimiento &gt;15mm</w:t>
            </w:r>
          </w:p>
        </w:tc>
        <w:tc>
          <w:tcPr>
            <w:tcW w:w="571" w:type="pct"/>
            <w:vAlign w:val="center"/>
          </w:tcPr>
          <w:p w14:paraId="7BFB54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73E55A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multiplicando la longitud afectada por el ancho de la huella según se indica en el Instructivo de Relevamiento de Fallas (*)</w:t>
            </w:r>
          </w:p>
        </w:tc>
        <w:tc>
          <w:tcPr>
            <w:tcW w:w="401" w:type="pct"/>
            <w:vAlign w:val="center"/>
          </w:tcPr>
          <w:p w14:paraId="40DC8C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w:t>
            </w:r>
          </w:p>
        </w:tc>
        <w:tc>
          <w:tcPr>
            <w:tcW w:w="483" w:type="pct"/>
            <w:vAlign w:val="center"/>
          </w:tcPr>
          <w:p w14:paraId="680ED8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9 días</w:t>
            </w:r>
          </w:p>
        </w:tc>
        <w:tc>
          <w:tcPr>
            <w:tcW w:w="396" w:type="pct"/>
            <w:vAlign w:val="center"/>
          </w:tcPr>
          <w:p w14:paraId="1C8C753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537A5D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2E170E1" w14:textId="77777777" w:rsidTr="00084EE9">
        <w:trPr>
          <w:trHeight w:val="840"/>
        </w:trPr>
        <w:tc>
          <w:tcPr>
            <w:tcW w:w="333" w:type="pct"/>
            <w:vMerge/>
            <w:shd w:val="clear" w:color="auto" w:fill="A6A6A6"/>
            <w:vAlign w:val="center"/>
          </w:tcPr>
          <w:p w14:paraId="39FF2113"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0BA4BB5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Exu1</w:t>
            </w:r>
          </w:p>
        </w:tc>
        <w:tc>
          <w:tcPr>
            <w:tcW w:w="530" w:type="pct"/>
            <w:vAlign w:val="center"/>
          </w:tcPr>
          <w:p w14:paraId="49B469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Exudación de Nivel alto</w:t>
            </w:r>
          </w:p>
        </w:tc>
        <w:tc>
          <w:tcPr>
            <w:tcW w:w="879" w:type="pct"/>
            <w:vAlign w:val="center"/>
          </w:tcPr>
          <w:p w14:paraId="2945EC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ligante en zonas de la superficie de la banquina tal que la exudación cubra totalmente el agregado</w:t>
            </w:r>
          </w:p>
        </w:tc>
        <w:tc>
          <w:tcPr>
            <w:tcW w:w="571" w:type="pct"/>
            <w:vAlign w:val="center"/>
          </w:tcPr>
          <w:p w14:paraId="7A7FA9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0E9FA10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1CF0B2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58FEA9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3CB8C0D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16CB5DF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2A026DF" w14:textId="77777777" w:rsidTr="00084EE9">
        <w:trPr>
          <w:trHeight w:val="415"/>
        </w:trPr>
        <w:tc>
          <w:tcPr>
            <w:tcW w:w="333" w:type="pct"/>
            <w:vMerge/>
            <w:shd w:val="clear" w:color="auto" w:fill="A6A6A6"/>
            <w:vAlign w:val="center"/>
          </w:tcPr>
          <w:p w14:paraId="6DB42387"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7" w:type="pct"/>
            <w:vAlign w:val="center"/>
          </w:tcPr>
          <w:p w14:paraId="32C3F04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Dcb</w:t>
            </w:r>
          </w:p>
        </w:tc>
        <w:tc>
          <w:tcPr>
            <w:tcW w:w="530" w:type="pct"/>
            <w:vAlign w:val="center"/>
          </w:tcPr>
          <w:p w14:paraId="21E670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calzada y banquina</w:t>
            </w:r>
          </w:p>
        </w:tc>
        <w:tc>
          <w:tcPr>
            <w:tcW w:w="879" w:type="pct"/>
            <w:vAlign w:val="center"/>
          </w:tcPr>
          <w:p w14:paraId="206362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(calzada- banquina) del desnivel</w:t>
            </w:r>
          </w:p>
        </w:tc>
        <w:tc>
          <w:tcPr>
            <w:tcW w:w="571" w:type="pct"/>
            <w:vAlign w:val="center"/>
          </w:tcPr>
          <w:p w14:paraId="1FB5737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0F1ADDB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14B989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20 mm</w:t>
            </w:r>
          </w:p>
        </w:tc>
        <w:tc>
          <w:tcPr>
            <w:tcW w:w="483" w:type="pct"/>
            <w:vAlign w:val="center"/>
          </w:tcPr>
          <w:p w14:paraId="2CCE9F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días</w:t>
            </w:r>
          </w:p>
        </w:tc>
        <w:tc>
          <w:tcPr>
            <w:tcW w:w="396" w:type="pct"/>
            <w:vAlign w:val="center"/>
          </w:tcPr>
          <w:p w14:paraId="0DC1ADB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5A329C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4120423" w14:textId="77777777" w:rsidTr="00084EE9">
        <w:trPr>
          <w:trHeight w:val="976"/>
        </w:trPr>
        <w:tc>
          <w:tcPr>
            <w:tcW w:w="333" w:type="pct"/>
            <w:vMerge/>
            <w:shd w:val="clear" w:color="auto" w:fill="A6A6A6"/>
            <w:vAlign w:val="center"/>
          </w:tcPr>
          <w:p w14:paraId="350035FE"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restart"/>
            <w:vAlign w:val="center"/>
          </w:tcPr>
          <w:p w14:paraId="64242A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Otr</w:t>
            </w:r>
          </w:p>
        </w:tc>
        <w:tc>
          <w:tcPr>
            <w:tcW w:w="530" w:type="pct"/>
            <w:vAlign w:val="center"/>
          </w:tcPr>
          <w:p w14:paraId="5A744AC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material suelto</w:t>
            </w:r>
          </w:p>
        </w:tc>
        <w:tc>
          <w:tcPr>
            <w:tcW w:w="879" w:type="pct"/>
            <w:vAlign w:val="center"/>
          </w:tcPr>
          <w:p w14:paraId="3A64D8F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material suelto cualquier tipo de material que no permitiera la correcta adherencia del neumático con la superficie de rodadura</w:t>
            </w:r>
          </w:p>
        </w:tc>
        <w:tc>
          <w:tcPr>
            <w:tcW w:w="571" w:type="pct"/>
            <w:vAlign w:val="center"/>
          </w:tcPr>
          <w:p w14:paraId="49E3F8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49CA13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686C07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137ACC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1 </w:t>
            </w:r>
            <w:r w:rsidR="00120471" w:rsidRPr="00B7174F">
              <w:rPr>
                <w:rFonts w:ascii="Arial" w:hAnsi="Arial" w:cs="Arial"/>
                <w:snapToGrid w:val="0"/>
                <w:sz w:val="16"/>
                <w:szCs w:val="16"/>
                <w:lang w:val="es-UY" w:eastAsia="es-ES"/>
              </w:rPr>
              <w:t>día</w:t>
            </w:r>
          </w:p>
        </w:tc>
        <w:tc>
          <w:tcPr>
            <w:tcW w:w="396" w:type="pct"/>
            <w:vAlign w:val="center"/>
          </w:tcPr>
          <w:p w14:paraId="68F98E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48E4941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3B35C80" w14:textId="77777777" w:rsidTr="00084EE9">
        <w:trPr>
          <w:trHeight w:val="565"/>
        </w:trPr>
        <w:tc>
          <w:tcPr>
            <w:tcW w:w="333" w:type="pct"/>
            <w:vMerge/>
            <w:shd w:val="clear" w:color="auto" w:fill="A6A6A6"/>
            <w:vAlign w:val="center"/>
          </w:tcPr>
          <w:p w14:paraId="423554A8"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14:paraId="12FD95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5662B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obstáculos</w:t>
            </w:r>
          </w:p>
        </w:tc>
        <w:tc>
          <w:tcPr>
            <w:tcW w:w="879" w:type="pct"/>
            <w:vAlign w:val="center"/>
          </w:tcPr>
          <w:p w14:paraId="5BB033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Entendiéndose por obstáculo, todo tipo de elemento que impida la libre circulación en la vía</w:t>
            </w:r>
          </w:p>
        </w:tc>
        <w:tc>
          <w:tcPr>
            <w:tcW w:w="571" w:type="pct"/>
            <w:vAlign w:val="center"/>
          </w:tcPr>
          <w:p w14:paraId="11A5975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18AC644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288F2EE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483" w:type="pct"/>
            <w:vAlign w:val="center"/>
          </w:tcPr>
          <w:p w14:paraId="18069E6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días</w:t>
            </w:r>
          </w:p>
        </w:tc>
        <w:tc>
          <w:tcPr>
            <w:tcW w:w="396" w:type="pct"/>
            <w:vAlign w:val="center"/>
          </w:tcPr>
          <w:p w14:paraId="50F8548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61D06B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BA9C705" w14:textId="77777777" w:rsidTr="00084EE9">
        <w:trPr>
          <w:trHeight w:val="1125"/>
        </w:trPr>
        <w:tc>
          <w:tcPr>
            <w:tcW w:w="333" w:type="pct"/>
            <w:vMerge w:val="restart"/>
            <w:shd w:val="clear" w:color="auto" w:fill="A6A6A6"/>
            <w:textDirection w:val="btLr"/>
            <w:vAlign w:val="center"/>
          </w:tcPr>
          <w:p w14:paraId="62F0573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7" w:type="pct"/>
            <w:vMerge w:val="restart"/>
            <w:vAlign w:val="center"/>
          </w:tcPr>
          <w:p w14:paraId="394DD19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Fis2</w:t>
            </w:r>
          </w:p>
        </w:tc>
        <w:tc>
          <w:tcPr>
            <w:tcW w:w="530" w:type="pct"/>
            <w:vAlign w:val="center"/>
          </w:tcPr>
          <w:p w14:paraId="796E38B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&gt; 3mm de espesor que no estén perfectamente selladas</w:t>
            </w:r>
          </w:p>
        </w:tc>
        <w:tc>
          <w:tcPr>
            <w:tcW w:w="879" w:type="pct"/>
            <w:vAlign w:val="center"/>
          </w:tcPr>
          <w:p w14:paraId="14829A6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14:paraId="716B084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3228C2D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el caso de fisura lineal el área afectada se calcula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multiplicando la longitud de la fisura por 0,50m(área de </w:t>
            </w:r>
            <w:r w:rsidRPr="00B7174F">
              <w:rPr>
                <w:rFonts w:ascii="Arial" w:hAnsi="Arial" w:cs="Arial"/>
                <w:snapToGrid w:val="0"/>
                <w:sz w:val="16"/>
                <w:szCs w:val="16"/>
                <w:lang w:val="es-UY" w:eastAsia="es-ES"/>
              </w:rPr>
              <w:lastRenderedPageBreak/>
              <w:t>influencia)</w:t>
            </w:r>
          </w:p>
        </w:tc>
        <w:tc>
          <w:tcPr>
            <w:tcW w:w="401" w:type="pct"/>
            <w:vAlign w:val="center"/>
          </w:tcPr>
          <w:p w14:paraId="60C682B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0%</w:t>
            </w:r>
          </w:p>
        </w:tc>
        <w:tc>
          <w:tcPr>
            <w:tcW w:w="483" w:type="pct"/>
            <w:vAlign w:val="center"/>
          </w:tcPr>
          <w:p w14:paraId="3A90DE6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62B0D2E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3498F98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59DEC96" w14:textId="77777777" w:rsidTr="00084EE9">
        <w:trPr>
          <w:trHeight w:val="1268"/>
        </w:trPr>
        <w:tc>
          <w:tcPr>
            <w:tcW w:w="333" w:type="pct"/>
            <w:vMerge/>
            <w:shd w:val="clear" w:color="auto" w:fill="A6A6A6"/>
            <w:vAlign w:val="center"/>
          </w:tcPr>
          <w:p w14:paraId="6B450B3E"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Merge/>
            <w:vAlign w:val="center"/>
          </w:tcPr>
          <w:p w14:paraId="52CD304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4C0E2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por fatiga Nivel medio y alto &gt; 2mm que no estén perfectamente selladas</w:t>
            </w:r>
          </w:p>
        </w:tc>
        <w:tc>
          <w:tcPr>
            <w:tcW w:w="879" w:type="pct"/>
            <w:vAlign w:val="center"/>
          </w:tcPr>
          <w:p w14:paraId="16B5FE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interconectadas y ramificadas sin llegar a formar una malla con leve pérdida de material. Fisuras generalizadas en forma de malla, sin pérdida de material y sin deformación de la superficie pavimentada</w:t>
            </w:r>
          </w:p>
        </w:tc>
        <w:tc>
          <w:tcPr>
            <w:tcW w:w="571" w:type="pct"/>
            <w:vAlign w:val="center"/>
          </w:tcPr>
          <w:p w14:paraId="5F02E12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0C859C4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7CC9C9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14:paraId="643F69C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6FCAB61C"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Anual</w:t>
            </w:r>
          </w:p>
        </w:tc>
        <w:tc>
          <w:tcPr>
            <w:tcW w:w="352" w:type="pct"/>
          </w:tcPr>
          <w:p w14:paraId="4EB94BC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4097AC5" w14:textId="77777777" w:rsidTr="00084EE9">
        <w:trPr>
          <w:trHeight w:val="820"/>
        </w:trPr>
        <w:tc>
          <w:tcPr>
            <w:tcW w:w="333" w:type="pct"/>
            <w:vMerge/>
            <w:shd w:val="clear" w:color="auto" w:fill="A6A6A6"/>
          </w:tcPr>
          <w:p w14:paraId="068A0CA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791484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30" w:type="pct"/>
            <w:vAlign w:val="center"/>
          </w:tcPr>
          <w:p w14:paraId="233ADB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Junta calzada banquina&gt; 1mm que no estén perfectamente selladas</w:t>
            </w:r>
          </w:p>
        </w:tc>
        <w:tc>
          <w:tcPr>
            <w:tcW w:w="879" w:type="pct"/>
            <w:vAlign w:val="center"/>
          </w:tcPr>
          <w:p w14:paraId="24159B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71" w:type="pct"/>
            <w:vAlign w:val="center"/>
          </w:tcPr>
          <w:p w14:paraId="6BF49E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longitud sin estar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perfectamente sellada</w:t>
            </w:r>
          </w:p>
        </w:tc>
        <w:tc>
          <w:tcPr>
            <w:tcW w:w="747" w:type="pct"/>
            <w:vAlign w:val="center"/>
          </w:tcPr>
          <w:p w14:paraId="225EB1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la longitud afectada en forma directa</w:t>
            </w:r>
          </w:p>
        </w:tc>
        <w:tc>
          <w:tcPr>
            <w:tcW w:w="401" w:type="pct"/>
            <w:vAlign w:val="center"/>
          </w:tcPr>
          <w:p w14:paraId="25C3E90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w:t>
            </w:r>
          </w:p>
        </w:tc>
        <w:tc>
          <w:tcPr>
            <w:tcW w:w="483" w:type="pct"/>
            <w:vAlign w:val="center"/>
          </w:tcPr>
          <w:p w14:paraId="67D086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45B22FA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5FDBF31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E626D30" w14:textId="77777777" w:rsidTr="00084EE9">
        <w:trPr>
          <w:trHeight w:val="680"/>
        </w:trPr>
        <w:tc>
          <w:tcPr>
            <w:tcW w:w="333" w:type="pct"/>
            <w:vMerge/>
            <w:shd w:val="clear" w:color="auto" w:fill="A6A6A6"/>
          </w:tcPr>
          <w:p w14:paraId="4AB7A0FF"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01A830C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Des2</w:t>
            </w:r>
          </w:p>
        </w:tc>
        <w:tc>
          <w:tcPr>
            <w:tcW w:w="530" w:type="pct"/>
            <w:vAlign w:val="center"/>
          </w:tcPr>
          <w:p w14:paraId="2C64097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Desprendimientos de Nivel medio y bajo</w:t>
            </w:r>
          </w:p>
        </w:tc>
        <w:tc>
          <w:tcPr>
            <w:tcW w:w="879" w:type="pct"/>
            <w:vAlign w:val="center"/>
          </w:tcPr>
          <w:p w14:paraId="14CC563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Desprendimiento de agregados dejando oquedades en la mezcla con densidad notoria</w:t>
            </w:r>
          </w:p>
        </w:tc>
        <w:tc>
          <w:tcPr>
            <w:tcW w:w="571" w:type="pct"/>
            <w:vAlign w:val="center"/>
          </w:tcPr>
          <w:p w14:paraId="7E14CA4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área afectada</w:t>
            </w:r>
          </w:p>
        </w:tc>
        <w:tc>
          <w:tcPr>
            <w:tcW w:w="747" w:type="pct"/>
            <w:vAlign w:val="center"/>
          </w:tcPr>
          <w:p w14:paraId="7EA191E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 en forma directa</w:t>
            </w:r>
          </w:p>
        </w:tc>
        <w:tc>
          <w:tcPr>
            <w:tcW w:w="401" w:type="pct"/>
            <w:vAlign w:val="center"/>
          </w:tcPr>
          <w:p w14:paraId="1767F7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w:t>
            </w:r>
          </w:p>
        </w:tc>
        <w:tc>
          <w:tcPr>
            <w:tcW w:w="483" w:type="pct"/>
            <w:vAlign w:val="center"/>
          </w:tcPr>
          <w:p w14:paraId="0A9E4B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75CE22F3" w14:textId="77777777" w:rsidR="00A3029F" w:rsidRPr="00B7174F" w:rsidRDefault="00A3029F" w:rsidP="00CF69B3">
            <w:pPr>
              <w:widowControl w:val="0"/>
              <w:spacing w:after="0" w:line="240" w:lineRule="auto"/>
              <w:jc w:val="center"/>
              <w:rPr>
                <w:rFonts w:ascii="CG Times" w:hAnsi="CG Times" w:cs="CG Times"/>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14:paraId="001FC8A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09694A8" w14:textId="77777777" w:rsidTr="00084EE9">
        <w:trPr>
          <w:trHeight w:val="550"/>
        </w:trPr>
        <w:tc>
          <w:tcPr>
            <w:tcW w:w="333" w:type="pct"/>
            <w:vMerge/>
            <w:shd w:val="clear" w:color="auto" w:fill="A6A6A6"/>
          </w:tcPr>
          <w:p w14:paraId="0103AA34"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04A52D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Dbh</w:t>
            </w:r>
          </w:p>
        </w:tc>
        <w:tc>
          <w:tcPr>
            <w:tcW w:w="530" w:type="pct"/>
            <w:vAlign w:val="center"/>
          </w:tcPr>
          <w:p w14:paraId="4FD4882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Desnivel entre banquina exterior y hombro banquina</w:t>
            </w:r>
          </w:p>
        </w:tc>
        <w:tc>
          <w:tcPr>
            <w:tcW w:w="879" w:type="pct"/>
            <w:vAlign w:val="center"/>
          </w:tcPr>
          <w:p w14:paraId="27781F8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máxima (banquina exterior- hombro banquina) del desnivel</w:t>
            </w:r>
          </w:p>
        </w:tc>
        <w:tc>
          <w:tcPr>
            <w:tcW w:w="571" w:type="pct"/>
            <w:vAlign w:val="center"/>
          </w:tcPr>
          <w:p w14:paraId="465DA8E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7" w:type="pct"/>
            <w:vAlign w:val="center"/>
          </w:tcPr>
          <w:p w14:paraId="122658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401" w:type="pct"/>
            <w:vAlign w:val="center"/>
          </w:tcPr>
          <w:p w14:paraId="6427909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50 mm</w:t>
            </w:r>
          </w:p>
        </w:tc>
        <w:tc>
          <w:tcPr>
            <w:tcW w:w="483" w:type="pct"/>
            <w:vAlign w:val="center"/>
          </w:tcPr>
          <w:p w14:paraId="5CE3F9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30E9959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52" w:type="pct"/>
          </w:tcPr>
          <w:p w14:paraId="0C1D06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33C6DD24" w14:textId="77777777" w:rsidTr="00084EE9">
        <w:tc>
          <w:tcPr>
            <w:tcW w:w="333" w:type="pct"/>
            <w:vMerge/>
            <w:shd w:val="clear" w:color="auto" w:fill="A6A6A6"/>
          </w:tcPr>
          <w:p w14:paraId="3BD1E180"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07" w:type="pct"/>
            <w:vAlign w:val="center"/>
          </w:tcPr>
          <w:p w14:paraId="7DC4B7A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BMA Hom</w:t>
            </w:r>
          </w:p>
        </w:tc>
        <w:tc>
          <w:tcPr>
            <w:tcW w:w="530" w:type="pct"/>
            <w:vAlign w:val="center"/>
          </w:tcPr>
          <w:p w14:paraId="7EC563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Pérdida de homogeneidad de la superficie original</w:t>
            </w:r>
          </w:p>
        </w:tc>
        <w:tc>
          <w:tcPr>
            <w:tcW w:w="879" w:type="pct"/>
            <w:vAlign w:val="center"/>
          </w:tcPr>
          <w:p w14:paraId="7598074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Cuando la superficie del firme presenta numerosa cantidad de reparaciones que conforman una superficie no homogénea</w:t>
            </w:r>
          </w:p>
        </w:tc>
        <w:tc>
          <w:tcPr>
            <w:tcW w:w="571" w:type="pct"/>
            <w:vAlign w:val="center"/>
          </w:tcPr>
          <w:p w14:paraId="645B992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Tipo y cantidad de reparaciones</w:t>
            </w:r>
          </w:p>
        </w:tc>
        <w:tc>
          <w:tcPr>
            <w:tcW w:w="747" w:type="pct"/>
            <w:vAlign w:val="center"/>
          </w:tcPr>
          <w:p w14:paraId="290EC10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en forma directa</w:t>
            </w:r>
          </w:p>
        </w:tc>
        <w:tc>
          <w:tcPr>
            <w:tcW w:w="401" w:type="pct"/>
            <w:vAlign w:val="center"/>
          </w:tcPr>
          <w:p w14:paraId="361050A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Más de 30 reparaciones realizadas por hectómetro, o más de 100 por kilómetro (baches o tratamientos bituminosos parciales).</w:t>
            </w:r>
          </w:p>
        </w:tc>
        <w:tc>
          <w:tcPr>
            <w:tcW w:w="483" w:type="pct"/>
            <w:vAlign w:val="center"/>
          </w:tcPr>
          <w:p w14:paraId="2AF232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96" w:type="pct"/>
            <w:vAlign w:val="center"/>
          </w:tcPr>
          <w:p w14:paraId="2899041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52" w:type="pct"/>
          </w:tcPr>
          <w:p w14:paraId="113EDD9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6F1E8345" w14:textId="77777777" w:rsidR="00A3029F" w:rsidRPr="00B7174F" w:rsidRDefault="00A3029F" w:rsidP="00CF69B3">
      <w:pPr>
        <w:widowControl w:val="0"/>
        <w:spacing w:after="0" w:line="240" w:lineRule="auto"/>
        <w:jc w:val="both"/>
        <w:rPr>
          <w:rFonts w:ascii="Arial" w:hAnsi="Arial" w:cs="Arial"/>
          <w:b/>
          <w:bCs/>
          <w:snapToGrid w:val="0"/>
          <w:sz w:val="16"/>
          <w:szCs w:val="16"/>
          <w:lang w:val="es-ES_tradnl" w:eastAsia="es-ES"/>
        </w:rPr>
      </w:pPr>
    </w:p>
    <w:p w14:paraId="009EDC11" w14:textId="77777777" w:rsidR="00A3029F" w:rsidRDefault="00A3029F" w:rsidP="00CF69B3">
      <w:pPr>
        <w:widowControl w:val="0"/>
        <w:spacing w:after="0" w:line="240" w:lineRule="auto"/>
        <w:jc w:val="both"/>
        <w:rPr>
          <w:rFonts w:ascii="Arial" w:hAnsi="Arial" w:cs="Arial"/>
          <w:snapToGrid w:val="0"/>
          <w:sz w:val="16"/>
          <w:szCs w:val="16"/>
          <w:lang w:val="es-ES_tradnl" w:eastAsia="es-ES"/>
        </w:rPr>
      </w:pPr>
      <w:r w:rsidRPr="00B7174F">
        <w:rPr>
          <w:rFonts w:ascii="Arial" w:hAnsi="Arial" w:cs="Arial"/>
          <w:b/>
          <w:bCs/>
          <w:snapToGrid w:val="0"/>
          <w:sz w:val="16"/>
          <w:szCs w:val="16"/>
          <w:lang w:val="es-ES_tradnl" w:eastAsia="es-ES"/>
        </w:rPr>
        <w:t>Nota:</w:t>
      </w:r>
      <w:r w:rsidRPr="00B7174F">
        <w:rPr>
          <w:rFonts w:ascii="Arial" w:hAnsi="Arial" w:cs="Arial"/>
          <w:snapToGrid w:val="0"/>
          <w:sz w:val="16"/>
          <w:szCs w:val="16"/>
          <w:lang w:val="es-ES_tradnl" w:eastAsia="es-ES"/>
        </w:rPr>
        <w:t xml:space="preserve"> Los valores exigidos se refieren a la suma de área o longitud afectada en las dos banquinas.</w:t>
      </w:r>
    </w:p>
    <w:p w14:paraId="696D1E2A"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A2B0E9F"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00DCB525"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2E1DF594"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4E62FDE4"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46B2F1FA"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59F9D365"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602F9FC8"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E11B08C"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27AEAC20"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730E031E"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7B9A7847"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700528A9"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0F5D8C1"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4289133E"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FB41508"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5A978FC6"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03737DCB"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00AD8694"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C10873A"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41207D09"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166993C2"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6B562E39"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64383C1D"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5C6704AB"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772AEFAE"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4539E511"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59158495"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298C25F1" w14:textId="77777777" w:rsidR="002860CE" w:rsidRDefault="002860CE" w:rsidP="00CF69B3">
      <w:pPr>
        <w:widowControl w:val="0"/>
        <w:spacing w:after="0" w:line="240" w:lineRule="auto"/>
        <w:jc w:val="both"/>
        <w:rPr>
          <w:rFonts w:ascii="Arial" w:hAnsi="Arial" w:cs="Arial"/>
          <w:snapToGrid w:val="0"/>
          <w:sz w:val="16"/>
          <w:szCs w:val="16"/>
          <w:lang w:val="es-ES_tradnl" w:eastAsia="es-ES"/>
        </w:rPr>
      </w:pPr>
    </w:p>
    <w:p w14:paraId="009851EA" w14:textId="77777777" w:rsidR="002860CE" w:rsidRPr="00B7174F" w:rsidRDefault="002860CE" w:rsidP="00CF69B3">
      <w:pPr>
        <w:widowControl w:val="0"/>
        <w:spacing w:after="0" w:line="240" w:lineRule="auto"/>
        <w:jc w:val="both"/>
        <w:rPr>
          <w:rFonts w:ascii="Arial" w:hAnsi="Arial" w:cs="Arial"/>
          <w:snapToGrid w:val="0"/>
          <w:sz w:val="16"/>
          <w:szCs w:val="16"/>
          <w:lang w:val="es-ES_tradnl" w:eastAsia="es-ES"/>
        </w:rPr>
      </w:pPr>
    </w:p>
    <w:p w14:paraId="6E8B3CCC" w14:textId="77777777" w:rsidR="00A3029F" w:rsidRPr="009C53F5" w:rsidRDefault="00A3029F" w:rsidP="009A58E0">
      <w:pPr>
        <w:pStyle w:val="T2A5"/>
        <w:numPr>
          <w:ilvl w:val="1"/>
          <w:numId w:val="105"/>
        </w:numPr>
        <w:outlineLvl w:val="9"/>
      </w:pPr>
      <w:bookmarkStart w:id="1475" w:name="_Toc400635295"/>
      <w:r w:rsidRPr="00B7174F">
        <w:t>Banquina: Pavimento de Tratamiento Bituminoso.</w:t>
      </w:r>
      <w:bookmarkEnd w:id="147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firstRow="1" w:lastRow="0" w:firstColumn="1" w:lastColumn="0" w:noHBand="0" w:noVBand="0"/>
      </w:tblPr>
      <w:tblGrid>
        <w:gridCol w:w="902"/>
        <w:gridCol w:w="865"/>
        <w:gridCol w:w="1480"/>
        <w:gridCol w:w="2468"/>
        <w:gridCol w:w="1603"/>
        <w:gridCol w:w="2099"/>
        <w:gridCol w:w="1111"/>
        <w:gridCol w:w="1357"/>
        <w:gridCol w:w="1111"/>
        <w:gridCol w:w="996"/>
      </w:tblGrid>
      <w:tr w:rsidR="00A3029F" w:rsidRPr="00B7174F" w14:paraId="0087D8AC" w14:textId="77777777">
        <w:trPr>
          <w:cantSplit/>
          <w:trHeight w:val="567"/>
          <w:tblHeader/>
          <w:jc w:val="center"/>
        </w:trPr>
        <w:tc>
          <w:tcPr>
            <w:tcW w:w="322" w:type="pct"/>
            <w:shd w:val="clear" w:color="auto" w:fill="595959"/>
            <w:vAlign w:val="center"/>
          </w:tcPr>
          <w:p w14:paraId="6EA8403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309" w:type="pct"/>
            <w:shd w:val="clear" w:color="auto" w:fill="595959"/>
            <w:vAlign w:val="center"/>
          </w:tcPr>
          <w:p w14:paraId="47B3745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29" w:type="pct"/>
            <w:shd w:val="clear" w:color="auto" w:fill="595959"/>
            <w:vAlign w:val="center"/>
          </w:tcPr>
          <w:p w14:paraId="4A82EDA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2" w:type="pct"/>
            <w:shd w:val="clear" w:color="auto" w:fill="595959"/>
            <w:vAlign w:val="center"/>
          </w:tcPr>
          <w:p w14:paraId="1BE49E9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573" w:type="pct"/>
            <w:shd w:val="clear" w:color="auto" w:fill="595959"/>
            <w:vAlign w:val="center"/>
          </w:tcPr>
          <w:p w14:paraId="2CA444F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50" w:type="pct"/>
            <w:shd w:val="clear" w:color="auto" w:fill="595959"/>
            <w:vAlign w:val="center"/>
          </w:tcPr>
          <w:p w14:paraId="34F7AB1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97" w:type="pct"/>
            <w:shd w:val="clear" w:color="auto" w:fill="595959"/>
            <w:vAlign w:val="center"/>
          </w:tcPr>
          <w:p w14:paraId="1C6AD9D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5" w:type="pct"/>
            <w:shd w:val="clear" w:color="auto" w:fill="595959"/>
            <w:vAlign w:val="center"/>
          </w:tcPr>
          <w:p w14:paraId="4A33A9B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7" w:type="pct"/>
            <w:shd w:val="clear" w:color="auto" w:fill="595959"/>
            <w:vAlign w:val="center"/>
          </w:tcPr>
          <w:p w14:paraId="3B032D3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56" w:type="pct"/>
            <w:shd w:val="clear" w:color="auto" w:fill="595959"/>
            <w:vAlign w:val="center"/>
          </w:tcPr>
          <w:p w14:paraId="03EB9A3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tc>
      </w:tr>
      <w:tr w:rsidR="00A3029F" w:rsidRPr="00B7174F" w14:paraId="73C0773C" w14:textId="77777777">
        <w:trPr>
          <w:trHeight w:val="755"/>
          <w:jc w:val="center"/>
        </w:trPr>
        <w:tc>
          <w:tcPr>
            <w:tcW w:w="322" w:type="pct"/>
            <w:vMerge w:val="restart"/>
            <w:shd w:val="clear" w:color="auto" w:fill="BFBFBF"/>
            <w:textDirection w:val="btLr"/>
            <w:vAlign w:val="center"/>
          </w:tcPr>
          <w:p w14:paraId="768FE3C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309" w:type="pct"/>
            <w:vMerge w:val="restart"/>
            <w:vAlign w:val="center"/>
          </w:tcPr>
          <w:p w14:paraId="0922F4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Des1</w:t>
            </w:r>
          </w:p>
        </w:tc>
        <w:tc>
          <w:tcPr>
            <w:tcW w:w="529" w:type="pct"/>
            <w:vMerge w:val="restart"/>
            <w:vAlign w:val="center"/>
          </w:tcPr>
          <w:p w14:paraId="1D0A034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Reducción del ancho de superficie de rodadura</w:t>
            </w:r>
          </w:p>
        </w:tc>
        <w:tc>
          <w:tcPr>
            <w:tcW w:w="882" w:type="pct"/>
            <w:vAlign w:val="center"/>
          </w:tcPr>
          <w:p w14:paraId="242D7B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Disminución (en </w:t>
            </w:r>
            <w:r w:rsidR="00120471" w:rsidRPr="00B7174F">
              <w:rPr>
                <w:rFonts w:ascii="Arial" w:hAnsi="Arial" w:cs="Arial"/>
                <w:snapToGrid w:val="0"/>
                <w:sz w:val="16"/>
                <w:szCs w:val="16"/>
                <w:lang w:val="es-UY" w:eastAsia="es-UY"/>
              </w:rPr>
              <w:t>más</w:t>
            </w:r>
            <w:r w:rsidRPr="00B7174F">
              <w:rPr>
                <w:rFonts w:ascii="Arial" w:hAnsi="Arial" w:cs="Arial"/>
                <w:snapToGrid w:val="0"/>
                <w:sz w:val="16"/>
                <w:szCs w:val="16"/>
                <w:lang w:val="es-UY" w:eastAsia="es-UY"/>
              </w:rPr>
              <w:t xml:space="preserve"> de 0,20 m) del ancho del firme definido en el inventario de la DNV</w:t>
            </w:r>
          </w:p>
        </w:tc>
        <w:tc>
          <w:tcPr>
            <w:tcW w:w="573" w:type="pct"/>
            <w:vAlign w:val="center"/>
          </w:tcPr>
          <w:p w14:paraId="7FD5EE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del hectómetro afectadas</w:t>
            </w:r>
          </w:p>
        </w:tc>
        <w:tc>
          <w:tcPr>
            <w:tcW w:w="750" w:type="pct"/>
            <w:vAlign w:val="center"/>
          </w:tcPr>
          <w:p w14:paraId="4D38C7D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w:t>
            </w:r>
          </w:p>
        </w:tc>
        <w:tc>
          <w:tcPr>
            <w:tcW w:w="397" w:type="pct"/>
            <w:vAlign w:val="center"/>
          </w:tcPr>
          <w:p w14:paraId="1658124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Merge w:val="restart"/>
            <w:vAlign w:val="center"/>
          </w:tcPr>
          <w:p w14:paraId="4BC1C89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14 días</w:t>
            </w:r>
          </w:p>
        </w:tc>
        <w:tc>
          <w:tcPr>
            <w:tcW w:w="397" w:type="pct"/>
            <w:vAlign w:val="center"/>
          </w:tcPr>
          <w:p w14:paraId="643A304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275B47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003E142D" w14:textId="77777777">
        <w:trPr>
          <w:trHeight w:val="1248"/>
          <w:jc w:val="center"/>
        </w:trPr>
        <w:tc>
          <w:tcPr>
            <w:tcW w:w="322" w:type="pct"/>
            <w:vMerge/>
            <w:shd w:val="clear" w:color="auto" w:fill="BFBFBF"/>
            <w:vAlign w:val="center"/>
          </w:tcPr>
          <w:p w14:paraId="39AB32A2"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77C231D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Merge/>
            <w:vAlign w:val="center"/>
          </w:tcPr>
          <w:p w14:paraId="6FFDE4E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882" w:type="pct"/>
            <w:vAlign w:val="center"/>
          </w:tcPr>
          <w:p w14:paraId="7A438B4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Disminución menor a</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10% del ancho del firme definido en el inventario de la D.N.V</w:t>
            </w:r>
          </w:p>
        </w:tc>
        <w:tc>
          <w:tcPr>
            <w:tcW w:w="573" w:type="pct"/>
            <w:vAlign w:val="center"/>
          </w:tcPr>
          <w:p w14:paraId="0C43B58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del firme dentro del hectómetro afectado</w:t>
            </w:r>
          </w:p>
        </w:tc>
        <w:tc>
          <w:tcPr>
            <w:tcW w:w="750" w:type="pct"/>
            <w:vAlign w:val="center"/>
          </w:tcPr>
          <w:p w14:paraId="1C98E56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mide el ancho de firme, se calcula % disminución respecto al ancho definido. Se mide longitud de la zona afectada, se calcula % respecto a la long. de la muestra</w:t>
            </w:r>
          </w:p>
        </w:tc>
        <w:tc>
          <w:tcPr>
            <w:tcW w:w="397" w:type="pct"/>
            <w:vAlign w:val="center"/>
          </w:tcPr>
          <w:p w14:paraId="30A63C1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15%</w:t>
            </w:r>
          </w:p>
        </w:tc>
        <w:tc>
          <w:tcPr>
            <w:tcW w:w="485" w:type="pct"/>
            <w:vMerge/>
            <w:vAlign w:val="center"/>
          </w:tcPr>
          <w:p w14:paraId="745C591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15D257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4180AB7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7FDBD6FD" w14:textId="77777777">
        <w:trPr>
          <w:trHeight w:val="546"/>
          <w:jc w:val="center"/>
        </w:trPr>
        <w:tc>
          <w:tcPr>
            <w:tcW w:w="322" w:type="pct"/>
            <w:vMerge/>
            <w:shd w:val="clear" w:color="auto" w:fill="BFBFBF"/>
            <w:vAlign w:val="center"/>
          </w:tcPr>
          <w:p w14:paraId="6898BB11"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464D684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Align w:val="center"/>
          </w:tcPr>
          <w:p w14:paraId="22A619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alto</w:t>
            </w:r>
          </w:p>
        </w:tc>
        <w:tc>
          <w:tcPr>
            <w:tcW w:w="882" w:type="pct"/>
            <w:vAlign w:val="center"/>
          </w:tcPr>
          <w:p w14:paraId="5924761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parte del firme</w:t>
            </w:r>
          </w:p>
        </w:tc>
        <w:tc>
          <w:tcPr>
            <w:tcW w:w="573" w:type="pct"/>
            <w:vAlign w:val="center"/>
          </w:tcPr>
          <w:p w14:paraId="66D2F3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45DFAFB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31654B8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160EAB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4BD119A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2FD0FF3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54E6BE90" w14:textId="77777777">
        <w:trPr>
          <w:trHeight w:val="583"/>
          <w:jc w:val="center"/>
        </w:trPr>
        <w:tc>
          <w:tcPr>
            <w:tcW w:w="322" w:type="pct"/>
            <w:vMerge/>
            <w:shd w:val="clear" w:color="auto" w:fill="BFBFBF"/>
            <w:vAlign w:val="center"/>
          </w:tcPr>
          <w:p w14:paraId="2FD3AB56"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6660CCC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29" w:type="pct"/>
            <w:vAlign w:val="center"/>
          </w:tcPr>
          <w:p w14:paraId="2A9D7DA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Pozos</w:t>
            </w:r>
          </w:p>
        </w:tc>
        <w:tc>
          <w:tcPr>
            <w:tcW w:w="882" w:type="pct"/>
            <w:vAlign w:val="center"/>
          </w:tcPr>
          <w:p w14:paraId="76EB78A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Cavidades producidas en el firme de forma irregular y diferentes tamaños</w:t>
            </w:r>
          </w:p>
        </w:tc>
        <w:tc>
          <w:tcPr>
            <w:tcW w:w="573" w:type="pct"/>
            <w:vAlign w:val="center"/>
          </w:tcPr>
          <w:p w14:paraId="428106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6AE8CF9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14:paraId="006FCF8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5C7976E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0 </w:t>
            </w:r>
            <w:r w:rsidR="00120471" w:rsidRPr="00B7174F">
              <w:rPr>
                <w:rFonts w:ascii="Arial" w:hAnsi="Arial" w:cs="Arial"/>
                <w:snapToGrid w:val="0"/>
                <w:sz w:val="16"/>
                <w:szCs w:val="16"/>
                <w:lang w:val="es-UY" w:eastAsia="es-UY"/>
              </w:rPr>
              <w:t>día</w:t>
            </w:r>
          </w:p>
        </w:tc>
        <w:tc>
          <w:tcPr>
            <w:tcW w:w="397" w:type="pct"/>
            <w:vAlign w:val="center"/>
          </w:tcPr>
          <w:p w14:paraId="3AD4A98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0B79A6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1802470B" w14:textId="77777777">
        <w:trPr>
          <w:trHeight w:val="931"/>
          <w:jc w:val="center"/>
        </w:trPr>
        <w:tc>
          <w:tcPr>
            <w:tcW w:w="322" w:type="pct"/>
            <w:vMerge/>
            <w:shd w:val="clear" w:color="auto" w:fill="BFBFBF"/>
            <w:vAlign w:val="center"/>
          </w:tcPr>
          <w:p w14:paraId="33298935"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5B81897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Fis1</w:t>
            </w:r>
          </w:p>
        </w:tc>
        <w:tc>
          <w:tcPr>
            <w:tcW w:w="529" w:type="pct"/>
            <w:vAlign w:val="center"/>
          </w:tcPr>
          <w:p w14:paraId="1384C5C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por fatiga Nivel medio y alto con deformación y/o desprendimiento</w:t>
            </w:r>
          </w:p>
        </w:tc>
        <w:tc>
          <w:tcPr>
            <w:tcW w:w="882" w:type="pct"/>
            <w:vAlign w:val="center"/>
          </w:tcPr>
          <w:p w14:paraId="67A401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generalizadas en forma de malla cerrada y fisuras generalizadas con desprendimiento de material y o deformación mayor a 15mm.</w:t>
            </w:r>
          </w:p>
        </w:tc>
        <w:tc>
          <w:tcPr>
            <w:tcW w:w="573" w:type="pct"/>
            <w:vAlign w:val="center"/>
          </w:tcPr>
          <w:p w14:paraId="19D43A3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7DCA91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5F48FB7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0DE38D2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7 días</w:t>
            </w:r>
          </w:p>
        </w:tc>
        <w:tc>
          <w:tcPr>
            <w:tcW w:w="397" w:type="pct"/>
            <w:vAlign w:val="center"/>
          </w:tcPr>
          <w:p w14:paraId="6DAAB5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4910791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791E8636" w14:textId="77777777">
        <w:trPr>
          <w:trHeight w:val="1411"/>
          <w:jc w:val="center"/>
        </w:trPr>
        <w:tc>
          <w:tcPr>
            <w:tcW w:w="322" w:type="pct"/>
            <w:vMerge/>
            <w:shd w:val="clear" w:color="auto" w:fill="BFBFBF"/>
            <w:vAlign w:val="center"/>
          </w:tcPr>
          <w:p w14:paraId="2A6C22C0"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117DEA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Bac</w:t>
            </w:r>
          </w:p>
        </w:tc>
        <w:tc>
          <w:tcPr>
            <w:tcW w:w="529" w:type="pct"/>
            <w:vAlign w:val="center"/>
          </w:tcPr>
          <w:p w14:paraId="269E016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Baches Nivel medio y alto</w:t>
            </w:r>
          </w:p>
        </w:tc>
        <w:tc>
          <w:tcPr>
            <w:tcW w:w="882" w:type="pct"/>
            <w:vAlign w:val="center"/>
          </w:tcPr>
          <w:p w14:paraId="16A8454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Reparaciones localizadas realizadas en el pavimento que presenten deterioro, desniveles, deformaciones, que</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no estén perfectamente recuadrados o con un material que no tenga igual comportamiento que el pavimento circundante</w:t>
            </w:r>
          </w:p>
        </w:tc>
        <w:tc>
          <w:tcPr>
            <w:tcW w:w="573" w:type="pct"/>
            <w:vAlign w:val="center"/>
          </w:tcPr>
          <w:p w14:paraId="50776AF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1050922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w:t>
            </w:r>
          </w:p>
        </w:tc>
        <w:tc>
          <w:tcPr>
            <w:tcW w:w="397" w:type="pct"/>
            <w:vAlign w:val="center"/>
          </w:tcPr>
          <w:p w14:paraId="7E04A48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1327F91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 días</w:t>
            </w:r>
          </w:p>
        </w:tc>
        <w:tc>
          <w:tcPr>
            <w:tcW w:w="397" w:type="pct"/>
            <w:vAlign w:val="center"/>
          </w:tcPr>
          <w:p w14:paraId="7F8C273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3ECA7C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74032B7C" w14:textId="77777777">
        <w:trPr>
          <w:trHeight w:val="1235"/>
          <w:jc w:val="center"/>
        </w:trPr>
        <w:tc>
          <w:tcPr>
            <w:tcW w:w="322" w:type="pct"/>
            <w:vMerge/>
            <w:shd w:val="clear" w:color="auto" w:fill="BFBFBF"/>
            <w:vAlign w:val="center"/>
          </w:tcPr>
          <w:p w14:paraId="230FC5B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2F21FB3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Ahu</w:t>
            </w:r>
          </w:p>
        </w:tc>
        <w:tc>
          <w:tcPr>
            <w:tcW w:w="529" w:type="pct"/>
            <w:vAlign w:val="center"/>
          </w:tcPr>
          <w:p w14:paraId="45B03E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Ahuellamiento y hundimiento Nivel medio y alto</w:t>
            </w:r>
          </w:p>
        </w:tc>
        <w:tc>
          <w:tcPr>
            <w:tcW w:w="882" w:type="pct"/>
            <w:vAlign w:val="center"/>
          </w:tcPr>
          <w:p w14:paraId="155EAC4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Alteración del Nivel de la superficie de banquina por hundimiento &gt;15mm</w:t>
            </w:r>
          </w:p>
        </w:tc>
        <w:tc>
          <w:tcPr>
            <w:tcW w:w="573" w:type="pct"/>
            <w:vAlign w:val="center"/>
          </w:tcPr>
          <w:p w14:paraId="6C04162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73D3BC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multiplicando la longitud afectada por el ancho de la huella según se indica en el Instructivo de Relevamiento de Fallas (*)</w:t>
            </w:r>
          </w:p>
        </w:tc>
        <w:tc>
          <w:tcPr>
            <w:tcW w:w="397" w:type="pct"/>
            <w:vAlign w:val="center"/>
          </w:tcPr>
          <w:p w14:paraId="1CE9BF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w:t>
            </w:r>
          </w:p>
        </w:tc>
        <w:tc>
          <w:tcPr>
            <w:tcW w:w="485" w:type="pct"/>
            <w:vAlign w:val="center"/>
          </w:tcPr>
          <w:p w14:paraId="4E63E8F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9 días</w:t>
            </w:r>
          </w:p>
        </w:tc>
        <w:tc>
          <w:tcPr>
            <w:tcW w:w="397" w:type="pct"/>
            <w:vAlign w:val="center"/>
          </w:tcPr>
          <w:p w14:paraId="69ED1B4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483D556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6E5FFBB3" w14:textId="77777777">
        <w:trPr>
          <w:trHeight w:val="810"/>
          <w:jc w:val="center"/>
        </w:trPr>
        <w:tc>
          <w:tcPr>
            <w:tcW w:w="322" w:type="pct"/>
            <w:vMerge/>
            <w:shd w:val="clear" w:color="auto" w:fill="BFBFBF"/>
            <w:vAlign w:val="center"/>
          </w:tcPr>
          <w:p w14:paraId="38A81BAC"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243A77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Exu1</w:t>
            </w:r>
          </w:p>
        </w:tc>
        <w:tc>
          <w:tcPr>
            <w:tcW w:w="529" w:type="pct"/>
            <w:vAlign w:val="center"/>
          </w:tcPr>
          <w:p w14:paraId="720406D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Exudación de Nivel alto</w:t>
            </w:r>
          </w:p>
        </w:tc>
        <w:tc>
          <w:tcPr>
            <w:tcW w:w="882" w:type="pct"/>
            <w:vAlign w:val="center"/>
          </w:tcPr>
          <w:p w14:paraId="1F87E83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Presencia de ligante en zonas de la superficie de la banquina tal que la exudación cubre totalmente el agregado</w:t>
            </w:r>
          </w:p>
        </w:tc>
        <w:tc>
          <w:tcPr>
            <w:tcW w:w="573" w:type="pct"/>
            <w:vAlign w:val="center"/>
          </w:tcPr>
          <w:p w14:paraId="3BE5163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5E91522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080A9CA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w:t>
            </w:r>
          </w:p>
        </w:tc>
        <w:tc>
          <w:tcPr>
            <w:tcW w:w="485" w:type="pct"/>
            <w:vAlign w:val="center"/>
          </w:tcPr>
          <w:p w14:paraId="1A27B83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00D3B74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14:paraId="552B04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7B4A5810" w14:textId="77777777">
        <w:trPr>
          <w:trHeight w:val="409"/>
          <w:jc w:val="center"/>
        </w:trPr>
        <w:tc>
          <w:tcPr>
            <w:tcW w:w="322" w:type="pct"/>
            <w:vMerge/>
            <w:shd w:val="clear" w:color="auto" w:fill="BFBFBF"/>
            <w:vAlign w:val="center"/>
          </w:tcPr>
          <w:p w14:paraId="734801ED"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2C7EE3B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BTB Dcb</w:t>
            </w:r>
          </w:p>
        </w:tc>
        <w:tc>
          <w:tcPr>
            <w:tcW w:w="529" w:type="pct"/>
            <w:vAlign w:val="center"/>
          </w:tcPr>
          <w:p w14:paraId="1AF2149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calzada y banquina</w:t>
            </w:r>
          </w:p>
        </w:tc>
        <w:tc>
          <w:tcPr>
            <w:tcW w:w="882" w:type="pct"/>
            <w:vAlign w:val="center"/>
          </w:tcPr>
          <w:p w14:paraId="540C67B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(calzada- banquina) del desnivel</w:t>
            </w:r>
          </w:p>
        </w:tc>
        <w:tc>
          <w:tcPr>
            <w:tcW w:w="573" w:type="pct"/>
            <w:vAlign w:val="center"/>
          </w:tcPr>
          <w:p w14:paraId="7AF33A7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6017759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7F0649A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20 mm</w:t>
            </w:r>
          </w:p>
        </w:tc>
        <w:tc>
          <w:tcPr>
            <w:tcW w:w="485" w:type="pct"/>
            <w:vAlign w:val="center"/>
          </w:tcPr>
          <w:p w14:paraId="2F44E09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 días</w:t>
            </w:r>
          </w:p>
        </w:tc>
        <w:tc>
          <w:tcPr>
            <w:tcW w:w="397" w:type="pct"/>
            <w:vAlign w:val="center"/>
          </w:tcPr>
          <w:p w14:paraId="0069C99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566940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5A6C3366" w14:textId="77777777">
        <w:trPr>
          <w:trHeight w:val="957"/>
          <w:jc w:val="center"/>
        </w:trPr>
        <w:tc>
          <w:tcPr>
            <w:tcW w:w="322" w:type="pct"/>
            <w:vMerge/>
            <w:shd w:val="clear" w:color="auto" w:fill="BFBFBF"/>
            <w:vAlign w:val="center"/>
          </w:tcPr>
          <w:p w14:paraId="6E2165F4"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restart"/>
            <w:vAlign w:val="center"/>
          </w:tcPr>
          <w:p w14:paraId="1251437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Otr</w:t>
            </w:r>
          </w:p>
        </w:tc>
        <w:tc>
          <w:tcPr>
            <w:tcW w:w="529" w:type="pct"/>
            <w:vAlign w:val="center"/>
          </w:tcPr>
          <w:p w14:paraId="52970A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material suelto</w:t>
            </w:r>
          </w:p>
        </w:tc>
        <w:tc>
          <w:tcPr>
            <w:tcW w:w="882" w:type="pct"/>
            <w:vAlign w:val="center"/>
          </w:tcPr>
          <w:p w14:paraId="0775B0F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material suelto cualquier tipo de material que no permitiera la correcta adherencia del neumático con la superficie de rodadura</w:t>
            </w:r>
          </w:p>
        </w:tc>
        <w:tc>
          <w:tcPr>
            <w:tcW w:w="573" w:type="pct"/>
            <w:vAlign w:val="center"/>
          </w:tcPr>
          <w:p w14:paraId="4911932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4247CA5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572B214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2CA8BC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1 </w:t>
            </w:r>
            <w:r w:rsidR="00120471" w:rsidRPr="00B7174F">
              <w:rPr>
                <w:rFonts w:ascii="Arial" w:hAnsi="Arial" w:cs="Arial"/>
                <w:snapToGrid w:val="0"/>
                <w:sz w:val="16"/>
                <w:szCs w:val="16"/>
                <w:lang w:val="es-UY" w:eastAsia="es-UY"/>
              </w:rPr>
              <w:t>día</w:t>
            </w:r>
          </w:p>
        </w:tc>
        <w:tc>
          <w:tcPr>
            <w:tcW w:w="397" w:type="pct"/>
            <w:vAlign w:val="center"/>
          </w:tcPr>
          <w:p w14:paraId="6059D8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1D6D9B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1FBAF129" w14:textId="77777777">
        <w:trPr>
          <w:trHeight w:val="533"/>
          <w:jc w:val="center"/>
        </w:trPr>
        <w:tc>
          <w:tcPr>
            <w:tcW w:w="322" w:type="pct"/>
            <w:vMerge/>
            <w:shd w:val="clear" w:color="auto" w:fill="BFBFBF"/>
            <w:vAlign w:val="center"/>
          </w:tcPr>
          <w:p w14:paraId="03FCC71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136F956E"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vAlign w:val="center"/>
          </w:tcPr>
          <w:p w14:paraId="3AC4540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Existencia de obstáculos</w:t>
            </w:r>
          </w:p>
        </w:tc>
        <w:tc>
          <w:tcPr>
            <w:tcW w:w="882" w:type="pct"/>
            <w:vAlign w:val="center"/>
          </w:tcPr>
          <w:p w14:paraId="18D8A42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Entendiéndose por obstáculo, todo tipo de elemento que impida la libre circulación en la vía</w:t>
            </w:r>
          </w:p>
        </w:tc>
        <w:tc>
          <w:tcPr>
            <w:tcW w:w="573" w:type="pct"/>
            <w:vAlign w:val="center"/>
          </w:tcPr>
          <w:p w14:paraId="4A1E3F9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0579578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1B1F6BD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1F7938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 días</w:t>
            </w:r>
          </w:p>
        </w:tc>
        <w:tc>
          <w:tcPr>
            <w:tcW w:w="397" w:type="pct"/>
            <w:vAlign w:val="center"/>
          </w:tcPr>
          <w:p w14:paraId="086DEA9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BCDC2E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368F85C8" w14:textId="77777777">
        <w:trPr>
          <w:trHeight w:val="1108"/>
          <w:jc w:val="center"/>
        </w:trPr>
        <w:tc>
          <w:tcPr>
            <w:tcW w:w="322" w:type="pct"/>
            <w:vMerge w:val="restart"/>
            <w:shd w:val="clear" w:color="000000" w:fill="BFBFBF"/>
            <w:textDirection w:val="btLr"/>
            <w:vAlign w:val="center"/>
          </w:tcPr>
          <w:p w14:paraId="61C2724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309" w:type="pct"/>
            <w:vMerge w:val="restart"/>
            <w:vAlign w:val="center"/>
          </w:tcPr>
          <w:p w14:paraId="7BA628F0"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Fis2</w:t>
            </w:r>
          </w:p>
        </w:tc>
        <w:tc>
          <w:tcPr>
            <w:tcW w:w="529" w:type="pct"/>
            <w:vAlign w:val="center"/>
          </w:tcPr>
          <w:p w14:paraId="307D6CA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&gt; 3mm de espesor que no estén perfectamente selladas</w:t>
            </w:r>
          </w:p>
        </w:tc>
        <w:tc>
          <w:tcPr>
            <w:tcW w:w="882" w:type="pct"/>
            <w:vAlign w:val="center"/>
          </w:tcPr>
          <w:p w14:paraId="56BE516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73" w:type="pct"/>
            <w:vAlign w:val="center"/>
          </w:tcPr>
          <w:p w14:paraId="5E45DD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3952EFC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el caso de fisura lineal el área afectada se calcula</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multiplicando la longitud de la fisura por 0,50m(área de influencia)</w:t>
            </w:r>
          </w:p>
        </w:tc>
        <w:tc>
          <w:tcPr>
            <w:tcW w:w="397" w:type="pct"/>
            <w:vAlign w:val="center"/>
          </w:tcPr>
          <w:p w14:paraId="3DC4894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0%</w:t>
            </w:r>
          </w:p>
        </w:tc>
        <w:tc>
          <w:tcPr>
            <w:tcW w:w="485" w:type="pct"/>
            <w:vAlign w:val="center"/>
          </w:tcPr>
          <w:p w14:paraId="37D3D55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54AC554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2515DF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79CC7041" w14:textId="77777777">
        <w:trPr>
          <w:trHeight w:val="1108"/>
          <w:jc w:val="center"/>
        </w:trPr>
        <w:tc>
          <w:tcPr>
            <w:tcW w:w="322" w:type="pct"/>
            <w:vMerge/>
            <w:vAlign w:val="center"/>
          </w:tcPr>
          <w:p w14:paraId="3B0C1F9A"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5B251788"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shd w:val="clear" w:color="000000" w:fill="FFFFFF"/>
            <w:vAlign w:val="center"/>
          </w:tcPr>
          <w:p w14:paraId="3904AC4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 xml:space="preserve">Fisuras por fatiga Nivel medio y alto </w:t>
            </w:r>
            <w:r w:rsidR="00A314F1" w:rsidRPr="00DE0594">
              <w:rPr>
                <w:rFonts w:ascii="Arial" w:hAnsi="Arial" w:cs="Arial"/>
                <w:snapToGrid w:val="0"/>
                <w:sz w:val="16"/>
                <w:szCs w:val="16"/>
                <w:lang w:val="es-UY" w:eastAsia="es-UY"/>
              </w:rPr>
              <w:t>&lt; 3mm que no</w:t>
            </w:r>
            <w:r w:rsidRPr="00B7174F">
              <w:rPr>
                <w:rFonts w:ascii="Arial" w:hAnsi="Arial" w:cs="Arial"/>
                <w:snapToGrid w:val="0"/>
                <w:sz w:val="16"/>
                <w:szCs w:val="16"/>
                <w:lang w:val="es-UY" w:eastAsia="es-UY"/>
              </w:rPr>
              <w:t xml:space="preserve"> estén perfectamente selladas</w:t>
            </w:r>
          </w:p>
        </w:tc>
        <w:tc>
          <w:tcPr>
            <w:tcW w:w="882" w:type="pct"/>
            <w:shd w:val="clear" w:color="000000" w:fill="FFFFFF"/>
            <w:vAlign w:val="center"/>
          </w:tcPr>
          <w:p w14:paraId="0351DA8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Fisuras interconectadas y ramificadas sin llegar a formar una malla con leve pérdida de material. Fisuras generalizadas en forma de malla, sin pérdida de material y sin deformación de la superficie pavimentada</w:t>
            </w:r>
          </w:p>
        </w:tc>
        <w:tc>
          <w:tcPr>
            <w:tcW w:w="573" w:type="pct"/>
            <w:shd w:val="clear" w:color="000000" w:fill="FFFFFF"/>
            <w:vAlign w:val="center"/>
          </w:tcPr>
          <w:p w14:paraId="7639A33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shd w:val="clear" w:color="000000" w:fill="FFFFFF"/>
            <w:vAlign w:val="center"/>
          </w:tcPr>
          <w:p w14:paraId="1C367E7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shd w:val="clear" w:color="000000" w:fill="FFFFFF"/>
            <w:vAlign w:val="center"/>
          </w:tcPr>
          <w:p w14:paraId="719DBEB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w:t>
            </w:r>
          </w:p>
        </w:tc>
        <w:tc>
          <w:tcPr>
            <w:tcW w:w="485" w:type="pct"/>
            <w:shd w:val="clear" w:color="000000" w:fill="FFFFFF"/>
            <w:vAlign w:val="center"/>
          </w:tcPr>
          <w:p w14:paraId="4BA97FF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shd w:val="clear" w:color="000000" w:fill="FFFFFF"/>
            <w:vAlign w:val="center"/>
          </w:tcPr>
          <w:p w14:paraId="409FF822" w14:textId="77777777" w:rsidR="00A3029F" w:rsidRPr="00B7174F" w:rsidRDefault="00A314F1" w:rsidP="00CF69B3">
            <w:pPr>
              <w:widowControl w:val="0"/>
              <w:spacing w:after="0" w:line="240" w:lineRule="auto"/>
              <w:jc w:val="center"/>
              <w:rPr>
                <w:rFonts w:ascii="Arial" w:hAnsi="Arial" w:cs="Arial"/>
                <w:snapToGrid w:val="0"/>
                <w:sz w:val="16"/>
                <w:szCs w:val="16"/>
                <w:lang w:val="es-UY" w:eastAsia="es-UY"/>
              </w:rPr>
            </w:pPr>
            <w:r w:rsidRPr="00DE0594">
              <w:rPr>
                <w:rFonts w:ascii="Arial" w:hAnsi="Arial" w:cs="Arial"/>
                <w:snapToGrid w:val="0"/>
                <w:sz w:val="16"/>
                <w:szCs w:val="16"/>
                <w:lang w:val="es-UY" w:eastAsia="es-UY"/>
              </w:rPr>
              <w:t>Trimestral</w:t>
            </w:r>
          </w:p>
        </w:tc>
        <w:tc>
          <w:tcPr>
            <w:tcW w:w="356" w:type="pct"/>
            <w:shd w:val="clear" w:color="000000" w:fill="FFFFFF"/>
            <w:vAlign w:val="center"/>
          </w:tcPr>
          <w:p w14:paraId="53FF07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25B1C10D" w14:textId="77777777" w:rsidTr="00084EE9">
        <w:trPr>
          <w:trHeight w:val="836"/>
          <w:jc w:val="center"/>
        </w:trPr>
        <w:tc>
          <w:tcPr>
            <w:tcW w:w="322" w:type="pct"/>
            <w:vMerge/>
            <w:vAlign w:val="center"/>
          </w:tcPr>
          <w:p w14:paraId="32FB6C65"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ign w:val="center"/>
          </w:tcPr>
          <w:p w14:paraId="727A1F0D"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529" w:type="pct"/>
            <w:vAlign w:val="center"/>
          </w:tcPr>
          <w:p w14:paraId="5206370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Junta calzada banquina&gt; 1mm que no estén perfectamente selladas</w:t>
            </w:r>
          </w:p>
        </w:tc>
        <w:tc>
          <w:tcPr>
            <w:tcW w:w="882" w:type="pct"/>
            <w:vAlign w:val="center"/>
          </w:tcPr>
          <w:p w14:paraId="537AB4F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573" w:type="pct"/>
            <w:vAlign w:val="center"/>
          </w:tcPr>
          <w:p w14:paraId="257DD1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la longitud sin estar</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perfectamente sellada</w:t>
            </w:r>
          </w:p>
        </w:tc>
        <w:tc>
          <w:tcPr>
            <w:tcW w:w="750" w:type="pct"/>
            <w:vAlign w:val="center"/>
          </w:tcPr>
          <w:p w14:paraId="66C9F80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la longitud afectada en forma directa</w:t>
            </w:r>
          </w:p>
        </w:tc>
        <w:tc>
          <w:tcPr>
            <w:tcW w:w="397" w:type="pct"/>
            <w:vAlign w:val="center"/>
          </w:tcPr>
          <w:p w14:paraId="6D3DEF20" w14:textId="77777777" w:rsidR="00A3029F" w:rsidRPr="00B7174F" w:rsidRDefault="00A314F1" w:rsidP="00CF69B3">
            <w:pPr>
              <w:widowControl w:val="0"/>
              <w:spacing w:after="0" w:line="240" w:lineRule="auto"/>
              <w:jc w:val="center"/>
              <w:rPr>
                <w:rFonts w:ascii="Arial" w:hAnsi="Arial" w:cs="Arial"/>
                <w:snapToGrid w:val="0"/>
                <w:sz w:val="16"/>
                <w:szCs w:val="16"/>
                <w:lang w:val="es-UY" w:eastAsia="es-UY"/>
              </w:rPr>
            </w:pPr>
            <w:r w:rsidRPr="00DE0594">
              <w:rPr>
                <w:rFonts w:ascii="Arial" w:hAnsi="Arial" w:cs="Arial"/>
                <w:snapToGrid w:val="0"/>
                <w:sz w:val="16"/>
                <w:szCs w:val="16"/>
                <w:lang w:val="es-UY" w:eastAsia="es-UY"/>
              </w:rPr>
              <w:t>10%</w:t>
            </w:r>
          </w:p>
        </w:tc>
        <w:tc>
          <w:tcPr>
            <w:tcW w:w="485" w:type="pct"/>
            <w:vAlign w:val="center"/>
          </w:tcPr>
          <w:p w14:paraId="7C0B87B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6163A49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46AE3EF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02284742" w14:textId="77777777" w:rsidTr="00084EE9">
        <w:trPr>
          <w:trHeight w:val="551"/>
          <w:jc w:val="center"/>
        </w:trPr>
        <w:tc>
          <w:tcPr>
            <w:tcW w:w="322" w:type="pct"/>
            <w:vMerge/>
            <w:vAlign w:val="center"/>
          </w:tcPr>
          <w:p w14:paraId="2F47E238"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73BE57A8"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Des2</w:t>
            </w:r>
          </w:p>
        </w:tc>
        <w:tc>
          <w:tcPr>
            <w:tcW w:w="529" w:type="pct"/>
            <w:vAlign w:val="center"/>
          </w:tcPr>
          <w:p w14:paraId="6835B5A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Desprendimientos de Nivel medio y bajo</w:t>
            </w:r>
          </w:p>
        </w:tc>
        <w:tc>
          <w:tcPr>
            <w:tcW w:w="882" w:type="pct"/>
            <w:vAlign w:val="center"/>
          </w:tcPr>
          <w:p w14:paraId="6F86979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Desprendimiento de toda la piedra del tratamiento</w:t>
            </w:r>
          </w:p>
        </w:tc>
        <w:tc>
          <w:tcPr>
            <w:tcW w:w="573" w:type="pct"/>
            <w:vAlign w:val="center"/>
          </w:tcPr>
          <w:p w14:paraId="19735AF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Porcentaje máximo de área afectada</w:t>
            </w:r>
          </w:p>
        </w:tc>
        <w:tc>
          <w:tcPr>
            <w:tcW w:w="750" w:type="pct"/>
            <w:vAlign w:val="center"/>
          </w:tcPr>
          <w:p w14:paraId="7975BC8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el área afectada en forma directa</w:t>
            </w:r>
          </w:p>
        </w:tc>
        <w:tc>
          <w:tcPr>
            <w:tcW w:w="397" w:type="pct"/>
            <w:vAlign w:val="center"/>
          </w:tcPr>
          <w:p w14:paraId="34CE581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30%</w:t>
            </w:r>
          </w:p>
        </w:tc>
        <w:tc>
          <w:tcPr>
            <w:tcW w:w="485" w:type="pct"/>
            <w:vAlign w:val="center"/>
          </w:tcPr>
          <w:p w14:paraId="6B173F0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75DAD2D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Semestral</w:t>
            </w:r>
          </w:p>
        </w:tc>
        <w:tc>
          <w:tcPr>
            <w:tcW w:w="356" w:type="pct"/>
            <w:vAlign w:val="center"/>
          </w:tcPr>
          <w:p w14:paraId="66D7DC3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4DAD4C2D" w14:textId="77777777" w:rsidTr="00084EE9">
        <w:trPr>
          <w:trHeight w:val="625"/>
          <w:jc w:val="center"/>
        </w:trPr>
        <w:tc>
          <w:tcPr>
            <w:tcW w:w="322" w:type="pct"/>
            <w:vMerge/>
            <w:vAlign w:val="center"/>
          </w:tcPr>
          <w:p w14:paraId="5E426C91"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Align w:val="center"/>
          </w:tcPr>
          <w:p w14:paraId="354BDC5B"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Dbh</w:t>
            </w:r>
          </w:p>
        </w:tc>
        <w:tc>
          <w:tcPr>
            <w:tcW w:w="529" w:type="pct"/>
            <w:vAlign w:val="center"/>
          </w:tcPr>
          <w:p w14:paraId="3A516C3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Desnivel entre banquina exterior y hombro banquina</w:t>
            </w:r>
          </w:p>
        </w:tc>
        <w:tc>
          <w:tcPr>
            <w:tcW w:w="882" w:type="pct"/>
            <w:vAlign w:val="center"/>
          </w:tcPr>
          <w:p w14:paraId="60B08B8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Altura máxima (banquina exterior- hombro banquina) del desnivel</w:t>
            </w:r>
          </w:p>
        </w:tc>
        <w:tc>
          <w:tcPr>
            <w:tcW w:w="573" w:type="pct"/>
            <w:vAlign w:val="center"/>
          </w:tcPr>
          <w:p w14:paraId="6FE5EA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750" w:type="pct"/>
            <w:vAlign w:val="center"/>
          </w:tcPr>
          <w:p w14:paraId="6267C10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c>
          <w:tcPr>
            <w:tcW w:w="397" w:type="pct"/>
            <w:vAlign w:val="center"/>
          </w:tcPr>
          <w:p w14:paraId="416480B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50 mm</w:t>
            </w:r>
          </w:p>
        </w:tc>
        <w:tc>
          <w:tcPr>
            <w:tcW w:w="485" w:type="pct"/>
            <w:vAlign w:val="center"/>
          </w:tcPr>
          <w:p w14:paraId="47AA79D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Align w:val="center"/>
          </w:tcPr>
          <w:p w14:paraId="72102D8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Align w:val="center"/>
          </w:tcPr>
          <w:p w14:paraId="71AE7AE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4F89E894" w14:textId="77777777" w:rsidTr="00084EE9">
        <w:trPr>
          <w:trHeight w:val="1740"/>
          <w:jc w:val="center"/>
        </w:trPr>
        <w:tc>
          <w:tcPr>
            <w:tcW w:w="322" w:type="pct"/>
            <w:vMerge/>
            <w:vAlign w:val="center"/>
          </w:tcPr>
          <w:p w14:paraId="0C5041FA"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p>
        </w:tc>
        <w:tc>
          <w:tcPr>
            <w:tcW w:w="309" w:type="pct"/>
            <w:vMerge w:val="restart"/>
            <w:vAlign w:val="center"/>
          </w:tcPr>
          <w:p w14:paraId="7DFFCF4F" w14:textId="77777777" w:rsidR="00A3029F" w:rsidRPr="00B7174F" w:rsidRDefault="00A3029F" w:rsidP="00CF69B3">
            <w:pPr>
              <w:widowControl w:val="0"/>
              <w:spacing w:after="0" w:line="240" w:lineRule="auto"/>
              <w:rPr>
                <w:rFonts w:ascii="Arial" w:hAnsi="Arial" w:cs="Arial"/>
                <w:snapToGrid w:val="0"/>
                <w:sz w:val="16"/>
                <w:szCs w:val="16"/>
                <w:lang w:val="es-UY" w:eastAsia="es-UY"/>
              </w:rPr>
            </w:pPr>
            <w:r w:rsidRPr="00B7174F">
              <w:rPr>
                <w:rFonts w:ascii="Arial" w:hAnsi="Arial" w:cs="Arial"/>
                <w:snapToGrid w:val="0"/>
                <w:sz w:val="16"/>
                <w:szCs w:val="16"/>
                <w:lang w:val="es-UY" w:eastAsia="es-UY"/>
              </w:rPr>
              <w:t>BTB Hom</w:t>
            </w:r>
          </w:p>
        </w:tc>
        <w:tc>
          <w:tcPr>
            <w:tcW w:w="529" w:type="pct"/>
            <w:vMerge w:val="restart"/>
            <w:vAlign w:val="center"/>
          </w:tcPr>
          <w:p w14:paraId="59C1127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Pérdida de homogeneidad de la superficie original</w:t>
            </w:r>
          </w:p>
        </w:tc>
        <w:tc>
          <w:tcPr>
            <w:tcW w:w="882" w:type="pct"/>
            <w:vMerge w:val="restart"/>
            <w:vAlign w:val="center"/>
          </w:tcPr>
          <w:p w14:paraId="5EED65E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Cuando la superficie del firme presenta numerosa cantidad de reparaciones que conforman una superficie no homogénea</w:t>
            </w:r>
          </w:p>
        </w:tc>
        <w:tc>
          <w:tcPr>
            <w:tcW w:w="573" w:type="pct"/>
            <w:vMerge w:val="restart"/>
            <w:vAlign w:val="center"/>
          </w:tcPr>
          <w:p w14:paraId="546BE5A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Tipo y cantidad de reparaciones</w:t>
            </w:r>
          </w:p>
        </w:tc>
        <w:tc>
          <w:tcPr>
            <w:tcW w:w="750" w:type="pct"/>
            <w:vMerge w:val="restart"/>
            <w:vAlign w:val="center"/>
          </w:tcPr>
          <w:p w14:paraId="4A56061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Se calcula en forma directa</w:t>
            </w:r>
          </w:p>
        </w:tc>
        <w:tc>
          <w:tcPr>
            <w:tcW w:w="397" w:type="pct"/>
            <w:vMerge w:val="restart"/>
            <w:vAlign w:val="center"/>
          </w:tcPr>
          <w:p w14:paraId="61358D8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Más de 30 reparaciones realizadas por hectómetro, o más de 100 por kilómetro (baches o</w:t>
            </w:r>
            <w:r w:rsidR="00B14DCC">
              <w:rPr>
                <w:rFonts w:ascii="Arial" w:hAnsi="Arial" w:cs="Arial"/>
                <w:snapToGrid w:val="0"/>
                <w:sz w:val="16"/>
                <w:szCs w:val="16"/>
                <w:lang w:val="es-UY" w:eastAsia="es-UY"/>
              </w:rPr>
              <w:t xml:space="preserve"> </w:t>
            </w:r>
            <w:r w:rsidRPr="00B7174F">
              <w:rPr>
                <w:rFonts w:ascii="Arial" w:hAnsi="Arial" w:cs="Arial"/>
                <w:snapToGrid w:val="0"/>
                <w:sz w:val="16"/>
                <w:szCs w:val="16"/>
                <w:lang w:val="es-UY" w:eastAsia="es-UY"/>
              </w:rPr>
              <w:t>tratamientos bituminosos parciales).</w:t>
            </w:r>
          </w:p>
        </w:tc>
        <w:tc>
          <w:tcPr>
            <w:tcW w:w="485" w:type="pct"/>
            <w:vMerge w:val="restart"/>
            <w:vAlign w:val="center"/>
          </w:tcPr>
          <w:p w14:paraId="5E84669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60 días</w:t>
            </w:r>
          </w:p>
        </w:tc>
        <w:tc>
          <w:tcPr>
            <w:tcW w:w="397" w:type="pct"/>
            <w:vMerge w:val="restart"/>
            <w:vAlign w:val="center"/>
          </w:tcPr>
          <w:p w14:paraId="185F845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r w:rsidRPr="00B7174F">
              <w:rPr>
                <w:rFonts w:ascii="Arial" w:hAnsi="Arial" w:cs="Arial"/>
                <w:snapToGrid w:val="0"/>
                <w:sz w:val="16"/>
                <w:szCs w:val="16"/>
                <w:lang w:val="es-UY" w:eastAsia="es-UY"/>
              </w:rPr>
              <w:t>Trimestral</w:t>
            </w:r>
          </w:p>
        </w:tc>
        <w:tc>
          <w:tcPr>
            <w:tcW w:w="356" w:type="pct"/>
            <w:vMerge w:val="restart"/>
            <w:vAlign w:val="center"/>
          </w:tcPr>
          <w:p w14:paraId="236407B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UY"/>
              </w:rPr>
            </w:pPr>
          </w:p>
        </w:tc>
      </w:tr>
      <w:tr w:rsidR="00A3029F" w:rsidRPr="00B7174F" w14:paraId="4D6FA7A9" w14:textId="77777777" w:rsidTr="00084EE9">
        <w:trPr>
          <w:trHeight w:val="225"/>
          <w:jc w:val="center"/>
        </w:trPr>
        <w:tc>
          <w:tcPr>
            <w:tcW w:w="322" w:type="pct"/>
            <w:vMerge/>
            <w:vAlign w:val="center"/>
          </w:tcPr>
          <w:p w14:paraId="78AC4676"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309" w:type="pct"/>
            <w:vMerge/>
            <w:vAlign w:val="center"/>
          </w:tcPr>
          <w:p w14:paraId="04180EC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29" w:type="pct"/>
            <w:vMerge/>
            <w:vAlign w:val="center"/>
          </w:tcPr>
          <w:p w14:paraId="29FB05E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2" w:type="pct"/>
            <w:vMerge/>
            <w:vAlign w:val="center"/>
          </w:tcPr>
          <w:p w14:paraId="1E1EA8E4"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73" w:type="pct"/>
            <w:vMerge/>
            <w:vAlign w:val="center"/>
          </w:tcPr>
          <w:p w14:paraId="1942063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750" w:type="pct"/>
            <w:vMerge/>
            <w:vAlign w:val="center"/>
          </w:tcPr>
          <w:p w14:paraId="14F598E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14:paraId="2CF82B8A"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485" w:type="pct"/>
            <w:vMerge/>
            <w:vAlign w:val="center"/>
          </w:tcPr>
          <w:p w14:paraId="47AB218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7" w:type="pct"/>
            <w:vMerge/>
            <w:vAlign w:val="center"/>
          </w:tcPr>
          <w:p w14:paraId="0B31199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56" w:type="pct"/>
            <w:vMerge/>
            <w:vAlign w:val="center"/>
          </w:tcPr>
          <w:p w14:paraId="75AEC95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r>
    </w:tbl>
    <w:p w14:paraId="4F7FE51F" w14:textId="77777777" w:rsidR="00A3029F" w:rsidRPr="00B7174F" w:rsidRDefault="00A3029F" w:rsidP="00CF69B3">
      <w:pPr>
        <w:widowControl w:val="0"/>
        <w:spacing w:before="120" w:after="0" w:line="240" w:lineRule="auto"/>
        <w:jc w:val="both"/>
        <w:rPr>
          <w:rFonts w:ascii="Arial" w:hAnsi="Arial" w:cs="Arial"/>
          <w:snapToGrid w:val="0"/>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Los valores exigidos se refieren a la suma de área o longitud afectada en las dos </w:t>
      </w:r>
      <w:r w:rsidRPr="00B7174F">
        <w:rPr>
          <w:rFonts w:ascii="Arial" w:hAnsi="Arial" w:cs="Arial"/>
          <w:snapToGrid w:val="0"/>
          <w:color w:val="000000"/>
          <w:sz w:val="16"/>
          <w:szCs w:val="16"/>
          <w:lang w:val="es-ES_tradnl" w:eastAsia="es-ES"/>
        </w:rPr>
        <w:lastRenderedPageBreak/>
        <w:t>banquinas.</w:t>
      </w:r>
    </w:p>
    <w:p w14:paraId="7885B139" w14:textId="77777777" w:rsidR="00A3029F" w:rsidRPr="00B7174F" w:rsidRDefault="00A3029F" w:rsidP="009A58E0">
      <w:pPr>
        <w:widowControl w:val="0"/>
        <w:numPr>
          <w:ilvl w:val="2"/>
          <w:numId w:val="59"/>
        </w:numPr>
        <w:spacing w:before="360" w:after="240" w:line="240" w:lineRule="auto"/>
        <w:jc w:val="both"/>
        <w:rPr>
          <w:rFonts w:ascii="Arial" w:hAnsi="Arial" w:cs="Arial"/>
          <w:b/>
          <w:bCs/>
          <w:snapToGrid w:val="0"/>
          <w:sz w:val="20"/>
          <w:szCs w:val="20"/>
          <w:lang w:val="es-UY" w:eastAsia="es-ES"/>
        </w:rPr>
        <w:sectPr w:rsidR="00A3029F" w:rsidRPr="00B7174F" w:rsidSect="00B238CC">
          <w:pgSz w:w="16838" w:h="11906" w:orient="landscape" w:code="9"/>
          <w:pgMar w:top="1134" w:right="1418" w:bottom="1276" w:left="1418" w:header="720" w:footer="720" w:gutter="0"/>
          <w:cols w:space="708"/>
          <w:docGrid w:linePitch="360"/>
        </w:sectPr>
      </w:pPr>
    </w:p>
    <w:p w14:paraId="3BECC52E" w14:textId="77777777" w:rsidR="00A3029F" w:rsidRPr="00386FC6" w:rsidRDefault="00401A6D" w:rsidP="00E26581">
      <w:pPr>
        <w:pStyle w:val="T2A5"/>
        <w:numPr>
          <w:ilvl w:val="0"/>
          <w:numId w:val="0"/>
        </w:numPr>
        <w:ind w:left="360"/>
        <w:outlineLvl w:val="9"/>
      </w:pPr>
      <w:bookmarkStart w:id="1476" w:name="_Toc400622345"/>
      <w:bookmarkStart w:id="1477" w:name="_Toc400634165"/>
      <w:bookmarkStart w:id="1478" w:name="_Toc400635296"/>
      <w:bookmarkStart w:id="1479" w:name="A_9_3"/>
      <w:r>
        <w:lastRenderedPageBreak/>
        <w:t>3.</w:t>
      </w:r>
      <w:r w:rsidR="00120471">
        <w:t xml:space="preserve"> </w:t>
      </w:r>
      <w:r w:rsidR="00A3029F" w:rsidRPr="00386FC6">
        <w:t>Obras de Arte Mayor y Meno</w:t>
      </w:r>
      <w:bookmarkEnd w:id="1476"/>
      <w:r w:rsidR="00A3029F" w:rsidRPr="00386FC6">
        <w:t>R</w:t>
      </w:r>
      <w:bookmarkEnd w:id="1477"/>
      <w:bookmarkEnd w:id="1478"/>
    </w:p>
    <w:p w14:paraId="055537BA" w14:textId="77777777" w:rsidR="00A3029F" w:rsidRPr="00083788" w:rsidRDefault="00401A6D" w:rsidP="00E26581">
      <w:pPr>
        <w:pStyle w:val="T2A5"/>
        <w:numPr>
          <w:ilvl w:val="0"/>
          <w:numId w:val="0"/>
        </w:numPr>
        <w:ind w:left="360"/>
        <w:outlineLvl w:val="9"/>
      </w:pPr>
      <w:bookmarkStart w:id="1480" w:name="_Toc438111389"/>
      <w:bookmarkStart w:id="1481" w:name="_Toc438111649"/>
      <w:bookmarkStart w:id="1482" w:name="_Toc438111909"/>
      <w:bookmarkStart w:id="1483" w:name="_Toc438112209"/>
      <w:bookmarkStart w:id="1484" w:name="_Toc438112818"/>
      <w:bookmarkStart w:id="1485" w:name="_Toc438113502"/>
      <w:bookmarkStart w:id="1486" w:name="_Toc438113778"/>
      <w:bookmarkStart w:id="1487" w:name="_Toc438114788"/>
      <w:bookmarkStart w:id="1488" w:name="_Toc438115103"/>
      <w:bookmarkStart w:id="1489" w:name="_Toc438130269"/>
      <w:bookmarkStart w:id="1490" w:name="_Toc438224166"/>
      <w:bookmarkStart w:id="1491" w:name="_Toc441131888"/>
      <w:bookmarkStart w:id="1492" w:name="_Toc441146193"/>
      <w:bookmarkStart w:id="1493" w:name="_Toc441146598"/>
      <w:bookmarkStart w:id="1494" w:name="_Toc441146946"/>
      <w:bookmarkStart w:id="1495" w:name="_Toc441161696"/>
      <w:bookmarkStart w:id="1496" w:name="_Toc441162044"/>
      <w:bookmarkStart w:id="1497" w:name="_Toc441162394"/>
      <w:bookmarkStart w:id="1498" w:name="_Toc441229411"/>
      <w:bookmarkStart w:id="1499" w:name="_Toc441229746"/>
      <w:bookmarkStart w:id="1500" w:name="_Toc441230067"/>
      <w:bookmarkStart w:id="1501" w:name="_Toc450552919"/>
      <w:bookmarkStart w:id="1502" w:name="_Toc450555117"/>
      <w:bookmarkStart w:id="1503" w:name="_Toc450555372"/>
      <w:bookmarkStart w:id="1504" w:name="_Toc400634166"/>
      <w:bookmarkStart w:id="1505" w:name="_Toc400635297"/>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r>
        <w:t xml:space="preserve">3.1 </w:t>
      </w:r>
      <w:r w:rsidR="00A3029F" w:rsidRPr="00083788">
        <w:t>Niveles de Servicio para Obras de Arte Mayor</w:t>
      </w:r>
      <w:bookmarkEnd w:id="1504"/>
      <w:bookmarkEnd w:id="1505"/>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A0" w:firstRow="1" w:lastRow="0" w:firstColumn="1" w:lastColumn="0" w:noHBand="0" w:noVBand="0"/>
      </w:tblPr>
      <w:tblGrid>
        <w:gridCol w:w="848"/>
        <w:gridCol w:w="828"/>
        <w:gridCol w:w="1445"/>
        <w:gridCol w:w="2133"/>
        <w:gridCol w:w="334"/>
        <w:gridCol w:w="758"/>
        <w:gridCol w:w="1172"/>
        <w:gridCol w:w="2052"/>
        <w:gridCol w:w="1053"/>
        <w:gridCol w:w="1347"/>
        <w:gridCol w:w="1115"/>
        <w:gridCol w:w="907"/>
      </w:tblGrid>
      <w:tr w:rsidR="00A3029F" w:rsidRPr="00B7174F" w14:paraId="5A6FBD1E" w14:textId="77777777">
        <w:trPr>
          <w:cantSplit/>
          <w:trHeight w:val="567"/>
          <w:tblHeader/>
          <w:jc w:val="center"/>
        </w:trPr>
        <w:tc>
          <w:tcPr>
            <w:tcW w:w="304" w:type="pct"/>
            <w:shd w:val="clear" w:color="auto" w:fill="595959"/>
            <w:vAlign w:val="center"/>
          </w:tcPr>
          <w:p w14:paraId="31478F0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Tipo de nivel</w:t>
            </w:r>
          </w:p>
        </w:tc>
        <w:tc>
          <w:tcPr>
            <w:tcW w:w="297" w:type="pct"/>
            <w:shd w:val="clear" w:color="auto" w:fill="595959"/>
            <w:vAlign w:val="center"/>
          </w:tcPr>
          <w:p w14:paraId="2146925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Código</w:t>
            </w:r>
          </w:p>
        </w:tc>
        <w:tc>
          <w:tcPr>
            <w:tcW w:w="517" w:type="pct"/>
            <w:shd w:val="clear" w:color="auto" w:fill="595959"/>
            <w:vAlign w:val="center"/>
          </w:tcPr>
          <w:p w14:paraId="2B6950E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Denominación</w:t>
            </w:r>
          </w:p>
        </w:tc>
        <w:tc>
          <w:tcPr>
            <w:tcW w:w="881" w:type="pct"/>
            <w:gridSpan w:val="2"/>
            <w:shd w:val="clear" w:color="auto" w:fill="595959"/>
            <w:vAlign w:val="center"/>
          </w:tcPr>
          <w:p w14:paraId="0250747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Descripción</w:t>
            </w:r>
          </w:p>
        </w:tc>
        <w:tc>
          <w:tcPr>
            <w:tcW w:w="682" w:type="pct"/>
            <w:gridSpan w:val="2"/>
            <w:shd w:val="clear" w:color="auto" w:fill="595959"/>
            <w:vAlign w:val="center"/>
          </w:tcPr>
          <w:p w14:paraId="63910A4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Parámetro</w:t>
            </w:r>
          </w:p>
        </w:tc>
        <w:tc>
          <w:tcPr>
            <w:tcW w:w="734" w:type="pct"/>
            <w:shd w:val="clear" w:color="auto" w:fill="595959"/>
            <w:vAlign w:val="center"/>
          </w:tcPr>
          <w:p w14:paraId="4E44ABE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Método de evaluación</w:t>
            </w:r>
          </w:p>
        </w:tc>
        <w:tc>
          <w:tcPr>
            <w:tcW w:w="377" w:type="pct"/>
            <w:shd w:val="clear" w:color="auto" w:fill="595959"/>
            <w:vAlign w:val="center"/>
          </w:tcPr>
          <w:p w14:paraId="3B83806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Exigencia</w:t>
            </w:r>
          </w:p>
        </w:tc>
        <w:tc>
          <w:tcPr>
            <w:tcW w:w="482" w:type="pct"/>
            <w:shd w:val="clear" w:color="auto" w:fill="595959"/>
            <w:vAlign w:val="center"/>
          </w:tcPr>
          <w:p w14:paraId="3EE2C8B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Plazo de reparación</w:t>
            </w:r>
          </w:p>
        </w:tc>
        <w:tc>
          <w:tcPr>
            <w:tcW w:w="399" w:type="pct"/>
            <w:shd w:val="clear" w:color="auto" w:fill="595959"/>
            <w:vAlign w:val="center"/>
          </w:tcPr>
          <w:p w14:paraId="1D39E1C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Frecuencia</w:t>
            </w:r>
          </w:p>
        </w:tc>
        <w:tc>
          <w:tcPr>
            <w:tcW w:w="325" w:type="pct"/>
            <w:shd w:val="clear" w:color="auto" w:fill="595959"/>
            <w:vAlign w:val="center"/>
          </w:tcPr>
          <w:p w14:paraId="509760F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tc>
      </w:tr>
      <w:tr w:rsidR="00A3029F" w:rsidRPr="00B7174F" w14:paraId="2F2C878D" w14:textId="77777777">
        <w:trPr>
          <w:trHeight w:val="2353"/>
          <w:jc w:val="center"/>
        </w:trPr>
        <w:tc>
          <w:tcPr>
            <w:tcW w:w="304" w:type="pct"/>
            <w:vMerge w:val="restart"/>
            <w:shd w:val="clear" w:color="auto" w:fill="BFBFBF"/>
            <w:textDirection w:val="btLr"/>
            <w:vAlign w:val="center"/>
          </w:tcPr>
          <w:p w14:paraId="0BB71C7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297" w:type="pct"/>
            <w:vAlign w:val="center"/>
          </w:tcPr>
          <w:p w14:paraId="0ACCB32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Suc</w:t>
            </w:r>
          </w:p>
        </w:tc>
        <w:tc>
          <w:tcPr>
            <w:tcW w:w="517" w:type="pct"/>
            <w:vAlign w:val="center"/>
          </w:tcPr>
          <w:p w14:paraId="6A021E3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Suciedades u obstáculos en las losas de acceso, el sobrepiso, las juntas o las veredas de las obras de arte mayor.</w:t>
            </w:r>
          </w:p>
        </w:tc>
        <w:tc>
          <w:tcPr>
            <w:tcW w:w="881" w:type="pct"/>
            <w:gridSpan w:val="2"/>
            <w:vAlign w:val="center"/>
          </w:tcPr>
          <w:p w14:paraId="6E4EC4A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suciedades u obstáculos en las losas de acceso, el sobrepiso, las juntas o las veredas de las obras de arte mayor que condicionen la circulación y seguridad del tránsito, como: material fino suelto (tipo suelo o granular, granos, etc.); grasitud (tipo combustible, aceite, etc.); agua empozada; restos de materiales de construcción, accidentes de tránsito, inundaciones, etc.</w:t>
            </w:r>
          </w:p>
        </w:tc>
        <w:tc>
          <w:tcPr>
            <w:tcW w:w="682" w:type="pct"/>
            <w:gridSpan w:val="2"/>
            <w:vAlign w:val="center"/>
          </w:tcPr>
          <w:p w14:paraId="5EDC1BB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losas de acceso, el sobrepiso y las veredas con defecto.</w:t>
            </w:r>
          </w:p>
        </w:tc>
        <w:tc>
          <w:tcPr>
            <w:tcW w:w="734" w:type="pct"/>
            <w:vAlign w:val="center"/>
          </w:tcPr>
          <w:p w14:paraId="3D20AA9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w:t>
            </w:r>
          </w:p>
        </w:tc>
        <w:tc>
          <w:tcPr>
            <w:tcW w:w="377" w:type="pct"/>
            <w:vAlign w:val="center"/>
          </w:tcPr>
          <w:p w14:paraId="293CBAD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19D8CA7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2 días</w:t>
            </w:r>
          </w:p>
        </w:tc>
        <w:tc>
          <w:tcPr>
            <w:tcW w:w="399" w:type="pct"/>
            <w:vAlign w:val="center"/>
          </w:tcPr>
          <w:p w14:paraId="2CDBCA1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06E58BB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46D7EBAB" w14:textId="77777777">
        <w:trPr>
          <w:trHeight w:val="971"/>
          <w:jc w:val="center"/>
        </w:trPr>
        <w:tc>
          <w:tcPr>
            <w:tcW w:w="304" w:type="pct"/>
            <w:vMerge/>
            <w:shd w:val="clear" w:color="auto" w:fill="BFBFBF"/>
            <w:vAlign w:val="center"/>
          </w:tcPr>
          <w:p w14:paraId="5A58F0EE"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14:paraId="211FC9F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BTB Sob</w:t>
            </w:r>
          </w:p>
        </w:tc>
        <w:tc>
          <w:tcPr>
            <w:tcW w:w="517" w:type="pct"/>
            <w:vMerge w:val="restart"/>
            <w:vAlign w:val="center"/>
          </w:tcPr>
          <w:p w14:paraId="5B937A4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losas de acceso o en el sobrepiso de las obras de arte mayor.</w:t>
            </w:r>
          </w:p>
        </w:tc>
        <w:tc>
          <w:tcPr>
            <w:tcW w:w="881" w:type="pct"/>
            <w:gridSpan w:val="2"/>
            <w:vAlign w:val="center"/>
          </w:tcPr>
          <w:p w14:paraId="43C680B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pavimentos de la losa de acceso o el sobrepiso de las obras de arte mayor como los establecidos para los pavimentos de la carretera.</w:t>
            </w:r>
          </w:p>
        </w:tc>
        <w:tc>
          <w:tcPr>
            <w:tcW w:w="682" w:type="pct"/>
            <w:gridSpan w:val="2"/>
            <w:vAlign w:val="center"/>
          </w:tcPr>
          <w:p w14:paraId="314573B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14:paraId="50749E3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14:paraId="24E5F44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14:paraId="24D8206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14:paraId="125FF18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05C08C6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09C3DBC3" w14:textId="77777777">
        <w:trPr>
          <w:trHeight w:val="1127"/>
          <w:jc w:val="center"/>
        </w:trPr>
        <w:tc>
          <w:tcPr>
            <w:tcW w:w="304" w:type="pct"/>
            <w:vMerge/>
            <w:shd w:val="clear" w:color="auto" w:fill="BFBFBF"/>
            <w:vAlign w:val="center"/>
          </w:tcPr>
          <w:p w14:paraId="6478D031"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09D7D62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38401ED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Align w:val="center"/>
          </w:tcPr>
          <w:p w14:paraId="0EEB00A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 losa de acceso de las obras de arte mayor como: descenso excesivo de la losa de acceso que provoque incomodidades o inseguridades al tránsito.</w:t>
            </w:r>
          </w:p>
        </w:tc>
        <w:tc>
          <w:tcPr>
            <w:tcW w:w="682" w:type="pct"/>
            <w:gridSpan w:val="2"/>
            <w:vAlign w:val="center"/>
          </w:tcPr>
          <w:p w14:paraId="6885FB5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pavimento de calzada.</w:t>
            </w:r>
          </w:p>
        </w:tc>
        <w:tc>
          <w:tcPr>
            <w:tcW w:w="734" w:type="pct"/>
            <w:vAlign w:val="center"/>
          </w:tcPr>
          <w:p w14:paraId="7708E4B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pavimento de calzada.</w:t>
            </w:r>
          </w:p>
        </w:tc>
        <w:tc>
          <w:tcPr>
            <w:tcW w:w="377" w:type="pct"/>
            <w:vAlign w:val="center"/>
          </w:tcPr>
          <w:p w14:paraId="2B3A463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pavimento de calzada.</w:t>
            </w:r>
          </w:p>
        </w:tc>
        <w:tc>
          <w:tcPr>
            <w:tcW w:w="482" w:type="pct"/>
            <w:vAlign w:val="center"/>
          </w:tcPr>
          <w:p w14:paraId="75A3DB9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pavimento de calzada reducidos a la mitad.</w:t>
            </w:r>
          </w:p>
        </w:tc>
        <w:tc>
          <w:tcPr>
            <w:tcW w:w="399" w:type="pct"/>
            <w:vAlign w:val="center"/>
          </w:tcPr>
          <w:p w14:paraId="2A2BC0C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6B8FE15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51C4A8BF" w14:textId="77777777">
        <w:trPr>
          <w:trHeight w:val="1740"/>
          <w:jc w:val="center"/>
        </w:trPr>
        <w:tc>
          <w:tcPr>
            <w:tcW w:w="304" w:type="pct"/>
            <w:vMerge/>
            <w:shd w:val="clear" w:color="auto" w:fill="BFBFBF"/>
            <w:vAlign w:val="center"/>
          </w:tcPr>
          <w:p w14:paraId="39D27AB8"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5ABAA52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455DDD5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881" w:type="pct"/>
            <w:gridSpan w:val="2"/>
            <w:vMerge w:val="restart"/>
            <w:vAlign w:val="center"/>
          </w:tcPr>
          <w:p w14:paraId="3D016A8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entre los bordes de la junta superiores a 0.01m; deterioros en los aparatos de junta como desprendimientos de polímero o de cantonera metálica.</w:t>
            </w:r>
          </w:p>
        </w:tc>
        <w:tc>
          <w:tcPr>
            <w:tcW w:w="682" w:type="pct"/>
            <w:gridSpan w:val="2"/>
            <w:vMerge w:val="restart"/>
            <w:vAlign w:val="center"/>
          </w:tcPr>
          <w:p w14:paraId="7A61D7D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Merge w:val="restart"/>
            <w:vAlign w:val="center"/>
          </w:tcPr>
          <w:p w14:paraId="16A383B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afectación.</w:t>
            </w:r>
          </w:p>
        </w:tc>
        <w:tc>
          <w:tcPr>
            <w:tcW w:w="377" w:type="pct"/>
            <w:vAlign w:val="center"/>
          </w:tcPr>
          <w:p w14:paraId="1A01E21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en cantonera metálica: 0%</w:t>
            </w:r>
          </w:p>
        </w:tc>
        <w:tc>
          <w:tcPr>
            <w:tcW w:w="482" w:type="pct"/>
            <w:vMerge w:val="restart"/>
            <w:vAlign w:val="center"/>
          </w:tcPr>
          <w:p w14:paraId="554AA26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Merge w:val="restart"/>
            <w:vAlign w:val="center"/>
          </w:tcPr>
          <w:p w14:paraId="2B454FC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Merge w:val="restart"/>
            <w:vAlign w:val="center"/>
          </w:tcPr>
          <w:p w14:paraId="1D11DFD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27105B6E" w14:textId="77777777">
        <w:trPr>
          <w:trHeight w:val="63"/>
          <w:jc w:val="center"/>
        </w:trPr>
        <w:tc>
          <w:tcPr>
            <w:tcW w:w="304" w:type="pct"/>
            <w:vMerge/>
            <w:shd w:val="clear" w:color="auto" w:fill="BFBFBF"/>
            <w:vAlign w:val="center"/>
          </w:tcPr>
          <w:p w14:paraId="008A9456"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5F695EC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68654F8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Merge/>
            <w:vAlign w:val="center"/>
          </w:tcPr>
          <w:p w14:paraId="11A900E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682" w:type="pct"/>
            <w:gridSpan w:val="2"/>
            <w:vMerge/>
            <w:vAlign w:val="center"/>
          </w:tcPr>
          <w:p w14:paraId="1B94785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734" w:type="pct"/>
            <w:vMerge/>
            <w:vAlign w:val="center"/>
          </w:tcPr>
          <w:p w14:paraId="29DA1E1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77" w:type="pct"/>
            <w:vAlign w:val="center"/>
          </w:tcPr>
          <w:p w14:paraId="2FC21D5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otros: ≤ 2%</w:t>
            </w:r>
          </w:p>
        </w:tc>
        <w:tc>
          <w:tcPr>
            <w:tcW w:w="482" w:type="pct"/>
            <w:vMerge/>
            <w:vAlign w:val="center"/>
          </w:tcPr>
          <w:p w14:paraId="44EBA403"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99" w:type="pct"/>
            <w:vMerge/>
            <w:vAlign w:val="center"/>
          </w:tcPr>
          <w:p w14:paraId="1EFFDD09"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325" w:type="pct"/>
            <w:vMerge/>
            <w:vAlign w:val="center"/>
          </w:tcPr>
          <w:p w14:paraId="58CF62DB"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r>
      <w:tr w:rsidR="00A3029F" w:rsidRPr="00B7174F" w14:paraId="77254A37" w14:textId="77777777">
        <w:trPr>
          <w:cantSplit/>
          <w:trHeight w:val="2369"/>
          <w:jc w:val="center"/>
        </w:trPr>
        <w:tc>
          <w:tcPr>
            <w:tcW w:w="304" w:type="pct"/>
            <w:vMerge w:val="restart"/>
            <w:shd w:val="clear" w:color="000000" w:fill="BFBFBF"/>
            <w:textDirection w:val="btLr"/>
            <w:vAlign w:val="center"/>
          </w:tcPr>
          <w:p w14:paraId="399045B5"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BÁSICOS</w:t>
            </w:r>
          </w:p>
        </w:tc>
        <w:tc>
          <w:tcPr>
            <w:tcW w:w="297" w:type="pct"/>
            <w:vMerge/>
            <w:vAlign w:val="center"/>
          </w:tcPr>
          <w:p w14:paraId="6ECEF3D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146C6235"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1D00579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juntas tales como: desniveles y separaciones entre los bordes de la junta elastomérica y el respaldo de grout superiores a 0,01 m; deterioros en el respaldo de grout, tales como desprendimientos y rajaduras; deterioros en la junta elastomérica; desniveles superiores a 0.01m y separaciones entre los bordes del respaldo de grout y la carpeta asfáltica de rodadura.</w:t>
            </w:r>
          </w:p>
        </w:tc>
        <w:tc>
          <w:tcPr>
            <w:tcW w:w="682" w:type="pct"/>
            <w:gridSpan w:val="2"/>
            <w:vAlign w:val="center"/>
          </w:tcPr>
          <w:p w14:paraId="312DB2A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juntas con defecto.</w:t>
            </w:r>
          </w:p>
        </w:tc>
        <w:tc>
          <w:tcPr>
            <w:tcW w:w="734" w:type="pct"/>
            <w:vAlign w:val="center"/>
          </w:tcPr>
          <w:p w14:paraId="412C306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14:paraId="5749909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2%; pero cada defecto ≤ 0.2m</w:t>
            </w:r>
          </w:p>
        </w:tc>
        <w:tc>
          <w:tcPr>
            <w:tcW w:w="482" w:type="pct"/>
            <w:vAlign w:val="center"/>
          </w:tcPr>
          <w:p w14:paraId="3C3C10D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6760211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6DE14BC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1F4D12EF" w14:textId="77777777">
        <w:trPr>
          <w:trHeight w:val="970"/>
          <w:jc w:val="center"/>
        </w:trPr>
        <w:tc>
          <w:tcPr>
            <w:tcW w:w="304" w:type="pct"/>
            <w:vMerge/>
            <w:shd w:val="clear" w:color="000000" w:fill="BFBFBF"/>
            <w:vAlign w:val="center"/>
          </w:tcPr>
          <w:p w14:paraId="6C9D04E8"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5ED22BE5"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Ver</w:t>
            </w:r>
          </w:p>
        </w:tc>
        <w:tc>
          <w:tcPr>
            <w:tcW w:w="517" w:type="pct"/>
            <w:vAlign w:val="center"/>
          </w:tcPr>
          <w:p w14:paraId="3FEAD485"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las veredas de las obras de arte mayor.</w:t>
            </w:r>
          </w:p>
        </w:tc>
        <w:tc>
          <w:tcPr>
            <w:tcW w:w="881" w:type="pct"/>
            <w:gridSpan w:val="2"/>
            <w:vAlign w:val="center"/>
          </w:tcPr>
          <w:p w14:paraId="2EE7D47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las veredas de las obras de arte mayor como: losetas faltantes, rotas o sueltas; desnivel entre losetas contiguas.</w:t>
            </w:r>
          </w:p>
        </w:tc>
        <w:tc>
          <w:tcPr>
            <w:tcW w:w="682" w:type="pct"/>
            <w:gridSpan w:val="2"/>
            <w:vAlign w:val="center"/>
          </w:tcPr>
          <w:p w14:paraId="0ECEFDD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las veredas con defecto.</w:t>
            </w:r>
          </w:p>
        </w:tc>
        <w:tc>
          <w:tcPr>
            <w:tcW w:w="734" w:type="pct"/>
            <w:vAlign w:val="center"/>
          </w:tcPr>
          <w:p w14:paraId="35ED4A2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xml:space="preserve">Por inspección visual se identifican las zonas con defectos y se cuantifica su área total, calculándose el porcentaje de </w:t>
            </w:r>
            <w:r w:rsidRPr="00B7174F">
              <w:rPr>
                <w:rFonts w:ascii="Arial" w:hAnsi="Arial" w:cs="Arial"/>
                <w:snapToGrid w:val="0"/>
                <w:color w:val="000000"/>
                <w:sz w:val="16"/>
                <w:szCs w:val="16"/>
                <w:lang w:val="es-UY" w:eastAsia="es-UY"/>
              </w:rPr>
              <w:lastRenderedPageBreak/>
              <w:t>afectación.</w:t>
            </w:r>
          </w:p>
        </w:tc>
        <w:tc>
          <w:tcPr>
            <w:tcW w:w="377" w:type="pct"/>
            <w:vAlign w:val="center"/>
          </w:tcPr>
          <w:p w14:paraId="6B423EE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lastRenderedPageBreak/>
              <w:t>≤ 0%</w:t>
            </w:r>
          </w:p>
        </w:tc>
        <w:tc>
          <w:tcPr>
            <w:tcW w:w="482" w:type="pct"/>
            <w:vAlign w:val="center"/>
          </w:tcPr>
          <w:p w14:paraId="6773754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536858C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6523890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5AE34ED0" w14:textId="77777777">
        <w:trPr>
          <w:trHeight w:val="1632"/>
          <w:jc w:val="center"/>
        </w:trPr>
        <w:tc>
          <w:tcPr>
            <w:tcW w:w="304" w:type="pct"/>
            <w:vMerge/>
            <w:shd w:val="clear" w:color="000000" w:fill="BFBFBF"/>
            <w:vAlign w:val="center"/>
          </w:tcPr>
          <w:p w14:paraId="6ADC2D8B"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1BCC1BB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Seg</w:t>
            </w:r>
          </w:p>
        </w:tc>
        <w:tc>
          <w:tcPr>
            <w:tcW w:w="517" w:type="pct"/>
            <w:vAlign w:val="center"/>
          </w:tcPr>
          <w:p w14:paraId="00501CD1"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elementos de seguridad vial de las obras de arte mayor.</w:t>
            </w:r>
          </w:p>
        </w:tc>
        <w:tc>
          <w:tcPr>
            <w:tcW w:w="881" w:type="pct"/>
            <w:gridSpan w:val="2"/>
            <w:vAlign w:val="center"/>
          </w:tcPr>
          <w:p w14:paraId="1C6E2F8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defectos en los elementos de seguridad vial [señalización horizontal, señalización vertical y elementos de encarrilamiento (parapetos y barandas de los puentes)] de las obras de arte mayor como los establecidos para la carretera.</w:t>
            </w:r>
          </w:p>
        </w:tc>
        <w:tc>
          <w:tcPr>
            <w:tcW w:w="682" w:type="pct"/>
            <w:gridSpan w:val="2"/>
            <w:vAlign w:val="center"/>
          </w:tcPr>
          <w:p w14:paraId="4A22315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parámetros de seguridad vial.</w:t>
            </w:r>
          </w:p>
        </w:tc>
        <w:tc>
          <w:tcPr>
            <w:tcW w:w="734" w:type="pct"/>
            <w:vAlign w:val="center"/>
          </w:tcPr>
          <w:p w14:paraId="1CCB18D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métodos de medición de seguridad vial.</w:t>
            </w:r>
          </w:p>
        </w:tc>
        <w:tc>
          <w:tcPr>
            <w:tcW w:w="377" w:type="pct"/>
            <w:vAlign w:val="center"/>
          </w:tcPr>
          <w:p w14:paraId="3685BCB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las exigencias de seguridad vial.</w:t>
            </w:r>
          </w:p>
        </w:tc>
        <w:tc>
          <w:tcPr>
            <w:tcW w:w="482" w:type="pct"/>
            <w:vAlign w:val="center"/>
          </w:tcPr>
          <w:p w14:paraId="43A5779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Aplican los plazos de reparación de seguridad vial reducidos a la mitad.</w:t>
            </w:r>
          </w:p>
        </w:tc>
        <w:tc>
          <w:tcPr>
            <w:tcW w:w="399" w:type="pct"/>
            <w:vAlign w:val="center"/>
          </w:tcPr>
          <w:p w14:paraId="3DE8F3A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2CD74E4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2E45CB9" w14:textId="77777777">
        <w:trPr>
          <w:trHeight w:val="1012"/>
          <w:jc w:val="center"/>
        </w:trPr>
        <w:tc>
          <w:tcPr>
            <w:tcW w:w="304" w:type="pct"/>
            <w:vMerge/>
            <w:shd w:val="clear" w:color="000000" w:fill="BFBFBF"/>
            <w:vAlign w:val="center"/>
          </w:tcPr>
          <w:p w14:paraId="5D536AE9"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64395551"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Otr1</w:t>
            </w:r>
          </w:p>
        </w:tc>
        <w:tc>
          <w:tcPr>
            <w:tcW w:w="517" w:type="pct"/>
            <w:vAlign w:val="center"/>
          </w:tcPr>
          <w:p w14:paraId="068AFB1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14:paraId="1CD0569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drenes obstruidos.</w:t>
            </w:r>
          </w:p>
        </w:tc>
        <w:tc>
          <w:tcPr>
            <w:tcW w:w="682" w:type="pct"/>
            <w:gridSpan w:val="2"/>
            <w:vAlign w:val="center"/>
          </w:tcPr>
          <w:p w14:paraId="7F96842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14:paraId="4C5950F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1985055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1F2B28C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55C9623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29CAC49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246106E" w14:textId="77777777">
        <w:trPr>
          <w:trHeight w:val="1758"/>
          <w:jc w:val="center"/>
        </w:trPr>
        <w:tc>
          <w:tcPr>
            <w:tcW w:w="304" w:type="pct"/>
            <w:vMerge/>
            <w:shd w:val="clear" w:color="000000" w:fill="BFBFBF"/>
            <w:vAlign w:val="center"/>
          </w:tcPr>
          <w:p w14:paraId="6DC601D1"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Align w:val="center"/>
          </w:tcPr>
          <w:p w14:paraId="60409C3F"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Soc</w:t>
            </w:r>
          </w:p>
        </w:tc>
        <w:tc>
          <w:tcPr>
            <w:tcW w:w="517" w:type="pct"/>
            <w:vAlign w:val="center"/>
          </w:tcPr>
          <w:p w14:paraId="29B6F754"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Socavación de las fundaciones de las obras de arte mayor.</w:t>
            </w:r>
          </w:p>
        </w:tc>
        <w:tc>
          <w:tcPr>
            <w:tcW w:w="881" w:type="pct"/>
            <w:gridSpan w:val="2"/>
            <w:vAlign w:val="center"/>
          </w:tcPr>
          <w:p w14:paraId="6B3B0E35" w14:textId="77777777" w:rsidR="00A3029F" w:rsidRPr="00B7174F" w:rsidRDefault="00A3029F" w:rsidP="00020211">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niveles del lecho del cauce de agua por debajo de cara superior de dados, cabezales de pilotes o viga de fundación de revestimiento, salvo que así</w:t>
            </w:r>
            <w:r w:rsidR="00B14DCC">
              <w:rPr>
                <w:rFonts w:ascii="Arial" w:hAnsi="Arial" w:cs="Arial"/>
                <w:snapToGrid w:val="0"/>
                <w:color w:val="000000"/>
                <w:sz w:val="16"/>
                <w:szCs w:val="16"/>
                <w:lang w:val="es-UY" w:eastAsia="es-UY"/>
              </w:rPr>
              <w:t xml:space="preserve"> </w:t>
            </w:r>
            <w:r w:rsidRPr="00B7174F">
              <w:rPr>
                <w:rFonts w:ascii="Arial" w:hAnsi="Arial" w:cs="Arial"/>
                <w:snapToGrid w:val="0"/>
                <w:color w:val="000000"/>
                <w:sz w:val="16"/>
                <w:szCs w:val="16"/>
                <w:lang w:val="es-UY" w:eastAsia="es-UY"/>
              </w:rPr>
              <w:t>hubiera sido proyectado o autoriz</w:t>
            </w:r>
            <w:r w:rsidR="00020211">
              <w:rPr>
                <w:rFonts w:ascii="Arial" w:hAnsi="Arial" w:cs="Arial"/>
                <w:snapToGrid w:val="0"/>
                <w:color w:val="000000"/>
                <w:sz w:val="16"/>
                <w:szCs w:val="16"/>
                <w:lang w:val="es-UY" w:eastAsia="es-UY"/>
              </w:rPr>
              <w:t>ado por el Órgano de Control de la Contratante</w:t>
            </w:r>
            <w:r w:rsidRPr="00B7174F">
              <w:rPr>
                <w:rFonts w:ascii="Arial" w:hAnsi="Arial" w:cs="Arial"/>
                <w:snapToGrid w:val="0"/>
                <w:color w:val="000000"/>
                <w:sz w:val="16"/>
                <w:szCs w:val="16"/>
                <w:lang w:val="es-UY" w:eastAsia="es-UY"/>
              </w:rPr>
              <w:t>.</w:t>
            </w:r>
          </w:p>
        </w:tc>
        <w:tc>
          <w:tcPr>
            <w:tcW w:w="682" w:type="pct"/>
            <w:gridSpan w:val="2"/>
            <w:vAlign w:val="center"/>
          </w:tcPr>
          <w:p w14:paraId="539CE60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Diferencia de cotas entre el cauce del lecho y la cara superior de dados, cabezales de pilotes o viga de fundación de revestimiento.</w:t>
            </w:r>
          </w:p>
        </w:tc>
        <w:tc>
          <w:tcPr>
            <w:tcW w:w="734" w:type="pct"/>
            <w:vAlign w:val="center"/>
          </w:tcPr>
          <w:p w14:paraId="4531DEE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nivelación se determinan las cotas del cauce del lecho y por intermedio de los planos originales del proyecto se obtienen las cotas, la cara superior de dados, cabezales de pilotes o viga de fundación de revestimiento, calculándose la diferencia de cotas.</w:t>
            </w:r>
          </w:p>
        </w:tc>
        <w:tc>
          <w:tcPr>
            <w:tcW w:w="377" w:type="pct"/>
            <w:vAlign w:val="center"/>
          </w:tcPr>
          <w:p w14:paraId="25422D6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w:t>
            </w:r>
          </w:p>
        </w:tc>
        <w:tc>
          <w:tcPr>
            <w:tcW w:w="482" w:type="pct"/>
            <w:vAlign w:val="center"/>
          </w:tcPr>
          <w:p w14:paraId="76D3785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7 días</w:t>
            </w:r>
          </w:p>
        </w:tc>
        <w:tc>
          <w:tcPr>
            <w:tcW w:w="399" w:type="pct"/>
            <w:vAlign w:val="center"/>
          </w:tcPr>
          <w:p w14:paraId="29BC91D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Trimestral</w:t>
            </w:r>
          </w:p>
        </w:tc>
        <w:tc>
          <w:tcPr>
            <w:tcW w:w="325" w:type="pct"/>
            <w:vAlign w:val="center"/>
          </w:tcPr>
          <w:p w14:paraId="42340F9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313C77B5" w14:textId="77777777">
        <w:trPr>
          <w:trHeight w:val="952"/>
          <w:jc w:val="center"/>
        </w:trPr>
        <w:tc>
          <w:tcPr>
            <w:tcW w:w="304" w:type="pct"/>
            <w:shd w:val="clear" w:color="000000" w:fill="BFBFBF"/>
            <w:textDirection w:val="btLr"/>
            <w:vAlign w:val="bottom"/>
          </w:tcPr>
          <w:p w14:paraId="34F1353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UY"/>
              </w:rPr>
            </w:pPr>
          </w:p>
          <w:p w14:paraId="24942081" w14:textId="77777777" w:rsidR="00A3029F" w:rsidRPr="00B7174F" w:rsidRDefault="00B14DCC" w:rsidP="00CF69B3">
            <w:pPr>
              <w:widowControl w:val="0"/>
              <w:spacing w:after="0" w:line="240" w:lineRule="auto"/>
              <w:jc w:val="center"/>
              <w:rPr>
                <w:rFonts w:ascii="Arial" w:hAnsi="Arial" w:cs="Arial"/>
                <w:snapToGrid w:val="0"/>
                <w:color w:val="FFFFFF"/>
                <w:sz w:val="16"/>
                <w:szCs w:val="16"/>
                <w:lang w:val="es-UY" w:eastAsia="es-UY"/>
              </w:rPr>
            </w:pPr>
            <w:r>
              <w:rPr>
                <w:rFonts w:ascii="Arial" w:hAnsi="Arial" w:cs="Arial"/>
                <w:snapToGrid w:val="0"/>
                <w:color w:val="FFFFFF"/>
                <w:sz w:val="16"/>
                <w:szCs w:val="16"/>
                <w:lang w:val="es-UY" w:eastAsia="es-UY"/>
              </w:rPr>
              <w:t xml:space="preserve"> </w:t>
            </w:r>
            <w:r w:rsidR="00A3029F" w:rsidRPr="00B7174F">
              <w:rPr>
                <w:rFonts w:ascii="Arial" w:hAnsi="Arial" w:cs="Arial"/>
                <w:snapToGrid w:val="0"/>
                <w:color w:val="FFFFFF"/>
                <w:sz w:val="16"/>
                <w:szCs w:val="16"/>
                <w:lang w:val="es-UY" w:eastAsia="es-UY"/>
              </w:rPr>
              <w:t xml:space="preserve"> COMPLEMENTARIOS</w:t>
            </w:r>
          </w:p>
        </w:tc>
        <w:tc>
          <w:tcPr>
            <w:tcW w:w="297" w:type="pct"/>
            <w:vMerge w:val="restart"/>
            <w:vAlign w:val="center"/>
          </w:tcPr>
          <w:p w14:paraId="61AFC94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Otr2</w:t>
            </w:r>
          </w:p>
        </w:tc>
        <w:tc>
          <w:tcPr>
            <w:tcW w:w="517" w:type="pct"/>
            <w:vMerge w:val="restart"/>
            <w:vAlign w:val="center"/>
          </w:tcPr>
          <w:p w14:paraId="2FCAAA6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Deficiencias en otros elementos de las obras de arte mayor.</w:t>
            </w:r>
          </w:p>
        </w:tc>
        <w:tc>
          <w:tcPr>
            <w:tcW w:w="881" w:type="pct"/>
            <w:gridSpan w:val="2"/>
            <w:vAlign w:val="center"/>
          </w:tcPr>
          <w:p w14:paraId="0CF6F41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no estancas.</w:t>
            </w:r>
          </w:p>
        </w:tc>
        <w:tc>
          <w:tcPr>
            <w:tcW w:w="682" w:type="pct"/>
            <w:gridSpan w:val="2"/>
            <w:vAlign w:val="center"/>
          </w:tcPr>
          <w:p w14:paraId="78FE568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longitud de cada junta con defecto.</w:t>
            </w:r>
          </w:p>
        </w:tc>
        <w:tc>
          <w:tcPr>
            <w:tcW w:w="734" w:type="pct"/>
            <w:vAlign w:val="center"/>
          </w:tcPr>
          <w:p w14:paraId="5049E91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longitud total, calculándose el porcentaje de afectación.</w:t>
            </w:r>
          </w:p>
        </w:tc>
        <w:tc>
          <w:tcPr>
            <w:tcW w:w="377" w:type="pct"/>
            <w:vAlign w:val="center"/>
          </w:tcPr>
          <w:p w14:paraId="3E7FB07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43A14C9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1E03759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5C3526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59B35D54" w14:textId="77777777">
        <w:trPr>
          <w:trHeight w:val="980"/>
          <w:jc w:val="center"/>
        </w:trPr>
        <w:tc>
          <w:tcPr>
            <w:tcW w:w="304" w:type="pct"/>
            <w:vMerge w:val="restart"/>
            <w:shd w:val="clear" w:color="000000" w:fill="BFBFBF"/>
            <w:textDirection w:val="btLr"/>
            <w:vAlign w:val="center"/>
          </w:tcPr>
          <w:p w14:paraId="77C92920"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14:paraId="7B3BB0AD"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BF5C70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5EE0F37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manchas de humedad a la salida de drenes o de juntas y falsas juntas de cordones y veredas.</w:t>
            </w:r>
          </w:p>
        </w:tc>
        <w:tc>
          <w:tcPr>
            <w:tcW w:w="682" w:type="pct"/>
            <w:gridSpan w:val="2"/>
            <w:vAlign w:val="center"/>
          </w:tcPr>
          <w:p w14:paraId="76E9F91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drenes con defecto.</w:t>
            </w:r>
          </w:p>
        </w:tc>
        <w:tc>
          <w:tcPr>
            <w:tcW w:w="734" w:type="pct"/>
            <w:vAlign w:val="center"/>
          </w:tcPr>
          <w:p w14:paraId="0906032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46B2FB1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5B5806C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5B092DE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A32CB7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00F9B0DB" w14:textId="77777777">
        <w:trPr>
          <w:cantSplit/>
          <w:trHeight w:val="1134"/>
          <w:jc w:val="center"/>
        </w:trPr>
        <w:tc>
          <w:tcPr>
            <w:tcW w:w="304" w:type="pct"/>
            <w:vMerge/>
            <w:shd w:val="clear" w:color="000000" w:fill="BFBFBF"/>
            <w:textDirection w:val="btLr"/>
            <w:vAlign w:val="center"/>
          </w:tcPr>
          <w:p w14:paraId="511050F5" w14:textId="77777777" w:rsidR="00A3029F" w:rsidRPr="00B7174F" w:rsidRDefault="00A3029F" w:rsidP="00CF69B3">
            <w:pPr>
              <w:widowControl w:val="0"/>
              <w:spacing w:after="0" w:line="240" w:lineRule="auto"/>
              <w:ind w:left="113" w:right="113"/>
              <w:rPr>
                <w:rFonts w:ascii="Arial" w:hAnsi="Arial" w:cs="Arial"/>
                <w:snapToGrid w:val="0"/>
                <w:color w:val="FFFFFF"/>
                <w:sz w:val="16"/>
                <w:szCs w:val="16"/>
                <w:lang w:val="es-UY" w:eastAsia="es-UY"/>
              </w:rPr>
            </w:pPr>
          </w:p>
        </w:tc>
        <w:tc>
          <w:tcPr>
            <w:tcW w:w="297" w:type="pct"/>
            <w:vMerge/>
            <w:vAlign w:val="center"/>
          </w:tcPr>
          <w:p w14:paraId="79FEA0FD"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8730FE2"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3135224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682" w:type="pct"/>
            <w:gridSpan w:val="2"/>
            <w:vAlign w:val="center"/>
          </w:tcPr>
          <w:p w14:paraId="5E6FC03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juntas y falsas juntas con defecto.</w:t>
            </w:r>
          </w:p>
        </w:tc>
        <w:tc>
          <w:tcPr>
            <w:tcW w:w="734" w:type="pct"/>
            <w:vAlign w:val="center"/>
          </w:tcPr>
          <w:p w14:paraId="002E35C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07D202C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5%</w:t>
            </w:r>
          </w:p>
        </w:tc>
        <w:tc>
          <w:tcPr>
            <w:tcW w:w="482" w:type="pct"/>
            <w:vAlign w:val="center"/>
          </w:tcPr>
          <w:p w14:paraId="1EC1BDA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09956F5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44DD830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100B0D6" w14:textId="77777777">
        <w:trPr>
          <w:trHeight w:val="829"/>
          <w:jc w:val="center"/>
        </w:trPr>
        <w:tc>
          <w:tcPr>
            <w:tcW w:w="304" w:type="pct"/>
            <w:vMerge/>
            <w:shd w:val="clear" w:color="000000" w:fill="BFBFBF"/>
            <w:vAlign w:val="center"/>
          </w:tcPr>
          <w:p w14:paraId="060267A0"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254E231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41A51702"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7570869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armaduras expuestas.</w:t>
            </w:r>
          </w:p>
        </w:tc>
        <w:tc>
          <w:tcPr>
            <w:tcW w:w="682" w:type="pct"/>
            <w:gridSpan w:val="2"/>
            <w:vAlign w:val="center"/>
          </w:tcPr>
          <w:p w14:paraId="78E970A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armaduras expuestas.</w:t>
            </w:r>
          </w:p>
        </w:tc>
        <w:tc>
          <w:tcPr>
            <w:tcW w:w="734" w:type="pct"/>
            <w:vAlign w:val="center"/>
          </w:tcPr>
          <w:p w14:paraId="2E93B04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72DE662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59013E7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1FC5DE2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4E85B3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FBEE637" w14:textId="77777777">
        <w:trPr>
          <w:trHeight w:val="826"/>
          <w:jc w:val="center"/>
        </w:trPr>
        <w:tc>
          <w:tcPr>
            <w:tcW w:w="304" w:type="pct"/>
            <w:vMerge/>
            <w:shd w:val="clear" w:color="000000" w:fill="BFBFBF"/>
            <w:vAlign w:val="center"/>
          </w:tcPr>
          <w:p w14:paraId="728CE9BD"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22EFFC5C"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6BB12345"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05A303B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lesiones en el hormigón de más de 0,01 m de profundidad.</w:t>
            </w:r>
          </w:p>
        </w:tc>
        <w:tc>
          <w:tcPr>
            <w:tcW w:w="682" w:type="pct"/>
            <w:gridSpan w:val="2"/>
            <w:vAlign w:val="center"/>
          </w:tcPr>
          <w:p w14:paraId="59D1F11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lesiones en el hormigón.</w:t>
            </w:r>
          </w:p>
        </w:tc>
        <w:tc>
          <w:tcPr>
            <w:tcW w:w="734" w:type="pct"/>
            <w:vAlign w:val="center"/>
          </w:tcPr>
          <w:p w14:paraId="661C1F3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5FE6122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1852B96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89FABD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608F2D0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2BB136E7" w14:textId="77777777">
        <w:trPr>
          <w:trHeight w:val="841"/>
          <w:jc w:val="center"/>
        </w:trPr>
        <w:tc>
          <w:tcPr>
            <w:tcW w:w="304" w:type="pct"/>
            <w:vMerge/>
            <w:shd w:val="clear" w:color="000000" w:fill="BFBFBF"/>
            <w:vAlign w:val="center"/>
          </w:tcPr>
          <w:p w14:paraId="0992BE2D"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5D9670E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6F77373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4B8E5A9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fisuras de espesor mayor o igual a</w:t>
            </w:r>
            <w:r w:rsidR="00B14DCC">
              <w:rPr>
                <w:rFonts w:ascii="Arial" w:hAnsi="Arial" w:cs="Arial"/>
                <w:snapToGrid w:val="0"/>
                <w:color w:val="000000"/>
                <w:sz w:val="16"/>
                <w:szCs w:val="16"/>
                <w:lang w:val="es-UY" w:eastAsia="es-UY"/>
              </w:rPr>
              <w:t xml:space="preserve"> </w:t>
            </w:r>
            <w:r w:rsidRPr="00B7174F">
              <w:rPr>
                <w:rFonts w:ascii="Arial" w:hAnsi="Arial" w:cs="Arial"/>
                <w:snapToGrid w:val="0"/>
                <w:color w:val="000000"/>
                <w:sz w:val="16"/>
                <w:szCs w:val="16"/>
                <w:lang w:val="es-UY" w:eastAsia="es-UY"/>
              </w:rPr>
              <w:t>0,0004 m en el hormigón y hormigón armado o 0,0002 m en el hormigón pretensado.</w:t>
            </w:r>
          </w:p>
        </w:tc>
        <w:tc>
          <w:tcPr>
            <w:tcW w:w="682" w:type="pct"/>
            <w:gridSpan w:val="2"/>
            <w:vAlign w:val="center"/>
          </w:tcPr>
          <w:p w14:paraId="2F36982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con fisuras de espesor superior al permitido.</w:t>
            </w:r>
          </w:p>
        </w:tc>
        <w:tc>
          <w:tcPr>
            <w:tcW w:w="734" w:type="pct"/>
            <w:vAlign w:val="center"/>
          </w:tcPr>
          <w:p w14:paraId="5C7780E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14:paraId="6F9835D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w:t>
            </w:r>
          </w:p>
        </w:tc>
        <w:tc>
          <w:tcPr>
            <w:tcW w:w="482" w:type="pct"/>
            <w:vAlign w:val="center"/>
          </w:tcPr>
          <w:p w14:paraId="3D566DD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7C0D14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7B2A955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00766F18" w14:textId="77777777">
        <w:trPr>
          <w:trHeight w:val="819"/>
          <w:jc w:val="center"/>
        </w:trPr>
        <w:tc>
          <w:tcPr>
            <w:tcW w:w="304" w:type="pct"/>
            <w:vMerge/>
            <w:shd w:val="clear" w:color="000000" w:fill="BFBFBF"/>
            <w:vAlign w:val="center"/>
          </w:tcPr>
          <w:p w14:paraId="48940A38"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7258D91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558C2908"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7D0EF93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deterioros en los elementos metálicos como corrosión, defectos en la pintura o galvanizado, etc.</w:t>
            </w:r>
          </w:p>
        </w:tc>
        <w:tc>
          <w:tcPr>
            <w:tcW w:w="682" w:type="pct"/>
            <w:gridSpan w:val="2"/>
            <w:vAlign w:val="center"/>
          </w:tcPr>
          <w:p w14:paraId="427C712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Área con deterioros.</w:t>
            </w:r>
          </w:p>
        </w:tc>
        <w:tc>
          <w:tcPr>
            <w:tcW w:w="734" w:type="pct"/>
            <w:vAlign w:val="center"/>
          </w:tcPr>
          <w:p w14:paraId="3B0CBC0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el área total afectada.</w:t>
            </w:r>
          </w:p>
        </w:tc>
        <w:tc>
          <w:tcPr>
            <w:tcW w:w="377" w:type="pct"/>
            <w:vAlign w:val="center"/>
          </w:tcPr>
          <w:p w14:paraId="7297405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 m2</w:t>
            </w:r>
          </w:p>
        </w:tc>
        <w:tc>
          <w:tcPr>
            <w:tcW w:w="482" w:type="pct"/>
            <w:vAlign w:val="center"/>
          </w:tcPr>
          <w:p w14:paraId="2F8C795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B16C9F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744E71F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4CDF3C91" w14:textId="77777777">
        <w:trPr>
          <w:trHeight w:val="1262"/>
          <w:jc w:val="center"/>
        </w:trPr>
        <w:tc>
          <w:tcPr>
            <w:tcW w:w="304" w:type="pct"/>
            <w:vMerge/>
            <w:shd w:val="clear" w:color="000000" w:fill="BFBFBF"/>
            <w:vAlign w:val="center"/>
          </w:tcPr>
          <w:p w14:paraId="5A9089EA"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7607B79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211A07A6"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7EA43A5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deterioros como la introducción en la estructura de vínculos distintos a los de diseño que ocasionen daños o mal funcionamiento del resto de la estructura, signos de degradación, aplastamiento o desplazamiento, etc.</w:t>
            </w:r>
          </w:p>
        </w:tc>
        <w:tc>
          <w:tcPr>
            <w:tcW w:w="682" w:type="pct"/>
            <w:gridSpan w:val="2"/>
            <w:vAlign w:val="center"/>
          </w:tcPr>
          <w:p w14:paraId="7D5F80B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14:paraId="53DA97D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03FF1FF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6D79336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5DB68C0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3F26C1A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028D307E" w14:textId="77777777">
        <w:trPr>
          <w:trHeight w:val="1062"/>
          <w:jc w:val="center"/>
        </w:trPr>
        <w:tc>
          <w:tcPr>
            <w:tcW w:w="304" w:type="pct"/>
            <w:vMerge/>
            <w:shd w:val="clear" w:color="000000" w:fill="BFBFBF"/>
            <w:vAlign w:val="center"/>
          </w:tcPr>
          <w:p w14:paraId="2B2362EA"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0796757E"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32260504"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779B44AA"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juntas estructurales que conlleven separaciones entre la estructura fuera de los parámetros de diseño que ocasiones daños o mal funcionamiento al resto de la estructura.</w:t>
            </w:r>
          </w:p>
        </w:tc>
        <w:tc>
          <w:tcPr>
            <w:tcW w:w="682" w:type="pct"/>
            <w:gridSpan w:val="2"/>
            <w:vAlign w:val="center"/>
          </w:tcPr>
          <w:p w14:paraId="1AA6224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Longitud de juntas deterioradas.</w:t>
            </w:r>
          </w:p>
        </w:tc>
        <w:tc>
          <w:tcPr>
            <w:tcW w:w="734" w:type="pct"/>
            <w:vAlign w:val="center"/>
          </w:tcPr>
          <w:p w14:paraId="727D9C4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la longitud total afectada.</w:t>
            </w:r>
          </w:p>
        </w:tc>
        <w:tc>
          <w:tcPr>
            <w:tcW w:w="377" w:type="pct"/>
            <w:vAlign w:val="center"/>
          </w:tcPr>
          <w:p w14:paraId="57E199F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 m</w:t>
            </w:r>
          </w:p>
        </w:tc>
        <w:tc>
          <w:tcPr>
            <w:tcW w:w="482" w:type="pct"/>
            <w:vAlign w:val="center"/>
          </w:tcPr>
          <w:p w14:paraId="04DBDBD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018CA0E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B060F7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B78630B" w14:textId="77777777">
        <w:trPr>
          <w:trHeight w:val="952"/>
          <w:jc w:val="center"/>
        </w:trPr>
        <w:tc>
          <w:tcPr>
            <w:tcW w:w="304" w:type="pct"/>
            <w:vMerge w:val="restart"/>
            <w:shd w:val="clear" w:color="000000" w:fill="BFBFBF"/>
            <w:textDirection w:val="btLr"/>
            <w:vAlign w:val="center"/>
          </w:tcPr>
          <w:p w14:paraId="7D89F6F9" w14:textId="77777777" w:rsidR="00A3029F" w:rsidRPr="00B7174F" w:rsidRDefault="00A3029F" w:rsidP="00CF69B3">
            <w:pPr>
              <w:widowControl w:val="0"/>
              <w:spacing w:after="0" w:line="240" w:lineRule="auto"/>
              <w:ind w:left="113" w:right="113"/>
              <w:jc w:val="center"/>
              <w:rPr>
                <w:rFonts w:ascii="Arial" w:hAnsi="Arial" w:cs="Arial"/>
                <w:snapToGrid w:val="0"/>
                <w:color w:val="FFFFFF"/>
                <w:sz w:val="16"/>
                <w:szCs w:val="16"/>
                <w:lang w:val="es-UY" w:eastAsia="es-UY"/>
              </w:rPr>
            </w:pPr>
            <w:r w:rsidRPr="00B7174F">
              <w:rPr>
                <w:rFonts w:ascii="Arial" w:hAnsi="Arial" w:cs="Arial"/>
                <w:snapToGrid w:val="0"/>
                <w:color w:val="FFFFFF"/>
                <w:sz w:val="16"/>
                <w:szCs w:val="16"/>
                <w:lang w:val="es-UY" w:eastAsia="es-UY"/>
              </w:rPr>
              <w:t>COMPLEMENTARIOS</w:t>
            </w:r>
          </w:p>
        </w:tc>
        <w:tc>
          <w:tcPr>
            <w:tcW w:w="297" w:type="pct"/>
            <w:vMerge/>
            <w:vAlign w:val="center"/>
          </w:tcPr>
          <w:p w14:paraId="30D4A290"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517" w:type="pct"/>
            <w:vMerge/>
            <w:vAlign w:val="center"/>
          </w:tcPr>
          <w:p w14:paraId="686D3711" w14:textId="77777777" w:rsidR="00A3029F" w:rsidRPr="00B7174F" w:rsidRDefault="00A3029F" w:rsidP="00CF69B3">
            <w:pPr>
              <w:widowControl w:val="0"/>
              <w:spacing w:after="0" w:line="240" w:lineRule="auto"/>
              <w:rPr>
                <w:rFonts w:ascii="Arial" w:hAnsi="Arial" w:cs="Arial"/>
                <w:snapToGrid w:val="0"/>
                <w:color w:val="000000"/>
                <w:sz w:val="16"/>
                <w:szCs w:val="16"/>
                <w:lang w:val="es-UY" w:eastAsia="es-UY"/>
              </w:rPr>
            </w:pPr>
          </w:p>
        </w:tc>
        <w:tc>
          <w:tcPr>
            <w:tcW w:w="881" w:type="pct"/>
            <w:gridSpan w:val="2"/>
            <w:vAlign w:val="center"/>
          </w:tcPr>
          <w:p w14:paraId="40E66F5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apoyos con suciedad.</w:t>
            </w:r>
          </w:p>
        </w:tc>
        <w:tc>
          <w:tcPr>
            <w:tcW w:w="682" w:type="pct"/>
            <w:gridSpan w:val="2"/>
            <w:vAlign w:val="center"/>
          </w:tcPr>
          <w:p w14:paraId="6349AF6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 la cantidad de apoyos con defecto.</w:t>
            </w:r>
          </w:p>
        </w:tc>
        <w:tc>
          <w:tcPr>
            <w:tcW w:w="734" w:type="pct"/>
            <w:vAlign w:val="center"/>
          </w:tcPr>
          <w:p w14:paraId="1CDBAE2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cantidad total, calculándose el porcentaje de afectación.</w:t>
            </w:r>
          </w:p>
        </w:tc>
        <w:tc>
          <w:tcPr>
            <w:tcW w:w="377" w:type="pct"/>
            <w:vAlign w:val="center"/>
          </w:tcPr>
          <w:p w14:paraId="32B41768"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41F2CE7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1AE6A0D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1CB51F2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779185AC" w14:textId="77777777">
        <w:trPr>
          <w:trHeight w:val="2087"/>
          <w:jc w:val="center"/>
        </w:trPr>
        <w:tc>
          <w:tcPr>
            <w:tcW w:w="304" w:type="pct"/>
            <w:vMerge/>
            <w:shd w:val="clear" w:color="000000" w:fill="BFBFBF"/>
            <w:vAlign w:val="center"/>
          </w:tcPr>
          <w:p w14:paraId="047C9B54"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restart"/>
            <w:vAlign w:val="center"/>
          </w:tcPr>
          <w:p w14:paraId="3B5FA29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OAM Rev</w:t>
            </w:r>
          </w:p>
        </w:tc>
        <w:tc>
          <w:tcPr>
            <w:tcW w:w="517" w:type="pct"/>
            <w:vMerge w:val="restart"/>
            <w:vAlign w:val="center"/>
          </w:tcPr>
          <w:p w14:paraId="5EED096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Deterioros en los revestimientos de los terraplenes de acceso de las obras de arte mayor.</w:t>
            </w:r>
          </w:p>
        </w:tc>
        <w:tc>
          <w:tcPr>
            <w:tcW w:w="763" w:type="pct"/>
            <w:vMerge w:val="restart"/>
            <w:vAlign w:val="center"/>
          </w:tcPr>
          <w:p w14:paraId="468E244F"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Presencia de las siguientes deficiencias en los revestimientos de los terraplenes de acceso de las obras de arte mayor.</w:t>
            </w:r>
          </w:p>
        </w:tc>
        <w:tc>
          <w:tcPr>
            <w:tcW w:w="386" w:type="pct"/>
            <w:gridSpan w:val="2"/>
            <w:vAlign w:val="center"/>
          </w:tcPr>
          <w:p w14:paraId="5613C28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Grietas que puedan ocasionar fuga de material, roturas, hundimientos o faltantes de revestimiento</w:t>
            </w:r>
          </w:p>
        </w:tc>
        <w:tc>
          <w:tcPr>
            <w:tcW w:w="414" w:type="pct"/>
            <w:vAlign w:val="center"/>
          </w:tcPr>
          <w:p w14:paraId="4F1A174C"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36FC942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de grietas se entenderá como área afectada el área de la loseta si la grieta se sitúa en una loseta, o el área de las dos losetas si la grieta se sitúa entre dos losetas.)</w:t>
            </w:r>
          </w:p>
        </w:tc>
        <w:tc>
          <w:tcPr>
            <w:tcW w:w="377" w:type="pct"/>
            <w:vAlign w:val="center"/>
          </w:tcPr>
          <w:p w14:paraId="12CD6CD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14:paraId="6DD4926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0F01324B"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3BF315A1"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04132BF2" w14:textId="77777777">
        <w:trPr>
          <w:trHeight w:val="2661"/>
          <w:jc w:val="center"/>
        </w:trPr>
        <w:tc>
          <w:tcPr>
            <w:tcW w:w="304" w:type="pct"/>
            <w:vMerge/>
            <w:shd w:val="clear" w:color="000000" w:fill="BFBFBF"/>
            <w:vAlign w:val="center"/>
          </w:tcPr>
          <w:p w14:paraId="24C1FC91"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4102FB8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2A77398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14:paraId="3AE6328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14:paraId="2C2D3A03"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hasta 0,30 m de altura</w:t>
            </w:r>
          </w:p>
        </w:tc>
        <w:tc>
          <w:tcPr>
            <w:tcW w:w="414" w:type="pct"/>
            <w:vAlign w:val="center"/>
          </w:tcPr>
          <w:p w14:paraId="5E175E2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4184E36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14:paraId="2215A8D6"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 0,5%</w:t>
            </w:r>
          </w:p>
        </w:tc>
        <w:tc>
          <w:tcPr>
            <w:tcW w:w="482" w:type="pct"/>
            <w:vAlign w:val="center"/>
          </w:tcPr>
          <w:p w14:paraId="33FAE43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45 días</w:t>
            </w:r>
          </w:p>
        </w:tc>
        <w:tc>
          <w:tcPr>
            <w:tcW w:w="399" w:type="pct"/>
            <w:vAlign w:val="center"/>
          </w:tcPr>
          <w:p w14:paraId="3B12275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427B0247"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r w:rsidR="00A3029F" w:rsidRPr="00B7174F" w14:paraId="6254EED9" w14:textId="77777777">
        <w:trPr>
          <w:trHeight w:val="2552"/>
          <w:jc w:val="center"/>
        </w:trPr>
        <w:tc>
          <w:tcPr>
            <w:tcW w:w="304" w:type="pct"/>
            <w:vMerge/>
            <w:shd w:val="clear" w:color="000000" w:fill="BFBFBF"/>
            <w:vAlign w:val="center"/>
          </w:tcPr>
          <w:p w14:paraId="6E89A7B2" w14:textId="77777777" w:rsidR="00A3029F" w:rsidRPr="00B7174F" w:rsidRDefault="00A3029F" w:rsidP="00CF69B3">
            <w:pPr>
              <w:widowControl w:val="0"/>
              <w:spacing w:after="0" w:line="240" w:lineRule="auto"/>
              <w:rPr>
                <w:rFonts w:ascii="Arial" w:hAnsi="Arial" w:cs="Arial"/>
                <w:snapToGrid w:val="0"/>
                <w:color w:val="FFFFFF"/>
                <w:sz w:val="16"/>
                <w:szCs w:val="16"/>
                <w:lang w:val="es-UY" w:eastAsia="es-UY"/>
              </w:rPr>
            </w:pPr>
          </w:p>
        </w:tc>
        <w:tc>
          <w:tcPr>
            <w:tcW w:w="297" w:type="pct"/>
            <w:vMerge/>
            <w:vAlign w:val="center"/>
          </w:tcPr>
          <w:p w14:paraId="31F34E2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517" w:type="pct"/>
            <w:vMerge/>
            <w:vAlign w:val="center"/>
          </w:tcPr>
          <w:p w14:paraId="5E090235"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763" w:type="pct"/>
            <w:vMerge/>
            <w:vAlign w:val="center"/>
          </w:tcPr>
          <w:p w14:paraId="1AA68A44"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c>
          <w:tcPr>
            <w:tcW w:w="386" w:type="pct"/>
            <w:gridSpan w:val="2"/>
            <w:vAlign w:val="center"/>
          </w:tcPr>
          <w:p w14:paraId="02131279"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Vegetación en la superficie del revestimiento de más de 0,30 m de altura</w:t>
            </w:r>
          </w:p>
        </w:tc>
        <w:tc>
          <w:tcPr>
            <w:tcW w:w="414" w:type="pct"/>
            <w:vAlign w:val="center"/>
          </w:tcPr>
          <w:p w14:paraId="30B84F2D"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Porcentaje del área de los dos revestimientos con defecto.</w:t>
            </w:r>
          </w:p>
        </w:tc>
        <w:tc>
          <w:tcPr>
            <w:tcW w:w="734" w:type="pct"/>
            <w:vAlign w:val="center"/>
          </w:tcPr>
          <w:p w14:paraId="29C2331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Por inspección visual se identifican las zonas con defectos y se cuantifica su área total, calculándose el porcentaje de afectación. (En los casos que la vegetación se ubique en una loseta se entenderá como área afectada el área de la loseta, en los casos que la vegetación se ubique en la junta entre dos losetas se entenderá como área afectada el área de las dos losetas.)</w:t>
            </w:r>
          </w:p>
        </w:tc>
        <w:tc>
          <w:tcPr>
            <w:tcW w:w="377" w:type="pct"/>
            <w:vAlign w:val="center"/>
          </w:tcPr>
          <w:p w14:paraId="1A2DC2C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0%</w:t>
            </w:r>
          </w:p>
        </w:tc>
        <w:tc>
          <w:tcPr>
            <w:tcW w:w="482" w:type="pct"/>
            <w:vAlign w:val="center"/>
          </w:tcPr>
          <w:p w14:paraId="68954D10"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60 días</w:t>
            </w:r>
          </w:p>
        </w:tc>
        <w:tc>
          <w:tcPr>
            <w:tcW w:w="399" w:type="pct"/>
            <w:vAlign w:val="center"/>
          </w:tcPr>
          <w:p w14:paraId="42BA4EAE"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r w:rsidRPr="00B7174F">
              <w:rPr>
                <w:rFonts w:ascii="Arial" w:hAnsi="Arial" w:cs="Arial"/>
                <w:snapToGrid w:val="0"/>
                <w:color w:val="000000"/>
                <w:sz w:val="16"/>
                <w:szCs w:val="16"/>
                <w:lang w:val="es-UY" w:eastAsia="es-UY"/>
              </w:rPr>
              <w:t>Semestral</w:t>
            </w:r>
          </w:p>
        </w:tc>
        <w:tc>
          <w:tcPr>
            <w:tcW w:w="325" w:type="pct"/>
            <w:vAlign w:val="center"/>
          </w:tcPr>
          <w:p w14:paraId="00694A52" w14:textId="77777777" w:rsidR="00A3029F" w:rsidRPr="00B7174F" w:rsidRDefault="00A3029F" w:rsidP="00CF69B3">
            <w:pPr>
              <w:widowControl w:val="0"/>
              <w:spacing w:after="0" w:line="240" w:lineRule="auto"/>
              <w:jc w:val="center"/>
              <w:rPr>
                <w:rFonts w:ascii="Arial" w:hAnsi="Arial" w:cs="Arial"/>
                <w:snapToGrid w:val="0"/>
                <w:color w:val="000000"/>
                <w:sz w:val="16"/>
                <w:szCs w:val="16"/>
                <w:lang w:val="es-UY" w:eastAsia="es-UY"/>
              </w:rPr>
            </w:pPr>
          </w:p>
        </w:tc>
      </w:tr>
    </w:tbl>
    <w:p w14:paraId="6F5BEA79" w14:textId="77777777" w:rsidR="00A3029F" w:rsidRPr="00B7174F" w:rsidRDefault="00A3029F" w:rsidP="00CF69B3">
      <w:pPr>
        <w:widowControl w:val="0"/>
        <w:spacing w:before="240" w:after="120"/>
        <w:jc w:val="both"/>
        <w:rPr>
          <w:rFonts w:ascii="Arial" w:hAnsi="Arial" w:cs="Arial"/>
          <w:color w:val="000000"/>
          <w:sz w:val="16"/>
          <w:szCs w:val="16"/>
          <w:lang w:val="es-ES_tradnl" w:eastAsia="es-ES"/>
        </w:rPr>
      </w:pPr>
      <w:r w:rsidRPr="00B7174F">
        <w:rPr>
          <w:rFonts w:ascii="Arial" w:hAnsi="Arial" w:cs="Arial"/>
          <w:b/>
          <w:bCs/>
          <w:snapToGrid w:val="0"/>
          <w:color w:val="000000"/>
          <w:sz w:val="16"/>
          <w:szCs w:val="16"/>
          <w:lang w:val="es-ES_tradnl" w:eastAsia="es-ES"/>
        </w:rPr>
        <w:lastRenderedPageBreak/>
        <w:t>Nota:</w:t>
      </w:r>
      <w:r w:rsidRPr="00B7174F">
        <w:rPr>
          <w:rFonts w:ascii="Arial" w:hAnsi="Arial" w:cs="Arial"/>
          <w:snapToGrid w:val="0"/>
          <w:color w:val="000000"/>
          <w:sz w:val="16"/>
          <w:szCs w:val="16"/>
          <w:lang w:val="es-ES_tradnl" w:eastAsia="es-ES"/>
        </w:rPr>
        <w:tab/>
      </w:r>
      <w:r w:rsidRPr="00B7174F">
        <w:rPr>
          <w:rFonts w:ascii="Arial" w:hAnsi="Arial" w:cs="Arial"/>
          <w:color w:val="000000"/>
          <w:sz w:val="16"/>
          <w:szCs w:val="16"/>
          <w:lang w:val="es-ES_tradnl" w:eastAsia="es-ES"/>
        </w:rPr>
        <w:t>Las obras de recapado de la calzada no podrán extenderse sobre las obras de arte mayor.</w:t>
      </w:r>
    </w:p>
    <w:p w14:paraId="343F24E9" w14:textId="295755E7" w:rsidR="00ED7765" w:rsidRDefault="00A3029F" w:rsidP="00CF69B3">
      <w:pPr>
        <w:widowControl w:val="0"/>
        <w:spacing w:after="120"/>
        <w:jc w:val="both"/>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caso de presentarse una falla estructural importante que dejara fuera de servicio la estructura, no será de cargo del Contratista la reparación de la estructura en aquellos casos en que no exista incumplimiento en los niveles de servicio respectivos.</w:t>
      </w:r>
    </w:p>
    <w:p w14:paraId="16875550" w14:textId="77777777" w:rsidR="00ED7765" w:rsidRDefault="00ED7765">
      <w:pPr>
        <w:spacing w:after="0" w:line="240" w:lineRule="auto"/>
        <w:rPr>
          <w:rFonts w:ascii="Arial" w:hAnsi="Arial" w:cs="Arial"/>
          <w:snapToGrid w:val="0"/>
          <w:color w:val="000000"/>
          <w:sz w:val="16"/>
          <w:szCs w:val="16"/>
          <w:lang w:val="es-ES_tradnl" w:eastAsia="es-ES"/>
        </w:rPr>
      </w:pPr>
      <w:r>
        <w:rPr>
          <w:rFonts w:ascii="Arial" w:hAnsi="Arial" w:cs="Arial"/>
          <w:snapToGrid w:val="0"/>
          <w:color w:val="000000"/>
          <w:sz w:val="16"/>
          <w:szCs w:val="16"/>
          <w:lang w:val="es-ES_tradnl" w:eastAsia="es-ES"/>
        </w:rPr>
        <w:br w:type="page"/>
      </w:r>
    </w:p>
    <w:p w14:paraId="36B3BBCE" w14:textId="77777777" w:rsidR="00A3029F" w:rsidRPr="00B7174F" w:rsidRDefault="00401A6D" w:rsidP="00E26581">
      <w:pPr>
        <w:pStyle w:val="T2A5"/>
        <w:numPr>
          <w:ilvl w:val="0"/>
          <w:numId w:val="0"/>
        </w:numPr>
        <w:ind w:left="360"/>
        <w:outlineLvl w:val="9"/>
      </w:pPr>
      <w:bookmarkStart w:id="1506" w:name="_Toc400634167"/>
      <w:bookmarkStart w:id="1507" w:name="_Toc400635298"/>
      <w:r>
        <w:lastRenderedPageBreak/>
        <w:t xml:space="preserve">3.2 </w:t>
      </w:r>
      <w:r w:rsidR="00A3029F" w:rsidRPr="00B7174F">
        <w:t>Obras de arte menor</w:t>
      </w:r>
      <w:bookmarkEnd w:id="1506"/>
      <w:bookmarkEnd w:id="1507"/>
    </w:p>
    <w:p w14:paraId="2838947F"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Alcantarillas:</w:t>
      </w:r>
      <w:r w:rsidRPr="00B7174F">
        <w:rPr>
          <w:rFonts w:ascii="Arial" w:hAnsi="Arial" w:cs="Arial"/>
          <w:snapToGrid w:val="0"/>
          <w:color w:val="000000"/>
          <w:sz w:val="20"/>
          <w:szCs w:val="20"/>
          <w:lang w:val="es-ES_tradnl" w:eastAsia="es-ES"/>
        </w:rPr>
        <w:t xml:space="preserve"> Se entiende por alcantarillas a todas las obras de drenaje como (caños, cajón, cámaras)</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con excepción de puentes y cunetas.</w:t>
      </w:r>
    </w:p>
    <w:p w14:paraId="1DA58AA1"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Cunetas:</w:t>
      </w:r>
      <w:r w:rsidRPr="00B7174F">
        <w:rPr>
          <w:rFonts w:ascii="Arial" w:hAnsi="Arial" w:cs="Arial"/>
          <w:snapToGrid w:val="0"/>
          <w:color w:val="000000"/>
          <w:sz w:val="20"/>
          <w:szCs w:val="20"/>
          <w:lang w:val="es-ES_tradnl" w:eastAsia="es-ES"/>
        </w:rPr>
        <w:t xml:space="preserve"> Se entiende por cunetas a todas las cunetas y canales revestidos o sin revestir, como las cunetas de coronamiento de desmontes, cune</w:t>
      </w:r>
      <w:r w:rsidR="00401A6D">
        <w:rPr>
          <w:rFonts w:ascii="Arial" w:hAnsi="Arial" w:cs="Arial"/>
          <w:snapToGrid w:val="0"/>
          <w:color w:val="000000"/>
          <w:sz w:val="20"/>
          <w:szCs w:val="20"/>
          <w:lang w:val="es-ES_tradnl" w:eastAsia="es-ES"/>
        </w:rPr>
        <w:t>t</w:t>
      </w:r>
      <w:r w:rsidRPr="00B7174F">
        <w:rPr>
          <w:rFonts w:ascii="Arial" w:hAnsi="Arial" w:cs="Arial"/>
          <w:snapToGrid w:val="0"/>
          <w:color w:val="000000"/>
          <w:sz w:val="20"/>
          <w:szCs w:val="20"/>
          <w:lang w:val="es-ES_tradnl" w:eastAsia="es-ES"/>
        </w:rPr>
        <w:t xml:space="preserve">as de bajada de aguas, cunetas que corren paralelo a la carretera, cordones –cunetas, bordillos etc. </w:t>
      </w:r>
    </w:p>
    <w:p w14:paraId="72C408B1" w14:textId="77777777" w:rsidR="00A3029F" w:rsidRPr="00B7174F" w:rsidRDefault="00A3029F" w:rsidP="00CF69B3">
      <w:pPr>
        <w:widowControl w:val="0"/>
        <w:spacing w:after="0" w:line="240" w:lineRule="auto"/>
        <w:jc w:val="both"/>
        <w:rPr>
          <w:rFonts w:ascii="Arial" w:hAnsi="Arial" w:cs="Arial"/>
          <w:snapToGrid w:val="0"/>
          <w:color w:val="000000"/>
          <w:sz w:val="18"/>
          <w:szCs w:val="18"/>
          <w:lang w:val="es-ES_tradnl" w:eastAsia="es-ES"/>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23"/>
        <w:gridCol w:w="769"/>
        <w:gridCol w:w="1168"/>
        <w:gridCol w:w="1239"/>
        <w:gridCol w:w="1919"/>
        <w:gridCol w:w="1673"/>
        <w:gridCol w:w="2287"/>
        <w:gridCol w:w="943"/>
        <w:gridCol w:w="1064"/>
        <w:gridCol w:w="1008"/>
        <w:gridCol w:w="999"/>
      </w:tblGrid>
      <w:tr w:rsidR="00A3029F" w:rsidRPr="00B7174F" w14:paraId="01CD2E5F" w14:textId="77777777">
        <w:trPr>
          <w:cantSplit/>
          <w:trHeight w:val="567"/>
          <w:tblHeader/>
          <w:jc w:val="center"/>
        </w:trPr>
        <w:tc>
          <w:tcPr>
            <w:tcW w:w="343" w:type="pct"/>
            <w:shd w:val="clear" w:color="auto" w:fill="595959"/>
            <w:vAlign w:val="center"/>
          </w:tcPr>
          <w:p w14:paraId="658E761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88" w:type="pct"/>
            <w:shd w:val="clear" w:color="auto" w:fill="595959"/>
            <w:vAlign w:val="center"/>
          </w:tcPr>
          <w:p w14:paraId="25546F7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742" w:type="pct"/>
            <w:gridSpan w:val="2"/>
            <w:shd w:val="clear" w:color="auto" w:fill="595959"/>
            <w:vAlign w:val="center"/>
          </w:tcPr>
          <w:p w14:paraId="3345541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699" w:type="pct"/>
            <w:shd w:val="clear" w:color="auto" w:fill="595959"/>
            <w:vAlign w:val="center"/>
          </w:tcPr>
          <w:p w14:paraId="05B8D09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611" w:type="pct"/>
            <w:shd w:val="clear" w:color="auto" w:fill="595959"/>
            <w:vAlign w:val="center"/>
          </w:tcPr>
          <w:p w14:paraId="1E27654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830" w:type="pct"/>
            <w:shd w:val="clear" w:color="auto" w:fill="595959"/>
            <w:vAlign w:val="center"/>
          </w:tcPr>
          <w:p w14:paraId="686563F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350" w:type="pct"/>
            <w:shd w:val="clear" w:color="auto" w:fill="595959"/>
            <w:vAlign w:val="center"/>
          </w:tcPr>
          <w:p w14:paraId="14B9727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93" w:type="pct"/>
            <w:shd w:val="clear" w:color="auto" w:fill="595959"/>
            <w:vAlign w:val="center"/>
          </w:tcPr>
          <w:p w14:paraId="2968463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67" w:type="pct"/>
            <w:shd w:val="clear" w:color="auto" w:fill="595959"/>
            <w:vAlign w:val="center"/>
          </w:tcPr>
          <w:p w14:paraId="205AC52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76" w:type="pct"/>
            <w:shd w:val="clear" w:color="auto" w:fill="595959"/>
          </w:tcPr>
          <w:p w14:paraId="55498DA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06E355E6" w14:textId="77777777" w:rsidTr="00084EE9">
        <w:trPr>
          <w:trHeight w:val="954"/>
          <w:jc w:val="center"/>
        </w:trPr>
        <w:tc>
          <w:tcPr>
            <w:tcW w:w="343" w:type="pct"/>
            <w:vMerge w:val="restart"/>
            <w:shd w:val="clear" w:color="auto" w:fill="BFBFBF"/>
            <w:textDirection w:val="btLr"/>
            <w:vAlign w:val="center"/>
          </w:tcPr>
          <w:p w14:paraId="3778A40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88" w:type="pct"/>
            <w:vMerge w:val="restart"/>
            <w:vAlign w:val="center"/>
          </w:tcPr>
          <w:p w14:paraId="2A39EFF3"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ODR Obs</w:t>
            </w:r>
          </w:p>
        </w:tc>
        <w:tc>
          <w:tcPr>
            <w:tcW w:w="349" w:type="pct"/>
            <w:vMerge w:val="restart"/>
            <w:vAlign w:val="center"/>
          </w:tcPr>
          <w:p w14:paraId="0BB6FF5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transversales a la ruta y de acceso a los caminos vecinales</w:t>
            </w:r>
          </w:p>
        </w:tc>
        <w:tc>
          <w:tcPr>
            <w:tcW w:w="393" w:type="pct"/>
            <w:vAlign w:val="center"/>
          </w:tcPr>
          <w:p w14:paraId="066F749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interiores al escurrimiento hidráulico</w:t>
            </w:r>
          </w:p>
        </w:tc>
        <w:tc>
          <w:tcPr>
            <w:tcW w:w="699" w:type="pct"/>
            <w:vAlign w:val="center"/>
          </w:tcPr>
          <w:p w14:paraId="7CD7BA1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o acumulación de tierra en el interior de la obra de arte</w:t>
            </w:r>
          </w:p>
        </w:tc>
        <w:tc>
          <w:tcPr>
            <w:tcW w:w="611" w:type="pct"/>
            <w:vAlign w:val="center"/>
          </w:tcPr>
          <w:p w14:paraId="7B0ACE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la Sección obstruida</w:t>
            </w:r>
          </w:p>
        </w:tc>
        <w:tc>
          <w:tcPr>
            <w:tcW w:w="830" w:type="pct"/>
            <w:vAlign w:val="center"/>
          </w:tcPr>
          <w:p w14:paraId="68B0904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Sección obstruida de cada boca de la obra de arte</w:t>
            </w:r>
          </w:p>
        </w:tc>
        <w:tc>
          <w:tcPr>
            <w:tcW w:w="350" w:type="pct"/>
            <w:vAlign w:val="center"/>
          </w:tcPr>
          <w:p w14:paraId="589C6A6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14:paraId="03AA02F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2C40EE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520437F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08AD4C1" w14:textId="77777777" w:rsidTr="00084EE9">
        <w:trPr>
          <w:trHeight w:val="1252"/>
          <w:jc w:val="center"/>
        </w:trPr>
        <w:tc>
          <w:tcPr>
            <w:tcW w:w="343" w:type="pct"/>
            <w:vMerge/>
            <w:shd w:val="clear" w:color="auto" w:fill="BFBFBF"/>
          </w:tcPr>
          <w:p w14:paraId="5A630C41"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24DA003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14:paraId="5A4624D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restart"/>
            <w:vAlign w:val="center"/>
          </w:tcPr>
          <w:p w14:paraId="4FFFA85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Obstrucciones exteriores al escurrimiento hidráulico</w:t>
            </w:r>
          </w:p>
        </w:tc>
        <w:tc>
          <w:tcPr>
            <w:tcW w:w="699" w:type="pct"/>
            <w:vAlign w:val="center"/>
          </w:tcPr>
          <w:p w14:paraId="1DEADF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de más de 1 m de altura por encima del nivel de agua, en el cauce dentro de la faja de uso público, cuando el cauce se encuentra total o parcialmente inundado.</w:t>
            </w:r>
          </w:p>
        </w:tc>
        <w:tc>
          <w:tcPr>
            <w:tcW w:w="611" w:type="pct"/>
            <w:vAlign w:val="center"/>
          </w:tcPr>
          <w:p w14:paraId="5686C1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14:paraId="0AABF5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14:paraId="01F5A8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93" w:type="pct"/>
            <w:vAlign w:val="center"/>
          </w:tcPr>
          <w:p w14:paraId="485AC6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5D8B5A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4608F4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4774B3DB" w14:textId="77777777" w:rsidTr="00084EE9">
        <w:trPr>
          <w:trHeight w:val="986"/>
          <w:jc w:val="center"/>
        </w:trPr>
        <w:tc>
          <w:tcPr>
            <w:tcW w:w="343" w:type="pct"/>
            <w:vMerge/>
            <w:shd w:val="clear" w:color="auto" w:fill="BFBFBF"/>
          </w:tcPr>
          <w:p w14:paraId="4910DB7C"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26C1090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vAlign w:val="center"/>
          </w:tcPr>
          <w:p w14:paraId="56850B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vAlign w:val="center"/>
          </w:tcPr>
          <w:p w14:paraId="49251CD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2FCF373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vegetación de altura mayor a 50 cm, tierra u otro elemento extraño en el cauce dentro de la faja</w:t>
            </w:r>
          </w:p>
        </w:tc>
        <w:tc>
          <w:tcPr>
            <w:tcW w:w="611" w:type="pct"/>
            <w:vAlign w:val="center"/>
          </w:tcPr>
          <w:p w14:paraId="3B87440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del ancho del cauce obstruido en cualquier Sección del mismo</w:t>
            </w:r>
          </w:p>
        </w:tc>
        <w:tc>
          <w:tcPr>
            <w:tcW w:w="830" w:type="pct"/>
            <w:vAlign w:val="center"/>
          </w:tcPr>
          <w:p w14:paraId="4F48A5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el ancho del cauce afectado</w:t>
            </w:r>
          </w:p>
        </w:tc>
        <w:tc>
          <w:tcPr>
            <w:tcW w:w="350" w:type="pct"/>
            <w:vAlign w:val="center"/>
          </w:tcPr>
          <w:p w14:paraId="30F71A6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10%</w:t>
            </w:r>
          </w:p>
        </w:tc>
        <w:tc>
          <w:tcPr>
            <w:tcW w:w="393" w:type="pct"/>
            <w:vAlign w:val="center"/>
          </w:tcPr>
          <w:p w14:paraId="12BDB39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129EB81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6E0817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632390D7" w14:textId="77777777">
        <w:trPr>
          <w:trHeight w:val="986"/>
          <w:jc w:val="center"/>
        </w:trPr>
        <w:tc>
          <w:tcPr>
            <w:tcW w:w="343" w:type="pct"/>
            <w:vMerge/>
            <w:shd w:val="clear" w:color="auto" w:fill="BFBFBF"/>
          </w:tcPr>
          <w:p w14:paraId="6324C295"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1449A8C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349" w:type="pct"/>
            <w:vMerge/>
            <w:shd w:val="clear" w:color="auto" w:fill="D6E3BC"/>
            <w:vAlign w:val="center"/>
          </w:tcPr>
          <w:p w14:paraId="68DD45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393" w:type="pct"/>
            <w:vMerge/>
            <w:shd w:val="clear" w:color="auto" w:fill="D6E3BC"/>
            <w:vAlign w:val="center"/>
          </w:tcPr>
          <w:p w14:paraId="0BBA136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7C86B5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Socavaciones en el cauce, a la entrada y/o salida de la obra de arte</w:t>
            </w:r>
          </w:p>
        </w:tc>
        <w:tc>
          <w:tcPr>
            <w:tcW w:w="611" w:type="pct"/>
            <w:vAlign w:val="center"/>
          </w:tcPr>
          <w:p w14:paraId="56F479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Profundidad máxima de la socavación respecto a la losa de zampeado</w:t>
            </w:r>
          </w:p>
        </w:tc>
        <w:tc>
          <w:tcPr>
            <w:tcW w:w="830" w:type="pct"/>
            <w:vAlign w:val="center"/>
          </w:tcPr>
          <w:p w14:paraId="7BDB75B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profundidad máxima de la socavación</w:t>
            </w:r>
          </w:p>
        </w:tc>
        <w:tc>
          <w:tcPr>
            <w:tcW w:w="350" w:type="pct"/>
            <w:vAlign w:val="center"/>
          </w:tcPr>
          <w:p w14:paraId="2D3FF0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cm</w:t>
            </w:r>
          </w:p>
        </w:tc>
        <w:tc>
          <w:tcPr>
            <w:tcW w:w="393" w:type="pct"/>
            <w:vAlign w:val="center"/>
          </w:tcPr>
          <w:p w14:paraId="0909BE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67" w:type="pct"/>
            <w:vAlign w:val="center"/>
          </w:tcPr>
          <w:p w14:paraId="55EAE75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2FB8E4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7B942639" w14:textId="77777777" w:rsidTr="00084EE9">
        <w:trPr>
          <w:trHeight w:val="702"/>
          <w:jc w:val="center"/>
        </w:trPr>
        <w:tc>
          <w:tcPr>
            <w:tcW w:w="343" w:type="pct"/>
            <w:vMerge/>
            <w:shd w:val="clear" w:color="auto" w:fill="BFBFBF"/>
          </w:tcPr>
          <w:p w14:paraId="66786FBB"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Merge/>
            <w:vAlign w:val="center"/>
          </w:tcPr>
          <w:p w14:paraId="35633ACA"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c>
          <w:tcPr>
            <w:tcW w:w="742" w:type="pct"/>
            <w:gridSpan w:val="2"/>
            <w:vAlign w:val="center"/>
          </w:tcPr>
          <w:p w14:paraId="3AD339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Alcantarillas longitudinales obstruidas</w:t>
            </w:r>
          </w:p>
        </w:tc>
        <w:tc>
          <w:tcPr>
            <w:tcW w:w="699" w:type="pct"/>
            <w:vAlign w:val="center"/>
          </w:tcPr>
          <w:p w14:paraId="545BDAA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Obstrucción Total o parcial sea por tierra, piedras, pasto, o residuos</w:t>
            </w:r>
          </w:p>
        </w:tc>
        <w:tc>
          <w:tcPr>
            <w:tcW w:w="611" w:type="pct"/>
            <w:vAlign w:val="center"/>
          </w:tcPr>
          <w:p w14:paraId="62DF6F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altura obstruida</w:t>
            </w:r>
          </w:p>
        </w:tc>
        <w:tc>
          <w:tcPr>
            <w:tcW w:w="830" w:type="pct"/>
            <w:vAlign w:val="center"/>
          </w:tcPr>
          <w:p w14:paraId="30B870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350" w:type="pct"/>
            <w:vAlign w:val="center"/>
          </w:tcPr>
          <w:p w14:paraId="2ECD55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25%</w:t>
            </w:r>
          </w:p>
        </w:tc>
        <w:tc>
          <w:tcPr>
            <w:tcW w:w="393" w:type="pct"/>
            <w:vAlign w:val="center"/>
          </w:tcPr>
          <w:p w14:paraId="164E2E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67" w:type="pct"/>
            <w:vAlign w:val="center"/>
          </w:tcPr>
          <w:p w14:paraId="504BB86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03EECF5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2DB4288F" w14:textId="77777777" w:rsidTr="00084EE9">
        <w:trPr>
          <w:trHeight w:val="1408"/>
          <w:jc w:val="center"/>
        </w:trPr>
        <w:tc>
          <w:tcPr>
            <w:tcW w:w="343" w:type="pct"/>
            <w:vMerge w:val="restart"/>
            <w:shd w:val="clear" w:color="auto" w:fill="BFBFBF"/>
          </w:tcPr>
          <w:p w14:paraId="7D8B43B4"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Align w:val="center"/>
          </w:tcPr>
          <w:p w14:paraId="62B138E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Bal</w:t>
            </w:r>
          </w:p>
        </w:tc>
        <w:tc>
          <w:tcPr>
            <w:tcW w:w="742" w:type="pct"/>
            <w:gridSpan w:val="2"/>
            <w:vAlign w:val="center"/>
          </w:tcPr>
          <w:p w14:paraId="43E151D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14:paraId="360D36A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Fallas estructurales, roturas, grietas por separación o giro de porciones del ala o del cabezal, desprendimiento total del ala o cabezal.</w:t>
            </w:r>
          </w:p>
        </w:tc>
        <w:tc>
          <w:tcPr>
            <w:tcW w:w="611" w:type="pct"/>
            <w:vAlign w:val="center"/>
          </w:tcPr>
          <w:p w14:paraId="33F5F86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giro o desprendimientos entre partes afectadas</w:t>
            </w:r>
          </w:p>
        </w:tc>
        <w:tc>
          <w:tcPr>
            <w:tcW w:w="830" w:type="pct"/>
            <w:vAlign w:val="center"/>
          </w:tcPr>
          <w:p w14:paraId="7E46BA6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falta de planicie del ala o del cabezal, o separación apreciable de partes de la estructura.</w:t>
            </w:r>
          </w:p>
        </w:tc>
        <w:tc>
          <w:tcPr>
            <w:tcW w:w="350" w:type="pct"/>
            <w:vAlign w:val="center"/>
          </w:tcPr>
          <w:p w14:paraId="7A6972A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 se admite</w:t>
            </w:r>
          </w:p>
        </w:tc>
        <w:tc>
          <w:tcPr>
            <w:tcW w:w="393" w:type="pct"/>
            <w:vAlign w:val="center"/>
          </w:tcPr>
          <w:p w14:paraId="3A60794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14 días</w:t>
            </w:r>
          </w:p>
        </w:tc>
        <w:tc>
          <w:tcPr>
            <w:tcW w:w="367" w:type="pct"/>
            <w:vAlign w:val="center"/>
          </w:tcPr>
          <w:p w14:paraId="2218DE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2F14029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B12575A" w14:textId="77777777" w:rsidTr="00084EE9">
        <w:trPr>
          <w:trHeight w:val="1493"/>
          <w:jc w:val="center"/>
        </w:trPr>
        <w:tc>
          <w:tcPr>
            <w:tcW w:w="343" w:type="pct"/>
            <w:vMerge/>
            <w:shd w:val="clear" w:color="auto" w:fill="BFBFBF"/>
          </w:tcPr>
          <w:p w14:paraId="7384B749"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88" w:type="pct"/>
            <w:vAlign w:val="center"/>
          </w:tcPr>
          <w:p w14:paraId="4578545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Ter</w:t>
            </w:r>
          </w:p>
        </w:tc>
        <w:tc>
          <w:tcPr>
            <w:tcW w:w="742" w:type="pct"/>
            <w:gridSpan w:val="2"/>
            <w:vAlign w:val="center"/>
          </w:tcPr>
          <w:p w14:paraId="3448924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en los terraplenes de acceso y revestimientos</w:t>
            </w:r>
          </w:p>
        </w:tc>
        <w:tc>
          <w:tcPr>
            <w:tcW w:w="699" w:type="pct"/>
            <w:vAlign w:val="center"/>
          </w:tcPr>
          <w:p w14:paraId="5F2188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Rotura, hundimiento o faltante de terraplén, socavaciones,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en particular en el zampeado o en las vigas de fundación de la obra de arte</w:t>
            </w:r>
          </w:p>
        </w:tc>
        <w:tc>
          <w:tcPr>
            <w:tcW w:w="611" w:type="pct"/>
            <w:vAlign w:val="center"/>
          </w:tcPr>
          <w:p w14:paraId="246F88D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65E184C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terraplén o de revestimiento que presenta algún deterioro</w:t>
            </w:r>
          </w:p>
        </w:tc>
        <w:tc>
          <w:tcPr>
            <w:tcW w:w="350" w:type="pct"/>
            <w:vAlign w:val="center"/>
          </w:tcPr>
          <w:p w14:paraId="17B0D7D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7654F0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67" w:type="pct"/>
            <w:vAlign w:val="center"/>
          </w:tcPr>
          <w:p w14:paraId="33891AB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76" w:type="pct"/>
          </w:tcPr>
          <w:p w14:paraId="2DD337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11F6D76E" w14:textId="77777777" w:rsidTr="00084EE9">
        <w:trPr>
          <w:trHeight w:val="1250"/>
          <w:jc w:val="center"/>
        </w:trPr>
        <w:tc>
          <w:tcPr>
            <w:tcW w:w="343" w:type="pct"/>
            <w:vMerge w:val="restart"/>
            <w:shd w:val="clear" w:color="auto" w:fill="BFBFBF"/>
            <w:textDirection w:val="btLr"/>
            <w:vAlign w:val="center"/>
          </w:tcPr>
          <w:p w14:paraId="29ADD12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88" w:type="pct"/>
            <w:vAlign w:val="center"/>
          </w:tcPr>
          <w:p w14:paraId="0C3E1E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Cal</w:t>
            </w:r>
          </w:p>
        </w:tc>
        <w:tc>
          <w:tcPr>
            <w:tcW w:w="742" w:type="pct"/>
            <w:gridSpan w:val="2"/>
            <w:vAlign w:val="center"/>
          </w:tcPr>
          <w:p w14:paraId="461DA5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alas y cabezales</w:t>
            </w:r>
          </w:p>
        </w:tc>
        <w:tc>
          <w:tcPr>
            <w:tcW w:w="699" w:type="pct"/>
            <w:vAlign w:val="center"/>
          </w:tcPr>
          <w:p w14:paraId="7A69A3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Desplazamiento del ala o cabezal respecto al fuste de la obra de arte</w:t>
            </w:r>
          </w:p>
        </w:tc>
        <w:tc>
          <w:tcPr>
            <w:tcW w:w="611" w:type="pct"/>
            <w:vAlign w:val="center"/>
          </w:tcPr>
          <w:p w14:paraId="41B92F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Separación máxima</w:t>
            </w:r>
          </w:p>
        </w:tc>
        <w:tc>
          <w:tcPr>
            <w:tcW w:w="830" w:type="pct"/>
            <w:vAlign w:val="center"/>
          </w:tcPr>
          <w:p w14:paraId="7852455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la separación con una regla colocada en forma horizontal</w:t>
            </w:r>
          </w:p>
        </w:tc>
        <w:tc>
          <w:tcPr>
            <w:tcW w:w="350" w:type="pct"/>
            <w:vAlign w:val="center"/>
          </w:tcPr>
          <w:p w14:paraId="073A8BC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5 cm</w:t>
            </w:r>
          </w:p>
        </w:tc>
        <w:tc>
          <w:tcPr>
            <w:tcW w:w="393" w:type="pct"/>
            <w:vAlign w:val="center"/>
          </w:tcPr>
          <w:p w14:paraId="6C10DF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5E6A8AD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385E3A7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r>
      <w:tr w:rsidR="00A3029F" w:rsidRPr="00B7174F" w14:paraId="071D9E7B" w14:textId="77777777" w:rsidTr="00084EE9">
        <w:trPr>
          <w:trHeight w:val="957"/>
          <w:jc w:val="center"/>
        </w:trPr>
        <w:tc>
          <w:tcPr>
            <w:tcW w:w="343" w:type="pct"/>
            <w:vMerge/>
            <w:shd w:val="clear" w:color="auto" w:fill="BFBFBF"/>
          </w:tcPr>
          <w:p w14:paraId="45B360C4"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restart"/>
            <w:vAlign w:val="center"/>
          </w:tcPr>
          <w:p w14:paraId="0D9415D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ODR Sup</w:t>
            </w:r>
          </w:p>
        </w:tc>
        <w:tc>
          <w:tcPr>
            <w:tcW w:w="742" w:type="pct"/>
            <w:gridSpan w:val="2"/>
            <w:vMerge w:val="restart"/>
            <w:vAlign w:val="center"/>
          </w:tcPr>
          <w:p w14:paraId="0515F2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Deterioros en la superficie de hormigón</w:t>
            </w:r>
          </w:p>
        </w:tc>
        <w:tc>
          <w:tcPr>
            <w:tcW w:w="699" w:type="pct"/>
            <w:vAlign w:val="center"/>
          </w:tcPr>
          <w:p w14:paraId="35FA8C3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Armaduras expuestas debido a mal recubrimiento.</w:t>
            </w:r>
          </w:p>
        </w:tc>
        <w:tc>
          <w:tcPr>
            <w:tcW w:w="611" w:type="pct"/>
            <w:vAlign w:val="center"/>
          </w:tcPr>
          <w:p w14:paraId="67E1D8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5E2C00C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determina la superficie de hierro a la vista</w:t>
            </w:r>
          </w:p>
        </w:tc>
        <w:tc>
          <w:tcPr>
            <w:tcW w:w="350" w:type="pct"/>
            <w:vAlign w:val="center"/>
          </w:tcPr>
          <w:p w14:paraId="5927FB3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6DDD23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57AE949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5F8833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1262383C" w14:textId="77777777" w:rsidTr="00084EE9">
        <w:trPr>
          <w:trHeight w:val="1250"/>
          <w:jc w:val="center"/>
        </w:trPr>
        <w:tc>
          <w:tcPr>
            <w:tcW w:w="343" w:type="pct"/>
            <w:vMerge/>
            <w:shd w:val="clear" w:color="auto" w:fill="BFBFBF"/>
          </w:tcPr>
          <w:p w14:paraId="165577FA"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14:paraId="67E87A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vAlign w:val="center"/>
          </w:tcPr>
          <w:p w14:paraId="5CB061A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75A0409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Lesiones superficiales de profundidad superior a 2 cm</w:t>
            </w:r>
          </w:p>
        </w:tc>
        <w:tc>
          <w:tcPr>
            <w:tcW w:w="611" w:type="pct"/>
            <w:vAlign w:val="center"/>
          </w:tcPr>
          <w:p w14:paraId="1FDB3F7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Superficie máxima</w:t>
            </w:r>
          </w:p>
        </w:tc>
        <w:tc>
          <w:tcPr>
            <w:tcW w:w="830" w:type="pct"/>
            <w:vAlign w:val="center"/>
          </w:tcPr>
          <w:p w14:paraId="391EAB3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con una regla y un perfil apoyado en la superficie de la estructura</w:t>
            </w:r>
          </w:p>
        </w:tc>
        <w:tc>
          <w:tcPr>
            <w:tcW w:w="350" w:type="pct"/>
            <w:vAlign w:val="center"/>
          </w:tcPr>
          <w:p w14:paraId="689C62C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cm2</w:t>
            </w:r>
          </w:p>
        </w:tc>
        <w:tc>
          <w:tcPr>
            <w:tcW w:w="393" w:type="pct"/>
            <w:vAlign w:val="center"/>
          </w:tcPr>
          <w:p w14:paraId="528582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66E36A1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3D69796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r w:rsidR="00A3029F" w:rsidRPr="00B7174F" w14:paraId="58CB8A67" w14:textId="77777777">
        <w:trPr>
          <w:trHeight w:val="1194"/>
          <w:jc w:val="center"/>
        </w:trPr>
        <w:tc>
          <w:tcPr>
            <w:tcW w:w="343" w:type="pct"/>
            <w:vMerge/>
            <w:shd w:val="clear" w:color="auto" w:fill="BFBFBF"/>
          </w:tcPr>
          <w:p w14:paraId="5D141FE6"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288" w:type="pct"/>
            <w:vMerge/>
            <w:vAlign w:val="center"/>
          </w:tcPr>
          <w:p w14:paraId="6818AD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742" w:type="pct"/>
            <w:gridSpan w:val="2"/>
            <w:vMerge/>
            <w:shd w:val="clear" w:color="auto" w:fill="D6E3BC"/>
            <w:vAlign w:val="center"/>
          </w:tcPr>
          <w:p w14:paraId="15B36DD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699" w:type="pct"/>
            <w:vAlign w:val="center"/>
          </w:tcPr>
          <w:p w14:paraId="1F88B7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Fisuras de espesor mayor a 0.3 mm</w:t>
            </w:r>
          </w:p>
        </w:tc>
        <w:tc>
          <w:tcPr>
            <w:tcW w:w="611" w:type="pct"/>
            <w:vAlign w:val="center"/>
          </w:tcPr>
          <w:p w14:paraId="5AE91C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máxima</w:t>
            </w:r>
          </w:p>
        </w:tc>
        <w:tc>
          <w:tcPr>
            <w:tcW w:w="830" w:type="pct"/>
            <w:vAlign w:val="center"/>
          </w:tcPr>
          <w:p w14:paraId="3BEEE0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se mide por comparación con el fisurómetro (plantilla con líneas de diferentes espesores)</w:t>
            </w:r>
          </w:p>
        </w:tc>
        <w:tc>
          <w:tcPr>
            <w:tcW w:w="350" w:type="pct"/>
            <w:vAlign w:val="center"/>
          </w:tcPr>
          <w:p w14:paraId="56297E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 cm</w:t>
            </w:r>
          </w:p>
        </w:tc>
        <w:tc>
          <w:tcPr>
            <w:tcW w:w="393" w:type="pct"/>
            <w:vAlign w:val="center"/>
          </w:tcPr>
          <w:p w14:paraId="10EF88E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60 días</w:t>
            </w:r>
          </w:p>
        </w:tc>
        <w:tc>
          <w:tcPr>
            <w:tcW w:w="367" w:type="pct"/>
            <w:vAlign w:val="center"/>
          </w:tcPr>
          <w:p w14:paraId="5064C06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Semestral</w:t>
            </w:r>
          </w:p>
        </w:tc>
        <w:tc>
          <w:tcPr>
            <w:tcW w:w="376" w:type="pct"/>
          </w:tcPr>
          <w:p w14:paraId="4435A36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r>
    </w:tbl>
    <w:p w14:paraId="13896A49" w14:textId="77777777" w:rsidR="00A3029F" w:rsidRPr="00B7174F" w:rsidRDefault="00A3029F" w:rsidP="00CF69B3">
      <w:pPr>
        <w:widowControl w:val="0"/>
        <w:spacing w:after="0" w:line="240" w:lineRule="auto"/>
        <w:jc w:val="both"/>
        <w:rPr>
          <w:rFonts w:ascii="CG Times" w:hAnsi="CG Times" w:cs="CG Times"/>
          <w:snapToGrid w:val="0"/>
          <w:sz w:val="24"/>
          <w:szCs w:val="24"/>
          <w:lang w:val="es-UY" w:eastAsia="es-ES"/>
        </w:rPr>
      </w:pPr>
    </w:p>
    <w:p w14:paraId="19BF3655" w14:textId="77777777" w:rsidR="00A3029F" w:rsidRPr="00B7174F" w:rsidRDefault="00A3029F" w:rsidP="00CF69B3">
      <w:pPr>
        <w:widowControl w:val="0"/>
        <w:spacing w:before="240" w:after="240" w:line="240" w:lineRule="auto"/>
        <w:jc w:val="both"/>
        <w:rPr>
          <w:rFonts w:ascii="Arial" w:hAnsi="Arial" w:cs="Arial"/>
          <w:b/>
          <w:bCs/>
          <w:lang w:eastAsia="es-MX"/>
        </w:rPr>
        <w:sectPr w:rsidR="00A3029F" w:rsidRPr="00B7174F" w:rsidSect="00B238CC">
          <w:pgSz w:w="16838" w:h="11906" w:orient="landscape" w:code="9"/>
          <w:pgMar w:top="1134" w:right="1418" w:bottom="1276" w:left="1418" w:header="720" w:footer="720" w:gutter="0"/>
          <w:cols w:space="708"/>
          <w:docGrid w:linePitch="360"/>
        </w:sectPr>
      </w:pPr>
    </w:p>
    <w:p w14:paraId="57941D1D" w14:textId="77777777" w:rsidR="00A3029F" w:rsidRPr="009C53F5" w:rsidRDefault="00401A6D" w:rsidP="00E26581">
      <w:pPr>
        <w:pStyle w:val="T2A5"/>
        <w:numPr>
          <w:ilvl w:val="0"/>
          <w:numId w:val="0"/>
        </w:numPr>
        <w:ind w:left="360"/>
        <w:outlineLvl w:val="9"/>
      </w:pPr>
      <w:bookmarkStart w:id="1508" w:name="_Toc400622346"/>
      <w:bookmarkStart w:id="1509" w:name="_Toc400634168"/>
      <w:bookmarkStart w:id="1510" w:name="_Toc400635299"/>
      <w:bookmarkStart w:id="1511" w:name="A_9_4"/>
      <w:r>
        <w:lastRenderedPageBreak/>
        <w:t xml:space="preserve">4. </w:t>
      </w:r>
      <w:r w:rsidR="00A3029F" w:rsidRPr="009C53F5">
        <w:t>Elementos de seguridad vial</w:t>
      </w:r>
      <w:bookmarkEnd w:id="1508"/>
      <w:bookmarkEnd w:id="1509"/>
      <w:bookmarkEnd w:id="1510"/>
    </w:p>
    <w:bookmarkEnd w:id="1511"/>
    <w:p w14:paraId="682DD140"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señalización del tramo contenido en el presente contrato se regirá por lo establecido en la “Norma Uruguaya de Señalización”, L</w:t>
      </w:r>
      <w:r w:rsidR="00401A6D">
        <w:rPr>
          <w:rFonts w:ascii="Arial" w:hAnsi="Arial" w:cs="Arial"/>
          <w:snapToGrid w:val="0"/>
          <w:color w:val="000000"/>
          <w:sz w:val="20"/>
          <w:szCs w:val="20"/>
          <w:lang w:val="es-ES_tradnl" w:eastAsia="es-ES"/>
        </w:rPr>
        <w:t>á</w:t>
      </w:r>
      <w:r w:rsidRPr="00B7174F">
        <w:rPr>
          <w:rFonts w:ascii="Arial" w:hAnsi="Arial" w:cs="Arial"/>
          <w:snapToGrid w:val="0"/>
          <w:color w:val="000000"/>
          <w:sz w:val="20"/>
          <w:szCs w:val="20"/>
          <w:lang w:val="es-ES_tradnl" w:eastAsia="es-ES"/>
        </w:rPr>
        <w:t>minas Tipo DNV y "Especificaciones Técnicas Complementarias y/o Modificativas del Pliego de Condiciones para la Construcción de Puentes y Carreteras de la Dirección Nacional de Vialidad", vigentes a la fecha de apertura de la licitación, en lo que no contradiga estas especificaciones.</w:t>
      </w:r>
    </w:p>
    <w:p w14:paraId="40C17DC9" w14:textId="77777777" w:rsidR="00A3029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Toda vez que se produzcan modificaciones que den lugar a cambios en lo previsto en el Proyecto de Señalización entregado por el </w:t>
      </w:r>
      <w:r w:rsidR="005B7BBB">
        <w:rPr>
          <w:rFonts w:ascii="Arial" w:hAnsi="Arial" w:cs="Arial"/>
          <w:snapToGrid w:val="0"/>
          <w:color w:val="000000"/>
          <w:sz w:val="20"/>
          <w:szCs w:val="20"/>
          <w:lang w:val="es-ES_tradnl" w:eastAsia="es-ES"/>
        </w:rPr>
        <w:t>Contratista</w:t>
      </w:r>
      <w:r w:rsidR="005B7BBB"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(por nuevos accesos, cruces, etc.), deberá retirarse la señalización que haya perdido vigencia según </w:t>
      </w:r>
      <w:r w:rsidRPr="006B3860">
        <w:rPr>
          <w:rFonts w:ascii="Arial" w:hAnsi="Arial" w:cs="Arial"/>
          <w:snapToGrid w:val="0"/>
          <w:color w:val="000000"/>
          <w:sz w:val="20"/>
          <w:szCs w:val="20"/>
          <w:lang w:val="es-ES_tradnl" w:eastAsia="es-ES"/>
        </w:rPr>
        <w:t xml:space="preserve">indicación de </w:t>
      </w:r>
      <w:r w:rsidR="00BC2A02" w:rsidRPr="006B3860">
        <w:rPr>
          <w:rFonts w:ascii="Arial" w:hAnsi="Arial" w:cs="Arial"/>
          <w:snapToGrid w:val="0"/>
          <w:color w:val="000000"/>
          <w:sz w:val="20"/>
          <w:szCs w:val="20"/>
          <w:lang w:val="es-ES_tradnl" w:eastAsia="es-ES"/>
        </w:rPr>
        <w:t xml:space="preserve">la </w:t>
      </w:r>
      <w:r w:rsidR="005B7BBB" w:rsidRPr="006B3860">
        <w:rPr>
          <w:rFonts w:ascii="Arial" w:hAnsi="Arial" w:cs="Arial"/>
          <w:snapToGrid w:val="0"/>
          <w:color w:val="000000"/>
          <w:sz w:val="20"/>
          <w:szCs w:val="20"/>
          <w:lang w:val="es-ES_tradnl" w:eastAsia="es-ES"/>
        </w:rPr>
        <w:t>Contrata</w:t>
      </w:r>
      <w:r w:rsidR="00D04946" w:rsidRPr="006B3860">
        <w:rPr>
          <w:rFonts w:ascii="Arial" w:hAnsi="Arial" w:cs="Arial"/>
          <w:snapToGrid w:val="0"/>
          <w:color w:val="000000"/>
          <w:sz w:val="20"/>
          <w:szCs w:val="20"/>
          <w:lang w:val="es-ES_tradnl" w:eastAsia="es-ES"/>
        </w:rPr>
        <w:t>nte</w:t>
      </w:r>
      <w:r w:rsidR="005B7BBB"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y mantenerse con los estándares indicados a continuación la nueva señalización.</w:t>
      </w:r>
    </w:p>
    <w:p w14:paraId="5A035352" w14:textId="77777777" w:rsidR="00203008" w:rsidRPr="00B7174F" w:rsidRDefault="00203008" w:rsidP="00CF69B3">
      <w:pPr>
        <w:widowControl w:val="0"/>
        <w:spacing w:after="120"/>
        <w:jc w:val="both"/>
        <w:rPr>
          <w:rFonts w:ascii="Arial" w:hAnsi="Arial" w:cs="Arial"/>
          <w:snapToGrid w:val="0"/>
          <w:color w:val="000000"/>
          <w:sz w:val="20"/>
          <w:szCs w:val="20"/>
          <w:lang w:val="es-ES_tradnl" w:eastAsia="es-ES"/>
        </w:rPr>
      </w:pPr>
    </w:p>
    <w:p w14:paraId="4CA05FAF" w14:textId="77777777" w:rsidR="00A3029F" w:rsidRPr="009C53F5" w:rsidRDefault="00401A6D" w:rsidP="00E26581">
      <w:pPr>
        <w:pStyle w:val="T2A5"/>
        <w:numPr>
          <w:ilvl w:val="0"/>
          <w:numId w:val="0"/>
        </w:numPr>
        <w:ind w:left="360"/>
        <w:outlineLvl w:val="9"/>
      </w:pPr>
      <w:bookmarkStart w:id="1512" w:name="_Toc438111393"/>
      <w:bookmarkStart w:id="1513" w:name="_Toc438111653"/>
      <w:bookmarkStart w:id="1514" w:name="_Toc438111913"/>
      <w:bookmarkStart w:id="1515" w:name="_Toc438112213"/>
      <w:bookmarkStart w:id="1516" w:name="_Toc438112822"/>
      <w:bookmarkStart w:id="1517" w:name="_Toc438113507"/>
      <w:bookmarkStart w:id="1518" w:name="_Toc438113783"/>
      <w:bookmarkStart w:id="1519" w:name="_Toc438114793"/>
      <w:bookmarkStart w:id="1520" w:name="_Toc438115108"/>
      <w:bookmarkStart w:id="1521" w:name="_Toc438130274"/>
      <w:bookmarkStart w:id="1522" w:name="_Toc438224171"/>
      <w:bookmarkStart w:id="1523" w:name="_Toc441131893"/>
      <w:bookmarkStart w:id="1524" w:name="_Toc441146198"/>
      <w:bookmarkStart w:id="1525" w:name="_Toc441146603"/>
      <w:bookmarkStart w:id="1526" w:name="_Toc441146951"/>
      <w:bookmarkStart w:id="1527" w:name="_Toc441161701"/>
      <w:bookmarkStart w:id="1528" w:name="_Toc441162049"/>
      <w:bookmarkStart w:id="1529" w:name="_Toc441162399"/>
      <w:bookmarkStart w:id="1530" w:name="_Toc441229416"/>
      <w:bookmarkStart w:id="1531" w:name="_Toc441229751"/>
      <w:bookmarkStart w:id="1532" w:name="_Toc441230072"/>
      <w:bookmarkStart w:id="1533" w:name="_Toc450552924"/>
      <w:bookmarkStart w:id="1534" w:name="_Toc450555122"/>
      <w:bookmarkStart w:id="1535" w:name="_Toc450555377"/>
      <w:bookmarkStart w:id="1536" w:name="_Toc400634169"/>
      <w:bookmarkStart w:id="1537" w:name="_Toc400635300"/>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t xml:space="preserve">4.1 </w:t>
      </w:r>
      <w:r w:rsidR="00A3029F" w:rsidRPr="00083788">
        <w:t>Señalización vertical y Aérea.</w:t>
      </w:r>
      <w:bookmarkEnd w:id="1536"/>
      <w:bookmarkEnd w:id="1537"/>
    </w:p>
    <w:p w14:paraId="3F838FD2"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Proyectos de señalización. </w:t>
      </w:r>
      <w:r w:rsidRPr="00B7174F">
        <w:rPr>
          <w:rFonts w:ascii="Arial" w:hAnsi="Arial" w:cs="Arial"/>
          <w:snapToGrid w:val="0"/>
          <w:color w:val="000000"/>
          <w:sz w:val="20"/>
          <w:szCs w:val="20"/>
          <w:lang w:val="es-ES_tradnl" w:eastAsia="es-ES"/>
        </w:rPr>
        <w:t xml:space="preserve">El </w:t>
      </w:r>
      <w:r w:rsidR="00371433">
        <w:rPr>
          <w:rFonts w:ascii="Arial" w:hAnsi="Arial" w:cs="Arial"/>
          <w:snapToGrid w:val="0"/>
          <w:color w:val="000000"/>
          <w:sz w:val="20"/>
          <w:szCs w:val="20"/>
          <w:lang w:val="es-ES_tradnl" w:eastAsia="es-ES"/>
        </w:rPr>
        <w:t>Contratista</w:t>
      </w:r>
      <w:r w:rsidR="00371433"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proporcionará el Proyecto de Señalización del Corredor licitado para</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el correcto cumplimiento de los Niveles de Servicio que se exigen. Todos los trabajos de readecuación de la señalización existente al Proyecto entregado se considerarán prorrateados en la cuota de mantenimiento </w:t>
      </w:r>
      <w:r w:rsidRPr="00B7174F">
        <w:rPr>
          <w:rFonts w:ascii="Arial" w:hAnsi="Arial" w:cs="Arial"/>
          <w:snapToGrid w:val="0"/>
          <w:color w:val="000000"/>
          <w:sz w:val="20"/>
          <w:szCs w:val="20"/>
          <w:lang w:val="es-ES_tradnl" w:eastAsia="es-ES"/>
        </w:rPr>
        <w:lastRenderedPageBreak/>
        <w:t>de Seguridad Vial.</w:t>
      </w:r>
    </w:p>
    <w:p w14:paraId="35313D90" w14:textId="77777777" w:rsidR="00A3029F" w:rsidRDefault="00A3029F" w:rsidP="006B3860">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Para la adecuación de la señalización vertical de acuerdo al proyecto entregado, los plazos son los de Puesta a Punto definidos para </w:t>
      </w:r>
      <w:r w:rsidRPr="006B3860">
        <w:rPr>
          <w:rFonts w:ascii="Arial" w:hAnsi="Arial" w:cs="Arial"/>
          <w:snapToGrid w:val="0"/>
          <w:color w:val="000000"/>
          <w:sz w:val="20"/>
          <w:szCs w:val="20"/>
          <w:lang w:val="es-ES_tradnl" w:eastAsia="es-ES"/>
        </w:rPr>
        <w:t>cada uno de los tramos</w:t>
      </w:r>
      <w:r w:rsidR="00BC2A02" w:rsidRPr="006B3860">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w:t>
      </w:r>
    </w:p>
    <w:p w14:paraId="3D1381B9" w14:textId="77777777" w:rsidR="00727AAA" w:rsidRPr="006B3860" w:rsidRDefault="00727AAA" w:rsidP="006B3860">
      <w:pPr>
        <w:spacing w:before="120" w:after="120"/>
        <w:jc w:val="both"/>
        <w:rPr>
          <w:rFonts w:ascii="Arial" w:hAnsi="Arial" w:cs="Arial"/>
          <w:snapToGrid w:val="0"/>
          <w:color w:val="000000"/>
          <w:sz w:val="20"/>
          <w:szCs w:val="20"/>
          <w:lang w:val="es-ES_tradnl" w:eastAsia="es-ES"/>
        </w:rPr>
      </w:pPr>
      <w:r w:rsidRPr="006B3860">
        <w:rPr>
          <w:rFonts w:ascii="Arial" w:hAnsi="Arial" w:cs="Arial"/>
          <w:snapToGrid w:val="0"/>
          <w:color w:val="000000"/>
          <w:sz w:val="20"/>
          <w:szCs w:val="20"/>
          <w:lang w:val="es-ES_tradnl" w:eastAsia="es-ES"/>
        </w:rPr>
        <w:t>Luego de ejecutado el proyecto, el Contratista entregará un relevamiento georreferenciado de toda la señalización, en formato compatible con software GIS. A cada señal se le asignará un código QR que referenciará al inventario de señales, conteniendo la información que indique la C</w:t>
      </w:r>
      <w:r w:rsidR="006B3860" w:rsidRPr="006B3860">
        <w:rPr>
          <w:rFonts w:ascii="Arial" w:hAnsi="Arial" w:cs="Arial"/>
          <w:snapToGrid w:val="0"/>
          <w:color w:val="000000"/>
          <w:sz w:val="20"/>
          <w:szCs w:val="20"/>
          <w:lang w:val="es-ES_tradnl" w:eastAsia="es-ES"/>
        </w:rPr>
        <w:t>ontratante</w:t>
      </w:r>
      <w:r w:rsidRPr="006B3860">
        <w:rPr>
          <w:rFonts w:ascii="Arial" w:hAnsi="Arial" w:cs="Arial"/>
          <w:snapToGrid w:val="0"/>
          <w:color w:val="000000"/>
          <w:sz w:val="20"/>
          <w:szCs w:val="20"/>
          <w:lang w:val="es-ES_tradnl" w:eastAsia="es-ES"/>
        </w:rPr>
        <w:t>, y que permita individualizar unívocamente a cada señal.</w:t>
      </w:r>
    </w:p>
    <w:p w14:paraId="306469D4"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Estándar de diseño</w:t>
      </w:r>
      <w:r w:rsidR="005B7BBB">
        <w:rPr>
          <w:rFonts w:ascii="Arial" w:hAnsi="Arial" w:cs="Arial"/>
          <w:b/>
          <w:bCs/>
          <w:snapToGrid w:val="0"/>
          <w:color w:val="000000"/>
          <w:sz w:val="20"/>
          <w:szCs w:val="20"/>
          <w:lang w:val="es-ES_tradnl" w:eastAsia="es-ES"/>
        </w:rPr>
        <w:t>:</w:t>
      </w:r>
      <w:r w:rsidRPr="00B7174F">
        <w:rPr>
          <w:rFonts w:ascii="Arial" w:hAnsi="Arial" w:cs="Arial"/>
          <w:b/>
          <w:bCs/>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El tipo de panel de las señales será reflectivo total grado Ingeniero o superior (Clase1), de acuerdo a la </w:t>
      </w:r>
      <w:r w:rsidRPr="006B3860">
        <w:rPr>
          <w:rFonts w:ascii="Arial" w:hAnsi="Arial" w:cs="Arial"/>
          <w:snapToGrid w:val="0"/>
          <w:color w:val="000000"/>
          <w:sz w:val="20"/>
          <w:szCs w:val="20"/>
          <w:lang w:val="es-ES_tradnl" w:eastAsia="es-ES"/>
        </w:rPr>
        <w:t>Norma ASTM 4956-</w:t>
      </w:r>
      <w:r w:rsidR="00BC2A02" w:rsidRPr="006B3860">
        <w:rPr>
          <w:rFonts w:ascii="Arial" w:hAnsi="Arial" w:cs="Arial"/>
          <w:snapToGrid w:val="0"/>
          <w:color w:val="000000"/>
          <w:sz w:val="20"/>
          <w:szCs w:val="20"/>
          <w:lang w:val="es-ES_tradnl" w:eastAsia="es-ES"/>
        </w:rPr>
        <w:t>1</w:t>
      </w:r>
      <w:r w:rsidR="007F42C3" w:rsidRPr="006B3860">
        <w:rPr>
          <w:rFonts w:ascii="Arial" w:hAnsi="Arial" w:cs="Arial"/>
          <w:snapToGrid w:val="0"/>
          <w:color w:val="000000"/>
          <w:sz w:val="20"/>
          <w:szCs w:val="20"/>
          <w:lang w:val="es-ES_tradnl" w:eastAsia="es-ES"/>
        </w:rPr>
        <w:t>6</w:t>
      </w:r>
      <w:r w:rsidRPr="006B3860">
        <w:rPr>
          <w:rFonts w:ascii="Arial" w:hAnsi="Arial" w:cs="Arial"/>
          <w:snapToGrid w:val="0"/>
          <w:color w:val="000000"/>
          <w:sz w:val="20"/>
          <w:szCs w:val="20"/>
          <w:lang w:val="es-ES_tradnl" w:eastAsia="es-ES"/>
        </w:rPr>
        <w:t>, tipo I.</w:t>
      </w:r>
    </w:p>
    <w:p w14:paraId="173CB8C5" w14:textId="77777777" w:rsidR="00A3029F" w:rsidRPr="00B7174F" w:rsidRDefault="00A3029F" w:rsidP="00CF69B3">
      <w:pPr>
        <w:widowControl w:val="0"/>
        <w:spacing w:after="120"/>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Especificaciones de los elementos.</w:t>
      </w:r>
    </w:p>
    <w:p w14:paraId="0F890D60"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Señales: </w:t>
      </w:r>
      <w:r w:rsidRPr="00B7174F">
        <w:rPr>
          <w:rFonts w:ascii="Arial" w:hAnsi="Arial" w:cs="Arial"/>
          <w:snapToGrid w:val="0"/>
          <w:color w:val="000000"/>
          <w:sz w:val="20"/>
          <w:szCs w:val="20"/>
          <w:lang w:val="es-ES_tradnl" w:eastAsia="es-ES"/>
        </w:rPr>
        <w:t>Las señales serán de las formas, diseño gráfico, color y confección previstas en la Norma Uruguaya de Señalización, láminas tipo 134 G1 y G2, y “Especificaciones para el Equipamiento de Seguridad Vial”.</w:t>
      </w:r>
    </w:p>
    <w:p w14:paraId="17D2CB02"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Postes, delineadores: </w:t>
      </w:r>
      <w:r w:rsidRPr="00B7174F">
        <w:rPr>
          <w:rFonts w:ascii="Arial" w:hAnsi="Arial" w:cs="Arial"/>
          <w:snapToGrid w:val="0"/>
          <w:color w:val="000000"/>
          <w:sz w:val="20"/>
          <w:szCs w:val="20"/>
          <w:lang w:val="es-ES_tradnl" w:eastAsia="es-ES"/>
        </w:rPr>
        <w:t>Los elementos de hormigón se confeccionarán de acuerdo a la Lámina Tipo DNV N° 134 G1, y “Especificaciones para el Equipamiento de Seguridad Vial”. Se podrán estu</w:t>
      </w:r>
      <w:r w:rsidRPr="00B7174F">
        <w:rPr>
          <w:rFonts w:ascii="Arial" w:hAnsi="Arial" w:cs="Arial"/>
          <w:snapToGrid w:val="0"/>
          <w:color w:val="000000"/>
          <w:sz w:val="20"/>
          <w:szCs w:val="20"/>
          <w:lang w:val="es-ES_tradnl" w:eastAsia="es-ES"/>
        </w:rPr>
        <w:lastRenderedPageBreak/>
        <w:t>diar propuestas para la utilización de otro tipo de postes o delineadores, confeccionados con otros materiales (madera, acero, etc.). La aceptación o rechazo de las alternativas es a exclusivo criterio de</w:t>
      </w:r>
      <w:r w:rsidR="0012047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l</w:t>
      </w:r>
      <w:r w:rsidR="00120471">
        <w:rPr>
          <w:rFonts w:ascii="Arial" w:hAnsi="Arial" w:cs="Arial"/>
          <w:snapToGrid w:val="0"/>
          <w:color w:val="000000"/>
          <w:sz w:val="20"/>
          <w:szCs w:val="20"/>
          <w:lang w:val="es-ES_tradnl" w:eastAsia="es-ES"/>
        </w:rPr>
        <w:t>a</w:t>
      </w:r>
      <w:r w:rsidRPr="00B7174F">
        <w:rPr>
          <w:rFonts w:ascii="Arial" w:hAnsi="Arial" w:cs="Arial"/>
          <w:snapToGrid w:val="0"/>
          <w:color w:val="000000"/>
          <w:sz w:val="20"/>
          <w:szCs w:val="20"/>
          <w:lang w:val="es-ES_tradnl" w:eastAsia="es-ES"/>
        </w:rPr>
        <w:t xml:space="preserve"> </w:t>
      </w:r>
      <w:r w:rsidR="005B7BBB">
        <w:rPr>
          <w:rFonts w:ascii="Arial" w:hAnsi="Arial" w:cs="Arial"/>
          <w:snapToGrid w:val="0"/>
          <w:color w:val="000000"/>
          <w:sz w:val="20"/>
          <w:szCs w:val="20"/>
          <w:lang w:val="es-ES_tradnl" w:eastAsia="es-ES"/>
        </w:rPr>
        <w:t>Contratante</w:t>
      </w:r>
      <w:r w:rsidRPr="00B7174F">
        <w:rPr>
          <w:rFonts w:ascii="Arial" w:hAnsi="Arial" w:cs="Arial"/>
          <w:snapToGrid w:val="0"/>
          <w:color w:val="000000"/>
          <w:sz w:val="20"/>
          <w:szCs w:val="20"/>
          <w:lang w:val="es-ES_tradnl" w:eastAsia="es-ES"/>
        </w:rPr>
        <w:t>.</w:t>
      </w:r>
    </w:p>
    <w:p w14:paraId="0CC2C8DF" w14:textId="77777777" w:rsidR="00A3029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Los elementos de hormigón serán elaborados de hormigón clase VII de acuerdo a las especificaciones del Pliego de Condiciones Generales de la Sección III Tabla A. Los delineadores y chevrones se instalarán</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de acuerdo a lo previsto en la Norma Uruguaya de Señalización.</w:t>
      </w:r>
    </w:p>
    <w:p w14:paraId="27A0CEE2" w14:textId="77777777" w:rsidR="00FC0824" w:rsidRPr="006B3860" w:rsidRDefault="00FC0824" w:rsidP="009E36E0">
      <w:pPr>
        <w:spacing w:before="120" w:after="120"/>
        <w:jc w:val="both"/>
        <w:rPr>
          <w:rFonts w:ascii="Arial" w:hAnsi="Arial" w:cs="Arial"/>
          <w:snapToGrid w:val="0"/>
          <w:color w:val="000000"/>
          <w:sz w:val="20"/>
          <w:szCs w:val="20"/>
          <w:lang w:val="es-ES_tradnl" w:eastAsia="es-ES"/>
        </w:rPr>
      </w:pPr>
      <w:r w:rsidRPr="006B3860">
        <w:rPr>
          <w:rFonts w:ascii="Arial" w:hAnsi="Arial" w:cs="Arial"/>
          <w:snapToGrid w:val="0"/>
          <w:color w:val="000000"/>
          <w:sz w:val="20"/>
          <w:szCs w:val="20"/>
          <w:lang w:val="es-ES_tradnl" w:eastAsia="es-ES"/>
        </w:rPr>
        <w:t>Se sustituirán delineadores por chevrones en todas las curvas, instalándose los mismos en cantidad y ubicación definida en la Norma Uruguaya de Señalización. Los elementos retirados se entregarán en la Oficina de la DNV más próxima.</w:t>
      </w:r>
    </w:p>
    <w:p w14:paraId="5F2D6C99" w14:textId="77777777" w:rsidR="009E36E0" w:rsidRPr="006B3860" w:rsidRDefault="00A3029F" w:rsidP="009E36E0">
      <w:pPr>
        <w:spacing w:before="120"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Señalización de alcantarillas. </w:t>
      </w:r>
      <w:r w:rsidRPr="00B7174F">
        <w:rPr>
          <w:rFonts w:ascii="Arial" w:hAnsi="Arial" w:cs="Arial"/>
          <w:snapToGrid w:val="0"/>
          <w:color w:val="000000"/>
          <w:sz w:val="20"/>
          <w:szCs w:val="20"/>
          <w:lang w:val="es-ES_tradnl" w:eastAsia="es-ES"/>
        </w:rPr>
        <w:t xml:space="preserve">Las alcantarillas se señalizarán con cuatro delineadores, excepto las que de acuerdo al criterio establecido por </w:t>
      </w:r>
      <w:r w:rsidRPr="006B3860">
        <w:rPr>
          <w:rFonts w:ascii="Arial" w:hAnsi="Arial" w:cs="Arial"/>
          <w:snapToGrid w:val="0"/>
          <w:color w:val="000000"/>
          <w:sz w:val="20"/>
          <w:szCs w:val="20"/>
          <w:lang w:val="es-ES_tradnl" w:eastAsia="es-ES"/>
        </w:rPr>
        <w:t>l</w:t>
      </w:r>
      <w:r w:rsidR="00333D8C" w:rsidRPr="006B3860">
        <w:rPr>
          <w:rFonts w:ascii="Arial" w:hAnsi="Arial" w:cs="Arial"/>
          <w:snapToGrid w:val="0"/>
          <w:color w:val="000000"/>
          <w:sz w:val="20"/>
          <w:szCs w:val="20"/>
          <w:lang w:val="es-ES_tradnl" w:eastAsia="es-ES"/>
        </w:rPr>
        <w:t>a</w:t>
      </w:r>
      <w:r w:rsidRPr="006B3860">
        <w:rPr>
          <w:rFonts w:ascii="Arial" w:hAnsi="Arial" w:cs="Arial"/>
          <w:snapToGrid w:val="0"/>
          <w:color w:val="000000"/>
          <w:sz w:val="20"/>
          <w:szCs w:val="20"/>
          <w:lang w:val="es-ES_tradnl" w:eastAsia="es-ES"/>
        </w:rPr>
        <w:t xml:space="preserve"> Contratante </w:t>
      </w:r>
      <w:r w:rsidR="009E36E0" w:rsidRPr="006B3860">
        <w:rPr>
          <w:rFonts w:ascii="Arial" w:hAnsi="Arial" w:cs="Arial"/>
          <w:snapToGrid w:val="0"/>
          <w:color w:val="000000"/>
          <w:sz w:val="20"/>
          <w:szCs w:val="20"/>
          <w:lang w:val="es-ES_tradnl" w:eastAsia="es-ES"/>
        </w:rPr>
        <w:t>en relación a su peligrosidad requieran señales de 0.9*0.3m, con bandas alternadas amarillas y negras o defensas metálicas.</w:t>
      </w:r>
    </w:p>
    <w:p w14:paraId="1DCCDAC1" w14:textId="052D05D5" w:rsidR="00A3029F" w:rsidRDefault="00A3029F" w:rsidP="00CF69B3">
      <w:pPr>
        <w:widowControl w:val="0"/>
        <w:spacing w:after="120"/>
        <w:jc w:val="both"/>
        <w:rPr>
          <w:rFonts w:ascii="Arial" w:hAnsi="Arial" w:cs="Arial"/>
          <w:snapToGrid w:val="0"/>
          <w:color w:val="000000"/>
          <w:sz w:val="20"/>
          <w:szCs w:val="20"/>
          <w:lang w:val="es-ES_tradnl" w:eastAsia="es-ES"/>
        </w:rPr>
      </w:pPr>
      <w:r w:rsidRPr="00365D00">
        <w:rPr>
          <w:rFonts w:ascii="Arial" w:hAnsi="Arial" w:cs="Arial"/>
          <w:snapToGrid w:val="0"/>
          <w:color w:val="000000"/>
          <w:sz w:val="20"/>
          <w:szCs w:val="20"/>
          <w:lang w:val="es-ES_tradnl" w:eastAsia="es-ES"/>
        </w:rPr>
        <w:t>E</w:t>
      </w:r>
      <w:r w:rsidRPr="00B7174F">
        <w:rPr>
          <w:rFonts w:ascii="Arial" w:hAnsi="Arial" w:cs="Arial"/>
          <w:snapToGrid w:val="0"/>
          <w:color w:val="000000"/>
          <w:sz w:val="20"/>
          <w:szCs w:val="20"/>
          <w:lang w:val="es-ES_tradnl" w:eastAsia="es-ES"/>
        </w:rPr>
        <w:t xml:space="preserve">n caso de existir postes de hormigón tipo parapeto en las alcantarillas, los mismos se conservarán mientras estén todos en buenas condiciones; cuando alguno de los postes de una alcantarilla presente fallas tipo fisuras, fracturas o armaduras a la vista o esté </w:t>
      </w:r>
      <w:r w:rsidRPr="00B7174F">
        <w:rPr>
          <w:rFonts w:ascii="Arial" w:hAnsi="Arial" w:cs="Arial"/>
          <w:snapToGrid w:val="0"/>
          <w:color w:val="000000"/>
          <w:sz w:val="20"/>
          <w:szCs w:val="20"/>
          <w:lang w:val="es-ES_tradnl" w:eastAsia="es-ES"/>
        </w:rPr>
        <w:lastRenderedPageBreak/>
        <w:t>ausente algún parapeto, todos los postes de esa alcantarilla serán retirados y sustituidos por delineadores o chevrones según corresponda.</w:t>
      </w:r>
    </w:p>
    <w:p w14:paraId="56F0DF13" w14:textId="77777777" w:rsidR="00FC0824" w:rsidRPr="00020211" w:rsidRDefault="00FC0824" w:rsidP="00FC0824">
      <w:pPr>
        <w:spacing w:before="120" w:after="120"/>
        <w:jc w:val="both"/>
        <w:rPr>
          <w:rFonts w:ascii="Arial" w:hAnsi="Arial" w:cs="Arial"/>
          <w:b/>
          <w:bCs/>
          <w:snapToGrid w:val="0"/>
          <w:color w:val="000000"/>
          <w:sz w:val="20"/>
          <w:szCs w:val="20"/>
          <w:lang w:val="es-ES_tradnl" w:eastAsia="es-ES"/>
        </w:rPr>
      </w:pPr>
      <w:r w:rsidRPr="00020211">
        <w:rPr>
          <w:rFonts w:ascii="Arial" w:hAnsi="Arial" w:cs="Arial"/>
          <w:b/>
          <w:bCs/>
          <w:snapToGrid w:val="0"/>
          <w:color w:val="000000"/>
          <w:sz w:val="20"/>
          <w:szCs w:val="20"/>
          <w:lang w:val="es-ES_tradnl" w:eastAsia="es-ES"/>
        </w:rPr>
        <w:t>Diseño de costados de ruta</w:t>
      </w:r>
    </w:p>
    <w:p w14:paraId="71AAC83F"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La Contratista elaborará un proyecto de readecuación de costados de la ruta, a los efectos de contar con el área libre de obstáculos recomendada por la Roadside Design Guide de AASHTO, para la velocidad máxima reglamentaria en cada tramo.</w:t>
      </w:r>
    </w:p>
    <w:p w14:paraId="3FD10BC1"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En caso de resultar inviable eliminar los obstáculos o readecuar taludes peligrosos que existieran, se deberá implementar la instalación de defensas metálicas</w:t>
      </w:r>
      <w:r w:rsidR="007F42C3" w:rsidRPr="00020211">
        <w:rPr>
          <w:rFonts w:ascii="Arial" w:hAnsi="Arial" w:cs="Arial"/>
          <w:snapToGrid w:val="0"/>
          <w:color w:val="000000"/>
          <w:sz w:val="20"/>
          <w:szCs w:val="20"/>
          <w:lang w:val="es-ES_tradnl" w:eastAsia="es-ES"/>
        </w:rPr>
        <w:t>.</w:t>
      </w:r>
      <w:r w:rsidRPr="00020211">
        <w:rPr>
          <w:rFonts w:ascii="Arial" w:hAnsi="Arial" w:cs="Arial"/>
          <w:snapToGrid w:val="0"/>
          <w:color w:val="000000"/>
          <w:sz w:val="20"/>
          <w:szCs w:val="20"/>
          <w:lang w:val="es-ES_tradnl" w:eastAsia="es-ES"/>
        </w:rPr>
        <w:t xml:space="preserve"> </w:t>
      </w:r>
    </w:p>
    <w:p w14:paraId="51BCB01F" w14:textId="77777777" w:rsidR="00FC0824" w:rsidRPr="00020211" w:rsidRDefault="00FC0824" w:rsidP="00FC0824">
      <w:pPr>
        <w:spacing w:before="120" w:after="120"/>
        <w:jc w:val="both"/>
        <w:rPr>
          <w:rFonts w:ascii="Arial" w:hAnsi="Arial" w:cs="Arial"/>
          <w:snapToGrid w:val="0"/>
          <w:color w:val="000000"/>
          <w:sz w:val="20"/>
          <w:szCs w:val="20"/>
          <w:lang w:val="es-ES_tradnl" w:eastAsia="es-ES"/>
        </w:rPr>
      </w:pPr>
      <w:r w:rsidRPr="00020211">
        <w:rPr>
          <w:rFonts w:ascii="Arial" w:hAnsi="Arial" w:cs="Arial"/>
          <w:snapToGrid w:val="0"/>
          <w:color w:val="000000"/>
          <w:sz w:val="20"/>
          <w:szCs w:val="20"/>
          <w:lang w:val="es-ES_tradnl" w:eastAsia="es-ES"/>
        </w:rPr>
        <w:t>El plazo para adecuar el diseño de los costados de ruta será de 24 meses a partir del Acta de Toma de Posesión.</w:t>
      </w:r>
    </w:p>
    <w:p w14:paraId="4EBD7A44" w14:textId="77777777" w:rsidR="005948C8" w:rsidRPr="00020211" w:rsidRDefault="00A3029F" w:rsidP="005948C8">
      <w:pPr>
        <w:spacing w:before="120"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Defensas metálicas. </w:t>
      </w:r>
      <w:r w:rsidR="005948C8" w:rsidRPr="00020211">
        <w:rPr>
          <w:rFonts w:ascii="Arial" w:hAnsi="Arial" w:cs="Arial"/>
          <w:snapToGrid w:val="0"/>
          <w:color w:val="000000"/>
          <w:sz w:val="20"/>
          <w:szCs w:val="20"/>
          <w:lang w:val="es-ES_tradnl" w:eastAsia="es-ES"/>
        </w:rPr>
        <w:t xml:space="preserve">Las defensas metálicas deberán cumplir en diseño y modo de instalación, tanto tramos estándar como terminales, como mínimo con el Test Level 3 definido en el documento Manual for Assessing Safety Hardware, de AASHTO, o especificaciones análogas, a criterio de la Contratante. Los elementos componentes de las defensas definidas deberán ser compatibles con los de la lámina tipo 267 de la DNV. El modelo a emplear, será puesto a consideración de la Contratante. La confección e instalación se realizará de acuerdo a lo establecido por el fabricante. El </w:t>
      </w:r>
      <w:r w:rsidR="005948C8" w:rsidRPr="00020211">
        <w:rPr>
          <w:rFonts w:ascii="Arial" w:hAnsi="Arial" w:cs="Arial"/>
          <w:snapToGrid w:val="0"/>
          <w:color w:val="000000"/>
          <w:sz w:val="20"/>
          <w:szCs w:val="20"/>
          <w:lang w:val="es-ES_tradnl" w:eastAsia="es-ES"/>
        </w:rPr>
        <w:lastRenderedPageBreak/>
        <w:t>proyecto se realizará en concordancia con lo establecido en la Roadside Design Guide De AASHTO.</w:t>
      </w:r>
    </w:p>
    <w:p w14:paraId="560856D9" w14:textId="77777777" w:rsidR="005948C8" w:rsidRPr="00FC0824" w:rsidRDefault="00020211" w:rsidP="005948C8">
      <w:pPr>
        <w:spacing w:before="120" w:after="120"/>
        <w:jc w:val="both"/>
        <w:rPr>
          <w:highlight w:val="yellow"/>
        </w:rPr>
      </w:pPr>
      <w:r>
        <w:rPr>
          <w:rFonts w:ascii="Arial" w:hAnsi="Arial" w:cs="Arial"/>
          <w:snapToGrid w:val="0"/>
          <w:color w:val="000000"/>
          <w:sz w:val="20"/>
          <w:szCs w:val="20"/>
          <w:lang w:val="es-ES_tradnl" w:eastAsia="es-ES"/>
        </w:rPr>
        <w:t>El</w:t>
      </w:r>
      <w:r w:rsidR="005948C8" w:rsidRPr="00020211">
        <w:rPr>
          <w:rFonts w:ascii="Arial" w:hAnsi="Arial" w:cs="Arial"/>
          <w:snapToGrid w:val="0"/>
          <w:color w:val="000000"/>
          <w:sz w:val="20"/>
          <w:szCs w:val="20"/>
          <w:lang w:val="es-ES_tradnl" w:eastAsia="es-ES"/>
        </w:rPr>
        <w:t xml:space="preserve"> Contratista entregará en el plazo de puesta a punto, un inventario de defensas metálicas georreferenciado y en el formato que definirá la Contratante, para todos los tramos del contrato. Este inventario se actualizará cada vez que surjan cambios. </w:t>
      </w:r>
    </w:p>
    <w:p w14:paraId="18F89C00"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Pórticos y pescantes. </w:t>
      </w:r>
      <w:r w:rsidRPr="00B7174F">
        <w:rPr>
          <w:rFonts w:ascii="Arial" w:hAnsi="Arial" w:cs="Arial"/>
          <w:snapToGrid w:val="0"/>
          <w:color w:val="000000"/>
          <w:sz w:val="20"/>
          <w:szCs w:val="20"/>
          <w:lang w:val="es-ES_tradnl" w:eastAsia="es-ES"/>
        </w:rPr>
        <w:t>Las señales en pórticos y pescantes existentes en el tramo se mantendrán durante todo el plazo del Contrato con iguales</w:t>
      </w:r>
      <w:r w:rsidR="00B14DCC">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dimensiones pero deberán modificar textos en caso de no estar de acuerdo con lo establecido con el proyecto correspondiente. En todos los casos se exigirá reflectivo Grado Alta Intensidad o superior (ASTM 4956).</w:t>
      </w:r>
    </w:p>
    <w:p w14:paraId="14856553"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 xml:space="preserve">Cordones y canteros. </w:t>
      </w:r>
      <w:r w:rsidRPr="00B7174F">
        <w:rPr>
          <w:rFonts w:ascii="Arial" w:hAnsi="Arial" w:cs="Arial"/>
          <w:snapToGrid w:val="0"/>
          <w:color w:val="000000"/>
          <w:sz w:val="20"/>
          <w:szCs w:val="20"/>
          <w:lang w:val="es-ES_tradnl" w:eastAsia="es-ES"/>
        </w:rPr>
        <w:t xml:space="preserve">El contratista deberá mantener pintados de acuerdo a la Norma Uruguaya de Señalización la totalidad de cordones de </w:t>
      </w:r>
      <w:r w:rsidRPr="00020211">
        <w:rPr>
          <w:rFonts w:ascii="Arial" w:hAnsi="Arial" w:cs="Arial"/>
          <w:snapToGrid w:val="0"/>
          <w:color w:val="000000"/>
          <w:sz w:val="20"/>
          <w:szCs w:val="20"/>
          <w:lang w:val="es-ES_tradnl" w:eastAsia="es-ES"/>
        </w:rPr>
        <w:t>isletas</w:t>
      </w:r>
      <w:r w:rsidR="00FC0824" w:rsidRPr="00020211">
        <w:rPr>
          <w:rFonts w:ascii="Arial" w:hAnsi="Arial" w:cs="Arial"/>
          <w:snapToGrid w:val="0"/>
          <w:color w:val="000000"/>
          <w:sz w:val="20"/>
          <w:szCs w:val="20"/>
          <w:lang w:val="es-ES_tradnl" w:eastAsia="es-ES"/>
        </w:rPr>
        <w:t>, puentes y canteros</w:t>
      </w:r>
      <w:r w:rsidRPr="00020211">
        <w:rPr>
          <w:rFonts w:ascii="Arial" w:hAnsi="Arial" w:cs="Arial"/>
          <w:snapToGrid w:val="0"/>
          <w:color w:val="000000"/>
          <w:sz w:val="20"/>
          <w:szCs w:val="20"/>
          <w:lang w:val="es-ES_tradnl" w:eastAsia="es-ES"/>
        </w:rPr>
        <w:t>. En el caso</w:t>
      </w:r>
      <w:r w:rsidRPr="00B7174F">
        <w:rPr>
          <w:rFonts w:ascii="Arial" w:hAnsi="Arial" w:cs="Arial"/>
          <w:snapToGrid w:val="0"/>
          <w:color w:val="000000"/>
          <w:sz w:val="20"/>
          <w:szCs w:val="20"/>
          <w:lang w:val="es-ES_tradnl" w:eastAsia="es-ES"/>
        </w:rPr>
        <w:t xml:space="preserve"> de canteros centrales se aceptará el pintado de los primeros 100 metros desde cada </w:t>
      </w:r>
      <w:r w:rsidRPr="00020211">
        <w:rPr>
          <w:rFonts w:ascii="Arial" w:hAnsi="Arial" w:cs="Arial"/>
          <w:snapToGrid w:val="0"/>
          <w:color w:val="000000"/>
          <w:sz w:val="20"/>
          <w:szCs w:val="20"/>
          <w:lang w:val="es-ES_tradnl" w:eastAsia="es-ES"/>
        </w:rPr>
        <w:t>extremo</w:t>
      </w:r>
      <w:r w:rsidR="00FC0824" w:rsidRPr="00020211">
        <w:rPr>
          <w:rFonts w:ascii="Arial" w:hAnsi="Arial" w:cs="Arial"/>
          <w:snapToGrid w:val="0"/>
          <w:color w:val="000000"/>
          <w:sz w:val="20"/>
          <w:szCs w:val="20"/>
          <w:lang w:val="es-ES_tradnl" w:eastAsia="es-ES"/>
        </w:rPr>
        <w:t xml:space="preserve"> y los 50m a ambos lados desde cualquier cambio de dirección de los mismos</w:t>
      </w:r>
      <w:r w:rsidRPr="00020211">
        <w:rPr>
          <w:rFonts w:ascii="Arial" w:hAnsi="Arial" w:cs="Arial"/>
          <w:snapToGrid w:val="0"/>
          <w:color w:val="000000"/>
          <w:sz w:val="20"/>
          <w:szCs w:val="20"/>
          <w:lang w:val="es-ES_tradnl" w:eastAsia="es-ES"/>
        </w:rPr>
        <w:t>.</w:t>
      </w:r>
    </w:p>
    <w:p w14:paraId="5C8CD2E7" w14:textId="77777777" w:rsidR="00A3029F" w:rsidRPr="00020211" w:rsidRDefault="00A3029F" w:rsidP="00CF69B3">
      <w:pPr>
        <w:widowControl w:val="0"/>
        <w:spacing w:after="120" w:line="240" w:lineRule="auto"/>
        <w:ind w:left="120"/>
        <w:jc w:val="both"/>
        <w:rPr>
          <w:rFonts w:ascii="Arial" w:hAnsi="Arial" w:cs="Arial"/>
          <w:snapToGrid w:val="0"/>
          <w:color w:val="000000"/>
          <w:sz w:val="20"/>
          <w:szCs w:val="20"/>
          <w:lang w:val="es-ES_tradnl" w:eastAsia="es-ES"/>
        </w:rPr>
        <w:sectPr w:rsidR="00A3029F" w:rsidRPr="00020211" w:rsidSect="00B238CC">
          <w:pgSz w:w="11906" w:h="16838" w:code="9"/>
          <w:pgMar w:top="1276" w:right="1701" w:bottom="1701" w:left="1701" w:header="720" w:footer="720" w:gutter="0"/>
          <w:cols w:space="708"/>
          <w:docGrid w:linePitch="360"/>
        </w:sectPr>
      </w:pPr>
    </w:p>
    <w:p w14:paraId="2183D923" w14:textId="77777777" w:rsidR="00A3029F" w:rsidRPr="00B57CFA" w:rsidRDefault="0026481A" w:rsidP="00E26581">
      <w:pPr>
        <w:keepNext/>
        <w:tabs>
          <w:tab w:val="left" w:pos="720"/>
        </w:tabs>
        <w:spacing w:before="240" w:after="60" w:line="360" w:lineRule="auto"/>
        <w:jc w:val="both"/>
        <w:rPr>
          <w:rFonts w:ascii="Arial" w:hAnsi="Arial"/>
          <w:b/>
        </w:rPr>
      </w:pPr>
      <w:bookmarkStart w:id="1538" w:name="_Toc400635301"/>
      <w:r>
        <w:rPr>
          <w:rFonts w:ascii="Arial" w:hAnsi="Arial"/>
          <w:b/>
        </w:rPr>
        <w:lastRenderedPageBreak/>
        <w:t xml:space="preserve">4.1.1 </w:t>
      </w:r>
      <w:r w:rsidR="00386FC6" w:rsidRPr="00B57CFA">
        <w:rPr>
          <w:rFonts w:ascii="Arial" w:hAnsi="Arial"/>
          <w:b/>
        </w:rPr>
        <w:t>NIVELES DE SERVICIO PARA SEÑALIZACIÓN VERTICAL Y AÉREA.</w:t>
      </w:r>
      <w:bookmarkEnd w:id="1538"/>
    </w:p>
    <w:p w14:paraId="5A2DD8CC" w14:textId="77777777" w:rsidR="00A3029F" w:rsidRPr="000544DC" w:rsidRDefault="0026481A" w:rsidP="005B24E1">
      <w:pPr>
        <w:pStyle w:val="T2A5"/>
        <w:numPr>
          <w:ilvl w:val="0"/>
          <w:numId w:val="0"/>
        </w:numPr>
        <w:ind w:left="360"/>
        <w:outlineLvl w:val="9"/>
      </w:pPr>
      <w:r w:rsidRPr="00020211">
        <w:rPr>
          <w:lang w:val="es-ES"/>
        </w:rPr>
        <w:t>4.1.1.1</w:t>
      </w:r>
      <w:r w:rsidR="00A3029F" w:rsidRPr="00020211">
        <w:t>Señalización Vertical</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018"/>
        <w:gridCol w:w="845"/>
        <w:gridCol w:w="1469"/>
        <w:gridCol w:w="2065"/>
        <w:gridCol w:w="1125"/>
        <w:gridCol w:w="2919"/>
        <w:gridCol w:w="1545"/>
        <w:gridCol w:w="1052"/>
        <w:gridCol w:w="1100"/>
        <w:gridCol w:w="854"/>
      </w:tblGrid>
      <w:tr w:rsidR="00A3029F" w:rsidRPr="00B7174F" w14:paraId="56E495FD" w14:textId="77777777">
        <w:trPr>
          <w:cantSplit/>
          <w:trHeight w:val="567"/>
          <w:tblHeader/>
          <w:jc w:val="center"/>
        </w:trPr>
        <w:tc>
          <w:tcPr>
            <w:tcW w:w="364" w:type="pct"/>
            <w:shd w:val="clear" w:color="auto" w:fill="595959"/>
            <w:vAlign w:val="center"/>
          </w:tcPr>
          <w:p w14:paraId="2BE2F61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02" w:type="pct"/>
            <w:shd w:val="clear" w:color="auto" w:fill="595959"/>
            <w:vAlign w:val="center"/>
          </w:tcPr>
          <w:p w14:paraId="3D0753A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25" w:type="pct"/>
            <w:shd w:val="clear" w:color="auto" w:fill="595959"/>
            <w:vAlign w:val="center"/>
          </w:tcPr>
          <w:p w14:paraId="5D21073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738" w:type="pct"/>
            <w:shd w:val="clear" w:color="auto" w:fill="595959"/>
            <w:vAlign w:val="center"/>
          </w:tcPr>
          <w:p w14:paraId="571E586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02" w:type="pct"/>
            <w:shd w:val="clear" w:color="auto" w:fill="595959"/>
            <w:vAlign w:val="center"/>
          </w:tcPr>
          <w:p w14:paraId="4232C46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1043" w:type="pct"/>
            <w:shd w:val="clear" w:color="auto" w:fill="595959"/>
            <w:vAlign w:val="center"/>
          </w:tcPr>
          <w:p w14:paraId="30A4B05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52" w:type="pct"/>
            <w:shd w:val="clear" w:color="auto" w:fill="595959"/>
            <w:vAlign w:val="center"/>
          </w:tcPr>
          <w:p w14:paraId="390D605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76" w:type="pct"/>
            <w:shd w:val="clear" w:color="auto" w:fill="595959"/>
            <w:vAlign w:val="center"/>
          </w:tcPr>
          <w:p w14:paraId="513654B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3" w:type="pct"/>
            <w:shd w:val="clear" w:color="auto" w:fill="595959"/>
            <w:vAlign w:val="center"/>
          </w:tcPr>
          <w:p w14:paraId="2C5D6353"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5" w:type="pct"/>
            <w:shd w:val="clear" w:color="auto" w:fill="595959"/>
          </w:tcPr>
          <w:p w14:paraId="15B8356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0BD0C1DA" w14:textId="77777777">
        <w:trPr>
          <w:trHeight w:val="526"/>
          <w:jc w:val="center"/>
        </w:trPr>
        <w:tc>
          <w:tcPr>
            <w:tcW w:w="364" w:type="pct"/>
            <w:vMerge w:val="restart"/>
            <w:shd w:val="clear" w:color="auto" w:fill="BFBFBF"/>
            <w:textDirection w:val="btLr"/>
            <w:vAlign w:val="center"/>
          </w:tcPr>
          <w:p w14:paraId="1A5AFD41"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02" w:type="pct"/>
            <w:vAlign w:val="center"/>
          </w:tcPr>
          <w:p w14:paraId="2FB261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Fal</w:t>
            </w:r>
          </w:p>
        </w:tc>
        <w:tc>
          <w:tcPr>
            <w:tcW w:w="525" w:type="pct"/>
            <w:vAlign w:val="center"/>
          </w:tcPr>
          <w:p w14:paraId="694529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w:t>
            </w:r>
          </w:p>
        </w:tc>
        <w:tc>
          <w:tcPr>
            <w:tcW w:w="738" w:type="pct"/>
            <w:vAlign w:val="center"/>
          </w:tcPr>
          <w:p w14:paraId="1D6425A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faltantes respecto al Proyecto aprobado.</w:t>
            </w:r>
          </w:p>
        </w:tc>
        <w:tc>
          <w:tcPr>
            <w:tcW w:w="402" w:type="pct"/>
            <w:vAlign w:val="center"/>
          </w:tcPr>
          <w:p w14:paraId="260569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89E31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compararán todas las señales de cada hectómetro con el proyecto aprobado.</w:t>
            </w:r>
          </w:p>
        </w:tc>
        <w:tc>
          <w:tcPr>
            <w:tcW w:w="552" w:type="pct"/>
            <w:vAlign w:val="center"/>
          </w:tcPr>
          <w:p w14:paraId="27D0D18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110213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 día señales reglamentarias</w:t>
            </w:r>
          </w:p>
          <w:p w14:paraId="17A0291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señales informativas</w:t>
            </w:r>
          </w:p>
        </w:tc>
        <w:tc>
          <w:tcPr>
            <w:tcW w:w="393" w:type="pct"/>
            <w:vAlign w:val="center"/>
          </w:tcPr>
          <w:p w14:paraId="765435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7A40E9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25DA3335" w14:textId="77777777">
        <w:trPr>
          <w:trHeight w:val="494"/>
          <w:jc w:val="center"/>
        </w:trPr>
        <w:tc>
          <w:tcPr>
            <w:tcW w:w="364" w:type="pct"/>
            <w:vMerge/>
            <w:shd w:val="clear" w:color="auto" w:fill="BFBFBF"/>
            <w:textDirection w:val="btLr"/>
          </w:tcPr>
          <w:p w14:paraId="62A9797F"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1AA6EA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w:t>
            </w:r>
          </w:p>
        </w:tc>
        <w:tc>
          <w:tcPr>
            <w:tcW w:w="525" w:type="pct"/>
            <w:vAlign w:val="center"/>
          </w:tcPr>
          <w:p w14:paraId="108EA41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Diseño inadecuado</w:t>
            </w:r>
          </w:p>
        </w:tc>
        <w:tc>
          <w:tcPr>
            <w:tcW w:w="738" w:type="pct"/>
            <w:vAlign w:val="center"/>
          </w:tcPr>
          <w:p w14:paraId="4B39F01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diseño diferente al previsto.</w:t>
            </w:r>
          </w:p>
        </w:tc>
        <w:tc>
          <w:tcPr>
            <w:tcW w:w="402" w:type="pct"/>
            <w:vAlign w:val="center"/>
          </w:tcPr>
          <w:p w14:paraId="08BC146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2682EF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61DE179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203ACF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0B40A3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9CBADD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06997949" w14:textId="77777777">
        <w:trPr>
          <w:trHeight w:val="558"/>
          <w:jc w:val="center"/>
        </w:trPr>
        <w:tc>
          <w:tcPr>
            <w:tcW w:w="364" w:type="pct"/>
            <w:vMerge/>
            <w:shd w:val="clear" w:color="auto" w:fill="BFBFBF"/>
            <w:textDirection w:val="btLr"/>
          </w:tcPr>
          <w:p w14:paraId="3EEB4102"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6229D1E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79656AA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Longitudinal inadecuada</w:t>
            </w:r>
          </w:p>
        </w:tc>
        <w:tc>
          <w:tcPr>
            <w:tcW w:w="738" w:type="pct"/>
            <w:vAlign w:val="center"/>
          </w:tcPr>
          <w:p w14:paraId="42B927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ubicación longitudinal diferente a la prevista en</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Proyecto aprobado</w:t>
            </w:r>
          </w:p>
        </w:tc>
        <w:tc>
          <w:tcPr>
            <w:tcW w:w="402" w:type="pct"/>
            <w:vAlign w:val="center"/>
          </w:tcPr>
          <w:p w14:paraId="543A2C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56BCFE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2B7E69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2B9D4E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4CE8FB9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1098E0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4A004449" w14:textId="77777777">
        <w:trPr>
          <w:trHeight w:val="2071"/>
          <w:jc w:val="center"/>
        </w:trPr>
        <w:tc>
          <w:tcPr>
            <w:tcW w:w="364" w:type="pct"/>
            <w:vMerge/>
            <w:shd w:val="clear" w:color="auto" w:fill="BFBFBF"/>
            <w:textDirection w:val="btLr"/>
          </w:tcPr>
          <w:p w14:paraId="48CE8C7B"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36F035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VVis</w:t>
            </w:r>
          </w:p>
          <w:p w14:paraId="3850DC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11221E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738" w:type="pct"/>
            <w:vAlign w:val="center"/>
          </w:tcPr>
          <w:p w14:paraId="6501514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valores de retroreflectividad menor al especificado.</w:t>
            </w:r>
          </w:p>
        </w:tc>
        <w:tc>
          <w:tcPr>
            <w:tcW w:w="402" w:type="pct"/>
            <w:vAlign w:val="center"/>
          </w:tcPr>
          <w:p w14:paraId="7E9737B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0A40CF5B" w14:textId="77777777" w:rsidR="00A3029F" w:rsidRPr="00B7174F" w:rsidRDefault="00A3029F" w:rsidP="00911E54">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del coeficiente de </w:t>
            </w:r>
            <w:r w:rsidRPr="00020211">
              <w:rPr>
                <w:rFonts w:ascii="Arial" w:hAnsi="Arial" w:cs="Arial"/>
                <w:snapToGrid w:val="0"/>
                <w:sz w:val="16"/>
                <w:szCs w:val="16"/>
                <w:lang w:val="es-UY" w:eastAsia="es-ES"/>
              </w:rPr>
              <w:t>retroreflexión se realizará con un retroreflectómetro en arreglo a la norma ASTM E 810 con un ángulo de incidencia de -4° y un ángulo</w:t>
            </w:r>
            <w:r w:rsidRPr="00B7174F">
              <w:rPr>
                <w:rFonts w:ascii="Arial" w:hAnsi="Arial" w:cs="Arial"/>
                <w:snapToGrid w:val="0"/>
                <w:sz w:val="16"/>
                <w:szCs w:val="16"/>
                <w:lang w:val="es-UY" w:eastAsia="es-ES"/>
              </w:rPr>
              <w:t xml:space="preserve"> de observación de 0,2°. En cada hectómetro se evalúa una única señal, en forma aleatoria y la medida se realizará con la señal en el estado en que se encontrare, i.e: sin realizar limpieza alguna previa a la medición.</w:t>
            </w:r>
          </w:p>
        </w:tc>
        <w:tc>
          <w:tcPr>
            <w:tcW w:w="552" w:type="pct"/>
            <w:vAlign w:val="center"/>
          </w:tcPr>
          <w:p w14:paraId="735F9D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p w14:paraId="3622FC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mínimos serán los establecidos para la clase correspondiente en la Norma Uruguaya de Señalización Vertical.</w:t>
            </w:r>
          </w:p>
        </w:tc>
        <w:tc>
          <w:tcPr>
            <w:tcW w:w="376" w:type="pct"/>
            <w:vAlign w:val="center"/>
          </w:tcPr>
          <w:p w14:paraId="7735E1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6921688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1B4A3E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4235175D" w14:textId="77777777">
        <w:trPr>
          <w:trHeight w:val="2407"/>
          <w:jc w:val="center"/>
        </w:trPr>
        <w:tc>
          <w:tcPr>
            <w:tcW w:w="364" w:type="pct"/>
            <w:vMerge/>
            <w:shd w:val="clear" w:color="auto" w:fill="BFBFBF"/>
            <w:textDirection w:val="btLr"/>
          </w:tcPr>
          <w:p w14:paraId="074871E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0147369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405054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Color inadecuado</w:t>
            </w:r>
          </w:p>
        </w:tc>
        <w:tc>
          <w:tcPr>
            <w:tcW w:w="738" w:type="pct"/>
            <w:vAlign w:val="center"/>
          </w:tcPr>
          <w:p w14:paraId="6FA791B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cuyos colores no se encuentran dentro del área cromática especificada.</w:t>
            </w:r>
          </w:p>
        </w:tc>
        <w:tc>
          <w:tcPr>
            <w:tcW w:w="402" w:type="pct"/>
            <w:vAlign w:val="center"/>
          </w:tcPr>
          <w:p w14:paraId="0A8EE00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63659F8" w14:textId="77777777" w:rsidR="00A3029F" w:rsidRPr="00B7174F" w:rsidRDefault="00A3029F" w:rsidP="00911E54">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se realizará con un espectrocolorímetroSpectraScan PR </w:t>
            </w:r>
            <w:r w:rsidRPr="00020211">
              <w:rPr>
                <w:rFonts w:ascii="Arial" w:hAnsi="Arial" w:cs="Arial"/>
                <w:snapToGrid w:val="0"/>
                <w:sz w:val="16"/>
                <w:szCs w:val="16"/>
                <w:lang w:val="es-UY" w:eastAsia="es-ES"/>
              </w:rPr>
              <w:t>65</w:t>
            </w:r>
            <w:r w:rsidR="00911E54" w:rsidRPr="00020211">
              <w:rPr>
                <w:rFonts w:ascii="Arial" w:hAnsi="Arial" w:cs="Arial"/>
                <w:snapToGrid w:val="0"/>
                <w:sz w:val="16"/>
                <w:szCs w:val="16"/>
                <w:lang w:val="es-UY" w:eastAsia="es-ES"/>
              </w:rPr>
              <w:t>5</w:t>
            </w:r>
            <w:r w:rsidRPr="00020211">
              <w:rPr>
                <w:rFonts w:ascii="Arial" w:hAnsi="Arial" w:cs="Arial"/>
                <w:snapToGrid w:val="0"/>
                <w:sz w:val="16"/>
                <w:szCs w:val="16"/>
                <w:lang w:val="es-UY" w:eastAsia="es-ES"/>
              </w:rPr>
              <w:t xml:space="preserve"> o similar dotado con un iluminante patrón</w:t>
            </w:r>
            <w:r w:rsidRPr="00B7174F">
              <w:rPr>
                <w:rFonts w:ascii="Arial" w:hAnsi="Arial" w:cs="Arial"/>
                <w:snapToGrid w:val="0"/>
                <w:sz w:val="16"/>
                <w:szCs w:val="16"/>
                <w:lang w:val="es-UY" w:eastAsia="es-ES"/>
              </w:rPr>
              <w:t xml:space="preserve"> CIE tipo D65 con geometría 45/0 y observador patrón 2°.Se verificará según la Norma Uruguaya de Señalización Vertical. Se determinan las coordenadas cromáticas de cada color en la señal a evaluar tomándose una única lectura. En cada hectómetro se evalúa una única señal, en forma aleatoria.</w:t>
            </w:r>
          </w:p>
        </w:tc>
        <w:tc>
          <w:tcPr>
            <w:tcW w:w="552" w:type="pct"/>
            <w:vAlign w:val="center"/>
          </w:tcPr>
          <w:p w14:paraId="0E26539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6F6283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316275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93A720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0435370B" w14:textId="77777777">
        <w:trPr>
          <w:trHeight w:val="423"/>
          <w:jc w:val="center"/>
        </w:trPr>
        <w:tc>
          <w:tcPr>
            <w:tcW w:w="364" w:type="pct"/>
            <w:vMerge w:val="restart"/>
            <w:shd w:val="clear" w:color="auto" w:fill="BFBFBF"/>
            <w:textDirection w:val="btLr"/>
            <w:vAlign w:val="center"/>
          </w:tcPr>
          <w:p w14:paraId="09CE13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BÁSICOS</w:t>
            </w:r>
          </w:p>
        </w:tc>
        <w:tc>
          <w:tcPr>
            <w:tcW w:w="302" w:type="pct"/>
            <w:vMerge w:val="restart"/>
            <w:vAlign w:val="center"/>
          </w:tcPr>
          <w:p w14:paraId="41D63D0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 Dañ</w:t>
            </w:r>
          </w:p>
        </w:tc>
        <w:tc>
          <w:tcPr>
            <w:tcW w:w="525" w:type="pct"/>
            <w:vAlign w:val="center"/>
          </w:tcPr>
          <w:p w14:paraId="52EFF33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principal.</w:t>
            </w:r>
          </w:p>
        </w:tc>
        <w:tc>
          <w:tcPr>
            <w:tcW w:w="738" w:type="pct"/>
            <w:vAlign w:val="center"/>
          </w:tcPr>
          <w:p w14:paraId="5A5224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principal.</w:t>
            </w:r>
          </w:p>
        </w:tc>
        <w:tc>
          <w:tcPr>
            <w:tcW w:w="402" w:type="pct"/>
            <w:vAlign w:val="center"/>
          </w:tcPr>
          <w:p w14:paraId="1C5E73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E924C4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7D84F8F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714FE5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2136CEB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EA3FD3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0DFB8CD0" w14:textId="77777777">
        <w:trPr>
          <w:trHeight w:val="842"/>
          <w:jc w:val="center"/>
        </w:trPr>
        <w:tc>
          <w:tcPr>
            <w:tcW w:w="364" w:type="pct"/>
            <w:vMerge/>
            <w:shd w:val="clear" w:color="auto" w:fill="BFBFBF"/>
            <w:textDirection w:val="btLr"/>
          </w:tcPr>
          <w:p w14:paraId="088D463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2ECC50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6F2D9D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que afectan el mensaje</w:t>
            </w:r>
          </w:p>
        </w:tc>
        <w:tc>
          <w:tcPr>
            <w:tcW w:w="738" w:type="pct"/>
            <w:vAlign w:val="center"/>
          </w:tcPr>
          <w:p w14:paraId="4405E37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que afectan el mensaje.</w:t>
            </w:r>
          </w:p>
        </w:tc>
        <w:tc>
          <w:tcPr>
            <w:tcW w:w="402" w:type="pct"/>
            <w:vAlign w:val="center"/>
          </w:tcPr>
          <w:p w14:paraId="30F31C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99A1C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perforaciones que comprometan el mensaje cualquiera sea la cantidad.</w:t>
            </w:r>
          </w:p>
        </w:tc>
        <w:tc>
          <w:tcPr>
            <w:tcW w:w="552" w:type="pct"/>
            <w:vAlign w:val="center"/>
          </w:tcPr>
          <w:p w14:paraId="2845CE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190FBB6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0B95FD8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42C9923"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266833B" w14:textId="77777777">
        <w:trPr>
          <w:trHeight w:val="982"/>
          <w:jc w:val="center"/>
        </w:trPr>
        <w:tc>
          <w:tcPr>
            <w:tcW w:w="364" w:type="pct"/>
            <w:vMerge/>
            <w:shd w:val="clear" w:color="auto" w:fill="BFBFBF"/>
            <w:textDirection w:val="btLr"/>
          </w:tcPr>
          <w:p w14:paraId="0655CAC7"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2450E52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E73A6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mayores</w:t>
            </w:r>
          </w:p>
        </w:tc>
        <w:tc>
          <w:tcPr>
            <w:tcW w:w="738" w:type="pct"/>
            <w:vAlign w:val="center"/>
          </w:tcPr>
          <w:p w14:paraId="45D17D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dobleces que afecten el mensaje (incluye afectación de ángulos).</w:t>
            </w:r>
          </w:p>
        </w:tc>
        <w:tc>
          <w:tcPr>
            <w:tcW w:w="402" w:type="pct"/>
            <w:vAlign w:val="center"/>
          </w:tcPr>
          <w:p w14:paraId="10C3B35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3EC4579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dobleces mayores a 7,5cm, más de un doblez o ángulos importantes.</w:t>
            </w:r>
          </w:p>
        </w:tc>
        <w:tc>
          <w:tcPr>
            <w:tcW w:w="552" w:type="pct"/>
            <w:vAlign w:val="center"/>
          </w:tcPr>
          <w:p w14:paraId="0D620CA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058C751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7874574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244546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19856E6E" w14:textId="77777777">
        <w:trPr>
          <w:trHeight w:val="415"/>
          <w:jc w:val="center"/>
        </w:trPr>
        <w:tc>
          <w:tcPr>
            <w:tcW w:w="364" w:type="pct"/>
            <w:vMerge/>
            <w:shd w:val="clear" w:color="auto" w:fill="BFBFBF"/>
            <w:textDirection w:val="btLr"/>
          </w:tcPr>
          <w:p w14:paraId="21C52E6D"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2492C3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D6B458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Placa quebrada</w:t>
            </w:r>
          </w:p>
        </w:tc>
        <w:tc>
          <w:tcPr>
            <w:tcW w:w="738" w:type="pct"/>
            <w:vAlign w:val="center"/>
          </w:tcPr>
          <w:p w14:paraId="07583F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placa quebrada.</w:t>
            </w:r>
          </w:p>
        </w:tc>
        <w:tc>
          <w:tcPr>
            <w:tcW w:w="402" w:type="pct"/>
            <w:vAlign w:val="center"/>
          </w:tcPr>
          <w:p w14:paraId="5F763B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55D71B1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383701C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314CAAA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653C983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0A79ED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4B9594F5" w14:textId="77777777">
        <w:trPr>
          <w:trHeight w:val="420"/>
          <w:jc w:val="center"/>
        </w:trPr>
        <w:tc>
          <w:tcPr>
            <w:tcW w:w="364" w:type="pct"/>
            <w:vMerge/>
            <w:shd w:val="clear" w:color="auto" w:fill="BFBFBF"/>
            <w:textDirection w:val="btLr"/>
          </w:tcPr>
          <w:p w14:paraId="2EEA4103"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6BCCDBC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2D17D99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Vandalismo</w:t>
            </w:r>
          </w:p>
        </w:tc>
        <w:tc>
          <w:tcPr>
            <w:tcW w:w="738" w:type="pct"/>
            <w:vAlign w:val="center"/>
          </w:tcPr>
          <w:p w14:paraId="0702C17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vandalismo.</w:t>
            </w:r>
          </w:p>
        </w:tc>
        <w:tc>
          <w:tcPr>
            <w:tcW w:w="402" w:type="pct"/>
            <w:vAlign w:val="center"/>
          </w:tcPr>
          <w:p w14:paraId="0FC566C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305752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236C393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09DC3AA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60C3685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387CB78"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26138D9E" w14:textId="77777777">
        <w:trPr>
          <w:trHeight w:val="544"/>
          <w:jc w:val="center"/>
        </w:trPr>
        <w:tc>
          <w:tcPr>
            <w:tcW w:w="364" w:type="pct"/>
            <w:vMerge/>
            <w:shd w:val="clear" w:color="auto" w:fill="BFBFBF"/>
            <w:textDirection w:val="btLr"/>
          </w:tcPr>
          <w:p w14:paraId="44805717"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0A99F04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EA30B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w:t>
            </w:r>
          </w:p>
        </w:tc>
        <w:tc>
          <w:tcPr>
            <w:tcW w:w="738" w:type="pct"/>
            <w:vAlign w:val="center"/>
          </w:tcPr>
          <w:p w14:paraId="5FF109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mensaje afectado por suciedad.</w:t>
            </w:r>
          </w:p>
        </w:tc>
        <w:tc>
          <w:tcPr>
            <w:tcW w:w="402" w:type="pct"/>
            <w:vAlign w:val="center"/>
          </w:tcPr>
          <w:p w14:paraId="3D15B81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0544F82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41F155F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627C0ED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4C514E3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631F868"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66AFB3B6" w14:textId="77777777">
        <w:trPr>
          <w:trHeight w:val="422"/>
          <w:jc w:val="center"/>
        </w:trPr>
        <w:tc>
          <w:tcPr>
            <w:tcW w:w="364" w:type="pct"/>
            <w:vMerge/>
            <w:shd w:val="clear" w:color="auto" w:fill="BFBFBF"/>
          </w:tcPr>
          <w:p w14:paraId="572CA616"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66EC82F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VSuel</w:t>
            </w:r>
          </w:p>
        </w:tc>
        <w:tc>
          <w:tcPr>
            <w:tcW w:w="525" w:type="pct"/>
            <w:vAlign w:val="center"/>
          </w:tcPr>
          <w:p w14:paraId="1A6929E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Panel desajustado o suelto.</w:t>
            </w:r>
          </w:p>
        </w:tc>
        <w:tc>
          <w:tcPr>
            <w:tcW w:w="738" w:type="pct"/>
            <w:vAlign w:val="center"/>
          </w:tcPr>
          <w:p w14:paraId="4F7A4E0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panel desajustado o suelto.</w:t>
            </w:r>
          </w:p>
        </w:tc>
        <w:tc>
          <w:tcPr>
            <w:tcW w:w="402" w:type="pct"/>
            <w:vAlign w:val="center"/>
          </w:tcPr>
          <w:p w14:paraId="22102FB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203832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3BCA684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F10073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04F2DB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73D5A88A"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69B3EDDB" w14:textId="77777777">
        <w:trPr>
          <w:trHeight w:val="560"/>
          <w:jc w:val="center"/>
        </w:trPr>
        <w:tc>
          <w:tcPr>
            <w:tcW w:w="364" w:type="pct"/>
            <w:vMerge/>
            <w:shd w:val="clear" w:color="auto" w:fill="BFBFBF"/>
          </w:tcPr>
          <w:p w14:paraId="7D8E3770"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53F1BA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14:paraId="7B8204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Deterioro o falta de costillas.</w:t>
            </w:r>
          </w:p>
        </w:tc>
        <w:tc>
          <w:tcPr>
            <w:tcW w:w="738" w:type="pct"/>
            <w:vAlign w:val="center"/>
          </w:tcPr>
          <w:p w14:paraId="45ED12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deterioro o falta de costillas.</w:t>
            </w:r>
          </w:p>
        </w:tc>
        <w:tc>
          <w:tcPr>
            <w:tcW w:w="402" w:type="pct"/>
            <w:vAlign w:val="center"/>
          </w:tcPr>
          <w:p w14:paraId="32F498D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C97D16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17488A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4FCBB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7EC086F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3B05D47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B7E49F1" w14:textId="77777777">
        <w:trPr>
          <w:trHeight w:val="550"/>
          <w:jc w:val="center"/>
        </w:trPr>
        <w:tc>
          <w:tcPr>
            <w:tcW w:w="364" w:type="pct"/>
            <w:vMerge/>
            <w:shd w:val="clear" w:color="auto" w:fill="BFBFBF"/>
          </w:tcPr>
          <w:p w14:paraId="36B8DF99"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302" w:type="pct"/>
            <w:vAlign w:val="center"/>
          </w:tcPr>
          <w:p w14:paraId="6D66BFC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VSuj</w:t>
            </w:r>
          </w:p>
        </w:tc>
        <w:tc>
          <w:tcPr>
            <w:tcW w:w="525" w:type="pct"/>
            <w:vAlign w:val="center"/>
          </w:tcPr>
          <w:p w14:paraId="19D8354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 de bulones</w:t>
            </w:r>
          </w:p>
        </w:tc>
        <w:tc>
          <w:tcPr>
            <w:tcW w:w="738" w:type="pct"/>
            <w:vAlign w:val="center"/>
          </w:tcPr>
          <w:p w14:paraId="16807B3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falta de elementos de sujeción.</w:t>
            </w:r>
          </w:p>
        </w:tc>
        <w:tc>
          <w:tcPr>
            <w:tcW w:w="402" w:type="pct"/>
            <w:vAlign w:val="center"/>
          </w:tcPr>
          <w:p w14:paraId="5A0312E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2F98E7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falta total o parcial de bulones.</w:t>
            </w:r>
          </w:p>
        </w:tc>
        <w:tc>
          <w:tcPr>
            <w:tcW w:w="552" w:type="pct"/>
            <w:vAlign w:val="center"/>
          </w:tcPr>
          <w:p w14:paraId="7ADB8E4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3EDF6D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3" w:type="pct"/>
            <w:vAlign w:val="center"/>
          </w:tcPr>
          <w:p w14:paraId="6B24314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6829AE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5EF7FDA8" w14:textId="77777777">
        <w:trPr>
          <w:trHeight w:val="843"/>
          <w:jc w:val="center"/>
        </w:trPr>
        <w:tc>
          <w:tcPr>
            <w:tcW w:w="364" w:type="pct"/>
            <w:vMerge w:val="restart"/>
            <w:shd w:val="clear" w:color="auto" w:fill="BFBFBF"/>
            <w:textDirection w:val="btLr"/>
            <w:vAlign w:val="center"/>
          </w:tcPr>
          <w:p w14:paraId="76E7863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14:paraId="2B14690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VproyC</w:t>
            </w:r>
          </w:p>
        </w:tc>
        <w:tc>
          <w:tcPr>
            <w:tcW w:w="525" w:type="pct"/>
            <w:vAlign w:val="center"/>
          </w:tcPr>
          <w:p w14:paraId="490F3B2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Distancia lateral libre al borde de calzada inadecuada.</w:t>
            </w:r>
          </w:p>
        </w:tc>
        <w:tc>
          <w:tcPr>
            <w:tcW w:w="738" w:type="pct"/>
            <w:vAlign w:val="center"/>
          </w:tcPr>
          <w:p w14:paraId="685CB3F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distancia lateral al borde de calzada menor a la especificada en la Norma Uruguaya de Señalización Vertical.</w:t>
            </w:r>
          </w:p>
        </w:tc>
        <w:tc>
          <w:tcPr>
            <w:tcW w:w="402" w:type="pct"/>
            <w:vAlign w:val="center"/>
          </w:tcPr>
          <w:p w14:paraId="4771B79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09C1A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distancia lateral al borde de calzada de todas las señales de cada hectómetro con tolerancia 10cm.</w:t>
            </w:r>
          </w:p>
        </w:tc>
        <w:tc>
          <w:tcPr>
            <w:tcW w:w="552" w:type="pct"/>
            <w:vAlign w:val="center"/>
          </w:tcPr>
          <w:p w14:paraId="2FB2999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71BBFD8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53F996D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91D2A9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45F2A55A" w14:textId="77777777">
        <w:trPr>
          <w:trHeight w:val="1606"/>
          <w:jc w:val="center"/>
        </w:trPr>
        <w:tc>
          <w:tcPr>
            <w:tcW w:w="364" w:type="pct"/>
            <w:vMerge/>
            <w:shd w:val="clear" w:color="auto" w:fill="BFBFBF"/>
            <w:textDirection w:val="btLr"/>
          </w:tcPr>
          <w:p w14:paraId="6ACAFA35"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ign w:val="center"/>
          </w:tcPr>
          <w:p w14:paraId="07EDBD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6989AE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inadecuada</w:t>
            </w:r>
          </w:p>
        </w:tc>
        <w:tc>
          <w:tcPr>
            <w:tcW w:w="738" w:type="pct"/>
            <w:vAlign w:val="center"/>
          </w:tcPr>
          <w:p w14:paraId="677A5EE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altura menor a la especificada en la Norma Uruguaya de Señalización Vertical</w:t>
            </w:r>
          </w:p>
        </w:tc>
        <w:tc>
          <w:tcPr>
            <w:tcW w:w="402" w:type="pct"/>
            <w:vAlign w:val="center"/>
          </w:tcPr>
          <w:p w14:paraId="5C98F5A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7315DB8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la altura de todas las señales de cada hectómetro considerándose una tolerancia de 10cm o menos.</w:t>
            </w:r>
          </w:p>
        </w:tc>
        <w:tc>
          <w:tcPr>
            <w:tcW w:w="552" w:type="pct"/>
            <w:vAlign w:val="center"/>
          </w:tcPr>
          <w:p w14:paraId="28943A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 No obstante: Nº de señales con altura menor a 20 cm de tolerancia=0</w:t>
            </w:r>
          </w:p>
        </w:tc>
        <w:tc>
          <w:tcPr>
            <w:tcW w:w="376" w:type="pct"/>
            <w:vAlign w:val="center"/>
          </w:tcPr>
          <w:p w14:paraId="598EE3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59AD87A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7139800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6C233D46" w14:textId="77777777">
        <w:trPr>
          <w:trHeight w:val="724"/>
          <w:jc w:val="center"/>
        </w:trPr>
        <w:tc>
          <w:tcPr>
            <w:tcW w:w="364" w:type="pct"/>
            <w:vMerge w:val="restart"/>
            <w:shd w:val="clear" w:color="auto" w:fill="BFBFBF"/>
            <w:textDirection w:val="btLr"/>
            <w:vAlign w:val="center"/>
          </w:tcPr>
          <w:p w14:paraId="08BE48BD" w14:textId="77777777" w:rsidR="00A3029F" w:rsidRPr="00B7174F" w:rsidRDefault="00A3029F" w:rsidP="00CF69B3">
            <w:pPr>
              <w:widowControl w:val="0"/>
              <w:spacing w:after="0" w:line="240" w:lineRule="auto"/>
              <w:ind w:left="113" w:right="113"/>
              <w:jc w:val="center"/>
              <w:rPr>
                <w:rFonts w:ascii="Arial" w:hAnsi="Arial" w:cs="Arial"/>
                <w:snapToGrid w:val="0"/>
                <w:sz w:val="16"/>
                <w:szCs w:val="16"/>
                <w:lang w:val="es-UY" w:eastAsia="es-ES"/>
              </w:rPr>
            </w:pPr>
            <w:r w:rsidRPr="00B7174F">
              <w:rPr>
                <w:rFonts w:ascii="Arial" w:hAnsi="Arial" w:cs="Arial"/>
                <w:snapToGrid w:val="0"/>
                <w:color w:val="FFFFFF"/>
                <w:sz w:val="16"/>
                <w:szCs w:val="16"/>
                <w:lang w:val="es-UY" w:eastAsia="es-ES"/>
              </w:rPr>
              <w:t>COMPLEMENTARIOS</w:t>
            </w:r>
          </w:p>
        </w:tc>
        <w:tc>
          <w:tcPr>
            <w:tcW w:w="302" w:type="pct"/>
            <w:vMerge w:val="restart"/>
            <w:vAlign w:val="center"/>
          </w:tcPr>
          <w:p w14:paraId="06F9226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VOxC</w:t>
            </w:r>
          </w:p>
        </w:tc>
        <w:tc>
          <w:tcPr>
            <w:tcW w:w="525" w:type="pct"/>
            <w:vAlign w:val="center"/>
          </w:tcPr>
          <w:p w14:paraId="1EA87AB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cantos o en torno a perforaciones.</w:t>
            </w:r>
          </w:p>
        </w:tc>
        <w:tc>
          <w:tcPr>
            <w:tcW w:w="738" w:type="pct"/>
            <w:vAlign w:val="center"/>
          </w:tcPr>
          <w:p w14:paraId="4077AC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oxidación en cantos o en torno a perforaciones.</w:t>
            </w:r>
          </w:p>
        </w:tc>
        <w:tc>
          <w:tcPr>
            <w:tcW w:w="402" w:type="pct"/>
            <w:vAlign w:val="center"/>
          </w:tcPr>
          <w:p w14:paraId="4A224A7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08EF95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2800571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301A216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7580B65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65E0622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7B0DAF1C" w14:textId="77777777">
        <w:trPr>
          <w:trHeight w:val="1113"/>
          <w:jc w:val="center"/>
        </w:trPr>
        <w:tc>
          <w:tcPr>
            <w:tcW w:w="364" w:type="pct"/>
            <w:vMerge/>
            <w:shd w:val="clear" w:color="auto" w:fill="BFBFBF"/>
            <w:textDirection w:val="btLr"/>
          </w:tcPr>
          <w:p w14:paraId="1EF299F9"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5C099C8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77C6D44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 en cara posterior.</w:t>
            </w:r>
          </w:p>
        </w:tc>
        <w:tc>
          <w:tcPr>
            <w:tcW w:w="738" w:type="pct"/>
            <w:vAlign w:val="center"/>
          </w:tcPr>
          <w:p w14:paraId="21CAEE4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área oxidada en la cara posterior mayor a 5%.</w:t>
            </w:r>
          </w:p>
        </w:tc>
        <w:tc>
          <w:tcPr>
            <w:tcW w:w="402" w:type="pct"/>
            <w:vAlign w:val="center"/>
          </w:tcPr>
          <w:p w14:paraId="0123FA1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5C3D946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 no admitiéndose oxidaciones en la cara posterior afectando más del 5% del área.</w:t>
            </w:r>
          </w:p>
        </w:tc>
        <w:tc>
          <w:tcPr>
            <w:tcW w:w="552" w:type="pct"/>
            <w:vAlign w:val="center"/>
          </w:tcPr>
          <w:p w14:paraId="417303A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74608AA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36B489E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71B3D5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F265DAF" w14:textId="77777777">
        <w:trPr>
          <w:trHeight w:val="976"/>
          <w:jc w:val="center"/>
        </w:trPr>
        <w:tc>
          <w:tcPr>
            <w:tcW w:w="364" w:type="pct"/>
            <w:vMerge/>
            <w:shd w:val="clear" w:color="auto" w:fill="BFBFBF"/>
            <w:textDirection w:val="btLr"/>
          </w:tcPr>
          <w:p w14:paraId="5703CA52"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val="restart"/>
            <w:vAlign w:val="center"/>
          </w:tcPr>
          <w:p w14:paraId="47757D1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VDañC</w:t>
            </w:r>
          </w:p>
        </w:tc>
        <w:tc>
          <w:tcPr>
            <w:tcW w:w="525" w:type="pct"/>
            <w:vAlign w:val="center"/>
          </w:tcPr>
          <w:p w14:paraId="014C91E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menor que tres</w:t>
            </w:r>
          </w:p>
        </w:tc>
        <w:tc>
          <w:tcPr>
            <w:tcW w:w="738" w:type="pct"/>
            <w:vAlign w:val="center"/>
          </w:tcPr>
          <w:p w14:paraId="71862DB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perforaciones de bala con número menor a 3 y que no afecten el mensaje.</w:t>
            </w:r>
          </w:p>
        </w:tc>
        <w:tc>
          <w:tcPr>
            <w:tcW w:w="402" w:type="pct"/>
            <w:vAlign w:val="center"/>
          </w:tcPr>
          <w:p w14:paraId="4395E8A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90A519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4BE9C7C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62A3068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233E109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1F0FE08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EE84DC0" w14:textId="77777777">
        <w:trPr>
          <w:trHeight w:val="833"/>
          <w:jc w:val="center"/>
        </w:trPr>
        <w:tc>
          <w:tcPr>
            <w:tcW w:w="364" w:type="pct"/>
            <w:vMerge/>
            <w:shd w:val="clear" w:color="auto" w:fill="BFBFBF"/>
            <w:textDirection w:val="btLr"/>
          </w:tcPr>
          <w:p w14:paraId="3DE4E1F5"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10BD569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4AB07A0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Perforaciones de bala en número mayor o igual a tres.</w:t>
            </w:r>
          </w:p>
        </w:tc>
        <w:tc>
          <w:tcPr>
            <w:tcW w:w="738" w:type="pct"/>
            <w:vAlign w:val="center"/>
          </w:tcPr>
          <w:p w14:paraId="6F4588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3 o más perforaciones de bala afecten o no el mensaje</w:t>
            </w:r>
          </w:p>
        </w:tc>
        <w:tc>
          <w:tcPr>
            <w:tcW w:w="402" w:type="pct"/>
            <w:vAlign w:val="center"/>
          </w:tcPr>
          <w:p w14:paraId="5999288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3B5324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visualmente todas las señales de cada hectómetro.</w:t>
            </w:r>
          </w:p>
        </w:tc>
        <w:tc>
          <w:tcPr>
            <w:tcW w:w="552" w:type="pct"/>
            <w:vAlign w:val="center"/>
          </w:tcPr>
          <w:p w14:paraId="395719E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5D895E4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79F3905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0FF4D6FC"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1804C02" w14:textId="77777777">
        <w:trPr>
          <w:trHeight w:val="718"/>
          <w:jc w:val="center"/>
        </w:trPr>
        <w:tc>
          <w:tcPr>
            <w:tcW w:w="364" w:type="pct"/>
            <w:vMerge/>
            <w:shd w:val="clear" w:color="auto" w:fill="BFBFBF"/>
            <w:textDirection w:val="btLr"/>
          </w:tcPr>
          <w:p w14:paraId="70FB8E2C"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7D8A1C8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367457B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menores</w:t>
            </w:r>
          </w:p>
        </w:tc>
        <w:tc>
          <w:tcPr>
            <w:tcW w:w="738" w:type="pct"/>
            <w:vAlign w:val="center"/>
          </w:tcPr>
          <w:p w14:paraId="2855825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un doblez menor a 7.5cm y ángulos pequeños.</w:t>
            </w:r>
          </w:p>
        </w:tc>
        <w:tc>
          <w:tcPr>
            <w:tcW w:w="402" w:type="pct"/>
            <w:vAlign w:val="center"/>
          </w:tcPr>
          <w:p w14:paraId="7374FC7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6A0582E5"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707B712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4AB160A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11D4CA7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2B67359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9F2F33D" w14:textId="77777777">
        <w:trPr>
          <w:trHeight w:val="1255"/>
          <w:jc w:val="center"/>
        </w:trPr>
        <w:tc>
          <w:tcPr>
            <w:tcW w:w="364" w:type="pct"/>
            <w:vMerge/>
            <w:shd w:val="clear" w:color="auto" w:fill="BFBFBF"/>
            <w:textDirection w:val="btLr"/>
          </w:tcPr>
          <w:p w14:paraId="21F0B442"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2A3FFF0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74285C9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Soportes en mal estado.</w:t>
            </w:r>
          </w:p>
        </w:tc>
        <w:tc>
          <w:tcPr>
            <w:tcW w:w="738" w:type="pct"/>
            <w:vAlign w:val="center"/>
          </w:tcPr>
          <w:p w14:paraId="4B7579B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soportes en mal estado o defectuoso.</w:t>
            </w:r>
          </w:p>
        </w:tc>
        <w:tc>
          <w:tcPr>
            <w:tcW w:w="402" w:type="pct"/>
            <w:vAlign w:val="center"/>
          </w:tcPr>
          <w:p w14:paraId="74CACEA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236785F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 no admitiéndose postes inclinados, caídos y/o fracturados y/o con armadura a la vista y/o con vegetación que impida su visibilidad.</w:t>
            </w:r>
          </w:p>
        </w:tc>
        <w:tc>
          <w:tcPr>
            <w:tcW w:w="552" w:type="pct"/>
            <w:vAlign w:val="center"/>
          </w:tcPr>
          <w:p w14:paraId="558BE4C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376" w:type="pct"/>
            <w:vAlign w:val="center"/>
          </w:tcPr>
          <w:p w14:paraId="72D52E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7759DD9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4D9721A7"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4230D284" w14:textId="77777777">
        <w:trPr>
          <w:trHeight w:val="702"/>
          <w:jc w:val="center"/>
        </w:trPr>
        <w:tc>
          <w:tcPr>
            <w:tcW w:w="364" w:type="pct"/>
            <w:vMerge/>
            <w:shd w:val="clear" w:color="auto" w:fill="BFBFBF"/>
            <w:textDirection w:val="btLr"/>
          </w:tcPr>
          <w:p w14:paraId="386A3065"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302" w:type="pct"/>
            <w:vMerge/>
          </w:tcPr>
          <w:p w14:paraId="5CCF663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p>
        </w:tc>
        <w:tc>
          <w:tcPr>
            <w:tcW w:w="525" w:type="pct"/>
            <w:vAlign w:val="center"/>
          </w:tcPr>
          <w:p w14:paraId="1B91F9F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Pintura del soporte en mal estado.</w:t>
            </w:r>
          </w:p>
        </w:tc>
        <w:tc>
          <w:tcPr>
            <w:tcW w:w="738" w:type="pct"/>
            <w:vAlign w:val="center"/>
          </w:tcPr>
          <w:p w14:paraId="4A2E6CD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Señales con pintura del soporte en mal estado o inexistente.</w:t>
            </w:r>
          </w:p>
        </w:tc>
        <w:tc>
          <w:tcPr>
            <w:tcW w:w="402" w:type="pct"/>
            <w:vAlign w:val="center"/>
          </w:tcPr>
          <w:p w14:paraId="7212493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señales con defecto.</w:t>
            </w:r>
          </w:p>
        </w:tc>
        <w:tc>
          <w:tcPr>
            <w:tcW w:w="1043" w:type="pct"/>
            <w:vAlign w:val="center"/>
          </w:tcPr>
          <w:p w14:paraId="428FF6B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señales de cada hectómetro.</w:t>
            </w:r>
          </w:p>
        </w:tc>
        <w:tc>
          <w:tcPr>
            <w:tcW w:w="552" w:type="pct"/>
            <w:vAlign w:val="center"/>
          </w:tcPr>
          <w:p w14:paraId="27F95AD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dos señales en el hectómetro.</w:t>
            </w:r>
          </w:p>
        </w:tc>
        <w:tc>
          <w:tcPr>
            <w:tcW w:w="376" w:type="pct"/>
            <w:vAlign w:val="center"/>
          </w:tcPr>
          <w:p w14:paraId="241EF46D"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3" w:type="pct"/>
            <w:vAlign w:val="center"/>
          </w:tcPr>
          <w:p w14:paraId="5293B8E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5" w:type="pct"/>
          </w:tcPr>
          <w:p w14:paraId="0829AF25"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6608F502" w14:textId="1E79D010" w:rsidR="00ED7765" w:rsidRDefault="00A3029F" w:rsidP="00CF69B3">
      <w:pPr>
        <w:widowControl w:val="0"/>
        <w:spacing w:before="120" w:after="240" w:line="240" w:lineRule="auto"/>
        <w:jc w:val="both"/>
        <w:rPr>
          <w:rFonts w:ascii="Arial" w:hAnsi="Arial" w:cs="Arial"/>
          <w:snapToGrid w:val="0"/>
          <w:sz w:val="16"/>
          <w:szCs w:val="16"/>
          <w:lang w:eastAsia="es-ES"/>
        </w:rPr>
      </w:pPr>
      <w:bookmarkStart w:id="1539" w:name="_Toc178402171"/>
      <w:r w:rsidRPr="00B7174F">
        <w:rPr>
          <w:rFonts w:ascii="Arial" w:hAnsi="Arial" w:cs="Arial"/>
          <w:b/>
          <w:bCs/>
          <w:snapToGrid w:val="0"/>
          <w:sz w:val="16"/>
          <w:szCs w:val="16"/>
          <w:lang w:eastAsia="es-ES"/>
        </w:rPr>
        <w:t>Nota:</w:t>
      </w:r>
      <w:r w:rsidRPr="00B7174F">
        <w:rPr>
          <w:rFonts w:ascii="Arial" w:hAnsi="Arial" w:cs="Arial"/>
          <w:snapToGrid w:val="0"/>
          <w:sz w:val="16"/>
          <w:szCs w:val="16"/>
          <w:lang w:eastAsia="es-ES"/>
        </w:rPr>
        <w:t xml:space="preserve"> toda señal nueva que el Contratista coloque para dar cumplimiento a lo establecido en el Contrato tendrá en su reverso un sello indicando: MTOP, Nº Licitación, Nombre del Contratista, Fecha de confección, en el formato que indicará la Dirección de Obra.</w:t>
      </w:r>
    </w:p>
    <w:p w14:paraId="422FBD25" w14:textId="77777777" w:rsidR="00ED7765" w:rsidRDefault="00ED7765">
      <w:pPr>
        <w:spacing w:after="0" w:line="240" w:lineRule="auto"/>
        <w:rPr>
          <w:rFonts w:ascii="Arial" w:hAnsi="Arial" w:cs="Arial"/>
          <w:snapToGrid w:val="0"/>
          <w:sz w:val="16"/>
          <w:szCs w:val="16"/>
          <w:lang w:eastAsia="es-ES"/>
        </w:rPr>
      </w:pPr>
      <w:r>
        <w:rPr>
          <w:rFonts w:ascii="Arial" w:hAnsi="Arial" w:cs="Arial"/>
          <w:snapToGrid w:val="0"/>
          <w:sz w:val="16"/>
          <w:szCs w:val="16"/>
          <w:lang w:eastAsia="es-ES"/>
        </w:rPr>
        <w:br w:type="page"/>
      </w:r>
    </w:p>
    <w:p w14:paraId="30224B52" w14:textId="77777777" w:rsidR="00A3029F" w:rsidRPr="00B7174F" w:rsidRDefault="0026481A" w:rsidP="00976F0D">
      <w:pPr>
        <w:pStyle w:val="T2A5"/>
        <w:numPr>
          <w:ilvl w:val="0"/>
          <w:numId w:val="0"/>
        </w:numPr>
        <w:outlineLvl w:val="9"/>
      </w:pPr>
      <w:r>
        <w:lastRenderedPageBreak/>
        <w:t xml:space="preserve">4.1.1.2 </w:t>
      </w:r>
      <w:r w:rsidR="00A3029F" w:rsidRPr="00B7174F">
        <w:t>Parapetos, delineadores, puentes, element</w:t>
      </w:r>
      <w:bookmarkEnd w:id="1539"/>
      <w:r w:rsidR="00A3029F" w:rsidRPr="00B7174F">
        <w:t>os de encarrilamiento, cordones y otros.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802"/>
        <w:gridCol w:w="837"/>
        <w:gridCol w:w="1256"/>
        <w:gridCol w:w="1673"/>
        <w:gridCol w:w="1394"/>
        <w:gridCol w:w="2793"/>
        <w:gridCol w:w="2373"/>
        <w:gridCol w:w="977"/>
        <w:gridCol w:w="1117"/>
        <w:gridCol w:w="770"/>
      </w:tblGrid>
      <w:tr w:rsidR="00A3029F" w:rsidRPr="00B7174F" w14:paraId="6E3F8547" w14:textId="77777777">
        <w:trPr>
          <w:cantSplit/>
          <w:trHeight w:val="567"/>
          <w:tblHeader/>
          <w:jc w:val="center"/>
        </w:trPr>
        <w:tc>
          <w:tcPr>
            <w:tcW w:w="287" w:type="pct"/>
            <w:shd w:val="clear" w:color="auto" w:fill="595959"/>
            <w:vAlign w:val="center"/>
          </w:tcPr>
          <w:p w14:paraId="2EB04F3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299" w:type="pct"/>
            <w:shd w:val="clear" w:color="auto" w:fill="595959"/>
            <w:vAlign w:val="center"/>
          </w:tcPr>
          <w:p w14:paraId="3CDC0DA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49" w:type="pct"/>
            <w:shd w:val="clear" w:color="auto" w:fill="595959"/>
            <w:vAlign w:val="center"/>
          </w:tcPr>
          <w:p w14:paraId="6104B89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598" w:type="pct"/>
            <w:shd w:val="clear" w:color="auto" w:fill="595959"/>
            <w:vAlign w:val="center"/>
          </w:tcPr>
          <w:p w14:paraId="0D2ACC3B"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498" w:type="pct"/>
            <w:shd w:val="clear" w:color="auto" w:fill="595959"/>
            <w:vAlign w:val="center"/>
          </w:tcPr>
          <w:p w14:paraId="3DE9B69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998" w:type="pct"/>
            <w:shd w:val="clear" w:color="auto" w:fill="595959"/>
            <w:vAlign w:val="center"/>
          </w:tcPr>
          <w:p w14:paraId="4A0DCF4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848" w:type="pct"/>
            <w:shd w:val="clear" w:color="auto" w:fill="595959"/>
            <w:vAlign w:val="center"/>
          </w:tcPr>
          <w:p w14:paraId="0ED611F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349" w:type="pct"/>
            <w:shd w:val="clear" w:color="auto" w:fill="595959"/>
            <w:vAlign w:val="center"/>
          </w:tcPr>
          <w:p w14:paraId="457C008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9" w:type="pct"/>
            <w:shd w:val="clear" w:color="auto" w:fill="595959"/>
            <w:vAlign w:val="center"/>
          </w:tcPr>
          <w:p w14:paraId="412D260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276" w:type="pct"/>
            <w:shd w:val="clear" w:color="auto" w:fill="595959"/>
          </w:tcPr>
          <w:p w14:paraId="7C19362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490D25D0" w14:textId="77777777">
        <w:trPr>
          <w:trHeight w:val="926"/>
          <w:jc w:val="center"/>
        </w:trPr>
        <w:tc>
          <w:tcPr>
            <w:tcW w:w="287" w:type="pct"/>
            <w:vMerge w:val="restart"/>
            <w:shd w:val="clear" w:color="auto" w:fill="BFBFBF"/>
            <w:textDirection w:val="btLr"/>
            <w:vAlign w:val="center"/>
          </w:tcPr>
          <w:p w14:paraId="15E8F29A"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99" w:type="pct"/>
            <w:vAlign w:val="center"/>
          </w:tcPr>
          <w:p w14:paraId="24AFB0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Aus</w:t>
            </w:r>
          </w:p>
        </w:tc>
        <w:tc>
          <w:tcPr>
            <w:tcW w:w="449" w:type="pct"/>
            <w:vAlign w:val="center"/>
          </w:tcPr>
          <w:p w14:paraId="0313CF7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w:t>
            </w:r>
          </w:p>
        </w:tc>
        <w:tc>
          <w:tcPr>
            <w:tcW w:w="598" w:type="pct"/>
            <w:vAlign w:val="center"/>
          </w:tcPr>
          <w:p w14:paraId="2A0A9FF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w:t>
            </w:r>
          </w:p>
        </w:tc>
        <w:tc>
          <w:tcPr>
            <w:tcW w:w="498" w:type="pct"/>
            <w:vAlign w:val="center"/>
          </w:tcPr>
          <w:p w14:paraId="74A8504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según Proyecto aprobado.</w:t>
            </w:r>
          </w:p>
        </w:tc>
        <w:tc>
          <w:tcPr>
            <w:tcW w:w="998" w:type="pct"/>
            <w:vAlign w:val="center"/>
          </w:tcPr>
          <w:p w14:paraId="781C9A7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proyecto aprobado, no admitiéndose la ausencia total o parcial de los mismos.</w:t>
            </w:r>
          </w:p>
        </w:tc>
        <w:tc>
          <w:tcPr>
            <w:tcW w:w="848" w:type="pct"/>
            <w:vAlign w:val="center"/>
          </w:tcPr>
          <w:p w14:paraId="7C5DDB8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faltantes respecto al correspondiente del Proyecto aprobado ≤ 10%.</w:t>
            </w:r>
          </w:p>
        </w:tc>
        <w:tc>
          <w:tcPr>
            <w:tcW w:w="349" w:type="pct"/>
            <w:vAlign w:val="center"/>
          </w:tcPr>
          <w:p w14:paraId="37BCD63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6271D62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4431E43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25A691A4" w14:textId="77777777">
        <w:trPr>
          <w:trHeight w:val="1279"/>
          <w:jc w:val="center"/>
        </w:trPr>
        <w:tc>
          <w:tcPr>
            <w:tcW w:w="287" w:type="pct"/>
            <w:vMerge/>
            <w:shd w:val="clear" w:color="auto" w:fill="BFBFBF"/>
          </w:tcPr>
          <w:p w14:paraId="187084DE"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2FA5E62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Rot</w:t>
            </w:r>
          </w:p>
        </w:tc>
        <w:tc>
          <w:tcPr>
            <w:tcW w:w="449" w:type="pct"/>
            <w:vAlign w:val="center"/>
          </w:tcPr>
          <w:p w14:paraId="0A7A63A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y aspecto.</w:t>
            </w:r>
          </w:p>
        </w:tc>
        <w:tc>
          <w:tcPr>
            <w:tcW w:w="598" w:type="pct"/>
            <w:vAlign w:val="center"/>
          </w:tcPr>
          <w:p w14:paraId="144D7AC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de hormigón con defectos en su estructura y aspecto.</w:t>
            </w:r>
          </w:p>
        </w:tc>
        <w:tc>
          <w:tcPr>
            <w:tcW w:w="498" w:type="pct"/>
            <w:vAlign w:val="center"/>
          </w:tcPr>
          <w:p w14:paraId="7B6AC80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estructura y aspecto.</w:t>
            </w:r>
          </w:p>
        </w:tc>
        <w:tc>
          <w:tcPr>
            <w:tcW w:w="998" w:type="pct"/>
            <w:vAlign w:val="center"/>
          </w:tcPr>
          <w:p w14:paraId="4A87A74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delineadores, barandas de puentes y otros elementos de hormigón, no admitiéndose fracturas y/o armaduras a la vista, y/o deficiencias en el pintado.</w:t>
            </w:r>
          </w:p>
        </w:tc>
        <w:tc>
          <w:tcPr>
            <w:tcW w:w="848" w:type="pct"/>
            <w:vAlign w:val="center"/>
          </w:tcPr>
          <w:p w14:paraId="512A263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defectos en su estructura ≤</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 Las cabeceras de puentes estarán pintadas de acuerdo a lo establecido en la lámina tipo LT242 (amarillo reflectivo se realizará con papel reflectivo).</w:t>
            </w:r>
          </w:p>
        </w:tc>
        <w:tc>
          <w:tcPr>
            <w:tcW w:w="349" w:type="pct"/>
            <w:vAlign w:val="center"/>
          </w:tcPr>
          <w:p w14:paraId="5907EAE2"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1FCACC1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4203C4ED"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55E5D7CF" w14:textId="77777777">
        <w:trPr>
          <w:trHeight w:val="1254"/>
          <w:jc w:val="center"/>
        </w:trPr>
        <w:tc>
          <w:tcPr>
            <w:tcW w:w="287" w:type="pct"/>
            <w:vMerge/>
            <w:shd w:val="clear" w:color="auto" w:fill="BFBFBF"/>
          </w:tcPr>
          <w:p w14:paraId="022DF661"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3851AAC0"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Ref</w:t>
            </w:r>
          </w:p>
        </w:tc>
        <w:tc>
          <w:tcPr>
            <w:tcW w:w="449" w:type="pct"/>
            <w:vAlign w:val="center"/>
          </w:tcPr>
          <w:p w14:paraId="3010547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w:t>
            </w:r>
          </w:p>
        </w:tc>
        <w:tc>
          <w:tcPr>
            <w:tcW w:w="598" w:type="pct"/>
            <w:vAlign w:val="center"/>
          </w:tcPr>
          <w:p w14:paraId="7D85BD2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w:t>
            </w:r>
          </w:p>
        </w:tc>
        <w:tc>
          <w:tcPr>
            <w:tcW w:w="498" w:type="pct"/>
            <w:vAlign w:val="center"/>
          </w:tcPr>
          <w:p w14:paraId="0EB6BCDE"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ausencia o aspecto de los elementos reflectivos.</w:t>
            </w:r>
          </w:p>
        </w:tc>
        <w:tc>
          <w:tcPr>
            <w:tcW w:w="998" w:type="pct"/>
            <w:vAlign w:val="center"/>
          </w:tcPr>
          <w:p w14:paraId="1378449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su ausencia y estos deberán estar en las dos caras contar con los elementos reflectivos correspondientes según lo previsto en la Norma Uruguaya de Señalización.</w:t>
            </w:r>
          </w:p>
        </w:tc>
        <w:tc>
          <w:tcPr>
            <w:tcW w:w="848" w:type="pct"/>
            <w:vAlign w:val="center"/>
          </w:tcPr>
          <w:p w14:paraId="07EB9086"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y/o deficientes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w:t>
            </w:r>
          </w:p>
        </w:tc>
        <w:tc>
          <w:tcPr>
            <w:tcW w:w="349" w:type="pct"/>
            <w:vAlign w:val="center"/>
          </w:tcPr>
          <w:p w14:paraId="73142557"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66E9717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24B1D930"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58E5EDC3" w14:textId="77777777">
        <w:trPr>
          <w:trHeight w:val="1123"/>
          <w:jc w:val="center"/>
        </w:trPr>
        <w:tc>
          <w:tcPr>
            <w:tcW w:w="287" w:type="pct"/>
            <w:vMerge/>
            <w:shd w:val="clear" w:color="auto" w:fill="BFBFBF"/>
          </w:tcPr>
          <w:p w14:paraId="6D950414" w14:textId="77777777" w:rsidR="00A3029F" w:rsidRPr="00B7174F" w:rsidRDefault="00A3029F" w:rsidP="00CF69B3">
            <w:pPr>
              <w:widowControl w:val="0"/>
              <w:spacing w:after="0" w:line="240" w:lineRule="auto"/>
              <w:jc w:val="both"/>
              <w:rPr>
                <w:rFonts w:ascii="Arial" w:hAnsi="Arial" w:cs="Arial"/>
                <w:snapToGrid w:val="0"/>
                <w:sz w:val="16"/>
                <w:szCs w:val="16"/>
                <w:lang w:val="es-UY" w:eastAsia="es-ES"/>
              </w:rPr>
            </w:pPr>
          </w:p>
        </w:tc>
        <w:tc>
          <w:tcPr>
            <w:tcW w:w="299" w:type="pct"/>
            <w:vAlign w:val="center"/>
          </w:tcPr>
          <w:p w14:paraId="08CA51F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Veg</w:t>
            </w:r>
          </w:p>
        </w:tc>
        <w:tc>
          <w:tcPr>
            <w:tcW w:w="449" w:type="pct"/>
            <w:vAlign w:val="center"/>
          </w:tcPr>
          <w:p w14:paraId="54B7AE1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su entorno.</w:t>
            </w:r>
          </w:p>
        </w:tc>
        <w:tc>
          <w:tcPr>
            <w:tcW w:w="598" w:type="pct"/>
            <w:vAlign w:val="center"/>
          </w:tcPr>
          <w:p w14:paraId="259DE8F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vegetación.</w:t>
            </w:r>
          </w:p>
        </w:tc>
        <w:tc>
          <w:tcPr>
            <w:tcW w:w="498" w:type="pct"/>
            <w:vAlign w:val="center"/>
          </w:tcPr>
          <w:p w14:paraId="35FF324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existencia de vegetación en el entorno de parapetos o delineadores.</w:t>
            </w:r>
          </w:p>
        </w:tc>
        <w:tc>
          <w:tcPr>
            <w:tcW w:w="998" w:type="pct"/>
            <w:vAlign w:val="center"/>
          </w:tcPr>
          <w:p w14:paraId="1A39CDB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no admitiéndose en ninguno de los casos vegetación en su entorno que impida su visibilidad.</w:t>
            </w:r>
          </w:p>
        </w:tc>
        <w:tc>
          <w:tcPr>
            <w:tcW w:w="848" w:type="pct"/>
            <w:vAlign w:val="center"/>
          </w:tcPr>
          <w:p w14:paraId="369627E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ocultos por</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vegetación</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10%.</w:t>
            </w:r>
          </w:p>
        </w:tc>
        <w:tc>
          <w:tcPr>
            <w:tcW w:w="349" w:type="pct"/>
            <w:vAlign w:val="center"/>
          </w:tcPr>
          <w:p w14:paraId="398649E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 calendario</w:t>
            </w:r>
          </w:p>
        </w:tc>
        <w:tc>
          <w:tcPr>
            <w:tcW w:w="399" w:type="pct"/>
            <w:vAlign w:val="center"/>
          </w:tcPr>
          <w:p w14:paraId="6FCEBD9F"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694D6343"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3AE5D1AF" w14:textId="77777777">
        <w:trPr>
          <w:trHeight w:val="1840"/>
          <w:jc w:val="center"/>
        </w:trPr>
        <w:tc>
          <w:tcPr>
            <w:tcW w:w="287" w:type="pct"/>
            <w:shd w:val="clear" w:color="auto" w:fill="BFBFBF"/>
            <w:textDirection w:val="btLr"/>
            <w:vAlign w:val="center"/>
          </w:tcPr>
          <w:p w14:paraId="07DF255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99" w:type="pct"/>
            <w:vAlign w:val="center"/>
          </w:tcPr>
          <w:p w14:paraId="16A72EE1"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SEE Geo</w:t>
            </w:r>
          </w:p>
        </w:tc>
        <w:tc>
          <w:tcPr>
            <w:tcW w:w="449" w:type="pct"/>
            <w:vAlign w:val="center"/>
          </w:tcPr>
          <w:p w14:paraId="26BE25C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Alineación, Altura</w:t>
            </w:r>
          </w:p>
        </w:tc>
        <w:tc>
          <w:tcPr>
            <w:tcW w:w="598" w:type="pct"/>
            <w:vAlign w:val="center"/>
          </w:tcPr>
          <w:p w14:paraId="67BC64C3"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inadecuada.</w:t>
            </w:r>
          </w:p>
        </w:tc>
        <w:tc>
          <w:tcPr>
            <w:tcW w:w="498" w:type="pct"/>
            <w:vAlign w:val="center"/>
          </w:tcPr>
          <w:p w14:paraId="41727763" w14:textId="77777777" w:rsidR="00A3029F" w:rsidRPr="00B7174F" w:rsidRDefault="00A3029F" w:rsidP="00020211">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 la altura y alineación con respecto a lo previsto en la Nor</w:t>
            </w:r>
            <w:r w:rsidR="00020211">
              <w:rPr>
                <w:rFonts w:ascii="Arial" w:hAnsi="Arial" w:cs="Arial"/>
                <w:snapToGrid w:val="0"/>
                <w:sz w:val="16"/>
                <w:szCs w:val="16"/>
                <w:lang w:val="es-UY" w:eastAsia="es-ES"/>
              </w:rPr>
              <w:t>ma Uruguaya de Señalización y la Contratante</w:t>
            </w:r>
            <w:r w:rsidRPr="00B7174F">
              <w:rPr>
                <w:rFonts w:ascii="Arial" w:hAnsi="Arial" w:cs="Arial"/>
                <w:snapToGrid w:val="0"/>
                <w:sz w:val="16"/>
                <w:szCs w:val="16"/>
                <w:lang w:val="es-UY" w:eastAsia="es-ES"/>
              </w:rPr>
              <w:t>.</w:t>
            </w:r>
          </w:p>
        </w:tc>
        <w:tc>
          <w:tcPr>
            <w:tcW w:w="998" w:type="pct"/>
            <w:vAlign w:val="center"/>
          </w:tcPr>
          <w:p w14:paraId="5F5AF60B"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parapetos y delineadores, según Norma Uruguaya de Señalización. Deberá responder a lo establecido en la lámina tipo N° 134 E, con las siguientes tolerancias: alineación distancia al borde de calzada</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+/-20cm y altura +-5cm. Se aplica para reposiciones y señales nuevas</w:t>
            </w:r>
          </w:p>
        </w:tc>
        <w:tc>
          <w:tcPr>
            <w:tcW w:w="848" w:type="pct"/>
            <w:vAlign w:val="center"/>
          </w:tcPr>
          <w:p w14:paraId="3F9DDF1C"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con alineación o altura defectuosa respecto al correspondiente del Proyecto aprobado ≤ 10%.</w:t>
            </w:r>
          </w:p>
        </w:tc>
        <w:tc>
          <w:tcPr>
            <w:tcW w:w="349" w:type="pct"/>
            <w:vAlign w:val="center"/>
          </w:tcPr>
          <w:p w14:paraId="26850A38"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 calendario</w:t>
            </w:r>
          </w:p>
        </w:tc>
        <w:tc>
          <w:tcPr>
            <w:tcW w:w="399" w:type="pct"/>
            <w:vAlign w:val="center"/>
          </w:tcPr>
          <w:p w14:paraId="58E5C00A"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276" w:type="pct"/>
            <w:vAlign w:val="center"/>
          </w:tcPr>
          <w:p w14:paraId="0105143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1DA9ED89" w14:textId="77777777" w:rsidR="00A3029F" w:rsidRPr="00B7174F" w:rsidRDefault="00A3029F" w:rsidP="00CF69B3">
      <w:pPr>
        <w:widowControl w:val="0"/>
        <w:spacing w:after="0" w:line="240" w:lineRule="auto"/>
        <w:jc w:val="both"/>
        <w:rPr>
          <w:rFonts w:ascii="Arial" w:hAnsi="Arial" w:cs="Arial"/>
          <w:snapToGrid w:val="0"/>
          <w:color w:val="000000"/>
          <w:sz w:val="18"/>
          <w:szCs w:val="18"/>
          <w:lang w:val="es-ES_tradnl" w:eastAsia="es-ES"/>
        </w:rPr>
      </w:pPr>
    </w:p>
    <w:p w14:paraId="1B0A603D" w14:textId="77777777" w:rsidR="00A3029F" w:rsidRPr="00B7174F"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En forma adicional a los defectos expresados en tablas anteriores, se evaluará:</w:t>
      </w:r>
    </w:p>
    <w:p w14:paraId="781AB1DD" w14:textId="77777777" w:rsidR="00A3029F" w:rsidRPr="00B7174F"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dos o más defectos, cualesquiera fueran, en una misma señal, implicarán la invalidación de todo el hectómetro evaluado.</w:t>
      </w:r>
    </w:p>
    <w:p w14:paraId="332663D9" w14:textId="5FCF0E77" w:rsidR="00ED7765" w:rsidRDefault="00A3029F" w:rsidP="00CF69B3">
      <w:pPr>
        <w:widowControl w:val="0"/>
        <w:spacing w:after="0"/>
        <w:rPr>
          <w:rFonts w:ascii="Arial" w:hAnsi="Arial" w:cs="Arial"/>
          <w:snapToGrid w:val="0"/>
          <w:color w:val="000000"/>
          <w:sz w:val="16"/>
          <w:szCs w:val="16"/>
          <w:lang w:val="es-ES_tradnl" w:eastAsia="es-ES"/>
        </w:rPr>
      </w:pPr>
      <w:r w:rsidRPr="00B7174F">
        <w:rPr>
          <w:rFonts w:ascii="Arial" w:hAnsi="Arial" w:cs="Arial"/>
          <w:snapToGrid w:val="0"/>
          <w:color w:val="000000"/>
          <w:sz w:val="16"/>
          <w:szCs w:val="16"/>
          <w:lang w:val="es-ES_tradnl" w:eastAsia="es-ES"/>
        </w:rPr>
        <w:t>La existencia de tres o más defectos, cualesquiera fueran, en el total de señales del hectómetro, implicará la invalidación de todo el hectómetro.</w:t>
      </w:r>
    </w:p>
    <w:p w14:paraId="256ADA5A" w14:textId="77777777" w:rsidR="00ED7765" w:rsidRDefault="00ED7765">
      <w:pPr>
        <w:spacing w:after="0" w:line="240" w:lineRule="auto"/>
        <w:rPr>
          <w:rFonts w:ascii="Arial" w:hAnsi="Arial" w:cs="Arial"/>
          <w:snapToGrid w:val="0"/>
          <w:color w:val="000000"/>
          <w:sz w:val="16"/>
          <w:szCs w:val="16"/>
          <w:lang w:val="es-ES_tradnl" w:eastAsia="es-ES"/>
        </w:rPr>
      </w:pPr>
      <w:r>
        <w:rPr>
          <w:rFonts w:ascii="Arial" w:hAnsi="Arial" w:cs="Arial"/>
          <w:snapToGrid w:val="0"/>
          <w:color w:val="000000"/>
          <w:sz w:val="16"/>
          <w:szCs w:val="16"/>
          <w:lang w:val="es-ES_tradnl" w:eastAsia="es-ES"/>
        </w:rPr>
        <w:br w:type="page"/>
      </w:r>
    </w:p>
    <w:p w14:paraId="0CE24340" w14:textId="019363DA" w:rsidR="00A3029F" w:rsidRPr="00B7174F" w:rsidRDefault="0026481A" w:rsidP="00E26581">
      <w:pPr>
        <w:pStyle w:val="T2A5"/>
        <w:numPr>
          <w:ilvl w:val="0"/>
          <w:numId w:val="0"/>
        </w:numPr>
        <w:ind w:left="360"/>
        <w:outlineLvl w:val="9"/>
      </w:pPr>
      <w:r>
        <w:lastRenderedPageBreak/>
        <w:t xml:space="preserve">4.1.1.3 </w:t>
      </w:r>
      <w:r w:rsidR="00A3029F" w:rsidRPr="00B7174F">
        <w:t>Señalización</w:t>
      </w:r>
      <w:r w:rsidR="00B14DCC">
        <w:t xml:space="preserve"> </w:t>
      </w:r>
      <w:r w:rsidR="00A3029F" w:rsidRPr="00B7174F">
        <w:t>Vertical - Postes kilométricos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890"/>
        <w:gridCol w:w="965"/>
        <w:gridCol w:w="1416"/>
        <w:gridCol w:w="2418"/>
        <w:gridCol w:w="1483"/>
        <w:gridCol w:w="2138"/>
        <w:gridCol w:w="1447"/>
        <w:gridCol w:w="1237"/>
        <w:gridCol w:w="1114"/>
        <w:gridCol w:w="884"/>
      </w:tblGrid>
      <w:tr w:rsidR="00A3029F" w:rsidRPr="00B7174F" w14:paraId="0D5C1DC0" w14:textId="77777777">
        <w:trPr>
          <w:cantSplit/>
          <w:trHeight w:val="567"/>
          <w:jc w:val="center"/>
        </w:trPr>
        <w:tc>
          <w:tcPr>
            <w:tcW w:w="318" w:type="pct"/>
            <w:shd w:val="clear" w:color="auto" w:fill="595959"/>
            <w:vAlign w:val="center"/>
          </w:tcPr>
          <w:p w14:paraId="5F3A977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45" w:type="pct"/>
            <w:shd w:val="clear" w:color="auto" w:fill="595959"/>
            <w:vAlign w:val="center"/>
          </w:tcPr>
          <w:p w14:paraId="65D15FF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506" w:type="pct"/>
            <w:shd w:val="clear" w:color="auto" w:fill="595959"/>
            <w:vAlign w:val="center"/>
          </w:tcPr>
          <w:p w14:paraId="2C5B2EE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64" w:type="pct"/>
            <w:shd w:val="clear" w:color="auto" w:fill="595959"/>
            <w:vAlign w:val="center"/>
          </w:tcPr>
          <w:p w14:paraId="4122C87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30" w:type="pct"/>
            <w:shd w:val="clear" w:color="auto" w:fill="595959"/>
            <w:vAlign w:val="center"/>
          </w:tcPr>
          <w:p w14:paraId="6E70EBF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64" w:type="pct"/>
            <w:shd w:val="clear" w:color="auto" w:fill="595959"/>
            <w:vAlign w:val="center"/>
          </w:tcPr>
          <w:p w14:paraId="7D1A780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17" w:type="pct"/>
            <w:shd w:val="clear" w:color="auto" w:fill="595959"/>
            <w:vAlign w:val="center"/>
          </w:tcPr>
          <w:p w14:paraId="7B7B1E5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42" w:type="pct"/>
            <w:shd w:val="clear" w:color="auto" w:fill="595959"/>
            <w:vAlign w:val="center"/>
          </w:tcPr>
          <w:p w14:paraId="3D472D25"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398" w:type="pct"/>
            <w:shd w:val="clear" w:color="auto" w:fill="595959"/>
            <w:vAlign w:val="center"/>
          </w:tcPr>
          <w:p w14:paraId="6E9BB9E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17" w:type="pct"/>
            <w:shd w:val="clear" w:color="auto" w:fill="595959"/>
          </w:tcPr>
          <w:p w14:paraId="6738E95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r>
      <w:tr w:rsidR="00A3029F" w:rsidRPr="00B7174F" w14:paraId="2C85F7EE" w14:textId="77777777">
        <w:trPr>
          <w:trHeight w:val="988"/>
          <w:jc w:val="center"/>
        </w:trPr>
        <w:tc>
          <w:tcPr>
            <w:tcW w:w="318" w:type="pct"/>
            <w:shd w:val="clear" w:color="auto" w:fill="BFBFBF"/>
            <w:textDirection w:val="btLr"/>
            <w:vAlign w:val="center"/>
          </w:tcPr>
          <w:p w14:paraId="21EE074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45" w:type="pct"/>
            <w:vAlign w:val="center"/>
          </w:tcPr>
          <w:p w14:paraId="4398D414"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PkiFal</w:t>
            </w:r>
          </w:p>
        </w:tc>
        <w:tc>
          <w:tcPr>
            <w:tcW w:w="506" w:type="pct"/>
            <w:vAlign w:val="center"/>
          </w:tcPr>
          <w:p w14:paraId="590CD51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postes kilométricos.</w:t>
            </w:r>
          </w:p>
        </w:tc>
        <w:tc>
          <w:tcPr>
            <w:tcW w:w="864" w:type="pct"/>
            <w:vAlign w:val="center"/>
          </w:tcPr>
          <w:p w14:paraId="5C57945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faltantes.</w:t>
            </w:r>
          </w:p>
        </w:tc>
        <w:tc>
          <w:tcPr>
            <w:tcW w:w="530" w:type="pct"/>
            <w:vAlign w:val="center"/>
          </w:tcPr>
          <w:p w14:paraId="26E1D3C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14:paraId="40861F6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todos los postes kilométricos, no admitiéndose la falta de los mismos.</w:t>
            </w:r>
          </w:p>
        </w:tc>
        <w:tc>
          <w:tcPr>
            <w:tcW w:w="517" w:type="pct"/>
            <w:vAlign w:val="center"/>
          </w:tcPr>
          <w:p w14:paraId="7470AA41"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14:paraId="21408404"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98" w:type="pct"/>
            <w:vAlign w:val="center"/>
          </w:tcPr>
          <w:p w14:paraId="43153F6E"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14:paraId="212F3EB9"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r w:rsidR="00A3029F" w:rsidRPr="00B7174F" w14:paraId="58077001" w14:textId="77777777">
        <w:trPr>
          <w:trHeight w:val="1994"/>
          <w:jc w:val="center"/>
        </w:trPr>
        <w:tc>
          <w:tcPr>
            <w:tcW w:w="318" w:type="pct"/>
            <w:shd w:val="clear" w:color="auto" w:fill="BFBFBF"/>
            <w:textDirection w:val="btLr"/>
            <w:vAlign w:val="center"/>
          </w:tcPr>
          <w:p w14:paraId="2A852C3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45" w:type="pct"/>
            <w:vAlign w:val="center"/>
          </w:tcPr>
          <w:p w14:paraId="51FD3F9F"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PkiDef</w:t>
            </w:r>
          </w:p>
        </w:tc>
        <w:tc>
          <w:tcPr>
            <w:tcW w:w="506" w:type="pct"/>
            <w:vAlign w:val="center"/>
          </w:tcPr>
          <w:p w14:paraId="7B7E9F35"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Estructura o aspecto defectuoso</w:t>
            </w:r>
          </w:p>
        </w:tc>
        <w:tc>
          <w:tcPr>
            <w:tcW w:w="864" w:type="pct"/>
            <w:vAlign w:val="center"/>
          </w:tcPr>
          <w:p w14:paraId="43AEBC6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Postes kilométricos con defectos.</w:t>
            </w:r>
          </w:p>
        </w:tc>
        <w:tc>
          <w:tcPr>
            <w:tcW w:w="530" w:type="pct"/>
            <w:vAlign w:val="center"/>
          </w:tcPr>
          <w:p w14:paraId="217E708B"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64" w:type="pct"/>
            <w:vAlign w:val="center"/>
          </w:tcPr>
          <w:p w14:paraId="0AB05606" w14:textId="77777777" w:rsidR="00A3029F" w:rsidRPr="00B7174F" w:rsidRDefault="00A3029F" w:rsidP="00020211">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todos los postes kilométricos no admitiéndose fisuras y/o armaduras a la vista y/o deficiencias en el pintado y/o vegetación en su entorno que impida visibilidad y/o variantes en el diseño que </w:t>
            </w:r>
            <w:r w:rsidRPr="00020211">
              <w:rPr>
                <w:rFonts w:ascii="Arial" w:hAnsi="Arial" w:cs="Arial"/>
                <w:snapToGrid w:val="0"/>
                <w:sz w:val="16"/>
                <w:szCs w:val="16"/>
                <w:lang w:val="es-UY" w:eastAsia="es-ES"/>
              </w:rPr>
              <w:t xml:space="preserve">no hubieran sido aprobadas por </w:t>
            </w:r>
            <w:r w:rsidR="005B24E1" w:rsidRPr="00020211">
              <w:rPr>
                <w:rFonts w:ascii="Arial" w:hAnsi="Arial" w:cs="Arial"/>
                <w:snapToGrid w:val="0"/>
                <w:sz w:val="16"/>
                <w:szCs w:val="16"/>
                <w:lang w:val="es-UY" w:eastAsia="es-ES"/>
              </w:rPr>
              <w:t>la Contra</w:t>
            </w:r>
            <w:r w:rsidR="00020211" w:rsidRPr="00020211">
              <w:rPr>
                <w:rFonts w:ascii="Arial" w:hAnsi="Arial" w:cs="Arial"/>
                <w:snapToGrid w:val="0"/>
                <w:sz w:val="16"/>
                <w:szCs w:val="16"/>
                <w:lang w:val="es-UY" w:eastAsia="es-ES"/>
              </w:rPr>
              <w:t>tante</w:t>
            </w:r>
            <w:r w:rsidRPr="00020211">
              <w:rPr>
                <w:rFonts w:ascii="Arial" w:hAnsi="Arial" w:cs="Arial"/>
                <w:snapToGrid w:val="0"/>
                <w:sz w:val="16"/>
                <w:szCs w:val="16"/>
                <w:lang w:val="es-UY" w:eastAsia="es-ES"/>
              </w:rPr>
              <w:t>.</w:t>
            </w:r>
          </w:p>
        </w:tc>
        <w:tc>
          <w:tcPr>
            <w:tcW w:w="517" w:type="pct"/>
            <w:vAlign w:val="center"/>
          </w:tcPr>
          <w:p w14:paraId="29E0C945"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N° de señales con defecto=0</w:t>
            </w:r>
          </w:p>
        </w:tc>
        <w:tc>
          <w:tcPr>
            <w:tcW w:w="442" w:type="pct"/>
            <w:vAlign w:val="center"/>
          </w:tcPr>
          <w:p w14:paraId="2F963289" w14:textId="77777777" w:rsidR="00A3029F" w:rsidRPr="00B7174F" w:rsidRDefault="00A3029F" w:rsidP="00CF69B3">
            <w:pPr>
              <w:framePr w:hSpace="141" w:wrap="auto" w:vAnchor="text" w:hAnchor="margin" w:xAlign="center" w:y="544"/>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98" w:type="pct"/>
            <w:vAlign w:val="center"/>
          </w:tcPr>
          <w:p w14:paraId="301D7CC6"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17" w:type="pct"/>
          </w:tcPr>
          <w:p w14:paraId="76488AF2" w14:textId="77777777" w:rsidR="00A3029F" w:rsidRPr="00B7174F" w:rsidRDefault="00A3029F" w:rsidP="00CF69B3">
            <w:pPr>
              <w:framePr w:hSpace="141" w:wrap="auto" w:vAnchor="text" w:hAnchor="margin" w:xAlign="center" w:y="544"/>
              <w:widowControl w:val="0"/>
              <w:spacing w:after="0" w:line="240" w:lineRule="auto"/>
              <w:rPr>
                <w:rFonts w:ascii="Arial" w:hAnsi="Arial" w:cs="Arial"/>
                <w:snapToGrid w:val="0"/>
                <w:sz w:val="16"/>
                <w:szCs w:val="16"/>
                <w:lang w:val="es-UY" w:eastAsia="es-ES"/>
              </w:rPr>
            </w:pPr>
          </w:p>
        </w:tc>
      </w:tr>
    </w:tbl>
    <w:p w14:paraId="3060CD93" w14:textId="77777777" w:rsidR="00A3029F" w:rsidRPr="00B7174F" w:rsidRDefault="00863A9E" w:rsidP="000C3189">
      <w:pPr>
        <w:pStyle w:val="T2A5"/>
        <w:numPr>
          <w:ilvl w:val="0"/>
          <w:numId w:val="0"/>
        </w:numPr>
        <w:outlineLvl w:val="9"/>
      </w:pPr>
      <w:bookmarkStart w:id="1540" w:name="_Toc400635302"/>
      <w:r>
        <w:t xml:space="preserve">4.2 </w:t>
      </w:r>
      <w:r w:rsidR="00A3029F" w:rsidRPr="00B7174F">
        <w:t>Elementos de Contención - defensas metálicas</w:t>
      </w:r>
      <w:bookmarkEnd w:id="1540"/>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18"/>
        <w:gridCol w:w="985"/>
        <w:gridCol w:w="1354"/>
        <w:gridCol w:w="2463"/>
        <w:gridCol w:w="1478"/>
        <w:gridCol w:w="2118"/>
        <w:gridCol w:w="1478"/>
        <w:gridCol w:w="1203"/>
        <w:gridCol w:w="1136"/>
        <w:gridCol w:w="859"/>
      </w:tblGrid>
      <w:tr w:rsidR="00A3029F" w:rsidRPr="00B7174F" w14:paraId="1594429C" w14:textId="77777777">
        <w:trPr>
          <w:cantSplit/>
          <w:trHeight w:val="567"/>
          <w:tblHeader/>
          <w:jc w:val="center"/>
        </w:trPr>
        <w:tc>
          <w:tcPr>
            <w:tcW w:w="328" w:type="pct"/>
            <w:shd w:val="clear" w:color="auto" w:fill="595959"/>
            <w:vAlign w:val="center"/>
          </w:tcPr>
          <w:p w14:paraId="0CBB59DF"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Tipo de nivel</w:t>
            </w:r>
          </w:p>
        </w:tc>
        <w:tc>
          <w:tcPr>
            <w:tcW w:w="352" w:type="pct"/>
            <w:shd w:val="clear" w:color="auto" w:fill="595959"/>
            <w:vAlign w:val="center"/>
          </w:tcPr>
          <w:p w14:paraId="0A736ED8"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br w:type="page"/>
              <w:t>Código</w:t>
            </w:r>
          </w:p>
        </w:tc>
        <w:tc>
          <w:tcPr>
            <w:tcW w:w="484" w:type="pct"/>
            <w:shd w:val="clear" w:color="auto" w:fill="595959"/>
            <w:vAlign w:val="center"/>
          </w:tcPr>
          <w:p w14:paraId="09701C1B"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Denominación</w:t>
            </w:r>
          </w:p>
        </w:tc>
        <w:tc>
          <w:tcPr>
            <w:tcW w:w="880" w:type="pct"/>
            <w:shd w:val="clear" w:color="auto" w:fill="595959"/>
            <w:vAlign w:val="center"/>
          </w:tcPr>
          <w:p w14:paraId="2CF2DDCC"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Descripción</w:t>
            </w:r>
          </w:p>
        </w:tc>
        <w:tc>
          <w:tcPr>
            <w:tcW w:w="528" w:type="pct"/>
            <w:shd w:val="clear" w:color="auto" w:fill="595959"/>
            <w:vAlign w:val="center"/>
          </w:tcPr>
          <w:p w14:paraId="7C33B877"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Parámetro</w:t>
            </w:r>
          </w:p>
        </w:tc>
        <w:tc>
          <w:tcPr>
            <w:tcW w:w="757" w:type="pct"/>
            <w:shd w:val="clear" w:color="auto" w:fill="595959"/>
            <w:vAlign w:val="center"/>
          </w:tcPr>
          <w:p w14:paraId="6738B9DE"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Método de evaluación</w:t>
            </w:r>
          </w:p>
        </w:tc>
        <w:tc>
          <w:tcPr>
            <w:tcW w:w="528" w:type="pct"/>
            <w:shd w:val="clear" w:color="auto" w:fill="595959"/>
            <w:vAlign w:val="center"/>
          </w:tcPr>
          <w:p w14:paraId="063F779B"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Exigencia</w:t>
            </w:r>
          </w:p>
        </w:tc>
        <w:tc>
          <w:tcPr>
            <w:tcW w:w="430" w:type="pct"/>
            <w:shd w:val="clear" w:color="auto" w:fill="595959"/>
            <w:vAlign w:val="center"/>
          </w:tcPr>
          <w:p w14:paraId="4BDC35BF"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Plazo de reparación</w:t>
            </w:r>
          </w:p>
        </w:tc>
        <w:tc>
          <w:tcPr>
            <w:tcW w:w="406" w:type="pct"/>
            <w:shd w:val="clear" w:color="auto" w:fill="595959"/>
            <w:vAlign w:val="center"/>
          </w:tcPr>
          <w:p w14:paraId="5A06C251"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Frecuencia</w:t>
            </w:r>
          </w:p>
        </w:tc>
        <w:tc>
          <w:tcPr>
            <w:tcW w:w="308" w:type="pct"/>
            <w:shd w:val="clear" w:color="auto" w:fill="595959"/>
          </w:tcPr>
          <w:p w14:paraId="505986C6"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r>
      <w:tr w:rsidR="00A3029F" w:rsidRPr="00B7174F" w14:paraId="095B5586" w14:textId="77777777">
        <w:trPr>
          <w:trHeight w:val="1275"/>
          <w:jc w:val="center"/>
        </w:trPr>
        <w:tc>
          <w:tcPr>
            <w:tcW w:w="328" w:type="pct"/>
            <w:vMerge w:val="restart"/>
            <w:shd w:val="clear" w:color="auto" w:fill="BFBFBF"/>
            <w:textDirection w:val="btLr"/>
            <w:vAlign w:val="center"/>
          </w:tcPr>
          <w:p w14:paraId="73CC04A1"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Align w:val="center"/>
          </w:tcPr>
          <w:p w14:paraId="74DA89E6"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DefFal</w:t>
            </w:r>
          </w:p>
        </w:tc>
        <w:tc>
          <w:tcPr>
            <w:tcW w:w="484" w:type="pct"/>
            <w:vAlign w:val="center"/>
          </w:tcPr>
          <w:p w14:paraId="7EE92EAB"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Ausencia de Defensas Metálicas</w:t>
            </w:r>
          </w:p>
        </w:tc>
        <w:tc>
          <w:tcPr>
            <w:tcW w:w="880" w:type="pct"/>
            <w:vAlign w:val="center"/>
          </w:tcPr>
          <w:p w14:paraId="52B04889"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faltantes o de menor longitud con respect</w:t>
            </w:r>
            <w:r w:rsidR="00020211">
              <w:rPr>
                <w:rFonts w:ascii="Arial" w:hAnsi="Arial" w:cs="Arial"/>
                <w:snapToGrid w:val="0"/>
                <w:sz w:val="16"/>
                <w:szCs w:val="16"/>
                <w:lang w:val="es-UY" w:eastAsia="es-ES"/>
              </w:rPr>
              <w:t>o a la aprobada por la Contratante</w:t>
            </w:r>
            <w:r w:rsidRPr="00B7174F">
              <w:rPr>
                <w:rFonts w:ascii="Arial" w:hAnsi="Arial" w:cs="Arial"/>
                <w:snapToGrid w:val="0"/>
                <w:sz w:val="16"/>
                <w:szCs w:val="16"/>
                <w:lang w:val="es-UY" w:eastAsia="es-ES"/>
              </w:rPr>
              <w:t>.</w:t>
            </w:r>
          </w:p>
        </w:tc>
        <w:tc>
          <w:tcPr>
            <w:tcW w:w="528" w:type="pct"/>
            <w:vAlign w:val="center"/>
          </w:tcPr>
          <w:p w14:paraId="4FDB97B2"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aprobada.</w:t>
            </w:r>
          </w:p>
        </w:tc>
        <w:tc>
          <w:tcPr>
            <w:tcW w:w="757" w:type="pct"/>
            <w:vAlign w:val="center"/>
          </w:tcPr>
          <w:p w14:paraId="36575F08"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todas las defensas no admitiéndose la ausencia de defensas o </w:t>
            </w:r>
            <w:r w:rsidRPr="00020211">
              <w:rPr>
                <w:rFonts w:ascii="Arial" w:hAnsi="Arial" w:cs="Arial"/>
                <w:snapToGrid w:val="0"/>
                <w:sz w:val="16"/>
                <w:szCs w:val="16"/>
                <w:lang w:val="es-UY" w:eastAsia="es-ES"/>
              </w:rPr>
              <w:t>longitudes menores de acuerdo a lo establecido p</w:t>
            </w:r>
            <w:r w:rsidR="005B24E1" w:rsidRPr="00020211">
              <w:rPr>
                <w:rFonts w:ascii="Arial" w:hAnsi="Arial" w:cs="Arial"/>
                <w:snapToGrid w:val="0"/>
                <w:sz w:val="16"/>
                <w:szCs w:val="16"/>
                <w:lang w:val="es-UY" w:eastAsia="es-ES"/>
              </w:rPr>
              <w:t>or la Contra</w:t>
            </w:r>
            <w:r w:rsidR="00020211" w:rsidRPr="00020211">
              <w:rPr>
                <w:rFonts w:ascii="Arial" w:hAnsi="Arial" w:cs="Arial"/>
                <w:snapToGrid w:val="0"/>
                <w:sz w:val="16"/>
                <w:szCs w:val="16"/>
                <w:lang w:val="es-UY" w:eastAsia="es-ES"/>
              </w:rPr>
              <w:t>tante</w:t>
            </w:r>
            <w:r w:rsidRPr="00020211">
              <w:rPr>
                <w:rFonts w:ascii="Arial" w:hAnsi="Arial" w:cs="Arial"/>
                <w:snapToGrid w:val="0"/>
                <w:sz w:val="16"/>
                <w:szCs w:val="16"/>
                <w:lang w:val="es-UY" w:eastAsia="es-ES"/>
              </w:rPr>
              <w:t>.</w:t>
            </w:r>
          </w:p>
        </w:tc>
        <w:tc>
          <w:tcPr>
            <w:tcW w:w="528" w:type="pct"/>
            <w:vAlign w:val="center"/>
          </w:tcPr>
          <w:p w14:paraId="50E587CD"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igual a la aprobada.</w:t>
            </w:r>
          </w:p>
        </w:tc>
        <w:tc>
          <w:tcPr>
            <w:tcW w:w="430" w:type="pct"/>
            <w:vAlign w:val="center"/>
          </w:tcPr>
          <w:p w14:paraId="1097B1C5"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268B946E"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53CA0CD6"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21FAEF51" w14:textId="77777777">
        <w:trPr>
          <w:trHeight w:val="981"/>
          <w:jc w:val="center"/>
        </w:trPr>
        <w:tc>
          <w:tcPr>
            <w:tcW w:w="328" w:type="pct"/>
            <w:vMerge/>
            <w:shd w:val="clear" w:color="auto" w:fill="BFBFBF"/>
          </w:tcPr>
          <w:p w14:paraId="0FEC98C0"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Align w:val="center"/>
          </w:tcPr>
          <w:p w14:paraId="02ACB188"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DefProy</w:t>
            </w:r>
          </w:p>
        </w:tc>
        <w:tc>
          <w:tcPr>
            <w:tcW w:w="484" w:type="pct"/>
            <w:vAlign w:val="center"/>
          </w:tcPr>
          <w:p w14:paraId="36234F3A"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altura</w:t>
            </w:r>
          </w:p>
        </w:tc>
        <w:tc>
          <w:tcPr>
            <w:tcW w:w="880" w:type="pct"/>
            <w:vAlign w:val="center"/>
          </w:tcPr>
          <w:p w14:paraId="03A32CFB"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ubicación defectuosa respecto a la correspondiente del Proyecto aprobado.</w:t>
            </w:r>
          </w:p>
        </w:tc>
        <w:tc>
          <w:tcPr>
            <w:tcW w:w="528" w:type="pct"/>
            <w:vAlign w:val="center"/>
          </w:tcPr>
          <w:p w14:paraId="2601598D"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aprobada.</w:t>
            </w:r>
          </w:p>
        </w:tc>
        <w:tc>
          <w:tcPr>
            <w:tcW w:w="757" w:type="pct"/>
            <w:vAlign w:val="center"/>
          </w:tcPr>
          <w:p w14:paraId="1CD52AD3" w14:textId="77777777" w:rsidR="00A3029F" w:rsidRPr="00B7174F" w:rsidRDefault="00A3029F" w:rsidP="00020211">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Se evaluarán todas las defensas de acuerdo a láminas tipo DNV y a lo </w:t>
            </w:r>
            <w:r w:rsidRPr="00020211">
              <w:rPr>
                <w:rFonts w:ascii="Arial" w:hAnsi="Arial" w:cs="Arial"/>
                <w:snapToGrid w:val="0"/>
                <w:sz w:val="16"/>
                <w:szCs w:val="16"/>
                <w:lang w:val="es-UY" w:eastAsia="es-ES"/>
              </w:rPr>
              <w:t xml:space="preserve">establecido por </w:t>
            </w:r>
            <w:r w:rsidR="005B24E1" w:rsidRPr="00020211">
              <w:rPr>
                <w:rFonts w:ascii="Arial" w:hAnsi="Arial" w:cs="Arial"/>
                <w:snapToGrid w:val="0"/>
                <w:sz w:val="16"/>
                <w:szCs w:val="16"/>
                <w:lang w:val="es-UY" w:eastAsia="es-ES"/>
              </w:rPr>
              <w:t>la Contrat</w:t>
            </w:r>
            <w:r w:rsidR="00020211" w:rsidRPr="00020211">
              <w:rPr>
                <w:rFonts w:ascii="Arial" w:hAnsi="Arial" w:cs="Arial"/>
                <w:snapToGrid w:val="0"/>
                <w:sz w:val="16"/>
                <w:szCs w:val="16"/>
                <w:lang w:val="es-UY" w:eastAsia="es-ES"/>
              </w:rPr>
              <w:t>ante</w:t>
            </w:r>
            <w:r w:rsidRPr="00020211">
              <w:rPr>
                <w:rFonts w:ascii="Arial" w:hAnsi="Arial" w:cs="Arial"/>
                <w:snapToGrid w:val="0"/>
                <w:sz w:val="16"/>
                <w:szCs w:val="16"/>
                <w:lang w:val="es-UY" w:eastAsia="es-ES"/>
              </w:rPr>
              <w:t>.</w:t>
            </w:r>
          </w:p>
        </w:tc>
        <w:tc>
          <w:tcPr>
            <w:tcW w:w="528" w:type="pct"/>
            <w:vAlign w:val="center"/>
          </w:tcPr>
          <w:p w14:paraId="38D8A7C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Ubicación, alineación y altura igual a las aprobadas.</w:t>
            </w:r>
          </w:p>
        </w:tc>
        <w:tc>
          <w:tcPr>
            <w:tcW w:w="430" w:type="pct"/>
            <w:vAlign w:val="center"/>
          </w:tcPr>
          <w:p w14:paraId="6AA8A5C6"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62EC972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296EFD5F"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15FB59C3" w14:textId="77777777">
        <w:trPr>
          <w:trHeight w:val="839"/>
          <w:jc w:val="center"/>
        </w:trPr>
        <w:tc>
          <w:tcPr>
            <w:tcW w:w="328" w:type="pct"/>
            <w:vMerge w:val="restart"/>
            <w:shd w:val="clear" w:color="auto" w:fill="BFBFBF"/>
            <w:textDirection w:val="btLr"/>
            <w:vAlign w:val="center"/>
          </w:tcPr>
          <w:p w14:paraId="32BBCD0B" w14:textId="77777777" w:rsidR="00A3029F" w:rsidRPr="00B7174F" w:rsidRDefault="00A3029F" w:rsidP="00CF69B3">
            <w:pPr>
              <w:widowControl w:val="0"/>
              <w:spacing w:after="0"/>
              <w:ind w:left="113" w:right="113"/>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w:t>
            </w:r>
            <w:r w:rsidRPr="00B7174F">
              <w:rPr>
                <w:rFonts w:ascii="Arial" w:hAnsi="Arial" w:cs="Arial"/>
                <w:snapToGrid w:val="0"/>
                <w:color w:val="FFFFFF"/>
                <w:sz w:val="16"/>
                <w:szCs w:val="16"/>
                <w:shd w:val="clear" w:color="auto" w:fill="A6A6A6"/>
                <w:lang w:val="es-UY" w:eastAsia="es-ES"/>
              </w:rPr>
              <w:t>ÁSICOS</w:t>
            </w:r>
          </w:p>
        </w:tc>
        <w:tc>
          <w:tcPr>
            <w:tcW w:w="352" w:type="pct"/>
            <w:vMerge w:val="restart"/>
            <w:vAlign w:val="center"/>
          </w:tcPr>
          <w:p w14:paraId="69B5F7E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DefDef</w:t>
            </w:r>
          </w:p>
        </w:tc>
        <w:tc>
          <w:tcPr>
            <w:tcW w:w="484" w:type="pct"/>
            <w:vAlign w:val="center"/>
          </w:tcPr>
          <w:p w14:paraId="04F57CF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w:t>
            </w:r>
          </w:p>
        </w:tc>
        <w:tc>
          <w:tcPr>
            <w:tcW w:w="880" w:type="pct"/>
            <w:vAlign w:val="center"/>
          </w:tcPr>
          <w:p w14:paraId="58C7F435"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dobleces y daños.</w:t>
            </w:r>
          </w:p>
        </w:tc>
        <w:tc>
          <w:tcPr>
            <w:tcW w:w="528" w:type="pct"/>
            <w:vAlign w:val="center"/>
          </w:tcPr>
          <w:p w14:paraId="09F0855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Dobleces o daños en la defensa.</w:t>
            </w:r>
          </w:p>
        </w:tc>
        <w:tc>
          <w:tcPr>
            <w:tcW w:w="757" w:type="pct"/>
            <w:vAlign w:val="center"/>
          </w:tcPr>
          <w:p w14:paraId="6B3876F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dobleces o daños totales o parciales.</w:t>
            </w:r>
          </w:p>
        </w:tc>
        <w:tc>
          <w:tcPr>
            <w:tcW w:w="528" w:type="pct"/>
            <w:vAlign w:val="center"/>
          </w:tcPr>
          <w:p w14:paraId="7039583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 con dobleces o daños=0</w:t>
            </w:r>
          </w:p>
        </w:tc>
        <w:tc>
          <w:tcPr>
            <w:tcW w:w="430" w:type="pct"/>
            <w:vAlign w:val="center"/>
          </w:tcPr>
          <w:p w14:paraId="62FB337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59F145B3"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180BC117"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79EE51E6" w14:textId="77777777">
        <w:trPr>
          <w:trHeight w:val="966"/>
          <w:jc w:val="center"/>
        </w:trPr>
        <w:tc>
          <w:tcPr>
            <w:tcW w:w="328" w:type="pct"/>
            <w:vMerge/>
            <w:shd w:val="clear" w:color="auto" w:fill="BFBFBF"/>
          </w:tcPr>
          <w:p w14:paraId="66AF4F7A"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Merge/>
            <w:vAlign w:val="center"/>
          </w:tcPr>
          <w:p w14:paraId="6E88D9A7"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14:paraId="1312CFC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de fijación (bulones y arandelas)</w:t>
            </w:r>
          </w:p>
        </w:tc>
        <w:tc>
          <w:tcPr>
            <w:tcW w:w="880" w:type="pct"/>
            <w:vAlign w:val="center"/>
          </w:tcPr>
          <w:p w14:paraId="53BB00A7"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 arandelas faltantes.</w:t>
            </w:r>
          </w:p>
        </w:tc>
        <w:tc>
          <w:tcPr>
            <w:tcW w:w="528" w:type="pct"/>
            <w:vAlign w:val="center"/>
          </w:tcPr>
          <w:p w14:paraId="4814F94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Faltante de bulones o arandelas.</w:t>
            </w:r>
          </w:p>
        </w:tc>
        <w:tc>
          <w:tcPr>
            <w:tcW w:w="757" w:type="pct"/>
            <w:vAlign w:val="center"/>
          </w:tcPr>
          <w:p w14:paraId="67AD2217"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la ausencia o desajuste total o parcial de estos elementos.</w:t>
            </w:r>
          </w:p>
        </w:tc>
        <w:tc>
          <w:tcPr>
            <w:tcW w:w="528" w:type="pct"/>
            <w:vAlign w:val="center"/>
          </w:tcPr>
          <w:p w14:paraId="7801B6C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Bulones y/o arandelas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faltantes=0</w:t>
            </w:r>
          </w:p>
        </w:tc>
        <w:tc>
          <w:tcPr>
            <w:tcW w:w="430" w:type="pct"/>
            <w:vAlign w:val="center"/>
          </w:tcPr>
          <w:p w14:paraId="74CCE141"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72EA5E0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2426A756"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095E7095" w14:textId="77777777">
        <w:trPr>
          <w:trHeight w:val="1418"/>
          <w:jc w:val="center"/>
        </w:trPr>
        <w:tc>
          <w:tcPr>
            <w:tcW w:w="328" w:type="pct"/>
            <w:vMerge/>
            <w:shd w:val="clear" w:color="auto" w:fill="BFBFBF"/>
          </w:tcPr>
          <w:p w14:paraId="46C8E595"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Merge/>
            <w:vAlign w:val="center"/>
          </w:tcPr>
          <w:p w14:paraId="241C56E1"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p>
        </w:tc>
        <w:tc>
          <w:tcPr>
            <w:tcW w:w="484" w:type="pct"/>
            <w:vAlign w:val="center"/>
          </w:tcPr>
          <w:p w14:paraId="6E3DAFB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Oxidación</w:t>
            </w:r>
          </w:p>
        </w:tc>
        <w:tc>
          <w:tcPr>
            <w:tcW w:w="880" w:type="pct"/>
            <w:vAlign w:val="center"/>
          </w:tcPr>
          <w:p w14:paraId="4F8B8966"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Defensas con oxidación</w:t>
            </w:r>
          </w:p>
        </w:tc>
        <w:tc>
          <w:tcPr>
            <w:tcW w:w="528" w:type="pct"/>
            <w:vAlign w:val="center"/>
          </w:tcPr>
          <w:p w14:paraId="3723009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defensas con óxido</w:t>
            </w:r>
          </w:p>
        </w:tc>
        <w:tc>
          <w:tcPr>
            <w:tcW w:w="757" w:type="pct"/>
            <w:vAlign w:val="center"/>
          </w:tcPr>
          <w:p w14:paraId="54DBA32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un área con oxidación en los componentes mayor a 10%, o que afecte localmente la capacidad estructural</w:t>
            </w:r>
          </w:p>
        </w:tc>
        <w:tc>
          <w:tcPr>
            <w:tcW w:w="528" w:type="pct"/>
            <w:vAlign w:val="center"/>
          </w:tcPr>
          <w:p w14:paraId="09103099"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oxidación total &lt;10% o capacidad estructural afectada</w:t>
            </w:r>
          </w:p>
        </w:tc>
        <w:tc>
          <w:tcPr>
            <w:tcW w:w="430" w:type="pct"/>
            <w:vAlign w:val="center"/>
          </w:tcPr>
          <w:p w14:paraId="4D250DFC"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2196636D"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21710F23"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79505F03" w14:textId="77777777">
        <w:trPr>
          <w:trHeight w:val="1552"/>
          <w:jc w:val="center"/>
        </w:trPr>
        <w:tc>
          <w:tcPr>
            <w:tcW w:w="328" w:type="pct"/>
            <w:vMerge/>
            <w:shd w:val="clear" w:color="auto" w:fill="BFBFBF"/>
          </w:tcPr>
          <w:p w14:paraId="0711C6D2"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p>
        </w:tc>
        <w:tc>
          <w:tcPr>
            <w:tcW w:w="352" w:type="pct"/>
            <w:vAlign w:val="center"/>
          </w:tcPr>
          <w:p w14:paraId="50050CB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DefRef</w:t>
            </w:r>
          </w:p>
        </w:tc>
        <w:tc>
          <w:tcPr>
            <w:tcW w:w="484" w:type="pct"/>
            <w:vAlign w:val="center"/>
          </w:tcPr>
          <w:p w14:paraId="6CC61C6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pt-BR" w:eastAsia="es-ES"/>
              </w:rPr>
            </w:pPr>
            <w:r w:rsidRPr="00B7174F">
              <w:rPr>
                <w:rFonts w:ascii="Arial" w:hAnsi="Arial" w:cs="Arial"/>
                <w:snapToGrid w:val="0"/>
                <w:sz w:val="16"/>
                <w:szCs w:val="16"/>
                <w:lang w:val="pt-BR" w:eastAsia="es-ES"/>
              </w:rPr>
              <w:t>Elementos reflectivos</w:t>
            </w:r>
            <w:r w:rsidR="00333D8C">
              <w:rPr>
                <w:rFonts w:ascii="Arial" w:hAnsi="Arial" w:cs="Arial"/>
                <w:snapToGrid w:val="0"/>
                <w:sz w:val="16"/>
                <w:szCs w:val="16"/>
                <w:lang w:val="pt-BR" w:eastAsia="es-ES"/>
              </w:rPr>
              <w:t xml:space="preserve"> </w:t>
            </w:r>
            <w:r w:rsidRPr="00B7174F">
              <w:rPr>
                <w:rFonts w:ascii="Arial" w:hAnsi="Arial" w:cs="Arial"/>
                <w:snapToGrid w:val="0"/>
                <w:sz w:val="16"/>
                <w:szCs w:val="16"/>
                <w:lang w:val="pt-BR" w:eastAsia="es-ES"/>
              </w:rPr>
              <w:t>defectuosos o faltantes.</w:t>
            </w:r>
          </w:p>
        </w:tc>
        <w:tc>
          <w:tcPr>
            <w:tcW w:w="880" w:type="pct"/>
            <w:vAlign w:val="center"/>
          </w:tcPr>
          <w:p w14:paraId="073B82C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Elementos reflectivos faltantes, con reflectividad insuficiente, o defectuosos en cuanto a dimensiones, alineación, o cualquier otra desviación con respecto a lámina tipo DNV.</w:t>
            </w:r>
          </w:p>
        </w:tc>
        <w:tc>
          <w:tcPr>
            <w:tcW w:w="528" w:type="pct"/>
            <w:vAlign w:val="center"/>
          </w:tcPr>
          <w:p w14:paraId="1115593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 máximo de postes con defecto.</w:t>
            </w:r>
          </w:p>
        </w:tc>
        <w:tc>
          <w:tcPr>
            <w:tcW w:w="757" w:type="pct"/>
            <w:vAlign w:val="center"/>
          </w:tcPr>
          <w:p w14:paraId="7B0CB160" w14:textId="77777777" w:rsidR="00A3029F" w:rsidRPr="00B7174F" w:rsidRDefault="00A3029F" w:rsidP="00911E54">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en las arandelas “L” </w:t>
            </w:r>
            <w:r w:rsidRPr="00020211">
              <w:rPr>
                <w:rFonts w:ascii="Arial" w:hAnsi="Arial" w:cs="Arial"/>
                <w:snapToGrid w:val="0"/>
                <w:sz w:val="16"/>
                <w:szCs w:val="16"/>
                <w:lang w:val="es-UY" w:eastAsia="es-ES"/>
              </w:rPr>
              <w:t>la ausencia de elementos reflectivos</w:t>
            </w:r>
            <w:r w:rsidR="00911E54" w:rsidRPr="00020211">
              <w:rPr>
                <w:rFonts w:ascii="Arial" w:hAnsi="Arial" w:cs="Arial"/>
                <w:snapToGrid w:val="0"/>
                <w:sz w:val="16"/>
                <w:szCs w:val="16"/>
                <w:lang w:val="es-UY" w:eastAsia="es-ES"/>
              </w:rPr>
              <w:t xml:space="preserve"> de acuerdo a lo previsto en la LT 267.La </w:t>
            </w:r>
            <w:r w:rsidRPr="00020211">
              <w:rPr>
                <w:rFonts w:ascii="Arial" w:hAnsi="Arial" w:cs="Arial"/>
                <w:snapToGrid w:val="0"/>
                <w:sz w:val="16"/>
                <w:szCs w:val="16"/>
                <w:lang w:val="es-UY" w:eastAsia="es-ES"/>
              </w:rPr>
              <w:t xml:space="preserve"> reflectividad</w:t>
            </w:r>
            <w:r w:rsidR="00911E54" w:rsidRPr="00020211">
              <w:rPr>
                <w:rFonts w:ascii="Arial" w:hAnsi="Arial" w:cs="Arial"/>
                <w:snapToGrid w:val="0"/>
                <w:sz w:val="16"/>
                <w:szCs w:val="16"/>
                <w:lang w:val="es-UY" w:eastAsia="es-ES"/>
              </w:rPr>
              <w:t xml:space="preserve"> será mayor a </w:t>
            </w:r>
            <w:r w:rsidRPr="00020211">
              <w:rPr>
                <w:rFonts w:ascii="Arial" w:hAnsi="Arial" w:cs="Arial"/>
                <w:snapToGrid w:val="0"/>
                <w:sz w:val="16"/>
                <w:szCs w:val="16"/>
                <w:lang w:val="es-UY" w:eastAsia="es-ES"/>
              </w:rPr>
              <w:t xml:space="preserve"> 40 cd/lux/m2</w:t>
            </w:r>
            <w:r w:rsidR="00911E54" w:rsidRPr="00020211">
              <w:rPr>
                <w:rFonts w:ascii="Arial" w:hAnsi="Arial" w:cs="Arial"/>
                <w:snapToGrid w:val="0"/>
                <w:sz w:val="16"/>
                <w:szCs w:val="16"/>
                <w:lang w:val="es-UY" w:eastAsia="es-ES"/>
              </w:rPr>
              <w:t>.</w:t>
            </w:r>
          </w:p>
        </w:tc>
        <w:tc>
          <w:tcPr>
            <w:tcW w:w="528" w:type="pct"/>
            <w:vAlign w:val="center"/>
          </w:tcPr>
          <w:p w14:paraId="30FDAFA1"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elementos reflectivos faltantes, con reflectividad insuficiente u otros defectos ≤ 20%.</w:t>
            </w:r>
          </w:p>
        </w:tc>
        <w:tc>
          <w:tcPr>
            <w:tcW w:w="430" w:type="pct"/>
            <w:vAlign w:val="center"/>
          </w:tcPr>
          <w:p w14:paraId="0F4781C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406" w:type="pct"/>
            <w:vAlign w:val="center"/>
          </w:tcPr>
          <w:p w14:paraId="454AF51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67A9D4AA"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650B4659" w14:textId="77777777">
        <w:trPr>
          <w:trHeight w:val="1111"/>
          <w:jc w:val="center"/>
        </w:trPr>
        <w:tc>
          <w:tcPr>
            <w:tcW w:w="328" w:type="pct"/>
            <w:vMerge w:val="restart"/>
            <w:shd w:val="clear" w:color="auto" w:fill="BFBFBF"/>
            <w:textDirection w:val="btLr"/>
            <w:vAlign w:val="center"/>
          </w:tcPr>
          <w:p w14:paraId="1B59ED74" w14:textId="77777777" w:rsidR="00A3029F" w:rsidRPr="00B7174F" w:rsidRDefault="00A3029F" w:rsidP="00CF69B3">
            <w:pPr>
              <w:widowControl w:val="0"/>
              <w:spacing w:after="0"/>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52" w:type="pct"/>
            <w:vAlign w:val="center"/>
          </w:tcPr>
          <w:p w14:paraId="63F73C4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DefSuc</w:t>
            </w:r>
          </w:p>
        </w:tc>
        <w:tc>
          <w:tcPr>
            <w:tcW w:w="484" w:type="pct"/>
            <w:vAlign w:val="center"/>
          </w:tcPr>
          <w:p w14:paraId="1ECF5D89"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Suciedad o pegatinas</w:t>
            </w:r>
          </w:p>
        </w:tc>
        <w:tc>
          <w:tcPr>
            <w:tcW w:w="880" w:type="pct"/>
            <w:vAlign w:val="center"/>
          </w:tcPr>
          <w:p w14:paraId="1444150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suciedad o pegatinas.</w:t>
            </w:r>
          </w:p>
        </w:tc>
        <w:tc>
          <w:tcPr>
            <w:tcW w:w="528" w:type="pct"/>
            <w:vAlign w:val="center"/>
          </w:tcPr>
          <w:p w14:paraId="12E79998"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suciedad o pegatinas.</w:t>
            </w:r>
          </w:p>
        </w:tc>
        <w:tc>
          <w:tcPr>
            <w:tcW w:w="757" w:type="pct"/>
            <w:vAlign w:val="center"/>
          </w:tcPr>
          <w:p w14:paraId="59FC0CD9"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suciedad o pegatinas.</w:t>
            </w:r>
          </w:p>
        </w:tc>
        <w:tc>
          <w:tcPr>
            <w:tcW w:w="528" w:type="pct"/>
            <w:vAlign w:val="center"/>
          </w:tcPr>
          <w:p w14:paraId="3585B640"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de defensas</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con suciedad o pegatinas ≤ 10%.</w:t>
            </w:r>
          </w:p>
        </w:tc>
        <w:tc>
          <w:tcPr>
            <w:tcW w:w="430" w:type="pct"/>
            <w:vAlign w:val="center"/>
          </w:tcPr>
          <w:p w14:paraId="65AD91C9"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14:paraId="4EBEB25F"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04CDC500"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r w:rsidR="00A3029F" w:rsidRPr="00B7174F" w14:paraId="371A3A84" w14:textId="77777777">
        <w:trPr>
          <w:trHeight w:val="1126"/>
          <w:jc w:val="center"/>
        </w:trPr>
        <w:tc>
          <w:tcPr>
            <w:tcW w:w="328" w:type="pct"/>
            <w:vMerge/>
            <w:shd w:val="clear" w:color="auto" w:fill="BFBFBF"/>
          </w:tcPr>
          <w:p w14:paraId="7C96AAC1" w14:textId="77777777" w:rsidR="00A3029F" w:rsidRPr="00B7174F" w:rsidRDefault="00A3029F" w:rsidP="00CF69B3">
            <w:pPr>
              <w:widowControl w:val="0"/>
              <w:spacing w:after="0"/>
              <w:jc w:val="both"/>
              <w:rPr>
                <w:rFonts w:ascii="CG Times" w:hAnsi="CG Times" w:cs="CG Times"/>
                <w:snapToGrid w:val="0"/>
                <w:sz w:val="16"/>
                <w:szCs w:val="16"/>
                <w:lang w:val="es-UY" w:eastAsia="es-ES"/>
              </w:rPr>
            </w:pPr>
          </w:p>
        </w:tc>
        <w:tc>
          <w:tcPr>
            <w:tcW w:w="352" w:type="pct"/>
            <w:vAlign w:val="center"/>
          </w:tcPr>
          <w:p w14:paraId="3B21B9E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DefVeg</w:t>
            </w:r>
          </w:p>
        </w:tc>
        <w:tc>
          <w:tcPr>
            <w:tcW w:w="484" w:type="pct"/>
            <w:vAlign w:val="center"/>
          </w:tcPr>
          <w:p w14:paraId="17E6B734"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Vegetación en el entorno de la defensa.</w:t>
            </w:r>
          </w:p>
        </w:tc>
        <w:tc>
          <w:tcPr>
            <w:tcW w:w="880" w:type="pct"/>
            <w:vAlign w:val="center"/>
          </w:tcPr>
          <w:p w14:paraId="090F1445"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de vegetación en el entorno de la defensa.</w:t>
            </w:r>
          </w:p>
        </w:tc>
        <w:tc>
          <w:tcPr>
            <w:tcW w:w="528" w:type="pct"/>
            <w:vAlign w:val="center"/>
          </w:tcPr>
          <w:p w14:paraId="22894E65"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la longitud afectada por vegetación en el entorno de la defensa.</w:t>
            </w:r>
          </w:p>
        </w:tc>
        <w:tc>
          <w:tcPr>
            <w:tcW w:w="757" w:type="pct"/>
            <w:vAlign w:val="center"/>
          </w:tcPr>
          <w:p w14:paraId="08913C6E"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evaluarán todas las defensas, no admitiéndose vegetación que afecte su visibilidad.</w:t>
            </w:r>
          </w:p>
        </w:tc>
        <w:tc>
          <w:tcPr>
            <w:tcW w:w="528" w:type="pct"/>
            <w:vAlign w:val="center"/>
          </w:tcPr>
          <w:p w14:paraId="46C8033B"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longitud de defensa afectada por vegetación en el entorno ≤ 10%.</w:t>
            </w:r>
          </w:p>
        </w:tc>
        <w:tc>
          <w:tcPr>
            <w:tcW w:w="430" w:type="pct"/>
            <w:vAlign w:val="center"/>
          </w:tcPr>
          <w:p w14:paraId="0230BBEA"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406" w:type="pct"/>
            <w:vAlign w:val="center"/>
          </w:tcPr>
          <w:p w14:paraId="22A5AC71" w14:textId="77777777" w:rsidR="00A3029F" w:rsidRPr="00B7174F" w:rsidRDefault="00A3029F" w:rsidP="00CF69B3">
            <w:pPr>
              <w:framePr w:hSpace="141" w:wrap="auto" w:vAnchor="text" w:hAnchor="margin" w:xAlign="center" w:y="544"/>
              <w:widowControl w:val="0"/>
              <w:spacing w:after="0"/>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c>
          <w:tcPr>
            <w:tcW w:w="308" w:type="pct"/>
            <w:vAlign w:val="center"/>
          </w:tcPr>
          <w:p w14:paraId="48D539E1" w14:textId="77777777" w:rsidR="00A3029F" w:rsidRPr="00B7174F" w:rsidRDefault="00A3029F" w:rsidP="00CF69B3">
            <w:pPr>
              <w:framePr w:hSpace="141" w:wrap="auto" w:vAnchor="text" w:hAnchor="margin" w:xAlign="center" w:y="544"/>
              <w:widowControl w:val="0"/>
              <w:spacing w:after="0"/>
              <w:rPr>
                <w:rFonts w:ascii="Arial" w:hAnsi="Arial" w:cs="Arial"/>
                <w:snapToGrid w:val="0"/>
                <w:sz w:val="16"/>
                <w:szCs w:val="16"/>
                <w:lang w:val="es-UY" w:eastAsia="es-ES"/>
              </w:rPr>
            </w:pPr>
          </w:p>
        </w:tc>
      </w:tr>
    </w:tbl>
    <w:p w14:paraId="17EBC90B" w14:textId="77777777" w:rsidR="00365D00" w:rsidRDefault="00365D00" w:rsidP="00CF69B3">
      <w:pPr>
        <w:rPr>
          <w:rFonts w:cs="Times New Roman"/>
          <w:lang w:val="es-UY"/>
        </w:rPr>
        <w:sectPr w:rsidR="00365D00" w:rsidSect="00B238CC">
          <w:headerReference w:type="even" r:id="rId158"/>
          <w:headerReference w:type="default" r:id="rId159"/>
          <w:footerReference w:type="default" r:id="rId160"/>
          <w:headerReference w:type="first" r:id="rId161"/>
          <w:pgSz w:w="16838" w:h="11906" w:orient="landscape" w:code="9"/>
          <w:pgMar w:top="851" w:right="1418" w:bottom="1560" w:left="1418" w:header="720" w:footer="720" w:gutter="0"/>
          <w:cols w:space="708"/>
          <w:docGrid w:linePitch="360"/>
        </w:sectPr>
      </w:pPr>
    </w:p>
    <w:p w14:paraId="31B4A2AE" w14:textId="4B8C62BE" w:rsidR="00A3029F" w:rsidRPr="00B7174F" w:rsidRDefault="0026481A" w:rsidP="000C3189">
      <w:pPr>
        <w:pStyle w:val="T2A5"/>
        <w:numPr>
          <w:ilvl w:val="0"/>
          <w:numId w:val="0"/>
        </w:numPr>
        <w:ind w:left="360"/>
        <w:outlineLvl w:val="9"/>
      </w:pPr>
      <w:bookmarkStart w:id="1541" w:name="_Toc400634170"/>
      <w:bookmarkStart w:id="1542" w:name="_Toc400635303"/>
      <w:r>
        <w:lastRenderedPageBreak/>
        <w:t>4.</w:t>
      </w:r>
      <w:r w:rsidR="00863A9E">
        <w:t>3</w:t>
      </w:r>
      <w:r>
        <w:t xml:space="preserve"> </w:t>
      </w:r>
      <w:r w:rsidR="00A3029F" w:rsidRPr="00B7174F">
        <w:t>Señalización horizontal</w:t>
      </w:r>
      <w:bookmarkEnd w:id="1541"/>
      <w:bookmarkEnd w:id="1542"/>
    </w:p>
    <w:p w14:paraId="79D1CBD8" w14:textId="77777777" w:rsidR="00A3029F" w:rsidRPr="00B7174F" w:rsidRDefault="00A3029F" w:rsidP="00CF69B3">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Pintura del pavimento.</w:t>
      </w:r>
    </w:p>
    <w:p w14:paraId="0086071F"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pintarán todos los tramos, en eje y bordes, así como los cebreados y otras demarcaciones previstas según la Norma Uruguaya de Señalización Horizontal y la Contratante.</w:t>
      </w:r>
    </w:p>
    <w:p w14:paraId="30CBE83C"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pintura de las líneas y marcas a utilizar deberá ser antiderrapante, y la reflectividad de la marca deberá lograrse con microesferas de vidrio tipo pre-mix y tipo drop-on.</w:t>
      </w:r>
    </w:p>
    <w:p w14:paraId="19991394"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El Contratista procederá al replanteo de las fajas a pintar, con la supervisión de la Contratante, con marcas de pintura o similar que constituyan una guía de precisión a las máquinas marcadoras. </w:t>
      </w:r>
    </w:p>
    <w:p w14:paraId="2090C236"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El Contratista procederá a señalizar convenientemente la zona de trabajo a fin de prevenir accidentes y provocar el mínimo de inconvenientes al tránsito de la ruta.</w:t>
      </w:r>
    </w:p>
    <w:p w14:paraId="6C775E9B" w14:textId="77777777" w:rsidR="00A3029F" w:rsidRPr="00B7174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Señalización Horizontal se realizará de acuerdo a los procedimientos previstos en la Norma Uruguaya de Señalización Horizontal y Adjunto. Se adoptará para cada línea en cada parada un valor único representativo de cada parámetro evaluado. Dicho valor se adoptará como representativo de todos los hectómetros de la parada.</w:t>
      </w:r>
    </w:p>
    <w:p w14:paraId="3A753F5B" w14:textId="77777777" w:rsidR="00A3029F" w:rsidRDefault="00A3029F" w:rsidP="00CF69B3">
      <w:pPr>
        <w:widowControl w:val="0"/>
        <w:tabs>
          <w:tab w:val="num" w:pos="431"/>
        </w:tabs>
        <w:spacing w:after="120" w:line="360" w:lineRule="auto"/>
        <w:jc w:val="both"/>
        <w:rPr>
          <w:rFonts w:ascii="Arial" w:hAnsi="Arial" w:cs="Arial"/>
          <w:b/>
          <w:bCs/>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Tachas reflectivas.</w:t>
      </w:r>
    </w:p>
    <w:p w14:paraId="3F0C5C9A" w14:textId="77777777" w:rsidR="005948C8" w:rsidRPr="00C361AD" w:rsidRDefault="005948C8"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lastRenderedPageBreak/>
        <w:t xml:space="preserve">Las tachas reflectivas se instalarán en todos los tramos en el eje y borde cada 24 y 48 metros respectivamente. Adicionalmente se instalarán en empalmes y accesos de acuerdo a las instrucciones impartidas por la Dirección del Contrato. </w:t>
      </w:r>
    </w:p>
    <w:p w14:paraId="584951EA" w14:textId="77777777" w:rsidR="005948C8" w:rsidRPr="00C361AD" w:rsidRDefault="005948C8"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Deberán estar en servicio (sin los defectos indicados en la tabla correspondiente) como mínimo el 90% de las tachas totales requeridas para cada tramo, y el 100% en curvas.</w:t>
      </w:r>
    </w:p>
    <w:p w14:paraId="0FD87346" w14:textId="77777777" w:rsidR="005948C8" w:rsidRDefault="005948C8"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7DCB022B" w14:textId="77777777" w:rsidR="003C1001" w:rsidRDefault="003C1001"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701F1F3C" w14:textId="77777777" w:rsidR="003C1001" w:rsidRDefault="003C1001"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74FE251F" w14:textId="77777777" w:rsidR="003C1001" w:rsidRPr="005948C8" w:rsidRDefault="003C1001" w:rsidP="00CF69B3">
      <w:pPr>
        <w:widowControl w:val="0"/>
        <w:tabs>
          <w:tab w:val="num" w:pos="431"/>
        </w:tabs>
        <w:spacing w:after="120" w:line="360" w:lineRule="auto"/>
        <w:jc w:val="both"/>
        <w:rPr>
          <w:rFonts w:ascii="Arial" w:hAnsi="Arial" w:cs="Arial"/>
          <w:b/>
          <w:bCs/>
          <w:snapToGrid w:val="0"/>
          <w:color w:val="000000"/>
          <w:sz w:val="20"/>
          <w:szCs w:val="20"/>
          <w:lang w:eastAsia="es-ES"/>
        </w:rPr>
      </w:pPr>
    </w:p>
    <w:p w14:paraId="3F727785" w14:textId="77777777" w:rsidR="00365D00" w:rsidRDefault="00365D00" w:rsidP="000C3189">
      <w:pPr>
        <w:keepNext/>
        <w:tabs>
          <w:tab w:val="left" w:pos="720"/>
        </w:tabs>
        <w:spacing w:before="240" w:after="60" w:line="360" w:lineRule="auto"/>
        <w:jc w:val="both"/>
        <w:rPr>
          <w:rFonts w:ascii="Arial" w:hAnsi="Arial"/>
          <w:b/>
        </w:rPr>
        <w:sectPr w:rsidR="00365D00" w:rsidSect="00365D00">
          <w:headerReference w:type="even" r:id="rId162"/>
          <w:headerReference w:type="default" r:id="rId163"/>
          <w:footerReference w:type="default" r:id="rId164"/>
          <w:headerReference w:type="first" r:id="rId165"/>
          <w:pgSz w:w="11906" w:h="16838" w:code="9"/>
          <w:pgMar w:top="1418" w:right="142" w:bottom="1418" w:left="284" w:header="720" w:footer="720" w:gutter="0"/>
          <w:cols w:space="708"/>
          <w:docGrid w:linePitch="360"/>
        </w:sectPr>
      </w:pPr>
      <w:bookmarkStart w:id="1543" w:name="_Toc400635304"/>
    </w:p>
    <w:p w14:paraId="54E31EDB" w14:textId="2FBEA2A6" w:rsidR="00203008" w:rsidRPr="000C3189" w:rsidRDefault="00863A9E" w:rsidP="000C3189">
      <w:pPr>
        <w:keepNext/>
        <w:tabs>
          <w:tab w:val="left" w:pos="720"/>
        </w:tabs>
        <w:spacing w:before="240" w:after="60" w:line="360" w:lineRule="auto"/>
        <w:jc w:val="both"/>
        <w:rPr>
          <w:rFonts w:ascii="Arial" w:hAnsi="Arial"/>
          <w:b/>
        </w:rPr>
      </w:pPr>
      <w:r>
        <w:rPr>
          <w:rFonts w:ascii="Arial" w:hAnsi="Arial"/>
          <w:b/>
        </w:rPr>
        <w:lastRenderedPageBreak/>
        <w:t xml:space="preserve">4.3.1 </w:t>
      </w:r>
      <w:r w:rsidR="00386FC6" w:rsidRPr="000C3189">
        <w:rPr>
          <w:rFonts w:ascii="Arial" w:hAnsi="Arial"/>
          <w:b/>
        </w:rPr>
        <w:t>NIVELES DE SERVICIO PARA SEÑALIZACIÓN HORIZONTAL.</w:t>
      </w:r>
      <w:bookmarkStart w:id="1544" w:name="_Toc438111402"/>
      <w:bookmarkStart w:id="1545" w:name="_Toc438111662"/>
      <w:bookmarkStart w:id="1546" w:name="_Toc438111922"/>
      <w:bookmarkStart w:id="1547" w:name="_Toc438112222"/>
      <w:bookmarkStart w:id="1548" w:name="_Toc438112831"/>
      <w:bookmarkStart w:id="1549" w:name="_Toc438113517"/>
      <w:bookmarkStart w:id="1550" w:name="_Toc438113793"/>
      <w:bookmarkStart w:id="1551" w:name="_Toc438114803"/>
      <w:bookmarkStart w:id="1552" w:name="_Toc438115118"/>
      <w:bookmarkStart w:id="1553" w:name="_Toc438130284"/>
      <w:bookmarkStart w:id="1554" w:name="_Toc438224181"/>
      <w:bookmarkStart w:id="1555" w:name="_Toc441131903"/>
      <w:bookmarkStart w:id="1556" w:name="_Toc441146208"/>
      <w:bookmarkStart w:id="1557" w:name="_Toc441146613"/>
      <w:bookmarkStart w:id="1558" w:name="_Toc441146961"/>
      <w:bookmarkStart w:id="1559" w:name="_Toc441161711"/>
      <w:bookmarkStart w:id="1560" w:name="_Toc441162059"/>
      <w:bookmarkStart w:id="1561" w:name="_Toc441162409"/>
      <w:bookmarkStart w:id="1562" w:name="_Toc441229426"/>
      <w:bookmarkStart w:id="1563" w:name="_Toc441229761"/>
      <w:bookmarkStart w:id="1564" w:name="_Toc441230082"/>
      <w:bookmarkStart w:id="1565" w:name="_Toc450552934"/>
      <w:bookmarkStart w:id="1566" w:name="_Toc450555132"/>
      <w:bookmarkStart w:id="1567" w:name="_Toc450555387"/>
      <w:bookmarkStart w:id="1568" w:name="_Toc438111403"/>
      <w:bookmarkStart w:id="1569" w:name="_Toc438111663"/>
      <w:bookmarkStart w:id="1570" w:name="_Toc438111923"/>
      <w:bookmarkStart w:id="1571" w:name="_Toc438112223"/>
      <w:bookmarkStart w:id="1572" w:name="_Toc438112832"/>
      <w:bookmarkStart w:id="1573" w:name="_Toc438113518"/>
      <w:bookmarkStart w:id="1574" w:name="_Toc438113794"/>
      <w:bookmarkStart w:id="1575" w:name="_Toc438114804"/>
      <w:bookmarkStart w:id="1576" w:name="_Toc438115119"/>
      <w:bookmarkStart w:id="1577" w:name="_Toc438130285"/>
      <w:bookmarkStart w:id="1578" w:name="_Toc438224182"/>
      <w:bookmarkStart w:id="1579" w:name="_Toc441131904"/>
      <w:bookmarkStart w:id="1580" w:name="_Toc441146209"/>
      <w:bookmarkStart w:id="1581" w:name="_Toc441146614"/>
      <w:bookmarkStart w:id="1582" w:name="_Toc441146962"/>
      <w:bookmarkStart w:id="1583" w:name="_Toc441161712"/>
      <w:bookmarkStart w:id="1584" w:name="_Toc441162060"/>
      <w:bookmarkStart w:id="1585" w:name="_Toc441162410"/>
      <w:bookmarkStart w:id="1586" w:name="_Toc441229427"/>
      <w:bookmarkStart w:id="1587" w:name="_Toc441229762"/>
      <w:bookmarkStart w:id="1588" w:name="_Toc441230083"/>
      <w:bookmarkStart w:id="1589" w:name="_Toc450552935"/>
      <w:bookmarkStart w:id="1590" w:name="_Toc450555133"/>
      <w:bookmarkStart w:id="1591" w:name="_Toc450555388"/>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2823967F" w14:textId="77777777" w:rsidR="00A3029F" w:rsidRPr="00B7174F" w:rsidRDefault="00863A9E" w:rsidP="000C3189">
      <w:pPr>
        <w:pStyle w:val="T2A5"/>
        <w:numPr>
          <w:ilvl w:val="0"/>
          <w:numId w:val="0"/>
        </w:numPr>
        <w:ind w:left="360"/>
        <w:outlineLvl w:val="9"/>
      </w:pPr>
      <w:r>
        <w:t xml:space="preserve">4.3.1.1 </w:t>
      </w:r>
      <w:r w:rsidR="00A3029F" w:rsidRPr="00B7174F">
        <w:t>Demarcación horizontal</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46"/>
        <w:gridCol w:w="724"/>
        <w:gridCol w:w="1239"/>
        <w:gridCol w:w="1124"/>
        <w:gridCol w:w="1364"/>
        <w:gridCol w:w="2568"/>
        <w:gridCol w:w="1924"/>
        <w:gridCol w:w="973"/>
        <w:gridCol w:w="1008"/>
      </w:tblGrid>
      <w:tr w:rsidR="00A3029F" w:rsidRPr="00B7174F" w14:paraId="09811104" w14:textId="77777777">
        <w:trPr>
          <w:cantSplit/>
          <w:trHeight w:val="567"/>
          <w:jc w:val="center"/>
        </w:trPr>
        <w:tc>
          <w:tcPr>
            <w:tcW w:w="277" w:type="pct"/>
            <w:shd w:val="clear" w:color="auto" w:fill="595959"/>
            <w:vAlign w:val="center"/>
          </w:tcPr>
          <w:p w14:paraId="78513EE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5" w:type="pct"/>
            <w:shd w:val="clear" w:color="auto" w:fill="595959"/>
            <w:vAlign w:val="center"/>
          </w:tcPr>
          <w:p w14:paraId="5FE82486"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441" w:type="pct"/>
            <w:shd w:val="clear" w:color="auto" w:fill="595959"/>
            <w:vAlign w:val="center"/>
          </w:tcPr>
          <w:p w14:paraId="67CE1074"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441" w:type="pct"/>
            <w:shd w:val="clear" w:color="auto" w:fill="595959"/>
            <w:vAlign w:val="center"/>
          </w:tcPr>
          <w:p w14:paraId="675A21E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706" w:type="pct"/>
            <w:shd w:val="clear" w:color="auto" w:fill="595959"/>
            <w:vAlign w:val="center"/>
          </w:tcPr>
          <w:p w14:paraId="07D4A7F7"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1235" w:type="pct"/>
            <w:shd w:val="clear" w:color="auto" w:fill="595959"/>
            <w:vAlign w:val="center"/>
          </w:tcPr>
          <w:p w14:paraId="043C75E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927" w:type="pct"/>
            <w:shd w:val="clear" w:color="auto" w:fill="595959"/>
            <w:vAlign w:val="center"/>
          </w:tcPr>
          <w:p w14:paraId="1E845AEA"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53" w:type="pct"/>
            <w:shd w:val="clear" w:color="auto" w:fill="595959"/>
            <w:vAlign w:val="center"/>
          </w:tcPr>
          <w:p w14:paraId="56A092B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55" w:type="pct"/>
            <w:shd w:val="clear" w:color="auto" w:fill="595959"/>
            <w:vAlign w:val="center"/>
          </w:tcPr>
          <w:p w14:paraId="6929F3F6"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A3029F" w:rsidRPr="00B7174F" w14:paraId="4E348A97" w14:textId="77777777" w:rsidTr="00084EE9">
        <w:trPr>
          <w:trHeight w:val="974"/>
          <w:jc w:val="center"/>
        </w:trPr>
        <w:tc>
          <w:tcPr>
            <w:tcW w:w="277" w:type="pct"/>
            <w:vMerge w:val="restart"/>
            <w:shd w:val="clear" w:color="auto" w:fill="BFBFBF"/>
            <w:textDirection w:val="btLr"/>
            <w:vAlign w:val="center"/>
          </w:tcPr>
          <w:p w14:paraId="3776887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5" w:type="pct"/>
            <w:vAlign w:val="center"/>
          </w:tcPr>
          <w:p w14:paraId="595E180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HDesg</w:t>
            </w:r>
          </w:p>
        </w:tc>
        <w:tc>
          <w:tcPr>
            <w:tcW w:w="441" w:type="pct"/>
            <w:vAlign w:val="center"/>
          </w:tcPr>
          <w:p w14:paraId="09CD3D8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de desgaste</w:t>
            </w:r>
          </w:p>
        </w:tc>
        <w:tc>
          <w:tcPr>
            <w:tcW w:w="441" w:type="pct"/>
            <w:vAlign w:val="center"/>
          </w:tcPr>
          <w:p w14:paraId="21BE54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del deterioro de la superficie pintada.</w:t>
            </w:r>
          </w:p>
        </w:tc>
        <w:tc>
          <w:tcPr>
            <w:tcW w:w="706" w:type="pct"/>
            <w:vAlign w:val="center"/>
          </w:tcPr>
          <w:p w14:paraId="1DBFD19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deterioro máximo.</w:t>
            </w:r>
          </w:p>
        </w:tc>
        <w:tc>
          <w:tcPr>
            <w:tcW w:w="1235" w:type="pct"/>
            <w:vAlign w:val="center"/>
          </w:tcPr>
          <w:p w14:paraId="62D8523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 por comparación con el “Patrón de Comparación del Deterioro de la Pintura de Pavimentos”, según Norma uruguaya de Señalización Horizontal (Adjunto), correspondiente a Clase 1.</w:t>
            </w:r>
          </w:p>
        </w:tc>
        <w:tc>
          <w:tcPr>
            <w:tcW w:w="927" w:type="pct"/>
            <w:vAlign w:val="center"/>
          </w:tcPr>
          <w:p w14:paraId="1FD5EE7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Desgaste ≤ 20%</w:t>
            </w:r>
          </w:p>
          <w:p w14:paraId="6D29AB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353" w:type="pct"/>
            <w:vAlign w:val="center"/>
          </w:tcPr>
          <w:p w14:paraId="729267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75A8223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53280605" w14:textId="77777777" w:rsidTr="00084EE9">
        <w:trPr>
          <w:trHeight w:val="1557"/>
          <w:jc w:val="center"/>
        </w:trPr>
        <w:tc>
          <w:tcPr>
            <w:tcW w:w="277" w:type="pct"/>
            <w:vMerge/>
            <w:shd w:val="clear" w:color="auto" w:fill="BFBFBF"/>
          </w:tcPr>
          <w:p w14:paraId="50B5A622"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Merge w:val="restart"/>
            <w:vAlign w:val="center"/>
          </w:tcPr>
          <w:p w14:paraId="63B35A0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HVis</w:t>
            </w:r>
          </w:p>
          <w:p w14:paraId="72921CD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441" w:type="pct"/>
            <w:vAlign w:val="center"/>
          </w:tcPr>
          <w:p w14:paraId="6A69D4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w:t>
            </w:r>
          </w:p>
          <w:p w14:paraId="790EDAA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insuficiente</w:t>
            </w:r>
          </w:p>
        </w:tc>
        <w:tc>
          <w:tcPr>
            <w:tcW w:w="441" w:type="pct"/>
            <w:vAlign w:val="center"/>
          </w:tcPr>
          <w:p w14:paraId="49E76BB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diurna medida a través del Coeficiente de Iluminancia en iluminación difusa Qd.</w:t>
            </w:r>
          </w:p>
        </w:tc>
        <w:tc>
          <w:tcPr>
            <w:tcW w:w="706" w:type="pct"/>
            <w:vAlign w:val="center"/>
          </w:tcPr>
          <w:p w14:paraId="4E1D5D0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Coeficiente de luminancia en iluminación difusa QD mínimo.</w:t>
            </w:r>
          </w:p>
        </w:tc>
        <w:tc>
          <w:tcPr>
            <w:tcW w:w="1235" w:type="pct"/>
            <w:vAlign w:val="center"/>
          </w:tcPr>
          <w:p w14:paraId="57867277" w14:textId="77777777" w:rsidR="00A3029F" w:rsidRPr="00B7174F" w:rsidRDefault="00A3029F" w:rsidP="00B633B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El Qd se determinará, según Norma ASTM-E 2302, con un ángulo de observación de 2,29° con </w:t>
            </w:r>
            <w:r w:rsidRPr="00C361AD">
              <w:rPr>
                <w:rFonts w:ascii="Arial" w:hAnsi="Arial" w:cs="Arial"/>
                <w:snapToGrid w:val="0"/>
                <w:sz w:val="16"/>
                <w:szCs w:val="16"/>
                <w:lang w:val="es-UY" w:eastAsia="es-ES"/>
              </w:rPr>
              <w:t xml:space="preserve">Retroreflectómetro ZRM </w:t>
            </w:r>
            <w:r w:rsidR="00B633BA" w:rsidRPr="00C361AD">
              <w:rPr>
                <w:rFonts w:ascii="Arial" w:hAnsi="Arial" w:cs="Arial"/>
                <w:snapToGrid w:val="0"/>
                <w:sz w:val="16"/>
                <w:szCs w:val="16"/>
                <w:lang w:val="es-UY" w:eastAsia="es-ES"/>
              </w:rPr>
              <w:t>6013</w:t>
            </w:r>
            <w:r w:rsidRPr="00C361AD">
              <w:rPr>
                <w:rFonts w:ascii="Arial" w:hAnsi="Arial" w:cs="Arial"/>
                <w:snapToGrid w:val="0"/>
                <w:sz w:val="16"/>
                <w:szCs w:val="16"/>
                <w:lang w:val="es-UY" w:eastAsia="es-ES"/>
              </w:rPr>
              <w:t>+ RL</w:t>
            </w:r>
            <w:r w:rsidRPr="00B7174F">
              <w:rPr>
                <w:rFonts w:ascii="Arial" w:hAnsi="Arial" w:cs="Arial"/>
                <w:snapToGrid w:val="0"/>
                <w:sz w:val="16"/>
                <w:szCs w:val="16"/>
                <w:lang w:val="es-UY" w:eastAsia="es-ES"/>
              </w:rPr>
              <w:t>/Qd o similar. La distribución espectral de la luz corresponderá al iluminante CIE D65. La dispersión angular de las direcciones de medida no excederá de 0,33°. El área de la marca medida será como mínimo de 50 cm2.</w:t>
            </w:r>
          </w:p>
        </w:tc>
        <w:tc>
          <w:tcPr>
            <w:tcW w:w="927" w:type="pct"/>
            <w:vAlign w:val="center"/>
          </w:tcPr>
          <w:p w14:paraId="5BE21D6A" w14:textId="77777777" w:rsidR="00A3029F" w:rsidRPr="00B7174F" w:rsidRDefault="00A3029F" w:rsidP="00CF69B3">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Pavimento asfáltico:</w:t>
            </w:r>
          </w:p>
          <w:p w14:paraId="0C8F51B7" w14:textId="77777777" w:rsidR="00A3029F" w:rsidRPr="00B7174F" w:rsidRDefault="00A3029F" w:rsidP="00CF69B3">
            <w:pPr>
              <w:widowControl w:val="0"/>
              <w:spacing w:after="0" w:line="240" w:lineRule="auto"/>
              <w:jc w:val="center"/>
              <w:rPr>
                <w:rFonts w:ascii="Arial" w:hAnsi="Arial" w:cs="Arial"/>
                <w:snapToGrid w:val="0"/>
                <w:sz w:val="16"/>
                <w:szCs w:val="16"/>
                <w:lang w:val="it-IT" w:eastAsia="es-ES"/>
              </w:rPr>
            </w:pPr>
            <w:r w:rsidRPr="00B7174F">
              <w:rPr>
                <w:rFonts w:ascii="Arial" w:hAnsi="Arial" w:cs="Arial"/>
                <w:snapToGrid w:val="0"/>
                <w:sz w:val="16"/>
                <w:szCs w:val="16"/>
                <w:lang w:val="it-IT" w:eastAsia="es-ES"/>
              </w:rPr>
              <w:t>Blanco ≥ 100 (mcd/lx/m2);</w:t>
            </w:r>
          </w:p>
          <w:p w14:paraId="713E83AA" w14:textId="77777777" w:rsidR="00A3029F" w:rsidRPr="00897CD8" w:rsidRDefault="00A3029F" w:rsidP="00CF69B3">
            <w:pPr>
              <w:widowControl w:val="0"/>
              <w:spacing w:after="0" w:line="240" w:lineRule="auto"/>
              <w:jc w:val="center"/>
              <w:rPr>
                <w:rFonts w:ascii="Arial" w:hAnsi="Arial" w:cs="Arial"/>
                <w:snapToGrid w:val="0"/>
                <w:sz w:val="16"/>
                <w:szCs w:val="16"/>
                <w:lang w:eastAsia="es-ES"/>
              </w:rPr>
            </w:pPr>
            <w:r w:rsidRPr="00B7174F">
              <w:rPr>
                <w:rFonts w:ascii="Arial" w:hAnsi="Arial" w:cs="Arial"/>
                <w:snapToGrid w:val="0"/>
                <w:sz w:val="16"/>
                <w:szCs w:val="16"/>
                <w:lang w:val="it-IT" w:eastAsia="es-ES"/>
              </w:rPr>
              <w:t xml:space="preserve">Amarillo. </w:t>
            </w:r>
            <w:r w:rsidRPr="00897CD8">
              <w:rPr>
                <w:rFonts w:ascii="Arial" w:hAnsi="Arial" w:cs="Arial"/>
                <w:snapToGrid w:val="0"/>
                <w:sz w:val="16"/>
                <w:szCs w:val="16"/>
                <w:lang w:eastAsia="es-ES"/>
              </w:rPr>
              <w:t>≥ 80 (mcd/lx/m2)</w:t>
            </w:r>
          </w:p>
          <w:p w14:paraId="064DF4B7" w14:textId="77777777" w:rsidR="00A3029F" w:rsidRPr="00897CD8" w:rsidRDefault="00A3029F" w:rsidP="00CF69B3">
            <w:pPr>
              <w:widowControl w:val="0"/>
              <w:spacing w:after="0" w:line="240" w:lineRule="auto"/>
              <w:jc w:val="center"/>
              <w:rPr>
                <w:rFonts w:ascii="Arial" w:hAnsi="Arial" w:cs="Arial"/>
                <w:snapToGrid w:val="0"/>
                <w:sz w:val="16"/>
                <w:szCs w:val="16"/>
                <w:lang w:eastAsia="es-ES"/>
              </w:rPr>
            </w:pPr>
            <w:r w:rsidRPr="00897CD8">
              <w:rPr>
                <w:rFonts w:ascii="Arial" w:hAnsi="Arial" w:cs="Arial"/>
                <w:snapToGrid w:val="0"/>
                <w:sz w:val="16"/>
                <w:szCs w:val="16"/>
                <w:lang w:eastAsia="es-ES"/>
              </w:rPr>
              <w:t>Pavimento de hormigón:</w:t>
            </w:r>
          </w:p>
          <w:p w14:paraId="77B1CFF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Blanco ≥ 130 (mcd/lx/m2)</w:t>
            </w:r>
          </w:p>
          <w:p w14:paraId="7B834AF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Amarillo ≥ 80 (mcd/lx/m2)</w:t>
            </w:r>
          </w:p>
          <w:p w14:paraId="76E077E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Norma Uruguaya de Señalización Horizontal (Adjunto), Art. 4.2.3.</w:t>
            </w:r>
          </w:p>
        </w:tc>
        <w:tc>
          <w:tcPr>
            <w:tcW w:w="353" w:type="pct"/>
            <w:vAlign w:val="center"/>
          </w:tcPr>
          <w:p w14:paraId="1C6457A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50832B7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6C0AE400" w14:textId="77777777" w:rsidTr="00084EE9">
        <w:trPr>
          <w:trHeight w:val="1117"/>
          <w:jc w:val="center"/>
        </w:trPr>
        <w:tc>
          <w:tcPr>
            <w:tcW w:w="277" w:type="pct"/>
            <w:vMerge/>
            <w:shd w:val="clear" w:color="auto" w:fill="BFBFBF"/>
          </w:tcPr>
          <w:p w14:paraId="417BBCB7"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Merge/>
            <w:vAlign w:val="center"/>
          </w:tcPr>
          <w:p w14:paraId="43039C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441" w:type="pct"/>
            <w:vAlign w:val="center"/>
          </w:tcPr>
          <w:p w14:paraId="7C9AF3B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Visibilidad nocturna insuficiente</w:t>
            </w:r>
          </w:p>
        </w:tc>
        <w:tc>
          <w:tcPr>
            <w:tcW w:w="441" w:type="pct"/>
            <w:vAlign w:val="center"/>
          </w:tcPr>
          <w:p w14:paraId="5F85A4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RL</w:t>
            </w:r>
          </w:p>
        </w:tc>
        <w:tc>
          <w:tcPr>
            <w:tcW w:w="706" w:type="pct"/>
            <w:vAlign w:val="center"/>
          </w:tcPr>
          <w:p w14:paraId="24FC132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medirá a través del coeficiente de retroreflexión RL.</w:t>
            </w:r>
          </w:p>
        </w:tc>
        <w:tc>
          <w:tcPr>
            <w:tcW w:w="1235" w:type="pct"/>
            <w:vAlign w:val="center"/>
          </w:tcPr>
          <w:p w14:paraId="7576C2EF" w14:textId="77777777" w:rsidR="00A3029F" w:rsidRPr="00B7174F" w:rsidRDefault="00A3029F" w:rsidP="00B633BA">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La determinación del coeficiente de retroreflexión se realizará con un </w:t>
            </w:r>
            <w:r w:rsidRPr="00C361AD">
              <w:rPr>
                <w:rFonts w:ascii="Arial" w:hAnsi="Arial" w:cs="Arial"/>
                <w:snapToGrid w:val="0"/>
                <w:sz w:val="16"/>
                <w:szCs w:val="16"/>
                <w:lang w:val="es-UY" w:eastAsia="es-ES"/>
              </w:rPr>
              <w:t>retroreflectómetro</w:t>
            </w:r>
            <w:r w:rsidR="00B633BA" w:rsidRPr="00C361AD">
              <w:rPr>
                <w:rFonts w:ascii="Arial" w:hAnsi="Arial" w:cs="Arial"/>
                <w:snapToGrid w:val="0"/>
                <w:sz w:val="16"/>
                <w:szCs w:val="16"/>
                <w:lang w:val="es-UY" w:eastAsia="es-ES"/>
              </w:rPr>
              <w:t xml:space="preserve"> dinámico o con un retroreflectómetro</w:t>
            </w:r>
            <w:r w:rsidRPr="00C361AD">
              <w:rPr>
                <w:rFonts w:ascii="Arial" w:hAnsi="Arial" w:cs="Arial"/>
                <w:snapToGrid w:val="0"/>
                <w:sz w:val="16"/>
                <w:szCs w:val="16"/>
                <w:lang w:val="es-UY" w:eastAsia="es-ES"/>
              </w:rPr>
              <w:t xml:space="preserve"> ZRM </w:t>
            </w:r>
            <w:r w:rsidR="00B633BA" w:rsidRPr="00C361AD">
              <w:rPr>
                <w:rFonts w:ascii="Arial" w:hAnsi="Arial" w:cs="Arial"/>
                <w:snapToGrid w:val="0"/>
                <w:sz w:val="16"/>
                <w:szCs w:val="16"/>
                <w:lang w:val="es-UY" w:eastAsia="es-ES"/>
              </w:rPr>
              <w:t>6</w:t>
            </w:r>
            <w:r w:rsidRPr="00C361AD">
              <w:rPr>
                <w:rFonts w:ascii="Arial" w:hAnsi="Arial" w:cs="Arial"/>
                <w:snapToGrid w:val="0"/>
                <w:sz w:val="16"/>
                <w:szCs w:val="16"/>
                <w:lang w:val="es-UY" w:eastAsia="es-ES"/>
              </w:rPr>
              <w:t>013+ RL/Qd</w:t>
            </w:r>
            <w:r w:rsidR="00B14DCC" w:rsidRPr="00C361AD">
              <w:rPr>
                <w:rFonts w:ascii="Arial" w:hAnsi="Arial" w:cs="Arial"/>
                <w:snapToGrid w:val="0"/>
                <w:sz w:val="16"/>
                <w:szCs w:val="16"/>
                <w:lang w:val="es-UY" w:eastAsia="es-ES"/>
              </w:rPr>
              <w:t xml:space="preserve"> </w:t>
            </w:r>
            <w:r w:rsidRPr="00C361AD">
              <w:rPr>
                <w:rFonts w:ascii="Arial" w:hAnsi="Arial" w:cs="Arial"/>
                <w:snapToGrid w:val="0"/>
                <w:sz w:val="16"/>
                <w:szCs w:val="16"/>
                <w:lang w:val="es-UY" w:eastAsia="es-ES"/>
              </w:rPr>
              <w:t xml:space="preserve">o similar, en arreglo a la norma ASTM E 1710 </w:t>
            </w:r>
            <w:r w:rsidR="009E36E0" w:rsidRPr="00C361AD">
              <w:rPr>
                <w:rFonts w:ascii="Arial" w:hAnsi="Arial" w:cs="Arial"/>
                <w:snapToGrid w:val="0"/>
                <w:sz w:val="16"/>
                <w:szCs w:val="16"/>
                <w:lang w:val="es-UY" w:eastAsia="es-ES"/>
              </w:rPr>
              <w:t>;</w:t>
            </w:r>
            <w:r w:rsidRPr="00C361AD">
              <w:rPr>
                <w:rFonts w:ascii="Arial" w:hAnsi="Arial" w:cs="Arial"/>
                <w:snapToGrid w:val="0"/>
                <w:sz w:val="16"/>
                <w:szCs w:val="16"/>
                <w:lang w:val="es-UY" w:eastAsia="es-ES"/>
              </w:rPr>
              <w:t>con un ángulo de incidencia de 88,76° y un ángulo de observación de 1,05.</w:t>
            </w:r>
          </w:p>
        </w:tc>
        <w:tc>
          <w:tcPr>
            <w:tcW w:w="927" w:type="pct"/>
            <w:vAlign w:val="center"/>
          </w:tcPr>
          <w:p w14:paraId="682144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deberán ser mayores o iguales a los estipulados en las Tablas correspondientes a la Clase 1 según la Norma Uruguaya de Señalización Horizontal (Adjunto), Art. 4.3.</w:t>
            </w:r>
          </w:p>
        </w:tc>
        <w:tc>
          <w:tcPr>
            <w:tcW w:w="353" w:type="pct"/>
            <w:vAlign w:val="center"/>
          </w:tcPr>
          <w:p w14:paraId="5F5C67E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55" w:type="pct"/>
            <w:vAlign w:val="center"/>
          </w:tcPr>
          <w:p w14:paraId="770A95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5F17BB36" w14:textId="77777777" w:rsidTr="00084EE9">
        <w:trPr>
          <w:trHeight w:val="2254"/>
          <w:jc w:val="center"/>
        </w:trPr>
        <w:tc>
          <w:tcPr>
            <w:tcW w:w="277" w:type="pct"/>
            <w:vMerge/>
            <w:shd w:val="clear" w:color="auto" w:fill="BFBFBF"/>
          </w:tcPr>
          <w:p w14:paraId="78D9B46E" w14:textId="77777777" w:rsidR="00A3029F" w:rsidRPr="00B7174F" w:rsidRDefault="00A3029F" w:rsidP="00CF69B3">
            <w:pPr>
              <w:widowControl w:val="0"/>
              <w:spacing w:after="0" w:line="240" w:lineRule="auto"/>
              <w:rPr>
                <w:rFonts w:ascii="Arial" w:hAnsi="Arial" w:cs="Arial"/>
                <w:snapToGrid w:val="0"/>
                <w:sz w:val="16"/>
                <w:szCs w:val="16"/>
                <w:lang w:val="es-UY" w:eastAsia="es-ES"/>
              </w:rPr>
            </w:pPr>
          </w:p>
        </w:tc>
        <w:tc>
          <w:tcPr>
            <w:tcW w:w="265" w:type="pct"/>
            <w:vAlign w:val="center"/>
          </w:tcPr>
          <w:p w14:paraId="52EBD77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HAnch</w:t>
            </w:r>
          </w:p>
        </w:tc>
        <w:tc>
          <w:tcPr>
            <w:tcW w:w="441" w:type="pct"/>
            <w:vAlign w:val="center"/>
          </w:tcPr>
          <w:p w14:paraId="3CB60C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de líneas</w:t>
            </w:r>
          </w:p>
        </w:tc>
        <w:tc>
          <w:tcPr>
            <w:tcW w:w="441" w:type="pct"/>
            <w:vAlign w:val="center"/>
          </w:tcPr>
          <w:p w14:paraId="2EF7746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según Norma Uruguaya de Señalización</w:t>
            </w:r>
          </w:p>
        </w:tc>
        <w:tc>
          <w:tcPr>
            <w:tcW w:w="706" w:type="pct"/>
            <w:vAlign w:val="center"/>
          </w:tcPr>
          <w:p w14:paraId="66397EC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Ancho mínimo</w:t>
            </w:r>
          </w:p>
        </w:tc>
        <w:tc>
          <w:tcPr>
            <w:tcW w:w="1235" w:type="pct"/>
            <w:vAlign w:val="center"/>
          </w:tcPr>
          <w:p w14:paraId="46C1F06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realizará una medición para cada tipo de línea por hectómetro. Cada medición se realizará según lo previsto en la Norma Uruguaya de Señalización.</w:t>
            </w:r>
          </w:p>
        </w:tc>
        <w:tc>
          <w:tcPr>
            <w:tcW w:w="927" w:type="pct"/>
            <w:vAlign w:val="center"/>
          </w:tcPr>
          <w:p w14:paraId="192FDA1D" w14:textId="77777777" w:rsidR="00A3029F" w:rsidRPr="00B7174F" w:rsidRDefault="00A3029F" w:rsidP="009E36E0">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Demarcación de líneas de eje y borde</w:t>
            </w:r>
            <w:r w:rsidRPr="00C361AD">
              <w:rPr>
                <w:rFonts w:ascii="Arial" w:hAnsi="Arial" w:cs="Arial"/>
                <w:snapToGrid w:val="0"/>
                <w:sz w:val="16"/>
                <w:szCs w:val="16"/>
                <w:lang w:val="es-UY" w:eastAsia="es-ES"/>
              </w:rPr>
              <w:t>: ≥1</w:t>
            </w:r>
            <w:r w:rsidR="009E36E0" w:rsidRPr="00C361AD">
              <w:rPr>
                <w:rFonts w:ascii="Arial" w:hAnsi="Arial" w:cs="Arial"/>
                <w:snapToGrid w:val="0"/>
                <w:sz w:val="16"/>
                <w:szCs w:val="16"/>
                <w:lang w:val="es-UY" w:eastAsia="es-ES"/>
              </w:rPr>
              <w:t>5</w:t>
            </w:r>
            <w:r w:rsidRPr="00C361AD">
              <w:rPr>
                <w:rFonts w:ascii="Arial" w:hAnsi="Arial" w:cs="Arial"/>
                <w:snapToGrid w:val="0"/>
                <w:sz w:val="16"/>
                <w:szCs w:val="16"/>
                <w:lang w:val="es-UY" w:eastAsia="es-ES"/>
              </w:rPr>
              <w:t>cm. Demarcación de líneas de borde con resalto se ejecutará de acuerdo a lo dispuesto en el proyecto</w:t>
            </w:r>
            <w:r w:rsidRPr="00B7174F">
              <w:rPr>
                <w:rFonts w:ascii="Arial" w:hAnsi="Arial" w:cs="Arial"/>
                <w:snapToGrid w:val="0"/>
                <w:sz w:val="16"/>
                <w:szCs w:val="16"/>
                <w:lang w:val="es-UY" w:eastAsia="es-ES"/>
              </w:rPr>
              <w:t xml:space="preserve"> correspondiente, no se admitirán anchos inferiores a estos. Líneas de</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 xml:space="preserve">reducción de velocidad se ejecutarán de acuerdo a la N. Uruguaya de Señ. </w:t>
            </w:r>
            <w:r w:rsidRPr="00B7174F">
              <w:rPr>
                <w:rFonts w:ascii="Arial" w:hAnsi="Arial" w:cs="Arial"/>
                <w:snapToGrid w:val="0"/>
                <w:sz w:val="16"/>
                <w:szCs w:val="16"/>
                <w:lang w:val="es-UY" w:eastAsia="es-ES"/>
              </w:rPr>
              <w:lastRenderedPageBreak/>
              <w:t>Horizontal, Art. 3.2.3. y no se admitirán interdistancias y anchos inferiores a los establecidos en el mencionado artículo.</w:t>
            </w:r>
          </w:p>
        </w:tc>
        <w:tc>
          <w:tcPr>
            <w:tcW w:w="353" w:type="pct"/>
            <w:vAlign w:val="center"/>
          </w:tcPr>
          <w:p w14:paraId="5BCF3D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6 días</w:t>
            </w:r>
          </w:p>
        </w:tc>
        <w:tc>
          <w:tcPr>
            <w:tcW w:w="355" w:type="pct"/>
            <w:vAlign w:val="center"/>
          </w:tcPr>
          <w:p w14:paraId="3870EBE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2C17E3BE" w14:textId="77777777">
        <w:trPr>
          <w:trHeight w:val="1409"/>
          <w:jc w:val="center"/>
        </w:trPr>
        <w:tc>
          <w:tcPr>
            <w:tcW w:w="277" w:type="pct"/>
            <w:shd w:val="clear" w:color="auto" w:fill="BFBFBF"/>
            <w:textDirection w:val="btLr"/>
            <w:vAlign w:val="center"/>
          </w:tcPr>
          <w:p w14:paraId="2C75F7D6"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lastRenderedPageBreak/>
              <w:t>COMPLE-MENTARIOS</w:t>
            </w:r>
          </w:p>
        </w:tc>
        <w:tc>
          <w:tcPr>
            <w:tcW w:w="265" w:type="pct"/>
            <w:vAlign w:val="center"/>
          </w:tcPr>
          <w:p w14:paraId="44B191D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HCol</w:t>
            </w:r>
          </w:p>
        </w:tc>
        <w:tc>
          <w:tcPr>
            <w:tcW w:w="441" w:type="pct"/>
            <w:vAlign w:val="center"/>
          </w:tcPr>
          <w:p w14:paraId="6B3437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Decoloración o suciedad de las líneas o marcas</w:t>
            </w:r>
          </w:p>
        </w:tc>
        <w:tc>
          <w:tcPr>
            <w:tcW w:w="441" w:type="pct"/>
            <w:vAlign w:val="center"/>
          </w:tcPr>
          <w:p w14:paraId="4D46C52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706" w:type="pct"/>
            <w:vAlign w:val="center"/>
          </w:tcPr>
          <w:p w14:paraId="2F061C5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Coordenadas cromáticas dentro del diagrama CIE definido por los 4 puntos contenidos en la tabla correspondiente de la Norma Uruguaya de Señalización Horizontal.</w:t>
            </w:r>
          </w:p>
        </w:tc>
        <w:tc>
          <w:tcPr>
            <w:tcW w:w="1235" w:type="pct"/>
            <w:vAlign w:val="center"/>
          </w:tcPr>
          <w:p w14:paraId="187A382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La determinación se realizará con un espectrocolorímetroSpectraScan PR 650</w:t>
            </w:r>
            <w:r w:rsidR="00B14DCC">
              <w:rPr>
                <w:rFonts w:ascii="Arial" w:hAnsi="Arial" w:cs="Arial"/>
                <w:snapToGrid w:val="0"/>
                <w:sz w:val="16"/>
                <w:szCs w:val="16"/>
                <w:lang w:val="es-UY" w:eastAsia="es-ES"/>
              </w:rPr>
              <w:t xml:space="preserve"> </w:t>
            </w:r>
            <w:r w:rsidRPr="00B7174F">
              <w:rPr>
                <w:rFonts w:ascii="Arial" w:hAnsi="Arial" w:cs="Arial"/>
                <w:snapToGrid w:val="0"/>
                <w:sz w:val="16"/>
                <w:szCs w:val="16"/>
                <w:lang w:val="es-UY" w:eastAsia="es-ES"/>
              </w:rPr>
              <w:t>o similar dotado con un iluminante patrón CIE tipo D65 con geometría 45/0 y observador patrón 2°.</w:t>
            </w:r>
          </w:p>
        </w:tc>
        <w:tc>
          <w:tcPr>
            <w:tcW w:w="927" w:type="pct"/>
            <w:vAlign w:val="center"/>
          </w:tcPr>
          <w:p w14:paraId="23C833D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Los valores deben estar comprendidos en los vértices de la región cromática definidos en la Norma Uruguaya de Señalización Horizontal (Adjunto), Art. 3.2.</w:t>
            </w:r>
          </w:p>
        </w:tc>
        <w:tc>
          <w:tcPr>
            <w:tcW w:w="353" w:type="pct"/>
            <w:vAlign w:val="center"/>
          </w:tcPr>
          <w:p w14:paraId="527A720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3E74B6EE" w14:textId="77777777" w:rsidR="00A3029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p w14:paraId="1E9A9A23" w14:textId="77777777" w:rsidR="0030618E" w:rsidRPr="00B7174F" w:rsidRDefault="0030618E" w:rsidP="00CF69B3">
            <w:pPr>
              <w:widowControl w:val="0"/>
              <w:spacing w:after="0" w:line="240" w:lineRule="auto"/>
              <w:rPr>
                <w:rFonts w:ascii="Arial" w:hAnsi="Arial" w:cs="Arial"/>
                <w:snapToGrid w:val="0"/>
                <w:sz w:val="16"/>
                <w:szCs w:val="16"/>
                <w:lang w:val="es-UY" w:eastAsia="es-ES"/>
              </w:rPr>
            </w:pPr>
          </w:p>
        </w:tc>
      </w:tr>
    </w:tbl>
    <w:p w14:paraId="2B88BE40" w14:textId="77777777" w:rsidR="00976F0D" w:rsidRDefault="00976F0D" w:rsidP="00CF69B3">
      <w:pPr>
        <w:pStyle w:val="T2A5"/>
        <w:numPr>
          <w:ilvl w:val="0"/>
          <w:numId w:val="0"/>
        </w:numPr>
        <w:outlineLvl w:val="9"/>
      </w:pPr>
    </w:p>
    <w:p w14:paraId="37F76901" w14:textId="77777777" w:rsidR="00A3029F" w:rsidRPr="00386FC6" w:rsidRDefault="00863A9E" w:rsidP="00F7224E">
      <w:pPr>
        <w:pStyle w:val="Prrafodelista"/>
        <w:keepNext/>
        <w:tabs>
          <w:tab w:val="left" w:pos="720"/>
        </w:tabs>
        <w:spacing w:before="240" w:after="60" w:line="360" w:lineRule="auto"/>
        <w:ind w:left="360"/>
        <w:jc w:val="both"/>
        <w:rPr>
          <w:rFonts w:ascii="Arial" w:hAnsi="Arial"/>
          <w:b/>
        </w:rPr>
      </w:pPr>
      <w:r>
        <w:rPr>
          <w:rFonts w:ascii="Arial" w:hAnsi="Arial"/>
          <w:b/>
        </w:rPr>
        <w:t xml:space="preserve">4.3.1.2 </w:t>
      </w:r>
      <w:r w:rsidR="00386FC6" w:rsidRPr="00386FC6">
        <w:rPr>
          <w:rFonts w:ascii="Arial" w:hAnsi="Arial"/>
          <w:b/>
        </w:rPr>
        <w:t>NIVELES DE SERVICIO PARA TACHAS REFLECTIVAS.</w:t>
      </w:r>
    </w:p>
    <w:p w14:paraId="29841758" w14:textId="77777777" w:rsidR="00A3029F" w:rsidRDefault="00A3029F" w:rsidP="00CF69B3">
      <w:pPr>
        <w:widowControl w:val="0"/>
        <w:tabs>
          <w:tab w:val="num" w:pos="431"/>
        </w:tabs>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Una tacha íntegra debe conservar toda su superficie reflectiva perfectamente fijada y sin pérdida de partes. Así mismo el cuerpo de la tacha no puede presentar desprendimientos o faltantes de partes que modifiquen su geometría. La alineación de la tachas reflectivas se mide a través de la determinación del ángulo que forma el eje de la ruta con el eje del retroreflector proyectado sobre el pavimento. En una tacha alineada correctamente, dicho ángulo debe ser menor que 3º.</w:t>
      </w:r>
    </w:p>
    <w:p w14:paraId="4B80457D" w14:textId="77777777" w:rsidR="00976F0D" w:rsidRDefault="00976F0D" w:rsidP="00CF69B3">
      <w:pPr>
        <w:widowControl w:val="0"/>
        <w:tabs>
          <w:tab w:val="num" w:pos="431"/>
        </w:tabs>
        <w:spacing w:after="120"/>
        <w:jc w:val="both"/>
        <w:rPr>
          <w:rFonts w:ascii="Arial" w:hAnsi="Arial" w:cs="Arial"/>
          <w:snapToGrid w:val="0"/>
          <w:color w:val="000000"/>
          <w:sz w:val="20"/>
          <w:szCs w:val="20"/>
          <w:lang w:val="es-ES_tradnl" w:eastAsia="es-ES"/>
        </w:rPr>
      </w:pPr>
    </w:p>
    <w:p w14:paraId="12F6A0EF" w14:textId="77777777" w:rsidR="00976F0D" w:rsidRPr="00B7174F" w:rsidRDefault="00976F0D" w:rsidP="00CF69B3">
      <w:pPr>
        <w:widowControl w:val="0"/>
        <w:tabs>
          <w:tab w:val="num" w:pos="431"/>
        </w:tabs>
        <w:spacing w:after="120"/>
        <w:jc w:val="both"/>
        <w:rPr>
          <w:rFonts w:ascii="Arial" w:hAnsi="Arial" w:cs="Arial"/>
          <w:snapToGrid w:val="0"/>
          <w:color w:val="000000"/>
          <w:sz w:val="18"/>
          <w:szCs w:val="18"/>
          <w:lang w:val="es-ES_tradnl" w:eastAsia="es-ES"/>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657"/>
        <w:gridCol w:w="615"/>
        <w:gridCol w:w="603"/>
        <w:gridCol w:w="840"/>
        <w:gridCol w:w="2505"/>
        <w:gridCol w:w="1383"/>
        <w:gridCol w:w="1487"/>
        <w:gridCol w:w="1716"/>
        <w:gridCol w:w="801"/>
        <w:gridCol w:w="863"/>
      </w:tblGrid>
      <w:tr w:rsidR="00A3029F" w:rsidRPr="00B7174F" w14:paraId="5A5E8BA6" w14:textId="77777777">
        <w:trPr>
          <w:cantSplit/>
          <w:trHeight w:val="567"/>
          <w:jc w:val="center"/>
        </w:trPr>
        <w:tc>
          <w:tcPr>
            <w:tcW w:w="287" w:type="pct"/>
            <w:shd w:val="clear" w:color="auto" w:fill="595959"/>
            <w:vAlign w:val="center"/>
          </w:tcPr>
          <w:p w14:paraId="1A88A01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268" w:type="pct"/>
            <w:shd w:val="clear" w:color="auto" w:fill="595959"/>
            <w:vAlign w:val="center"/>
          </w:tcPr>
          <w:p w14:paraId="0672F6E4"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629" w:type="pct"/>
            <w:gridSpan w:val="2"/>
            <w:shd w:val="clear" w:color="auto" w:fill="595959"/>
            <w:vAlign w:val="center"/>
          </w:tcPr>
          <w:p w14:paraId="03763C75"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092" w:type="pct"/>
            <w:shd w:val="clear" w:color="auto" w:fill="595959"/>
            <w:vAlign w:val="center"/>
          </w:tcPr>
          <w:p w14:paraId="69FA0DBF"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03" w:type="pct"/>
            <w:shd w:val="clear" w:color="auto" w:fill="595959"/>
            <w:vAlign w:val="center"/>
          </w:tcPr>
          <w:p w14:paraId="38EE4FE6"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648" w:type="pct"/>
            <w:shd w:val="clear" w:color="auto" w:fill="595959"/>
            <w:vAlign w:val="center"/>
          </w:tcPr>
          <w:p w14:paraId="297BF988"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48" w:type="pct"/>
            <w:shd w:val="clear" w:color="auto" w:fill="595959"/>
            <w:vAlign w:val="center"/>
          </w:tcPr>
          <w:p w14:paraId="14209B1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49" w:type="pct"/>
            <w:shd w:val="clear" w:color="auto" w:fill="595959"/>
            <w:vAlign w:val="center"/>
          </w:tcPr>
          <w:p w14:paraId="41EB9707"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76" w:type="pct"/>
            <w:shd w:val="clear" w:color="auto" w:fill="595959"/>
            <w:vAlign w:val="center"/>
          </w:tcPr>
          <w:p w14:paraId="060DCC2D"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A3029F" w:rsidRPr="00B7174F" w14:paraId="34C18318" w14:textId="77777777">
        <w:trPr>
          <w:trHeight w:val="822"/>
          <w:jc w:val="center"/>
        </w:trPr>
        <w:tc>
          <w:tcPr>
            <w:tcW w:w="287" w:type="pct"/>
            <w:vMerge w:val="restart"/>
            <w:shd w:val="clear" w:color="auto" w:fill="BFBFBF"/>
            <w:textDirection w:val="btLr"/>
            <w:vAlign w:val="center"/>
          </w:tcPr>
          <w:p w14:paraId="78204D1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268" w:type="pct"/>
            <w:vAlign w:val="center"/>
          </w:tcPr>
          <w:p w14:paraId="0A39AF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Fal</w:t>
            </w:r>
          </w:p>
        </w:tc>
        <w:tc>
          <w:tcPr>
            <w:tcW w:w="263" w:type="pct"/>
            <w:vAlign w:val="center"/>
          </w:tcPr>
          <w:p w14:paraId="6216C2D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14:paraId="1E3D974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14:paraId="3BE0A1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14:paraId="338F8D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 T1</w:t>
            </w:r>
          </w:p>
        </w:tc>
        <w:tc>
          <w:tcPr>
            <w:tcW w:w="603" w:type="pct"/>
            <w:vAlign w:val="center"/>
          </w:tcPr>
          <w:p w14:paraId="252F55F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14:paraId="2400F5F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53E9B2E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4781AA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546B55A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61B8E3A0" w14:textId="77777777">
        <w:trPr>
          <w:trHeight w:val="1062"/>
          <w:jc w:val="center"/>
        </w:trPr>
        <w:tc>
          <w:tcPr>
            <w:tcW w:w="287" w:type="pct"/>
            <w:vMerge/>
            <w:shd w:val="clear" w:color="auto" w:fill="BFBFBF"/>
            <w:vAlign w:val="center"/>
          </w:tcPr>
          <w:p w14:paraId="7ECEF5A0"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restart"/>
            <w:vAlign w:val="center"/>
          </w:tcPr>
          <w:p w14:paraId="64B1E70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TAE Rot</w:t>
            </w:r>
          </w:p>
        </w:tc>
        <w:tc>
          <w:tcPr>
            <w:tcW w:w="263" w:type="pct"/>
            <w:vMerge w:val="restart"/>
            <w:vAlign w:val="center"/>
          </w:tcPr>
          <w:p w14:paraId="17F89A3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w:t>
            </w:r>
          </w:p>
          <w:p w14:paraId="3741CD7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eje</w:t>
            </w:r>
          </w:p>
        </w:tc>
        <w:tc>
          <w:tcPr>
            <w:tcW w:w="366" w:type="pct"/>
            <w:vAlign w:val="center"/>
          </w:tcPr>
          <w:p w14:paraId="7273DD4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14:paraId="61FD4D4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14:paraId="4D8A7E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5515699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3180A92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2FE5710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102E77D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34CD515B" w14:textId="77777777">
        <w:trPr>
          <w:trHeight w:val="697"/>
          <w:jc w:val="center"/>
        </w:trPr>
        <w:tc>
          <w:tcPr>
            <w:tcW w:w="287" w:type="pct"/>
            <w:vMerge/>
            <w:shd w:val="clear" w:color="auto" w:fill="BFBFBF"/>
            <w:vAlign w:val="center"/>
          </w:tcPr>
          <w:p w14:paraId="0D014D84"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14:paraId="06077302"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66D3D417"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677C515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14:paraId="27487DE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14:paraId="2312A2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1CF08F9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53C2840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6850D6E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0050BF7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25DBC560" w14:textId="77777777">
        <w:trPr>
          <w:trHeight w:val="705"/>
          <w:jc w:val="center"/>
        </w:trPr>
        <w:tc>
          <w:tcPr>
            <w:tcW w:w="287" w:type="pct"/>
            <w:vMerge/>
            <w:shd w:val="clear" w:color="auto" w:fill="BFBFBF"/>
            <w:vAlign w:val="center"/>
          </w:tcPr>
          <w:p w14:paraId="43B6DAD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268" w:type="pct"/>
            <w:vMerge/>
            <w:vAlign w:val="center"/>
          </w:tcPr>
          <w:p w14:paraId="58F6369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7899C39A"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3DF1EF5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14:paraId="0577DB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14:paraId="6225457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4AE678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06ACFF9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35D6095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6 días</w:t>
            </w:r>
          </w:p>
        </w:tc>
        <w:tc>
          <w:tcPr>
            <w:tcW w:w="376" w:type="pct"/>
            <w:vAlign w:val="center"/>
          </w:tcPr>
          <w:p w14:paraId="6F302A8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02938755" w14:textId="77777777">
        <w:trPr>
          <w:trHeight w:val="813"/>
          <w:jc w:val="center"/>
        </w:trPr>
        <w:tc>
          <w:tcPr>
            <w:tcW w:w="287" w:type="pct"/>
            <w:vMerge w:val="restart"/>
            <w:shd w:val="clear" w:color="auto" w:fill="BFBFBF"/>
            <w:textDirection w:val="btLr"/>
            <w:vAlign w:val="center"/>
          </w:tcPr>
          <w:p w14:paraId="7B2FA8FF"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268" w:type="pct"/>
            <w:vAlign w:val="center"/>
          </w:tcPr>
          <w:p w14:paraId="6E73368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Fal</w:t>
            </w:r>
          </w:p>
        </w:tc>
        <w:tc>
          <w:tcPr>
            <w:tcW w:w="263" w:type="pct"/>
            <w:vAlign w:val="center"/>
          </w:tcPr>
          <w:p w14:paraId="54FF7E2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14:paraId="6896B4E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Existencia y pertinencia</w:t>
            </w:r>
          </w:p>
        </w:tc>
        <w:tc>
          <w:tcPr>
            <w:tcW w:w="1092" w:type="pct"/>
            <w:vAlign w:val="center"/>
          </w:tcPr>
          <w:p w14:paraId="78A6872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Número de tachas faltantes o inadecuadas respecto al proyecto aprobado (∆n).T1*</w:t>
            </w:r>
          </w:p>
        </w:tc>
        <w:tc>
          <w:tcPr>
            <w:tcW w:w="603" w:type="pct"/>
            <w:vAlign w:val="center"/>
          </w:tcPr>
          <w:p w14:paraId="279C252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faltantes o inadecuadas con la demarcación.</w:t>
            </w:r>
          </w:p>
        </w:tc>
        <w:tc>
          <w:tcPr>
            <w:tcW w:w="648" w:type="pct"/>
            <w:vAlign w:val="center"/>
          </w:tcPr>
          <w:p w14:paraId="2C4A53B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3A7A41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7F29605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71631E6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7A63E185" w14:textId="77777777">
        <w:trPr>
          <w:trHeight w:val="981"/>
          <w:jc w:val="center"/>
        </w:trPr>
        <w:tc>
          <w:tcPr>
            <w:tcW w:w="287" w:type="pct"/>
            <w:vMerge/>
            <w:shd w:val="clear" w:color="auto" w:fill="BFBFBF"/>
            <w:textDirection w:val="btLr"/>
          </w:tcPr>
          <w:p w14:paraId="70BB76DB"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restart"/>
            <w:vAlign w:val="center"/>
          </w:tcPr>
          <w:p w14:paraId="62CBAB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TAB Rot</w:t>
            </w:r>
          </w:p>
        </w:tc>
        <w:tc>
          <w:tcPr>
            <w:tcW w:w="263" w:type="pct"/>
            <w:vMerge w:val="restart"/>
            <w:vAlign w:val="center"/>
          </w:tcPr>
          <w:p w14:paraId="3A7EDBF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borde</w:t>
            </w:r>
          </w:p>
        </w:tc>
        <w:tc>
          <w:tcPr>
            <w:tcW w:w="366" w:type="pct"/>
            <w:vAlign w:val="center"/>
          </w:tcPr>
          <w:p w14:paraId="2FC9486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torcidas</w:t>
            </w:r>
          </w:p>
        </w:tc>
        <w:tc>
          <w:tcPr>
            <w:tcW w:w="1092" w:type="pct"/>
            <w:vAlign w:val="center"/>
          </w:tcPr>
          <w:p w14:paraId="57EA8D2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hundidas de tal forma que comprometa su visibilidad total o parcialmente, o formando un ángulo mayor a 3° entre el eje de la ruta y el eje retroreflector proyectado sobre el pavimento. T2*</w:t>
            </w:r>
          </w:p>
        </w:tc>
        <w:tc>
          <w:tcPr>
            <w:tcW w:w="603" w:type="pct"/>
            <w:vAlign w:val="center"/>
          </w:tcPr>
          <w:p w14:paraId="5C36CC5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3D49188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383E58A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4ADC745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0668B7E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0A3140D4" w14:textId="77777777">
        <w:trPr>
          <w:trHeight w:val="675"/>
          <w:jc w:val="center"/>
        </w:trPr>
        <w:tc>
          <w:tcPr>
            <w:tcW w:w="287" w:type="pct"/>
            <w:vMerge/>
            <w:shd w:val="clear" w:color="auto" w:fill="BFBFBF"/>
            <w:textDirection w:val="btLr"/>
          </w:tcPr>
          <w:p w14:paraId="64CFABE4"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14:paraId="0E023E58"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071E7AC2"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37580E3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w:t>
            </w:r>
          </w:p>
        </w:tc>
        <w:tc>
          <w:tcPr>
            <w:tcW w:w="1092" w:type="pct"/>
            <w:vAlign w:val="center"/>
          </w:tcPr>
          <w:p w14:paraId="48260E2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quebradas T3*</w:t>
            </w:r>
          </w:p>
        </w:tc>
        <w:tc>
          <w:tcPr>
            <w:tcW w:w="603" w:type="pct"/>
            <w:vAlign w:val="center"/>
          </w:tcPr>
          <w:p w14:paraId="76F8B9A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3EF799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3BB5AB1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437117C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64AADEC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A3029F" w:rsidRPr="00B7174F" w14:paraId="6B94482D" w14:textId="77777777">
        <w:trPr>
          <w:trHeight w:val="700"/>
          <w:jc w:val="center"/>
        </w:trPr>
        <w:tc>
          <w:tcPr>
            <w:tcW w:w="287" w:type="pct"/>
            <w:vMerge/>
            <w:shd w:val="clear" w:color="auto" w:fill="BFBFBF"/>
            <w:textDirection w:val="btLr"/>
          </w:tcPr>
          <w:p w14:paraId="1E90B1E6" w14:textId="77777777" w:rsidR="00A3029F" w:rsidRPr="00B7174F" w:rsidRDefault="00A3029F"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Merge/>
            <w:vAlign w:val="center"/>
          </w:tcPr>
          <w:p w14:paraId="300596D4"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Merge/>
            <w:vAlign w:val="center"/>
          </w:tcPr>
          <w:p w14:paraId="6178076C"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54C1B43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Tachas con pérdida del área reflectiva</w:t>
            </w:r>
          </w:p>
        </w:tc>
        <w:tc>
          <w:tcPr>
            <w:tcW w:w="1092" w:type="pct"/>
            <w:vAlign w:val="center"/>
          </w:tcPr>
          <w:p w14:paraId="262B971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T4*</w:t>
            </w:r>
          </w:p>
        </w:tc>
        <w:tc>
          <w:tcPr>
            <w:tcW w:w="603" w:type="pct"/>
            <w:vAlign w:val="center"/>
          </w:tcPr>
          <w:p w14:paraId="715049E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máximo de tachas deterioradas.</w:t>
            </w:r>
          </w:p>
        </w:tc>
        <w:tc>
          <w:tcPr>
            <w:tcW w:w="648" w:type="pct"/>
            <w:vAlign w:val="center"/>
          </w:tcPr>
          <w:p w14:paraId="302F5EF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controlarán visualmente todas las tachas de cada hectómetro</w:t>
            </w:r>
          </w:p>
        </w:tc>
        <w:tc>
          <w:tcPr>
            <w:tcW w:w="748" w:type="pct"/>
            <w:vAlign w:val="center"/>
          </w:tcPr>
          <w:p w14:paraId="245AC0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Porcentaje de tachas con defectos T1*+T2*+T3*+T4*&lt;= 25% en forma localizada</w:t>
            </w:r>
          </w:p>
        </w:tc>
        <w:tc>
          <w:tcPr>
            <w:tcW w:w="349" w:type="pct"/>
            <w:vAlign w:val="center"/>
          </w:tcPr>
          <w:p w14:paraId="489AFD5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76" w:type="pct"/>
            <w:vAlign w:val="center"/>
          </w:tcPr>
          <w:p w14:paraId="7CF55A4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976F0D" w:rsidRPr="00B7174F" w14:paraId="33798B6D" w14:textId="77777777">
        <w:trPr>
          <w:trHeight w:val="700"/>
          <w:jc w:val="center"/>
        </w:trPr>
        <w:tc>
          <w:tcPr>
            <w:tcW w:w="287" w:type="pct"/>
            <w:shd w:val="clear" w:color="auto" w:fill="BFBFBF"/>
            <w:textDirection w:val="btLr"/>
          </w:tcPr>
          <w:p w14:paraId="32A1DB29" w14:textId="77777777" w:rsidR="00976F0D" w:rsidRDefault="00976F0D" w:rsidP="00CF69B3">
            <w:pPr>
              <w:widowControl w:val="0"/>
              <w:spacing w:after="0" w:line="240" w:lineRule="auto"/>
              <w:ind w:left="113" w:right="113"/>
              <w:jc w:val="both"/>
              <w:rPr>
                <w:rFonts w:ascii="Arial" w:hAnsi="Arial" w:cs="Arial"/>
                <w:snapToGrid w:val="0"/>
                <w:sz w:val="16"/>
                <w:szCs w:val="16"/>
                <w:lang w:val="es-UY" w:eastAsia="es-ES"/>
              </w:rPr>
            </w:pPr>
          </w:p>
          <w:p w14:paraId="066194A1" w14:textId="77777777" w:rsidR="00976F0D" w:rsidRPr="00B7174F" w:rsidRDefault="00976F0D" w:rsidP="00CF69B3">
            <w:pPr>
              <w:widowControl w:val="0"/>
              <w:spacing w:after="0" w:line="240" w:lineRule="auto"/>
              <w:ind w:left="113" w:right="113"/>
              <w:jc w:val="both"/>
              <w:rPr>
                <w:rFonts w:ascii="Arial" w:hAnsi="Arial" w:cs="Arial"/>
                <w:snapToGrid w:val="0"/>
                <w:sz w:val="16"/>
                <w:szCs w:val="16"/>
                <w:lang w:val="es-UY" w:eastAsia="es-ES"/>
              </w:rPr>
            </w:pPr>
          </w:p>
        </w:tc>
        <w:tc>
          <w:tcPr>
            <w:tcW w:w="268" w:type="pct"/>
            <w:vAlign w:val="center"/>
          </w:tcPr>
          <w:p w14:paraId="688FAB12" w14:textId="77777777" w:rsidR="00976F0D" w:rsidRPr="00B7174F" w:rsidRDefault="00976F0D"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263" w:type="pct"/>
            <w:vAlign w:val="center"/>
          </w:tcPr>
          <w:p w14:paraId="6AA2AF6C" w14:textId="77777777" w:rsidR="00976F0D" w:rsidRPr="00B7174F" w:rsidRDefault="00976F0D"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p>
        </w:tc>
        <w:tc>
          <w:tcPr>
            <w:tcW w:w="366" w:type="pct"/>
            <w:vAlign w:val="center"/>
          </w:tcPr>
          <w:p w14:paraId="7E30B2EC"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1092" w:type="pct"/>
            <w:vAlign w:val="center"/>
          </w:tcPr>
          <w:p w14:paraId="2D4D0F22"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603" w:type="pct"/>
            <w:vAlign w:val="center"/>
          </w:tcPr>
          <w:p w14:paraId="004A4786"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648" w:type="pct"/>
            <w:vAlign w:val="center"/>
          </w:tcPr>
          <w:p w14:paraId="3CA68DB0"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748" w:type="pct"/>
            <w:vAlign w:val="center"/>
          </w:tcPr>
          <w:p w14:paraId="5C9660A5"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349" w:type="pct"/>
            <w:vAlign w:val="center"/>
          </w:tcPr>
          <w:p w14:paraId="10067BA7"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c>
          <w:tcPr>
            <w:tcW w:w="376" w:type="pct"/>
            <w:vAlign w:val="center"/>
          </w:tcPr>
          <w:p w14:paraId="63C263BF" w14:textId="77777777" w:rsidR="00976F0D" w:rsidRPr="00B7174F" w:rsidRDefault="00976F0D" w:rsidP="00CF69B3">
            <w:pPr>
              <w:widowControl w:val="0"/>
              <w:spacing w:after="0" w:line="240" w:lineRule="auto"/>
              <w:jc w:val="center"/>
              <w:rPr>
                <w:rFonts w:ascii="Arial" w:hAnsi="Arial" w:cs="Arial"/>
                <w:snapToGrid w:val="0"/>
                <w:sz w:val="16"/>
                <w:szCs w:val="16"/>
                <w:lang w:val="es-UY" w:eastAsia="es-ES"/>
              </w:rPr>
            </w:pPr>
          </w:p>
        </w:tc>
      </w:tr>
    </w:tbl>
    <w:p w14:paraId="58E6A3CC" w14:textId="77777777" w:rsidR="003E75C4" w:rsidRPr="00C361AD" w:rsidRDefault="003E75C4" w:rsidP="009A58E0">
      <w:pPr>
        <w:pStyle w:val="T2A6"/>
        <w:numPr>
          <w:ilvl w:val="1"/>
          <w:numId w:val="119"/>
        </w:numPr>
      </w:pPr>
      <w:r w:rsidRPr="00C361AD">
        <w:rPr>
          <w:rFonts w:cs="Times New Roman"/>
          <w:snapToGrid w:val="0"/>
        </w:rPr>
        <w:t>Señalización  de obra</w:t>
      </w:r>
    </w:p>
    <w:p w14:paraId="2326A2BA" w14:textId="77777777" w:rsidR="003E75C4" w:rsidRPr="00C361AD"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La señalización de obra se regirá por la Norma Uruguaya de Señalización.</w:t>
      </w:r>
    </w:p>
    <w:p w14:paraId="1C3D7657" w14:textId="77777777" w:rsidR="003E75C4" w:rsidRPr="00C361AD"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La señalización de obra será totalmente reflectiva tipo 3 fluorescente.</w:t>
      </w:r>
    </w:p>
    <w:p w14:paraId="7CF1A6FE" w14:textId="5550A301" w:rsidR="00ED7765" w:rsidRDefault="003E75C4"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No se permitirá la presencia de tramos pavimentados sin señalización horizontal del eje como mínimo. La configuración de la señalización horizontal deberá aprobarse previamente por la Dirección de Obra.</w:t>
      </w:r>
    </w:p>
    <w:p w14:paraId="118A3542" w14:textId="77777777" w:rsidR="00ED7765" w:rsidRDefault="00ED7765">
      <w:pPr>
        <w:spacing w:after="0" w:line="240" w:lineRule="auto"/>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br w:type="page"/>
      </w:r>
    </w:p>
    <w:p w14:paraId="5DA051BD" w14:textId="77777777" w:rsidR="006A66C4" w:rsidRPr="000544DC" w:rsidRDefault="006A66C4" w:rsidP="006A66C4">
      <w:pPr>
        <w:pStyle w:val="T2A6"/>
        <w:numPr>
          <w:ilvl w:val="0"/>
          <w:numId w:val="0"/>
        </w:numPr>
        <w:ind w:left="284"/>
      </w:pPr>
      <w:bookmarkStart w:id="1592" w:name="_Toc400622347"/>
      <w:bookmarkStart w:id="1593" w:name="_Toc400634171"/>
      <w:bookmarkStart w:id="1594" w:name="_Toc400635305"/>
      <w:bookmarkStart w:id="1595" w:name="A_9_5"/>
      <w:r>
        <w:rPr>
          <w:caps w:val="0"/>
        </w:rPr>
        <w:lastRenderedPageBreak/>
        <w:t xml:space="preserve">5. </w:t>
      </w:r>
      <w:r w:rsidR="00DD5A8E" w:rsidRPr="000544DC">
        <w:rPr>
          <w:caps w:val="0"/>
        </w:rPr>
        <w:t>FAJA</w:t>
      </w:r>
      <w:r w:rsidR="00DD5A8E">
        <w:rPr>
          <w:caps w:val="0"/>
        </w:rPr>
        <w:t xml:space="preserve"> </w:t>
      </w:r>
      <w:r w:rsidR="00DD5A8E" w:rsidRPr="000544DC">
        <w:rPr>
          <w:caps w:val="0"/>
        </w:rPr>
        <w:t>DE DOMINIO PÚBLICO.</w:t>
      </w:r>
      <w:bookmarkEnd w:id="1592"/>
      <w:bookmarkEnd w:id="1593"/>
      <w:bookmarkEnd w:id="1594"/>
    </w:p>
    <w:p w14:paraId="6A6C960D" w14:textId="77777777" w:rsidR="00A3029F" w:rsidRPr="00386FC6" w:rsidRDefault="00863A9E" w:rsidP="00F7224E">
      <w:pPr>
        <w:pStyle w:val="Prrafodelista"/>
        <w:keepNext/>
        <w:tabs>
          <w:tab w:val="left" w:pos="720"/>
        </w:tabs>
        <w:spacing w:before="240" w:after="60" w:line="360" w:lineRule="auto"/>
        <w:ind w:left="360"/>
        <w:jc w:val="both"/>
        <w:rPr>
          <w:rFonts w:ascii="Arial" w:hAnsi="Arial"/>
          <w:b/>
        </w:rPr>
      </w:pPr>
      <w:bookmarkStart w:id="1596" w:name="_Toc400634172"/>
      <w:bookmarkStart w:id="1597" w:name="_Toc400635306"/>
      <w:bookmarkEnd w:id="1595"/>
      <w:r>
        <w:rPr>
          <w:rFonts w:ascii="Arial" w:hAnsi="Arial"/>
          <w:b/>
        </w:rPr>
        <w:t xml:space="preserve">5.1 </w:t>
      </w:r>
      <w:r w:rsidR="00386FC6" w:rsidRPr="00386FC6">
        <w:rPr>
          <w:rFonts w:ascii="Arial" w:hAnsi="Arial"/>
          <w:b/>
        </w:rPr>
        <w:t>NIVELES DE SERVICIO PARA FAJA DE DOMINIO PÚBLICO.</w:t>
      </w:r>
      <w:bookmarkEnd w:id="1596"/>
      <w:bookmarkEnd w:id="1597"/>
    </w:p>
    <w:tbl>
      <w:tblPr>
        <w:tblW w:w="4989"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95"/>
        <w:gridCol w:w="724"/>
        <w:gridCol w:w="1274"/>
        <w:gridCol w:w="2605"/>
        <w:gridCol w:w="1499"/>
        <w:gridCol w:w="1022"/>
        <w:gridCol w:w="1745"/>
        <w:gridCol w:w="973"/>
        <w:gridCol w:w="1008"/>
      </w:tblGrid>
      <w:tr w:rsidR="0030618E" w:rsidRPr="00B7174F" w14:paraId="233B7C4D" w14:textId="77777777" w:rsidTr="0030618E">
        <w:trPr>
          <w:cantSplit/>
          <w:trHeight w:val="548"/>
          <w:jc w:val="center"/>
        </w:trPr>
        <w:tc>
          <w:tcPr>
            <w:tcW w:w="281" w:type="pct"/>
            <w:shd w:val="clear" w:color="auto" w:fill="595959"/>
            <w:vAlign w:val="center"/>
          </w:tcPr>
          <w:p w14:paraId="62C55B1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Tipo de nivel</w:t>
            </w:r>
          </w:p>
        </w:tc>
        <w:tc>
          <w:tcPr>
            <w:tcW w:w="320" w:type="pct"/>
            <w:shd w:val="clear" w:color="auto" w:fill="595959"/>
            <w:vAlign w:val="center"/>
          </w:tcPr>
          <w:p w14:paraId="48458B67"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br w:type="page"/>
              <w:t>Código</w:t>
            </w:r>
          </w:p>
        </w:tc>
        <w:tc>
          <w:tcPr>
            <w:tcW w:w="595" w:type="pct"/>
            <w:shd w:val="clear" w:color="auto" w:fill="595959"/>
            <w:vAlign w:val="center"/>
          </w:tcPr>
          <w:p w14:paraId="2F01D1C6"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Denominación</w:t>
            </w:r>
          </w:p>
        </w:tc>
        <w:tc>
          <w:tcPr>
            <w:tcW w:w="1159" w:type="pct"/>
            <w:shd w:val="clear" w:color="auto" w:fill="595959"/>
            <w:vAlign w:val="center"/>
          </w:tcPr>
          <w:p w14:paraId="73D96D39"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Descripción</w:t>
            </w:r>
          </w:p>
        </w:tc>
        <w:tc>
          <w:tcPr>
            <w:tcW w:w="676" w:type="pct"/>
            <w:shd w:val="clear" w:color="auto" w:fill="595959"/>
            <w:vAlign w:val="center"/>
          </w:tcPr>
          <w:p w14:paraId="77400ACE"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Parámetro</w:t>
            </w:r>
          </w:p>
        </w:tc>
        <w:tc>
          <w:tcPr>
            <w:tcW w:w="467" w:type="pct"/>
            <w:shd w:val="clear" w:color="auto" w:fill="595959"/>
            <w:vAlign w:val="center"/>
          </w:tcPr>
          <w:p w14:paraId="6EEB7EA3"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Método de evaluación</w:t>
            </w:r>
          </w:p>
        </w:tc>
        <w:tc>
          <w:tcPr>
            <w:tcW w:w="783" w:type="pct"/>
            <w:shd w:val="clear" w:color="auto" w:fill="595959"/>
            <w:vAlign w:val="center"/>
          </w:tcPr>
          <w:p w14:paraId="5B663284"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Exigencia</w:t>
            </w:r>
          </w:p>
        </w:tc>
        <w:tc>
          <w:tcPr>
            <w:tcW w:w="365" w:type="pct"/>
            <w:shd w:val="clear" w:color="auto" w:fill="595959"/>
            <w:vAlign w:val="center"/>
          </w:tcPr>
          <w:p w14:paraId="7AACE32B"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Plazo de reparación</w:t>
            </w:r>
          </w:p>
        </w:tc>
        <w:tc>
          <w:tcPr>
            <w:tcW w:w="355" w:type="pct"/>
            <w:shd w:val="clear" w:color="auto" w:fill="595959"/>
            <w:vAlign w:val="center"/>
          </w:tcPr>
          <w:p w14:paraId="5593D411" w14:textId="77777777" w:rsidR="00A3029F" w:rsidRPr="00B7174F" w:rsidRDefault="00A3029F" w:rsidP="00CF69B3">
            <w:pPr>
              <w:widowControl w:val="0"/>
              <w:tabs>
                <w:tab w:val="left" w:pos="567"/>
              </w:tabs>
              <w:spacing w:before="100" w:after="100" w:line="240" w:lineRule="auto"/>
              <w:jc w:val="center"/>
              <w:rPr>
                <w:rFonts w:ascii="Arial" w:hAnsi="Arial" w:cs="Arial"/>
                <w:snapToGrid w:val="0"/>
                <w:color w:val="FFFFFF"/>
                <w:sz w:val="16"/>
                <w:szCs w:val="16"/>
                <w:lang w:val="es-ES_tradnl" w:eastAsia="es-ES"/>
              </w:rPr>
            </w:pPr>
            <w:r w:rsidRPr="00B7174F">
              <w:rPr>
                <w:rFonts w:ascii="Arial" w:hAnsi="Arial" w:cs="Arial"/>
                <w:snapToGrid w:val="0"/>
                <w:color w:val="FFFFFF"/>
                <w:sz w:val="16"/>
                <w:szCs w:val="16"/>
                <w:lang w:val="es-ES_tradnl" w:eastAsia="es-ES"/>
              </w:rPr>
              <w:t>Frecuencia</w:t>
            </w:r>
          </w:p>
        </w:tc>
      </w:tr>
      <w:tr w:rsidR="0030618E" w:rsidRPr="00B7174F" w14:paraId="60F467F9" w14:textId="77777777" w:rsidTr="00084EE9">
        <w:trPr>
          <w:trHeight w:val="1031"/>
          <w:jc w:val="center"/>
        </w:trPr>
        <w:tc>
          <w:tcPr>
            <w:tcW w:w="281" w:type="pct"/>
            <w:vMerge w:val="restart"/>
            <w:shd w:val="clear" w:color="auto" w:fill="BFBFBF"/>
            <w:textDirection w:val="btLr"/>
            <w:vAlign w:val="center"/>
          </w:tcPr>
          <w:p w14:paraId="3C1C4D92"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BÁSICOS</w:t>
            </w:r>
          </w:p>
        </w:tc>
        <w:tc>
          <w:tcPr>
            <w:tcW w:w="320" w:type="pct"/>
            <w:vAlign w:val="center"/>
          </w:tcPr>
          <w:p w14:paraId="24D8AB5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Ces</w:t>
            </w:r>
          </w:p>
        </w:tc>
        <w:tc>
          <w:tcPr>
            <w:tcW w:w="595" w:type="pct"/>
            <w:vAlign w:val="center"/>
          </w:tcPr>
          <w:p w14:paraId="2731DF2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Exceso en la altura del césped en la faja pública</w:t>
            </w:r>
          </w:p>
        </w:tc>
        <w:tc>
          <w:tcPr>
            <w:tcW w:w="1159" w:type="pct"/>
            <w:vAlign w:val="center"/>
          </w:tcPr>
          <w:p w14:paraId="3F4ABE0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Gramíneas, leguminosas y malezas que integran el tapiz vegetal</w:t>
            </w:r>
          </w:p>
        </w:tc>
        <w:tc>
          <w:tcPr>
            <w:tcW w:w="676" w:type="pct"/>
            <w:vAlign w:val="center"/>
          </w:tcPr>
          <w:p w14:paraId="3167CF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w:t>
            </w:r>
          </w:p>
        </w:tc>
        <w:tc>
          <w:tcPr>
            <w:tcW w:w="467" w:type="pct"/>
            <w:vAlign w:val="center"/>
          </w:tcPr>
          <w:p w14:paraId="769EC85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477ECF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Hasta los 9 metros desde el borde exterior de la banquina y en áreas de descanso: 15 cm. En el resto de la faja 50cm.</w:t>
            </w:r>
          </w:p>
        </w:tc>
        <w:tc>
          <w:tcPr>
            <w:tcW w:w="365" w:type="pct"/>
            <w:vAlign w:val="center"/>
          </w:tcPr>
          <w:p w14:paraId="47CAD79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5" w:type="pct"/>
            <w:vAlign w:val="center"/>
          </w:tcPr>
          <w:p w14:paraId="4BBE5CA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4A4CA56D" w14:textId="77777777" w:rsidTr="00084EE9">
        <w:trPr>
          <w:trHeight w:val="495"/>
          <w:jc w:val="center"/>
        </w:trPr>
        <w:tc>
          <w:tcPr>
            <w:tcW w:w="281" w:type="pct"/>
            <w:vMerge/>
            <w:shd w:val="clear" w:color="auto" w:fill="BFBFBF"/>
            <w:vAlign w:val="center"/>
          </w:tcPr>
          <w:p w14:paraId="1B45B35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5BFE026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Obs</w:t>
            </w:r>
          </w:p>
        </w:tc>
        <w:tc>
          <w:tcPr>
            <w:tcW w:w="595" w:type="pct"/>
            <w:vAlign w:val="center"/>
          </w:tcPr>
          <w:p w14:paraId="3AAFBFB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Obstáculos en toda la faja</w:t>
            </w:r>
          </w:p>
        </w:tc>
        <w:tc>
          <w:tcPr>
            <w:tcW w:w="1159" w:type="pct"/>
            <w:vAlign w:val="center"/>
          </w:tcPr>
          <w:p w14:paraId="035A276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Presencia de piedras, escombro, ramas y cepas en la faja</w:t>
            </w:r>
          </w:p>
        </w:tc>
        <w:tc>
          <w:tcPr>
            <w:tcW w:w="676" w:type="pct"/>
            <w:vAlign w:val="center"/>
          </w:tcPr>
          <w:p w14:paraId="34A620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con obstáculo</w:t>
            </w:r>
          </w:p>
        </w:tc>
        <w:tc>
          <w:tcPr>
            <w:tcW w:w="467" w:type="pct"/>
            <w:vAlign w:val="center"/>
          </w:tcPr>
          <w:p w14:paraId="6441C9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AE95A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7545BEC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5" w:type="pct"/>
            <w:vAlign w:val="center"/>
          </w:tcPr>
          <w:p w14:paraId="0FB5BE2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2FE6F46D" w14:textId="77777777" w:rsidTr="00084EE9">
        <w:trPr>
          <w:trHeight w:val="803"/>
          <w:jc w:val="center"/>
        </w:trPr>
        <w:tc>
          <w:tcPr>
            <w:tcW w:w="281" w:type="pct"/>
            <w:vMerge/>
            <w:shd w:val="clear" w:color="auto" w:fill="BFBFBF"/>
            <w:vAlign w:val="center"/>
          </w:tcPr>
          <w:p w14:paraId="79731678"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4F31EB8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Arb</w:t>
            </w:r>
          </w:p>
        </w:tc>
        <w:tc>
          <w:tcPr>
            <w:tcW w:w="595" w:type="pct"/>
            <w:vAlign w:val="center"/>
          </w:tcPr>
          <w:p w14:paraId="4926B16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en condiciones de riesgo</w:t>
            </w:r>
          </w:p>
        </w:tc>
        <w:tc>
          <w:tcPr>
            <w:tcW w:w="1159" w:type="pct"/>
            <w:vAlign w:val="center"/>
          </w:tcPr>
          <w:p w14:paraId="6C7192B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Árboles fitosanitariamente en malas condiciones y/o con peligro de caída como así también que afecten la visibilidad</w:t>
            </w:r>
          </w:p>
        </w:tc>
        <w:tc>
          <w:tcPr>
            <w:tcW w:w="676" w:type="pct"/>
            <w:vAlign w:val="center"/>
          </w:tcPr>
          <w:p w14:paraId="5C155FF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árboles con enfermedades patógenas riesgo para terceros y/o secos</w:t>
            </w:r>
          </w:p>
        </w:tc>
        <w:tc>
          <w:tcPr>
            <w:tcW w:w="467" w:type="pct"/>
            <w:vAlign w:val="center"/>
          </w:tcPr>
          <w:p w14:paraId="3B0ECA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17815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36EC3C9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2 días</w:t>
            </w:r>
          </w:p>
        </w:tc>
        <w:tc>
          <w:tcPr>
            <w:tcW w:w="355" w:type="pct"/>
            <w:vAlign w:val="center"/>
          </w:tcPr>
          <w:p w14:paraId="1FDE581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784277F0" w14:textId="77777777" w:rsidTr="00084EE9">
        <w:trPr>
          <w:trHeight w:val="508"/>
          <w:jc w:val="center"/>
        </w:trPr>
        <w:tc>
          <w:tcPr>
            <w:tcW w:w="281" w:type="pct"/>
            <w:vMerge/>
            <w:shd w:val="clear" w:color="auto" w:fill="BFBFBF"/>
            <w:vAlign w:val="center"/>
          </w:tcPr>
          <w:p w14:paraId="4A3BD3A9"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Merge w:val="restart"/>
            <w:vAlign w:val="center"/>
          </w:tcPr>
          <w:p w14:paraId="7433E0F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Res</w:t>
            </w:r>
          </w:p>
        </w:tc>
        <w:tc>
          <w:tcPr>
            <w:tcW w:w="595" w:type="pct"/>
            <w:vAlign w:val="center"/>
          </w:tcPr>
          <w:p w14:paraId="054A7D7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w:t>
            </w:r>
          </w:p>
        </w:tc>
        <w:tc>
          <w:tcPr>
            <w:tcW w:w="1159" w:type="pct"/>
            <w:vAlign w:val="center"/>
          </w:tcPr>
          <w:p w14:paraId="15BCCD6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Residuos domésticos localizados o dispersos, escombros, animales muertos</w:t>
            </w:r>
          </w:p>
        </w:tc>
        <w:tc>
          <w:tcPr>
            <w:tcW w:w="676" w:type="pct"/>
            <w:vAlign w:val="center"/>
          </w:tcPr>
          <w:p w14:paraId="0720833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 por residuos</w:t>
            </w:r>
          </w:p>
        </w:tc>
        <w:tc>
          <w:tcPr>
            <w:tcW w:w="467" w:type="pct"/>
            <w:vAlign w:val="center"/>
          </w:tcPr>
          <w:p w14:paraId="0557BC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11E3EEA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70471C5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55" w:type="pct"/>
            <w:vAlign w:val="center"/>
          </w:tcPr>
          <w:p w14:paraId="7317EF4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2B3DF96D" w14:textId="77777777" w:rsidTr="00084EE9">
        <w:trPr>
          <w:trHeight w:val="648"/>
          <w:jc w:val="center"/>
        </w:trPr>
        <w:tc>
          <w:tcPr>
            <w:tcW w:w="281" w:type="pct"/>
            <w:vMerge/>
            <w:shd w:val="clear" w:color="auto" w:fill="BFBFBF"/>
            <w:vAlign w:val="center"/>
          </w:tcPr>
          <w:p w14:paraId="29001E9C"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Merge/>
            <w:vAlign w:val="center"/>
          </w:tcPr>
          <w:p w14:paraId="04A31A3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p>
        </w:tc>
        <w:tc>
          <w:tcPr>
            <w:tcW w:w="595" w:type="pct"/>
            <w:vAlign w:val="center"/>
          </w:tcPr>
          <w:p w14:paraId="00319E2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Propaganda</w:t>
            </w:r>
          </w:p>
        </w:tc>
        <w:tc>
          <w:tcPr>
            <w:tcW w:w="1159" w:type="pct"/>
            <w:vAlign w:val="center"/>
          </w:tcPr>
          <w:p w14:paraId="0A8C0BE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Carteles en árboles, columnas de alumbrado, refugios, carteles pegados o clavados en bastidores</w:t>
            </w:r>
          </w:p>
        </w:tc>
        <w:tc>
          <w:tcPr>
            <w:tcW w:w="676" w:type="pct"/>
            <w:vAlign w:val="center"/>
          </w:tcPr>
          <w:p w14:paraId="39B1E52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carteles por Km. De carretera de vía simple</w:t>
            </w:r>
          </w:p>
        </w:tc>
        <w:tc>
          <w:tcPr>
            <w:tcW w:w="467" w:type="pct"/>
            <w:vAlign w:val="center"/>
          </w:tcPr>
          <w:p w14:paraId="78AFF20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w:t>
            </w:r>
          </w:p>
        </w:tc>
        <w:tc>
          <w:tcPr>
            <w:tcW w:w="783" w:type="pct"/>
            <w:vAlign w:val="center"/>
          </w:tcPr>
          <w:p w14:paraId="10E4D94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3671220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 días</w:t>
            </w:r>
          </w:p>
        </w:tc>
        <w:tc>
          <w:tcPr>
            <w:tcW w:w="355" w:type="pct"/>
            <w:vAlign w:val="center"/>
          </w:tcPr>
          <w:p w14:paraId="2D337C8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3CC71948" w14:textId="77777777" w:rsidTr="00084EE9">
        <w:trPr>
          <w:trHeight w:val="426"/>
          <w:jc w:val="center"/>
        </w:trPr>
        <w:tc>
          <w:tcPr>
            <w:tcW w:w="281" w:type="pct"/>
            <w:vMerge/>
            <w:shd w:val="clear" w:color="auto" w:fill="BFBFBF"/>
            <w:vAlign w:val="center"/>
          </w:tcPr>
          <w:p w14:paraId="03969A07"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p>
        </w:tc>
        <w:tc>
          <w:tcPr>
            <w:tcW w:w="320" w:type="pct"/>
            <w:vAlign w:val="center"/>
          </w:tcPr>
          <w:p w14:paraId="439FA05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Rpe</w:t>
            </w:r>
          </w:p>
        </w:tc>
        <w:tc>
          <w:tcPr>
            <w:tcW w:w="595" w:type="pct"/>
            <w:vAlign w:val="center"/>
          </w:tcPr>
          <w:p w14:paraId="5DD6DA0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Refugios peatonales</w:t>
            </w:r>
          </w:p>
        </w:tc>
        <w:tc>
          <w:tcPr>
            <w:tcW w:w="1159" w:type="pct"/>
            <w:vAlign w:val="center"/>
          </w:tcPr>
          <w:p w14:paraId="1676659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Paredes y techo para personas que esperan locomoción, deben estar pintadas y sin roturas.</w:t>
            </w:r>
          </w:p>
        </w:tc>
        <w:tc>
          <w:tcPr>
            <w:tcW w:w="676" w:type="pct"/>
            <w:vAlign w:val="center"/>
          </w:tcPr>
          <w:p w14:paraId="5724AD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refugios con incumplimientos</w:t>
            </w:r>
          </w:p>
        </w:tc>
        <w:tc>
          <w:tcPr>
            <w:tcW w:w="467" w:type="pct"/>
            <w:vAlign w:val="center"/>
          </w:tcPr>
          <w:p w14:paraId="352E1CB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Se calcula el área afectada</w:t>
            </w:r>
          </w:p>
        </w:tc>
        <w:tc>
          <w:tcPr>
            <w:tcW w:w="783" w:type="pct"/>
            <w:vAlign w:val="center"/>
          </w:tcPr>
          <w:p w14:paraId="450FC1B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0887564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7 días</w:t>
            </w:r>
          </w:p>
        </w:tc>
        <w:tc>
          <w:tcPr>
            <w:tcW w:w="355" w:type="pct"/>
            <w:vAlign w:val="center"/>
          </w:tcPr>
          <w:p w14:paraId="4B05E8F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62C644B6" w14:textId="77777777" w:rsidTr="00084EE9">
        <w:trPr>
          <w:trHeight w:val="636"/>
          <w:jc w:val="center"/>
        </w:trPr>
        <w:tc>
          <w:tcPr>
            <w:tcW w:w="281" w:type="pct"/>
            <w:vMerge/>
            <w:shd w:val="clear" w:color="auto" w:fill="BFBFBF"/>
            <w:vAlign w:val="center"/>
          </w:tcPr>
          <w:p w14:paraId="3D21B8EC" w14:textId="77777777" w:rsidR="00A3029F" w:rsidRPr="00B7174F" w:rsidRDefault="00A3029F" w:rsidP="00CF69B3">
            <w:pPr>
              <w:widowControl w:val="0"/>
              <w:spacing w:after="0" w:line="240" w:lineRule="auto"/>
              <w:jc w:val="center"/>
              <w:rPr>
                <w:rFonts w:ascii="CG Times" w:hAnsi="CG Times" w:cs="CG Times"/>
                <w:snapToGrid w:val="0"/>
                <w:color w:val="FFFFFF"/>
                <w:sz w:val="16"/>
                <w:szCs w:val="16"/>
                <w:lang w:val="es-UY" w:eastAsia="es-ES"/>
              </w:rPr>
            </w:pPr>
          </w:p>
        </w:tc>
        <w:tc>
          <w:tcPr>
            <w:tcW w:w="320" w:type="pct"/>
            <w:vAlign w:val="center"/>
          </w:tcPr>
          <w:p w14:paraId="51C0007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Map</w:t>
            </w:r>
          </w:p>
        </w:tc>
        <w:tc>
          <w:tcPr>
            <w:tcW w:w="595" w:type="pct"/>
            <w:vAlign w:val="center"/>
          </w:tcPr>
          <w:p w14:paraId="4DDDA63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Malezas y aves plaga</w:t>
            </w:r>
          </w:p>
        </w:tc>
        <w:tc>
          <w:tcPr>
            <w:tcW w:w="1159" w:type="pct"/>
            <w:vAlign w:val="center"/>
          </w:tcPr>
          <w:p w14:paraId="4B3DC06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Deben eliminarse con productos selectivos y no nocivos para el medio ambiente las plagas como ser margarita de Piria, Abrojo, capín y loras.</w:t>
            </w:r>
          </w:p>
        </w:tc>
        <w:tc>
          <w:tcPr>
            <w:tcW w:w="676" w:type="pct"/>
            <w:vAlign w:val="center"/>
          </w:tcPr>
          <w:p w14:paraId="1B0A188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Longitud afectada por Km. De carretera</w:t>
            </w:r>
          </w:p>
        </w:tc>
        <w:tc>
          <w:tcPr>
            <w:tcW w:w="467" w:type="pct"/>
            <w:vAlign w:val="center"/>
          </w:tcPr>
          <w:p w14:paraId="6D5B3A2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5FD388F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513B5E6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15 días</w:t>
            </w:r>
          </w:p>
        </w:tc>
        <w:tc>
          <w:tcPr>
            <w:tcW w:w="355" w:type="pct"/>
            <w:vAlign w:val="center"/>
          </w:tcPr>
          <w:p w14:paraId="6DA15EF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56AE23E3" w14:textId="77777777" w:rsidTr="00084EE9">
        <w:trPr>
          <w:trHeight w:val="339"/>
          <w:jc w:val="center"/>
        </w:trPr>
        <w:tc>
          <w:tcPr>
            <w:tcW w:w="281" w:type="pct"/>
            <w:vMerge w:val="restart"/>
            <w:shd w:val="clear" w:color="auto" w:fill="BFBFBF"/>
            <w:textDirection w:val="btLr"/>
            <w:vAlign w:val="center"/>
          </w:tcPr>
          <w:p w14:paraId="6B46DF7E" w14:textId="77777777" w:rsidR="00A3029F" w:rsidRPr="00B7174F" w:rsidRDefault="00A3029F" w:rsidP="00CF69B3">
            <w:pPr>
              <w:widowControl w:val="0"/>
              <w:spacing w:after="0" w:line="240" w:lineRule="auto"/>
              <w:jc w:val="center"/>
              <w:rPr>
                <w:rFonts w:ascii="Arial" w:hAnsi="Arial" w:cs="Arial"/>
                <w:snapToGrid w:val="0"/>
                <w:color w:val="FFFFFF"/>
                <w:sz w:val="16"/>
                <w:szCs w:val="16"/>
                <w:lang w:val="es-UY" w:eastAsia="es-ES"/>
              </w:rPr>
            </w:pPr>
            <w:r w:rsidRPr="00B7174F">
              <w:rPr>
                <w:rFonts w:ascii="Arial" w:hAnsi="Arial" w:cs="Arial"/>
                <w:snapToGrid w:val="0"/>
                <w:color w:val="FFFFFF"/>
                <w:sz w:val="16"/>
                <w:szCs w:val="16"/>
                <w:lang w:val="es-UY" w:eastAsia="es-ES"/>
              </w:rPr>
              <w:t>COMPLEMENTARIOS</w:t>
            </w:r>
          </w:p>
        </w:tc>
        <w:tc>
          <w:tcPr>
            <w:tcW w:w="320" w:type="pct"/>
            <w:vAlign w:val="center"/>
          </w:tcPr>
          <w:p w14:paraId="18F8DBC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Aef</w:t>
            </w:r>
          </w:p>
        </w:tc>
        <w:tc>
          <w:tcPr>
            <w:tcW w:w="595" w:type="pct"/>
            <w:vAlign w:val="center"/>
          </w:tcPr>
          <w:p w14:paraId="1E138C6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Aguas empozadas en la faja</w:t>
            </w:r>
          </w:p>
        </w:tc>
        <w:tc>
          <w:tcPr>
            <w:tcW w:w="1159" w:type="pct"/>
            <w:vAlign w:val="center"/>
          </w:tcPr>
          <w:p w14:paraId="6EFE069C"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Depresión donde se acumula agua pluvial</w:t>
            </w:r>
          </w:p>
        </w:tc>
        <w:tc>
          <w:tcPr>
            <w:tcW w:w="676" w:type="pct"/>
            <w:vAlign w:val="center"/>
          </w:tcPr>
          <w:p w14:paraId="22507B8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Altura de la depresión</w:t>
            </w:r>
          </w:p>
        </w:tc>
        <w:tc>
          <w:tcPr>
            <w:tcW w:w="467" w:type="pct"/>
            <w:vAlign w:val="center"/>
          </w:tcPr>
          <w:p w14:paraId="04A05A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16BC42D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4F5C9B8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2EC8569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5A0AF04F" w14:textId="77777777" w:rsidTr="00084EE9">
        <w:trPr>
          <w:trHeight w:val="522"/>
          <w:jc w:val="center"/>
        </w:trPr>
        <w:tc>
          <w:tcPr>
            <w:tcW w:w="281" w:type="pct"/>
            <w:vMerge/>
            <w:shd w:val="clear" w:color="auto" w:fill="BFBFBF"/>
          </w:tcPr>
          <w:p w14:paraId="71A3972D"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2BEB7FC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Def</w:t>
            </w:r>
          </w:p>
        </w:tc>
        <w:tc>
          <w:tcPr>
            <w:tcW w:w="595" w:type="pct"/>
            <w:vAlign w:val="center"/>
          </w:tcPr>
          <w:p w14:paraId="0491B47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Deficiencia en los límites de la concesión</w:t>
            </w:r>
          </w:p>
        </w:tc>
        <w:tc>
          <w:tcPr>
            <w:tcW w:w="1159" w:type="pct"/>
            <w:vAlign w:val="center"/>
          </w:tcPr>
          <w:p w14:paraId="64C4CB1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DE0594">
              <w:rPr>
                <w:rFonts w:ascii="Arial" w:hAnsi="Arial" w:cs="Arial"/>
                <w:snapToGrid w:val="0"/>
                <w:sz w:val="16"/>
                <w:szCs w:val="16"/>
                <w:lang w:val="es-UY" w:eastAsia="es-ES"/>
              </w:rPr>
              <w:t>Falta de alambrado de ley</w:t>
            </w:r>
            <w:r w:rsidR="00FE0CD6" w:rsidRPr="00DE0594">
              <w:rPr>
                <w:rFonts w:ascii="Arial" w:hAnsi="Arial" w:cs="Arial"/>
                <w:snapToGrid w:val="0"/>
                <w:sz w:val="16"/>
                <w:szCs w:val="16"/>
                <w:lang w:val="es-UY" w:eastAsia="es-ES"/>
              </w:rPr>
              <w:t xml:space="preserve"> o hitos cada 25 metros</w:t>
            </w:r>
          </w:p>
        </w:tc>
        <w:tc>
          <w:tcPr>
            <w:tcW w:w="676" w:type="pct"/>
            <w:vAlign w:val="center"/>
          </w:tcPr>
          <w:p w14:paraId="6CAF077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Cantidad de metros por Km. de carretera</w:t>
            </w:r>
          </w:p>
        </w:tc>
        <w:tc>
          <w:tcPr>
            <w:tcW w:w="467" w:type="pct"/>
            <w:vAlign w:val="center"/>
          </w:tcPr>
          <w:p w14:paraId="11BF4F1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7349981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695CA4C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222AABB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4050A4EC" w14:textId="77777777" w:rsidTr="00084EE9">
        <w:trPr>
          <w:trHeight w:val="353"/>
          <w:jc w:val="center"/>
        </w:trPr>
        <w:tc>
          <w:tcPr>
            <w:tcW w:w="281" w:type="pct"/>
            <w:vMerge/>
            <w:shd w:val="clear" w:color="auto" w:fill="BFBFBF"/>
          </w:tcPr>
          <w:p w14:paraId="70B1FC8F"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7732EF6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Ssc</w:t>
            </w:r>
          </w:p>
        </w:tc>
        <w:tc>
          <w:tcPr>
            <w:tcW w:w="595" w:type="pct"/>
            <w:vAlign w:val="center"/>
          </w:tcPr>
          <w:p w14:paraId="78186E5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Suelo sin cobertura </w:t>
            </w:r>
            <w:r w:rsidRPr="00B7174F">
              <w:rPr>
                <w:rFonts w:ascii="Arial" w:hAnsi="Arial" w:cs="Arial"/>
                <w:snapToGrid w:val="0"/>
                <w:sz w:val="16"/>
                <w:szCs w:val="16"/>
                <w:lang w:val="es-UY" w:eastAsia="es-ES"/>
              </w:rPr>
              <w:lastRenderedPageBreak/>
              <w:t>vegetal</w:t>
            </w:r>
          </w:p>
        </w:tc>
        <w:tc>
          <w:tcPr>
            <w:tcW w:w="1159" w:type="pct"/>
            <w:vAlign w:val="center"/>
          </w:tcPr>
          <w:p w14:paraId="5C4D9A34"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Falta de césped</w:t>
            </w:r>
          </w:p>
        </w:tc>
        <w:tc>
          <w:tcPr>
            <w:tcW w:w="676" w:type="pct"/>
            <w:vAlign w:val="center"/>
          </w:tcPr>
          <w:p w14:paraId="2821A950"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67" w:type="pct"/>
            <w:vAlign w:val="center"/>
          </w:tcPr>
          <w:p w14:paraId="2E693589"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xml:space="preserve">Por inspección </w:t>
            </w:r>
            <w:r w:rsidRPr="00B7174F">
              <w:rPr>
                <w:rFonts w:ascii="Arial" w:hAnsi="Arial" w:cs="Arial"/>
                <w:snapToGrid w:val="0"/>
                <w:sz w:val="16"/>
                <w:szCs w:val="16"/>
                <w:lang w:val="es-UY" w:eastAsia="es-ES"/>
              </w:rPr>
              <w:lastRenderedPageBreak/>
              <w:t>visual</w:t>
            </w:r>
          </w:p>
        </w:tc>
        <w:tc>
          <w:tcPr>
            <w:tcW w:w="783" w:type="pct"/>
            <w:vAlign w:val="center"/>
          </w:tcPr>
          <w:p w14:paraId="15378996"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lastRenderedPageBreak/>
              <w:t>0%</w:t>
            </w:r>
          </w:p>
        </w:tc>
        <w:tc>
          <w:tcPr>
            <w:tcW w:w="365" w:type="pct"/>
            <w:vAlign w:val="center"/>
          </w:tcPr>
          <w:p w14:paraId="0EA5F78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10163DE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20093CA8" w14:textId="77777777" w:rsidTr="00084EE9">
        <w:trPr>
          <w:trHeight w:val="367"/>
          <w:jc w:val="center"/>
        </w:trPr>
        <w:tc>
          <w:tcPr>
            <w:tcW w:w="281" w:type="pct"/>
            <w:vMerge/>
            <w:shd w:val="clear" w:color="auto" w:fill="BFBFBF"/>
          </w:tcPr>
          <w:p w14:paraId="70D3D6CF"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09E4C4AE"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Ero</w:t>
            </w:r>
          </w:p>
        </w:tc>
        <w:tc>
          <w:tcPr>
            <w:tcW w:w="595" w:type="pct"/>
            <w:vAlign w:val="center"/>
          </w:tcPr>
          <w:p w14:paraId="2859F5E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Erosiones en la faja</w:t>
            </w:r>
          </w:p>
        </w:tc>
        <w:tc>
          <w:tcPr>
            <w:tcW w:w="1159" w:type="pct"/>
            <w:vAlign w:val="center"/>
          </w:tcPr>
          <w:p w14:paraId="1E3B0BE3"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Carcavas, zanjas cuya profundidad sea mayor a 0.2 m</w:t>
            </w:r>
          </w:p>
        </w:tc>
        <w:tc>
          <w:tcPr>
            <w:tcW w:w="676" w:type="pct"/>
            <w:vAlign w:val="center"/>
          </w:tcPr>
          <w:p w14:paraId="5A43D8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afectada</w:t>
            </w:r>
          </w:p>
        </w:tc>
        <w:tc>
          <w:tcPr>
            <w:tcW w:w="467" w:type="pct"/>
            <w:vAlign w:val="center"/>
          </w:tcPr>
          <w:p w14:paraId="77C4940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4B70F0C5"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46D19001"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708E596A"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r w:rsidR="0030618E" w:rsidRPr="00B7174F" w14:paraId="2D75A55E" w14:textId="77777777" w:rsidTr="00084EE9">
        <w:trPr>
          <w:trHeight w:val="427"/>
          <w:jc w:val="center"/>
        </w:trPr>
        <w:tc>
          <w:tcPr>
            <w:tcW w:w="281" w:type="pct"/>
            <w:vMerge/>
            <w:shd w:val="clear" w:color="auto" w:fill="BFBFBF"/>
          </w:tcPr>
          <w:p w14:paraId="1D68CA55" w14:textId="77777777" w:rsidR="00A3029F" w:rsidRPr="00B7174F" w:rsidRDefault="00A3029F" w:rsidP="00CF69B3">
            <w:pPr>
              <w:widowControl w:val="0"/>
              <w:spacing w:after="0" w:line="240" w:lineRule="auto"/>
              <w:jc w:val="both"/>
              <w:rPr>
                <w:rFonts w:ascii="CG Times" w:hAnsi="CG Times" w:cs="CG Times"/>
                <w:snapToGrid w:val="0"/>
                <w:sz w:val="16"/>
                <w:szCs w:val="16"/>
                <w:lang w:val="es-UY" w:eastAsia="es-ES"/>
              </w:rPr>
            </w:pPr>
          </w:p>
        </w:tc>
        <w:tc>
          <w:tcPr>
            <w:tcW w:w="320" w:type="pct"/>
            <w:vAlign w:val="center"/>
          </w:tcPr>
          <w:p w14:paraId="5826D56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FDP Lim</w:t>
            </w:r>
          </w:p>
        </w:tc>
        <w:tc>
          <w:tcPr>
            <w:tcW w:w="595" w:type="pct"/>
            <w:vAlign w:val="center"/>
          </w:tcPr>
          <w:p w14:paraId="64D6996D"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Limpieza dentro de los montes</w:t>
            </w:r>
          </w:p>
        </w:tc>
        <w:tc>
          <w:tcPr>
            <w:tcW w:w="1159" w:type="pct"/>
            <w:vAlign w:val="center"/>
          </w:tcPr>
          <w:p w14:paraId="17C8DAD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Ramas secas, arbustos dentro del monte. Ramas mayores a 0.03 m.</w:t>
            </w:r>
          </w:p>
        </w:tc>
        <w:tc>
          <w:tcPr>
            <w:tcW w:w="676" w:type="pct"/>
            <w:vAlign w:val="center"/>
          </w:tcPr>
          <w:p w14:paraId="0F8047B2"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 de área de faja cubierta</w:t>
            </w:r>
          </w:p>
        </w:tc>
        <w:tc>
          <w:tcPr>
            <w:tcW w:w="467" w:type="pct"/>
            <w:vAlign w:val="center"/>
          </w:tcPr>
          <w:p w14:paraId="474B261F"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Por inspección visual y métrica</w:t>
            </w:r>
          </w:p>
        </w:tc>
        <w:tc>
          <w:tcPr>
            <w:tcW w:w="783" w:type="pct"/>
            <w:vAlign w:val="center"/>
          </w:tcPr>
          <w:p w14:paraId="29023E6B"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0%</w:t>
            </w:r>
          </w:p>
        </w:tc>
        <w:tc>
          <w:tcPr>
            <w:tcW w:w="365" w:type="pct"/>
            <w:vAlign w:val="center"/>
          </w:tcPr>
          <w:p w14:paraId="56214977"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30 días</w:t>
            </w:r>
          </w:p>
        </w:tc>
        <w:tc>
          <w:tcPr>
            <w:tcW w:w="355" w:type="pct"/>
            <w:vAlign w:val="center"/>
          </w:tcPr>
          <w:p w14:paraId="560C35B8" w14:textId="77777777" w:rsidR="00A3029F" w:rsidRPr="00B7174F" w:rsidRDefault="00A3029F" w:rsidP="00CF69B3">
            <w:pPr>
              <w:widowControl w:val="0"/>
              <w:spacing w:after="0" w:line="240" w:lineRule="auto"/>
              <w:jc w:val="center"/>
              <w:rPr>
                <w:rFonts w:ascii="Arial" w:hAnsi="Arial" w:cs="Arial"/>
                <w:snapToGrid w:val="0"/>
                <w:sz w:val="16"/>
                <w:szCs w:val="16"/>
                <w:lang w:val="es-UY" w:eastAsia="es-ES"/>
              </w:rPr>
            </w:pPr>
            <w:r w:rsidRPr="00B7174F">
              <w:rPr>
                <w:rFonts w:ascii="Arial" w:hAnsi="Arial" w:cs="Arial"/>
                <w:snapToGrid w:val="0"/>
                <w:sz w:val="16"/>
                <w:szCs w:val="16"/>
                <w:lang w:val="es-UY" w:eastAsia="es-ES"/>
              </w:rPr>
              <w:t>Trimestral</w:t>
            </w:r>
          </w:p>
        </w:tc>
      </w:tr>
    </w:tbl>
    <w:p w14:paraId="1555D29B" w14:textId="77777777" w:rsidR="00A3029F" w:rsidRPr="00B7174F" w:rsidRDefault="00A3029F" w:rsidP="00CF69B3">
      <w:pPr>
        <w:widowControl w:val="0"/>
        <w:tabs>
          <w:tab w:val="num" w:pos="431"/>
        </w:tabs>
        <w:spacing w:after="0" w:line="240" w:lineRule="auto"/>
        <w:jc w:val="both"/>
        <w:rPr>
          <w:rFonts w:ascii="Arial" w:hAnsi="Arial" w:cs="Arial"/>
          <w:b/>
          <w:bCs/>
          <w:snapToGrid w:val="0"/>
          <w:color w:val="000000"/>
          <w:sz w:val="16"/>
          <w:szCs w:val="16"/>
          <w:lang w:val="es-ES_tradnl" w:eastAsia="es-ES"/>
        </w:rPr>
      </w:pPr>
    </w:p>
    <w:p w14:paraId="187D346A" w14:textId="77777777" w:rsidR="00A3029F" w:rsidRDefault="00A3029F" w:rsidP="00CF69B3">
      <w:pPr>
        <w:widowControl w:val="0"/>
        <w:tabs>
          <w:tab w:val="num" w:pos="431"/>
        </w:tabs>
        <w:spacing w:after="120"/>
        <w:jc w:val="both"/>
        <w:rPr>
          <w:rFonts w:ascii="Arial" w:hAnsi="Arial" w:cs="Arial"/>
          <w:snapToGrid w:val="0"/>
          <w:color w:val="000000"/>
          <w:sz w:val="16"/>
          <w:szCs w:val="16"/>
          <w:lang w:val="es-ES_tradnl" w:eastAsia="es-ES"/>
        </w:rPr>
      </w:pPr>
      <w:r w:rsidRPr="00B7174F">
        <w:rPr>
          <w:rFonts w:ascii="Arial" w:hAnsi="Arial" w:cs="Arial"/>
          <w:b/>
          <w:bCs/>
          <w:snapToGrid w:val="0"/>
          <w:color w:val="000000"/>
          <w:sz w:val="16"/>
          <w:szCs w:val="16"/>
          <w:lang w:val="es-ES_tradnl" w:eastAsia="es-ES"/>
        </w:rPr>
        <w:t>Nota:</w:t>
      </w:r>
      <w:r w:rsidRPr="00B7174F">
        <w:rPr>
          <w:rFonts w:ascii="Arial" w:hAnsi="Arial" w:cs="Arial"/>
          <w:snapToGrid w:val="0"/>
          <w:color w:val="000000"/>
          <w:sz w:val="16"/>
          <w:szCs w:val="16"/>
          <w:lang w:val="es-ES_tradnl" w:eastAsia="es-ES"/>
        </w:rPr>
        <w:t xml:space="preserve"> En lo referente al estándar FDP Ero (erosiones en la faja) en función de la severidad de la misma a entero juicio de la Dirección de Obra se podrá emitir una orden de servicio con plazo de respuesta mucho menor al especificado.</w:t>
      </w:r>
    </w:p>
    <w:p w14:paraId="16509184" w14:textId="77777777" w:rsidR="00EA3AF3" w:rsidRDefault="00EA3AF3" w:rsidP="00CF69B3">
      <w:pPr>
        <w:widowControl w:val="0"/>
        <w:tabs>
          <w:tab w:val="num" w:pos="431"/>
        </w:tabs>
        <w:spacing w:after="120"/>
        <w:jc w:val="both"/>
        <w:rPr>
          <w:rFonts w:ascii="Arial" w:hAnsi="Arial" w:cs="Arial"/>
          <w:snapToGrid w:val="0"/>
          <w:color w:val="000000"/>
          <w:sz w:val="16"/>
          <w:szCs w:val="16"/>
          <w:lang w:val="es-ES_tradnl" w:eastAsia="es-ES"/>
        </w:rPr>
      </w:pPr>
    </w:p>
    <w:p w14:paraId="76754166" w14:textId="77777777" w:rsidR="00EA3AF3" w:rsidRPr="008A1E23" w:rsidRDefault="00C361AD" w:rsidP="00C361AD">
      <w:pPr>
        <w:widowControl w:val="0"/>
        <w:tabs>
          <w:tab w:val="num" w:pos="431"/>
        </w:tabs>
        <w:spacing w:after="0" w:line="240" w:lineRule="auto"/>
        <w:ind w:left="342"/>
        <w:jc w:val="both"/>
        <w:rPr>
          <w:rFonts w:ascii="Arial" w:hAnsi="Arial" w:cs="Arial"/>
          <w:b/>
          <w:snapToGrid w:val="0"/>
          <w:color w:val="000000"/>
          <w:sz w:val="16"/>
          <w:szCs w:val="16"/>
          <w:highlight w:val="yellow"/>
          <w:lang w:val="es-ES_tradnl" w:eastAsia="es-ES"/>
        </w:rPr>
      </w:pPr>
      <w:r>
        <w:rPr>
          <w:rFonts w:ascii="Arial" w:hAnsi="Arial" w:cs="Arial"/>
          <w:b/>
          <w:bCs/>
          <w:sz w:val="21"/>
          <w:szCs w:val="21"/>
          <w:lang w:val="es-UY" w:eastAsia="es-ES"/>
        </w:rPr>
        <w:t>6. ILUMINACIÓN</w:t>
      </w:r>
    </w:p>
    <w:p w14:paraId="0B5ADD32" w14:textId="77777777" w:rsidR="00EA3AF3" w:rsidRPr="008A1E23" w:rsidRDefault="00EA3AF3" w:rsidP="00EA3AF3">
      <w:pPr>
        <w:widowControl w:val="0"/>
        <w:tabs>
          <w:tab w:val="num" w:pos="431"/>
        </w:tabs>
        <w:spacing w:after="0" w:line="240" w:lineRule="auto"/>
        <w:ind w:left="1311"/>
        <w:jc w:val="both"/>
        <w:rPr>
          <w:rFonts w:ascii="Arial" w:hAnsi="Arial" w:cs="Arial"/>
          <w:b/>
          <w:snapToGrid w:val="0"/>
          <w:color w:val="000000"/>
          <w:sz w:val="16"/>
          <w:szCs w:val="16"/>
          <w:highlight w:val="yellow"/>
          <w:lang w:val="es-ES_tradnl" w:eastAsia="es-ES"/>
        </w:rPr>
      </w:pPr>
    </w:p>
    <w:p w14:paraId="37E47373" w14:textId="77777777" w:rsidR="00EA3AF3" w:rsidRPr="00C361AD" w:rsidRDefault="00EA3AF3"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 xml:space="preserve">Las obras de iluminación se regirán por el Capítulo V del Pliego de Condiciones para Iluminación, Semáforos y Destellantes en rutas nacionales, con los parámetros de diseño correspondientes, iluminancia, uniformidades y coeficiente TI indicados en la </w:t>
      </w:r>
      <w:r w:rsidR="00DB5A26" w:rsidRPr="00C361AD">
        <w:rPr>
          <w:rFonts w:ascii="Arial" w:hAnsi="Arial" w:cs="Arial"/>
          <w:snapToGrid w:val="0"/>
          <w:color w:val="000000"/>
          <w:sz w:val="20"/>
          <w:szCs w:val="20"/>
          <w:lang w:val="es-ES_tradnl" w:eastAsia="es-ES"/>
        </w:rPr>
        <w:t>siguiente tabla</w:t>
      </w:r>
      <w:r w:rsidRPr="00C361AD">
        <w:rPr>
          <w:rFonts w:ascii="Arial" w:hAnsi="Arial" w:cs="Arial"/>
          <w:snapToGrid w:val="0"/>
          <w:color w:val="000000"/>
          <w:sz w:val="20"/>
          <w:szCs w:val="20"/>
          <w:lang w:val="es-ES_tradnl" w:eastAsia="es-ES"/>
        </w:rPr>
        <w:t>.</w:t>
      </w:r>
      <w:r w:rsidR="001B13AE">
        <w:rPr>
          <w:rFonts w:ascii="Arial" w:hAnsi="Arial" w:cs="Arial"/>
          <w:snapToGrid w:val="0"/>
          <w:color w:val="000000"/>
          <w:sz w:val="20"/>
          <w:szCs w:val="20"/>
          <w:lang w:val="es-ES_tradnl" w:eastAsia="es-ES"/>
        </w:rPr>
        <w:t xml:space="preserve"> </w:t>
      </w:r>
      <w:r w:rsidR="001B13AE" w:rsidRPr="001B13AE">
        <w:rPr>
          <w:rFonts w:ascii="Arial" w:hAnsi="Arial" w:cs="Arial"/>
          <w:snapToGrid w:val="0"/>
          <w:color w:val="000000"/>
          <w:sz w:val="20"/>
          <w:szCs w:val="20"/>
          <w:lang w:val="es-ES_tradnl" w:eastAsia="es-ES"/>
        </w:rPr>
        <w:t>El Contratista tendrá a sucargo el mantenimiento de todas las obras de iluminación existentes o a construir</w:t>
      </w:r>
      <w:r w:rsidR="001B13AE">
        <w:rPr>
          <w:rFonts w:ascii="Arial" w:hAnsi="Arial" w:cs="Arial"/>
          <w:snapToGrid w:val="0"/>
          <w:color w:val="000000"/>
          <w:sz w:val="20"/>
          <w:szCs w:val="20"/>
          <w:lang w:val="es-ES_tradnl" w:eastAsia="es-ES"/>
        </w:rPr>
        <w:t>.</w:t>
      </w:r>
    </w:p>
    <w:p w14:paraId="522DC3AA" w14:textId="77777777" w:rsidR="00DB5A26" w:rsidRPr="00C361AD" w:rsidRDefault="00DB5A26" w:rsidP="00C361AD">
      <w:pPr>
        <w:widowControl w:val="0"/>
        <w:tabs>
          <w:tab w:val="num" w:pos="431"/>
        </w:tabs>
        <w:spacing w:after="120"/>
        <w:jc w:val="both"/>
        <w:rPr>
          <w:rFonts w:ascii="Arial" w:hAnsi="Arial" w:cs="Arial"/>
          <w:snapToGrid w:val="0"/>
          <w:color w:val="000000"/>
          <w:sz w:val="20"/>
          <w:szCs w:val="20"/>
          <w:lang w:val="es-ES_tradnl" w:eastAsia="es-ES"/>
        </w:rPr>
      </w:pPr>
      <w:r w:rsidRPr="00C361AD">
        <w:rPr>
          <w:rFonts w:ascii="Arial" w:hAnsi="Arial" w:cs="Arial"/>
          <w:snapToGrid w:val="0"/>
          <w:color w:val="000000"/>
          <w:sz w:val="20"/>
          <w:szCs w:val="20"/>
          <w:lang w:val="es-ES_tradnl" w:eastAsia="es-ES"/>
        </w:rPr>
        <w:t>Los niveles de servicio para el mantenimiento serán los establecidos en las “Condiciones Generales de Mantenimiento de Iluminación” de la DNV.</w:t>
      </w:r>
    </w:p>
    <w:p w14:paraId="40B83623" w14:textId="77777777" w:rsidR="003C1001" w:rsidRDefault="003C1001" w:rsidP="00EA3AF3">
      <w:pPr>
        <w:rPr>
          <w:rFonts w:ascii="Arial" w:hAnsi="Arial" w:cs="Arial"/>
          <w:b/>
          <w:sz w:val="20"/>
          <w:szCs w:val="20"/>
          <w:highlight w:val="yellow"/>
          <w:lang w:val="es-MX" w:eastAsia="es-ES"/>
        </w:rPr>
      </w:pPr>
    </w:p>
    <w:p w14:paraId="3963A72A" w14:textId="77777777" w:rsidR="00EA3AF3" w:rsidRPr="00C361AD" w:rsidRDefault="00EA3AF3" w:rsidP="00EA3AF3">
      <w:pPr>
        <w:rPr>
          <w:rFonts w:ascii="Arial" w:hAnsi="Arial" w:cs="Arial"/>
          <w:b/>
          <w:sz w:val="20"/>
          <w:szCs w:val="20"/>
          <w:lang w:val="es-MX" w:eastAsia="es-ES"/>
        </w:rPr>
      </w:pPr>
      <w:r w:rsidRPr="00C361AD">
        <w:rPr>
          <w:rFonts w:ascii="Arial" w:hAnsi="Arial" w:cs="Arial"/>
          <w:b/>
          <w:sz w:val="20"/>
          <w:szCs w:val="20"/>
          <w:lang w:val="es-MX" w:eastAsia="es-ES"/>
        </w:rPr>
        <w:t xml:space="preserve"> Luminarias LED</w:t>
      </w:r>
    </w:p>
    <w:p w14:paraId="3F10D7E4" w14:textId="77777777" w:rsidR="00EA3AF3" w:rsidRPr="00C361AD" w:rsidRDefault="00EA3AF3" w:rsidP="00EA3AF3">
      <w:pPr>
        <w:rPr>
          <w:rFonts w:ascii="Arial" w:hAnsi="Arial" w:cs="Arial"/>
          <w:sz w:val="20"/>
          <w:szCs w:val="20"/>
          <w:lang w:val="es-MX" w:eastAsia="es-ES"/>
        </w:rPr>
      </w:pPr>
      <w:r w:rsidRPr="00C361AD">
        <w:rPr>
          <w:rFonts w:ascii="Arial" w:hAnsi="Arial" w:cs="Arial"/>
          <w:b/>
          <w:sz w:val="20"/>
          <w:szCs w:val="20"/>
          <w:lang w:val="es-MX" w:eastAsia="es-ES"/>
        </w:rPr>
        <w:t>Parámetros para el diseño lumínico.</w:t>
      </w:r>
    </w:p>
    <w:tbl>
      <w:tblPr>
        <w:tblW w:w="3509" w:type="pct"/>
        <w:tblInd w:w="-10" w:type="dxa"/>
        <w:tblCellMar>
          <w:left w:w="10" w:type="dxa"/>
          <w:right w:w="10" w:type="dxa"/>
        </w:tblCellMar>
        <w:tblLook w:val="0000" w:firstRow="0" w:lastRow="0" w:firstColumn="0" w:lastColumn="0" w:noHBand="0" w:noVBand="0"/>
      </w:tblPr>
      <w:tblGrid>
        <w:gridCol w:w="5364"/>
        <w:gridCol w:w="2679"/>
      </w:tblGrid>
      <w:tr w:rsidR="00EA3AF3" w:rsidRPr="00C361AD" w14:paraId="3BB0692D" w14:textId="77777777" w:rsidTr="00EA45B8">
        <w:trPr>
          <w:trHeight w:val="319"/>
        </w:trPr>
        <w:tc>
          <w:tcPr>
            <w:tcW w:w="3971" w:type="dxa"/>
            <w:tcBorders>
              <w:top w:val="single" w:sz="8" w:space="0" w:color="000000"/>
              <w:left w:val="single" w:sz="8" w:space="0" w:color="000000"/>
              <w:bottom w:val="single" w:sz="8" w:space="0" w:color="000000"/>
              <w:right w:val="single" w:sz="8" w:space="0" w:color="000000"/>
            </w:tcBorders>
            <w:shd w:val="clear" w:color="auto" w:fill="E0E0E0"/>
            <w:tcMar>
              <w:top w:w="15" w:type="dxa"/>
              <w:left w:w="15" w:type="dxa"/>
              <w:bottom w:w="15" w:type="dxa"/>
              <w:right w:w="15" w:type="dxa"/>
            </w:tcMar>
            <w:vAlign w:val="center"/>
          </w:tcPr>
          <w:p w14:paraId="0437134F" w14:textId="77777777" w:rsidR="00EA3AF3" w:rsidRPr="00C361AD" w:rsidRDefault="00EA3AF3" w:rsidP="00EA45B8">
            <w:pPr>
              <w:spacing w:after="120"/>
              <w:ind w:left="1134"/>
              <w:jc w:val="both"/>
              <w:rPr>
                <w:rFonts w:ascii="Arial" w:hAnsi="Arial" w:cs="Arial"/>
                <w:sz w:val="20"/>
                <w:szCs w:val="20"/>
                <w:lang w:eastAsia="es-ES"/>
              </w:rPr>
            </w:pPr>
            <w:r w:rsidRPr="00C361AD">
              <w:rPr>
                <w:rFonts w:ascii="Arial" w:hAnsi="Arial" w:cs="Arial"/>
                <w:sz w:val="20"/>
                <w:szCs w:val="20"/>
                <w:lang w:eastAsia="es-ES"/>
              </w:rPr>
              <w:lastRenderedPageBreak/>
              <w:t>  </w:t>
            </w:r>
          </w:p>
        </w:tc>
        <w:tc>
          <w:tcPr>
            <w:tcW w:w="1983" w:type="dxa"/>
            <w:tcBorders>
              <w:top w:val="single" w:sz="8" w:space="0" w:color="000000"/>
              <w:left w:val="single" w:sz="8" w:space="0" w:color="000000"/>
              <w:bottom w:val="single" w:sz="8" w:space="0" w:color="000000"/>
              <w:right w:val="single" w:sz="8" w:space="0" w:color="000000"/>
            </w:tcBorders>
            <w:shd w:val="clear" w:color="auto" w:fill="E0E0E0"/>
            <w:tcMar>
              <w:top w:w="15" w:type="dxa"/>
              <w:left w:w="15" w:type="dxa"/>
              <w:bottom w:w="15" w:type="dxa"/>
              <w:right w:w="15" w:type="dxa"/>
            </w:tcMar>
            <w:vAlign w:val="center"/>
          </w:tcPr>
          <w:p w14:paraId="4FEC6A22"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DISEÑO 2</w:t>
            </w:r>
          </w:p>
        </w:tc>
      </w:tr>
      <w:tr w:rsidR="00EA3AF3" w:rsidRPr="00C361AD" w14:paraId="06F6BAE7"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9BFC07B"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​Iluminancia Zona de Empalme</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C48266B"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​33 lx</w:t>
            </w:r>
          </w:p>
        </w:tc>
      </w:tr>
      <w:tr w:rsidR="00EA3AF3" w:rsidRPr="00C361AD" w14:paraId="21997ABC"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26CF633"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​Iluminancia Zona de Tramo Recto</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92DEAE6"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​23 lx</w:t>
            </w:r>
          </w:p>
        </w:tc>
      </w:tr>
      <w:tr w:rsidR="00EA3AF3" w:rsidRPr="00C361AD" w14:paraId="03123F07"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18063778"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​Iluminancia Zona de Transición</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418AC0C6"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​13 lx</w:t>
            </w:r>
          </w:p>
        </w:tc>
      </w:tr>
      <w:tr w:rsidR="00EA3AF3" w:rsidRPr="00C361AD" w14:paraId="40956534"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6E08B3E0"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media</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EE98B64"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0.5</w:t>
            </w:r>
          </w:p>
        </w:tc>
      </w:tr>
      <w:tr w:rsidR="00EA3AF3" w:rsidRPr="00C361AD" w14:paraId="3BDD88D5"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E58489E"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extrema</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5BE6AF3C"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​&gt;0.25</w:t>
            </w:r>
          </w:p>
        </w:tc>
      </w:tr>
      <w:tr w:rsidR="00EA3AF3" w:rsidRPr="00C361AD" w14:paraId="364AEA80"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CD72CC5"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total</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25DD4FCB"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0.4</w:t>
            </w:r>
          </w:p>
        </w:tc>
      </w:tr>
      <w:tr w:rsidR="00EA3AF3" w:rsidRPr="00C361AD" w14:paraId="7770607B"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312FC79"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​Uniformidad longitudinal</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3A6CB534" w14:textId="77777777" w:rsidR="00EA3AF3" w:rsidRPr="00C361AD"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​&gt; 0.7</w:t>
            </w:r>
          </w:p>
        </w:tc>
      </w:tr>
      <w:tr w:rsidR="00EA3AF3" w14:paraId="311C620F" w14:textId="77777777" w:rsidTr="00EA45B8">
        <w:tc>
          <w:tcPr>
            <w:tcW w:w="3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2D3251A9" w14:textId="77777777" w:rsidR="00EA3AF3" w:rsidRPr="00C361AD" w:rsidRDefault="00EA3AF3" w:rsidP="00EA45B8">
            <w:pPr>
              <w:spacing w:after="120"/>
              <w:ind w:left="564" w:right="383"/>
              <w:jc w:val="both"/>
              <w:rPr>
                <w:rFonts w:ascii="Arial" w:hAnsi="Arial" w:cs="Arial"/>
                <w:sz w:val="20"/>
                <w:szCs w:val="20"/>
                <w:lang w:eastAsia="es-ES"/>
              </w:rPr>
            </w:pPr>
            <w:r w:rsidRPr="00C361AD">
              <w:rPr>
                <w:rFonts w:ascii="Arial" w:hAnsi="Arial" w:cs="Arial"/>
                <w:sz w:val="20"/>
                <w:szCs w:val="20"/>
                <w:lang w:eastAsia="es-ES"/>
              </w:rPr>
              <w:t>​Coeficiente TI</w:t>
            </w:r>
          </w:p>
        </w:tc>
        <w:tc>
          <w:tcPr>
            <w:tcW w:w="19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tcPr>
          <w:p w14:paraId="7E738759" w14:textId="77777777" w:rsidR="00EA3AF3" w:rsidRDefault="00EA3AF3" w:rsidP="00EA45B8">
            <w:pPr>
              <w:spacing w:after="120"/>
              <w:ind w:left="408" w:right="411"/>
              <w:jc w:val="center"/>
              <w:rPr>
                <w:rFonts w:ascii="Arial" w:hAnsi="Arial" w:cs="Arial"/>
                <w:sz w:val="20"/>
                <w:szCs w:val="20"/>
                <w:lang w:eastAsia="es-ES"/>
              </w:rPr>
            </w:pPr>
            <w:r w:rsidRPr="00C361AD">
              <w:rPr>
                <w:rFonts w:ascii="Arial" w:hAnsi="Arial" w:cs="Arial"/>
                <w:sz w:val="20"/>
                <w:szCs w:val="20"/>
                <w:lang w:eastAsia="es-ES"/>
              </w:rPr>
              <w:t>​Menor 10%</w:t>
            </w:r>
          </w:p>
        </w:tc>
      </w:tr>
    </w:tbl>
    <w:p w14:paraId="28EAB5B0" w14:textId="77777777" w:rsidR="00EA3AF3" w:rsidRPr="00EA3AF3" w:rsidRDefault="00EA3AF3" w:rsidP="00EA3AF3">
      <w:pPr>
        <w:widowControl w:val="0"/>
        <w:tabs>
          <w:tab w:val="num" w:pos="431"/>
        </w:tabs>
        <w:spacing w:after="0" w:line="240" w:lineRule="auto"/>
        <w:ind w:left="1311"/>
        <w:jc w:val="both"/>
        <w:rPr>
          <w:rFonts w:ascii="Arial" w:hAnsi="Arial" w:cs="Arial"/>
          <w:b/>
          <w:snapToGrid w:val="0"/>
          <w:color w:val="000000"/>
          <w:sz w:val="16"/>
          <w:szCs w:val="16"/>
          <w:lang w:val="es-ES_tradnl" w:eastAsia="es-ES"/>
        </w:rPr>
        <w:sectPr w:rsidR="00EA3AF3" w:rsidRPr="00EA3AF3" w:rsidSect="00365D00">
          <w:pgSz w:w="11906" w:h="16838" w:code="9"/>
          <w:pgMar w:top="1418" w:right="142" w:bottom="1418" w:left="284" w:header="720" w:footer="720" w:gutter="0"/>
          <w:cols w:space="708"/>
          <w:docGrid w:linePitch="360"/>
        </w:sectPr>
      </w:pPr>
    </w:p>
    <w:p w14:paraId="4F48EB6A" w14:textId="77777777" w:rsidR="00A3029F" w:rsidRPr="00B7174F" w:rsidRDefault="00A3029F" w:rsidP="00CF69B3">
      <w:pPr>
        <w:pStyle w:val="T1AAA"/>
        <w:outlineLvl w:val="9"/>
      </w:pPr>
      <w:bookmarkStart w:id="1598" w:name="_Toc137540963"/>
      <w:bookmarkStart w:id="1599" w:name="_Toc148253094"/>
      <w:bookmarkStart w:id="1600" w:name="_Toc148253135"/>
      <w:bookmarkStart w:id="1601" w:name="_Toc308521365"/>
      <w:bookmarkStart w:id="1602" w:name="_Toc400629194"/>
      <w:bookmarkStart w:id="1603" w:name="_Toc400634173"/>
      <w:bookmarkStart w:id="1604" w:name="_Toc400635307"/>
      <w:r w:rsidRPr="00B7174F">
        <w:lastRenderedPageBreak/>
        <w:t>METODOLOGÍA PARA LA DETERMINACIÓN DE LOS NIVELES DE SERVICIO</w:t>
      </w:r>
      <w:bookmarkEnd w:id="1598"/>
      <w:bookmarkEnd w:id="1599"/>
      <w:bookmarkEnd w:id="1600"/>
      <w:r w:rsidRPr="00B7174F">
        <w:t>.</w:t>
      </w:r>
      <w:bookmarkEnd w:id="1601"/>
      <w:bookmarkEnd w:id="1602"/>
      <w:bookmarkEnd w:id="1603"/>
      <w:bookmarkEnd w:id="1604"/>
    </w:p>
    <w:p w14:paraId="3B7C307A" w14:textId="77777777" w:rsidR="00A3029F" w:rsidRPr="000544DC" w:rsidRDefault="00A3029F" w:rsidP="009A58E0">
      <w:pPr>
        <w:pStyle w:val="T2A6"/>
        <w:numPr>
          <w:ilvl w:val="0"/>
          <w:numId w:val="102"/>
        </w:numPr>
      </w:pPr>
      <w:bookmarkStart w:id="1605" w:name="_Toc308521366"/>
      <w:bookmarkStart w:id="1606" w:name="_Toc400622348"/>
      <w:bookmarkStart w:id="1607" w:name="_Toc400634174"/>
      <w:bookmarkStart w:id="1608" w:name="_Toc400635308"/>
      <w:r w:rsidRPr="000544DC">
        <w:t>Descripción.</w:t>
      </w:r>
      <w:bookmarkEnd w:id="1605"/>
      <w:bookmarkEnd w:id="1606"/>
      <w:bookmarkEnd w:id="1607"/>
      <w:bookmarkEnd w:id="1608"/>
    </w:p>
    <w:p w14:paraId="265C9289"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el </w:t>
      </w:r>
      <w:r w:rsidR="008A4B52">
        <w:rPr>
          <w:rFonts w:ascii="Arial" w:hAnsi="Arial" w:cs="Arial"/>
          <w:snapToGrid w:val="0"/>
          <w:color w:val="000000"/>
          <w:sz w:val="20"/>
          <w:szCs w:val="20"/>
          <w:lang w:val="es-ES_tradnl" w:eastAsia="es-ES"/>
        </w:rPr>
        <w:t xml:space="preserve">presente Anexo se </w:t>
      </w:r>
      <w:r w:rsidRPr="00B7174F">
        <w:rPr>
          <w:rFonts w:ascii="Arial" w:hAnsi="Arial" w:cs="Arial"/>
          <w:snapToGrid w:val="0"/>
          <w:color w:val="000000"/>
          <w:sz w:val="20"/>
          <w:szCs w:val="20"/>
          <w:lang w:val="es-ES_tradnl" w:eastAsia="es-ES"/>
        </w:rPr>
        <w:t>establece la forma de cuantificar los estándares que en su definición cuentan con un Parámetro, Exigencia y Método de Evaluación.</w:t>
      </w:r>
    </w:p>
    <w:p w14:paraId="486E5FEB" w14:textId="77777777" w:rsidR="00A3029F" w:rsidRPr="00B7174F" w:rsidRDefault="00166AEF"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Los</w:t>
      </w:r>
      <w:r w:rsidRPr="00B7174F">
        <w:rPr>
          <w:rFonts w:ascii="Arial" w:hAnsi="Arial" w:cs="Arial"/>
          <w:snapToGrid w:val="0"/>
          <w:color w:val="000000"/>
          <w:sz w:val="20"/>
          <w:szCs w:val="20"/>
          <w:lang w:val="es-ES_tradnl" w:eastAsia="es-ES"/>
        </w:rPr>
        <w:t xml:space="preserve"> </w:t>
      </w:r>
      <w:r w:rsidR="00A3029F" w:rsidRPr="00B7174F">
        <w:rPr>
          <w:rFonts w:ascii="Arial" w:hAnsi="Arial" w:cs="Arial"/>
          <w:snapToGrid w:val="0"/>
          <w:color w:val="000000"/>
          <w:sz w:val="20"/>
          <w:szCs w:val="20"/>
          <w:lang w:val="es-ES_tradnl" w:eastAsia="es-ES"/>
        </w:rPr>
        <w:t xml:space="preserve">métodos de Evaluación </w:t>
      </w:r>
      <w:r>
        <w:rPr>
          <w:rFonts w:ascii="Arial" w:hAnsi="Arial" w:cs="Arial"/>
          <w:snapToGrid w:val="0"/>
          <w:color w:val="000000"/>
          <w:sz w:val="20"/>
          <w:szCs w:val="20"/>
          <w:lang w:val="es-ES_tradnl" w:eastAsia="es-ES"/>
        </w:rPr>
        <w:t xml:space="preserve">expuestos </w:t>
      </w:r>
      <w:r w:rsidR="00A3029F" w:rsidRPr="00B7174F">
        <w:rPr>
          <w:rFonts w:ascii="Arial" w:hAnsi="Arial" w:cs="Arial"/>
          <w:snapToGrid w:val="0"/>
          <w:color w:val="000000"/>
          <w:sz w:val="20"/>
          <w:szCs w:val="20"/>
          <w:lang w:val="es-ES_tradnl" w:eastAsia="es-ES"/>
        </w:rPr>
        <w:t xml:space="preserve">son los mismos para los distintos tipos de evaluaciones: evaluaciones no programadas, </w:t>
      </w:r>
      <w:r>
        <w:rPr>
          <w:rFonts w:ascii="Arial" w:hAnsi="Arial" w:cs="Arial"/>
          <w:snapToGrid w:val="0"/>
          <w:color w:val="000000"/>
          <w:sz w:val="20"/>
          <w:szCs w:val="20"/>
          <w:lang w:val="es-ES_tradnl" w:eastAsia="es-ES"/>
        </w:rPr>
        <w:t>tri</w:t>
      </w:r>
      <w:r w:rsidRPr="00B7174F">
        <w:rPr>
          <w:rFonts w:ascii="Arial" w:hAnsi="Arial" w:cs="Arial"/>
          <w:snapToGrid w:val="0"/>
          <w:color w:val="000000"/>
          <w:sz w:val="20"/>
          <w:szCs w:val="20"/>
          <w:lang w:val="es-ES_tradnl" w:eastAsia="es-ES"/>
        </w:rPr>
        <w:t>mestrales</w:t>
      </w:r>
      <w:r w:rsidR="00A3029F" w:rsidRPr="00B7174F">
        <w:rPr>
          <w:rFonts w:ascii="Arial" w:hAnsi="Arial" w:cs="Arial"/>
          <w:snapToGrid w:val="0"/>
          <w:color w:val="000000"/>
          <w:sz w:val="20"/>
          <w:szCs w:val="20"/>
          <w:lang w:val="es-ES_tradnl" w:eastAsia="es-ES"/>
        </w:rPr>
        <w:t>, semestrales</w:t>
      </w:r>
      <w:r>
        <w:rPr>
          <w:rFonts w:ascii="Arial" w:hAnsi="Arial" w:cs="Arial"/>
          <w:snapToGrid w:val="0"/>
          <w:color w:val="000000"/>
          <w:sz w:val="20"/>
          <w:szCs w:val="20"/>
          <w:lang w:val="es-ES_tradnl" w:eastAsia="es-ES"/>
        </w:rPr>
        <w:t>, anuales</w:t>
      </w:r>
      <w:r w:rsidR="00A3029F" w:rsidRPr="00B7174F">
        <w:rPr>
          <w:rFonts w:ascii="Arial" w:hAnsi="Arial" w:cs="Arial"/>
          <w:snapToGrid w:val="0"/>
          <w:color w:val="000000"/>
          <w:sz w:val="20"/>
          <w:szCs w:val="20"/>
          <w:lang w:val="es-ES_tradnl" w:eastAsia="es-ES"/>
        </w:rPr>
        <w:t xml:space="preserve"> y a los efectos de la terminación del contrato</w:t>
      </w:r>
      <w:r>
        <w:rPr>
          <w:rFonts w:ascii="Arial" w:hAnsi="Arial" w:cs="Arial"/>
          <w:snapToGrid w:val="0"/>
          <w:color w:val="000000"/>
          <w:sz w:val="20"/>
          <w:szCs w:val="20"/>
          <w:lang w:val="es-ES_tradnl" w:eastAsia="es-ES"/>
        </w:rPr>
        <w:t>.</w:t>
      </w:r>
    </w:p>
    <w:p w14:paraId="4D62A585" w14:textId="77777777" w:rsidR="00A3029F" w:rsidRPr="000544DC" w:rsidRDefault="00A3029F" w:rsidP="009A58E0">
      <w:pPr>
        <w:pStyle w:val="T2A6"/>
        <w:numPr>
          <w:ilvl w:val="0"/>
          <w:numId w:val="102"/>
        </w:numPr>
      </w:pPr>
      <w:bookmarkStart w:id="1609" w:name="_Toc308521367"/>
      <w:bookmarkStart w:id="1610" w:name="_Toc400622349"/>
      <w:bookmarkStart w:id="1611" w:name="_Toc400634175"/>
      <w:bookmarkStart w:id="1612" w:name="_Toc400635309"/>
      <w:r w:rsidRPr="000544DC">
        <w:t>Nivel de Servicio por tramo y Nivel de Servicio global del Contrato.</w:t>
      </w:r>
      <w:bookmarkEnd w:id="1609"/>
      <w:bookmarkEnd w:id="1610"/>
      <w:bookmarkEnd w:id="1611"/>
      <w:bookmarkEnd w:id="1612"/>
    </w:p>
    <w:p w14:paraId="5C74AF6A"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determinación de los distintos Niveles de Servicio de cada uno de los tramos del circuito del contrato así como el Nivel Global del Contrato prestado por el Contratista se realizará de acuerdo a la metodología que se detalla a continuación:</w:t>
      </w:r>
    </w:p>
    <w:p w14:paraId="037A5605" w14:textId="77777777" w:rsidR="00A3029F" w:rsidRPr="00B7174F" w:rsidRDefault="00A3029F" w:rsidP="009A58E0">
      <w:pPr>
        <w:pStyle w:val="T2A5"/>
        <w:numPr>
          <w:ilvl w:val="1"/>
          <w:numId w:val="102"/>
        </w:numPr>
        <w:outlineLvl w:val="9"/>
      </w:pPr>
      <w:bookmarkStart w:id="1613" w:name="_Toc400634176"/>
      <w:bookmarkStart w:id="1614" w:name="_Toc400635310"/>
      <w:r w:rsidRPr="00B7174F">
        <w:lastRenderedPageBreak/>
        <w:t>Selección de la muestra</w:t>
      </w:r>
      <w:bookmarkEnd w:id="1613"/>
      <w:bookmarkEnd w:id="1614"/>
    </w:p>
    <w:p w14:paraId="0742AF7F"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w:t>
      </w:r>
      <w:r w:rsidRPr="00166AEF">
        <w:rPr>
          <w:rFonts w:ascii="Arial" w:hAnsi="Arial" w:cs="Arial"/>
          <w:snapToGrid w:val="0"/>
          <w:color w:val="000000"/>
          <w:sz w:val="20"/>
          <w:szCs w:val="20"/>
          <w:lang w:val="es-ES_tradnl" w:eastAsia="es-ES"/>
        </w:rPr>
        <w:t xml:space="preserve"> </w:t>
      </w:r>
      <w:r w:rsidRPr="00F7224E">
        <w:rPr>
          <w:rFonts w:ascii="Arial" w:hAnsi="Arial" w:cs="Arial"/>
          <w:bCs/>
          <w:snapToGrid w:val="0"/>
          <w:color w:val="000000"/>
          <w:sz w:val="20"/>
          <w:szCs w:val="20"/>
          <w:lang w:val="es-ES_tradnl" w:eastAsia="es-ES"/>
        </w:rPr>
        <w:t>selección</w:t>
      </w:r>
      <w:r w:rsidRPr="00B7174F">
        <w:rPr>
          <w:rFonts w:ascii="Arial" w:hAnsi="Arial" w:cs="Arial"/>
          <w:snapToGrid w:val="0"/>
          <w:color w:val="000000"/>
          <w:sz w:val="20"/>
          <w:szCs w:val="20"/>
          <w:lang w:val="es-ES_tradnl" w:eastAsia="es-ES"/>
        </w:rPr>
        <w:t xml:space="preserve"> de la muestra a evaluar como representativa de un tramo se realizará de acuerdo con el siguiente procedimiento:</w:t>
      </w:r>
    </w:p>
    <w:p w14:paraId="24535F06"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subdividirá cada tramo que forma parte del contrato en secciones de 1 km</w:t>
      </w:r>
      <w:r w:rsidR="00166AEF">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en coincidencia con la tramificación por kilómetro </w:t>
      </w:r>
      <w:r w:rsidR="00166AEF">
        <w:rPr>
          <w:rFonts w:ascii="Arial" w:hAnsi="Arial" w:cs="Arial"/>
          <w:snapToGrid w:val="0"/>
          <w:color w:val="000000"/>
          <w:sz w:val="20"/>
          <w:szCs w:val="20"/>
          <w:lang w:val="es-ES_tradnl" w:eastAsia="es-ES"/>
        </w:rPr>
        <w:t xml:space="preserve">del </w:t>
      </w:r>
      <w:r w:rsidRPr="00B7174F">
        <w:rPr>
          <w:rFonts w:ascii="Arial" w:hAnsi="Arial" w:cs="Arial"/>
          <w:snapToGrid w:val="0"/>
          <w:color w:val="000000"/>
          <w:sz w:val="20"/>
          <w:szCs w:val="20"/>
          <w:lang w:val="es-ES_tradnl" w:eastAsia="es-ES"/>
        </w:rPr>
        <w:t xml:space="preserve"> Inventario de la D.N.V, estableciéndose así un número total de secciones de cada tramo.</w:t>
      </w:r>
    </w:p>
    <w:p w14:paraId="2D713263"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Si un tramo no comenzara o finalizara exactamente en un kilómetro entero se definen secciones especiales de menos de un kilómetro al comienzo y/o fin del tramo, despreciando segmentos del kilómetro menores a 100 metros</w:t>
      </w:r>
      <w:r w:rsidR="00166AEF">
        <w:rPr>
          <w:rFonts w:ascii="Arial" w:hAnsi="Arial" w:cs="Arial"/>
          <w:snapToGrid w:val="0"/>
          <w:color w:val="000000"/>
          <w:sz w:val="20"/>
          <w:szCs w:val="20"/>
          <w:lang w:val="es-ES_tradnl" w:eastAsia="es-ES"/>
        </w:rPr>
        <w:t>. P</w:t>
      </w:r>
      <w:r w:rsidRPr="00B7174F">
        <w:rPr>
          <w:rFonts w:ascii="Arial" w:hAnsi="Arial" w:cs="Arial"/>
          <w:snapToGrid w:val="0"/>
          <w:color w:val="000000"/>
          <w:sz w:val="20"/>
          <w:szCs w:val="20"/>
          <w:lang w:val="es-ES_tradnl" w:eastAsia="es-ES"/>
        </w:rPr>
        <w:t>or lo tanto cada tramo tendrá un número entero de segmentos de 100 metros.</w:t>
      </w:r>
    </w:p>
    <w:p w14:paraId="6AA6C532"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Sección:</w:t>
      </w:r>
      <w:r w:rsidRPr="00B7174F">
        <w:rPr>
          <w:rFonts w:ascii="Arial" w:hAnsi="Arial" w:cs="Arial"/>
          <w:snapToGrid w:val="0"/>
          <w:color w:val="000000"/>
          <w:sz w:val="20"/>
          <w:szCs w:val="20"/>
          <w:lang w:val="es-ES_tradnl" w:eastAsia="es-ES"/>
        </w:rPr>
        <w:t xml:space="preserve"> 1 kilómetro</w:t>
      </w:r>
    </w:p>
    <w:p w14:paraId="1AE80913"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b/>
          <w:bCs/>
          <w:snapToGrid w:val="0"/>
          <w:color w:val="000000"/>
          <w:sz w:val="20"/>
          <w:szCs w:val="20"/>
          <w:lang w:val="es-ES_tradnl" w:eastAsia="es-ES"/>
        </w:rPr>
        <w:t>Segmento</w:t>
      </w:r>
      <w:r w:rsidR="00166AEF">
        <w:rPr>
          <w:rFonts w:ascii="Arial" w:hAnsi="Arial" w:cs="Arial"/>
          <w:b/>
          <w:bCs/>
          <w:snapToGrid w:val="0"/>
          <w:color w:val="000000"/>
          <w:sz w:val="20"/>
          <w:szCs w:val="20"/>
          <w:lang w:val="es-ES_tradnl" w:eastAsia="es-ES"/>
        </w:rPr>
        <w:t xml:space="preserve"> o hectómetro</w:t>
      </w:r>
      <w:r w:rsidRPr="00B7174F">
        <w:rPr>
          <w:rFonts w:ascii="Arial" w:hAnsi="Arial" w:cs="Arial"/>
          <w:b/>
          <w:bCs/>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100 metros</w:t>
      </w:r>
    </w:p>
    <w:p w14:paraId="52B0E5AF"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Se define como tamaño mínimo de la muestra a evaluar en cada tramo al 10% del número total de secciones del tramo. Se elegirán al azar las secciones de cada tramo a evaluar sobre la base del tamaño de la muestra a evaluar determinado anteriormente</w:t>
      </w:r>
      <w:r w:rsidR="00166AEF">
        <w:rPr>
          <w:rFonts w:ascii="Arial" w:hAnsi="Arial" w:cs="Arial"/>
          <w:snapToGrid w:val="0"/>
          <w:color w:val="000000"/>
          <w:sz w:val="20"/>
          <w:szCs w:val="20"/>
          <w:lang w:val="es-ES_tradnl" w:eastAsia="es-ES"/>
        </w:rPr>
        <w:t>, d</w:t>
      </w:r>
      <w:r w:rsidRPr="00B7174F">
        <w:rPr>
          <w:rFonts w:ascii="Arial" w:hAnsi="Arial" w:cs="Arial"/>
          <w:snapToGrid w:val="0"/>
          <w:color w:val="000000"/>
          <w:sz w:val="20"/>
          <w:szCs w:val="20"/>
          <w:lang w:val="es-ES_tradnl" w:eastAsia="es-ES"/>
        </w:rPr>
        <w:t>ebiendo elegirse siempre al menos 1 sección por tramo.</w:t>
      </w:r>
    </w:p>
    <w:p w14:paraId="676844DC" w14:textId="77777777" w:rsidR="00A3029F" w:rsidRPr="00B7174F" w:rsidRDefault="00A3029F" w:rsidP="009A58E0">
      <w:pPr>
        <w:pStyle w:val="T2A5"/>
        <w:numPr>
          <w:ilvl w:val="1"/>
          <w:numId w:val="102"/>
        </w:numPr>
        <w:outlineLvl w:val="9"/>
      </w:pPr>
      <w:bookmarkStart w:id="1615" w:name="_Toc400634177"/>
      <w:bookmarkStart w:id="1616" w:name="_Toc400635311"/>
      <w:r w:rsidRPr="00B7174F">
        <w:lastRenderedPageBreak/>
        <w:t>Evaluación de la muestra</w:t>
      </w:r>
      <w:bookmarkEnd w:id="1615"/>
      <w:bookmarkEnd w:id="1616"/>
    </w:p>
    <w:p w14:paraId="2626A768"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La evaluación de la muestra seleccionada como representativa de un tramo se realizará de acuerdo con el siguiente procedimiento:</w:t>
      </w:r>
    </w:p>
    <w:p w14:paraId="33F10172"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Cada Sección seleccionada se la subdivide en segmentos a evaluar de 100 m, (si en un segmento extremo aparece parcialmente un elemento discreto, como una obra de arte, éste se considerará totalmente incluido en </w:t>
      </w:r>
      <w:r w:rsidR="007268D9">
        <w:rPr>
          <w:rFonts w:ascii="Arial" w:hAnsi="Arial" w:cs="Arial"/>
          <w:snapToGrid w:val="0"/>
          <w:color w:val="000000"/>
          <w:sz w:val="20"/>
          <w:szCs w:val="20"/>
          <w:lang w:val="es-ES_tradnl" w:eastAsia="es-ES"/>
        </w:rPr>
        <w:t>la muestra</w:t>
      </w:r>
      <w:r w:rsidRPr="00B7174F">
        <w:rPr>
          <w:rFonts w:ascii="Arial" w:hAnsi="Arial" w:cs="Arial"/>
          <w:snapToGrid w:val="0"/>
          <w:color w:val="000000"/>
          <w:sz w:val="20"/>
          <w:szCs w:val="20"/>
          <w:lang w:val="es-ES_tradnl" w:eastAsia="es-ES"/>
        </w:rPr>
        <w:t>).</w:t>
      </w:r>
    </w:p>
    <w:p w14:paraId="3FD142E3" w14:textId="77777777" w:rsidR="00A3029F" w:rsidRPr="00B7174F" w:rsidRDefault="00A3029F" w:rsidP="0069228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En cada segmento se analiza el cumplimiento de todos los estándares establecidos en el</w:t>
      </w:r>
      <w:r w:rsidR="00397ECA">
        <w:rPr>
          <w:rFonts w:ascii="Arial" w:hAnsi="Arial" w:cs="Arial"/>
          <w:snapToGrid w:val="0"/>
          <w:color w:val="000000"/>
          <w:sz w:val="20"/>
          <w:szCs w:val="20"/>
          <w:lang w:val="es-ES_tradnl" w:eastAsia="es-ES"/>
        </w:rPr>
        <w:t xml:space="preserve"> presente</w:t>
      </w:r>
      <w:r w:rsidRPr="00B7174F">
        <w:rPr>
          <w:rFonts w:ascii="Arial" w:hAnsi="Arial" w:cs="Arial"/>
          <w:snapToGrid w:val="0"/>
          <w:color w:val="000000"/>
          <w:sz w:val="20"/>
          <w:szCs w:val="20"/>
          <w:lang w:val="es-ES_tradnl" w:eastAsia="es-ES"/>
        </w:rPr>
        <w:t xml:space="preserve"> Anexo para cada uno de los </w:t>
      </w:r>
      <w:r>
        <w:rPr>
          <w:rFonts w:ascii="Arial" w:hAnsi="Arial" w:cs="Arial"/>
          <w:snapToGrid w:val="0"/>
          <w:color w:val="000000"/>
          <w:sz w:val="20"/>
          <w:szCs w:val="20"/>
          <w:lang w:val="es-ES_tradnl" w:eastAsia="es-ES"/>
        </w:rPr>
        <w:t>ítems de mantenimiento:</w:t>
      </w:r>
      <w:r w:rsidRPr="00B7174F">
        <w:rPr>
          <w:rFonts w:ascii="Arial" w:hAnsi="Arial" w:cs="Arial"/>
          <w:snapToGrid w:val="0"/>
          <w:color w:val="000000"/>
          <w:sz w:val="20"/>
          <w:szCs w:val="20"/>
          <w:lang w:val="es-ES_tradnl" w:eastAsia="es-ES"/>
        </w:rPr>
        <w:t xml:space="preserve"> calzada, banquinas, obras de drenaje, seguridad vial y faja de la vía;</w:t>
      </w:r>
    </w:p>
    <w:p w14:paraId="59FFDB73"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en cada sección se determinará: </w:t>
      </w:r>
    </w:p>
    <w:p w14:paraId="4792B493" w14:textId="77777777" w:rsidR="00A3029F" w:rsidRPr="00B7174F" w:rsidRDefault="00A3029F" w:rsidP="00CF69B3">
      <w:pPr>
        <w:widowControl w:val="0"/>
        <w:spacing w:after="120"/>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i) número total de segmentos evaluados.</w:t>
      </w:r>
    </w:p>
    <w:p w14:paraId="62265786"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 xml:space="preserve">ii) número total de segmentos que incumplen los estándares para cada uno de los ítems de mantenimiento </w:t>
      </w:r>
      <w:bookmarkStart w:id="1617" w:name="OLE_LINK2"/>
      <w:r w:rsidRPr="00B7174F">
        <w:rPr>
          <w:rFonts w:ascii="Arial" w:hAnsi="Arial" w:cs="Arial"/>
          <w:snapToGrid w:val="0"/>
          <w:color w:val="000000"/>
          <w:sz w:val="20"/>
          <w:szCs w:val="20"/>
          <w:lang w:val="es-ES_tradnl" w:eastAsia="es-ES"/>
        </w:rPr>
        <w:t>(calzada, banquinas, obras de arte menor y mayor, seguridad vial y faja de uso público).</w:t>
      </w:r>
      <w:r>
        <w:rPr>
          <w:rFonts w:ascii="Arial" w:hAnsi="Arial" w:cs="Arial"/>
          <w:snapToGrid w:val="0"/>
          <w:color w:val="000000"/>
          <w:sz w:val="20"/>
          <w:szCs w:val="20"/>
          <w:lang w:val="es-ES_tradnl" w:eastAsia="es-ES"/>
        </w:rPr>
        <w:t xml:space="preserve"> A los efectos de la determinación del Nivel de Servicio al Usuario, se considerará segmento fallado cuando exista al menos un incumplimiento. </w:t>
      </w:r>
    </w:p>
    <w:p w14:paraId="73F88DA3"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lastRenderedPageBreak/>
        <w:t>Con los datos antes mencionad</w:t>
      </w:r>
      <w:r>
        <w:rPr>
          <w:rFonts w:ascii="Arial" w:hAnsi="Arial" w:cs="Arial"/>
          <w:snapToGrid w:val="0"/>
          <w:color w:val="000000"/>
          <w:sz w:val="20"/>
          <w:szCs w:val="20"/>
          <w:lang w:val="es-ES_tradnl" w:eastAsia="es-ES"/>
        </w:rPr>
        <w:t>o</w:t>
      </w:r>
      <w:r w:rsidRPr="00B7174F">
        <w:rPr>
          <w:rFonts w:ascii="Arial" w:hAnsi="Arial" w:cs="Arial"/>
          <w:snapToGrid w:val="0"/>
          <w:color w:val="000000"/>
          <w:sz w:val="20"/>
          <w:szCs w:val="20"/>
          <w:lang w:val="es-ES_tradnl" w:eastAsia="es-ES"/>
        </w:rPr>
        <w:t>s se procederá a calcular los Niveles de Servicio de cada tramo y con éstos el Nivel de Servicio Global del Contrato de la siguiente manera</w:t>
      </w:r>
      <w:r>
        <w:rPr>
          <w:rFonts w:ascii="Arial" w:hAnsi="Arial" w:cs="Arial"/>
          <w:snapToGrid w:val="0"/>
          <w:color w:val="000000"/>
          <w:sz w:val="20"/>
          <w:szCs w:val="20"/>
          <w:lang w:val="es-ES_tradnl" w:eastAsia="es-ES"/>
        </w:rPr>
        <w:t>:</w:t>
      </w:r>
    </w:p>
    <w:p w14:paraId="215E9DE1" w14:textId="77777777" w:rsidR="00A3029F" w:rsidRPr="00B7174F" w:rsidRDefault="00A3029F" w:rsidP="00692283">
      <w:pPr>
        <w:jc w:val="both"/>
        <w:rPr>
          <w:rFonts w:ascii="Arial" w:hAnsi="Arial" w:cs="Arial"/>
          <w:b/>
          <w:bCs/>
          <w:snapToGrid w:val="0"/>
          <w:sz w:val="20"/>
          <w:szCs w:val="20"/>
          <w:lang w:val="es-UY" w:eastAsia="es-ES"/>
        </w:rPr>
      </w:pPr>
      <w:r w:rsidRPr="00B7174F">
        <w:rPr>
          <w:rFonts w:ascii="Arial" w:hAnsi="Arial" w:cs="Arial"/>
          <w:b/>
          <w:bCs/>
          <w:snapToGrid w:val="0"/>
          <w:sz w:val="20"/>
          <w:szCs w:val="20"/>
          <w:lang w:val="es-UY" w:eastAsia="es-ES"/>
        </w:rPr>
        <w:t>Nivel de servicio de los tramos.</w:t>
      </w:r>
    </w:p>
    <w:p w14:paraId="45DB775C"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Para cada tramo y para cada ítem de mantenimiento:</w:t>
      </w:r>
    </w:p>
    <w:p w14:paraId="0F7EEE39" w14:textId="77777777" w:rsidR="00A3029F" w:rsidRDefault="00C616B1"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1) </w:t>
      </w:r>
      <w:r w:rsidR="00A3029F" w:rsidRPr="00776609">
        <w:rPr>
          <w:rFonts w:ascii="Arial" w:hAnsi="Arial" w:cs="Arial"/>
          <w:snapToGrid w:val="0"/>
          <w:color w:val="000000"/>
          <w:sz w:val="20"/>
          <w:szCs w:val="20"/>
          <w:lang w:val="es-ES_tradnl" w:eastAsia="es-ES"/>
        </w:rPr>
        <w:t>Se determinará la cantidad d</w:t>
      </w:r>
      <w:r w:rsidR="00A3029F">
        <w:rPr>
          <w:rFonts w:ascii="Arial" w:hAnsi="Arial" w:cs="Arial"/>
          <w:snapToGrid w:val="0"/>
          <w:color w:val="000000"/>
          <w:sz w:val="20"/>
          <w:szCs w:val="20"/>
          <w:lang w:val="es-ES_tradnl" w:eastAsia="es-ES"/>
        </w:rPr>
        <w:t>e segmentos fallados por tramo</w:t>
      </w:r>
      <w:r w:rsidR="00A3029F" w:rsidRPr="00776609">
        <w:rPr>
          <w:rFonts w:ascii="Arial" w:hAnsi="Arial" w:cs="Arial"/>
          <w:snapToGrid w:val="0"/>
          <w:color w:val="000000"/>
          <w:sz w:val="20"/>
          <w:szCs w:val="20"/>
          <w:lang w:val="es-ES_tradnl" w:eastAsia="es-ES"/>
        </w:rPr>
        <w:t xml:space="preserve"> para cada ítem de mantenimiento, especificando si la falla se da a nivel de servicios básicos o complementarios. En caso de que en un hectómetro hubiera dos incumplimientos, uno correspondiente a un estándar básico y otro complementario</w:t>
      </w:r>
      <w:r w:rsidR="00A3029F">
        <w:rPr>
          <w:rFonts w:ascii="Arial" w:hAnsi="Arial" w:cs="Arial"/>
          <w:snapToGrid w:val="0"/>
          <w:color w:val="000000"/>
          <w:sz w:val="20"/>
          <w:szCs w:val="20"/>
          <w:lang w:val="es-ES_tradnl" w:eastAsia="es-ES"/>
        </w:rPr>
        <w:t>,</w:t>
      </w:r>
      <w:r w:rsidR="00A3029F" w:rsidRPr="00776609">
        <w:rPr>
          <w:rFonts w:ascii="Arial" w:hAnsi="Arial" w:cs="Arial"/>
          <w:snapToGrid w:val="0"/>
          <w:color w:val="000000"/>
          <w:sz w:val="20"/>
          <w:szCs w:val="20"/>
          <w:lang w:val="es-ES_tradnl" w:eastAsia="es-ES"/>
        </w:rPr>
        <w:t xml:space="preserve"> se computará el básico. </w:t>
      </w:r>
    </w:p>
    <w:p w14:paraId="1385C678" w14:textId="77777777" w:rsidR="00A3029F" w:rsidRPr="00F9389D" w:rsidRDefault="00C616B1"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2) </w:t>
      </w:r>
      <w:r w:rsidR="00A3029F" w:rsidRPr="00776609">
        <w:rPr>
          <w:rFonts w:ascii="Arial" w:hAnsi="Arial" w:cs="Arial"/>
          <w:snapToGrid w:val="0"/>
          <w:color w:val="000000"/>
          <w:sz w:val="20"/>
          <w:szCs w:val="20"/>
          <w:lang w:val="es-ES_tradnl" w:eastAsia="es-ES"/>
        </w:rPr>
        <w:t>Se determina el porcentaje de segmentos fallados (%</w:t>
      </w:r>
      <w:r w:rsidR="00166AEF">
        <w:rPr>
          <w:rFonts w:ascii="Arial" w:hAnsi="Arial" w:cs="Arial"/>
          <w:snapToGrid w:val="0"/>
          <w:color w:val="000000"/>
          <w:sz w:val="20"/>
          <w:szCs w:val="20"/>
          <w:lang w:val="es-ES_tradnl" w:eastAsia="es-ES"/>
        </w:rPr>
        <w:t xml:space="preserve"> </w:t>
      </w:r>
      <w:r w:rsidR="00A3029F" w:rsidRPr="00776609">
        <w:rPr>
          <w:rFonts w:ascii="Arial" w:hAnsi="Arial" w:cs="Arial"/>
          <w:snapToGrid w:val="0"/>
          <w:color w:val="000000"/>
          <w:sz w:val="20"/>
          <w:szCs w:val="20"/>
          <w:lang w:val="es-ES_tradnl" w:eastAsia="es-ES"/>
        </w:rPr>
        <w:t>seg</w:t>
      </w:r>
      <w:r w:rsidR="00A3029F">
        <w:rPr>
          <w:rFonts w:ascii="Arial" w:hAnsi="Arial" w:cs="Arial"/>
          <w:snapToGrid w:val="0"/>
          <w:color w:val="000000"/>
          <w:sz w:val="20"/>
          <w:szCs w:val="20"/>
          <w:lang w:val="es-ES_tradnl" w:eastAsia="es-ES"/>
        </w:rPr>
        <w:t>mentos</w:t>
      </w:r>
      <w:r w:rsidR="00A3029F" w:rsidRPr="00776609">
        <w:rPr>
          <w:rFonts w:ascii="Arial" w:hAnsi="Arial" w:cs="Arial"/>
          <w:snapToGrid w:val="0"/>
          <w:color w:val="000000"/>
          <w:sz w:val="20"/>
          <w:szCs w:val="20"/>
          <w:lang w:val="es-ES_tradnl" w:eastAsia="es-ES"/>
        </w:rPr>
        <w:t xml:space="preserve"> fallados ítem i) dividiendo el número de segmentos con incumplimiento entre el número total de segmentos que tiene la muestra. Esto se hará para cada tramo, para cada ítem de mantenimiento y desagregando si se trata de básicos o complementarios. </w:t>
      </w:r>
    </w:p>
    <w:p w14:paraId="0E1BA132" w14:textId="77777777" w:rsidR="00A3029F" w:rsidRPr="00127A79" w:rsidRDefault="00C616B1" w:rsidP="00C616B1">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3) </w:t>
      </w:r>
      <w:bookmarkEnd w:id="1617"/>
      <w:r w:rsidR="00A3029F" w:rsidRPr="00127A79">
        <w:rPr>
          <w:rFonts w:ascii="Arial" w:hAnsi="Arial" w:cs="Arial"/>
          <w:snapToGrid w:val="0"/>
          <w:color w:val="000000"/>
          <w:sz w:val="20"/>
          <w:szCs w:val="20"/>
          <w:lang w:val="es-ES_tradnl" w:eastAsia="es-ES"/>
        </w:rPr>
        <w:t xml:space="preserve">Se aplicarán los siguientes factores de ponderación </w:t>
      </w:r>
      <w:r w:rsidR="00A3029F" w:rsidRPr="00127A79">
        <w:rPr>
          <w:rFonts w:ascii="Arial" w:hAnsi="Arial" w:cs="Arial"/>
          <w:snapToGrid w:val="0"/>
          <w:color w:val="000000"/>
          <w:lang w:val="es-ES_tradnl" w:eastAsia="es-ES"/>
        </w:rPr>
        <w:t>w</w:t>
      </w:r>
      <w:r w:rsidR="00A3029F" w:rsidRPr="00127A79">
        <w:rPr>
          <w:rFonts w:ascii="Arial" w:hAnsi="Arial" w:cs="Arial"/>
          <w:snapToGrid w:val="0"/>
          <w:color w:val="000000"/>
          <w:vertAlign w:val="subscript"/>
          <w:lang w:val="es-ES_tradnl" w:eastAsia="es-ES"/>
        </w:rPr>
        <w:t>i</w:t>
      </w:r>
      <w:r w:rsidR="00A3029F" w:rsidRPr="00127A79">
        <w:rPr>
          <w:rFonts w:ascii="Arial" w:hAnsi="Arial" w:cs="Arial"/>
          <w:snapToGrid w:val="0"/>
          <w:color w:val="000000"/>
          <w:sz w:val="20"/>
          <w:szCs w:val="20"/>
          <w:lang w:val="es-ES_tradnl" w:eastAsia="es-ES"/>
        </w:rPr>
        <w:t>:</w:t>
      </w:r>
    </w:p>
    <w:p w14:paraId="5503A619" w14:textId="77777777" w:rsidR="00A3029F" w:rsidRPr="00B7174F" w:rsidRDefault="00A3029F" w:rsidP="00692283">
      <w:pPr>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00166AEF">
        <w:rPr>
          <w:rFonts w:ascii="Arial" w:hAnsi="Arial" w:cs="Arial"/>
          <w:snapToGrid w:val="0"/>
          <w:color w:val="000000"/>
          <w:vertAlign w:val="subscript"/>
          <w:lang w:val="es-ES_tradnl" w:eastAsia="es-ES"/>
        </w:rPr>
        <w:t xml:space="preserve"> </w:t>
      </w:r>
      <w:r w:rsidRPr="00B7174F">
        <w:rPr>
          <w:rFonts w:ascii="Arial" w:hAnsi="Arial" w:cs="Arial"/>
          <w:snapToGrid w:val="0"/>
          <w:color w:val="000000"/>
          <w:sz w:val="20"/>
          <w:szCs w:val="20"/>
          <w:lang w:val="es-ES_tradnl" w:eastAsia="es-ES"/>
        </w:rPr>
        <w:t>Básicos</w:t>
      </w:r>
      <w:r w:rsidR="00166AEF">
        <w:rPr>
          <w:rFonts w:ascii="Arial" w:hAnsi="Arial" w:cs="Arial"/>
          <w:snapToGrid w:val="0"/>
          <w:color w:val="000000"/>
          <w:sz w:val="20"/>
          <w:szCs w:val="20"/>
          <w:lang w:val="es-ES_tradnl" w:eastAsia="es-ES"/>
        </w:rPr>
        <w:t xml:space="preserve"> </w:t>
      </w:r>
      <w:r>
        <w:rPr>
          <w:rFonts w:ascii="Arial" w:hAnsi="Arial" w:cs="Arial"/>
          <w:snapToGrid w:val="0"/>
          <w:color w:val="000000"/>
          <w:sz w:val="20"/>
          <w:szCs w:val="20"/>
          <w:lang w:val="es-ES_tradnl" w:eastAsia="es-ES"/>
        </w:rPr>
        <w:t>=</w:t>
      </w:r>
      <w:r w:rsidRPr="00B7174F">
        <w:rPr>
          <w:rFonts w:ascii="Arial" w:hAnsi="Arial" w:cs="Arial"/>
          <w:snapToGrid w:val="0"/>
          <w:color w:val="000000"/>
          <w:sz w:val="20"/>
          <w:szCs w:val="20"/>
          <w:lang w:val="es-ES_tradnl" w:eastAsia="es-ES"/>
        </w:rPr>
        <w:t xml:space="preserve"> 120%.</w:t>
      </w:r>
    </w:p>
    <w:p w14:paraId="0807E9FF" w14:textId="77777777" w:rsidR="00A3029F" w:rsidRPr="00B7174F" w:rsidRDefault="00A3029F" w:rsidP="00692283">
      <w:pPr>
        <w:jc w:val="both"/>
        <w:rPr>
          <w:rFonts w:ascii="Arial" w:hAnsi="Arial" w:cs="Arial"/>
          <w:snapToGrid w:val="0"/>
          <w:color w:val="000000"/>
          <w:sz w:val="20"/>
          <w:szCs w:val="20"/>
          <w:lang w:val="es-ES_tradnl" w:eastAsia="es-ES"/>
        </w:rPr>
      </w:pPr>
      <w:r w:rsidRPr="000426DE">
        <w:rPr>
          <w:rFonts w:ascii="Arial" w:hAnsi="Arial" w:cs="Arial"/>
          <w:snapToGrid w:val="0"/>
          <w:color w:val="000000"/>
          <w:lang w:val="es-ES_tradnl" w:eastAsia="es-ES"/>
        </w:rPr>
        <w:t>w</w:t>
      </w:r>
      <w:r w:rsidRPr="000426DE">
        <w:rPr>
          <w:rFonts w:ascii="Arial" w:hAnsi="Arial" w:cs="Arial"/>
          <w:snapToGrid w:val="0"/>
          <w:color w:val="000000"/>
          <w:vertAlign w:val="subscript"/>
          <w:lang w:val="es-ES_tradnl" w:eastAsia="es-ES"/>
        </w:rPr>
        <w:t>i</w:t>
      </w:r>
      <w:r w:rsidR="00166AEF">
        <w:rPr>
          <w:rFonts w:ascii="Arial" w:hAnsi="Arial" w:cs="Arial"/>
          <w:snapToGrid w:val="0"/>
          <w:color w:val="000000"/>
          <w:vertAlign w:val="subscript"/>
          <w:lang w:val="es-ES_tradnl" w:eastAsia="es-ES"/>
        </w:rPr>
        <w:t xml:space="preserve"> </w:t>
      </w:r>
      <w:r w:rsidRPr="00B7174F">
        <w:rPr>
          <w:rFonts w:ascii="Arial" w:hAnsi="Arial" w:cs="Arial"/>
          <w:snapToGrid w:val="0"/>
          <w:color w:val="000000"/>
          <w:sz w:val="20"/>
          <w:szCs w:val="20"/>
          <w:lang w:val="es-ES_tradnl" w:eastAsia="es-ES"/>
        </w:rPr>
        <w:t>Complementarios</w:t>
      </w:r>
      <w:r w:rsidR="00166AEF">
        <w:rPr>
          <w:rFonts w:ascii="Arial" w:hAnsi="Arial" w:cs="Arial"/>
          <w:snapToGrid w:val="0"/>
          <w:color w:val="000000"/>
          <w:sz w:val="20"/>
          <w:szCs w:val="20"/>
          <w:lang w:val="es-ES_tradnl" w:eastAsia="es-ES"/>
        </w:rPr>
        <w:t xml:space="preserve"> </w:t>
      </w:r>
      <w:r>
        <w:rPr>
          <w:rFonts w:ascii="Arial" w:hAnsi="Arial" w:cs="Arial"/>
          <w:snapToGrid w:val="0"/>
          <w:color w:val="000000"/>
          <w:sz w:val="20"/>
          <w:szCs w:val="20"/>
          <w:lang w:val="es-ES_tradnl" w:eastAsia="es-ES"/>
        </w:rPr>
        <w:t>=</w:t>
      </w:r>
      <w:r w:rsidR="00166AE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60%.</w:t>
      </w:r>
    </w:p>
    <w:p w14:paraId="32A8981B" w14:textId="77777777" w:rsidR="00A3029F" w:rsidRPr="00127A79" w:rsidRDefault="00A3029F" w:rsidP="009A58E0">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lastRenderedPageBreak/>
        <w:t>Se obtendrá un porcentaje de los segmentos fallados para cada tramo y para cada ítem de mantenimiento, sumando los porcentajes obtenidos anteriormente.</w:t>
      </w:r>
    </w:p>
    <w:p w14:paraId="08E00DB1" w14:textId="77777777" w:rsidR="00A3029F" w:rsidRPr="00127A79" w:rsidRDefault="00C616B1" w:rsidP="009A58E0">
      <w:pPr>
        <w:pStyle w:val="Prrafodelista"/>
        <w:numPr>
          <w:ilvl w:val="0"/>
          <w:numId w:val="66"/>
        </w:numPr>
        <w:ind w:left="360"/>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Se calcula diferencia entre 100% y el porcentaje ob</w:t>
      </w:r>
      <w:r w:rsidR="00120471">
        <w:rPr>
          <w:rFonts w:ascii="Arial" w:hAnsi="Arial" w:cs="Arial"/>
          <w:snapToGrid w:val="0"/>
          <w:color w:val="000000"/>
          <w:sz w:val="20"/>
          <w:szCs w:val="20"/>
          <w:lang w:val="es-ES_tradnl" w:eastAsia="es-ES"/>
        </w:rPr>
        <w:t>tenido anteriormente para cada í</w:t>
      </w:r>
      <w:r>
        <w:rPr>
          <w:rFonts w:ascii="Arial" w:hAnsi="Arial" w:cs="Arial"/>
          <w:snapToGrid w:val="0"/>
          <w:color w:val="000000"/>
          <w:sz w:val="20"/>
          <w:szCs w:val="20"/>
          <w:lang w:val="es-ES_tradnl" w:eastAsia="es-ES"/>
        </w:rPr>
        <w:t>tem</w:t>
      </w:r>
      <w:r w:rsidR="00A3029F" w:rsidRPr="00127A79">
        <w:rPr>
          <w:rFonts w:ascii="Arial" w:hAnsi="Arial" w:cs="Arial"/>
          <w:snapToGrid w:val="0"/>
          <w:color w:val="000000"/>
          <w:sz w:val="20"/>
          <w:szCs w:val="20"/>
          <w:lang w:val="es-ES_tradnl" w:eastAsia="es-ES"/>
        </w:rPr>
        <w:t>.</w:t>
      </w:r>
    </w:p>
    <w:p w14:paraId="1679F687" w14:textId="77777777" w:rsidR="00A3029F" w:rsidRPr="00127A79" w:rsidRDefault="00A3029F" w:rsidP="009A58E0">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t>Con los valores obtenidos para cada ítem se realiza el promedio simple de los ítems de mantenimiento</w:t>
      </w:r>
      <w:r w:rsidR="00C616B1">
        <w:rPr>
          <w:rFonts w:ascii="Arial" w:hAnsi="Arial" w:cs="Arial"/>
          <w:snapToGrid w:val="0"/>
          <w:color w:val="000000"/>
          <w:sz w:val="20"/>
          <w:szCs w:val="20"/>
          <w:lang w:val="es-ES_tradnl" w:eastAsia="es-ES"/>
        </w:rPr>
        <w:t xml:space="preserve"> </w:t>
      </w:r>
      <w:r w:rsidRPr="00127A79">
        <w:rPr>
          <w:rFonts w:ascii="Arial" w:hAnsi="Arial" w:cs="Arial"/>
          <w:snapToGrid w:val="0"/>
          <w:color w:val="000000"/>
          <w:sz w:val="20"/>
          <w:szCs w:val="20"/>
          <w:lang w:val="es-ES_tradnl" w:eastAsia="es-ES"/>
        </w:rPr>
        <w:t xml:space="preserve">y obtenemos el </w:t>
      </w:r>
      <w:r w:rsidRPr="00127A79">
        <w:rPr>
          <w:rFonts w:ascii="Arial" w:hAnsi="Arial" w:cs="Arial"/>
          <w:b/>
          <w:bCs/>
          <w:snapToGrid w:val="0"/>
          <w:color w:val="000000"/>
          <w:sz w:val="20"/>
          <w:szCs w:val="20"/>
          <w:lang w:val="es-ES_tradnl" w:eastAsia="es-ES"/>
        </w:rPr>
        <w:t>Nivel de Servicio del tramo</w:t>
      </w:r>
      <w:r w:rsidRPr="00127A79">
        <w:rPr>
          <w:rFonts w:ascii="Arial" w:hAnsi="Arial" w:cs="Arial"/>
          <w:snapToGrid w:val="0"/>
          <w:color w:val="000000"/>
          <w:sz w:val="20"/>
          <w:szCs w:val="20"/>
          <w:lang w:val="es-ES_tradnl" w:eastAsia="es-ES"/>
        </w:rPr>
        <w:t>.</w:t>
      </w:r>
    </w:p>
    <w:p w14:paraId="5FF3477F" w14:textId="77777777" w:rsidR="00A3029F" w:rsidRPr="00976F0D" w:rsidRDefault="00A3029F" w:rsidP="00692283">
      <w:pPr>
        <w:pStyle w:val="Prrafodelista"/>
        <w:numPr>
          <w:ilvl w:val="0"/>
          <w:numId w:val="66"/>
        </w:numPr>
        <w:ind w:left="360"/>
        <w:jc w:val="both"/>
        <w:rPr>
          <w:rFonts w:ascii="Arial" w:hAnsi="Arial" w:cs="Arial"/>
          <w:snapToGrid w:val="0"/>
          <w:color w:val="000000"/>
          <w:sz w:val="20"/>
          <w:szCs w:val="20"/>
          <w:lang w:val="es-ES_tradnl" w:eastAsia="es-ES"/>
        </w:rPr>
      </w:pPr>
      <w:r w:rsidRPr="00127A79">
        <w:rPr>
          <w:rFonts w:ascii="Arial" w:hAnsi="Arial" w:cs="Arial"/>
          <w:snapToGrid w:val="0"/>
          <w:color w:val="000000"/>
          <w:sz w:val="20"/>
          <w:szCs w:val="20"/>
          <w:lang w:val="es-ES_tradnl" w:eastAsia="es-ES"/>
        </w:rPr>
        <w:t>La pérdida del nivel de servicio se calcula como la diferencia entre 100% y el Nivel de Servicio del tramo.</w:t>
      </w:r>
    </w:p>
    <w:p w14:paraId="130AC4A8" w14:textId="77777777" w:rsidR="00A3029F" w:rsidRPr="00B7174F" w:rsidRDefault="00A3029F" w:rsidP="00692283">
      <w:pPr>
        <w:jc w:val="both"/>
        <w:rPr>
          <w:rFonts w:ascii="Arial" w:hAnsi="Arial" w:cs="Arial"/>
          <w:snapToGrid w:val="0"/>
          <w:color w:val="000000"/>
          <w:sz w:val="20"/>
          <w:szCs w:val="20"/>
          <w:lang w:val="es-ES_tradnl" w:eastAsia="es-ES"/>
        </w:rPr>
      </w:pPr>
      <w:r w:rsidRPr="00B7174F">
        <w:rPr>
          <w:rFonts w:ascii="Arial" w:hAnsi="Arial" w:cs="Arial"/>
          <w:snapToGrid w:val="0"/>
          <w:color w:val="000000"/>
          <w:sz w:val="20"/>
          <w:szCs w:val="20"/>
          <w:lang w:val="es-ES_tradnl" w:eastAsia="es-ES"/>
        </w:rPr>
        <w:t>NS tramo j= ∑(100%</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 xml:space="preserve">wi </w:t>
      </w:r>
      <w:r w:rsidR="00C616B1">
        <w:rPr>
          <w:rFonts w:ascii="Arial" w:hAnsi="Arial" w:cs="Arial"/>
          <w:snapToGrid w:val="0"/>
          <w:color w:val="000000"/>
          <w:sz w:val="20"/>
          <w:szCs w:val="20"/>
          <w:lang w:val="es-ES_tradnl" w:eastAsia="es-ES"/>
        </w:rPr>
        <w:t>*</w:t>
      </w:r>
      <w:r w:rsidR="00C616B1" w:rsidRPr="00B7174F">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w:t>
      </w:r>
      <w:r w:rsidR="00C616B1">
        <w:rPr>
          <w:rFonts w:ascii="Arial" w:hAnsi="Arial" w:cs="Arial"/>
          <w:snapToGrid w:val="0"/>
          <w:color w:val="000000"/>
          <w:sz w:val="20"/>
          <w:szCs w:val="20"/>
          <w:lang w:val="es-ES_tradnl" w:eastAsia="es-ES"/>
        </w:rPr>
        <w:t xml:space="preserve"> </w:t>
      </w:r>
      <w:r w:rsidRPr="00B7174F">
        <w:rPr>
          <w:rFonts w:ascii="Arial" w:hAnsi="Arial" w:cs="Arial"/>
          <w:snapToGrid w:val="0"/>
          <w:color w:val="000000"/>
          <w:sz w:val="20"/>
          <w:szCs w:val="20"/>
          <w:lang w:val="es-ES_tradnl" w:eastAsia="es-ES"/>
        </w:rPr>
        <w:t>seg</w:t>
      </w:r>
      <w:r w:rsidR="00C616B1">
        <w:rPr>
          <w:rFonts w:ascii="Arial" w:hAnsi="Arial" w:cs="Arial"/>
          <w:snapToGrid w:val="0"/>
          <w:color w:val="000000"/>
          <w:sz w:val="20"/>
          <w:szCs w:val="20"/>
          <w:lang w:val="es-ES_tradnl" w:eastAsia="es-ES"/>
        </w:rPr>
        <w:t>mentos</w:t>
      </w:r>
      <w:r w:rsidRPr="00B7174F">
        <w:rPr>
          <w:rFonts w:ascii="Arial" w:hAnsi="Arial" w:cs="Arial"/>
          <w:snapToGrid w:val="0"/>
          <w:color w:val="000000"/>
          <w:sz w:val="20"/>
          <w:szCs w:val="20"/>
          <w:lang w:val="es-ES_tradnl" w:eastAsia="es-ES"/>
        </w:rPr>
        <w:t xml:space="preserve"> fallados ítem i)) / (cantidad de ítems</w:t>
      </w:r>
      <w:r>
        <w:rPr>
          <w:rFonts w:ascii="Arial" w:hAnsi="Arial" w:cs="Arial"/>
          <w:snapToGrid w:val="0"/>
          <w:color w:val="000000"/>
          <w:sz w:val="20"/>
          <w:szCs w:val="20"/>
          <w:lang w:val="es-ES_tradnl" w:eastAsia="es-ES"/>
        </w:rPr>
        <w:t xml:space="preserve"> de mantenimiento</w:t>
      </w:r>
      <w:r w:rsidRPr="00B7174F">
        <w:rPr>
          <w:rFonts w:ascii="Arial" w:hAnsi="Arial" w:cs="Arial"/>
          <w:snapToGrid w:val="0"/>
          <w:color w:val="000000"/>
          <w:sz w:val="20"/>
          <w:szCs w:val="20"/>
          <w:lang w:val="es-ES_tradnl" w:eastAsia="es-ES"/>
        </w:rPr>
        <w:t>)</w:t>
      </w:r>
    </w:p>
    <w:p w14:paraId="1F271BA1" w14:textId="50617883" w:rsidR="00ED7765" w:rsidRDefault="00A3029F" w:rsidP="00692283">
      <w:pPr>
        <w:jc w:val="both"/>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t xml:space="preserve">NOTA: </w:t>
      </w:r>
      <w:r w:rsidRPr="00B7174F">
        <w:rPr>
          <w:rFonts w:ascii="Arial" w:hAnsi="Arial" w:cs="Arial"/>
          <w:snapToGrid w:val="0"/>
          <w:color w:val="000000"/>
          <w:sz w:val="20"/>
          <w:szCs w:val="20"/>
          <w:lang w:val="es-ES_tradnl" w:eastAsia="es-ES"/>
        </w:rPr>
        <w:t>Para el cálculo de los Niveles de Servicio de los tramos se considerarán para cada tramo los ítems de mantenimiento que efectivamente se estén manteniendo al momento de la evaluación.</w:t>
      </w:r>
    </w:p>
    <w:p w14:paraId="4659080A" w14:textId="77777777" w:rsidR="00ED7765" w:rsidRDefault="00ED7765">
      <w:pPr>
        <w:spacing w:after="0" w:line="240" w:lineRule="auto"/>
        <w:rPr>
          <w:rFonts w:ascii="Arial" w:hAnsi="Arial" w:cs="Arial"/>
          <w:snapToGrid w:val="0"/>
          <w:color w:val="000000"/>
          <w:sz w:val="20"/>
          <w:szCs w:val="20"/>
          <w:lang w:val="es-ES_tradnl" w:eastAsia="es-ES"/>
        </w:rPr>
      </w:pPr>
      <w:r>
        <w:rPr>
          <w:rFonts w:ascii="Arial" w:hAnsi="Arial" w:cs="Arial"/>
          <w:snapToGrid w:val="0"/>
          <w:color w:val="000000"/>
          <w:sz w:val="20"/>
          <w:szCs w:val="20"/>
          <w:lang w:val="es-ES_tradnl" w:eastAsia="es-ES"/>
        </w:rPr>
        <w:br w:type="page"/>
      </w:r>
    </w:p>
    <w:p w14:paraId="654A25C3" w14:textId="77777777" w:rsidR="00A3029F" w:rsidRPr="00B7174F" w:rsidRDefault="00A3029F" w:rsidP="00CF69B3">
      <w:r w:rsidRPr="00B7174F">
        <w:lastRenderedPageBreak/>
        <w:t>Ejemplo</w:t>
      </w:r>
      <w:r w:rsidR="00C616B1">
        <w:t xml:space="preserve"> para una sección de 1 km</w:t>
      </w:r>
      <w:r w:rsidRPr="00B7174F">
        <w:t>:</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81"/>
        <w:gridCol w:w="607"/>
        <w:gridCol w:w="614"/>
        <w:gridCol w:w="586"/>
        <w:gridCol w:w="68"/>
        <w:gridCol w:w="588"/>
        <w:gridCol w:w="569"/>
        <w:gridCol w:w="44"/>
        <w:gridCol w:w="42"/>
        <w:gridCol w:w="569"/>
        <w:gridCol w:w="598"/>
        <w:gridCol w:w="14"/>
        <w:gridCol w:w="14"/>
        <w:gridCol w:w="627"/>
        <w:gridCol w:w="610"/>
        <w:gridCol w:w="46"/>
        <w:gridCol w:w="658"/>
        <w:gridCol w:w="717"/>
        <w:gridCol w:w="17"/>
        <w:gridCol w:w="102"/>
        <w:gridCol w:w="828"/>
      </w:tblGrid>
      <w:tr w:rsidR="00A3029F" w:rsidRPr="00B7174F" w14:paraId="22690036" w14:textId="77777777">
        <w:trPr>
          <w:trHeight w:val="510"/>
          <w:jc w:val="center"/>
        </w:trPr>
        <w:tc>
          <w:tcPr>
            <w:tcW w:w="341" w:type="pct"/>
            <w:tcBorders>
              <w:top w:val="nil"/>
              <w:left w:val="nil"/>
              <w:bottom w:val="nil"/>
              <w:right w:val="nil"/>
            </w:tcBorders>
            <w:vAlign w:val="center"/>
          </w:tcPr>
          <w:p w14:paraId="6897A0F9" w14:textId="77777777" w:rsidR="00A3029F" w:rsidRPr="00B7174F" w:rsidRDefault="00A3029F" w:rsidP="00CF69B3">
            <w:pPr>
              <w:rPr>
                <w:rFonts w:ascii="Arial" w:hAnsi="Arial" w:cs="Arial"/>
                <w:color w:val="FFFFFF"/>
                <w:sz w:val="16"/>
                <w:szCs w:val="16"/>
              </w:rPr>
            </w:pPr>
          </w:p>
        </w:tc>
        <w:tc>
          <w:tcPr>
            <w:tcW w:w="357" w:type="pct"/>
            <w:tcBorders>
              <w:top w:val="nil"/>
              <w:left w:val="nil"/>
              <w:bottom w:val="nil"/>
              <w:right w:val="nil"/>
            </w:tcBorders>
            <w:vAlign w:val="center"/>
          </w:tcPr>
          <w:p w14:paraId="1C076952" w14:textId="77777777" w:rsidR="00A3029F" w:rsidRPr="00B7174F" w:rsidRDefault="00A3029F" w:rsidP="00CF69B3">
            <w:pPr>
              <w:rPr>
                <w:rFonts w:ascii="Arial" w:hAnsi="Arial" w:cs="Arial"/>
                <w:color w:val="FFFFFF"/>
                <w:sz w:val="16"/>
                <w:szCs w:val="16"/>
              </w:rPr>
            </w:pPr>
          </w:p>
        </w:tc>
        <w:tc>
          <w:tcPr>
            <w:tcW w:w="361" w:type="pct"/>
            <w:tcBorders>
              <w:top w:val="nil"/>
              <w:left w:val="nil"/>
              <w:bottom w:val="nil"/>
            </w:tcBorders>
            <w:vAlign w:val="center"/>
          </w:tcPr>
          <w:p w14:paraId="636021BD" w14:textId="77777777" w:rsidR="00A3029F" w:rsidRPr="00B7174F" w:rsidRDefault="00A3029F" w:rsidP="00CF69B3">
            <w:pPr>
              <w:rPr>
                <w:rFonts w:ascii="Arial" w:hAnsi="Arial" w:cs="Arial"/>
                <w:color w:val="FFFFFF"/>
                <w:sz w:val="16"/>
                <w:szCs w:val="16"/>
              </w:rPr>
            </w:pPr>
          </w:p>
        </w:tc>
        <w:tc>
          <w:tcPr>
            <w:tcW w:w="731" w:type="pct"/>
            <w:gridSpan w:val="3"/>
            <w:shd w:val="clear" w:color="auto" w:fill="BFBFBF"/>
            <w:vAlign w:val="center"/>
          </w:tcPr>
          <w:p w14:paraId="79FB3D47"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Calzada</w:t>
            </w:r>
          </w:p>
        </w:tc>
        <w:tc>
          <w:tcPr>
            <w:tcW w:w="721" w:type="pct"/>
            <w:gridSpan w:val="4"/>
            <w:shd w:val="clear" w:color="auto" w:fill="D9D9D9"/>
            <w:vAlign w:val="center"/>
          </w:tcPr>
          <w:p w14:paraId="366AC308"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Banquina</w:t>
            </w:r>
          </w:p>
        </w:tc>
        <w:tc>
          <w:tcPr>
            <w:tcW w:w="737" w:type="pct"/>
            <w:gridSpan w:val="4"/>
            <w:shd w:val="clear" w:color="auto" w:fill="DBE5F1"/>
            <w:vAlign w:val="center"/>
          </w:tcPr>
          <w:p w14:paraId="38C8D5A9"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Obras de Arte</w:t>
            </w:r>
          </w:p>
        </w:tc>
        <w:tc>
          <w:tcPr>
            <w:tcW w:w="773" w:type="pct"/>
            <w:gridSpan w:val="3"/>
            <w:shd w:val="clear" w:color="auto" w:fill="B8CCE4"/>
            <w:vAlign w:val="center"/>
          </w:tcPr>
          <w:p w14:paraId="0BB98060"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Seguridad Vial</w:t>
            </w:r>
          </w:p>
        </w:tc>
        <w:tc>
          <w:tcPr>
            <w:tcW w:w="979" w:type="pct"/>
            <w:gridSpan w:val="4"/>
            <w:shd w:val="clear" w:color="auto" w:fill="95B3D7"/>
            <w:vAlign w:val="center"/>
          </w:tcPr>
          <w:p w14:paraId="667E9D64" w14:textId="77777777" w:rsidR="00A3029F" w:rsidRPr="00B7174F" w:rsidRDefault="00A3029F" w:rsidP="00CF69B3">
            <w:pPr>
              <w:rPr>
                <w:rFonts w:ascii="Arial" w:hAnsi="Arial" w:cs="Arial"/>
                <w:color w:val="FFFFFF"/>
                <w:sz w:val="16"/>
                <w:szCs w:val="16"/>
              </w:rPr>
            </w:pPr>
            <w:r w:rsidRPr="00B7174F">
              <w:rPr>
                <w:rFonts w:ascii="Arial" w:hAnsi="Arial" w:cs="Arial"/>
                <w:color w:val="FFFFFF"/>
                <w:sz w:val="16"/>
                <w:szCs w:val="16"/>
              </w:rPr>
              <w:t>Faja de uso público</w:t>
            </w:r>
          </w:p>
        </w:tc>
      </w:tr>
      <w:tr w:rsidR="00A3029F" w:rsidRPr="00B7174F" w14:paraId="26928A52" w14:textId="77777777">
        <w:trPr>
          <w:trHeight w:val="284"/>
          <w:jc w:val="center"/>
        </w:trPr>
        <w:tc>
          <w:tcPr>
            <w:tcW w:w="341" w:type="pct"/>
            <w:tcBorders>
              <w:top w:val="nil"/>
              <w:left w:val="nil"/>
              <w:right w:val="nil"/>
            </w:tcBorders>
            <w:vAlign w:val="center"/>
          </w:tcPr>
          <w:p w14:paraId="3139ED43" w14:textId="77777777" w:rsidR="00A3029F" w:rsidRPr="00B7174F" w:rsidRDefault="00A3029F" w:rsidP="00CF69B3">
            <w:pPr>
              <w:rPr>
                <w:rFonts w:ascii="Arial" w:hAnsi="Arial" w:cs="Arial"/>
                <w:sz w:val="16"/>
                <w:szCs w:val="16"/>
              </w:rPr>
            </w:pPr>
          </w:p>
        </w:tc>
        <w:tc>
          <w:tcPr>
            <w:tcW w:w="357" w:type="pct"/>
            <w:tcBorders>
              <w:top w:val="nil"/>
              <w:left w:val="nil"/>
              <w:right w:val="nil"/>
            </w:tcBorders>
            <w:vAlign w:val="center"/>
          </w:tcPr>
          <w:p w14:paraId="164FEE6C" w14:textId="77777777" w:rsidR="00A3029F" w:rsidRPr="00B7174F" w:rsidRDefault="00A3029F" w:rsidP="00CF69B3">
            <w:pPr>
              <w:rPr>
                <w:rFonts w:ascii="Arial" w:hAnsi="Arial" w:cs="Arial"/>
                <w:sz w:val="16"/>
                <w:szCs w:val="16"/>
              </w:rPr>
            </w:pPr>
          </w:p>
        </w:tc>
        <w:tc>
          <w:tcPr>
            <w:tcW w:w="361" w:type="pct"/>
            <w:tcBorders>
              <w:top w:val="nil"/>
              <w:left w:val="nil"/>
            </w:tcBorders>
            <w:vAlign w:val="center"/>
          </w:tcPr>
          <w:p w14:paraId="137A58DD" w14:textId="77777777" w:rsidR="00A3029F" w:rsidRPr="00B7174F" w:rsidRDefault="00A3029F" w:rsidP="00CF69B3">
            <w:pPr>
              <w:rPr>
                <w:rFonts w:ascii="Arial" w:hAnsi="Arial" w:cs="Arial"/>
                <w:sz w:val="16"/>
                <w:szCs w:val="16"/>
              </w:rPr>
            </w:pPr>
          </w:p>
        </w:tc>
        <w:tc>
          <w:tcPr>
            <w:tcW w:w="385" w:type="pct"/>
            <w:gridSpan w:val="2"/>
            <w:vAlign w:val="center"/>
          </w:tcPr>
          <w:p w14:paraId="57AFCF87"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46" w:type="pct"/>
            <w:vAlign w:val="center"/>
          </w:tcPr>
          <w:p w14:paraId="0EB9658F"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61" w:type="pct"/>
            <w:gridSpan w:val="2"/>
            <w:vAlign w:val="center"/>
          </w:tcPr>
          <w:p w14:paraId="7979C78F"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60" w:type="pct"/>
            <w:gridSpan w:val="2"/>
            <w:vAlign w:val="center"/>
          </w:tcPr>
          <w:p w14:paraId="4FE9A405"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60" w:type="pct"/>
            <w:gridSpan w:val="2"/>
            <w:vAlign w:val="center"/>
          </w:tcPr>
          <w:p w14:paraId="51464362"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377" w:type="pct"/>
            <w:gridSpan w:val="2"/>
            <w:vAlign w:val="center"/>
          </w:tcPr>
          <w:p w14:paraId="0F93F234"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359" w:type="pct"/>
            <w:vAlign w:val="center"/>
          </w:tcPr>
          <w:p w14:paraId="39BF6213"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414" w:type="pct"/>
            <w:gridSpan w:val="2"/>
            <w:vAlign w:val="center"/>
          </w:tcPr>
          <w:p w14:paraId="7E223AAE"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c>
          <w:tcPr>
            <w:tcW w:w="422" w:type="pct"/>
            <w:vAlign w:val="center"/>
          </w:tcPr>
          <w:p w14:paraId="023225DE" w14:textId="77777777" w:rsidR="00A3029F" w:rsidRPr="00B7174F" w:rsidRDefault="00A3029F" w:rsidP="00CF69B3">
            <w:pPr>
              <w:rPr>
                <w:rFonts w:ascii="Arial" w:hAnsi="Arial" w:cs="Arial"/>
                <w:sz w:val="16"/>
                <w:szCs w:val="16"/>
              </w:rPr>
            </w:pPr>
            <w:r w:rsidRPr="00B7174F">
              <w:rPr>
                <w:rFonts w:ascii="Arial" w:hAnsi="Arial" w:cs="Arial"/>
                <w:sz w:val="16"/>
                <w:szCs w:val="16"/>
              </w:rPr>
              <w:t>Bás</w:t>
            </w:r>
          </w:p>
        </w:tc>
        <w:tc>
          <w:tcPr>
            <w:tcW w:w="557" w:type="pct"/>
            <w:gridSpan w:val="3"/>
            <w:vAlign w:val="center"/>
          </w:tcPr>
          <w:p w14:paraId="58E3647A" w14:textId="77777777" w:rsidR="00A3029F" w:rsidRPr="00B7174F" w:rsidRDefault="00A3029F" w:rsidP="00CF69B3">
            <w:pPr>
              <w:rPr>
                <w:rFonts w:ascii="Arial" w:hAnsi="Arial" w:cs="Arial"/>
                <w:sz w:val="16"/>
                <w:szCs w:val="16"/>
              </w:rPr>
            </w:pPr>
            <w:r w:rsidRPr="00B7174F">
              <w:rPr>
                <w:rFonts w:ascii="Arial" w:hAnsi="Arial" w:cs="Arial"/>
                <w:sz w:val="16"/>
                <w:szCs w:val="16"/>
              </w:rPr>
              <w:t>Com</w:t>
            </w:r>
          </w:p>
        </w:tc>
      </w:tr>
      <w:tr w:rsidR="00A3029F" w:rsidRPr="00B7174F" w14:paraId="70B84194" w14:textId="77777777">
        <w:trPr>
          <w:trHeight w:val="284"/>
          <w:jc w:val="center"/>
        </w:trPr>
        <w:tc>
          <w:tcPr>
            <w:tcW w:w="341" w:type="pct"/>
            <w:vAlign w:val="center"/>
          </w:tcPr>
          <w:p w14:paraId="5ED128C7" w14:textId="77777777" w:rsidR="00A3029F" w:rsidRPr="00B7174F" w:rsidRDefault="00A3029F" w:rsidP="00CF69B3">
            <w:pPr>
              <w:rPr>
                <w:rFonts w:ascii="Arial" w:hAnsi="Arial" w:cs="Arial"/>
                <w:sz w:val="16"/>
                <w:szCs w:val="16"/>
              </w:rPr>
            </w:pPr>
          </w:p>
        </w:tc>
        <w:tc>
          <w:tcPr>
            <w:tcW w:w="357" w:type="pct"/>
            <w:vAlign w:val="center"/>
          </w:tcPr>
          <w:p w14:paraId="191654F4" w14:textId="77777777" w:rsidR="00A3029F" w:rsidRPr="00B7174F" w:rsidRDefault="00A3029F" w:rsidP="00CF69B3">
            <w:pPr>
              <w:rPr>
                <w:rFonts w:ascii="Arial" w:hAnsi="Arial" w:cs="Arial"/>
                <w:sz w:val="16"/>
                <w:szCs w:val="16"/>
              </w:rPr>
            </w:pPr>
            <w:r w:rsidRPr="00B7174F">
              <w:rPr>
                <w:rFonts w:ascii="Arial" w:hAnsi="Arial" w:cs="Arial"/>
                <w:sz w:val="16"/>
                <w:szCs w:val="16"/>
              </w:rPr>
              <w:t>De</w:t>
            </w:r>
          </w:p>
        </w:tc>
        <w:tc>
          <w:tcPr>
            <w:tcW w:w="361" w:type="pct"/>
            <w:vAlign w:val="center"/>
          </w:tcPr>
          <w:p w14:paraId="08C5D562" w14:textId="77777777" w:rsidR="00A3029F" w:rsidRPr="00B7174F" w:rsidRDefault="00A3029F" w:rsidP="00CF69B3">
            <w:pPr>
              <w:rPr>
                <w:rFonts w:ascii="Arial" w:hAnsi="Arial" w:cs="Arial"/>
                <w:sz w:val="16"/>
                <w:szCs w:val="16"/>
              </w:rPr>
            </w:pPr>
            <w:r w:rsidRPr="00B7174F">
              <w:rPr>
                <w:rFonts w:ascii="Arial" w:hAnsi="Arial" w:cs="Arial"/>
                <w:sz w:val="16"/>
                <w:szCs w:val="16"/>
              </w:rPr>
              <w:t>A</w:t>
            </w:r>
          </w:p>
        </w:tc>
        <w:tc>
          <w:tcPr>
            <w:tcW w:w="385" w:type="pct"/>
            <w:gridSpan w:val="2"/>
            <w:vAlign w:val="center"/>
          </w:tcPr>
          <w:p w14:paraId="2897C1AE"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46" w:type="pct"/>
            <w:vAlign w:val="center"/>
          </w:tcPr>
          <w:p w14:paraId="60EE0913"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61" w:type="pct"/>
            <w:gridSpan w:val="2"/>
            <w:vAlign w:val="center"/>
          </w:tcPr>
          <w:p w14:paraId="26DF0814"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60" w:type="pct"/>
            <w:gridSpan w:val="2"/>
            <w:vAlign w:val="center"/>
          </w:tcPr>
          <w:p w14:paraId="5545A980"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60" w:type="pct"/>
            <w:gridSpan w:val="2"/>
            <w:vAlign w:val="center"/>
          </w:tcPr>
          <w:p w14:paraId="6C848337"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377" w:type="pct"/>
            <w:gridSpan w:val="2"/>
            <w:vAlign w:val="center"/>
          </w:tcPr>
          <w:p w14:paraId="32AACE84"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359" w:type="pct"/>
            <w:vAlign w:val="center"/>
          </w:tcPr>
          <w:p w14:paraId="5DC16968"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414" w:type="pct"/>
            <w:gridSpan w:val="2"/>
            <w:vAlign w:val="center"/>
          </w:tcPr>
          <w:p w14:paraId="5FF5913F"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c>
          <w:tcPr>
            <w:tcW w:w="422" w:type="pct"/>
            <w:vAlign w:val="center"/>
          </w:tcPr>
          <w:p w14:paraId="6AD20F40" w14:textId="77777777" w:rsidR="00A3029F" w:rsidRPr="00B7174F" w:rsidRDefault="00A3029F" w:rsidP="00CF69B3">
            <w:pPr>
              <w:rPr>
                <w:rFonts w:ascii="Arial" w:hAnsi="Arial" w:cs="Arial"/>
                <w:sz w:val="16"/>
                <w:szCs w:val="16"/>
              </w:rPr>
            </w:pPr>
            <w:r w:rsidRPr="00B7174F">
              <w:rPr>
                <w:rFonts w:ascii="Arial" w:hAnsi="Arial" w:cs="Arial"/>
                <w:sz w:val="16"/>
                <w:szCs w:val="16"/>
              </w:rPr>
              <w:t>120%</w:t>
            </w:r>
          </w:p>
        </w:tc>
        <w:tc>
          <w:tcPr>
            <w:tcW w:w="557" w:type="pct"/>
            <w:gridSpan w:val="3"/>
            <w:vAlign w:val="center"/>
          </w:tcPr>
          <w:p w14:paraId="17A003A3" w14:textId="77777777" w:rsidR="00A3029F" w:rsidRPr="00B7174F" w:rsidRDefault="00A3029F" w:rsidP="00CF69B3">
            <w:pPr>
              <w:rPr>
                <w:rFonts w:ascii="Arial" w:hAnsi="Arial" w:cs="Arial"/>
                <w:sz w:val="16"/>
                <w:szCs w:val="16"/>
              </w:rPr>
            </w:pPr>
            <w:r w:rsidRPr="00B7174F">
              <w:rPr>
                <w:rFonts w:ascii="Arial" w:hAnsi="Arial" w:cs="Arial"/>
                <w:sz w:val="16"/>
                <w:szCs w:val="16"/>
              </w:rPr>
              <w:t>60%</w:t>
            </w:r>
          </w:p>
        </w:tc>
      </w:tr>
      <w:tr w:rsidR="00A3029F" w:rsidRPr="00B7174F" w14:paraId="6911E08F" w14:textId="77777777">
        <w:trPr>
          <w:trHeight w:val="283"/>
          <w:jc w:val="center"/>
        </w:trPr>
        <w:tc>
          <w:tcPr>
            <w:tcW w:w="341" w:type="pct"/>
            <w:vAlign w:val="center"/>
          </w:tcPr>
          <w:p w14:paraId="67B8C1E6"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57" w:type="pct"/>
            <w:vAlign w:val="center"/>
          </w:tcPr>
          <w:p w14:paraId="35F38D91"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61" w:type="pct"/>
            <w:vAlign w:val="center"/>
          </w:tcPr>
          <w:p w14:paraId="5B8AB490" w14:textId="77777777" w:rsidR="00A3029F" w:rsidRPr="00B7174F" w:rsidRDefault="00A3029F" w:rsidP="00CF69B3">
            <w:pPr>
              <w:rPr>
                <w:rFonts w:ascii="Arial" w:hAnsi="Arial" w:cs="Arial"/>
                <w:sz w:val="16"/>
                <w:szCs w:val="16"/>
              </w:rPr>
            </w:pPr>
            <w:r w:rsidRPr="00B7174F">
              <w:rPr>
                <w:rFonts w:ascii="Arial" w:hAnsi="Arial" w:cs="Arial"/>
                <w:sz w:val="16"/>
                <w:szCs w:val="16"/>
              </w:rPr>
              <w:t>100</w:t>
            </w:r>
          </w:p>
        </w:tc>
        <w:tc>
          <w:tcPr>
            <w:tcW w:w="385" w:type="pct"/>
            <w:gridSpan w:val="2"/>
            <w:shd w:val="clear" w:color="auto" w:fill="BFBFBF"/>
            <w:vAlign w:val="center"/>
          </w:tcPr>
          <w:p w14:paraId="733DDDB0"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276E9FED"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59FA0BA8"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689E0D96"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127C205E"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3EF266B4"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745AD5D6"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5BCA79C3"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01AE13F9"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0E40DAAD" w14:textId="77777777" w:rsidR="00A3029F" w:rsidRPr="00B7174F" w:rsidRDefault="00A3029F" w:rsidP="00CF69B3">
            <w:pPr>
              <w:rPr>
                <w:rFonts w:ascii="Arial" w:hAnsi="Arial" w:cs="Arial"/>
                <w:sz w:val="16"/>
                <w:szCs w:val="16"/>
              </w:rPr>
            </w:pPr>
          </w:p>
        </w:tc>
      </w:tr>
      <w:tr w:rsidR="00A3029F" w:rsidRPr="00B7174F" w14:paraId="21D7DFE7" w14:textId="77777777">
        <w:trPr>
          <w:trHeight w:val="283"/>
          <w:jc w:val="center"/>
        </w:trPr>
        <w:tc>
          <w:tcPr>
            <w:tcW w:w="341" w:type="pct"/>
            <w:vAlign w:val="center"/>
          </w:tcPr>
          <w:p w14:paraId="6DE0CA41" w14:textId="77777777" w:rsidR="00A3029F" w:rsidRPr="00B7174F" w:rsidRDefault="00A3029F" w:rsidP="00CF69B3">
            <w:pPr>
              <w:rPr>
                <w:rFonts w:ascii="Arial" w:hAnsi="Arial" w:cs="Arial"/>
                <w:sz w:val="16"/>
                <w:szCs w:val="16"/>
              </w:rPr>
            </w:pPr>
            <w:r w:rsidRPr="00B7174F">
              <w:rPr>
                <w:rFonts w:ascii="Arial" w:hAnsi="Arial" w:cs="Arial"/>
                <w:sz w:val="16"/>
                <w:szCs w:val="16"/>
              </w:rPr>
              <w:t>2</w:t>
            </w:r>
          </w:p>
        </w:tc>
        <w:tc>
          <w:tcPr>
            <w:tcW w:w="357" w:type="pct"/>
            <w:vAlign w:val="center"/>
          </w:tcPr>
          <w:p w14:paraId="63BC0690" w14:textId="77777777" w:rsidR="00A3029F" w:rsidRPr="00B7174F" w:rsidRDefault="00A3029F" w:rsidP="00CF69B3">
            <w:pPr>
              <w:rPr>
                <w:rFonts w:ascii="Arial" w:hAnsi="Arial" w:cs="Arial"/>
                <w:sz w:val="16"/>
                <w:szCs w:val="16"/>
              </w:rPr>
            </w:pPr>
            <w:r w:rsidRPr="00B7174F">
              <w:rPr>
                <w:rFonts w:ascii="Arial" w:hAnsi="Arial" w:cs="Arial"/>
                <w:sz w:val="16"/>
                <w:szCs w:val="16"/>
              </w:rPr>
              <w:t>100</w:t>
            </w:r>
          </w:p>
        </w:tc>
        <w:tc>
          <w:tcPr>
            <w:tcW w:w="361" w:type="pct"/>
            <w:vAlign w:val="center"/>
          </w:tcPr>
          <w:p w14:paraId="3F54B255" w14:textId="77777777" w:rsidR="00A3029F" w:rsidRPr="00B7174F" w:rsidRDefault="00A3029F" w:rsidP="00CF69B3">
            <w:pPr>
              <w:rPr>
                <w:rFonts w:ascii="Arial" w:hAnsi="Arial" w:cs="Arial"/>
                <w:sz w:val="16"/>
                <w:szCs w:val="16"/>
              </w:rPr>
            </w:pPr>
            <w:r w:rsidRPr="00B7174F">
              <w:rPr>
                <w:rFonts w:ascii="Arial" w:hAnsi="Arial" w:cs="Arial"/>
                <w:sz w:val="16"/>
                <w:szCs w:val="16"/>
              </w:rPr>
              <w:t>200</w:t>
            </w:r>
          </w:p>
        </w:tc>
        <w:tc>
          <w:tcPr>
            <w:tcW w:w="385" w:type="pct"/>
            <w:gridSpan w:val="2"/>
            <w:shd w:val="clear" w:color="auto" w:fill="BFBFBF"/>
            <w:vAlign w:val="center"/>
          </w:tcPr>
          <w:p w14:paraId="2F4A2F90"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4C0F6221"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05347C62"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499480C3"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611C856A"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1E3725C7"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44B0F6D8"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53FA951C"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4F372871"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121745A7" w14:textId="77777777" w:rsidR="00A3029F" w:rsidRPr="00B7174F" w:rsidRDefault="00A3029F" w:rsidP="00CF69B3">
            <w:pPr>
              <w:rPr>
                <w:rFonts w:ascii="Arial" w:hAnsi="Arial" w:cs="Arial"/>
                <w:sz w:val="16"/>
                <w:szCs w:val="16"/>
              </w:rPr>
            </w:pPr>
          </w:p>
        </w:tc>
      </w:tr>
      <w:tr w:rsidR="00A3029F" w:rsidRPr="00B7174F" w14:paraId="16549B54" w14:textId="77777777">
        <w:trPr>
          <w:trHeight w:val="283"/>
          <w:jc w:val="center"/>
        </w:trPr>
        <w:tc>
          <w:tcPr>
            <w:tcW w:w="341" w:type="pct"/>
            <w:vAlign w:val="center"/>
          </w:tcPr>
          <w:p w14:paraId="71B5584A" w14:textId="77777777" w:rsidR="00A3029F" w:rsidRPr="00B7174F" w:rsidRDefault="00A3029F" w:rsidP="00CF69B3">
            <w:pPr>
              <w:rPr>
                <w:rFonts w:ascii="Arial" w:hAnsi="Arial" w:cs="Arial"/>
                <w:sz w:val="16"/>
                <w:szCs w:val="16"/>
              </w:rPr>
            </w:pPr>
            <w:r w:rsidRPr="00B7174F">
              <w:rPr>
                <w:rFonts w:ascii="Arial" w:hAnsi="Arial" w:cs="Arial"/>
                <w:sz w:val="16"/>
                <w:szCs w:val="16"/>
              </w:rPr>
              <w:t>3</w:t>
            </w:r>
          </w:p>
        </w:tc>
        <w:tc>
          <w:tcPr>
            <w:tcW w:w="357" w:type="pct"/>
            <w:vAlign w:val="center"/>
          </w:tcPr>
          <w:p w14:paraId="5508F1A3" w14:textId="77777777" w:rsidR="00A3029F" w:rsidRPr="00B7174F" w:rsidRDefault="00A3029F" w:rsidP="00CF69B3">
            <w:pPr>
              <w:rPr>
                <w:rFonts w:ascii="Arial" w:hAnsi="Arial" w:cs="Arial"/>
                <w:sz w:val="16"/>
                <w:szCs w:val="16"/>
              </w:rPr>
            </w:pPr>
            <w:r w:rsidRPr="00B7174F">
              <w:rPr>
                <w:rFonts w:ascii="Arial" w:hAnsi="Arial" w:cs="Arial"/>
                <w:sz w:val="16"/>
                <w:szCs w:val="16"/>
              </w:rPr>
              <w:t>200</w:t>
            </w:r>
          </w:p>
        </w:tc>
        <w:tc>
          <w:tcPr>
            <w:tcW w:w="361" w:type="pct"/>
            <w:vAlign w:val="center"/>
          </w:tcPr>
          <w:p w14:paraId="532AE3A3" w14:textId="77777777" w:rsidR="00A3029F" w:rsidRPr="00B7174F" w:rsidRDefault="00A3029F" w:rsidP="00CF69B3">
            <w:pPr>
              <w:rPr>
                <w:rFonts w:ascii="Arial" w:hAnsi="Arial" w:cs="Arial"/>
                <w:sz w:val="16"/>
                <w:szCs w:val="16"/>
              </w:rPr>
            </w:pPr>
            <w:r w:rsidRPr="00B7174F">
              <w:rPr>
                <w:rFonts w:ascii="Arial" w:hAnsi="Arial" w:cs="Arial"/>
                <w:sz w:val="16"/>
                <w:szCs w:val="16"/>
              </w:rPr>
              <w:t>300</w:t>
            </w:r>
          </w:p>
        </w:tc>
        <w:tc>
          <w:tcPr>
            <w:tcW w:w="385" w:type="pct"/>
            <w:gridSpan w:val="2"/>
            <w:shd w:val="clear" w:color="auto" w:fill="BFBFBF"/>
            <w:vAlign w:val="center"/>
          </w:tcPr>
          <w:p w14:paraId="2F6BD3DC"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56AB6B1F"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09397A0D"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7D0C0CE0"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5256EA81"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6B6F3DE3"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25A6244E"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71CB7B1B"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263EB28C"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4E546286" w14:textId="77777777" w:rsidR="00A3029F" w:rsidRPr="00B7174F" w:rsidRDefault="00A3029F" w:rsidP="00CF69B3">
            <w:pPr>
              <w:rPr>
                <w:rFonts w:ascii="Arial" w:hAnsi="Arial" w:cs="Arial"/>
                <w:sz w:val="16"/>
                <w:szCs w:val="16"/>
              </w:rPr>
            </w:pPr>
          </w:p>
        </w:tc>
      </w:tr>
      <w:tr w:rsidR="00A3029F" w:rsidRPr="00B7174F" w14:paraId="7E8D3504" w14:textId="77777777">
        <w:trPr>
          <w:trHeight w:val="283"/>
          <w:jc w:val="center"/>
        </w:trPr>
        <w:tc>
          <w:tcPr>
            <w:tcW w:w="341" w:type="pct"/>
            <w:vAlign w:val="center"/>
          </w:tcPr>
          <w:p w14:paraId="46D7A787" w14:textId="77777777" w:rsidR="00A3029F" w:rsidRPr="00B7174F" w:rsidRDefault="00A3029F" w:rsidP="00CF69B3">
            <w:pPr>
              <w:rPr>
                <w:rFonts w:ascii="Arial" w:hAnsi="Arial" w:cs="Arial"/>
                <w:sz w:val="16"/>
                <w:szCs w:val="16"/>
              </w:rPr>
            </w:pPr>
            <w:r w:rsidRPr="00B7174F">
              <w:rPr>
                <w:rFonts w:ascii="Arial" w:hAnsi="Arial" w:cs="Arial"/>
                <w:sz w:val="16"/>
                <w:szCs w:val="16"/>
              </w:rPr>
              <w:t>4</w:t>
            </w:r>
          </w:p>
        </w:tc>
        <w:tc>
          <w:tcPr>
            <w:tcW w:w="357" w:type="pct"/>
            <w:vAlign w:val="center"/>
          </w:tcPr>
          <w:p w14:paraId="5A42C0DB" w14:textId="77777777" w:rsidR="00A3029F" w:rsidRPr="00B7174F" w:rsidRDefault="00A3029F" w:rsidP="00CF69B3">
            <w:pPr>
              <w:rPr>
                <w:rFonts w:ascii="Arial" w:hAnsi="Arial" w:cs="Arial"/>
                <w:sz w:val="16"/>
                <w:szCs w:val="16"/>
              </w:rPr>
            </w:pPr>
            <w:r w:rsidRPr="00B7174F">
              <w:rPr>
                <w:rFonts w:ascii="Arial" w:hAnsi="Arial" w:cs="Arial"/>
                <w:sz w:val="16"/>
                <w:szCs w:val="16"/>
              </w:rPr>
              <w:t>300</w:t>
            </w:r>
          </w:p>
        </w:tc>
        <w:tc>
          <w:tcPr>
            <w:tcW w:w="361" w:type="pct"/>
            <w:vAlign w:val="center"/>
          </w:tcPr>
          <w:p w14:paraId="4DED7117" w14:textId="77777777" w:rsidR="00A3029F" w:rsidRPr="00B7174F" w:rsidRDefault="00A3029F" w:rsidP="00CF69B3">
            <w:pPr>
              <w:rPr>
                <w:rFonts w:ascii="Arial" w:hAnsi="Arial" w:cs="Arial"/>
                <w:sz w:val="16"/>
                <w:szCs w:val="16"/>
              </w:rPr>
            </w:pPr>
            <w:r w:rsidRPr="00B7174F">
              <w:rPr>
                <w:rFonts w:ascii="Arial" w:hAnsi="Arial" w:cs="Arial"/>
                <w:sz w:val="16"/>
                <w:szCs w:val="16"/>
              </w:rPr>
              <w:t>400</w:t>
            </w:r>
          </w:p>
        </w:tc>
        <w:tc>
          <w:tcPr>
            <w:tcW w:w="385" w:type="pct"/>
            <w:gridSpan w:val="2"/>
            <w:shd w:val="clear" w:color="auto" w:fill="BFBFBF"/>
            <w:vAlign w:val="center"/>
          </w:tcPr>
          <w:p w14:paraId="29186FE6"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29899DA7"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1" w:type="pct"/>
            <w:gridSpan w:val="2"/>
            <w:shd w:val="clear" w:color="auto" w:fill="D9D9D9"/>
            <w:vAlign w:val="center"/>
          </w:tcPr>
          <w:p w14:paraId="1F71D401"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6CDEF703"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40B72753"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4D6C7118"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543B8CAB"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0B906BFE"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3E8BAA05"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0F0644E1"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r>
      <w:tr w:rsidR="00A3029F" w:rsidRPr="00B7174F" w14:paraId="1BD795D0" w14:textId="77777777">
        <w:trPr>
          <w:trHeight w:val="283"/>
          <w:jc w:val="center"/>
        </w:trPr>
        <w:tc>
          <w:tcPr>
            <w:tcW w:w="341" w:type="pct"/>
            <w:vAlign w:val="center"/>
          </w:tcPr>
          <w:p w14:paraId="0A37CD06" w14:textId="77777777" w:rsidR="00A3029F" w:rsidRPr="00B7174F" w:rsidRDefault="00A3029F" w:rsidP="00CF69B3">
            <w:pPr>
              <w:rPr>
                <w:rFonts w:ascii="Arial" w:hAnsi="Arial" w:cs="Arial"/>
                <w:sz w:val="16"/>
                <w:szCs w:val="16"/>
              </w:rPr>
            </w:pPr>
            <w:r w:rsidRPr="00B7174F">
              <w:rPr>
                <w:rFonts w:ascii="Arial" w:hAnsi="Arial" w:cs="Arial"/>
                <w:sz w:val="16"/>
                <w:szCs w:val="16"/>
              </w:rPr>
              <w:t>5</w:t>
            </w:r>
          </w:p>
        </w:tc>
        <w:tc>
          <w:tcPr>
            <w:tcW w:w="357" w:type="pct"/>
            <w:vAlign w:val="center"/>
          </w:tcPr>
          <w:p w14:paraId="19C10851" w14:textId="77777777" w:rsidR="00A3029F" w:rsidRPr="00B7174F" w:rsidRDefault="00A3029F" w:rsidP="00CF69B3">
            <w:pPr>
              <w:rPr>
                <w:rFonts w:ascii="Arial" w:hAnsi="Arial" w:cs="Arial"/>
                <w:sz w:val="16"/>
                <w:szCs w:val="16"/>
              </w:rPr>
            </w:pPr>
            <w:r w:rsidRPr="00B7174F">
              <w:rPr>
                <w:rFonts w:ascii="Arial" w:hAnsi="Arial" w:cs="Arial"/>
                <w:sz w:val="16"/>
                <w:szCs w:val="16"/>
              </w:rPr>
              <w:t>400</w:t>
            </w:r>
          </w:p>
        </w:tc>
        <w:tc>
          <w:tcPr>
            <w:tcW w:w="361" w:type="pct"/>
            <w:vAlign w:val="center"/>
          </w:tcPr>
          <w:p w14:paraId="1D68DA8D" w14:textId="77777777" w:rsidR="00A3029F" w:rsidRPr="00B7174F" w:rsidRDefault="00A3029F" w:rsidP="00CF69B3">
            <w:pPr>
              <w:rPr>
                <w:rFonts w:ascii="Arial" w:hAnsi="Arial" w:cs="Arial"/>
                <w:sz w:val="16"/>
                <w:szCs w:val="16"/>
              </w:rPr>
            </w:pPr>
            <w:r w:rsidRPr="00B7174F">
              <w:rPr>
                <w:rFonts w:ascii="Arial" w:hAnsi="Arial" w:cs="Arial"/>
                <w:sz w:val="16"/>
                <w:szCs w:val="16"/>
              </w:rPr>
              <w:t>500</w:t>
            </w:r>
          </w:p>
        </w:tc>
        <w:tc>
          <w:tcPr>
            <w:tcW w:w="385" w:type="pct"/>
            <w:gridSpan w:val="2"/>
            <w:shd w:val="clear" w:color="auto" w:fill="BFBFBF"/>
            <w:vAlign w:val="center"/>
          </w:tcPr>
          <w:p w14:paraId="5A9525DE"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26DA9CE7"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2BC208EF"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4DDD8972"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46EEC556"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511555CC"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3A895FFB"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4333F71A"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3B9B6EE5"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54FA27D9" w14:textId="77777777" w:rsidR="00A3029F" w:rsidRPr="00B7174F" w:rsidRDefault="00A3029F" w:rsidP="00CF69B3">
            <w:pPr>
              <w:rPr>
                <w:rFonts w:ascii="Arial" w:hAnsi="Arial" w:cs="Arial"/>
                <w:sz w:val="16"/>
                <w:szCs w:val="16"/>
              </w:rPr>
            </w:pPr>
          </w:p>
        </w:tc>
      </w:tr>
      <w:tr w:rsidR="00A3029F" w:rsidRPr="00B7174F" w14:paraId="1E1A0245" w14:textId="77777777">
        <w:trPr>
          <w:trHeight w:val="283"/>
          <w:jc w:val="center"/>
        </w:trPr>
        <w:tc>
          <w:tcPr>
            <w:tcW w:w="341" w:type="pct"/>
            <w:vAlign w:val="center"/>
          </w:tcPr>
          <w:p w14:paraId="389B0835"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357" w:type="pct"/>
            <w:vAlign w:val="center"/>
          </w:tcPr>
          <w:p w14:paraId="2E96A336" w14:textId="77777777" w:rsidR="00A3029F" w:rsidRPr="00B7174F" w:rsidRDefault="00A3029F" w:rsidP="00CF69B3">
            <w:pPr>
              <w:rPr>
                <w:rFonts w:ascii="Arial" w:hAnsi="Arial" w:cs="Arial"/>
                <w:sz w:val="16"/>
                <w:szCs w:val="16"/>
              </w:rPr>
            </w:pPr>
            <w:r w:rsidRPr="00B7174F">
              <w:rPr>
                <w:rFonts w:ascii="Arial" w:hAnsi="Arial" w:cs="Arial"/>
                <w:sz w:val="16"/>
                <w:szCs w:val="16"/>
              </w:rPr>
              <w:t>500</w:t>
            </w:r>
          </w:p>
        </w:tc>
        <w:tc>
          <w:tcPr>
            <w:tcW w:w="361" w:type="pct"/>
            <w:vAlign w:val="center"/>
          </w:tcPr>
          <w:p w14:paraId="64000CCE" w14:textId="77777777" w:rsidR="00A3029F" w:rsidRPr="00B7174F" w:rsidRDefault="00A3029F" w:rsidP="00CF69B3">
            <w:pPr>
              <w:rPr>
                <w:rFonts w:ascii="Arial" w:hAnsi="Arial" w:cs="Arial"/>
                <w:sz w:val="16"/>
                <w:szCs w:val="16"/>
              </w:rPr>
            </w:pPr>
            <w:r w:rsidRPr="00B7174F">
              <w:rPr>
                <w:rFonts w:ascii="Arial" w:hAnsi="Arial" w:cs="Arial"/>
                <w:sz w:val="16"/>
                <w:szCs w:val="16"/>
              </w:rPr>
              <w:t>600</w:t>
            </w:r>
          </w:p>
        </w:tc>
        <w:tc>
          <w:tcPr>
            <w:tcW w:w="385" w:type="pct"/>
            <w:gridSpan w:val="2"/>
            <w:shd w:val="clear" w:color="auto" w:fill="BFBFBF"/>
            <w:vAlign w:val="center"/>
          </w:tcPr>
          <w:p w14:paraId="70F831E5"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7C9F1014"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7D38D310"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0805FA23"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8" w:type="pct"/>
            <w:gridSpan w:val="3"/>
            <w:shd w:val="clear" w:color="auto" w:fill="DBE5F1"/>
            <w:vAlign w:val="center"/>
          </w:tcPr>
          <w:p w14:paraId="6859C4CA"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56DF5C70"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51EA1379"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1BF9DA2F"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5B33ECA7"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720AA99E" w14:textId="77777777" w:rsidR="00A3029F" w:rsidRPr="00B7174F" w:rsidRDefault="00A3029F" w:rsidP="00CF69B3">
            <w:pPr>
              <w:rPr>
                <w:rFonts w:ascii="Arial" w:hAnsi="Arial" w:cs="Arial"/>
                <w:sz w:val="16"/>
                <w:szCs w:val="16"/>
              </w:rPr>
            </w:pPr>
          </w:p>
        </w:tc>
      </w:tr>
      <w:tr w:rsidR="00A3029F" w:rsidRPr="00B7174F" w14:paraId="1E10589C" w14:textId="77777777">
        <w:trPr>
          <w:trHeight w:val="283"/>
          <w:jc w:val="center"/>
        </w:trPr>
        <w:tc>
          <w:tcPr>
            <w:tcW w:w="341" w:type="pct"/>
            <w:vAlign w:val="center"/>
          </w:tcPr>
          <w:p w14:paraId="66D5CBE2" w14:textId="77777777" w:rsidR="00A3029F" w:rsidRPr="00B7174F" w:rsidRDefault="00A3029F" w:rsidP="00CF69B3">
            <w:pPr>
              <w:rPr>
                <w:rFonts w:ascii="Arial" w:hAnsi="Arial" w:cs="Arial"/>
                <w:sz w:val="16"/>
                <w:szCs w:val="16"/>
              </w:rPr>
            </w:pPr>
            <w:r w:rsidRPr="00B7174F">
              <w:rPr>
                <w:rFonts w:ascii="Arial" w:hAnsi="Arial" w:cs="Arial"/>
                <w:sz w:val="16"/>
                <w:szCs w:val="16"/>
              </w:rPr>
              <w:t>7</w:t>
            </w:r>
          </w:p>
        </w:tc>
        <w:tc>
          <w:tcPr>
            <w:tcW w:w="357" w:type="pct"/>
            <w:vAlign w:val="center"/>
          </w:tcPr>
          <w:p w14:paraId="32FB8D7F" w14:textId="77777777" w:rsidR="00A3029F" w:rsidRPr="00B7174F" w:rsidRDefault="00A3029F" w:rsidP="00CF69B3">
            <w:pPr>
              <w:rPr>
                <w:rFonts w:ascii="Arial" w:hAnsi="Arial" w:cs="Arial"/>
                <w:sz w:val="16"/>
                <w:szCs w:val="16"/>
              </w:rPr>
            </w:pPr>
            <w:r w:rsidRPr="00B7174F">
              <w:rPr>
                <w:rFonts w:ascii="Arial" w:hAnsi="Arial" w:cs="Arial"/>
                <w:sz w:val="16"/>
                <w:szCs w:val="16"/>
              </w:rPr>
              <w:t>600</w:t>
            </w:r>
          </w:p>
        </w:tc>
        <w:tc>
          <w:tcPr>
            <w:tcW w:w="361" w:type="pct"/>
            <w:vAlign w:val="center"/>
          </w:tcPr>
          <w:p w14:paraId="7770064B" w14:textId="77777777" w:rsidR="00A3029F" w:rsidRPr="00B7174F" w:rsidRDefault="00A3029F" w:rsidP="00CF69B3">
            <w:pPr>
              <w:rPr>
                <w:rFonts w:ascii="Arial" w:hAnsi="Arial" w:cs="Arial"/>
                <w:sz w:val="16"/>
                <w:szCs w:val="16"/>
              </w:rPr>
            </w:pPr>
            <w:r w:rsidRPr="00B7174F">
              <w:rPr>
                <w:rFonts w:ascii="Arial" w:hAnsi="Arial" w:cs="Arial"/>
                <w:sz w:val="16"/>
                <w:szCs w:val="16"/>
              </w:rPr>
              <w:t>700</w:t>
            </w:r>
          </w:p>
        </w:tc>
        <w:tc>
          <w:tcPr>
            <w:tcW w:w="385" w:type="pct"/>
            <w:gridSpan w:val="2"/>
            <w:shd w:val="clear" w:color="auto" w:fill="BFBFBF"/>
            <w:vAlign w:val="center"/>
          </w:tcPr>
          <w:p w14:paraId="1FAE5E30"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7F60237C" w14:textId="77777777" w:rsidR="00A3029F" w:rsidRPr="00B7174F" w:rsidRDefault="00E25AFD" w:rsidP="00CF69B3">
            <w:pPr>
              <w:rPr>
                <w:rFonts w:ascii="Arial" w:hAnsi="Arial" w:cs="Arial"/>
                <w:sz w:val="16"/>
                <w:szCs w:val="16"/>
              </w:rPr>
            </w:pPr>
            <w:r>
              <w:rPr>
                <w:rFonts w:ascii="Arial" w:hAnsi="Arial" w:cs="Arial"/>
                <w:sz w:val="16"/>
                <w:szCs w:val="16"/>
              </w:rPr>
              <w:t>x</w:t>
            </w:r>
          </w:p>
        </w:tc>
        <w:tc>
          <w:tcPr>
            <w:tcW w:w="361" w:type="pct"/>
            <w:gridSpan w:val="2"/>
            <w:shd w:val="clear" w:color="auto" w:fill="D9D9D9"/>
            <w:vAlign w:val="center"/>
          </w:tcPr>
          <w:p w14:paraId="263E5A43"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41198CE3"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0C3EC46C"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5F02228C"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6FF4415A"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087C1A80"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1C115D45"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6133DF74" w14:textId="77777777" w:rsidR="00A3029F" w:rsidRPr="00B7174F" w:rsidRDefault="00A3029F" w:rsidP="00CF69B3">
            <w:pPr>
              <w:rPr>
                <w:rFonts w:ascii="Arial" w:hAnsi="Arial" w:cs="Arial"/>
                <w:sz w:val="16"/>
                <w:szCs w:val="16"/>
              </w:rPr>
            </w:pPr>
          </w:p>
        </w:tc>
      </w:tr>
      <w:tr w:rsidR="00A3029F" w:rsidRPr="00B7174F" w14:paraId="38802440" w14:textId="77777777">
        <w:trPr>
          <w:trHeight w:val="283"/>
          <w:jc w:val="center"/>
        </w:trPr>
        <w:tc>
          <w:tcPr>
            <w:tcW w:w="341" w:type="pct"/>
            <w:vAlign w:val="center"/>
          </w:tcPr>
          <w:p w14:paraId="742408A0" w14:textId="77777777" w:rsidR="00A3029F" w:rsidRPr="00B7174F" w:rsidRDefault="00A3029F" w:rsidP="00CF69B3">
            <w:pPr>
              <w:rPr>
                <w:rFonts w:ascii="Arial" w:hAnsi="Arial" w:cs="Arial"/>
                <w:sz w:val="16"/>
                <w:szCs w:val="16"/>
              </w:rPr>
            </w:pPr>
            <w:r w:rsidRPr="00B7174F">
              <w:rPr>
                <w:rFonts w:ascii="Arial" w:hAnsi="Arial" w:cs="Arial"/>
                <w:sz w:val="16"/>
                <w:szCs w:val="16"/>
              </w:rPr>
              <w:t>8</w:t>
            </w:r>
          </w:p>
        </w:tc>
        <w:tc>
          <w:tcPr>
            <w:tcW w:w="357" w:type="pct"/>
            <w:vAlign w:val="center"/>
          </w:tcPr>
          <w:p w14:paraId="256BC58F" w14:textId="77777777" w:rsidR="00A3029F" w:rsidRPr="00B7174F" w:rsidRDefault="00A3029F" w:rsidP="00CF69B3">
            <w:pPr>
              <w:rPr>
                <w:rFonts w:ascii="Arial" w:hAnsi="Arial" w:cs="Arial"/>
                <w:sz w:val="16"/>
                <w:szCs w:val="16"/>
              </w:rPr>
            </w:pPr>
            <w:r w:rsidRPr="00B7174F">
              <w:rPr>
                <w:rFonts w:ascii="Arial" w:hAnsi="Arial" w:cs="Arial"/>
                <w:sz w:val="16"/>
                <w:szCs w:val="16"/>
              </w:rPr>
              <w:t>700</w:t>
            </w:r>
          </w:p>
        </w:tc>
        <w:tc>
          <w:tcPr>
            <w:tcW w:w="361" w:type="pct"/>
            <w:vAlign w:val="center"/>
          </w:tcPr>
          <w:p w14:paraId="3286B3ED" w14:textId="77777777" w:rsidR="00A3029F" w:rsidRPr="00B7174F" w:rsidRDefault="00A3029F" w:rsidP="00CF69B3">
            <w:pPr>
              <w:rPr>
                <w:rFonts w:ascii="Arial" w:hAnsi="Arial" w:cs="Arial"/>
                <w:sz w:val="16"/>
                <w:szCs w:val="16"/>
              </w:rPr>
            </w:pPr>
            <w:r w:rsidRPr="00B7174F">
              <w:rPr>
                <w:rFonts w:ascii="Arial" w:hAnsi="Arial" w:cs="Arial"/>
                <w:sz w:val="16"/>
                <w:szCs w:val="16"/>
              </w:rPr>
              <w:t>800</w:t>
            </w:r>
          </w:p>
        </w:tc>
        <w:tc>
          <w:tcPr>
            <w:tcW w:w="385" w:type="pct"/>
            <w:gridSpan w:val="2"/>
            <w:shd w:val="clear" w:color="auto" w:fill="BFBFBF"/>
            <w:vAlign w:val="center"/>
          </w:tcPr>
          <w:p w14:paraId="74B14EAE"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51246345"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7C0123DB"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52C987F0"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1870D3F0"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3B7F582F"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1F66CD2E"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45DA29D7"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5D83E58F"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280A9197" w14:textId="77777777" w:rsidR="00A3029F" w:rsidRPr="00B7174F" w:rsidRDefault="00A3029F" w:rsidP="00CF69B3">
            <w:pPr>
              <w:rPr>
                <w:rFonts w:ascii="Arial" w:hAnsi="Arial" w:cs="Arial"/>
                <w:sz w:val="16"/>
                <w:szCs w:val="16"/>
              </w:rPr>
            </w:pPr>
          </w:p>
        </w:tc>
      </w:tr>
      <w:tr w:rsidR="00A3029F" w:rsidRPr="00B7174F" w14:paraId="18D8B922" w14:textId="77777777">
        <w:trPr>
          <w:trHeight w:val="283"/>
          <w:jc w:val="center"/>
        </w:trPr>
        <w:tc>
          <w:tcPr>
            <w:tcW w:w="341" w:type="pct"/>
            <w:vAlign w:val="center"/>
          </w:tcPr>
          <w:p w14:paraId="26FB6F49" w14:textId="77777777" w:rsidR="00A3029F" w:rsidRPr="00B7174F" w:rsidRDefault="00A3029F" w:rsidP="00CF69B3">
            <w:pPr>
              <w:rPr>
                <w:rFonts w:ascii="Arial" w:hAnsi="Arial" w:cs="Arial"/>
                <w:sz w:val="16"/>
                <w:szCs w:val="16"/>
              </w:rPr>
            </w:pPr>
            <w:r w:rsidRPr="00B7174F">
              <w:rPr>
                <w:rFonts w:ascii="Arial" w:hAnsi="Arial" w:cs="Arial"/>
                <w:sz w:val="16"/>
                <w:szCs w:val="16"/>
              </w:rPr>
              <w:t>9</w:t>
            </w:r>
          </w:p>
        </w:tc>
        <w:tc>
          <w:tcPr>
            <w:tcW w:w="357" w:type="pct"/>
            <w:vAlign w:val="center"/>
          </w:tcPr>
          <w:p w14:paraId="16E91AAA" w14:textId="77777777" w:rsidR="00A3029F" w:rsidRPr="00B7174F" w:rsidRDefault="00A3029F" w:rsidP="00CF69B3">
            <w:pPr>
              <w:rPr>
                <w:rFonts w:ascii="Arial" w:hAnsi="Arial" w:cs="Arial"/>
                <w:sz w:val="16"/>
                <w:szCs w:val="16"/>
              </w:rPr>
            </w:pPr>
            <w:r w:rsidRPr="00B7174F">
              <w:rPr>
                <w:rFonts w:ascii="Arial" w:hAnsi="Arial" w:cs="Arial"/>
                <w:sz w:val="16"/>
                <w:szCs w:val="16"/>
              </w:rPr>
              <w:t>800</w:t>
            </w:r>
          </w:p>
        </w:tc>
        <w:tc>
          <w:tcPr>
            <w:tcW w:w="361" w:type="pct"/>
            <w:vAlign w:val="center"/>
          </w:tcPr>
          <w:p w14:paraId="07B0A8C1" w14:textId="77777777" w:rsidR="00A3029F" w:rsidRPr="00B7174F" w:rsidRDefault="00A3029F" w:rsidP="00CF69B3">
            <w:pPr>
              <w:rPr>
                <w:rFonts w:ascii="Arial" w:hAnsi="Arial" w:cs="Arial"/>
                <w:sz w:val="16"/>
                <w:szCs w:val="16"/>
              </w:rPr>
            </w:pPr>
            <w:r w:rsidRPr="00B7174F">
              <w:rPr>
                <w:rFonts w:ascii="Arial" w:hAnsi="Arial" w:cs="Arial"/>
                <w:sz w:val="16"/>
                <w:szCs w:val="16"/>
              </w:rPr>
              <w:t>900</w:t>
            </w:r>
          </w:p>
        </w:tc>
        <w:tc>
          <w:tcPr>
            <w:tcW w:w="385" w:type="pct"/>
            <w:gridSpan w:val="2"/>
            <w:shd w:val="clear" w:color="auto" w:fill="BFBFBF"/>
            <w:vAlign w:val="center"/>
          </w:tcPr>
          <w:p w14:paraId="1F46A20C"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46" w:type="pct"/>
            <w:shd w:val="clear" w:color="auto" w:fill="BFBFBF"/>
            <w:vAlign w:val="center"/>
          </w:tcPr>
          <w:p w14:paraId="73C36718"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2A570186"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66E24A9E"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1255808B" w14:textId="77777777" w:rsidR="00A3029F" w:rsidRPr="00B7174F" w:rsidRDefault="00A3029F" w:rsidP="00CF69B3">
            <w:pPr>
              <w:rPr>
                <w:rFonts w:ascii="Arial" w:hAnsi="Arial" w:cs="Arial"/>
                <w:sz w:val="16"/>
                <w:szCs w:val="16"/>
              </w:rPr>
            </w:pPr>
          </w:p>
        </w:tc>
        <w:tc>
          <w:tcPr>
            <w:tcW w:w="369" w:type="pct"/>
            <w:shd w:val="clear" w:color="auto" w:fill="DBE5F1"/>
            <w:vAlign w:val="center"/>
          </w:tcPr>
          <w:p w14:paraId="7531129C"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76A3DAC3"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070C60DB"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432" w:type="pct"/>
            <w:gridSpan w:val="2"/>
            <w:shd w:val="clear" w:color="auto" w:fill="95B3D7"/>
            <w:vAlign w:val="center"/>
          </w:tcPr>
          <w:p w14:paraId="00EC6856"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086B5641" w14:textId="77777777" w:rsidR="00A3029F" w:rsidRPr="00B7174F" w:rsidRDefault="00A3029F" w:rsidP="00CF69B3">
            <w:pPr>
              <w:rPr>
                <w:rFonts w:ascii="Arial" w:hAnsi="Arial" w:cs="Arial"/>
                <w:sz w:val="16"/>
                <w:szCs w:val="16"/>
              </w:rPr>
            </w:pPr>
          </w:p>
        </w:tc>
      </w:tr>
      <w:tr w:rsidR="00A3029F" w:rsidRPr="00B7174F" w14:paraId="099C142B" w14:textId="77777777">
        <w:trPr>
          <w:trHeight w:val="283"/>
          <w:jc w:val="center"/>
        </w:trPr>
        <w:tc>
          <w:tcPr>
            <w:tcW w:w="341" w:type="pct"/>
            <w:vAlign w:val="center"/>
          </w:tcPr>
          <w:p w14:paraId="4D431133" w14:textId="77777777" w:rsidR="00A3029F" w:rsidRPr="00B7174F" w:rsidRDefault="00A3029F" w:rsidP="00CF69B3">
            <w:pPr>
              <w:rPr>
                <w:rFonts w:ascii="Arial" w:hAnsi="Arial" w:cs="Arial"/>
                <w:sz w:val="16"/>
                <w:szCs w:val="16"/>
              </w:rPr>
            </w:pPr>
            <w:r w:rsidRPr="00B7174F">
              <w:rPr>
                <w:rFonts w:ascii="Arial" w:hAnsi="Arial" w:cs="Arial"/>
                <w:sz w:val="16"/>
                <w:szCs w:val="16"/>
              </w:rPr>
              <w:t>10</w:t>
            </w:r>
          </w:p>
        </w:tc>
        <w:tc>
          <w:tcPr>
            <w:tcW w:w="357" w:type="pct"/>
            <w:vAlign w:val="center"/>
          </w:tcPr>
          <w:p w14:paraId="20F7AA6F" w14:textId="77777777" w:rsidR="00A3029F" w:rsidRPr="00B7174F" w:rsidRDefault="00A3029F" w:rsidP="00CF69B3">
            <w:pPr>
              <w:rPr>
                <w:rFonts w:ascii="Arial" w:hAnsi="Arial" w:cs="Arial"/>
                <w:sz w:val="16"/>
                <w:szCs w:val="16"/>
              </w:rPr>
            </w:pPr>
            <w:r w:rsidRPr="00B7174F">
              <w:rPr>
                <w:rFonts w:ascii="Arial" w:hAnsi="Arial" w:cs="Arial"/>
                <w:sz w:val="16"/>
                <w:szCs w:val="16"/>
              </w:rPr>
              <w:t>900</w:t>
            </w:r>
          </w:p>
        </w:tc>
        <w:tc>
          <w:tcPr>
            <w:tcW w:w="361" w:type="pct"/>
            <w:vAlign w:val="center"/>
          </w:tcPr>
          <w:p w14:paraId="58521879" w14:textId="77777777" w:rsidR="00A3029F" w:rsidRPr="00B7174F" w:rsidRDefault="00A3029F" w:rsidP="00CF69B3">
            <w:pPr>
              <w:rPr>
                <w:rFonts w:ascii="Arial" w:hAnsi="Arial" w:cs="Arial"/>
                <w:sz w:val="16"/>
                <w:szCs w:val="16"/>
              </w:rPr>
            </w:pPr>
            <w:r w:rsidRPr="00B7174F">
              <w:rPr>
                <w:rFonts w:ascii="Arial" w:hAnsi="Arial" w:cs="Arial"/>
                <w:sz w:val="16"/>
                <w:szCs w:val="16"/>
              </w:rPr>
              <w:t>1000</w:t>
            </w:r>
          </w:p>
        </w:tc>
        <w:tc>
          <w:tcPr>
            <w:tcW w:w="385" w:type="pct"/>
            <w:gridSpan w:val="2"/>
            <w:shd w:val="clear" w:color="auto" w:fill="BFBFBF"/>
            <w:vAlign w:val="center"/>
          </w:tcPr>
          <w:p w14:paraId="6081C3FB" w14:textId="77777777" w:rsidR="00A3029F" w:rsidRPr="00B7174F" w:rsidRDefault="00A3029F" w:rsidP="00CF69B3">
            <w:pPr>
              <w:rPr>
                <w:rFonts w:ascii="Arial" w:hAnsi="Arial" w:cs="Arial"/>
                <w:sz w:val="16"/>
                <w:szCs w:val="16"/>
              </w:rPr>
            </w:pPr>
          </w:p>
        </w:tc>
        <w:tc>
          <w:tcPr>
            <w:tcW w:w="346" w:type="pct"/>
            <w:shd w:val="clear" w:color="auto" w:fill="BFBFBF"/>
            <w:vAlign w:val="center"/>
          </w:tcPr>
          <w:p w14:paraId="6D484ED8" w14:textId="77777777" w:rsidR="00A3029F" w:rsidRPr="00B7174F" w:rsidRDefault="00A3029F" w:rsidP="00CF69B3">
            <w:pPr>
              <w:rPr>
                <w:rFonts w:ascii="Arial" w:hAnsi="Arial" w:cs="Arial"/>
                <w:sz w:val="16"/>
                <w:szCs w:val="16"/>
              </w:rPr>
            </w:pPr>
          </w:p>
        </w:tc>
        <w:tc>
          <w:tcPr>
            <w:tcW w:w="361" w:type="pct"/>
            <w:gridSpan w:val="2"/>
            <w:shd w:val="clear" w:color="auto" w:fill="D9D9D9"/>
            <w:vAlign w:val="center"/>
          </w:tcPr>
          <w:p w14:paraId="0A05AC6F" w14:textId="77777777" w:rsidR="00A3029F" w:rsidRPr="00B7174F" w:rsidRDefault="00A3029F" w:rsidP="00CF69B3">
            <w:pPr>
              <w:rPr>
                <w:rFonts w:ascii="Arial" w:hAnsi="Arial" w:cs="Arial"/>
                <w:sz w:val="16"/>
                <w:szCs w:val="16"/>
              </w:rPr>
            </w:pPr>
          </w:p>
        </w:tc>
        <w:tc>
          <w:tcPr>
            <w:tcW w:w="360" w:type="pct"/>
            <w:gridSpan w:val="2"/>
            <w:shd w:val="clear" w:color="auto" w:fill="D9D9D9"/>
            <w:vAlign w:val="center"/>
          </w:tcPr>
          <w:p w14:paraId="16B4CA76" w14:textId="77777777" w:rsidR="00A3029F" w:rsidRPr="00B7174F" w:rsidRDefault="00A3029F" w:rsidP="00CF69B3">
            <w:pPr>
              <w:rPr>
                <w:rFonts w:ascii="Arial" w:hAnsi="Arial" w:cs="Arial"/>
                <w:sz w:val="16"/>
                <w:szCs w:val="16"/>
              </w:rPr>
            </w:pPr>
          </w:p>
        </w:tc>
        <w:tc>
          <w:tcPr>
            <w:tcW w:w="368" w:type="pct"/>
            <w:gridSpan w:val="3"/>
            <w:shd w:val="clear" w:color="auto" w:fill="DBE5F1"/>
            <w:vAlign w:val="center"/>
          </w:tcPr>
          <w:p w14:paraId="30C7C3D2" w14:textId="77777777" w:rsidR="00A3029F" w:rsidRPr="00B7174F" w:rsidRDefault="00A3029F" w:rsidP="00CF69B3">
            <w:pPr>
              <w:rPr>
                <w:rFonts w:ascii="Arial" w:hAnsi="Arial" w:cs="Arial"/>
                <w:sz w:val="16"/>
                <w:szCs w:val="16"/>
              </w:rPr>
            </w:pPr>
            <w:r w:rsidRPr="00B7174F">
              <w:rPr>
                <w:rFonts w:ascii="Arial" w:hAnsi="Arial" w:cs="Arial"/>
                <w:sz w:val="16"/>
                <w:szCs w:val="16"/>
              </w:rPr>
              <w:t>x</w:t>
            </w:r>
          </w:p>
        </w:tc>
        <w:tc>
          <w:tcPr>
            <w:tcW w:w="369" w:type="pct"/>
            <w:shd w:val="clear" w:color="auto" w:fill="DBE5F1"/>
            <w:vAlign w:val="center"/>
          </w:tcPr>
          <w:p w14:paraId="7AB0168B" w14:textId="77777777" w:rsidR="00A3029F" w:rsidRPr="00B7174F" w:rsidRDefault="00A3029F" w:rsidP="00CF69B3">
            <w:pPr>
              <w:rPr>
                <w:rFonts w:ascii="Arial" w:hAnsi="Arial" w:cs="Arial"/>
                <w:sz w:val="16"/>
                <w:szCs w:val="16"/>
              </w:rPr>
            </w:pPr>
          </w:p>
        </w:tc>
        <w:tc>
          <w:tcPr>
            <w:tcW w:w="386" w:type="pct"/>
            <w:gridSpan w:val="2"/>
            <w:shd w:val="clear" w:color="auto" w:fill="B8CCE4"/>
            <w:vAlign w:val="center"/>
          </w:tcPr>
          <w:p w14:paraId="505DC8BB" w14:textId="77777777" w:rsidR="00A3029F" w:rsidRPr="00B7174F" w:rsidRDefault="00A3029F" w:rsidP="00CF69B3">
            <w:pPr>
              <w:rPr>
                <w:rFonts w:ascii="Arial" w:hAnsi="Arial" w:cs="Arial"/>
                <w:sz w:val="16"/>
                <w:szCs w:val="16"/>
              </w:rPr>
            </w:pPr>
          </w:p>
        </w:tc>
        <w:tc>
          <w:tcPr>
            <w:tcW w:w="387" w:type="pct"/>
            <w:shd w:val="clear" w:color="auto" w:fill="B8CCE4"/>
            <w:vAlign w:val="center"/>
          </w:tcPr>
          <w:p w14:paraId="38EAA00D" w14:textId="77777777" w:rsidR="00A3029F" w:rsidRPr="00B7174F" w:rsidRDefault="00A3029F" w:rsidP="00CF69B3">
            <w:pPr>
              <w:rPr>
                <w:rFonts w:ascii="Arial" w:hAnsi="Arial" w:cs="Arial"/>
                <w:sz w:val="16"/>
                <w:szCs w:val="16"/>
              </w:rPr>
            </w:pPr>
          </w:p>
        </w:tc>
        <w:tc>
          <w:tcPr>
            <w:tcW w:w="432" w:type="pct"/>
            <w:gridSpan w:val="2"/>
            <w:shd w:val="clear" w:color="auto" w:fill="95B3D7"/>
            <w:vAlign w:val="center"/>
          </w:tcPr>
          <w:p w14:paraId="1C0ADEB4" w14:textId="77777777" w:rsidR="00A3029F" w:rsidRPr="00B7174F" w:rsidRDefault="00A3029F" w:rsidP="00CF69B3">
            <w:pPr>
              <w:rPr>
                <w:rFonts w:ascii="Arial" w:hAnsi="Arial" w:cs="Arial"/>
                <w:sz w:val="16"/>
                <w:szCs w:val="16"/>
              </w:rPr>
            </w:pPr>
          </w:p>
        </w:tc>
        <w:tc>
          <w:tcPr>
            <w:tcW w:w="547" w:type="pct"/>
            <w:gridSpan w:val="2"/>
            <w:shd w:val="clear" w:color="auto" w:fill="95B3D7"/>
            <w:vAlign w:val="center"/>
          </w:tcPr>
          <w:p w14:paraId="680E59E8" w14:textId="77777777" w:rsidR="00A3029F" w:rsidRPr="00B7174F" w:rsidRDefault="00A3029F" w:rsidP="00CF69B3">
            <w:pPr>
              <w:rPr>
                <w:rFonts w:ascii="Arial" w:hAnsi="Arial" w:cs="Arial"/>
                <w:sz w:val="16"/>
                <w:szCs w:val="16"/>
              </w:rPr>
            </w:pPr>
          </w:p>
        </w:tc>
      </w:tr>
      <w:tr w:rsidR="00A3029F" w:rsidRPr="00B7174F" w14:paraId="56826AFE" w14:textId="77777777">
        <w:trPr>
          <w:trHeight w:val="283"/>
          <w:jc w:val="center"/>
        </w:trPr>
        <w:tc>
          <w:tcPr>
            <w:tcW w:w="1059" w:type="pct"/>
            <w:gridSpan w:val="3"/>
            <w:tcBorders>
              <w:left w:val="nil"/>
              <w:bottom w:val="nil"/>
            </w:tcBorders>
            <w:vAlign w:val="center"/>
          </w:tcPr>
          <w:p w14:paraId="43BE64E7" w14:textId="77777777" w:rsidR="00A3029F" w:rsidRPr="00B7174F" w:rsidRDefault="00A3029F" w:rsidP="00CF69B3">
            <w:pPr>
              <w:rPr>
                <w:rFonts w:ascii="Arial" w:hAnsi="Arial" w:cs="Arial"/>
                <w:sz w:val="16"/>
                <w:szCs w:val="16"/>
              </w:rPr>
            </w:pPr>
            <w:r>
              <w:rPr>
                <w:rFonts w:ascii="Arial" w:hAnsi="Arial" w:cs="Arial"/>
                <w:sz w:val="16"/>
                <w:szCs w:val="16"/>
              </w:rPr>
              <w:t>(1) = Cantidad de segmentos fallados</w:t>
            </w:r>
          </w:p>
        </w:tc>
        <w:tc>
          <w:tcPr>
            <w:tcW w:w="385" w:type="pct"/>
            <w:gridSpan w:val="2"/>
            <w:shd w:val="clear" w:color="auto" w:fill="BFBFBF"/>
            <w:vAlign w:val="center"/>
          </w:tcPr>
          <w:p w14:paraId="7A31BCFE"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46" w:type="pct"/>
            <w:shd w:val="clear" w:color="auto" w:fill="BFBFBF"/>
            <w:vAlign w:val="center"/>
          </w:tcPr>
          <w:p w14:paraId="612C5CA0" w14:textId="77777777" w:rsidR="00A3029F" w:rsidRPr="00B7174F" w:rsidRDefault="00E25AFD" w:rsidP="00CF69B3">
            <w:pPr>
              <w:rPr>
                <w:rFonts w:ascii="Arial" w:hAnsi="Arial" w:cs="Arial"/>
                <w:sz w:val="16"/>
                <w:szCs w:val="16"/>
              </w:rPr>
            </w:pPr>
            <w:r>
              <w:rPr>
                <w:rFonts w:ascii="Arial" w:hAnsi="Arial" w:cs="Arial"/>
                <w:sz w:val="16"/>
                <w:szCs w:val="16"/>
              </w:rPr>
              <w:t>2</w:t>
            </w:r>
          </w:p>
        </w:tc>
        <w:tc>
          <w:tcPr>
            <w:tcW w:w="386" w:type="pct"/>
            <w:gridSpan w:val="3"/>
            <w:shd w:val="clear" w:color="auto" w:fill="D9D9D9"/>
            <w:vAlign w:val="center"/>
          </w:tcPr>
          <w:p w14:paraId="7DEA45CE"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35" w:type="pct"/>
            <w:shd w:val="clear" w:color="auto" w:fill="D9D9D9"/>
            <w:vAlign w:val="center"/>
          </w:tcPr>
          <w:p w14:paraId="1F84EE51"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60" w:type="pct"/>
            <w:gridSpan w:val="2"/>
            <w:shd w:val="clear" w:color="auto" w:fill="DBE5F1"/>
            <w:vAlign w:val="center"/>
          </w:tcPr>
          <w:p w14:paraId="49B76447"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377" w:type="pct"/>
            <w:gridSpan w:val="2"/>
            <w:shd w:val="clear" w:color="auto" w:fill="DBE5F1"/>
            <w:vAlign w:val="center"/>
          </w:tcPr>
          <w:p w14:paraId="1B8EE33E"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86" w:type="pct"/>
            <w:gridSpan w:val="2"/>
            <w:shd w:val="clear" w:color="auto" w:fill="B8CCE4"/>
            <w:vAlign w:val="center"/>
          </w:tcPr>
          <w:p w14:paraId="53B08722"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387" w:type="pct"/>
            <w:shd w:val="clear" w:color="auto" w:fill="B8CCE4"/>
            <w:vAlign w:val="center"/>
          </w:tcPr>
          <w:p w14:paraId="363CF360"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c>
          <w:tcPr>
            <w:tcW w:w="432" w:type="pct"/>
            <w:gridSpan w:val="2"/>
            <w:shd w:val="clear" w:color="auto" w:fill="95B3D7"/>
            <w:vAlign w:val="center"/>
          </w:tcPr>
          <w:p w14:paraId="5B51836A" w14:textId="77777777" w:rsidR="00A3029F" w:rsidRPr="00B7174F" w:rsidRDefault="00A3029F" w:rsidP="00CF69B3">
            <w:pPr>
              <w:rPr>
                <w:rFonts w:ascii="Arial" w:hAnsi="Arial" w:cs="Arial"/>
                <w:sz w:val="16"/>
                <w:szCs w:val="16"/>
              </w:rPr>
            </w:pPr>
            <w:r w:rsidRPr="00B7174F">
              <w:rPr>
                <w:rFonts w:ascii="Arial" w:hAnsi="Arial" w:cs="Arial"/>
                <w:sz w:val="16"/>
                <w:szCs w:val="16"/>
              </w:rPr>
              <w:t>0</w:t>
            </w:r>
          </w:p>
        </w:tc>
        <w:tc>
          <w:tcPr>
            <w:tcW w:w="547" w:type="pct"/>
            <w:gridSpan w:val="2"/>
            <w:shd w:val="clear" w:color="auto" w:fill="95B3D7"/>
            <w:vAlign w:val="center"/>
          </w:tcPr>
          <w:p w14:paraId="612B55AB" w14:textId="77777777" w:rsidR="00A3029F" w:rsidRPr="00B7174F" w:rsidRDefault="00A3029F" w:rsidP="00CF69B3">
            <w:pPr>
              <w:rPr>
                <w:rFonts w:ascii="Arial" w:hAnsi="Arial" w:cs="Arial"/>
                <w:sz w:val="16"/>
                <w:szCs w:val="16"/>
              </w:rPr>
            </w:pPr>
            <w:r w:rsidRPr="00B7174F">
              <w:rPr>
                <w:rFonts w:ascii="Arial" w:hAnsi="Arial" w:cs="Arial"/>
                <w:sz w:val="16"/>
                <w:szCs w:val="16"/>
              </w:rPr>
              <w:t>1</w:t>
            </w:r>
          </w:p>
        </w:tc>
      </w:tr>
      <w:tr w:rsidR="00A3029F" w:rsidRPr="00B7174F" w14:paraId="2F76595F" w14:textId="77777777">
        <w:trPr>
          <w:trHeight w:val="283"/>
          <w:jc w:val="center"/>
        </w:trPr>
        <w:tc>
          <w:tcPr>
            <w:tcW w:w="1059" w:type="pct"/>
            <w:gridSpan w:val="3"/>
            <w:tcBorders>
              <w:top w:val="nil"/>
              <w:left w:val="nil"/>
              <w:bottom w:val="nil"/>
            </w:tcBorders>
            <w:vAlign w:val="center"/>
          </w:tcPr>
          <w:p w14:paraId="644F855D" w14:textId="77777777" w:rsidR="00A3029F" w:rsidRPr="00B7174F" w:rsidRDefault="00A3029F" w:rsidP="00CF69B3">
            <w:pPr>
              <w:rPr>
                <w:rFonts w:ascii="Arial" w:hAnsi="Arial" w:cs="Arial"/>
                <w:sz w:val="16"/>
                <w:szCs w:val="16"/>
              </w:rPr>
            </w:pPr>
            <w:r>
              <w:rPr>
                <w:rFonts w:ascii="Arial" w:hAnsi="Arial" w:cs="Arial"/>
                <w:sz w:val="16"/>
                <w:szCs w:val="16"/>
              </w:rPr>
              <w:t>(2) = Porcentaje de segmentos fallados</w:t>
            </w:r>
          </w:p>
        </w:tc>
        <w:tc>
          <w:tcPr>
            <w:tcW w:w="385" w:type="pct"/>
            <w:gridSpan w:val="2"/>
            <w:shd w:val="clear" w:color="auto" w:fill="BFBFBF"/>
            <w:vAlign w:val="center"/>
          </w:tcPr>
          <w:p w14:paraId="59BC1A9F"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46" w:type="pct"/>
            <w:shd w:val="clear" w:color="auto" w:fill="BFBFBF"/>
            <w:vAlign w:val="center"/>
          </w:tcPr>
          <w:p w14:paraId="20563DCD" w14:textId="77777777" w:rsidR="00A3029F" w:rsidRPr="00B7174F" w:rsidRDefault="00E25AFD" w:rsidP="00CF69B3">
            <w:pPr>
              <w:rPr>
                <w:rFonts w:ascii="Arial" w:hAnsi="Arial" w:cs="Arial"/>
                <w:sz w:val="16"/>
                <w:szCs w:val="16"/>
              </w:rPr>
            </w:pPr>
            <w:r>
              <w:rPr>
                <w:rFonts w:ascii="Arial" w:hAnsi="Arial" w:cs="Arial"/>
                <w:sz w:val="16"/>
                <w:szCs w:val="16"/>
              </w:rPr>
              <w:t>20</w:t>
            </w:r>
            <w:r w:rsidR="00A3029F">
              <w:rPr>
                <w:rFonts w:ascii="Arial" w:hAnsi="Arial" w:cs="Arial"/>
                <w:sz w:val="16"/>
                <w:szCs w:val="16"/>
              </w:rPr>
              <w:t>%</w:t>
            </w:r>
          </w:p>
        </w:tc>
        <w:tc>
          <w:tcPr>
            <w:tcW w:w="386" w:type="pct"/>
            <w:gridSpan w:val="3"/>
            <w:shd w:val="clear" w:color="auto" w:fill="D9D9D9"/>
            <w:vAlign w:val="center"/>
          </w:tcPr>
          <w:p w14:paraId="278D9480"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35" w:type="pct"/>
            <w:shd w:val="clear" w:color="auto" w:fill="D9D9D9"/>
            <w:vAlign w:val="center"/>
          </w:tcPr>
          <w:p w14:paraId="7D86C0B9"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60" w:type="pct"/>
            <w:gridSpan w:val="2"/>
            <w:shd w:val="clear" w:color="auto" w:fill="DBE5F1"/>
            <w:vAlign w:val="center"/>
          </w:tcPr>
          <w:p w14:paraId="359C6B53"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377" w:type="pct"/>
            <w:gridSpan w:val="2"/>
            <w:shd w:val="clear" w:color="auto" w:fill="DBE5F1"/>
            <w:vAlign w:val="center"/>
          </w:tcPr>
          <w:p w14:paraId="4CCE1B34"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6" w:type="pct"/>
            <w:gridSpan w:val="2"/>
            <w:shd w:val="clear" w:color="auto" w:fill="B8CCE4"/>
            <w:vAlign w:val="center"/>
          </w:tcPr>
          <w:p w14:paraId="19F681BE"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387" w:type="pct"/>
            <w:shd w:val="clear" w:color="auto" w:fill="B8CCE4"/>
            <w:vAlign w:val="center"/>
          </w:tcPr>
          <w:p w14:paraId="20DC266C" w14:textId="77777777" w:rsidR="00A3029F" w:rsidRPr="00B7174F" w:rsidRDefault="00A3029F" w:rsidP="00CF69B3">
            <w:pPr>
              <w:rPr>
                <w:rFonts w:ascii="Arial" w:hAnsi="Arial" w:cs="Arial"/>
                <w:sz w:val="16"/>
                <w:szCs w:val="16"/>
              </w:rPr>
            </w:pPr>
            <w:r>
              <w:rPr>
                <w:rFonts w:ascii="Arial" w:hAnsi="Arial" w:cs="Arial"/>
                <w:sz w:val="16"/>
                <w:szCs w:val="16"/>
              </w:rPr>
              <w:t>10%</w:t>
            </w:r>
          </w:p>
        </w:tc>
        <w:tc>
          <w:tcPr>
            <w:tcW w:w="432" w:type="pct"/>
            <w:gridSpan w:val="2"/>
            <w:shd w:val="clear" w:color="auto" w:fill="95B3D7"/>
            <w:vAlign w:val="center"/>
          </w:tcPr>
          <w:p w14:paraId="38BAD341" w14:textId="77777777" w:rsidR="00A3029F" w:rsidRPr="00B7174F" w:rsidRDefault="00A3029F" w:rsidP="00CF69B3">
            <w:pPr>
              <w:rPr>
                <w:rFonts w:ascii="Arial" w:hAnsi="Arial" w:cs="Arial"/>
                <w:sz w:val="16"/>
                <w:szCs w:val="16"/>
              </w:rPr>
            </w:pPr>
            <w:r w:rsidRPr="00B7174F">
              <w:rPr>
                <w:rFonts w:ascii="Arial" w:hAnsi="Arial" w:cs="Arial"/>
                <w:sz w:val="16"/>
                <w:szCs w:val="16"/>
              </w:rPr>
              <w:t>0</w:t>
            </w:r>
            <w:r>
              <w:rPr>
                <w:rFonts w:ascii="Arial" w:hAnsi="Arial" w:cs="Arial"/>
                <w:sz w:val="16"/>
                <w:szCs w:val="16"/>
              </w:rPr>
              <w:t>%</w:t>
            </w:r>
          </w:p>
        </w:tc>
        <w:tc>
          <w:tcPr>
            <w:tcW w:w="547" w:type="pct"/>
            <w:gridSpan w:val="2"/>
            <w:shd w:val="clear" w:color="auto" w:fill="95B3D7"/>
            <w:vAlign w:val="center"/>
          </w:tcPr>
          <w:p w14:paraId="72472C2B" w14:textId="77777777" w:rsidR="00A3029F" w:rsidRPr="00B7174F" w:rsidRDefault="00A3029F" w:rsidP="00CF69B3">
            <w:pPr>
              <w:rPr>
                <w:rFonts w:ascii="Arial" w:hAnsi="Arial" w:cs="Arial"/>
                <w:sz w:val="16"/>
                <w:szCs w:val="16"/>
              </w:rPr>
            </w:pPr>
            <w:r>
              <w:rPr>
                <w:rFonts w:ascii="Arial" w:hAnsi="Arial" w:cs="Arial"/>
                <w:sz w:val="16"/>
                <w:szCs w:val="16"/>
              </w:rPr>
              <w:t>10%</w:t>
            </w:r>
          </w:p>
        </w:tc>
      </w:tr>
      <w:tr w:rsidR="00A3029F" w:rsidRPr="00B7174F" w14:paraId="739C7064" w14:textId="77777777">
        <w:trPr>
          <w:trHeight w:val="283"/>
          <w:jc w:val="center"/>
        </w:trPr>
        <w:tc>
          <w:tcPr>
            <w:tcW w:w="1059" w:type="pct"/>
            <w:gridSpan w:val="3"/>
            <w:tcBorders>
              <w:top w:val="nil"/>
              <w:left w:val="nil"/>
              <w:bottom w:val="nil"/>
            </w:tcBorders>
            <w:vAlign w:val="center"/>
          </w:tcPr>
          <w:p w14:paraId="6A4F4CC7" w14:textId="77777777" w:rsidR="00A3029F" w:rsidRDefault="00A3029F" w:rsidP="00CF69B3">
            <w:pPr>
              <w:rPr>
                <w:rFonts w:ascii="Arial" w:hAnsi="Arial" w:cs="Arial"/>
                <w:sz w:val="16"/>
                <w:szCs w:val="16"/>
              </w:rPr>
            </w:pPr>
            <w:r>
              <w:rPr>
                <w:rFonts w:ascii="Arial" w:hAnsi="Arial" w:cs="Arial"/>
                <w:sz w:val="16"/>
                <w:szCs w:val="16"/>
              </w:rPr>
              <w:lastRenderedPageBreak/>
              <w:t>(3) = wi * (%</w:t>
            </w:r>
            <w:r w:rsidR="00E25AFD">
              <w:rPr>
                <w:rFonts w:ascii="Arial" w:hAnsi="Arial" w:cs="Arial"/>
                <w:sz w:val="16"/>
                <w:szCs w:val="16"/>
              </w:rPr>
              <w:t xml:space="preserve"> </w:t>
            </w:r>
            <w:r>
              <w:rPr>
                <w:rFonts w:ascii="Arial" w:hAnsi="Arial" w:cs="Arial"/>
                <w:sz w:val="16"/>
                <w:szCs w:val="16"/>
              </w:rPr>
              <w:t>segmentos fallados)</w:t>
            </w:r>
          </w:p>
        </w:tc>
        <w:tc>
          <w:tcPr>
            <w:tcW w:w="385" w:type="pct"/>
            <w:gridSpan w:val="2"/>
            <w:shd w:val="clear" w:color="auto" w:fill="BFBFBF"/>
            <w:vAlign w:val="center"/>
          </w:tcPr>
          <w:p w14:paraId="7F416221" w14:textId="77777777" w:rsidR="00A3029F" w:rsidRPr="00B7174F" w:rsidDel="00D03E2B" w:rsidRDefault="00A3029F" w:rsidP="00CF69B3">
            <w:pPr>
              <w:rPr>
                <w:rFonts w:ascii="Arial" w:hAnsi="Arial" w:cs="Arial"/>
                <w:sz w:val="16"/>
                <w:szCs w:val="16"/>
              </w:rPr>
            </w:pPr>
            <w:r>
              <w:rPr>
                <w:rFonts w:ascii="Arial" w:hAnsi="Arial" w:cs="Arial"/>
                <w:sz w:val="16"/>
                <w:szCs w:val="16"/>
              </w:rPr>
              <w:t>12%</w:t>
            </w:r>
          </w:p>
        </w:tc>
        <w:tc>
          <w:tcPr>
            <w:tcW w:w="346" w:type="pct"/>
            <w:shd w:val="clear" w:color="auto" w:fill="BFBFBF"/>
            <w:vAlign w:val="center"/>
          </w:tcPr>
          <w:p w14:paraId="0A5E8527" w14:textId="77777777" w:rsidR="00A3029F" w:rsidRPr="00B7174F" w:rsidDel="00D03E2B" w:rsidRDefault="00E25AFD" w:rsidP="00CF69B3">
            <w:pPr>
              <w:rPr>
                <w:rFonts w:ascii="Arial" w:hAnsi="Arial" w:cs="Arial"/>
                <w:sz w:val="16"/>
                <w:szCs w:val="16"/>
              </w:rPr>
            </w:pPr>
            <w:r>
              <w:rPr>
                <w:rFonts w:ascii="Arial" w:hAnsi="Arial" w:cs="Arial"/>
                <w:sz w:val="16"/>
                <w:szCs w:val="16"/>
              </w:rPr>
              <w:t>12</w:t>
            </w:r>
            <w:r w:rsidR="00A3029F">
              <w:rPr>
                <w:rFonts w:ascii="Arial" w:hAnsi="Arial" w:cs="Arial"/>
                <w:sz w:val="16"/>
                <w:szCs w:val="16"/>
              </w:rPr>
              <w:t>%</w:t>
            </w:r>
          </w:p>
        </w:tc>
        <w:tc>
          <w:tcPr>
            <w:tcW w:w="386" w:type="pct"/>
            <w:gridSpan w:val="3"/>
            <w:shd w:val="clear" w:color="auto" w:fill="D9D9D9"/>
            <w:vAlign w:val="center"/>
          </w:tcPr>
          <w:p w14:paraId="6726D1B4"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35" w:type="pct"/>
            <w:shd w:val="clear" w:color="auto" w:fill="D9D9D9"/>
            <w:vAlign w:val="center"/>
          </w:tcPr>
          <w:p w14:paraId="5747CA7E"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c>
          <w:tcPr>
            <w:tcW w:w="360" w:type="pct"/>
            <w:gridSpan w:val="2"/>
            <w:shd w:val="clear" w:color="auto" w:fill="DBE5F1"/>
            <w:vAlign w:val="center"/>
          </w:tcPr>
          <w:p w14:paraId="78303762" w14:textId="77777777" w:rsidR="00A3029F" w:rsidRDefault="00A3029F" w:rsidP="00CF69B3">
            <w:pPr>
              <w:rPr>
                <w:rFonts w:ascii="Arial" w:hAnsi="Arial" w:cs="Arial"/>
                <w:sz w:val="16"/>
                <w:szCs w:val="16"/>
              </w:rPr>
            </w:pPr>
            <w:r>
              <w:rPr>
                <w:rFonts w:ascii="Arial" w:hAnsi="Arial" w:cs="Arial"/>
                <w:sz w:val="16"/>
                <w:szCs w:val="16"/>
              </w:rPr>
              <w:t>12%</w:t>
            </w:r>
          </w:p>
        </w:tc>
        <w:tc>
          <w:tcPr>
            <w:tcW w:w="377" w:type="pct"/>
            <w:gridSpan w:val="2"/>
            <w:shd w:val="clear" w:color="auto" w:fill="DBE5F1"/>
            <w:vAlign w:val="center"/>
          </w:tcPr>
          <w:p w14:paraId="6CC9B537"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86" w:type="pct"/>
            <w:gridSpan w:val="2"/>
            <w:shd w:val="clear" w:color="auto" w:fill="B8CCE4"/>
            <w:vAlign w:val="center"/>
          </w:tcPr>
          <w:p w14:paraId="113A00AF"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387" w:type="pct"/>
            <w:shd w:val="clear" w:color="auto" w:fill="B8CCE4"/>
            <w:vAlign w:val="center"/>
          </w:tcPr>
          <w:p w14:paraId="7938FD3B"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c>
          <w:tcPr>
            <w:tcW w:w="432" w:type="pct"/>
            <w:gridSpan w:val="2"/>
            <w:shd w:val="clear" w:color="auto" w:fill="95B3D7"/>
            <w:vAlign w:val="center"/>
          </w:tcPr>
          <w:p w14:paraId="1A57C176" w14:textId="77777777" w:rsidR="00A3029F" w:rsidRPr="00B7174F" w:rsidRDefault="00A3029F" w:rsidP="00CF69B3">
            <w:pPr>
              <w:rPr>
                <w:rFonts w:ascii="Arial" w:hAnsi="Arial" w:cs="Arial"/>
                <w:sz w:val="16"/>
                <w:szCs w:val="16"/>
              </w:rPr>
            </w:pPr>
            <w:r>
              <w:rPr>
                <w:rFonts w:ascii="Arial" w:hAnsi="Arial" w:cs="Arial"/>
                <w:sz w:val="16"/>
                <w:szCs w:val="16"/>
              </w:rPr>
              <w:t>0%</w:t>
            </w:r>
          </w:p>
        </w:tc>
        <w:tc>
          <w:tcPr>
            <w:tcW w:w="547" w:type="pct"/>
            <w:gridSpan w:val="2"/>
            <w:shd w:val="clear" w:color="auto" w:fill="95B3D7"/>
            <w:vAlign w:val="center"/>
          </w:tcPr>
          <w:p w14:paraId="33A59D9D" w14:textId="77777777" w:rsidR="00A3029F" w:rsidRPr="00B7174F" w:rsidDel="00D03E2B" w:rsidRDefault="00A3029F" w:rsidP="00CF69B3">
            <w:pPr>
              <w:rPr>
                <w:rFonts w:ascii="Arial" w:hAnsi="Arial" w:cs="Arial"/>
                <w:sz w:val="16"/>
                <w:szCs w:val="16"/>
              </w:rPr>
            </w:pPr>
            <w:r>
              <w:rPr>
                <w:rFonts w:ascii="Arial" w:hAnsi="Arial" w:cs="Arial"/>
                <w:sz w:val="16"/>
                <w:szCs w:val="16"/>
              </w:rPr>
              <w:t>6%</w:t>
            </w:r>
          </w:p>
        </w:tc>
      </w:tr>
      <w:tr w:rsidR="00A3029F" w:rsidRPr="00B7174F" w14:paraId="352B0400" w14:textId="77777777">
        <w:trPr>
          <w:trHeight w:val="284"/>
          <w:jc w:val="center"/>
        </w:trPr>
        <w:tc>
          <w:tcPr>
            <w:tcW w:w="1059" w:type="pct"/>
            <w:gridSpan w:val="3"/>
            <w:tcBorders>
              <w:top w:val="nil"/>
              <w:left w:val="nil"/>
              <w:bottom w:val="nil"/>
            </w:tcBorders>
            <w:vAlign w:val="center"/>
          </w:tcPr>
          <w:p w14:paraId="53909CCB" w14:textId="77777777" w:rsidR="00A3029F" w:rsidRPr="00B7174F" w:rsidRDefault="00A3029F" w:rsidP="00CF69B3">
            <w:pPr>
              <w:rPr>
                <w:rFonts w:ascii="Arial" w:hAnsi="Arial" w:cs="Arial"/>
                <w:sz w:val="16"/>
                <w:szCs w:val="16"/>
              </w:rPr>
            </w:pPr>
            <w:r>
              <w:rPr>
                <w:rFonts w:ascii="Arial" w:hAnsi="Arial" w:cs="Arial"/>
                <w:sz w:val="16"/>
                <w:szCs w:val="16"/>
              </w:rPr>
              <w:t>(4) =Sumatoria</w:t>
            </w:r>
            <w:r w:rsidR="00E25AFD">
              <w:rPr>
                <w:rFonts w:ascii="Arial" w:hAnsi="Arial" w:cs="Arial"/>
                <w:sz w:val="16"/>
                <w:szCs w:val="16"/>
              </w:rPr>
              <w:t xml:space="preserve"> </w:t>
            </w:r>
            <w:r>
              <w:rPr>
                <w:rFonts w:ascii="Arial" w:hAnsi="Arial" w:cs="Arial"/>
                <w:sz w:val="16"/>
                <w:szCs w:val="16"/>
              </w:rPr>
              <w:t>(3)</w:t>
            </w:r>
          </w:p>
        </w:tc>
        <w:tc>
          <w:tcPr>
            <w:tcW w:w="731" w:type="pct"/>
            <w:gridSpan w:val="3"/>
            <w:vAlign w:val="center"/>
          </w:tcPr>
          <w:p w14:paraId="6DDC0A4F" w14:textId="77777777" w:rsidR="00A3029F" w:rsidRPr="00B7174F" w:rsidRDefault="00E25AFD" w:rsidP="00CF69B3">
            <w:pPr>
              <w:rPr>
                <w:rFonts w:ascii="Arial" w:hAnsi="Arial" w:cs="Arial"/>
                <w:sz w:val="16"/>
                <w:szCs w:val="16"/>
              </w:rPr>
            </w:pPr>
            <w:r>
              <w:rPr>
                <w:rFonts w:ascii="Arial" w:hAnsi="Arial" w:cs="Arial"/>
                <w:sz w:val="16"/>
                <w:szCs w:val="16"/>
              </w:rPr>
              <w:t>24</w:t>
            </w:r>
            <w:r w:rsidR="00A3029F" w:rsidRPr="00B7174F">
              <w:rPr>
                <w:rFonts w:ascii="Arial" w:hAnsi="Arial" w:cs="Arial"/>
                <w:sz w:val="16"/>
                <w:szCs w:val="16"/>
              </w:rPr>
              <w:t>%</w:t>
            </w:r>
          </w:p>
        </w:tc>
        <w:tc>
          <w:tcPr>
            <w:tcW w:w="721" w:type="pct"/>
            <w:gridSpan w:val="4"/>
            <w:vAlign w:val="center"/>
          </w:tcPr>
          <w:p w14:paraId="2D846E7D"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737" w:type="pct"/>
            <w:gridSpan w:val="4"/>
            <w:vAlign w:val="center"/>
          </w:tcPr>
          <w:p w14:paraId="4C8F7991" w14:textId="77777777" w:rsidR="00A3029F" w:rsidRPr="00B7174F" w:rsidRDefault="00A3029F" w:rsidP="00CF69B3">
            <w:pPr>
              <w:rPr>
                <w:rFonts w:ascii="Arial" w:hAnsi="Arial" w:cs="Arial"/>
                <w:sz w:val="16"/>
                <w:szCs w:val="16"/>
              </w:rPr>
            </w:pPr>
            <w:r w:rsidRPr="00B7174F">
              <w:rPr>
                <w:rFonts w:ascii="Arial" w:hAnsi="Arial" w:cs="Arial"/>
                <w:sz w:val="16"/>
                <w:szCs w:val="16"/>
              </w:rPr>
              <w:t>12%</w:t>
            </w:r>
          </w:p>
        </w:tc>
        <w:tc>
          <w:tcPr>
            <w:tcW w:w="773" w:type="pct"/>
            <w:gridSpan w:val="3"/>
            <w:vAlign w:val="center"/>
          </w:tcPr>
          <w:p w14:paraId="37378672"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c>
          <w:tcPr>
            <w:tcW w:w="979" w:type="pct"/>
            <w:gridSpan w:val="4"/>
            <w:vAlign w:val="center"/>
          </w:tcPr>
          <w:p w14:paraId="682D83ED" w14:textId="77777777" w:rsidR="00A3029F" w:rsidRPr="00B7174F" w:rsidRDefault="00A3029F" w:rsidP="00CF69B3">
            <w:pPr>
              <w:rPr>
                <w:rFonts w:ascii="Arial" w:hAnsi="Arial" w:cs="Arial"/>
                <w:sz w:val="16"/>
                <w:szCs w:val="16"/>
              </w:rPr>
            </w:pPr>
            <w:r w:rsidRPr="00B7174F">
              <w:rPr>
                <w:rFonts w:ascii="Arial" w:hAnsi="Arial" w:cs="Arial"/>
                <w:sz w:val="16"/>
                <w:szCs w:val="16"/>
              </w:rPr>
              <w:t>6%</w:t>
            </w:r>
          </w:p>
        </w:tc>
      </w:tr>
      <w:tr w:rsidR="00A3029F" w:rsidRPr="00B7174F" w14:paraId="3F9B87F8" w14:textId="77777777">
        <w:trPr>
          <w:trHeight w:val="284"/>
          <w:jc w:val="center"/>
        </w:trPr>
        <w:tc>
          <w:tcPr>
            <w:tcW w:w="1059" w:type="pct"/>
            <w:gridSpan w:val="3"/>
            <w:tcBorders>
              <w:top w:val="nil"/>
              <w:left w:val="nil"/>
              <w:bottom w:val="nil"/>
              <w:right w:val="nil"/>
            </w:tcBorders>
            <w:vAlign w:val="center"/>
          </w:tcPr>
          <w:p w14:paraId="4E4532DD" w14:textId="77777777" w:rsidR="00A3029F" w:rsidRPr="00B7174F" w:rsidRDefault="00A3029F" w:rsidP="00CF69B3">
            <w:pPr>
              <w:rPr>
                <w:rFonts w:ascii="Arial" w:hAnsi="Arial" w:cs="Arial"/>
                <w:sz w:val="16"/>
                <w:szCs w:val="16"/>
              </w:rPr>
            </w:pPr>
            <w:r>
              <w:rPr>
                <w:rFonts w:ascii="Arial" w:hAnsi="Arial" w:cs="Arial"/>
                <w:sz w:val="16"/>
                <w:szCs w:val="16"/>
              </w:rPr>
              <w:t>(5) = 100% - (4)</w:t>
            </w:r>
          </w:p>
        </w:tc>
        <w:tc>
          <w:tcPr>
            <w:tcW w:w="345" w:type="pct"/>
            <w:tcBorders>
              <w:left w:val="nil"/>
            </w:tcBorders>
            <w:vAlign w:val="center"/>
          </w:tcPr>
          <w:p w14:paraId="4FBD3156" w14:textId="77777777" w:rsidR="00A3029F" w:rsidRPr="00B7174F" w:rsidRDefault="00A3029F" w:rsidP="00CF69B3">
            <w:pPr>
              <w:rPr>
                <w:rFonts w:ascii="Arial" w:hAnsi="Arial" w:cs="Arial"/>
                <w:sz w:val="16"/>
                <w:szCs w:val="16"/>
              </w:rPr>
            </w:pPr>
          </w:p>
        </w:tc>
        <w:tc>
          <w:tcPr>
            <w:tcW w:w="386" w:type="pct"/>
            <w:gridSpan w:val="2"/>
            <w:shd w:val="clear" w:color="auto" w:fill="DBE5F1"/>
            <w:vAlign w:val="center"/>
          </w:tcPr>
          <w:p w14:paraId="281A7D0C" w14:textId="77777777" w:rsidR="00A3029F" w:rsidRPr="00B7174F" w:rsidRDefault="00E25AFD" w:rsidP="00CF69B3">
            <w:pPr>
              <w:rPr>
                <w:rFonts w:ascii="Arial" w:hAnsi="Arial" w:cs="Arial"/>
                <w:sz w:val="16"/>
                <w:szCs w:val="16"/>
              </w:rPr>
            </w:pPr>
            <w:r>
              <w:rPr>
                <w:rFonts w:ascii="Arial" w:hAnsi="Arial" w:cs="Arial"/>
                <w:sz w:val="16"/>
                <w:szCs w:val="16"/>
              </w:rPr>
              <w:t>76</w:t>
            </w:r>
            <w:r w:rsidR="00A3029F" w:rsidRPr="00B7174F">
              <w:rPr>
                <w:rFonts w:ascii="Arial" w:hAnsi="Arial" w:cs="Arial"/>
                <w:sz w:val="16"/>
                <w:szCs w:val="16"/>
              </w:rPr>
              <w:t>,0%</w:t>
            </w:r>
          </w:p>
        </w:tc>
        <w:tc>
          <w:tcPr>
            <w:tcW w:w="335" w:type="pct"/>
            <w:tcBorders>
              <w:bottom w:val="nil"/>
            </w:tcBorders>
            <w:vAlign w:val="center"/>
          </w:tcPr>
          <w:p w14:paraId="1B3BEFCE" w14:textId="77777777" w:rsidR="00A3029F" w:rsidRPr="00B7174F" w:rsidRDefault="00A3029F" w:rsidP="00CF69B3">
            <w:pPr>
              <w:rPr>
                <w:rFonts w:ascii="Arial" w:hAnsi="Arial" w:cs="Arial"/>
                <w:sz w:val="16"/>
                <w:szCs w:val="16"/>
              </w:rPr>
            </w:pPr>
          </w:p>
        </w:tc>
        <w:tc>
          <w:tcPr>
            <w:tcW w:w="386" w:type="pct"/>
            <w:gridSpan w:val="3"/>
            <w:shd w:val="clear" w:color="auto" w:fill="DBE5F1"/>
            <w:vAlign w:val="center"/>
          </w:tcPr>
          <w:p w14:paraId="656B7F62"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c>
          <w:tcPr>
            <w:tcW w:w="352" w:type="pct"/>
            <w:tcBorders>
              <w:bottom w:val="nil"/>
            </w:tcBorders>
            <w:vAlign w:val="center"/>
          </w:tcPr>
          <w:p w14:paraId="6802D2BA" w14:textId="77777777" w:rsidR="00A3029F" w:rsidRPr="00B7174F" w:rsidRDefault="00A3029F" w:rsidP="00CF69B3">
            <w:pPr>
              <w:rPr>
                <w:rFonts w:ascii="Arial" w:hAnsi="Arial" w:cs="Arial"/>
                <w:sz w:val="16"/>
                <w:szCs w:val="16"/>
              </w:rPr>
            </w:pPr>
          </w:p>
        </w:tc>
        <w:tc>
          <w:tcPr>
            <w:tcW w:w="385" w:type="pct"/>
            <w:gridSpan w:val="3"/>
            <w:shd w:val="clear" w:color="auto" w:fill="DBE5F1"/>
            <w:vAlign w:val="center"/>
          </w:tcPr>
          <w:p w14:paraId="4F5B1AA3" w14:textId="77777777" w:rsidR="00A3029F" w:rsidRPr="00B7174F" w:rsidRDefault="00A3029F" w:rsidP="00CF69B3">
            <w:pPr>
              <w:rPr>
                <w:rFonts w:ascii="Arial" w:hAnsi="Arial" w:cs="Arial"/>
                <w:sz w:val="16"/>
                <w:szCs w:val="16"/>
              </w:rPr>
            </w:pPr>
            <w:r w:rsidRPr="00B7174F">
              <w:rPr>
                <w:rFonts w:ascii="Arial" w:hAnsi="Arial" w:cs="Arial"/>
                <w:sz w:val="16"/>
                <w:szCs w:val="16"/>
              </w:rPr>
              <w:t>88,0%</w:t>
            </w:r>
          </w:p>
        </w:tc>
        <w:tc>
          <w:tcPr>
            <w:tcW w:w="386" w:type="pct"/>
            <w:gridSpan w:val="2"/>
            <w:tcBorders>
              <w:bottom w:val="nil"/>
            </w:tcBorders>
            <w:vAlign w:val="center"/>
          </w:tcPr>
          <w:p w14:paraId="7519BCB9" w14:textId="77777777" w:rsidR="00A3029F" w:rsidRPr="00B7174F" w:rsidRDefault="00A3029F" w:rsidP="00CF69B3">
            <w:pPr>
              <w:rPr>
                <w:rFonts w:ascii="Arial" w:hAnsi="Arial" w:cs="Arial"/>
                <w:sz w:val="16"/>
                <w:szCs w:val="16"/>
              </w:rPr>
            </w:pPr>
          </w:p>
        </w:tc>
        <w:tc>
          <w:tcPr>
            <w:tcW w:w="387" w:type="pct"/>
            <w:shd w:val="clear" w:color="auto" w:fill="DBE5F1"/>
            <w:vAlign w:val="center"/>
          </w:tcPr>
          <w:p w14:paraId="7769F96B"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c>
          <w:tcPr>
            <w:tcW w:w="492" w:type="pct"/>
            <w:gridSpan w:val="3"/>
            <w:tcBorders>
              <w:bottom w:val="nil"/>
            </w:tcBorders>
            <w:vAlign w:val="center"/>
          </w:tcPr>
          <w:p w14:paraId="37927396" w14:textId="77777777" w:rsidR="00A3029F" w:rsidRPr="00B7174F" w:rsidRDefault="00A3029F" w:rsidP="00CF69B3">
            <w:pPr>
              <w:rPr>
                <w:rFonts w:ascii="Arial" w:hAnsi="Arial" w:cs="Arial"/>
                <w:sz w:val="16"/>
                <w:szCs w:val="16"/>
              </w:rPr>
            </w:pPr>
          </w:p>
        </w:tc>
        <w:tc>
          <w:tcPr>
            <w:tcW w:w="487" w:type="pct"/>
            <w:shd w:val="clear" w:color="auto" w:fill="DBE5F1"/>
            <w:vAlign w:val="center"/>
          </w:tcPr>
          <w:p w14:paraId="086902C2" w14:textId="77777777" w:rsidR="00A3029F" w:rsidRPr="00B7174F" w:rsidRDefault="00A3029F" w:rsidP="00CF69B3">
            <w:pPr>
              <w:rPr>
                <w:rFonts w:ascii="Arial" w:hAnsi="Arial" w:cs="Arial"/>
                <w:sz w:val="16"/>
                <w:szCs w:val="16"/>
              </w:rPr>
            </w:pPr>
            <w:r w:rsidRPr="00B7174F">
              <w:rPr>
                <w:rFonts w:ascii="Arial" w:hAnsi="Arial" w:cs="Arial"/>
                <w:sz w:val="16"/>
                <w:szCs w:val="16"/>
              </w:rPr>
              <w:t>94,0%</w:t>
            </w:r>
          </w:p>
        </w:tc>
      </w:tr>
      <w:tr w:rsidR="00A3029F" w:rsidRPr="00B7174F" w14:paraId="6044BE58" w14:textId="77777777">
        <w:trPr>
          <w:trHeight w:val="284"/>
          <w:jc w:val="center"/>
        </w:trPr>
        <w:tc>
          <w:tcPr>
            <w:tcW w:w="1404" w:type="pct"/>
            <w:gridSpan w:val="4"/>
            <w:vAlign w:val="center"/>
          </w:tcPr>
          <w:p w14:paraId="4CBC1779" w14:textId="77777777" w:rsidR="00A3029F" w:rsidRPr="00B7174F" w:rsidRDefault="00A3029F" w:rsidP="00CF69B3">
            <w:pPr>
              <w:rPr>
                <w:rFonts w:ascii="Arial" w:hAnsi="Arial" w:cs="Arial"/>
                <w:sz w:val="16"/>
                <w:szCs w:val="16"/>
              </w:rPr>
            </w:pPr>
            <w:r>
              <w:rPr>
                <w:rFonts w:ascii="Arial" w:hAnsi="Arial" w:cs="Arial"/>
                <w:sz w:val="16"/>
                <w:szCs w:val="16"/>
              </w:rPr>
              <w:t xml:space="preserve">(6) </w:t>
            </w:r>
            <w:r w:rsidRPr="00B7174F">
              <w:rPr>
                <w:rFonts w:ascii="Arial" w:hAnsi="Arial" w:cs="Arial"/>
                <w:sz w:val="16"/>
                <w:szCs w:val="16"/>
              </w:rPr>
              <w:t>Nivel de servicio</w:t>
            </w:r>
            <w:r>
              <w:rPr>
                <w:rFonts w:ascii="Arial" w:hAnsi="Arial" w:cs="Arial"/>
                <w:sz w:val="16"/>
                <w:szCs w:val="16"/>
              </w:rPr>
              <w:t xml:space="preserve"> =</w:t>
            </w:r>
            <w:r w:rsidR="00B14DCC">
              <w:rPr>
                <w:rFonts w:ascii="Arial" w:hAnsi="Arial" w:cs="Arial"/>
                <w:sz w:val="16"/>
                <w:szCs w:val="16"/>
              </w:rPr>
              <w:t xml:space="preserve"> </w:t>
            </w:r>
            <w:r>
              <w:rPr>
                <w:rFonts w:ascii="Arial" w:hAnsi="Arial" w:cs="Arial"/>
                <w:sz w:val="16"/>
                <w:szCs w:val="16"/>
              </w:rPr>
              <w:t>promedio simple de (5)</w:t>
            </w:r>
          </w:p>
        </w:tc>
        <w:tc>
          <w:tcPr>
            <w:tcW w:w="386" w:type="pct"/>
            <w:gridSpan w:val="2"/>
            <w:tcBorders>
              <w:top w:val="nil"/>
            </w:tcBorders>
            <w:vAlign w:val="center"/>
          </w:tcPr>
          <w:p w14:paraId="66DD69C0" w14:textId="77777777" w:rsidR="00A3029F" w:rsidRPr="00B7174F" w:rsidRDefault="00E25AFD" w:rsidP="00CF69B3">
            <w:pPr>
              <w:rPr>
                <w:rFonts w:ascii="Arial" w:hAnsi="Arial" w:cs="Arial"/>
                <w:sz w:val="16"/>
                <w:szCs w:val="16"/>
              </w:rPr>
            </w:pPr>
            <w:r>
              <w:rPr>
                <w:rFonts w:ascii="Arial" w:hAnsi="Arial" w:cs="Arial"/>
                <w:sz w:val="16"/>
                <w:szCs w:val="16"/>
              </w:rPr>
              <w:t>89.2</w:t>
            </w:r>
            <w:r w:rsidR="00A3029F" w:rsidRPr="00B7174F">
              <w:rPr>
                <w:rFonts w:ascii="Arial" w:hAnsi="Arial" w:cs="Arial"/>
                <w:sz w:val="16"/>
                <w:szCs w:val="16"/>
              </w:rPr>
              <w:t>%</w:t>
            </w:r>
          </w:p>
        </w:tc>
        <w:tc>
          <w:tcPr>
            <w:tcW w:w="335" w:type="pct"/>
            <w:tcBorders>
              <w:top w:val="nil"/>
              <w:bottom w:val="nil"/>
              <w:right w:val="nil"/>
            </w:tcBorders>
            <w:vAlign w:val="center"/>
          </w:tcPr>
          <w:p w14:paraId="572EE110" w14:textId="77777777" w:rsidR="00A3029F" w:rsidRPr="00B7174F" w:rsidRDefault="00A3029F" w:rsidP="00CF69B3">
            <w:pPr>
              <w:rPr>
                <w:rFonts w:ascii="Arial" w:hAnsi="Arial" w:cs="Arial"/>
                <w:sz w:val="16"/>
                <w:szCs w:val="16"/>
              </w:rPr>
            </w:pPr>
          </w:p>
        </w:tc>
        <w:tc>
          <w:tcPr>
            <w:tcW w:w="386" w:type="pct"/>
            <w:gridSpan w:val="3"/>
            <w:tcBorders>
              <w:top w:val="nil"/>
              <w:left w:val="nil"/>
              <w:bottom w:val="nil"/>
              <w:right w:val="nil"/>
            </w:tcBorders>
            <w:vAlign w:val="center"/>
          </w:tcPr>
          <w:p w14:paraId="3C7CF562" w14:textId="77777777" w:rsidR="00A3029F" w:rsidRPr="00B7174F" w:rsidRDefault="00A3029F" w:rsidP="00CF69B3">
            <w:pPr>
              <w:rPr>
                <w:rFonts w:ascii="Arial" w:hAnsi="Arial" w:cs="Arial"/>
                <w:sz w:val="16"/>
                <w:szCs w:val="16"/>
              </w:rPr>
            </w:pPr>
          </w:p>
        </w:tc>
        <w:tc>
          <w:tcPr>
            <w:tcW w:w="352" w:type="pct"/>
            <w:tcBorders>
              <w:top w:val="nil"/>
              <w:left w:val="nil"/>
              <w:bottom w:val="nil"/>
              <w:right w:val="nil"/>
            </w:tcBorders>
            <w:vAlign w:val="center"/>
          </w:tcPr>
          <w:p w14:paraId="20DE90E3" w14:textId="77777777" w:rsidR="00A3029F" w:rsidRPr="00B7174F" w:rsidRDefault="00A3029F" w:rsidP="00CF69B3">
            <w:pPr>
              <w:rPr>
                <w:rFonts w:ascii="Arial" w:hAnsi="Arial" w:cs="Arial"/>
                <w:sz w:val="16"/>
                <w:szCs w:val="16"/>
              </w:rPr>
            </w:pPr>
          </w:p>
        </w:tc>
        <w:tc>
          <w:tcPr>
            <w:tcW w:w="385" w:type="pct"/>
            <w:gridSpan w:val="3"/>
            <w:tcBorders>
              <w:top w:val="nil"/>
              <w:left w:val="nil"/>
              <w:bottom w:val="nil"/>
              <w:right w:val="nil"/>
            </w:tcBorders>
            <w:vAlign w:val="center"/>
          </w:tcPr>
          <w:p w14:paraId="1569179B" w14:textId="77777777" w:rsidR="00A3029F" w:rsidRPr="00B7174F" w:rsidRDefault="00A3029F" w:rsidP="00CF69B3">
            <w:pPr>
              <w:rPr>
                <w:rFonts w:ascii="Arial" w:hAnsi="Arial" w:cs="Arial"/>
                <w:sz w:val="16"/>
                <w:szCs w:val="16"/>
              </w:rPr>
            </w:pPr>
          </w:p>
        </w:tc>
        <w:tc>
          <w:tcPr>
            <w:tcW w:w="386" w:type="pct"/>
            <w:gridSpan w:val="2"/>
            <w:tcBorders>
              <w:top w:val="nil"/>
              <w:left w:val="nil"/>
              <w:bottom w:val="nil"/>
              <w:right w:val="nil"/>
            </w:tcBorders>
            <w:vAlign w:val="center"/>
          </w:tcPr>
          <w:p w14:paraId="7BBB3F31" w14:textId="77777777" w:rsidR="00A3029F" w:rsidRPr="00B7174F" w:rsidRDefault="00A3029F" w:rsidP="00CF69B3">
            <w:pPr>
              <w:rPr>
                <w:rFonts w:ascii="Arial" w:hAnsi="Arial" w:cs="Arial"/>
                <w:sz w:val="16"/>
                <w:szCs w:val="16"/>
              </w:rPr>
            </w:pPr>
          </w:p>
        </w:tc>
        <w:tc>
          <w:tcPr>
            <w:tcW w:w="387" w:type="pct"/>
            <w:tcBorders>
              <w:top w:val="nil"/>
              <w:left w:val="nil"/>
              <w:bottom w:val="nil"/>
              <w:right w:val="nil"/>
            </w:tcBorders>
            <w:vAlign w:val="center"/>
          </w:tcPr>
          <w:p w14:paraId="5974293E" w14:textId="77777777" w:rsidR="00A3029F" w:rsidRPr="00B7174F" w:rsidRDefault="00A3029F" w:rsidP="00CF69B3">
            <w:pPr>
              <w:rPr>
                <w:rFonts w:ascii="Arial" w:hAnsi="Arial" w:cs="Arial"/>
                <w:sz w:val="16"/>
                <w:szCs w:val="16"/>
              </w:rPr>
            </w:pPr>
          </w:p>
        </w:tc>
        <w:tc>
          <w:tcPr>
            <w:tcW w:w="492" w:type="pct"/>
            <w:gridSpan w:val="3"/>
            <w:tcBorders>
              <w:top w:val="nil"/>
              <w:left w:val="nil"/>
              <w:bottom w:val="nil"/>
              <w:right w:val="nil"/>
            </w:tcBorders>
            <w:vAlign w:val="center"/>
          </w:tcPr>
          <w:p w14:paraId="585F25D6" w14:textId="77777777" w:rsidR="00A3029F" w:rsidRPr="00B7174F" w:rsidRDefault="00A3029F" w:rsidP="00CF69B3">
            <w:pPr>
              <w:rPr>
                <w:rFonts w:ascii="Arial" w:hAnsi="Arial" w:cs="Arial"/>
                <w:sz w:val="16"/>
                <w:szCs w:val="16"/>
              </w:rPr>
            </w:pPr>
          </w:p>
        </w:tc>
        <w:tc>
          <w:tcPr>
            <w:tcW w:w="487" w:type="pct"/>
            <w:tcBorders>
              <w:left w:val="nil"/>
              <w:bottom w:val="nil"/>
              <w:right w:val="nil"/>
            </w:tcBorders>
            <w:vAlign w:val="center"/>
          </w:tcPr>
          <w:p w14:paraId="553B5550" w14:textId="77777777" w:rsidR="00A3029F" w:rsidRPr="00B7174F" w:rsidRDefault="00A3029F" w:rsidP="00CF69B3">
            <w:pPr>
              <w:rPr>
                <w:rFonts w:ascii="Arial" w:hAnsi="Arial" w:cs="Arial"/>
                <w:sz w:val="16"/>
                <w:szCs w:val="16"/>
              </w:rPr>
            </w:pPr>
          </w:p>
        </w:tc>
      </w:tr>
      <w:tr w:rsidR="00A3029F" w:rsidRPr="00B7174F" w14:paraId="6F5E1F3C" w14:textId="77777777">
        <w:trPr>
          <w:trHeight w:val="284"/>
          <w:jc w:val="center"/>
        </w:trPr>
        <w:tc>
          <w:tcPr>
            <w:tcW w:w="1404" w:type="pct"/>
            <w:gridSpan w:val="4"/>
            <w:vAlign w:val="center"/>
          </w:tcPr>
          <w:p w14:paraId="48471F78" w14:textId="77777777" w:rsidR="00A3029F" w:rsidRPr="00B379EE" w:rsidRDefault="00A3029F" w:rsidP="00CF69B3">
            <w:pPr>
              <w:rPr>
                <w:rFonts w:ascii="Arial" w:hAnsi="Arial" w:cs="Arial"/>
                <w:sz w:val="16"/>
                <w:szCs w:val="16"/>
              </w:rPr>
            </w:pPr>
            <w:r>
              <w:rPr>
                <w:rFonts w:ascii="Arial" w:hAnsi="Arial" w:cs="Arial"/>
                <w:sz w:val="16"/>
                <w:szCs w:val="16"/>
              </w:rPr>
              <w:t xml:space="preserve">(7) </w:t>
            </w:r>
            <w:r w:rsidRPr="00B379EE">
              <w:rPr>
                <w:rFonts w:ascii="Arial" w:hAnsi="Arial" w:cs="Arial"/>
                <w:sz w:val="16"/>
                <w:szCs w:val="16"/>
              </w:rPr>
              <w:t>Pérdida de Nivel de servicio =100% - (6)</w:t>
            </w:r>
          </w:p>
        </w:tc>
        <w:tc>
          <w:tcPr>
            <w:tcW w:w="386" w:type="pct"/>
            <w:gridSpan w:val="2"/>
            <w:shd w:val="clear" w:color="auto" w:fill="DBE5F1"/>
            <w:vAlign w:val="center"/>
          </w:tcPr>
          <w:p w14:paraId="6B8F0ED7" w14:textId="77777777" w:rsidR="00A3029F" w:rsidRPr="00B7174F" w:rsidRDefault="00E25AFD" w:rsidP="00E25AFD">
            <w:pPr>
              <w:rPr>
                <w:rFonts w:ascii="Arial" w:hAnsi="Arial" w:cs="Arial"/>
                <w:sz w:val="16"/>
                <w:szCs w:val="16"/>
              </w:rPr>
            </w:pPr>
            <w:r>
              <w:rPr>
                <w:rFonts w:ascii="Arial" w:hAnsi="Arial" w:cs="Arial"/>
                <w:sz w:val="16"/>
                <w:szCs w:val="16"/>
              </w:rPr>
              <w:t>10.8</w:t>
            </w:r>
            <w:r w:rsidR="00A3029F" w:rsidRPr="00B7174F">
              <w:rPr>
                <w:rFonts w:ascii="Arial" w:hAnsi="Arial" w:cs="Arial"/>
                <w:sz w:val="16"/>
                <w:szCs w:val="16"/>
              </w:rPr>
              <w:t>%</w:t>
            </w:r>
          </w:p>
        </w:tc>
        <w:tc>
          <w:tcPr>
            <w:tcW w:w="335" w:type="pct"/>
            <w:tcBorders>
              <w:top w:val="nil"/>
              <w:bottom w:val="nil"/>
              <w:right w:val="nil"/>
            </w:tcBorders>
            <w:vAlign w:val="center"/>
          </w:tcPr>
          <w:p w14:paraId="6A393C8C" w14:textId="77777777" w:rsidR="00A3029F" w:rsidRPr="00B7174F" w:rsidRDefault="00A3029F" w:rsidP="00CF69B3">
            <w:pPr>
              <w:rPr>
                <w:rFonts w:ascii="Arial" w:hAnsi="Arial" w:cs="Arial"/>
                <w:sz w:val="16"/>
                <w:szCs w:val="16"/>
              </w:rPr>
            </w:pPr>
          </w:p>
        </w:tc>
        <w:tc>
          <w:tcPr>
            <w:tcW w:w="386" w:type="pct"/>
            <w:gridSpan w:val="3"/>
            <w:tcBorders>
              <w:top w:val="nil"/>
              <w:left w:val="nil"/>
              <w:bottom w:val="nil"/>
              <w:right w:val="nil"/>
            </w:tcBorders>
            <w:vAlign w:val="center"/>
          </w:tcPr>
          <w:p w14:paraId="30D4BD2C" w14:textId="77777777" w:rsidR="00A3029F" w:rsidRPr="00B7174F" w:rsidRDefault="00A3029F" w:rsidP="00CF69B3">
            <w:pPr>
              <w:rPr>
                <w:rFonts w:ascii="Arial" w:hAnsi="Arial" w:cs="Arial"/>
                <w:sz w:val="16"/>
                <w:szCs w:val="16"/>
              </w:rPr>
            </w:pPr>
          </w:p>
        </w:tc>
        <w:tc>
          <w:tcPr>
            <w:tcW w:w="352" w:type="pct"/>
            <w:tcBorders>
              <w:top w:val="nil"/>
              <w:left w:val="nil"/>
              <w:bottom w:val="nil"/>
              <w:right w:val="nil"/>
            </w:tcBorders>
            <w:vAlign w:val="center"/>
          </w:tcPr>
          <w:p w14:paraId="6C6A138E" w14:textId="77777777" w:rsidR="00A3029F" w:rsidRPr="00B7174F" w:rsidRDefault="00A3029F" w:rsidP="00CF69B3">
            <w:pPr>
              <w:rPr>
                <w:rFonts w:ascii="Arial" w:hAnsi="Arial" w:cs="Arial"/>
                <w:sz w:val="16"/>
                <w:szCs w:val="16"/>
              </w:rPr>
            </w:pPr>
          </w:p>
        </w:tc>
        <w:tc>
          <w:tcPr>
            <w:tcW w:w="385" w:type="pct"/>
            <w:gridSpan w:val="3"/>
            <w:tcBorders>
              <w:top w:val="nil"/>
              <w:left w:val="nil"/>
              <w:bottom w:val="nil"/>
              <w:right w:val="nil"/>
            </w:tcBorders>
            <w:vAlign w:val="center"/>
          </w:tcPr>
          <w:p w14:paraId="3C7D0EDF" w14:textId="77777777" w:rsidR="00A3029F" w:rsidRPr="00B7174F" w:rsidRDefault="00A3029F" w:rsidP="00CF69B3">
            <w:pPr>
              <w:rPr>
                <w:rFonts w:ascii="Arial" w:hAnsi="Arial" w:cs="Arial"/>
                <w:sz w:val="16"/>
                <w:szCs w:val="16"/>
              </w:rPr>
            </w:pPr>
          </w:p>
        </w:tc>
        <w:tc>
          <w:tcPr>
            <w:tcW w:w="386" w:type="pct"/>
            <w:gridSpan w:val="2"/>
            <w:tcBorders>
              <w:top w:val="nil"/>
              <w:left w:val="nil"/>
              <w:bottom w:val="nil"/>
              <w:right w:val="nil"/>
            </w:tcBorders>
            <w:vAlign w:val="center"/>
          </w:tcPr>
          <w:p w14:paraId="24B04439" w14:textId="77777777" w:rsidR="00A3029F" w:rsidRPr="00B7174F" w:rsidRDefault="00A3029F" w:rsidP="00CF69B3">
            <w:pPr>
              <w:rPr>
                <w:rFonts w:ascii="Arial" w:hAnsi="Arial" w:cs="Arial"/>
                <w:sz w:val="16"/>
                <w:szCs w:val="16"/>
              </w:rPr>
            </w:pPr>
          </w:p>
        </w:tc>
        <w:tc>
          <w:tcPr>
            <w:tcW w:w="387" w:type="pct"/>
            <w:tcBorders>
              <w:top w:val="nil"/>
              <w:left w:val="nil"/>
              <w:bottom w:val="nil"/>
              <w:right w:val="nil"/>
            </w:tcBorders>
            <w:vAlign w:val="center"/>
          </w:tcPr>
          <w:p w14:paraId="193615ED" w14:textId="77777777" w:rsidR="00A3029F" w:rsidRPr="00B7174F" w:rsidRDefault="00A3029F" w:rsidP="00CF69B3">
            <w:pPr>
              <w:rPr>
                <w:rFonts w:ascii="Arial" w:hAnsi="Arial" w:cs="Arial"/>
                <w:sz w:val="16"/>
                <w:szCs w:val="16"/>
              </w:rPr>
            </w:pPr>
          </w:p>
        </w:tc>
        <w:tc>
          <w:tcPr>
            <w:tcW w:w="492" w:type="pct"/>
            <w:gridSpan w:val="3"/>
            <w:tcBorders>
              <w:top w:val="nil"/>
              <w:left w:val="nil"/>
              <w:bottom w:val="nil"/>
              <w:right w:val="nil"/>
            </w:tcBorders>
            <w:vAlign w:val="center"/>
          </w:tcPr>
          <w:p w14:paraId="4AF3E90F" w14:textId="77777777" w:rsidR="00A3029F" w:rsidRPr="00B7174F" w:rsidRDefault="00A3029F" w:rsidP="00CF69B3">
            <w:pPr>
              <w:rPr>
                <w:rFonts w:ascii="Arial" w:hAnsi="Arial" w:cs="Arial"/>
                <w:sz w:val="16"/>
                <w:szCs w:val="16"/>
              </w:rPr>
            </w:pPr>
          </w:p>
        </w:tc>
        <w:tc>
          <w:tcPr>
            <w:tcW w:w="487" w:type="pct"/>
            <w:tcBorders>
              <w:top w:val="nil"/>
              <w:left w:val="nil"/>
              <w:bottom w:val="nil"/>
              <w:right w:val="nil"/>
            </w:tcBorders>
            <w:vAlign w:val="center"/>
          </w:tcPr>
          <w:p w14:paraId="0A40B4A0" w14:textId="77777777" w:rsidR="00A3029F" w:rsidRPr="00B7174F" w:rsidRDefault="00A3029F" w:rsidP="00CF69B3">
            <w:pPr>
              <w:rPr>
                <w:rFonts w:ascii="Arial" w:hAnsi="Arial" w:cs="Arial"/>
                <w:sz w:val="16"/>
                <w:szCs w:val="16"/>
              </w:rPr>
            </w:pPr>
          </w:p>
        </w:tc>
      </w:tr>
    </w:tbl>
    <w:p w14:paraId="08E13B15" w14:textId="77777777" w:rsidR="00A3029F" w:rsidRPr="00B7174F" w:rsidRDefault="00A3029F" w:rsidP="00CF69B3">
      <w:pPr>
        <w:rPr>
          <w:rFonts w:cs="Times New Roman"/>
        </w:rPr>
        <w:sectPr w:rsidR="00A3029F" w:rsidRPr="00B7174F" w:rsidSect="00B238CC">
          <w:headerReference w:type="even" r:id="rId166"/>
          <w:headerReference w:type="default" r:id="rId167"/>
          <w:footerReference w:type="default" r:id="rId168"/>
          <w:headerReference w:type="first" r:id="rId169"/>
          <w:pgSz w:w="11906" w:h="16838" w:code="9"/>
          <w:pgMar w:top="1135" w:right="1701" w:bottom="1418" w:left="1701" w:header="720" w:footer="720" w:gutter="0"/>
          <w:cols w:space="708"/>
          <w:docGrid w:linePitch="360"/>
        </w:sectPr>
      </w:pPr>
    </w:p>
    <w:p w14:paraId="43A458E4" w14:textId="77777777" w:rsidR="00A3029F" w:rsidRPr="0056321E" w:rsidRDefault="00A3029F" w:rsidP="000F5C7C">
      <w:pPr>
        <w:pStyle w:val="T0"/>
        <w:outlineLvl w:val="0"/>
      </w:pPr>
      <w:bookmarkStart w:id="1618" w:name="_Toc340671994"/>
      <w:bookmarkStart w:id="1619" w:name="_Toc340677456"/>
      <w:bookmarkStart w:id="1620" w:name="_Toc400622350"/>
      <w:bookmarkStart w:id="1621" w:name="_Toc400629195"/>
      <w:bookmarkStart w:id="1622" w:name="_Toc400634178"/>
      <w:bookmarkStart w:id="1623" w:name="_Toc400635312"/>
      <w:bookmarkStart w:id="1624" w:name="_Toc468288096"/>
      <w:bookmarkStart w:id="1625" w:name="_Toc496266689"/>
      <w:bookmarkStart w:id="1626" w:name="A_10"/>
      <w:bookmarkStart w:id="1627" w:name="_Toc340671988"/>
      <w:bookmarkStart w:id="1628" w:name="_Toc358821616"/>
      <w:bookmarkStart w:id="1629" w:name="_Toc358821619"/>
      <w:r w:rsidRPr="0056321E">
        <w:lastRenderedPageBreak/>
        <w:t xml:space="preserve">ANEXO </w:t>
      </w:r>
      <w:r>
        <w:t>X:</w:t>
      </w:r>
      <w:r w:rsidRPr="0056321E">
        <w:t xml:space="preserve"> AJUSTE P</w:t>
      </w:r>
      <w:r>
        <w:t>ARAMÉ</w:t>
      </w:r>
      <w:r w:rsidRPr="0056321E">
        <w:t>TRICO</w:t>
      </w:r>
      <w:bookmarkEnd w:id="1618"/>
      <w:bookmarkEnd w:id="1619"/>
      <w:bookmarkEnd w:id="1620"/>
      <w:bookmarkEnd w:id="1621"/>
      <w:bookmarkEnd w:id="1622"/>
      <w:bookmarkEnd w:id="1623"/>
      <w:bookmarkEnd w:id="1624"/>
      <w:bookmarkEnd w:id="1625"/>
    </w:p>
    <w:bookmarkEnd w:id="1626"/>
    <w:p w14:paraId="12F2E884" w14:textId="28160E7D" w:rsidR="00A3029F" w:rsidRPr="0051681A" w:rsidRDefault="00A3029F" w:rsidP="006305F3">
      <w:pPr>
        <w:spacing w:after="120"/>
        <w:jc w:val="both"/>
        <w:rPr>
          <w:rFonts w:ascii="Arial" w:hAnsi="Arial" w:cs="Arial"/>
          <w:bCs/>
          <w:sz w:val="20"/>
          <w:szCs w:val="20"/>
        </w:rPr>
      </w:pPr>
      <w:r w:rsidRPr="0051681A">
        <w:rPr>
          <w:rFonts w:ascii="Arial" w:hAnsi="Arial" w:cs="Arial"/>
          <w:bCs/>
          <w:sz w:val="20"/>
          <w:szCs w:val="20"/>
        </w:rPr>
        <w:t xml:space="preserve">Fórmula paramétrica a utilizar para realizar el ajuste </w:t>
      </w:r>
      <w:r w:rsidR="00815611" w:rsidRPr="0051681A">
        <w:rPr>
          <w:rFonts w:ascii="Arial" w:hAnsi="Arial" w:cs="Arial"/>
          <w:bCs/>
          <w:sz w:val="20"/>
          <w:szCs w:val="20"/>
        </w:rPr>
        <w:t xml:space="preserve">de los </w:t>
      </w:r>
      <w:r w:rsidR="00D907D5">
        <w:rPr>
          <w:rFonts w:ascii="Arial" w:hAnsi="Arial" w:cs="Arial"/>
          <w:bCs/>
          <w:sz w:val="20"/>
          <w:szCs w:val="20"/>
        </w:rPr>
        <w:t>monto</w:t>
      </w:r>
      <w:r w:rsidR="00D4369A">
        <w:rPr>
          <w:rFonts w:ascii="Arial" w:hAnsi="Arial" w:cs="Arial"/>
          <w:bCs/>
          <w:sz w:val="20"/>
          <w:szCs w:val="20"/>
        </w:rPr>
        <w:t>s</w:t>
      </w:r>
      <w:r w:rsidR="00D907D5">
        <w:rPr>
          <w:rFonts w:ascii="Arial" w:hAnsi="Arial" w:cs="Arial"/>
          <w:bCs/>
          <w:sz w:val="20"/>
          <w:szCs w:val="20"/>
        </w:rPr>
        <w:t xml:space="preserve"> base de la Componente C</w:t>
      </w:r>
      <w:r w:rsidR="00815611" w:rsidRPr="0051681A">
        <w:rPr>
          <w:rFonts w:ascii="Arial" w:hAnsi="Arial" w:cs="Arial"/>
          <w:bCs/>
          <w:sz w:val="20"/>
          <w:szCs w:val="20"/>
        </w:rPr>
        <w:t xml:space="preserve"> </w:t>
      </w:r>
      <w:r w:rsidRPr="0051681A">
        <w:rPr>
          <w:rFonts w:ascii="Arial" w:hAnsi="Arial" w:cs="Arial"/>
          <w:bCs/>
          <w:sz w:val="20"/>
          <w:szCs w:val="20"/>
        </w:rPr>
        <w:t>suministrados por la Contratante.</w:t>
      </w:r>
    </w:p>
    <w:p w14:paraId="4B096E7C" w14:textId="77777777" w:rsidR="003C15F9" w:rsidRPr="0051681A" w:rsidRDefault="003C15F9" w:rsidP="003C15F9">
      <w:pPr>
        <w:spacing w:after="120"/>
        <w:jc w:val="both"/>
        <w:rPr>
          <w:rFonts w:ascii="Arial" w:hAnsi="Arial" w:cs="Arial"/>
          <w:sz w:val="20"/>
          <w:szCs w:val="20"/>
        </w:rPr>
      </w:pPr>
      <w:r w:rsidRPr="0051681A">
        <w:rPr>
          <w:rFonts w:ascii="Arial" w:hAnsi="Arial" w:cs="Arial"/>
          <w:bCs/>
          <w:sz w:val="20"/>
          <w:szCs w:val="20"/>
        </w:rPr>
        <w:t>Para el pago de las componentes A y B</w:t>
      </w:r>
      <w:r w:rsidRPr="0051681A">
        <w:rPr>
          <w:rFonts w:ascii="Arial" w:hAnsi="Arial" w:cs="Arial"/>
          <w:sz w:val="20"/>
          <w:szCs w:val="20"/>
        </w:rPr>
        <w:t>, los “precios unitarios base” suministrados por la Contratante (en unidades indexadas) no se actualizarán ya que su pago se realizará en unidades indexadas.</w:t>
      </w:r>
    </w:p>
    <w:p w14:paraId="583B150B" w14:textId="5F2C0B59" w:rsidR="00A3029F" w:rsidRDefault="00225408" w:rsidP="006305F3">
      <w:pPr>
        <w:spacing w:after="120"/>
        <w:jc w:val="both"/>
        <w:rPr>
          <w:rFonts w:ascii="Arial" w:hAnsi="Arial" w:cs="Arial"/>
          <w:sz w:val="20"/>
          <w:szCs w:val="20"/>
        </w:rPr>
      </w:pPr>
      <w:r w:rsidRPr="0051681A">
        <w:rPr>
          <w:rFonts w:ascii="Arial" w:hAnsi="Arial" w:cs="Arial"/>
          <w:sz w:val="20"/>
          <w:szCs w:val="20"/>
        </w:rPr>
        <w:t xml:space="preserve">Para el pago de la componente C, </w:t>
      </w:r>
      <w:r w:rsidR="00D907D5">
        <w:rPr>
          <w:rFonts w:ascii="Arial" w:hAnsi="Arial" w:cs="Arial"/>
          <w:sz w:val="20"/>
          <w:szCs w:val="20"/>
        </w:rPr>
        <w:t xml:space="preserve">el monto base </w:t>
      </w:r>
      <w:r w:rsidR="00A3029F" w:rsidRPr="00397ECA">
        <w:rPr>
          <w:rFonts w:ascii="Arial" w:hAnsi="Arial" w:cs="Arial"/>
          <w:sz w:val="20"/>
          <w:szCs w:val="20"/>
        </w:rPr>
        <w:t>suministrado</w:t>
      </w:r>
      <w:r w:rsidRPr="0051681A">
        <w:rPr>
          <w:rFonts w:ascii="Arial" w:hAnsi="Arial" w:cs="Arial"/>
          <w:sz w:val="20"/>
          <w:szCs w:val="20"/>
        </w:rPr>
        <w:t xml:space="preserve"> por la Contratante </w:t>
      </w:r>
      <w:r w:rsidR="00D907D5">
        <w:rPr>
          <w:rFonts w:ascii="Arial" w:hAnsi="Arial" w:cs="Arial"/>
          <w:sz w:val="20"/>
          <w:szCs w:val="20"/>
        </w:rPr>
        <w:t xml:space="preserve">para el año t, </w:t>
      </w:r>
      <w:r w:rsidRPr="0051681A">
        <w:rPr>
          <w:rFonts w:ascii="Arial" w:hAnsi="Arial" w:cs="Arial"/>
          <w:sz w:val="20"/>
          <w:szCs w:val="20"/>
        </w:rPr>
        <w:t xml:space="preserve">se </w:t>
      </w:r>
      <w:r w:rsidR="00A3029F" w:rsidRPr="00397ECA">
        <w:rPr>
          <w:rFonts w:ascii="Arial" w:hAnsi="Arial" w:cs="Arial"/>
          <w:sz w:val="20"/>
          <w:szCs w:val="20"/>
        </w:rPr>
        <w:t>actualizará</w:t>
      </w:r>
      <w:r w:rsidRPr="0051681A">
        <w:rPr>
          <w:rFonts w:ascii="Arial" w:hAnsi="Arial" w:cs="Arial"/>
          <w:sz w:val="20"/>
          <w:szCs w:val="20"/>
        </w:rPr>
        <w:t xml:space="preserve"> anualmente de acuerdo a la siguiente fórmula paramétrica.</w:t>
      </w:r>
    </w:p>
    <w:p w14:paraId="5ECE26FC" w14:textId="77777777" w:rsidR="001F5AED" w:rsidRDefault="001F5AED" w:rsidP="006305F3">
      <w:pPr>
        <w:spacing w:after="120"/>
        <w:jc w:val="both"/>
        <w:rPr>
          <w:rFonts w:ascii="Arial" w:hAnsi="Arial" w:cs="Arial"/>
          <w:sz w:val="20"/>
          <w:szCs w:val="20"/>
        </w:rPr>
      </w:pPr>
    </w:p>
    <w:p w14:paraId="034A9C72" w14:textId="77777777" w:rsidR="00D907D5" w:rsidRDefault="00931785" w:rsidP="00D907D5">
      <w:pPr>
        <w:spacing w:after="120"/>
        <w:jc w:val="both"/>
        <w:rPr>
          <w:rFonts w:ascii="Arial" w:hAnsi="Arial" w:cs="Arial"/>
          <w:szCs w:val="20"/>
        </w:rPr>
      </w:pPr>
      <m:oMathPara>
        <m:oMathParaPr>
          <m:jc m:val="left"/>
        </m:oMathParaPr>
        <m:oMath>
          <m:sSub>
            <m:sSubPr>
              <m:ctrlPr>
                <w:rPr>
                  <w:rFonts w:ascii="Cambria Math" w:hAnsi="Cambria Math" w:cs="Arial"/>
                  <w:i/>
                </w:rPr>
              </m:ctrlPr>
            </m:sSubPr>
            <m:e>
              <m:r>
                <w:rPr>
                  <w:rFonts w:ascii="Cambria Math" w:hAnsi="Cambria Math" w:cs="Arial"/>
                  <w:szCs w:val="20"/>
                </w:rPr>
                <m:t>Monto base C</m:t>
              </m:r>
            </m:e>
            <m:sub>
              <m:r>
                <w:rPr>
                  <w:rFonts w:ascii="Cambria Math" w:hAnsi="Cambria Math" w:cs="Arial"/>
                  <w:szCs w:val="20"/>
                </w:rPr>
                <m:t>t</m:t>
              </m:r>
            </m:sub>
          </m:sSub>
          <m:r>
            <w:rPr>
              <w:rFonts w:ascii="Cambria Math" w:hAnsi="Cambria Math" w:cs="Arial"/>
              <w:szCs w:val="20"/>
            </w:rPr>
            <m:t xml:space="preserve">= Monto base C suministrado*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1</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2</m:t>
                  </m:r>
                </m:sub>
              </m:sSub>
              <m:r>
                <w:rPr>
                  <w:rFonts w:ascii="Cambria Math" w:hAnsi="Cambria Math" w:cs="Arial"/>
                  <w:szCs w:val="20"/>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ASF</m:t>
                      </m:r>
                    </m:e>
                    <m:sub>
                      <m:r>
                        <w:rPr>
                          <w:rFonts w:ascii="Cambria Math" w:hAnsi="Cambria Math" w:cs="Arial"/>
                          <w:szCs w:val="20"/>
                        </w:rPr>
                        <m:t>t</m:t>
                      </m:r>
                    </m:sub>
                  </m:sSub>
                </m:num>
                <m:den>
                  <m:sSub>
                    <m:sSubPr>
                      <m:ctrlPr>
                        <w:rPr>
                          <w:rFonts w:ascii="Cambria Math" w:hAnsi="Cambria Math" w:cs="Arial"/>
                          <w:i/>
                        </w:rPr>
                      </m:ctrlPr>
                    </m:sSubPr>
                    <m:e>
                      <m:r>
                        <w:rPr>
                          <w:rFonts w:ascii="Cambria Math" w:hAnsi="Cambria Math" w:cs="Arial"/>
                          <w:szCs w:val="20"/>
                        </w:rPr>
                        <m:t>ASF</m:t>
                      </m:r>
                    </m:e>
                    <m:sub>
                      <m:r>
                        <w:rPr>
                          <w:rFonts w:ascii="Cambria Math" w:hAnsi="Cambria Math" w:cs="Arial"/>
                          <w:szCs w:val="20"/>
                        </w:rPr>
                        <m:t>0</m:t>
                      </m:r>
                    </m:sub>
                  </m:sSub>
                </m:den>
              </m:f>
              <m:r>
                <w:rPr>
                  <w:rFonts w:ascii="Cambria Math" w:hAnsi="Cambria Math" w:cs="Arial"/>
                  <w:szCs w:val="20"/>
                </w:rPr>
                <m:t xml:space="preserve"> +</m:t>
              </m:r>
              <m:sSub>
                <m:sSubPr>
                  <m:ctrlPr>
                    <w:rPr>
                      <w:rFonts w:ascii="Cambria Math" w:hAnsi="Cambria Math" w:cs="Arial"/>
                      <w:i/>
                    </w:rPr>
                  </m:ctrlPr>
                </m:sSubPr>
                <m:e>
                  <m:r>
                    <w:rPr>
                      <w:rFonts w:ascii="Cambria Math" w:hAnsi="Cambria Math" w:cs="Arial"/>
                      <w:szCs w:val="20"/>
                    </w:rPr>
                    <m:t>q</m:t>
                  </m:r>
                </m:e>
                <m:sub>
                  <m:r>
                    <w:rPr>
                      <w:rFonts w:ascii="Cambria Math" w:hAnsi="Cambria Math" w:cs="Arial"/>
                      <w:szCs w:val="20"/>
                    </w:rPr>
                    <m:t>3</m:t>
                  </m:r>
                </m:sub>
              </m:sSub>
              <m:r>
                <w:rPr>
                  <w:rFonts w:ascii="Cambria Math" w:hAnsi="Cambria Math" w:cs="Arial"/>
                  <w:szCs w:val="20"/>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GasOil</m:t>
                      </m:r>
                    </m:e>
                    <m:sub>
                      <m:r>
                        <w:rPr>
                          <w:rFonts w:ascii="Cambria Math" w:hAnsi="Cambria Math" w:cs="Arial"/>
                          <w:szCs w:val="20"/>
                        </w:rPr>
                        <m:t>t</m:t>
                      </m:r>
                    </m:sub>
                  </m:sSub>
                </m:num>
                <m:den>
                  <m:sSub>
                    <m:sSubPr>
                      <m:ctrlPr>
                        <w:rPr>
                          <w:rFonts w:ascii="Cambria Math" w:hAnsi="Cambria Math" w:cs="Arial"/>
                          <w:i/>
                        </w:rPr>
                      </m:ctrlPr>
                    </m:sSubPr>
                    <m:e>
                      <m:r>
                        <w:rPr>
                          <w:rFonts w:ascii="Cambria Math" w:hAnsi="Cambria Math" w:cs="Arial"/>
                          <w:szCs w:val="20"/>
                        </w:rPr>
                        <m:t>GasOil</m:t>
                      </m:r>
                    </m:e>
                    <m:sub>
                      <m:r>
                        <w:rPr>
                          <w:rFonts w:ascii="Cambria Math" w:hAnsi="Cambria Math" w:cs="Arial"/>
                          <w:szCs w:val="20"/>
                        </w:rPr>
                        <m:t>0</m:t>
                      </m:r>
                    </m:sub>
                  </m:sSub>
                </m:den>
              </m:f>
              <m:r>
                <w:rPr>
                  <w:rFonts w:ascii="Cambria Math" w:hAnsi="Cambria Math" w:cs="Arial"/>
                  <w:szCs w:val="20"/>
                </w:rPr>
                <m:t xml:space="preserve"> </m:t>
              </m:r>
            </m:e>
          </m:d>
        </m:oMath>
      </m:oMathPara>
    </w:p>
    <w:p w14:paraId="26E1BB66" w14:textId="5F05F35C" w:rsidR="00224FD0" w:rsidRDefault="00224FD0" w:rsidP="006305F3">
      <w:pPr>
        <w:spacing w:after="120"/>
        <w:jc w:val="center"/>
        <w:rPr>
          <w:rFonts w:ascii="Arial" w:hAnsi="Arial" w:cs="Arial"/>
          <w:sz w:val="20"/>
          <w:szCs w:val="20"/>
        </w:rPr>
      </w:pPr>
    </w:p>
    <w:p w14:paraId="3CDEF81E" w14:textId="77777777" w:rsidR="00224FD0" w:rsidRDefault="00224FD0" w:rsidP="00127A79">
      <w:pPr>
        <w:spacing w:after="120"/>
        <w:rPr>
          <w:rFonts w:ascii="Arial" w:hAnsi="Arial" w:cs="Arial"/>
          <w:noProof/>
          <w:sz w:val="20"/>
          <w:szCs w:val="20"/>
          <w:lang w:eastAsia="es-ES"/>
        </w:rPr>
      </w:pPr>
      <w:r>
        <w:rPr>
          <w:rFonts w:ascii="Arial" w:hAnsi="Arial" w:cs="Arial"/>
          <w:sz w:val="20"/>
          <w:szCs w:val="20"/>
        </w:rPr>
        <w:t>Siendo:</w:t>
      </w:r>
    </w:p>
    <w:p w14:paraId="50E17C5A" w14:textId="77777777" w:rsidR="00224FD0" w:rsidRPr="00260014" w:rsidRDefault="00224FD0" w:rsidP="00224FD0">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t>ASF</w:t>
      </w:r>
      <w:r>
        <w:rPr>
          <w:sz w:val="20"/>
          <w:szCs w:val="20"/>
          <w:lang w:val="es-ES_tradnl"/>
        </w:rPr>
        <w:t>₀</w:t>
      </w:r>
      <w:r w:rsidRPr="00260014">
        <w:rPr>
          <w:rFonts w:ascii="Arial" w:hAnsi="Arial" w:cs="Arial"/>
          <w:sz w:val="20"/>
          <w:szCs w:val="20"/>
          <w:lang w:val="es-ES_tradnl"/>
        </w:rPr>
        <w:t>=</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con una anticipación mínima de 10 días respecto a la fecha de licitación.</w:t>
      </w:r>
    </w:p>
    <w:p w14:paraId="756C6049" w14:textId="1FE5AE4E" w:rsidR="00224FD0" w:rsidRPr="00260014" w:rsidRDefault="00224FD0" w:rsidP="00224FD0">
      <w:pPr>
        <w:tabs>
          <w:tab w:val="left" w:pos="-1440"/>
          <w:tab w:val="left" w:pos="1560"/>
        </w:tabs>
        <w:spacing w:after="120"/>
        <w:ind w:left="851" w:hanging="709"/>
        <w:jc w:val="both"/>
        <w:rPr>
          <w:rFonts w:ascii="Arial" w:hAnsi="Arial" w:cs="Arial"/>
          <w:sz w:val="20"/>
          <w:szCs w:val="20"/>
          <w:lang w:val="es-ES_tradnl"/>
        </w:rPr>
      </w:pPr>
      <w:r>
        <w:rPr>
          <w:rFonts w:ascii="Arial" w:hAnsi="Arial" w:cs="Arial"/>
          <w:sz w:val="20"/>
          <w:szCs w:val="20"/>
          <w:lang w:val="es-ES_tradnl"/>
        </w:rPr>
        <w:lastRenderedPageBreak/>
        <w:t>ASF</w:t>
      </w:r>
      <w:r w:rsidR="00126326">
        <w:rPr>
          <w:rFonts w:ascii="Arial" w:hAnsi="Arial" w:cs="Arial"/>
          <w:sz w:val="20"/>
          <w:szCs w:val="20"/>
          <w:vertAlign w:val="subscript"/>
          <w:lang w:val="es-ES_tradnl"/>
        </w:rPr>
        <w:t>t</w:t>
      </w:r>
      <w:r>
        <w:rPr>
          <w:rFonts w:ascii="Arial" w:hAnsi="Arial" w:cs="Arial"/>
          <w:sz w:val="20"/>
          <w:szCs w:val="20"/>
          <w:lang w:val="es-ES_tradnl"/>
        </w:rPr>
        <w:t xml:space="preserve"> </w:t>
      </w:r>
      <w:r w:rsidRPr="00260014">
        <w:rPr>
          <w:rFonts w:ascii="Arial" w:hAnsi="Arial" w:cs="Arial"/>
          <w:sz w:val="20"/>
          <w:szCs w:val="20"/>
          <w:lang w:val="es-ES_tradnl"/>
        </w:rPr>
        <w:t>=</w:t>
      </w:r>
      <w:r w:rsidRPr="00260014">
        <w:rPr>
          <w:rFonts w:ascii="Arial" w:hAnsi="Arial" w:cs="Arial"/>
          <w:sz w:val="20"/>
          <w:szCs w:val="20"/>
          <w:lang w:val="es-ES_tradnl"/>
        </w:rPr>
        <w:tab/>
        <w:t>precio unitario del</w:t>
      </w:r>
      <w:r>
        <w:rPr>
          <w:rFonts w:ascii="Arial" w:hAnsi="Arial" w:cs="Arial"/>
          <w:sz w:val="20"/>
          <w:szCs w:val="20"/>
          <w:lang w:val="es-ES_tradnl"/>
        </w:rPr>
        <w:t xml:space="preserve"> cemento asfáltico en Unidades Indexadas por tonelada calculada a partir de la</w:t>
      </w:r>
      <w:r w:rsidRPr="00260014">
        <w:rPr>
          <w:rFonts w:ascii="Arial" w:hAnsi="Arial" w:cs="Arial"/>
          <w:sz w:val="20"/>
          <w:szCs w:val="20"/>
          <w:lang w:val="es-ES_tradnl"/>
        </w:rPr>
        <w:t xml:space="preserve"> lista publicada por la DNV correspondiente al mes anterior a</w:t>
      </w:r>
      <w:r>
        <w:rPr>
          <w:rFonts w:ascii="Arial" w:hAnsi="Arial" w:cs="Arial"/>
          <w:sz w:val="20"/>
          <w:szCs w:val="20"/>
          <w:lang w:val="es-ES_tradnl"/>
        </w:rPr>
        <w:t xml:space="preserve"> </w:t>
      </w:r>
      <w:r w:rsidRPr="00260014">
        <w:rPr>
          <w:rFonts w:ascii="Arial" w:hAnsi="Arial" w:cs="Arial"/>
          <w:sz w:val="20"/>
          <w:szCs w:val="20"/>
          <w:lang w:val="es-ES_tradnl"/>
        </w:rPr>
        <w:t>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r>
        <w:rPr>
          <w:rFonts w:ascii="Arial" w:hAnsi="Arial" w:cs="Arial"/>
          <w:sz w:val="20"/>
          <w:szCs w:val="20"/>
          <w:lang w:val="es-ES_tradnl"/>
        </w:rPr>
        <w:t xml:space="preserve"> </w:t>
      </w:r>
    </w:p>
    <w:p w14:paraId="59B6B752" w14:textId="55CADB3C" w:rsidR="00224FD0" w:rsidRDefault="00224FD0" w:rsidP="00224FD0">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Oíl</w:t>
      </w:r>
      <w:r>
        <w:rPr>
          <w:sz w:val="20"/>
          <w:szCs w:val="20"/>
          <w:lang w:val="es-ES_tradnl"/>
        </w:rPr>
        <w:t>₀</w:t>
      </w:r>
      <w:r w:rsidRPr="00260014">
        <w:rPr>
          <w:rFonts w:ascii="Arial" w:hAnsi="Arial" w:cs="Arial"/>
          <w:sz w:val="20"/>
          <w:szCs w:val="20"/>
          <w:lang w:val="es-ES_tradnl"/>
        </w:rPr>
        <w:t>=precio unitario del</w:t>
      </w:r>
      <w:r>
        <w:rPr>
          <w:rFonts w:ascii="Arial" w:hAnsi="Arial" w:cs="Arial"/>
          <w:sz w:val="20"/>
          <w:szCs w:val="20"/>
          <w:lang w:val="es-ES_tradnl"/>
        </w:rPr>
        <w:t xml:space="preserve"> Gas </w:t>
      </w:r>
      <w:r w:rsidRPr="00DB0E11">
        <w:rPr>
          <w:rFonts w:ascii="Arial" w:hAnsi="Arial" w:cs="Arial"/>
          <w:sz w:val="20"/>
          <w:szCs w:val="20"/>
        </w:rPr>
        <w:t>Oíl</w:t>
      </w:r>
      <w:r>
        <w:rPr>
          <w:rFonts w:ascii="Arial" w:hAnsi="Arial" w:cs="Arial"/>
          <w:sz w:val="20"/>
          <w:szCs w:val="20"/>
          <w:lang w:val="es-ES_tradnl"/>
        </w:rPr>
        <w:t xml:space="preserve"> en Unidades Indexadas por litro calculado a partir de la</w:t>
      </w:r>
      <w:r w:rsidRPr="00260014">
        <w:rPr>
          <w:rFonts w:ascii="Arial" w:hAnsi="Arial" w:cs="Arial"/>
          <w:sz w:val="20"/>
          <w:szCs w:val="20"/>
          <w:lang w:val="es-ES_tradnl"/>
        </w:rPr>
        <w:t xml:space="preserve"> lista publicada por la DNV con una anticipación mínima de10 días respecto a la fecha de licitación.</w:t>
      </w:r>
      <w:r>
        <w:rPr>
          <w:rFonts w:ascii="Arial" w:hAnsi="Arial" w:cs="Arial"/>
          <w:sz w:val="20"/>
          <w:szCs w:val="20"/>
          <w:lang w:val="es-ES_tradnl"/>
        </w:rPr>
        <w:t xml:space="preserve"> </w:t>
      </w:r>
    </w:p>
    <w:p w14:paraId="51A3A6B8" w14:textId="77777777" w:rsidR="00224FD0" w:rsidRPr="00260014" w:rsidRDefault="00224FD0" w:rsidP="00224FD0">
      <w:pPr>
        <w:tabs>
          <w:tab w:val="left" w:pos="-1440"/>
          <w:tab w:val="left" w:pos="1560"/>
        </w:tabs>
        <w:spacing w:after="0"/>
        <w:ind w:left="851" w:hanging="709"/>
        <w:jc w:val="both"/>
        <w:rPr>
          <w:rFonts w:ascii="Arial" w:hAnsi="Arial" w:cs="Arial"/>
          <w:sz w:val="20"/>
          <w:szCs w:val="20"/>
          <w:lang w:val="es-ES_tradnl"/>
        </w:rPr>
      </w:pPr>
    </w:p>
    <w:p w14:paraId="0E3FCA32" w14:textId="7F7B1E7F" w:rsidR="00224FD0" w:rsidRDefault="00224FD0" w:rsidP="00224FD0">
      <w:pPr>
        <w:tabs>
          <w:tab w:val="left" w:pos="-1440"/>
          <w:tab w:val="left" w:pos="1560"/>
        </w:tabs>
        <w:spacing w:after="0"/>
        <w:ind w:left="851" w:hanging="709"/>
        <w:jc w:val="both"/>
        <w:rPr>
          <w:rFonts w:ascii="Arial" w:hAnsi="Arial" w:cs="Arial"/>
          <w:sz w:val="20"/>
          <w:szCs w:val="20"/>
          <w:lang w:val="es-ES_tradnl"/>
        </w:rPr>
      </w:pPr>
      <w:r>
        <w:rPr>
          <w:rFonts w:ascii="Arial" w:hAnsi="Arial" w:cs="Arial"/>
          <w:sz w:val="20"/>
          <w:szCs w:val="20"/>
          <w:lang w:val="es-ES_tradnl"/>
        </w:rPr>
        <w:t>Gas Oíl</w:t>
      </w:r>
      <w:r w:rsidR="00126326">
        <w:rPr>
          <w:rFonts w:ascii="Arial" w:hAnsi="Arial" w:cs="Arial"/>
          <w:sz w:val="20"/>
          <w:szCs w:val="20"/>
          <w:vertAlign w:val="subscript"/>
          <w:lang w:val="es-ES_tradnl"/>
        </w:rPr>
        <w:t>t</w:t>
      </w:r>
      <w:r w:rsidRPr="00260014">
        <w:rPr>
          <w:rFonts w:ascii="Arial" w:hAnsi="Arial" w:cs="Arial"/>
          <w:sz w:val="20"/>
          <w:szCs w:val="20"/>
          <w:lang w:val="es-ES_tradnl"/>
        </w:rPr>
        <w:t xml:space="preserve"> =precio unitario del</w:t>
      </w:r>
      <w:r>
        <w:rPr>
          <w:rFonts w:ascii="Arial" w:hAnsi="Arial" w:cs="Arial"/>
          <w:sz w:val="20"/>
          <w:szCs w:val="20"/>
          <w:lang w:val="es-ES_tradnl"/>
        </w:rPr>
        <w:t xml:space="preserve"> Gas Oíl en Unidades Indexadas por tonelada calculada a partir de la</w:t>
      </w:r>
      <w:r w:rsidRPr="00260014">
        <w:rPr>
          <w:rFonts w:ascii="Arial" w:hAnsi="Arial" w:cs="Arial"/>
          <w:sz w:val="20"/>
          <w:szCs w:val="20"/>
          <w:lang w:val="es-ES_tradnl"/>
        </w:rPr>
        <w:t xml:space="preserve"> lista publicada por la DNV correspondiente al mes anterior a</w:t>
      </w:r>
      <w:r>
        <w:rPr>
          <w:rFonts w:ascii="Arial" w:hAnsi="Arial" w:cs="Arial"/>
          <w:sz w:val="20"/>
          <w:szCs w:val="20"/>
          <w:lang w:val="es-ES_tradnl"/>
        </w:rPr>
        <w:t xml:space="preserve"> </w:t>
      </w:r>
      <w:r w:rsidRPr="00260014">
        <w:rPr>
          <w:rFonts w:ascii="Arial" w:hAnsi="Arial" w:cs="Arial"/>
          <w:sz w:val="20"/>
          <w:szCs w:val="20"/>
          <w:lang w:val="es-ES_tradnl"/>
        </w:rPr>
        <w:t>l</w:t>
      </w:r>
      <w:r>
        <w:rPr>
          <w:rFonts w:ascii="Arial" w:hAnsi="Arial" w:cs="Arial"/>
          <w:sz w:val="20"/>
          <w:szCs w:val="20"/>
          <w:lang w:val="es-ES_tradnl"/>
        </w:rPr>
        <w:t xml:space="preserve">a </w:t>
      </w:r>
      <w:r w:rsidRPr="00735F13">
        <w:rPr>
          <w:rFonts w:ascii="Arial" w:hAnsi="Arial" w:cs="Arial"/>
          <w:sz w:val="20"/>
          <w:szCs w:val="20"/>
          <w:lang w:val="es-ES_tradnl"/>
        </w:rPr>
        <w:t xml:space="preserve">fecha de </w:t>
      </w:r>
      <w:r>
        <w:rPr>
          <w:rFonts w:ascii="Arial" w:hAnsi="Arial" w:cs="Arial"/>
          <w:sz w:val="20"/>
          <w:szCs w:val="20"/>
          <w:lang w:val="es-ES_tradnl"/>
        </w:rPr>
        <w:t>certificación</w:t>
      </w:r>
      <w:r w:rsidRPr="00735F13">
        <w:rPr>
          <w:rFonts w:ascii="Arial" w:hAnsi="Arial" w:cs="Arial"/>
          <w:sz w:val="20"/>
          <w:szCs w:val="20"/>
          <w:lang w:val="es-ES_tradnl"/>
        </w:rPr>
        <w:t xml:space="preserve"> previsto para </w:t>
      </w:r>
      <w:r>
        <w:rPr>
          <w:rFonts w:ascii="Arial" w:hAnsi="Arial" w:cs="Arial"/>
          <w:sz w:val="20"/>
          <w:szCs w:val="20"/>
          <w:lang w:val="es-ES_tradnl"/>
        </w:rPr>
        <w:t xml:space="preserve">cada </w:t>
      </w:r>
      <w:r w:rsidRPr="00735F13">
        <w:rPr>
          <w:rFonts w:ascii="Arial" w:hAnsi="Arial" w:cs="Arial"/>
          <w:sz w:val="20"/>
          <w:szCs w:val="20"/>
          <w:lang w:val="es-ES_tradnl"/>
        </w:rPr>
        <w:t>período considerado.</w:t>
      </w:r>
    </w:p>
    <w:p w14:paraId="403CA27A" w14:textId="77777777" w:rsidR="00224FD0" w:rsidRPr="00260014" w:rsidRDefault="00224FD0" w:rsidP="00224FD0">
      <w:pPr>
        <w:tabs>
          <w:tab w:val="left" w:pos="-1440"/>
          <w:tab w:val="left" w:pos="1560"/>
        </w:tabs>
        <w:spacing w:after="0"/>
        <w:ind w:left="851" w:hanging="709"/>
        <w:jc w:val="both"/>
        <w:rPr>
          <w:rFonts w:ascii="Arial" w:hAnsi="Arial" w:cs="Arial"/>
          <w:sz w:val="20"/>
          <w:szCs w:val="20"/>
          <w:lang w:val="es-ES_tradnl"/>
        </w:rPr>
      </w:pPr>
    </w:p>
    <w:p w14:paraId="7131F2A4" w14:textId="77777777" w:rsidR="00A3029F" w:rsidRPr="00127A79" w:rsidRDefault="00A3029F" w:rsidP="006305F3">
      <w:pPr>
        <w:spacing w:after="120"/>
        <w:jc w:val="center"/>
        <w:rPr>
          <w:rFonts w:ascii="Arial" w:hAnsi="Arial" w:cs="Arial"/>
          <w:sz w:val="20"/>
          <w:szCs w:val="20"/>
          <w:lang w:val="es-ES_tradnl"/>
        </w:rPr>
      </w:pPr>
    </w:p>
    <w:p w14:paraId="243672FE" w14:textId="77777777" w:rsidR="00224FD0" w:rsidRDefault="00A3029F" w:rsidP="00224FD0">
      <w:pPr>
        <w:spacing w:before="240" w:after="120"/>
        <w:jc w:val="both"/>
        <w:rPr>
          <w:rFonts w:ascii="Arial" w:hAnsi="Arial" w:cs="Arial"/>
          <w:sz w:val="20"/>
          <w:szCs w:val="20"/>
        </w:rPr>
      </w:pPr>
      <w:r w:rsidRPr="00287FC2">
        <w:rPr>
          <w:rFonts w:ascii="Arial" w:hAnsi="Arial" w:cs="Arial"/>
          <w:sz w:val="20"/>
          <w:szCs w:val="20"/>
        </w:rPr>
        <w:t>Cada oferente elegirá los coeficientes q(</w:t>
      </w:r>
      <w:r>
        <w:rPr>
          <w:rFonts w:ascii="Arial" w:hAnsi="Arial" w:cs="Arial"/>
          <w:sz w:val="20"/>
          <w:szCs w:val="20"/>
        </w:rPr>
        <w:t>i</w:t>
      </w:r>
      <w:r w:rsidRPr="00287FC2">
        <w:rPr>
          <w:rFonts w:ascii="Arial" w:hAnsi="Arial" w:cs="Arial"/>
          <w:sz w:val="20"/>
          <w:szCs w:val="20"/>
        </w:rPr>
        <w:t xml:space="preserve">) </w:t>
      </w:r>
      <w:r w:rsidR="00224FD0">
        <w:rPr>
          <w:rFonts w:ascii="Arial" w:hAnsi="Arial" w:cs="Arial"/>
          <w:sz w:val="20"/>
          <w:szCs w:val="20"/>
        </w:rPr>
        <w:t>cumpliendo las tres condiciones siguientes:</w:t>
      </w:r>
    </w:p>
    <w:p w14:paraId="57E64606" w14:textId="32744820" w:rsidR="00A3029F" w:rsidRPr="00287FC2" w:rsidRDefault="00224FD0" w:rsidP="00224FD0">
      <w:pPr>
        <w:spacing w:after="120"/>
        <w:jc w:val="both"/>
        <w:rPr>
          <w:rFonts w:ascii="Arial" w:hAnsi="Arial" w:cs="Arial"/>
          <w:sz w:val="20"/>
          <w:szCs w:val="20"/>
        </w:rPr>
      </w:pPr>
      <w:r w:rsidRPr="00D821CB">
        <w:rPr>
          <w:rFonts w:ascii="Arial" w:hAnsi="Arial" w:cs="Arial"/>
          <w:position w:val="-28"/>
          <w:sz w:val="20"/>
          <w:szCs w:val="20"/>
        </w:rPr>
        <w:object w:dxaOrig="4300" w:dyaOrig="680" w14:anchorId="759B1A50">
          <v:shape id="_x0000_i1032" type="#_x0000_t75" style="width:212.25pt;height:36pt" o:ole="">
            <v:imagedata r:id="rId170" o:title=""/>
          </v:shape>
          <o:OLEObject Type="Embed" ProgID="Equation.3" ShapeID="_x0000_i1032" DrawAspect="Content" ObjectID="_1571644622" r:id="rId171"/>
        </w:object>
      </w:r>
      <w:r w:rsidR="00AE1791">
        <w:rPr>
          <w:rFonts w:ascii="Arial" w:hAnsi="Arial" w:cs="Arial"/>
          <w:sz w:val="20"/>
          <w:szCs w:val="20"/>
        </w:rPr>
        <w:t xml:space="preserve">y los expondrá </w:t>
      </w:r>
      <w:r w:rsidR="00A3029F" w:rsidRPr="00287FC2">
        <w:rPr>
          <w:rFonts w:ascii="Arial" w:hAnsi="Arial" w:cs="Arial"/>
          <w:sz w:val="20"/>
          <w:szCs w:val="20"/>
        </w:rPr>
        <w:t>en su oferta (</w:t>
      </w:r>
      <w:hyperlink w:anchor="A_2" w:history="1">
        <w:r w:rsidR="00A3029F" w:rsidRPr="003218BC">
          <w:rPr>
            <w:rStyle w:val="Hipervnculo"/>
            <w:rFonts w:ascii="Arial" w:hAnsi="Arial" w:cs="Arial"/>
            <w:sz w:val="20"/>
            <w:szCs w:val="20"/>
          </w:rPr>
          <w:t>Anexo II</w:t>
        </w:r>
      </w:hyperlink>
      <w:r w:rsidR="00A3029F" w:rsidRPr="00287FC2">
        <w:rPr>
          <w:rFonts w:ascii="Arial" w:hAnsi="Arial" w:cs="Arial"/>
          <w:sz w:val="20"/>
          <w:szCs w:val="20"/>
        </w:rPr>
        <w:t>),</w:t>
      </w:r>
      <w:r w:rsidR="00B14DCC">
        <w:rPr>
          <w:rFonts w:ascii="Arial" w:hAnsi="Arial" w:cs="Arial"/>
          <w:sz w:val="20"/>
          <w:szCs w:val="20"/>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6134"/>
        <w:gridCol w:w="2360"/>
      </w:tblGrid>
      <w:tr w:rsidR="00A3029F" w:rsidRPr="001469B2" w14:paraId="433FA20C" w14:textId="77777777">
        <w:trPr>
          <w:trHeight w:val="284"/>
          <w:jc w:val="center"/>
        </w:trPr>
        <w:tc>
          <w:tcPr>
            <w:tcW w:w="3611" w:type="pct"/>
            <w:shd w:val="clear" w:color="auto" w:fill="595959"/>
            <w:vAlign w:val="center"/>
          </w:tcPr>
          <w:p w14:paraId="38194685" w14:textId="77777777" w:rsidR="00A3029F" w:rsidRPr="001469B2" w:rsidRDefault="00A3029F" w:rsidP="00DF4880">
            <w:pPr>
              <w:spacing w:after="0" w:line="240" w:lineRule="auto"/>
              <w:jc w:val="center"/>
              <w:rPr>
                <w:rFonts w:ascii="Arial" w:hAnsi="Arial" w:cs="Arial"/>
                <w:color w:val="FFFFFF"/>
                <w:sz w:val="16"/>
                <w:szCs w:val="16"/>
              </w:rPr>
            </w:pPr>
            <w:r w:rsidRPr="001469B2">
              <w:rPr>
                <w:rFonts w:ascii="Arial" w:hAnsi="Arial" w:cs="Arial"/>
                <w:color w:val="FFFFFF"/>
                <w:sz w:val="16"/>
                <w:szCs w:val="16"/>
              </w:rPr>
              <w:t>Variable (Qn)</w:t>
            </w:r>
          </w:p>
        </w:tc>
        <w:tc>
          <w:tcPr>
            <w:tcW w:w="1389" w:type="pct"/>
            <w:shd w:val="clear" w:color="auto" w:fill="595959"/>
            <w:vAlign w:val="center"/>
          </w:tcPr>
          <w:p w14:paraId="3CB33D33" w14:textId="77777777" w:rsidR="00A3029F" w:rsidRPr="001469B2" w:rsidRDefault="00A3029F" w:rsidP="00DF4880">
            <w:pPr>
              <w:tabs>
                <w:tab w:val="left" w:pos="195"/>
              </w:tabs>
              <w:spacing w:after="0" w:line="240" w:lineRule="auto"/>
              <w:jc w:val="center"/>
              <w:rPr>
                <w:rFonts w:ascii="Arial" w:hAnsi="Arial" w:cs="Arial"/>
                <w:color w:val="FFFFFF"/>
                <w:sz w:val="16"/>
                <w:szCs w:val="16"/>
              </w:rPr>
            </w:pPr>
            <w:r w:rsidRPr="001469B2">
              <w:rPr>
                <w:rFonts w:ascii="Arial" w:hAnsi="Arial" w:cs="Arial"/>
                <w:color w:val="FFFFFF"/>
                <w:sz w:val="16"/>
                <w:szCs w:val="16"/>
              </w:rPr>
              <w:t>Coeficiente q(n)</w:t>
            </w:r>
          </w:p>
        </w:tc>
      </w:tr>
      <w:tr w:rsidR="00A3029F" w:rsidRPr="001469B2" w14:paraId="517CB230" w14:textId="77777777">
        <w:trPr>
          <w:trHeight w:val="284"/>
          <w:jc w:val="center"/>
        </w:trPr>
        <w:tc>
          <w:tcPr>
            <w:tcW w:w="3611" w:type="pct"/>
            <w:vAlign w:val="center"/>
          </w:tcPr>
          <w:p w14:paraId="7B387C00" w14:textId="77777777"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t>Cemento asfáltico</w:t>
            </w:r>
          </w:p>
        </w:tc>
        <w:tc>
          <w:tcPr>
            <w:tcW w:w="1389" w:type="pct"/>
            <w:vAlign w:val="center"/>
          </w:tcPr>
          <w:p w14:paraId="40F9FD71" w14:textId="77777777" w:rsidR="00A3029F" w:rsidRPr="002528BA" w:rsidRDefault="00A3029F" w:rsidP="00DF4880">
            <w:pPr>
              <w:spacing w:after="0" w:line="240" w:lineRule="auto"/>
              <w:jc w:val="center"/>
              <w:rPr>
                <w:rFonts w:ascii="Arial" w:hAnsi="Arial" w:cs="Arial"/>
              </w:rPr>
            </w:pPr>
            <w:r w:rsidRPr="002528BA">
              <w:rPr>
                <w:rFonts w:ascii="Arial" w:hAnsi="Arial" w:cs="Arial"/>
              </w:rPr>
              <w:t>q</w:t>
            </w:r>
            <w:r w:rsidRPr="002528BA">
              <w:t>₂</w:t>
            </w:r>
          </w:p>
        </w:tc>
      </w:tr>
      <w:tr w:rsidR="00A3029F" w:rsidRPr="001469B2" w14:paraId="34B415DE" w14:textId="77777777">
        <w:trPr>
          <w:trHeight w:val="284"/>
          <w:jc w:val="center"/>
        </w:trPr>
        <w:tc>
          <w:tcPr>
            <w:tcW w:w="3611" w:type="pct"/>
            <w:vAlign w:val="center"/>
          </w:tcPr>
          <w:p w14:paraId="37CCC8FC" w14:textId="77777777" w:rsidR="00A3029F" w:rsidRPr="001469B2" w:rsidRDefault="00A3029F" w:rsidP="00DF4880">
            <w:pPr>
              <w:spacing w:after="0" w:line="240" w:lineRule="auto"/>
              <w:rPr>
                <w:rFonts w:ascii="Arial" w:hAnsi="Arial" w:cs="Arial"/>
                <w:sz w:val="16"/>
                <w:szCs w:val="16"/>
              </w:rPr>
            </w:pPr>
            <w:r w:rsidRPr="001469B2">
              <w:rPr>
                <w:rFonts w:ascii="Arial" w:hAnsi="Arial" w:cs="Arial"/>
                <w:sz w:val="16"/>
                <w:szCs w:val="16"/>
              </w:rPr>
              <w:lastRenderedPageBreak/>
              <w:t>Gas Oil</w:t>
            </w:r>
          </w:p>
        </w:tc>
        <w:tc>
          <w:tcPr>
            <w:tcW w:w="1389" w:type="pct"/>
            <w:vAlign w:val="center"/>
          </w:tcPr>
          <w:p w14:paraId="46473474" w14:textId="77777777" w:rsidR="00A3029F" w:rsidRPr="002528BA" w:rsidRDefault="00A3029F" w:rsidP="00DF4880">
            <w:pPr>
              <w:spacing w:after="0" w:line="240" w:lineRule="auto"/>
              <w:jc w:val="center"/>
              <w:rPr>
                <w:rFonts w:ascii="Arial" w:hAnsi="Arial" w:cs="Arial"/>
                <w:noProof/>
                <w:sz w:val="24"/>
                <w:szCs w:val="24"/>
                <w:lang w:eastAsia="es-ES"/>
              </w:rPr>
            </w:pPr>
            <w:r w:rsidRPr="002528BA">
              <w:rPr>
                <w:rFonts w:ascii="Arial" w:hAnsi="Arial" w:cs="Arial"/>
                <w:noProof/>
                <w:sz w:val="24"/>
                <w:szCs w:val="24"/>
                <w:lang w:eastAsia="es-ES"/>
              </w:rPr>
              <w:t>q</w:t>
            </w:r>
            <w:r w:rsidRPr="002528BA">
              <w:rPr>
                <w:noProof/>
                <w:sz w:val="24"/>
                <w:szCs w:val="24"/>
                <w:lang w:eastAsia="es-ES"/>
              </w:rPr>
              <w:t>₃</w:t>
            </w:r>
          </w:p>
        </w:tc>
      </w:tr>
    </w:tbl>
    <w:p w14:paraId="7BB7A350" w14:textId="77777777" w:rsidR="00976F0D" w:rsidRDefault="00976F0D" w:rsidP="006305F3">
      <w:pPr>
        <w:spacing w:after="120"/>
        <w:rPr>
          <w:rFonts w:ascii="Arial" w:hAnsi="Arial" w:cs="Arial"/>
          <w:sz w:val="20"/>
          <w:szCs w:val="20"/>
        </w:rPr>
      </w:pPr>
    </w:p>
    <w:p w14:paraId="7950A847" w14:textId="213180E6" w:rsidR="00A3029F" w:rsidRDefault="00A3029F" w:rsidP="006305F3">
      <w:pPr>
        <w:spacing w:after="120"/>
        <w:rPr>
          <w:rFonts w:ascii="Arial" w:hAnsi="Arial" w:cs="Arial"/>
          <w:sz w:val="20"/>
          <w:szCs w:val="20"/>
        </w:rPr>
      </w:pPr>
      <w:r w:rsidRPr="00365D00">
        <w:rPr>
          <w:rFonts w:ascii="Arial" w:hAnsi="Arial" w:cs="Arial"/>
          <w:sz w:val="20"/>
          <w:szCs w:val="20"/>
        </w:rPr>
        <w:t>Se considerará que el valor del índice tiene en cuenta todas las variaciones del precio debido a fluctuaciones en los precios de los componentes.</w:t>
      </w:r>
    </w:p>
    <w:p w14:paraId="2654948B" w14:textId="77777777" w:rsidR="00A3029F" w:rsidRDefault="00A3029F" w:rsidP="000F5C7C">
      <w:pPr>
        <w:pStyle w:val="T0"/>
        <w:outlineLvl w:val="0"/>
      </w:pPr>
      <w:bookmarkStart w:id="1630" w:name="_Toc400622351"/>
      <w:bookmarkStart w:id="1631" w:name="_Toc400629196"/>
      <w:bookmarkStart w:id="1632" w:name="_Toc400634179"/>
      <w:bookmarkStart w:id="1633" w:name="_Toc400635313"/>
      <w:bookmarkStart w:id="1634" w:name="_Toc468288097"/>
      <w:bookmarkStart w:id="1635" w:name="_Toc496266690"/>
      <w:bookmarkStart w:id="1636" w:name="A_11"/>
      <w:r w:rsidRPr="00E2664E">
        <w:t xml:space="preserve">ANEXO </w:t>
      </w:r>
      <w:r>
        <w:t>XI:</w:t>
      </w:r>
      <w:r w:rsidRPr="00E2664E">
        <w:t xml:space="preserve"> </w:t>
      </w:r>
      <w:bookmarkEnd w:id="1627"/>
      <w:bookmarkEnd w:id="1628"/>
      <w:bookmarkEnd w:id="1630"/>
      <w:bookmarkEnd w:id="1631"/>
      <w:bookmarkEnd w:id="1632"/>
      <w:bookmarkEnd w:id="1633"/>
      <w:r w:rsidR="005F7DAA">
        <w:t>PRECIOS SUMINISTRADOS POR LA CONTRATANTE</w:t>
      </w:r>
      <w:bookmarkEnd w:id="1634"/>
      <w:bookmarkEnd w:id="1635"/>
    </w:p>
    <w:p w14:paraId="15D36FF1" w14:textId="77777777" w:rsidR="005F7DAA" w:rsidRDefault="005F7DAA" w:rsidP="009A58E0">
      <w:pPr>
        <w:pStyle w:val="Prrafodelista"/>
        <w:numPr>
          <w:ilvl w:val="0"/>
          <w:numId w:val="124"/>
        </w:numPr>
        <w:tabs>
          <w:tab w:val="clear" w:pos="1295"/>
          <w:tab w:val="left" w:pos="-1440"/>
          <w:tab w:val="left" w:pos="-720"/>
          <w:tab w:val="left" w:pos="0"/>
          <w:tab w:val="left" w:pos="2160"/>
        </w:tabs>
        <w:spacing w:after="120"/>
        <w:ind w:left="567" w:hanging="567"/>
        <w:jc w:val="both"/>
        <w:rPr>
          <w:rFonts w:ascii="Arial" w:hAnsi="Arial" w:cs="Arial"/>
          <w:sz w:val="20"/>
          <w:szCs w:val="20"/>
          <w:lang w:val="es-UY"/>
        </w:rPr>
      </w:pPr>
      <w:bookmarkStart w:id="1637" w:name="A_11_Puentes"/>
      <w:bookmarkStart w:id="1638" w:name="_Toc400622360"/>
      <w:bookmarkStart w:id="1639" w:name="_Toc400629197"/>
      <w:bookmarkStart w:id="1640" w:name="_Toc400634180"/>
      <w:bookmarkStart w:id="1641" w:name="_Toc400635314"/>
      <w:bookmarkStart w:id="1642" w:name="_Toc340671989"/>
      <w:bookmarkStart w:id="1643" w:name="_Toc358821617"/>
      <w:bookmarkEnd w:id="1636"/>
      <w:bookmarkEnd w:id="1637"/>
      <w:r>
        <w:rPr>
          <w:rFonts w:ascii="Arial" w:hAnsi="Arial" w:cs="Arial"/>
          <w:sz w:val="20"/>
          <w:szCs w:val="20"/>
          <w:lang w:val="es-UY"/>
        </w:rPr>
        <w:t xml:space="preserve">Se suministran para los rubros adjuntos los “precios unitarios base” en UI, con Leyes Sociales y sin IVA de acuerdo a lo indicado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2.1 Definición de la Componente A de la Oferta.</w:t>
      </w:r>
    </w:p>
    <w:tbl>
      <w:tblPr>
        <w:tblStyle w:val="Tablaconcuadrcula"/>
        <w:tblW w:w="5000" w:type="pct"/>
        <w:tblLook w:val="04A0" w:firstRow="1" w:lastRow="0" w:firstColumn="1" w:lastColumn="0" w:noHBand="0" w:noVBand="1"/>
      </w:tblPr>
      <w:tblGrid>
        <w:gridCol w:w="962"/>
        <w:gridCol w:w="5298"/>
        <w:gridCol w:w="1017"/>
        <w:gridCol w:w="1217"/>
      </w:tblGrid>
      <w:tr w:rsidR="005F7DAA" w:rsidRPr="00FB0C69" w14:paraId="48060382" w14:textId="77777777" w:rsidTr="00433346">
        <w:trPr>
          <w:trHeight w:hRule="exact" w:val="567"/>
        </w:trPr>
        <w:tc>
          <w:tcPr>
            <w:tcW w:w="574" w:type="pct"/>
            <w:vAlign w:val="center"/>
            <w:hideMark/>
          </w:tcPr>
          <w:p w14:paraId="6B7A230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Rubro</w:t>
            </w:r>
          </w:p>
        </w:tc>
        <w:tc>
          <w:tcPr>
            <w:tcW w:w="3125" w:type="pct"/>
            <w:vAlign w:val="center"/>
            <w:hideMark/>
          </w:tcPr>
          <w:p w14:paraId="479F93E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Descripción</w:t>
            </w:r>
          </w:p>
        </w:tc>
        <w:tc>
          <w:tcPr>
            <w:tcW w:w="603" w:type="pct"/>
            <w:vAlign w:val="center"/>
            <w:hideMark/>
          </w:tcPr>
          <w:p w14:paraId="4FF9A0D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Unidad</w:t>
            </w:r>
          </w:p>
        </w:tc>
        <w:tc>
          <w:tcPr>
            <w:tcW w:w="698" w:type="pct"/>
            <w:vAlign w:val="center"/>
            <w:hideMark/>
          </w:tcPr>
          <w:p w14:paraId="369D34F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b/>
                <w:bCs/>
              </w:rPr>
            </w:pPr>
            <w:r w:rsidRPr="00FB0C69">
              <w:rPr>
                <w:rFonts w:ascii="Arial" w:hAnsi="Arial" w:cs="Arial"/>
                <w:b/>
                <w:bCs/>
              </w:rPr>
              <w:t>Precios unitarios en UI</w:t>
            </w:r>
          </w:p>
        </w:tc>
      </w:tr>
      <w:tr w:rsidR="005F7DAA" w:rsidRPr="00FB0C69" w14:paraId="47995EE9" w14:textId="77777777" w:rsidTr="00433346">
        <w:trPr>
          <w:trHeight w:hRule="exact" w:val="567"/>
        </w:trPr>
        <w:tc>
          <w:tcPr>
            <w:tcW w:w="574" w:type="pct"/>
            <w:vAlign w:val="center"/>
            <w:hideMark/>
          </w:tcPr>
          <w:p w14:paraId="29C15DE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6-1</w:t>
            </w:r>
          </w:p>
        </w:tc>
        <w:tc>
          <w:tcPr>
            <w:tcW w:w="3125" w:type="pct"/>
            <w:vAlign w:val="center"/>
            <w:hideMark/>
          </w:tcPr>
          <w:p w14:paraId="7A3C524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para ensanche de firme</w:t>
            </w:r>
          </w:p>
        </w:tc>
        <w:tc>
          <w:tcPr>
            <w:tcW w:w="603" w:type="pct"/>
            <w:vAlign w:val="center"/>
            <w:hideMark/>
          </w:tcPr>
          <w:p w14:paraId="772DC5E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20D699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67,90</w:t>
            </w:r>
          </w:p>
        </w:tc>
      </w:tr>
      <w:tr w:rsidR="005F7DAA" w:rsidRPr="00FB0C69" w14:paraId="33557E08" w14:textId="77777777" w:rsidTr="00433346">
        <w:trPr>
          <w:trHeight w:hRule="exact" w:val="567"/>
        </w:trPr>
        <w:tc>
          <w:tcPr>
            <w:tcW w:w="574" w:type="pct"/>
            <w:vAlign w:val="center"/>
            <w:hideMark/>
          </w:tcPr>
          <w:p w14:paraId="61DAF74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w:t>
            </w:r>
          </w:p>
        </w:tc>
        <w:tc>
          <w:tcPr>
            <w:tcW w:w="3125" w:type="pct"/>
            <w:vAlign w:val="center"/>
            <w:hideMark/>
          </w:tcPr>
          <w:p w14:paraId="284DF29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Ensanche de Plataforma C1</w:t>
            </w:r>
          </w:p>
        </w:tc>
        <w:tc>
          <w:tcPr>
            <w:tcW w:w="603" w:type="pct"/>
            <w:vAlign w:val="center"/>
            <w:hideMark/>
          </w:tcPr>
          <w:p w14:paraId="5160EF89" w14:textId="5D0062E0"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ED242B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138,30</w:t>
            </w:r>
          </w:p>
        </w:tc>
      </w:tr>
      <w:tr w:rsidR="005F7DAA" w:rsidRPr="00FB0C69" w14:paraId="7164E863" w14:textId="77777777" w:rsidTr="00433346">
        <w:trPr>
          <w:trHeight w:hRule="exact" w:val="567"/>
        </w:trPr>
        <w:tc>
          <w:tcPr>
            <w:tcW w:w="574" w:type="pct"/>
            <w:vAlign w:val="center"/>
            <w:hideMark/>
          </w:tcPr>
          <w:p w14:paraId="71D0CAC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w:t>
            </w:r>
          </w:p>
        </w:tc>
        <w:tc>
          <w:tcPr>
            <w:tcW w:w="3125" w:type="pct"/>
            <w:vAlign w:val="center"/>
            <w:hideMark/>
          </w:tcPr>
          <w:p w14:paraId="720108C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Ensanche de Plataforma C2</w:t>
            </w:r>
          </w:p>
        </w:tc>
        <w:tc>
          <w:tcPr>
            <w:tcW w:w="603" w:type="pct"/>
            <w:vAlign w:val="center"/>
            <w:hideMark/>
          </w:tcPr>
          <w:p w14:paraId="2CBA2F6E" w14:textId="5DDA114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7DBA5BE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253,38</w:t>
            </w:r>
          </w:p>
        </w:tc>
      </w:tr>
      <w:tr w:rsidR="005F7DAA" w:rsidRPr="00FB0C69" w14:paraId="154BB8A4" w14:textId="77777777" w:rsidTr="00433346">
        <w:trPr>
          <w:trHeight w:hRule="exact" w:val="567"/>
        </w:trPr>
        <w:tc>
          <w:tcPr>
            <w:tcW w:w="574" w:type="pct"/>
            <w:vAlign w:val="center"/>
            <w:hideMark/>
          </w:tcPr>
          <w:p w14:paraId="473409C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47</w:t>
            </w:r>
          </w:p>
        </w:tc>
        <w:tc>
          <w:tcPr>
            <w:tcW w:w="3125" w:type="pct"/>
            <w:vAlign w:val="center"/>
            <w:hideMark/>
          </w:tcPr>
          <w:p w14:paraId="32684C8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Limpieza de cauce</w:t>
            </w:r>
          </w:p>
        </w:tc>
        <w:tc>
          <w:tcPr>
            <w:tcW w:w="603" w:type="pct"/>
            <w:vAlign w:val="center"/>
            <w:hideMark/>
          </w:tcPr>
          <w:p w14:paraId="664D593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HA</w:t>
            </w:r>
          </w:p>
        </w:tc>
        <w:tc>
          <w:tcPr>
            <w:tcW w:w="698" w:type="pct"/>
            <w:vAlign w:val="center"/>
            <w:hideMark/>
          </w:tcPr>
          <w:p w14:paraId="40659D2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34.691,40</w:t>
            </w:r>
          </w:p>
        </w:tc>
      </w:tr>
      <w:tr w:rsidR="005F7DAA" w:rsidRPr="00FB0C69" w14:paraId="626A1C1A" w14:textId="77777777" w:rsidTr="00433346">
        <w:trPr>
          <w:trHeight w:hRule="exact" w:val="567"/>
        </w:trPr>
        <w:tc>
          <w:tcPr>
            <w:tcW w:w="574" w:type="pct"/>
            <w:vAlign w:val="center"/>
            <w:hideMark/>
          </w:tcPr>
          <w:p w14:paraId="14F737A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lastRenderedPageBreak/>
              <w:t>53</w:t>
            </w:r>
          </w:p>
        </w:tc>
        <w:tc>
          <w:tcPr>
            <w:tcW w:w="3125" w:type="pct"/>
            <w:vAlign w:val="center"/>
            <w:hideMark/>
          </w:tcPr>
          <w:p w14:paraId="6B1E035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seleccionado</w:t>
            </w:r>
          </w:p>
        </w:tc>
        <w:tc>
          <w:tcPr>
            <w:tcW w:w="603" w:type="pct"/>
            <w:vAlign w:val="center"/>
            <w:hideMark/>
          </w:tcPr>
          <w:p w14:paraId="7972F10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994897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133,20</w:t>
            </w:r>
          </w:p>
        </w:tc>
      </w:tr>
      <w:tr w:rsidR="005F7DAA" w:rsidRPr="00FB0C69" w14:paraId="18718D40" w14:textId="77777777" w:rsidTr="00433346">
        <w:trPr>
          <w:trHeight w:hRule="exact" w:val="567"/>
        </w:trPr>
        <w:tc>
          <w:tcPr>
            <w:tcW w:w="574" w:type="pct"/>
            <w:vAlign w:val="center"/>
            <w:hideMark/>
          </w:tcPr>
          <w:p w14:paraId="1BC5000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103</w:t>
            </w:r>
          </w:p>
        </w:tc>
        <w:tc>
          <w:tcPr>
            <w:tcW w:w="3125" w:type="pct"/>
            <w:vAlign w:val="center"/>
            <w:hideMark/>
          </w:tcPr>
          <w:p w14:paraId="6F9F5D5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bacheo</w:t>
            </w:r>
          </w:p>
        </w:tc>
        <w:tc>
          <w:tcPr>
            <w:tcW w:w="603" w:type="pct"/>
            <w:vAlign w:val="center"/>
            <w:hideMark/>
          </w:tcPr>
          <w:p w14:paraId="4FCDC1E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394A45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649,26</w:t>
            </w:r>
          </w:p>
        </w:tc>
      </w:tr>
      <w:tr w:rsidR="005F7DAA" w:rsidRPr="00FB0C69" w14:paraId="3FDC2F31" w14:textId="77777777" w:rsidTr="00433346">
        <w:trPr>
          <w:trHeight w:hRule="exact" w:val="567"/>
        </w:trPr>
        <w:tc>
          <w:tcPr>
            <w:tcW w:w="574" w:type="pct"/>
            <w:vAlign w:val="center"/>
            <w:hideMark/>
          </w:tcPr>
          <w:p w14:paraId="57449C7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111</w:t>
            </w:r>
          </w:p>
        </w:tc>
        <w:tc>
          <w:tcPr>
            <w:tcW w:w="3125" w:type="pct"/>
            <w:vAlign w:val="center"/>
            <w:hideMark/>
          </w:tcPr>
          <w:p w14:paraId="7E32DD90"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riego bituminoso de imprimación</w:t>
            </w:r>
          </w:p>
        </w:tc>
        <w:tc>
          <w:tcPr>
            <w:tcW w:w="603" w:type="pct"/>
            <w:vAlign w:val="center"/>
            <w:hideMark/>
          </w:tcPr>
          <w:p w14:paraId="006ACBD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C1A813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2,69</w:t>
            </w:r>
          </w:p>
        </w:tc>
      </w:tr>
      <w:tr w:rsidR="005F7DAA" w:rsidRPr="00FB0C69" w14:paraId="46C8B6C7" w14:textId="77777777" w:rsidTr="00433346">
        <w:trPr>
          <w:trHeight w:hRule="exact" w:val="567"/>
        </w:trPr>
        <w:tc>
          <w:tcPr>
            <w:tcW w:w="574" w:type="pct"/>
            <w:vAlign w:val="center"/>
            <w:hideMark/>
          </w:tcPr>
          <w:p w14:paraId="7D0B34B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118</w:t>
            </w:r>
          </w:p>
        </w:tc>
        <w:tc>
          <w:tcPr>
            <w:tcW w:w="3125" w:type="pct"/>
            <w:vAlign w:val="center"/>
            <w:hideMark/>
          </w:tcPr>
          <w:p w14:paraId="31F244C5"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de adherencia</w:t>
            </w:r>
          </w:p>
        </w:tc>
        <w:tc>
          <w:tcPr>
            <w:tcW w:w="603" w:type="pct"/>
            <w:vAlign w:val="center"/>
            <w:hideMark/>
          </w:tcPr>
          <w:p w14:paraId="36450FC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27C54A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1,34</w:t>
            </w:r>
          </w:p>
        </w:tc>
      </w:tr>
      <w:tr w:rsidR="005F7DAA" w:rsidRPr="00FB0C69" w14:paraId="67A770A0" w14:textId="77777777" w:rsidTr="00433346">
        <w:trPr>
          <w:trHeight w:hRule="exact" w:val="567"/>
        </w:trPr>
        <w:tc>
          <w:tcPr>
            <w:tcW w:w="574" w:type="pct"/>
            <w:vAlign w:val="center"/>
            <w:hideMark/>
          </w:tcPr>
          <w:p w14:paraId="1D18D2E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134</w:t>
            </w:r>
          </w:p>
        </w:tc>
        <w:tc>
          <w:tcPr>
            <w:tcW w:w="3125" w:type="pct"/>
            <w:vAlign w:val="center"/>
            <w:hideMark/>
          </w:tcPr>
          <w:p w14:paraId="5C5F9CE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base estabilizada con cemento Portland (con transporte)</w:t>
            </w:r>
          </w:p>
        </w:tc>
        <w:tc>
          <w:tcPr>
            <w:tcW w:w="603" w:type="pct"/>
            <w:vAlign w:val="center"/>
            <w:hideMark/>
          </w:tcPr>
          <w:p w14:paraId="5B12C0C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97A65F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283,36</w:t>
            </w:r>
          </w:p>
        </w:tc>
      </w:tr>
      <w:tr w:rsidR="005F7DAA" w:rsidRPr="00FB0C69" w14:paraId="59A7AAE6" w14:textId="77777777" w:rsidTr="00433346">
        <w:trPr>
          <w:trHeight w:hRule="exact" w:val="567"/>
        </w:trPr>
        <w:tc>
          <w:tcPr>
            <w:tcW w:w="574" w:type="pct"/>
            <w:vAlign w:val="center"/>
            <w:hideMark/>
          </w:tcPr>
          <w:p w14:paraId="1D98A28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134 D</w:t>
            </w:r>
          </w:p>
        </w:tc>
        <w:tc>
          <w:tcPr>
            <w:tcW w:w="3125" w:type="pct"/>
            <w:vAlign w:val="center"/>
            <w:hideMark/>
          </w:tcPr>
          <w:p w14:paraId="03A037A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de base estabilizada con cemento Portland (con transporte) para drenajes</w:t>
            </w:r>
          </w:p>
        </w:tc>
        <w:tc>
          <w:tcPr>
            <w:tcW w:w="603" w:type="pct"/>
            <w:vAlign w:val="center"/>
            <w:hideMark/>
          </w:tcPr>
          <w:p w14:paraId="3483483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B759A2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340,03</w:t>
            </w:r>
          </w:p>
        </w:tc>
      </w:tr>
      <w:tr w:rsidR="005F7DAA" w:rsidRPr="00FB0C69" w14:paraId="7A1C4E3F" w14:textId="77777777" w:rsidTr="00433346">
        <w:trPr>
          <w:trHeight w:hRule="exact" w:val="567"/>
        </w:trPr>
        <w:tc>
          <w:tcPr>
            <w:tcW w:w="574" w:type="pct"/>
            <w:vAlign w:val="center"/>
            <w:hideMark/>
          </w:tcPr>
          <w:p w14:paraId="1054268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212</w:t>
            </w:r>
          </w:p>
        </w:tc>
        <w:tc>
          <w:tcPr>
            <w:tcW w:w="3125" w:type="pct"/>
            <w:vAlign w:val="center"/>
            <w:hideMark/>
          </w:tcPr>
          <w:p w14:paraId="0755DA6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Agregados pétreos finos para tratamientos</w:t>
            </w:r>
          </w:p>
        </w:tc>
        <w:tc>
          <w:tcPr>
            <w:tcW w:w="603" w:type="pct"/>
            <w:vAlign w:val="center"/>
            <w:hideMark/>
          </w:tcPr>
          <w:p w14:paraId="03A7D24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83B684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206,32</w:t>
            </w:r>
          </w:p>
        </w:tc>
      </w:tr>
      <w:tr w:rsidR="005F7DAA" w:rsidRPr="00FB0C69" w14:paraId="2C03C26D" w14:textId="77777777" w:rsidTr="00433346">
        <w:trPr>
          <w:trHeight w:hRule="exact" w:val="567"/>
        </w:trPr>
        <w:tc>
          <w:tcPr>
            <w:tcW w:w="574" w:type="pct"/>
            <w:vAlign w:val="center"/>
            <w:hideMark/>
          </w:tcPr>
          <w:p w14:paraId="2AF2BAA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231</w:t>
            </w:r>
          </w:p>
        </w:tc>
        <w:tc>
          <w:tcPr>
            <w:tcW w:w="3125" w:type="pct"/>
            <w:vAlign w:val="center"/>
            <w:hideMark/>
          </w:tcPr>
          <w:p w14:paraId="3CEF649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con bloques piedra</w:t>
            </w:r>
          </w:p>
        </w:tc>
        <w:tc>
          <w:tcPr>
            <w:tcW w:w="603" w:type="pct"/>
            <w:vAlign w:val="center"/>
            <w:hideMark/>
          </w:tcPr>
          <w:p w14:paraId="46F20EF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F347F4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358,07</w:t>
            </w:r>
          </w:p>
        </w:tc>
      </w:tr>
      <w:tr w:rsidR="005F7DAA" w:rsidRPr="00FB0C69" w14:paraId="22F281CA" w14:textId="77777777" w:rsidTr="00433346">
        <w:trPr>
          <w:trHeight w:hRule="exact" w:val="567"/>
        </w:trPr>
        <w:tc>
          <w:tcPr>
            <w:tcW w:w="574" w:type="pct"/>
            <w:vAlign w:val="center"/>
            <w:hideMark/>
          </w:tcPr>
          <w:p w14:paraId="27469E3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261</w:t>
            </w:r>
          </w:p>
        </w:tc>
        <w:tc>
          <w:tcPr>
            <w:tcW w:w="3125" w:type="pct"/>
            <w:vAlign w:val="center"/>
            <w:hideMark/>
          </w:tcPr>
          <w:p w14:paraId="5B2FD2C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clase VII para alcantarillas (con tratamiento superficial)</w:t>
            </w:r>
          </w:p>
        </w:tc>
        <w:tc>
          <w:tcPr>
            <w:tcW w:w="603" w:type="pct"/>
            <w:vAlign w:val="center"/>
            <w:hideMark/>
          </w:tcPr>
          <w:p w14:paraId="54B53A3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47870C5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7.459,09</w:t>
            </w:r>
          </w:p>
        </w:tc>
      </w:tr>
      <w:tr w:rsidR="005F7DAA" w:rsidRPr="00FB0C69" w14:paraId="193FC10E" w14:textId="77777777" w:rsidTr="00433346">
        <w:trPr>
          <w:trHeight w:hRule="exact" w:val="567"/>
        </w:trPr>
        <w:tc>
          <w:tcPr>
            <w:tcW w:w="574" w:type="pct"/>
            <w:vAlign w:val="center"/>
            <w:hideMark/>
          </w:tcPr>
          <w:p w14:paraId="4C69DDB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263</w:t>
            </w:r>
          </w:p>
        </w:tc>
        <w:tc>
          <w:tcPr>
            <w:tcW w:w="3125" w:type="pct"/>
            <w:vAlign w:val="center"/>
            <w:hideMark/>
          </w:tcPr>
          <w:p w14:paraId="146BFD0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clase VII para alcantarillas (con tratamiento superficial) CON DEMOLICIÓN</w:t>
            </w:r>
          </w:p>
        </w:tc>
        <w:tc>
          <w:tcPr>
            <w:tcW w:w="603" w:type="pct"/>
            <w:vAlign w:val="center"/>
            <w:hideMark/>
          </w:tcPr>
          <w:p w14:paraId="0DD6512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1F32E2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8.205,00</w:t>
            </w:r>
          </w:p>
        </w:tc>
      </w:tr>
      <w:tr w:rsidR="005F7DAA" w:rsidRPr="00FB0C69" w14:paraId="1B613F05" w14:textId="77777777" w:rsidTr="00433346">
        <w:trPr>
          <w:trHeight w:hRule="exact" w:val="567"/>
        </w:trPr>
        <w:tc>
          <w:tcPr>
            <w:tcW w:w="574" w:type="pct"/>
            <w:vAlign w:val="center"/>
            <w:hideMark/>
          </w:tcPr>
          <w:p w14:paraId="3DDDF2D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279</w:t>
            </w:r>
          </w:p>
        </w:tc>
        <w:tc>
          <w:tcPr>
            <w:tcW w:w="3125" w:type="pct"/>
            <w:vAlign w:val="center"/>
            <w:hideMark/>
          </w:tcPr>
          <w:p w14:paraId="06BA7AF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Alcantarillas de caños de </w:t>
            </w:r>
            <w:r w:rsidR="008E74F0" w:rsidRPr="00FB0C69">
              <w:rPr>
                <w:rFonts w:ascii="Arial" w:hAnsi="Arial" w:cs="Arial"/>
              </w:rPr>
              <w:t>hormigón</w:t>
            </w:r>
            <w:r w:rsidRPr="00FB0C69">
              <w:rPr>
                <w:rFonts w:ascii="Arial" w:hAnsi="Arial" w:cs="Arial"/>
              </w:rPr>
              <w:t xml:space="preserve"> armado de resi</w:t>
            </w:r>
            <w:r w:rsidR="00F7224E">
              <w:rPr>
                <w:rFonts w:ascii="Arial" w:hAnsi="Arial" w:cs="Arial"/>
              </w:rPr>
              <w:t>s</w:t>
            </w:r>
            <w:r w:rsidRPr="00FB0C69">
              <w:rPr>
                <w:rFonts w:ascii="Arial" w:hAnsi="Arial" w:cs="Arial"/>
              </w:rPr>
              <w:t>tencia especial 60 cm (sin cabezales)</w:t>
            </w:r>
          </w:p>
        </w:tc>
        <w:tc>
          <w:tcPr>
            <w:tcW w:w="603" w:type="pct"/>
            <w:vAlign w:val="center"/>
            <w:hideMark/>
          </w:tcPr>
          <w:p w14:paraId="3B0B896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44A2248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2.085,11</w:t>
            </w:r>
          </w:p>
        </w:tc>
      </w:tr>
      <w:tr w:rsidR="005F7DAA" w:rsidRPr="00FB0C69" w14:paraId="381454D5" w14:textId="77777777" w:rsidTr="00433346">
        <w:trPr>
          <w:trHeight w:hRule="exact" w:val="567"/>
        </w:trPr>
        <w:tc>
          <w:tcPr>
            <w:tcW w:w="574" w:type="pct"/>
            <w:vAlign w:val="center"/>
            <w:hideMark/>
          </w:tcPr>
          <w:p w14:paraId="7CBB57B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280</w:t>
            </w:r>
          </w:p>
        </w:tc>
        <w:tc>
          <w:tcPr>
            <w:tcW w:w="3125" w:type="pct"/>
            <w:vAlign w:val="center"/>
            <w:hideMark/>
          </w:tcPr>
          <w:p w14:paraId="3A20EA7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Alcantarillas de caños de </w:t>
            </w:r>
            <w:r w:rsidR="008E74F0" w:rsidRPr="00FB0C69">
              <w:rPr>
                <w:rFonts w:ascii="Arial" w:hAnsi="Arial" w:cs="Arial"/>
              </w:rPr>
              <w:t>hormigón</w:t>
            </w:r>
            <w:r w:rsidRPr="00FB0C69">
              <w:rPr>
                <w:rFonts w:ascii="Arial" w:hAnsi="Arial" w:cs="Arial"/>
              </w:rPr>
              <w:t xml:space="preserve"> armado de resi</w:t>
            </w:r>
            <w:r w:rsidR="00F7224E">
              <w:rPr>
                <w:rFonts w:ascii="Arial" w:hAnsi="Arial" w:cs="Arial"/>
              </w:rPr>
              <w:t>s</w:t>
            </w:r>
            <w:r w:rsidRPr="00FB0C69">
              <w:rPr>
                <w:rFonts w:ascii="Arial" w:hAnsi="Arial" w:cs="Arial"/>
              </w:rPr>
              <w:t>tencia especial 80 cm (sin cabezales)</w:t>
            </w:r>
          </w:p>
        </w:tc>
        <w:tc>
          <w:tcPr>
            <w:tcW w:w="603" w:type="pct"/>
            <w:vAlign w:val="center"/>
            <w:hideMark/>
          </w:tcPr>
          <w:p w14:paraId="1BCF88C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3BE56C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3.466,77</w:t>
            </w:r>
          </w:p>
        </w:tc>
      </w:tr>
      <w:tr w:rsidR="005F7DAA" w:rsidRPr="00FB0C69" w14:paraId="53F34324" w14:textId="77777777" w:rsidTr="00433346">
        <w:trPr>
          <w:trHeight w:hRule="exact" w:val="567"/>
        </w:trPr>
        <w:tc>
          <w:tcPr>
            <w:tcW w:w="574" w:type="pct"/>
            <w:vAlign w:val="center"/>
            <w:hideMark/>
          </w:tcPr>
          <w:p w14:paraId="7F0733D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429</w:t>
            </w:r>
          </w:p>
        </w:tc>
        <w:tc>
          <w:tcPr>
            <w:tcW w:w="3125" w:type="pct"/>
            <w:vAlign w:val="center"/>
            <w:hideMark/>
          </w:tcPr>
          <w:p w14:paraId="525D7FD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Relleno de canteros</w:t>
            </w:r>
          </w:p>
        </w:tc>
        <w:tc>
          <w:tcPr>
            <w:tcW w:w="603" w:type="pct"/>
            <w:vAlign w:val="center"/>
            <w:hideMark/>
          </w:tcPr>
          <w:p w14:paraId="67FF7F1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FBAFFC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28,62</w:t>
            </w:r>
          </w:p>
        </w:tc>
      </w:tr>
      <w:tr w:rsidR="005F7DAA" w:rsidRPr="00FB0C69" w14:paraId="6EEB5E73" w14:textId="77777777" w:rsidTr="00433346">
        <w:trPr>
          <w:trHeight w:hRule="exact" w:val="567"/>
        </w:trPr>
        <w:tc>
          <w:tcPr>
            <w:tcW w:w="574" w:type="pct"/>
            <w:vAlign w:val="center"/>
            <w:hideMark/>
          </w:tcPr>
          <w:p w14:paraId="3663B1B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504b</w:t>
            </w:r>
          </w:p>
        </w:tc>
        <w:tc>
          <w:tcPr>
            <w:tcW w:w="3125" w:type="pct"/>
            <w:vAlign w:val="center"/>
            <w:hideMark/>
          </w:tcPr>
          <w:p w14:paraId="29A59A1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800</w:t>
            </w:r>
          </w:p>
        </w:tc>
        <w:tc>
          <w:tcPr>
            <w:tcW w:w="603" w:type="pct"/>
            <w:vAlign w:val="center"/>
            <w:hideMark/>
          </w:tcPr>
          <w:p w14:paraId="511436D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0F87FC6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65.847,09</w:t>
            </w:r>
          </w:p>
        </w:tc>
      </w:tr>
      <w:tr w:rsidR="005F7DAA" w:rsidRPr="00FB0C69" w14:paraId="0CF0B515" w14:textId="77777777" w:rsidTr="00433346">
        <w:trPr>
          <w:trHeight w:hRule="exact" w:val="567"/>
        </w:trPr>
        <w:tc>
          <w:tcPr>
            <w:tcW w:w="574" w:type="pct"/>
            <w:vAlign w:val="center"/>
            <w:hideMark/>
          </w:tcPr>
          <w:p w14:paraId="569349D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lastRenderedPageBreak/>
              <w:t>504c</w:t>
            </w:r>
          </w:p>
        </w:tc>
        <w:tc>
          <w:tcPr>
            <w:tcW w:w="3125" w:type="pct"/>
            <w:vAlign w:val="center"/>
            <w:hideMark/>
          </w:tcPr>
          <w:p w14:paraId="6B85159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1000</w:t>
            </w:r>
          </w:p>
        </w:tc>
        <w:tc>
          <w:tcPr>
            <w:tcW w:w="603" w:type="pct"/>
            <w:vAlign w:val="center"/>
            <w:hideMark/>
          </w:tcPr>
          <w:p w14:paraId="6B99790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79C4C61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82.452,01</w:t>
            </w:r>
          </w:p>
        </w:tc>
      </w:tr>
      <w:tr w:rsidR="005F7DAA" w:rsidRPr="00FB0C69" w14:paraId="58380339" w14:textId="77777777" w:rsidTr="00433346">
        <w:trPr>
          <w:trHeight w:hRule="exact" w:val="567"/>
        </w:trPr>
        <w:tc>
          <w:tcPr>
            <w:tcW w:w="574" w:type="pct"/>
            <w:vAlign w:val="center"/>
            <w:hideMark/>
          </w:tcPr>
          <w:p w14:paraId="095F8DD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504d</w:t>
            </w:r>
          </w:p>
        </w:tc>
        <w:tc>
          <w:tcPr>
            <w:tcW w:w="3125" w:type="pct"/>
            <w:vAlign w:val="center"/>
            <w:hideMark/>
          </w:tcPr>
          <w:p w14:paraId="31D064B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1200</w:t>
            </w:r>
          </w:p>
        </w:tc>
        <w:tc>
          <w:tcPr>
            <w:tcW w:w="603" w:type="pct"/>
            <w:vAlign w:val="center"/>
            <w:hideMark/>
          </w:tcPr>
          <w:p w14:paraId="22B3A50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60CDF4D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107.359,39</w:t>
            </w:r>
          </w:p>
        </w:tc>
      </w:tr>
      <w:tr w:rsidR="005F7DAA" w:rsidRPr="00FB0C69" w14:paraId="312FE7A8" w14:textId="77777777" w:rsidTr="00433346">
        <w:trPr>
          <w:trHeight w:hRule="exact" w:val="567"/>
        </w:trPr>
        <w:tc>
          <w:tcPr>
            <w:tcW w:w="574" w:type="pct"/>
            <w:vAlign w:val="center"/>
            <w:hideMark/>
          </w:tcPr>
          <w:p w14:paraId="77E0975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549</w:t>
            </w:r>
          </w:p>
        </w:tc>
        <w:tc>
          <w:tcPr>
            <w:tcW w:w="3125" w:type="pct"/>
            <w:vAlign w:val="center"/>
            <w:hideMark/>
          </w:tcPr>
          <w:p w14:paraId="7E1AEB8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Separador de hormigón (acústico)</w:t>
            </w:r>
          </w:p>
        </w:tc>
        <w:tc>
          <w:tcPr>
            <w:tcW w:w="603" w:type="pct"/>
            <w:vAlign w:val="center"/>
            <w:hideMark/>
          </w:tcPr>
          <w:p w14:paraId="69CB5F4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A14208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8.134,38</w:t>
            </w:r>
          </w:p>
        </w:tc>
      </w:tr>
      <w:tr w:rsidR="005F7DAA" w:rsidRPr="00FB0C69" w14:paraId="61CA695C" w14:textId="77777777" w:rsidTr="00433346">
        <w:trPr>
          <w:trHeight w:hRule="exact" w:val="567"/>
        </w:trPr>
        <w:tc>
          <w:tcPr>
            <w:tcW w:w="574" w:type="pct"/>
            <w:vAlign w:val="center"/>
            <w:hideMark/>
          </w:tcPr>
          <w:p w14:paraId="15D6D60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551</w:t>
            </w:r>
          </w:p>
        </w:tc>
        <w:tc>
          <w:tcPr>
            <w:tcW w:w="3125" w:type="pct"/>
            <w:vAlign w:val="center"/>
            <w:hideMark/>
          </w:tcPr>
          <w:p w14:paraId="6DDC79C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triturado estabilizado granulométricamente y con cemento portland</w:t>
            </w:r>
          </w:p>
        </w:tc>
        <w:tc>
          <w:tcPr>
            <w:tcW w:w="603" w:type="pct"/>
            <w:vAlign w:val="center"/>
            <w:hideMark/>
          </w:tcPr>
          <w:p w14:paraId="3E3938A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43EA19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339,90</w:t>
            </w:r>
          </w:p>
        </w:tc>
      </w:tr>
      <w:tr w:rsidR="005F7DAA" w:rsidRPr="00FB0C69" w14:paraId="4A3655BC" w14:textId="77777777" w:rsidTr="00433346">
        <w:trPr>
          <w:trHeight w:hRule="exact" w:val="567"/>
        </w:trPr>
        <w:tc>
          <w:tcPr>
            <w:tcW w:w="574" w:type="pct"/>
            <w:vAlign w:val="center"/>
            <w:hideMark/>
          </w:tcPr>
          <w:p w14:paraId="2D38D52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2034</w:t>
            </w:r>
          </w:p>
        </w:tc>
        <w:tc>
          <w:tcPr>
            <w:tcW w:w="3125" w:type="pct"/>
            <w:vAlign w:val="center"/>
            <w:hideMark/>
          </w:tcPr>
          <w:p w14:paraId="7855EDC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Sellado de fisuras por puenteo</w:t>
            </w:r>
          </w:p>
        </w:tc>
        <w:tc>
          <w:tcPr>
            <w:tcW w:w="603" w:type="pct"/>
            <w:vAlign w:val="center"/>
            <w:hideMark/>
          </w:tcPr>
          <w:p w14:paraId="138F65A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7F3C5FD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14,63</w:t>
            </w:r>
          </w:p>
        </w:tc>
      </w:tr>
      <w:tr w:rsidR="005F7DAA" w:rsidRPr="00FB0C69" w14:paraId="44A30751" w14:textId="77777777" w:rsidTr="00433346">
        <w:trPr>
          <w:trHeight w:hRule="exact" w:val="567"/>
        </w:trPr>
        <w:tc>
          <w:tcPr>
            <w:tcW w:w="574" w:type="pct"/>
            <w:vAlign w:val="center"/>
            <w:hideMark/>
          </w:tcPr>
          <w:p w14:paraId="2183ECD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2134</w:t>
            </w:r>
          </w:p>
        </w:tc>
        <w:tc>
          <w:tcPr>
            <w:tcW w:w="3125" w:type="pct"/>
            <w:vAlign w:val="center"/>
            <w:hideMark/>
          </w:tcPr>
          <w:p w14:paraId="5D21718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cemento asfáltico</w:t>
            </w:r>
          </w:p>
        </w:tc>
        <w:tc>
          <w:tcPr>
            <w:tcW w:w="603" w:type="pct"/>
            <w:vAlign w:val="center"/>
            <w:hideMark/>
          </w:tcPr>
          <w:p w14:paraId="670E4E0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AD4E6B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6.815,30</w:t>
            </w:r>
          </w:p>
        </w:tc>
      </w:tr>
      <w:tr w:rsidR="005F7DAA" w:rsidRPr="00FB0C69" w14:paraId="15C4ACE6" w14:textId="77777777" w:rsidTr="00433346">
        <w:trPr>
          <w:trHeight w:hRule="exact" w:val="567"/>
        </w:trPr>
        <w:tc>
          <w:tcPr>
            <w:tcW w:w="574" w:type="pct"/>
            <w:vAlign w:val="center"/>
            <w:hideMark/>
          </w:tcPr>
          <w:p w14:paraId="3D5C814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2135</w:t>
            </w:r>
          </w:p>
        </w:tc>
        <w:tc>
          <w:tcPr>
            <w:tcW w:w="3125" w:type="pct"/>
            <w:vAlign w:val="center"/>
            <w:hideMark/>
          </w:tcPr>
          <w:p w14:paraId="20D9166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emulsión asfáltica</w:t>
            </w:r>
          </w:p>
        </w:tc>
        <w:tc>
          <w:tcPr>
            <w:tcW w:w="603" w:type="pct"/>
            <w:vAlign w:val="center"/>
            <w:hideMark/>
          </w:tcPr>
          <w:p w14:paraId="433D466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0C3E21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7.054,87</w:t>
            </w:r>
          </w:p>
        </w:tc>
      </w:tr>
      <w:tr w:rsidR="005F7DAA" w:rsidRPr="00FB0C69" w14:paraId="4047F5AB" w14:textId="77777777" w:rsidTr="00433346">
        <w:trPr>
          <w:trHeight w:hRule="exact" w:val="567"/>
        </w:trPr>
        <w:tc>
          <w:tcPr>
            <w:tcW w:w="574" w:type="pct"/>
            <w:vAlign w:val="center"/>
            <w:hideMark/>
          </w:tcPr>
          <w:p w14:paraId="3529BDA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2136</w:t>
            </w:r>
          </w:p>
        </w:tc>
        <w:tc>
          <w:tcPr>
            <w:tcW w:w="3125" w:type="pct"/>
            <w:vAlign w:val="center"/>
            <w:hideMark/>
          </w:tcPr>
          <w:p w14:paraId="1D5DC88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diluido asfáltico</w:t>
            </w:r>
          </w:p>
        </w:tc>
        <w:tc>
          <w:tcPr>
            <w:tcW w:w="603" w:type="pct"/>
            <w:vAlign w:val="center"/>
            <w:hideMark/>
          </w:tcPr>
          <w:p w14:paraId="31E2852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A1A5BF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7.612,34</w:t>
            </w:r>
          </w:p>
        </w:tc>
      </w:tr>
      <w:tr w:rsidR="005F7DAA" w:rsidRPr="00FB0C69" w14:paraId="6744DB27" w14:textId="77777777" w:rsidTr="00433346">
        <w:trPr>
          <w:trHeight w:hRule="exact" w:val="567"/>
        </w:trPr>
        <w:tc>
          <w:tcPr>
            <w:tcW w:w="574" w:type="pct"/>
            <w:vAlign w:val="center"/>
            <w:hideMark/>
          </w:tcPr>
          <w:p w14:paraId="23A8652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2137</w:t>
            </w:r>
          </w:p>
        </w:tc>
        <w:tc>
          <w:tcPr>
            <w:tcW w:w="3125" w:type="pct"/>
            <w:vAlign w:val="center"/>
            <w:hideMark/>
          </w:tcPr>
          <w:p w14:paraId="0E3D86A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cemento asfáltico modificado</w:t>
            </w:r>
          </w:p>
        </w:tc>
        <w:tc>
          <w:tcPr>
            <w:tcW w:w="603" w:type="pct"/>
            <w:vAlign w:val="center"/>
            <w:hideMark/>
          </w:tcPr>
          <w:p w14:paraId="696457D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498AA76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9.855,65</w:t>
            </w:r>
          </w:p>
        </w:tc>
      </w:tr>
      <w:tr w:rsidR="005F7DAA" w:rsidRPr="00FB0C69" w14:paraId="249D0073" w14:textId="77777777" w:rsidTr="00433346">
        <w:trPr>
          <w:trHeight w:hRule="exact" w:val="567"/>
        </w:trPr>
        <w:tc>
          <w:tcPr>
            <w:tcW w:w="574" w:type="pct"/>
            <w:vAlign w:val="center"/>
            <w:hideMark/>
          </w:tcPr>
          <w:p w14:paraId="579864F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2138</w:t>
            </w:r>
          </w:p>
        </w:tc>
        <w:tc>
          <w:tcPr>
            <w:tcW w:w="3125" w:type="pct"/>
            <w:vAlign w:val="center"/>
            <w:hideMark/>
          </w:tcPr>
          <w:p w14:paraId="0C667D5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transporte y elaboración de emulsión asfáltica modificada</w:t>
            </w:r>
          </w:p>
        </w:tc>
        <w:tc>
          <w:tcPr>
            <w:tcW w:w="603" w:type="pct"/>
            <w:vAlign w:val="center"/>
            <w:hideMark/>
          </w:tcPr>
          <w:p w14:paraId="52E29CF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AAC71F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8.598,20</w:t>
            </w:r>
          </w:p>
        </w:tc>
      </w:tr>
      <w:tr w:rsidR="005F7DAA" w:rsidRPr="00FB0C69" w14:paraId="14C4A6DA" w14:textId="77777777" w:rsidTr="00433346">
        <w:trPr>
          <w:trHeight w:hRule="exact" w:val="567"/>
        </w:trPr>
        <w:tc>
          <w:tcPr>
            <w:tcW w:w="574" w:type="pct"/>
            <w:vAlign w:val="center"/>
            <w:hideMark/>
          </w:tcPr>
          <w:p w14:paraId="36270EF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3028</w:t>
            </w:r>
          </w:p>
        </w:tc>
        <w:tc>
          <w:tcPr>
            <w:tcW w:w="3125" w:type="pct"/>
            <w:vAlign w:val="center"/>
            <w:hideMark/>
          </w:tcPr>
          <w:p w14:paraId="13754B95"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delineador instalado</w:t>
            </w:r>
          </w:p>
        </w:tc>
        <w:tc>
          <w:tcPr>
            <w:tcW w:w="603" w:type="pct"/>
            <w:vAlign w:val="center"/>
            <w:hideMark/>
          </w:tcPr>
          <w:p w14:paraId="15E15BA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18635A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16.154,41</w:t>
            </w:r>
          </w:p>
        </w:tc>
      </w:tr>
      <w:tr w:rsidR="005F7DAA" w:rsidRPr="00FB0C69" w14:paraId="32087EB1" w14:textId="77777777" w:rsidTr="00433346">
        <w:trPr>
          <w:trHeight w:hRule="exact" w:val="567"/>
        </w:trPr>
        <w:tc>
          <w:tcPr>
            <w:tcW w:w="574" w:type="pct"/>
            <w:vAlign w:val="center"/>
            <w:hideMark/>
          </w:tcPr>
          <w:p w14:paraId="5741BD9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3037</w:t>
            </w:r>
          </w:p>
        </w:tc>
        <w:tc>
          <w:tcPr>
            <w:tcW w:w="3125" w:type="pct"/>
            <w:vAlign w:val="center"/>
            <w:hideMark/>
          </w:tcPr>
          <w:p w14:paraId="1013C26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eje aplicada en frío</w:t>
            </w:r>
          </w:p>
        </w:tc>
        <w:tc>
          <w:tcPr>
            <w:tcW w:w="603" w:type="pct"/>
            <w:vAlign w:val="center"/>
            <w:hideMark/>
          </w:tcPr>
          <w:p w14:paraId="6116D35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3B5D711"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63,68</w:t>
            </w:r>
          </w:p>
        </w:tc>
      </w:tr>
      <w:tr w:rsidR="005F7DAA" w:rsidRPr="00FB0C69" w14:paraId="5E503B9B" w14:textId="77777777" w:rsidTr="00433346">
        <w:trPr>
          <w:trHeight w:hRule="exact" w:val="567"/>
        </w:trPr>
        <w:tc>
          <w:tcPr>
            <w:tcW w:w="574" w:type="pct"/>
            <w:vAlign w:val="center"/>
            <w:hideMark/>
          </w:tcPr>
          <w:p w14:paraId="0AF12C2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3042</w:t>
            </w:r>
          </w:p>
        </w:tc>
        <w:tc>
          <w:tcPr>
            <w:tcW w:w="3125" w:type="pct"/>
            <w:vAlign w:val="center"/>
            <w:hideMark/>
          </w:tcPr>
          <w:p w14:paraId="6136FA6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Tachas instaladas</w:t>
            </w:r>
          </w:p>
        </w:tc>
        <w:tc>
          <w:tcPr>
            <w:tcW w:w="603" w:type="pct"/>
            <w:vAlign w:val="center"/>
            <w:hideMark/>
          </w:tcPr>
          <w:p w14:paraId="15312A6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C/U</w:t>
            </w:r>
          </w:p>
        </w:tc>
        <w:tc>
          <w:tcPr>
            <w:tcW w:w="698" w:type="pct"/>
            <w:vAlign w:val="center"/>
            <w:hideMark/>
          </w:tcPr>
          <w:p w14:paraId="1A342A8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48,83</w:t>
            </w:r>
          </w:p>
        </w:tc>
      </w:tr>
      <w:tr w:rsidR="005F7DAA" w:rsidRPr="00FB0C69" w14:paraId="2BBF3A5D" w14:textId="77777777" w:rsidTr="00433346">
        <w:trPr>
          <w:trHeight w:hRule="exact" w:val="567"/>
        </w:trPr>
        <w:tc>
          <w:tcPr>
            <w:tcW w:w="574" w:type="pct"/>
            <w:vAlign w:val="center"/>
            <w:hideMark/>
          </w:tcPr>
          <w:p w14:paraId="470B9CD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3051</w:t>
            </w:r>
          </w:p>
        </w:tc>
        <w:tc>
          <w:tcPr>
            <w:tcW w:w="3125" w:type="pct"/>
            <w:vAlign w:val="center"/>
            <w:hideMark/>
          </w:tcPr>
          <w:p w14:paraId="238D0E1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Superficies pintadas</w:t>
            </w:r>
          </w:p>
        </w:tc>
        <w:tc>
          <w:tcPr>
            <w:tcW w:w="603" w:type="pct"/>
            <w:vAlign w:val="center"/>
            <w:hideMark/>
          </w:tcPr>
          <w:p w14:paraId="7563743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36DF0E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54,39</w:t>
            </w:r>
          </w:p>
        </w:tc>
      </w:tr>
      <w:tr w:rsidR="005F7DAA" w:rsidRPr="00FB0C69" w14:paraId="7DA32846" w14:textId="77777777" w:rsidTr="00433346">
        <w:trPr>
          <w:trHeight w:hRule="exact" w:val="567"/>
        </w:trPr>
        <w:tc>
          <w:tcPr>
            <w:tcW w:w="574" w:type="pct"/>
            <w:vAlign w:val="center"/>
            <w:hideMark/>
          </w:tcPr>
          <w:p w14:paraId="622ECBF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85395D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Tapa reja</w:t>
            </w:r>
          </w:p>
        </w:tc>
        <w:tc>
          <w:tcPr>
            <w:tcW w:w="603" w:type="pct"/>
            <w:vAlign w:val="center"/>
            <w:hideMark/>
          </w:tcPr>
          <w:p w14:paraId="79A7AA59" w14:textId="77777777" w:rsidR="005F7DAA" w:rsidRPr="00FB0C69" w:rsidRDefault="00433346"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Kg</w:t>
            </w:r>
          </w:p>
        </w:tc>
        <w:tc>
          <w:tcPr>
            <w:tcW w:w="698" w:type="pct"/>
            <w:vAlign w:val="center"/>
            <w:hideMark/>
          </w:tcPr>
          <w:p w14:paraId="303F0B5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995,72</w:t>
            </w:r>
          </w:p>
        </w:tc>
      </w:tr>
      <w:tr w:rsidR="005F7DAA" w:rsidRPr="00FB0C69" w14:paraId="3019EFA5" w14:textId="77777777" w:rsidTr="00433346">
        <w:trPr>
          <w:trHeight w:hRule="exact" w:val="567"/>
        </w:trPr>
        <w:tc>
          <w:tcPr>
            <w:tcW w:w="574" w:type="pct"/>
            <w:vAlign w:val="center"/>
            <w:hideMark/>
          </w:tcPr>
          <w:p w14:paraId="774D088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614E04A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Riostras</w:t>
            </w:r>
          </w:p>
        </w:tc>
        <w:tc>
          <w:tcPr>
            <w:tcW w:w="603" w:type="pct"/>
            <w:vAlign w:val="center"/>
            <w:hideMark/>
          </w:tcPr>
          <w:p w14:paraId="091474A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0CAD35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7.316,34</w:t>
            </w:r>
          </w:p>
        </w:tc>
      </w:tr>
      <w:tr w:rsidR="005F7DAA" w:rsidRPr="00FB0C69" w14:paraId="2C6EBB35" w14:textId="77777777" w:rsidTr="00433346">
        <w:trPr>
          <w:trHeight w:hRule="exact" w:val="567"/>
        </w:trPr>
        <w:tc>
          <w:tcPr>
            <w:tcW w:w="574" w:type="pct"/>
            <w:vAlign w:val="center"/>
            <w:hideMark/>
          </w:tcPr>
          <w:p w14:paraId="6E0B545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3AFB82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Pilotes Ø 500</w:t>
            </w:r>
          </w:p>
        </w:tc>
        <w:tc>
          <w:tcPr>
            <w:tcW w:w="603" w:type="pct"/>
            <w:vAlign w:val="center"/>
            <w:hideMark/>
          </w:tcPr>
          <w:p w14:paraId="473826C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50356BA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28.629,17</w:t>
            </w:r>
          </w:p>
        </w:tc>
      </w:tr>
      <w:tr w:rsidR="005F7DAA" w:rsidRPr="00FB0C69" w14:paraId="4217C762" w14:textId="77777777" w:rsidTr="00433346">
        <w:trPr>
          <w:trHeight w:hRule="exact" w:val="567"/>
        </w:trPr>
        <w:tc>
          <w:tcPr>
            <w:tcW w:w="574" w:type="pct"/>
            <w:vAlign w:val="center"/>
            <w:hideMark/>
          </w:tcPr>
          <w:p w14:paraId="2F10B12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E69EBC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Apoyos elastómeros</w:t>
            </w:r>
          </w:p>
        </w:tc>
        <w:tc>
          <w:tcPr>
            <w:tcW w:w="603" w:type="pct"/>
            <w:vAlign w:val="center"/>
            <w:hideMark/>
          </w:tcPr>
          <w:p w14:paraId="308728B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4C3255F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7.838,94</w:t>
            </w:r>
          </w:p>
        </w:tc>
      </w:tr>
      <w:tr w:rsidR="005F7DAA" w:rsidRPr="00FB0C69" w14:paraId="55A645B1" w14:textId="77777777" w:rsidTr="00433346">
        <w:trPr>
          <w:trHeight w:hRule="exact" w:val="567"/>
        </w:trPr>
        <w:tc>
          <w:tcPr>
            <w:tcW w:w="574" w:type="pct"/>
            <w:vAlign w:val="center"/>
            <w:hideMark/>
          </w:tcPr>
          <w:p w14:paraId="2548C35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37B6235"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Losa de acceso</w:t>
            </w:r>
          </w:p>
        </w:tc>
        <w:tc>
          <w:tcPr>
            <w:tcW w:w="603" w:type="pct"/>
            <w:vAlign w:val="center"/>
            <w:hideMark/>
          </w:tcPr>
          <w:p w14:paraId="5F73778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BBD3BA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8.770,52</w:t>
            </w:r>
          </w:p>
        </w:tc>
      </w:tr>
      <w:tr w:rsidR="005F7DAA" w:rsidRPr="00FB0C69" w14:paraId="4ABECB9D" w14:textId="77777777" w:rsidTr="00433346">
        <w:trPr>
          <w:trHeight w:hRule="exact" w:val="567"/>
        </w:trPr>
        <w:tc>
          <w:tcPr>
            <w:tcW w:w="574" w:type="pct"/>
            <w:vAlign w:val="center"/>
            <w:hideMark/>
          </w:tcPr>
          <w:p w14:paraId="66CC70D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C11C44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cemento</w:t>
            </w:r>
          </w:p>
        </w:tc>
        <w:tc>
          <w:tcPr>
            <w:tcW w:w="603" w:type="pct"/>
            <w:vAlign w:val="center"/>
            <w:hideMark/>
          </w:tcPr>
          <w:p w14:paraId="60A34E9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40A507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545,32</w:t>
            </w:r>
          </w:p>
        </w:tc>
      </w:tr>
      <w:tr w:rsidR="005F7DAA" w:rsidRPr="00FB0C69" w14:paraId="75DC98B8" w14:textId="77777777" w:rsidTr="00433346">
        <w:trPr>
          <w:trHeight w:hRule="exact" w:val="567"/>
        </w:trPr>
        <w:tc>
          <w:tcPr>
            <w:tcW w:w="574" w:type="pct"/>
            <w:vAlign w:val="center"/>
            <w:hideMark/>
          </w:tcPr>
          <w:p w14:paraId="149617C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5D1B340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Fundación revestimiento</w:t>
            </w:r>
          </w:p>
        </w:tc>
        <w:tc>
          <w:tcPr>
            <w:tcW w:w="603" w:type="pct"/>
            <w:vAlign w:val="center"/>
            <w:hideMark/>
          </w:tcPr>
          <w:p w14:paraId="77A7478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771051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3.271,91</w:t>
            </w:r>
          </w:p>
        </w:tc>
      </w:tr>
      <w:tr w:rsidR="005F7DAA" w:rsidRPr="00FB0C69" w14:paraId="6AD7421C" w14:textId="77777777" w:rsidTr="00433346">
        <w:trPr>
          <w:trHeight w:hRule="exact" w:val="567"/>
        </w:trPr>
        <w:tc>
          <w:tcPr>
            <w:tcW w:w="574" w:type="pct"/>
            <w:vAlign w:val="center"/>
            <w:hideMark/>
          </w:tcPr>
          <w:p w14:paraId="2ADBBD7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B01149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vigas de confinamiento de hormigón armado (14cm. x 15 cm.)</w:t>
            </w:r>
          </w:p>
        </w:tc>
        <w:tc>
          <w:tcPr>
            <w:tcW w:w="603" w:type="pct"/>
            <w:vAlign w:val="center"/>
            <w:hideMark/>
          </w:tcPr>
          <w:p w14:paraId="037FB6D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5595B1E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148,30</w:t>
            </w:r>
          </w:p>
        </w:tc>
      </w:tr>
      <w:tr w:rsidR="005F7DAA" w:rsidRPr="00FB0C69" w14:paraId="24222349" w14:textId="77777777" w:rsidTr="00433346">
        <w:trPr>
          <w:trHeight w:hRule="exact" w:val="567"/>
        </w:trPr>
        <w:tc>
          <w:tcPr>
            <w:tcW w:w="574" w:type="pct"/>
            <w:vAlign w:val="center"/>
            <w:hideMark/>
          </w:tcPr>
          <w:p w14:paraId="5F101FC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101</w:t>
            </w:r>
          </w:p>
        </w:tc>
        <w:tc>
          <w:tcPr>
            <w:tcW w:w="3125" w:type="pct"/>
            <w:vAlign w:val="center"/>
            <w:hideMark/>
          </w:tcPr>
          <w:p w14:paraId="08A0465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base negra</w:t>
            </w:r>
          </w:p>
        </w:tc>
        <w:tc>
          <w:tcPr>
            <w:tcW w:w="603" w:type="pct"/>
            <w:vAlign w:val="center"/>
            <w:hideMark/>
          </w:tcPr>
          <w:p w14:paraId="07B7A67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B7AE14D"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477,53</w:t>
            </w:r>
          </w:p>
        </w:tc>
      </w:tr>
      <w:tr w:rsidR="005F7DAA" w:rsidRPr="00FB0C69" w14:paraId="539BB57B" w14:textId="77777777" w:rsidTr="00433346">
        <w:trPr>
          <w:trHeight w:hRule="exact" w:val="567"/>
        </w:trPr>
        <w:tc>
          <w:tcPr>
            <w:tcW w:w="574" w:type="pct"/>
            <w:vAlign w:val="center"/>
            <w:hideMark/>
          </w:tcPr>
          <w:p w14:paraId="4CB078F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102-1</w:t>
            </w:r>
          </w:p>
        </w:tc>
        <w:tc>
          <w:tcPr>
            <w:tcW w:w="3125" w:type="pct"/>
            <w:vAlign w:val="center"/>
            <w:hideMark/>
          </w:tcPr>
          <w:p w14:paraId="291D869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carpeta de rodadura CAC S12</w:t>
            </w:r>
          </w:p>
        </w:tc>
        <w:tc>
          <w:tcPr>
            <w:tcW w:w="603" w:type="pct"/>
            <w:vAlign w:val="center"/>
            <w:hideMark/>
          </w:tcPr>
          <w:p w14:paraId="6CC0B65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38208BB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565,69</w:t>
            </w:r>
          </w:p>
        </w:tc>
      </w:tr>
      <w:tr w:rsidR="005F7DAA" w:rsidRPr="00FB0C69" w14:paraId="4CE6A95A" w14:textId="77777777" w:rsidTr="00433346">
        <w:trPr>
          <w:trHeight w:hRule="exact" w:val="567"/>
        </w:trPr>
        <w:tc>
          <w:tcPr>
            <w:tcW w:w="574" w:type="pct"/>
            <w:vAlign w:val="center"/>
            <w:hideMark/>
          </w:tcPr>
          <w:p w14:paraId="178E01A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131</w:t>
            </w:r>
          </w:p>
        </w:tc>
        <w:tc>
          <w:tcPr>
            <w:tcW w:w="3125" w:type="pct"/>
            <w:vAlign w:val="center"/>
            <w:hideMark/>
          </w:tcPr>
          <w:p w14:paraId="3DE258E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granular de CBR &gt;60% 0/0 (con transporte)</w:t>
            </w:r>
          </w:p>
        </w:tc>
        <w:tc>
          <w:tcPr>
            <w:tcW w:w="603" w:type="pct"/>
            <w:vAlign w:val="center"/>
            <w:hideMark/>
          </w:tcPr>
          <w:p w14:paraId="2F7A869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A8935E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205,14</w:t>
            </w:r>
          </w:p>
        </w:tc>
      </w:tr>
      <w:tr w:rsidR="005F7DAA" w:rsidRPr="00FB0C69" w14:paraId="323BAD30" w14:textId="77777777" w:rsidTr="00433346">
        <w:trPr>
          <w:trHeight w:hRule="exact" w:val="567"/>
        </w:trPr>
        <w:tc>
          <w:tcPr>
            <w:tcW w:w="574" w:type="pct"/>
            <w:vAlign w:val="center"/>
            <w:hideMark/>
          </w:tcPr>
          <w:p w14:paraId="47FBBCE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133</w:t>
            </w:r>
          </w:p>
        </w:tc>
        <w:tc>
          <w:tcPr>
            <w:tcW w:w="3125" w:type="pct"/>
            <w:vAlign w:val="center"/>
            <w:hideMark/>
          </w:tcPr>
          <w:p w14:paraId="1F8A061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granular de CBR &gt;80% 0/0 (con transporte)</w:t>
            </w:r>
          </w:p>
        </w:tc>
        <w:tc>
          <w:tcPr>
            <w:tcW w:w="603" w:type="pct"/>
            <w:vAlign w:val="center"/>
            <w:hideMark/>
          </w:tcPr>
          <w:p w14:paraId="0D19627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1E390E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233,12</w:t>
            </w:r>
          </w:p>
        </w:tc>
      </w:tr>
      <w:tr w:rsidR="005F7DAA" w:rsidRPr="00FB0C69" w14:paraId="077F5EF3" w14:textId="77777777" w:rsidTr="00433346">
        <w:trPr>
          <w:trHeight w:hRule="exact" w:val="567"/>
        </w:trPr>
        <w:tc>
          <w:tcPr>
            <w:tcW w:w="574" w:type="pct"/>
            <w:vAlign w:val="center"/>
            <w:hideMark/>
          </w:tcPr>
          <w:p w14:paraId="366FE32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135</w:t>
            </w:r>
          </w:p>
        </w:tc>
        <w:tc>
          <w:tcPr>
            <w:tcW w:w="3125" w:type="pct"/>
            <w:vAlign w:val="center"/>
            <w:hideMark/>
          </w:tcPr>
          <w:p w14:paraId="7D6A2B6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Material granular para bacheo previo (con transporte)</w:t>
            </w:r>
          </w:p>
        </w:tc>
        <w:tc>
          <w:tcPr>
            <w:tcW w:w="603" w:type="pct"/>
            <w:vAlign w:val="center"/>
            <w:hideMark/>
          </w:tcPr>
          <w:p w14:paraId="6D0FFF4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9C0761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263,34</w:t>
            </w:r>
          </w:p>
        </w:tc>
      </w:tr>
      <w:tr w:rsidR="005F7DAA" w:rsidRPr="00FB0C69" w14:paraId="2A46BB6E" w14:textId="77777777" w:rsidTr="00433346">
        <w:trPr>
          <w:trHeight w:hRule="exact" w:val="567"/>
        </w:trPr>
        <w:tc>
          <w:tcPr>
            <w:tcW w:w="574" w:type="pct"/>
            <w:vAlign w:val="center"/>
            <w:hideMark/>
          </w:tcPr>
          <w:p w14:paraId="3C6A36C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137</w:t>
            </w:r>
          </w:p>
        </w:tc>
        <w:tc>
          <w:tcPr>
            <w:tcW w:w="3125" w:type="pct"/>
            <w:vAlign w:val="center"/>
            <w:hideMark/>
          </w:tcPr>
          <w:p w14:paraId="51C4CB2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Banquinas material granular cbr &gt; 80% (con transporte)</w:t>
            </w:r>
          </w:p>
        </w:tc>
        <w:tc>
          <w:tcPr>
            <w:tcW w:w="603" w:type="pct"/>
            <w:vAlign w:val="center"/>
            <w:hideMark/>
          </w:tcPr>
          <w:p w14:paraId="05B2AD5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2B0234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285,53</w:t>
            </w:r>
          </w:p>
        </w:tc>
      </w:tr>
      <w:tr w:rsidR="005F7DAA" w:rsidRPr="00FB0C69" w14:paraId="3DBDD3AB" w14:textId="77777777" w:rsidTr="00433346">
        <w:trPr>
          <w:trHeight w:hRule="exact" w:val="567"/>
        </w:trPr>
        <w:tc>
          <w:tcPr>
            <w:tcW w:w="574" w:type="pct"/>
            <w:vAlign w:val="center"/>
            <w:hideMark/>
          </w:tcPr>
          <w:p w14:paraId="769133D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211</w:t>
            </w:r>
          </w:p>
        </w:tc>
        <w:tc>
          <w:tcPr>
            <w:tcW w:w="3125" w:type="pct"/>
            <w:vAlign w:val="center"/>
            <w:hideMark/>
          </w:tcPr>
          <w:p w14:paraId="3B7F9B5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Agregados pétreos gruesos y medianos para tratamientos</w:t>
            </w:r>
          </w:p>
        </w:tc>
        <w:tc>
          <w:tcPr>
            <w:tcW w:w="603" w:type="pct"/>
            <w:vAlign w:val="center"/>
            <w:hideMark/>
          </w:tcPr>
          <w:p w14:paraId="29786F8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C5BEDC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404,11</w:t>
            </w:r>
          </w:p>
        </w:tc>
      </w:tr>
      <w:tr w:rsidR="005F7DAA" w:rsidRPr="00FB0C69" w14:paraId="5F6B2154" w14:textId="77777777" w:rsidTr="00433346">
        <w:trPr>
          <w:trHeight w:hRule="exact" w:val="567"/>
        </w:trPr>
        <w:tc>
          <w:tcPr>
            <w:tcW w:w="574" w:type="pct"/>
            <w:vAlign w:val="center"/>
            <w:hideMark/>
          </w:tcPr>
          <w:p w14:paraId="366E21EF" w14:textId="77777777" w:rsidR="005F7DAA" w:rsidRPr="00FB0C69" w:rsidRDefault="005F7DAA" w:rsidP="005425D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lastRenderedPageBreak/>
              <w:t>238</w:t>
            </w:r>
          </w:p>
        </w:tc>
        <w:tc>
          <w:tcPr>
            <w:tcW w:w="3125" w:type="pct"/>
            <w:vAlign w:val="center"/>
            <w:hideMark/>
          </w:tcPr>
          <w:p w14:paraId="3A18AD5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Cordones de hormigón armado integrado</w:t>
            </w:r>
          </w:p>
        </w:tc>
        <w:tc>
          <w:tcPr>
            <w:tcW w:w="603" w:type="pct"/>
            <w:vAlign w:val="center"/>
            <w:hideMark/>
          </w:tcPr>
          <w:p w14:paraId="5FBF6C9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4DB6230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374,38</w:t>
            </w:r>
          </w:p>
        </w:tc>
      </w:tr>
      <w:tr w:rsidR="005F7DAA" w:rsidRPr="00FB0C69" w14:paraId="60B1DEF9" w14:textId="77777777" w:rsidTr="00433346">
        <w:trPr>
          <w:trHeight w:hRule="exact" w:val="567"/>
        </w:trPr>
        <w:tc>
          <w:tcPr>
            <w:tcW w:w="574" w:type="pct"/>
            <w:vAlign w:val="center"/>
            <w:hideMark/>
          </w:tcPr>
          <w:p w14:paraId="2BEA8688"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273</w:t>
            </w:r>
          </w:p>
        </w:tc>
        <w:tc>
          <w:tcPr>
            <w:tcW w:w="3125" w:type="pct"/>
            <w:vAlign w:val="center"/>
            <w:hideMark/>
          </w:tcPr>
          <w:p w14:paraId="5F37E24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50 cm. (sin cabezales)</w:t>
            </w:r>
          </w:p>
        </w:tc>
        <w:tc>
          <w:tcPr>
            <w:tcW w:w="603" w:type="pct"/>
            <w:vAlign w:val="center"/>
            <w:hideMark/>
          </w:tcPr>
          <w:p w14:paraId="7DF0939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115ABA8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1.552,50</w:t>
            </w:r>
          </w:p>
        </w:tc>
      </w:tr>
      <w:tr w:rsidR="005F7DAA" w:rsidRPr="00FB0C69" w14:paraId="5B2921D9" w14:textId="77777777" w:rsidTr="00433346">
        <w:trPr>
          <w:trHeight w:hRule="exact" w:val="567"/>
        </w:trPr>
        <w:tc>
          <w:tcPr>
            <w:tcW w:w="574" w:type="pct"/>
            <w:vAlign w:val="center"/>
            <w:hideMark/>
          </w:tcPr>
          <w:p w14:paraId="22C3D6D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281</w:t>
            </w:r>
          </w:p>
        </w:tc>
        <w:tc>
          <w:tcPr>
            <w:tcW w:w="3125" w:type="pct"/>
            <w:vAlign w:val="center"/>
            <w:hideMark/>
          </w:tcPr>
          <w:p w14:paraId="4E14DA0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Cabezales de hormigón armado clase VII para alcantarillas de caños</w:t>
            </w:r>
          </w:p>
        </w:tc>
        <w:tc>
          <w:tcPr>
            <w:tcW w:w="603" w:type="pct"/>
            <w:vAlign w:val="center"/>
            <w:hideMark/>
          </w:tcPr>
          <w:p w14:paraId="10FD310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C4EEEB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6.339,09</w:t>
            </w:r>
          </w:p>
        </w:tc>
      </w:tr>
      <w:tr w:rsidR="005F7DAA" w:rsidRPr="00FB0C69" w14:paraId="335EA74C" w14:textId="77777777" w:rsidTr="00433346">
        <w:trPr>
          <w:trHeight w:hRule="exact" w:val="567"/>
        </w:trPr>
        <w:tc>
          <w:tcPr>
            <w:tcW w:w="574" w:type="pct"/>
            <w:vAlign w:val="center"/>
            <w:hideMark/>
          </w:tcPr>
          <w:p w14:paraId="5404583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873</w:t>
            </w:r>
          </w:p>
        </w:tc>
        <w:tc>
          <w:tcPr>
            <w:tcW w:w="3125" w:type="pct"/>
            <w:vAlign w:val="center"/>
            <w:hideMark/>
          </w:tcPr>
          <w:p w14:paraId="45B96D1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Cordones de hormigón simple</w:t>
            </w:r>
          </w:p>
        </w:tc>
        <w:tc>
          <w:tcPr>
            <w:tcW w:w="603" w:type="pct"/>
            <w:vAlign w:val="center"/>
            <w:hideMark/>
          </w:tcPr>
          <w:p w14:paraId="759B7BF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68EEFCA1"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233,99</w:t>
            </w:r>
          </w:p>
        </w:tc>
      </w:tr>
      <w:tr w:rsidR="005F7DAA" w:rsidRPr="00FB0C69" w14:paraId="675EFF9B" w14:textId="77777777" w:rsidTr="00433346">
        <w:trPr>
          <w:trHeight w:hRule="exact" w:val="567"/>
        </w:trPr>
        <w:tc>
          <w:tcPr>
            <w:tcW w:w="574" w:type="pct"/>
            <w:vAlign w:val="center"/>
            <w:hideMark/>
          </w:tcPr>
          <w:p w14:paraId="5144DD4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3011</w:t>
            </w:r>
          </w:p>
        </w:tc>
        <w:tc>
          <w:tcPr>
            <w:tcW w:w="3125" w:type="pct"/>
            <w:vAlign w:val="center"/>
            <w:hideMark/>
          </w:tcPr>
          <w:p w14:paraId="59EA08B8"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Señales clase 2 instaladas sin poste</w:t>
            </w:r>
          </w:p>
        </w:tc>
        <w:tc>
          <w:tcPr>
            <w:tcW w:w="603" w:type="pct"/>
            <w:vAlign w:val="center"/>
            <w:hideMark/>
          </w:tcPr>
          <w:p w14:paraId="025D547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17DEFA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1.836,39</w:t>
            </w:r>
          </w:p>
        </w:tc>
      </w:tr>
      <w:tr w:rsidR="005F7DAA" w:rsidRPr="00FB0C69" w14:paraId="48ED6059" w14:textId="77777777" w:rsidTr="00433346">
        <w:trPr>
          <w:trHeight w:hRule="exact" w:val="567"/>
        </w:trPr>
        <w:tc>
          <w:tcPr>
            <w:tcW w:w="574" w:type="pct"/>
            <w:vAlign w:val="center"/>
            <w:hideMark/>
          </w:tcPr>
          <w:p w14:paraId="4280C16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3029</w:t>
            </w:r>
          </w:p>
        </w:tc>
        <w:tc>
          <w:tcPr>
            <w:tcW w:w="3125" w:type="pct"/>
            <w:vAlign w:val="center"/>
            <w:hideMark/>
          </w:tcPr>
          <w:p w14:paraId="6088CCC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kilométrico instalado</w:t>
            </w:r>
          </w:p>
        </w:tc>
        <w:tc>
          <w:tcPr>
            <w:tcW w:w="603" w:type="pct"/>
            <w:vAlign w:val="center"/>
            <w:hideMark/>
          </w:tcPr>
          <w:p w14:paraId="7B2412B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1EF6B1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15.018,41</w:t>
            </w:r>
          </w:p>
        </w:tc>
      </w:tr>
      <w:tr w:rsidR="005F7DAA" w:rsidRPr="00FB0C69" w14:paraId="3DE4C203" w14:textId="77777777" w:rsidTr="00433346">
        <w:trPr>
          <w:trHeight w:hRule="exact" w:val="567"/>
        </w:trPr>
        <w:tc>
          <w:tcPr>
            <w:tcW w:w="574" w:type="pct"/>
            <w:vAlign w:val="center"/>
            <w:hideMark/>
          </w:tcPr>
          <w:p w14:paraId="5596193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A530A0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talud puente</w:t>
            </w:r>
          </w:p>
        </w:tc>
        <w:tc>
          <w:tcPr>
            <w:tcW w:w="603" w:type="pct"/>
            <w:vAlign w:val="center"/>
            <w:hideMark/>
          </w:tcPr>
          <w:p w14:paraId="5EB3C83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3213D52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775,87</w:t>
            </w:r>
          </w:p>
        </w:tc>
      </w:tr>
      <w:tr w:rsidR="005F7DAA" w:rsidRPr="00FB0C69" w14:paraId="19EF7FFF" w14:textId="77777777" w:rsidTr="00433346">
        <w:trPr>
          <w:trHeight w:hRule="exact" w:val="567"/>
        </w:trPr>
        <w:tc>
          <w:tcPr>
            <w:tcW w:w="574" w:type="pct"/>
            <w:vAlign w:val="center"/>
            <w:hideMark/>
          </w:tcPr>
          <w:p w14:paraId="0BF3B13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EE1CFA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y colocación de adoquines de 10 cm.</w:t>
            </w:r>
          </w:p>
        </w:tc>
        <w:tc>
          <w:tcPr>
            <w:tcW w:w="603" w:type="pct"/>
            <w:vAlign w:val="center"/>
            <w:hideMark/>
          </w:tcPr>
          <w:p w14:paraId="57E77F7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6711337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475,19</w:t>
            </w:r>
          </w:p>
        </w:tc>
      </w:tr>
      <w:tr w:rsidR="005F7DAA" w:rsidRPr="00FB0C69" w14:paraId="6005E4C2" w14:textId="77777777" w:rsidTr="00433346">
        <w:trPr>
          <w:trHeight w:hRule="exact" w:val="567"/>
        </w:trPr>
        <w:tc>
          <w:tcPr>
            <w:tcW w:w="574" w:type="pct"/>
            <w:vAlign w:val="center"/>
            <w:hideMark/>
          </w:tcPr>
          <w:p w14:paraId="140E1C7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w:t>
            </w:r>
          </w:p>
        </w:tc>
        <w:tc>
          <w:tcPr>
            <w:tcW w:w="3125" w:type="pct"/>
            <w:vAlign w:val="center"/>
            <w:hideMark/>
          </w:tcPr>
          <w:p w14:paraId="7C6728B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w:t>
            </w:r>
          </w:p>
        </w:tc>
        <w:tc>
          <w:tcPr>
            <w:tcW w:w="603" w:type="pct"/>
            <w:vAlign w:val="center"/>
            <w:hideMark/>
          </w:tcPr>
          <w:p w14:paraId="1C910D3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3B55EE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47,45</w:t>
            </w:r>
          </w:p>
        </w:tc>
      </w:tr>
      <w:tr w:rsidR="005F7DAA" w:rsidRPr="00FB0C69" w14:paraId="58EF319A" w14:textId="77777777" w:rsidTr="00433346">
        <w:trPr>
          <w:trHeight w:hRule="exact" w:val="567"/>
        </w:trPr>
        <w:tc>
          <w:tcPr>
            <w:tcW w:w="574" w:type="pct"/>
            <w:vAlign w:val="center"/>
            <w:hideMark/>
          </w:tcPr>
          <w:p w14:paraId="5D25CC7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7</w:t>
            </w:r>
          </w:p>
        </w:tc>
        <w:tc>
          <w:tcPr>
            <w:tcW w:w="3125" w:type="pct"/>
            <w:vAlign w:val="center"/>
            <w:hideMark/>
          </w:tcPr>
          <w:p w14:paraId="0E21602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a depósito</w:t>
            </w:r>
          </w:p>
        </w:tc>
        <w:tc>
          <w:tcPr>
            <w:tcW w:w="603" w:type="pct"/>
            <w:vAlign w:val="center"/>
            <w:hideMark/>
          </w:tcPr>
          <w:p w14:paraId="31725BC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B37060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40,47</w:t>
            </w:r>
          </w:p>
        </w:tc>
      </w:tr>
      <w:tr w:rsidR="005F7DAA" w:rsidRPr="00FB0C69" w14:paraId="3C562322" w14:textId="77777777" w:rsidTr="00433346">
        <w:trPr>
          <w:trHeight w:hRule="exact" w:val="567"/>
        </w:trPr>
        <w:tc>
          <w:tcPr>
            <w:tcW w:w="574" w:type="pct"/>
            <w:vAlign w:val="center"/>
            <w:hideMark/>
          </w:tcPr>
          <w:p w14:paraId="6B4ED2D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8</w:t>
            </w:r>
          </w:p>
        </w:tc>
        <w:tc>
          <w:tcPr>
            <w:tcW w:w="3125" w:type="pct"/>
            <w:vAlign w:val="center"/>
            <w:hideMark/>
          </w:tcPr>
          <w:p w14:paraId="49FB392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Excavación no clasificada a préstamo</w:t>
            </w:r>
          </w:p>
        </w:tc>
        <w:tc>
          <w:tcPr>
            <w:tcW w:w="603" w:type="pct"/>
            <w:vAlign w:val="center"/>
            <w:hideMark/>
          </w:tcPr>
          <w:p w14:paraId="45CD60A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3025A7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83,72</w:t>
            </w:r>
          </w:p>
        </w:tc>
      </w:tr>
      <w:tr w:rsidR="005F7DAA" w:rsidRPr="00FB0C69" w14:paraId="7925C9B7" w14:textId="77777777" w:rsidTr="00433346">
        <w:trPr>
          <w:trHeight w:hRule="exact" w:val="567"/>
        </w:trPr>
        <w:tc>
          <w:tcPr>
            <w:tcW w:w="574" w:type="pct"/>
            <w:vAlign w:val="center"/>
            <w:hideMark/>
          </w:tcPr>
          <w:p w14:paraId="4F8EB25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w:t>
            </w:r>
          </w:p>
        </w:tc>
        <w:tc>
          <w:tcPr>
            <w:tcW w:w="3125" w:type="pct"/>
            <w:vAlign w:val="center"/>
            <w:hideMark/>
          </w:tcPr>
          <w:p w14:paraId="305C3EB2"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Extracción de árboles </w:t>
            </w:r>
          </w:p>
        </w:tc>
        <w:tc>
          <w:tcPr>
            <w:tcW w:w="603" w:type="pct"/>
            <w:vAlign w:val="center"/>
            <w:hideMark/>
          </w:tcPr>
          <w:p w14:paraId="5DDE080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29E60A4C"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860,67</w:t>
            </w:r>
          </w:p>
        </w:tc>
      </w:tr>
      <w:tr w:rsidR="005F7DAA" w:rsidRPr="00FB0C69" w14:paraId="64DC3B57" w14:textId="77777777" w:rsidTr="00433346">
        <w:trPr>
          <w:trHeight w:hRule="exact" w:val="567"/>
        </w:trPr>
        <w:tc>
          <w:tcPr>
            <w:tcW w:w="574" w:type="pct"/>
            <w:vAlign w:val="center"/>
            <w:hideMark/>
          </w:tcPr>
          <w:p w14:paraId="39B875F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25</w:t>
            </w:r>
          </w:p>
        </w:tc>
        <w:tc>
          <w:tcPr>
            <w:tcW w:w="3125" w:type="pct"/>
            <w:vAlign w:val="center"/>
            <w:hideMark/>
          </w:tcPr>
          <w:p w14:paraId="7491F0D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Escarificado conformación y compactación de capa de base</w:t>
            </w:r>
          </w:p>
        </w:tc>
        <w:tc>
          <w:tcPr>
            <w:tcW w:w="603" w:type="pct"/>
            <w:vAlign w:val="center"/>
            <w:hideMark/>
          </w:tcPr>
          <w:p w14:paraId="1DD2960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32D307B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6,98</w:t>
            </w:r>
          </w:p>
        </w:tc>
      </w:tr>
      <w:tr w:rsidR="005F7DAA" w:rsidRPr="00FB0C69" w14:paraId="6F8CC688" w14:textId="77777777" w:rsidTr="00433346">
        <w:trPr>
          <w:trHeight w:hRule="exact" w:val="567"/>
        </w:trPr>
        <w:tc>
          <w:tcPr>
            <w:tcW w:w="574" w:type="pct"/>
            <w:vAlign w:val="center"/>
            <w:hideMark/>
          </w:tcPr>
          <w:p w14:paraId="6FDD717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31</w:t>
            </w:r>
          </w:p>
        </w:tc>
        <w:tc>
          <w:tcPr>
            <w:tcW w:w="3125" w:type="pct"/>
            <w:vAlign w:val="center"/>
            <w:hideMark/>
          </w:tcPr>
          <w:p w14:paraId="1D56BB8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Entradas particulares incl. Caños</w:t>
            </w:r>
          </w:p>
        </w:tc>
        <w:tc>
          <w:tcPr>
            <w:tcW w:w="603" w:type="pct"/>
            <w:vAlign w:val="center"/>
            <w:hideMark/>
          </w:tcPr>
          <w:p w14:paraId="2365B11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0F489BC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17.683,78</w:t>
            </w:r>
          </w:p>
        </w:tc>
      </w:tr>
      <w:tr w:rsidR="005F7DAA" w:rsidRPr="00FB0C69" w14:paraId="75FDF328" w14:textId="77777777" w:rsidTr="00433346">
        <w:trPr>
          <w:trHeight w:hRule="exact" w:val="567"/>
        </w:trPr>
        <w:tc>
          <w:tcPr>
            <w:tcW w:w="574" w:type="pct"/>
            <w:vAlign w:val="center"/>
            <w:hideMark/>
          </w:tcPr>
          <w:p w14:paraId="06A933D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lastRenderedPageBreak/>
              <w:t>76</w:t>
            </w:r>
          </w:p>
        </w:tc>
        <w:tc>
          <w:tcPr>
            <w:tcW w:w="3125" w:type="pct"/>
            <w:vAlign w:val="center"/>
            <w:hideMark/>
          </w:tcPr>
          <w:p w14:paraId="24357553"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Sobretransporte de suelos (distancia libre = 400 metros )</w:t>
            </w:r>
          </w:p>
        </w:tc>
        <w:tc>
          <w:tcPr>
            <w:tcW w:w="603" w:type="pct"/>
            <w:vAlign w:val="center"/>
            <w:hideMark/>
          </w:tcPr>
          <w:p w14:paraId="31E2C4E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 xml:space="preserve">3 </w:t>
            </w:r>
            <w:r w:rsidRPr="00FB0C69">
              <w:rPr>
                <w:rFonts w:ascii="Arial" w:hAnsi="Arial" w:cs="Arial"/>
              </w:rPr>
              <w:t>/ Km</w:t>
            </w:r>
          </w:p>
        </w:tc>
        <w:tc>
          <w:tcPr>
            <w:tcW w:w="698" w:type="pct"/>
            <w:vAlign w:val="center"/>
            <w:hideMark/>
          </w:tcPr>
          <w:p w14:paraId="63A96E6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2,80</w:t>
            </w:r>
          </w:p>
        </w:tc>
      </w:tr>
      <w:tr w:rsidR="005F7DAA" w:rsidRPr="00FB0C69" w14:paraId="5E85CFAC" w14:textId="77777777" w:rsidTr="00433346">
        <w:trPr>
          <w:trHeight w:hRule="exact" w:val="567"/>
        </w:trPr>
        <w:tc>
          <w:tcPr>
            <w:tcW w:w="574" w:type="pct"/>
            <w:vAlign w:val="center"/>
            <w:hideMark/>
          </w:tcPr>
          <w:p w14:paraId="2A66422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94</w:t>
            </w:r>
          </w:p>
        </w:tc>
        <w:tc>
          <w:tcPr>
            <w:tcW w:w="3125" w:type="pct"/>
            <w:vAlign w:val="center"/>
            <w:hideMark/>
          </w:tcPr>
          <w:p w14:paraId="3004154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Cemento Portland para base estabilizada con cemento</w:t>
            </w:r>
          </w:p>
        </w:tc>
        <w:tc>
          <w:tcPr>
            <w:tcW w:w="603" w:type="pct"/>
            <w:vAlign w:val="center"/>
            <w:hideMark/>
          </w:tcPr>
          <w:p w14:paraId="27B01E9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2A92D86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2.027,16</w:t>
            </w:r>
          </w:p>
        </w:tc>
      </w:tr>
      <w:tr w:rsidR="005F7DAA" w:rsidRPr="00FB0C69" w14:paraId="22B09074" w14:textId="77777777" w:rsidTr="00433346">
        <w:trPr>
          <w:trHeight w:hRule="exact" w:val="567"/>
        </w:trPr>
        <w:tc>
          <w:tcPr>
            <w:tcW w:w="574" w:type="pct"/>
            <w:vAlign w:val="center"/>
            <w:hideMark/>
          </w:tcPr>
          <w:p w14:paraId="4E7CDFE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94 D</w:t>
            </w:r>
          </w:p>
        </w:tc>
        <w:tc>
          <w:tcPr>
            <w:tcW w:w="3125" w:type="pct"/>
            <w:vAlign w:val="center"/>
            <w:hideMark/>
          </w:tcPr>
          <w:p w14:paraId="27A6D31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Cemento Portland para base estabilizada con cemento (incluye cemento) para drenajes</w:t>
            </w:r>
          </w:p>
        </w:tc>
        <w:tc>
          <w:tcPr>
            <w:tcW w:w="603" w:type="pct"/>
            <w:vAlign w:val="center"/>
            <w:hideMark/>
          </w:tcPr>
          <w:p w14:paraId="45FD3DA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1F33D64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2.432,59</w:t>
            </w:r>
          </w:p>
        </w:tc>
      </w:tr>
      <w:tr w:rsidR="005F7DAA" w:rsidRPr="00FB0C69" w14:paraId="3499FC13" w14:textId="77777777" w:rsidTr="00433346">
        <w:trPr>
          <w:trHeight w:hRule="exact" w:val="567"/>
        </w:trPr>
        <w:tc>
          <w:tcPr>
            <w:tcW w:w="574" w:type="pct"/>
            <w:vAlign w:val="center"/>
            <w:hideMark/>
          </w:tcPr>
          <w:p w14:paraId="6AA2752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113</w:t>
            </w:r>
          </w:p>
        </w:tc>
        <w:tc>
          <w:tcPr>
            <w:tcW w:w="3125" w:type="pct"/>
            <w:vAlign w:val="center"/>
            <w:hideMark/>
          </w:tcPr>
          <w:p w14:paraId="7574354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doble</w:t>
            </w:r>
          </w:p>
        </w:tc>
        <w:tc>
          <w:tcPr>
            <w:tcW w:w="603" w:type="pct"/>
            <w:vAlign w:val="center"/>
            <w:hideMark/>
          </w:tcPr>
          <w:p w14:paraId="062D9B4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EAB81A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13,18</w:t>
            </w:r>
          </w:p>
        </w:tc>
      </w:tr>
      <w:tr w:rsidR="005F7DAA" w:rsidRPr="00FB0C69" w14:paraId="6CC4193B" w14:textId="77777777" w:rsidTr="00433346">
        <w:trPr>
          <w:trHeight w:hRule="exact" w:val="567"/>
        </w:trPr>
        <w:tc>
          <w:tcPr>
            <w:tcW w:w="574" w:type="pct"/>
            <w:vAlign w:val="center"/>
            <w:hideMark/>
          </w:tcPr>
          <w:p w14:paraId="126829E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129</w:t>
            </w:r>
          </w:p>
        </w:tc>
        <w:tc>
          <w:tcPr>
            <w:tcW w:w="3125" w:type="pct"/>
            <w:vAlign w:val="center"/>
            <w:hideMark/>
          </w:tcPr>
          <w:p w14:paraId="411CB4A6"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Sub-base granular con CBR &gt; 40% 0/0 (con transporte)</w:t>
            </w:r>
          </w:p>
        </w:tc>
        <w:tc>
          <w:tcPr>
            <w:tcW w:w="603" w:type="pct"/>
            <w:vAlign w:val="center"/>
            <w:hideMark/>
          </w:tcPr>
          <w:p w14:paraId="054B187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CF5CCF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116,29</w:t>
            </w:r>
          </w:p>
        </w:tc>
      </w:tr>
      <w:tr w:rsidR="005F7DAA" w:rsidRPr="00FB0C69" w14:paraId="2E3FD24A" w14:textId="77777777" w:rsidTr="00433346">
        <w:trPr>
          <w:trHeight w:hRule="exact" w:val="567"/>
        </w:trPr>
        <w:tc>
          <w:tcPr>
            <w:tcW w:w="574" w:type="pct"/>
            <w:vAlign w:val="center"/>
            <w:hideMark/>
          </w:tcPr>
          <w:p w14:paraId="3A08EAE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274</w:t>
            </w:r>
          </w:p>
        </w:tc>
        <w:tc>
          <w:tcPr>
            <w:tcW w:w="3125" w:type="pct"/>
            <w:vAlign w:val="center"/>
            <w:hideMark/>
          </w:tcPr>
          <w:p w14:paraId="0328DDD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60 cm. (sin cabezales)</w:t>
            </w:r>
          </w:p>
        </w:tc>
        <w:tc>
          <w:tcPr>
            <w:tcW w:w="603" w:type="pct"/>
            <w:vAlign w:val="center"/>
            <w:hideMark/>
          </w:tcPr>
          <w:p w14:paraId="51D42C5E"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53B6FE1F"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1.886,57</w:t>
            </w:r>
          </w:p>
        </w:tc>
      </w:tr>
      <w:tr w:rsidR="005F7DAA" w:rsidRPr="00FB0C69" w14:paraId="5B1E859C" w14:textId="77777777" w:rsidTr="00433346">
        <w:trPr>
          <w:trHeight w:hRule="exact" w:val="567"/>
        </w:trPr>
        <w:tc>
          <w:tcPr>
            <w:tcW w:w="574" w:type="pct"/>
            <w:vAlign w:val="center"/>
            <w:hideMark/>
          </w:tcPr>
          <w:p w14:paraId="6173315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275</w:t>
            </w:r>
          </w:p>
        </w:tc>
        <w:tc>
          <w:tcPr>
            <w:tcW w:w="3125" w:type="pct"/>
            <w:vAlign w:val="center"/>
            <w:hideMark/>
          </w:tcPr>
          <w:p w14:paraId="1B394D0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80 cm. (sin cabezales)</w:t>
            </w:r>
          </w:p>
        </w:tc>
        <w:tc>
          <w:tcPr>
            <w:tcW w:w="603" w:type="pct"/>
            <w:vAlign w:val="center"/>
            <w:hideMark/>
          </w:tcPr>
          <w:p w14:paraId="004D88CD"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3985BFD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2.563,81</w:t>
            </w:r>
          </w:p>
        </w:tc>
      </w:tr>
      <w:tr w:rsidR="005F7DAA" w:rsidRPr="00FB0C69" w14:paraId="66418894" w14:textId="77777777" w:rsidTr="00433346">
        <w:trPr>
          <w:trHeight w:hRule="exact" w:val="567"/>
        </w:trPr>
        <w:tc>
          <w:tcPr>
            <w:tcW w:w="574" w:type="pct"/>
            <w:vAlign w:val="center"/>
            <w:hideMark/>
          </w:tcPr>
          <w:p w14:paraId="3CF8915B"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276</w:t>
            </w:r>
          </w:p>
        </w:tc>
        <w:tc>
          <w:tcPr>
            <w:tcW w:w="3125" w:type="pct"/>
            <w:vAlign w:val="center"/>
            <w:hideMark/>
          </w:tcPr>
          <w:p w14:paraId="26ED282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100 cm. (sin cabezales)</w:t>
            </w:r>
          </w:p>
        </w:tc>
        <w:tc>
          <w:tcPr>
            <w:tcW w:w="603" w:type="pct"/>
            <w:vAlign w:val="center"/>
            <w:hideMark/>
          </w:tcPr>
          <w:p w14:paraId="732B1133" w14:textId="77777777" w:rsidR="005F7DAA" w:rsidRPr="00FB0C69" w:rsidRDefault="00C10C4A" w:rsidP="00533D75">
            <w:pPr>
              <w:tabs>
                <w:tab w:val="left" w:pos="-1440"/>
                <w:tab w:val="left" w:pos="-720"/>
                <w:tab w:val="left" w:pos="0"/>
                <w:tab w:val="left" w:pos="720"/>
                <w:tab w:val="left" w:pos="2160"/>
              </w:tabs>
              <w:spacing w:after="120"/>
              <w:jc w:val="center"/>
              <w:rPr>
                <w:rFonts w:ascii="Arial" w:hAnsi="Arial" w:cs="Arial"/>
              </w:rPr>
            </w:pPr>
            <w:r>
              <w:rPr>
                <w:rFonts w:ascii="Arial" w:hAnsi="Arial" w:cs="Arial"/>
              </w:rPr>
              <w:t>m</w:t>
            </w:r>
          </w:p>
        </w:tc>
        <w:tc>
          <w:tcPr>
            <w:tcW w:w="698" w:type="pct"/>
            <w:vAlign w:val="center"/>
            <w:hideMark/>
          </w:tcPr>
          <w:p w14:paraId="563FBCF9"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3.275,92</w:t>
            </w:r>
          </w:p>
        </w:tc>
      </w:tr>
      <w:tr w:rsidR="005F7DAA" w:rsidRPr="00FB0C69" w14:paraId="3E3C786D" w14:textId="77777777" w:rsidTr="00433346">
        <w:trPr>
          <w:trHeight w:hRule="exact" w:val="567"/>
        </w:trPr>
        <w:tc>
          <w:tcPr>
            <w:tcW w:w="574" w:type="pct"/>
            <w:vAlign w:val="center"/>
            <w:hideMark/>
          </w:tcPr>
          <w:p w14:paraId="7B2173B9" w14:textId="77777777" w:rsidR="005F7DAA" w:rsidRPr="00FB0C69" w:rsidRDefault="005425D4" w:rsidP="005425D4">
            <w:pPr>
              <w:tabs>
                <w:tab w:val="left" w:pos="-1440"/>
                <w:tab w:val="left" w:pos="-720"/>
                <w:tab w:val="left" w:pos="0"/>
                <w:tab w:val="left" w:pos="720"/>
                <w:tab w:val="left" w:pos="2160"/>
              </w:tabs>
              <w:spacing w:after="120"/>
              <w:jc w:val="center"/>
              <w:rPr>
                <w:rFonts w:ascii="Arial" w:hAnsi="Arial" w:cs="Arial"/>
              </w:rPr>
            </w:pPr>
            <w:r>
              <w:rPr>
                <w:rFonts w:ascii="Arial" w:hAnsi="Arial" w:cs="Arial"/>
              </w:rPr>
              <w:t>288</w:t>
            </w:r>
          </w:p>
        </w:tc>
        <w:tc>
          <w:tcPr>
            <w:tcW w:w="3125" w:type="pct"/>
            <w:vAlign w:val="center"/>
            <w:hideMark/>
          </w:tcPr>
          <w:p w14:paraId="4D6177D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canal</w:t>
            </w:r>
          </w:p>
        </w:tc>
        <w:tc>
          <w:tcPr>
            <w:tcW w:w="603" w:type="pct"/>
            <w:vAlign w:val="center"/>
            <w:hideMark/>
          </w:tcPr>
          <w:p w14:paraId="2F405CA3"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32E9CA6"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292,36</w:t>
            </w:r>
          </w:p>
        </w:tc>
      </w:tr>
      <w:tr w:rsidR="005F7DAA" w:rsidRPr="00FB0C69" w14:paraId="29E7766F" w14:textId="77777777" w:rsidTr="00433346">
        <w:trPr>
          <w:trHeight w:hRule="exact" w:val="567"/>
        </w:trPr>
        <w:tc>
          <w:tcPr>
            <w:tcW w:w="574" w:type="pct"/>
            <w:vAlign w:val="center"/>
            <w:hideMark/>
          </w:tcPr>
          <w:p w14:paraId="30E4CB8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311</w:t>
            </w:r>
          </w:p>
        </w:tc>
        <w:tc>
          <w:tcPr>
            <w:tcW w:w="3125" w:type="pct"/>
            <w:vAlign w:val="center"/>
            <w:hideMark/>
          </w:tcPr>
          <w:p w14:paraId="5461FE3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Alambrado de ley</w:t>
            </w:r>
          </w:p>
        </w:tc>
        <w:tc>
          <w:tcPr>
            <w:tcW w:w="603" w:type="pct"/>
            <w:vAlign w:val="center"/>
            <w:hideMark/>
          </w:tcPr>
          <w:p w14:paraId="4E6393C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5D29DBF0"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60,46</w:t>
            </w:r>
          </w:p>
        </w:tc>
      </w:tr>
      <w:tr w:rsidR="005F7DAA" w:rsidRPr="00FB0C69" w14:paraId="2E472483" w14:textId="77777777" w:rsidTr="00433346">
        <w:trPr>
          <w:trHeight w:hRule="exact" w:val="567"/>
        </w:trPr>
        <w:tc>
          <w:tcPr>
            <w:tcW w:w="574" w:type="pct"/>
            <w:vAlign w:val="center"/>
            <w:hideMark/>
          </w:tcPr>
          <w:p w14:paraId="2FB7378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427</w:t>
            </w:r>
          </w:p>
        </w:tc>
        <w:tc>
          <w:tcPr>
            <w:tcW w:w="3125" w:type="pct"/>
            <w:vAlign w:val="center"/>
            <w:hideMark/>
          </w:tcPr>
          <w:p w14:paraId="22DACAAE"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Revestimiento con tepes</w:t>
            </w:r>
          </w:p>
        </w:tc>
        <w:tc>
          <w:tcPr>
            <w:tcW w:w="603" w:type="pct"/>
            <w:vAlign w:val="center"/>
            <w:hideMark/>
          </w:tcPr>
          <w:p w14:paraId="3E9E405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81810B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99,03</w:t>
            </w:r>
          </w:p>
        </w:tc>
      </w:tr>
      <w:tr w:rsidR="005F7DAA" w:rsidRPr="00FB0C69" w14:paraId="691A914E" w14:textId="77777777" w:rsidTr="00433346">
        <w:trPr>
          <w:trHeight w:hRule="exact" w:val="567"/>
        </w:trPr>
        <w:tc>
          <w:tcPr>
            <w:tcW w:w="574" w:type="pct"/>
            <w:vAlign w:val="center"/>
            <w:hideMark/>
          </w:tcPr>
          <w:p w14:paraId="7A50871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599</w:t>
            </w:r>
          </w:p>
        </w:tc>
        <w:tc>
          <w:tcPr>
            <w:tcW w:w="3125" w:type="pct"/>
            <w:vAlign w:val="center"/>
            <w:hideMark/>
          </w:tcPr>
          <w:p w14:paraId="7E5C2EFC"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Suministro y tendido de geogrilla</w:t>
            </w:r>
          </w:p>
        </w:tc>
        <w:tc>
          <w:tcPr>
            <w:tcW w:w="603" w:type="pct"/>
            <w:vAlign w:val="center"/>
            <w:hideMark/>
          </w:tcPr>
          <w:p w14:paraId="31837674"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1B641231"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80,85</w:t>
            </w:r>
          </w:p>
        </w:tc>
      </w:tr>
      <w:tr w:rsidR="005F7DAA" w:rsidRPr="00FB0C69" w14:paraId="30AE71B2" w14:textId="77777777" w:rsidTr="00433346">
        <w:trPr>
          <w:trHeight w:hRule="exact" w:val="567"/>
        </w:trPr>
        <w:tc>
          <w:tcPr>
            <w:tcW w:w="574" w:type="pct"/>
            <w:vAlign w:val="center"/>
            <w:hideMark/>
          </w:tcPr>
          <w:p w14:paraId="3B453D5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621</w:t>
            </w:r>
          </w:p>
        </w:tc>
        <w:tc>
          <w:tcPr>
            <w:tcW w:w="3125" w:type="pct"/>
            <w:vAlign w:val="center"/>
            <w:hideMark/>
          </w:tcPr>
          <w:p w14:paraId="6A4E406A"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Parapetos metálicos para protección del tránsito</w:t>
            </w:r>
          </w:p>
        </w:tc>
        <w:tc>
          <w:tcPr>
            <w:tcW w:w="603" w:type="pct"/>
            <w:vAlign w:val="center"/>
            <w:hideMark/>
          </w:tcPr>
          <w:p w14:paraId="570A033D"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362B281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827,18</w:t>
            </w:r>
          </w:p>
        </w:tc>
      </w:tr>
      <w:tr w:rsidR="005F7DAA" w:rsidRPr="00FB0C69" w14:paraId="79C37CA1" w14:textId="77777777" w:rsidTr="00433346">
        <w:trPr>
          <w:trHeight w:hRule="exact" w:val="567"/>
        </w:trPr>
        <w:tc>
          <w:tcPr>
            <w:tcW w:w="574" w:type="pct"/>
            <w:vAlign w:val="center"/>
            <w:hideMark/>
          </w:tcPr>
          <w:p w14:paraId="2F4C83F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632</w:t>
            </w:r>
          </w:p>
        </w:tc>
        <w:tc>
          <w:tcPr>
            <w:tcW w:w="3125" w:type="pct"/>
            <w:vAlign w:val="center"/>
            <w:hideMark/>
          </w:tcPr>
          <w:p w14:paraId="2570884F"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Demolición y retiro de pavimentos</w:t>
            </w:r>
          </w:p>
        </w:tc>
        <w:tc>
          <w:tcPr>
            <w:tcW w:w="603" w:type="pct"/>
            <w:vAlign w:val="center"/>
            <w:hideMark/>
          </w:tcPr>
          <w:p w14:paraId="6929FAC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A870B2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28,12</w:t>
            </w:r>
          </w:p>
        </w:tc>
      </w:tr>
      <w:tr w:rsidR="005F7DAA" w:rsidRPr="00FB0C69" w14:paraId="72F3EC74" w14:textId="77777777" w:rsidTr="00433346">
        <w:trPr>
          <w:trHeight w:hRule="exact" w:val="567"/>
        </w:trPr>
        <w:tc>
          <w:tcPr>
            <w:tcW w:w="574" w:type="pct"/>
            <w:vAlign w:val="center"/>
            <w:hideMark/>
          </w:tcPr>
          <w:p w14:paraId="5B9125C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lastRenderedPageBreak/>
              <w:t>907</w:t>
            </w:r>
          </w:p>
        </w:tc>
        <w:tc>
          <w:tcPr>
            <w:tcW w:w="3125" w:type="pct"/>
            <w:vAlign w:val="center"/>
            <w:hideMark/>
          </w:tcPr>
          <w:p w14:paraId="6A63DFF1"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Suelo pasto</w:t>
            </w:r>
          </w:p>
        </w:tc>
        <w:tc>
          <w:tcPr>
            <w:tcW w:w="603" w:type="pct"/>
            <w:vAlign w:val="center"/>
            <w:hideMark/>
          </w:tcPr>
          <w:p w14:paraId="149322C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HA</w:t>
            </w:r>
          </w:p>
        </w:tc>
        <w:tc>
          <w:tcPr>
            <w:tcW w:w="698" w:type="pct"/>
            <w:vAlign w:val="center"/>
            <w:hideMark/>
          </w:tcPr>
          <w:p w14:paraId="6BA9FA4A"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72.007,01</w:t>
            </w:r>
          </w:p>
        </w:tc>
      </w:tr>
      <w:tr w:rsidR="005F7DAA" w:rsidRPr="00FB0C69" w14:paraId="2890F95E" w14:textId="77777777" w:rsidTr="00433346">
        <w:trPr>
          <w:trHeight w:hRule="exact" w:val="567"/>
        </w:trPr>
        <w:tc>
          <w:tcPr>
            <w:tcW w:w="574" w:type="pct"/>
            <w:vAlign w:val="center"/>
            <w:hideMark/>
          </w:tcPr>
          <w:p w14:paraId="12C31CD9"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2363</w:t>
            </w:r>
          </w:p>
        </w:tc>
        <w:tc>
          <w:tcPr>
            <w:tcW w:w="3125" w:type="pct"/>
            <w:vAlign w:val="center"/>
            <w:hideMark/>
          </w:tcPr>
          <w:p w14:paraId="62366A4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Barrido de aire comprimido ES HIDROLAVADO</w:t>
            </w:r>
          </w:p>
        </w:tc>
        <w:tc>
          <w:tcPr>
            <w:tcW w:w="603" w:type="pct"/>
            <w:vAlign w:val="center"/>
            <w:hideMark/>
          </w:tcPr>
          <w:p w14:paraId="5C98F20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289B927"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4,55</w:t>
            </w:r>
          </w:p>
        </w:tc>
      </w:tr>
      <w:tr w:rsidR="005F7DAA" w:rsidRPr="00FB0C69" w14:paraId="246151F0" w14:textId="77777777" w:rsidTr="00433346">
        <w:trPr>
          <w:trHeight w:hRule="exact" w:val="567"/>
        </w:trPr>
        <w:tc>
          <w:tcPr>
            <w:tcW w:w="574" w:type="pct"/>
            <w:vAlign w:val="center"/>
            <w:hideMark/>
          </w:tcPr>
          <w:p w14:paraId="5CBB49B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2364</w:t>
            </w:r>
          </w:p>
        </w:tc>
        <w:tc>
          <w:tcPr>
            <w:tcW w:w="3125" w:type="pct"/>
            <w:vAlign w:val="center"/>
            <w:hideMark/>
          </w:tcPr>
          <w:p w14:paraId="1807BEA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Barrido de aire comprimido</w:t>
            </w:r>
          </w:p>
        </w:tc>
        <w:tc>
          <w:tcPr>
            <w:tcW w:w="603" w:type="pct"/>
            <w:vAlign w:val="center"/>
            <w:hideMark/>
          </w:tcPr>
          <w:p w14:paraId="7C2A1050"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4C0D2BB"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4,12</w:t>
            </w:r>
          </w:p>
        </w:tc>
      </w:tr>
      <w:tr w:rsidR="005F7DAA" w:rsidRPr="00FB0C69" w14:paraId="2D4DF688" w14:textId="77777777" w:rsidTr="00433346">
        <w:trPr>
          <w:trHeight w:hRule="exact" w:val="567"/>
        </w:trPr>
        <w:tc>
          <w:tcPr>
            <w:tcW w:w="574" w:type="pct"/>
            <w:vAlign w:val="center"/>
            <w:hideMark/>
          </w:tcPr>
          <w:p w14:paraId="44911D5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2375</w:t>
            </w:r>
          </w:p>
        </w:tc>
        <w:tc>
          <w:tcPr>
            <w:tcW w:w="3125" w:type="pct"/>
            <w:vAlign w:val="center"/>
            <w:hideMark/>
          </w:tcPr>
          <w:p w14:paraId="0E201C9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Texturizado</w:t>
            </w:r>
          </w:p>
        </w:tc>
        <w:tc>
          <w:tcPr>
            <w:tcW w:w="603" w:type="pct"/>
            <w:vAlign w:val="center"/>
            <w:hideMark/>
          </w:tcPr>
          <w:p w14:paraId="00F6130C"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B45515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9,35</w:t>
            </w:r>
          </w:p>
        </w:tc>
      </w:tr>
      <w:tr w:rsidR="005F7DAA" w:rsidRPr="00FB0C69" w14:paraId="1574ED03" w14:textId="77777777" w:rsidTr="00433346">
        <w:trPr>
          <w:trHeight w:hRule="exact" w:val="567"/>
        </w:trPr>
        <w:tc>
          <w:tcPr>
            <w:tcW w:w="574" w:type="pct"/>
            <w:vAlign w:val="center"/>
            <w:hideMark/>
          </w:tcPr>
          <w:p w14:paraId="22F79DE5"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2376</w:t>
            </w:r>
          </w:p>
        </w:tc>
        <w:tc>
          <w:tcPr>
            <w:tcW w:w="3125" w:type="pct"/>
            <w:vAlign w:val="center"/>
            <w:hideMark/>
          </w:tcPr>
          <w:p w14:paraId="10710F8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Fresado</w:t>
            </w:r>
          </w:p>
        </w:tc>
        <w:tc>
          <w:tcPr>
            <w:tcW w:w="603" w:type="pct"/>
            <w:vAlign w:val="center"/>
            <w:hideMark/>
          </w:tcPr>
          <w:p w14:paraId="5C6E078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424DE6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720,07</w:t>
            </w:r>
          </w:p>
        </w:tc>
      </w:tr>
      <w:tr w:rsidR="005F7DAA" w:rsidRPr="00FB0C69" w14:paraId="7F3215E9" w14:textId="77777777" w:rsidTr="00433346">
        <w:trPr>
          <w:trHeight w:hRule="exact" w:val="567"/>
        </w:trPr>
        <w:tc>
          <w:tcPr>
            <w:tcW w:w="574" w:type="pct"/>
            <w:vAlign w:val="center"/>
            <w:hideMark/>
          </w:tcPr>
          <w:p w14:paraId="41B54C8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3010</w:t>
            </w:r>
          </w:p>
        </w:tc>
        <w:tc>
          <w:tcPr>
            <w:tcW w:w="3125" w:type="pct"/>
            <w:vAlign w:val="center"/>
            <w:hideMark/>
          </w:tcPr>
          <w:p w14:paraId="6345B8F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Señales clase 1 instaladas sin poste</w:t>
            </w:r>
          </w:p>
        </w:tc>
        <w:tc>
          <w:tcPr>
            <w:tcW w:w="603" w:type="pct"/>
            <w:vAlign w:val="center"/>
            <w:hideMark/>
          </w:tcPr>
          <w:p w14:paraId="04D611C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2375F483"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1.065,16</w:t>
            </w:r>
          </w:p>
        </w:tc>
      </w:tr>
      <w:tr w:rsidR="005F7DAA" w:rsidRPr="00FB0C69" w14:paraId="512CF4ED" w14:textId="77777777" w:rsidTr="00433346">
        <w:trPr>
          <w:trHeight w:hRule="exact" w:val="567"/>
        </w:trPr>
        <w:tc>
          <w:tcPr>
            <w:tcW w:w="574" w:type="pct"/>
            <w:vAlign w:val="center"/>
            <w:hideMark/>
          </w:tcPr>
          <w:p w14:paraId="3F7F810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3027</w:t>
            </w:r>
          </w:p>
        </w:tc>
        <w:tc>
          <w:tcPr>
            <w:tcW w:w="3125" w:type="pct"/>
            <w:vAlign w:val="center"/>
            <w:hideMark/>
          </w:tcPr>
          <w:p w14:paraId="1986E834"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Poste para señal instalado</w:t>
            </w:r>
          </w:p>
        </w:tc>
        <w:tc>
          <w:tcPr>
            <w:tcW w:w="603" w:type="pct"/>
            <w:vAlign w:val="center"/>
            <w:hideMark/>
          </w:tcPr>
          <w:p w14:paraId="6786DED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3C20CB88"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13.977,24</w:t>
            </w:r>
          </w:p>
        </w:tc>
      </w:tr>
      <w:tr w:rsidR="005F7DAA" w:rsidRPr="00FB0C69" w14:paraId="0D3B56FA" w14:textId="77777777" w:rsidTr="00433346">
        <w:trPr>
          <w:trHeight w:hRule="exact" w:val="567"/>
        </w:trPr>
        <w:tc>
          <w:tcPr>
            <w:tcW w:w="574" w:type="pct"/>
            <w:vAlign w:val="center"/>
            <w:hideMark/>
          </w:tcPr>
          <w:p w14:paraId="44BCFDBE"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3043</w:t>
            </w:r>
          </w:p>
        </w:tc>
        <w:tc>
          <w:tcPr>
            <w:tcW w:w="3125" w:type="pct"/>
            <w:vAlign w:val="center"/>
            <w:hideMark/>
          </w:tcPr>
          <w:p w14:paraId="215F2D1B"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eje aplicado en caliente</w:t>
            </w:r>
          </w:p>
        </w:tc>
        <w:tc>
          <w:tcPr>
            <w:tcW w:w="603" w:type="pct"/>
            <w:vAlign w:val="center"/>
            <w:hideMark/>
          </w:tcPr>
          <w:p w14:paraId="5B52186F"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78039EE"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1F6AE39D" w14:textId="77777777" w:rsidTr="00433346">
        <w:trPr>
          <w:trHeight w:hRule="exact" w:val="567"/>
        </w:trPr>
        <w:tc>
          <w:tcPr>
            <w:tcW w:w="574" w:type="pct"/>
            <w:vAlign w:val="center"/>
            <w:hideMark/>
          </w:tcPr>
          <w:p w14:paraId="38845D82"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3044</w:t>
            </w:r>
          </w:p>
        </w:tc>
        <w:tc>
          <w:tcPr>
            <w:tcW w:w="3125" w:type="pct"/>
            <w:vAlign w:val="center"/>
            <w:hideMark/>
          </w:tcPr>
          <w:p w14:paraId="49040FE7"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Línea de borde aplicado en caliente clase 2</w:t>
            </w:r>
          </w:p>
        </w:tc>
        <w:tc>
          <w:tcPr>
            <w:tcW w:w="603" w:type="pct"/>
            <w:vAlign w:val="center"/>
            <w:hideMark/>
          </w:tcPr>
          <w:p w14:paraId="3BE2FC4A"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DF587E4"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59535D66" w14:textId="77777777" w:rsidTr="00433346">
        <w:trPr>
          <w:trHeight w:hRule="exact" w:val="567"/>
        </w:trPr>
        <w:tc>
          <w:tcPr>
            <w:tcW w:w="574" w:type="pct"/>
            <w:vAlign w:val="center"/>
            <w:hideMark/>
          </w:tcPr>
          <w:p w14:paraId="62AAB0D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3045</w:t>
            </w:r>
          </w:p>
        </w:tc>
        <w:tc>
          <w:tcPr>
            <w:tcW w:w="3125" w:type="pct"/>
            <w:vAlign w:val="center"/>
            <w:hideMark/>
          </w:tcPr>
          <w:p w14:paraId="494EE16D"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Amarillo aplicado en caliente</w:t>
            </w:r>
          </w:p>
        </w:tc>
        <w:tc>
          <w:tcPr>
            <w:tcW w:w="603" w:type="pct"/>
            <w:vAlign w:val="center"/>
            <w:hideMark/>
          </w:tcPr>
          <w:p w14:paraId="722AEAB6"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737B3955"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106,98</w:t>
            </w:r>
          </w:p>
        </w:tc>
      </w:tr>
      <w:tr w:rsidR="005F7DAA" w:rsidRPr="00FB0C69" w14:paraId="0B97876C" w14:textId="77777777" w:rsidTr="00433346">
        <w:trPr>
          <w:trHeight w:hRule="exact" w:val="567"/>
        </w:trPr>
        <w:tc>
          <w:tcPr>
            <w:tcW w:w="574" w:type="pct"/>
            <w:vAlign w:val="center"/>
            <w:hideMark/>
          </w:tcPr>
          <w:p w14:paraId="6E330511"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3046</w:t>
            </w:r>
          </w:p>
        </w:tc>
        <w:tc>
          <w:tcPr>
            <w:tcW w:w="3125" w:type="pct"/>
            <w:vAlign w:val="center"/>
            <w:hideMark/>
          </w:tcPr>
          <w:p w14:paraId="36565669" w14:textId="77777777" w:rsidR="005F7DAA" w:rsidRPr="00FB0C69" w:rsidRDefault="005F7DAA" w:rsidP="00533D75">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Superficies aplicadas en caliente</w:t>
            </w:r>
          </w:p>
        </w:tc>
        <w:tc>
          <w:tcPr>
            <w:tcW w:w="603" w:type="pct"/>
            <w:vAlign w:val="center"/>
            <w:hideMark/>
          </w:tcPr>
          <w:p w14:paraId="293DD017" w14:textId="77777777" w:rsidR="005F7DAA" w:rsidRPr="00FB0C69" w:rsidRDefault="005F7DAA" w:rsidP="00533D75">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364C2F2" w14:textId="77777777" w:rsidR="005F7DAA" w:rsidRPr="00FB0C69" w:rsidRDefault="005F7DAA" w:rsidP="00533D75">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218,61</w:t>
            </w:r>
          </w:p>
        </w:tc>
      </w:tr>
      <w:tr w:rsidR="00AC43E3" w:rsidRPr="00FB0C69" w14:paraId="6B43F4D1" w14:textId="77777777" w:rsidTr="00433346">
        <w:trPr>
          <w:trHeight w:hRule="exact" w:val="567"/>
        </w:trPr>
        <w:tc>
          <w:tcPr>
            <w:tcW w:w="574" w:type="pct"/>
            <w:vAlign w:val="center"/>
            <w:hideMark/>
          </w:tcPr>
          <w:p w14:paraId="4F32F4FA" w14:textId="77777777" w:rsidR="00AC43E3" w:rsidRPr="00AC43E3" w:rsidRDefault="00AC43E3" w:rsidP="00AC43E3">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hideMark/>
          </w:tcPr>
          <w:p w14:paraId="70ED043E"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Alcantarillas de caños de hormigón armado de resit. especial 100 cm (sin cabezales)</w:t>
            </w:r>
          </w:p>
        </w:tc>
        <w:tc>
          <w:tcPr>
            <w:tcW w:w="603" w:type="pct"/>
            <w:vAlign w:val="center"/>
            <w:hideMark/>
          </w:tcPr>
          <w:p w14:paraId="4FC8AE2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60CE73F9"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6.009,93</w:t>
            </w:r>
          </w:p>
        </w:tc>
      </w:tr>
      <w:tr w:rsidR="00AC43E3" w:rsidRPr="00FB0C69" w14:paraId="2C30C12C" w14:textId="77777777" w:rsidTr="00433346">
        <w:trPr>
          <w:trHeight w:hRule="exact" w:val="567"/>
        </w:trPr>
        <w:tc>
          <w:tcPr>
            <w:tcW w:w="574" w:type="pct"/>
            <w:vAlign w:val="center"/>
            <w:hideMark/>
          </w:tcPr>
          <w:p w14:paraId="2913DC34"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9F38E7B"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Hormigón armado para protección mecánica de tuberías</w:t>
            </w:r>
          </w:p>
        </w:tc>
        <w:tc>
          <w:tcPr>
            <w:tcW w:w="603" w:type="pct"/>
            <w:vAlign w:val="center"/>
            <w:hideMark/>
          </w:tcPr>
          <w:p w14:paraId="0FADEB7D"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E2FD5FB"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1.465,43</w:t>
            </w:r>
          </w:p>
        </w:tc>
      </w:tr>
      <w:tr w:rsidR="00AC43E3" w:rsidRPr="00FB0C69" w14:paraId="3D76B27B" w14:textId="77777777" w:rsidTr="00433346">
        <w:trPr>
          <w:trHeight w:hRule="exact" w:val="567"/>
        </w:trPr>
        <w:tc>
          <w:tcPr>
            <w:tcW w:w="574" w:type="pct"/>
            <w:vAlign w:val="center"/>
            <w:hideMark/>
          </w:tcPr>
          <w:p w14:paraId="656F774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0406EF0"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Cámaras de inspección de profundidad menor a 1,2 metros</w:t>
            </w:r>
          </w:p>
        </w:tc>
        <w:tc>
          <w:tcPr>
            <w:tcW w:w="603" w:type="pct"/>
            <w:vAlign w:val="center"/>
            <w:hideMark/>
          </w:tcPr>
          <w:p w14:paraId="42EC95E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093E7E0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6.701,71</w:t>
            </w:r>
          </w:p>
        </w:tc>
      </w:tr>
      <w:tr w:rsidR="00AC43E3" w:rsidRPr="00FB0C69" w14:paraId="7FCEBA75" w14:textId="77777777" w:rsidTr="00433346">
        <w:trPr>
          <w:trHeight w:hRule="exact" w:val="567"/>
        </w:trPr>
        <w:tc>
          <w:tcPr>
            <w:tcW w:w="574" w:type="pct"/>
            <w:vAlign w:val="center"/>
            <w:hideMark/>
          </w:tcPr>
          <w:p w14:paraId="0DA9F8E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CBE255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Cámaras de inspección de profundidad entre 1,2 y 2,0 metros</w:t>
            </w:r>
          </w:p>
        </w:tc>
        <w:tc>
          <w:tcPr>
            <w:tcW w:w="603" w:type="pct"/>
            <w:vAlign w:val="center"/>
            <w:hideMark/>
          </w:tcPr>
          <w:p w14:paraId="35AC0EC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UNIDAD</w:t>
            </w:r>
          </w:p>
        </w:tc>
        <w:tc>
          <w:tcPr>
            <w:tcW w:w="698" w:type="pct"/>
            <w:vAlign w:val="center"/>
            <w:hideMark/>
          </w:tcPr>
          <w:p w14:paraId="24C04974"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6.701,71</w:t>
            </w:r>
          </w:p>
        </w:tc>
      </w:tr>
      <w:tr w:rsidR="00AC43E3" w:rsidRPr="00FB0C69" w14:paraId="53A284B8" w14:textId="77777777" w:rsidTr="00433346">
        <w:trPr>
          <w:trHeight w:hRule="exact" w:val="567"/>
        </w:trPr>
        <w:tc>
          <w:tcPr>
            <w:tcW w:w="574" w:type="pct"/>
            <w:vAlign w:val="center"/>
            <w:hideMark/>
          </w:tcPr>
          <w:p w14:paraId="38D41A1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BFA6489"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Losa</w:t>
            </w:r>
          </w:p>
        </w:tc>
        <w:tc>
          <w:tcPr>
            <w:tcW w:w="603" w:type="pct"/>
            <w:vAlign w:val="center"/>
            <w:hideMark/>
          </w:tcPr>
          <w:p w14:paraId="0FEFB6BC"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A421167"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10.190,62</w:t>
            </w:r>
          </w:p>
        </w:tc>
      </w:tr>
      <w:tr w:rsidR="00AC43E3" w:rsidRPr="00FB0C69" w14:paraId="5190590C" w14:textId="77777777" w:rsidTr="00433346">
        <w:trPr>
          <w:trHeight w:hRule="exact" w:val="567"/>
        </w:trPr>
        <w:tc>
          <w:tcPr>
            <w:tcW w:w="574" w:type="pct"/>
            <w:vAlign w:val="center"/>
            <w:hideMark/>
          </w:tcPr>
          <w:p w14:paraId="1CCA5AB1"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1A05F598"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Sobrepiso</w:t>
            </w:r>
          </w:p>
        </w:tc>
        <w:tc>
          <w:tcPr>
            <w:tcW w:w="603" w:type="pct"/>
            <w:vAlign w:val="center"/>
            <w:hideMark/>
          </w:tcPr>
          <w:p w14:paraId="71AB920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5E0DC6CC"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2.835,65</w:t>
            </w:r>
          </w:p>
        </w:tc>
      </w:tr>
      <w:tr w:rsidR="00AC43E3" w:rsidRPr="00FB0C69" w14:paraId="536C8C17" w14:textId="77777777" w:rsidTr="00433346">
        <w:trPr>
          <w:trHeight w:hRule="exact" w:val="567"/>
        </w:trPr>
        <w:tc>
          <w:tcPr>
            <w:tcW w:w="574" w:type="pct"/>
            <w:vAlign w:val="center"/>
            <w:hideMark/>
          </w:tcPr>
          <w:p w14:paraId="29B51281"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2939CFB"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Defensas new jersey</w:t>
            </w:r>
          </w:p>
        </w:tc>
        <w:tc>
          <w:tcPr>
            <w:tcW w:w="603" w:type="pct"/>
            <w:vAlign w:val="center"/>
            <w:hideMark/>
          </w:tcPr>
          <w:p w14:paraId="13FA12E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7BB46AA7"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1.713,21</w:t>
            </w:r>
          </w:p>
        </w:tc>
      </w:tr>
      <w:tr w:rsidR="00AC43E3" w:rsidRPr="00FB0C69" w14:paraId="2A5E3B1E" w14:textId="77777777" w:rsidTr="00433346">
        <w:trPr>
          <w:trHeight w:hRule="exact" w:val="567"/>
        </w:trPr>
        <w:tc>
          <w:tcPr>
            <w:tcW w:w="574" w:type="pct"/>
            <w:vAlign w:val="center"/>
            <w:hideMark/>
          </w:tcPr>
          <w:p w14:paraId="06473F47"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76533000"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Vigas pórticos intermedios</w:t>
            </w:r>
          </w:p>
        </w:tc>
        <w:tc>
          <w:tcPr>
            <w:tcW w:w="603" w:type="pct"/>
            <w:vAlign w:val="center"/>
            <w:hideMark/>
          </w:tcPr>
          <w:p w14:paraId="70656C74"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7DFE931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9.629,40</w:t>
            </w:r>
          </w:p>
        </w:tc>
      </w:tr>
      <w:tr w:rsidR="00AC43E3" w:rsidRPr="00FB0C69" w14:paraId="6EEE81F2" w14:textId="77777777" w:rsidTr="00433346">
        <w:trPr>
          <w:trHeight w:hRule="exact" w:val="567"/>
        </w:trPr>
        <w:tc>
          <w:tcPr>
            <w:tcW w:w="574" w:type="pct"/>
            <w:vAlign w:val="center"/>
            <w:hideMark/>
          </w:tcPr>
          <w:p w14:paraId="7C0EAC4F"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59F55EAA"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Vigas estribos</w:t>
            </w:r>
          </w:p>
        </w:tc>
        <w:tc>
          <w:tcPr>
            <w:tcW w:w="603" w:type="pct"/>
            <w:vAlign w:val="center"/>
            <w:hideMark/>
          </w:tcPr>
          <w:p w14:paraId="353D8549"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142F2015"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9.629,40</w:t>
            </w:r>
          </w:p>
        </w:tc>
      </w:tr>
      <w:tr w:rsidR="00AC43E3" w:rsidRPr="00FB0C69" w14:paraId="3B8EBDF6" w14:textId="77777777" w:rsidTr="00433346">
        <w:trPr>
          <w:trHeight w:hRule="exact" w:val="567"/>
        </w:trPr>
        <w:tc>
          <w:tcPr>
            <w:tcW w:w="574" w:type="pct"/>
            <w:vAlign w:val="center"/>
            <w:hideMark/>
          </w:tcPr>
          <w:p w14:paraId="4EFC0338"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3514612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Pilares intermedios</w:t>
            </w:r>
          </w:p>
        </w:tc>
        <w:tc>
          <w:tcPr>
            <w:tcW w:w="603" w:type="pct"/>
            <w:vAlign w:val="center"/>
            <w:hideMark/>
          </w:tcPr>
          <w:p w14:paraId="69E0A90D"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6AC25048"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8.566,03</w:t>
            </w:r>
          </w:p>
        </w:tc>
      </w:tr>
      <w:tr w:rsidR="00AC43E3" w:rsidRPr="00FB0C69" w14:paraId="5CA7726B" w14:textId="77777777" w:rsidTr="00433346">
        <w:trPr>
          <w:trHeight w:hRule="exact" w:val="567"/>
        </w:trPr>
        <w:tc>
          <w:tcPr>
            <w:tcW w:w="574" w:type="pct"/>
            <w:vAlign w:val="center"/>
            <w:hideMark/>
          </w:tcPr>
          <w:p w14:paraId="6E1A5E1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499268D"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Pilares estribos</w:t>
            </w:r>
          </w:p>
        </w:tc>
        <w:tc>
          <w:tcPr>
            <w:tcW w:w="603" w:type="pct"/>
            <w:vAlign w:val="center"/>
            <w:hideMark/>
          </w:tcPr>
          <w:p w14:paraId="0268A2B4"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3367EB4"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12.819,51</w:t>
            </w:r>
          </w:p>
        </w:tc>
      </w:tr>
      <w:tr w:rsidR="00AC43E3" w:rsidRPr="00FB0C69" w14:paraId="6514ACDF" w14:textId="77777777" w:rsidTr="00433346">
        <w:trPr>
          <w:trHeight w:hRule="exact" w:val="567"/>
        </w:trPr>
        <w:tc>
          <w:tcPr>
            <w:tcW w:w="574" w:type="pct"/>
            <w:vAlign w:val="center"/>
            <w:hideMark/>
          </w:tcPr>
          <w:p w14:paraId="1EDD5819"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C89722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Cabezales</w:t>
            </w:r>
          </w:p>
        </w:tc>
        <w:tc>
          <w:tcPr>
            <w:tcW w:w="603" w:type="pct"/>
            <w:vAlign w:val="center"/>
            <w:hideMark/>
          </w:tcPr>
          <w:p w14:paraId="2FEC148F"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0EDD911D"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5.966,69</w:t>
            </w:r>
          </w:p>
        </w:tc>
      </w:tr>
      <w:tr w:rsidR="00AC43E3" w:rsidRPr="00FB0C69" w14:paraId="5BBD19F0" w14:textId="77777777" w:rsidTr="00433346">
        <w:trPr>
          <w:trHeight w:hRule="exact" w:val="567"/>
        </w:trPr>
        <w:tc>
          <w:tcPr>
            <w:tcW w:w="574" w:type="pct"/>
            <w:vAlign w:val="center"/>
            <w:hideMark/>
          </w:tcPr>
          <w:p w14:paraId="6538CEB6"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4F5F04F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Juntas</w:t>
            </w:r>
          </w:p>
        </w:tc>
        <w:tc>
          <w:tcPr>
            <w:tcW w:w="603" w:type="pct"/>
            <w:vAlign w:val="center"/>
            <w:hideMark/>
          </w:tcPr>
          <w:p w14:paraId="0B4D6FD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34C7455F"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3.249,18</w:t>
            </w:r>
          </w:p>
        </w:tc>
      </w:tr>
      <w:tr w:rsidR="00AC43E3" w:rsidRPr="00FB0C69" w14:paraId="2FC3C141" w14:textId="77777777" w:rsidTr="00433346">
        <w:trPr>
          <w:trHeight w:hRule="exact" w:val="567"/>
        </w:trPr>
        <w:tc>
          <w:tcPr>
            <w:tcW w:w="574" w:type="pct"/>
            <w:vAlign w:val="center"/>
            <w:hideMark/>
          </w:tcPr>
          <w:p w14:paraId="0098F08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64FDA1D"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Alambrado olímpico nuevo</w:t>
            </w:r>
          </w:p>
        </w:tc>
        <w:tc>
          <w:tcPr>
            <w:tcW w:w="603" w:type="pct"/>
            <w:vAlign w:val="center"/>
            <w:hideMark/>
          </w:tcPr>
          <w:p w14:paraId="406F3C10"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p>
        </w:tc>
        <w:tc>
          <w:tcPr>
            <w:tcW w:w="698" w:type="pct"/>
            <w:vAlign w:val="center"/>
            <w:hideMark/>
          </w:tcPr>
          <w:p w14:paraId="066019A0"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80,33</w:t>
            </w:r>
          </w:p>
        </w:tc>
      </w:tr>
      <w:tr w:rsidR="00AC43E3" w:rsidRPr="00FB0C69" w14:paraId="1FFB8143" w14:textId="77777777" w:rsidTr="00433346">
        <w:trPr>
          <w:trHeight w:hRule="exact" w:val="567"/>
        </w:trPr>
        <w:tc>
          <w:tcPr>
            <w:tcW w:w="574" w:type="pct"/>
            <w:vAlign w:val="center"/>
            <w:hideMark/>
          </w:tcPr>
          <w:p w14:paraId="03D9A1F3"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102-2</w:t>
            </w:r>
          </w:p>
        </w:tc>
        <w:tc>
          <w:tcPr>
            <w:tcW w:w="3125" w:type="pct"/>
            <w:vAlign w:val="center"/>
            <w:hideMark/>
          </w:tcPr>
          <w:p w14:paraId="4F2697C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Mezcla asfáltica para banquinas</w:t>
            </w:r>
          </w:p>
        </w:tc>
        <w:tc>
          <w:tcPr>
            <w:tcW w:w="603" w:type="pct"/>
            <w:vAlign w:val="center"/>
            <w:hideMark/>
          </w:tcPr>
          <w:p w14:paraId="1698B4F6"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ton</w:t>
            </w:r>
          </w:p>
        </w:tc>
        <w:tc>
          <w:tcPr>
            <w:tcW w:w="698" w:type="pct"/>
            <w:vAlign w:val="center"/>
            <w:hideMark/>
          </w:tcPr>
          <w:p w14:paraId="7B62FFC7"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525,28</w:t>
            </w:r>
          </w:p>
        </w:tc>
      </w:tr>
      <w:tr w:rsidR="00AC43E3" w:rsidRPr="00FB0C69" w14:paraId="257A07E4" w14:textId="77777777" w:rsidTr="00433346">
        <w:trPr>
          <w:trHeight w:hRule="exact" w:val="567"/>
        </w:trPr>
        <w:tc>
          <w:tcPr>
            <w:tcW w:w="574" w:type="pct"/>
            <w:vAlign w:val="center"/>
            <w:hideMark/>
          </w:tcPr>
          <w:p w14:paraId="0E9AA682"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112</w:t>
            </w:r>
          </w:p>
        </w:tc>
        <w:tc>
          <w:tcPr>
            <w:tcW w:w="3125" w:type="pct"/>
            <w:vAlign w:val="center"/>
            <w:hideMark/>
          </w:tcPr>
          <w:p w14:paraId="5DF2816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 xml:space="preserve">Ejecución de tratamiento Bituminoso Simple </w:t>
            </w:r>
          </w:p>
        </w:tc>
        <w:tc>
          <w:tcPr>
            <w:tcW w:w="603" w:type="pct"/>
            <w:vAlign w:val="center"/>
            <w:hideMark/>
          </w:tcPr>
          <w:p w14:paraId="3B5BEEE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0E96950"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6,59</w:t>
            </w:r>
          </w:p>
        </w:tc>
      </w:tr>
      <w:tr w:rsidR="00AC43E3" w:rsidRPr="00FB0C69" w14:paraId="42339EE4" w14:textId="77777777" w:rsidTr="00433346">
        <w:trPr>
          <w:trHeight w:hRule="exact" w:val="567"/>
        </w:trPr>
        <w:tc>
          <w:tcPr>
            <w:tcW w:w="574" w:type="pct"/>
            <w:vAlign w:val="center"/>
            <w:hideMark/>
          </w:tcPr>
          <w:p w14:paraId="558D89E6"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114</w:t>
            </w:r>
          </w:p>
        </w:tc>
        <w:tc>
          <w:tcPr>
            <w:tcW w:w="3125" w:type="pct"/>
            <w:vAlign w:val="center"/>
            <w:hideMark/>
          </w:tcPr>
          <w:p w14:paraId="31F00EC1"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Ejecución de tratamiento Bituminoso de sellado</w:t>
            </w:r>
          </w:p>
        </w:tc>
        <w:tc>
          <w:tcPr>
            <w:tcW w:w="603" w:type="pct"/>
            <w:vAlign w:val="center"/>
            <w:hideMark/>
          </w:tcPr>
          <w:p w14:paraId="6172BF8E"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A2B8255"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5,60</w:t>
            </w:r>
          </w:p>
        </w:tc>
      </w:tr>
      <w:tr w:rsidR="00AC43E3" w:rsidRPr="00FB0C69" w14:paraId="380A6270" w14:textId="77777777" w:rsidTr="00433346">
        <w:trPr>
          <w:trHeight w:hRule="exact" w:val="567"/>
        </w:trPr>
        <w:tc>
          <w:tcPr>
            <w:tcW w:w="574" w:type="pct"/>
            <w:vAlign w:val="center"/>
            <w:hideMark/>
          </w:tcPr>
          <w:p w14:paraId="51636A84"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6DFA340D"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Lechada asfáltica</w:t>
            </w:r>
          </w:p>
        </w:tc>
        <w:tc>
          <w:tcPr>
            <w:tcW w:w="603" w:type="pct"/>
            <w:vAlign w:val="center"/>
            <w:hideMark/>
          </w:tcPr>
          <w:p w14:paraId="32ABB85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00CC489D"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55,75</w:t>
            </w:r>
          </w:p>
        </w:tc>
      </w:tr>
      <w:tr w:rsidR="00AC43E3" w:rsidRPr="00FB0C69" w14:paraId="494A4496" w14:textId="77777777" w:rsidTr="00433346">
        <w:trPr>
          <w:trHeight w:hRule="exact" w:val="567"/>
        </w:trPr>
        <w:tc>
          <w:tcPr>
            <w:tcW w:w="574" w:type="pct"/>
            <w:vAlign w:val="center"/>
            <w:hideMark/>
          </w:tcPr>
          <w:p w14:paraId="016F2D65"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212D3E4E"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Cape Seal</w:t>
            </w:r>
          </w:p>
        </w:tc>
        <w:tc>
          <w:tcPr>
            <w:tcW w:w="603" w:type="pct"/>
            <w:vAlign w:val="center"/>
            <w:hideMark/>
          </w:tcPr>
          <w:p w14:paraId="5FBBFC2B"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49C5EE0D"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83,60</w:t>
            </w:r>
          </w:p>
        </w:tc>
      </w:tr>
      <w:tr w:rsidR="00AC43E3" w:rsidRPr="00FB0C69" w14:paraId="30A662CB" w14:textId="77777777" w:rsidTr="00433346">
        <w:trPr>
          <w:trHeight w:hRule="exact" w:val="567"/>
        </w:trPr>
        <w:tc>
          <w:tcPr>
            <w:tcW w:w="574" w:type="pct"/>
            <w:vAlign w:val="center"/>
            <w:hideMark/>
          </w:tcPr>
          <w:p w14:paraId="4135FC7E"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136</w:t>
            </w:r>
          </w:p>
        </w:tc>
        <w:tc>
          <w:tcPr>
            <w:tcW w:w="3125" w:type="pct"/>
            <w:vAlign w:val="center"/>
            <w:hideMark/>
          </w:tcPr>
          <w:p w14:paraId="4F244AFC"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Base estabilizada granulométricamente CBR&gt;80% ( con transporte)</w:t>
            </w:r>
          </w:p>
        </w:tc>
        <w:tc>
          <w:tcPr>
            <w:tcW w:w="603" w:type="pct"/>
            <w:vAlign w:val="center"/>
            <w:hideMark/>
          </w:tcPr>
          <w:p w14:paraId="3E5D7DE3"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hideMark/>
          </w:tcPr>
          <w:p w14:paraId="23B34D3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283,40</w:t>
            </w:r>
          </w:p>
        </w:tc>
      </w:tr>
      <w:tr w:rsidR="00AC43E3" w:rsidRPr="00FB0C69" w14:paraId="6F7814F4" w14:textId="77777777" w:rsidTr="00433346">
        <w:trPr>
          <w:trHeight w:hRule="exact" w:val="567"/>
        </w:trPr>
        <w:tc>
          <w:tcPr>
            <w:tcW w:w="574" w:type="pct"/>
            <w:vAlign w:val="center"/>
            <w:hideMark/>
          </w:tcPr>
          <w:p w14:paraId="7A28CC7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p>
        </w:tc>
        <w:tc>
          <w:tcPr>
            <w:tcW w:w="3125" w:type="pct"/>
            <w:vAlign w:val="center"/>
            <w:hideMark/>
          </w:tcPr>
          <w:p w14:paraId="0A395025"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Reciclado de pavimentos con cemento Portland</w:t>
            </w:r>
          </w:p>
        </w:tc>
        <w:tc>
          <w:tcPr>
            <w:tcW w:w="603" w:type="pct"/>
            <w:vAlign w:val="center"/>
            <w:hideMark/>
          </w:tcPr>
          <w:p w14:paraId="53C45D9A"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2F47C5B2"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147,49</w:t>
            </w:r>
          </w:p>
        </w:tc>
      </w:tr>
      <w:tr w:rsidR="00AC43E3" w:rsidRPr="00FB0C69" w14:paraId="4C2EDA5F" w14:textId="77777777" w:rsidTr="00433346">
        <w:trPr>
          <w:trHeight w:hRule="exact" w:val="567"/>
        </w:trPr>
        <w:tc>
          <w:tcPr>
            <w:tcW w:w="574" w:type="pct"/>
            <w:vAlign w:val="center"/>
            <w:hideMark/>
          </w:tcPr>
          <w:p w14:paraId="6CC8C5EE"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181</w:t>
            </w:r>
          </w:p>
        </w:tc>
        <w:tc>
          <w:tcPr>
            <w:tcW w:w="3125" w:type="pct"/>
            <w:vAlign w:val="center"/>
            <w:hideMark/>
          </w:tcPr>
          <w:p w14:paraId="6D5E2DE0" w14:textId="77777777" w:rsidR="00AC43E3" w:rsidRPr="00FB0C69" w:rsidRDefault="00AC43E3" w:rsidP="00AC43E3">
            <w:pPr>
              <w:tabs>
                <w:tab w:val="left" w:pos="-1440"/>
                <w:tab w:val="left" w:pos="-720"/>
                <w:tab w:val="left" w:pos="0"/>
                <w:tab w:val="left" w:pos="720"/>
                <w:tab w:val="left" w:pos="2160"/>
              </w:tabs>
              <w:spacing w:after="120"/>
              <w:jc w:val="both"/>
              <w:rPr>
                <w:rFonts w:ascii="Arial" w:hAnsi="Arial" w:cs="Arial"/>
              </w:rPr>
            </w:pPr>
            <w:r w:rsidRPr="00FB0C69">
              <w:rPr>
                <w:rFonts w:ascii="Arial" w:hAnsi="Arial" w:cs="Arial"/>
              </w:rPr>
              <w:t>Reciclado de Pavimentos con Asfalto espumado</w:t>
            </w:r>
          </w:p>
        </w:tc>
        <w:tc>
          <w:tcPr>
            <w:tcW w:w="603" w:type="pct"/>
            <w:vAlign w:val="center"/>
            <w:hideMark/>
          </w:tcPr>
          <w:p w14:paraId="5112D24D" w14:textId="77777777" w:rsidR="00AC43E3" w:rsidRPr="00FB0C69" w:rsidRDefault="00AC43E3" w:rsidP="00AC43E3">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hideMark/>
          </w:tcPr>
          <w:p w14:paraId="5A1AAB6A" w14:textId="77777777" w:rsidR="00AC43E3" w:rsidRPr="00FB0C69" w:rsidRDefault="00AC43E3" w:rsidP="00AC43E3">
            <w:pPr>
              <w:tabs>
                <w:tab w:val="left" w:pos="-1440"/>
                <w:tab w:val="left" w:pos="-720"/>
                <w:tab w:val="left" w:pos="0"/>
                <w:tab w:val="left" w:pos="720"/>
                <w:tab w:val="left" w:pos="2160"/>
              </w:tabs>
              <w:spacing w:after="120"/>
              <w:jc w:val="right"/>
              <w:rPr>
                <w:rFonts w:ascii="Arial" w:hAnsi="Arial" w:cs="Arial"/>
              </w:rPr>
            </w:pPr>
            <w:r w:rsidRPr="00FB0C69">
              <w:rPr>
                <w:rFonts w:ascii="Arial" w:hAnsi="Arial" w:cs="Arial"/>
              </w:rPr>
              <w:t>176,99</w:t>
            </w:r>
          </w:p>
        </w:tc>
      </w:tr>
      <w:tr w:rsidR="002A4C74" w:rsidRPr="00AC43E3" w14:paraId="501EFC9D" w14:textId="77777777" w:rsidTr="00433346">
        <w:trPr>
          <w:trHeight w:hRule="exact" w:val="567"/>
        </w:trPr>
        <w:tc>
          <w:tcPr>
            <w:tcW w:w="574" w:type="pct"/>
            <w:vAlign w:val="center"/>
          </w:tcPr>
          <w:p w14:paraId="3C7C58B0"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rPr>
            </w:pPr>
            <w:r w:rsidRPr="00433346">
              <w:rPr>
                <w:rFonts w:ascii="Arial" w:hAnsi="Arial" w:cs="Arial"/>
                <w:color w:val="000000"/>
                <w:lang w:eastAsia="es-UY"/>
              </w:rPr>
              <w:t>3047</w:t>
            </w:r>
          </w:p>
        </w:tc>
        <w:tc>
          <w:tcPr>
            <w:tcW w:w="3125" w:type="pct"/>
            <w:vAlign w:val="center"/>
          </w:tcPr>
          <w:p w14:paraId="09631A2E"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rPr>
              <w:t>Pintura pavimento con resalto</w:t>
            </w:r>
          </w:p>
        </w:tc>
        <w:tc>
          <w:tcPr>
            <w:tcW w:w="603" w:type="pct"/>
            <w:vAlign w:val="center"/>
          </w:tcPr>
          <w:p w14:paraId="39EFF9B4"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464B4190"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320,94   </w:t>
            </w:r>
          </w:p>
        </w:tc>
      </w:tr>
      <w:tr w:rsidR="002A4C74" w:rsidRPr="00AC43E3" w14:paraId="744D3842" w14:textId="77777777" w:rsidTr="00433346">
        <w:trPr>
          <w:trHeight w:hRule="exact" w:val="567"/>
        </w:trPr>
        <w:tc>
          <w:tcPr>
            <w:tcW w:w="574" w:type="pct"/>
            <w:vAlign w:val="center"/>
          </w:tcPr>
          <w:p w14:paraId="4FCE01EE"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2D2CDAB5"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Demolición de hormigón</w:t>
            </w:r>
          </w:p>
        </w:tc>
        <w:tc>
          <w:tcPr>
            <w:tcW w:w="603" w:type="pct"/>
            <w:vAlign w:val="center"/>
          </w:tcPr>
          <w:p w14:paraId="2CCF2407"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21A5E4F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545,13   </w:t>
            </w:r>
          </w:p>
        </w:tc>
      </w:tr>
      <w:tr w:rsidR="002A4C74" w:rsidRPr="00AC43E3" w14:paraId="7F857F95" w14:textId="77777777" w:rsidTr="00433346">
        <w:trPr>
          <w:trHeight w:hRule="exact" w:val="567"/>
        </w:trPr>
        <w:tc>
          <w:tcPr>
            <w:tcW w:w="574" w:type="pct"/>
            <w:vAlign w:val="center"/>
          </w:tcPr>
          <w:p w14:paraId="51743117"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718C1598"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Demolición de hormigón armado</w:t>
            </w:r>
          </w:p>
        </w:tc>
        <w:tc>
          <w:tcPr>
            <w:tcW w:w="603" w:type="pct"/>
            <w:vAlign w:val="center"/>
          </w:tcPr>
          <w:p w14:paraId="26256B0C"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04886489"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654,16   </w:t>
            </w:r>
          </w:p>
        </w:tc>
      </w:tr>
      <w:tr w:rsidR="002A4C74" w:rsidRPr="00AC43E3" w14:paraId="44D58729" w14:textId="77777777" w:rsidTr="00433346">
        <w:trPr>
          <w:trHeight w:hRule="exact" w:val="567"/>
        </w:trPr>
        <w:tc>
          <w:tcPr>
            <w:tcW w:w="574" w:type="pct"/>
            <w:vAlign w:val="center"/>
          </w:tcPr>
          <w:p w14:paraId="3F7C7097" w14:textId="77777777" w:rsidR="002A4C74" w:rsidRPr="00433346" w:rsidRDefault="002A4C74" w:rsidP="003A114F">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6 - </w:t>
            </w:r>
            <w:r w:rsidR="003A114F">
              <w:rPr>
                <w:rFonts w:ascii="Arial" w:hAnsi="Arial" w:cs="Arial"/>
                <w:color w:val="000000"/>
                <w:lang w:eastAsia="es-UY"/>
              </w:rPr>
              <w:t>2</w:t>
            </w:r>
          </w:p>
        </w:tc>
        <w:tc>
          <w:tcPr>
            <w:tcW w:w="3125" w:type="pct"/>
            <w:vAlign w:val="center"/>
          </w:tcPr>
          <w:p w14:paraId="23F81544"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Excavación en roca</w:t>
            </w:r>
          </w:p>
        </w:tc>
        <w:tc>
          <w:tcPr>
            <w:tcW w:w="603" w:type="pct"/>
            <w:vAlign w:val="center"/>
          </w:tcPr>
          <w:p w14:paraId="7F54A552"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6D572FE6"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269,41   </w:t>
            </w:r>
          </w:p>
        </w:tc>
      </w:tr>
      <w:tr w:rsidR="002A4C74" w:rsidRPr="00AC43E3" w14:paraId="6E442E77" w14:textId="77777777" w:rsidTr="00433346">
        <w:trPr>
          <w:trHeight w:hRule="exact" w:val="567"/>
        </w:trPr>
        <w:tc>
          <w:tcPr>
            <w:tcW w:w="574" w:type="pct"/>
            <w:vAlign w:val="center"/>
          </w:tcPr>
          <w:p w14:paraId="4EAF0C6E"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3056</w:t>
            </w:r>
          </w:p>
        </w:tc>
        <w:tc>
          <w:tcPr>
            <w:tcW w:w="3125" w:type="pct"/>
            <w:vAlign w:val="center"/>
          </w:tcPr>
          <w:p w14:paraId="2C7CBE51"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Portico de señalización</w:t>
            </w:r>
          </w:p>
        </w:tc>
        <w:tc>
          <w:tcPr>
            <w:tcW w:w="603" w:type="pct"/>
            <w:vAlign w:val="center"/>
          </w:tcPr>
          <w:p w14:paraId="489DE18C"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UNIDAD</w:t>
            </w:r>
          </w:p>
        </w:tc>
        <w:tc>
          <w:tcPr>
            <w:tcW w:w="698" w:type="pct"/>
            <w:vAlign w:val="center"/>
          </w:tcPr>
          <w:p w14:paraId="6BE29392"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199.882,01   </w:t>
            </w:r>
          </w:p>
        </w:tc>
      </w:tr>
      <w:tr w:rsidR="002A4C74" w:rsidRPr="00AC43E3" w14:paraId="30479E29" w14:textId="77777777" w:rsidTr="00433346">
        <w:trPr>
          <w:trHeight w:hRule="exact" w:val="567"/>
        </w:trPr>
        <w:tc>
          <w:tcPr>
            <w:tcW w:w="574" w:type="pct"/>
            <w:vAlign w:val="center"/>
          </w:tcPr>
          <w:p w14:paraId="48B770C2"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406DA11C"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rPr>
              <w:t>Micropav 0,8cm c/ emulsión modificada</w:t>
            </w:r>
          </w:p>
        </w:tc>
        <w:tc>
          <w:tcPr>
            <w:tcW w:w="603" w:type="pct"/>
            <w:vAlign w:val="center"/>
          </w:tcPr>
          <w:p w14:paraId="48CA98D2"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1F558E7A"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58,54   </w:t>
            </w:r>
          </w:p>
        </w:tc>
      </w:tr>
      <w:tr w:rsidR="002A4C74" w:rsidRPr="00AC43E3" w14:paraId="2D43BE4D" w14:textId="77777777" w:rsidTr="00433346">
        <w:trPr>
          <w:trHeight w:hRule="exact" w:val="567"/>
        </w:trPr>
        <w:tc>
          <w:tcPr>
            <w:tcW w:w="574" w:type="pct"/>
            <w:vAlign w:val="center"/>
          </w:tcPr>
          <w:p w14:paraId="468B5B71"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6B3FE201"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Micropav 1,5 cm c/ emulsión modificada</w:t>
            </w:r>
          </w:p>
        </w:tc>
        <w:tc>
          <w:tcPr>
            <w:tcW w:w="603" w:type="pct"/>
            <w:vAlign w:val="center"/>
          </w:tcPr>
          <w:p w14:paraId="0CCE260B"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5B963A3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87,81   </w:t>
            </w:r>
          </w:p>
        </w:tc>
      </w:tr>
      <w:tr w:rsidR="002A4C74" w:rsidRPr="00AC43E3" w14:paraId="3DAFD9AD" w14:textId="77777777" w:rsidTr="00433346">
        <w:trPr>
          <w:trHeight w:hRule="exact" w:val="567"/>
        </w:trPr>
        <w:tc>
          <w:tcPr>
            <w:tcW w:w="574" w:type="pct"/>
            <w:vAlign w:val="center"/>
          </w:tcPr>
          <w:p w14:paraId="1AE8488C"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5C33DBA7"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Micropav 2,5 cm c/ emulsión modificada</w:t>
            </w:r>
          </w:p>
        </w:tc>
        <w:tc>
          <w:tcPr>
            <w:tcW w:w="603" w:type="pct"/>
            <w:vAlign w:val="center"/>
          </w:tcPr>
          <w:p w14:paraId="4C7E89BB"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2</w:t>
            </w:r>
          </w:p>
        </w:tc>
        <w:tc>
          <w:tcPr>
            <w:tcW w:w="698" w:type="pct"/>
            <w:vAlign w:val="center"/>
          </w:tcPr>
          <w:p w14:paraId="2D76B2A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131,71   </w:t>
            </w:r>
          </w:p>
        </w:tc>
      </w:tr>
      <w:tr w:rsidR="002A4C74" w:rsidRPr="00AC43E3" w14:paraId="5726DC28" w14:textId="77777777" w:rsidTr="00433346">
        <w:trPr>
          <w:trHeight w:hRule="exact" w:val="567"/>
        </w:trPr>
        <w:tc>
          <w:tcPr>
            <w:tcW w:w="574" w:type="pct"/>
            <w:vAlign w:val="center"/>
          </w:tcPr>
          <w:p w14:paraId="1E3EA01C"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181</w:t>
            </w:r>
            <w:r w:rsidR="003A114F">
              <w:rPr>
                <w:rFonts w:ascii="Arial" w:hAnsi="Arial" w:cs="Arial"/>
                <w:color w:val="000000"/>
                <w:lang w:eastAsia="es-UY"/>
              </w:rPr>
              <w:t>-1</w:t>
            </w:r>
          </w:p>
        </w:tc>
        <w:tc>
          <w:tcPr>
            <w:tcW w:w="3125" w:type="pct"/>
            <w:vAlign w:val="center"/>
          </w:tcPr>
          <w:p w14:paraId="639118FA"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Reciclado pavimento sin agregar material</w:t>
            </w:r>
          </w:p>
        </w:tc>
        <w:tc>
          <w:tcPr>
            <w:tcW w:w="603" w:type="pct"/>
            <w:vAlign w:val="center"/>
          </w:tcPr>
          <w:p w14:paraId="5078219C"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2BAE4201"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185,84   </w:t>
            </w:r>
          </w:p>
        </w:tc>
      </w:tr>
      <w:tr w:rsidR="002A4C74" w:rsidRPr="00AC43E3" w14:paraId="075BD99D" w14:textId="77777777" w:rsidTr="00433346">
        <w:trPr>
          <w:trHeight w:hRule="exact" w:val="567"/>
        </w:trPr>
        <w:tc>
          <w:tcPr>
            <w:tcW w:w="574" w:type="pct"/>
            <w:vAlign w:val="center"/>
          </w:tcPr>
          <w:p w14:paraId="08D8C26D"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lastRenderedPageBreak/>
              <w:t> </w:t>
            </w:r>
          </w:p>
        </w:tc>
        <w:tc>
          <w:tcPr>
            <w:tcW w:w="3125" w:type="pct"/>
            <w:vAlign w:val="center"/>
          </w:tcPr>
          <w:p w14:paraId="7EA7858B"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Reconformación subrasante con recicladora</w:t>
            </w:r>
          </w:p>
        </w:tc>
        <w:tc>
          <w:tcPr>
            <w:tcW w:w="603" w:type="pct"/>
            <w:vAlign w:val="center"/>
          </w:tcPr>
          <w:p w14:paraId="7BBB1D4E"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54602442"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61,78   </w:t>
            </w:r>
          </w:p>
        </w:tc>
      </w:tr>
      <w:tr w:rsidR="002A4C74" w:rsidRPr="00AC43E3" w14:paraId="320BDDC4" w14:textId="77777777" w:rsidTr="00433346">
        <w:trPr>
          <w:trHeight w:hRule="exact" w:val="567"/>
        </w:trPr>
        <w:tc>
          <w:tcPr>
            <w:tcW w:w="574" w:type="pct"/>
            <w:vAlign w:val="center"/>
          </w:tcPr>
          <w:p w14:paraId="69B80325"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535D9B99"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Excavación no clasif p/estructuras bajo agua</w:t>
            </w:r>
          </w:p>
        </w:tc>
        <w:tc>
          <w:tcPr>
            <w:tcW w:w="603" w:type="pct"/>
            <w:vAlign w:val="center"/>
          </w:tcPr>
          <w:p w14:paraId="492731C5"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7FAD2FB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118,63   </w:t>
            </w:r>
          </w:p>
        </w:tc>
      </w:tr>
      <w:tr w:rsidR="002A4C74" w:rsidRPr="00AC43E3" w14:paraId="7EAB93EF" w14:textId="77777777" w:rsidTr="00433346">
        <w:trPr>
          <w:trHeight w:hRule="exact" w:val="567"/>
        </w:trPr>
        <w:tc>
          <w:tcPr>
            <w:tcW w:w="574" w:type="pct"/>
            <w:vAlign w:val="center"/>
          </w:tcPr>
          <w:p w14:paraId="0C4765DF"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504 e</w:t>
            </w:r>
          </w:p>
        </w:tc>
        <w:tc>
          <w:tcPr>
            <w:tcW w:w="3125" w:type="pct"/>
            <w:vAlign w:val="center"/>
          </w:tcPr>
          <w:p w14:paraId="2A1BE24C"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PILOTES PERFORADOS DIAMETRO 900mm</w:t>
            </w:r>
          </w:p>
        </w:tc>
        <w:tc>
          <w:tcPr>
            <w:tcW w:w="603" w:type="pct"/>
            <w:vAlign w:val="center"/>
          </w:tcPr>
          <w:p w14:paraId="0AC53FA0"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4C269193"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74.206,80   </w:t>
            </w:r>
          </w:p>
        </w:tc>
      </w:tr>
      <w:tr w:rsidR="002A4C74" w:rsidRPr="00AC43E3" w14:paraId="0FBCA9C7" w14:textId="77777777" w:rsidTr="00433346">
        <w:trPr>
          <w:trHeight w:hRule="exact" w:val="567"/>
        </w:trPr>
        <w:tc>
          <w:tcPr>
            <w:tcW w:w="574" w:type="pct"/>
            <w:vAlign w:val="center"/>
          </w:tcPr>
          <w:p w14:paraId="1757285F"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E -18</w:t>
            </w:r>
          </w:p>
        </w:tc>
        <w:tc>
          <w:tcPr>
            <w:tcW w:w="3125" w:type="pct"/>
            <w:vAlign w:val="center"/>
          </w:tcPr>
          <w:p w14:paraId="05B47166"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Refuerzo vigas longitudinales</w:t>
            </w:r>
          </w:p>
        </w:tc>
        <w:tc>
          <w:tcPr>
            <w:tcW w:w="603" w:type="pct"/>
            <w:vAlign w:val="center"/>
          </w:tcPr>
          <w:p w14:paraId="766F01F6"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1BAB2524"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17.699,12   </w:t>
            </w:r>
          </w:p>
        </w:tc>
      </w:tr>
      <w:tr w:rsidR="002A4C74" w:rsidRPr="00AC43E3" w14:paraId="0C33F73E" w14:textId="77777777" w:rsidTr="00433346">
        <w:trPr>
          <w:trHeight w:hRule="exact" w:val="567"/>
        </w:trPr>
        <w:tc>
          <w:tcPr>
            <w:tcW w:w="574" w:type="pct"/>
            <w:vAlign w:val="center"/>
          </w:tcPr>
          <w:p w14:paraId="53C9E6A6"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xml:space="preserve">     E -17</w:t>
            </w:r>
          </w:p>
        </w:tc>
        <w:tc>
          <w:tcPr>
            <w:tcW w:w="3125" w:type="pct"/>
            <w:vAlign w:val="center"/>
          </w:tcPr>
          <w:p w14:paraId="03A2405B"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Vigas longitudinales</w:t>
            </w:r>
          </w:p>
        </w:tc>
        <w:tc>
          <w:tcPr>
            <w:tcW w:w="603" w:type="pct"/>
            <w:vAlign w:val="center"/>
          </w:tcPr>
          <w:p w14:paraId="028B9291"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3F827E4C"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14.749,26   </w:t>
            </w:r>
          </w:p>
        </w:tc>
      </w:tr>
      <w:tr w:rsidR="002A4C74" w:rsidRPr="00AC43E3" w14:paraId="40FB4700" w14:textId="77777777" w:rsidTr="00433346">
        <w:trPr>
          <w:trHeight w:hRule="exact" w:val="567"/>
        </w:trPr>
        <w:tc>
          <w:tcPr>
            <w:tcW w:w="574" w:type="pct"/>
            <w:vAlign w:val="center"/>
          </w:tcPr>
          <w:p w14:paraId="40A0B088"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6FA13548"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Losa p/ptes. Tipo alcantarilla</w:t>
            </w:r>
          </w:p>
        </w:tc>
        <w:tc>
          <w:tcPr>
            <w:tcW w:w="603" w:type="pct"/>
            <w:vAlign w:val="center"/>
          </w:tcPr>
          <w:p w14:paraId="1686103B"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302971B0"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8.176,99   </w:t>
            </w:r>
          </w:p>
        </w:tc>
      </w:tr>
      <w:tr w:rsidR="002A4C74" w:rsidRPr="00AC43E3" w14:paraId="0CDDE041" w14:textId="77777777" w:rsidTr="00433346">
        <w:trPr>
          <w:trHeight w:hRule="exact" w:val="567"/>
        </w:trPr>
        <w:tc>
          <w:tcPr>
            <w:tcW w:w="574" w:type="pct"/>
            <w:vAlign w:val="center"/>
          </w:tcPr>
          <w:p w14:paraId="02DFB195"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 </w:t>
            </w:r>
          </w:p>
        </w:tc>
        <w:tc>
          <w:tcPr>
            <w:tcW w:w="3125" w:type="pct"/>
            <w:vAlign w:val="center"/>
          </w:tcPr>
          <w:p w14:paraId="5AAC47CA"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Mejoramiento de material para plataforma</w:t>
            </w:r>
          </w:p>
        </w:tc>
        <w:tc>
          <w:tcPr>
            <w:tcW w:w="603" w:type="pct"/>
            <w:vAlign w:val="center"/>
          </w:tcPr>
          <w:p w14:paraId="1E4B061A"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3F35C546"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64,38   </w:t>
            </w:r>
          </w:p>
        </w:tc>
      </w:tr>
      <w:tr w:rsidR="002A4C74" w:rsidRPr="00AC43E3" w14:paraId="5E86B1E5" w14:textId="77777777" w:rsidTr="00433346">
        <w:trPr>
          <w:trHeight w:hRule="exact" w:val="567"/>
        </w:trPr>
        <w:tc>
          <w:tcPr>
            <w:tcW w:w="574" w:type="pct"/>
            <w:vAlign w:val="center"/>
          </w:tcPr>
          <w:p w14:paraId="36F0DE94"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25</w:t>
            </w:r>
            <w:r w:rsidR="003A114F">
              <w:rPr>
                <w:rFonts w:ascii="Arial" w:hAnsi="Arial" w:cs="Arial"/>
                <w:color w:val="000000"/>
                <w:lang w:eastAsia="es-UY"/>
              </w:rPr>
              <w:t>-1</w:t>
            </w:r>
          </w:p>
        </w:tc>
        <w:tc>
          <w:tcPr>
            <w:tcW w:w="3125" w:type="pct"/>
            <w:vAlign w:val="center"/>
          </w:tcPr>
          <w:p w14:paraId="519799BF"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Escarificado, conformación y compactación capa de subbase</w:t>
            </w:r>
          </w:p>
        </w:tc>
        <w:tc>
          <w:tcPr>
            <w:tcW w:w="603" w:type="pct"/>
            <w:vAlign w:val="center"/>
          </w:tcPr>
          <w:p w14:paraId="3FF22741" w14:textId="77777777" w:rsidR="002A4C74" w:rsidRPr="00433346" w:rsidRDefault="00433346" w:rsidP="00433346">
            <w:pPr>
              <w:tabs>
                <w:tab w:val="left" w:pos="-1440"/>
                <w:tab w:val="left" w:pos="-720"/>
                <w:tab w:val="left" w:pos="0"/>
                <w:tab w:val="left" w:pos="720"/>
                <w:tab w:val="left" w:pos="2160"/>
              </w:tabs>
              <w:spacing w:after="120"/>
              <w:jc w:val="center"/>
              <w:rPr>
                <w:rFonts w:ascii="Arial" w:hAnsi="Arial" w:cs="Arial"/>
                <w:lang w:val="fr-BE"/>
              </w:rPr>
            </w:pPr>
            <w:r w:rsidRPr="00FB0C69">
              <w:rPr>
                <w:rFonts w:ascii="Arial" w:hAnsi="Arial" w:cs="Arial"/>
              </w:rPr>
              <w:t>m</w:t>
            </w:r>
            <w:r w:rsidRPr="00FB0C69">
              <w:rPr>
                <w:rFonts w:ascii="Arial" w:hAnsi="Arial" w:cs="Arial"/>
                <w:vertAlign w:val="superscript"/>
              </w:rPr>
              <w:t>3</w:t>
            </w:r>
          </w:p>
        </w:tc>
        <w:tc>
          <w:tcPr>
            <w:tcW w:w="698" w:type="pct"/>
            <w:vAlign w:val="center"/>
          </w:tcPr>
          <w:p w14:paraId="47D8AD8C"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 xml:space="preserve">               63,60   </w:t>
            </w:r>
          </w:p>
        </w:tc>
      </w:tr>
      <w:tr w:rsidR="002A4C74" w:rsidRPr="00AC43E3" w14:paraId="0EE94460" w14:textId="77777777" w:rsidTr="00433346">
        <w:trPr>
          <w:trHeight w:hRule="exact" w:val="567"/>
        </w:trPr>
        <w:tc>
          <w:tcPr>
            <w:tcW w:w="574" w:type="pct"/>
            <w:vAlign w:val="center"/>
          </w:tcPr>
          <w:p w14:paraId="70637674"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tcPr>
          <w:p w14:paraId="32C43F4C"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rPr>
            </w:pPr>
            <w:r w:rsidRPr="00433346">
              <w:rPr>
                <w:rFonts w:ascii="Arial" w:hAnsi="Arial" w:cs="Arial"/>
                <w:color w:val="000000"/>
                <w:lang w:eastAsia="es-UY"/>
              </w:rPr>
              <w:t>Columna de iluminación instalada completa</w:t>
            </w:r>
          </w:p>
        </w:tc>
        <w:tc>
          <w:tcPr>
            <w:tcW w:w="603" w:type="pct"/>
            <w:vAlign w:val="center"/>
          </w:tcPr>
          <w:p w14:paraId="2DBD0387"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473D1F5E"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35.000</w:t>
            </w:r>
          </w:p>
        </w:tc>
      </w:tr>
      <w:tr w:rsidR="002A4C74" w:rsidRPr="00AC43E3" w14:paraId="6E549785" w14:textId="77777777" w:rsidTr="00433346">
        <w:trPr>
          <w:trHeight w:hRule="exact" w:val="567"/>
        </w:trPr>
        <w:tc>
          <w:tcPr>
            <w:tcW w:w="574" w:type="pct"/>
            <w:vAlign w:val="center"/>
          </w:tcPr>
          <w:p w14:paraId="25F0C795"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p>
        </w:tc>
        <w:tc>
          <w:tcPr>
            <w:tcW w:w="3125" w:type="pct"/>
            <w:vAlign w:val="center"/>
          </w:tcPr>
          <w:p w14:paraId="21255528" w14:textId="77777777" w:rsidR="002A4C74" w:rsidRPr="00433346" w:rsidRDefault="002A4C74" w:rsidP="00433346">
            <w:pPr>
              <w:tabs>
                <w:tab w:val="left" w:pos="-1440"/>
                <w:tab w:val="left" w:pos="-720"/>
                <w:tab w:val="left" w:pos="0"/>
                <w:tab w:val="left" w:pos="720"/>
                <w:tab w:val="left" w:pos="2160"/>
              </w:tabs>
              <w:spacing w:after="120"/>
              <w:jc w:val="both"/>
              <w:rPr>
                <w:rFonts w:ascii="Arial" w:hAnsi="Arial" w:cs="Arial"/>
                <w:lang w:val="fr-BE"/>
              </w:rPr>
            </w:pPr>
            <w:r w:rsidRPr="00433346">
              <w:rPr>
                <w:rFonts w:ascii="Arial" w:hAnsi="Arial" w:cs="Arial"/>
                <w:color w:val="000000"/>
                <w:lang w:eastAsia="es-UY"/>
              </w:rPr>
              <w:t>Refugios peatonales</w:t>
            </w:r>
          </w:p>
        </w:tc>
        <w:tc>
          <w:tcPr>
            <w:tcW w:w="603" w:type="pct"/>
            <w:vAlign w:val="center"/>
          </w:tcPr>
          <w:p w14:paraId="30409196" w14:textId="77777777" w:rsidR="002A4C74" w:rsidRPr="00433346" w:rsidRDefault="002A4C74" w:rsidP="00433346">
            <w:pPr>
              <w:tabs>
                <w:tab w:val="left" w:pos="-1440"/>
                <w:tab w:val="left" w:pos="-720"/>
                <w:tab w:val="left" w:pos="0"/>
                <w:tab w:val="left" w:pos="720"/>
                <w:tab w:val="left" w:pos="2160"/>
              </w:tabs>
              <w:spacing w:after="120"/>
              <w:jc w:val="center"/>
              <w:rPr>
                <w:rFonts w:ascii="Arial" w:hAnsi="Arial" w:cs="Arial"/>
                <w:lang w:val="fr-BE"/>
              </w:rPr>
            </w:pPr>
            <w:r w:rsidRPr="00433346">
              <w:rPr>
                <w:rFonts w:ascii="Arial" w:hAnsi="Arial" w:cs="Arial"/>
                <w:color w:val="000000"/>
                <w:lang w:eastAsia="es-UY"/>
              </w:rPr>
              <w:t>C/U</w:t>
            </w:r>
          </w:p>
        </w:tc>
        <w:tc>
          <w:tcPr>
            <w:tcW w:w="698" w:type="pct"/>
            <w:vAlign w:val="center"/>
          </w:tcPr>
          <w:p w14:paraId="381DE7DB" w14:textId="77777777" w:rsidR="002A4C74" w:rsidRPr="00433346" w:rsidRDefault="002A4C74" w:rsidP="00433346">
            <w:pPr>
              <w:tabs>
                <w:tab w:val="left" w:pos="-1440"/>
                <w:tab w:val="left" w:pos="-720"/>
                <w:tab w:val="left" w:pos="0"/>
                <w:tab w:val="left" w:pos="720"/>
                <w:tab w:val="left" w:pos="2160"/>
              </w:tabs>
              <w:spacing w:after="120"/>
              <w:jc w:val="right"/>
              <w:rPr>
                <w:rFonts w:ascii="Arial" w:hAnsi="Arial" w:cs="Arial"/>
                <w:lang w:val="fr-BE"/>
              </w:rPr>
            </w:pPr>
            <w:r w:rsidRPr="00433346">
              <w:rPr>
                <w:rFonts w:ascii="Arial" w:hAnsi="Arial" w:cs="Arial"/>
                <w:color w:val="000000"/>
                <w:lang w:eastAsia="es-UY"/>
              </w:rPr>
              <w:t>39.000</w:t>
            </w:r>
          </w:p>
        </w:tc>
      </w:tr>
      <w:tr w:rsidR="002A4C74" w:rsidRPr="00FB0C69" w14:paraId="00BC553D" w14:textId="77777777" w:rsidTr="00433346">
        <w:trPr>
          <w:trHeight w:hRule="exact" w:val="567"/>
        </w:trPr>
        <w:tc>
          <w:tcPr>
            <w:tcW w:w="574" w:type="pct"/>
            <w:vAlign w:val="center"/>
          </w:tcPr>
          <w:p w14:paraId="3E45B6C9" w14:textId="77777777" w:rsidR="002A4C74" w:rsidRPr="00FB0C69"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539-4</w:t>
            </w:r>
          </w:p>
        </w:tc>
        <w:tc>
          <w:tcPr>
            <w:tcW w:w="3125" w:type="pct"/>
            <w:vAlign w:val="center"/>
          </w:tcPr>
          <w:p w14:paraId="13822566" w14:textId="77777777" w:rsidR="002A4C74" w:rsidRPr="00FB0C69" w:rsidRDefault="002A4C74" w:rsidP="002A4C74">
            <w:pPr>
              <w:tabs>
                <w:tab w:val="left" w:pos="-1440"/>
                <w:tab w:val="left" w:pos="-720"/>
                <w:tab w:val="left" w:pos="0"/>
                <w:tab w:val="left" w:pos="720"/>
                <w:tab w:val="left" w:pos="2160"/>
              </w:tabs>
              <w:spacing w:after="120"/>
              <w:jc w:val="both"/>
              <w:rPr>
                <w:rFonts w:ascii="Arial" w:hAnsi="Arial" w:cs="Arial"/>
              </w:rPr>
            </w:pPr>
            <w:r w:rsidRPr="00AA5C96">
              <w:rPr>
                <w:rFonts w:ascii="Arial" w:hAnsi="Arial" w:cs="Arial"/>
                <w:color w:val="000000"/>
              </w:rPr>
              <w:t xml:space="preserve">Pavimento de hormigón simple de 22 cm de espesor  </w:t>
            </w:r>
          </w:p>
        </w:tc>
        <w:tc>
          <w:tcPr>
            <w:tcW w:w="603" w:type="pct"/>
            <w:vAlign w:val="center"/>
          </w:tcPr>
          <w:p w14:paraId="02E16E82" w14:textId="77777777" w:rsidR="002A4C74" w:rsidRPr="00FB0C69"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tcPr>
          <w:p w14:paraId="1D592A66" w14:textId="77777777" w:rsidR="002A4C74" w:rsidRPr="00FB0C69" w:rsidRDefault="002A4C74" w:rsidP="002A4C74">
            <w:pPr>
              <w:tabs>
                <w:tab w:val="left" w:pos="-1440"/>
                <w:tab w:val="left" w:pos="-720"/>
                <w:tab w:val="left" w:pos="0"/>
                <w:tab w:val="left" w:pos="720"/>
                <w:tab w:val="left" w:pos="2160"/>
              </w:tabs>
              <w:spacing w:after="120"/>
              <w:jc w:val="right"/>
              <w:rPr>
                <w:rFonts w:ascii="Arial" w:hAnsi="Arial" w:cs="Arial"/>
              </w:rPr>
            </w:pPr>
            <w:r w:rsidRPr="00AA5C96">
              <w:rPr>
                <w:rFonts w:ascii="Arial" w:hAnsi="Arial" w:cs="Arial"/>
                <w:color w:val="000000"/>
                <w:lang w:eastAsia="es-UY"/>
              </w:rPr>
              <w:t>455,60</w:t>
            </w:r>
          </w:p>
        </w:tc>
      </w:tr>
      <w:tr w:rsidR="002A4C74" w:rsidRPr="00FB0C69" w14:paraId="5DFE7944" w14:textId="77777777" w:rsidTr="00433346">
        <w:trPr>
          <w:trHeight w:hRule="exact" w:val="567"/>
        </w:trPr>
        <w:tc>
          <w:tcPr>
            <w:tcW w:w="574" w:type="pct"/>
            <w:vAlign w:val="center"/>
          </w:tcPr>
          <w:p w14:paraId="541EC8E5"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228</w:t>
            </w:r>
          </w:p>
        </w:tc>
        <w:tc>
          <w:tcPr>
            <w:tcW w:w="3125" w:type="pct"/>
            <w:vAlign w:val="center"/>
          </w:tcPr>
          <w:p w14:paraId="3C0DDAD3"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Hormigón ciclópeo </w:t>
            </w:r>
          </w:p>
        </w:tc>
        <w:tc>
          <w:tcPr>
            <w:tcW w:w="603" w:type="pct"/>
            <w:vAlign w:val="center"/>
          </w:tcPr>
          <w:p w14:paraId="7A90A997"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tcPr>
          <w:p w14:paraId="1AC6F700"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3.271,91</w:t>
            </w:r>
          </w:p>
        </w:tc>
      </w:tr>
      <w:tr w:rsidR="002A4C74" w:rsidRPr="00FB0C69" w14:paraId="057B767B" w14:textId="77777777" w:rsidTr="00433346">
        <w:trPr>
          <w:trHeight w:hRule="exact" w:val="567"/>
        </w:trPr>
        <w:tc>
          <w:tcPr>
            <w:tcW w:w="574" w:type="pct"/>
            <w:vAlign w:val="center"/>
          </w:tcPr>
          <w:p w14:paraId="067EFD60"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50CAECEB"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Enrocado  para protección de fundación </w:t>
            </w:r>
          </w:p>
        </w:tc>
        <w:tc>
          <w:tcPr>
            <w:tcW w:w="603" w:type="pct"/>
            <w:vAlign w:val="center"/>
          </w:tcPr>
          <w:p w14:paraId="13EFD12F"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3</w:t>
            </w:r>
          </w:p>
        </w:tc>
        <w:tc>
          <w:tcPr>
            <w:tcW w:w="698" w:type="pct"/>
            <w:vAlign w:val="center"/>
          </w:tcPr>
          <w:p w14:paraId="7238BB6F"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2.387,13</w:t>
            </w:r>
          </w:p>
        </w:tc>
      </w:tr>
      <w:tr w:rsidR="002A4C74" w:rsidRPr="00FB0C69" w14:paraId="31FCFC6E" w14:textId="77777777" w:rsidTr="00433346">
        <w:trPr>
          <w:trHeight w:hRule="exact" w:val="567"/>
        </w:trPr>
        <w:tc>
          <w:tcPr>
            <w:tcW w:w="574" w:type="pct"/>
            <w:vAlign w:val="center"/>
          </w:tcPr>
          <w:p w14:paraId="6C7D088D"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13BDE816"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Cordón cuenta </w:t>
            </w:r>
          </w:p>
        </w:tc>
        <w:tc>
          <w:tcPr>
            <w:tcW w:w="603" w:type="pct"/>
            <w:vAlign w:val="center"/>
          </w:tcPr>
          <w:p w14:paraId="777D45F7"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ML</w:t>
            </w:r>
          </w:p>
        </w:tc>
        <w:tc>
          <w:tcPr>
            <w:tcW w:w="698" w:type="pct"/>
            <w:vAlign w:val="center"/>
          </w:tcPr>
          <w:p w14:paraId="1BF21ADB"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374,38</w:t>
            </w:r>
          </w:p>
        </w:tc>
      </w:tr>
      <w:tr w:rsidR="002A4C74" w:rsidRPr="00FB0C69" w14:paraId="77D81599" w14:textId="77777777" w:rsidTr="00433346">
        <w:trPr>
          <w:trHeight w:hRule="exact" w:val="567"/>
        </w:trPr>
        <w:tc>
          <w:tcPr>
            <w:tcW w:w="574" w:type="pct"/>
            <w:vAlign w:val="center"/>
          </w:tcPr>
          <w:p w14:paraId="516CDCA1"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lastRenderedPageBreak/>
              <w:t>3038</w:t>
            </w:r>
          </w:p>
        </w:tc>
        <w:tc>
          <w:tcPr>
            <w:tcW w:w="3125" w:type="pct"/>
            <w:vAlign w:val="center"/>
          </w:tcPr>
          <w:p w14:paraId="5858F011"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Línea de borde aplicado en frío </w:t>
            </w:r>
          </w:p>
        </w:tc>
        <w:tc>
          <w:tcPr>
            <w:tcW w:w="603" w:type="pct"/>
            <w:vAlign w:val="center"/>
          </w:tcPr>
          <w:p w14:paraId="66FEA560"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FB0C69">
              <w:rPr>
                <w:rFonts w:ascii="Arial" w:hAnsi="Arial" w:cs="Arial"/>
              </w:rPr>
              <w:t>m</w:t>
            </w:r>
            <w:r w:rsidRPr="00FB0C69">
              <w:rPr>
                <w:rFonts w:ascii="Arial" w:hAnsi="Arial" w:cs="Arial"/>
                <w:vertAlign w:val="superscript"/>
              </w:rPr>
              <w:t>2</w:t>
            </w:r>
          </w:p>
        </w:tc>
        <w:tc>
          <w:tcPr>
            <w:tcW w:w="698" w:type="pct"/>
            <w:vAlign w:val="center"/>
          </w:tcPr>
          <w:p w14:paraId="521B2E9D"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63,68</w:t>
            </w:r>
          </w:p>
        </w:tc>
      </w:tr>
      <w:tr w:rsidR="002A4C74" w:rsidRPr="00FB0C69" w14:paraId="21F7812D" w14:textId="77777777" w:rsidTr="00433346">
        <w:trPr>
          <w:trHeight w:hRule="exact" w:val="567"/>
        </w:trPr>
        <w:tc>
          <w:tcPr>
            <w:tcW w:w="574" w:type="pct"/>
            <w:vAlign w:val="center"/>
          </w:tcPr>
          <w:p w14:paraId="37C1833F"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3039</w:t>
            </w:r>
          </w:p>
        </w:tc>
        <w:tc>
          <w:tcPr>
            <w:tcW w:w="3125" w:type="pct"/>
            <w:vAlign w:val="center"/>
          </w:tcPr>
          <w:p w14:paraId="15D4DAAF"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 xml:space="preserve">Línea amarillo aplicado en frío </w:t>
            </w:r>
          </w:p>
        </w:tc>
        <w:tc>
          <w:tcPr>
            <w:tcW w:w="603" w:type="pct"/>
            <w:vAlign w:val="center"/>
          </w:tcPr>
          <w:p w14:paraId="21D63A67"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rPr>
            </w:pPr>
            <w:r w:rsidRPr="00FB0C69">
              <w:rPr>
                <w:rFonts w:ascii="Arial" w:hAnsi="Arial" w:cs="Arial"/>
              </w:rPr>
              <w:t>m</w:t>
            </w:r>
            <w:r w:rsidRPr="00FB0C69">
              <w:rPr>
                <w:rFonts w:ascii="Arial" w:hAnsi="Arial" w:cs="Arial"/>
                <w:vertAlign w:val="superscript"/>
              </w:rPr>
              <w:t>2</w:t>
            </w:r>
          </w:p>
        </w:tc>
        <w:tc>
          <w:tcPr>
            <w:tcW w:w="698" w:type="pct"/>
            <w:vAlign w:val="center"/>
          </w:tcPr>
          <w:p w14:paraId="328B3831"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63,68</w:t>
            </w:r>
          </w:p>
        </w:tc>
      </w:tr>
      <w:tr w:rsidR="002A4C74" w:rsidRPr="00FB0C69" w14:paraId="54F22946" w14:textId="77777777" w:rsidTr="00433346">
        <w:trPr>
          <w:trHeight w:hRule="exact" w:val="567"/>
        </w:trPr>
        <w:tc>
          <w:tcPr>
            <w:tcW w:w="574" w:type="pct"/>
            <w:vAlign w:val="center"/>
          </w:tcPr>
          <w:p w14:paraId="2F2358DD"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7A14F4FE"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Cruce semaforizado</w:t>
            </w:r>
          </w:p>
        </w:tc>
        <w:tc>
          <w:tcPr>
            <w:tcW w:w="603" w:type="pct"/>
            <w:vAlign w:val="center"/>
          </w:tcPr>
          <w:p w14:paraId="1107A4E5"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rPr>
            </w:pPr>
            <w:r w:rsidRPr="00AA5C96">
              <w:rPr>
                <w:rFonts w:ascii="Arial" w:hAnsi="Arial" w:cs="Arial"/>
                <w:color w:val="000000"/>
                <w:lang w:eastAsia="es-UY"/>
              </w:rPr>
              <w:t>GLOBAL</w:t>
            </w:r>
          </w:p>
        </w:tc>
        <w:tc>
          <w:tcPr>
            <w:tcW w:w="698" w:type="pct"/>
            <w:vAlign w:val="center"/>
          </w:tcPr>
          <w:p w14:paraId="6D4D98F7"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372.000</w:t>
            </w:r>
          </w:p>
        </w:tc>
      </w:tr>
      <w:tr w:rsidR="002A4C74" w:rsidRPr="00FB0C69" w14:paraId="72E0703E" w14:textId="77777777" w:rsidTr="00433346">
        <w:trPr>
          <w:trHeight w:hRule="exact" w:val="567"/>
        </w:trPr>
        <w:tc>
          <w:tcPr>
            <w:tcW w:w="574" w:type="pct"/>
            <w:vAlign w:val="center"/>
          </w:tcPr>
          <w:p w14:paraId="692651D9"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102</w:t>
            </w:r>
          </w:p>
        </w:tc>
        <w:tc>
          <w:tcPr>
            <w:tcW w:w="3125" w:type="pct"/>
            <w:vAlign w:val="center"/>
          </w:tcPr>
          <w:p w14:paraId="7E1ECF7D"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Mezcla asfáltica para carpeta de rodadura</w:t>
            </w:r>
          </w:p>
        </w:tc>
        <w:tc>
          <w:tcPr>
            <w:tcW w:w="603" w:type="pct"/>
            <w:vAlign w:val="center"/>
          </w:tcPr>
          <w:p w14:paraId="7F0AF08F"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TON</w:t>
            </w:r>
          </w:p>
        </w:tc>
        <w:tc>
          <w:tcPr>
            <w:tcW w:w="698" w:type="pct"/>
            <w:vAlign w:val="center"/>
          </w:tcPr>
          <w:p w14:paraId="61BB8B6B"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477,53</w:t>
            </w:r>
          </w:p>
        </w:tc>
      </w:tr>
      <w:tr w:rsidR="002A4C74" w:rsidRPr="00FB0C69" w14:paraId="7C0AC66B" w14:textId="77777777" w:rsidTr="00433346">
        <w:trPr>
          <w:trHeight w:hRule="exact" w:val="567"/>
        </w:trPr>
        <w:tc>
          <w:tcPr>
            <w:tcW w:w="574" w:type="pct"/>
            <w:vAlign w:val="center"/>
          </w:tcPr>
          <w:p w14:paraId="273EFBB4"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364AE190"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Nariz de hormigón montable</w:t>
            </w:r>
          </w:p>
        </w:tc>
        <w:tc>
          <w:tcPr>
            <w:tcW w:w="603" w:type="pct"/>
            <w:vAlign w:val="center"/>
          </w:tcPr>
          <w:p w14:paraId="71BC1B7D" w14:textId="77777777" w:rsidR="002A4C74" w:rsidRPr="00AA5C96" w:rsidRDefault="00433346"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FB0C69">
              <w:rPr>
                <w:rFonts w:ascii="Arial" w:hAnsi="Arial" w:cs="Arial"/>
              </w:rPr>
              <w:t>m</w:t>
            </w:r>
            <w:r w:rsidRPr="00FB0C69">
              <w:rPr>
                <w:rFonts w:ascii="Arial" w:hAnsi="Arial" w:cs="Arial"/>
                <w:vertAlign w:val="superscript"/>
              </w:rPr>
              <w:t>2</w:t>
            </w:r>
          </w:p>
        </w:tc>
        <w:tc>
          <w:tcPr>
            <w:tcW w:w="698" w:type="pct"/>
            <w:vAlign w:val="center"/>
          </w:tcPr>
          <w:p w14:paraId="587783DE"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86,67</w:t>
            </w:r>
          </w:p>
        </w:tc>
      </w:tr>
      <w:tr w:rsidR="002A4C74" w:rsidRPr="00FB0C69" w14:paraId="12CAD6A9" w14:textId="77777777" w:rsidTr="00433346">
        <w:trPr>
          <w:trHeight w:hRule="exact" w:val="567"/>
        </w:trPr>
        <w:tc>
          <w:tcPr>
            <w:tcW w:w="574" w:type="pct"/>
            <w:vAlign w:val="center"/>
          </w:tcPr>
          <w:p w14:paraId="446AF0DB"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p>
        </w:tc>
        <w:tc>
          <w:tcPr>
            <w:tcW w:w="3125" w:type="pct"/>
            <w:vAlign w:val="center"/>
          </w:tcPr>
          <w:p w14:paraId="55A6D04F" w14:textId="77777777" w:rsidR="002A4C74" w:rsidRPr="00AA5C96" w:rsidRDefault="002A4C74" w:rsidP="002A4C74">
            <w:pPr>
              <w:tabs>
                <w:tab w:val="left" w:pos="-1440"/>
                <w:tab w:val="left" w:pos="-720"/>
                <w:tab w:val="left" w:pos="0"/>
                <w:tab w:val="left" w:pos="720"/>
                <w:tab w:val="left" w:pos="2160"/>
              </w:tabs>
              <w:spacing w:after="120"/>
              <w:jc w:val="both"/>
              <w:rPr>
                <w:rFonts w:ascii="Arial" w:hAnsi="Arial" w:cs="Arial"/>
                <w:color w:val="000000"/>
              </w:rPr>
            </w:pPr>
            <w:r w:rsidRPr="00AA5C96">
              <w:rPr>
                <w:rFonts w:ascii="Arial" w:hAnsi="Arial" w:cs="Arial"/>
                <w:color w:val="000000"/>
              </w:rPr>
              <w:t>Pescante para señales instalado.</w:t>
            </w:r>
          </w:p>
        </w:tc>
        <w:tc>
          <w:tcPr>
            <w:tcW w:w="603" w:type="pct"/>
            <w:vAlign w:val="center"/>
          </w:tcPr>
          <w:p w14:paraId="7B923CDD" w14:textId="77777777" w:rsidR="002A4C74" w:rsidRPr="00AA5C96" w:rsidRDefault="002A4C74" w:rsidP="002A4C74">
            <w:pPr>
              <w:tabs>
                <w:tab w:val="left" w:pos="-1440"/>
                <w:tab w:val="left" w:pos="-720"/>
                <w:tab w:val="left" w:pos="0"/>
                <w:tab w:val="left" w:pos="720"/>
                <w:tab w:val="left" w:pos="2160"/>
              </w:tabs>
              <w:spacing w:after="120"/>
              <w:jc w:val="center"/>
              <w:rPr>
                <w:rFonts w:ascii="Arial" w:hAnsi="Arial" w:cs="Arial"/>
                <w:color w:val="000000"/>
                <w:lang w:eastAsia="es-UY"/>
              </w:rPr>
            </w:pPr>
            <w:r w:rsidRPr="00AA5C96">
              <w:rPr>
                <w:rFonts w:ascii="Arial" w:hAnsi="Arial" w:cs="Arial"/>
                <w:color w:val="000000"/>
                <w:lang w:eastAsia="es-UY"/>
              </w:rPr>
              <w:t>C/U</w:t>
            </w:r>
          </w:p>
        </w:tc>
        <w:tc>
          <w:tcPr>
            <w:tcW w:w="698" w:type="pct"/>
            <w:vAlign w:val="center"/>
          </w:tcPr>
          <w:p w14:paraId="3435E625" w14:textId="77777777" w:rsidR="002A4C74" w:rsidRPr="00AA5C96" w:rsidRDefault="002A4C74" w:rsidP="002A4C74">
            <w:pPr>
              <w:tabs>
                <w:tab w:val="left" w:pos="-1440"/>
                <w:tab w:val="left" w:pos="-720"/>
                <w:tab w:val="left" w:pos="0"/>
                <w:tab w:val="left" w:pos="720"/>
                <w:tab w:val="left" w:pos="2160"/>
              </w:tabs>
              <w:spacing w:after="120"/>
              <w:jc w:val="right"/>
              <w:rPr>
                <w:rFonts w:ascii="Arial" w:hAnsi="Arial" w:cs="Arial"/>
                <w:color w:val="000000"/>
                <w:lang w:eastAsia="es-UY"/>
              </w:rPr>
            </w:pPr>
            <w:r w:rsidRPr="00AA5C96">
              <w:rPr>
                <w:rFonts w:ascii="Arial" w:hAnsi="Arial" w:cs="Arial"/>
                <w:color w:val="000000"/>
                <w:lang w:eastAsia="es-UY"/>
              </w:rPr>
              <w:t>42.550</w:t>
            </w:r>
          </w:p>
        </w:tc>
      </w:tr>
    </w:tbl>
    <w:p w14:paraId="0A99D43C" w14:textId="77777777" w:rsidR="005F7DAA" w:rsidRDefault="005F7DA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4A6FB62C"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3AAC8E8D"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08E58587" w14:textId="77777777" w:rsidR="00C10C4A"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68403866" w14:textId="77777777" w:rsidR="00C10C4A" w:rsidRPr="00FB0C69" w:rsidRDefault="00C10C4A" w:rsidP="005F7DAA">
      <w:pPr>
        <w:tabs>
          <w:tab w:val="left" w:pos="-1440"/>
          <w:tab w:val="left" w:pos="-720"/>
          <w:tab w:val="left" w:pos="0"/>
          <w:tab w:val="left" w:pos="720"/>
          <w:tab w:val="left" w:pos="2160"/>
        </w:tabs>
        <w:spacing w:after="120"/>
        <w:jc w:val="both"/>
        <w:rPr>
          <w:rFonts w:ascii="Arial" w:hAnsi="Arial" w:cs="Arial"/>
          <w:sz w:val="20"/>
          <w:szCs w:val="20"/>
          <w:lang w:val="es-UY"/>
        </w:rPr>
      </w:pPr>
    </w:p>
    <w:p w14:paraId="02C08F47" w14:textId="77777777" w:rsidR="005F7DAA" w:rsidRDefault="005F7DAA" w:rsidP="005F7DAA">
      <w:pPr>
        <w:tabs>
          <w:tab w:val="left" w:pos="-1440"/>
          <w:tab w:val="left" w:pos="-720"/>
          <w:tab w:val="left" w:pos="0"/>
          <w:tab w:val="left" w:pos="720"/>
          <w:tab w:val="left" w:pos="1111"/>
          <w:tab w:val="left" w:pos="2160"/>
        </w:tabs>
        <w:spacing w:after="120"/>
        <w:jc w:val="both"/>
        <w:rPr>
          <w:rFonts w:ascii="Arial" w:hAnsi="Arial" w:cs="Arial"/>
          <w:sz w:val="20"/>
          <w:szCs w:val="20"/>
          <w:lang w:val="es-UY"/>
        </w:rPr>
      </w:pPr>
      <w:r w:rsidRPr="00FE0CD6">
        <w:rPr>
          <w:rFonts w:ascii="Arial" w:hAnsi="Arial" w:cs="Arial"/>
          <w:sz w:val="20"/>
          <w:szCs w:val="20"/>
          <w:lang w:val="es-UY"/>
        </w:rPr>
        <w:t xml:space="preserve"> </w:t>
      </w:r>
      <w:r w:rsidRPr="00E37917">
        <w:rPr>
          <w:rFonts w:ascii="Arial" w:hAnsi="Arial" w:cs="Arial"/>
          <w:sz w:val="20"/>
          <w:szCs w:val="20"/>
          <w:lang w:val="es-UY"/>
        </w:rPr>
        <w:t>Los precios de los rubros que no se suministren se considerarán prorrateados en los rubros asociados o compuestos por un subconjunto de los rubros suministrados.</w:t>
      </w:r>
    </w:p>
    <w:p w14:paraId="304551B0" w14:textId="77777777" w:rsidR="005F7DAA" w:rsidRDefault="005F7DAA" w:rsidP="005F7DAA">
      <w:pPr>
        <w:spacing w:after="0" w:line="240" w:lineRule="auto"/>
        <w:rPr>
          <w:rFonts w:ascii="Arial" w:hAnsi="Arial" w:cs="Arial"/>
          <w:sz w:val="20"/>
          <w:szCs w:val="20"/>
          <w:lang w:val="es-UY"/>
        </w:rPr>
      </w:pPr>
    </w:p>
    <w:p w14:paraId="6E5B9DEF" w14:textId="77777777" w:rsidR="005F7DAA" w:rsidRDefault="005F7DAA" w:rsidP="009A58E0">
      <w:pPr>
        <w:pStyle w:val="Prrafodelista"/>
        <w:numPr>
          <w:ilvl w:val="0"/>
          <w:numId w:val="124"/>
        </w:numPr>
        <w:tabs>
          <w:tab w:val="left" w:pos="-1440"/>
          <w:tab w:val="left" w:pos="-720"/>
          <w:tab w:val="left" w:pos="0"/>
          <w:tab w:val="left" w:pos="720"/>
          <w:tab w:val="left" w:pos="2160"/>
        </w:tabs>
        <w:spacing w:after="120"/>
        <w:ind w:left="585"/>
        <w:jc w:val="both"/>
        <w:rPr>
          <w:rFonts w:ascii="Arial" w:hAnsi="Arial" w:cs="Arial"/>
          <w:sz w:val="20"/>
          <w:szCs w:val="20"/>
          <w:lang w:val="es-UY"/>
        </w:rPr>
      </w:pPr>
      <w:r>
        <w:rPr>
          <w:rFonts w:ascii="Arial" w:hAnsi="Arial" w:cs="Arial"/>
          <w:sz w:val="20"/>
          <w:szCs w:val="20"/>
          <w:lang w:val="es-UY"/>
        </w:rPr>
        <w:t xml:space="preserve">Se suministra el “precio unitario base” de remuneración por mantenimiento en UI, con Leyes Sociales y sin IVA, de </w:t>
      </w:r>
      <w:r>
        <w:rPr>
          <w:rFonts w:ascii="Arial" w:hAnsi="Arial" w:cs="Arial"/>
          <w:sz w:val="20"/>
          <w:szCs w:val="20"/>
          <w:lang w:val="es-UY"/>
        </w:rPr>
        <w:lastRenderedPageBreak/>
        <w:t xml:space="preserve">acuerdo a lo indicado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2.2 Definición de la Componente B de la Oferta.</w:t>
      </w:r>
    </w:p>
    <w:p w14:paraId="4BC6D83A" w14:textId="77777777" w:rsidR="005F7DAA" w:rsidRDefault="005F7DAA" w:rsidP="005F7DAA">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p>
    <w:p w14:paraId="26621365" w14:textId="77777777" w:rsidR="005F7DAA" w:rsidRPr="003527A8" w:rsidRDefault="005F7DAA" w:rsidP="005F7DAA">
      <w:pPr>
        <w:pStyle w:val="Prrafodelista"/>
        <w:tabs>
          <w:tab w:val="left" w:pos="-1440"/>
          <w:tab w:val="left" w:pos="-720"/>
          <w:tab w:val="left" w:pos="0"/>
          <w:tab w:val="left" w:pos="720"/>
          <w:tab w:val="left" w:pos="2160"/>
        </w:tabs>
        <w:spacing w:after="120"/>
        <w:ind w:left="585"/>
        <w:jc w:val="center"/>
        <w:rPr>
          <w:rFonts w:ascii="Arial" w:hAnsi="Arial" w:cs="Arial"/>
          <w:b/>
          <w:sz w:val="20"/>
          <w:szCs w:val="20"/>
          <w:lang w:val="es-UY"/>
        </w:rPr>
      </w:pPr>
      <w:r w:rsidRPr="00433DEA">
        <w:rPr>
          <w:rFonts w:ascii="Arial" w:hAnsi="Arial" w:cs="Arial"/>
          <w:b/>
          <w:sz w:val="20"/>
          <w:szCs w:val="20"/>
          <w:lang w:val="es-UY"/>
        </w:rPr>
        <w:t>pm = 4.794,83 UI / Km – mes.</w:t>
      </w:r>
    </w:p>
    <w:p w14:paraId="26443458" w14:textId="77777777" w:rsidR="005D2BC4" w:rsidRPr="00917B03" w:rsidRDefault="005D2BC4" w:rsidP="00AD1D1C">
      <w:pPr>
        <w:rPr>
          <w:rFonts w:ascii="Arial" w:eastAsia="Calibri" w:hAnsi="Arial" w:cs="Arial"/>
          <w:b/>
          <w:bCs/>
        </w:rPr>
      </w:pPr>
    </w:p>
    <w:p w14:paraId="2198D66F" w14:textId="77777777" w:rsidR="0095504F" w:rsidRDefault="0095504F" w:rsidP="009A58E0">
      <w:pPr>
        <w:pStyle w:val="Prrafodelista"/>
        <w:numPr>
          <w:ilvl w:val="0"/>
          <w:numId w:val="124"/>
        </w:numPr>
        <w:tabs>
          <w:tab w:val="left" w:pos="-1440"/>
          <w:tab w:val="left" w:pos="-720"/>
          <w:tab w:val="left" w:pos="0"/>
          <w:tab w:val="left" w:pos="720"/>
          <w:tab w:val="left" w:pos="2160"/>
        </w:tabs>
        <w:spacing w:after="120"/>
        <w:ind w:left="585"/>
        <w:jc w:val="both"/>
        <w:rPr>
          <w:rFonts w:ascii="Arial" w:hAnsi="Arial" w:cs="Arial"/>
          <w:sz w:val="20"/>
          <w:szCs w:val="20"/>
          <w:lang w:val="es-UY"/>
        </w:rPr>
      </w:pPr>
      <w:r>
        <w:rPr>
          <w:rFonts w:ascii="Arial" w:hAnsi="Arial" w:cs="Arial"/>
          <w:sz w:val="20"/>
          <w:szCs w:val="20"/>
          <w:lang w:val="es-UY"/>
        </w:rPr>
        <w:t xml:space="preserve">Se proporciona el Monto Base de la Componente B, valor que debe ir en la celda (2) de la tabla A.II-5, de acuerdo a lo establecido en el </w:t>
      </w:r>
      <w:hyperlink w:anchor="A_2" w:history="1">
        <w:r w:rsidRPr="003218BC">
          <w:rPr>
            <w:rStyle w:val="Hipervnculo"/>
            <w:rFonts w:ascii="Arial" w:hAnsi="Arial" w:cs="Arial"/>
            <w:sz w:val="20"/>
            <w:szCs w:val="20"/>
            <w:lang w:val="es-UY"/>
          </w:rPr>
          <w:t>Anexo II</w:t>
        </w:r>
      </w:hyperlink>
      <w:r>
        <w:rPr>
          <w:rFonts w:ascii="Arial" w:hAnsi="Arial" w:cs="Arial"/>
          <w:sz w:val="20"/>
          <w:szCs w:val="20"/>
          <w:lang w:val="es-UY"/>
        </w:rPr>
        <w:t>, cláusula 3 Modelo Resumen de la Oferta Económica.</w:t>
      </w:r>
    </w:p>
    <w:p w14:paraId="7F6723B8" w14:textId="74160357" w:rsidR="0095504F" w:rsidRDefault="0095504F" w:rsidP="0095504F">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r w:rsidRPr="000D7ED3">
        <w:rPr>
          <w:rFonts w:ascii="Arial" w:hAnsi="Arial"/>
          <w:sz w:val="20"/>
          <w:lang w:val="es-UY"/>
        </w:rPr>
        <w:t>Monto Base de la Componente B =</w:t>
      </w:r>
      <w:r w:rsidR="00862077" w:rsidRPr="000D7ED3">
        <w:rPr>
          <w:rFonts w:ascii="Arial" w:hAnsi="Arial" w:cs="Arial"/>
          <w:sz w:val="20"/>
          <w:szCs w:val="20"/>
          <w:lang w:val="es-UY"/>
        </w:rPr>
        <w:tab/>
      </w:r>
      <w:r w:rsidR="00433DEA" w:rsidRPr="000D7ED3">
        <w:rPr>
          <w:rFonts w:ascii="Arial" w:hAnsi="Arial" w:cs="Arial"/>
          <w:sz w:val="20"/>
          <w:szCs w:val="20"/>
          <w:lang w:val="es-UY"/>
        </w:rPr>
        <w:t xml:space="preserve"> </w:t>
      </w:r>
      <w:r w:rsidR="000D7ED3" w:rsidRPr="000D7ED3">
        <w:rPr>
          <w:rFonts w:ascii="Arial" w:hAnsi="Arial" w:cs="Arial"/>
          <w:sz w:val="20"/>
          <w:szCs w:val="20"/>
          <w:lang w:val="es-UY"/>
        </w:rPr>
        <w:t>79.255.137</w:t>
      </w:r>
      <w:r w:rsidR="0003445F" w:rsidRPr="000D7ED3">
        <w:rPr>
          <w:rFonts w:ascii="Arial" w:hAnsi="Arial"/>
          <w:sz w:val="20"/>
          <w:lang w:val="es-UY"/>
        </w:rPr>
        <w:tab/>
      </w:r>
      <w:r w:rsidRPr="000D7ED3">
        <w:rPr>
          <w:rFonts w:ascii="Arial" w:hAnsi="Arial"/>
          <w:sz w:val="20"/>
          <w:lang w:val="es-UY"/>
        </w:rPr>
        <w:t>UI, con Leyes Sociales, sin IVA.</w:t>
      </w:r>
    </w:p>
    <w:p w14:paraId="32D245AA" w14:textId="0785F916" w:rsidR="00065CEE" w:rsidRPr="005064F1" w:rsidRDefault="0095504F" w:rsidP="009A58E0">
      <w:pPr>
        <w:pStyle w:val="Prrafodelista"/>
        <w:numPr>
          <w:ilvl w:val="0"/>
          <w:numId w:val="124"/>
        </w:numPr>
        <w:tabs>
          <w:tab w:val="left" w:pos="-1440"/>
          <w:tab w:val="left" w:pos="-720"/>
          <w:tab w:val="left" w:pos="0"/>
          <w:tab w:val="left" w:pos="720"/>
          <w:tab w:val="left" w:pos="2160"/>
        </w:tabs>
        <w:spacing w:after="120"/>
        <w:ind w:left="585"/>
        <w:jc w:val="both"/>
        <w:rPr>
          <w:rFonts w:ascii="Arial" w:hAnsi="Arial" w:cs="Arial"/>
          <w:sz w:val="20"/>
          <w:szCs w:val="20"/>
          <w:lang w:val="es-UY"/>
        </w:rPr>
      </w:pPr>
      <w:r w:rsidRPr="00065CEE">
        <w:rPr>
          <w:rFonts w:ascii="Arial" w:hAnsi="Arial" w:cs="Arial"/>
          <w:sz w:val="20"/>
          <w:szCs w:val="20"/>
          <w:lang w:val="es-UY"/>
        </w:rPr>
        <w:t>Se proporciona el Monto Base</w:t>
      </w:r>
      <w:r w:rsidR="00516B39" w:rsidRPr="005064F1">
        <w:rPr>
          <w:rFonts w:ascii="Arial" w:hAnsi="Arial" w:cs="Arial"/>
          <w:sz w:val="20"/>
          <w:szCs w:val="20"/>
          <w:lang w:val="es-UY"/>
        </w:rPr>
        <w:t xml:space="preserve"> </w:t>
      </w:r>
      <w:r w:rsidRPr="005064F1">
        <w:rPr>
          <w:rFonts w:ascii="Arial" w:hAnsi="Arial" w:cs="Arial"/>
          <w:sz w:val="20"/>
          <w:szCs w:val="20"/>
          <w:lang w:val="es-UY"/>
        </w:rPr>
        <w:t xml:space="preserve">de la Componente </w:t>
      </w:r>
      <w:r w:rsidR="00065CEE" w:rsidRPr="005064F1">
        <w:rPr>
          <w:rFonts w:ascii="Arial" w:hAnsi="Arial" w:cs="Arial"/>
          <w:sz w:val="20"/>
          <w:szCs w:val="20"/>
          <w:lang w:val="es-UY"/>
        </w:rPr>
        <w:t>C</w:t>
      </w:r>
      <w:r w:rsidRPr="005064F1">
        <w:rPr>
          <w:rFonts w:ascii="Arial" w:hAnsi="Arial" w:cs="Arial"/>
          <w:sz w:val="20"/>
          <w:szCs w:val="20"/>
          <w:lang w:val="es-UY"/>
        </w:rPr>
        <w:t>, valor que debe ir en la celda (</w:t>
      </w:r>
      <w:r w:rsidR="00065CEE" w:rsidRPr="005064F1">
        <w:rPr>
          <w:rFonts w:ascii="Arial" w:hAnsi="Arial" w:cs="Arial"/>
          <w:sz w:val="20"/>
          <w:szCs w:val="20"/>
          <w:lang w:val="es-UY"/>
        </w:rPr>
        <w:t>3</w:t>
      </w:r>
      <w:r w:rsidRPr="005064F1">
        <w:rPr>
          <w:rFonts w:ascii="Arial" w:hAnsi="Arial" w:cs="Arial"/>
          <w:sz w:val="20"/>
          <w:szCs w:val="20"/>
          <w:lang w:val="es-UY"/>
        </w:rPr>
        <w:t xml:space="preserve">) de la tabla A.II-5, de acuerdo a lo establecido en el </w:t>
      </w:r>
      <w:hyperlink w:anchor="A_2" w:history="1">
        <w:r w:rsidRPr="005064F1">
          <w:rPr>
            <w:rStyle w:val="Hipervnculo"/>
            <w:rFonts w:ascii="Arial" w:hAnsi="Arial" w:cs="Arial"/>
            <w:sz w:val="20"/>
            <w:szCs w:val="20"/>
            <w:lang w:val="es-UY"/>
          </w:rPr>
          <w:t>Anexo II</w:t>
        </w:r>
      </w:hyperlink>
      <w:r w:rsidRPr="005064F1">
        <w:rPr>
          <w:rFonts w:ascii="Arial" w:hAnsi="Arial" w:cs="Arial"/>
          <w:sz w:val="20"/>
          <w:szCs w:val="20"/>
          <w:lang w:val="es-UY"/>
        </w:rPr>
        <w:t>, cláusula 3 Modelo Resumen de la Oferta Económica.</w:t>
      </w:r>
    </w:p>
    <w:p w14:paraId="47C757B6" w14:textId="70CA9579" w:rsidR="0095504F" w:rsidRPr="00065CEE" w:rsidRDefault="0095504F" w:rsidP="00065CEE">
      <w:pPr>
        <w:pStyle w:val="Prrafodelista"/>
        <w:tabs>
          <w:tab w:val="left" w:pos="-1440"/>
          <w:tab w:val="left" w:pos="-720"/>
          <w:tab w:val="left" w:pos="0"/>
          <w:tab w:val="left" w:pos="720"/>
          <w:tab w:val="left" w:pos="2160"/>
        </w:tabs>
        <w:spacing w:after="120"/>
        <w:ind w:left="585"/>
        <w:jc w:val="both"/>
        <w:rPr>
          <w:rFonts w:ascii="Arial" w:hAnsi="Arial" w:cs="Arial"/>
          <w:sz w:val="20"/>
          <w:szCs w:val="20"/>
          <w:lang w:val="es-UY"/>
        </w:rPr>
      </w:pPr>
      <w:r w:rsidRPr="001E4D1F">
        <w:rPr>
          <w:rFonts w:ascii="Arial" w:hAnsi="Arial"/>
          <w:sz w:val="20"/>
          <w:lang w:val="es-UY"/>
        </w:rPr>
        <w:t xml:space="preserve">Monto Base de la Componente </w:t>
      </w:r>
      <w:r w:rsidR="00065CEE" w:rsidRPr="001E4D1F">
        <w:rPr>
          <w:rFonts w:ascii="Arial" w:hAnsi="Arial"/>
          <w:sz w:val="20"/>
          <w:lang w:val="es-UY"/>
        </w:rPr>
        <w:t>C</w:t>
      </w:r>
      <w:r w:rsidRPr="001E4D1F">
        <w:rPr>
          <w:rFonts w:ascii="Arial" w:hAnsi="Arial"/>
          <w:sz w:val="20"/>
          <w:lang w:val="es-UY"/>
        </w:rPr>
        <w:t xml:space="preserve"> = </w:t>
      </w:r>
      <w:r w:rsidR="001E4D1F" w:rsidRPr="001E4D1F">
        <w:rPr>
          <w:rFonts w:ascii="Arial" w:hAnsi="Arial" w:cs="Arial"/>
          <w:sz w:val="20"/>
          <w:szCs w:val="20"/>
          <w:lang w:val="es-UY"/>
        </w:rPr>
        <w:t xml:space="preserve">206.116.423 </w:t>
      </w:r>
      <w:r w:rsidRPr="001E4D1F">
        <w:rPr>
          <w:rFonts w:ascii="Arial" w:hAnsi="Arial" w:cs="Arial"/>
          <w:sz w:val="20"/>
          <w:szCs w:val="20"/>
          <w:lang w:val="es-UY"/>
        </w:rPr>
        <w:t>UI</w:t>
      </w:r>
      <w:r w:rsidRPr="001E4D1F">
        <w:rPr>
          <w:rFonts w:ascii="Arial" w:hAnsi="Arial"/>
          <w:sz w:val="20"/>
          <w:lang w:val="es-UY"/>
        </w:rPr>
        <w:t>, con Leyes Sociales, sin IVA.</w:t>
      </w:r>
    </w:p>
    <w:p w14:paraId="09EE454E" w14:textId="77777777" w:rsidR="00DB392E" w:rsidRDefault="00DB392E" w:rsidP="0095504F">
      <w:pPr>
        <w:tabs>
          <w:tab w:val="left" w:pos="-1440"/>
          <w:tab w:val="left" w:pos="-720"/>
          <w:tab w:val="left" w:pos="0"/>
          <w:tab w:val="left" w:pos="720"/>
          <w:tab w:val="left" w:pos="2160"/>
        </w:tabs>
        <w:spacing w:after="120"/>
        <w:jc w:val="both"/>
        <w:rPr>
          <w:rFonts w:ascii="Arial" w:hAnsi="Arial" w:cs="Arial"/>
          <w:sz w:val="20"/>
          <w:szCs w:val="20"/>
          <w:lang w:val="es-UY"/>
        </w:rPr>
        <w:sectPr w:rsidR="00DB392E" w:rsidSect="008227B2">
          <w:headerReference w:type="even" r:id="rId172"/>
          <w:headerReference w:type="default" r:id="rId173"/>
          <w:footerReference w:type="default" r:id="rId174"/>
          <w:headerReference w:type="first" r:id="rId175"/>
          <w:pgSz w:w="11906" w:h="16838"/>
          <w:pgMar w:top="1134" w:right="1701" w:bottom="1701" w:left="1701" w:header="709" w:footer="709" w:gutter="0"/>
          <w:cols w:space="708"/>
          <w:docGrid w:linePitch="360"/>
        </w:sectPr>
      </w:pPr>
    </w:p>
    <w:p w14:paraId="5E7CF06F" w14:textId="15B4CB14" w:rsidR="00A3029F" w:rsidRDefault="00A3029F" w:rsidP="00DB392E">
      <w:pPr>
        <w:pStyle w:val="T0"/>
        <w:outlineLvl w:val="0"/>
      </w:pPr>
      <w:bookmarkStart w:id="1644" w:name="A_12"/>
      <w:bookmarkStart w:id="1645" w:name="_Toc468288098"/>
      <w:bookmarkStart w:id="1646" w:name="_Toc496266691"/>
      <w:r w:rsidRPr="00323647">
        <w:lastRenderedPageBreak/>
        <w:t xml:space="preserve">ANEXO </w:t>
      </w:r>
      <w:r>
        <w:t>X</w:t>
      </w:r>
      <w:r w:rsidRPr="005064F1">
        <w:t>II</w:t>
      </w:r>
      <w:bookmarkEnd w:id="1638"/>
      <w:bookmarkEnd w:id="1639"/>
      <w:bookmarkEnd w:id="1640"/>
      <w:bookmarkEnd w:id="1641"/>
      <w:bookmarkEnd w:id="1644"/>
      <w:bookmarkEnd w:id="1645"/>
      <w:r>
        <w:t>:</w:t>
      </w:r>
      <w:r w:rsidRPr="00323647">
        <w:t xml:space="preserve"> </w:t>
      </w:r>
      <w:r w:rsidR="00126326">
        <w:t>MONTO BASE ANUAL COMPONENTE C</w:t>
      </w:r>
      <w:bookmarkEnd w:id="1646"/>
    </w:p>
    <w:p w14:paraId="07467E5D" w14:textId="20929A35" w:rsidR="00DB392E" w:rsidRPr="00CF69B3" w:rsidRDefault="00DB392E" w:rsidP="002F3EFF">
      <w:pPr>
        <w:rPr>
          <w:sz w:val="20"/>
          <w:szCs w:val="20"/>
        </w:rPr>
      </w:pPr>
      <w:r w:rsidRPr="00DB392E">
        <w:rPr>
          <w:noProof/>
          <w:lang w:val="es-UY" w:eastAsia="es-UY"/>
        </w:rPr>
        <w:drawing>
          <wp:inline distT="0" distB="0" distL="0" distR="0" wp14:anchorId="3C10CB89" wp14:editId="0717C91F">
            <wp:extent cx="8859329" cy="441504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859172" cy="4414962"/>
                    </a:xfrm>
                    <a:prstGeom prst="rect">
                      <a:avLst/>
                    </a:prstGeom>
                    <a:noFill/>
                    <a:ln>
                      <a:noFill/>
                    </a:ln>
                  </pic:spPr>
                </pic:pic>
              </a:graphicData>
            </a:graphic>
          </wp:inline>
        </w:drawing>
      </w:r>
    </w:p>
    <w:p w14:paraId="0074CF55" w14:textId="77777777" w:rsidR="00DB392E" w:rsidRDefault="00A3029F" w:rsidP="00DB392E">
      <w:pPr>
        <w:pStyle w:val="T0"/>
        <w:outlineLvl w:val="0"/>
        <w:rPr>
          <w:sz w:val="20"/>
          <w:szCs w:val="20"/>
        </w:rPr>
        <w:sectPr w:rsidR="00DB392E" w:rsidSect="00DB392E">
          <w:pgSz w:w="16838" w:h="11906" w:orient="landscape"/>
          <w:pgMar w:top="1701" w:right="1701" w:bottom="1701" w:left="1134" w:header="709" w:footer="709" w:gutter="0"/>
          <w:cols w:space="708"/>
          <w:docGrid w:linePitch="360"/>
        </w:sectPr>
      </w:pPr>
      <w:r w:rsidRPr="00CF69B3">
        <w:rPr>
          <w:sz w:val="20"/>
          <w:szCs w:val="20"/>
        </w:rPr>
        <w:br w:type="page"/>
      </w:r>
      <w:bookmarkStart w:id="1647" w:name="_Toc400622364"/>
      <w:bookmarkStart w:id="1648" w:name="_Toc400629201"/>
      <w:bookmarkStart w:id="1649" w:name="_Toc400634184"/>
      <w:bookmarkStart w:id="1650" w:name="_Toc400635318"/>
      <w:bookmarkStart w:id="1651" w:name="_Toc468288099"/>
      <w:bookmarkStart w:id="1652" w:name="A_13"/>
    </w:p>
    <w:p w14:paraId="244E762F" w14:textId="16BA344B" w:rsidR="00A3029F" w:rsidRPr="0006704A" w:rsidRDefault="00A3029F" w:rsidP="00DB392E">
      <w:pPr>
        <w:pStyle w:val="T0"/>
        <w:outlineLvl w:val="0"/>
      </w:pPr>
      <w:bookmarkStart w:id="1653" w:name="_Toc496266692"/>
      <w:r w:rsidRPr="0006704A">
        <w:lastRenderedPageBreak/>
        <w:t>ANEXO XIII: ESPECIFICACIONES TÉCNICAS PARTICULARES</w:t>
      </w:r>
      <w:bookmarkEnd w:id="1642"/>
      <w:bookmarkEnd w:id="1643"/>
      <w:bookmarkEnd w:id="1647"/>
      <w:bookmarkEnd w:id="1648"/>
      <w:bookmarkEnd w:id="1649"/>
      <w:bookmarkEnd w:id="1650"/>
      <w:bookmarkEnd w:id="1651"/>
      <w:bookmarkEnd w:id="1653"/>
    </w:p>
    <w:p w14:paraId="7118BB6B" w14:textId="77777777" w:rsidR="00EB70C0" w:rsidRPr="00CF69B3" w:rsidRDefault="00EB70C0" w:rsidP="009A58E0">
      <w:pPr>
        <w:pStyle w:val="T1AAA"/>
        <w:numPr>
          <w:ilvl w:val="0"/>
          <w:numId w:val="100"/>
        </w:numPr>
        <w:outlineLvl w:val="9"/>
        <w:rPr>
          <w:caps/>
          <w:sz w:val="20"/>
          <w:szCs w:val="20"/>
        </w:rPr>
      </w:pPr>
      <w:bookmarkStart w:id="1654" w:name="_Toc400636284"/>
      <w:r w:rsidRPr="00CF69B3">
        <w:rPr>
          <w:caps/>
          <w:sz w:val="20"/>
          <w:szCs w:val="20"/>
        </w:rPr>
        <w:t>Especificaciones sustitut</w:t>
      </w:r>
      <w:r w:rsidR="00D7415E" w:rsidRPr="00CF69B3">
        <w:rPr>
          <w:caps/>
          <w:sz w:val="20"/>
          <w:szCs w:val="20"/>
        </w:rPr>
        <w:t xml:space="preserve">ivas o complementarias para las </w:t>
      </w:r>
      <w:r w:rsidRPr="00CF69B3">
        <w:rPr>
          <w:caps/>
          <w:sz w:val="20"/>
          <w:szCs w:val="20"/>
        </w:rPr>
        <w:t>obras de puesta a punto, mínimas obligatorias</w:t>
      </w:r>
      <w:bookmarkEnd w:id="1654"/>
      <w:r w:rsidR="00D7415E" w:rsidRPr="00CF69B3">
        <w:rPr>
          <w:caps/>
          <w:sz w:val="20"/>
          <w:szCs w:val="20"/>
        </w:rPr>
        <w:t xml:space="preserve"> y obras </w:t>
      </w:r>
      <w:r w:rsidRPr="00CF69B3">
        <w:rPr>
          <w:caps/>
          <w:sz w:val="20"/>
          <w:szCs w:val="20"/>
        </w:rPr>
        <w:t>complementarias</w:t>
      </w:r>
    </w:p>
    <w:p w14:paraId="5CDAE99C"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Para todas las tareas rige lo establecido en el Pliego de Condiciones de la DNV, en las </w:t>
      </w:r>
      <w:r w:rsidRPr="00CF69B3">
        <w:rPr>
          <w:rFonts w:ascii="Arial" w:hAnsi="Arial" w:cs="Arial"/>
          <w:sz w:val="20"/>
          <w:szCs w:val="20"/>
        </w:rPr>
        <w:t>“Especificaciones Técnicas Complementarias y/o Modificativas del Pliego de Condiciones para la Construcción de Puentes y Carreteras de la Dirección Nacional de Vialidad</w:t>
      </w:r>
      <w:r w:rsidR="0006704A" w:rsidRPr="00CF69B3">
        <w:rPr>
          <w:rFonts w:ascii="Arial" w:hAnsi="Arial" w:cs="Arial"/>
          <w:sz w:val="20"/>
          <w:szCs w:val="20"/>
        </w:rPr>
        <w:t xml:space="preserve"> </w:t>
      </w:r>
      <w:r w:rsidRPr="00CF69B3">
        <w:rPr>
          <w:rFonts w:ascii="Arial" w:hAnsi="Arial" w:cs="Arial"/>
          <w:sz w:val="20"/>
          <w:szCs w:val="20"/>
        </w:rPr>
        <w:t>(ETCM)”</w:t>
      </w:r>
      <w:r w:rsidRPr="00CF69B3">
        <w:rPr>
          <w:rFonts w:ascii="Arial" w:hAnsi="Arial" w:cs="Arial"/>
          <w:sz w:val="20"/>
          <w:szCs w:val="20"/>
          <w:lang w:val="es-UY"/>
        </w:rPr>
        <w:t xml:space="preserve"> y en las siguientes especificaciones particulares.</w:t>
      </w:r>
    </w:p>
    <w:p w14:paraId="5540FBAF"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Carpeta especial.</w:t>
      </w:r>
    </w:p>
    <w:p w14:paraId="390445A3"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carpeta especial se construirá con mezcla asfáltica CAC S12.</w:t>
      </w:r>
    </w:p>
    <w:p w14:paraId="73F0489E"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Dicha mezcla deberá cumplir con lo especificado en la Sección 8 de las ETCM con las siguientes especificaciones modificativas: </w:t>
      </w:r>
    </w:p>
    <w:p w14:paraId="641EBD66"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Será elaborada con cemento asfáltico modificado tipo AM 3 según lo establecido en la norma IRAM 6496.</w:t>
      </w:r>
    </w:p>
    <w:p w14:paraId="0A54D065"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Desgaste de los Ángeles del árido grueso menor a 30. </w:t>
      </w:r>
    </w:p>
    <w:p w14:paraId="72CB5A1A"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lastRenderedPageBreak/>
        <w:t xml:space="preserve">Índice de lajas para el agregado grueso &lt; 25% según norma IRAM 1687 </w:t>
      </w:r>
    </w:p>
    <w:p w14:paraId="7E4C861C"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 xml:space="preserve">Equivalente de arena del agregado fino mayor a 50. </w:t>
      </w:r>
    </w:p>
    <w:p w14:paraId="58C1EB50"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La granulometría de los áridos que constituyen la mezcla deberá estar incluida en el siguiente huso granulométrico:</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408"/>
        <w:gridCol w:w="4086"/>
      </w:tblGrid>
      <w:tr w:rsidR="00EB70C0" w:rsidRPr="00CF69B3" w14:paraId="482DC4F8" w14:textId="77777777" w:rsidTr="00AC567E">
        <w:trPr>
          <w:trHeight w:hRule="exact" w:val="397"/>
          <w:jc w:val="center"/>
        </w:trPr>
        <w:tc>
          <w:tcPr>
            <w:tcW w:w="2595" w:type="pct"/>
            <w:shd w:val="clear" w:color="auto" w:fill="595959"/>
            <w:vAlign w:val="center"/>
          </w:tcPr>
          <w:p w14:paraId="226D41BE" w14:textId="77777777" w:rsidR="00EB70C0" w:rsidRPr="00CF69B3" w:rsidRDefault="00EB70C0" w:rsidP="00CF69B3">
            <w:pPr>
              <w:autoSpaceDE w:val="0"/>
              <w:autoSpaceDN w:val="0"/>
              <w:adjustRightInd w:val="0"/>
              <w:spacing w:after="0"/>
              <w:jc w:val="both"/>
              <w:rPr>
                <w:rFonts w:ascii="Arial" w:hAnsi="Arial" w:cs="Arial"/>
                <w:color w:val="F2F2F2"/>
                <w:sz w:val="20"/>
                <w:szCs w:val="20"/>
              </w:rPr>
            </w:pPr>
            <w:r w:rsidRPr="00CF69B3">
              <w:rPr>
                <w:rFonts w:ascii="Arial" w:hAnsi="Arial" w:cs="Arial"/>
                <w:color w:val="F2F2F2"/>
                <w:sz w:val="20"/>
                <w:szCs w:val="20"/>
              </w:rPr>
              <w:t>Tamiz (mm)</w:t>
            </w:r>
          </w:p>
        </w:tc>
        <w:tc>
          <w:tcPr>
            <w:tcW w:w="2405" w:type="pct"/>
            <w:shd w:val="clear" w:color="auto" w:fill="595959"/>
            <w:vAlign w:val="center"/>
          </w:tcPr>
          <w:p w14:paraId="547FDC28" w14:textId="77777777" w:rsidR="00EB70C0" w:rsidRPr="00CF69B3" w:rsidRDefault="00EB70C0" w:rsidP="00CF69B3">
            <w:pPr>
              <w:autoSpaceDE w:val="0"/>
              <w:autoSpaceDN w:val="0"/>
              <w:adjustRightInd w:val="0"/>
              <w:spacing w:after="0"/>
              <w:jc w:val="both"/>
              <w:rPr>
                <w:rFonts w:ascii="Arial" w:hAnsi="Arial" w:cs="Arial"/>
                <w:color w:val="F2F2F2"/>
                <w:sz w:val="20"/>
                <w:szCs w:val="20"/>
              </w:rPr>
            </w:pPr>
            <w:r w:rsidRPr="00CF69B3">
              <w:rPr>
                <w:rFonts w:ascii="Arial" w:hAnsi="Arial" w:cs="Arial"/>
                <w:color w:val="F2F2F2"/>
                <w:sz w:val="20"/>
                <w:szCs w:val="20"/>
              </w:rPr>
              <w:t>% que pasa</w:t>
            </w:r>
          </w:p>
        </w:tc>
      </w:tr>
      <w:tr w:rsidR="00EB70C0" w:rsidRPr="00CF69B3" w14:paraId="692BCB13" w14:textId="77777777" w:rsidTr="00AC567E">
        <w:trPr>
          <w:trHeight w:val="284"/>
          <w:jc w:val="center"/>
        </w:trPr>
        <w:tc>
          <w:tcPr>
            <w:tcW w:w="2595" w:type="pct"/>
            <w:vAlign w:val="center"/>
          </w:tcPr>
          <w:p w14:paraId="1EEA4127"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19.0</w:t>
            </w:r>
            <w:r w:rsidR="00B14DCC" w:rsidRPr="00CF69B3">
              <w:rPr>
                <w:rFonts w:ascii="Arial" w:hAnsi="Arial" w:cs="Arial"/>
                <w:sz w:val="20"/>
                <w:szCs w:val="20"/>
              </w:rPr>
              <w:t xml:space="preserve"> </w:t>
            </w:r>
            <w:r w:rsidRPr="00CF69B3">
              <w:rPr>
                <w:rFonts w:ascii="Arial" w:hAnsi="Arial" w:cs="Arial"/>
                <w:sz w:val="20"/>
                <w:szCs w:val="20"/>
              </w:rPr>
              <w:t xml:space="preserve"> (¾”)</w:t>
            </w:r>
          </w:p>
        </w:tc>
        <w:tc>
          <w:tcPr>
            <w:tcW w:w="2405" w:type="pct"/>
            <w:vAlign w:val="center"/>
          </w:tcPr>
          <w:p w14:paraId="1BD22D97"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100</w:t>
            </w:r>
          </w:p>
        </w:tc>
      </w:tr>
      <w:tr w:rsidR="00EB70C0" w:rsidRPr="00CF69B3" w14:paraId="79D966C1" w14:textId="77777777" w:rsidTr="00AC567E">
        <w:trPr>
          <w:trHeight w:val="284"/>
          <w:jc w:val="center"/>
        </w:trPr>
        <w:tc>
          <w:tcPr>
            <w:tcW w:w="2595" w:type="pct"/>
            <w:vAlign w:val="center"/>
          </w:tcPr>
          <w:p w14:paraId="501A9435"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12.5</w:t>
            </w:r>
            <w:r w:rsidR="00B14DCC" w:rsidRPr="00CF69B3">
              <w:rPr>
                <w:rFonts w:ascii="Arial" w:hAnsi="Arial" w:cs="Arial"/>
                <w:sz w:val="20"/>
                <w:szCs w:val="20"/>
              </w:rPr>
              <w:t xml:space="preserve"> </w:t>
            </w:r>
            <w:r w:rsidRPr="00CF69B3">
              <w:rPr>
                <w:rFonts w:ascii="Arial" w:hAnsi="Arial" w:cs="Arial"/>
                <w:sz w:val="20"/>
                <w:szCs w:val="20"/>
              </w:rPr>
              <w:t xml:space="preserve"> (½”)</w:t>
            </w:r>
          </w:p>
        </w:tc>
        <w:tc>
          <w:tcPr>
            <w:tcW w:w="2405" w:type="pct"/>
            <w:vAlign w:val="center"/>
          </w:tcPr>
          <w:p w14:paraId="26B49C35"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80 – 95</w:t>
            </w:r>
          </w:p>
        </w:tc>
      </w:tr>
      <w:tr w:rsidR="00EB70C0" w:rsidRPr="00CF69B3" w14:paraId="164302DE" w14:textId="77777777" w:rsidTr="00AC567E">
        <w:trPr>
          <w:trHeight w:val="284"/>
          <w:jc w:val="center"/>
        </w:trPr>
        <w:tc>
          <w:tcPr>
            <w:tcW w:w="2595" w:type="pct"/>
            <w:vAlign w:val="center"/>
          </w:tcPr>
          <w:p w14:paraId="24480196"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9.5</w:t>
            </w:r>
            <w:r w:rsidR="00B14DCC" w:rsidRPr="00CF69B3">
              <w:rPr>
                <w:rFonts w:ascii="Arial" w:hAnsi="Arial" w:cs="Arial"/>
                <w:sz w:val="20"/>
                <w:szCs w:val="20"/>
              </w:rPr>
              <w:t xml:space="preserve"> </w:t>
            </w:r>
            <w:r w:rsidRPr="00CF69B3">
              <w:rPr>
                <w:rFonts w:ascii="Arial" w:hAnsi="Arial" w:cs="Arial"/>
                <w:sz w:val="20"/>
                <w:szCs w:val="20"/>
              </w:rPr>
              <w:t xml:space="preserve"> (⅜”)</w:t>
            </w:r>
          </w:p>
        </w:tc>
        <w:tc>
          <w:tcPr>
            <w:tcW w:w="2405" w:type="pct"/>
            <w:vAlign w:val="center"/>
          </w:tcPr>
          <w:p w14:paraId="79719A8D"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71 – 86</w:t>
            </w:r>
          </w:p>
        </w:tc>
      </w:tr>
      <w:tr w:rsidR="00EB70C0" w:rsidRPr="00CF69B3" w14:paraId="4F2C5BB3" w14:textId="77777777" w:rsidTr="00AC567E">
        <w:trPr>
          <w:trHeight w:val="284"/>
          <w:jc w:val="center"/>
        </w:trPr>
        <w:tc>
          <w:tcPr>
            <w:tcW w:w="2595" w:type="pct"/>
            <w:vAlign w:val="center"/>
          </w:tcPr>
          <w:p w14:paraId="23D1CB01"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4.75</w:t>
            </w:r>
            <w:r w:rsidR="00B14DCC" w:rsidRPr="00CF69B3">
              <w:rPr>
                <w:rFonts w:ascii="Arial" w:hAnsi="Arial" w:cs="Arial"/>
                <w:sz w:val="20"/>
                <w:szCs w:val="20"/>
              </w:rPr>
              <w:t xml:space="preserve"> </w:t>
            </w:r>
            <w:r w:rsidRPr="00CF69B3">
              <w:rPr>
                <w:rFonts w:ascii="Arial" w:hAnsi="Arial" w:cs="Arial"/>
                <w:sz w:val="20"/>
                <w:szCs w:val="20"/>
              </w:rPr>
              <w:t xml:space="preserve"> (N° 4)</w:t>
            </w:r>
          </w:p>
        </w:tc>
        <w:tc>
          <w:tcPr>
            <w:tcW w:w="2405" w:type="pct"/>
            <w:vAlign w:val="center"/>
          </w:tcPr>
          <w:p w14:paraId="42659C5C"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47 – 62</w:t>
            </w:r>
          </w:p>
        </w:tc>
      </w:tr>
      <w:tr w:rsidR="00EB70C0" w:rsidRPr="00CF69B3" w14:paraId="1BAC21A5" w14:textId="77777777" w:rsidTr="00AC567E">
        <w:trPr>
          <w:trHeight w:val="284"/>
          <w:jc w:val="center"/>
        </w:trPr>
        <w:tc>
          <w:tcPr>
            <w:tcW w:w="2595" w:type="pct"/>
            <w:vAlign w:val="center"/>
          </w:tcPr>
          <w:p w14:paraId="73C6B98A"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2.36</w:t>
            </w:r>
            <w:r w:rsidR="00B14DCC" w:rsidRPr="00CF69B3">
              <w:rPr>
                <w:rFonts w:ascii="Arial" w:hAnsi="Arial" w:cs="Arial"/>
                <w:sz w:val="20"/>
                <w:szCs w:val="20"/>
              </w:rPr>
              <w:t xml:space="preserve"> </w:t>
            </w:r>
            <w:r w:rsidRPr="00CF69B3">
              <w:rPr>
                <w:rFonts w:ascii="Arial" w:hAnsi="Arial" w:cs="Arial"/>
                <w:sz w:val="20"/>
                <w:szCs w:val="20"/>
              </w:rPr>
              <w:t xml:space="preserve"> (N° 8)</w:t>
            </w:r>
          </w:p>
        </w:tc>
        <w:tc>
          <w:tcPr>
            <w:tcW w:w="2405" w:type="pct"/>
            <w:vAlign w:val="center"/>
          </w:tcPr>
          <w:p w14:paraId="29C8E955"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30 – 45</w:t>
            </w:r>
          </w:p>
        </w:tc>
      </w:tr>
      <w:tr w:rsidR="00EB70C0" w:rsidRPr="00CF69B3" w14:paraId="4C1D1FA1" w14:textId="77777777" w:rsidTr="00AC567E">
        <w:trPr>
          <w:trHeight w:val="284"/>
          <w:jc w:val="center"/>
        </w:trPr>
        <w:tc>
          <w:tcPr>
            <w:tcW w:w="2595" w:type="pct"/>
            <w:vAlign w:val="center"/>
          </w:tcPr>
          <w:p w14:paraId="35938086"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0.60</w:t>
            </w:r>
            <w:r w:rsidR="00B14DCC" w:rsidRPr="00CF69B3">
              <w:rPr>
                <w:rFonts w:ascii="Arial" w:hAnsi="Arial" w:cs="Arial"/>
                <w:sz w:val="20"/>
                <w:szCs w:val="20"/>
              </w:rPr>
              <w:t xml:space="preserve"> </w:t>
            </w:r>
            <w:r w:rsidRPr="00CF69B3">
              <w:rPr>
                <w:rFonts w:ascii="Arial" w:hAnsi="Arial" w:cs="Arial"/>
                <w:sz w:val="20"/>
                <w:szCs w:val="20"/>
              </w:rPr>
              <w:t xml:space="preserve"> (N° 30)</w:t>
            </w:r>
          </w:p>
        </w:tc>
        <w:tc>
          <w:tcPr>
            <w:tcW w:w="2405" w:type="pct"/>
            <w:vAlign w:val="center"/>
          </w:tcPr>
          <w:p w14:paraId="76B65664"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15 – 25</w:t>
            </w:r>
          </w:p>
        </w:tc>
      </w:tr>
      <w:tr w:rsidR="00EB70C0" w:rsidRPr="00CF69B3" w14:paraId="268D2777" w14:textId="77777777" w:rsidTr="00AC567E">
        <w:trPr>
          <w:trHeight w:val="284"/>
          <w:jc w:val="center"/>
        </w:trPr>
        <w:tc>
          <w:tcPr>
            <w:tcW w:w="2595" w:type="pct"/>
            <w:vAlign w:val="center"/>
          </w:tcPr>
          <w:p w14:paraId="14535382"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0.30</w:t>
            </w:r>
            <w:r w:rsidR="00B14DCC" w:rsidRPr="00CF69B3">
              <w:rPr>
                <w:rFonts w:ascii="Arial" w:hAnsi="Arial" w:cs="Arial"/>
                <w:sz w:val="20"/>
                <w:szCs w:val="20"/>
              </w:rPr>
              <w:t xml:space="preserve"> </w:t>
            </w:r>
            <w:r w:rsidRPr="00CF69B3">
              <w:rPr>
                <w:rFonts w:ascii="Arial" w:hAnsi="Arial" w:cs="Arial"/>
                <w:sz w:val="20"/>
                <w:szCs w:val="20"/>
              </w:rPr>
              <w:t xml:space="preserve"> (N° 50)</w:t>
            </w:r>
          </w:p>
        </w:tc>
        <w:tc>
          <w:tcPr>
            <w:tcW w:w="2405" w:type="pct"/>
            <w:vAlign w:val="center"/>
          </w:tcPr>
          <w:p w14:paraId="5BB76AE8"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10 – 18</w:t>
            </w:r>
          </w:p>
        </w:tc>
      </w:tr>
      <w:tr w:rsidR="00EB70C0" w:rsidRPr="00CF69B3" w14:paraId="08CAC815" w14:textId="77777777" w:rsidTr="00AC567E">
        <w:trPr>
          <w:trHeight w:val="284"/>
          <w:jc w:val="center"/>
        </w:trPr>
        <w:tc>
          <w:tcPr>
            <w:tcW w:w="2595" w:type="pct"/>
            <w:vAlign w:val="center"/>
          </w:tcPr>
          <w:p w14:paraId="102FCA43"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0.075 (N° 200)</w:t>
            </w:r>
          </w:p>
        </w:tc>
        <w:tc>
          <w:tcPr>
            <w:tcW w:w="2405" w:type="pct"/>
            <w:vAlign w:val="center"/>
          </w:tcPr>
          <w:p w14:paraId="146F3180" w14:textId="77777777" w:rsidR="00EB70C0" w:rsidRPr="00CF69B3" w:rsidRDefault="00EB70C0" w:rsidP="00CF69B3">
            <w:pPr>
              <w:autoSpaceDE w:val="0"/>
              <w:autoSpaceDN w:val="0"/>
              <w:adjustRightInd w:val="0"/>
              <w:spacing w:after="0"/>
              <w:jc w:val="both"/>
              <w:rPr>
                <w:rFonts w:ascii="Arial" w:hAnsi="Arial" w:cs="Arial"/>
                <w:sz w:val="20"/>
                <w:szCs w:val="20"/>
              </w:rPr>
            </w:pPr>
            <w:r w:rsidRPr="00CF69B3">
              <w:rPr>
                <w:rFonts w:ascii="Arial" w:hAnsi="Arial" w:cs="Arial"/>
                <w:sz w:val="20"/>
                <w:szCs w:val="20"/>
              </w:rPr>
              <w:t>4 – 8</w:t>
            </w:r>
          </w:p>
        </w:tc>
      </w:tr>
    </w:tbl>
    <w:p w14:paraId="666A732A" w14:textId="77777777" w:rsidR="00EB70C0" w:rsidRPr="00CF69B3" w:rsidRDefault="00EB70C0" w:rsidP="00CF69B3">
      <w:pPr>
        <w:autoSpaceDE w:val="0"/>
        <w:autoSpaceDN w:val="0"/>
        <w:adjustRightInd w:val="0"/>
        <w:spacing w:before="240" w:after="120"/>
        <w:jc w:val="both"/>
        <w:rPr>
          <w:rFonts w:ascii="Arial" w:hAnsi="Arial" w:cs="Arial"/>
          <w:sz w:val="20"/>
          <w:szCs w:val="20"/>
          <w:lang w:val="es-UY"/>
        </w:rPr>
      </w:pPr>
      <w:r w:rsidRPr="00CF69B3">
        <w:rPr>
          <w:rFonts w:ascii="Arial" w:hAnsi="Arial" w:cs="Arial"/>
          <w:sz w:val="20"/>
          <w:szCs w:val="20"/>
          <w:lang w:val="es-UY"/>
        </w:rPr>
        <w:t>Se utilizará cal hidratada como filler de aportación como mínimo en 1% en peso.</w:t>
      </w:r>
    </w:p>
    <w:p w14:paraId="1CD1128A"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El árido fino deberá proceder 100% de trituración de roca sana.</w:t>
      </w:r>
    </w:p>
    <w:p w14:paraId="1BC0EA6A"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Vacíos del Agregado Mineral (%) &gt; 15</w:t>
      </w:r>
    </w:p>
    <w:p w14:paraId="52ED9369" w14:textId="77777777" w:rsidR="00EB70C0" w:rsidRPr="00CF69B3" w:rsidRDefault="00EB70C0" w:rsidP="00CF69B3">
      <w:pPr>
        <w:autoSpaceDE w:val="0"/>
        <w:autoSpaceDN w:val="0"/>
        <w:adjustRightInd w:val="0"/>
        <w:spacing w:after="120"/>
        <w:jc w:val="both"/>
        <w:rPr>
          <w:rFonts w:ascii="Arial" w:hAnsi="Arial" w:cs="Arial"/>
          <w:sz w:val="20"/>
          <w:szCs w:val="20"/>
          <w:lang w:val="es-UY"/>
        </w:rPr>
      </w:pPr>
      <w:r w:rsidRPr="00CF69B3">
        <w:rPr>
          <w:rFonts w:ascii="Arial" w:hAnsi="Arial" w:cs="Arial"/>
          <w:sz w:val="20"/>
          <w:szCs w:val="20"/>
          <w:lang w:val="es-UY"/>
        </w:rPr>
        <w:t>Se prestará especial atención en lograr una macro textura (según NLT 335/87) lo más alta posible (mayor a 0,5) cumpliendo con las demás especificaciones.</w:t>
      </w:r>
    </w:p>
    <w:p w14:paraId="7F3D181B" w14:textId="77777777" w:rsidR="00EB70C0" w:rsidRPr="00CF69B3" w:rsidRDefault="00EB70C0" w:rsidP="00CF69B3">
      <w:pPr>
        <w:widowControl w:val="0"/>
        <w:tabs>
          <w:tab w:val="num" w:pos="1440"/>
        </w:tabs>
        <w:spacing w:before="240" w:after="240"/>
        <w:jc w:val="both"/>
        <w:rPr>
          <w:rFonts w:ascii="Arial" w:hAnsi="Arial" w:cs="Arial"/>
          <w:b/>
          <w:bCs/>
          <w:snapToGrid w:val="0"/>
          <w:sz w:val="20"/>
          <w:szCs w:val="20"/>
        </w:rPr>
      </w:pPr>
      <w:r w:rsidRPr="00CF69B3">
        <w:rPr>
          <w:rFonts w:ascii="Arial" w:hAnsi="Arial" w:cs="Arial"/>
          <w:b/>
          <w:bCs/>
          <w:snapToGrid w:val="0"/>
          <w:sz w:val="20"/>
          <w:szCs w:val="20"/>
        </w:rPr>
        <w:t xml:space="preserve">Material granular CBR </w:t>
      </w:r>
      <w:r w:rsidRPr="00CF69B3">
        <w:rPr>
          <w:rFonts w:ascii="Arial" w:hAnsi="Arial" w:cs="Arial"/>
          <w:b/>
          <w:bCs/>
          <w:snapToGrid w:val="0"/>
          <w:sz w:val="20"/>
          <w:szCs w:val="20"/>
        </w:rPr>
        <w:sym w:font="Symbol" w:char="F0B3"/>
      </w:r>
      <w:r w:rsidRPr="00CF69B3">
        <w:rPr>
          <w:rFonts w:ascii="Arial" w:hAnsi="Arial" w:cs="Arial"/>
          <w:b/>
          <w:bCs/>
          <w:snapToGrid w:val="0"/>
          <w:sz w:val="20"/>
          <w:szCs w:val="20"/>
        </w:rPr>
        <w:t xml:space="preserve"> 80%.</w:t>
      </w:r>
    </w:p>
    <w:p w14:paraId="65D2B267"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lastRenderedPageBreak/>
        <w:t>El material a utilizar será suministrado por el Contratista</w:t>
      </w:r>
      <w:r w:rsidR="00B14DCC" w:rsidRPr="00CF69B3">
        <w:rPr>
          <w:rFonts w:ascii="Arial" w:hAnsi="Arial" w:cs="Arial"/>
          <w:sz w:val="20"/>
          <w:szCs w:val="20"/>
        </w:rPr>
        <w:t xml:space="preserve"> </w:t>
      </w:r>
      <w:r w:rsidRPr="00CF69B3">
        <w:rPr>
          <w:rFonts w:ascii="Arial" w:hAnsi="Arial" w:cs="Arial"/>
          <w:sz w:val="20"/>
          <w:szCs w:val="20"/>
        </w:rPr>
        <w:t>y deberá cumplir con las condiciones dispuestas en las ETCM vigentes a agosto del 2003, el Capítulo A Sección IV del PV con excepción de los artículos A-2-1- y A-2-4 de la misma, referentes a granulometría y Desgaste Los Ángeles, y las siguientes especificaciones sustitutivas:</w:t>
      </w:r>
    </w:p>
    <w:p w14:paraId="5F12F727"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 xml:space="preserve">CBR </w:t>
      </w:r>
      <w:r w:rsidRPr="00CF69B3">
        <w:rPr>
          <w:rFonts w:ascii="Arial" w:hAnsi="Arial" w:cs="Arial"/>
          <w:sz w:val="20"/>
          <w:szCs w:val="20"/>
        </w:rPr>
        <w:sym w:font="Symbol" w:char="F0B3"/>
      </w:r>
      <w:r w:rsidRPr="00CF69B3">
        <w:rPr>
          <w:rFonts w:ascii="Arial" w:hAnsi="Arial" w:cs="Arial"/>
          <w:sz w:val="20"/>
          <w:szCs w:val="20"/>
        </w:rPr>
        <w:t xml:space="preserve"> 80% para el 100% del PUSM.</w:t>
      </w:r>
    </w:p>
    <w:p w14:paraId="75A075EC"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Expansión menor del 0,3%.</w:t>
      </w:r>
    </w:p>
    <w:p w14:paraId="27D8C803"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El ensayo CBR y de expansión se realizará con una sobrecarga de 4.500 g.</w:t>
      </w:r>
    </w:p>
    <w:p w14:paraId="427DD682"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 xml:space="preserve">Equivalente de arena </w:t>
      </w:r>
      <w:r w:rsidRPr="00CF69B3">
        <w:rPr>
          <w:rFonts w:ascii="Arial" w:hAnsi="Arial" w:cs="Arial"/>
          <w:sz w:val="20"/>
          <w:szCs w:val="20"/>
        </w:rPr>
        <w:sym w:font="Symbol" w:char="F0B3"/>
      </w:r>
      <w:r w:rsidRPr="00CF69B3">
        <w:rPr>
          <w:rFonts w:ascii="Arial" w:hAnsi="Arial" w:cs="Arial"/>
          <w:sz w:val="20"/>
          <w:szCs w:val="20"/>
        </w:rPr>
        <w:t xml:space="preserve"> 35.</w:t>
      </w:r>
    </w:p>
    <w:p w14:paraId="709B14A3" w14:textId="77777777" w:rsidR="00EB70C0" w:rsidRPr="00CF69B3" w:rsidRDefault="00EB70C0" w:rsidP="009A58E0">
      <w:pPr>
        <w:widowControl w:val="0"/>
        <w:numPr>
          <w:ilvl w:val="0"/>
          <w:numId w:val="42"/>
        </w:numPr>
        <w:spacing w:after="120"/>
        <w:jc w:val="both"/>
        <w:rPr>
          <w:rFonts w:ascii="Arial" w:hAnsi="Arial" w:cs="Arial"/>
          <w:sz w:val="20"/>
          <w:szCs w:val="20"/>
        </w:rPr>
      </w:pPr>
      <w:r w:rsidRPr="00CF69B3">
        <w:rPr>
          <w:rFonts w:ascii="Arial" w:hAnsi="Arial" w:cs="Arial"/>
          <w:sz w:val="20"/>
          <w:szCs w:val="20"/>
        </w:rPr>
        <w:t>El material se compactará uniformemente a una densidad de compactación mínima del 98% del PUSM obtenida en el ensayo UY S-17.</w:t>
      </w:r>
    </w:p>
    <w:p w14:paraId="0873A223" w14:textId="77777777" w:rsidR="00EB70C0" w:rsidRPr="00CF69B3" w:rsidRDefault="00EB70C0" w:rsidP="00CF69B3">
      <w:pPr>
        <w:spacing w:before="240" w:after="0"/>
        <w:jc w:val="both"/>
        <w:rPr>
          <w:rFonts w:ascii="Arial" w:hAnsi="Arial" w:cs="Arial"/>
          <w:b/>
          <w:bCs/>
          <w:sz w:val="20"/>
          <w:szCs w:val="20"/>
          <w:lang w:val="es-UY"/>
        </w:rPr>
      </w:pPr>
      <w:r w:rsidRPr="00CF69B3">
        <w:rPr>
          <w:rFonts w:ascii="Arial" w:hAnsi="Arial" w:cs="Arial"/>
          <w:b/>
          <w:bCs/>
          <w:sz w:val="20"/>
          <w:szCs w:val="20"/>
          <w:lang w:val="es-UY"/>
        </w:rPr>
        <w:t>Banquina con tratamiento doble.</w:t>
      </w:r>
    </w:p>
    <w:p w14:paraId="571FC200" w14:textId="77777777" w:rsidR="00EB70C0" w:rsidRPr="00CF69B3" w:rsidRDefault="00EB70C0" w:rsidP="00CF69B3">
      <w:pPr>
        <w:spacing w:after="0"/>
        <w:jc w:val="both"/>
        <w:rPr>
          <w:rFonts w:ascii="Arial" w:hAnsi="Arial" w:cs="Arial"/>
          <w:b/>
          <w:bCs/>
          <w:sz w:val="20"/>
          <w:szCs w:val="20"/>
          <w:lang w:val="es-UY"/>
        </w:rPr>
      </w:pPr>
    </w:p>
    <w:p w14:paraId="7862570F"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Este tipo de solución se plantea en las obras de rehabilitación o para corregir el desnivel existente o generado al ejecutar el recapado de la calzada.</w:t>
      </w:r>
    </w:p>
    <w:p w14:paraId="6FB2CB37"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 xml:space="preserve">A tales efectos se realizará el escarificado de la banquina existente en un espesor no menor a los 0,10 m, de manera de dejar trozos </w:t>
      </w:r>
      <w:r w:rsidRPr="00CF69B3">
        <w:rPr>
          <w:rFonts w:ascii="Arial" w:hAnsi="Arial" w:cs="Arial"/>
          <w:sz w:val="20"/>
          <w:szCs w:val="20"/>
        </w:rPr>
        <w:lastRenderedPageBreak/>
        <w:t xml:space="preserve">no superiores a los 0,05 m de diámetro, luego se procederá a incorporar material granular de forma tal que una vez conformado y compactado se llegue a los mismos niveles que el pavimento de la calzada adyacente. </w:t>
      </w:r>
    </w:p>
    <w:p w14:paraId="392AE50E" w14:textId="77777777" w:rsidR="00EB70C0" w:rsidRPr="00CF69B3" w:rsidRDefault="00EB70C0" w:rsidP="00CF69B3">
      <w:pPr>
        <w:spacing w:after="120"/>
        <w:jc w:val="both"/>
        <w:rPr>
          <w:rFonts w:ascii="Arial" w:hAnsi="Arial" w:cs="Arial"/>
          <w:sz w:val="20"/>
          <w:szCs w:val="20"/>
        </w:rPr>
      </w:pPr>
      <w:r w:rsidRPr="00CF69B3">
        <w:rPr>
          <w:rFonts w:ascii="Arial" w:hAnsi="Arial" w:cs="Arial"/>
          <w:sz w:val="20"/>
          <w:szCs w:val="20"/>
        </w:rPr>
        <w:t>La conformación y compactación se realizará con una pendiente transversal hacia la cuneta del 5%.</w:t>
      </w:r>
    </w:p>
    <w:p w14:paraId="3DA22F77" w14:textId="77777777" w:rsidR="00EB70C0" w:rsidRPr="00CF69B3" w:rsidRDefault="00EB70C0" w:rsidP="00CF69B3">
      <w:pPr>
        <w:spacing w:after="240"/>
        <w:jc w:val="both"/>
        <w:rPr>
          <w:rFonts w:ascii="Arial" w:hAnsi="Arial" w:cs="Arial"/>
          <w:sz w:val="20"/>
          <w:szCs w:val="20"/>
        </w:rPr>
      </w:pPr>
      <w:r w:rsidRPr="00CF69B3">
        <w:rPr>
          <w:rFonts w:ascii="Arial" w:hAnsi="Arial" w:cs="Arial"/>
          <w:sz w:val="20"/>
          <w:szCs w:val="20"/>
        </w:rPr>
        <w:t>Las banquinas se imprimarán en 2.0 m de ancho, ejecutándose un tratamiento bituminoso doble con emulsión modificada en 1,80 m de ancho.</w:t>
      </w:r>
    </w:p>
    <w:p w14:paraId="1203B8DB" w14:textId="77777777" w:rsidR="00EB70C0" w:rsidRPr="00CF69B3" w:rsidRDefault="00EB70C0" w:rsidP="00CF69B3">
      <w:pPr>
        <w:spacing w:after="0"/>
        <w:jc w:val="both"/>
        <w:rPr>
          <w:rFonts w:ascii="Arial" w:hAnsi="Arial" w:cs="Arial"/>
          <w:b/>
          <w:bCs/>
          <w:sz w:val="20"/>
          <w:szCs w:val="20"/>
          <w:lang w:val="es-UY"/>
        </w:rPr>
      </w:pPr>
      <w:r w:rsidRPr="00CF69B3">
        <w:rPr>
          <w:rFonts w:ascii="Arial" w:hAnsi="Arial" w:cs="Arial"/>
          <w:b/>
          <w:bCs/>
          <w:sz w:val="20"/>
          <w:szCs w:val="20"/>
          <w:lang w:val="es-UY"/>
        </w:rPr>
        <w:t>Adecuación de las barandas de los puentes y sustitución de parapetos.</w:t>
      </w:r>
    </w:p>
    <w:p w14:paraId="33D76E1E" w14:textId="77777777" w:rsidR="00EB70C0" w:rsidRPr="00CF69B3" w:rsidRDefault="00EB70C0" w:rsidP="00CF69B3">
      <w:pPr>
        <w:spacing w:after="0"/>
        <w:jc w:val="both"/>
        <w:rPr>
          <w:rFonts w:ascii="Arial" w:hAnsi="Arial" w:cs="Arial"/>
          <w:b/>
          <w:bCs/>
          <w:sz w:val="20"/>
          <w:szCs w:val="20"/>
          <w:lang w:val="es-UY"/>
        </w:rPr>
      </w:pPr>
    </w:p>
    <w:p w14:paraId="6AA85674"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adecuarán las barandas de todos los puentes existentes en el circuito a las condiciones de seguridad exigidas actualmente por la DNV. Se sustituirán todos los parapetos por barreras metálicas tipo flexbeam.</w:t>
      </w:r>
    </w:p>
    <w:p w14:paraId="57098D03" w14:textId="77777777" w:rsidR="00EB70C0" w:rsidRPr="00CF69B3" w:rsidRDefault="00EB70C0" w:rsidP="00CF69B3">
      <w:pPr>
        <w:spacing w:before="240" w:after="240" w:line="360" w:lineRule="auto"/>
        <w:jc w:val="both"/>
        <w:rPr>
          <w:rFonts w:ascii="Arial" w:hAnsi="Arial" w:cs="Arial"/>
          <w:b/>
          <w:bCs/>
          <w:sz w:val="20"/>
          <w:szCs w:val="20"/>
          <w:lang w:val="es-UY"/>
        </w:rPr>
      </w:pPr>
      <w:r w:rsidRPr="00CF69B3">
        <w:rPr>
          <w:rFonts w:ascii="Arial" w:hAnsi="Arial" w:cs="Arial"/>
          <w:b/>
          <w:bCs/>
          <w:sz w:val="20"/>
          <w:szCs w:val="20"/>
          <w:lang w:val="es-UY"/>
        </w:rPr>
        <w:t>Recepción de obras de pavimento de hormigón.</w:t>
      </w:r>
    </w:p>
    <w:p w14:paraId="24738302"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El método y procedimiento de medición es el mismo que para carpetas asfálticas y tratamientos bituminosos que se indican en las ETCM, pero el valor de Rugosidad media que se adoptará será de 2.8 m/km.</w:t>
      </w:r>
    </w:p>
    <w:p w14:paraId="7E75B22C" w14:textId="77777777" w:rsidR="00EB70C0" w:rsidRPr="00CF69B3" w:rsidRDefault="00EB70C0" w:rsidP="009A58E0">
      <w:pPr>
        <w:pStyle w:val="T1AAA"/>
        <w:numPr>
          <w:ilvl w:val="0"/>
          <w:numId w:val="100"/>
        </w:numPr>
        <w:outlineLvl w:val="9"/>
        <w:rPr>
          <w:caps/>
          <w:sz w:val="20"/>
          <w:szCs w:val="20"/>
        </w:rPr>
      </w:pPr>
      <w:r w:rsidRPr="00CF69B3">
        <w:rPr>
          <w:caps/>
          <w:sz w:val="20"/>
          <w:szCs w:val="20"/>
        </w:rPr>
        <w:lastRenderedPageBreak/>
        <w:tab/>
      </w:r>
      <w:bookmarkStart w:id="1655" w:name="_Toc400636285"/>
      <w:r w:rsidRPr="00CF69B3">
        <w:rPr>
          <w:caps/>
          <w:sz w:val="20"/>
          <w:szCs w:val="20"/>
        </w:rPr>
        <w:t xml:space="preserve">Valores a alcanzar en las evaluaciones trimestrales y </w:t>
      </w:r>
      <w:r w:rsidRPr="00CF69B3">
        <w:rPr>
          <w:caps/>
          <w:sz w:val="20"/>
          <w:szCs w:val="20"/>
        </w:rPr>
        <w:tab/>
        <w:t>anuales</w:t>
      </w:r>
      <w:bookmarkEnd w:id="1655"/>
    </w:p>
    <w:p w14:paraId="04414902"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Nivel de Servicio al Usuario.</w:t>
      </w:r>
    </w:p>
    <w:p w14:paraId="579A917D"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alcanzar un valor mayor al 95% en cada tramo en cada una de las evaluaciones trimestrales.</w:t>
      </w:r>
    </w:p>
    <w:p w14:paraId="5FCC585A" w14:textId="77777777" w:rsidR="00EB70C0" w:rsidRPr="00CF69B3" w:rsidRDefault="00EB70C0" w:rsidP="00CF69B3">
      <w:pPr>
        <w:spacing w:after="120"/>
        <w:jc w:val="both"/>
        <w:rPr>
          <w:rFonts w:ascii="Arial" w:hAnsi="Arial" w:cs="Arial"/>
          <w:b/>
          <w:bCs/>
          <w:sz w:val="20"/>
          <w:szCs w:val="20"/>
          <w:lang w:val="es-UY"/>
        </w:rPr>
      </w:pPr>
      <w:r w:rsidRPr="00CF69B3">
        <w:rPr>
          <w:rFonts w:ascii="Arial" w:hAnsi="Arial" w:cs="Arial"/>
          <w:b/>
          <w:bCs/>
          <w:sz w:val="20"/>
          <w:szCs w:val="20"/>
          <w:lang w:val="es-UY"/>
        </w:rPr>
        <w:t>Valor del IRI.</w:t>
      </w:r>
    </w:p>
    <w:p w14:paraId="3D665CC5"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satisfacer las condiciones establecidas a continuación para todos los tramos, según el tipo de pavimento, en cada una de las evaluaciones anuales.</w:t>
      </w:r>
    </w:p>
    <w:p w14:paraId="1B01D6DF"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de tramos de Carpeta Asfáltica</w:t>
      </w:r>
    </w:p>
    <w:p w14:paraId="309CF2AB"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101652CE"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lastRenderedPageBreak/>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437363A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3CC2EE10" w14:textId="77777777" w:rsidR="00EB70C0" w:rsidRPr="00CF69B3" w:rsidRDefault="00EB70C0" w:rsidP="009A58E0">
      <w:pPr>
        <w:numPr>
          <w:ilvl w:val="0"/>
          <w:numId w:val="70"/>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de 3.25</w:t>
      </w:r>
      <w:r w:rsidRPr="00CF69B3">
        <w:rPr>
          <w:rFonts w:ascii="Arial" w:hAnsi="Arial" w:cs="Arial"/>
          <w:b/>
          <w:bCs/>
          <w:sz w:val="20"/>
          <w:szCs w:val="20"/>
          <w:lang w:val="es-UY"/>
        </w:rPr>
        <w:t xml:space="preserve"> m/km</w:t>
      </w:r>
      <w:r w:rsidRPr="00CF69B3">
        <w:rPr>
          <w:rFonts w:ascii="Arial" w:hAnsi="Arial" w:cs="Arial"/>
          <w:sz w:val="20"/>
          <w:szCs w:val="20"/>
          <w:lang w:val="es-UY"/>
        </w:rPr>
        <w:t>.</w:t>
      </w:r>
    </w:p>
    <w:p w14:paraId="1D33A0F9" w14:textId="77777777" w:rsidR="00EB70C0" w:rsidRPr="00CF69B3" w:rsidRDefault="00EB70C0" w:rsidP="009A58E0">
      <w:pPr>
        <w:numPr>
          <w:ilvl w:val="0"/>
          <w:numId w:val="70"/>
        </w:numPr>
        <w:spacing w:after="12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de 3.5 m/ km.</w:t>
      </w:r>
    </w:p>
    <w:p w14:paraId="60B33D0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r w:rsidRPr="00CF69B3">
        <w:rPr>
          <w:rFonts w:ascii="Arial" w:hAnsi="Arial" w:cs="Arial"/>
          <w:sz w:val="20"/>
          <w:szCs w:val="20"/>
          <w:lang w:val="es-UY"/>
        </w:rPr>
        <w:t>.</w:t>
      </w:r>
    </w:p>
    <w:p w14:paraId="57394E2C"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en tramos de hormigón</w:t>
      </w:r>
    </w:p>
    <w:p w14:paraId="4C78C7E6"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de las progresivas del tramo sobre la zona más exigida, o sea sobre la huella externa; por lo tanto será aproximadamente a 90 cm </w:t>
      </w:r>
      <w:r w:rsidRPr="00CF69B3">
        <w:rPr>
          <w:rFonts w:ascii="Arial" w:hAnsi="Arial" w:cs="Arial"/>
          <w:sz w:val="20"/>
          <w:szCs w:val="20"/>
          <w:lang w:val="es-UY"/>
        </w:rPr>
        <w:lastRenderedPageBreak/>
        <w:t>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50999B32"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2FE3A26F"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4ADB4AEC" w14:textId="77777777" w:rsidR="00EB70C0" w:rsidRPr="00CF69B3" w:rsidRDefault="00EB70C0" w:rsidP="009A58E0">
      <w:pPr>
        <w:numPr>
          <w:ilvl w:val="0"/>
          <w:numId w:val="40"/>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de 3.25</w:t>
      </w:r>
      <w:r w:rsidRPr="00CF69B3">
        <w:rPr>
          <w:rFonts w:ascii="Arial" w:hAnsi="Arial" w:cs="Arial"/>
          <w:b/>
          <w:bCs/>
          <w:sz w:val="20"/>
          <w:szCs w:val="20"/>
          <w:lang w:val="es-UY"/>
        </w:rPr>
        <w:t xml:space="preserve"> m/km</w:t>
      </w:r>
      <w:r w:rsidRPr="00CF69B3">
        <w:rPr>
          <w:rFonts w:ascii="Arial" w:hAnsi="Arial" w:cs="Arial"/>
          <w:sz w:val="20"/>
          <w:szCs w:val="20"/>
          <w:lang w:val="es-UY"/>
        </w:rPr>
        <w:t>.</w:t>
      </w:r>
    </w:p>
    <w:p w14:paraId="59D62E54" w14:textId="77777777" w:rsidR="00EB70C0" w:rsidRPr="00CF69B3" w:rsidRDefault="00EB70C0" w:rsidP="009A58E0">
      <w:pPr>
        <w:numPr>
          <w:ilvl w:val="0"/>
          <w:numId w:val="40"/>
        </w:numPr>
        <w:spacing w:after="24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de 3.5 m/ km.</w:t>
      </w:r>
    </w:p>
    <w:p w14:paraId="08BC2A41" w14:textId="77777777" w:rsidR="00EB70C0" w:rsidRPr="00CF69B3" w:rsidRDefault="00EB70C0" w:rsidP="00CF69B3">
      <w:pPr>
        <w:spacing w:after="120"/>
        <w:jc w:val="both"/>
        <w:rPr>
          <w:rFonts w:ascii="Arial" w:hAnsi="Arial" w:cs="Arial"/>
          <w:b/>
          <w:bCs/>
          <w:i/>
          <w:iCs/>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p>
    <w:p w14:paraId="35ADBC02" w14:textId="77777777" w:rsidR="00EB70C0" w:rsidRPr="00CF69B3" w:rsidRDefault="00EB70C0" w:rsidP="00CF69B3">
      <w:pPr>
        <w:spacing w:after="120"/>
        <w:jc w:val="both"/>
        <w:rPr>
          <w:rFonts w:ascii="Arial" w:hAnsi="Arial" w:cs="Arial"/>
          <w:sz w:val="20"/>
          <w:szCs w:val="20"/>
          <w:u w:val="single"/>
          <w:lang w:val="es-UY"/>
        </w:rPr>
      </w:pPr>
      <w:r w:rsidRPr="00CF69B3">
        <w:rPr>
          <w:rFonts w:ascii="Arial" w:hAnsi="Arial" w:cs="Arial"/>
          <w:sz w:val="20"/>
          <w:szCs w:val="20"/>
          <w:u w:val="single"/>
          <w:lang w:val="es-UY"/>
        </w:rPr>
        <w:t>Para el mantenimiento en tramos de tratamiento bituminoso</w:t>
      </w:r>
    </w:p>
    <w:p w14:paraId="65125BA3"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Se tomarán valores de Rugosidad cada 100 m, obteniéndose la media de estos para cada tramo del proyecto determinado por el Inventario de la Dirección Nacional de Vialidad (valor de la</w:t>
      </w:r>
      <w:r w:rsidRPr="00CF69B3">
        <w:rPr>
          <w:rFonts w:ascii="Arial" w:hAnsi="Arial" w:cs="Arial"/>
          <w:b/>
          <w:bCs/>
          <w:sz w:val="20"/>
          <w:szCs w:val="20"/>
          <w:lang w:val="es-UY"/>
        </w:rPr>
        <w:t xml:space="preserve"> Rugosidad media del tramo)</w:t>
      </w:r>
      <w:r w:rsidRPr="00CF69B3">
        <w:rPr>
          <w:rFonts w:ascii="Arial" w:hAnsi="Arial" w:cs="Arial"/>
          <w:sz w:val="20"/>
          <w:szCs w:val="20"/>
          <w:lang w:val="es-UY"/>
        </w:rPr>
        <w:t>.</w:t>
      </w:r>
      <w:r w:rsidR="00B14DCC" w:rsidRPr="00CF69B3">
        <w:rPr>
          <w:rFonts w:ascii="Arial" w:hAnsi="Arial" w:cs="Arial"/>
          <w:sz w:val="20"/>
          <w:szCs w:val="20"/>
          <w:lang w:val="es-UY"/>
        </w:rPr>
        <w:t xml:space="preserve"> </w:t>
      </w:r>
      <w:r w:rsidRPr="00CF69B3">
        <w:rPr>
          <w:rFonts w:ascii="Arial" w:hAnsi="Arial" w:cs="Arial"/>
          <w:sz w:val="20"/>
          <w:szCs w:val="20"/>
          <w:lang w:val="es-UY"/>
        </w:rPr>
        <w:t>Este Valor</w:t>
      </w:r>
      <w:r w:rsidR="00B14DCC" w:rsidRPr="00CF69B3">
        <w:rPr>
          <w:rFonts w:ascii="Arial" w:hAnsi="Arial" w:cs="Arial"/>
          <w:sz w:val="20"/>
          <w:szCs w:val="20"/>
          <w:lang w:val="es-UY"/>
        </w:rPr>
        <w:t xml:space="preserve"> </w:t>
      </w:r>
      <w:r w:rsidRPr="00CF69B3">
        <w:rPr>
          <w:rFonts w:ascii="Arial" w:hAnsi="Arial" w:cs="Arial"/>
          <w:sz w:val="20"/>
          <w:szCs w:val="20"/>
          <w:lang w:val="es-UY"/>
        </w:rPr>
        <w:t>de la</w:t>
      </w:r>
      <w:r w:rsidRPr="00CF69B3">
        <w:rPr>
          <w:rFonts w:ascii="Arial" w:hAnsi="Arial" w:cs="Arial"/>
          <w:b/>
          <w:bCs/>
          <w:i/>
          <w:iCs/>
          <w:sz w:val="20"/>
          <w:szCs w:val="20"/>
          <w:lang w:val="es-UY"/>
        </w:rPr>
        <w:t xml:space="preserve"> Rugosidad media del tramo</w:t>
      </w:r>
      <w:r w:rsidRPr="00CF69B3">
        <w:rPr>
          <w:rFonts w:ascii="Arial" w:hAnsi="Arial" w:cs="Arial"/>
          <w:sz w:val="20"/>
          <w:szCs w:val="20"/>
          <w:lang w:val="es-UY"/>
        </w:rPr>
        <w:t xml:space="preserve"> se obtendrá realizando la medición en el sentido decreciente </w:t>
      </w:r>
      <w:r w:rsidRPr="00CF69B3">
        <w:rPr>
          <w:rFonts w:ascii="Arial" w:hAnsi="Arial" w:cs="Arial"/>
          <w:sz w:val="20"/>
          <w:szCs w:val="20"/>
          <w:lang w:val="es-UY"/>
        </w:rPr>
        <w:lastRenderedPageBreak/>
        <w:t>de las progresivas del tramo sobre la zona más exigida, o sea sobre la huella externa; por lo tanto será aproximadamente a 90 cm del borde entre calzada y banquina</w:t>
      </w:r>
      <w:r w:rsidR="00B14DCC" w:rsidRPr="00CF69B3">
        <w:rPr>
          <w:rFonts w:ascii="Arial" w:hAnsi="Arial" w:cs="Arial"/>
          <w:sz w:val="20"/>
          <w:szCs w:val="20"/>
          <w:lang w:val="es-UY"/>
        </w:rPr>
        <w:t xml:space="preserve"> </w:t>
      </w:r>
      <w:r w:rsidRPr="00CF69B3">
        <w:rPr>
          <w:rFonts w:ascii="Arial" w:hAnsi="Arial" w:cs="Arial"/>
          <w:sz w:val="20"/>
          <w:szCs w:val="20"/>
          <w:lang w:val="es-UY"/>
        </w:rPr>
        <w:t>hacia el lado del eje del tramo (según instructivo de la Dirección Nacional de Vialidad).</w:t>
      </w:r>
    </w:p>
    <w:p w14:paraId="0C525DED"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 xml:space="preserve">Una vez realizada la medición de cada tramo, para el cálculo de estos valores de </w:t>
      </w:r>
      <w:r w:rsidRPr="00CF69B3">
        <w:rPr>
          <w:rFonts w:ascii="Arial" w:hAnsi="Arial" w:cs="Arial"/>
          <w:b/>
          <w:bCs/>
          <w:i/>
          <w:iCs/>
          <w:sz w:val="20"/>
          <w:szCs w:val="20"/>
          <w:lang w:val="es-UY"/>
        </w:rPr>
        <w:t>Rugosidad Media</w:t>
      </w:r>
      <w:r w:rsidR="00B14DCC" w:rsidRPr="00CF69B3">
        <w:rPr>
          <w:rFonts w:ascii="Arial" w:hAnsi="Arial" w:cs="Arial"/>
          <w:b/>
          <w:bCs/>
          <w:i/>
          <w:iCs/>
          <w:sz w:val="20"/>
          <w:szCs w:val="20"/>
          <w:lang w:val="es-UY"/>
        </w:rPr>
        <w:t xml:space="preserve"> </w:t>
      </w:r>
      <w:r w:rsidRPr="00CF69B3">
        <w:rPr>
          <w:rFonts w:ascii="Arial" w:hAnsi="Arial" w:cs="Arial"/>
          <w:sz w:val="20"/>
          <w:szCs w:val="20"/>
          <w:lang w:val="es-UY"/>
        </w:rPr>
        <w:t>se descartarán los pulsos provocados por eventos como ser vías férreas, alcantarillas, puentes, etc.</w:t>
      </w:r>
    </w:p>
    <w:p w14:paraId="4EE9FB2E"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Las condiciones de cumplimiento para el parámetro de Rugosidad de cada tramo serán las siguientes:</w:t>
      </w:r>
    </w:p>
    <w:p w14:paraId="0155E264" w14:textId="77777777" w:rsidR="00EB70C0" w:rsidRPr="00CF69B3" w:rsidRDefault="00EB70C0" w:rsidP="009A58E0">
      <w:pPr>
        <w:numPr>
          <w:ilvl w:val="0"/>
          <w:numId w:val="41"/>
        </w:numPr>
        <w:spacing w:after="120"/>
        <w:jc w:val="both"/>
        <w:rPr>
          <w:rFonts w:ascii="Arial" w:hAnsi="Arial" w:cs="Arial"/>
          <w:sz w:val="20"/>
          <w:szCs w:val="20"/>
          <w:lang w:val="es-UY"/>
        </w:rPr>
      </w:pPr>
      <w:r w:rsidRPr="00CF69B3">
        <w:rPr>
          <w:rFonts w:ascii="Arial" w:hAnsi="Arial" w:cs="Arial"/>
          <w:sz w:val="20"/>
          <w:szCs w:val="20"/>
          <w:lang w:val="es-UY"/>
        </w:rPr>
        <w:t xml:space="preserve">Condición 1: el valor de la </w:t>
      </w:r>
      <w:r w:rsidRPr="00CF69B3">
        <w:rPr>
          <w:rFonts w:ascii="Arial" w:hAnsi="Arial" w:cs="Arial"/>
          <w:b/>
          <w:bCs/>
          <w:sz w:val="20"/>
          <w:szCs w:val="20"/>
          <w:lang w:val="es-UY"/>
        </w:rPr>
        <w:t>Rugosidad</w:t>
      </w:r>
      <w:r w:rsidR="00B14DCC" w:rsidRPr="00CF69B3">
        <w:rPr>
          <w:rFonts w:ascii="Arial" w:hAnsi="Arial" w:cs="Arial"/>
          <w:b/>
          <w:bCs/>
          <w:sz w:val="20"/>
          <w:szCs w:val="20"/>
          <w:lang w:val="es-UY"/>
        </w:rPr>
        <w:t xml:space="preserve"> </w:t>
      </w:r>
      <w:r w:rsidRPr="00CF69B3">
        <w:rPr>
          <w:rFonts w:ascii="Arial" w:hAnsi="Arial" w:cs="Arial"/>
          <w:b/>
          <w:bCs/>
          <w:sz w:val="20"/>
          <w:szCs w:val="20"/>
          <w:lang w:val="es-UY"/>
        </w:rPr>
        <w:t>media de cada tramo</w:t>
      </w:r>
      <w:r w:rsidRPr="00CF69B3">
        <w:rPr>
          <w:rFonts w:ascii="Arial" w:hAnsi="Arial" w:cs="Arial"/>
          <w:sz w:val="20"/>
          <w:szCs w:val="20"/>
          <w:lang w:val="es-UY"/>
        </w:rPr>
        <w:t xml:space="preserve"> no podrá superar el valor </w:t>
      </w:r>
      <w:r w:rsidRPr="00433DEA">
        <w:rPr>
          <w:rFonts w:ascii="Arial" w:hAnsi="Arial" w:cs="Arial"/>
          <w:sz w:val="20"/>
          <w:szCs w:val="20"/>
          <w:lang w:val="es-UY"/>
        </w:rPr>
        <w:t>de 4.</w:t>
      </w:r>
      <w:r w:rsidR="00F079BC" w:rsidRPr="00433DEA">
        <w:rPr>
          <w:rFonts w:ascii="Arial" w:hAnsi="Arial" w:cs="Arial"/>
          <w:sz w:val="20"/>
          <w:szCs w:val="20"/>
          <w:lang w:val="es-UY"/>
        </w:rPr>
        <w:t>5</w:t>
      </w:r>
      <w:r w:rsidRPr="00433DEA">
        <w:rPr>
          <w:rFonts w:ascii="Arial" w:hAnsi="Arial" w:cs="Arial"/>
          <w:b/>
          <w:bCs/>
          <w:sz w:val="20"/>
          <w:szCs w:val="20"/>
          <w:lang w:val="es-UY"/>
        </w:rPr>
        <w:t xml:space="preserve"> m/km</w:t>
      </w:r>
      <w:r w:rsidRPr="00433DEA">
        <w:rPr>
          <w:rFonts w:ascii="Arial" w:hAnsi="Arial" w:cs="Arial"/>
          <w:sz w:val="20"/>
          <w:szCs w:val="20"/>
          <w:lang w:val="es-UY"/>
        </w:rPr>
        <w:t>.</w:t>
      </w:r>
    </w:p>
    <w:p w14:paraId="56DABF2A" w14:textId="77777777" w:rsidR="00EB70C0" w:rsidRPr="00CF69B3" w:rsidRDefault="00EB70C0" w:rsidP="009A58E0">
      <w:pPr>
        <w:numPr>
          <w:ilvl w:val="0"/>
          <w:numId w:val="41"/>
        </w:numPr>
        <w:spacing w:after="120"/>
        <w:jc w:val="both"/>
        <w:rPr>
          <w:rFonts w:ascii="Arial" w:hAnsi="Arial" w:cs="Arial"/>
          <w:sz w:val="20"/>
          <w:szCs w:val="20"/>
          <w:lang w:val="es-UY"/>
        </w:rPr>
      </w:pPr>
      <w:r w:rsidRPr="00CF69B3">
        <w:rPr>
          <w:rFonts w:ascii="Arial" w:hAnsi="Arial" w:cs="Arial"/>
          <w:sz w:val="20"/>
          <w:szCs w:val="20"/>
          <w:lang w:val="es-UY"/>
        </w:rPr>
        <w:t xml:space="preserve">Condición 2: el valor de la </w:t>
      </w:r>
      <w:r w:rsidRPr="00CF69B3">
        <w:rPr>
          <w:rFonts w:ascii="Arial" w:hAnsi="Arial" w:cs="Arial"/>
          <w:b/>
          <w:bCs/>
          <w:sz w:val="20"/>
          <w:szCs w:val="20"/>
          <w:lang w:val="es-UY"/>
        </w:rPr>
        <w:t>Rugosidad media de cada kilómetro</w:t>
      </w:r>
      <w:r w:rsidRPr="00CF69B3">
        <w:rPr>
          <w:rFonts w:ascii="Arial" w:hAnsi="Arial" w:cs="Arial"/>
          <w:sz w:val="20"/>
          <w:szCs w:val="20"/>
          <w:lang w:val="es-UY"/>
        </w:rPr>
        <w:t xml:space="preserve"> del tramo no podrá superar el valor </w:t>
      </w:r>
      <w:r w:rsidRPr="00433DEA">
        <w:rPr>
          <w:rFonts w:ascii="Arial" w:hAnsi="Arial" w:cs="Arial"/>
          <w:sz w:val="20"/>
          <w:szCs w:val="20"/>
          <w:lang w:val="es-UY"/>
        </w:rPr>
        <w:t>de 4.</w:t>
      </w:r>
      <w:r w:rsidR="00F079BC" w:rsidRPr="00433DEA">
        <w:rPr>
          <w:rFonts w:ascii="Arial" w:hAnsi="Arial" w:cs="Arial"/>
          <w:sz w:val="20"/>
          <w:szCs w:val="20"/>
          <w:lang w:val="es-UY"/>
        </w:rPr>
        <w:t>8</w:t>
      </w:r>
      <w:r w:rsidRPr="00433DEA">
        <w:rPr>
          <w:rFonts w:ascii="Arial" w:hAnsi="Arial" w:cs="Arial"/>
          <w:sz w:val="20"/>
          <w:szCs w:val="20"/>
          <w:lang w:val="es-UY"/>
        </w:rPr>
        <w:t xml:space="preserve"> m/ km.</w:t>
      </w:r>
    </w:p>
    <w:p w14:paraId="20E487E0"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forma de medición de la</w:t>
      </w:r>
      <w:r w:rsidRPr="00CF69B3">
        <w:rPr>
          <w:rFonts w:ascii="Arial" w:hAnsi="Arial" w:cs="Arial"/>
          <w:b/>
          <w:bCs/>
          <w:i/>
          <w:iCs/>
          <w:sz w:val="20"/>
          <w:szCs w:val="20"/>
          <w:lang w:val="es-UY"/>
        </w:rPr>
        <w:t xml:space="preserve"> Rugosidad media de cada kilómetro</w:t>
      </w:r>
      <w:r w:rsidRPr="00CF69B3">
        <w:rPr>
          <w:rFonts w:ascii="Arial" w:hAnsi="Arial" w:cs="Arial"/>
          <w:sz w:val="20"/>
          <w:szCs w:val="20"/>
          <w:lang w:val="es-UY"/>
        </w:rPr>
        <w:t xml:space="preserve"> se obtendrá con la misma metodología y procedimiento que para la </w:t>
      </w:r>
      <w:r w:rsidRPr="00CF69B3">
        <w:rPr>
          <w:rFonts w:ascii="Arial" w:hAnsi="Arial" w:cs="Arial"/>
          <w:b/>
          <w:bCs/>
          <w:i/>
          <w:iCs/>
          <w:sz w:val="20"/>
          <w:szCs w:val="20"/>
          <w:lang w:val="es-UY"/>
        </w:rPr>
        <w:t>Rugosidad media de cada tramo</w:t>
      </w:r>
      <w:r w:rsidRPr="00CF69B3">
        <w:rPr>
          <w:rFonts w:ascii="Arial" w:hAnsi="Arial" w:cs="Arial"/>
          <w:sz w:val="20"/>
          <w:szCs w:val="20"/>
          <w:lang w:val="es-UY"/>
        </w:rPr>
        <w:t>.</w:t>
      </w:r>
    </w:p>
    <w:p w14:paraId="7A3D649A" w14:textId="77777777" w:rsidR="00EB70C0" w:rsidRPr="00CF69B3" w:rsidRDefault="00EB70C0" w:rsidP="009A58E0">
      <w:pPr>
        <w:pStyle w:val="T1AAA"/>
        <w:numPr>
          <w:ilvl w:val="0"/>
          <w:numId w:val="100"/>
        </w:numPr>
        <w:outlineLvl w:val="9"/>
        <w:rPr>
          <w:caps/>
          <w:sz w:val="20"/>
          <w:szCs w:val="20"/>
        </w:rPr>
      </w:pPr>
      <w:bookmarkStart w:id="1656" w:name="_Toc400636286"/>
      <w:r w:rsidRPr="00CF69B3">
        <w:rPr>
          <w:caps/>
          <w:sz w:val="20"/>
          <w:szCs w:val="20"/>
        </w:rPr>
        <w:lastRenderedPageBreak/>
        <w:t xml:space="preserve">Condiciones que deben cumplir los tramos con </w:t>
      </w:r>
      <w:r w:rsidRPr="00CF69B3">
        <w:rPr>
          <w:caps/>
          <w:sz w:val="20"/>
          <w:szCs w:val="20"/>
        </w:rPr>
        <w:tab/>
        <w:t xml:space="preserve">pavimento en mezcla asfáltica para la recepción </w:t>
      </w:r>
      <w:r w:rsidRPr="00CF69B3">
        <w:rPr>
          <w:caps/>
          <w:sz w:val="20"/>
          <w:szCs w:val="20"/>
        </w:rPr>
        <w:tab/>
        <w:t>definitiva al finalizar el contrato.</w:t>
      </w:r>
      <w:bookmarkEnd w:id="1656"/>
    </w:p>
    <w:p w14:paraId="20496C0C"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La deflexión medida de cada tramo no podrá superar en más de un 30% la deflexión medida al momento de finalizar las obras de puesta a punto del mismo tramo.</w:t>
      </w:r>
    </w:p>
    <w:p w14:paraId="3BC2C4D4" w14:textId="77777777" w:rsidR="00EB70C0" w:rsidRPr="00CF69B3" w:rsidRDefault="00EB70C0" w:rsidP="009A58E0">
      <w:pPr>
        <w:pStyle w:val="T1AAA"/>
        <w:numPr>
          <w:ilvl w:val="0"/>
          <w:numId w:val="100"/>
        </w:numPr>
        <w:outlineLvl w:val="9"/>
        <w:rPr>
          <w:caps/>
          <w:sz w:val="20"/>
          <w:szCs w:val="20"/>
        </w:rPr>
      </w:pPr>
      <w:bookmarkStart w:id="1657" w:name="_Toc400636287"/>
      <w:r w:rsidRPr="00CF69B3">
        <w:rPr>
          <w:caps/>
          <w:sz w:val="20"/>
          <w:szCs w:val="20"/>
        </w:rPr>
        <w:t xml:space="preserve">Condición que deben cumplir los diseños de los tramos </w:t>
      </w:r>
      <w:r w:rsidRPr="00CF69B3">
        <w:rPr>
          <w:caps/>
          <w:sz w:val="20"/>
          <w:szCs w:val="20"/>
        </w:rPr>
        <w:tab/>
        <w:t>a rehabilitar usando pavimentos de hormigón.</w:t>
      </w:r>
      <w:bookmarkEnd w:id="1657"/>
    </w:p>
    <w:p w14:paraId="3A05C2E5"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Salvo para los diseños de puesta a punto, en las eventuales intervenciones posteriores para obras de rehabilitación se deberá demostrar que la vida de diseño del proyecto excede en 5 (cinco) años la fecha prevista de finalización del contrato.</w:t>
      </w:r>
    </w:p>
    <w:p w14:paraId="0A12A8C8" w14:textId="77777777" w:rsidR="00EB70C0" w:rsidRPr="00CF69B3" w:rsidRDefault="00EB70C0" w:rsidP="00CF69B3">
      <w:pPr>
        <w:spacing w:after="120"/>
        <w:jc w:val="both"/>
        <w:rPr>
          <w:rFonts w:ascii="Arial" w:hAnsi="Arial" w:cs="Arial"/>
          <w:sz w:val="20"/>
          <w:szCs w:val="20"/>
          <w:lang w:val="es-UY"/>
        </w:rPr>
      </w:pPr>
      <w:r w:rsidRPr="00CF69B3">
        <w:rPr>
          <w:rFonts w:ascii="Arial" w:hAnsi="Arial" w:cs="Arial"/>
          <w:sz w:val="20"/>
          <w:szCs w:val="20"/>
          <w:lang w:val="es-UY"/>
        </w:rPr>
        <w:t>Si esta condición no se cumple, el proyecto no será de aceptación debiendo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presentar un nuevo proyecto.</w:t>
      </w:r>
    </w:p>
    <w:p w14:paraId="08E1AF1E" w14:textId="77777777" w:rsidR="001769FF" w:rsidRPr="00CF69B3" w:rsidRDefault="00EB70C0" w:rsidP="009A58E0">
      <w:pPr>
        <w:pStyle w:val="T1AAA"/>
        <w:numPr>
          <w:ilvl w:val="0"/>
          <w:numId w:val="100"/>
        </w:numPr>
        <w:outlineLvl w:val="9"/>
        <w:rPr>
          <w:caps/>
          <w:sz w:val="20"/>
          <w:szCs w:val="20"/>
        </w:rPr>
      </w:pPr>
      <w:bookmarkStart w:id="1658" w:name="_Toc400636288"/>
      <w:r w:rsidRPr="00CF69B3">
        <w:rPr>
          <w:caps/>
          <w:sz w:val="20"/>
          <w:szCs w:val="20"/>
        </w:rPr>
        <w:lastRenderedPageBreak/>
        <w:t>Especificaciones Complementarias y/o</w:t>
      </w:r>
      <w:r w:rsidR="00B14DCC" w:rsidRPr="00CF69B3">
        <w:rPr>
          <w:caps/>
          <w:sz w:val="20"/>
          <w:szCs w:val="20"/>
        </w:rPr>
        <w:t xml:space="preserve"> </w:t>
      </w:r>
      <w:r w:rsidRPr="00CF69B3">
        <w:rPr>
          <w:caps/>
          <w:sz w:val="20"/>
          <w:szCs w:val="20"/>
        </w:rPr>
        <w:t>Sustitutivas de LAS establecidas en el PV y las ETCM 2003</w:t>
      </w:r>
      <w:bookmarkEnd w:id="1658"/>
    </w:p>
    <w:p w14:paraId="5507B6B0" w14:textId="77777777" w:rsidR="00EB70C0" w:rsidRPr="00CF69B3" w:rsidRDefault="00EB70C0" w:rsidP="009A58E0">
      <w:pPr>
        <w:pStyle w:val="T1AAA"/>
        <w:numPr>
          <w:ilvl w:val="1"/>
          <w:numId w:val="100"/>
        </w:numPr>
        <w:outlineLvl w:val="9"/>
        <w:rPr>
          <w:caps/>
          <w:sz w:val="20"/>
          <w:szCs w:val="20"/>
        </w:rPr>
      </w:pPr>
      <w:r w:rsidRPr="00CF69B3">
        <w:rPr>
          <w:sz w:val="20"/>
          <w:szCs w:val="20"/>
          <w:u w:val="single"/>
        </w:rPr>
        <w:t>Mezclas Asfálticas</w:t>
      </w:r>
    </w:p>
    <w:p w14:paraId="23F85EE6"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1.1</w:t>
      </w:r>
      <w:r w:rsidR="00EB70C0" w:rsidRPr="00CF69B3">
        <w:rPr>
          <w:rFonts w:ascii="Arial" w:hAnsi="Arial" w:cs="Arial"/>
          <w:sz w:val="20"/>
          <w:szCs w:val="20"/>
          <w:lang w:val="es-UY"/>
        </w:rPr>
        <w:tab/>
        <w:t>La mezcla asfáltica deberá cumplir con una deformación máxima menor a 6 mm en el ensayo de resistencia a deformación plástica de la norma NLT 173/01 con una presión de ensayo de rueda de 9 kgf/cm2.</w:t>
      </w:r>
    </w:p>
    <w:p w14:paraId="0A5D52AF"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Este ensayo se realizará sobre probetas moldeadas en laboratorio en la instancia de aprobación de la dosificación de la mezcla y sobre probetas extraídas del pavimento en la instancia del tramo de prueba establecido en la cláusula 7.7.1. de las ETCM de la Dirección Nacional de Vialidad vigente a Agosto del 2003 y en la instancia de las verificaciones periódicas establecidas en cláusula 7.7.2. de las ETCM de la Dirección Nacional de Vialidad vigente a Agosto del 2003.</w:t>
      </w:r>
    </w:p>
    <w:p w14:paraId="3939AEBC"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deberá recabar la velocidad de deformación de cada probeta en el intervalo 105 a 120 minutos (V 105/120). Se recomienda que esa deformación no supere 20µm/minuto.</w:t>
      </w:r>
    </w:p>
    <w:p w14:paraId="74F12DBF"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lastRenderedPageBreak/>
        <w:t>5.1</w:t>
      </w:r>
      <w:r w:rsidR="00EB70C0" w:rsidRPr="00CF69B3">
        <w:rPr>
          <w:rFonts w:ascii="Arial" w:hAnsi="Arial" w:cs="Arial"/>
          <w:sz w:val="20"/>
          <w:szCs w:val="20"/>
          <w:lang w:val="es-UY"/>
        </w:rPr>
        <w:t>.2</w:t>
      </w:r>
      <w:r w:rsidR="00EB70C0" w:rsidRPr="00CF69B3">
        <w:rPr>
          <w:rFonts w:ascii="Arial" w:hAnsi="Arial" w:cs="Arial"/>
          <w:sz w:val="20"/>
          <w:szCs w:val="20"/>
          <w:lang w:val="es-UY"/>
        </w:rPr>
        <w:tab/>
        <w:t>Se modifica la redacción de las cláusulas 7.2.1, 7.3.2. y 7.6.1. de las ETCM de la Dirección Nacional de Vialidad vigente a Agosto del 2003 de la siguiente forma:</w:t>
      </w:r>
    </w:p>
    <w:p w14:paraId="6374F537"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7.2.1.</w:t>
      </w:r>
      <w:r w:rsidR="00666028">
        <w:rPr>
          <w:rFonts w:ascii="Arial" w:hAnsi="Arial" w:cs="Arial"/>
          <w:sz w:val="20"/>
          <w:szCs w:val="20"/>
          <w:lang w:val="es-UY"/>
        </w:rPr>
        <w:t xml:space="preserve"> </w:t>
      </w:r>
      <w:r w:rsidRPr="00CF69B3">
        <w:rPr>
          <w:rFonts w:ascii="Arial" w:hAnsi="Arial" w:cs="Arial"/>
          <w:sz w:val="20"/>
          <w:szCs w:val="20"/>
          <w:lang w:val="es-UY"/>
        </w:rPr>
        <w:t>El agregado grueso a utilizar deberá ser obtenido por trituración de roca sana.</w:t>
      </w:r>
    </w:p>
    <w:p w14:paraId="18F03080"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Los materiales que pasen el tamiz Nº 4 (UNIT 4.760) serán una mezcla obtenida de la trituración de roca sana, arena natural y finos provenientes de material granular natural. Los finos provenientes de material granular natural deberán ser no plásticos y tener un equivalente de arena no inferior a 45. La Inspección podrá exigir el zarandeo de la arena natural si fuere constatada la presencia de materias extrañas en el yacimiento.</w:t>
      </w:r>
    </w:p>
    <w:p w14:paraId="51815918"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 mezcla de agregados para base negra estará integrada en un 80% como mínimo, de partículas provenientes de trituración de roca sana. El contenido máximo de arena estará limitado al 8%.</w:t>
      </w:r>
    </w:p>
    <w:p w14:paraId="6A43C934"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 mezcla de agregados para carpeta de rodadura estará integrada en un 100%</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de partículas provenientes de trituración de roca sana. </w:t>
      </w:r>
    </w:p>
    <w:p w14:paraId="458AC7C7"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Los cementos asfálticos cumplirán con el tipo AC 20 – tabla 2 establecido</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en la norma AASHTO M – 226. </w:t>
      </w:r>
    </w:p>
    <w:p w14:paraId="781EE8BE"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lastRenderedPageBreak/>
        <w:t xml:space="preserve">Los cementos asfálticos que no cuenten con un certificado del fabricante avalando el cumplimiento de la especificación indicada precedentemente serán rechazados, no pudiéndose incorporar a la obra. </w:t>
      </w:r>
    </w:p>
    <w:p w14:paraId="54D3BDDA"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Las mezclas asfálticas realizadas con cementos asfálticos que no satisfagan la especificación indicada durante los ensayos de control realizados posteriormente serán rechazadas.</w:t>
      </w:r>
    </w:p>
    <w:p w14:paraId="5A2745B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una sola capa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colocar la capa de mezcla asfáltica desde los extremos más alejados de la obra hacia la planta asfáltica.</w:t>
      </w:r>
    </w:p>
    <w:p w14:paraId="2FAA3813"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dos capas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deberá: a) coloca r la capa de base negra desde los extremos más alejados de la obra hacia la planta asfáltica; b) colocar la capa de rodadura en un período no superior a las 4 jornadas de haber colocado la capa de base negra, cuidando de realizar dicho tendido en dirección hacia el extremo de la obra de forma que el tránsito de obra no pase por la capa de base negra.</w:t>
      </w:r>
    </w:p>
    <w:p w14:paraId="30360C64"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Cuando la obra incluya tres capas de mezcla asfáltica,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deberá: a) colocar la capa de base negra inferior </w:t>
      </w:r>
      <w:r w:rsidRPr="00CF69B3">
        <w:rPr>
          <w:rFonts w:ascii="Arial" w:hAnsi="Arial" w:cs="Arial"/>
          <w:sz w:val="20"/>
          <w:szCs w:val="20"/>
          <w:lang w:val="es-UY"/>
        </w:rPr>
        <w:lastRenderedPageBreak/>
        <w:t>desde los extremos más alejados de la obra hacia la planta asfáltica; b) colocar la capa de base negra superior en un período no superior a las 4 jornadas de haber colocado la capa de base negra inferior, cuidando de realizar dicho tendido en dirección hacia el extremo de la obra de forma que el tránsito de obra no pase por la capa de base negra inferior; c) colocar la capa de rodadura en un período no superior a las 4 jornadas de haber colocado la capa de base negra superior, cuidando de realizar dicho tendido en dirección hacia el extremo de la obra de forma que el tránsito de obra no pase por la capa de base negra superior.</w:t>
      </w:r>
    </w:p>
    <w:p w14:paraId="248629DA" w14:textId="77777777" w:rsidR="00EB70C0" w:rsidRPr="00CF69B3" w:rsidRDefault="001769FF" w:rsidP="00CF69B3">
      <w:pPr>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1.3</w:t>
      </w:r>
      <w:r w:rsidR="00EB70C0" w:rsidRPr="00CF69B3">
        <w:rPr>
          <w:rFonts w:ascii="Arial" w:hAnsi="Arial" w:cs="Arial"/>
          <w:sz w:val="20"/>
          <w:szCs w:val="20"/>
          <w:lang w:val="es-UY"/>
        </w:rPr>
        <w:tab/>
        <w:t>Se modifican los siguientes artículos del “Pliego General de Obras Públicas (Texto corregido de 1989)”, que quedarán redactados de la siguiente forma:</w:t>
      </w:r>
    </w:p>
    <w:p w14:paraId="4A005BA6"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modifica el artículo E-2-1-5 de la Sección VI – Mezclas asfálticas quedando redactado: “No se permitirá la ejecución de capas de mezclas bituminosas, si la temperatura del aire medida a la sombra fuera inferior a 5° C.</w:t>
      </w:r>
      <w:r w:rsidR="00B14DCC" w:rsidRPr="00CF69B3">
        <w:rPr>
          <w:rFonts w:ascii="Arial" w:hAnsi="Arial" w:cs="Arial"/>
          <w:sz w:val="20"/>
          <w:szCs w:val="20"/>
          <w:lang w:val="es-UY"/>
        </w:rPr>
        <w:t xml:space="preserve"> </w:t>
      </w:r>
      <w:r w:rsidRPr="00CF69B3">
        <w:rPr>
          <w:rFonts w:ascii="Arial" w:hAnsi="Arial" w:cs="Arial"/>
          <w:sz w:val="20"/>
          <w:szCs w:val="20"/>
          <w:lang w:val="es-UY"/>
        </w:rPr>
        <w:t>Esta exigencia se elevará a 8° C en caso de que la capa a ejecutar tenga un espesor compactado inferior a 5cms.”</w:t>
      </w:r>
    </w:p>
    <w:p w14:paraId="0AC8C5C7"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lastRenderedPageBreak/>
        <w:t>Se modifica el artículo F-2-1-1 de la Sección VI – Mezclas asfálticas quedando redactado: “Para su aceptación se subdividirá previamente la obra en secciones de tres mil seiscientos metros cuadrados (3600m2.) por vía de circulación.”</w:t>
      </w:r>
    </w:p>
    <w:p w14:paraId="535807EF"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 xml:space="preserve">Se modifica el artículo F-3-1-3 de la Sección VI – Mezclas asfálticas quedando redactado: </w:t>
      </w:r>
    </w:p>
    <w:p w14:paraId="73352ED8"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“A los efectos de determinar el espesor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y</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densidad en obra, en cada capa y faja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mezcla asfáltica ejecutada de cada sección, se procederá como se indica a continuación:</w:t>
      </w:r>
    </w:p>
    <w:p w14:paraId="5A52F832"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 xml:space="preserve">Se considerará como lote, a la superficie de tres mil seiscientos metros cuadrados (3600 m2) </w:t>
      </w:r>
      <w:r w:rsidR="00120471" w:rsidRPr="00CF69B3">
        <w:rPr>
          <w:rFonts w:ascii="Arial" w:hAnsi="Arial" w:cs="Arial"/>
          <w:i/>
          <w:iCs/>
          <w:sz w:val="20"/>
          <w:szCs w:val="20"/>
          <w:lang w:val="es-UY"/>
        </w:rPr>
        <w:t>o</w:t>
      </w:r>
      <w:r w:rsidRPr="00CF69B3">
        <w:rPr>
          <w:rFonts w:ascii="Arial" w:hAnsi="Arial" w:cs="Arial"/>
          <w:i/>
          <w:iCs/>
          <w:sz w:val="20"/>
          <w:szCs w:val="20"/>
          <w:lang w:val="es-UY"/>
        </w:rPr>
        <w:t xml:space="preserve"> 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 fracción construida en la jornada, en una sola capa de mezcla asfáltica.</w:t>
      </w:r>
    </w:p>
    <w:p w14:paraId="3C088D60"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extraerán testigos de cuatro pulgadas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diámetro</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en puntos ubicados aleatoriamente, a razón de un testigo cada 360 metros cuadrados, en un número no inferior a tres, los cuales no podrán estar ubicados en la faja de treinta centímetros delimitadas por los bordes externo e interno del lote analizado. </w:t>
      </w:r>
    </w:p>
    <w:p w14:paraId="2F247557"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lastRenderedPageBreak/>
        <w:t>A los efectos de la aceptación o rechazo de los trabajos, se podrá dividir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el lote en dos únicos sub lotes, los cuales deberán ser continuos y tener un área mínima del 30 % del lote original.</w:t>
      </w:r>
    </w:p>
    <w:p w14:paraId="24B65FCD"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Para el cálculo del espesor promedio se procederá en la forma siguiente:</w:t>
      </w:r>
    </w:p>
    <w:p w14:paraId="0386031C"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calculará el promedio P1, de todos los valores individuales de espesor, obtenidos.</w:t>
      </w:r>
    </w:p>
    <w:p w14:paraId="4731EF29"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Los valores individuales obtenidos superiores a 1,1 P1 se considerarán para los cálculos ulteriores con este último valor y con estos valores corregidos y los restantes, se calculará finalmente el espesor promedio Pm de cada sección.”</w:t>
      </w:r>
    </w:p>
    <w:p w14:paraId="61B0D541"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 xml:space="preserve">Se modifica el artículo F-4-2 de la Sección VI – Mezclas asfálticas quedando redactado: </w:t>
      </w:r>
    </w:p>
    <w:p w14:paraId="57F204E4"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“Durante la ejecución de cada una de las fajas y capas mencionadas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en el Art. F 3-1-3, .se moldeará una probeta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por cada 600 metros cuadrados (600 m2) pavimentados, con la técnica de moldeo y compactación indicadas según la norma UY M-3-89. </w:t>
      </w:r>
    </w:p>
    <w:p w14:paraId="7AB27657"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lastRenderedPageBreak/>
        <w:t>Se moldearán como mínimo seis probetas por jornada, correspondientes a dos muestras diferentes de la mezcla asfáltica ejecutada. En caso de que se trabaje solamente media jornada, el mínimo de probetas será de tres.</w:t>
      </w:r>
    </w:p>
    <w:p w14:paraId="2B72EDCE"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determinará el Peso específico Bulk de las probetas ejecutadas, según la norma UY M-5-89 ó UY M-6-89 según corresponda.</w:t>
      </w:r>
    </w:p>
    <w:p w14:paraId="7319B799"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Se determinará el promedio aritmético del peso específico de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las probetas, que constituirá el peso específico de referencia de laboratorio a los efectos de las recepciones en obra.</w:t>
      </w:r>
    </w:p>
    <w:p w14:paraId="3CA55887"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El peso específico promedio,</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logrado en</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obra, en cada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lote y en cada sección, determinado sobre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las probetas extraídas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según</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lo previsto en el Art. F 3-1-3</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 xml:space="preserve"> se ajustará a las siguientes condiciones: </w:t>
      </w:r>
    </w:p>
    <w:p w14:paraId="2E41F4E8"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Capas de rodadura de espesor menor o igual a 5cm</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97%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335D3529"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Capas de</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rodadura de espesor mayor a 5cm 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98%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19CD274F"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lastRenderedPageBreak/>
        <w:t>Capas de base, intermedias o de regularización tendrán densidad mayor</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o igual al 97% del promedio de referencia</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de laboratorio correspondiente a la misma superficie.</w:t>
      </w:r>
    </w:p>
    <w:p w14:paraId="6E69CB20" w14:textId="77777777" w:rsidR="00EB70C0" w:rsidRPr="00CF69B3" w:rsidRDefault="00EB70C0" w:rsidP="00CF69B3">
      <w:pPr>
        <w:spacing w:after="120"/>
        <w:ind w:left="851"/>
        <w:jc w:val="both"/>
        <w:rPr>
          <w:rFonts w:ascii="Arial" w:hAnsi="Arial" w:cs="Arial"/>
          <w:i/>
          <w:iCs/>
          <w:sz w:val="20"/>
          <w:szCs w:val="20"/>
          <w:lang w:val="es-UY"/>
        </w:rPr>
      </w:pPr>
      <w:r w:rsidRPr="00CF69B3">
        <w:rPr>
          <w:rFonts w:ascii="Arial" w:hAnsi="Arial" w:cs="Arial"/>
          <w:i/>
          <w:iCs/>
          <w:sz w:val="20"/>
          <w:szCs w:val="20"/>
          <w:lang w:val="es-UY"/>
        </w:rPr>
        <w:t>En ningún caso se admitirán valores individuales menores</w:t>
      </w:r>
      <w:r w:rsidR="00B14DCC" w:rsidRPr="00CF69B3">
        <w:rPr>
          <w:rFonts w:ascii="Arial" w:hAnsi="Arial" w:cs="Arial"/>
          <w:i/>
          <w:iCs/>
          <w:sz w:val="20"/>
          <w:szCs w:val="20"/>
          <w:lang w:val="es-UY"/>
        </w:rPr>
        <w:t xml:space="preserve"> </w:t>
      </w:r>
      <w:r w:rsidRPr="00CF69B3">
        <w:rPr>
          <w:rFonts w:ascii="Arial" w:hAnsi="Arial" w:cs="Arial"/>
          <w:i/>
          <w:iCs/>
          <w:sz w:val="20"/>
          <w:szCs w:val="20"/>
          <w:lang w:val="es-UY"/>
        </w:rPr>
        <w:t>a 96%.”</w:t>
      </w:r>
    </w:p>
    <w:p w14:paraId="6BA28B20"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Se modifica en el artículo F-4-3 de la Sección VI – Mezclas asfálticas, las tolerancias máximas en los porcentajes en peso, respecto de la mezcla total, quedando:</w:t>
      </w:r>
    </w:p>
    <w:p w14:paraId="55C0383E" w14:textId="77777777" w:rsidR="00EB70C0" w:rsidRPr="00CF69B3" w:rsidRDefault="00EB70C0" w:rsidP="00CF69B3">
      <w:pPr>
        <w:spacing w:after="120"/>
        <w:ind w:left="851"/>
        <w:jc w:val="both"/>
        <w:rPr>
          <w:rFonts w:ascii="Arial" w:hAnsi="Arial" w:cs="Arial"/>
          <w:sz w:val="20"/>
          <w:szCs w:val="20"/>
          <w:lang w:val="es-UY"/>
        </w:rPr>
      </w:pPr>
      <w:r w:rsidRPr="00CF69B3">
        <w:rPr>
          <w:rFonts w:ascii="Arial" w:hAnsi="Arial" w:cs="Arial"/>
          <w:sz w:val="20"/>
          <w:szCs w:val="20"/>
          <w:lang w:val="es-UY"/>
        </w:rPr>
        <w:t>Tolerancia máxima en los porcentajes en peso, respecto de la mezcla total del ligante bituminoso: ± 0,3%.</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2660"/>
        <w:gridCol w:w="2652"/>
        <w:gridCol w:w="3182"/>
      </w:tblGrid>
      <w:tr w:rsidR="00EB70C0" w:rsidRPr="00CF69B3" w14:paraId="45061C50" w14:textId="77777777" w:rsidTr="00AC567E">
        <w:trPr>
          <w:trHeight w:val="397"/>
          <w:jc w:val="center"/>
        </w:trPr>
        <w:tc>
          <w:tcPr>
            <w:tcW w:w="5000" w:type="pct"/>
            <w:gridSpan w:val="3"/>
            <w:shd w:val="clear" w:color="auto" w:fill="595959"/>
            <w:tcMar>
              <w:top w:w="0" w:type="dxa"/>
              <w:left w:w="70" w:type="dxa"/>
              <w:bottom w:w="0" w:type="dxa"/>
              <w:right w:w="70" w:type="dxa"/>
            </w:tcMar>
            <w:vAlign w:val="center"/>
          </w:tcPr>
          <w:p w14:paraId="4A3A98D6" w14:textId="77777777" w:rsidR="00EB70C0" w:rsidRPr="00CF69B3" w:rsidRDefault="00EB70C0" w:rsidP="00A45846">
            <w:pPr>
              <w:spacing w:after="0"/>
              <w:rPr>
                <w:rFonts w:ascii="Arial" w:hAnsi="Arial" w:cs="Arial"/>
                <w:color w:val="F2F2F2"/>
                <w:sz w:val="20"/>
                <w:szCs w:val="20"/>
                <w:lang w:val="es-UY"/>
              </w:rPr>
            </w:pPr>
            <w:r w:rsidRPr="00CF69B3">
              <w:rPr>
                <w:rFonts w:ascii="Arial" w:hAnsi="Arial" w:cs="Arial"/>
                <w:color w:val="F2F2F2"/>
                <w:sz w:val="20"/>
                <w:szCs w:val="20"/>
                <w:lang w:val="es-UY"/>
              </w:rPr>
              <w:t>Tolerancia máxima en los porcentajes en peso, respecto de la mezcla de árido</w:t>
            </w:r>
          </w:p>
        </w:tc>
      </w:tr>
      <w:tr w:rsidR="00EB70C0" w:rsidRPr="00CF69B3" w14:paraId="24D6B38D" w14:textId="77777777" w:rsidTr="00A45846">
        <w:trPr>
          <w:trHeight w:val="595"/>
          <w:jc w:val="center"/>
        </w:trPr>
        <w:tc>
          <w:tcPr>
            <w:tcW w:w="1566" w:type="pct"/>
            <w:tcMar>
              <w:top w:w="0" w:type="dxa"/>
              <w:left w:w="70" w:type="dxa"/>
              <w:bottom w:w="0" w:type="dxa"/>
              <w:right w:w="70" w:type="dxa"/>
            </w:tcMar>
            <w:vAlign w:val="center"/>
          </w:tcPr>
          <w:p w14:paraId="16790959" w14:textId="77777777" w:rsidR="00EB70C0" w:rsidRPr="00CF69B3" w:rsidRDefault="00EB70C0" w:rsidP="00A45846">
            <w:pPr>
              <w:spacing w:before="60" w:after="60"/>
              <w:ind w:right="-109"/>
              <w:rPr>
                <w:rFonts w:ascii="Arial" w:hAnsi="Arial" w:cs="Arial"/>
                <w:sz w:val="20"/>
                <w:szCs w:val="20"/>
                <w:lang w:val="es-UY"/>
              </w:rPr>
            </w:pPr>
            <w:r w:rsidRPr="00CF69B3">
              <w:rPr>
                <w:rFonts w:ascii="Arial" w:hAnsi="Arial" w:cs="Arial"/>
                <w:sz w:val="20"/>
                <w:szCs w:val="20"/>
                <w:lang w:val="es-UY"/>
              </w:rPr>
              <w:t>Tamiz 4760 o mayores</w:t>
            </w:r>
            <w:r w:rsidRPr="00CF69B3">
              <w:rPr>
                <w:rFonts w:ascii="Arial" w:hAnsi="Arial" w:cs="Arial"/>
                <w:sz w:val="20"/>
                <w:szCs w:val="20"/>
                <w:lang w:val="es-UY"/>
              </w:rPr>
              <w:br/>
              <w:t>± 6%</w:t>
            </w:r>
          </w:p>
        </w:tc>
        <w:tc>
          <w:tcPr>
            <w:tcW w:w="1561" w:type="pct"/>
            <w:tcMar>
              <w:top w:w="0" w:type="dxa"/>
              <w:left w:w="70" w:type="dxa"/>
              <w:bottom w:w="0" w:type="dxa"/>
              <w:right w:w="70" w:type="dxa"/>
            </w:tcMar>
            <w:vAlign w:val="center"/>
          </w:tcPr>
          <w:p w14:paraId="3C685E78" w14:textId="77777777" w:rsidR="00EB70C0" w:rsidRPr="00CF69B3" w:rsidRDefault="00EB70C0" w:rsidP="00A45846">
            <w:pPr>
              <w:spacing w:before="60" w:after="60"/>
              <w:ind w:right="-142"/>
              <w:rPr>
                <w:rFonts w:ascii="Arial" w:hAnsi="Arial" w:cs="Arial"/>
                <w:sz w:val="20"/>
                <w:szCs w:val="20"/>
                <w:lang w:val="es-UY"/>
              </w:rPr>
            </w:pPr>
            <w:r w:rsidRPr="00CF69B3">
              <w:rPr>
                <w:rFonts w:ascii="Arial" w:hAnsi="Arial" w:cs="Arial"/>
                <w:sz w:val="20"/>
                <w:szCs w:val="20"/>
                <w:lang w:val="es-UY"/>
              </w:rPr>
              <w:t>Tamices menores del UNIT 4760, excepto el UNIT ± 5%</w:t>
            </w:r>
          </w:p>
        </w:tc>
        <w:tc>
          <w:tcPr>
            <w:tcW w:w="1873" w:type="pct"/>
            <w:tcMar>
              <w:top w:w="0" w:type="dxa"/>
              <w:left w:w="70" w:type="dxa"/>
              <w:bottom w:w="0" w:type="dxa"/>
              <w:right w:w="70" w:type="dxa"/>
            </w:tcMar>
            <w:vAlign w:val="center"/>
          </w:tcPr>
          <w:p w14:paraId="0AFCF1D8" w14:textId="77777777" w:rsidR="00EB70C0" w:rsidRPr="00CF69B3" w:rsidRDefault="00EB70C0" w:rsidP="00A45846">
            <w:pPr>
              <w:spacing w:before="60" w:after="60"/>
              <w:ind w:right="-75"/>
              <w:rPr>
                <w:rFonts w:ascii="Arial" w:hAnsi="Arial" w:cs="Arial"/>
                <w:sz w:val="20"/>
                <w:szCs w:val="20"/>
                <w:lang w:val="es-UY"/>
              </w:rPr>
            </w:pPr>
            <w:r w:rsidRPr="00CF69B3">
              <w:rPr>
                <w:rFonts w:ascii="Arial" w:hAnsi="Arial" w:cs="Arial"/>
                <w:sz w:val="20"/>
                <w:szCs w:val="20"/>
                <w:lang w:val="es-UY"/>
              </w:rPr>
              <w:t>Tamiz UNIT 74</w:t>
            </w:r>
            <w:r w:rsidR="00A45846">
              <w:rPr>
                <w:rFonts w:ascii="Arial" w:hAnsi="Arial" w:cs="Arial"/>
                <w:sz w:val="20"/>
                <w:szCs w:val="20"/>
                <w:lang w:val="es-UY"/>
              </w:rPr>
              <w:t xml:space="preserve"> </w:t>
            </w:r>
            <w:r w:rsidRPr="00CF69B3">
              <w:rPr>
                <w:rFonts w:ascii="Arial" w:hAnsi="Arial" w:cs="Arial"/>
                <w:sz w:val="20"/>
                <w:szCs w:val="20"/>
                <w:lang w:val="es-UY"/>
              </w:rPr>
              <w:br/>
              <w:t>± 2%</w:t>
            </w:r>
          </w:p>
        </w:tc>
      </w:tr>
    </w:tbl>
    <w:p w14:paraId="5BB2F805" w14:textId="77777777" w:rsidR="00EB70C0" w:rsidRPr="00CF69B3" w:rsidRDefault="001769FF" w:rsidP="00CF69B3">
      <w:pPr>
        <w:tabs>
          <w:tab w:val="left" w:pos="851"/>
        </w:tabs>
        <w:spacing w:before="240"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1.4</w:t>
      </w:r>
      <w:r w:rsidR="00EB70C0" w:rsidRPr="00CF69B3">
        <w:rPr>
          <w:rFonts w:ascii="Arial" w:hAnsi="Arial" w:cs="Arial"/>
          <w:sz w:val="20"/>
          <w:szCs w:val="20"/>
          <w:lang w:val="es-UY"/>
        </w:rPr>
        <w:tab/>
        <w:t>Se modifica en la tabla de la cláusula 7.4.1 de las ETCM de la Dirección Nacional de Vialidad vigente a Agosto del 2003 el tamaño máximo nominal para la capa de rodadura, que debe ser de ¾” para espesores de la capa mayores o igual a 5cm.</w:t>
      </w:r>
    </w:p>
    <w:p w14:paraId="7BE1C2D0" w14:textId="77777777" w:rsidR="00EB70C0" w:rsidRPr="00CF69B3" w:rsidRDefault="001769FF" w:rsidP="00CF69B3">
      <w:pPr>
        <w:tabs>
          <w:tab w:val="left" w:pos="851"/>
        </w:tabs>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1.5</w:t>
      </w:r>
      <w:r w:rsidR="00EB70C0" w:rsidRPr="00CF69B3">
        <w:rPr>
          <w:rFonts w:ascii="Arial" w:hAnsi="Arial" w:cs="Arial"/>
          <w:sz w:val="20"/>
          <w:szCs w:val="20"/>
          <w:lang w:val="es-UY"/>
        </w:rPr>
        <w:tab/>
        <w:t>Los agregados gruesos para mezclas asfálticas deberán cumplir un Índice de lajas</w:t>
      </w:r>
      <w:r w:rsidR="00B14DCC" w:rsidRPr="00CF69B3">
        <w:rPr>
          <w:rFonts w:ascii="Arial" w:hAnsi="Arial" w:cs="Arial"/>
          <w:sz w:val="20"/>
          <w:szCs w:val="20"/>
          <w:lang w:val="es-UY"/>
        </w:rPr>
        <w:t xml:space="preserve"> </w:t>
      </w:r>
      <w:r w:rsidR="00EB70C0" w:rsidRPr="00CF69B3">
        <w:rPr>
          <w:rFonts w:ascii="Arial" w:hAnsi="Arial" w:cs="Arial"/>
          <w:sz w:val="20"/>
          <w:szCs w:val="20"/>
          <w:lang w:val="es-UY"/>
        </w:rPr>
        <w:t xml:space="preserve">menor o igual a 25% para capa de rodadura e Índice de lajas menor o igual a 30% para capas </w:t>
      </w:r>
      <w:r w:rsidR="00EB70C0" w:rsidRPr="00CF69B3">
        <w:rPr>
          <w:rFonts w:ascii="Arial" w:hAnsi="Arial" w:cs="Arial"/>
          <w:sz w:val="20"/>
          <w:szCs w:val="20"/>
          <w:lang w:val="es-UY"/>
        </w:rPr>
        <w:lastRenderedPageBreak/>
        <w:t>de base negra, según la norma de Índice de lajas IRAM 1687.</w:t>
      </w:r>
    </w:p>
    <w:p w14:paraId="1EFB8E17" w14:textId="77777777" w:rsidR="00EB70C0" w:rsidRPr="00CF69B3" w:rsidRDefault="001769FF" w:rsidP="00CF69B3">
      <w:pPr>
        <w:tabs>
          <w:tab w:val="left" w:pos="851"/>
        </w:tabs>
        <w:spacing w:after="120"/>
        <w:ind w:left="851" w:hanging="567"/>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1.6</w:t>
      </w:r>
      <w:r w:rsidR="00EB70C0" w:rsidRPr="00CF69B3">
        <w:rPr>
          <w:rFonts w:ascii="Arial" w:hAnsi="Arial" w:cs="Arial"/>
          <w:sz w:val="20"/>
          <w:szCs w:val="20"/>
          <w:lang w:val="es-UY"/>
        </w:rPr>
        <w:tab/>
        <w:t>La capa de carpeta de rodadura con cemento asfáltico modificado deberá cumplir con lo especificado en la Sección 8 para las mezclas resistentes a deformaciones plásticas de las ETCM de la Dirección Nacional de Vialidad vigente a Agosto del 2003 con las siguientes especificaciones modificativas y complementarias:</w:t>
      </w:r>
    </w:p>
    <w:p w14:paraId="3386CAD1" w14:textId="77777777" w:rsidR="00EB70C0" w:rsidRPr="00CF69B3" w:rsidRDefault="00EB70C0" w:rsidP="009A58E0">
      <w:pPr>
        <w:numPr>
          <w:ilvl w:val="0"/>
          <w:numId w:val="47"/>
        </w:numPr>
        <w:tabs>
          <w:tab w:val="num" w:pos="851"/>
        </w:tabs>
        <w:spacing w:after="120"/>
        <w:ind w:left="851"/>
        <w:jc w:val="both"/>
        <w:rPr>
          <w:rFonts w:ascii="Arial" w:hAnsi="Arial" w:cs="Arial"/>
          <w:sz w:val="20"/>
          <w:szCs w:val="20"/>
          <w:lang w:val="es-UY"/>
        </w:rPr>
      </w:pPr>
      <w:r w:rsidRPr="00CF69B3">
        <w:rPr>
          <w:rFonts w:ascii="Arial" w:hAnsi="Arial" w:cs="Arial"/>
          <w:sz w:val="20"/>
          <w:szCs w:val="20"/>
          <w:lang w:val="es-UY"/>
        </w:rPr>
        <w:t>La granulometría de los áridos que constituyen la mezcla</w:t>
      </w:r>
      <w:r w:rsidR="00B14DCC" w:rsidRPr="00CF69B3">
        <w:rPr>
          <w:rFonts w:ascii="Arial" w:hAnsi="Arial" w:cs="Arial"/>
          <w:sz w:val="20"/>
          <w:szCs w:val="20"/>
          <w:lang w:val="es-UY"/>
        </w:rPr>
        <w:t xml:space="preserve"> </w:t>
      </w:r>
      <w:r w:rsidRPr="00CF69B3">
        <w:rPr>
          <w:rFonts w:ascii="Arial" w:hAnsi="Arial" w:cs="Arial"/>
          <w:sz w:val="20"/>
          <w:szCs w:val="20"/>
          <w:lang w:val="es-UY"/>
        </w:rPr>
        <w:t xml:space="preserve">deberá estar incluida en el siguiente huso granulométrico: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4400"/>
        <w:gridCol w:w="4094"/>
      </w:tblGrid>
      <w:tr w:rsidR="00EB70C0" w:rsidRPr="00CF69B3" w14:paraId="7ABAF74F" w14:textId="77777777" w:rsidTr="00AC567E">
        <w:trPr>
          <w:trHeight w:val="407"/>
          <w:jc w:val="center"/>
        </w:trPr>
        <w:tc>
          <w:tcPr>
            <w:tcW w:w="2590" w:type="pct"/>
            <w:shd w:val="clear" w:color="auto" w:fill="595959"/>
            <w:tcMar>
              <w:top w:w="0" w:type="dxa"/>
              <w:left w:w="71" w:type="dxa"/>
              <w:bottom w:w="0" w:type="dxa"/>
              <w:right w:w="71" w:type="dxa"/>
            </w:tcMar>
            <w:vAlign w:val="center"/>
          </w:tcPr>
          <w:p w14:paraId="551F922F" w14:textId="77777777" w:rsidR="00EB70C0" w:rsidRPr="00CF69B3" w:rsidRDefault="00EB70C0" w:rsidP="00CF69B3">
            <w:pPr>
              <w:keepNext/>
              <w:tabs>
                <w:tab w:val="num" w:pos="1134"/>
              </w:tabs>
              <w:spacing w:after="0"/>
              <w:jc w:val="both"/>
              <w:rPr>
                <w:rFonts w:ascii="Arial" w:hAnsi="Arial" w:cs="Arial"/>
                <w:color w:val="FFFFFF"/>
                <w:sz w:val="20"/>
                <w:szCs w:val="20"/>
                <w:lang w:val="es-UY"/>
              </w:rPr>
            </w:pPr>
            <w:r w:rsidRPr="00CF69B3">
              <w:rPr>
                <w:rFonts w:ascii="Arial" w:hAnsi="Arial" w:cs="Arial"/>
                <w:color w:val="FFFFFF"/>
                <w:sz w:val="20"/>
                <w:szCs w:val="20"/>
                <w:lang w:val="es-UY"/>
              </w:rPr>
              <w:t>Tamices mm</w:t>
            </w:r>
          </w:p>
        </w:tc>
        <w:tc>
          <w:tcPr>
            <w:tcW w:w="2410" w:type="pct"/>
            <w:shd w:val="clear" w:color="auto" w:fill="595959"/>
            <w:tcMar>
              <w:top w:w="0" w:type="dxa"/>
              <w:left w:w="71" w:type="dxa"/>
              <w:bottom w:w="0" w:type="dxa"/>
              <w:right w:w="71" w:type="dxa"/>
            </w:tcMar>
            <w:vAlign w:val="center"/>
          </w:tcPr>
          <w:p w14:paraId="3738023F" w14:textId="77777777" w:rsidR="00EB70C0" w:rsidRPr="00CF69B3" w:rsidRDefault="00EB70C0" w:rsidP="00CF69B3">
            <w:pPr>
              <w:keepNext/>
              <w:tabs>
                <w:tab w:val="num" w:pos="1134"/>
              </w:tabs>
              <w:spacing w:after="0"/>
              <w:jc w:val="both"/>
              <w:rPr>
                <w:rFonts w:ascii="Arial" w:hAnsi="Arial" w:cs="Arial"/>
                <w:color w:val="FFFFFF"/>
                <w:sz w:val="20"/>
                <w:szCs w:val="20"/>
                <w:lang w:val="es-UY"/>
              </w:rPr>
            </w:pPr>
            <w:r w:rsidRPr="00CF69B3">
              <w:rPr>
                <w:rFonts w:ascii="Arial" w:hAnsi="Arial" w:cs="Arial"/>
                <w:color w:val="FFFFFF"/>
                <w:sz w:val="20"/>
                <w:szCs w:val="20"/>
                <w:lang w:val="es-UY"/>
              </w:rPr>
              <w:t>% pasa</w:t>
            </w:r>
          </w:p>
        </w:tc>
      </w:tr>
      <w:tr w:rsidR="00EB70C0" w:rsidRPr="00CF69B3" w14:paraId="267A6EE3" w14:textId="77777777" w:rsidTr="00AC567E">
        <w:trPr>
          <w:trHeight w:val="283"/>
          <w:jc w:val="center"/>
        </w:trPr>
        <w:tc>
          <w:tcPr>
            <w:tcW w:w="2590" w:type="pct"/>
            <w:tcMar>
              <w:top w:w="0" w:type="dxa"/>
              <w:left w:w="71" w:type="dxa"/>
              <w:bottom w:w="0" w:type="dxa"/>
              <w:right w:w="71" w:type="dxa"/>
            </w:tcMar>
            <w:vAlign w:val="center"/>
          </w:tcPr>
          <w:p w14:paraId="71AE9C64"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19 (3/4”)</w:t>
            </w:r>
          </w:p>
        </w:tc>
        <w:tc>
          <w:tcPr>
            <w:tcW w:w="2410" w:type="pct"/>
            <w:tcMar>
              <w:top w:w="0" w:type="dxa"/>
              <w:left w:w="71" w:type="dxa"/>
              <w:bottom w:w="0" w:type="dxa"/>
              <w:right w:w="71" w:type="dxa"/>
            </w:tcMar>
            <w:vAlign w:val="center"/>
          </w:tcPr>
          <w:p w14:paraId="52B28A8F"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100</w:t>
            </w:r>
          </w:p>
        </w:tc>
      </w:tr>
      <w:tr w:rsidR="00EB70C0" w:rsidRPr="00CF69B3" w14:paraId="42FA6A55" w14:textId="77777777" w:rsidTr="00AC567E">
        <w:trPr>
          <w:trHeight w:val="283"/>
          <w:jc w:val="center"/>
        </w:trPr>
        <w:tc>
          <w:tcPr>
            <w:tcW w:w="2590" w:type="pct"/>
            <w:tcMar>
              <w:top w:w="0" w:type="dxa"/>
              <w:left w:w="71" w:type="dxa"/>
              <w:bottom w:w="0" w:type="dxa"/>
              <w:right w:w="71" w:type="dxa"/>
            </w:tcMar>
            <w:vAlign w:val="center"/>
          </w:tcPr>
          <w:p w14:paraId="41FCB343"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12.5 (1/2”)</w:t>
            </w:r>
          </w:p>
        </w:tc>
        <w:tc>
          <w:tcPr>
            <w:tcW w:w="2410" w:type="pct"/>
            <w:tcMar>
              <w:top w:w="0" w:type="dxa"/>
              <w:left w:w="71" w:type="dxa"/>
              <w:bottom w:w="0" w:type="dxa"/>
              <w:right w:w="71" w:type="dxa"/>
            </w:tcMar>
            <w:vAlign w:val="center"/>
          </w:tcPr>
          <w:p w14:paraId="1675DF0B"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80 – 95</w:t>
            </w:r>
          </w:p>
        </w:tc>
      </w:tr>
      <w:tr w:rsidR="00EB70C0" w:rsidRPr="00CF69B3" w14:paraId="0330877B" w14:textId="77777777" w:rsidTr="00AC567E">
        <w:trPr>
          <w:trHeight w:val="283"/>
          <w:jc w:val="center"/>
        </w:trPr>
        <w:tc>
          <w:tcPr>
            <w:tcW w:w="2590" w:type="pct"/>
            <w:tcMar>
              <w:top w:w="0" w:type="dxa"/>
              <w:left w:w="71" w:type="dxa"/>
              <w:bottom w:w="0" w:type="dxa"/>
              <w:right w:w="71" w:type="dxa"/>
            </w:tcMar>
            <w:vAlign w:val="center"/>
          </w:tcPr>
          <w:p w14:paraId="1BCE27B5"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9.5 (3/8”)</w:t>
            </w:r>
          </w:p>
        </w:tc>
        <w:tc>
          <w:tcPr>
            <w:tcW w:w="2410" w:type="pct"/>
            <w:tcMar>
              <w:top w:w="0" w:type="dxa"/>
              <w:left w:w="71" w:type="dxa"/>
              <w:bottom w:w="0" w:type="dxa"/>
              <w:right w:w="71" w:type="dxa"/>
            </w:tcMar>
            <w:vAlign w:val="center"/>
          </w:tcPr>
          <w:p w14:paraId="4ED602A6"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71 – 86</w:t>
            </w:r>
          </w:p>
        </w:tc>
      </w:tr>
      <w:tr w:rsidR="00EB70C0" w:rsidRPr="00CF69B3" w14:paraId="0A4453A5" w14:textId="77777777" w:rsidTr="00AC567E">
        <w:trPr>
          <w:trHeight w:val="283"/>
          <w:jc w:val="center"/>
        </w:trPr>
        <w:tc>
          <w:tcPr>
            <w:tcW w:w="2590" w:type="pct"/>
            <w:tcMar>
              <w:top w:w="0" w:type="dxa"/>
              <w:left w:w="71" w:type="dxa"/>
              <w:bottom w:w="0" w:type="dxa"/>
              <w:right w:w="71" w:type="dxa"/>
            </w:tcMar>
            <w:vAlign w:val="center"/>
          </w:tcPr>
          <w:p w14:paraId="77CA1FBE"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4.75 (Nº 4)</w:t>
            </w:r>
          </w:p>
        </w:tc>
        <w:tc>
          <w:tcPr>
            <w:tcW w:w="2410" w:type="pct"/>
            <w:tcMar>
              <w:top w:w="0" w:type="dxa"/>
              <w:left w:w="71" w:type="dxa"/>
              <w:bottom w:w="0" w:type="dxa"/>
              <w:right w:w="71" w:type="dxa"/>
            </w:tcMar>
            <w:vAlign w:val="center"/>
          </w:tcPr>
          <w:p w14:paraId="2030C6B8"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47 – 62</w:t>
            </w:r>
          </w:p>
        </w:tc>
      </w:tr>
      <w:tr w:rsidR="00EB70C0" w:rsidRPr="00CF69B3" w14:paraId="2C934609" w14:textId="77777777" w:rsidTr="00AC567E">
        <w:trPr>
          <w:trHeight w:val="283"/>
          <w:jc w:val="center"/>
        </w:trPr>
        <w:tc>
          <w:tcPr>
            <w:tcW w:w="2590" w:type="pct"/>
            <w:tcMar>
              <w:top w:w="0" w:type="dxa"/>
              <w:left w:w="71" w:type="dxa"/>
              <w:bottom w:w="0" w:type="dxa"/>
              <w:right w:w="71" w:type="dxa"/>
            </w:tcMar>
            <w:vAlign w:val="center"/>
          </w:tcPr>
          <w:p w14:paraId="7A498966"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2.36 (Nº 8)</w:t>
            </w:r>
          </w:p>
        </w:tc>
        <w:tc>
          <w:tcPr>
            <w:tcW w:w="2410" w:type="pct"/>
            <w:tcMar>
              <w:top w:w="0" w:type="dxa"/>
              <w:left w:w="71" w:type="dxa"/>
              <w:bottom w:w="0" w:type="dxa"/>
              <w:right w:w="71" w:type="dxa"/>
            </w:tcMar>
            <w:vAlign w:val="center"/>
          </w:tcPr>
          <w:p w14:paraId="7229118D"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30 – 45</w:t>
            </w:r>
          </w:p>
        </w:tc>
      </w:tr>
      <w:tr w:rsidR="00EB70C0" w:rsidRPr="00CF69B3" w14:paraId="070D3EEA" w14:textId="77777777" w:rsidTr="00AC567E">
        <w:trPr>
          <w:trHeight w:val="283"/>
          <w:jc w:val="center"/>
        </w:trPr>
        <w:tc>
          <w:tcPr>
            <w:tcW w:w="2590" w:type="pct"/>
            <w:tcMar>
              <w:top w:w="0" w:type="dxa"/>
              <w:left w:w="71" w:type="dxa"/>
              <w:bottom w:w="0" w:type="dxa"/>
              <w:right w:w="71" w:type="dxa"/>
            </w:tcMar>
            <w:vAlign w:val="center"/>
          </w:tcPr>
          <w:p w14:paraId="28F28BD5"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0.60(Nº 30)</w:t>
            </w:r>
          </w:p>
        </w:tc>
        <w:tc>
          <w:tcPr>
            <w:tcW w:w="2410" w:type="pct"/>
            <w:tcMar>
              <w:top w:w="0" w:type="dxa"/>
              <w:left w:w="71" w:type="dxa"/>
              <w:bottom w:w="0" w:type="dxa"/>
              <w:right w:w="71" w:type="dxa"/>
            </w:tcMar>
            <w:vAlign w:val="center"/>
          </w:tcPr>
          <w:p w14:paraId="7BEB2592"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15 – 25</w:t>
            </w:r>
          </w:p>
        </w:tc>
      </w:tr>
      <w:tr w:rsidR="00EB70C0" w:rsidRPr="00CF69B3" w14:paraId="2E27DC64" w14:textId="77777777" w:rsidTr="00AC567E">
        <w:trPr>
          <w:trHeight w:val="283"/>
          <w:jc w:val="center"/>
        </w:trPr>
        <w:tc>
          <w:tcPr>
            <w:tcW w:w="2590" w:type="pct"/>
            <w:tcMar>
              <w:top w:w="0" w:type="dxa"/>
              <w:left w:w="71" w:type="dxa"/>
              <w:bottom w:w="0" w:type="dxa"/>
              <w:right w:w="71" w:type="dxa"/>
            </w:tcMar>
            <w:vAlign w:val="center"/>
          </w:tcPr>
          <w:p w14:paraId="223347A3"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0.30(N°50)</w:t>
            </w:r>
          </w:p>
        </w:tc>
        <w:tc>
          <w:tcPr>
            <w:tcW w:w="2410" w:type="pct"/>
            <w:tcMar>
              <w:top w:w="0" w:type="dxa"/>
              <w:left w:w="71" w:type="dxa"/>
              <w:bottom w:w="0" w:type="dxa"/>
              <w:right w:w="71" w:type="dxa"/>
            </w:tcMar>
            <w:vAlign w:val="center"/>
          </w:tcPr>
          <w:p w14:paraId="24500DA3"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10 – 18</w:t>
            </w:r>
          </w:p>
        </w:tc>
      </w:tr>
      <w:tr w:rsidR="00EB70C0" w:rsidRPr="00CF69B3" w14:paraId="0EA50B5C" w14:textId="77777777" w:rsidTr="00AC567E">
        <w:trPr>
          <w:trHeight w:val="283"/>
          <w:jc w:val="center"/>
        </w:trPr>
        <w:tc>
          <w:tcPr>
            <w:tcW w:w="2590" w:type="pct"/>
            <w:tcMar>
              <w:top w:w="0" w:type="dxa"/>
              <w:left w:w="71" w:type="dxa"/>
              <w:bottom w:w="0" w:type="dxa"/>
              <w:right w:w="71" w:type="dxa"/>
            </w:tcMar>
            <w:vAlign w:val="center"/>
          </w:tcPr>
          <w:p w14:paraId="4A3EA851"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0.075 (Nº 200)</w:t>
            </w:r>
          </w:p>
        </w:tc>
        <w:tc>
          <w:tcPr>
            <w:tcW w:w="2410" w:type="pct"/>
            <w:tcMar>
              <w:top w:w="0" w:type="dxa"/>
              <w:left w:w="71" w:type="dxa"/>
              <w:bottom w:w="0" w:type="dxa"/>
              <w:right w:w="71" w:type="dxa"/>
            </w:tcMar>
            <w:vAlign w:val="center"/>
          </w:tcPr>
          <w:p w14:paraId="60CC09E9" w14:textId="77777777" w:rsidR="00EB70C0" w:rsidRPr="00CF69B3" w:rsidRDefault="00EB70C0" w:rsidP="00CF69B3">
            <w:pPr>
              <w:keepNext/>
              <w:tabs>
                <w:tab w:val="num" w:pos="1134"/>
              </w:tabs>
              <w:spacing w:after="0"/>
              <w:ind w:left="115"/>
              <w:jc w:val="both"/>
              <w:rPr>
                <w:rFonts w:ascii="Arial" w:hAnsi="Arial" w:cs="Arial"/>
                <w:sz w:val="20"/>
                <w:szCs w:val="20"/>
                <w:lang w:val="es-UY"/>
              </w:rPr>
            </w:pPr>
            <w:r w:rsidRPr="00CF69B3">
              <w:rPr>
                <w:rFonts w:ascii="Arial" w:hAnsi="Arial" w:cs="Arial"/>
                <w:sz w:val="20"/>
                <w:szCs w:val="20"/>
                <w:lang w:val="es-UY"/>
              </w:rPr>
              <w:t>4 – 8</w:t>
            </w:r>
          </w:p>
        </w:tc>
      </w:tr>
    </w:tbl>
    <w:p w14:paraId="6CB1887C" w14:textId="77777777" w:rsidR="00EB70C0" w:rsidRPr="00CF69B3" w:rsidRDefault="00EB70C0" w:rsidP="009A58E0">
      <w:pPr>
        <w:numPr>
          <w:ilvl w:val="0"/>
          <w:numId w:val="47"/>
        </w:numPr>
        <w:tabs>
          <w:tab w:val="num" w:pos="1134"/>
        </w:tabs>
        <w:spacing w:before="240" w:after="120"/>
        <w:ind w:left="1135" w:hanging="284"/>
        <w:jc w:val="both"/>
        <w:rPr>
          <w:rFonts w:ascii="Arial" w:hAnsi="Arial" w:cs="Arial"/>
          <w:sz w:val="20"/>
          <w:szCs w:val="20"/>
          <w:lang w:val="es-UY"/>
        </w:rPr>
      </w:pPr>
      <w:r w:rsidRPr="00CF69B3">
        <w:rPr>
          <w:rFonts w:ascii="Arial" w:hAnsi="Arial" w:cs="Arial"/>
          <w:sz w:val="20"/>
          <w:szCs w:val="20"/>
          <w:lang w:val="es-UY"/>
        </w:rPr>
        <w:t>Se utilizará cal hidratada como filler de aportación como mínimo en 1% en peso.</w:t>
      </w:r>
    </w:p>
    <w:p w14:paraId="71CDE27F" w14:textId="77777777" w:rsidR="00EB70C0" w:rsidRPr="00CF69B3" w:rsidRDefault="00EB70C0" w:rsidP="009A58E0">
      <w:pPr>
        <w:numPr>
          <w:ilvl w:val="0"/>
          <w:numId w:val="47"/>
        </w:numPr>
        <w:tabs>
          <w:tab w:val="num" w:pos="1134"/>
        </w:tabs>
        <w:spacing w:after="120"/>
        <w:ind w:left="1134" w:hanging="283"/>
        <w:jc w:val="both"/>
        <w:rPr>
          <w:rFonts w:ascii="Arial" w:hAnsi="Arial" w:cs="Arial"/>
          <w:sz w:val="20"/>
          <w:szCs w:val="20"/>
          <w:lang w:val="es-UY"/>
        </w:rPr>
      </w:pPr>
      <w:r w:rsidRPr="00CF69B3">
        <w:rPr>
          <w:rFonts w:ascii="Arial" w:hAnsi="Arial" w:cs="Arial"/>
          <w:sz w:val="20"/>
          <w:szCs w:val="20"/>
          <w:lang w:val="es-UY"/>
        </w:rPr>
        <w:t>Vacíos del Agregado Mineral (%):&gt;15</w:t>
      </w:r>
    </w:p>
    <w:p w14:paraId="0277203F" w14:textId="77777777" w:rsidR="00EB70C0" w:rsidRPr="00CF69B3" w:rsidRDefault="00EB70C0" w:rsidP="009A58E0">
      <w:pPr>
        <w:numPr>
          <w:ilvl w:val="0"/>
          <w:numId w:val="47"/>
        </w:numPr>
        <w:tabs>
          <w:tab w:val="num" w:pos="1134"/>
        </w:tabs>
        <w:spacing w:after="120"/>
        <w:ind w:left="1134" w:hanging="283"/>
        <w:jc w:val="both"/>
        <w:rPr>
          <w:rFonts w:ascii="Arial" w:hAnsi="Arial" w:cs="Arial"/>
          <w:sz w:val="20"/>
          <w:szCs w:val="20"/>
          <w:lang w:val="es-UY"/>
        </w:rPr>
      </w:pPr>
      <w:r w:rsidRPr="00CF69B3">
        <w:rPr>
          <w:rFonts w:ascii="Arial" w:hAnsi="Arial" w:cs="Arial"/>
          <w:sz w:val="20"/>
          <w:szCs w:val="20"/>
          <w:lang w:val="es-UY"/>
        </w:rPr>
        <w:lastRenderedPageBreak/>
        <w:t>La macro textura (según NLT 335/87) deberá satisfacer una profundidad media no inferior a 0,6mm en mediciones cada 125m alternadamente a cada lado del eje de la carretera. Se prestará especial atención a este aspecto.</w:t>
      </w:r>
    </w:p>
    <w:p w14:paraId="2F1CB8FA"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 xml:space="preserve">1.7 </w:t>
      </w:r>
      <w:r w:rsidR="00EB70C0" w:rsidRPr="00CF69B3">
        <w:rPr>
          <w:rFonts w:ascii="Arial" w:hAnsi="Arial" w:cs="Arial"/>
          <w:sz w:val="20"/>
          <w:szCs w:val="20"/>
          <w:lang w:val="es-UY"/>
        </w:rPr>
        <w:tab/>
        <w:t>Arena Betún</w:t>
      </w:r>
      <w:r w:rsidR="00B14DCC" w:rsidRPr="00CF69B3">
        <w:rPr>
          <w:rFonts w:ascii="Arial" w:hAnsi="Arial" w:cs="Arial"/>
          <w:sz w:val="20"/>
          <w:szCs w:val="20"/>
          <w:lang w:val="es-UY"/>
        </w:rPr>
        <w:t xml:space="preserve"> </w:t>
      </w:r>
    </w:p>
    <w:p w14:paraId="7BF1091D" w14:textId="77777777" w:rsidR="00EB70C0" w:rsidRPr="00CF69B3" w:rsidRDefault="00EB70C0" w:rsidP="00CF69B3">
      <w:pPr>
        <w:snapToGrid w:val="0"/>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árido a utilizar en la fabricación de la mezcla de arena betún será proveniente totalmente de trituración, tendrá un equivalente de arena mayor a 50 y una curva granulométrica continua comprendida entre los siguientes valores:</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0" w:type="dxa"/>
          <w:right w:w="0" w:type="dxa"/>
        </w:tblCellMar>
        <w:tblLook w:val="0000" w:firstRow="0" w:lastRow="0" w:firstColumn="0" w:lastColumn="0" w:noHBand="0" w:noVBand="0"/>
      </w:tblPr>
      <w:tblGrid>
        <w:gridCol w:w="4568"/>
        <w:gridCol w:w="3926"/>
      </w:tblGrid>
      <w:tr w:rsidR="00EB70C0" w:rsidRPr="00CF69B3" w14:paraId="6AE325F8" w14:textId="77777777" w:rsidTr="00AC567E">
        <w:trPr>
          <w:trHeight w:val="383"/>
          <w:jc w:val="center"/>
        </w:trPr>
        <w:tc>
          <w:tcPr>
            <w:tcW w:w="2689" w:type="pct"/>
            <w:shd w:val="clear" w:color="auto" w:fill="595959"/>
            <w:tcMar>
              <w:top w:w="0" w:type="dxa"/>
              <w:left w:w="70" w:type="dxa"/>
              <w:bottom w:w="0" w:type="dxa"/>
              <w:right w:w="70" w:type="dxa"/>
            </w:tcMar>
            <w:vAlign w:val="center"/>
          </w:tcPr>
          <w:p w14:paraId="68F79A83" w14:textId="77777777" w:rsidR="00EB70C0" w:rsidRPr="00CF69B3" w:rsidRDefault="00EB70C0" w:rsidP="00CF69B3">
            <w:pPr>
              <w:snapToGrid w:val="0"/>
              <w:spacing w:after="0"/>
              <w:jc w:val="both"/>
              <w:rPr>
                <w:rFonts w:ascii="Arial" w:hAnsi="Arial" w:cs="Arial"/>
                <w:color w:val="FFFFFF"/>
                <w:spacing w:val="-3"/>
                <w:sz w:val="20"/>
                <w:szCs w:val="20"/>
                <w:lang w:val="es-UY"/>
              </w:rPr>
            </w:pPr>
            <w:r w:rsidRPr="00CF69B3">
              <w:rPr>
                <w:rFonts w:ascii="Arial" w:hAnsi="Arial" w:cs="Arial"/>
                <w:color w:val="FFFFFF"/>
                <w:spacing w:val="-3"/>
                <w:sz w:val="20"/>
                <w:szCs w:val="20"/>
                <w:lang w:val="es-UY"/>
              </w:rPr>
              <w:t>Tamiz</w:t>
            </w:r>
          </w:p>
        </w:tc>
        <w:tc>
          <w:tcPr>
            <w:tcW w:w="2311" w:type="pct"/>
            <w:shd w:val="clear" w:color="auto" w:fill="595959"/>
            <w:tcMar>
              <w:top w:w="0" w:type="dxa"/>
              <w:left w:w="70" w:type="dxa"/>
              <w:bottom w:w="0" w:type="dxa"/>
              <w:right w:w="70" w:type="dxa"/>
            </w:tcMar>
            <w:vAlign w:val="center"/>
          </w:tcPr>
          <w:p w14:paraId="7DEF92E4" w14:textId="77777777" w:rsidR="00EB70C0" w:rsidRPr="00CF69B3" w:rsidRDefault="00EB70C0" w:rsidP="00CF69B3">
            <w:pPr>
              <w:snapToGrid w:val="0"/>
              <w:spacing w:after="0"/>
              <w:jc w:val="both"/>
              <w:rPr>
                <w:rFonts w:ascii="Arial" w:hAnsi="Arial" w:cs="Arial"/>
                <w:color w:val="FFFFFF"/>
                <w:spacing w:val="-3"/>
                <w:sz w:val="20"/>
                <w:szCs w:val="20"/>
                <w:lang w:val="es-UY"/>
              </w:rPr>
            </w:pPr>
            <w:r w:rsidRPr="00CF69B3">
              <w:rPr>
                <w:rFonts w:ascii="Arial" w:hAnsi="Arial" w:cs="Arial"/>
                <w:color w:val="FFFFFF"/>
                <w:spacing w:val="-3"/>
                <w:sz w:val="20"/>
                <w:szCs w:val="20"/>
                <w:lang w:val="es-UY"/>
              </w:rPr>
              <w:t>% que pasa</w:t>
            </w:r>
          </w:p>
        </w:tc>
      </w:tr>
      <w:tr w:rsidR="00EB70C0" w:rsidRPr="00CF69B3" w14:paraId="49483FA7"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27347FB9"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1/4"</w:t>
            </w:r>
          </w:p>
        </w:tc>
        <w:tc>
          <w:tcPr>
            <w:tcW w:w="2311" w:type="pct"/>
            <w:shd w:val="clear" w:color="auto" w:fill="FFFFFF"/>
            <w:tcMar>
              <w:top w:w="0" w:type="dxa"/>
              <w:left w:w="70" w:type="dxa"/>
              <w:bottom w:w="0" w:type="dxa"/>
              <w:right w:w="70" w:type="dxa"/>
            </w:tcMar>
            <w:vAlign w:val="center"/>
          </w:tcPr>
          <w:p w14:paraId="2414B3F3"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100</w:t>
            </w:r>
          </w:p>
        </w:tc>
      </w:tr>
      <w:tr w:rsidR="00EB70C0" w:rsidRPr="00CF69B3" w14:paraId="1864342A"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73BEC35B"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4</w:t>
            </w:r>
          </w:p>
        </w:tc>
        <w:tc>
          <w:tcPr>
            <w:tcW w:w="2311" w:type="pct"/>
            <w:shd w:val="clear" w:color="auto" w:fill="FFFFFF"/>
            <w:tcMar>
              <w:top w:w="0" w:type="dxa"/>
              <w:left w:w="70" w:type="dxa"/>
              <w:bottom w:w="0" w:type="dxa"/>
              <w:right w:w="70" w:type="dxa"/>
            </w:tcMar>
            <w:vAlign w:val="center"/>
          </w:tcPr>
          <w:p w14:paraId="78596427"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95±3</w:t>
            </w:r>
          </w:p>
        </w:tc>
      </w:tr>
      <w:tr w:rsidR="00EB70C0" w:rsidRPr="00CF69B3" w14:paraId="5E60506F"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5731FCCF"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8</w:t>
            </w:r>
          </w:p>
        </w:tc>
        <w:tc>
          <w:tcPr>
            <w:tcW w:w="2311" w:type="pct"/>
            <w:shd w:val="clear" w:color="auto" w:fill="FFFFFF"/>
            <w:tcMar>
              <w:top w:w="0" w:type="dxa"/>
              <w:left w:w="70" w:type="dxa"/>
              <w:bottom w:w="0" w:type="dxa"/>
              <w:right w:w="70" w:type="dxa"/>
            </w:tcMar>
            <w:vAlign w:val="center"/>
          </w:tcPr>
          <w:p w14:paraId="33BC6AF7"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67±3</w:t>
            </w:r>
          </w:p>
        </w:tc>
      </w:tr>
      <w:tr w:rsidR="00EB70C0" w:rsidRPr="00CF69B3" w14:paraId="7BD7E07D" w14:textId="77777777" w:rsidTr="00AC567E">
        <w:trPr>
          <w:trHeight w:val="283"/>
          <w:jc w:val="center"/>
        </w:trPr>
        <w:tc>
          <w:tcPr>
            <w:tcW w:w="2689" w:type="pct"/>
            <w:shd w:val="clear" w:color="auto" w:fill="FFFFFF"/>
            <w:tcMar>
              <w:top w:w="0" w:type="dxa"/>
              <w:left w:w="70" w:type="dxa"/>
              <w:bottom w:w="0" w:type="dxa"/>
              <w:right w:w="70" w:type="dxa"/>
            </w:tcMar>
            <w:vAlign w:val="center"/>
          </w:tcPr>
          <w:p w14:paraId="2FFA8FD6"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N° 200</w:t>
            </w:r>
          </w:p>
        </w:tc>
        <w:tc>
          <w:tcPr>
            <w:tcW w:w="2311" w:type="pct"/>
            <w:shd w:val="clear" w:color="auto" w:fill="FFFFFF"/>
            <w:tcMar>
              <w:top w:w="0" w:type="dxa"/>
              <w:left w:w="70" w:type="dxa"/>
              <w:bottom w:w="0" w:type="dxa"/>
              <w:right w:w="70" w:type="dxa"/>
            </w:tcMar>
            <w:vAlign w:val="center"/>
          </w:tcPr>
          <w:p w14:paraId="3A6CD298" w14:textId="77777777" w:rsidR="00EB70C0" w:rsidRPr="00CF69B3" w:rsidRDefault="00EB70C0" w:rsidP="00CF69B3">
            <w:pPr>
              <w:snapToGrid w:val="0"/>
              <w:spacing w:after="0"/>
              <w:jc w:val="both"/>
              <w:rPr>
                <w:rFonts w:ascii="Arial" w:hAnsi="Arial" w:cs="Arial"/>
                <w:spacing w:val="-3"/>
                <w:sz w:val="20"/>
                <w:szCs w:val="20"/>
                <w:lang w:val="es-UY"/>
              </w:rPr>
            </w:pPr>
            <w:r w:rsidRPr="00CF69B3">
              <w:rPr>
                <w:rFonts w:ascii="Arial" w:hAnsi="Arial" w:cs="Arial"/>
                <w:spacing w:val="-3"/>
                <w:sz w:val="20"/>
                <w:szCs w:val="20"/>
                <w:lang w:val="es-UY"/>
              </w:rPr>
              <w:t>9±2</w:t>
            </w:r>
          </w:p>
        </w:tc>
      </w:tr>
    </w:tbl>
    <w:p w14:paraId="23CC225C" w14:textId="77777777" w:rsidR="00EB70C0" w:rsidRPr="00CF69B3" w:rsidRDefault="00EB70C0" w:rsidP="00CF69B3">
      <w:pPr>
        <w:snapToGrid w:val="0"/>
        <w:ind w:firstLine="708"/>
        <w:jc w:val="both"/>
        <w:rPr>
          <w:rFonts w:ascii="Arial" w:hAnsi="Arial" w:cs="Arial"/>
          <w:spacing w:val="-3"/>
          <w:sz w:val="20"/>
          <w:szCs w:val="20"/>
          <w:lang w:val="es-UY"/>
        </w:rPr>
      </w:pPr>
      <w:r w:rsidRPr="00CF69B3">
        <w:rPr>
          <w:rFonts w:ascii="Arial" w:hAnsi="Arial" w:cs="Arial"/>
          <w:spacing w:val="-3"/>
          <w:sz w:val="20"/>
          <w:szCs w:val="20"/>
          <w:lang w:val="es-UY"/>
        </w:rPr>
        <w:t>* Filler: Cal 1%</w:t>
      </w:r>
    </w:p>
    <w:p w14:paraId="694EDC24"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 xml:space="preserve">El asfalto a utilizar será modificado con polímeros del tipo AM3 según lo especificado en la Norma IRAM 6596. </w:t>
      </w:r>
    </w:p>
    <w:p w14:paraId="11603E2D"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 xml:space="preserve">La dosificación de la mezcla se realizará de acuerdo al Método Marshall, con 50 golpes por cara en las probetas, de forma que se verifique un contenido de vacíos 4.8±1, un contenido de ligante en peso de 6.5 ± 0.3%, VAM 19.5 ± 1%, </w:t>
      </w:r>
      <w:r w:rsidRPr="00CF69B3">
        <w:rPr>
          <w:rFonts w:ascii="Arial" w:hAnsi="Arial" w:cs="Arial"/>
          <w:spacing w:val="-3"/>
          <w:sz w:val="20"/>
          <w:szCs w:val="20"/>
          <w:lang w:val="es-UY"/>
        </w:rPr>
        <w:lastRenderedPageBreak/>
        <w:t>peso específico aparente 2.345 y peso específico Máximo Rice</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2.462.</w:t>
      </w:r>
    </w:p>
    <w:p w14:paraId="343E09CF" w14:textId="77777777" w:rsidR="00EB70C0" w:rsidRPr="00CF69B3" w:rsidRDefault="00EB70C0" w:rsidP="00CF69B3">
      <w:pPr>
        <w:snapToGrid w:val="0"/>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La densidad alcanzada una vez colocada y compactada la capa de arena betún deberá ser superior a 98% de la densidad Marshall obtenida.</w:t>
      </w:r>
    </w:p>
    <w:p w14:paraId="4B0B0C49"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 xml:space="preserve">Especificaciones Pavimentos hormigón </w:t>
      </w:r>
    </w:p>
    <w:p w14:paraId="01E32E4E"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Integran estas Especificaciones Particulares las “Especificaciones Técnicas para la Construcción de Pavimentos de Hormigón en Caminos y Calles” (año 1976) del Instituto del Cemento Portland Argentino (ICPA), con las aclaraciones y modificaciones que siguen.</w:t>
      </w:r>
    </w:p>
    <w:p w14:paraId="03741B64"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Toda referencia en las Especificaciones ICPA a subrasante se entenderá que corresponde a la capa superior de base.</w:t>
      </w:r>
    </w:p>
    <w:p w14:paraId="184B6F86" w14:textId="77777777" w:rsidR="00EB70C0" w:rsidRPr="00CF69B3" w:rsidRDefault="00EB70C0" w:rsidP="00CF69B3">
      <w:pPr>
        <w:spacing w:after="120"/>
        <w:ind w:left="709"/>
        <w:jc w:val="both"/>
        <w:rPr>
          <w:rFonts w:ascii="Arial" w:hAnsi="Arial" w:cs="Arial"/>
          <w:spacing w:val="-3"/>
          <w:sz w:val="20"/>
          <w:szCs w:val="20"/>
          <w:lang w:val="es-UY"/>
        </w:rPr>
      </w:pPr>
      <w:r w:rsidRPr="00CF69B3">
        <w:rPr>
          <w:rFonts w:ascii="Arial" w:hAnsi="Arial" w:cs="Arial"/>
          <w:spacing w:val="-3"/>
          <w:sz w:val="20"/>
          <w:szCs w:val="20"/>
          <w:lang w:val="es-UY"/>
        </w:rPr>
        <w:t>Toda referencia a Especificaciones ICPA se entenderá que corresponde a dichas Especificaciones con las modificaciones aquí establecidas.</w:t>
      </w:r>
    </w:p>
    <w:p w14:paraId="210227E3"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2.1</w:t>
      </w:r>
      <w:r w:rsidR="00EB70C0" w:rsidRPr="00CF69B3">
        <w:rPr>
          <w:rFonts w:ascii="Arial" w:hAnsi="Arial" w:cs="Arial"/>
          <w:sz w:val="20"/>
          <w:szCs w:val="20"/>
          <w:lang w:val="es-UY"/>
        </w:rPr>
        <w:tab/>
        <w:t>Juntas</w:t>
      </w:r>
    </w:p>
    <w:p w14:paraId="6AC0ED3E" w14:textId="77777777" w:rsidR="00EB70C0" w:rsidRPr="00CF69B3" w:rsidRDefault="00EB70C0" w:rsidP="00CF69B3">
      <w:pPr>
        <w:keepNext/>
        <w:tabs>
          <w:tab w:val="left" w:pos="851"/>
        </w:tabs>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lastRenderedPageBreak/>
        <w:t>Las juntas se construirán de acuerdo a las características, forma y dimensiones determinadas en el proyecto, entregándose los planos con las</w:t>
      </w:r>
      <w:r w:rsidR="00B14DCC" w:rsidRPr="00CF69B3">
        <w:rPr>
          <w:rFonts w:ascii="Arial" w:hAnsi="Arial" w:cs="Arial"/>
          <w:spacing w:val="-3"/>
          <w:sz w:val="20"/>
          <w:szCs w:val="20"/>
          <w:lang w:val="es-UY" w:eastAsia="es-ES"/>
        </w:rPr>
        <w:t xml:space="preserve"> </w:t>
      </w:r>
      <w:r w:rsidRPr="00CF69B3">
        <w:rPr>
          <w:rFonts w:ascii="Arial" w:hAnsi="Arial" w:cs="Arial"/>
          <w:spacing w:val="-3"/>
          <w:sz w:val="20"/>
          <w:szCs w:val="20"/>
          <w:lang w:val="es-UY" w:eastAsia="es-ES"/>
        </w:rPr>
        <w:t>ubicaciones de las mismas, previo al inicio de las obras.</w:t>
      </w:r>
    </w:p>
    <w:p w14:paraId="065A4772"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Las juntas transversales de contracción serán colocadas perpendiculares al eje de la calzada y en general a no m</w:t>
      </w:r>
      <w:r w:rsidR="00A45846">
        <w:rPr>
          <w:rFonts w:ascii="Arial" w:hAnsi="Arial" w:cs="Arial"/>
          <w:spacing w:val="-3"/>
          <w:sz w:val="20"/>
          <w:szCs w:val="20"/>
          <w:lang w:val="es-UY"/>
        </w:rPr>
        <w:t>á</w:t>
      </w:r>
      <w:r w:rsidRPr="00CF69B3">
        <w:rPr>
          <w:rFonts w:ascii="Arial" w:hAnsi="Arial" w:cs="Arial"/>
          <w:spacing w:val="-3"/>
          <w:sz w:val="20"/>
          <w:szCs w:val="20"/>
          <w:lang w:val="es-UY"/>
        </w:rPr>
        <w:t xml:space="preserve">s de 4.5 a 5.0 m, sustituyéndola por una junta de dilatación cada 180 m cuando el hormigón se efectúe en tiempo frío (temperatura ambiente menor a 15°C).También se harán juntas de dilatación en los puntos de entrada y salida de las curvas y en puntos especiales (empalmes, etc.) </w:t>
      </w:r>
    </w:p>
    <w:p w14:paraId="50738906"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Los pasadores de las juntas de contracción y dilatación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y las barras de unión de las juntas de articulación tendrán las dimensiones y separaciones indicadas en los planos del proyecto.</w:t>
      </w:r>
    </w:p>
    <w:p w14:paraId="7B5C9640"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distancia de los pasadores y de las barras de unión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extremas hasta el borde del paño no será superior a la mitad de la separación entre pasadores establecida en el proyecto.</w:t>
      </w:r>
    </w:p>
    <w:p w14:paraId="29FD04BF"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No se admitirá reducción de diámetro ni aumento en la separación de los pasadores por mejoramiento de la calidad del acero empleado. </w:t>
      </w:r>
    </w:p>
    <w:p w14:paraId="6AABD1A6"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lastRenderedPageBreak/>
        <w:t>5.</w:t>
      </w:r>
      <w:r w:rsidR="00EB70C0" w:rsidRPr="00CF69B3">
        <w:rPr>
          <w:rFonts w:ascii="Arial" w:hAnsi="Arial" w:cs="Arial"/>
          <w:sz w:val="20"/>
          <w:szCs w:val="20"/>
          <w:lang w:val="es-UY"/>
        </w:rPr>
        <w:t>2.2</w:t>
      </w:r>
      <w:r w:rsidR="00EB70C0" w:rsidRPr="00CF69B3">
        <w:rPr>
          <w:rFonts w:ascii="Arial" w:hAnsi="Arial" w:cs="Arial"/>
          <w:sz w:val="20"/>
          <w:szCs w:val="20"/>
          <w:lang w:val="es-UY"/>
        </w:rPr>
        <w:tab/>
        <w:t>Niveles y pendientes</w:t>
      </w:r>
    </w:p>
    <w:p w14:paraId="5C96CB55"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pavimento de hormigón deberá ser construido a los niveles fijados en el proyecto. La aprobación de los moldes colocados establecida en el artículo 5.2.5 de las Especificaciones ICPA o de la línea guía de las pavimentadoras autopropulsadas no exime al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 esta obligación.</w:t>
      </w:r>
    </w:p>
    <w:p w14:paraId="200369A7"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Director de Obra podrá rechazar aquellas partes del pavimento en que las cotas a las que ha sido construido difieran en más de un centímetro con los niveles fijados, o cuando la pendiente en la superficie difiera, en valor absoluto, en más de 3 ‰ (tres por mil), o en valor relativo en más de 20% por defecto o por exceso, de las establecidas en el proyecto de acuerdo a los niveles fijados en el mismo.</w:t>
      </w:r>
    </w:p>
    <w:p w14:paraId="3DF8E31E"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En tal caso se procederá en la forma establecida en “Criterios de aceptación y reconstrucción”.</w:t>
      </w:r>
    </w:p>
    <w:p w14:paraId="102DB943"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2.3</w:t>
      </w:r>
      <w:r w:rsidR="00EB70C0" w:rsidRPr="00CF69B3">
        <w:rPr>
          <w:rFonts w:ascii="Arial" w:hAnsi="Arial" w:cs="Arial"/>
          <w:sz w:val="20"/>
          <w:szCs w:val="20"/>
          <w:lang w:val="es-UY"/>
        </w:rPr>
        <w:tab/>
        <w:t>Contenido de partículas pulverulentas finas</w:t>
      </w:r>
    </w:p>
    <w:p w14:paraId="4528FE21"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contenido de material pulverulento deberá ser suficiente para asegurar la cohesión y evitar la exudación excesiva del hormigón recomendándose un valor de 380kg/m3.</w:t>
      </w:r>
    </w:p>
    <w:p w14:paraId="50AA1A12"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Se entiende por material pulverulento de un hormigón a “la suma, en masa, de las partículas de cemento, las adiciones minerales pulverulentas, ya sean activas o no, y la fracción </w:t>
      </w:r>
      <w:r w:rsidRPr="00CF69B3">
        <w:rPr>
          <w:rFonts w:ascii="Arial" w:hAnsi="Arial" w:cs="Arial"/>
          <w:spacing w:val="-3"/>
          <w:sz w:val="20"/>
          <w:szCs w:val="20"/>
          <w:lang w:val="es-UY"/>
        </w:rPr>
        <w:lastRenderedPageBreak/>
        <w:t>de los agregados que pasan el tamiz IRAM 300µm”</w:t>
      </w:r>
      <w:r w:rsidR="008E74F0">
        <w:rPr>
          <w:rFonts w:ascii="Arial" w:hAnsi="Arial" w:cs="Arial"/>
          <w:spacing w:val="-3"/>
          <w:sz w:val="20"/>
          <w:szCs w:val="20"/>
          <w:lang w:val="es-UY"/>
        </w:rPr>
        <w:t xml:space="preserve"> </w:t>
      </w:r>
      <w:r w:rsidRPr="00CF69B3">
        <w:rPr>
          <w:rFonts w:ascii="Arial" w:hAnsi="Arial" w:cs="Arial"/>
          <w:spacing w:val="-3"/>
          <w:sz w:val="20"/>
          <w:szCs w:val="20"/>
          <w:lang w:val="es-UY"/>
        </w:rPr>
        <w:t>(Reglamento Argentino CIRSOC 201)</w:t>
      </w:r>
    </w:p>
    <w:p w14:paraId="28B6F577"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Se recomienda que la exudación esté comprendida entre el 1 y 2% de acuerdo a la norma IRAM 1604.</w:t>
      </w:r>
    </w:p>
    <w:p w14:paraId="0DF3904E"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2.4</w:t>
      </w:r>
      <w:r w:rsidR="00EB70C0" w:rsidRPr="00CF69B3">
        <w:rPr>
          <w:rFonts w:ascii="Arial" w:hAnsi="Arial" w:cs="Arial"/>
          <w:sz w:val="20"/>
          <w:szCs w:val="20"/>
          <w:lang w:val="es-UY"/>
        </w:rPr>
        <w:tab/>
        <w:t>Limitaciones ambientales del hormigonado</w:t>
      </w:r>
    </w:p>
    <w:p w14:paraId="53F3AB0B" w14:textId="77777777" w:rsidR="00EB70C0" w:rsidRPr="00CF69B3" w:rsidRDefault="00EB70C0" w:rsidP="00CF69B3">
      <w:pPr>
        <w:keepNext/>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fabricación y la colocación del hormigón deberán suspenderse cuando haya una iluminación natural insuficiente, a menos que se instale un sistema de alumbrado artificial.</w:t>
      </w:r>
    </w:p>
    <w:p w14:paraId="45F5B35E"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Las operaciones de fabricación y colocación del hormigón tendrán que ser suspendidas, cuando el viento o la lluvia perjudiquen el resultado de la operación, a menos que 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haya previsto un techo adecuado y estable de protección contra dichos elementos atmosféricos.</w:t>
      </w:r>
    </w:p>
    <w:p w14:paraId="7DEEE5FA" w14:textId="77777777" w:rsidR="00EB70C0" w:rsidRPr="00CF69B3" w:rsidRDefault="00EB70C0" w:rsidP="00CF69B3">
      <w:pPr>
        <w:spacing w:after="120"/>
        <w:ind w:left="823" w:firstLine="28"/>
        <w:jc w:val="both"/>
        <w:rPr>
          <w:rFonts w:ascii="Arial" w:hAnsi="Arial" w:cs="Arial"/>
          <w:spacing w:val="-3"/>
          <w:sz w:val="20"/>
          <w:szCs w:val="20"/>
          <w:lang w:val="es-UY"/>
        </w:rPr>
      </w:pPr>
      <w:r w:rsidRPr="00CF69B3">
        <w:rPr>
          <w:rFonts w:ascii="Arial" w:hAnsi="Arial" w:cs="Arial"/>
          <w:spacing w:val="-3"/>
          <w:sz w:val="20"/>
          <w:szCs w:val="20"/>
          <w:lang w:val="es-UY"/>
        </w:rPr>
        <w:t>El hormigonado en tiempo caluroso (cuando la temperatura ambiente a la sombra supere los 30°C) o frío se regirá por las siguientes condiciones:</w:t>
      </w:r>
    </w:p>
    <w:p w14:paraId="50F996F0" w14:textId="77777777" w:rsidR="00EB70C0" w:rsidRPr="00CF69B3" w:rsidRDefault="00EB70C0" w:rsidP="00CF69B3">
      <w:pPr>
        <w:tabs>
          <w:tab w:val="left" w:pos="851"/>
        </w:tabs>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Hormigonado en tiempo caluroso </w:t>
      </w:r>
    </w:p>
    <w:p w14:paraId="12205D6A" w14:textId="77777777" w:rsidR="00EB70C0" w:rsidRPr="00CF69B3" w:rsidRDefault="00EB70C0" w:rsidP="009A58E0">
      <w:pPr>
        <w:widowControl w:val="0"/>
        <w:numPr>
          <w:ilvl w:val="0"/>
          <w:numId w:val="50"/>
        </w:numPr>
        <w:tabs>
          <w:tab w:val="num" w:pos="851"/>
          <w:tab w:val="left"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aire ambiente llegue a 30ºC, se procederá a rociar y humedecer los moldes y encofrados y el suelo de fundación, con agua a la menor temperatura posible.</w:t>
      </w:r>
    </w:p>
    <w:p w14:paraId="7EAC7861" w14:textId="77777777" w:rsidR="00EB70C0" w:rsidRPr="00CF69B3" w:rsidRDefault="00EB70C0" w:rsidP="00CF69B3">
      <w:pPr>
        <w:spacing w:after="120"/>
        <w:ind w:left="1134"/>
        <w:jc w:val="both"/>
        <w:rPr>
          <w:rFonts w:ascii="Arial" w:hAnsi="Arial" w:cs="Arial"/>
          <w:spacing w:val="-3"/>
          <w:sz w:val="20"/>
          <w:szCs w:val="20"/>
          <w:lang w:val="es-UY"/>
        </w:rPr>
      </w:pPr>
      <w:r w:rsidRPr="00CF69B3">
        <w:rPr>
          <w:rFonts w:ascii="Arial" w:hAnsi="Arial" w:cs="Arial"/>
          <w:spacing w:val="-3"/>
          <w:sz w:val="20"/>
          <w:szCs w:val="20"/>
          <w:lang w:val="es-UY"/>
        </w:rPr>
        <w:lastRenderedPageBreak/>
        <w:t>Además, las pilas de árido grueso se mantendrán permanentemente humedecidas, las operaciones de colocación</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y terminación se realizarán con la mayor rapidez posible, y el curado se iniciará tan pronto el hormigón haya endurecido suficientemente como para que las superficies expuestas de las estructuras no resulten afectadas por el tipo de curado adoptado. Asimismo, las tuberías de agua y las de transporte del hormigón por bombas, lo mismo que el tambor de la hormigonera, se mantendrán a la sombra o se aislarán térmicamente y se pintarán con pintura blanca.</w:t>
      </w:r>
    </w:p>
    <w:p w14:paraId="39932F61" w14:textId="77777777" w:rsidR="00EB70C0" w:rsidRPr="00CF69B3" w:rsidRDefault="00EB70C0" w:rsidP="009A58E0">
      <w:pPr>
        <w:widowControl w:val="0"/>
        <w:numPr>
          <w:ilvl w:val="0"/>
          <w:numId w:val="50"/>
        </w:numPr>
        <w:tabs>
          <w:tab w:val="num" w:pos="851"/>
          <w:tab w:val="left"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hormigón llegue a 30ºC se adoptarán medidas inmediatas para enfriar el agua de mezclado y el árido grueso, de modo que la temperatura del hormigón sea menor de 30ºC. Al efecto podrá emplearse hielo para reemplazar parte del agua de mezclado. El hielo deberá haberse licuado al finalizar el mezclado del hormigón.</w:t>
      </w:r>
    </w:p>
    <w:p w14:paraId="5E8D65BE"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 xml:space="preserve">Cuando la velocidad de evaporación del agua del hormigón desde la superficie de las losas estimada en función de: 1) La temperatura del aire ambiente en el lugar de construcción de la calzada y en el momento de colocación </w:t>
      </w:r>
      <w:r w:rsidRPr="00CF69B3">
        <w:rPr>
          <w:rFonts w:ascii="Arial" w:hAnsi="Arial" w:cs="Arial"/>
          <w:spacing w:val="-3"/>
          <w:sz w:val="20"/>
          <w:szCs w:val="20"/>
          <w:lang w:val="es-UY"/>
        </w:rPr>
        <w:lastRenderedPageBreak/>
        <w:t>del hormigón; 2) la humedad relativa ambiente, 3) la temperatura del hormigón fresco en el momento de su colocación y 4) la velocidad del viento, se aproxima a 1,0kg/m2/hora, deberán extremarse las medidas para evitar una evaporación excesiva, que pueda producir la fisuración plástica de las losas recién terminadas y una reducción de resistencia del hormigón en el espesor próximo a la superficie.</w:t>
      </w:r>
    </w:p>
    <w:p w14:paraId="71850B21"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Las medidas más importantes que deberán adoptarse con referencia a lo establecido en c) son: 1) humedecimiento de la superficie de apoyo de la calzada, 2) reducción de la temperatura del hormigón, si es posible a menos de 15ºC, 3) rociado de la superficie total de las losas terminadas con agua en forma de niebla, especialmente durante las primeras horas posteriores al momento de su terminación, o cubrirlo completamente, tan pronto como sea posible, con arpilleras húmedas, 4) reducción del tiempo transcurrido entre el momento de terminación de las losas y el principio del curado, y 5) colocación de toldos y barreras capaces de evitar la incidencia directa de los rayos solares y del viento sobre la calzada.</w:t>
      </w:r>
    </w:p>
    <w:p w14:paraId="1808DA6A"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 xml:space="preserve">En tiempo caluroso, el hormigón no contendrá aditivos aceleradores ni cemento de alta resistencia inicial. Previa </w:t>
      </w:r>
      <w:r w:rsidRPr="00CF69B3">
        <w:rPr>
          <w:rFonts w:ascii="Arial" w:hAnsi="Arial" w:cs="Arial"/>
          <w:spacing w:val="-3"/>
          <w:sz w:val="20"/>
          <w:szCs w:val="20"/>
          <w:lang w:val="es-UY"/>
        </w:rPr>
        <w:lastRenderedPageBreak/>
        <w:t>justificación el hormigón podrá contener un retardador del tiempo de fraguado inicial que cumpla las especificaciones establecidas en la norma IRAM 1663.</w:t>
      </w:r>
    </w:p>
    <w:p w14:paraId="26AFDDDD"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Si las condiciones de temperatura ambiente son críticas (superiores a 32°C), sólo se hormigonará al atardecer o durante la noche. Las superficies no encofradas de hormigón fresco se mantendrán continuamente humedecidas mediante riego con agua en forma de niebla o lluvia fina, arpilleras húmedas u otros medios adecuados, durante 24 a 48 horas después de la colocación.</w:t>
      </w:r>
    </w:p>
    <w:p w14:paraId="43DF3A75"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El agua de curado no tendrá una temperatura menor de 10ºC respecto de la del hormigón y se extremarán los cuidados y precauciones para obtener un buen curado húmedo.</w:t>
      </w:r>
    </w:p>
    <w:p w14:paraId="65D265CE" w14:textId="77777777" w:rsidR="00EB70C0" w:rsidRPr="00CF69B3" w:rsidRDefault="00EB70C0" w:rsidP="009A58E0">
      <w:pPr>
        <w:widowControl w:val="0"/>
        <w:numPr>
          <w:ilvl w:val="0"/>
          <w:numId w:val="50"/>
        </w:numPr>
        <w:tabs>
          <w:tab w:val="num" w:pos="851"/>
          <w:tab w:val="num" w:pos="1134"/>
        </w:tabs>
        <w:spacing w:after="120"/>
        <w:ind w:left="1134" w:hanging="283"/>
        <w:jc w:val="both"/>
        <w:rPr>
          <w:rFonts w:ascii="Arial" w:hAnsi="Arial" w:cs="Arial"/>
          <w:spacing w:val="-3"/>
          <w:sz w:val="20"/>
          <w:szCs w:val="20"/>
          <w:lang w:val="es-UY"/>
        </w:rPr>
      </w:pPr>
      <w:r w:rsidRPr="00CF69B3">
        <w:rPr>
          <w:rFonts w:ascii="Arial" w:hAnsi="Arial" w:cs="Arial"/>
          <w:spacing w:val="-3"/>
          <w:sz w:val="20"/>
          <w:szCs w:val="20"/>
          <w:lang w:val="es-UY"/>
        </w:rPr>
        <w:t>Cuando la temperatura del hormigón inmediatamente después del mezclado, sea mayor de 30ºC, se suspenderán las operaciones de colocación.</w:t>
      </w:r>
    </w:p>
    <w:p w14:paraId="53987EBB"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Todo hormigón cuya calidad o resistencia hayan resultado perjudicados por la acción de las altas temperaturas será demolido y reemplazado por 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 acuerdo a lo indicado en “Criterios de aceptación y reconstrucción”.</w:t>
      </w:r>
    </w:p>
    <w:p w14:paraId="1C429F2E" w14:textId="77777777" w:rsidR="00EB70C0" w:rsidRPr="00CF69B3" w:rsidRDefault="00EB70C0" w:rsidP="00CF69B3">
      <w:pPr>
        <w:keepNext/>
        <w:tabs>
          <w:tab w:val="left" w:pos="851"/>
        </w:tabs>
        <w:ind w:left="1362" w:hanging="511"/>
        <w:jc w:val="both"/>
        <w:rPr>
          <w:rFonts w:ascii="Arial" w:hAnsi="Arial" w:cs="Arial"/>
          <w:spacing w:val="-3"/>
          <w:sz w:val="20"/>
          <w:szCs w:val="20"/>
          <w:u w:val="single"/>
          <w:lang w:val="es-UY"/>
        </w:rPr>
      </w:pPr>
      <w:r w:rsidRPr="00CF69B3">
        <w:rPr>
          <w:rFonts w:ascii="Arial" w:hAnsi="Arial" w:cs="Arial"/>
          <w:spacing w:val="-3"/>
          <w:sz w:val="20"/>
          <w:szCs w:val="20"/>
          <w:u w:val="single"/>
          <w:lang w:val="es-UY"/>
        </w:rPr>
        <w:lastRenderedPageBreak/>
        <w:t>Nomograma para predecir la posibilidad de fisuración plástica</w:t>
      </w:r>
    </w:p>
    <w:p w14:paraId="42E179FB"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 xml:space="preserve">Efecto de la temperatura del aire y del hormigón, de la humedad relativa ambiente y de la velocidad del viento, sobre la velocidad de evaporación del agua exudada del hormigón fresco acumulada sobre la superficie de la estructura. </w:t>
      </w:r>
    </w:p>
    <w:p w14:paraId="5F117CF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nomograma permite estimar gráficamente la velocidad de evaporación del agua superficial, para distintas condiciones climáticas y temperaturas del hormigón. Si la velocidad de evaporación es del orden de 1,0kg/m2/hora deben adoptarse inmediatas precauciones para tratar de evitar que se produzca la “fisuración plástica”.</w:t>
      </w:r>
    </w:p>
    <w:p w14:paraId="3CF396A0" w14:textId="77777777" w:rsidR="00EB70C0" w:rsidRPr="00CF69B3" w:rsidRDefault="00EB70C0" w:rsidP="00CF69B3">
      <w:pPr>
        <w:ind w:left="851"/>
        <w:jc w:val="both"/>
        <w:rPr>
          <w:rFonts w:ascii="Arial" w:hAnsi="Arial" w:cs="Arial"/>
          <w:sz w:val="20"/>
          <w:szCs w:val="20"/>
          <w:lang w:val="es-ES_tradnl"/>
        </w:rPr>
      </w:pPr>
      <w:r w:rsidRPr="00CF69B3">
        <w:rPr>
          <w:rFonts w:ascii="Arial" w:hAnsi="Arial" w:cs="Arial"/>
          <w:sz w:val="20"/>
          <w:szCs w:val="20"/>
          <w:u w:val="single"/>
          <w:lang w:val="es-ES_tradnl"/>
        </w:rPr>
        <w:br w:type="page"/>
      </w:r>
      <w:r w:rsidRPr="00CF69B3">
        <w:rPr>
          <w:rFonts w:ascii="Arial" w:hAnsi="Arial" w:cs="Arial"/>
          <w:noProof/>
          <w:sz w:val="20"/>
          <w:szCs w:val="20"/>
          <w:lang w:val="es-UY" w:eastAsia="es-UY"/>
        </w:rPr>
        <w:lastRenderedPageBreak/>
        <w:drawing>
          <wp:anchor distT="0" distB="0" distL="114300" distR="114300" simplePos="0" relativeHeight="251659264" behindDoc="1" locked="0" layoutInCell="1" allowOverlap="1" wp14:anchorId="7084EF6D" wp14:editId="36E21E63">
            <wp:simplePos x="0" y="0"/>
            <wp:positionH relativeFrom="column">
              <wp:posOffset>196215</wp:posOffset>
            </wp:positionH>
            <wp:positionV relativeFrom="paragraph">
              <wp:posOffset>254635</wp:posOffset>
            </wp:positionV>
            <wp:extent cx="5318760" cy="6892290"/>
            <wp:effectExtent l="0" t="0" r="0" b="0"/>
            <wp:wrapTight wrapText="bothSides">
              <wp:wrapPolygon edited="0">
                <wp:start x="0" y="0"/>
                <wp:lineTo x="0" y="21552"/>
                <wp:lineTo x="21507" y="21552"/>
                <wp:lineTo x="21507" y="0"/>
                <wp:lineTo x="0" y="0"/>
              </wp:wrapPolygon>
            </wp:wrapTight>
            <wp:docPr id="83" name="Imagen 83" descr="grafica c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grafica cnd.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18760" cy="6892290"/>
                    </a:xfrm>
                    <a:prstGeom prst="rect">
                      <a:avLst/>
                    </a:prstGeom>
                    <a:noFill/>
                  </pic:spPr>
                </pic:pic>
              </a:graphicData>
            </a:graphic>
          </wp:anchor>
        </w:drawing>
      </w:r>
      <w:r w:rsidRPr="00CF69B3">
        <w:rPr>
          <w:rFonts w:ascii="Arial" w:hAnsi="Arial" w:cs="Arial"/>
          <w:sz w:val="20"/>
          <w:szCs w:val="20"/>
          <w:u w:val="single"/>
          <w:lang w:val="es-ES_tradnl"/>
        </w:rPr>
        <w:br w:type="page"/>
      </w:r>
      <w:r w:rsidRPr="00CF69B3">
        <w:rPr>
          <w:rFonts w:ascii="Arial" w:hAnsi="Arial" w:cs="Arial"/>
          <w:sz w:val="20"/>
          <w:szCs w:val="20"/>
          <w:u w:val="single"/>
          <w:lang w:val="es-ES_tradnl"/>
        </w:rPr>
        <w:lastRenderedPageBreak/>
        <w:t>Hormigonado en tiempo frío</w:t>
      </w:r>
    </w:p>
    <w:p w14:paraId="67E646DF" w14:textId="77777777" w:rsidR="00EB70C0" w:rsidRPr="00CF69B3" w:rsidRDefault="00EB70C0" w:rsidP="009A58E0">
      <w:pPr>
        <w:widowControl w:val="0"/>
        <w:numPr>
          <w:ilvl w:val="0"/>
          <w:numId w:val="51"/>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hormigón sólo podrá ser colocado en obra si la temperatura del aire, a la sombra y lejos de toda fuente artificial de calor, es igual o mayor de 5ºC y en ascenso.</w:t>
      </w:r>
    </w:p>
    <w:p w14:paraId="0839D58C" w14:textId="77777777" w:rsidR="00EB70C0" w:rsidRPr="00CF69B3" w:rsidRDefault="00EB70C0" w:rsidP="009A58E0">
      <w:pPr>
        <w:widowControl w:val="0"/>
        <w:numPr>
          <w:ilvl w:val="0"/>
          <w:numId w:val="51"/>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estudiará y arbitrará los medios necesarios para lograr la efectiva protección inicial del hormigón fresco contra la acción de las bajas temperaturas. </w:t>
      </w:r>
    </w:p>
    <w:p w14:paraId="2DC20AFE" w14:textId="77777777" w:rsidR="00EB70C0" w:rsidRPr="00CF69B3" w:rsidRDefault="00EB70C0" w:rsidP="00CF69B3">
      <w:pPr>
        <w:spacing w:after="120"/>
        <w:ind w:left="1134"/>
        <w:jc w:val="both"/>
        <w:rPr>
          <w:rFonts w:ascii="Arial" w:hAnsi="Arial" w:cs="Arial"/>
          <w:sz w:val="20"/>
          <w:szCs w:val="20"/>
          <w:lang w:val="es-ES_tradnl"/>
        </w:rPr>
      </w:pPr>
      <w:r w:rsidRPr="00CF69B3">
        <w:rPr>
          <w:rFonts w:ascii="Arial" w:hAnsi="Arial" w:cs="Arial"/>
          <w:sz w:val="20"/>
          <w:szCs w:val="20"/>
          <w:lang w:val="es-ES_tradnl"/>
        </w:rPr>
        <w:t>Todo hormigón cuya calidad o resistencia hayan resultado perjudicados por la acción de bajas temperaturas, será demolido y reemplazado por el Contratista, sin compensación alguna, de acuerdo a lo indicado en el artículo 3.4.4.11 “Criterios de aceptación y reconstrucción”.</w:t>
      </w:r>
    </w:p>
    <w:p w14:paraId="082C6F6B"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5.2.5 </w:t>
      </w:r>
      <w:r w:rsidR="00EB70C0" w:rsidRPr="00CF69B3">
        <w:rPr>
          <w:rFonts w:ascii="Arial" w:hAnsi="Arial" w:cs="Arial"/>
          <w:sz w:val="20"/>
          <w:szCs w:val="20"/>
          <w:lang w:val="es-UY"/>
        </w:rPr>
        <w:t>Terminación final con cepillo o rastra de arpillera</w:t>
      </w:r>
    </w:p>
    <w:p w14:paraId="2BBB17BE"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modifica el artículo 5.3.5.5. del ICPA permitiendo solamente el uso de la rastra de arpillera.</w:t>
      </w:r>
    </w:p>
    <w:p w14:paraId="438A8C85"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5.2.6 </w:t>
      </w:r>
      <w:r w:rsidR="00EB70C0" w:rsidRPr="00CF69B3">
        <w:rPr>
          <w:rFonts w:ascii="Arial" w:hAnsi="Arial" w:cs="Arial"/>
          <w:sz w:val="20"/>
          <w:szCs w:val="20"/>
          <w:lang w:val="es-UY"/>
        </w:rPr>
        <w:t>Curado</w:t>
      </w:r>
    </w:p>
    <w:p w14:paraId="353DA282"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Inmediatamente después que las operaciones de acabado y texturado hayan sido completadas, la superficie entera del nuevo hormigón colocado será curada con una membrana en base solvente.</w:t>
      </w:r>
    </w:p>
    <w:p w14:paraId="1890270D" w14:textId="77777777" w:rsidR="00EB70C0" w:rsidRPr="00CF69B3" w:rsidRDefault="00EB70C0" w:rsidP="00CF69B3">
      <w:pPr>
        <w:spacing w:after="120"/>
        <w:ind w:left="851"/>
        <w:jc w:val="both"/>
        <w:rPr>
          <w:rFonts w:ascii="Arial" w:hAnsi="Arial" w:cs="Arial"/>
          <w:sz w:val="20"/>
          <w:szCs w:val="20"/>
          <w:u w:val="single"/>
          <w:lang w:val="es-ES_tradnl"/>
        </w:rPr>
      </w:pPr>
      <w:r w:rsidRPr="00CF69B3">
        <w:rPr>
          <w:rFonts w:ascii="Arial" w:hAnsi="Arial" w:cs="Arial"/>
          <w:sz w:val="20"/>
          <w:szCs w:val="20"/>
          <w:u w:val="single"/>
          <w:lang w:val="es-ES_tradnl"/>
        </w:rPr>
        <w:t>Membranas de curado en base solvente</w:t>
      </w:r>
    </w:p>
    <w:p w14:paraId="6D36DEAF"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lastRenderedPageBreak/>
        <w:t xml:space="preserve">El líquido a utilizar cumplirá lo especificado en compuestos líquidos para la formación de membranas de curado. </w:t>
      </w:r>
    </w:p>
    <w:p w14:paraId="6D09CBEB" w14:textId="77777777" w:rsidR="00EB70C0" w:rsidRPr="00CF69B3" w:rsidRDefault="00EB70C0" w:rsidP="009A58E0">
      <w:pPr>
        <w:widowControl w:val="0"/>
        <w:numPr>
          <w:ilvl w:val="0"/>
          <w:numId w:val="52"/>
        </w:numPr>
        <w:tabs>
          <w:tab w:val="num" w:pos="851"/>
          <w:tab w:val="left"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compuesto se aplicará uniformemente sobre toda la superficie expuesta del pavimento, incluyendo las superficies laterales de los bordes, a razón de por lo menos 300 cm</w:t>
      </w:r>
      <w:r w:rsidRPr="00CF69B3">
        <w:rPr>
          <w:rFonts w:ascii="Arial" w:hAnsi="Arial" w:cs="Arial"/>
          <w:sz w:val="20"/>
          <w:szCs w:val="20"/>
          <w:vertAlign w:val="superscript"/>
          <w:lang w:val="es-ES_tradnl"/>
        </w:rPr>
        <w:t>3</w:t>
      </w:r>
      <w:r w:rsidRPr="00CF69B3">
        <w:rPr>
          <w:rFonts w:ascii="Arial" w:hAnsi="Arial" w:cs="Arial"/>
          <w:sz w:val="20"/>
          <w:szCs w:val="20"/>
          <w:lang w:val="es-ES_tradnl"/>
        </w:rPr>
        <w:t xml:space="preserve"> /m</w:t>
      </w:r>
      <w:r w:rsidRPr="00CF69B3">
        <w:rPr>
          <w:rFonts w:ascii="Arial" w:hAnsi="Arial" w:cs="Arial"/>
          <w:sz w:val="20"/>
          <w:szCs w:val="20"/>
          <w:vertAlign w:val="superscript"/>
          <w:lang w:val="es-ES_tradnl"/>
        </w:rPr>
        <w:t xml:space="preserve">2 </w:t>
      </w:r>
      <w:r w:rsidRPr="00CF69B3">
        <w:rPr>
          <w:rFonts w:ascii="Arial" w:hAnsi="Arial" w:cs="Arial"/>
          <w:sz w:val="20"/>
          <w:szCs w:val="20"/>
          <w:lang w:val="es-ES_tradnl"/>
        </w:rPr>
        <w:t>en condiciones extremas de viento y humedad.</w:t>
      </w:r>
    </w:p>
    <w:p w14:paraId="2BE0E963"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se iniciará tan pronto hayan finalizado las operaciones de terminación superficial de la calzada.</w:t>
      </w:r>
    </w:p>
    <w:p w14:paraId="6E664DE8"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se realizará a presión, mediante un equipo pulverizador, capaz de atomizar completamente el producto y aplicarlo en forma de niebla fina sobre la calzada, sin dañar la superficie.</w:t>
      </w:r>
    </w:p>
    <w:p w14:paraId="65C7C067"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operación de rociado se realizará poniendo especial cuidado en obtener una película continua, libre de defectos y perforaciones y un buen sellado de las superficies y aristas de la calzada. No se permitirá el goteo, pérdidas del producto sobre la superficie del pavimento, ni otras deficiencias que puedan afectar la uniformidad de su aplicación.</w:t>
      </w:r>
    </w:p>
    <w:p w14:paraId="3B2D2AD3"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 xml:space="preserve">Tan pronto se hayan retirado los moldes y reparado los bordes del pavimento con mortero los mismos se cubrirán con el compuesto, en forma similar a la indicada para la </w:t>
      </w:r>
      <w:r w:rsidRPr="00CF69B3">
        <w:rPr>
          <w:rFonts w:ascii="Arial" w:hAnsi="Arial" w:cs="Arial"/>
          <w:sz w:val="20"/>
          <w:szCs w:val="20"/>
          <w:lang w:val="es-ES_tradnl"/>
        </w:rPr>
        <w:lastRenderedPageBreak/>
        <w:t>superficie de la calzada. La aplicación del compuesto sobre los bordes laterales se realizará dentro de los 60 minutos de haber retirado los moldes. Para realizar esta operación y también el rociado de áreas pequeñas, incompletamente cubiertas, o inaccesibles para el equipo rociador mecánico, podrán emplearse rociadores portátiles manuales o mecánicos.</w:t>
      </w:r>
    </w:p>
    <w:p w14:paraId="4ED0C0B6"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El compuesto para el curado del hormigón no debe ser aplicado sobre las superficies internas de las juntas que deben ser selladas, pero deberán emplearse métodos previamente aprobados por la Inspección para asegurar un perfecto curado de dichas superficies, durante por lo menos las 90 horas, inmediatamente posteriores al momento de aserrado, evitando el ingreso de materias externas a la cavidad de la junta, antes de proceder a su sellado.</w:t>
      </w:r>
    </w:p>
    <w:p w14:paraId="397DDAB6"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 xml:space="preserve">No se permitirá el paso de equipos, vehículos ni peatones sobre la membrana, excepto en zonas restringidas y siempre que se adopten medidas especiales de protección que impidan la rotura de la misma. La protección consistirá en no menos de 0,10 m de suelo o de otro material adecuado, capaz de impedir la destrucción de la membrana por el tránsito. Dicha protección no se aplicará </w:t>
      </w:r>
      <w:r w:rsidRPr="00CF69B3">
        <w:rPr>
          <w:rFonts w:ascii="Arial" w:hAnsi="Arial" w:cs="Arial"/>
          <w:sz w:val="20"/>
          <w:szCs w:val="20"/>
          <w:lang w:val="es-ES_tradnl"/>
        </w:rPr>
        <w:lastRenderedPageBreak/>
        <w:t>hasta tanto la membrana haya secado completamente, y será eliminada una vez finalizado el período de curado.</w:t>
      </w:r>
    </w:p>
    <w:p w14:paraId="2C3C54BB"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Cuando la temperatura del aire sea igual o mayor de 30ºC,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complementará el curado con membrana mediante rociado con agua en forma de niebla, que se aplicará sobre la superficie del pavimento, tan pronto se haya producido el secado de la película. El rociado con agua será mantenido permanentemente hasta que la temperatura del aire sea menor que la indicada.</w:t>
      </w:r>
    </w:p>
    <w:p w14:paraId="218B50E5"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Para prever el caso de posibles inconvenientes en el equipo rociador,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dispondrá en obra de un equipo de emergencia o de suficiente cantidad de arpillera y provisión de agua, o de película de polietileno, como para realizar un curado húmedo, o con la película citada en las condiciones establecidas por estas especificaciones, mientras dure la emergencia.</w:t>
      </w:r>
    </w:p>
    <w:p w14:paraId="78AB1530"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La aplicación del compuesto no debe realizarse mientras llueva, ni en el caso en que la superficie de la calzada se proteja contra la acción de las bajas temperaturas mediante escapes de vapor de agua.</w:t>
      </w:r>
    </w:p>
    <w:p w14:paraId="5658D4E3" w14:textId="77777777" w:rsidR="00EB70C0" w:rsidRPr="00CF69B3" w:rsidRDefault="00EB70C0" w:rsidP="009A58E0">
      <w:pPr>
        <w:widowControl w:val="0"/>
        <w:numPr>
          <w:ilvl w:val="0"/>
          <w:numId w:val="52"/>
        </w:numPr>
        <w:tabs>
          <w:tab w:val="num" w:pos="851"/>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Si por cualquier causa se demorara la aplicación del com</w:t>
      </w:r>
      <w:r w:rsidRPr="00CF69B3">
        <w:rPr>
          <w:rFonts w:ascii="Arial" w:hAnsi="Arial" w:cs="Arial"/>
          <w:sz w:val="20"/>
          <w:szCs w:val="20"/>
          <w:lang w:val="es-ES_tradnl"/>
        </w:rPr>
        <w:lastRenderedPageBreak/>
        <w:t>puesto, excediendo el momento preciso indicado en el inciso c), la superficie de la calzada se rociará con agua en forma de niebla, nunca en forma de lluvia, o se cubrirá con una arpillera húmeda, o con una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película de polietileno, en la forma establecida en los métodos de curado correspondientes hasta el momento que se inició la aplicación del compuesto líquido.</w:t>
      </w:r>
    </w:p>
    <w:p w14:paraId="28EBEB72"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5.2.7 </w:t>
      </w:r>
      <w:r w:rsidR="00EB70C0" w:rsidRPr="00CF69B3">
        <w:rPr>
          <w:rFonts w:ascii="Arial" w:hAnsi="Arial" w:cs="Arial"/>
          <w:sz w:val="20"/>
          <w:szCs w:val="20"/>
          <w:lang w:val="es-UY"/>
        </w:rPr>
        <w:t>Recepción por tramos</w:t>
      </w:r>
    </w:p>
    <w:p w14:paraId="7DB44C3A"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6.1 de las Especificaciones ICPA referente a recepción por tramos por las siguientes condiciones:</w:t>
      </w:r>
    </w:p>
    <w:p w14:paraId="08DD48C8" w14:textId="77777777" w:rsidR="00EB70C0" w:rsidRPr="00CF69B3" w:rsidRDefault="00EB70C0" w:rsidP="00CF69B3">
      <w:pPr>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Para verificar condición de carga e inspección visual, el pavimento será evaluado por zonas o tramos. Cada tramo deberá:</w:t>
      </w:r>
    </w:p>
    <w:p w14:paraId="2C3DCFF0"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tener una superficie del orden de los 1900 m</w:t>
      </w:r>
      <w:r w:rsidRPr="00CF69B3">
        <w:rPr>
          <w:rFonts w:ascii="Arial" w:hAnsi="Arial" w:cs="Arial"/>
          <w:sz w:val="20"/>
          <w:szCs w:val="20"/>
          <w:vertAlign w:val="superscript"/>
          <w:lang w:val="es-ES_tradnl"/>
        </w:rPr>
        <w:t xml:space="preserve">2 </w:t>
      </w:r>
      <w:r w:rsidRPr="00CF69B3">
        <w:rPr>
          <w:rFonts w:ascii="Arial" w:hAnsi="Arial" w:cs="Arial"/>
          <w:sz w:val="20"/>
          <w:szCs w:val="20"/>
          <w:lang w:val="es-ES_tradnl"/>
        </w:rPr>
        <w:t>;</w:t>
      </w:r>
    </w:p>
    <w:p w14:paraId="5A5EF544"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ser continuo dentro de lo posible;</w:t>
      </w:r>
    </w:p>
    <w:p w14:paraId="07F40BB2" w14:textId="77777777" w:rsidR="00EB70C0" w:rsidRPr="00CF69B3" w:rsidRDefault="00EB70C0" w:rsidP="009A58E0">
      <w:pPr>
        <w:widowControl w:val="0"/>
        <w:numPr>
          <w:ilvl w:val="0"/>
          <w:numId w:val="48"/>
        </w:numPr>
        <w:tabs>
          <w:tab w:val="num" w:pos="1276"/>
          <w:tab w:val="num" w:pos="1770"/>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haber sido construido con materiales similares y del mismo origen;</w:t>
      </w:r>
    </w:p>
    <w:p w14:paraId="387164E9" w14:textId="77777777" w:rsidR="00EB70C0" w:rsidRPr="00CF69B3" w:rsidRDefault="00EB70C0" w:rsidP="009A58E0">
      <w:pPr>
        <w:widowControl w:val="0"/>
        <w:numPr>
          <w:ilvl w:val="0"/>
          <w:numId w:val="48"/>
        </w:numPr>
        <w:tabs>
          <w:tab w:val="num"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haber sido construido por procedimientos constructivos similares durante la misma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jornada de trabajo.</w:t>
      </w:r>
    </w:p>
    <w:p w14:paraId="71390FCA"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5.2.8 </w:t>
      </w:r>
      <w:r w:rsidR="00EB70C0" w:rsidRPr="00CF69B3">
        <w:rPr>
          <w:rFonts w:ascii="Arial" w:hAnsi="Arial" w:cs="Arial"/>
          <w:sz w:val="20"/>
          <w:szCs w:val="20"/>
          <w:lang w:val="es-UY"/>
        </w:rPr>
        <w:t>Cantidad de muestras</w:t>
      </w:r>
    </w:p>
    <w:p w14:paraId="351FADB9" w14:textId="77777777" w:rsidR="00EB70C0" w:rsidRPr="00CF69B3" w:rsidRDefault="00EB70C0" w:rsidP="00CF69B3">
      <w:pPr>
        <w:keepNext/>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Se sustituye el artículo 6.2.4. de las Especificaciones ICPA referente a cantidad de muestras, por las siguientes condiciones:</w:t>
      </w:r>
    </w:p>
    <w:p w14:paraId="1B585712" w14:textId="77777777" w:rsidR="00EB70C0" w:rsidRPr="00CF69B3" w:rsidRDefault="00EB70C0" w:rsidP="00CF69B3">
      <w:pPr>
        <w:tabs>
          <w:tab w:val="left"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De cada tramo a controlar se extraerán como mínimo 6 testigos, se deberá extraer por lo menos 1 testigo cada 720m</w:t>
      </w:r>
      <w:r w:rsidRPr="00CF69B3">
        <w:rPr>
          <w:rFonts w:ascii="Arial" w:hAnsi="Arial" w:cs="Arial"/>
          <w:sz w:val="20"/>
          <w:szCs w:val="20"/>
          <w:vertAlign w:val="superscript"/>
          <w:lang w:val="es-ES_tradnl"/>
        </w:rPr>
        <w:t>2</w:t>
      </w:r>
      <w:r w:rsidRPr="00CF69B3">
        <w:rPr>
          <w:rFonts w:ascii="Arial" w:hAnsi="Arial" w:cs="Arial"/>
          <w:sz w:val="20"/>
          <w:szCs w:val="20"/>
          <w:lang w:val="es-ES_tradnl"/>
        </w:rPr>
        <w:t>. La ubicación de los puntos de extracción de testigos a ensayar será indicada por el Director de Obra.</w:t>
      </w:r>
    </w:p>
    <w:p w14:paraId="2710FE3F" w14:textId="77777777" w:rsidR="001769FF" w:rsidRPr="00CF69B3" w:rsidRDefault="001769FF" w:rsidP="00CF69B3">
      <w:pPr>
        <w:tabs>
          <w:tab w:val="left" w:pos="851"/>
        </w:tabs>
        <w:spacing w:after="120"/>
        <w:ind w:left="851" w:hanging="709"/>
        <w:jc w:val="both"/>
        <w:rPr>
          <w:rFonts w:ascii="Arial" w:hAnsi="Arial" w:cs="Arial"/>
          <w:sz w:val="20"/>
          <w:szCs w:val="20"/>
          <w:lang w:val="es-ES_tradnl"/>
        </w:rPr>
      </w:pPr>
    </w:p>
    <w:p w14:paraId="51F66CE9"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5.2.9 </w:t>
      </w:r>
      <w:r w:rsidR="00EB70C0" w:rsidRPr="00CF69B3">
        <w:rPr>
          <w:rFonts w:ascii="Arial" w:hAnsi="Arial" w:cs="Arial"/>
          <w:sz w:val="20"/>
          <w:szCs w:val="20"/>
          <w:lang w:val="es-UY"/>
        </w:rPr>
        <w:t>Espesor medio</w:t>
      </w:r>
    </w:p>
    <w:p w14:paraId="75BCFF0F"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Se sustituye el artículo 6.3.2. de las Especificaciones ICPA referente al espesor medio por las siguientes condiciones:</w:t>
      </w:r>
    </w:p>
    <w:p w14:paraId="6E91C92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6.3.2 </w:t>
      </w:r>
      <w:r w:rsidRPr="00CF69B3">
        <w:rPr>
          <w:rFonts w:ascii="Arial" w:hAnsi="Arial" w:cs="Arial"/>
          <w:sz w:val="20"/>
          <w:szCs w:val="20"/>
          <w:lang w:val="es-ES_tradnl"/>
        </w:rPr>
        <w:tab/>
        <w:t>Espesor medio</w:t>
      </w:r>
    </w:p>
    <w:p w14:paraId="69DF9E62"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espesor medio de un tramo (em) resultará de promediar las alturas individuales de los testigos que se consideren para su recepción.</w:t>
      </w:r>
    </w:p>
    <w:p w14:paraId="42CC0A1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Cuando se presentaren valores superiores al 110% del espesor teórico exigido, intervendrán en el promedio reducidos a ese valor como máximo.</w:t>
      </w:r>
    </w:p>
    <w:p w14:paraId="28ACE5AF"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Para que el tramo sea susceptible de recepción, el espesor medio del mismo no deberá ser menor que el 95% del espesor teórico (espesor establecido en el proyecto).</w:t>
      </w:r>
    </w:p>
    <w:p w14:paraId="0BF43AA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Cuando el espesor medio obtenido resulte menor que el indicado precedentemente, se considerará que el tramo no cumple con la exigencia de espesor por lo que corresponde su rechazo y su demolición.</w:t>
      </w:r>
    </w:p>
    <w:p w14:paraId="337BB8FE" w14:textId="77777777" w:rsidR="00EB70C0" w:rsidRPr="00CF69B3" w:rsidRDefault="00120471"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Aun</w:t>
      </w:r>
      <w:r w:rsidR="00EB70C0" w:rsidRPr="00CF69B3">
        <w:rPr>
          <w:rFonts w:ascii="Arial" w:hAnsi="Arial" w:cs="Arial"/>
          <w:sz w:val="20"/>
          <w:szCs w:val="20"/>
          <w:lang w:val="es-ES_tradnl"/>
        </w:rPr>
        <w:t xml:space="preserve"> cuando el espesor medio obtenido resulte mayor o igual que el 95% del espesor teórico, pero alguno de los testigos tenga una altura inferior al 90% del espesor teórico,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14:paraId="2C74C051"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5.2.10 </w:t>
      </w:r>
      <w:r w:rsidR="00EB70C0" w:rsidRPr="00CF69B3">
        <w:rPr>
          <w:rFonts w:ascii="Arial" w:hAnsi="Arial" w:cs="Arial"/>
          <w:sz w:val="20"/>
          <w:szCs w:val="20"/>
          <w:lang w:val="es-UY"/>
        </w:rPr>
        <w:t>Resistencia media del tramo</w:t>
      </w:r>
    </w:p>
    <w:p w14:paraId="1602A750" w14:textId="77777777" w:rsidR="00EB70C0" w:rsidRPr="00CF69B3" w:rsidRDefault="00EB70C0" w:rsidP="00CF69B3">
      <w:pPr>
        <w:keepNext/>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Se sustituye el artículo 6.4.3 de las Especificaciones ICPA referente a resistencia media por las siguientes cláusulas:</w:t>
      </w:r>
    </w:p>
    <w:p w14:paraId="7ED97144" w14:textId="77777777" w:rsidR="00EB70C0" w:rsidRPr="00CF69B3" w:rsidRDefault="00EB70C0" w:rsidP="009A58E0">
      <w:pPr>
        <w:keepNext/>
        <w:keepLines/>
        <w:widowControl w:val="0"/>
        <w:numPr>
          <w:ilvl w:val="2"/>
          <w:numId w:val="49"/>
        </w:numPr>
        <w:tabs>
          <w:tab w:val="num" w:pos="1134"/>
          <w:tab w:val="num" w:pos="1560"/>
        </w:tabs>
        <w:spacing w:after="120"/>
        <w:ind w:left="709" w:firstLine="142"/>
        <w:jc w:val="both"/>
        <w:rPr>
          <w:rFonts w:ascii="Arial" w:hAnsi="Arial" w:cs="Arial"/>
          <w:sz w:val="20"/>
          <w:szCs w:val="20"/>
          <w:lang w:val="es-ES_tradnl"/>
        </w:rPr>
      </w:pPr>
      <w:r w:rsidRPr="00CF69B3">
        <w:rPr>
          <w:rFonts w:ascii="Arial" w:hAnsi="Arial" w:cs="Arial"/>
          <w:sz w:val="20"/>
          <w:szCs w:val="20"/>
          <w:lang w:val="es-ES_tradnl"/>
        </w:rPr>
        <w:t>Resistencia media</w:t>
      </w:r>
    </w:p>
    <w:p w14:paraId="76DB294C" w14:textId="77777777" w:rsidR="00EB70C0" w:rsidRPr="00CF69B3" w:rsidRDefault="00EB70C0" w:rsidP="00CF69B3">
      <w:pPr>
        <w:keepNext/>
        <w:keepLines/>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La resistencia media del tramo (Rm) resultará de promediar los valores de resistencia, obtenidos mediante ensayo de los testigos extraídos para su recepción.</w:t>
      </w:r>
    </w:p>
    <w:p w14:paraId="50CC4284" w14:textId="77777777" w:rsidR="00EB70C0" w:rsidRPr="00CF69B3" w:rsidRDefault="00EB70C0" w:rsidP="00CF69B3">
      <w:pPr>
        <w:keepNext/>
        <w:keepLines/>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Para ser aceptada dicha resistencia media, no deberá ser menor que el 90% de la resistencia teórica exigida en estas especificaciones (Rt).</w:t>
      </w:r>
    </w:p>
    <w:p w14:paraId="4720B02C" w14:textId="77777777" w:rsidR="00EB70C0" w:rsidRPr="00CF69B3" w:rsidRDefault="00EB70C0" w:rsidP="00CF69B3">
      <w:pPr>
        <w:keepNext/>
        <w:keepLines/>
        <w:tabs>
          <w:tab w:val="num" w:pos="1134"/>
        </w:tabs>
        <w:spacing w:after="120"/>
        <w:ind w:left="709"/>
        <w:jc w:val="both"/>
        <w:rPr>
          <w:rFonts w:ascii="Arial" w:hAnsi="Arial" w:cs="Arial"/>
          <w:sz w:val="20"/>
          <w:szCs w:val="20"/>
          <w:lang w:val="es-ES_tradnl"/>
        </w:rPr>
      </w:pPr>
      <w:r w:rsidRPr="00CF69B3">
        <w:rPr>
          <w:rFonts w:ascii="Arial" w:hAnsi="Arial" w:cs="Arial"/>
          <w:sz w:val="20"/>
          <w:szCs w:val="20"/>
          <w:lang w:val="es-ES_tradnl"/>
        </w:rPr>
        <w:tab/>
      </w:r>
      <w:r w:rsidRPr="00CF69B3">
        <w:rPr>
          <w:rFonts w:ascii="Arial" w:hAnsi="Arial" w:cs="Arial"/>
          <w:sz w:val="20"/>
          <w:szCs w:val="20"/>
          <w:lang w:val="es-ES_tradnl"/>
        </w:rPr>
        <w:tab/>
      </w:r>
      <w:r w:rsidRPr="00CF69B3">
        <w:rPr>
          <w:rFonts w:ascii="Arial" w:hAnsi="Arial" w:cs="Arial"/>
          <w:sz w:val="20"/>
          <w:szCs w:val="20"/>
          <w:lang w:val="es-ES_tradnl"/>
        </w:rPr>
        <w:tab/>
        <w:t>Rm&gt;</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0,90. Rt</w:t>
      </w:r>
    </w:p>
    <w:p w14:paraId="4C13693E" w14:textId="77777777" w:rsidR="00EB70C0" w:rsidRPr="00CF69B3" w:rsidRDefault="00EB70C0" w:rsidP="00CF69B3">
      <w:pPr>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Cuando la resistencia media obtenida, resulte menor o igual que la indicada precedentemente, se considerará que el tramo no cumple lo exigido por lo que corresponderá su rechazo por falta de resistencia y su demolición.</w:t>
      </w:r>
    </w:p>
    <w:p w14:paraId="1FB94086" w14:textId="77777777" w:rsidR="00EB70C0" w:rsidRPr="00CF69B3" w:rsidRDefault="00120471" w:rsidP="00CF69B3">
      <w:pPr>
        <w:tabs>
          <w:tab w:val="num" w:pos="1134"/>
        </w:tabs>
        <w:spacing w:after="120"/>
        <w:ind w:left="851"/>
        <w:jc w:val="both"/>
        <w:rPr>
          <w:rFonts w:ascii="Arial" w:hAnsi="Arial" w:cs="Arial"/>
          <w:sz w:val="20"/>
          <w:szCs w:val="20"/>
          <w:lang w:val="es-ES_tradnl"/>
        </w:rPr>
      </w:pPr>
      <w:r w:rsidRPr="00CF69B3">
        <w:rPr>
          <w:rFonts w:ascii="Arial" w:hAnsi="Arial" w:cs="Arial"/>
          <w:sz w:val="20"/>
          <w:szCs w:val="20"/>
          <w:lang w:val="es-ES_tradnl"/>
        </w:rPr>
        <w:t>Aun</w:t>
      </w:r>
      <w:r w:rsidR="00EB70C0" w:rsidRPr="00CF69B3">
        <w:rPr>
          <w:rFonts w:ascii="Arial" w:hAnsi="Arial" w:cs="Arial"/>
          <w:sz w:val="20"/>
          <w:szCs w:val="20"/>
          <w:lang w:val="es-ES_tradnl"/>
        </w:rPr>
        <w:t xml:space="preserve"> cuando la resistencia media obtenida no resulte menor que la indicada precedentemente, pero alguno de los testigos haya tenido una resistencia no mayor al 80% de la resistencia teórica exigida, se podrá dividir la zona a recibir en tramos más reducidos, repitiéndose en cada uno de ellos la extracción de testigos en las condiciones y cantidad ante</w:t>
      </w:r>
      <w:r w:rsidR="00EB70C0" w:rsidRPr="00CF69B3">
        <w:rPr>
          <w:rFonts w:ascii="Arial" w:hAnsi="Arial" w:cs="Arial"/>
          <w:sz w:val="20"/>
          <w:szCs w:val="20"/>
          <w:lang w:val="es-ES_tradnl"/>
        </w:rPr>
        <w:lastRenderedPageBreak/>
        <w:t>riormente indicados para analizar las posibilidades de recepción de cada uno de los nuevos tramos de acuerdo a lo establecido en estas especificaciones.</w:t>
      </w:r>
    </w:p>
    <w:p w14:paraId="20ED15B8"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 xml:space="preserve">5.2.11 </w:t>
      </w:r>
      <w:r w:rsidR="00EB70C0" w:rsidRPr="00CF69B3">
        <w:rPr>
          <w:rFonts w:ascii="Arial" w:hAnsi="Arial" w:cs="Arial"/>
          <w:sz w:val="20"/>
          <w:szCs w:val="20"/>
          <w:lang w:val="es-UY"/>
        </w:rPr>
        <w:t>Criterios de aceptación y reconstrucción</w:t>
      </w:r>
    </w:p>
    <w:p w14:paraId="426700C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Se anulan los artículos 6.5.2., 6.5.3. y 6.5.4 de las Especificaciones ICPA y se sustituye por los siguientes:</w:t>
      </w:r>
    </w:p>
    <w:p w14:paraId="04965A7E" w14:textId="77777777" w:rsidR="00EB70C0" w:rsidRPr="00CF69B3" w:rsidRDefault="00EB70C0" w:rsidP="009A58E0">
      <w:pPr>
        <w:widowControl w:val="0"/>
        <w:numPr>
          <w:ilvl w:val="2"/>
          <w:numId w:val="62"/>
        </w:numPr>
        <w:tabs>
          <w:tab w:val="num" w:pos="1560"/>
          <w:tab w:val="num" w:pos="2130"/>
        </w:tabs>
        <w:spacing w:after="120"/>
        <w:jc w:val="both"/>
        <w:rPr>
          <w:rFonts w:ascii="Arial" w:hAnsi="Arial" w:cs="Arial"/>
          <w:sz w:val="20"/>
          <w:szCs w:val="20"/>
          <w:lang w:val="es-ES_tradnl"/>
        </w:rPr>
      </w:pPr>
      <w:r w:rsidRPr="00CF69B3">
        <w:rPr>
          <w:rFonts w:ascii="Arial" w:hAnsi="Arial" w:cs="Arial"/>
          <w:sz w:val="20"/>
          <w:szCs w:val="20"/>
          <w:lang w:val="es-ES_tradnl"/>
        </w:rPr>
        <w:t>Aceptación sin descuento</w:t>
      </w:r>
    </w:p>
    <w:p w14:paraId="171A5916"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 será aceptado y su liquidación se realizará de acuerdo al precio unitario ofertado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si cumple las siguientes condiciones:</w:t>
      </w:r>
    </w:p>
    <w:p w14:paraId="68D85524"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La capacidad de carga de la calzada (C = Rm.em</w:t>
      </w:r>
      <w:r w:rsidRPr="00CF69B3">
        <w:rPr>
          <w:rFonts w:ascii="Arial" w:hAnsi="Arial" w:cs="Arial"/>
          <w:sz w:val="20"/>
          <w:szCs w:val="20"/>
          <w:vertAlign w:val="superscript"/>
          <w:lang w:val="es-ES_tradnl"/>
        </w:rPr>
        <w:t>2</w:t>
      </w:r>
      <w:r w:rsidRPr="00CF69B3">
        <w:rPr>
          <w:rFonts w:ascii="Arial" w:hAnsi="Arial" w:cs="Arial"/>
          <w:sz w:val="20"/>
          <w:szCs w:val="20"/>
          <w:lang w:val="es-ES_tradnl"/>
        </w:rPr>
        <w:t>) deberá ser igual o mayor que el producto 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siendo Rt la resistencia teórica de rotura a compresión exigida y et el espesor fijado en el proyecto.</w:t>
      </w:r>
    </w:p>
    <w:p w14:paraId="4E47301A"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Las losas no deberán presentar fisuras.</w:t>
      </w:r>
    </w:p>
    <w:p w14:paraId="1C0D301C"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 Se cumplen las condiciones de IRI establecidas</w:t>
      </w:r>
    </w:p>
    <w:p w14:paraId="40FB73C5"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Nota: Los valores representativos de rugosidad se determinarán por kilómetro y será el mayor de la rugosidad media de cada una de las sendas. La rugosidad media de cada una de las sendas se determinará promediando las rugosi</w:t>
      </w:r>
      <w:r w:rsidRPr="00CF69B3">
        <w:rPr>
          <w:rFonts w:ascii="Arial" w:hAnsi="Arial" w:cs="Arial"/>
          <w:sz w:val="20"/>
          <w:szCs w:val="20"/>
          <w:lang w:val="es-ES_tradnl"/>
        </w:rPr>
        <w:lastRenderedPageBreak/>
        <w:t xml:space="preserve">dades medias de 5 mediciones realizadas de acuerdo al Instructivo de medición de la rugosidad de la Dirección Nacional de Vialidad. </w:t>
      </w:r>
    </w:p>
    <w:p w14:paraId="09951EFE" w14:textId="77777777" w:rsidR="00EB70C0" w:rsidRPr="00CF69B3" w:rsidRDefault="00EB70C0" w:rsidP="00CF69B3">
      <w:pPr>
        <w:keepNext/>
        <w:tabs>
          <w:tab w:val="num" w:pos="1560"/>
        </w:tabs>
        <w:spacing w:after="120"/>
        <w:ind w:left="851"/>
        <w:jc w:val="both"/>
        <w:rPr>
          <w:rFonts w:ascii="Arial" w:hAnsi="Arial" w:cs="Arial"/>
          <w:sz w:val="20"/>
          <w:szCs w:val="20"/>
          <w:lang w:val="es-ES_tradnl"/>
        </w:rPr>
      </w:pPr>
      <w:r w:rsidRPr="00CF69B3">
        <w:rPr>
          <w:rFonts w:ascii="Arial" w:hAnsi="Arial" w:cs="Arial"/>
          <w:sz w:val="20"/>
          <w:szCs w:val="20"/>
          <w:lang w:val="es-ES_tradnl"/>
        </w:rPr>
        <w:t>Aceptación con descuento</w:t>
      </w:r>
    </w:p>
    <w:p w14:paraId="38D2A242" w14:textId="77777777" w:rsidR="00EB70C0" w:rsidRPr="00CF69B3" w:rsidRDefault="00EB70C0" w:rsidP="00CF69B3">
      <w:pPr>
        <w:keepNext/>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 será recibido y su liquidación se realizará con descuento corrigiendo el precio unitario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afectado del factor f1 de acuerdo con las siguientes condiciones:</w:t>
      </w:r>
    </w:p>
    <w:p w14:paraId="03A7895C" w14:textId="77777777" w:rsidR="00EB70C0" w:rsidRPr="00CF69B3" w:rsidRDefault="00EB70C0" w:rsidP="009A58E0">
      <w:pPr>
        <w:numPr>
          <w:ilvl w:val="0"/>
          <w:numId w:val="55"/>
        </w:numPr>
        <w:spacing w:after="120"/>
        <w:jc w:val="both"/>
        <w:rPr>
          <w:rFonts w:ascii="Arial" w:hAnsi="Arial" w:cs="Arial"/>
          <w:sz w:val="20"/>
          <w:szCs w:val="20"/>
          <w:lang w:val="es-ES_tradnl"/>
        </w:rPr>
      </w:pPr>
      <w:r w:rsidRPr="00CF69B3">
        <w:rPr>
          <w:rFonts w:ascii="Arial" w:hAnsi="Arial" w:cs="Arial"/>
          <w:sz w:val="20"/>
          <w:szCs w:val="20"/>
          <w:lang w:val="es-ES_tradnl"/>
        </w:rPr>
        <w:t>Si la capacidad de carga de la calzada (C) estuviera comprendida entre 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xml:space="preserve"> y 0,90.Rt.et</w:t>
      </w:r>
      <w:r w:rsidRPr="00CF69B3">
        <w:rPr>
          <w:rFonts w:ascii="Arial" w:hAnsi="Arial" w:cs="Arial"/>
          <w:sz w:val="20"/>
          <w:szCs w:val="20"/>
          <w:vertAlign w:val="superscript"/>
          <w:lang w:val="es-ES_tradnl"/>
        </w:rPr>
        <w:t>2</w:t>
      </w:r>
      <w:r w:rsidRPr="00CF69B3">
        <w:rPr>
          <w:rFonts w:ascii="Arial" w:hAnsi="Arial" w:cs="Arial"/>
          <w:sz w:val="20"/>
          <w:szCs w:val="20"/>
          <w:lang w:val="es-ES_tradnl"/>
        </w:rPr>
        <w:t xml:space="preserve"> el pavimento del tramo será aceptado, pero su pago se realizará con descuento, a cuyos efectos el precio unitario ofertado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será corregido multiplicándolo por el factor:</w:t>
      </w:r>
    </w:p>
    <w:p w14:paraId="4D4D378F" w14:textId="77777777" w:rsidR="00EB70C0" w:rsidRPr="00CF69B3" w:rsidRDefault="00EB70C0" w:rsidP="00CF69B3">
      <w:pPr>
        <w:ind w:left="851"/>
        <w:jc w:val="both"/>
        <w:rPr>
          <w:rFonts w:ascii="Arial" w:hAnsi="Arial" w:cs="Arial"/>
          <w:sz w:val="20"/>
          <w:szCs w:val="20"/>
          <w:lang w:val="es-ES_tradnl"/>
        </w:rPr>
      </w:pPr>
      <w:r w:rsidRPr="00CF69B3">
        <w:rPr>
          <w:rFonts w:ascii="Arial" w:hAnsi="Arial" w:cs="Arial"/>
          <w:position w:val="-32"/>
          <w:sz w:val="20"/>
          <w:szCs w:val="20"/>
          <w:lang w:val="es-ES_tradnl"/>
        </w:rPr>
        <w:object w:dxaOrig="1640" w:dyaOrig="800" w14:anchorId="1BB48420">
          <v:shape id="_x0000_i1033" type="#_x0000_t75" style="width:79.5pt;height:43.5pt" o:ole="">
            <v:imagedata r:id="rId178" o:title=""/>
          </v:shape>
          <o:OLEObject Type="Embed" ProgID="Equation.3" ShapeID="_x0000_i1033" DrawAspect="Content" ObjectID="_1571644623" r:id="rId179"/>
        </w:object>
      </w:r>
    </w:p>
    <w:p w14:paraId="26593813" w14:textId="77777777" w:rsidR="00EB70C0" w:rsidRPr="00CF69B3" w:rsidRDefault="00EB70C0" w:rsidP="009A58E0">
      <w:pPr>
        <w:numPr>
          <w:ilvl w:val="0"/>
          <w:numId w:val="55"/>
        </w:numPr>
        <w:tabs>
          <w:tab w:val="num" w:pos="1134"/>
        </w:tabs>
        <w:spacing w:after="120"/>
        <w:jc w:val="both"/>
        <w:rPr>
          <w:rFonts w:ascii="Arial" w:hAnsi="Arial" w:cs="Arial"/>
          <w:sz w:val="20"/>
          <w:szCs w:val="20"/>
          <w:lang w:val="es-ES_tradnl"/>
        </w:rPr>
      </w:pPr>
      <w:r w:rsidRPr="00CF69B3">
        <w:rPr>
          <w:rFonts w:ascii="Arial" w:hAnsi="Arial" w:cs="Arial"/>
          <w:sz w:val="20"/>
          <w:szCs w:val="20"/>
          <w:lang w:val="es-ES_tradnl"/>
        </w:rPr>
        <w:t>Si una o más losas del tramo presentan pequeñas fisuras de retracción plástica, de corta longitud (menores a 0,50m) y que no penetren más de 0,01 m a la superficie de las losas, el pavimento del tramo será aceptado, pero su pago se realizará con descuento, a cuyos efectos el precio será corregido multiplicándolo por el factor:</w:t>
      </w:r>
    </w:p>
    <w:p w14:paraId="47C9038C" w14:textId="77777777" w:rsidR="00EB70C0" w:rsidRPr="00CF69B3" w:rsidRDefault="00EB70C0" w:rsidP="00CF69B3">
      <w:pPr>
        <w:tabs>
          <w:tab w:val="num" w:pos="1134"/>
        </w:tabs>
        <w:spacing w:after="120"/>
        <w:ind w:left="1211"/>
        <w:jc w:val="both"/>
        <w:rPr>
          <w:rFonts w:ascii="Arial" w:hAnsi="Arial" w:cs="Arial"/>
          <w:sz w:val="20"/>
          <w:szCs w:val="20"/>
          <w:lang w:val="es-ES_tradnl"/>
        </w:rPr>
      </w:pPr>
      <w:r w:rsidRPr="00CF69B3">
        <w:rPr>
          <w:rFonts w:ascii="Arial" w:hAnsi="Arial" w:cs="Arial"/>
          <w:sz w:val="20"/>
          <w:szCs w:val="20"/>
          <w:lang w:val="es-ES_tradnl"/>
        </w:rPr>
        <w:t>l = 0,8</w:t>
      </w:r>
    </w:p>
    <w:p w14:paraId="0599F91D"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No podrán coexistir para un mismo tramo las fallas a y b, en caso que esto suceda el tramo no será recibido y corresponderá su rechazo de acuerdo a la cláusula 6.5.4. En caso que se dé otra combinación de fallas los descuentos serán acumulables.</w:t>
      </w:r>
    </w:p>
    <w:p w14:paraId="7EF68C8C" w14:textId="77777777" w:rsidR="00EB70C0" w:rsidRPr="00CF69B3" w:rsidRDefault="00B14DCC" w:rsidP="00CF69B3">
      <w:pPr>
        <w:keepNext/>
        <w:widowControl w:val="0"/>
        <w:spacing w:after="120"/>
        <w:ind w:left="565" w:firstLine="113"/>
        <w:jc w:val="both"/>
        <w:rPr>
          <w:rFonts w:ascii="Arial" w:hAnsi="Arial" w:cs="Arial"/>
          <w:sz w:val="20"/>
          <w:szCs w:val="20"/>
          <w:lang w:val="es-ES_tradnl"/>
        </w:rPr>
      </w:pPr>
      <w:r w:rsidRPr="00CF69B3">
        <w:rPr>
          <w:rFonts w:ascii="Arial" w:hAnsi="Arial" w:cs="Arial"/>
          <w:sz w:val="20"/>
          <w:szCs w:val="20"/>
          <w:lang w:val="es-ES_tradnl"/>
        </w:rPr>
        <w:t xml:space="preserve"> </w:t>
      </w:r>
      <w:r w:rsidR="00EB70C0" w:rsidRPr="00CF69B3">
        <w:rPr>
          <w:rFonts w:ascii="Arial" w:hAnsi="Arial" w:cs="Arial"/>
          <w:sz w:val="20"/>
          <w:szCs w:val="20"/>
          <w:lang w:val="es-ES_tradnl"/>
        </w:rPr>
        <w:t xml:space="preserve"> Tramos rechazados</w:t>
      </w:r>
    </w:p>
    <w:p w14:paraId="537ACDD8" w14:textId="77777777" w:rsidR="00EB70C0" w:rsidRPr="00CF69B3" w:rsidRDefault="00EB70C0" w:rsidP="00CF69B3">
      <w:pPr>
        <w:keepNext/>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El pavimento de un tramo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no será recibido y corresponderá su rechazo debiendo ser demolido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reconstruido en la forma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condiciones indicadas en “Reconstrucción de tramos rechazados” si se cumple una o más de las siguientes condiciones:</w:t>
      </w:r>
    </w:p>
    <w:p w14:paraId="2937C265"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Capacidad de carga de la calzada (C) inferior a 0,90.Rt.et</w:t>
      </w:r>
      <w:r w:rsidRPr="00CF69B3">
        <w:rPr>
          <w:rFonts w:ascii="Arial" w:hAnsi="Arial" w:cs="Arial"/>
          <w:sz w:val="20"/>
          <w:szCs w:val="20"/>
          <w:vertAlign w:val="superscript"/>
          <w:lang w:val="es-ES_tradnl"/>
        </w:rPr>
        <w:t>2</w:t>
      </w:r>
    </w:p>
    <w:p w14:paraId="5B2957E2" w14:textId="77777777" w:rsidR="00EB70C0" w:rsidRPr="00CF69B3" w:rsidRDefault="00EB70C0" w:rsidP="00CF69B3">
      <w:pPr>
        <w:tabs>
          <w:tab w:val="num" w:pos="1276"/>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 xml:space="preserve">Contiene losas que presentan fisuras no admisibles (longitud mayor a 0,50m y penetración mayor a 0,01m). </w:t>
      </w:r>
    </w:p>
    <w:p w14:paraId="5C1D65F9" w14:textId="77777777" w:rsidR="00EB70C0" w:rsidRPr="00CF69B3" w:rsidRDefault="00EB70C0" w:rsidP="00CF69B3">
      <w:pPr>
        <w:tabs>
          <w:tab w:val="num" w:pos="1134"/>
        </w:tabs>
        <w:spacing w:after="120"/>
        <w:ind w:left="1134" w:hanging="283"/>
        <w:jc w:val="both"/>
        <w:rPr>
          <w:rFonts w:ascii="Arial" w:hAnsi="Arial" w:cs="Arial"/>
          <w:sz w:val="20"/>
          <w:szCs w:val="20"/>
          <w:lang w:val="es-ES_tradnl"/>
        </w:rPr>
      </w:pPr>
      <w:r w:rsidRPr="00CF69B3">
        <w:rPr>
          <w:rFonts w:ascii="Arial" w:hAnsi="Arial" w:cs="Arial"/>
          <w:sz w:val="20"/>
          <w:szCs w:val="20"/>
          <w:lang w:val="es-ES_tradnl"/>
        </w:rPr>
        <w:t>c)</w:t>
      </w:r>
      <w:r w:rsidRPr="00CF69B3">
        <w:rPr>
          <w:rFonts w:ascii="Arial" w:hAnsi="Arial" w:cs="Arial"/>
          <w:sz w:val="20"/>
          <w:szCs w:val="20"/>
          <w:lang w:val="es-ES_tradnl"/>
        </w:rPr>
        <w:tab/>
        <w:t>Contiene losas que presentan fisuras menores de 0,01 m y de longitud menor a 0,50m y la Capacidad de carga de la calzada (C) es inferior a Rt.et</w:t>
      </w:r>
      <w:r w:rsidRPr="00CF69B3">
        <w:rPr>
          <w:rFonts w:ascii="Arial" w:hAnsi="Arial" w:cs="Arial"/>
          <w:sz w:val="20"/>
          <w:szCs w:val="20"/>
          <w:vertAlign w:val="superscript"/>
          <w:lang w:val="es-ES_tradnl"/>
        </w:rPr>
        <w:t>2</w:t>
      </w:r>
    </w:p>
    <w:p w14:paraId="6EDDD85F"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Revisión de tramos rechazados</w:t>
      </w:r>
    </w:p>
    <w:p w14:paraId="4FC2A953"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Notificado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del pago con descuento o rechazo del pavimento de un tramo de acuerdo a cualquiera de las causales indicadas en 6.3.2, 6.4.3 y 6.5.3 podrá solicitar, </w:t>
      </w:r>
      <w:r w:rsidRPr="00CF69B3">
        <w:rPr>
          <w:rFonts w:ascii="Arial" w:hAnsi="Arial" w:cs="Arial"/>
          <w:sz w:val="20"/>
          <w:szCs w:val="20"/>
          <w:lang w:val="es-ES_tradnl"/>
        </w:rPr>
        <w:lastRenderedPageBreak/>
        <w:t>dentro de un plazo de 5 días a partir de la notificación que se divida el tramo en varios tramos parciales formado cada uno de ellos por pavimento continuo, los que serán considerados independientemente a los efectos de su recepción.</w:t>
      </w:r>
    </w:p>
    <w:p w14:paraId="79E6B5E2"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Se realizarán nuevos ensayos en las condiciones y cantidad anteriormente indicados para analizar las condiciones de recepción de cada uno de los nuevos tramos de acuerdo a lo establecido en estas especificaciones.</w:t>
      </w:r>
    </w:p>
    <w:p w14:paraId="22DC8C0D"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La definición de pavimento de aceptación, de aceptación con descuento y de rechazo que resulte de esta nueva división de tramos será inapelable.</w:t>
      </w:r>
    </w:p>
    <w:p w14:paraId="01F58666" w14:textId="77777777" w:rsidR="00EB70C0" w:rsidRPr="00CF69B3" w:rsidRDefault="00EB70C0" w:rsidP="00CF69B3">
      <w:pPr>
        <w:tabs>
          <w:tab w:val="num" w:pos="851"/>
        </w:tabs>
        <w:spacing w:after="120"/>
        <w:ind w:left="851" w:hanging="709"/>
        <w:jc w:val="both"/>
        <w:rPr>
          <w:rFonts w:ascii="Arial" w:hAnsi="Arial" w:cs="Arial"/>
          <w:sz w:val="20"/>
          <w:szCs w:val="20"/>
          <w:lang w:val="es-ES_tradnl"/>
        </w:rPr>
      </w:pPr>
      <w:r w:rsidRPr="00CF69B3">
        <w:rPr>
          <w:rFonts w:ascii="Arial" w:hAnsi="Arial" w:cs="Arial"/>
          <w:sz w:val="20"/>
          <w:szCs w:val="20"/>
          <w:lang w:val="es-ES_tradnl"/>
        </w:rPr>
        <w:tab/>
        <w:t>La longitud mínima de los subtramos será indicada por el Director de Obra.</w:t>
      </w:r>
    </w:p>
    <w:p w14:paraId="4331A8F5"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Reconstrucción de tramos rechazados.</w:t>
      </w:r>
    </w:p>
    <w:p w14:paraId="632B97CB" w14:textId="77777777" w:rsidR="00EB70C0" w:rsidRPr="00CF69B3" w:rsidRDefault="00EB70C0" w:rsidP="00CF69B3">
      <w:pPr>
        <w:tabs>
          <w:tab w:val="num"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Los pavimentos rechazados de acuerdo a las causales indicadas en 6.3.2, 6.4.3, 6.5.3 y 6.5.4. deberán ser demolidos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conjuntamente con sus cordones, si los tuviera, y reconstruidos de acuerdo al proyecto. La zona a demoler y reconstruir estará delimitada por las juntas efectuadas en el pavimento. </w:t>
      </w:r>
    </w:p>
    <w:p w14:paraId="1A6B40F5" w14:textId="77777777" w:rsidR="00EB70C0" w:rsidRPr="00CF69B3" w:rsidRDefault="001769FF" w:rsidP="00CF69B3">
      <w:pPr>
        <w:tabs>
          <w:tab w:val="left" w:pos="540"/>
          <w:tab w:val="left" w:pos="900"/>
        </w:tabs>
        <w:spacing w:after="120"/>
        <w:ind w:left="284"/>
        <w:jc w:val="both"/>
        <w:rPr>
          <w:rFonts w:ascii="Arial" w:hAnsi="Arial" w:cs="Arial"/>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2.12</w:t>
      </w:r>
      <w:r w:rsidR="00EB70C0" w:rsidRPr="00CF69B3">
        <w:rPr>
          <w:rFonts w:ascii="Arial" w:hAnsi="Arial" w:cs="Arial"/>
          <w:sz w:val="20"/>
          <w:szCs w:val="20"/>
          <w:lang w:val="es-UY"/>
        </w:rPr>
        <w:tab/>
        <w:t xml:space="preserve">Sellado de juntas de pavimentos de hormigón con materiales a base de siliconas </w:t>
      </w:r>
    </w:p>
    <w:p w14:paraId="1FA7B44C" w14:textId="77777777" w:rsidR="00EB70C0" w:rsidRPr="00CF69B3" w:rsidRDefault="00EB70C0" w:rsidP="00CF69B3">
      <w:pPr>
        <w:tabs>
          <w:tab w:val="num" w:pos="1276"/>
        </w:tabs>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b/>
        <w:t>Preparación de las juntas</w:t>
      </w:r>
    </w:p>
    <w:p w14:paraId="7FBC9169"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Todas las juntas que se sellarán deberán estar limpias y secas. Las juntas formadas deberán limpiarse vigorosamente para remover cualquier sustancia suelta, residuos de compuestos de fraguado o cualquier otro material extraño.</w:t>
      </w:r>
    </w:p>
    <w:p w14:paraId="00236621"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Las juntas que se ensuciaron o contaminaron desde la construcción o en la aserrada deberán limpiarse con escobilla de acero, aserrarse o lavarse con agua a alta presión.</w:t>
      </w:r>
    </w:p>
    <w:p w14:paraId="6911B290"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Justo antes de instalar el respaldo todas las juntas deberán soplarse con aire comprimido a una presión de por lo menos 90 psi.</w:t>
      </w:r>
    </w:p>
    <w:p w14:paraId="66FC2F74"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 xml:space="preserve">b) </w:t>
      </w:r>
      <w:r w:rsidRPr="00CF69B3">
        <w:rPr>
          <w:rFonts w:ascii="Arial" w:hAnsi="Arial" w:cs="Arial"/>
          <w:sz w:val="20"/>
          <w:szCs w:val="20"/>
          <w:lang w:val="es-ES_tradnl"/>
        </w:rPr>
        <w:tab/>
        <w:t>Instalación del cordón de respaldo</w:t>
      </w:r>
    </w:p>
    <w:p w14:paraId="73B56801"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Después de la limpieza final, el material de respaldo deberá ser instalado a una profundidad apropiada.</w:t>
      </w:r>
    </w:p>
    <w:p w14:paraId="1163D9AA"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La profundidad se mide desde la superficie del camino hasta la parte más alta del cordón de respaldo.</w:t>
      </w:r>
    </w:p>
    <w:p w14:paraId="3EA2066E"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El material de respaldo se podrá instalar a mano o mediante un sistema de rodamiento.</w:t>
      </w:r>
    </w:p>
    <w:p w14:paraId="68DD8239"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 xml:space="preserve">c) </w:t>
      </w:r>
      <w:r w:rsidRPr="00CF69B3">
        <w:rPr>
          <w:rFonts w:ascii="Arial" w:hAnsi="Arial" w:cs="Arial"/>
          <w:sz w:val="20"/>
          <w:szCs w:val="20"/>
          <w:lang w:val="es-ES_tradnl"/>
        </w:rPr>
        <w:tab/>
        <w:t>Instalación del sellante</w:t>
      </w:r>
    </w:p>
    <w:p w14:paraId="14D9C3DD"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lastRenderedPageBreak/>
        <w:t>El sellante se deberá bombear directamente desde el tambor original o introducirlo a la junta mediante una pistola aplicadora manual. La boquilla deberá desplazarse en forma continua por la junta empujando el sellante hacia adelante para formar una capa uniforme.</w:t>
      </w:r>
    </w:p>
    <w:p w14:paraId="013BB222"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El sellante deberá llenar la junta desde el fondo hasta levemente más bajo de la superficie del pavimento. El sellante deberá ser autonivelante de forma de lograr el máximo de adhesión.</w:t>
      </w:r>
    </w:p>
    <w:p w14:paraId="6A2D6258"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En la figura siguiente se ilustra un ejemplo de correcta construcción para una junta de boca ancha.</w:t>
      </w:r>
    </w:p>
    <w:p w14:paraId="6A22B950" w14:textId="77777777" w:rsidR="00EB70C0" w:rsidRPr="00CF69B3" w:rsidRDefault="00EB70C0" w:rsidP="00CF69B3">
      <w:pPr>
        <w:keepLines/>
        <w:jc w:val="both"/>
        <w:rPr>
          <w:rFonts w:ascii="Arial" w:hAnsi="Arial" w:cs="Arial"/>
          <w:sz w:val="20"/>
          <w:szCs w:val="20"/>
          <w:lang w:val="es-ES_tradnl"/>
        </w:rPr>
      </w:pPr>
      <w:r w:rsidRPr="00CF69B3">
        <w:rPr>
          <w:rFonts w:ascii="Arial" w:hAnsi="Arial" w:cs="Arial"/>
          <w:position w:val="-24"/>
          <w:sz w:val="20"/>
          <w:szCs w:val="20"/>
          <w:lang w:val="es-ES_tradnl"/>
        </w:rPr>
        <w:object w:dxaOrig="2700" w:dyaOrig="620" w14:anchorId="773D7007">
          <v:shape id="_x0000_i1034" type="#_x0000_t75" style="width:136.5pt;height:28.5pt" o:ole="">
            <v:imagedata r:id="rId180" o:title=""/>
          </v:shape>
          <o:OLEObject Type="Embed" ProgID="Equation.3" ShapeID="_x0000_i1034" DrawAspect="Content" ObjectID="_1571644624" r:id="rId181"/>
        </w:object>
      </w:r>
    </w:p>
    <w:p w14:paraId="512C1438" w14:textId="77777777" w:rsidR="00EB70C0" w:rsidRPr="00CF69B3" w:rsidRDefault="00EB70C0" w:rsidP="00CF69B3">
      <w:pPr>
        <w:keepLines/>
        <w:jc w:val="both"/>
        <w:rPr>
          <w:rFonts w:ascii="Arial" w:hAnsi="Arial" w:cs="Arial"/>
          <w:sz w:val="20"/>
          <w:szCs w:val="20"/>
          <w:lang w:val="es-ES_tradnl"/>
        </w:rPr>
      </w:pPr>
      <w:r w:rsidRPr="00CF69B3">
        <w:rPr>
          <w:rFonts w:ascii="Arial" w:hAnsi="Arial" w:cs="Arial"/>
          <w:position w:val="-6"/>
          <w:sz w:val="20"/>
          <w:szCs w:val="20"/>
          <w:lang w:val="es-ES_tradnl"/>
        </w:rPr>
        <w:object w:dxaOrig="1780" w:dyaOrig="279" w14:anchorId="0AFFA36C">
          <v:shape id="_x0000_i1035" type="#_x0000_t75" style="width:79.5pt;height:14.25pt" o:ole="">
            <v:imagedata r:id="rId182" o:title=""/>
          </v:shape>
          <o:OLEObject Type="Embed" ProgID="Equation.3" ShapeID="_x0000_i1035" DrawAspect="Content" ObjectID="_1571644625" r:id="rId183"/>
        </w:object>
      </w:r>
    </w:p>
    <w:p w14:paraId="2310803D" w14:textId="77777777" w:rsidR="00EB70C0" w:rsidRPr="00CF69B3" w:rsidRDefault="00EB70C0" w:rsidP="00CF69B3">
      <w:pPr>
        <w:jc w:val="both"/>
        <w:rPr>
          <w:rFonts w:ascii="Arial" w:hAnsi="Arial" w:cs="Arial"/>
          <w:sz w:val="20"/>
          <w:szCs w:val="20"/>
          <w:lang w:val="es-ES_tradnl"/>
        </w:rPr>
      </w:pPr>
      <w:r w:rsidRPr="00CF69B3">
        <w:rPr>
          <w:rFonts w:ascii="Arial" w:hAnsi="Arial" w:cs="Arial"/>
          <w:noProof/>
          <w:sz w:val="20"/>
          <w:szCs w:val="20"/>
          <w:lang w:val="es-UY" w:eastAsia="es-UY"/>
        </w:rPr>
        <w:drawing>
          <wp:anchor distT="0" distB="0" distL="114300" distR="114300" simplePos="0" relativeHeight="251656192" behindDoc="0" locked="0" layoutInCell="0" allowOverlap="1" wp14:anchorId="0C2D28D9" wp14:editId="3B84D2AA">
            <wp:simplePos x="0" y="0"/>
            <wp:positionH relativeFrom="column">
              <wp:posOffset>1021080</wp:posOffset>
            </wp:positionH>
            <wp:positionV relativeFrom="paragraph">
              <wp:posOffset>109855</wp:posOffset>
            </wp:positionV>
            <wp:extent cx="3749040" cy="222567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49040" cy="2225675"/>
                    </a:xfrm>
                    <a:prstGeom prst="rect">
                      <a:avLst/>
                    </a:prstGeom>
                    <a:noFill/>
                  </pic:spPr>
                </pic:pic>
              </a:graphicData>
            </a:graphic>
          </wp:anchor>
        </w:drawing>
      </w:r>
    </w:p>
    <w:p w14:paraId="4B145A1C" w14:textId="77777777" w:rsidR="00EB70C0" w:rsidRPr="00CF69B3" w:rsidRDefault="00EB70C0" w:rsidP="00CF69B3">
      <w:pPr>
        <w:jc w:val="both"/>
        <w:rPr>
          <w:rFonts w:ascii="Arial" w:hAnsi="Arial" w:cs="Arial"/>
          <w:sz w:val="20"/>
          <w:szCs w:val="20"/>
          <w:lang w:val="es-ES_tradnl"/>
        </w:rPr>
      </w:pPr>
    </w:p>
    <w:p w14:paraId="66D1B59E" w14:textId="77777777" w:rsidR="00EB70C0" w:rsidRPr="00CF69B3" w:rsidRDefault="00EB70C0" w:rsidP="00CF69B3">
      <w:pPr>
        <w:jc w:val="both"/>
        <w:rPr>
          <w:rFonts w:ascii="Arial" w:hAnsi="Arial" w:cs="Arial"/>
          <w:sz w:val="20"/>
          <w:szCs w:val="20"/>
          <w:lang w:val="es-ES_tradnl"/>
        </w:rPr>
      </w:pPr>
    </w:p>
    <w:p w14:paraId="16315940" w14:textId="77777777" w:rsidR="00EB70C0" w:rsidRPr="00CF69B3" w:rsidRDefault="00EB70C0" w:rsidP="00CF69B3">
      <w:pPr>
        <w:jc w:val="both"/>
        <w:rPr>
          <w:rFonts w:ascii="Arial" w:hAnsi="Arial" w:cs="Arial"/>
          <w:sz w:val="20"/>
          <w:szCs w:val="20"/>
          <w:lang w:val="es-ES_tradnl"/>
        </w:rPr>
      </w:pPr>
    </w:p>
    <w:p w14:paraId="7E39A079" w14:textId="77777777" w:rsidR="00EB70C0" w:rsidRPr="00CF69B3" w:rsidRDefault="00EB70C0" w:rsidP="00CF69B3">
      <w:pPr>
        <w:jc w:val="both"/>
        <w:rPr>
          <w:rFonts w:ascii="Arial" w:hAnsi="Arial" w:cs="Arial"/>
          <w:sz w:val="20"/>
          <w:szCs w:val="20"/>
          <w:lang w:val="es-ES_tradnl"/>
        </w:rPr>
      </w:pP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000" w:firstRow="0" w:lastRow="0" w:firstColumn="0" w:lastColumn="0" w:noHBand="0" w:noVBand="0"/>
      </w:tblPr>
      <w:tblGrid>
        <w:gridCol w:w="1250"/>
        <w:gridCol w:w="1976"/>
        <w:gridCol w:w="2766"/>
        <w:gridCol w:w="2502"/>
      </w:tblGrid>
      <w:tr w:rsidR="00EB70C0" w:rsidRPr="00CF69B3" w14:paraId="18856AD2" w14:textId="77777777" w:rsidTr="00AC567E">
        <w:trPr>
          <w:trHeight w:val="510"/>
          <w:jc w:val="center"/>
        </w:trPr>
        <w:tc>
          <w:tcPr>
            <w:tcW w:w="5000" w:type="pct"/>
            <w:gridSpan w:val="4"/>
            <w:shd w:val="clear" w:color="auto" w:fill="595959"/>
            <w:vAlign w:val="center"/>
          </w:tcPr>
          <w:p w14:paraId="03CE32F4" w14:textId="77777777" w:rsidR="00EB70C0" w:rsidRPr="00CF69B3" w:rsidRDefault="00EB70C0" w:rsidP="00CF69B3">
            <w:pPr>
              <w:keepNext/>
              <w:keepLines/>
              <w:spacing w:after="0" w:line="240" w:lineRule="auto"/>
              <w:jc w:val="both"/>
              <w:rPr>
                <w:rFonts w:ascii="Arial" w:hAnsi="Arial" w:cs="Arial"/>
                <w:b/>
                <w:bCs/>
                <w:color w:val="FFFFFF"/>
                <w:sz w:val="20"/>
                <w:szCs w:val="20"/>
                <w:lang w:val="es-ES_tradnl"/>
              </w:rPr>
            </w:pPr>
            <w:r w:rsidRPr="00CF69B3">
              <w:rPr>
                <w:rFonts w:ascii="Arial" w:hAnsi="Arial" w:cs="Arial"/>
                <w:b/>
                <w:bCs/>
                <w:color w:val="FFFFFF"/>
                <w:sz w:val="20"/>
                <w:szCs w:val="20"/>
                <w:lang w:val="es-ES_tradnl"/>
              </w:rPr>
              <w:lastRenderedPageBreak/>
              <w:t xml:space="preserve">REQUISITOS DE LA JUNTA </w:t>
            </w:r>
            <w:r w:rsidRPr="00CF69B3">
              <w:rPr>
                <w:rFonts w:ascii="Arial" w:hAnsi="Arial" w:cs="Arial"/>
                <w:color w:val="FFFFFF"/>
                <w:sz w:val="20"/>
                <w:szCs w:val="20"/>
                <w:lang w:val="es-ES_tradnl"/>
              </w:rPr>
              <w:t>(sellado con silicona)</w:t>
            </w:r>
          </w:p>
        </w:tc>
      </w:tr>
      <w:tr w:rsidR="00EB70C0" w:rsidRPr="00CF69B3" w14:paraId="12916EE6" w14:textId="77777777" w:rsidTr="00AC567E">
        <w:trPr>
          <w:trHeight w:val="420"/>
          <w:jc w:val="center"/>
        </w:trPr>
        <w:tc>
          <w:tcPr>
            <w:tcW w:w="736" w:type="pct"/>
            <w:shd w:val="clear" w:color="auto" w:fill="808080"/>
            <w:vAlign w:val="center"/>
          </w:tcPr>
          <w:p w14:paraId="515FCC43"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Ancho de junta</w:t>
            </w:r>
          </w:p>
        </w:tc>
        <w:tc>
          <w:tcPr>
            <w:tcW w:w="1163" w:type="pct"/>
            <w:shd w:val="clear" w:color="auto" w:fill="808080"/>
            <w:vAlign w:val="center"/>
          </w:tcPr>
          <w:p w14:paraId="632BF53D"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Espesor del material (mm)</w:t>
            </w:r>
          </w:p>
        </w:tc>
        <w:tc>
          <w:tcPr>
            <w:tcW w:w="1628" w:type="pct"/>
            <w:shd w:val="clear" w:color="auto" w:fill="808080"/>
            <w:vAlign w:val="center"/>
          </w:tcPr>
          <w:p w14:paraId="286C0944"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Profundidad aserrado secundario (mm)</w:t>
            </w:r>
          </w:p>
        </w:tc>
        <w:tc>
          <w:tcPr>
            <w:tcW w:w="1473" w:type="pct"/>
            <w:shd w:val="clear" w:color="auto" w:fill="808080"/>
            <w:vAlign w:val="center"/>
          </w:tcPr>
          <w:p w14:paraId="53AC42F4" w14:textId="77777777" w:rsidR="00EB70C0" w:rsidRPr="00CF69B3" w:rsidRDefault="00EB70C0" w:rsidP="00CF69B3">
            <w:pPr>
              <w:keepNext/>
              <w:keepLines/>
              <w:spacing w:after="0" w:line="240" w:lineRule="auto"/>
              <w:jc w:val="both"/>
              <w:rPr>
                <w:rFonts w:ascii="Arial" w:hAnsi="Arial" w:cs="Arial"/>
                <w:color w:val="FFFFFF"/>
                <w:sz w:val="20"/>
                <w:szCs w:val="20"/>
                <w:lang w:val="es-ES_tradnl"/>
              </w:rPr>
            </w:pPr>
            <w:r w:rsidRPr="00CF69B3">
              <w:rPr>
                <w:rFonts w:ascii="Arial" w:hAnsi="Arial" w:cs="Arial"/>
                <w:color w:val="FFFFFF"/>
                <w:sz w:val="20"/>
                <w:szCs w:val="20"/>
                <w:lang w:val="es-ES_tradnl"/>
              </w:rPr>
              <w:t>Diámetro cordón de respaldo (mm)</w:t>
            </w:r>
          </w:p>
        </w:tc>
      </w:tr>
      <w:tr w:rsidR="00EB70C0" w:rsidRPr="00CF69B3" w14:paraId="29E0B142" w14:textId="77777777" w:rsidTr="00AC567E">
        <w:trPr>
          <w:trHeight w:val="283"/>
          <w:jc w:val="center"/>
        </w:trPr>
        <w:tc>
          <w:tcPr>
            <w:tcW w:w="736" w:type="pct"/>
            <w:vAlign w:val="center"/>
          </w:tcPr>
          <w:p w14:paraId="70582260"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163" w:type="pct"/>
            <w:vAlign w:val="center"/>
          </w:tcPr>
          <w:p w14:paraId="002BBF41"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2954D630"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22.3</w:t>
            </w:r>
          </w:p>
        </w:tc>
        <w:tc>
          <w:tcPr>
            <w:tcW w:w="1473" w:type="pct"/>
            <w:vAlign w:val="center"/>
          </w:tcPr>
          <w:p w14:paraId="36A9C469"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r>
      <w:tr w:rsidR="00EB70C0" w:rsidRPr="00CF69B3" w14:paraId="2841C42E" w14:textId="77777777" w:rsidTr="00AC567E">
        <w:trPr>
          <w:trHeight w:val="283"/>
          <w:jc w:val="center"/>
        </w:trPr>
        <w:tc>
          <w:tcPr>
            <w:tcW w:w="736" w:type="pct"/>
            <w:vAlign w:val="center"/>
          </w:tcPr>
          <w:p w14:paraId="2BFD04E6"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c>
          <w:tcPr>
            <w:tcW w:w="1163" w:type="pct"/>
            <w:vAlign w:val="center"/>
          </w:tcPr>
          <w:p w14:paraId="24B1AFD1"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4FB2AA9C"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25.4</w:t>
            </w:r>
          </w:p>
        </w:tc>
        <w:tc>
          <w:tcPr>
            <w:tcW w:w="1473" w:type="pct"/>
            <w:vAlign w:val="center"/>
          </w:tcPr>
          <w:p w14:paraId="1447F9AB"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r>
      <w:tr w:rsidR="00EB70C0" w:rsidRPr="00CF69B3" w14:paraId="4F8C6EF3" w14:textId="77777777" w:rsidTr="00AC567E">
        <w:trPr>
          <w:trHeight w:val="283"/>
          <w:jc w:val="center"/>
        </w:trPr>
        <w:tc>
          <w:tcPr>
            <w:tcW w:w="736" w:type="pct"/>
            <w:vAlign w:val="center"/>
          </w:tcPr>
          <w:p w14:paraId="7E0FCEE1"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c>
          <w:tcPr>
            <w:tcW w:w="1163" w:type="pct"/>
            <w:vAlign w:val="center"/>
          </w:tcPr>
          <w:p w14:paraId="3F809A74"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6.4</w:t>
            </w:r>
          </w:p>
        </w:tc>
        <w:tc>
          <w:tcPr>
            <w:tcW w:w="1628" w:type="pct"/>
            <w:vAlign w:val="center"/>
          </w:tcPr>
          <w:p w14:paraId="43B232C6"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28.6</w:t>
            </w:r>
          </w:p>
        </w:tc>
        <w:tc>
          <w:tcPr>
            <w:tcW w:w="1473" w:type="pct"/>
            <w:vAlign w:val="center"/>
          </w:tcPr>
          <w:p w14:paraId="2652BF95"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15.9</w:t>
            </w:r>
          </w:p>
        </w:tc>
      </w:tr>
      <w:tr w:rsidR="00EB70C0" w:rsidRPr="00CF69B3" w14:paraId="5829BA13" w14:textId="77777777" w:rsidTr="00AC567E">
        <w:trPr>
          <w:trHeight w:val="283"/>
          <w:jc w:val="center"/>
        </w:trPr>
        <w:tc>
          <w:tcPr>
            <w:tcW w:w="736" w:type="pct"/>
            <w:vAlign w:val="center"/>
          </w:tcPr>
          <w:p w14:paraId="5989467A"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19.0</w:t>
            </w:r>
          </w:p>
        </w:tc>
        <w:tc>
          <w:tcPr>
            <w:tcW w:w="1163" w:type="pct"/>
            <w:vAlign w:val="center"/>
          </w:tcPr>
          <w:p w14:paraId="0261AD3C"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9.5</w:t>
            </w:r>
          </w:p>
        </w:tc>
        <w:tc>
          <w:tcPr>
            <w:tcW w:w="1628" w:type="pct"/>
            <w:vAlign w:val="center"/>
          </w:tcPr>
          <w:p w14:paraId="783F9463"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31.8</w:t>
            </w:r>
          </w:p>
        </w:tc>
        <w:tc>
          <w:tcPr>
            <w:tcW w:w="1473" w:type="pct"/>
            <w:vAlign w:val="center"/>
          </w:tcPr>
          <w:p w14:paraId="3A2C7FA5"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22.3</w:t>
            </w:r>
          </w:p>
        </w:tc>
      </w:tr>
      <w:tr w:rsidR="00EB70C0" w:rsidRPr="00CF69B3" w14:paraId="13B88C0C" w14:textId="77777777" w:rsidTr="00AC567E">
        <w:trPr>
          <w:trHeight w:val="283"/>
          <w:jc w:val="center"/>
        </w:trPr>
        <w:tc>
          <w:tcPr>
            <w:tcW w:w="736" w:type="pct"/>
            <w:vAlign w:val="center"/>
          </w:tcPr>
          <w:p w14:paraId="53D462A3"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25.4</w:t>
            </w:r>
          </w:p>
        </w:tc>
        <w:tc>
          <w:tcPr>
            <w:tcW w:w="1163" w:type="pct"/>
            <w:vAlign w:val="center"/>
          </w:tcPr>
          <w:p w14:paraId="15D8EB19"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12.7</w:t>
            </w:r>
          </w:p>
        </w:tc>
        <w:tc>
          <w:tcPr>
            <w:tcW w:w="1628" w:type="pct"/>
            <w:vAlign w:val="center"/>
          </w:tcPr>
          <w:p w14:paraId="3DBFD66E"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57.2</w:t>
            </w:r>
          </w:p>
        </w:tc>
        <w:tc>
          <w:tcPr>
            <w:tcW w:w="1473" w:type="pct"/>
            <w:vAlign w:val="center"/>
          </w:tcPr>
          <w:p w14:paraId="03920438" w14:textId="77777777" w:rsidR="00EB70C0" w:rsidRPr="00CF69B3" w:rsidRDefault="00EB70C0" w:rsidP="00CF69B3">
            <w:pPr>
              <w:keepNext/>
              <w:keepLines/>
              <w:spacing w:after="0" w:line="240" w:lineRule="auto"/>
              <w:jc w:val="both"/>
              <w:rPr>
                <w:rFonts w:ascii="Arial" w:hAnsi="Arial" w:cs="Arial"/>
                <w:sz w:val="20"/>
                <w:szCs w:val="20"/>
                <w:lang w:val="es-ES_tradnl"/>
              </w:rPr>
            </w:pPr>
            <w:r w:rsidRPr="00CF69B3">
              <w:rPr>
                <w:rFonts w:ascii="Arial" w:hAnsi="Arial" w:cs="Arial"/>
                <w:sz w:val="20"/>
                <w:szCs w:val="20"/>
                <w:lang w:val="es-ES_tradnl"/>
              </w:rPr>
              <w:t>31.8</w:t>
            </w:r>
          </w:p>
        </w:tc>
      </w:tr>
    </w:tbl>
    <w:p w14:paraId="29E16893" w14:textId="77777777" w:rsidR="00EB70C0" w:rsidRPr="00CF69B3" w:rsidRDefault="00EB70C0" w:rsidP="00CF69B3">
      <w:pPr>
        <w:spacing w:before="240" w:after="120"/>
        <w:ind w:left="851"/>
        <w:jc w:val="both"/>
        <w:rPr>
          <w:rFonts w:ascii="Arial" w:hAnsi="Arial" w:cs="Arial"/>
          <w:sz w:val="20"/>
          <w:szCs w:val="20"/>
          <w:lang w:val="es-UY"/>
        </w:rPr>
      </w:pPr>
      <w:r w:rsidRPr="00CF69B3">
        <w:rPr>
          <w:rFonts w:ascii="Arial" w:hAnsi="Arial" w:cs="Arial"/>
          <w:sz w:val="20"/>
          <w:szCs w:val="20"/>
          <w:lang w:val="es-UY"/>
        </w:rPr>
        <w:t>Si el pavimento se libera</w:t>
      </w:r>
      <w:r w:rsidR="00B14DCC" w:rsidRPr="00CF69B3">
        <w:rPr>
          <w:rFonts w:ascii="Arial" w:hAnsi="Arial" w:cs="Arial"/>
          <w:sz w:val="20"/>
          <w:szCs w:val="20"/>
          <w:lang w:val="es-UY"/>
        </w:rPr>
        <w:t xml:space="preserve"> </w:t>
      </w:r>
      <w:r w:rsidRPr="00CF69B3">
        <w:rPr>
          <w:rFonts w:ascii="Arial" w:hAnsi="Arial" w:cs="Arial"/>
          <w:sz w:val="20"/>
          <w:szCs w:val="20"/>
          <w:lang w:val="es-UY"/>
        </w:rPr>
        <w:t>al tránsito antes de los 28 días el Contratista</w:t>
      </w:r>
      <w:r w:rsidR="00B14DCC" w:rsidRPr="00CF69B3">
        <w:rPr>
          <w:rFonts w:ascii="Arial" w:hAnsi="Arial" w:cs="Arial"/>
          <w:sz w:val="20"/>
          <w:szCs w:val="20"/>
          <w:lang w:val="es-UY"/>
        </w:rPr>
        <w:t xml:space="preserve"> </w:t>
      </w:r>
      <w:r w:rsidRPr="00CF69B3">
        <w:rPr>
          <w:rFonts w:ascii="Arial" w:hAnsi="Arial" w:cs="Arial"/>
          <w:sz w:val="20"/>
          <w:szCs w:val="20"/>
          <w:lang w:val="es-UY"/>
        </w:rPr>
        <w:t>será responsable por los daños que se produzcan en el mismo debido a una falta de resistencia.</w:t>
      </w:r>
    </w:p>
    <w:p w14:paraId="47759C6E" w14:textId="77777777" w:rsidR="00EB70C0" w:rsidRPr="00CF69B3" w:rsidRDefault="00EB70C0" w:rsidP="00CF69B3">
      <w:pPr>
        <w:tabs>
          <w:tab w:val="num" w:pos="284"/>
        </w:tabs>
        <w:spacing w:after="120"/>
        <w:ind w:left="851"/>
        <w:jc w:val="both"/>
        <w:rPr>
          <w:rFonts w:ascii="Arial" w:hAnsi="Arial" w:cs="Arial"/>
          <w:sz w:val="20"/>
          <w:szCs w:val="20"/>
          <w:lang w:val="es-ES_tradnl"/>
        </w:rPr>
      </w:pPr>
      <w:r w:rsidRPr="00CF69B3">
        <w:rPr>
          <w:rFonts w:ascii="Arial" w:hAnsi="Arial" w:cs="Arial"/>
          <w:sz w:val="20"/>
          <w:szCs w:val="20"/>
          <w:lang w:val="es-ES_tradnl"/>
        </w:rPr>
        <w:t>De aparecer fisuras después de aceptado el pavimento y nunca antes de los 28 días, se deberá evaluar su extensión y severidad, y en el caso de que no comprometan la resistencia, la durabilidad, ni la funcionalidad del pavimento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deberá aplicar un procedimiento de reparación que el Director de Obra aprobará previamente.</w:t>
      </w:r>
    </w:p>
    <w:p w14:paraId="05FEF750" w14:textId="77777777" w:rsidR="00EB70C0" w:rsidRPr="00CF69B3" w:rsidRDefault="00EB70C0" w:rsidP="00CF69B3">
      <w:pPr>
        <w:tabs>
          <w:tab w:val="num" w:pos="284"/>
        </w:tabs>
        <w:spacing w:after="120"/>
        <w:ind w:left="851"/>
        <w:jc w:val="both"/>
        <w:rPr>
          <w:rFonts w:ascii="Arial" w:hAnsi="Arial" w:cs="Arial"/>
          <w:sz w:val="20"/>
          <w:szCs w:val="20"/>
          <w:lang w:val="es-ES_tradnl"/>
        </w:rPr>
      </w:pPr>
      <w:r w:rsidRPr="00CF69B3">
        <w:rPr>
          <w:rFonts w:ascii="Arial" w:hAnsi="Arial" w:cs="Arial"/>
          <w:sz w:val="20"/>
          <w:szCs w:val="20"/>
          <w:lang w:val="es-ES_tradnl"/>
        </w:rPr>
        <w:t>De no ser posible su reparación o no ser exitosa la misma deberán demolerse y reconstruirse las losas comprometidas.</w:t>
      </w:r>
    </w:p>
    <w:p w14:paraId="21627941"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lastRenderedPageBreak/>
        <w:t>Especificaciones base estabilizada con cemento P</w:t>
      </w:r>
      <w:r w:rsidR="00A45846">
        <w:rPr>
          <w:sz w:val="20"/>
          <w:szCs w:val="20"/>
          <w:u w:val="single"/>
        </w:rPr>
        <w:t>o</w:t>
      </w:r>
      <w:r w:rsidRPr="00CF69B3">
        <w:rPr>
          <w:sz w:val="20"/>
          <w:szCs w:val="20"/>
          <w:u w:val="single"/>
        </w:rPr>
        <w:t>rtland</w:t>
      </w:r>
      <w:r w:rsidR="00587284" w:rsidRPr="00CF69B3">
        <w:rPr>
          <w:sz w:val="20"/>
          <w:szCs w:val="20"/>
          <w:u w:val="single"/>
        </w:rPr>
        <w:fldChar w:fldCharType="begin"/>
      </w:r>
      <w:r w:rsidRPr="00CF69B3">
        <w:rPr>
          <w:sz w:val="20"/>
          <w:szCs w:val="20"/>
          <w:u w:val="single"/>
        </w:rPr>
        <w:instrText>tc "3.4.3</w:instrText>
      </w:r>
      <w:r w:rsidRPr="00CF69B3">
        <w:rPr>
          <w:sz w:val="20"/>
          <w:szCs w:val="20"/>
          <w:u w:val="single"/>
        </w:rPr>
        <w:tab/>
        <w:instrText>Capa de base estabilizada con cemento portland" \f C \l 2</w:instrText>
      </w:r>
      <w:r w:rsidR="00587284" w:rsidRPr="00CF69B3">
        <w:rPr>
          <w:sz w:val="20"/>
          <w:szCs w:val="20"/>
          <w:u w:val="single"/>
        </w:rPr>
        <w:fldChar w:fldCharType="end"/>
      </w:r>
    </w:p>
    <w:p w14:paraId="59D26723"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material a utilizar en la construcción de la capa de base estabilizada cumplirá lo especificado para el material de base estabilizada con cemento P</w:t>
      </w:r>
      <w:r w:rsidR="00A45846">
        <w:rPr>
          <w:rFonts w:ascii="Arial" w:hAnsi="Arial" w:cs="Arial"/>
          <w:spacing w:val="-3"/>
          <w:sz w:val="20"/>
          <w:szCs w:val="20"/>
          <w:lang w:val="es-UY"/>
        </w:rPr>
        <w:t>o</w:t>
      </w:r>
      <w:r w:rsidRPr="00CF69B3">
        <w:rPr>
          <w:rFonts w:ascii="Arial" w:hAnsi="Arial" w:cs="Arial"/>
          <w:spacing w:val="-3"/>
          <w:sz w:val="20"/>
          <w:szCs w:val="20"/>
          <w:lang w:val="es-UY"/>
        </w:rPr>
        <w:t>rtland, ejecutándose el mezclado en una planta mezcladora fija.</w:t>
      </w:r>
    </w:p>
    <w:p w14:paraId="77CB9037"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deberá realizar el tendido del material de base estabilizado con cemento P</w:t>
      </w:r>
      <w:r w:rsidR="00A45846">
        <w:rPr>
          <w:rFonts w:ascii="Arial" w:hAnsi="Arial" w:cs="Arial"/>
          <w:spacing w:val="-3"/>
          <w:sz w:val="20"/>
          <w:szCs w:val="20"/>
          <w:lang w:val="es-UY"/>
        </w:rPr>
        <w:t>o</w:t>
      </w:r>
      <w:r w:rsidRPr="00CF69B3">
        <w:rPr>
          <w:rFonts w:ascii="Arial" w:hAnsi="Arial" w:cs="Arial"/>
          <w:spacing w:val="-3"/>
          <w:sz w:val="20"/>
          <w:szCs w:val="20"/>
          <w:lang w:val="es-UY"/>
        </w:rPr>
        <w:t>rtland con una máquina distribuidora y terminadora. Si lo hace en dos o más fajas paralelas, el avance debe estar limitado a una distancia tal que permita dentro del plazo de 2 horas, completar la compactación de todo el ancho de la calzada en dicha longitud. Determinada la velocidad de avance de la distribución, no deberá extenderse a una distancia superior a la correspondiente a una hora de trabajo.</w:t>
      </w:r>
    </w:p>
    <w:p w14:paraId="57687A67" w14:textId="77777777" w:rsidR="00EB70C0" w:rsidRPr="00CF69B3" w:rsidRDefault="00EB70C0" w:rsidP="00CF69B3">
      <w:pPr>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t xml:space="preserve">La compactación será realizada sobre toda la superficie de la capa de modo de asegurar que todo el material sea uniformemente compactado a un peso unitario seco no inferior al 100% del peso unitario seco máximo obtenido en el ensayo de compactación. Los trabajos de compactación deberán darse por terminados en el plazo de 2,5 horas desde </w:t>
      </w:r>
      <w:r w:rsidRPr="00CF69B3">
        <w:rPr>
          <w:rFonts w:ascii="Arial" w:hAnsi="Arial" w:cs="Arial"/>
          <w:spacing w:val="-3"/>
          <w:sz w:val="20"/>
          <w:szCs w:val="20"/>
          <w:lang w:val="es-UY" w:eastAsia="es-ES"/>
        </w:rPr>
        <w:lastRenderedPageBreak/>
        <w:t>el momento que se agregue el cemento en la planta mezcladora fija. Si en ese plazo no se ha conseguido la terminación de los trabajos en condiciones de aceptación será retirado todo el material colocado, procediéndose a la reconstrucción del tramo.</w:t>
      </w:r>
    </w:p>
    <w:p w14:paraId="5E2C94F6" w14:textId="77777777" w:rsidR="00EB70C0" w:rsidRPr="00CF69B3" w:rsidRDefault="00EB70C0" w:rsidP="00CF69B3">
      <w:pPr>
        <w:spacing w:after="120"/>
        <w:ind w:left="851"/>
        <w:jc w:val="both"/>
        <w:rPr>
          <w:rFonts w:ascii="Arial" w:hAnsi="Arial" w:cs="Arial"/>
          <w:spacing w:val="-3"/>
          <w:sz w:val="20"/>
          <w:szCs w:val="20"/>
          <w:lang w:val="es-UY" w:eastAsia="es-ES"/>
        </w:rPr>
      </w:pPr>
      <w:r w:rsidRPr="00CF69B3">
        <w:rPr>
          <w:rFonts w:ascii="Arial" w:hAnsi="Arial" w:cs="Arial"/>
          <w:spacing w:val="-3"/>
          <w:sz w:val="20"/>
          <w:szCs w:val="20"/>
          <w:lang w:val="es-UY" w:eastAsia="es-ES"/>
        </w:rPr>
        <w:t>Al final de cada día de trabajo se confeccionará la junta de construcción cortando lo más verticalmente posible la cara de la misma. De procederse en la forma indicada precedentemente puede obtenerse una sola junta transversal por jornada. En la siguiente etapa se verificará que no queden en la junta materiales pobremente adheridos y se pintará con brocha o pulverizará con pistola neumática, toda la superficie de contacto con lechada de cemento portland en relación de tres partes de agua por una de cemento, inmediatamente antes de entrar en contacto con el material fresco de la nueva etapa.</w:t>
      </w:r>
    </w:p>
    <w:p w14:paraId="6F5B8F82"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Si una vez terminado el plazo para ejecutar la compactación es necesario refinar la superficie de base cementada en cualquiera de sus etapas, este trabajo solo podrá realizarse hasta una (1) hora después de terminada la compactación o después de transcurridos siete (7) días desde ese momento.</w:t>
      </w:r>
    </w:p>
    <w:p w14:paraId="269D6EE1"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lastRenderedPageBreak/>
        <w:t>En el primer caso la operación deberá hacerse con la humedad que tenga el material en ese momento, no pudiéndose agregar más agua que la imprescindible para un correcto curado.</w:t>
      </w:r>
    </w:p>
    <w:p w14:paraId="00B382F0"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refinado de la superficie luego de terminada la compactación sólo consistirá en retiro de material; no podrá agregarse material adicional. La superficie resultante de la capa en la zona destinada a sustentar el pavimento de hormigón debe ser lo suficientemente lisa, como para no obstaculizar el movimiento del mismo. De lo contrario se deberá retirar el material colocado y reconstruir el tramo defectuoso.</w:t>
      </w:r>
    </w:p>
    <w:p w14:paraId="01B2D276"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La tolerancia en la terminación de la capa de base estabilizada no diferirá en más de 0,01 m en defecto del espesor establecido en el proyecto y 0,00 m en exceso de las cotas establecidas en el proyecto.</w:t>
      </w:r>
    </w:p>
    <w:p w14:paraId="44409EDB"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Finalizado</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el perfilado y la compactación de la mezcla cementada se procederá al curado de la misma con un riego bituminoso de emulsión asfáltica de rotura rápida. El método de curado deberá comenzar lo antes posible debiendo mantenerse la base continuamente húmeda hasta que se realice el riego bituminoso.</w:t>
      </w:r>
    </w:p>
    <w:p w14:paraId="7E1B206A"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lastRenderedPageBreak/>
        <w:t>El material bituminoso deberá aplicarse uniformemente a la superficie de la base terminada a un promedio de aproximadamente 0,9 l/m2.</w:t>
      </w:r>
    </w:p>
    <w:p w14:paraId="71B786D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Será de cuenta y cargo del Contratista</w:t>
      </w:r>
      <w:r w:rsidR="00B14DCC" w:rsidRPr="00CF69B3">
        <w:rPr>
          <w:rFonts w:ascii="Arial" w:hAnsi="Arial" w:cs="Arial"/>
          <w:spacing w:val="-3"/>
          <w:sz w:val="20"/>
          <w:szCs w:val="20"/>
          <w:lang w:val="es-UY"/>
        </w:rPr>
        <w:t xml:space="preserve"> </w:t>
      </w:r>
      <w:r w:rsidRPr="00CF69B3">
        <w:rPr>
          <w:rFonts w:ascii="Arial" w:hAnsi="Arial" w:cs="Arial"/>
          <w:spacing w:val="-3"/>
          <w:sz w:val="20"/>
          <w:szCs w:val="20"/>
          <w:lang w:val="es-UY"/>
        </w:rPr>
        <w:t>mantener en perfectas condiciones el riego bituminoso durante el periodo de protección de 7 días, de modo que toda la capa de base esté efectivamente cubierta durante dicho periodo.</w:t>
      </w:r>
    </w:p>
    <w:p w14:paraId="28BC6AD4" w14:textId="77777777" w:rsidR="00EB70C0" w:rsidRPr="00CF69B3" w:rsidRDefault="00EB70C0" w:rsidP="00CF69B3">
      <w:pPr>
        <w:spacing w:after="120"/>
        <w:ind w:left="851"/>
        <w:jc w:val="both"/>
        <w:rPr>
          <w:rFonts w:ascii="Arial" w:hAnsi="Arial" w:cs="Arial"/>
          <w:spacing w:val="-3"/>
          <w:sz w:val="20"/>
          <w:szCs w:val="20"/>
          <w:lang w:val="es-UY"/>
        </w:rPr>
      </w:pPr>
      <w:r w:rsidRPr="00CF69B3">
        <w:rPr>
          <w:rFonts w:ascii="Arial" w:hAnsi="Arial" w:cs="Arial"/>
          <w:spacing w:val="-3"/>
          <w:sz w:val="20"/>
          <w:szCs w:val="20"/>
          <w:lang w:val="es-UY"/>
        </w:rPr>
        <w:t>El material a emplear se medirá en metros cúbicos de material compactado y se calculará de acuerdo a la sección transversal indicada. El peso del cemento empleado se determinará como el producto del volumen correspondiente a dicha capa por el contenido de cemento P</w:t>
      </w:r>
      <w:r w:rsidR="00A45846">
        <w:rPr>
          <w:rFonts w:ascii="Arial" w:hAnsi="Arial" w:cs="Arial"/>
          <w:spacing w:val="-3"/>
          <w:sz w:val="20"/>
          <w:szCs w:val="20"/>
          <w:lang w:val="es-UY"/>
        </w:rPr>
        <w:t>o</w:t>
      </w:r>
      <w:r w:rsidRPr="00CF69B3">
        <w:rPr>
          <w:rFonts w:ascii="Arial" w:hAnsi="Arial" w:cs="Arial"/>
          <w:spacing w:val="-3"/>
          <w:sz w:val="20"/>
          <w:szCs w:val="20"/>
          <w:lang w:val="es-UY"/>
        </w:rPr>
        <w:t xml:space="preserve">rtland incorporado a la misma. </w:t>
      </w:r>
    </w:p>
    <w:p w14:paraId="33119EE6" w14:textId="77777777" w:rsidR="006B0F1B" w:rsidRDefault="006B0F1B" w:rsidP="00CF69B3">
      <w:pPr>
        <w:spacing w:after="0" w:line="240" w:lineRule="auto"/>
        <w:ind w:left="782" w:firstLine="16"/>
        <w:jc w:val="both"/>
        <w:rPr>
          <w:rFonts w:ascii="Arial" w:hAnsi="Arial" w:cs="Arial"/>
          <w:b/>
          <w:sz w:val="20"/>
          <w:szCs w:val="20"/>
          <w:u w:val="single"/>
          <w:lang w:val="es-UY"/>
        </w:rPr>
      </w:pPr>
    </w:p>
    <w:p w14:paraId="4609B1A0" w14:textId="77777777" w:rsidR="006B0F1B" w:rsidRDefault="006B0F1B" w:rsidP="00CF69B3">
      <w:pPr>
        <w:spacing w:after="0" w:line="240" w:lineRule="auto"/>
        <w:ind w:left="782" w:firstLine="16"/>
        <w:jc w:val="both"/>
        <w:rPr>
          <w:rFonts w:ascii="Arial" w:hAnsi="Arial" w:cs="Arial"/>
          <w:b/>
          <w:sz w:val="20"/>
          <w:szCs w:val="20"/>
          <w:u w:val="single"/>
          <w:lang w:val="es-UY"/>
        </w:rPr>
      </w:pPr>
    </w:p>
    <w:p w14:paraId="5F5B0B93" w14:textId="77777777" w:rsidR="00EB70C0" w:rsidRPr="00CF69B3" w:rsidRDefault="00EB70C0" w:rsidP="00CF69B3">
      <w:pPr>
        <w:spacing w:after="0" w:line="240" w:lineRule="auto"/>
        <w:ind w:left="782" w:firstLine="16"/>
        <w:jc w:val="both"/>
        <w:rPr>
          <w:rFonts w:ascii="Arial" w:hAnsi="Arial" w:cs="Arial"/>
          <w:b/>
          <w:color w:val="000000"/>
          <w:sz w:val="20"/>
          <w:szCs w:val="20"/>
          <w:u w:val="single"/>
          <w:shd w:val="clear" w:color="auto" w:fill="FFFFFF"/>
          <w:lang w:eastAsia="es-ES"/>
        </w:rPr>
      </w:pPr>
      <w:r w:rsidRPr="00CF69B3">
        <w:rPr>
          <w:rFonts w:ascii="Arial" w:hAnsi="Arial" w:cs="Arial"/>
          <w:b/>
          <w:sz w:val="20"/>
          <w:szCs w:val="20"/>
          <w:u w:val="single"/>
          <w:lang w:val="es-UY"/>
        </w:rPr>
        <w:t>Base estabilizada en sitio con cemento.</w:t>
      </w:r>
      <w:r w:rsidRPr="00CF69B3">
        <w:rPr>
          <w:rFonts w:ascii="Arial" w:hAnsi="Arial" w:cs="Arial"/>
          <w:b/>
          <w:color w:val="000000"/>
          <w:sz w:val="20"/>
          <w:szCs w:val="20"/>
          <w:u w:val="single"/>
          <w:shd w:val="clear" w:color="auto" w:fill="FFFFFF"/>
          <w:lang w:eastAsia="es-ES"/>
        </w:rPr>
        <w:t> </w:t>
      </w:r>
    </w:p>
    <w:p w14:paraId="7CF01951" w14:textId="77777777" w:rsidR="006B0F1B" w:rsidRDefault="006B0F1B" w:rsidP="00CF69B3">
      <w:pPr>
        <w:spacing w:after="120"/>
        <w:ind w:left="880"/>
        <w:jc w:val="both"/>
        <w:rPr>
          <w:rFonts w:ascii="Arial" w:hAnsi="Arial" w:cs="Arial"/>
          <w:sz w:val="20"/>
          <w:szCs w:val="20"/>
        </w:rPr>
      </w:pPr>
    </w:p>
    <w:p w14:paraId="42D7E7F6"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Se habilita la alternativa de tendido de material granular y su estabilización en sitio, para lo cual se deberá contar con el equipamiento apropiado: </w:t>
      </w:r>
    </w:p>
    <w:p w14:paraId="6FEA8EDF"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a- Equipo Distribuidor de cemento</w:t>
      </w:r>
      <w:r w:rsidR="00B14DCC" w:rsidRPr="00CF69B3">
        <w:rPr>
          <w:rFonts w:ascii="Arial" w:hAnsi="Arial" w:cs="Arial"/>
          <w:sz w:val="20"/>
          <w:szCs w:val="20"/>
        </w:rPr>
        <w:t xml:space="preserve"> </w:t>
      </w:r>
    </w:p>
    <w:p w14:paraId="1477FE4B"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lastRenderedPageBreak/>
        <w:t>Los equipos dosificadores de cemento deberán asegurar la incorporación de la cantidad de aglomerante</w:t>
      </w:r>
      <w:r w:rsidR="00B14DCC" w:rsidRPr="00CF69B3">
        <w:rPr>
          <w:rFonts w:ascii="Arial" w:hAnsi="Arial" w:cs="Arial"/>
          <w:sz w:val="20"/>
          <w:szCs w:val="20"/>
        </w:rPr>
        <w:t xml:space="preserve"> </w:t>
      </w:r>
      <w:r w:rsidRPr="00CF69B3">
        <w:rPr>
          <w:rFonts w:ascii="Arial" w:hAnsi="Arial" w:cs="Arial"/>
          <w:sz w:val="20"/>
          <w:szCs w:val="20"/>
        </w:rPr>
        <w:t xml:space="preserve">determinado en el estudio de la mezcla así como la distribución homogénea del mismo tanto en sentido longitudinal como transversal. Esto se podrá hacer utilizando equipos dosificadores por vía húmeda, que inyecten directamente el cemento en forma de lechada en el tambor de la estabilizadora, o por distribución delante de la estabilizadora utilizando equipos dosificadores en seco, evitando todo tipo de pérdidas y levantamiento de polvo. Está prohibido la distribución manual mediante bolsas o a granel, solo está permitido la distribución dosificada mecanizada del cemento portland de acuerdo a la fórmula de trabajo obtenida. </w:t>
      </w:r>
    </w:p>
    <w:p w14:paraId="5A6351B2"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 xml:space="preserve">Debe contar con un sistema de extendido del conglomerante de forma ponderal, sincronizado con la velocidad de avance y el ancho de trabajo. </w:t>
      </w:r>
    </w:p>
    <w:p w14:paraId="2F41FA53"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 xml:space="preserve">Además deberá contar con un sistema que pueda realizar correcciones al instante de las diferencias que se detecten entre la dosificación proyectada y la real. </w:t>
      </w:r>
    </w:p>
    <w:p w14:paraId="112D01C5"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t>Deberá poder emitir en forma automática un reporte de trabajo para un determinado período en el que conste la información del área cubierta y el peso del cemento portland esparcido.</w:t>
      </w:r>
      <w:r w:rsidR="00B14DCC" w:rsidRPr="00CF69B3">
        <w:rPr>
          <w:rFonts w:ascii="Arial" w:hAnsi="Arial" w:cs="Arial"/>
          <w:sz w:val="20"/>
          <w:szCs w:val="20"/>
        </w:rPr>
        <w:t xml:space="preserve"> </w:t>
      </w:r>
    </w:p>
    <w:p w14:paraId="06A99E37" w14:textId="77777777" w:rsidR="00EB70C0" w:rsidRPr="00CF69B3" w:rsidRDefault="00EB70C0" w:rsidP="00CF69B3">
      <w:pPr>
        <w:spacing w:after="120"/>
        <w:ind w:left="880"/>
        <w:jc w:val="both"/>
        <w:rPr>
          <w:rFonts w:ascii="Arial" w:hAnsi="Arial" w:cs="Arial"/>
          <w:sz w:val="20"/>
          <w:szCs w:val="20"/>
        </w:rPr>
      </w:pPr>
      <w:r w:rsidRPr="00CF69B3">
        <w:rPr>
          <w:rFonts w:ascii="Arial" w:hAnsi="Arial" w:cs="Arial"/>
          <w:sz w:val="20"/>
          <w:szCs w:val="20"/>
        </w:rPr>
        <w:lastRenderedPageBreak/>
        <w:t>b- Equipo Estabilizador</w:t>
      </w:r>
      <w:r w:rsidR="00B14DCC" w:rsidRPr="00CF69B3">
        <w:rPr>
          <w:rFonts w:ascii="Arial" w:hAnsi="Arial" w:cs="Arial"/>
          <w:sz w:val="20"/>
          <w:szCs w:val="20"/>
        </w:rPr>
        <w:t xml:space="preserve"> </w:t>
      </w:r>
    </w:p>
    <w:p w14:paraId="34274793" w14:textId="77777777" w:rsidR="00EB70C0" w:rsidRPr="00CF69B3" w:rsidRDefault="00EB70C0" w:rsidP="00CF69B3">
      <w:pPr>
        <w:spacing w:after="120"/>
        <w:ind w:left="879"/>
        <w:jc w:val="both"/>
        <w:rPr>
          <w:rFonts w:ascii="Arial" w:hAnsi="Arial" w:cs="Arial"/>
          <w:sz w:val="20"/>
          <w:szCs w:val="20"/>
        </w:rPr>
      </w:pPr>
      <w:r w:rsidRPr="00CF69B3">
        <w:rPr>
          <w:rFonts w:ascii="Arial" w:hAnsi="Arial" w:cs="Arial"/>
          <w:sz w:val="20"/>
          <w:szCs w:val="20"/>
        </w:rPr>
        <w:t xml:space="preserve">Para la realización del estabilizado en sitio con cemento se empleará una máquina estabilizadora de última generación formada por un equipo automotriz con un rotor con uno o varios ejes horizontales de paletas o picas situadas dentro de una carcasa o cámara de mezclado en la que se puede inyectar agua. </w:t>
      </w:r>
    </w:p>
    <w:p w14:paraId="61F19097" w14:textId="77777777" w:rsidR="00EB70C0" w:rsidRPr="00CF69B3" w:rsidRDefault="00EB70C0" w:rsidP="00CF69B3">
      <w:pPr>
        <w:spacing w:after="120"/>
        <w:ind w:left="879"/>
        <w:jc w:val="both"/>
        <w:rPr>
          <w:rFonts w:ascii="Arial" w:hAnsi="Arial" w:cs="Arial"/>
          <w:sz w:val="20"/>
          <w:szCs w:val="20"/>
        </w:rPr>
      </w:pPr>
      <w:r w:rsidRPr="00CF69B3">
        <w:rPr>
          <w:rFonts w:ascii="Arial" w:hAnsi="Arial" w:cs="Arial"/>
          <w:sz w:val="20"/>
          <w:szCs w:val="20"/>
        </w:rPr>
        <w:t xml:space="preserve">El equipo deberá garantizar la disgregación del pavimento hasta la profundidad especificada, realizando una mezcla uniforme con el cemento y el agua, para lo que se realizarán el número de pasadas necesarias. La potencia mínima de estos equipos será de cuatrocientos (400) kW y deberá encontrarse en perfecto estado de funcionamiento para lo que se comprobará que la dosificación y el amasado son homogéneos en todo el ancho del equipo. </w:t>
      </w:r>
    </w:p>
    <w:p w14:paraId="0B44E7EC" w14:textId="77777777" w:rsidR="00EB70C0" w:rsidRPr="00CF69B3" w:rsidRDefault="00EB70C0" w:rsidP="00CF69B3">
      <w:pPr>
        <w:spacing w:after="120"/>
        <w:ind w:left="880"/>
        <w:jc w:val="both"/>
        <w:rPr>
          <w:rFonts w:ascii="Arial" w:hAnsi="Arial" w:cs="Arial"/>
          <w:spacing w:val="-3"/>
          <w:sz w:val="20"/>
          <w:szCs w:val="20"/>
        </w:rPr>
      </w:pPr>
    </w:p>
    <w:p w14:paraId="6D81EDE5"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t>Especificaciones Recapado de Hormigón sobre mezcla asfáltica (Whitetopping)</w:t>
      </w:r>
    </w:p>
    <w:p w14:paraId="2C906DFE" w14:textId="77777777" w:rsidR="00EB70C0" w:rsidRPr="00CF69B3" w:rsidRDefault="00EB70C0" w:rsidP="00CF69B3">
      <w:pPr>
        <w:tabs>
          <w:tab w:val="left" w:pos="284"/>
        </w:tabs>
        <w:spacing w:after="120"/>
        <w:ind w:left="720"/>
        <w:jc w:val="both"/>
        <w:rPr>
          <w:rFonts w:ascii="Arial" w:hAnsi="Arial" w:cs="Arial"/>
          <w:sz w:val="20"/>
          <w:szCs w:val="20"/>
          <w:lang w:val="es-ES_tradnl" w:eastAsia="es-ES"/>
        </w:rPr>
      </w:pPr>
      <w:r w:rsidRPr="00CF69B3">
        <w:rPr>
          <w:rFonts w:ascii="Arial" w:hAnsi="Arial" w:cs="Arial"/>
          <w:sz w:val="20"/>
          <w:szCs w:val="20"/>
          <w:lang w:val="es-ES_tradnl"/>
        </w:rPr>
        <w:t>Serán de aplicación las condiciones establecidas para pavimentos de hormigón</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además de las que expresamente se indiquen.</w:t>
      </w:r>
      <w:r w:rsidR="00587284" w:rsidRPr="00CF69B3">
        <w:rPr>
          <w:rFonts w:ascii="Arial" w:hAnsi="Arial" w:cs="Arial"/>
          <w:sz w:val="20"/>
          <w:szCs w:val="20"/>
          <w:lang w:val="es-ES_tradnl"/>
        </w:rPr>
        <w:fldChar w:fldCharType="begin"/>
      </w:r>
      <w:r w:rsidRPr="00CF69B3">
        <w:rPr>
          <w:rFonts w:ascii="Arial" w:hAnsi="Arial" w:cs="Arial"/>
          <w:sz w:val="20"/>
          <w:szCs w:val="20"/>
          <w:lang w:val="es-UY"/>
        </w:rPr>
        <w:instrText>tc "</w:instrText>
      </w:r>
      <w:r w:rsidRPr="00CF69B3">
        <w:rPr>
          <w:rFonts w:ascii="Arial" w:hAnsi="Arial" w:cs="Arial"/>
          <w:sz w:val="20"/>
          <w:szCs w:val="20"/>
          <w:lang w:val="es-ES_tradnl"/>
        </w:rPr>
        <w:instrText xml:space="preserve">6 </w:instrText>
      </w:r>
      <w:r w:rsidRPr="00CF69B3">
        <w:rPr>
          <w:rFonts w:ascii="Arial" w:hAnsi="Arial" w:cs="Arial"/>
          <w:sz w:val="20"/>
          <w:szCs w:val="20"/>
          <w:u w:val="single"/>
          <w:lang w:val="es-ES_tradnl"/>
        </w:rPr>
        <w:instrText>Condiciones generales</w:instrText>
      </w:r>
      <w:r w:rsidRPr="00CF69B3">
        <w:rPr>
          <w:rFonts w:ascii="Arial" w:hAnsi="Arial" w:cs="Arial"/>
          <w:sz w:val="20"/>
          <w:szCs w:val="20"/>
          <w:lang w:val="es-UY"/>
        </w:rPr>
        <w:instrText>" \f C \l 00000001</w:instrText>
      </w:r>
      <w:r w:rsidR="00587284" w:rsidRPr="00CF69B3">
        <w:rPr>
          <w:rFonts w:ascii="Arial" w:hAnsi="Arial" w:cs="Arial"/>
          <w:sz w:val="20"/>
          <w:szCs w:val="20"/>
          <w:lang w:val="es-ES_tradnl"/>
        </w:rPr>
        <w:fldChar w:fldCharType="end"/>
      </w:r>
    </w:p>
    <w:p w14:paraId="3BD8703B" w14:textId="77777777" w:rsidR="00EB70C0" w:rsidRPr="00CF69B3" w:rsidRDefault="00EB70C0" w:rsidP="009A58E0">
      <w:pPr>
        <w:pStyle w:val="T1AAA"/>
        <w:numPr>
          <w:ilvl w:val="1"/>
          <w:numId w:val="100"/>
        </w:numPr>
        <w:outlineLvl w:val="9"/>
        <w:rPr>
          <w:sz w:val="20"/>
          <w:szCs w:val="20"/>
          <w:u w:val="single"/>
        </w:rPr>
      </w:pPr>
      <w:r w:rsidRPr="00CF69B3">
        <w:rPr>
          <w:sz w:val="20"/>
          <w:szCs w:val="20"/>
          <w:u w:val="single"/>
        </w:rPr>
        <w:lastRenderedPageBreak/>
        <w:t>Especificaciones de los materiales</w:t>
      </w:r>
      <w:r w:rsidR="00587284" w:rsidRPr="00CF69B3">
        <w:rPr>
          <w:sz w:val="20"/>
          <w:szCs w:val="20"/>
          <w:u w:val="single"/>
        </w:rPr>
        <w:fldChar w:fldCharType="begin"/>
      </w:r>
      <w:r w:rsidRPr="00CF69B3">
        <w:rPr>
          <w:sz w:val="20"/>
          <w:szCs w:val="20"/>
          <w:u w:val="single"/>
        </w:rPr>
        <w:instrText>tc "5</w:instrText>
      </w:r>
      <w:r w:rsidRPr="00CF69B3">
        <w:rPr>
          <w:sz w:val="20"/>
          <w:szCs w:val="20"/>
          <w:u w:val="single"/>
        </w:rPr>
        <w:tab/>
        <w:instrText>Especificaciones de los materiales" \f C \l 1</w:instrText>
      </w:r>
      <w:r w:rsidR="00587284" w:rsidRPr="00CF69B3">
        <w:rPr>
          <w:sz w:val="20"/>
          <w:szCs w:val="20"/>
          <w:u w:val="single"/>
        </w:rPr>
        <w:fldChar w:fldCharType="end"/>
      </w:r>
    </w:p>
    <w:p w14:paraId="795661CB" w14:textId="77777777" w:rsidR="00EB70C0" w:rsidRPr="00CF69B3" w:rsidRDefault="001769FF" w:rsidP="00CF69B3">
      <w:pPr>
        <w:jc w:val="both"/>
        <w:rPr>
          <w:rFonts w:ascii="Arial" w:hAnsi="Arial" w:cs="Arial"/>
          <w:b/>
          <w:bCs/>
          <w:sz w:val="20"/>
          <w:szCs w:val="20"/>
          <w:lang w:val="es-UY"/>
        </w:rPr>
      </w:pPr>
      <w:r w:rsidRPr="00CF69B3">
        <w:rPr>
          <w:rFonts w:ascii="Arial" w:hAnsi="Arial" w:cs="Arial"/>
          <w:sz w:val="20"/>
          <w:szCs w:val="20"/>
          <w:lang w:val="es-UY"/>
        </w:rPr>
        <w:t>5.</w:t>
      </w:r>
      <w:r w:rsidR="00EB70C0" w:rsidRPr="00CF69B3">
        <w:rPr>
          <w:rFonts w:ascii="Arial" w:hAnsi="Arial" w:cs="Arial"/>
          <w:sz w:val="20"/>
          <w:szCs w:val="20"/>
          <w:lang w:val="es-UY"/>
        </w:rPr>
        <w:t>5.1.</w:t>
      </w:r>
      <w:r w:rsidR="00120471">
        <w:rPr>
          <w:rFonts w:ascii="Arial" w:hAnsi="Arial" w:cs="Arial"/>
          <w:sz w:val="20"/>
          <w:szCs w:val="20"/>
          <w:lang w:val="es-UY"/>
        </w:rPr>
        <w:t xml:space="preserve"> </w:t>
      </w:r>
      <w:r w:rsidR="00EB70C0" w:rsidRPr="00CF69B3">
        <w:rPr>
          <w:rFonts w:ascii="Arial" w:hAnsi="Arial" w:cs="Arial"/>
          <w:sz w:val="20"/>
          <w:szCs w:val="20"/>
          <w:lang w:val="es-UY"/>
        </w:rPr>
        <w:t>Material de base estabilizado con cemento P</w:t>
      </w:r>
      <w:r w:rsidR="00A45846">
        <w:rPr>
          <w:rFonts w:ascii="Arial" w:hAnsi="Arial" w:cs="Arial"/>
          <w:sz w:val="20"/>
          <w:szCs w:val="20"/>
          <w:lang w:val="es-UY"/>
        </w:rPr>
        <w:t>o</w:t>
      </w:r>
      <w:r w:rsidR="00EB70C0" w:rsidRPr="00CF69B3">
        <w:rPr>
          <w:rFonts w:ascii="Arial" w:hAnsi="Arial" w:cs="Arial"/>
          <w:sz w:val="20"/>
          <w:szCs w:val="20"/>
          <w:lang w:val="es-UY"/>
        </w:rPr>
        <w:t>rtland</w:t>
      </w:r>
    </w:p>
    <w:p w14:paraId="01F2AB33" w14:textId="77777777" w:rsidR="00EB70C0" w:rsidRPr="00CF69B3" w:rsidRDefault="00587284" w:rsidP="00CF69B3">
      <w:pPr>
        <w:jc w:val="both"/>
        <w:rPr>
          <w:rFonts w:ascii="Arial" w:hAnsi="Arial" w:cs="Arial"/>
          <w:b/>
          <w:bCs/>
          <w:sz w:val="20"/>
          <w:szCs w:val="20"/>
          <w:lang w:val="es-UY"/>
        </w:rPr>
      </w:pPr>
      <w:r w:rsidRPr="00CF69B3">
        <w:rPr>
          <w:rFonts w:ascii="Arial" w:hAnsi="Arial" w:cs="Arial"/>
          <w:b/>
          <w:bCs/>
          <w:sz w:val="20"/>
          <w:szCs w:val="20"/>
          <w:lang w:val="es-UY"/>
        </w:rPr>
        <w:fldChar w:fldCharType="begin"/>
      </w:r>
      <w:r w:rsidR="00EB70C0" w:rsidRPr="00CF69B3">
        <w:rPr>
          <w:rFonts w:ascii="Arial" w:hAnsi="Arial" w:cs="Arial"/>
          <w:b/>
          <w:bCs/>
          <w:sz w:val="20"/>
          <w:szCs w:val="20"/>
          <w:lang w:val="es-UY"/>
        </w:rPr>
        <w:instrText xml:space="preserve">tc "5.3.5 </w:instrText>
      </w:r>
      <w:r w:rsidR="00EB70C0" w:rsidRPr="00CF69B3">
        <w:rPr>
          <w:rFonts w:ascii="Arial" w:hAnsi="Arial" w:cs="Arial"/>
          <w:b/>
          <w:bCs/>
          <w:sz w:val="20"/>
          <w:szCs w:val="20"/>
          <w:lang w:val="es-UY"/>
        </w:rPr>
        <w:tab/>
        <w:instrText>Material de base estabilizado con cemento Pórtland" \f C \l 1</w:instrText>
      </w:r>
      <w:r w:rsidRPr="00CF69B3">
        <w:rPr>
          <w:rFonts w:ascii="Arial" w:hAnsi="Arial" w:cs="Arial"/>
          <w:b/>
          <w:bCs/>
          <w:sz w:val="20"/>
          <w:szCs w:val="20"/>
          <w:lang w:val="es-UY"/>
        </w:rPr>
        <w:fldChar w:fldCharType="end"/>
      </w:r>
    </w:p>
    <w:p w14:paraId="559E8025" w14:textId="77777777" w:rsidR="00EB70C0" w:rsidRPr="00CF69B3" w:rsidRDefault="00EB70C0" w:rsidP="00CF69B3">
      <w:pPr>
        <w:keepNext/>
        <w:keepLines/>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La determinación del porcentaje de cemento Portland estará basada en el análisis de los resultados obtenidos aplicando los ensayos AASHTO T-134 (o ASTM D558-96, Ensayo humedad - densidad para mezclas de suelo cemento), T-135 (o ASTM D559-96, Ensayo de humedad y secado de muestras de suelo cemento compactadas), T –136 (o ASTM D560-96, Ensayo de congelado y deshielo de muestras de suelo cemento compactado). </w:t>
      </w:r>
    </w:p>
    <w:p w14:paraId="3CA6E343" w14:textId="77777777" w:rsidR="00EB70C0" w:rsidRPr="00CF69B3" w:rsidRDefault="00EB70C0" w:rsidP="00CF69B3">
      <w:pPr>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El porcentaje de cemento a utilizar, que deberá ser aprobado por la Inspección, será determinado de modo de obtener los siguientes resultados:</w:t>
      </w:r>
    </w:p>
    <w:p w14:paraId="69694752"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t>Ensayos AASHTO T-135 y T 136: porcentaje de pérdida no mayor del 14%.</w:t>
      </w:r>
    </w:p>
    <w:p w14:paraId="06E207A8"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Resistencia a la compresión sobre probetas de 7 días compactadas con la humedad óptima determinada según el ensayo AASHTO T – 134: no menor a 20 kg/cm2.</w:t>
      </w:r>
    </w:p>
    <w:p w14:paraId="284C7CF8"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lastRenderedPageBreak/>
        <w:t>El material granular a utilizar será suministrado por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 y deberá cumplir con las condiciones dispuestas en el Capítulo A Sección IV del PV y las siguientes especificaciones sustitutivas:</w:t>
      </w:r>
    </w:p>
    <w:p w14:paraId="1962EDC5"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 xml:space="preserve">CBR </w:t>
      </w:r>
      <w:r w:rsidRPr="00CF69B3">
        <w:rPr>
          <w:rFonts w:ascii="Arial" w:hAnsi="Arial" w:cs="Arial"/>
          <w:sz w:val="20"/>
          <w:szCs w:val="20"/>
          <w:lang w:val="es-ES_tradnl"/>
        </w:rPr>
        <w:sym w:font="Symbol" w:char="F0B3"/>
      </w:r>
      <w:r w:rsidRPr="00CF69B3">
        <w:rPr>
          <w:rFonts w:ascii="Arial" w:hAnsi="Arial" w:cs="Arial"/>
          <w:sz w:val="20"/>
          <w:szCs w:val="20"/>
          <w:lang w:val="es-ES_tradnl"/>
        </w:rPr>
        <w:t xml:space="preserve"> 80% al 100% del PUSM (UY-S-17- Aastho modificado).</w:t>
      </w:r>
    </w:p>
    <w:p w14:paraId="03485079"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 xml:space="preserve">CBR </w:t>
      </w:r>
      <w:r w:rsidRPr="00CF69B3">
        <w:rPr>
          <w:rFonts w:ascii="Arial" w:hAnsi="Arial" w:cs="Arial"/>
          <w:sz w:val="20"/>
          <w:szCs w:val="20"/>
          <w:lang w:val="es-ES_tradnl"/>
        </w:rPr>
        <w:sym w:font="Symbol" w:char="F0B3"/>
      </w:r>
      <w:r w:rsidRPr="00CF69B3">
        <w:rPr>
          <w:rFonts w:ascii="Arial" w:hAnsi="Arial" w:cs="Arial"/>
          <w:sz w:val="20"/>
          <w:szCs w:val="20"/>
          <w:lang w:val="es-ES_tradnl"/>
        </w:rPr>
        <w:t xml:space="preserve"> 50% al 95% del PUSM. </w:t>
      </w:r>
    </w:p>
    <w:p w14:paraId="0843E463"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Expansión menor que 0.3%.</w:t>
      </w:r>
    </w:p>
    <w:p w14:paraId="2F9D66CF" w14:textId="77777777" w:rsidR="00EB70C0" w:rsidRPr="00CF69B3" w:rsidRDefault="00EB70C0" w:rsidP="00CF69B3">
      <w:pPr>
        <w:spacing w:after="120"/>
        <w:ind w:left="368" w:firstLine="1050"/>
        <w:jc w:val="both"/>
        <w:rPr>
          <w:rFonts w:ascii="Arial" w:hAnsi="Arial" w:cs="Arial"/>
          <w:sz w:val="20"/>
          <w:szCs w:val="20"/>
          <w:lang w:val="es-ES_tradnl"/>
        </w:rPr>
      </w:pPr>
      <w:r w:rsidRPr="00CF69B3">
        <w:rPr>
          <w:rFonts w:ascii="Arial" w:hAnsi="Arial" w:cs="Arial"/>
          <w:sz w:val="20"/>
          <w:szCs w:val="20"/>
          <w:lang w:val="es-ES_tradnl"/>
        </w:rPr>
        <w:t>(El ensayo CBR y expansión se realizará con una sobrecarga de 9.000 g).</w:t>
      </w:r>
    </w:p>
    <w:p w14:paraId="447DF08D"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Límites de Atterberg y granulometría tales que verifiquen:</w:t>
      </w:r>
    </w:p>
    <w:p w14:paraId="2E822841" w14:textId="77777777" w:rsidR="00EB70C0" w:rsidRPr="00CF69B3" w:rsidRDefault="00EB70C0" w:rsidP="00CF69B3">
      <w:pPr>
        <w:spacing w:after="120"/>
        <w:ind w:left="1701"/>
        <w:jc w:val="both"/>
        <w:rPr>
          <w:rFonts w:ascii="Arial" w:hAnsi="Arial" w:cs="Arial"/>
          <w:sz w:val="20"/>
          <w:szCs w:val="20"/>
          <w:lang w:val="es-ES_tradnl"/>
        </w:rPr>
      </w:pPr>
      <w:r w:rsidRPr="00CF69B3">
        <w:rPr>
          <w:rFonts w:ascii="Arial" w:hAnsi="Arial" w:cs="Arial"/>
          <w:sz w:val="20"/>
          <w:szCs w:val="20"/>
          <w:lang w:val="es-ES_tradnl"/>
        </w:rPr>
        <w:t xml:space="preserve">IP </w:t>
      </w:r>
      <w:r w:rsidRPr="00CF69B3">
        <w:rPr>
          <w:rFonts w:ascii="Arial" w:hAnsi="Arial" w:cs="Arial"/>
          <w:sz w:val="20"/>
          <w:szCs w:val="20"/>
          <w:lang w:val="es-ES_tradnl"/>
        </w:rPr>
        <w:sym w:font="Symbol" w:char="F03C"/>
      </w:r>
      <w:r w:rsidRPr="00CF69B3">
        <w:rPr>
          <w:rFonts w:ascii="Arial" w:hAnsi="Arial" w:cs="Arial"/>
          <w:sz w:val="20"/>
          <w:szCs w:val="20"/>
          <w:lang w:val="es-ES_tradnl"/>
        </w:rPr>
        <w:t xml:space="preserve"> 6</w:t>
      </w:r>
    </w:p>
    <w:p w14:paraId="524F0B4C" w14:textId="77777777" w:rsidR="00EB70C0" w:rsidRPr="00CF69B3" w:rsidRDefault="00EB70C0" w:rsidP="00CF69B3">
      <w:pPr>
        <w:spacing w:after="120"/>
        <w:ind w:left="1701"/>
        <w:jc w:val="both"/>
        <w:rPr>
          <w:rFonts w:ascii="Arial" w:hAnsi="Arial" w:cs="Arial"/>
          <w:sz w:val="20"/>
          <w:szCs w:val="20"/>
          <w:lang w:val="es-ES_tradnl"/>
        </w:rPr>
      </w:pPr>
      <w:r w:rsidRPr="00CF69B3">
        <w:rPr>
          <w:rFonts w:ascii="Arial" w:hAnsi="Arial" w:cs="Arial"/>
          <w:sz w:val="20"/>
          <w:szCs w:val="20"/>
          <w:lang w:val="es-ES_tradnl"/>
        </w:rPr>
        <w:t>LL</w:t>
      </w:r>
      <w:r w:rsidRPr="00CF69B3">
        <w:rPr>
          <w:rFonts w:ascii="Arial" w:hAnsi="Arial" w:cs="Arial"/>
          <w:sz w:val="20"/>
          <w:szCs w:val="20"/>
          <w:lang w:val="es-ES_tradnl"/>
        </w:rPr>
        <w:sym w:font="Symbol" w:char="F03C"/>
      </w:r>
      <w:r w:rsidRPr="00CF69B3">
        <w:rPr>
          <w:rFonts w:ascii="Arial" w:hAnsi="Arial" w:cs="Arial"/>
          <w:sz w:val="20"/>
          <w:szCs w:val="20"/>
          <w:lang w:val="es-ES_tradnl"/>
        </w:rPr>
        <w:t xml:space="preserve"> 25</w:t>
      </w:r>
    </w:p>
    <w:p w14:paraId="3D71399A"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Deberá tener una fracción que pasa el tamiz 74 (N° 200) menor al 15% en peso.</w:t>
      </w:r>
    </w:p>
    <w:p w14:paraId="3BBB9E5D"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Deberá tener una fracción retenida en el tamiz 2000 (N° 10) mayor al 30% en peso.</w:t>
      </w:r>
    </w:p>
    <w:p w14:paraId="27B73253" w14:textId="77777777" w:rsidR="00EB70C0" w:rsidRPr="00CF69B3" w:rsidRDefault="00EB70C0" w:rsidP="009A58E0">
      <w:pPr>
        <w:widowControl w:val="0"/>
        <w:numPr>
          <w:ilvl w:val="0"/>
          <w:numId w:val="98"/>
        </w:numPr>
        <w:tabs>
          <w:tab w:val="num" w:pos="1418"/>
        </w:tabs>
        <w:spacing w:after="120"/>
        <w:ind w:firstLine="57"/>
        <w:jc w:val="both"/>
        <w:rPr>
          <w:rFonts w:ascii="Arial" w:hAnsi="Arial" w:cs="Arial"/>
          <w:sz w:val="20"/>
          <w:szCs w:val="20"/>
          <w:lang w:val="es-ES_tradnl"/>
        </w:rPr>
      </w:pPr>
      <w:r w:rsidRPr="00CF69B3">
        <w:rPr>
          <w:rFonts w:ascii="Arial" w:hAnsi="Arial" w:cs="Arial"/>
          <w:sz w:val="20"/>
          <w:szCs w:val="20"/>
          <w:lang w:val="es-ES_tradnl"/>
        </w:rPr>
        <w:t>El desgaste de los Ángeles deberá ser inferior al 45%.</w:t>
      </w:r>
    </w:p>
    <w:p w14:paraId="3A125A2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 xml:space="preserve">El cemento Portland será seleccionado y proporcionado por el Contratista, reservándose </w:t>
      </w:r>
      <w:r w:rsidR="00E06302">
        <w:rPr>
          <w:rFonts w:ascii="Arial" w:hAnsi="Arial" w:cs="Arial"/>
          <w:sz w:val="20"/>
          <w:szCs w:val="20"/>
          <w:lang w:val="es-ES_tradnl"/>
        </w:rPr>
        <w:t>la</w:t>
      </w:r>
      <w:r w:rsidRPr="00CF69B3">
        <w:rPr>
          <w:rFonts w:ascii="Arial" w:hAnsi="Arial" w:cs="Arial"/>
          <w:sz w:val="20"/>
          <w:szCs w:val="20"/>
          <w:lang w:val="es-ES_tradnl"/>
        </w:rPr>
        <w:t xml:space="preserve"> Contratante el derecho del suministro total o parcial del mismo.</w:t>
      </w:r>
    </w:p>
    <w:p w14:paraId="6D18F58F"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cemento Portland debe cumplir lo especificado en el Capítulo D de la Sección III del Pliego.</w:t>
      </w:r>
    </w:p>
    <w:p w14:paraId="71917106"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cantidad de agua a agregar será la requerida para poder realizar la compactación con el contenido óptimo de humedad obtenido mediante el ensayo de compactación indicado en el Capítulo C de la Sección IV del Pliego realizado con el material granular adicionado de la proporción de cemento establecida.</w:t>
      </w:r>
    </w:p>
    <w:p w14:paraId="73A9D99B"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mezclado del material granular con el cemento portland se efectuará con planta mezcladora fija.</w:t>
      </w:r>
    </w:p>
    <w:p w14:paraId="560DF4D6"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Tanto el equipo como el procedimiento de ejecución deben asegurar resultados satisfactorios. Se entenderá por tales cuando se logre un mezclado uniforme del cemento, sin la presencia de veteados.</w:t>
      </w:r>
    </w:p>
    <w:p w14:paraId="70769460"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El material granular podrá ser obtenido por mezcla de materiales de dos yacimientos, el material producido en la mezcla deberá cumplir con los requerimientos exigidos para el material granular, con excepción de lo referente al desgaste de </w:t>
      </w:r>
      <w:r w:rsidRPr="00CF69B3">
        <w:rPr>
          <w:rFonts w:ascii="Arial" w:hAnsi="Arial" w:cs="Arial"/>
          <w:sz w:val="20"/>
          <w:szCs w:val="20"/>
          <w:lang w:val="es-ES_tradnl"/>
        </w:rPr>
        <w:lastRenderedPageBreak/>
        <w:t>los ángeles que lo deberá cumplir cada uno de los materiales intervinientes en la mezcla. El mezclado de los mismos deberá hacerse previamente al agregado del cemento portland.</w:t>
      </w:r>
    </w:p>
    <w:p w14:paraId="10271087"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Una vez aprobada la granulometría del material granular asociado a un contenido de cemento portland, se deberá cumplir con una tolerancia en</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el porcentaje en peso respecto del total del material granular</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m</w:t>
      </w:r>
      <w:r w:rsidR="001438FF">
        <w:rPr>
          <w:rFonts w:ascii="Arial" w:hAnsi="Arial" w:cs="Arial"/>
          <w:sz w:val="20"/>
          <w:szCs w:val="20"/>
          <w:lang w:val="es-ES_tradnl"/>
        </w:rPr>
        <w:t>á</w:t>
      </w:r>
      <w:r w:rsidRPr="00CF69B3">
        <w:rPr>
          <w:rFonts w:ascii="Arial" w:hAnsi="Arial" w:cs="Arial"/>
          <w:sz w:val="20"/>
          <w:szCs w:val="20"/>
          <w:lang w:val="es-ES_tradnl"/>
        </w:rPr>
        <w:t xml:space="preserve">s o menos 6% en el tamiz N° 4. </w:t>
      </w:r>
    </w:p>
    <w:p w14:paraId="45B1C30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No podrá realizarse el mezclado del cemento cuando la temperatura sea inferior a 5° C.</w:t>
      </w:r>
    </w:p>
    <w:p w14:paraId="4F933E3A"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planta mezcladora debe tener instalaciones para el almacenamiento, manipuleo y dosificación de los componentes de la mezcla. Los materiales granulares,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el cemento y el agua pueden ser dosificados en volumen o en peso, de modo que aseguren las características exigidas para la mezcla.</w:t>
      </w:r>
    </w:p>
    <w:p w14:paraId="5EC725BD"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período de mezclado, contado a partir del momento en que todos los materiales están dentro de la mezcladora no será inferior a 30 segundos ni al tiempo mínimo requerido para lograr una distribución uniforme del cemento P</w:t>
      </w:r>
      <w:r w:rsidR="001438FF">
        <w:rPr>
          <w:rFonts w:ascii="Arial" w:hAnsi="Arial" w:cs="Arial"/>
          <w:sz w:val="20"/>
          <w:szCs w:val="20"/>
          <w:lang w:val="es-ES_tradnl"/>
        </w:rPr>
        <w:t>o</w:t>
      </w:r>
      <w:r w:rsidRPr="00CF69B3">
        <w:rPr>
          <w:rFonts w:ascii="Arial" w:hAnsi="Arial" w:cs="Arial"/>
          <w:sz w:val="20"/>
          <w:szCs w:val="20"/>
          <w:lang w:val="es-ES_tradnl"/>
        </w:rPr>
        <w:t>rtland.</w:t>
      </w:r>
    </w:p>
    <w:p w14:paraId="18FFA85E" w14:textId="77777777" w:rsidR="00EB70C0" w:rsidRPr="00CF69B3" w:rsidRDefault="001769FF" w:rsidP="00CF69B3">
      <w:pPr>
        <w:keepNext/>
        <w:keepLines/>
        <w:spacing w:after="120"/>
        <w:ind w:left="360"/>
        <w:jc w:val="both"/>
        <w:rPr>
          <w:rFonts w:ascii="Arial" w:hAnsi="Arial" w:cs="Arial"/>
          <w:sz w:val="20"/>
          <w:szCs w:val="20"/>
          <w:lang w:val="es-ES_tradnl"/>
        </w:rPr>
      </w:pPr>
      <w:r w:rsidRPr="00CF69B3">
        <w:rPr>
          <w:rFonts w:ascii="Arial" w:hAnsi="Arial" w:cs="Arial"/>
          <w:sz w:val="20"/>
          <w:szCs w:val="20"/>
          <w:lang w:val="es-ES_tradnl"/>
        </w:rPr>
        <w:lastRenderedPageBreak/>
        <w:t>5.</w:t>
      </w:r>
      <w:r w:rsidR="00EB70C0" w:rsidRPr="00CF69B3">
        <w:rPr>
          <w:rFonts w:ascii="Arial" w:hAnsi="Arial" w:cs="Arial"/>
          <w:sz w:val="20"/>
          <w:szCs w:val="20"/>
          <w:lang w:val="es-ES_tradnl"/>
        </w:rPr>
        <w:t>5.2. Calidad del acero a utilizar en pasadores y barras de unión</w:t>
      </w:r>
      <w:r w:rsidR="00587284"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"5.3.7 </w:instrText>
      </w:r>
      <w:r w:rsidR="00EB70C0" w:rsidRPr="00CF69B3">
        <w:rPr>
          <w:rFonts w:ascii="Arial" w:hAnsi="Arial" w:cs="Arial"/>
          <w:sz w:val="20"/>
          <w:szCs w:val="20"/>
          <w:lang w:val="es-ES_tradnl"/>
        </w:rPr>
        <w:tab/>
        <w:instrText>Calidad del acero a utilizar en pasadores y barras de unión" \f C \l 1</w:instrText>
      </w:r>
      <w:r w:rsidR="00587284" w:rsidRPr="00CF69B3">
        <w:rPr>
          <w:rFonts w:ascii="Arial" w:hAnsi="Arial" w:cs="Arial"/>
          <w:sz w:val="20"/>
          <w:szCs w:val="20"/>
          <w:lang w:val="es-ES_tradnl"/>
        </w:rPr>
        <w:fldChar w:fldCharType="end"/>
      </w:r>
    </w:p>
    <w:p w14:paraId="22EAD66C"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Los pasadores de las juntas de contracción y dilatación serán varillas lisas de acero normal con límite de fluencia mayor o igual a 2200 kg/cm2 ACERO AL 220 (UNIT34:95).</w:t>
      </w:r>
    </w:p>
    <w:p w14:paraId="2630B086"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Las barras de unión de las juntas de articulación serán barras corrugadas de acero especial con </w:t>
      </w:r>
      <w:r w:rsidR="00BA03DB" w:rsidRPr="00CF69B3">
        <w:rPr>
          <w:rFonts w:ascii="Arial" w:hAnsi="Arial" w:cs="Arial"/>
          <w:sz w:val="20"/>
          <w:szCs w:val="20"/>
          <w:lang w:val="es-ES_tradnl"/>
        </w:rPr>
        <w:t>límite</w:t>
      </w:r>
      <w:r w:rsidRPr="00CF69B3">
        <w:rPr>
          <w:rFonts w:ascii="Arial" w:hAnsi="Arial" w:cs="Arial"/>
          <w:sz w:val="20"/>
          <w:szCs w:val="20"/>
          <w:lang w:val="es-ES_tradnl"/>
        </w:rPr>
        <w:t xml:space="preserve"> de fluencia mayor o igual a 4200 kg/cm2 ACERO ADM 420 (UNIT 968:95) </w:t>
      </w:r>
      <w:r w:rsidR="00120471" w:rsidRPr="00CF69B3">
        <w:rPr>
          <w:rFonts w:ascii="Arial" w:hAnsi="Arial" w:cs="Arial"/>
          <w:sz w:val="20"/>
          <w:szCs w:val="20"/>
          <w:lang w:val="es-ES_tradnl"/>
        </w:rPr>
        <w:t>o</w:t>
      </w:r>
      <w:r w:rsidRPr="00CF69B3">
        <w:rPr>
          <w:rFonts w:ascii="Arial" w:hAnsi="Arial" w:cs="Arial"/>
          <w:sz w:val="20"/>
          <w:szCs w:val="20"/>
          <w:lang w:val="es-ES_tradnl"/>
        </w:rPr>
        <w:t xml:space="preserve"> ACERO ADN 420 (UNIT 843:95).</w:t>
      </w:r>
    </w:p>
    <w:p w14:paraId="34F0BC81"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5.3. Hormigón para la construcción del pavimento</w:t>
      </w:r>
      <w:r w:rsidR="00587284"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"5.3.8 </w:instrText>
      </w:r>
      <w:r w:rsidR="00EB70C0" w:rsidRPr="00CF69B3">
        <w:rPr>
          <w:rFonts w:ascii="Arial" w:hAnsi="Arial" w:cs="Arial"/>
          <w:sz w:val="20"/>
          <w:szCs w:val="20"/>
          <w:lang w:val="es-ES_tradnl"/>
        </w:rPr>
        <w:tab/>
        <w:instrText>Hormigón para la construcción del pavimento" \f C \l 1</w:instrText>
      </w:r>
      <w:r w:rsidR="00587284" w:rsidRPr="00CF69B3">
        <w:rPr>
          <w:rFonts w:ascii="Arial" w:hAnsi="Arial" w:cs="Arial"/>
          <w:sz w:val="20"/>
          <w:szCs w:val="20"/>
          <w:lang w:val="es-ES_tradnl"/>
        </w:rPr>
        <w:fldChar w:fldCharType="end"/>
      </w:r>
    </w:p>
    <w:p w14:paraId="127C60B5" w14:textId="77777777" w:rsidR="00EB70C0" w:rsidRPr="00CF69B3" w:rsidRDefault="00EB70C0" w:rsidP="00CF69B3">
      <w:pPr>
        <w:widowControl w:val="0"/>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La presente especificación técnica se refiere a las condiciones de calidad exigibles al hormigón de cemento Portland destinado a la construcción del pavimento.</w:t>
      </w:r>
    </w:p>
    <w:p w14:paraId="4896A9F0"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El cemento Portland será seleccionado y proporcionado por el Contratista, reservándose </w:t>
      </w:r>
      <w:r w:rsidR="001438FF">
        <w:rPr>
          <w:rFonts w:ascii="Arial" w:hAnsi="Arial" w:cs="Arial"/>
          <w:sz w:val="20"/>
          <w:szCs w:val="20"/>
          <w:lang w:val="es-ES_tradnl"/>
        </w:rPr>
        <w:t>la</w:t>
      </w:r>
      <w:r w:rsidRPr="00CF69B3">
        <w:rPr>
          <w:rFonts w:ascii="Arial" w:hAnsi="Arial" w:cs="Arial"/>
          <w:sz w:val="20"/>
          <w:szCs w:val="20"/>
          <w:lang w:val="es-ES_tradnl"/>
        </w:rPr>
        <w:t xml:space="preserve"> Contratante el derecho del suministro total o parcial del mismo.</w:t>
      </w:r>
    </w:p>
    <w:p w14:paraId="57024024"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Integran estas Especificaciones Particulares las “Especificaciones Técnicas para la Construcción de Pavimentos de Hormigón en Caminos y Calles” (año 1976) del Instituto del Cemento Portland Argentino (en adelante ICPA), con las aclaraciones y modificaciones que siguen.</w:t>
      </w:r>
    </w:p>
    <w:p w14:paraId="0C638AC2"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Toda referencia en las Especificaciones ICPA a subrasante se entenderá que corresponde a la capa superior de base.</w:t>
      </w:r>
    </w:p>
    <w:p w14:paraId="61CEFA9C" w14:textId="77777777" w:rsidR="00EB70C0" w:rsidRPr="00CF69B3" w:rsidRDefault="00EB70C0" w:rsidP="00CF69B3">
      <w:pPr>
        <w:widowControl w:val="0"/>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Toda referencia a Especificaciones ICPA se entenderá que corresponde a dichas Especificaciones con las modificaciones aquí establecidas.</w:t>
      </w:r>
    </w:p>
    <w:p w14:paraId="5C710D1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Resistencias</w:t>
      </w:r>
    </w:p>
    <w:p w14:paraId="7810CE39"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resistencia teórica de rotura a compresión del hormigón a que hacen referencia las Especificaciones ICPA será el valor requerido para obtener una resistencia media a tracción por flexión no inferior a la prevista en el proyecto. El valor de compresión será fijado de acuerdo a lo establecido en el artículo siguiente. Todas las resistencias indicadas corresponden a una edad de 28 días.</w:t>
      </w:r>
    </w:p>
    <w:p w14:paraId="37C465DB"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Contenido de cemento Portland y resistencia a la flexotracción</w:t>
      </w:r>
    </w:p>
    <w:p w14:paraId="048453D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deberá presentar un estudio de la dosificación previa del hormigón de acuerdo a lo establecido en el artículo F-2 de la Sección III del Pliego, incluyendo el análisis de la resistencia a la flexión con igual número de probetas que las indicadas para el estudio de la resistencia a compresión, las que serán preparadas y ensayadas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de acuerdo a las normas UNIT MN 79, 101 y 55. Dicha dosificación debe </w:t>
      </w:r>
      <w:r w:rsidRPr="00CF69B3">
        <w:rPr>
          <w:rFonts w:ascii="Arial" w:hAnsi="Arial" w:cs="Arial"/>
          <w:sz w:val="20"/>
          <w:szCs w:val="20"/>
          <w:lang w:val="es-ES_tradnl"/>
        </w:rPr>
        <w:lastRenderedPageBreak/>
        <w:t>ser realizada con la finalidad de obtener un hormigón que se encuentre dentro de las condiciones especificadas.</w:t>
      </w:r>
    </w:p>
    <w:p w14:paraId="6391D578"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Dicho estudio incluirá además, mediante los resultados de ensayos realizados haciendo variar las proporciones de la mezcla, una correlación entre resistencias a compresión y a flexión a los 28 días. Dicha correlación se obtendrá graficando las resistencias a flexión y a compresión para una misma dosificación. Luego de realizados varios ensayos se establecerá la curva de mínimos cuadrados que se aproxime a estos valores así graficados. El valor de la resistencia teórica a compresión será el que surja de interceptar la curva mencionada con la recta correspondiente a la resistencia teórica a flexión. Con la base de estos resultados y de los ensayos complementarios que se entienda necesario hacer realizar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para completar el informe (se incluirá la ejecución de una canchada con el equipo de fabricación, mezclado y tendido de la cual se extraerán probetas que se ensayarán), se fijará la resistencia teórica de rotura a los 28 días, a que se refiere el artículo precedente, y que servirá de base para el control de la resistencia del hormigón colocado en la obra y para la definición exacta del contenido del cemento. Los valores mencionados de resistencia y cantidad de cemento podrán sufrir variaciones, que </w:t>
      </w:r>
      <w:r w:rsidRPr="00CF69B3">
        <w:rPr>
          <w:rFonts w:ascii="Arial" w:hAnsi="Arial" w:cs="Arial"/>
          <w:sz w:val="20"/>
          <w:szCs w:val="20"/>
          <w:lang w:val="es-ES_tradnl"/>
        </w:rPr>
        <w:lastRenderedPageBreak/>
        <w:t xml:space="preserve">deberá aprobar la Inspección, durante la ejecución de la obra, basándose en una correlación diaria entre resistencia a flexión media y compresión media. </w:t>
      </w:r>
    </w:p>
    <w:p w14:paraId="6CB73F6C"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al presentar la dosificación del hormigón deberá tener en cuenta la perdida de resistencia a los 28 días que se constata en las probetas caladas en el pavimento con respecto a las obtenidas en el hormigón fresco para un mismo pastón. Por este motivo se recomienda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trabajar con valores de resistencia superiores a los indicados anteriormente para tener un margen de seguridad a escala de obra.</w:t>
      </w:r>
    </w:p>
    <w:p w14:paraId="4D09027A"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La aprobación por parte de la Inspección de la dosificación del hormigón no exime al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cumplir con la resistencia a los 28 días anteriormente indicadas.</w:t>
      </w:r>
    </w:p>
    <w:p w14:paraId="6DB0E00E" w14:textId="77777777" w:rsidR="00EB70C0" w:rsidRPr="00CF69B3" w:rsidRDefault="00EB70C0" w:rsidP="00CF69B3">
      <w:pPr>
        <w:keepNext/>
        <w:keepLines/>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Contenido total de aire </w:t>
      </w:r>
    </w:p>
    <w:p w14:paraId="35905BD8" w14:textId="77777777" w:rsidR="00EB70C0" w:rsidRPr="00CF69B3" w:rsidRDefault="00EB70C0" w:rsidP="00CF69B3">
      <w:pPr>
        <w:keepNext/>
        <w:keepLines/>
        <w:spacing w:after="120"/>
        <w:ind w:left="851"/>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El contenido total de aire natural o intencionalmente incorporado al hormigón fresco será de 3,5 </w:t>
      </w:r>
      <w:r w:rsidRPr="00CF69B3">
        <w:rPr>
          <w:rFonts w:ascii="Arial" w:hAnsi="Arial" w:cs="Arial"/>
          <w:sz w:val="20"/>
          <w:szCs w:val="20"/>
          <w:lang w:val="es-ES_tradnl" w:eastAsia="es-ES"/>
        </w:rPr>
        <w:sym w:font="Symbol" w:char="F0B1"/>
      </w:r>
      <w:r w:rsidRPr="00CF69B3">
        <w:rPr>
          <w:rFonts w:ascii="Arial" w:hAnsi="Arial" w:cs="Arial"/>
          <w:sz w:val="20"/>
          <w:szCs w:val="20"/>
          <w:lang w:val="es-ES_tradnl" w:eastAsia="es-ES"/>
        </w:rPr>
        <w:t xml:space="preserve"> 1 % en volumen según la norma ASTM C-231.</w:t>
      </w:r>
      <w:r w:rsidR="00B14DCC" w:rsidRPr="00CF69B3">
        <w:rPr>
          <w:rFonts w:ascii="Arial" w:hAnsi="Arial" w:cs="Arial"/>
          <w:sz w:val="20"/>
          <w:szCs w:val="20"/>
          <w:lang w:val="es-ES_tradnl" w:eastAsia="es-ES"/>
        </w:rPr>
        <w:t xml:space="preserve"> </w:t>
      </w:r>
    </w:p>
    <w:p w14:paraId="7E203087"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Aditivos</w:t>
      </w:r>
    </w:p>
    <w:p w14:paraId="33F29AB0"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Cualquier material que se añada al hormigón deberá ser aprobado por la Inspección. 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presentará a la Inspección los registros certificados de laboratorio donde se </w:t>
      </w:r>
      <w:r w:rsidRPr="00CF69B3">
        <w:rPr>
          <w:rFonts w:ascii="Arial" w:hAnsi="Arial" w:cs="Arial"/>
          <w:sz w:val="20"/>
          <w:szCs w:val="20"/>
          <w:lang w:val="es-ES_tradnl"/>
        </w:rPr>
        <w:lastRenderedPageBreak/>
        <w:t>muestre que los aditivos a emplear están dentro de los requisitos de calidad exigidos; igualmente se harán ensayos con muestras tomadas por la Inspección del material propuesto.</w:t>
      </w:r>
    </w:p>
    <w:p w14:paraId="7D251E49"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a)</w:t>
      </w:r>
      <w:r w:rsidRPr="00CF69B3">
        <w:rPr>
          <w:rFonts w:ascii="Arial" w:hAnsi="Arial" w:cs="Arial"/>
          <w:sz w:val="20"/>
          <w:szCs w:val="20"/>
          <w:lang w:val="es-ES_tradnl"/>
        </w:rPr>
        <w:tab/>
        <w:t>Inclusores de aire</w:t>
      </w:r>
    </w:p>
    <w:p w14:paraId="1407DA3F"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Deberán cumplir la norma ASTM C-260. Los inclusores de aire y los reductores de agua son compatibles.</w:t>
      </w:r>
    </w:p>
    <w:p w14:paraId="0C4C62F4" w14:textId="77777777" w:rsidR="00EB70C0" w:rsidRPr="00CF69B3" w:rsidRDefault="00EB70C0" w:rsidP="00CF69B3">
      <w:pPr>
        <w:tabs>
          <w:tab w:val="left" w:pos="1276"/>
        </w:tabs>
        <w:spacing w:after="120"/>
        <w:ind w:left="1276" w:hanging="425"/>
        <w:jc w:val="both"/>
        <w:rPr>
          <w:rFonts w:ascii="Arial" w:hAnsi="Arial" w:cs="Arial"/>
          <w:sz w:val="20"/>
          <w:szCs w:val="20"/>
          <w:lang w:val="es-ES_tradnl"/>
        </w:rPr>
      </w:pPr>
      <w:r w:rsidRPr="00CF69B3">
        <w:rPr>
          <w:rFonts w:ascii="Arial" w:hAnsi="Arial" w:cs="Arial"/>
          <w:sz w:val="20"/>
          <w:szCs w:val="20"/>
          <w:lang w:val="es-ES_tradnl"/>
        </w:rPr>
        <w:t>b)</w:t>
      </w:r>
      <w:r w:rsidRPr="00CF69B3">
        <w:rPr>
          <w:rFonts w:ascii="Arial" w:hAnsi="Arial" w:cs="Arial"/>
          <w:sz w:val="20"/>
          <w:szCs w:val="20"/>
          <w:lang w:val="es-ES_tradnl"/>
        </w:rPr>
        <w:tab/>
        <w:t xml:space="preserve">Aditivos químicos </w:t>
      </w:r>
    </w:p>
    <w:p w14:paraId="697CE9BA" w14:textId="77777777" w:rsidR="00EB70C0" w:rsidRPr="00CF69B3" w:rsidRDefault="00EB70C0" w:rsidP="00CF69B3">
      <w:pPr>
        <w:spacing w:after="120"/>
        <w:ind w:left="1276"/>
        <w:jc w:val="both"/>
        <w:rPr>
          <w:rFonts w:ascii="Arial" w:hAnsi="Arial" w:cs="Arial"/>
          <w:sz w:val="20"/>
          <w:szCs w:val="20"/>
          <w:lang w:val="es-ES_tradnl"/>
        </w:rPr>
      </w:pPr>
      <w:r w:rsidRPr="00CF69B3">
        <w:rPr>
          <w:rFonts w:ascii="Arial" w:hAnsi="Arial" w:cs="Arial"/>
          <w:sz w:val="20"/>
          <w:szCs w:val="20"/>
          <w:lang w:val="es-ES_tradnl"/>
        </w:rPr>
        <w:t>Aditivos tales como reductores de agua, retardadores de fraguado o acelerantes de fraguado deberán cumplir la norma ASTM C-494.</w:t>
      </w:r>
    </w:p>
    <w:p w14:paraId="781F8286" w14:textId="77777777" w:rsidR="00EB70C0" w:rsidRPr="00CF69B3" w:rsidRDefault="00EB70C0" w:rsidP="00CF69B3">
      <w:pPr>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Dosificación por peso y compactación por vibración</w:t>
      </w:r>
    </w:p>
    <w:p w14:paraId="6BDF357B" w14:textId="77777777" w:rsidR="00EB70C0" w:rsidRPr="00CF69B3" w:rsidRDefault="00EB70C0" w:rsidP="00CF69B3">
      <w:pPr>
        <w:tabs>
          <w:tab w:val="left" w:pos="851"/>
        </w:tabs>
        <w:spacing w:after="120"/>
        <w:ind w:left="851"/>
        <w:jc w:val="both"/>
        <w:rPr>
          <w:rFonts w:ascii="Arial" w:hAnsi="Arial" w:cs="Arial"/>
          <w:sz w:val="20"/>
          <w:szCs w:val="20"/>
          <w:lang w:val="es-ES_tradnl"/>
        </w:rPr>
      </w:pPr>
      <w:r w:rsidRPr="00CF69B3">
        <w:rPr>
          <w:rFonts w:ascii="Arial" w:hAnsi="Arial" w:cs="Arial"/>
          <w:sz w:val="20"/>
          <w:szCs w:val="20"/>
          <w:lang w:val="es-ES_tradnl"/>
        </w:rPr>
        <w:t>Todo hormigón a colocar en la obra deberá ser dosificado por peso y su compactación deberá ser realizada por vibración.</w:t>
      </w:r>
    </w:p>
    <w:p w14:paraId="6D13919D"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5.4. Compuestos líquidos para la formación de membranas de curado</w:t>
      </w:r>
      <w:r w:rsidR="00587284" w:rsidRPr="00CF69B3">
        <w:rPr>
          <w:rFonts w:ascii="Arial" w:hAnsi="Arial" w:cs="Arial"/>
          <w:sz w:val="20"/>
          <w:szCs w:val="20"/>
          <w:lang w:val="es-ES_tradnl"/>
        </w:rPr>
        <w:fldChar w:fldCharType="begin"/>
      </w:r>
      <w:r w:rsidR="00EB70C0" w:rsidRPr="00CF69B3">
        <w:rPr>
          <w:rFonts w:ascii="Arial" w:hAnsi="Arial" w:cs="Arial"/>
          <w:sz w:val="20"/>
          <w:szCs w:val="20"/>
          <w:lang w:val="es-ES_tradnl"/>
        </w:rPr>
        <w:instrText xml:space="preserve">tc "5.3.9 </w:instrText>
      </w:r>
      <w:r w:rsidR="00EB70C0" w:rsidRPr="00CF69B3">
        <w:rPr>
          <w:rFonts w:ascii="Arial" w:hAnsi="Arial" w:cs="Arial"/>
          <w:sz w:val="20"/>
          <w:szCs w:val="20"/>
          <w:lang w:val="es-ES_tradnl"/>
        </w:rPr>
        <w:tab/>
        <w:instrText>Compuestos líquidos para la formación de membranas de curado" \f C \l 1</w:instrText>
      </w:r>
      <w:r w:rsidR="00587284" w:rsidRPr="00CF69B3">
        <w:rPr>
          <w:rFonts w:ascii="Arial" w:hAnsi="Arial" w:cs="Arial"/>
          <w:sz w:val="20"/>
          <w:szCs w:val="20"/>
          <w:lang w:val="es-ES_tradnl"/>
        </w:rPr>
        <w:fldChar w:fldCharType="end"/>
      </w:r>
    </w:p>
    <w:p w14:paraId="22C61D76"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 xml:space="preserve">El compuesto líquido será opaco y de color blanco, y cumplirá las condiciones que se establecen en las especificaciones técnicas contenidas en la norma IRAM 1675 Nº se </w:t>
      </w:r>
      <w:r w:rsidRPr="00CF69B3">
        <w:rPr>
          <w:rFonts w:ascii="Arial" w:hAnsi="Arial" w:cs="Arial"/>
          <w:sz w:val="20"/>
          <w:szCs w:val="20"/>
          <w:lang w:val="es-ES_tradnl"/>
        </w:rPr>
        <w:lastRenderedPageBreak/>
        <w:t>empleará compuesto líquido alguno si antes no ha sido ensayado con resultado satisfactorio y aprobado por la Inspección. El producto se entregará en obra listo para su empleo. En ningún caso será diluido ni alterado en obra en forma alguna. En el momento de su aplicación estará perfectamente mezclado con el pigmento uniformemente dispersado en el vehículo. Cuando deba ser aplicado con bajas temperaturas y su viscosidad sea demasiado elevada para una colocación satisfactoria, se lo calentará en baño de agua hirviente sin que el producto sobrepase la temperatura de 35º C.</w:t>
      </w:r>
    </w:p>
    <w:p w14:paraId="25650139"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podrá presentar otra alternativa de curado que cumpla los fines descritos y deberá contar con la aprobación previa de la Inspección. En la aplicación de la alternativa se cumplirán las recomendaciones que indique el fabricante del producto.</w:t>
      </w:r>
    </w:p>
    <w:p w14:paraId="2EECBAE1" w14:textId="77777777" w:rsidR="00EB70C0" w:rsidRPr="00CF69B3" w:rsidRDefault="001769FF" w:rsidP="00CF69B3">
      <w:pPr>
        <w:spacing w:after="120"/>
        <w:ind w:left="360"/>
        <w:jc w:val="both"/>
        <w:rPr>
          <w:rFonts w:ascii="Arial" w:hAnsi="Arial" w:cs="Arial"/>
          <w:sz w:val="20"/>
          <w:szCs w:val="20"/>
          <w:lang w:val="es-ES_tradnl"/>
        </w:rPr>
      </w:pPr>
      <w:r w:rsidRPr="00CF69B3">
        <w:rPr>
          <w:rFonts w:ascii="Arial" w:hAnsi="Arial" w:cs="Arial"/>
          <w:sz w:val="20"/>
          <w:szCs w:val="20"/>
          <w:lang w:val="es-ES_tradnl"/>
        </w:rPr>
        <w:t>5.</w:t>
      </w:r>
      <w:r w:rsidR="00EB70C0" w:rsidRPr="00CF69B3">
        <w:rPr>
          <w:rFonts w:ascii="Arial" w:hAnsi="Arial" w:cs="Arial"/>
          <w:sz w:val="20"/>
          <w:szCs w:val="20"/>
          <w:lang w:val="es-ES_tradnl"/>
        </w:rPr>
        <w:t>5.5. Sellador de juntas</w:t>
      </w:r>
    </w:p>
    <w:p w14:paraId="4ACA150A"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t>El material de sustentación del sello en las juntas de construcción y contracción será una cuerda de espuma de</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polietileno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compatible con el material de sellado y de un diámetro acorde con el ancho de la junta.</w:t>
      </w:r>
    </w:p>
    <w:p w14:paraId="45960F87" w14:textId="77777777" w:rsidR="00EB70C0" w:rsidRPr="00CF69B3" w:rsidRDefault="00EB70C0" w:rsidP="00CF69B3">
      <w:pPr>
        <w:spacing w:after="120"/>
        <w:ind w:left="851"/>
        <w:jc w:val="both"/>
        <w:rPr>
          <w:rFonts w:ascii="Arial" w:hAnsi="Arial" w:cs="Arial"/>
          <w:sz w:val="20"/>
          <w:szCs w:val="20"/>
          <w:lang w:val="es-ES_tradnl"/>
        </w:rPr>
      </w:pPr>
      <w:r w:rsidRPr="00CF69B3">
        <w:rPr>
          <w:rFonts w:ascii="Arial" w:hAnsi="Arial" w:cs="Arial"/>
          <w:sz w:val="20"/>
          <w:szCs w:val="20"/>
          <w:lang w:val="es-ES_tradnl"/>
        </w:rPr>
        <w:lastRenderedPageBreak/>
        <w:t>El material de sellado de las juntas será de siliconas y deberá cumplir con la norma ASTM 5893-04 modificando el valor de Elongación de rotura, mayor a 1200%, tendrá que ser previamente aprobado por la Inspección.</w:t>
      </w:r>
    </w:p>
    <w:p w14:paraId="28DE814A" w14:textId="77777777" w:rsidR="00EB70C0" w:rsidRPr="0003251D" w:rsidRDefault="00EB70C0" w:rsidP="00CF69B3">
      <w:pPr>
        <w:tabs>
          <w:tab w:val="left" w:pos="550"/>
        </w:tabs>
        <w:spacing w:after="120"/>
        <w:ind w:left="550" w:hanging="220"/>
        <w:jc w:val="both"/>
        <w:rPr>
          <w:rFonts w:ascii="Arial" w:eastAsia="Calibri" w:hAnsi="Arial" w:cs="Arial"/>
          <w:b/>
          <w:bCs/>
          <w:caps/>
          <w:sz w:val="20"/>
          <w:szCs w:val="20"/>
          <w:lang w:val="es-ES_tradnl" w:eastAsia="es-ES"/>
        </w:rPr>
      </w:pPr>
      <w:r w:rsidRPr="0003251D">
        <w:rPr>
          <w:rFonts w:ascii="Arial" w:eastAsia="Calibri" w:hAnsi="Arial" w:cs="Arial"/>
          <w:b/>
          <w:bCs/>
          <w:caps/>
          <w:sz w:val="20"/>
          <w:szCs w:val="20"/>
          <w:lang w:val="es-ES_tradnl" w:eastAsia="es-ES"/>
        </w:rPr>
        <w:t>6. Condiciones mínimas para el ensanche y refuerzo o sustitución</w:t>
      </w:r>
      <w:r w:rsidR="00B14DCC" w:rsidRPr="0003251D">
        <w:rPr>
          <w:rFonts w:ascii="Arial" w:eastAsia="Calibri" w:hAnsi="Arial" w:cs="Arial"/>
          <w:b/>
          <w:bCs/>
          <w:caps/>
          <w:sz w:val="20"/>
          <w:szCs w:val="20"/>
          <w:lang w:val="es-ES_tradnl" w:eastAsia="es-ES"/>
        </w:rPr>
        <w:t xml:space="preserve"> </w:t>
      </w:r>
      <w:r w:rsidRPr="0003251D">
        <w:rPr>
          <w:rFonts w:ascii="Arial" w:eastAsia="Calibri" w:hAnsi="Arial" w:cs="Arial"/>
          <w:b/>
          <w:bCs/>
          <w:caps/>
          <w:sz w:val="20"/>
          <w:szCs w:val="20"/>
          <w:lang w:val="es-ES_tradnl" w:eastAsia="es-ES"/>
        </w:rPr>
        <w:t>de puentes existentes y</w:t>
      </w:r>
      <w:r w:rsidR="00B14DCC" w:rsidRPr="0003251D">
        <w:rPr>
          <w:rFonts w:ascii="Arial" w:eastAsia="Calibri" w:hAnsi="Arial" w:cs="Arial"/>
          <w:b/>
          <w:bCs/>
          <w:caps/>
          <w:sz w:val="20"/>
          <w:szCs w:val="20"/>
          <w:lang w:val="es-ES_tradnl" w:eastAsia="es-ES"/>
        </w:rPr>
        <w:t xml:space="preserve"> </w:t>
      </w:r>
      <w:r w:rsidRPr="0003251D">
        <w:rPr>
          <w:rFonts w:ascii="Arial" w:eastAsia="Calibri" w:hAnsi="Arial" w:cs="Arial"/>
          <w:b/>
          <w:bCs/>
          <w:caps/>
          <w:sz w:val="20"/>
          <w:szCs w:val="20"/>
          <w:lang w:val="es-ES_tradnl" w:eastAsia="es-ES"/>
        </w:rPr>
        <w:t>para nuevos puentes</w:t>
      </w:r>
    </w:p>
    <w:p w14:paraId="7B12C627" w14:textId="7E17BDB6" w:rsidR="00EB70C0" w:rsidRPr="00CF69B3" w:rsidRDefault="00EB70C0" w:rsidP="00CF69B3">
      <w:pPr>
        <w:tabs>
          <w:tab w:val="left" w:pos="550"/>
        </w:tabs>
        <w:spacing w:after="120"/>
        <w:ind w:left="550"/>
        <w:jc w:val="both"/>
        <w:rPr>
          <w:rFonts w:ascii="Arial" w:hAnsi="Arial" w:cs="Arial"/>
          <w:sz w:val="20"/>
          <w:szCs w:val="20"/>
          <w:u w:val="single"/>
          <w:lang w:val="es-ES_tradnl"/>
        </w:rPr>
      </w:pPr>
      <w:r w:rsidRPr="00CF69B3">
        <w:rPr>
          <w:rFonts w:ascii="Arial" w:hAnsi="Arial" w:cs="Arial"/>
          <w:sz w:val="20"/>
          <w:szCs w:val="20"/>
          <w:lang w:val="es-ES_tradnl"/>
        </w:rPr>
        <w:t xml:space="preserve">Las obras de puesta a punto de puentes </w:t>
      </w:r>
      <w:r w:rsidR="00807BCF">
        <w:rPr>
          <w:rFonts w:ascii="Arial" w:hAnsi="Arial" w:cs="Arial"/>
          <w:sz w:val="20"/>
          <w:szCs w:val="20"/>
          <w:lang w:val="es-ES_tradnl"/>
        </w:rPr>
        <w:t xml:space="preserve">de cada etapa </w:t>
      </w:r>
      <w:r w:rsidRPr="00CF69B3">
        <w:rPr>
          <w:rFonts w:ascii="Arial" w:hAnsi="Arial" w:cs="Arial"/>
          <w:sz w:val="20"/>
          <w:szCs w:val="20"/>
          <w:lang w:val="es-ES_tradnl"/>
        </w:rPr>
        <w:t>y obras mínimas obligatorias</w:t>
      </w:r>
      <w:r w:rsidR="0084163A">
        <w:rPr>
          <w:rFonts w:ascii="Arial" w:hAnsi="Arial" w:cs="Arial"/>
          <w:sz w:val="20"/>
          <w:szCs w:val="20"/>
          <w:lang w:val="es-ES_tradnl"/>
        </w:rPr>
        <w:t>,</w:t>
      </w:r>
      <w:r w:rsidRPr="00CF69B3">
        <w:rPr>
          <w:rFonts w:ascii="Arial" w:hAnsi="Arial" w:cs="Arial"/>
          <w:sz w:val="20"/>
          <w:szCs w:val="20"/>
          <w:lang w:val="es-ES_tradnl"/>
        </w:rPr>
        <w:t xml:space="preserve"> deberán cumplir como mínimo las condiciones exigidas</w:t>
      </w:r>
      <w:r w:rsidRPr="00CF69B3">
        <w:rPr>
          <w:rFonts w:ascii="Arial" w:hAnsi="Arial" w:cs="Arial"/>
          <w:sz w:val="20"/>
          <w:szCs w:val="20"/>
          <w:lang w:val="es-UY"/>
        </w:rPr>
        <w:t xml:space="preserve"> en el Pliego de Condiciones de la DNV, en las “Especificaciones Técnicas Complementarias y/o Modificativas del Pliego de Condiciones para la Construcción de Puentes y Carreteras de la Dirección Nacional de Vialidad”</w:t>
      </w:r>
      <w:r w:rsidRPr="00CF69B3">
        <w:rPr>
          <w:rFonts w:ascii="Arial" w:hAnsi="Arial" w:cs="Arial"/>
          <w:sz w:val="20"/>
          <w:szCs w:val="20"/>
          <w:lang w:val="es-ES_tradnl"/>
        </w:rPr>
        <w:t xml:space="preserve">, las establecidas en el presente Pliego en la Sección II, en el </w:t>
      </w:r>
      <w:hyperlink w:anchor="A_11" w:history="1">
        <w:r w:rsidRPr="003218BC">
          <w:rPr>
            <w:rStyle w:val="Hipervnculo"/>
            <w:rFonts w:ascii="Arial" w:hAnsi="Arial" w:cs="Arial"/>
            <w:sz w:val="20"/>
            <w:szCs w:val="20"/>
            <w:lang w:val="es-ES_tradnl"/>
          </w:rPr>
          <w:t>Anexo XI</w:t>
        </w:r>
      </w:hyperlink>
      <w:r w:rsidRPr="00CF69B3">
        <w:rPr>
          <w:rFonts w:ascii="Arial" w:hAnsi="Arial" w:cs="Arial"/>
          <w:sz w:val="20"/>
          <w:szCs w:val="20"/>
          <w:lang w:val="es-ES_tradnl"/>
        </w:rPr>
        <w:t xml:space="preserve"> Obras Varias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y las aquí indicadas</w:t>
      </w:r>
      <w:r w:rsidR="0084163A">
        <w:rPr>
          <w:rFonts w:ascii="Arial" w:hAnsi="Arial" w:cs="Arial"/>
          <w:sz w:val="20"/>
          <w:szCs w:val="20"/>
          <w:lang w:val="es-ES_tradnl"/>
        </w:rPr>
        <w:t>.</w:t>
      </w:r>
      <w:r w:rsidRPr="00CF69B3">
        <w:rPr>
          <w:rFonts w:ascii="Arial" w:hAnsi="Arial" w:cs="Arial"/>
          <w:sz w:val="20"/>
          <w:szCs w:val="20"/>
          <w:lang w:val="es-ES_tradnl"/>
        </w:rPr>
        <w:t xml:space="preserve"> </w:t>
      </w:r>
    </w:p>
    <w:p w14:paraId="1A48B0F2" w14:textId="77777777" w:rsidR="00EB70C0" w:rsidRPr="00CF69B3" w:rsidRDefault="00776EE3" w:rsidP="00CF69B3">
      <w:pPr>
        <w:keepNext/>
        <w:spacing w:before="240" w:after="60"/>
        <w:ind w:left="330"/>
        <w:jc w:val="both"/>
        <w:rPr>
          <w:rFonts w:ascii="Arial" w:hAnsi="Arial" w:cs="Arial"/>
          <w:i/>
          <w:iCs/>
          <w:snapToGrid w:val="0"/>
          <w:sz w:val="20"/>
          <w:szCs w:val="20"/>
          <w:lang w:val="es-ES_tradnl" w:eastAsia="es-ES"/>
        </w:rPr>
      </w:pPr>
      <w:r w:rsidRPr="00CF69B3">
        <w:rPr>
          <w:rFonts w:ascii="Arial" w:hAnsi="Arial" w:cs="Arial"/>
          <w:snapToGrid w:val="0"/>
          <w:sz w:val="20"/>
          <w:szCs w:val="20"/>
          <w:lang w:val="es-ES_tradnl" w:eastAsia="es-ES"/>
        </w:rPr>
        <w:t>6.</w:t>
      </w:r>
      <w:r w:rsidR="00EB70C0" w:rsidRPr="00CF69B3">
        <w:rPr>
          <w:rFonts w:ascii="Arial" w:hAnsi="Arial" w:cs="Arial"/>
          <w:snapToGrid w:val="0"/>
          <w:sz w:val="20"/>
          <w:szCs w:val="20"/>
          <w:lang w:val="es-ES_tradnl" w:eastAsia="es-ES"/>
        </w:rPr>
        <w:t>1.</w:t>
      </w:r>
      <w:r w:rsidR="00B14DCC" w:rsidRPr="00CF69B3">
        <w:rPr>
          <w:rFonts w:ascii="Arial" w:hAnsi="Arial" w:cs="Arial"/>
          <w:snapToGrid w:val="0"/>
          <w:sz w:val="20"/>
          <w:szCs w:val="20"/>
          <w:lang w:val="es-ES_tradnl" w:eastAsia="es-ES"/>
        </w:rPr>
        <w:t xml:space="preserve"> </w:t>
      </w:r>
      <w:r w:rsidR="00EB70C0" w:rsidRPr="00CF69B3">
        <w:rPr>
          <w:rFonts w:ascii="Arial" w:hAnsi="Arial" w:cs="Arial"/>
          <w:snapToGrid w:val="0"/>
          <w:sz w:val="20"/>
          <w:szCs w:val="20"/>
          <w:lang w:val="es-ES_tradnl" w:eastAsia="es-ES"/>
        </w:rPr>
        <w:t>Condiciones del proyecto</w:t>
      </w:r>
    </w:p>
    <w:p w14:paraId="71B8E13E" w14:textId="77777777" w:rsidR="00EB70C0" w:rsidRPr="00CF69B3" w:rsidRDefault="00EB70C0" w:rsidP="00CF69B3">
      <w:pPr>
        <w:tabs>
          <w:tab w:val="left" w:pos="851"/>
        </w:tabs>
        <w:spacing w:after="120"/>
        <w:jc w:val="both"/>
        <w:rPr>
          <w:rFonts w:ascii="Arial" w:hAnsi="Arial" w:cs="Arial"/>
          <w:snapToGrid w:val="0"/>
          <w:sz w:val="20"/>
          <w:szCs w:val="20"/>
          <w:lang w:val="es-ES_tradnl"/>
        </w:rPr>
      </w:pPr>
      <w:r w:rsidRPr="00CF69B3">
        <w:rPr>
          <w:rFonts w:ascii="Arial" w:hAnsi="Arial" w:cs="Arial"/>
          <w:snapToGrid w:val="0"/>
          <w:sz w:val="20"/>
          <w:szCs w:val="20"/>
          <w:lang w:val="es-ES_tradnl"/>
        </w:rPr>
        <w:tab/>
        <w:t>El proyecto deberá cumplir:</w:t>
      </w:r>
    </w:p>
    <w:p w14:paraId="5CA6039A" w14:textId="77777777" w:rsidR="00EB70C0" w:rsidRPr="00CF69B3" w:rsidRDefault="00EB70C0" w:rsidP="009A58E0">
      <w:pPr>
        <w:widowControl w:val="0"/>
        <w:numPr>
          <w:ilvl w:val="0"/>
          <w:numId w:val="54"/>
        </w:numPr>
        <w:tabs>
          <w:tab w:val="left" w:pos="-1417"/>
          <w:tab w:val="left" w:pos="-720"/>
          <w:tab w:val="num" w:pos="770"/>
        </w:tabs>
        <w:spacing w:after="120"/>
        <w:ind w:left="770" w:firstLine="0"/>
        <w:jc w:val="both"/>
        <w:rPr>
          <w:rFonts w:ascii="Arial" w:hAnsi="Arial" w:cs="Arial"/>
          <w:sz w:val="20"/>
          <w:szCs w:val="20"/>
          <w:lang w:val="es-ES_tradnl" w:eastAsia="es-ES"/>
        </w:rPr>
      </w:pPr>
      <w:r w:rsidRPr="00CF69B3">
        <w:rPr>
          <w:rFonts w:ascii="Arial" w:hAnsi="Arial" w:cs="Arial"/>
          <w:sz w:val="20"/>
          <w:szCs w:val="20"/>
          <w:lang w:val="es-ES_tradnl" w:eastAsia="es-ES"/>
        </w:rPr>
        <w:t>Planialtimetría</w:t>
      </w:r>
    </w:p>
    <w:p w14:paraId="67E5235A"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En caso de puentes existentes sin deficiencias hidráulicas y en una situación planialtimétrica que permita una velocidad de circulación no inferior a 90km/h la cota de firme terminado </w:t>
      </w:r>
      <w:r w:rsidRPr="00CF69B3">
        <w:rPr>
          <w:rFonts w:ascii="Arial" w:hAnsi="Arial" w:cs="Arial"/>
          <w:sz w:val="20"/>
          <w:szCs w:val="20"/>
          <w:lang w:val="es-ES_tradnl" w:eastAsia="es-ES"/>
        </w:rPr>
        <w:lastRenderedPageBreak/>
        <w:t>podrá mantenerse o podrá diferir de la existente pero en ese caso deberá proyectarse una nueva rasante de condiciones altimétricas no inferiores a la existente.</w:t>
      </w:r>
    </w:p>
    <w:p w14:paraId="5C8A2FED"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En caso de puentes existentes sin deficiencias hidráulicas pero en una situación planialtimétrica que no permita una velocidad de circulación de 90km/h la</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obra de refuerzo y ensanche o de sustitución del puente deberá incluir la rectificación planialtimétrica para una velocidad mínima de 90km/h.</w:t>
      </w:r>
    </w:p>
    <w:p w14:paraId="3C5D7715" w14:textId="77777777" w:rsidR="00EB70C0" w:rsidRPr="00CF69B3" w:rsidRDefault="00EB70C0" w:rsidP="0003251D">
      <w:pPr>
        <w:widowControl w:val="0"/>
        <w:tabs>
          <w:tab w:val="left" w:pos="-1417"/>
          <w:tab w:val="left" w:pos="-72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En caso de puentes existentes con deficiencias hidráulicas la obra del puente deberá eliminar la insuficiencia hidráulica y cumplir condiciones planialtimétrica para una velocidad mínima de 90km/h.</w:t>
      </w:r>
    </w:p>
    <w:p w14:paraId="68AE2E41" w14:textId="77777777" w:rsidR="00EB70C0" w:rsidRPr="00CF69B3" w:rsidRDefault="00EB70C0" w:rsidP="00CF69B3">
      <w:pPr>
        <w:widowControl w:val="0"/>
        <w:tabs>
          <w:tab w:val="left" w:pos="-1417"/>
          <w:tab w:val="left" w:pos="-720"/>
          <w:tab w:val="num" w:pos="770"/>
        </w:tabs>
        <w:spacing w:after="120"/>
        <w:ind w:left="770"/>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 b)</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La longitud del puente, la superficie efectiva de desagüe y la franquía no serán inferiores</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a las del puente existente, a las indicadas en forma específica en este Pliego o a las del proyecto de referencia en caso de existir y resultar mayor.</w:t>
      </w:r>
    </w:p>
    <w:p w14:paraId="7D315458"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c)</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Calzada: será de un mínimo de 9,20 m de ancho entre pie de barreras tipo New Jersey, incluyendo los 7,20 m de ancho de calzada propiamente dicha y 1m a cada lado de banquina, o del ancho indicado en forma específica en este Pliego</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en caso que resulte mayor.</w:t>
      </w:r>
    </w:p>
    <w:p w14:paraId="687DA0EA"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d)</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En caso que se requieran veredas peatonales o ciclovías </w:t>
      </w:r>
      <w:r w:rsidRPr="00CF69B3">
        <w:rPr>
          <w:rFonts w:ascii="Arial" w:hAnsi="Arial" w:cs="Arial"/>
          <w:sz w:val="20"/>
          <w:szCs w:val="20"/>
          <w:lang w:val="es-ES_tradnl" w:eastAsia="es-ES"/>
        </w:rPr>
        <w:lastRenderedPageBreak/>
        <w:t>las mismas tendrán un ancho mínimo de 1m o 1.80 m respectivamente y se dispondrán por fuera de las barreras New Jersey. Llevarán barandas por fuera que deberán ser dimensionadas para las cargas indicadas en el Artículo D-5-2-5 de la Sección X – Capítulo D del PV, sin modificaciones.</w:t>
      </w:r>
    </w:p>
    <w:p w14:paraId="36930F0B"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e)</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La separación entre pilas no será inferior</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a la existente o a la del proyecto de referencia en caso de resultar mayor. </w:t>
      </w:r>
    </w:p>
    <w:p w14:paraId="42B4F143"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f)</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 Sobrepiso: la losa de tablero deberá llevar una capa de desgaste de carpeta asfáltica u hormigón con un espesor mínimo de 0,04 m. En caso que sea con carpeta asfáltica la misma se prolongará en la losa de acceso.</w:t>
      </w:r>
    </w:p>
    <w:p w14:paraId="32987022"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g)</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 xml:space="preserve"> Defensas: se dispondrán en el borde de la calzada, serán tipo New Jersey de hormigón armado con el perfil indicado en el detalle y diseñadas para soportar una fuerza de choque accidental de 20 toneladas aplicada perpendicularmente y a la altura de su cara superior. Esta fuerza podrá suponerse repartida uniformemente en la base de la barrera, en un ancho de 3 m.</w:t>
      </w:r>
    </w:p>
    <w:p w14:paraId="1D128532" w14:textId="77777777" w:rsidR="00EB70C0" w:rsidRPr="00CF69B3" w:rsidRDefault="00EB70C0" w:rsidP="00CF69B3">
      <w:pPr>
        <w:widowControl w:val="0"/>
        <w:tabs>
          <w:tab w:val="left" w:pos="-1417"/>
          <w:tab w:val="left" w:pos="-720"/>
        </w:tabs>
        <w:spacing w:before="360" w:after="120"/>
        <w:ind w:left="851"/>
        <w:jc w:val="both"/>
        <w:rPr>
          <w:rFonts w:ascii="Arial" w:hAnsi="Arial" w:cs="Arial"/>
          <w:b/>
          <w:bCs/>
          <w:sz w:val="20"/>
          <w:szCs w:val="20"/>
          <w:lang w:val="es-UY" w:eastAsia="es-ES"/>
        </w:rPr>
      </w:pPr>
      <w:r w:rsidRPr="00CF69B3">
        <w:rPr>
          <w:rFonts w:ascii="Arial" w:hAnsi="Arial" w:cs="Arial"/>
          <w:b/>
          <w:bCs/>
          <w:sz w:val="20"/>
          <w:szCs w:val="20"/>
          <w:lang w:val="es-UY" w:eastAsia="es-ES"/>
        </w:rPr>
        <w:t>Defensas Tipo New Jersey</w:t>
      </w:r>
    </w:p>
    <w:p w14:paraId="6A8C9585"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2E50FEA9"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r w:rsidRPr="00CF69B3">
        <w:rPr>
          <w:rFonts w:ascii="Arial" w:hAnsi="Arial" w:cs="Arial"/>
          <w:noProof/>
          <w:sz w:val="20"/>
          <w:szCs w:val="20"/>
          <w:lang w:val="es-UY" w:eastAsia="es-UY"/>
        </w:rPr>
        <w:lastRenderedPageBreak/>
        <w:drawing>
          <wp:anchor distT="0" distB="0" distL="114300" distR="114300" simplePos="0" relativeHeight="251657216" behindDoc="1" locked="0" layoutInCell="1" allowOverlap="1" wp14:anchorId="7192A8AF" wp14:editId="225E351E">
            <wp:simplePos x="0" y="0"/>
            <wp:positionH relativeFrom="column">
              <wp:posOffset>777875</wp:posOffset>
            </wp:positionH>
            <wp:positionV relativeFrom="paragraph">
              <wp:posOffset>-144780</wp:posOffset>
            </wp:positionV>
            <wp:extent cx="3523615" cy="2836545"/>
            <wp:effectExtent l="0" t="0" r="0" b="0"/>
            <wp:wrapTight wrapText="bothSides">
              <wp:wrapPolygon edited="0">
                <wp:start x="0" y="0"/>
                <wp:lineTo x="0" y="21469"/>
                <wp:lineTo x="21487" y="21469"/>
                <wp:lineTo x="21487" y="0"/>
                <wp:lineTo x="0" y="0"/>
              </wp:wrapPolygon>
            </wp:wrapTight>
            <wp:docPr id="81" name="Imagen 81" descr="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Sin título-1.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23615" cy="2836545"/>
                    </a:xfrm>
                    <a:prstGeom prst="rect">
                      <a:avLst/>
                    </a:prstGeom>
                    <a:noFill/>
                  </pic:spPr>
                </pic:pic>
              </a:graphicData>
            </a:graphic>
          </wp:anchor>
        </w:drawing>
      </w:r>
    </w:p>
    <w:p w14:paraId="74467015"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4D46DBE6" w14:textId="77777777" w:rsidR="00EB70C0" w:rsidRPr="00CF69B3" w:rsidRDefault="00EB70C0" w:rsidP="00CF69B3">
      <w:pPr>
        <w:widowControl w:val="0"/>
        <w:tabs>
          <w:tab w:val="left" w:pos="-1417"/>
          <w:tab w:val="left" w:pos="-720"/>
        </w:tabs>
        <w:spacing w:after="0"/>
        <w:ind w:left="720" w:hanging="720"/>
        <w:jc w:val="both"/>
        <w:rPr>
          <w:rFonts w:ascii="Arial" w:hAnsi="Arial" w:cs="Arial"/>
          <w:sz w:val="20"/>
          <w:szCs w:val="20"/>
          <w:u w:val="single"/>
          <w:lang w:eastAsia="es-ES"/>
        </w:rPr>
      </w:pPr>
    </w:p>
    <w:p w14:paraId="326EF394"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65833341"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7552312E"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6D35B97B"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4119829E"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0AB4C6A3"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54350985"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p>
    <w:p w14:paraId="11BB16E6" w14:textId="77777777" w:rsidR="00EB70C0" w:rsidRPr="00CF69B3" w:rsidRDefault="00EB70C0" w:rsidP="00CF69B3">
      <w:pPr>
        <w:widowControl w:val="0"/>
        <w:tabs>
          <w:tab w:val="left" w:pos="-1417"/>
          <w:tab w:val="left" w:pos="-720"/>
        </w:tabs>
        <w:spacing w:before="240"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h) Drenes: irán colocados sobre la calzada y al pie del cordón, de 0,05 m de diámetro, o cuadrados de 0,05 m de lado y sobresaldrán 0,15 m de la cara inferior de la losa. Su separación no será superior a 3 m. Sobre la calzada se realizará la correspondiente zona de llamada.</w:t>
      </w:r>
    </w:p>
    <w:p w14:paraId="516A3864" w14:textId="77777777" w:rsidR="00EB70C0" w:rsidRPr="00CF69B3" w:rsidRDefault="00EB70C0" w:rsidP="00CF69B3">
      <w:pPr>
        <w:widowControl w:val="0"/>
        <w:tabs>
          <w:tab w:val="left" w:pos="-1417"/>
          <w:tab w:val="left" w:pos="-720"/>
        </w:tabs>
        <w:spacing w:after="120"/>
        <w:ind w:left="710"/>
        <w:jc w:val="both"/>
        <w:rPr>
          <w:rFonts w:ascii="Arial" w:hAnsi="Arial" w:cs="Arial"/>
          <w:sz w:val="20"/>
          <w:szCs w:val="20"/>
          <w:lang w:val="es-ES_tradnl" w:eastAsia="es-ES"/>
        </w:rPr>
      </w:pPr>
      <w:r w:rsidRPr="00CF69B3">
        <w:rPr>
          <w:rFonts w:ascii="Arial" w:hAnsi="Arial" w:cs="Arial"/>
          <w:sz w:val="20"/>
          <w:szCs w:val="20"/>
          <w:lang w:val="es-ES_tradnl" w:eastAsia="es-ES"/>
        </w:rPr>
        <w:t>i)</w:t>
      </w:r>
      <w:r w:rsidR="00B14DCC" w:rsidRPr="00CF69B3">
        <w:rPr>
          <w:rFonts w:ascii="Arial" w:hAnsi="Arial" w:cs="Arial"/>
          <w:sz w:val="20"/>
          <w:szCs w:val="20"/>
          <w:lang w:val="es-ES_tradnl" w:eastAsia="es-ES"/>
        </w:rPr>
        <w:t xml:space="preserve"> </w:t>
      </w:r>
      <w:r w:rsidRPr="00CF69B3">
        <w:rPr>
          <w:rFonts w:ascii="Arial" w:hAnsi="Arial" w:cs="Arial"/>
          <w:sz w:val="20"/>
          <w:szCs w:val="20"/>
          <w:lang w:val="es-ES_tradnl" w:eastAsia="es-ES"/>
        </w:rPr>
        <w:t>Goterón: llevará uno de cada lado, ubicado a una distancia no mayor de 0,05 m del borde del tablero.</w:t>
      </w:r>
    </w:p>
    <w:p w14:paraId="73022F10" w14:textId="77777777" w:rsidR="00EB70C0" w:rsidRPr="00CF69B3" w:rsidRDefault="00EB70C0" w:rsidP="00CF69B3">
      <w:pPr>
        <w:widowControl w:val="0"/>
        <w:tabs>
          <w:tab w:val="left" w:pos="-1417"/>
          <w:tab w:val="left" w:pos="-720"/>
        </w:tabs>
        <w:spacing w:after="120"/>
        <w:ind w:left="770" w:hanging="110"/>
        <w:jc w:val="both"/>
        <w:rPr>
          <w:rFonts w:ascii="Arial" w:hAnsi="Arial" w:cs="Arial"/>
          <w:sz w:val="20"/>
          <w:szCs w:val="20"/>
          <w:lang w:val="es-ES_tradnl" w:eastAsia="es-ES"/>
        </w:rPr>
      </w:pPr>
      <w:r w:rsidRPr="00CF69B3">
        <w:rPr>
          <w:rFonts w:ascii="Arial" w:hAnsi="Arial" w:cs="Arial"/>
          <w:sz w:val="20"/>
          <w:szCs w:val="20"/>
          <w:lang w:val="es-ES_tradnl" w:eastAsia="es-ES"/>
        </w:rPr>
        <w:t xml:space="preserve">j) Juntas: la separación de juntas no será inferior a 45m, a la </w:t>
      </w:r>
      <w:r w:rsidRPr="00CF69B3">
        <w:rPr>
          <w:rFonts w:ascii="Arial" w:hAnsi="Arial" w:cs="Arial"/>
          <w:sz w:val="20"/>
          <w:szCs w:val="20"/>
          <w:lang w:val="es-ES_tradnl" w:eastAsia="es-ES"/>
        </w:rPr>
        <w:lastRenderedPageBreak/>
        <w:t>indicada en forma específica en este Pliego o a la del proyecto de referencia en ca</w:t>
      </w:r>
      <w:r w:rsidR="00BA03DB" w:rsidRPr="00CF69B3">
        <w:rPr>
          <w:rFonts w:ascii="Arial" w:hAnsi="Arial" w:cs="Arial"/>
          <w:sz w:val="20"/>
          <w:szCs w:val="20"/>
          <w:lang w:val="es-ES_tradnl" w:eastAsia="es-ES"/>
        </w:rPr>
        <w:t xml:space="preserve">so de existir y resultar mayor. </w:t>
      </w:r>
      <w:r w:rsidRPr="00CF69B3">
        <w:rPr>
          <w:rFonts w:ascii="Arial" w:hAnsi="Arial" w:cs="Arial"/>
          <w:sz w:val="20"/>
          <w:szCs w:val="20"/>
          <w:lang w:val="es-ES_tradnl" w:eastAsia="es-ES"/>
        </w:rPr>
        <w:t>En caso de ensanche no se admitirán juntas longitudinales en la unión con la parte ensanchada.</w:t>
      </w:r>
    </w:p>
    <w:p w14:paraId="35D477BE" w14:textId="77777777" w:rsidR="00EB70C0" w:rsidRPr="00CF69B3" w:rsidRDefault="00EB70C0" w:rsidP="00CF69B3">
      <w:pPr>
        <w:spacing w:after="120"/>
        <w:ind w:left="770"/>
        <w:jc w:val="both"/>
        <w:rPr>
          <w:rFonts w:ascii="Arial" w:hAnsi="Arial" w:cs="Arial"/>
          <w:sz w:val="20"/>
          <w:szCs w:val="20"/>
          <w:lang w:val="es-UY"/>
        </w:rPr>
      </w:pPr>
      <w:r w:rsidRPr="00CF69B3">
        <w:rPr>
          <w:rFonts w:ascii="Arial" w:hAnsi="Arial" w:cs="Arial"/>
          <w:sz w:val="20"/>
          <w:szCs w:val="20"/>
          <w:lang w:val="es-UY"/>
        </w:rPr>
        <w:t>En caso de sobrepisos de carpeta asfáltica, se construirán a cada lado de la junta y en todo el ancho de la calzada, fajas de hormigón Clase IV de ancho mínimo de 0,75 m y del mismo espesor del sobrepiso para luego recibir la protección de borde.</w:t>
      </w:r>
    </w:p>
    <w:p w14:paraId="33028279" w14:textId="77777777" w:rsidR="00EB70C0" w:rsidRPr="00CF69B3" w:rsidRDefault="00EB70C0" w:rsidP="00CF69B3">
      <w:pPr>
        <w:tabs>
          <w:tab w:val="left" w:pos="-1417"/>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710"/>
        <w:jc w:val="both"/>
        <w:rPr>
          <w:rFonts w:ascii="Arial" w:hAnsi="Arial" w:cs="Arial"/>
          <w:sz w:val="20"/>
          <w:szCs w:val="20"/>
          <w:lang w:val="es-UY"/>
        </w:rPr>
      </w:pPr>
      <w:r w:rsidRPr="00CF69B3">
        <w:rPr>
          <w:rFonts w:ascii="Arial" w:hAnsi="Arial" w:cs="Arial"/>
          <w:sz w:val="20"/>
          <w:szCs w:val="20"/>
          <w:lang w:val="es-UY"/>
        </w:rPr>
        <w:t>k) Losas de acceso: deberán cumplir con las ETCM y tendrán un ancho mínimo acompañando el ancho del puente</w:t>
      </w:r>
      <w:r w:rsidR="00120471">
        <w:rPr>
          <w:rFonts w:ascii="Arial" w:hAnsi="Arial" w:cs="Arial"/>
          <w:sz w:val="20"/>
          <w:szCs w:val="20"/>
          <w:lang w:val="es-UY"/>
        </w:rPr>
        <w:t xml:space="preserve"> </w:t>
      </w:r>
      <w:r w:rsidRPr="00CF69B3">
        <w:rPr>
          <w:rFonts w:ascii="Arial" w:hAnsi="Arial" w:cs="Arial"/>
          <w:sz w:val="20"/>
          <w:szCs w:val="20"/>
          <w:lang w:val="es-UY"/>
        </w:rPr>
        <w:t>entre pies de barreras New Jersey.</w:t>
      </w:r>
    </w:p>
    <w:p w14:paraId="02543C9E" w14:textId="77777777" w:rsidR="00EB70C0" w:rsidRPr="00CF69B3" w:rsidRDefault="00EB70C0" w:rsidP="00CF69B3">
      <w:pPr>
        <w:tabs>
          <w:tab w:val="left" w:pos="-1417"/>
          <w:tab w:val="left" w:pos="-720"/>
          <w:tab w:val="left" w:pos="851"/>
          <w:tab w:val="left" w:pos="2160"/>
          <w:tab w:val="left" w:pos="2880"/>
          <w:tab w:val="left" w:pos="3600"/>
          <w:tab w:val="left" w:pos="4320"/>
          <w:tab w:val="left" w:pos="5040"/>
          <w:tab w:val="left" w:pos="5760"/>
          <w:tab w:val="left" w:pos="6480"/>
          <w:tab w:val="left" w:pos="7200"/>
          <w:tab w:val="left" w:pos="7920"/>
          <w:tab w:val="left" w:pos="8640"/>
          <w:tab w:val="left" w:pos="9356"/>
        </w:tabs>
        <w:spacing w:after="120"/>
        <w:ind w:left="710"/>
        <w:jc w:val="both"/>
        <w:rPr>
          <w:rFonts w:ascii="Arial" w:hAnsi="Arial" w:cs="Arial"/>
          <w:sz w:val="20"/>
          <w:szCs w:val="20"/>
          <w:lang w:val="es-UY"/>
        </w:rPr>
      </w:pPr>
      <w:r w:rsidRPr="00CF69B3">
        <w:rPr>
          <w:rFonts w:ascii="Arial" w:hAnsi="Arial" w:cs="Arial"/>
          <w:sz w:val="20"/>
          <w:szCs w:val="20"/>
          <w:lang w:val="es-UY"/>
        </w:rPr>
        <w:t>l)</w:t>
      </w:r>
      <w:r w:rsidRPr="00CF69B3">
        <w:rPr>
          <w:rFonts w:ascii="Arial" w:hAnsi="Arial" w:cs="Arial"/>
          <w:sz w:val="20"/>
          <w:szCs w:val="20"/>
          <w:lang w:val="es-UY"/>
        </w:rPr>
        <w:tab/>
        <w:t>Apoyos de neopreno</w:t>
      </w:r>
    </w:p>
    <w:p w14:paraId="74A63902" w14:textId="77777777" w:rsidR="00EB70C0" w:rsidRPr="00CF69B3" w:rsidRDefault="00EB70C0" w:rsidP="00CF69B3">
      <w:pPr>
        <w:spacing w:after="120"/>
        <w:ind w:left="770"/>
        <w:jc w:val="both"/>
        <w:rPr>
          <w:rFonts w:ascii="Arial" w:hAnsi="Arial" w:cs="Arial"/>
          <w:sz w:val="20"/>
          <w:szCs w:val="20"/>
          <w:lang w:val="es-ES_tradnl"/>
        </w:rPr>
      </w:pPr>
      <w:r w:rsidRPr="00CF69B3">
        <w:rPr>
          <w:rFonts w:ascii="Arial" w:hAnsi="Arial" w:cs="Arial"/>
          <w:sz w:val="20"/>
          <w:szCs w:val="20"/>
          <w:lang w:val="es-ES_tradnl"/>
        </w:rPr>
        <w:t>Para la certificación de calidad que establece la cláusula 11.7 de las ETCM, se exigirán, además de los ensayos de recepción establecidos en la parte II del Anexo de la Sección III del PV relativos al</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xml:space="preserve">material elastómero, los ensayos relativos al acero de las chapas y los correspondientes a los apoyos complexivos (compresión simple, distorsión, deslizamiento) establecidos en la norma brasilera NBR9783 u otra norma equivalente internacionalmente reconocida. En cuanto a lo establecido en el numeral 11.7.1 de las ETCM </w:t>
      </w:r>
      <w:r w:rsidRPr="00CF69B3">
        <w:rPr>
          <w:rFonts w:ascii="Arial" w:hAnsi="Arial" w:cs="Arial"/>
          <w:sz w:val="20"/>
          <w:szCs w:val="20"/>
          <w:lang w:val="es-ES_tradnl"/>
        </w:rPr>
        <w:lastRenderedPageBreak/>
        <w:t xml:space="preserve">para la previsión de cambio de apoyos de neopreno, se deberá considerar que la altura mínima de los gatos será de 20 cm. </w:t>
      </w:r>
    </w:p>
    <w:p w14:paraId="27E60A1A" w14:textId="77777777" w:rsidR="00FC0B39" w:rsidRPr="00FC0B39" w:rsidRDefault="00EB70C0" w:rsidP="00FC0B39">
      <w:pPr>
        <w:spacing w:after="120"/>
        <w:ind w:left="851" w:hanging="191"/>
        <w:jc w:val="both"/>
        <w:rPr>
          <w:rFonts w:ascii="Arial" w:hAnsi="Arial" w:cs="Arial"/>
          <w:sz w:val="20"/>
          <w:szCs w:val="20"/>
          <w:lang w:val="es-ES_tradnl"/>
        </w:rPr>
      </w:pPr>
      <w:r w:rsidRPr="00CF69B3">
        <w:rPr>
          <w:rFonts w:ascii="Arial" w:hAnsi="Arial" w:cs="Arial"/>
          <w:sz w:val="20"/>
          <w:szCs w:val="20"/>
          <w:lang w:val="es-ES_tradnl"/>
        </w:rPr>
        <w:t>m)</w:t>
      </w:r>
      <w:r w:rsidR="00FC0B39">
        <w:rPr>
          <w:rFonts w:ascii="Arial" w:hAnsi="Arial" w:cs="Arial"/>
          <w:sz w:val="20"/>
          <w:szCs w:val="20"/>
          <w:lang w:val="es-ES_tradnl"/>
        </w:rPr>
        <w:t xml:space="preserve"> Cargas verticales de diseño sobre calzada</w:t>
      </w:r>
    </w:p>
    <w:p w14:paraId="3F1E421D"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carga móvil sobre calzada correspondiente al vehículo y la carga distribuida de 500 kg por metro cuadrado establecidas en la Sección X, Artículo D-5-2-1 del PV y las ETCM será considerada para la faja principal de 3,0 metros de ancho. Para la faja secundaria de 3,0 metros de ancho adosada a la principal se considerará un camión de las mismas características geométricas pero de 30t de carga total con 5t de carga de rueda y una superficie de apoyo por rueda de 40cm por 20 cm.</w:t>
      </w:r>
    </w:p>
    <w:p w14:paraId="06DB34FF"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Para estructuras con ancho de calzada mayor a 9,20m entre pie de barreras New Jersey extremas o cara interior de barreras flexbeam extremas, se considerará una tercera faja de 3 metros de ancho con un camión de iguales características pero de 21t de carga total con 3,5t de carga de rueda y una superficie de apoyo por rueda de 40cm por 20 cm.</w:t>
      </w:r>
    </w:p>
    <w:p w14:paraId="228CC1AD"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carga distribuida en las sendas secundaria y terciaria, en el resto de la calzada y veredas será de 300 kg por metro cuadrado.</w:t>
      </w:r>
    </w:p>
    <w:p w14:paraId="0CEED5AE"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lastRenderedPageBreak/>
        <w:t xml:space="preserve">   Tanto los vehículos como las cargas uniformes serán colocadas en la posición más desfavorable para el cálculo de cada elemento, tanto en el sentido longitudinal como en el transversal pero manteniendo los vehículos de las fajas principal y secundaria en la misma ubicación longitudinal, no debiendo considerarse las cargas del eje, rueda o superficie que produzca reducción de los esfuerzos solicitantes. En el cálculo del tablero la rueda se puede suponer adosada al elemento de contención fijo no rebasable (New Jersey, Flex beam) y los vehículos aproximarse transversalmente con una distancia entre ejes de ruedas mayor o igual a 0,50 metros, adecuando el ancho de las fajas de carga en consecuencia.</w:t>
      </w:r>
    </w:p>
    <w:p w14:paraId="418820CB" w14:textId="77777777" w:rsidR="00FC0B39" w:rsidRPr="00FC0B39" w:rsidRDefault="00FC0B39" w:rsidP="00FC0B39">
      <w:pPr>
        <w:spacing w:after="120"/>
        <w:ind w:left="851" w:hanging="191"/>
        <w:jc w:val="both"/>
        <w:rPr>
          <w:rFonts w:ascii="Arial" w:hAnsi="Arial" w:cs="Arial"/>
          <w:sz w:val="20"/>
          <w:szCs w:val="20"/>
          <w:lang w:val="es-ES_tradnl"/>
        </w:rPr>
      </w:pPr>
    </w:p>
    <w:p w14:paraId="1E5EE882"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Se empleará una única distribución de fajas de cargas para todo el tablero, aunque la plataforma soporte dos o más vías separadas por barreras fijas y no rebasables (habrá sólo una faja principal, secundaria, etc). </w:t>
      </w:r>
    </w:p>
    <w:p w14:paraId="3A0A981F" w14:textId="77777777" w:rsidR="00EB70C0" w:rsidRPr="00CF69B3"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Cuando existan varias vías soportadas por tableros separados, cada uno de ellos tendrá sus fajas de cargas, a efectos de las comprobaciones de los estados límite del tablero así como de la subestructura, si ésta es independiente para cada tablero. Si dichos tableros están soportados por la </w:t>
      </w:r>
      <w:r w:rsidRPr="00FC0B39">
        <w:rPr>
          <w:rFonts w:ascii="Arial" w:hAnsi="Arial" w:cs="Arial"/>
          <w:sz w:val="20"/>
          <w:szCs w:val="20"/>
          <w:lang w:val="es-ES_tradnl"/>
        </w:rPr>
        <w:lastRenderedPageBreak/>
        <w:t xml:space="preserve">misma subestructura, pilas o estribos, a efectos del cálculo de esos elementos, se considerará un único grupo de fajas de carga para el conjunto de los tableros.   </w:t>
      </w:r>
    </w:p>
    <w:p w14:paraId="437AAF62" w14:textId="77777777" w:rsidR="00FC0B39" w:rsidRPr="00FC0B39" w:rsidRDefault="00EB70C0" w:rsidP="00FC0B39">
      <w:pPr>
        <w:spacing w:after="120"/>
        <w:ind w:left="851" w:hanging="191"/>
        <w:jc w:val="both"/>
        <w:rPr>
          <w:rFonts w:ascii="Arial" w:hAnsi="Arial" w:cs="Arial"/>
          <w:sz w:val="20"/>
          <w:szCs w:val="20"/>
          <w:lang w:val="es-ES_tradnl"/>
        </w:rPr>
      </w:pPr>
      <w:r w:rsidRPr="00CF69B3">
        <w:rPr>
          <w:rFonts w:ascii="Arial" w:hAnsi="Arial" w:cs="Arial"/>
          <w:sz w:val="20"/>
          <w:szCs w:val="20"/>
          <w:lang w:val="es-ES_tradnl"/>
        </w:rPr>
        <w:t xml:space="preserve">n) </w:t>
      </w:r>
      <w:r w:rsidR="00FC0B39" w:rsidRPr="00FC0B39">
        <w:rPr>
          <w:rFonts w:ascii="Arial" w:hAnsi="Arial" w:cs="Arial"/>
          <w:sz w:val="20"/>
          <w:szCs w:val="20"/>
          <w:lang w:val="es-ES_tradnl"/>
        </w:rPr>
        <w:t>Se modifica el Art.D-5-6 Esfuerzo longitudinal por aceleración o frenado de la Sección X del PV quedando redactado de la siguiente forma:</w:t>
      </w:r>
    </w:p>
    <w:p w14:paraId="54A71F70" w14:textId="77777777" w:rsidR="00EB70C0" w:rsidRPr="00CF69B3"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Se considerará como representativa de este esfuerzo, una fuerza horizontal paralela al eje del puente y ubicada el nivel de calzada. Dicha fuerza tendrá una magnitud igual al 5% de la carga vertical correspondiente al total de la carga móvil y sin impacto. No obstante en ningún caso las solicitaciones provocadas podrán ser inferiores a las que resulten de aplicar en un solo tramo del puente una carga concentrada horizontal y paralela al eje del puente al nivel de la calzada de 26.000 kilogramos. Para estructuras con ancho de calzada mayor a 9,20m entre pie de barreras New Jersey extremas o cara interior de barreras flexbeam extremas, este valor será de 36.000 kilogramos.</w:t>
      </w:r>
    </w:p>
    <w:p w14:paraId="2A6DE78D" w14:textId="77777777" w:rsidR="00FC0B39" w:rsidRPr="00FC0B39" w:rsidRDefault="00EB70C0" w:rsidP="00FC0B39">
      <w:pPr>
        <w:keepNext/>
        <w:tabs>
          <w:tab w:val="left" w:pos="-1440"/>
        </w:tabs>
        <w:ind w:left="660" w:hanging="60"/>
        <w:jc w:val="both"/>
        <w:rPr>
          <w:rFonts w:ascii="Arial" w:hAnsi="Arial" w:cs="Arial"/>
          <w:sz w:val="20"/>
          <w:szCs w:val="20"/>
        </w:rPr>
      </w:pPr>
      <w:r w:rsidRPr="00CF69B3">
        <w:rPr>
          <w:rFonts w:ascii="Arial" w:hAnsi="Arial" w:cs="Arial"/>
          <w:sz w:val="20"/>
          <w:szCs w:val="20"/>
        </w:rPr>
        <w:t xml:space="preserve"> o) </w:t>
      </w:r>
      <w:r w:rsidR="00FC0B39" w:rsidRPr="00FC0B39">
        <w:rPr>
          <w:rFonts w:ascii="Arial" w:hAnsi="Arial" w:cs="Arial"/>
          <w:sz w:val="20"/>
          <w:szCs w:val="20"/>
        </w:rPr>
        <w:t>Cargas sobre las veredas y/o ciclovías</w:t>
      </w:r>
    </w:p>
    <w:p w14:paraId="5558DA39"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rPr>
        <w:t xml:space="preserve">   </w:t>
      </w:r>
      <w:r w:rsidRPr="00FC0B39">
        <w:rPr>
          <w:rFonts w:ascii="Arial" w:hAnsi="Arial" w:cs="Arial"/>
          <w:sz w:val="20"/>
          <w:szCs w:val="20"/>
          <w:lang w:val="es-ES_tradnl"/>
        </w:rPr>
        <w:t>Se modifica el Art.D-5-2-3 Cargas sobre las veredas de la Sección X del PV quedando redactado de la siguiente forma:</w:t>
      </w:r>
    </w:p>
    <w:p w14:paraId="4CB899EB"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lastRenderedPageBreak/>
        <w:t xml:space="preserve">   El piso de las veredas y/o ciclovías y sus soportes inmediatos deberán ser calculados para una carga móvil de quinientos (500) kilogramos por metro cuadrado de superficie de vereda.</w:t>
      </w:r>
    </w:p>
    <w:p w14:paraId="60F5A4B6"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 influencia de las cargas en las veredas y/o ciclovías sobre los demás elementos de la estructura se calcularán con la base de una carga móvil uniformemente distribuida aplicada sobre la superficie de aquellas, de trescientos (300) kilogramos por metro cuadrado.</w:t>
      </w:r>
    </w:p>
    <w:p w14:paraId="4ABCB9E0"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Estas cargas uniformes podrán considerarse continuas o discontinuas o no considerarse en una vereda y/o ciclovía, o en ambas según convenga para producir los esfuerzos más desfavorables.</w:t>
      </w:r>
    </w:p>
    <w:p w14:paraId="4533A576" w14:textId="77777777" w:rsidR="00FC0B39" w:rsidRPr="00FC0B39" w:rsidRDefault="00FC0B39" w:rsidP="00FC0B39">
      <w:pPr>
        <w:spacing w:after="120"/>
        <w:ind w:left="851" w:hanging="191"/>
        <w:jc w:val="both"/>
        <w:rPr>
          <w:rFonts w:ascii="Arial" w:hAnsi="Arial" w:cs="Arial"/>
          <w:sz w:val="20"/>
          <w:szCs w:val="20"/>
          <w:lang w:val="es-ES_tradnl"/>
        </w:rPr>
      </w:pPr>
      <w:r w:rsidRPr="00FC0B39">
        <w:rPr>
          <w:rFonts w:ascii="Arial" w:hAnsi="Arial" w:cs="Arial"/>
          <w:sz w:val="20"/>
          <w:szCs w:val="20"/>
          <w:lang w:val="es-ES_tradnl"/>
        </w:rPr>
        <w:t xml:space="preserve">   Las veredas y/o ciclovías no protegidas deberán diseñarse para soportar una rueda del vehículo tipo (7.500 kg). Esta carga no se superpondrá con las otras cargas de diseño de la vereda. La absorción de esta carga debe ser verificada en la propia vereda y/o ciclovía y en los elementos estructurales que soportan en forma inmediata.</w:t>
      </w:r>
    </w:p>
    <w:p w14:paraId="695F6699" w14:textId="77777777" w:rsidR="00EB70C0" w:rsidRPr="00FC0B39" w:rsidRDefault="00FC0B39" w:rsidP="00CF69B3">
      <w:pPr>
        <w:keepNext/>
        <w:tabs>
          <w:tab w:val="left" w:pos="-1440"/>
        </w:tabs>
        <w:ind w:left="660" w:hanging="60"/>
        <w:jc w:val="both"/>
        <w:rPr>
          <w:rFonts w:ascii="Arial" w:hAnsi="Arial" w:cs="Arial"/>
          <w:sz w:val="20"/>
          <w:szCs w:val="20"/>
        </w:rPr>
      </w:pPr>
      <w:r w:rsidRPr="00FC0B39">
        <w:rPr>
          <w:rFonts w:ascii="Arial" w:hAnsi="Arial" w:cs="Arial"/>
          <w:sz w:val="20"/>
          <w:szCs w:val="20"/>
        </w:rPr>
        <w:lastRenderedPageBreak/>
        <w:t xml:space="preserve">p) </w:t>
      </w:r>
      <w:r w:rsidR="00EB70C0" w:rsidRPr="00FC0B39">
        <w:rPr>
          <w:rFonts w:ascii="Arial" w:hAnsi="Arial" w:cs="Arial"/>
          <w:sz w:val="20"/>
          <w:szCs w:val="20"/>
        </w:rPr>
        <w:t>Estudios hidrológicos e hidráulicos, deberán contemplar como mínimo:</w:t>
      </w:r>
    </w:p>
    <w:p w14:paraId="0BEFE768"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Definición de las cuencas sobre fotografías aéreas o cartas del SGM de escala adecuada, con su correspondiente verificación en terreno y cuantificación de áreas.</w:t>
      </w:r>
    </w:p>
    <w:p w14:paraId="0D8D42DF"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Evaluación de las características topográficas de la zona, los tipos de los suelos y vegetación de las cuencas y definición de los parámetros de diseño.</w:t>
      </w:r>
    </w:p>
    <w:p w14:paraId="7F4B206D"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Plano de la cuenca, con ubicación en planta de la estructura a proyectar.</w:t>
      </w:r>
    </w:p>
    <w:p w14:paraId="0027F761"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Recopilación de Antecedentes</w:t>
      </w:r>
    </w:p>
    <w:p w14:paraId="1849E86E"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Precipitaciones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pluviales – Recopilación de registros históricos y actuales, curvas IDF.</w:t>
      </w:r>
    </w:p>
    <w:p w14:paraId="66669389"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Datos de Caudales de los cursos de agua (Caudales medidos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 Recopilación de registros históricos y actuales del curso analizado preferentemente, con el área de cuenca de aporte al punto de aforo).</w:t>
      </w:r>
    </w:p>
    <w:p w14:paraId="0836D33C"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Recomendaciones especiales sobre Emplazamiento de pilas y estribos.</w:t>
      </w:r>
    </w:p>
    <w:p w14:paraId="3A525008"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Cálculo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hidrológico e hidráulico.</w:t>
      </w:r>
    </w:p>
    <w:p w14:paraId="02D51555"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 xml:space="preserve">Verificación hidráulica de la estructura planteada con modelación, se deberá indicar el área inundada aguas arriba de la estructura. Justificando coeficientes empleados: CN, </w:t>
      </w:r>
      <w:r w:rsidRPr="00CF69B3">
        <w:rPr>
          <w:rFonts w:ascii="Arial" w:hAnsi="Arial" w:cs="Arial"/>
          <w:sz w:val="20"/>
          <w:szCs w:val="20"/>
          <w:lang w:val="es-ES_tradnl"/>
        </w:rPr>
        <w:lastRenderedPageBreak/>
        <w:t>n de Nanning, parámetros de f</w:t>
      </w:r>
      <w:r w:rsidR="00E2245F">
        <w:rPr>
          <w:rFonts w:ascii="Arial" w:hAnsi="Arial" w:cs="Arial"/>
          <w:sz w:val="20"/>
          <w:szCs w:val="20"/>
          <w:lang w:val="es-ES_tradnl"/>
        </w:rPr>
        <w:t>ó</w:t>
      </w:r>
      <w:r w:rsidRPr="00CF69B3">
        <w:rPr>
          <w:rFonts w:ascii="Arial" w:hAnsi="Arial" w:cs="Arial"/>
          <w:sz w:val="20"/>
          <w:szCs w:val="20"/>
          <w:lang w:val="es-ES_tradnl"/>
        </w:rPr>
        <w:t>rmulas de erosión. Y realizando una Modelación hidráulica HEC-RAS o similar.</w:t>
      </w:r>
    </w:p>
    <w:p w14:paraId="43A009DD"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Definición de Sección de escurrimiento necesaria. Se deberá hacer en la sección próxima al puente, en la que resulte más desfavorable desde el punto de vista de la erosión.</w:t>
      </w:r>
    </w:p>
    <w:p w14:paraId="6DA72EAA"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Desarrollo y Cálculo de la Socavación general, por contracción y localizada. Se deberá hacer en la sección próxima al puente, en la que resulte más desfavorable desde el punto de vista de la erosión.</w:t>
      </w:r>
    </w:p>
    <w:p w14:paraId="41B61643"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En caso de existencia de agradación o azolve determinación de la tasa de transporte de sedimentos.</w:t>
      </w:r>
      <w:r w:rsidR="00B14DCC" w:rsidRPr="00CF69B3">
        <w:rPr>
          <w:rFonts w:ascii="Arial" w:hAnsi="Arial" w:cs="Arial"/>
          <w:sz w:val="20"/>
          <w:szCs w:val="20"/>
          <w:lang w:val="es-ES_tradnl"/>
        </w:rPr>
        <w:t xml:space="preserve"> </w:t>
      </w:r>
    </w:p>
    <w:p w14:paraId="0180CE67"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Diseño de Protección de taludes y riberas, planos de los mismos, indicando dimensiones y cotas.</w:t>
      </w:r>
    </w:p>
    <w:p w14:paraId="457AF286"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Planos, esquemas y cuadros</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donde se volcara toda la información obtenida y/o calculada.</w:t>
      </w:r>
      <w:r w:rsidR="00B14DCC" w:rsidRPr="00CF69B3">
        <w:rPr>
          <w:rFonts w:ascii="Arial" w:hAnsi="Arial" w:cs="Arial"/>
          <w:sz w:val="20"/>
          <w:szCs w:val="20"/>
          <w:lang w:val="es-ES_tradnl"/>
        </w:rPr>
        <w:t xml:space="preserve"> </w:t>
      </w:r>
    </w:p>
    <w:p w14:paraId="18B6E5DC"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Otras obras necesarias.</w:t>
      </w:r>
    </w:p>
    <w:p w14:paraId="3B9CEC6F"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Presentación de informe y planos siguiendo los formatos y las pautas generales enunciadas para la parte estructural del puente.</w:t>
      </w:r>
    </w:p>
    <w:p w14:paraId="0E272B0E" w14:textId="77777777" w:rsidR="00EB70C0" w:rsidRPr="00CF69B3" w:rsidRDefault="00EB70C0" w:rsidP="009A58E0">
      <w:pPr>
        <w:numPr>
          <w:ilvl w:val="0"/>
          <w:numId w:val="99"/>
        </w:numPr>
        <w:tabs>
          <w:tab w:val="left" w:pos="709"/>
          <w:tab w:val="num" w:pos="1069"/>
        </w:tabs>
        <w:spacing w:after="0"/>
        <w:ind w:left="1069" w:hanging="189"/>
        <w:jc w:val="both"/>
        <w:rPr>
          <w:rFonts w:ascii="Arial" w:hAnsi="Arial" w:cs="Arial"/>
          <w:sz w:val="20"/>
          <w:szCs w:val="20"/>
          <w:lang w:val="es-ES_tradnl"/>
        </w:rPr>
      </w:pPr>
      <w:r w:rsidRPr="00CF69B3">
        <w:rPr>
          <w:rFonts w:ascii="Arial" w:hAnsi="Arial" w:cs="Arial"/>
          <w:sz w:val="20"/>
          <w:szCs w:val="20"/>
          <w:lang w:val="es-ES_tradnl"/>
        </w:rPr>
        <w:t>El cálculo y dimensionamiento de los puentes deberá realizarse para un TR de 100 años.</w:t>
      </w:r>
    </w:p>
    <w:p w14:paraId="0FAB6B91" w14:textId="77777777" w:rsidR="00EB70C0" w:rsidRPr="00CF69B3" w:rsidRDefault="00EB70C0" w:rsidP="005F6D48">
      <w:pPr>
        <w:spacing w:after="120"/>
        <w:ind w:left="851" w:firstLine="29"/>
        <w:jc w:val="both"/>
        <w:rPr>
          <w:rFonts w:ascii="Arial" w:hAnsi="Arial" w:cs="Arial"/>
          <w:sz w:val="20"/>
          <w:szCs w:val="20"/>
          <w:lang w:val="es-ES_tradnl"/>
        </w:rPr>
      </w:pPr>
    </w:p>
    <w:p w14:paraId="3E4A44FC" w14:textId="77777777" w:rsidR="00EB70C0" w:rsidRPr="00CF69B3" w:rsidRDefault="00776EE3" w:rsidP="00CF69B3">
      <w:pPr>
        <w:keepNext/>
        <w:tabs>
          <w:tab w:val="left" w:pos="110"/>
        </w:tabs>
        <w:spacing w:before="240" w:after="60"/>
        <w:ind w:left="110" w:hanging="110"/>
        <w:jc w:val="both"/>
        <w:rPr>
          <w:rFonts w:ascii="Arial" w:hAnsi="Arial" w:cs="Arial"/>
          <w:sz w:val="20"/>
          <w:szCs w:val="20"/>
          <w:lang w:val="es-UY"/>
        </w:rPr>
      </w:pPr>
      <w:r w:rsidRPr="00CF69B3">
        <w:rPr>
          <w:rFonts w:ascii="Arial" w:hAnsi="Arial" w:cs="Arial"/>
          <w:sz w:val="20"/>
          <w:szCs w:val="20"/>
          <w:lang w:val="es-UY"/>
        </w:rPr>
        <w:lastRenderedPageBreak/>
        <w:t>6.</w:t>
      </w:r>
      <w:r w:rsidR="00EB70C0" w:rsidRPr="00CF69B3">
        <w:rPr>
          <w:rFonts w:ascii="Arial" w:hAnsi="Arial" w:cs="Arial"/>
          <w:sz w:val="20"/>
          <w:szCs w:val="20"/>
          <w:lang w:val="es-UY"/>
        </w:rPr>
        <w:t>2.</w:t>
      </w:r>
      <w:r w:rsidR="00B14DCC" w:rsidRPr="00CF69B3">
        <w:rPr>
          <w:rFonts w:ascii="Arial" w:hAnsi="Arial" w:cs="Arial"/>
          <w:sz w:val="20"/>
          <w:szCs w:val="20"/>
          <w:lang w:val="es-UY"/>
        </w:rPr>
        <w:t xml:space="preserve"> </w:t>
      </w:r>
      <w:r w:rsidR="00EB70C0" w:rsidRPr="00CF69B3">
        <w:rPr>
          <w:rFonts w:ascii="Arial" w:hAnsi="Arial" w:cs="Arial"/>
          <w:sz w:val="20"/>
          <w:szCs w:val="20"/>
          <w:lang w:val="es-UY"/>
        </w:rPr>
        <w:t>Especificaciones de los materiales</w:t>
      </w:r>
      <w:r w:rsidR="00587284" w:rsidRPr="00CF69B3">
        <w:rPr>
          <w:rFonts w:ascii="Arial" w:hAnsi="Arial" w:cs="Arial"/>
          <w:sz w:val="20"/>
          <w:szCs w:val="20"/>
          <w:lang w:val="es-UY"/>
        </w:rPr>
        <w:fldChar w:fldCharType="begin"/>
      </w:r>
      <w:r w:rsidR="00EB70C0" w:rsidRPr="00CF69B3">
        <w:rPr>
          <w:rFonts w:ascii="Arial" w:hAnsi="Arial" w:cs="Arial"/>
          <w:sz w:val="20"/>
          <w:szCs w:val="20"/>
          <w:lang w:val="es-UY"/>
        </w:rPr>
        <w:instrText xml:space="preserve">tc "6.7 </w:instrText>
      </w:r>
      <w:r w:rsidR="00EB70C0" w:rsidRPr="00CF69B3">
        <w:rPr>
          <w:rFonts w:ascii="Arial" w:hAnsi="Arial" w:cs="Arial"/>
          <w:sz w:val="20"/>
          <w:szCs w:val="20"/>
          <w:lang w:val="es-UY"/>
        </w:rPr>
        <w:tab/>
        <w:instrText>Especificaciones de los materiales" \f C \l 1</w:instrText>
      </w:r>
      <w:r w:rsidR="00587284" w:rsidRPr="00CF69B3">
        <w:rPr>
          <w:rFonts w:ascii="Arial" w:hAnsi="Arial" w:cs="Arial"/>
          <w:sz w:val="20"/>
          <w:szCs w:val="20"/>
          <w:lang w:val="es-UY"/>
        </w:rPr>
        <w:fldChar w:fldCharType="end"/>
      </w:r>
    </w:p>
    <w:p w14:paraId="424550F0" w14:textId="77777777" w:rsidR="00EB70C0" w:rsidRPr="00CF69B3" w:rsidRDefault="00EB70C0" w:rsidP="00CF69B3">
      <w:pPr>
        <w:keepNext/>
        <w:keepLines/>
        <w:tabs>
          <w:tab w:val="left" w:pos="851"/>
        </w:tabs>
        <w:spacing w:after="120"/>
        <w:jc w:val="both"/>
        <w:rPr>
          <w:rFonts w:ascii="Arial" w:hAnsi="Arial" w:cs="Arial"/>
          <w:sz w:val="20"/>
          <w:szCs w:val="20"/>
          <w:lang w:val="es-ES_tradnl"/>
        </w:rPr>
      </w:pPr>
      <w:r w:rsidRPr="00CF69B3">
        <w:rPr>
          <w:rFonts w:ascii="Arial" w:hAnsi="Arial" w:cs="Arial"/>
          <w:sz w:val="20"/>
          <w:szCs w:val="20"/>
          <w:lang w:val="es-ES_tradnl"/>
        </w:rPr>
        <w:tab/>
        <w:t>1. Hormigón armado</w:t>
      </w:r>
    </w:p>
    <w:p w14:paraId="783ED569" w14:textId="77777777" w:rsidR="00EB70C0" w:rsidRPr="00CF69B3" w:rsidRDefault="00EB70C0" w:rsidP="00CF69B3">
      <w:pPr>
        <w:tabs>
          <w:tab w:val="left" w:pos="851"/>
        </w:tabs>
        <w:spacing w:after="120"/>
        <w:ind w:left="851"/>
        <w:jc w:val="both"/>
        <w:rPr>
          <w:rFonts w:ascii="Arial" w:hAnsi="Arial" w:cs="Arial"/>
          <w:sz w:val="20"/>
          <w:szCs w:val="20"/>
          <w:lang w:val="es-UY"/>
        </w:rPr>
      </w:pPr>
      <w:r w:rsidRPr="00CF69B3">
        <w:rPr>
          <w:rFonts w:ascii="Arial" w:hAnsi="Arial" w:cs="Arial"/>
          <w:sz w:val="20"/>
          <w:szCs w:val="20"/>
          <w:lang w:val="es-UY"/>
        </w:rPr>
        <w:t>Se modifican las ETCM, Sección 10 “Obras en hormigón y en hormigón armado”, artículo 10.5 “Características, ensayos y control del hormigón”:</w:t>
      </w:r>
    </w:p>
    <w:p w14:paraId="1D8E0F43" w14:textId="77777777" w:rsidR="00EB70C0" w:rsidRPr="00CF69B3" w:rsidRDefault="00EB70C0" w:rsidP="009A58E0">
      <w:pPr>
        <w:widowControl w:val="0"/>
        <w:numPr>
          <w:ilvl w:val="0"/>
          <w:numId w:val="53"/>
        </w:numPr>
        <w:tabs>
          <w:tab w:val="left" w:pos="1134"/>
        </w:tabs>
        <w:spacing w:after="120"/>
        <w:ind w:left="851"/>
        <w:jc w:val="both"/>
        <w:rPr>
          <w:rFonts w:ascii="Arial" w:hAnsi="Arial" w:cs="Arial"/>
          <w:sz w:val="20"/>
          <w:szCs w:val="20"/>
          <w:lang w:val="es-UY"/>
        </w:rPr>
      </w:pPr>
      <w:r w:rsidRPr="00CF69B3">
        <w:rPr>
          <w:rFonts w:ascii="Arial" w:hAnsi="Arial" w:cs="Arial"/>
          <w:sz w:val="20"/>
          <w:szCs w:val="20"/>
          <w:lang w:val="es-UY"/>
        </w:rPr>
        <w:t>Se agrega al artículo 10.5.4:</w:t>
      </w:r>
    </w:p>
    <w:p w14:paraId="6DEC4964" w14:textId="77777777" w:rsidR="00EB70C0" w:rsidRPr="00CF69B3" w:rsidRDefault="00EB70C0" w:rsidP="00CF69B3">
      <w:pPr>
        <w:tabs>
          <w:tab w:val="left" w:pos="2127"/>
        </w:tabs>
        <w:spacing w:after="120"/>
        <w:ind w:left="2126" w:hanging="992"/>
        <w:jc w:val="both"/>
        <w:rPr>
          <w:rFonts w:ascii="Arial" w:hAnsi="Arial" w:cs="Arial"/>
          <w:sz w:val="20"/>
          <w:szCs w:val="20"/>
          <w:highlight w:val="yellow"/>
          <w:lang w:val="es-UY"/>
        </w:rPr>
      </w:pPr>
      <w:r w:rsidRPr="00CF69B3">
        <w:rPr>
          <w:rFonts w:ascii="Arial" w:hAnsi="Arial" w:cs="Arial"/>
          <w:sz w:val="20"/>
          <w:szCs w:val="20"/>
        </w:rPr>
        <w:t>“F-15-4-4</w:t>
      </w:r>
      <w:r w:rsidRPr="00CF69B3">
        <w:rPr>
          <w:rFonts w:ascii="Arial" w:hAnsi="Arial" w:cs="Arial"/>
          <w:sz w:val="20"/>
          <w:szCs w:val="20"/>
        </w:rPr>
        <w:tab/>
        <w:t xml:space="preserve">Cuando el control se realice sobre todas las amasadas componentes de la parte sometida a control (control 100%) el valor de la resistencia característica estimada Rest estará dado por Rest= R1.” </w:t>
      </w:r>
    </w:p>
    <w:p w14:paraId="1CC8692E" w14:textId="77777777" w:rsidR="00EB70C0" w:rsidRPr="00CF69B3" w:rsidRDefault="00EB70C0" w:rsidP="009A58E0">
      <w:pPr>
        <w:widowControl w:val="0"/>
        <w:numPr>
          <w:ilvl w:val="0"/>
          <w:numId w:val="53"/>
        </w:numPr>
        <w:tabs>
          <w:tab w:val="left" w:pos="1134"/>
        </w:tabs>
        <w:spacing w:after="120"/>
        <w:ind w:left="851"/>
        <w:jc w:val="both"/>
        <w:rPr>
          <w:rFonts w:ascii="Arial" w:hAnsi="Arial" w:cs="Arial"/>
          <w:sz w:val="20"/>
          <w:szCs w:val="20"/>
          <w:lang w:val="es-UY"/>
        </w:rPr>
      </w:pPr>
      <w:r w:rsidRPr="00CF69B3">
        <w:rPr>
          <w:rFonts w:ascii="Arial" w:hAnsi="Arial" w:cs="Arial"/>
          <w:sz w:val="20"/>
          <w:szCs w:val="20"/>
          <w:lang w:val="es-UY"/>
        </w:rPr>
        <w:t xml:space="preserve">Se agregan las siguientes cláusulas al artículo 10.5.5: </w:t>
      </w:r>
    </w:p>
    <w:p w14:paraId="4F77DA42" w14:textId="77777777" w:rsidR="00EB70C0" w:rsidRPr="00CF69B3" w:rsidRDefault="00EB70C0" w:rsidP="00CF69B3">
      <w:pPr>
        <w:spacing w:after="120"/>
        <w:ind w:left="1134"/>
        <w:jc w:val="both"/>
        <w:rPr>
          <w:rFonts w:ascii="Arial" w:hAnsi="Arial" w:cs="Arial"/>
          <w:sz w:val="20"/>
          <w:szCs w:val="20"/>
          <w:lang w:val="es-UY"/>
        </w:rPr>
      </w:pPr>
      <w:r w:rsidRPr="00CF69B3">
        <w:rPr>
          <w:rFonts w:ascii="Arial" w:hAnsi="Arial" w:cs="Arial"/>
          <w:sz w:val="20"/>
          <w:szCs w:val="20"/>
          <w:lang w:val="es-UY"/>
        </w:rPr>
        <w:t>“En ningún caso será de aceptación la parte de obra sometida a control donde la resistencia estimada Rest sea menor que el 70% de la resistencia característica especificada en el proyecto o que la mínima establecida en el artículo 10.5 de 250 kg/cm2”.</w:t>
      </w:r>
    </w:p>
    <w:p w14:paraId="43FCF9EE" w14:textId="77777777" w:rsidR="00EB70C0" w:rsidRPr="00CF69B3" w:rsidRDefault="00EB70C0" w:rsidP="00CF69B3">
      <w:pPr>
        <w:spacing w:after="120"/>
        <w:ind w:left="1134"/>
        <w:jc w:val="both"/>
        <w:rPr>
          <w:rFonts w:ascii="Arial" w:hAnsi="Arial" w:cs="Arial"/>
          <w:sz w:val="20"/>
          <w:szCs w:val="20"/>
          <w:lang w:val="es-UY"/>
        </w:rPr>
      </w:pPr>
      <w:r w:rsidRPr="00CF69B3">
        <w:rPr>
          <w:rFonts w:ascii="Arial" w:hAnsi="Arial" w:cs="Arial"/>
          <w:sz w:val="20"/>
          <w:szCs w:val="20"/>
          <w:lang w:val="es-UY"/>
        </w:rPr>
        <w:t xml:space="preserve">“En caso de aceptar la parte de obra sometida a control con una resistencia estimada menor que la especificada </w:t>
      </w:r>
      <w:r w:rsidRPr="00CF69B3">
        <w:rPr>
          <w:rFonts w:ascii="Arial" w:hAnsi="Arial" w:cs="Arial"/>
          <w:sz w:val="20"/>
          <w:szCs w:val="20"/>
          <w:lang w:val="es-UY"/>
        </w:rPr>
        <w:lastRenderedPageBreak/>
        <w:t>por proyecto, la Contratante</w:t>
      </w:r>
      <w:r w:rsidR="00B14DCC" w:rsidRPr="00CF69B3">
        <w:rPr>
          <w:rFonts w:ascii="Arial" w:hAnsi="Arial" w:cs="Arial"/>
          <w:sz w:val="20"/>
          <w:szCs w:val="20"/>
          <w:lang w:val="es-UY"/>
        </w:rPr>
        <w:t xml:space="preserve"> </w:t>
      </w:r>
      <w:r w:rsidRPr="00CF69B3">
        <w:rPr>
          <w:rFonts w:ascii="Arial" w:hAnsi="Arial" w:cs="Arial"/>
          <w:sz w:val="20"/>
          <w:szCs w:val="20"/>
          <w:lang w:val="es-UY"/>
        </w:rPr>
        <w:t>podrá establecer una penalización económica proporcional a la disminución de resistencia.”</w:t>
      </w:r>
    </w:p>
    <w:p w14:paraId="5B0D0523" w14:textId="77777777" w:rsidR="00EB70C0" w:rsidRPr="00CF69B3" w:rsidRDefault="00EB70C0" w:rsidP="00CF69B3">
      <w:pPr>
        <w:keepNext/>
        <w:keepLines/>
        <w:tabs>
          <w:tab w:val="left" w:pos="851"/>
        </w:tabs>
        <w:spacing w:after="120"/>
        <w:jc w:val="both"/>
        <w:rPr>
          <w:rFonts w:ascii="Arial" w:hAnsi="Arial" w:cs="Arial"/>
          <w:sz w:val="20"/>
          <w:szCs w:val="20"/>
          <w:lang w:val="es-UY"/>
        </w:rPr>
      </w:pPr>
      <w:r w:rsidRPr="00CF69B3">
        <w:rPr>
          <w:rFonts w:ascii="Arial" w:hAnsi="Arial" w:cs="Arial"/>
          <w:sz w:val="20"/>
          <w:szCs w:val="20"/>
          <w:lang w:val="es-UY"/>
        </w:rPr>
        <w:tab/>
        <w:t>2. Áridos</w:t>
      </w:r>
    </w:p>
    <w:p w14:paraId="1D8AFC37" w14:textId="77777777" w:rsidR="00EB70C0" w:rsidRPr="00CF69B3" w:rsidRDefault="00EB70C0" w:rsidP="00CF69B3">
      <w:pPr>
        <w:tabs>
          <w:tab w:val="left" w:pos="851"/>
        </w:tabs>
        <w:spacing w:after="120"/>
        <w:ind w:left="851"/>
        <w:jc w:val="both"/>
        <w:rPr>
          <w:rFonts w:ascii="Arial" w:hAnsi="Arial" w:cs="Arial"/>
          <w:sz w:val="20"/>
          <w:szCs w:val="20"/>
          <w:lang w:val="es-UY"/>
        </w:rPr>
      </w:pPr>
      <w:r w:rsidRPr="00CF69B3">
        <w:rPr>
          <w:rFonts w:ascii="Arial" w:hAnsi="Arial" w:cs="Arial"/>
          <w:sz w:val="20"/>
          <w:szCs w:val="20"/>
          <w:lang w:val="es-UY"/>
        </w:rPr>
        <w:t>En el hormigón a emplear los áridos no deberán presentar reactividad potencial con los compuestos alcalinos del mismo, ya sea procedentes del cemento o de otros componentes.</w:t>
      </w:r>
    </w:p>
    <w:p w14:paraId="77FA7E0D" w14:textId="77777777" w:rsidR="00EB70C0" w:rsidRPr="00D76244" w:rsidRDefault="00EB70C0" w:rsidP="00D76244">
      <w:pPr>
        <w:tabs>
          <w:tab w:val="left" w:pos="550"/>
        </w:tabs>
        <w:spacing w:after="120"/>
        <w:ind w:left="550" w:hanging="220"/>
        <w:jc w:val="both"/>
        <w:rPr>
          <w:rFonts w:ascii="Arial" w:eastAsia="Calibri" w:hAnsi="Arial" w:cs="Arial"/>
          <w:b/>
          <w:bCs/>
          <w:caps/>
          <w:sz w:val="20"/>
          <w:szCs w:val="20"/>
          <w:lang w:val="es-ES_tradnl" w:eastAsia="es-ES"/>
        </w:rPr>
      </w:pPr>
      <w:r w:rsidRPr="00D76244">
        <w:rPr>
          <w:rFonts w:ascii="Arial" w:eastAsia="Calibri" w:hAnsi="Arial" w:cs="Arial"/>
          <w:b/>
          <w:bCs/>
          <w:caps/>
          <w:sz w:val="20"/>
          <w:szCs w:val="20"/>
          <w:lang w:val="es-ES_tradnl" w:eastAsia="es-ES"/>
        </w:rPr>
        <w:t xml:space="preserve">7. Equipos </w:t>
      </w:r>
    </w:p>
    <w:p w14:paraId="5FC2C224" w14:textId="77777777" w:rsidR="00EB70C0" w:rsidRPr="00CF69B3" w:rsidRDefault="00EB70C0" w:rsidP="00CF69B3">
      <w:pPr>
        <w:spacing w:before="240"/>
        <w:jc w:val="both"/>
        <w:rPr>
          <w:rFonts w:ascii="Arial" w:hAnsi="Arial" w:cs="Arial"/>
          <w:smallCaps/>
          <w:sz w:val="20"/>
          <w:szCs w:val="20"/>
        </w:rPr>
      </w:pPr>
      <w:r w:rsidRPr="00CF69B3">
        <w:rPr>
          <w:rFonts w:ascii="Arial" w:hAnsi="Arial" w:cs="Arial"/>
          <w:sz w:val="20"/>
          <w:szCs w:val="20"/>
        </w:rPr>
        <w:t>A los efectos de precisar lo establecido en el punto 7</w:t>
      </w:r>
      <w:r w:rsidR="0003251D">
        <w:rPr>
          <w:rFonts w:ascii="Arial" w:hAnsi="Arial" w:cs="Arial"/>
          <w:sz w:val="20"/>
          <w:szCs w:val="20"/>
        </w:rPr>
        <w:t>7</w:t>
      </w:r>
      <w:r w:rsidRPr="00CF69B3">
        <w:rPr>
          <w:rFonts w:ascii="Arial" w:hAnsi="Arial" w:cs="Arial"/>
          <w:sz w:val="20"/>
          <w:szCs w:val="20"/>
        </w:rPr>
        <w:t xml:space="preserve"> “AUTOCONTROL”</w:t>
      </w:r>
      <w:r w:rsidR="005F6D48">
        <w:rPr>
          <w:rFonts w:ascii="Arial" w:hAnsi="Arial" w:cs="Arial"/>
          <w:sz w:val="20"/>
          <w:szCs w:val="20"/>
        </w:rPr>
        <w:t>,</w:t>
      </w:r>
      <w:r w:rsidRPr="00CF69B3">
        <w:rPr>
          <w:rFonts w:ascii="Arial" w:hAnsi="Arial" w:cs="Arial"/>
          <w:sz w:val="20"/>
          <w:szCs w:val="20"/>
        </w:rPr>
        <w:t xml:space="preserve"> en lo referido al equipo de laboratorio a utilizar en el control de calidad de todas las obras que el Contratista deba realizar para cumplir con lo establecido en este pliego</w:t>
      </w:r>
      <w:r w:rsidR="005F6D48">
        <w:rPr>
          <w:rFonts w:ascii="Arial" w:hAnsi="Arial" w:cs="Arial"/>
          <w:sz w:val="20"/>
          <w:szCs w:val="20"/>
        </w:rPr>
        <w:t>,</w:t>
      </w:r>
      <w:r w:rsidRPr="00CF69B3">
        <w:rPr>
          <w:rFonts w:ascii="Arial" w:hAnsi="Arial" w:cs="Arial"/>
          <w:sz w:val="20"/>
          <w:szCs w:val="20"/>
        </w:rPr>
        <w:t xml:space="preserve"> el contratista deberá disponer en obra, dentro de los 7 días siguientes a la fecha de iniciación de la obra, los equipos de laboratorio, topografía y oficina necesarios, con los mínimos según se detallará en el Anexo XVI</w:t>
      </w:r>
      <w:r w:rsidR="0045052D">
        <w:rPr>
          <w:rFonts w:ascii="Arial" w:hAnsi="Arial" w:cs="Arial"/>
          <w:sz w:val="20"/>
          <w:szCs w:val="20"/>
        </w:rPr>
        <w:t xml:space="preserve"> </w:t>
      </w:r>
      <w:r w:rsidRPr="00CF69B3">
        <w:rPr>
          <w:rFonts w:ascii="Arial" w:hAnsi="Arial" w:cs="Arial"/>
          <w:sz w:val="20"/>
          <w:szCs w:val="20"/>
        </w:rPr>
        <w:t>para asegurar el control de calidad de las tareas que realice.</w:t>
      </w:r>
    </w:p>
    <w:p w14:paraId="4D9EBE03" w14:textId="77777777" w:rsidR="00EB70C0" w:rsidRPr="00CF69B3" w:rsidRDefault="00EB70C0" w:rsidP="00CF69B3">
      <w:pPr>
        <w:jc w:val="both"/>
        <w:rPr>
          <w:rFonts w:ascii="Arial" w:hAnsi="Arial" w:cs="Arial"/>
          <w:sz w:val="20"/>
          <w:szCs w:val="20"/>
          <w:lang w:val="es-ES_tradnl"/>
        </w:rPr>
      </w:pPr>
      <w:r w:rsidRPr="00CF69B3">
        <w:rPr>
          <w:rFonts w:ascii="Arial" w:hAnsi="Arial" w:cs="Arial"/>
          <w:sz w:val="20"/>
          <w:szCs w:val="20"/>
          <w:lang w:val="es-ES_tradnl"/>
        </w:rPr>
        <w:t>Todos los elementos deberán encontrarse y mantenerse en perfectas condiciones de uso.</w:t>
      </w:r>
    </w:p>
    <w:p w14:paraId="5DEC583F" w14:textId="77777777" w:rsidR="00EB70C0" w:rsidRPr="00CF69B3" w:rsidRDefault="00EB70C0" w:rsidP="00CF69B3">
      <w:pPr>
        <w:tabs>
          <w:tab w:val="left" w:pos="-1440"/>
          <w:tab w:val="left" w:pos="851"/>
        </w:tabs>
        <w:jc w:val="both"/>
        <w:rPr>
          <w:rFonts w:ascii="Arial" w:hAnsi="Arial" w:cs="Arial"/>
          <w:sz w:val="20"/>
          <w:szCs w:val="20"/>
          <w:lang w:val="es-ES_tradnl"/>
        </w:rPr>
      </w:pPr>
      <w:r w:rsidRPr="00CF69B3">
        <w:rPr>
          <w:rFonts w:ascii="Arial" w:hAnsi="Arial" w:cs="Arial"/>
          <w:sz w:val="20"/>
          <w:szCs w:val="20"/>
          <w:lang w:val="es-ES_tradnl"/>
        </w:rPr>
        <w:lastRenderedPageBreak/>
        <w:t>Para los equipos que requieran calibración se presentará además un certificado</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de calibración inicial emitido por un organismo competente y un Plan de control y recalibración.</w:t>
      </w:r>
    </w:p>
    <w:p w14:paraId="4F025CF3" w14:textId="77777777" w:rsidR="00EB70C0" w:rsidRPr="00CF69B3" w:rsidRDefault="00EB70C0" w:rsidP="00CF69B3">
      <w:pPr>
        <w:tabs>
          <w:tab w:val="left" w:pos="-1440"/>
          <w:tab w:val="left" w:pos="851"/>
        </w:tabs>
        <w:jc w:val="both"/>
        <w:rPr>
          <w:rFonts w:ascii="Arial" w:hAnsi="Arial" w:cs="Arial"/>
          <w:sz w:val="20"/>
          <w:szCs w:val="20"/>
          <w:lang w:val="es-ES_tradnl"/>
        </w:rPr>
      </w:pPr>
      <w:r w:rsidRPr="00CF69B3">
        <w:rPr>
          <w:rFonts w:ascii="Arial" w:hAnsi="Arial" w:cs="Arial"/>
          <w:sz w:val="20"/>
          <w:szCs w:val="20"/>
          <w:lang w:val="es-ES_tradnl"/>
        </w:rPr>
        <w:t>Los equipos y la documentación al ser recibidos en obra serán previamente inspeccionados y autorizados por el Director de Obra.</w:t>
      </w:r>
    </w:p>
    <w:p w14:paraId="28B4BDFB" w14:textId="77777777" w:rsidR="00EB70C0" w:rsidRPr="00CF69B3" w:rsidRDefault="00EB70C0" w:rsidP="00CF69B3">
      <w:pPr>
        <w:tabs>
          <w:tab w:val="num" w:pos="851"/>
        </w:tabs>
        <w:spacing w:before="120"/>
        <w:jc w:val="both"/>
        <w:rPr>
          <w:rFonts w:ascii="Arial" w:hAnsi="Arial" w:cs="Arial"/>
          <w:sz w:val="20"/>
          <w:szCs w:val="20"/>
          <w:lang w:val="es-ES_tradnl"/>
        </w:rPr>
      </w:pPr>
      <w:r w:rsidRPr="00CF69B3">
        <w:rPr>
          <w:rFonts w:ascii="Arial" w:hAnsi="Arial" w:cs="Arial"/>
          <w:sz w:val="20"/>
          <w:szCs w:val="20"/>
          <w:lang w:val="es-ES_tradnl"/>
        </w:rPr>
        <w:t>El Director de Obra podrá autorizar la supresión de los equipos que no fueran necesarios para el tipo de obra que se realice y, a solicitud del Contratista,</w:t>
      </w:r>
      <w:r w:rsidR="00B14DCC" w:rsidRPr="00CF69B3">
        <w:rPr>
          <w:rFonts w:ascii="Arial" w:hAnsi="Arial" w:cs="Arial"/>
          <w:sz w:val="20"/>
          <w:szCs w:val="20"/>
          <w:lang w:val="es-ES_tradnl"/>
        </w:rPr>
        <w:t xml:space="preserve"> </w:t>
      </w:r>
      <w:r w:rsidRPr="00CF69B3">
        <w:rPr>
          <w:rFonts w:ascii="Arial" w:hAnsi="Arial" w:cs="Arial"/>
          <w:sz w:val="20"/>
          <w:szCs w:val="20"/>
          <w:lang w:val="es-ES_tradnl"/>
        </w:rPr>
        <w:t>la sustitución por otros equipos de mejor rendimiento.</w:t>
      </w:r>
    </w:p>
    <w:p w14:paraId="38E908A5" w14:textId="77777777" w:rsidR="00EB70C0" w:rsidRPr="005F6D48" w:rsidRDefault="005F6D48" w:rsidP="00E24FEB">
      <w:pPr>
        <w:tabs>
          <w:tab w:val="left" w:pos="550"/>
        </w:tabs>
        <w:spacing w:after="120"/>
        <w:ind w:left="567" w:hanging="283"/>
        <w:jc w:val="both"/>
        <w:rPr>
          <w:caps/>
          <w:sz w:val="20"/>
          <w:szCs w:val="20"/>
        </w:rPr>
      </w:pPr>
      <w:bookmarkStart w:id="1659" w:name="_Toc400636289"/>
      <w:r>
        <w:rPr>
          <w:rFonts w:ascii="Arial" w:eastAsia="Calibri" w:hAnsi="Arial" w:cs="Arial"/>
          <w:b/>
          <w:bCs/>
          <w:caps/>
          <w:sz w:val="20"/>
          <w:szCs w:val="20"/>
          <w:lang w:val="es-ES_tradnl" w:eastAsia="es-ES"/>
        </w:rPr>
        <w:t xml:space="preserve">8. </w:t>
      </w:r>
      <w:r w:rsidR="00EB70C0" w:rsidRPr="005F6D48">
        <w:rPr>
          <w:rFonts w:ascii="Arial" w:eastAsia="Calibri" w:hAnsi="Arial" w:cs="Arial"/>
          <w:b/>
          <w:bCs/>
          <w:caps/>
          <w:sz w:val="20"/>
          <w:szCs w:val="20"/>
          <w:lang w:val="es-ES_tradnl" w:eastAsia="es-ES"/>
        </w:rPr>
        <w:t>CLáUSULA DE PROGRESO</w:t>
      </w:r>
      <w:bookmarkEnd w:id="1659"/>
    </w:p>
    <w:p w14:paraId="5EFD8033" w14:textId="77777777" w:rsidR="00E24FEB" w:rsidRDefault="00E24FEB" w:rsidP="00E24FEB">
      <w:pPr>
        <w:spacing w:after="0"/>
        <w:jc w:val="both"/>
        <w:rPr>
          <w:rFonts w:ascii="Arial" w:hAnsi="Arial" w:cs="Arial"/>
          <w:sz w:val="20"/>
          <w:szCs w:val="20"/>
          <w:lang w:val="es-UY"/>
        </w:rPr>
      </w:pPr>
    </w:p>
    <w:p w14:paraId="3E2C11B3" w14:textId="77777777" w:rsidR="00EB70C0" w:rsidRPr="00931790" w:rsidRDefault="00EB70C0" w:rsidP="00E24FEB">
      <w:pPr>
        <w:spacing w:after="0"/>
        <w:jc w:val="both"/>
        <w:rPr>
          <w:rFonts w:ascii="Arial" w:hAnsi="Arial" w:cs="Arial"/>
          <w:sz w:val="20"/>
          <w:szCs w:val="20"/>
          <w:lang w:val="es-UY"/>
        </w:rPr>
      </w:pPr>
      <w:r w:rsidRPr="00931790">
        <w:rPr>
          <w:rFonts w:ascii="Arial" w:hAnsi="Arial" w:cs="Arial"/>
          <w:sz w:val="20"/>
          <w:szCs w:val="20"/>
          <w:lang w:val="es-UY"/>
        </w:rPr>
        <w:t xml:space="preserve">El Contratista estará obligado a aplicar una determinada medida, en cualquier momento a lo largo del plazo del contrato, cuando sea aprobada por la normativa de carreteras aplicable. En este caso, el Contratista no tendrá derecho a exigir indemnización alguna, por parte de la Contratante, derivada de las cargas económicas inherentes a los trabajos para poner en práctica la citada medida, salvo que la misma afecte sustancialmente a la ecuación económico-financiera del contrato. </w:t>
      </w:r>
    </w:p>
    <w:p w14:paraId="3BAFCC74" w14:textId="77777777" w:rsidR="00EB70C0" w:rsidRPr="00931790" w:rsidRDefault="00EB70C0" w:rsidP="00E24FEB">
      <w:pPr>
        <w:spacing w:after="0"/>
        <w:jc w:val="both"/>
        <w:rPr>
          <w:rFonts w:ascii="Arial" w:hAnsi="Arial" w:cs="Arial"/>
          <w:sz w:val="20"/>
          <w:szCs w:val="20"/>
        </w:rPr>
      </w:pPr>
    </w:p>
    <w:p w14:paraId="62436278" w14:textId="77777777" w:rsidR="00EB70C0" w:rsidRPr="00CF69B3" w:rsidRDefault="00EB70C0" w:rsidP="00E24FEB">
      <w:pPr>
        <w:spacing w:after="0"/>
        <w:jc w:val="both"/>
        <w:rPr>
          <w:rFonts w:ascii="Arial" w:hAnsi="Arial" w:cs="Arial"/>
          <w:sz w:val="20"/>
          <w:szCs w:val="20"/>
        </w:rPr>
      </w:pPr>
      <w:r w:rsidRPr="00931790">
        <w:rPr>
          <w:rFonts w:ascii="Arial" w:hAnsi="Arial" w:cs="Arial"/>
          <w:sz w:val="20"/>
          <w:szCs w:val="20"/>
        </w:rPr>
        <w:t xml:space="preserve">Asimismo, el Contratista estará obligado a aplicar una determinada medida, en cualquier momento a lo largo del plazo del contrato, </w:t>
      </w:r>
      <w:r w:rsidRPr="00931790">
        <w:rPr>
          <w:rFonts w:ascii="Arial" w:hAnsi="Arial" w:cs="Arial"/>
          <w:sz w:val="20"/>
          <w:szCs w:val="20"/>
        </w:rPr>
        <w:lastRenderedPageBreak/>
        <w:t>cuando,</w:t>
      </w:r>
      <w:r w:rsidR="00B14DCC" w:rsidRPr="00931790">
        <w:rPr>
          <w:rFonts w:ascii="Arial" w:hAnsi="Arial" w:cs="Arial"/>
          <w:sz w:val="20"/>
          <w:szCs w:val="20"/>
        </w:rPr>
        <w:t xml:space="preserve"> </w:t>
      </w:r>
      <w:r w:rsidRPr="00931790">
        <w:rPr>
          <w:rFonts w:ascii="Arial" w:hAnsi="Arial" w:cs="Arial"/>
          <w:sz w:val="20"/>
          <w:szCs w:val="20"/>
        </w:rPr>
        <w:t>aun no incluida en la normativa, venga siendo exigida por la Contratante de manera habitual en carreteras de características análogas a las que son objeto de este Pliego. En este caso, se restablecerá la ecuación económico-financiera del contrato.</w:t>
      </w:r>
    </w:p>
    <w:p w14:paraId="4E2577C0" w14:textId="77777777" w:rsidR="00EB70C0" w:rsidRPr="00CF69B3" w:rsidRDefault="00EB70C0" w:rsidP="00CF69B3">
      <w:pPr>
        <w:spacing w:after="0" w:line="240" w:lineRule="auto"/>
        <w:jc w:val="both"/>
        <w:rPr>
          <w:rFonts w:ascii="Arial" w:eastAsia="Calibri" w:hAnsi="Arial" w:cs="Arial"/>
          <w:b/>
          <w:bCs/>
          <w:sz w:val="20"/>
          <w:szCs w:val="20"/>
          <w:lang w:val="es-ES_tradnl" w:eastAsia="es-ES"/>
        </w:rPr>
      </w:pPr>
      <w:bookmarkStart w:id="1660" w:name="_Toc340671993"/>
      <w:bookmarkStart w:id="1661" w:name="_Toc340677455"/>
      <w:bookmarkStart w:id="1662" w:name="_Toc358821620"/>
      <w:bookmarkStart w:id="1663" w:name="_Toc400622370"/>
      <w:bookmarkStart w:id="1664" w:name="_Toc400629208"/>
      <w:bookmarkStart w:id="1665" w:name="_Toc400634191"/>
      <w:bookmarkStart w:id="1666" w:name="_Toc400635325"/>
      <w:bookmarkStart w:id="1667" w:name="A_14"/>
      <w:bookmarkEnd w:id="1629"/>
      <w:bookmarkEnd w:id="1652"/>
      <w:r w:rsidRPr="00CF69B3">
        <w:rPr>
          <w:rFonts w:ascii="Arial" w:hAnsi="Arial" w:cs="Arial"/>
          <w:sz w:val="20"/>
          <w:szCs w:val="20"/>
        </w:rPr>
        <w:br w:type="page"/>
      </w:r>
    </w:p>
    <w:p w14:paraId="0E6FD8A5" w14:textId="77777777" w:rsidR="00A3029F" w:rsidRDefault="00A3029F" w:rsidP="000F5C7C">
      <w:pPr>
        <w:pStyle w:val="T0"/>
        <w:outlineLvl w:val="0"/>
      </w:pPr>
      <w:bookmarkStart w:id="1668" w:name="_Toc468288100"/>
      <w:bookmarkStart w:id="1669" w:name="_Toc496266693"/>
      <w:r>
        <w:lastRenderedPageBreak/>
        <w:t xml:space="preserve">ANEXO </w:t>
      </w:r>
      <w:r w:rsidR="00D66D92">
        <w:t>X</w:t>
      </w:r>
      <w:r w:rsidR="005D4F89">
        <w:t>IV</w:t>
      </w:r>
      <w:r>
        <w:rPr>
          <w:noProof/>
        </w:rPr>
        <w:t xml:space="preserve">: </w:t>
      </w:r>
      <w:r w:rsidRPr="001B01CE">
        <w:t>SISTEMA DE GESTIÓN INTEGRAL</w:t>
      </w:r>
      <w:bookmarkEnd w:id="1660"/>
      <w:bookmarkEnd w:id="1661"/>
      <w:bookmarkEnd w:id="1662"/>
      <w:bookmarkEnd w:id="1663"/>
      <w:bookmarkEnd w:id="1664"/>
      <w:bookmarkEnd w:id="1665"/>
      <w:bookmarkEnd w:id="1666"/>
      <w:bookmarkEnd w:id="1668"/>
      <w:bookmarkEnd w:id="1669"/>
    </w:p>
    <w:bookmarkEnd w:id="1667"/>
    <w:p w14:paraId="73D6E7E3" w14:textId="77777777" w:rsidR="00A3029F" w:rsidRPr="001B01CE" w:rsidRDefault="00A3029F" w:rsidP="001469B2">
      <w:pPr>
        <w:autoSpaceDE w:val="0"/>
        <w:autoSpaceDN w:val="0"/>
        <w:adjustRightInd w:val="0"/>
        <w:spacing w:after="120"/>
        <w:jc w:val="both"/>
        <w:rPr>
          <w:rFonts w:ascii="Arial" w:hAnsi="Arial" w:cs="Arial"/>
          <w:sz w:val="20"/>
          <w:szCs w:val="20"/>
        </w:rPr>
      </w:pPr>
      <w:r w:rsidRPr="001B01CE">
        <w:rPr>
          <w:rFonts w:ascii="Arial" w:hAnsi="Arial" w:cs="Arial"/>
          <w:sz w:val="20"/>
          <w:szCs w:val="20"/>
        </w:rPr>
        <w:t xml:space="preserve">En el presente </w:t>
      </w:r>
      <w:r w:rsidR="00014F26">
        <w:rPr>
          <w:rFonts w:ascii="Arial" w:hAnsi="Arial" w:cs="Arial"/>
          <w:sz w:val="20"/>
          <w:szCs w:val="20"/>
        </w:rPr>
        <w:t>A</w:t>
      </w:r>
      <w:r w:rsidRPr="001B01CE">
        <w:rPr>
          <w:rFonts w:ascii="Arial" w:hAnsi="Arial" w:cs="Arial"/>
          <w:sz w:val="20"/>
          <w:szCs w:val="20"/>
        </w:rPr>
        <w:t>nexo se desarrollan una serie de epígrafes relacionados con la gestión integral del Contrato de PPP, especialmente con lo que tiene que ver con la gestión de los indicadores, gestión de incidencias e inventario, gestión de sistemas de ayuda a la explotación, gestión de la conservación y la mejora de las vías y gestión del uso y defensa de la vía.</w:t>
      </w:r>
    </w:p>
    <w:p w14:paraId="168AE747" w14:textId="77777777" w:rsidR="00A3029F" w:rsidRPr="001469B2" w:rsidRDefault="00A3029F" w:rsidP="009A58E0">
      <w:pPr>
        <w:pStyle w:val="T1AAA"/>
        <w:numPr>
          <w:ilvl w:val="0"/>
          <w:numId w:val="88"/>
        </w:numPr>
        <w:outlineLvl w:val="9"/>
      </w:pPr>
      <w:bookmarkStart w:id="1670" w:name="_Toc400622371"/>
      <w:bookmarkStart w:id="1671" w:name="_Toc400629209"/>
      <w:bookmarkStart w:id="1672" w:name="_Toc400634192"/>
      <w:bookmarkStart w:id="1673" w:name="_Toc400635326"/>
      <w:r w:rsidRPr="001469B2">
        <w:t>DEFINICIÓN Y OBJETIVOS</w:t>
      </w:r>
      <w:bookmarkEnd w:id="1670"/>
      <w:bookmarkEnd w:id="1671"/>
      <w:bookmarkEnd w:id="1672"/>
      <w:bookmarkEnd w:id="1673"/>
    </w:p>
    <w:p w14:paraId="69D7535A" w14:textId="77777777" w:rsidR="00A3029F" w:rsidRDefault="00A3029F" w:rsidP="00AD1D1C">
      <w:pPr>
        <w:autoSpaceDE w:val="0"/>
        <w:autoSpaceDN w:val="0"/>
        <w:adjustRightInd w:val="0"/>
        <w:spacing w:after="120"/>
        <w:jc w:val="both"/>
        <w:rPr>
          <w:rFonts w:ascii="Arial" w:hAnsi="Arial" w:cs="Arial"/>
          <w:sz w:val="20"/>
          <w:szCs w:val="20"/>
        </w:rPr>
      </w:pPr>
      <w:r w:rsidRPr="001B01CE">
        <w:rPr>
          <w:rFonts w:ascii="Arial" w:hAnsi="Arial" w:cs="Arial"/>
          <w:sz w:val="20"/>
          <w:szCs w:val="20"/>
        </w:rPr>
        <w:t xml:space="preserve">La gestión de la explotación se llevará a cabo mediante el Sistema de Gestión Integral (SGI) </w:t>
      </w:r>
      <w:r>
        <w:rPr>
          <w:rFonts w:ascii="Arial" w:hAnsi="Arial" w:cs="Arial"/>
          <w:sz w:val="20"/>
          <w:szCs w:val="20"/>
        </w:rPr>
        <w:t xml:space="preserve">que será una aplicación </w:t>
      </w:r>
      <w:r w:rsidRPr="001B01CE">
        <w:rPr>
          <w:rFonts w:ascii="Arial" w:hAnsi="Arial" w:cs="Arial"/>
          <w:sz w:val="20"/>
          <w:szCs w:val="20"/>
        </w:rPr>
        <w:t>proporcionad</w:t>
      </w:r>
      <w:r>
        <w:rPr>
          <w:rFonts w:ascii="Arial" w:hAnsi="Arial" w:cs="Arial"/>
          <w:sz w:val="20"/>
          <w:szCs w:val="20"/>
        </w:rPr>
        <w:t>a</w:t>
      </w:r>
      <w:r w:rsidRPr="001B01CE">
        <w:rPr>
          <w:rFonts w:ascii="Arial" w:hAnsi="Arial" w:cs="Arial"/>
          <w:sz w:val="20"/>
          <w:szCs w:val="20"/>
        </w:rPr>
        <w:t xml:space="preserve"> por </w:t>
      </w:r>
      <w:r w:rsidR="00E2245F">
        <w:rPr>
          <w:rFonts w:ascii="Arial" w:hAnsi="Arial" w:cs="Arial"/>
          <w:sz w:val="20"/>
          <w:szCs w:val="20"/>
        </w:rPr>
        <w:t>e</w:t>
      </w:r>
      <w:r w:rsidRPr="001B01CE">
        <w:rPr>
          <w:rFonts w:ascii="Arial" w:hAnsi="Arial" w:cs="Arial"/>
          <w:sz w:val="20"/>
          <w:szCs w:val="20"/>
        </w:rPr>
        <w:t>l Contratista</w:t>
      </w:r>
      <w:r>
        <w:rPr>
          <w:rFonts w:ascii="Arial" w:hAnsi="Arial" w:cs="Arial"/>
          <w:sz w:val="20"/>
          <w:szCs w:val="20"/>
        </w:rPr>
        <w:t>.</w:t>
      </w:r>
      <w:r w:rsidR="00B14DCC">
        <w:rPr>
          <w:rFonts w:ascii="Arial" w:hAnsi="Arial" w:cs="Arial"/>
          <w:sz w:val="20"/>
          <w:szCs w:val="20"/>
        </w:rPr>
        <w:t xml:space="preserve"> </w:t>
      </w:r>
      <w:r w:rsidRPr="001B01CE">
        <w:rPr>
          <w:rFonts w:ascii="Arial" w:hAnsi="Arial" w:cs="Arial"/>
          <w:sz w:val="20"/>
          <w:szCs w:val="20"/>
        </w:rPr>
        <w:t>Este Sistema estará formado por un Subsistema de Gestión de la Explotación (SGE) y un Subsistema de Gestión de Tráfico (SGT). Estos subsistemas estarán interconectados y conformarán el SGI.</w:t>
      </w:r>
    </w:p>
    <w:p w14:paraId="04A58542" w14:textId="77777777" w:rsidR="00A3029F" w:rsidRDefault="00A3029F" w:rsidP="009A58E0">
      <w:pPr>
        <w:pStyle w:val="T1AAA"/>
        <w:numPr>
          <w:ilvl w:val="0"/>
          <w:numId w:val="88"/>
        </w:numPr>
        <w:outlineLvl w:val="9"/>
      </w:pPr>
      <w:bookmarkStart w:id="1674" w:name="_Toc400622372"/>
      <w:bookmarkStart w:id="1675" w:name="_Toc400629210"/>
      <w:bookmarkStart w:id="1676" w:name="_Toc400634193"/>
      <w:bookmarkStart w:id="1677" w:name="_Toc400635327"/>
      <w:r>
        <w:t>ASPECTOS TECNOLÓGICOS</w:t>
      </w:r>
      <w:bookmarkEnd w:id="1674"/>
      <w:bookmarkEnd w:id="1675"/>
      <w:bookmarkEnd w:id="1676"/>
      <w:bookmarkEnd w:id="1677"/>
    </w:p>
    <w:p w14:paraId="5CF5D51F"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El SGI y sus componentes </w:t>
      </w:r>
      <w:r>
        <w:rPr>
          <w:rFonts w:ascii="Arial" w:hAnsi="Arial" w:cs="Arial"/>
          <w:sz w:val="20"/>
          <w:szCs w:val="20"/>
        </w:rPr>
        <w:t>– SGE y</w:t>
      </w:r>
      <w:r w:rsidR="00B14DCC">
        <w:rPr>
          <w:rFonts w:ascii="Arial" w:hAnsi="Arial" w:cs="Arial"/>
          <w:sz w:val="20"/>
          <w:szCs w:val="20"/>
        </w:rPr>
        <w:t xml:space="preserve"> </w:t>
      </w:r>
      <w:r>
        <w:rPr>
          <w:rFonts w:ascii="Arial" w:hAnsi="Arial" w:cs="Arial"/>
          <w:sz w:val="20"/>
          <w:szCs w:val="20"/>
        </w:rPr>
        <w:t xml:space="preserve">SGT – serán </w:t>
      </w:r>
      <w:r w:rsidRPr="00454708">
        <w:rPr>
          <w:rFonts w:ascii="Arial" w:hAnsi="Arial" w:cs="Arial"/>
          <w:sz w:val="20"/>
          <w:szCs w:val="20"/>
        </w:rPr>
        <w:t xml:space="preserve">aplicaciones web accesibles desde Internet </w:t>
      </w:r>
      <w:r>
        <w:rPr>
          <w:rFonts w:ascii="Arial" w:hAnsi="Arial" w:cs="Arial"/>
          <w:sz w:val="20"/>
          <w:szCs w:val="20"/>
        </w:rPr>
        <w:t xml:space="preserve">y </w:t>
      </w:r>
      <w:r w:rsidRPr="00454708">
        <w:rPr>
          <w:rFonts w:ascii="Arial" w:hAnsi="Arial" w:cs="Arial"/>
          <w:sz w:val="20"/>
          <w:szCs w:val="20"/>
        </w:rPr>
        <w:t>toma</w:t>
      </w:r>
      <w:r>
        <w:rPr>
          <w:rFonts w:ascii="Arial" w:hAnsi="Arial" w:cs="Arial"/>
          <w:sz w:val="20"/>
          <w:szCs w:val="20"/>
        </w:rPr>
        <w:t>rán</w:t>
      </w:r>
      <w:r w:rsidRPr="00454708">
        <w:rPr>
          <w:rFonts w:ascii="Arial" w:hAnsi="Arial" w:cs="Arial"/>
          <w:sz w:val="20"/>
          <w:szCs w:val="20"/>
        </w:rPr>
        <w:t xml:space="preserve"> los recaudos de seguridad que se establezcan de acuerdo a las normativas de seguridad de la información y las buenas prácticas que indica CERTUY. </w:t>
      </w:r>
    </w:p>
    <w:p w14:paraId="5DFDDD2D"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lastRenderedPageBreak/>
        <w:t>El sistema contará con una tabla de control de acceso, con privilegios y roles granulares de acuerdo a lo que se determine.</w:t>
      </w:r>
    </w:p>
    <w:p w14:paraId="6F1AFC29"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El sistema llevará una auditoría interna, que permita establecer las acciones y los usuarios que las ejecutan</w:t>
      </w:r>
      <w:r>
        <w:rPr>
          <w:rFonts w:ascii="Arial" w:hAnsi="Arial" w:cs="Arial"/>
          <w:sz w:val="20"/>
          <w:szCs w:val="20"/>
        </w:rPr>
        <w:t>.</w:t>
      </w:r>
    </w:p>
    <w:p w14:paraId="7948918D"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La DNV cuenta con un sistema que es el inventario vial (SIPLA) que tiene los elementos identificatorios sobre los cuales el SGI producirá información propia, por lo tanto el SGI tendrá que establecer el vínculo sobre estos</w:t>
      </w:r>
      <w:r w:rsidR="00B14DCC">
        <w:rPr>
          <w:rFonts w:ascii="Arial" w:hAnsi="Arial" w:cs="Arial"/>
          <w:sz w:val="20"/>
          <w:szCs w:val="20"/>
        </w:rPr>
        <w:t xml:space="preserve"> </w:t>
      </w:r>
      <w:r w:rsidRPr="00454708">
        <w:rPr>
          <w:rFonts w:ascii="Arial" w:hAnsi="Arial" w:cs="Arial"/>
          <w:sz w:val="20"/>
          <w:szCs w:val="20"/>
        </w:rPr>
        <w:t>identificadores. Dicho sistema es un sistema legado en vías de reingeniería por lo cual debe tomarse en cuenta no solo su situación actual sino también futura en cuanto a su modelo de datos, con el cual el SGI deberá articular y en ese sentido debe consultarse el modelo de datos proyectado.</w:t>
      </w:r>
    </w:p>
    <w:p w14:paraId="7004B459"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Asimismo deberán tomarse en cuenta las tendencias de integración del MTOP a la IDE y la conformación del nodo provisorio del MTOP, por lo cual todos los aspectos de referenciación geográficos deberán ser compatibles con esta línea de trabajo.</w:t>
      </w:r>
    </w:p>
    <w:p w14:paraId="7F87AA59"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Los procedimientos de acoplamiento entre el SGI y los sistemas legados que se involucren en el modelo de datos deben ser flexibles –previendo la situación actual y futura-, adecuados tecnológicamente y deben proveer la seguridad de acuerdo a las políticas </w:t>
      </w:r>
      <w:r w:rsidRPr="00454708">
        <w:rPr>
          <w:rFonts w:ascii="Arial" w:hAnsi="Arial" w:cs="Arial"/>
          <w:sz w:val="20"/>
          <w:szCs w:val="20"/>
        </w:rPr>
        <w:lastRenderedPageBreak/>
        <w:t>de seguridad de la información. Esto involucra articulaciones previstas que serán automáticas y adecuadas a estándares de software y de datos.</w:t>
      </w:r>
    </w:p>
    <w:p w14:paraId="129F0774" w14:textId="77777777" w:rsidR="00A3029F" w:rsidRPr="00454708" w:rsidRDefault="00A3029F" w:rsidP="00AD1D1C">
      <w:pPr>
        <w:autoSpaceDE w:val="0"/>
        <w:autoSpaceDN w:val="0"/>
        <w:adjustRightInd w:val="0"/>
        <w:spacing w:after="120"/>
        <w:jc w:val="both"/>
        <w:rPr>
          <w:rFonts w:ascii="Arial" w:hAnsi="Arial" w:cs="Arial"/>
          <w:sz w:val="20"/>
          <w:szCs w:val="20"/>
        </w:rPr>
      </w:pPr>
      <w:r w:rsidRPr="00454708">
        <w:rPr>
          <w:rFonts w:ascii="Arial" w:hAnsi="Arial" w:cs="Arial"/>
          <w:sz w:val="20"/>
          <w:szCs w:val="20"/>
        </w:rPr>
        <w:t>Aspectos que involucran la puesta en marcha del SGE:</w:t>
      </w:r>
    </w:p>
    <w:p w14:paraId="79EDAF00"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 xml:space="preserve">Los ya mencionados del nodo geográfico y los lineamientos de trabajo del MTOP en </w:t>
      </w:r>
      <w:r>
        <w:rPr>
          <w:rFonts w:ascii="Arial" w:hAnsi="Arial" w:cs="Arial"/>
          <w:sz w:val="20"/>
          <w:szCs w:val="20"/>
        </w:rPr>
        <w:t>este sentido</w:t>
      </w:r>
      <w:r w:rsidR="00C51D0D">
        <w:rPr>
          <w:rFonts w:ascii="Arial" w:hAnsi="Arial" w:cs="Arial"/>
          <w:sz w:val="20"/>
          <w:szCs w:val="20"/>
        </w:rPr>
        <w:t>.</w:t>
      </w:r>
    </w:p>
    <w:p w14:paraId="2E5F863E"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Los ya mencionados de la articulación con los sistemas técnicos de la DNV y en particular el inventario vial (SIPLA)</w:t>
      </w:r>
      <w:r w:rsidR="00C51D0D">
        <w:rPr>
          <w:rFonts w:ascii="Arial" w:hAnsi="Arial" w:cs="Arial"/>
          <w:sz w:val="20"/>
          <w:szCs w:val="20"/>
        </w:rPr>
        <w:t>.</w:t>
      </w:r>
    </w:p>
    <w:p w14:paraId="21ADBA16"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tecnológica que estará sujeta a acuerdo entre las partes en cuanto a sus características técnicas</w:t>
      </w:r>
      <w:r w:rsidR="00C51D0D">
        <w:rPr>
          <w:rFonts w:ascii="Arial" w:hAnsi="Arial" w:cs="Arial"/>
          <w:sz w:val="20"/>
          <w:szCs w:val="20"/>
        </w:rPr>
        <w:t>.</w:t>
      </w:r>
    </w:p>
    <w:p w14:paraId="20C8B55C"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La plataforma de desarrollo y su licenciamiento</w:t>
      </w:r>
      <w:r>
        <w:rPr>
          <w:rFonts w:ascii="Arial" w:hAnsi="Arial" w:cs="Arial"/>
          <w:sz w:val="20"/>
          <w:szCs w:val="20"/>
        </w:rPr>
        <w:t>, que será una plataforma de uso en DNV o una plataforma de software libre, estará</w:t>
      </w:r>
      <w:r w:rsidR="00B14DCC">
        <w:rPr>
          <w:rFonts w:ascii="Arial" w:hAnsi="Arial" w:cs="Arial"/>
          <w:sz w:val="20"/>
          <w:szCs w:val="20"/>
        </w:rPr>
        <w:t xml:space="preserve"> </w:t>
      </w:r>
      <w:r w:rsidRPr="00454708">
        <w:rPr>
          <w:rFonts w:ascii="Arial" w:hAnsi="Arial" w:cs="Arial"/>
          <w:sz w:val="20"/>
          <w:szCs w:val="20"/>
        </w:rPr>
        <w:t>sujeta a acuerdo entre partes</w:t>
      </w:r>
      <w:r>
        <w:rPr>
          <w:rFonts w:ascii="Arial" w:hAnsi="Arial" w:cs="Arial"/>
          <w:sz w:val="20"/>
          <w:szCs w:val="20"/>
        </w:rPr>
        <w:t>, siendo responsabilidad de</w:t>
      </w:r>
      <w:r w:rsidR="00E2245F">
        <w:rPr>
          <w:rFonts w:ascii="Arial" w:hAnsi="Arial" w:cs="Arial"/>
          <w:sz w:val="20"/>
          <w:szCs w:val="20"/>
        </w:rPr>
        <w:t xml:space="preserve"> </w:t>
      </w:r>
      <w:r>
        <w:rPr>
          <w:rFonts w:ascii="Arial" w:hAnsi="Arial" w:cs="Arial"/>
          <w:sz w:val="20"/>
          <w:szCs w:val="20"/>
        </w:rPr>
        <w:t>l</w:t>
      </w:r>
      <w:r w:rsidR="00E2245F">
        <w:rPr>
          <w:rFonts w:ascii="Arial" w:hAnsi="Arial" w:cs="Arial"/>
          <w:sz w:val="20"/>
          <w:szCs w:val="20"/>
        </w:rPr>
        <w:t>a</w:t>
      </w:r>
      <w:r>
        <w:rPr>
          <w:rFonts w:ascii="Arial" w:hAnsi="Arial" w:cs="Arial"/>
          <w:sz w:val="20"/>
          <w:szCs w:val="20"/>
        </w:rPr>
        <w:t xml:space="preserve"> </w:t>
      </w:r>
      <w:r w:rsidR="00E2245F">
        <w:rPr>
          <w:rFonts w:ascii="Arial" w:hAnsi="Arial" w:cs="Arial"/>
          <w:sz w:val="20"/>
          <w:szCs w:val="20"/>
        </w:rPr>
        <w:t>C</w:t>
      </w:r>
      <w:r>
        <w:rPr>
          <w:rFonts w:ascii="Arial" w:hAnsi="Arial" w:cs="Arial"/>
          <w:sz w:val="20"/>
          <w:szCs w:val="20"/>
        </w:rPr>
        <w:t>ontratante el licenciamiento en caso de que se requiera.</w:t>
      </w:r>
    </w:p>
    <w:p w14:paraId="4EE25C51"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E</w:t>
      </w:r>
      <w:r w:rsidR="00A3029F" w:rsidRPr="00454708">
        <w:rPr>
          <w:rFonts w:ascii="Arial" w:hAnsi="Arial" w:cs="Arial"/>
          <w:sz w:val="20"/>
          <w:szCs w:val="20"/>
        </w:rPr>
        <w:t>l modelo de datos y su articulación con el modelo existente y sus cambios proyectados sujet</w:t>
      </w:r>
      <w:r w:rsidR="00A3029F">
        <w:rPr>
          <w:rFonts w:ascii="Arial" w:hAnsi="Arial" w:cs="Arial"/>
          <w:sz w:val="20"/>
          <w:szCs w:val="20"/>
        </w:rPr>
        <w:t>o</w:t>
      </w:r>
      <w:r w:rsidR="00E2245F">
        <w:rPr>
          <w:rFonts w:ascii="Arial" w:hAnsi="Arial" w:cs="Arial"/>
          <w:sz w:val="20"/>
          <w:szCs w:val="20"/>
        </w:rPr>
        <w:t xml:space="preserve"> </w:t>
      </w:r>
      <w:r w:rsidR="00A3029F" w:rsidRPr="00454708">
        <w:rPr>
          <w:rFonts w:ascii="Arial" w:hAnsi="Arial" w:cs="Arial"/>
          <w:sz w:val="20"/>
          <w:szCs w:val="20"/>
        </w:rPr>
        <w:t>a un acuerdo entre partes.</w:t>
      </w:r>
    </w:p>
    <w:p w14:paraId="5CFC7DB8"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L</w:t>
      </w:r>
      <w:r w:rsidR="00A3029F" w:rsidRPr="00454708">
        <w:rPr>
          <w:rFonts w:ascii="Arial" w:hAnsi="Arial" w:cs="Arial"/>
          <w:sz w:val="20"/>
          <w:szCs w:val="20"/>
        </w:rPr>
        <w:t xml:space="preserve">a presentación de la documentación de análisis y diseño </w:t>
      </w:r>
      <w:r w:rsidR="00A3029F">
        <w:rPr>
          <w:rFonts w:ascii="Arial" w:hAnsi="Arial" w:cs="Arial"/>
          <w:sz w:val="20"/>
          <w:szCs w:val="20"/>
        </w:rPr>
        <w:t>sujetos a aprobación entre partes.</w:t>
      </w:r>
    </w:p>
    <w:p w14:paraId="5D6FE411"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lastRenderedPageBreak/>
        <w:t>L</w:t>
      </w:r>
      <w:r w:rsidRPr="00454708">
        <w:rPr>
          <w:rFonts w:ascii="Arial" w:hAnsi="Arial" w:cs="Arial"/>
          <w:sz w:val="20"/>
          <w:szCs w:val="20"/>
        </w:rPr>
        <w:t xml:space="preserve">a </w:t>
      </w:r>
      <w:r w:rsidR="00A3029F" w:rsidRPr="00454708">
        <w:rPr>
          <w:rFonts w:ascii="Arial" w:hAnsi="Arial" w:cs="Arial"/>
          <w:sz w:val="20"/>
          <w:szCs w:val="20"/>
        </w:rPr>
        <w:t xml:space="preserve">presentación de </w:t>
      </w:r>
      <w:r w:rsidRPr="00454708">
        <w:rPr>
          <w:rFonts w:ascii="Arial" w:hAnsi="Arial" w:cs="Arial"/>
          <w:sz w:val="20"/>
          <w:szCs w:val="20"/>
        </w:rPr>
        <w:t>l</w:t>
      </w:r>
      <w:r>
        <w:rPr>
          <w:rFonts w:ascii="Arial" w:hAnsi="Arial" w:cs="Arial"/>
          <w:sz w:val="20"/>
          <w:szCs w:val="20"/>
        </w:rPr>
        <w:t>a</w:t>
      </w:r>
      <w:r w:rsidRPr="00454708">
        <w:rPr>
          <w:rFonts w:ascii="Arial" w:hAnsi="Arial" w:cs="Arial"/>
          <w:sz w:val="20"/>
          <w:szCs w:val="20"/>
        </w:rPr>
        <w:t xml:space="preserve">s </w:t>
      </w:r>
      <w:r w:rsidR="00A3029F" w:rsidRPr="00454708">
        <w:rPr>
          <w:rFonts w:ascii="Arial" w:hAnsi="Arial" w:cs="Arial"/>
          <w:sz w:val="20"/>
          <w:szCs w:val="20"/>
        </w:rPr>
        <w:t>fuentes</w:t>
      </w:r>
      <w:r>
        <w:rPr>
          <w:rFonts w:ascii="Arial" w:hAnsi="Arial" w:cs="Arial"/>
          <w:sz w:val="20"/>
          <w:szCs w:val="20"/>
        </w:rPr>
        <w:t>.</w:t>
      </w:r>
    </w:p>
    <w:p w14:paraId="288D536B" w14:textId="77777777" w:rsidR="00A3029F" w:rsidRPr="00454708" w:rsidRDefault="00C51D0D" w:rsidP="009A58E0">
      <w:pPr>
        <w:numPr>
          <w:ilvl w:val="0"/>
          <w:numId w:val="76"/>
        </w:numPr>
        <w:autoSpaceDE w:val="0"/>
        <w:autoSpaceDN w:val="0"/>
        <w:adjustRightInd w:val="0"/>
        <w:spacing w:after="120"/>
        <w:jc w:val="both"/>
        <w:rPr>
          <w:rFonts w:ascii="Arial" w:hAnsi="Arial" w:cs="Arial"/>
          <w:sz w:val="20"/>
          <w:szCs w:val="20"/>
        </w:rPr>
      </w:pPr>
      <w:r>
        <w:rPr>
          <w:rFonts w:ascii="Arial" w:hAnsi="Arial" w:cs="Arial"/>
          <w:sz w:val="20"/>
          <w:szCs w:val="20"/>
        </w:rPr>
        <w:t>L</w:t>
      </w:r>
      <w:r w:rsidRPr="00454708">
        <w:rPr>
          <w:rFonts w:ascii="Arial" w:hAnsi="Arial" w:cs="Arial"/>
          <w:sz w:val="20"/>
          <w:szCs w:val="20"/>
        </w:rPr>
        <w:t xml:space="preserve">a </w:t>
      </w:r>
      <w:r w:rsidR="00A3029F" w:rsidRPr="00454708">
        <w:rPr>
          <w:rFonts w:ascii="Arial" w:hAnsi="Arial" w:cs="Arial"/>
          <w:sz w:val="20"/>
          <w:szCs w:val="20"/>
        </w:rPr>
        <w:t>previsión del mantenimiento</w:t>
      </w:r>
      <w:r>
        <w:rPr>
          <w:rFonts w:ascii="Arial" w:hAnsi="Arial" w:cs="Arial"/>
          <w:sz w:val="20"/>
          <w:szCs w:val="20"/>
        </w:rPr>
        <w:t>.</w:t>
      </w:r>
      <w:r w:rsidR="00A3029F" w:rsidRPr="00454708">
        <w:rPr>
          <w:rFonts w:ascii="Arial" w:hAnsi="Arial" w:cs="Arial"/>
          <w:sz w:val="20"/>
          <w:szCs w:val="20"/>
        </w:rPr>
        <w:t xml:space="preserve"> </w:t>
      </w:r>
    </w:p>
    <w:p w14:paraId="50C5F148" w14:textId="77777777" w:rsidR="00A3029F" w:rsidRPr="00454708" w:rsidRDefault="00A3029F" w:rsidP="009A58E0">
      <w:pPr>
        <w:numPr>
          <w:ilvl w:val="0"/>
          <w:numId w:val="76"/>
        </w:numPr>
        <w:autoSpaceDE w:val="0"/>
        <w:autoSpaceDN w:val="0"/>
        <w:adjustRightInd w:val="0"/>
        <w:spacing w:after="120"/>
        <w:jc w:val="both"/>
        <w:rPr>
          <w:rFonts w:ascii="Arial" w:hAnsi="Arial" w:cs="Arial"/>
          <w:sz w:val="20"/>
          <w:szCs w:val="20"/>
        </w:rPr>
      </w:pPr>
      <w:r w:rsidRPr="00454708">
        <w:rPr>
          <w:rFonts w:ascii="Arial" w:hAnsi="Arial" w:cs="Arial"/>
          <w:sz w:val="20"/>
          <w:szCs w:val="20"/>
        </w:rPr>
        <w:t>Acuerdo de confidencialidad sobre la estructura info</w:t>
      </w:r>
      <w:r>
        <w:rPr>
          <w:rFonts w:ascii="Arial" w:hAnsi="Arial" w:cs="Arial"/>
          <w:sz w:val="20"/>
          <w:szCs w:val="20"/>
        </w:rPr>
        <w:t>r</w:t>
      </w:r>
      <w:r w:rsidRPr="00454708">
        <w:rPr>
          <w:rFonts w:ascii="Arial" w:hAnsi="Arial" w:cs="Arial"/>
          <w:sz w:val="20"/>
          <w:szCs w:val="20"/>
        </w:rPr>
        <w:t>macional de la DNV</w:t>
      </w:r>
      <w:r w:rsidR="00C51D0D">
        <w:rPr>
          <w:rFonts w:ascii="Arial" w:hAnsi="Arial" w:cs="Arial"/>
          <w:sz w:val="20"/>
          <w:szCs w:val="20"/>
        </w:rPr>
        <w:t>.</w:t>
      </w:r>
    </w:p>
    <w:p w14:paraId="54C646F3" w14:textId="77777777" w:rsidR="00A3029F" w:rsidRDefault="00A3029F" w:rsidP="009A58E0">
      <w:pPr>
        <w:pStyle w:val="T1AAA"/>
        <w:numPr>
          <w:ilvl w:val="0"/>
          <w:numId w:val="88"/>
        </w:numPr>
        <w:outlineLvl w:val="9"/>
      </w:pPr>
      <w:bookmarkStart w:id="1678" w:name="_Toc400622373"/>
      <w:bookmarkStart w:id="1679" w:name="_Toc400629211"/>
      <w:bookmarkStart w:id="1680" w:name="_Toc400634194"/>
      <w:bookmarkStart w:id="1681" w:name="_Toc400635328"/>
      <w:r w:rsidRPr="005A0B9C">
        <w:t>FUNCIONALIDADES GENERALES</w:t>
      </w:r>
      <w:bookmarkEnd w:id="1678"/>
      <w:bookmarkEnd w:id="1679"/>
      <w:bookmarkEnd w:id="1680"/>
      <w:bookmarkEnd w:id="1681"/>
    </w:p>
    <w:p w14:paraId="559CB26A" w14:textId="77777777" w:rsidR="00A3029F" w:rsidRPr="001B01CE" w:rsidRDefault="00A3029F" w:rsidP="009A58E0">
      <w:pPr>
        <w:pStyle w:val="Prrafodelista3"/>
        <w:numPr>
          <w:ilvl w:val="0"/>
          <w:numId w:val="32"/>
        </w:numPr>
        <w:autoSpaceDE w:val="0"/>
        <w:autoSpaceDN w:val="0"/>
        <w:adjustRightInd w:val="0"/>
        <w:spacing w:after="120"/>
        <w:ind w:left="641" w:hanging="357"/>
        <w:jc w:val="both"/>
        <w:rPr>
          <w:rFonts w:ascii="Arial" w:hAnsi="Arial" w:cs="Arial"/>
          <w:sz w:val="20"/>
          <w:szCs w:val="20"/>
        </w:rPr>
      </w:pPr>
      <w:r w:rsidRPr="001B01CE">
        <w:rPr>
          <w:rFonts w:ascii="Arial" w:hAnsi="Arial" w:cs="Arial"/>
          <w:sz w:val="20"/>
          <w:szCs w:val="20"/>
        </w:rPr>
        <w:t>Supervisión y control en tiempo real de los sistemas SGE y SGT.</w:t>
      </w:r>
    </w:p>
    <w:p w14:paraId="77757A0D"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Creación y actualización permanente de un inventario de la red de carreteras que conforman el proyecto.</w:t>
      </w:r>
    </w:p>
    <w:p w14:paraId="70D833FD"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las incidencias en la red (incidentes, accidentes, gestión de la Seguridad Vial) sobre el SGE.</w:t>
      </w:r>
    </w:p>
    <w:p w14:paraId="314F6713"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estándares sobre el SGE.</w:t>
      </w:r>
    </w:p>
    <w:p w14:paraId="4E32089C" w14:textId="77777777" w:rsidR="00A3029F" w:rsidRPr="001B01CE"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Gestión de los expedientes de uso y defensa de la red.</w:t>
      </w:r>
    </w:p>
    <w:p w14:paraId="7081382A" w14:textId="77777777" w:rsidR="00A3029F" w:rsidRDefault="00A3029F" w:rsidP="009A58E0">
      <w:pPr>
        <w:pStyle w:val="Prrafodelista3"/>
        <w:numPr>
          <w:ilvl w:val="0"/>
          <w:numId w:val="32"/>
        </w:numPr>
        <w:autoSpaceDE w:val="0"/>
        <w:autoSpaceDN w:val="0"/>
        <w:adjustRightInd w:val="0"/>
        <w:spacing w:after="120"/>
        <w:jc w:val="both"/>
        <w:rPr>
          <w:rFonts w:ascii="Arial" w:hAnsi="Arial" w:cs="Arial"/>
          <w:sz w:val="20"/>
          <w:szCs w:val="20"/>
        </w:rPr>
      </w:pPr>
      <w:r w:rsidRPr="001B01CE">
        <w:rPr>
          <w:rFonts w:ascii="Arial" w:hAnsi="Arial" w:cs="Arial"/>
          <w:sz w:val="20"/>
          <w:szCs w:val="20"/>
        </w:rPr>
        <w:t>Auto monitoreo de los estándares básicos y complementarios</w:t>
      </w:r>
      <w:r w:rsidR="0019118A">
        <w:rPr>
          <w:rFonts w:ascii="Arial" w:hAnsi="Arial" w:cs="Arial"/>
          <w:sz w:val="20"/>
          <w:szCs w:val="20"/>
        </w:rPr>
        <w:t>:</w:t>
      </w:r>
    </w:p>
    <w:p w14:paraId="285487E3"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Accidentes e incidencias.</w:t>
      </w:r>
    </w:p>
    <w:p w14:paraId="4DEDE735"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Equipos humanos y maquinaria.</w:t>
      </w:r>
    </w:p>
    <w:p w14:paraId="3ACBAAA1"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Consumo de materiales para operaciones de gestión y vialidad.</w:t>
      </w:r>
    </w:p>
    <w:p w14:paraId="325DBC2E"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lastRenderedPageBreak/>
        <w:t>Realización de operaciones de mantenimiento y mejora.</w:t>
      </w:r>
    </w:p>
    <w:p w14:paraId="5108F472"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 de elementos y cartografía.</w:t>
      </w:r>
    </w:p>
    <w:p w14:paraId="5F969B0B"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Informe de estado.</w:t>
      </w:r>
    </w:p>
    <w:p w14:paraId="2FC6E8D6"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 xml:space="preserve">Previsiones de trabajo. </w:t>
      </w:r>
    </w:p>
    <w:p w14:paraId="7CDF2C89"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Indicadores y evolución de los mismos.</w:t>
      </w:r>
    </w:p>
    <w:p w14:paraId="18BC78F6"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señalización.</w:t>
      </w:r>
    </w:p>
    <w:p w14:paraId="11792C25"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carreteras.</w:t>
      </w:r>
    </w:p>
    <w:p w14:paraId="709F3273"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de seguridad.</w:t>
      </w:r>
    </w:p>
    <w:p w14:paraId="265F49A9" w14:textId="77777777" w:rsidR="00A3029F" w:rsidRDefault="00A3029F" w:rsidP="009A58E0">
      <w:pPr>
        <w:pStyle w:val="Prrafodelista3"/>
        <w:numPr>
          <w:ilvl w:val="1"/>
          <w:numId w:val="82"/>
        </w:numPr>
        <w:autoSpaceDE w:val="0"/>
        <w:autoSpaceDN w:val="0"/>
        <w:adjustRightInd w:val="0"/>
        <w:spacing w:after="120"/>
        <w:jc w:val="both"/>
        <w:rPr>
          <w:rFonts w:ascii="Arial" w:hAnsi="Arial" w:cs="Arial"/>
          <w:sz w:val="20"/>
          <w:szCs w:val="20"/>
        </w:rPr>
      </w:pPr>
      <w:r w:rsidRPr="002C4BD8">
        <w:rPr>
          <w:rFonts w:ascii="Arial" w:hAnsi="Arial" w:cs="Arial"/>
          <w:sz w:val="20"/>
          <w:szCs w:val="20"/>
        </w:rPr>
        <w:t>Inventarios varios.</w:t>
      </w:r>
    </w:p>
    <w:p w14:paraId="309990D1" w14:textId="77777777" w:rsidR="00021FF6" w:rsidRDefault="00021FF6" w:rsidP="00021FF6">
      <w:pPr>
        <w:pStyle w:val="Prrafodelista3"/>
        <w:autoSpaceDE w:val="0"/>
        <w:autoSpaceDN w:val="0"/>
        <w:adjustRightInd w:val="0"/>
        <w:spacing w:after="120"/>
        <w:ind w:left="0"/>
        <w:jc w:val="both"/>
        <w:rPr>
          <w:rFonts w:ascii="Arial" w:hAnsi="Arial" w:cs="Arial"/>
          <w:sz w:val="20"/>
          <w:szCs w:val="20"/>
        </w:rPr>
      </w:pPr>
    </w:p>
    <w:p w14:paraId="0E557327" w14:textId="77777777" w:rsidR="00A3029F" w:rsidRDefault="00A3029F" w:rsidP="009A58E0">
      <w:pPr>
        <w:pStyle w:val="T1AAA"/>
        <w:numPr>
          <w:ilvl w:val="0"/>
          <w:numId w:val="88"/>
        </w:numPr>
        <w:outlineLvl w:val="9"/>
      </w:pPr>
      <w:bookmarkStart w:id="1682" w:name="_Toc400629212"/>
      <w:bookmarkStart w:id="1683" w:name="_Toc400634195"/>
      <w:bookmarkStart w:id="1684" w:name="_Toc400635329"/>
      <w:r w:rsidRPr="007E2119">
        <w:rPr>
          <w:caps/>
        </w:rPr>
        <w:t>PLAZOS DE IMPLANTACIÓN</w:t>
      </w:r>
      <w:r w:rsidRPr="005A0B9C">
        <w:t>.</w:t>
      </w:r>
      <w:bookmarkEnd w:id="1682"/>
      <w:bookmarkEnd w:id="1683"/>
      <w:bookmarkEnd w:id="1684"/>
    </w:p>
    <w:p w14:paraId="7F2F4EBE" w14:textId="77777777" w:rsidR="00A3029F" w:rsidRPr="00260014" w:rsidRDefault="00A3029F" w:rsidP="00AD1D1C">
      <w:pPr>
        <w:autoSpaceDE w:val="0"/>
        <w:autoSpaceDN w:val="0"/>
        <w:adjustRightInd w:val="0"/>
        <w:spacing w:after="120"/>
        <w:ind w:left="360"/>
        <w:jc w:val="both"/>
        <w:rPr>
          <w:rFonts w:ascii="Arial" w:hAnsi="Arial" w:cs="Arial"/>
          <w:sz w:val="20"/>
          <w:szCs w:val="20"/>
        </w:rPr>
      </w:pPr>
      <w:r w:rsidRPr="00260014">
        <w:rPr>
          <w:rFonts w:ascii="Arial" w:hAnsi="Arial" w:cs="Arial"/>
          <w:sz w:val="20"/>
          <w:szCs w:val="20"/>
        </w:rPr>
        <w:t>Los plazos que han de cumplirse para la implementación del SGI son los siguientes:</w:t>
      </w:r>
    </w:p>
    <w:p w14:paraId="54ECDC56"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SG</w:t>
      </w:r>
      <w:r>
        <w:rPr>
          <w:rFonts w:ascii="Arial" w:hAnsi="Arial" w:cs="Arial"/>
          <w:sz w:val="20"/>
          <w:szCs w:val="20"/>
        </w:rPr>
        <w:t>E</w:t>
      </w:r>
      <w:r w:rsidRPr="00260014">
        <w:rPr>
          <w:rFonts w:ascii="Arial" w:hAnsi="Arial" w:cs="Arial"/>
          <w:sz w:val="20"/>
          <w:szCs w:val="20"/>
        </w:rPr>
        <w:t xml:space="preserve"> deberá estar disponible (haber sido recibido) dentro de los primeros dieciocho (18) meses desde la firma del contrato.</w:t>
      </w:r>
    </w:p>
    <w:p w14:paraId="1DCDBF43"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 xml:space="preserve">Los equipos (Hardware), los sistemas (software), así como todas las instalaciones de los mismos (correspondientes al </w:t>
      </w:r>
      <w:r w:rsidRPr="00260014">
        <w:rPr>
          <w:rFonts w:ascii="Arial" w:hAnsi="Arial" w:cs="Arial"/>
          <w:sz w:val="20"/>
          <w:szCs w:val="20"/>
        </w:rPr>
        <w:lastRenderedPageBreak/>
        <w:t>subsistema de gestión de la explotación) y la correspondiente carga de cartografía del sector ha de estar realizada y validada por la DNV dentro de los primeros veintidós (22) meses desde la firma del contrato.</w:t>
      </w:r>
    </w:p>
    <w:p w14:paraId="792F3604"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La comprobación de todas las funcionalidades del subsistema de gestión de la explotación (gestión de indicadores, incidencias en la red, cartografía, etc.) ha de realizarse y estar validada por la DNV en un plazo de veinticuatro (24) meses desde la firma del contrato.</w:t>
      </w:r>
    </w:p>
    <w:p w14:paraId="23383F00"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Los equipos (Hardware), los sistemas (software), así como todas las instalaciones de los mismos (correspondientes al subsistema de gestión de tráfico), así como la parametrización, implementación y carga de sinópticos y puesta en marcha del mismo, ha de estar realizada y validada por la DNV dentro de los primeros veintiocho (28) meses desde la firma del contrato.</w:t>
      </w:r>
    </w:p>
    <w:p w14:paraId="3FD5AD1B"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los indicadores ha de estar implantado en el plazo máximo que corresponde a la comprobación final de las obras.</w:t>
      </w:r>
    </w:p>
    <w:p w14:paraId="035EB0F1"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t>El sistema de autoevaluación de indicadores ha de funcionar correctamente dos meses después del plazo anterior, y siempre antes del primer trimestre de abono.</w:t>
      </w:r>
    </w:p>
    <w:p w14:paraId="62B6AFA4" w14:textId="77777777" w:rsidR="00A3029F" w:rsidRPr="00260014" w:rsidRDefault="00A3029F" w:rsidP="009A58E0">
      <w:pPr>
        <w:pStyle w:val="Prrafodelista3"/>
        <w:numPr>
          <w:ilvl w:val="0"/>
          <w:numId w:val="78"/>
        </w:numPr>
        <w:autoSpaceDE w:val="0"/>
        <w:autoSpaceDN w:val="0"/>
        <w:adjustRightInd w:val="0"/>
        <w:spacing w:after="120"/>
        <w:jc w:val="both"/>
        <w:rPr>
          <w:rFonts w:ascii="Arial" w:hAnsi="Arial" w:cs="Arial"/>
          <w:sz w:val="20"/>
          <w:szCs w:val="20"/>
        </w:rPr>
      </w:pPr>
      <w:r w:rsidRPr="00260014">
        <w:rPr>
          <w:rFonts w:ascii="Arial" w:hAnsi="Arial" w:cs="Arial"/>
          <w:sz w:val="20"/>
          <w:szCs w:val="20"/>
        </w:rPr>
        <w:lastRenderedPageBreak/>
        <w:t>Todas las funcionalidades del sistema de gestión integral de la explotación deben estar en servicio dentro de los cuatro (4) meses siguientes a partir de la comprobación final de las obras totales.</w:t>
      </w:r>
    </w:p>
    <w:p w14:paraId="157D1939" w14:textId="77777777" w:rsidR="00A3029F" w:rsidRPr="00581FB5" w:rsidRDefault="00A3029F" w:rsidP="00AD1D1C">
      <w:pPr>
        <w:pStyle w:val="CND2"/>
        <w:outlineLvl w:val="9"/>
        <w:rPr>
          <w:sz w:val="20"/>
          <w:szCs w:val="20"/>
        </w:rPr>
        <w:sectPr w:rsidR="00A3029F" w:rsidRPr="00581FB5" w:rsidSect="00DB392E">
          <w:pgSz w:w="11906" w:h="16838"/>
          <w:pgMar w:top="1134" w:right="1701" w:bottom="1701" w:left="1701" w:header="709" w:footer="709" w:gutter="0"/>
          <w:cols w:space="708"/>
          <w:docGrid w:linePitch="360"/>
        </w:sectPr>
      </w:pPr>
    </w:p>
    <w:p w14:paraId="7B3D4FBC" w14:textId="77777777" w:rsidR="00A3029F" w:rsidRPr="00ED0487" w:rsidRDefault="00A3029F" w:rsidP="000F5C7C">
      <w:pPr>
        <w:pStyle w:val="T0"/>
        <w:outlineLvl w:val="0"/>
        <w:rPr>
          <w:vertAlign w:val="superscript"/>
          <w:lang w:val="pt-BR"/>
        </w:rPr>
      </w:pPr>
      <w:bookmarkStart w:id="1685" w:name="_Toc400622374"/>
      <w:bookmarkStart w:id="1686" w:name="_Toc400629213"/>
      <w:bookmarkStart w:id="1687" w:name="_Toc400634196"/>
      <w:bookmarkStart w:id="1688" w:name="_Toc400635330"/>
      <w:bookmarkStart w:id="1689" w:name="_Toc468288101"/>
      <w:bookmarkStart w:id="1690" w:name="_Toc496266694"/>
      <w:bookmarkStart w:id="1691" w:name="A_15"/>
      <w:bookmarkStart w:id="1692" w:name="_Toc358821621"/>
      <w:r w:rsidRPr="00433DEA">
        <w:rPr>
          <w:lang w:val="pt-BR"/>
        </w:rPr>
        <w:lastRenderedPageBreak/>
        <w:t>ANEXO XV: TRÁNSITO</w:t>
      </w:r>
      <w:bookmarkEnd w:id="1685"/>
      <w:bookmarkEnd w:id="1686"/>
      <w:bookmarkEnd w:id="1687"/>
      <w:bookmarkEnd w:id="1688"/>
      <w:bookmarkEnd w:id="1689"/>
      <w:bookmarkEnd w:id="1690"/>
    </w:p>
    <w:p w14:paraId="7A28C9B1" w14:textId="39D30F7A" w:rsidR="00722F26" w:rsidRDefault="00722F26" w:rsidP="00F51BB5">
      <w:pPr>
        <w:jc w:val="center"/>
        <w:rPr>
          <w:noProof/>
          <w:sz w:val="24"/>
          <w:szCs w:val="24"/>
          <w:lang w:eastAsia="es-BO"/>
        </w:rPr>
      </w:pPr>
    </w:p>
    <w:p w14:paraId="275DAD0A" w14:textId="6CE5017B" w:rsidR="00A924F0" w:rsidRDefault="00A924F0" w:rsidP="00F51BB5">
      <w:pPr>
        <w:jc w:val="center"/>
        <w:rPr>
          <w:noProof/>
          <w:sz w:val="24"/>
          <w:szCs w:val="24"/>
          <w:lang w:eastAsia="es-BO"/>
        </w:rPr>
      </w:pPr>
      <w:r w:rsidRPr="00A924F0">
        <w:rPr>
          <w:noProof/>
          <w:lang w:val="es-UY" w:eastAsia="es-UY"/>
        </w:rPr>
        <w:drawing>
          <wp:inline distT="0" distB="0" distL="0" distR="0" wp14:anchorId="46E46770" wp14:editId="0BE9C6F2">
            <wp:extent cx="3260725" cy="420116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60725" cy="4201160"/>
                    </a:xfrm>
                    <a:prstGeom prst="rect">
                      <a:avLst/>
                    </a:prstGeom>
                    <a:noFill/>
                    <a:ln>
                      <a:noFill/>
                    </a:ln>
                  </pic:spPr>
                </pic:pic>
              </a:graphicData>
            </a:graphic>
          </wp:inline>
        </w:drawing>
      </w:r>
    </w:p>
    <w:p w14:paraId="2876C91E" w14:textId="77777777" w:rsidR="00A924F0" w:rsidRDefault="00A924F0">
      <w:pPr>
        <w:spacing w:after="0" w:line="240" w:lineRule="auto"/>
        <w:rPr>
          <w:noProof/>
          <w:sz w:val="24"/>
          <w:szCs w:val="24"/>
          <w:lang w:eastAsia="es-BO"/>
        </w:rPr>
      </w:pPr>
      <w:r>
        <w:rPr>
          <w:noProof/>
          <w:sz w:val="24"/>
          <w:szCs w:val="24"/>
          <w:lang w:eastAsia="es-BO"/>
        </w:rPr>
        <w:br w:type="page"/>
      </w:r>
    </w:p>
    <w:p w14:paraId="28E82520" w14:textId="0CC00161" w:rsidR="00A924F0" w:rsidRDefault="00A924F0" w:rsidP="00F51BB5">
      <w:pPr>
        <w:jc w:val="center"/>
        <w:rPr>
          <w:noProof/>
          <w:sz w:val="24"/>
          <w:szCs w:val="24"/>
          <w:lang w:eastAsia="es-BO"/>
        </w:rPr>
      </w:pPr>
      <w:r w:rsidRPr="00A924F0">
        <w:rPr>
          <w:noProof/>
          <w:lang w:val="es-UY" w:eastAsia="es-UY"/>
        </w:rPr>
        <w:lastRenderedPageBreak/>
        <w:drawing>
          <wp:inline distT="0" distB="0" distL="0" distR="0" wp14:anchorId="4AD15FD5" wp14:editId="7684A7C6">
            <wp:extent cx="3053715" cy="401129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53715" cy="4011295"/>
                    </a:xfrm>
                    <a:prstGeom prst="rect">
                      <a:avLst/>
                    </a:prstGeom>
                    <a:noFill/>
                    <a:ln>
                      <a:noFill/>
                    </a:ln>
                  </pic:spPr>
                </pic:pic>
              </a:graphicData>
            </a:graphic>
          </wp:inline>
        </w:drawing>
      </w:r>
    </w:p>
    <w:p w14:paraId="3D019F09" w14:textId="77777777" w:rsidR="00A924F0" w:rsidRDefault="00A924F0">
      <w:pPr>
        <w:spacing w:after="0" w:line="240" w:lineRule="auto"/>
        <w:rPr>
          <w:noProof/>
          <w:sz w:val="24"/>
          <w:szCs w:val="24"/>
          <w:lang w:eastAsia="es-BO"/>
        </w:rPr>
      </w:pPr>
      <w:r>
        <w:rPr>
          <w:noProof/>
          <w:sz w:val="24"/>
          <w:szCs w:val="24"/>
          <w:lang w:eastAsia="es-BO"/>
        </w:rPr>
        <w:br w:type="page"/>
      </w:r>
    </w:p>
    <w:p w14:paraId="5D7C8325" w14:textId="104C6FC9" w:rsidR="00A924F0" w:rsidRDefault="00A924F0" w:rsidP="00F51BB5">
      <w:pPr>
        <w:jc w:val="center"/>
        <w:rPr>
          <w:noProof/>
          <w:sz w:val="24"/>
          <w:szCs w:val="24"/>
          <w:lang w:eastAsia="es-BO"/>
        </w:rPr>
      </w:pPr>
      <w:r w:rsidRPr="00A924F0">
        <w:rPr>
          <w:noProof/>
          <w:lang w:val="es-UY" w:eastAsia="es-UY"/>
        </w:rPr>
        <w:lastRenderedPageBreak/>
        <w:drawing>
          <wp:inline distT="0" distB="0" distL="0" distR="0" wp14:anchorId="5983B44D" wp14:editId="5074CB00">
            <wp:extent cx="3053715" cy="42011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53715" cy="4201160"/>
                    </a:xfrm>
                    <a:prstGeom prst="rect">
                      <a:avLst/>
                    </a:prstGeom>
                    <a:noFill/>
                    <a:ln>
                      <a:noFill/>
                    </a:ln>
                  </pic:spPr>
                </pic:pic>
              </a:graphicData>
            </a:graphic>
          </wp:inline>
        </w:drawing>
      </w:r>
    </w:p>
    <w:p w14:paraId="5F692113" w14:textId="77777777" w:rsidR="00A924F0" w:rsidRDefault="00A924F0">
      <w:pPr>
        <w:spacing w:after="0" w:line="240" w:lineRule="auto"/>
        <w:rPr>
          <w:noProof/>
          <w:sz w:val="24"/>
          <w:szCs w:val="24"/>
          <w:lang w:eastAsia="es-BO"/>
        </w:rPr>
      </w:pPr>
      <w:r>
        <w:rPr>
          <w:noProof/>
          <w:sz w:val="24"/>
          <w:szCs w:val="24"/>
          <w:lang w:eastAsia="es-BO"/>
        </w:rPr>
        <w:br w:type="page"/>
      </w:r>
    </w:p>
    <w:p w14:paraId="644D9B51" w14:textId="23A82D63" w:rsidR="00A924F0" w:rsidRDefault="00A924F0" w:rsidP="00F51BB5">
      <w:pPr>
        <w:jc w:val="center"/>
        <w:rPr>
          <w:noProof/>
          <w:sz w:val="24"/>
          <w:szCs w:val="24"/>
          <w:lang w:eastAsia="es-BO"/>
        </w:rPr>
      </w:pPr>
      <w:r w:rsidRPr="00A924F0">
        <w:rPr>
          <w:noProof/>
          <w:lang w:val="es-UY" w:eastAsia="es-UY"/>
        </w:rPr>
        <w:lastRenderedPageBreak/>
        <w:drawing>
          <wp:inline distT="0" distB="0" distL="0" distR="0" wp14:anchorId="71C5EBA3" wp14:editId="4EE3CF15">
            <wp:extent cx="3260725" cy="4201160"/>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60725" cy="4201160"/>
                    </a:xfrm>
                    <a:prstGeom prst="rect">
                      <a:avLst/>
                    </a:prstGeom>
                    <a:noFill/>
                    <a:ln>
                      <a:noFill/>
                    </a:ln>
                  </pic:spPr>
                </pic:pic>
              </a:graphicData>
            </a:graphic>
          </wp:inline>
        </w:drawing>
      </w:r>
    </w:p>
    <w:p w14:paraId="05E1FCAB" w14:textId="77777777" w:rsidR="00A924F0" w:rsidRDefault="00A924F0">
      <w:pPr>
        <w:spacing w:after="0" w:line="240" w:lineRule="auto"/>
        <w:rPr>
          <w:noProof/>
          <w:sz w:val="24"/>
          <w:szCs w:val="24"/>
          <w:lang w:eastAsia="es-BO"/>
        </w:rPr>
      </w:pPr>
      <w:r>
        <w:rPr>
          <w:noProof/>
          <w:sz w:val="24"/>
          <w:szCs w:val="24"/>
          <w:lang w:eastAsia="es-BO"/>
        </w:rPr>
        <w:br w:type="page"/>
      </w:r>
    </w:p>
    <w:p w14:paraId="5E23EF82" w14:textId="63062184" w:rsidR="00A924F0" w:rsidRDefault="00A924F0" w:rsidP="00F51BB5">
      <w:pPr>
        <w:jc w:val="center"/>
        <w:rPr>
          <w:noProof/>
          <w:sz w:val="24"/>
          <w:szCs w:val="24"/>
          <w:lang w:eastAsia="es-BO"/>
        </w:rPr>
      </w:pPr>
      <w:r w:rsidRPr="00A924F0">
        <w:rPr>
          <w:noProof/>
          <w:lang w:val="es-UY" w:eastAsia="es-UY"/>
        </w:rPr>
        <w:lastRenderedPageBreak/>
        <w:drawing>
          <wp:inline distT="0" distB="0" distL="0" distR="0" wp14:anchorId="6AF98C51" wp14:editId="3D166BFF">
            <wp:extent cx="3260725" cy="401129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260725" cy="4011295"/>
                    </a:xfrm>
                    <a:prstGeom prst="rect">
                      <a:avLst/>
                    </a:prstGeom>
                    <a:noFill/>
                    <a:ln>
                      <a:noFill/>
                    </a:ln>
                  </pic:spPr>
                </pic:pic>
              </a:graphicData>
            </a:graphic>
          </wp:inline>
        </w:drawing>
      </w:r>
    </w:p>
    <w:p w14:paraId="7D40B2F2" w14:textId="77777777" w:rsidR="00A924F0" w:rsidRDefault="00A924F0">
      <w:pPr>
        <w:spacing w:after="0" w:line="240" w:lineRule="auto"/>
        <w:rPr>
          <w:noProof/>
          <w:sz w:val="24"/>
          <w:szCs w:val="24"/>
          <w:lang w:eastAsia="es-BO"/>
        </w:rPr>
      </w:pPr>
      <w:r>
        <w:rPr>
          <w:noProof/>
          <w:sz w:val="24"/>
          <w:szCs w:val="24"/>
          <w:lang w:eastAsia="es-BO"/>
        </w:rPr>
        <w:br w:type="page"/>
      </w:r>
    </w:p>
    <w:p w14:paraId="166CB270" w14:textId="55F89EF1" w:rsidR="00A924F0" w:rsidRDefault="00A924F0" w:rsidP="00F51BB5">
      <w:pPr>
        <w:jc w:val="center"/>
        <w:rPr>
          <w:noProof/>
          <w:sz w:val="24"/>
          <w:szCs w:val="24"/>
          <w:lang w:eastAsia="es-BO"/>
        </w:rPr>
      </w:pPr>
      <w:r w:rsidRPr="00A924F0">
        <w:rPr>
          <w:noProof/>
          <w:lang w:val="es-UY" w:eastAsia="es-UY"/>
        </w:rPr>
        <w:lastRenderedPageBreak/>
        <w:drawing>
          <wp:inline distT="0" distB="0" distL="0" distR="0" wp14:anchorId="4BF2EE9B" wp14:editId="3A4BA6C5">
            <wp:extent cx="3260725" cy="40112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260725" cy="4011295"/>
                    </a:xfrm>
                    <a:prstGeom prst="rect">
                      <a:avLst/>
                    </a:prstGeom>
                    <a:noFill/>
                    <a:ln>
                      <a:noFill/>
                    </a:ln>
                  </pic:spPr>
                </pic:pic>
              </a:graphicData>
            </a:graphic>
          </wp:inline>
        </w:drawing>
      </w:r>
    </w:p>
    <w:p w14:paraId="3DF66DBA" w14:textId="77777777" w:rsidR="00A924F0" w:rsidRDefault="00A924F0">
      <w:pPr>
        <w:spacing w:after="0" w:line="240" w:lineRule="auto"/>
        <w:rPr>
          <w:noProof/>
          <w:sz w:val="24"/>
          <w:szCs w:val="24"/>
          <w:lang w:eastAsia="es-BO"/>
        </w:rPr>
      </w:pPr>
      <w:r>
        <w:rPr>
          <w:noProof/>
          <w:sz w:val="24"/>
          <w:szCs w:val="24"/>
          <w:lang w:eastAsia="es-BO"/>
        </w:rPr>
        <w:br w:type="page"/>
      </w:r>
    </w:p>
    <w:p w14:paraId="0137D525" w14:textId="28998A37" w:rsidR="004B2075" w:rsidRDefault="00A924F0" w:rsidP="00F51BB5">
      <w:pPr>
        <w:jc w:val="center"/>
        <w:rPr>
          <w:noProof/>
          <w:sz w:val="24"/>
          <w:szCs w:val="24"/>
          <w:lang w:eastAsia="es-BO"/>
        </w:rPr>
      </w:pPr>
      <w:r w:rsidRPr="00A924F0">
        <w:rPr>
          <w:noProof/>
          <w:lang w:val="es-UY" w:eastAsia="es-UY"/>
        </w:rPr>
        <w:lastRenderedPageBreak/>
        <w:drawing>
          <wp:inline distT="0" distB="0" distL="0" distR="0" wp14:anchorId="21DAC537" wp14:editId="52447DC3">
            <wp:extent cx="3260725" cy="38214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260725" cy="3821430"/>
                    </a:xfrm>
                    <a:prstGeom prst="rect">
                      <a:avLst/>
                    </a:prstGeom>
                    <a:noFill/>
                    <a:ln>
                      <a:noFill/>
                    </a:ln>
                  </pic:spPr>
                </pic:pic>
              </a:graphicData>
            </a:graphic>
          </wp:inline>
        </w:drawing>
      </w:r>
    </w:p>
    <w:p w14:paraId="53632A44" w14:textId="77777777" w:rsidR="00F51BB5" w:rsidRDefault="00F51BB5" w:rsidP="00722F26">
      <w:pPr>
        <w:tabs>
          <w:tab w:val="left" w:pos="2820"/>
        </w:tabs>
        <w:jc w:val="center"/>
        <w:rPr>
          <w:sz w:val="24"/>
          <w:szCs w:val="24"/>
          <w:lang w:eastAsia="es-BO"/>
        </w:rPr>
      </w:pPr>
    </w:p>
    <w:p w14:paraId="1E594DF8" w14:textId="4054A149" w:rsidR="00F51BB5" w:rsidRDefault="00F51BB5" w:rsidP="00D8603C">
      <w:pPr>
        <w:tabs>
          <w:tab w:val="left" w:pos="2820"/>
        </w:tabs>
        <w:jc w:val="center"/>
        <w:rPr>
          <w:sz w:val="24"/>
          <w:szCs w:val="24"/>
          <w:lang w:eastAsia="es-BO"/>
        </w:rPr>
      </w:pPr>
    </w:p>
    <w:p w14:paraId="6310DFB5" w14:textId="77777777" w:rsidR="00F51BB5" w:rsidRDefault="00F51BB5" w:rsidP="0066372C">
      <w:pPr>
        <w:tabs>
          <w:tab w:val="left" w:pos="2820"/>
        </w:tabs>
        <w:jc w:val="center"/>
        <w:rPr>
          <w:sz w:val="24"/>
          <w:szCs w:val="24"/>
          <w:lang w:eastAsia="es-BO"/>
        </w:rPr>
      </w:pPr>
    </w:p>
    <w:p w14:paraId="196320F0" w14:textId="09BC43FE" w:rsidR="00F51BB5" w:rsidRDefault="00F51BB5" w:rsidP="00D8603C">
      <w:pPr>
        <w:tabs>
          <w:tab w:val="left" w:pos="2820"/>
        </w:tabs>
        <w:jc w:val="center"/>
        <w:rPr>
          <w:sz w:val="24"/>
          <w:szCs w:val="24"/>
          <w:lang w:eastAsia="es-BO"/>
        </w:rPr>
      </w:pPr>
    </w:p>
    <w:p w14:paraId="0AF3462C" w14:textId="16890BEB" w:rsidR="00722F26" w:rsidRDefault="00722F26" w:rsidP="00A2555F">
      <w:pPr>
        <w:tabs>
          <w:tab w:val="left" w:pos="2820"/>
        </w:tabs>
        <w:jc w:val="center"/>
        <w:rPr>
          <w:sz w:val="24"/>
          <w:szCs w:val="24"/>
          <w:lang w:eastAsia="es-BO"/>
        </w:rPr>
      </w:pPr>
    </w:p>
    <w:p w14:paraId="31D7B531" w14:textId="77777777" w:rsidR="00722F26" w:rsidRDefault="00722F26" w:rsidP="00F51BB5">
      <w:pPr>
        <w:tabs>
          <w:tab w:val="left" w:pos="2820"/>
        </w:tabs>
        <w:rPr>
          <w:sz w:val="24"/>
          <w:szCs w:val="24"/>
          <w:lang w:eastAsia="es-BO"/>
        </w:rPr>
      </w:pPr>
    </w:p>
    <w:p w14:paraId="3B4EDCE9" w14:textId="77777777" w:rsidR="0069780C" w:rsidRDefault="0069780C">
      <w:pPr>
        <w:spacing w:after="0" w:line="240" w:lineRule="auto"/>
        <w:rPr>
          <w:rFonts w:ascii="Arial" w:eastAsia="Calibri" w:hAnsi="Arial" w:cs="Arial"/>
          <w:b/>
          <w:bCs/>
          <w:lang w:val="es-ES_tradnl" w:eastAsia="es-ES"/>
        </w:rPr>
      </w:pPr>
      <w:bookmarkStart w:id="1693" w:name="_Toc400622376"/>
      <w:bookmarkStart w:id="1694" w:name="_Toc400629215"/>
      <w:bookmarkStart w:id="1695" w:name="_Toc400634198"/>
      <w:bookmarkStart w:id="1696" w:name="_Toc400635332"/>
      <w:bookmarkStart w:id="1697" w:name="A_17"/>
      <w:bookmarkEnd w:id="1691"/>
      <w:r>
        <w:br w:type="page"/>
      </w:r>
    </w:p>
    <w:p w14:paraId="5B7DB4C1" w14:textId="77777777" w:rsidR="00A3029F" w:rsidRPr="00C44F63" w:rsidRDefault="00A3029F" w:rsidP="000F5C7C">
      <w:pPr>
        <w:pStyle w:val="T0"/>
        <w:outlineLvl w:val="0"/>
      </w:pPr>
      <w:bookmarkStart w:id="1698" w:name="_Toc468288102"/>
      <w:bookmarkStart w:id="1699" w:name="_Toc496266695"/>
      <w:r w:rsidRPr="00C718CC">
        <w:lastRenderedPageBreak/>
        <w:t>ANEXO XVI</w:t>
      </w:r>
      <w:r>
        <w:t>:</w:t>
      </w:r>
      <w:r w:rsidRPr="00C718CC">
        <w:t xml:space="preserve"> ELEMENTOS DE CONTROL</w:t>
      </w:r>
      <w:bookmarkEnd w:id="1692"/>
      <w:bookmarkEnd w:id="1693"/>
      <w:bookmarkEnd w:id="1694"/>
      <w:bookmarkEnd w:id="1695"/>
      <w:bookmarkEnd w:id="1696"/>
      <w:bookmarkEnd w:id="1698"/>
      <w:bookmarkEnd w:id="1699"/>
    </w:p>
    <w:p w14:paraId="008C2F5A" w14:textId="77777777" w:rsidR="00A3029F" w:rsidRPr="00A80C2B" w:rsidRDefault="00A3029F" w:rsidP="009A58E0">
      <w:pPr>
        <w:pStyle w:val="T1AAA"/>
        <w:numPr>
          <w:ilvl w:val="0"/>
          <w:numId w:val="101"/>
        </w:numPr>
        <w:outlineLvl w:val="9"/>
        <w:rPr>
          <w:sz w:val="20"/>
          <w:szCs w:val="20"/>
        </w:rPr>
      </w:pPr>
      <w:bookmarkStart w:id="1700" w:name="_Toc400622377"/>
      <w:bookmarkStart w:id="1701" w:name="_Toc400629216"/>
      <w:bookmarkStart w:id="1702" w:name="_Toc400634199"/>
      <w:bookmarkStart w:id="1703" w:name="_Toc400635333"/>
      <w:bookmarkEnd w:id="1697"/>
      <w:r w:rsidRPr="00A80C2B">
        <w:rPr>
          <w:sz w:val="20"/>
          <w:szCs w:val="20"/>
        </w:rPr>
        <w:t xml:space="preserve">PERFILÓMETRO </w:t>
      </w:r>
      <w:bookmarkEnd w:id="1700"/>
      <w:bookmarkEnd w:id="1701"/>
      <w:bookmarkEnd w:id="1702"/>
      <w:bookmarkEnd w:id="1703"/>
      <w:r w:rsidR="00B223EB" w:rsidRPr="00A80C2B">
        <w:rPr>
          <w:sz w:val="20"/>
          <w:szCs w:val="20"/>
        </w:rPr>
        <w:t>L</w:t>
      </w:r>
      <w:r w:rsidR="00B223EB">
        <w:rPr>
          <w:sz w:val="20"/>
          <w:szCs w:val="20"/>
        </w:rPr>
        <w:t>Á</w:t>
      </w:r>
      <w:r w:rsidR="00B223EB" w:rsidRPr="00A80C2B">
        <w:rPr>
          <w:sz w:val="20"/>
          <w:szCs w:val="20"/>
        </w:rPr>
        <w:t>SER</w:t>
      </w:r>
    </w:p>
    <w:p w14:paraId="1D013E01" w14:textId="77777777" w:rsidR="00A3029F" w:rsidRPr="00A80C2B" w:rsidRDefault="00A3029F" w:rsidP="009A58E0">
      <w:pPr>
        <w:pStyle w:val="Prrafodelista"/>
        <w:numPr>
          <w:ilvl w:val="0"/>
          <w:numId w:val="138"/>
        </w:numPr>
        <w:jc w:val="both"/>
        <w:rPr>
          <w:rFonts w:ascii="Arial" w:hAnsi="Arial" w:cs="Arial"/>
          <w:sz w:val="20"/>
          <w:szCs w:val="20"/>
          <w:lang w:val="es-ES_tradnl"/>
        </w:rPr>
      </w:pPr>
      <w:r w:rsidRPr="00A80C2B">
        <w:rPr>
          <w:rFonts w:ascii="Arial" w:hAnsi="Arial" w:cs="Arial"/>
          <w:sz w:val="20"/>
          <w:szCs w:val="20"/>
          <w:lang w:val="es-ES_tradnl"/>
        </w:rPr>
        <w:t>Instrumento capaz de medir, en forma continua, en tiempo real y a velocidades de carretera: el perfil longitudinal (IRI), el perfil transversal, la profundidad del ahuellamiento, la macrotextura y geometría.</w:t>
      </w:r>
    </w:p>
    <w:p w14:paraId="53B46994" w14:textId="77777777" w:rsidR="00A3029F" w:rsidRPr="00A80C2B" w:rsidRDefault="00A3029F" w:rsidP="009A58E0">
      <w:pPr>
        <w:pStyle w:val="Prrafodelista"/>
        <w:numPr>
          <w:ilvl w:val="0"/>
          <w:numId w:val="138"/>
        </w:numPr>
        <w:jc w:val="both"/>
        <w:rPr>
          <w:rFonts w:ascii="Arial" w:hAnsi="Arial" w:cs="Arial"/>
          <w:sz w:val="20"/>
          <w:szCs w:val="20"/>
          <w:lang w:val="es-ES_tradnl"/>
        </w:rPr>
      </w:pPr>
      <w:r w:rsidRPr="00A80C2B">
        <w:rPr>
          <w:rFonts w:ascii="Arial" w:hAnsi="Arial" w:cs="Arial"/>
          <w:sz w:val="20"/>
          <w:szCs w:val="20"/>
          <w:lang w:val="es-ES_tradnl"/>
        </w:rPr>
        <w:t>Las mediciones deberán ser tomadas en tráfico a cualquier velocidad.</w:t>
      </w:r>
    </w:p>
    <w:p w14:paraId="4B434777" w14:textId="77777777" w:rsidR="00A3029F" w:rsidRPr="00A80C2B" w:rsidRDefault="00A3029F" w:rsidP="009A58E0">
      <w:pPr>
        <w:pStyle w:val="Prrafodelista"/>
        <w:numPr>
          <w:ilvl w:val="0"/>
          <w:numId w:val="138"/>
        </w:numPr>
        <w:jc w:val="both"/>
        <w:rPr>
          <w:rFonts w:ascii="Arial" w:hAnsi="Arial" w:cs="Arial"/>
          <w:sz w:val="20"/>
          <w:szCs w:val="20"/>
          <w:lang w:val="es-ES_tradnl"/>
        </w:rPr>
      </w:pPr>
      <w:r w:rsidRPr="00A80C2B">
        <w:rPr>
          <w:rFonts w:ascii="Arial" w:hAnsi="Arial" w:cs="Arial"/>
          <w:sz w:val="20"/>
          <w:szCs w:val="20"/>
          <w:lang w:val="es-ES_tradnl"/>
        </w:rPr>
        <w:t>Todos los índices deberán ser calculados a tiempo real.</w:t>
      </w:r>
    </w:p>
    <w:p w14:paraId="6F198994" w14:textId="77777777" w:rsidR="00A3029F" w:rsidRPr="00A80C2B" w:rsidRDefault="00A3029F" w:rsidP="009A58E0">
      <w:pPr>
        <w:pStyle w:val="Prrafodelista"/>
        <w:numPr>
          <w:ilvl w:val="0"/>
          <w:numId w:val="138"/>
        </w:numPr>
        <w:jc w:val="both"/>
        <w:rPr>
          <w:rFonts w:ascii="Arial" w:hAnsi="Arial" w:cs="Arial"/>
          <w:sz w:val="20"/>
          <w:szCs w:val="20"/>
          <w:lang w:val="es-ES_tradnl"/>
        </w:rPr>
      </w:pPr>
      <w:r w:rsidRPr="00A80C2B">
        <w:rPr>
          <w:rFonts w:ascii="Arial" w:hAnsi="Arial" w:cs="Arial"/>
          <w:sz w:val="20"/>
          <w:szCs w:val="20"/>
          <w:lang w:val="es-ES_tradnl"/>
        </w:rPr>
        <w:t>Característica única de Stop and Go, que permite medir el IRI en áreas urbanas siguiendo múltiples huellas.</w:t>
      </w:r>
    </w:p>
    <w:p w14:paraId="41BFDB71" w14:textId="77777777" w:rsidR="00A3029F" w:rsidRPr="00A80C2B" w:rsidRDefault="00A3029F" w:rsidP="009A58E0">
      <w:pPr>
        <w:pStyle w:val="Prrafodelista"/>
        <w:numPr>
          <w:ilvl w:val="0"/>
          <w:numId w:val="138"/>
        </w:numPr>
        <w:jc w:val="both"/>
        <w:rPr>
          <w:rFonts w:ascii="Arial" w:hAnsi="Arial" w:cs="Arial"/>
          <w:sz w:val="20"/>
          <w:szCs w:val="20"/>
          <w:lang w:val="es-ES_tradnl"/>
        </w:rPr>
      </w:pPr>
      <w:r w:rsidRPr="00A80C2B">
        <w:rPr>
          <w:rFonts w:ascii="Arial" w:hAnsi="Arial" w:cs="Arial"/>
          <w:sz w:val="20"/>
          <w:szCs w:val="20"/>
          <w:lang w:val="es-ES_tradnl"/>
        </w:rPr>
        <w:t>El perfil longitudinal medido deberá cumplir con</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las especificaciones para clase 1 de acuerdo a la norma ASTM E-950.</w:t>
      </w:r>
    </w:p>
    <w:p w14:paraId="78524E72" w14:textId="77777777" w:rsidR="00A3029F" w:rsidRPr="00A80C2B" w:rsidRDefault="00A3029F" w:rsidP="009A58E0">
      <w:pPr>
        <w:pStyle w:val="T1AAA"/>
        <w:numPr>
          <w:ilvl w:val="0"/>
          <w:numId w:val="101"/>
        </w:numPr>
        <w:outlineLvl w:val="9"/>
        <w:rPr>
          <w:sz w:val="20"/>
          <w:szCs w:val="20"/>
        </w:rPr>
      </w:pPr>
      <w:bookmarkStart w:id="1704" w:name="_Toc531655282"/>
      <w:bookmarkStart w:id="1705" w:name="_Toc43095323"/>
      <w:bookmarkStart w:id="1706" w:name="_Toc147045746"/>
      <w:bookmarkStart w:id="1707" w:name="_Toc154540682"/>
      <w:bookmarkStart w:id="1708" w:name="_Toc400622378"/>
      <w:bookmarkStart w:id="1709" w:name="_Toc400629217"/>
      <w:bookmarkStart w:id="1710" w:name="_Toc400634200"/>
      <w:bookmarkStart w:id="1711" w:name="_Toc400635334"/>
      <w:r w:rsidRPr="00A80C2B">
        <w:rPr>
          <w:sz w:val="20"/>
          <w:szCs w:val="20"/>
        </w:rPr>
        <w:lastRenderedPageBreak/>
        <w:t>SUMINISTRO DE EQUIPO, PERSONAL Y LOCAL PARA LA INSPECCIÓN DE OBRA</w:t>
      </w:r>
      <w:bookmarkEnd w:id="1704"/>
      <w:bookmarkEnd w:id="1705"/>
      <w:bookmarkEnd w:id="1706"/>
      <w:bookmarkEnd w:id="1707"/>
      <w:r w:rsidRPr="00A80C2B">
        <w:rPr>
          <w:sz w:val="20"/>
          <w:szCs w:val="20"/>
        </w:rPr>
        <w:t xml:space="preserve"> PARA CADA OBRA DENTRO DEL CIRCUITO</w:t>
      </w:r>
      <w:bookmarkEnd w:id="1708"/>
      <w:bookmarkEnd w:id="1709"/>
      <w:bookmarkEnd w:id="1710"/>
      <w:bookmarkEnd w:id="1711"/>
    </w:p>
    <w:p w14:paraId="089867CC" w14:textId="77777777" w:rsidR="00A3029F" w:rsidRPr="00A80C2B" w:rsidRDefault="00A3029F" w:rsidP="00A80C2B">
      <w:pPr>
        <w:pStyle w:val="ANEXO2"/>
        <w:tabs>
          <w:tab w:val="clear" w:pos="868"/>
        </w:tabs>
        <w:ind w:left="284" w:firstLine="0"/>
      </w:pPr>
      <w:r w:rsidRPr="00A80C2B">
        <w:t>2.1. El Contratista deberá disponer en obra, dentro de los 7 días siguientes a la fecha de iniciación de la obra, los equipos de laboratorio, topografía y oficina necesarios.</w:t>
      </w:r>
    </w:p>
    <w:p w14:paraId="59D2C4AA" w14:textId="77777777" w:rsidR="00A3029F" w:rsidRPr="00A80C2B" w:rsidRDefault="00A3029F" w:rsidP="00A80C2B">
      <w:pPr>
        <w:spacing w:after="120"/>
        <w:ind w:left="330"/>
        <w:jc w:val="both"/>
        <w:rPr>
          <w:rFonts w:ascii="Arial" w:hAnsi="Arial" w:cs="Arial"/>
          <w:sz w:val="20"/>
          <w:szCs w:val="20"/>
          <w:lang w:val="es-ES_tradnl"/>
        </w:rPr>
      </w:pPr>
      <w:r w:rsidRPr="00A80C2B">
        <w:rPr>
          <w:rFonts w:ascii="Arial" w:hAnsi="Arial" w:cs="Arial"/>
          <w:sz w:val="20"/>
          <w:szCs w:val="20"/>
          <w:lang w:val="es-ES_tradnl"/>
        </w:rPr>
        <w:t>Todos los elementos deberán encontrarse y mantenerse en perfectas condiciones de uso.</w:t>
      </w:r>
    </w:p>
    <w:p w14:paraId="05CF9982" w14:textId="77777777" w:rsidR="00A3029F" w:rsidRPr="00A80C2B" w:rsidRDefault="00A3029F" w:rsidP="00A80C2B">
      <w:pPr>
        <w:tabs>
          <w:tab w:val="left" w:pos="-1440"/>
          <w:tab w:val="left" w:pos="330"/>
        </w:tabs>
        <w:spacing w:after="120"/>
        <w:ind w:left="330"/>
        <w:jc w:val="both"/>
        <w:rPr>
          <w:rFonts w:ascii="Arial" w:hAnsi="Arial" w:cs="Arial"/>
          <w:sz w:val="20"/>
          <w:szCs w:val="20"/>
          <w:lang w:val="es-ES_tradnl"/>
        </w:rPr>
      </w:pPr>
      <w:r w:rsidRPr="00A80C2B">
        <w:rPr>
          <w:rFonts w:ascii="Arial" w:hAnsi="Arial" w:cs="Arial"/>
          <w:sz w:val="20"/>
          <w:szCs w:val="20"/>
          <w:lang w:val="es-ES_tradnl"/>
        </w:rPr>
        <w:t>Para los equipos que requieran calibración se presentará además un certificado</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de calibración inicial emitido por un organismo competente y un Plan de control y recalibración.</w:t>
      </w:r>
    </w:p>
    <w:p w14:paraId="0840CB59" w14:textId="77777777" w:rsidR="00A3029F" w:rsidRPr="00A80C2B" w:rsidRDefault="00A3029F" w:rsidP="00A80C2B">
      <w:pPr>
        <w:tabs>
          <w:tab w:val="left" w:pos="-1440"/>
          <w:tab w:val="num" w:pos="851"/>
        </w:tabs>
        <w:spacing w:after="120" w:line="360" w:lineRule="auto"/>
        <w:ind w:left="851" w:hanging="851"/>
        <w:jc w:val="both"/>
        <w:rPr>
          <w:rFonts w:ascii="Arial" w:hAnsi="Arial" w:cs="Arial"/>
          <w:sz w:val="20"/>
          <w:szCs w:val="20"/>
          <w:lang w:val="es-ES_tradnl"/>
        </w:rPr>
      </w:pPr>
      <w:r w:rsidRPr="00A80C2B">
        <w:rPr>
          <w:rFonts w:ascii="Arial" w:hAnsi="Arial" w:cs="Arial"/>
          <w:sz w:val="20"/>
          <w:szCs w:val="20"/>
          <w:lang w:val="es-ES_tradnl"/>
        </w:rPr>
        <w:tab/>
        <w:t>a)</w:t>
      </w:r>
      <w:r w:rsidRPr="00A80C2B">
        <w:rPr>
          <w:rFonts w:ascii="Arial" w:hAnsi="Arial" w:cs="Arial"/>
          <w:sz w:val="20"/>
          <w:szCs w:val="20"/>
          <w:lang w:val="es-ES_tradnl"/>
        </w:rPr>
        <w:tab/>
      </w:r>
      <w:r w:rsidRPr="00A80C2B">
        <w:rPr>
          <w:rFonts w:ascii="Arial" w:hAnsi="Arial" w:cs="Arial"/>
          <w:b/>
          <w:bCs/>
          <w:sz w:val="20"/>
          <w:szCs w:val="20"/>
          <w:lang w:val="es-ES_tradnl"/>
        </w:rPr>
        <w:t>Equipo de laboratorio</w:t>
      </w:r>
      <w:r w:rsidRPr="00A80C2B">
        <w:rPr>
          <w:rFonts w:ascii="Arial" w:hAnsi="Arial" w:cs="Arial"/>
          <w:sz w:val="20"/>
          <w:szCs w:val="20"/>
          <w:lang w:val="es-ES_tradnl"/>
        </w:rPr>
        <w:t>:</w:t>
      </w:r>
    </w:p>
    <w:p w14:paraId="38C5D4DF" w14:textId="77777777" w:rsidR="00A3029F" w:rsidRPr="00A80C2B" w:rsidRDefault="00A3029F" w:rsidP="00A80C2B">
      <w:pPr>
        <w:tabs>
          <w:tab w:val="num" w:pos="1418"/>
        </w:tabs>
        <w:spacing w:after="120"/>
        <w:ind w:left="1418" w:hanging="1418"/>
        <w:jc w:val="both"/>
        <w:rPr>
          <w:rFonts w:ascii="Arial" w:hAnsi="Arial" w:cs="Arial"/>
          <w:sz w:val="20"/>
          <w:szCs w:val="20"/>
          <w:lang w:val="es-ES_tradnl"/>
        </w:rPr>
      </w:pPr>
      <w:r w:rsidRPr="00A80C2B">
        <w:rPr>
          <w:rFonts w:ascii="Arial" w:hAnsi="Arial" w:cs="Arial"/>
          <w:sz w:val="20"/>
          <w:szCs w:val="20"/>
          <w:lang w:val="es-ES_tradnl"/>
        </w:rPr>
        <w:tab/>
        <w:t>El equipo de laboratorio citado a continuación es el mínimo, debiéndose completar con todo otro equipo necesario para verificar las especificaciones. Sólo será necesario disponer del equipo que se ajuste al tipo de obra en ejecución y durante el período en el que se le requiera para la realización de los ensayos requeridos.</w:t>
      </w:r>
    </w:p>
    <w:p w14:paraId="18844A0D" w14:textId="77777777" w:rsidR="00A3029F" w:rsidRPr="00A80C2B" w:rsidRDefault="00A3029F" w:rsidP="00A80C2B">
      <w:pPr>
        <w:tabs>
          <w:tab w:val="num" w:pos="1778"/>
        </w:tabs>
        <w:spacing w:after="120"/>
        <w:ind w:left="1430"/>
        <w:jc w:val="both"/>
        <w:rPr>
          <w:rFonts w:ascii="Arial" w:hAnsi="Arial" w:cs="Arial"/>
          <w:sz w:val="20"/>
          <w:szCs w:val="20"/>
          <w:lang w:val="es-ES_tradnl"/>
        </w:rPr>
      </w:pPr>
      <w:r w:rsidRPr="00A80C2B">
        <w:rPr>
          <w:rFonts w:ascii="Arial" w:hAnsi="Arial" w:cs="Arial"/>
          <w:sz w:val="20"/>
          <w:szCs w:val="20"/>
          <w:lang w:val="es-ES_tradnl"/>
        </w:rPr>
        <w:t>Equipo para ensayo de suelo compuesto como mínimo de:</w:t>
      </w:r>
    </w:p>
    <w:p w14:paraId="2619A2CD"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lastRenderedPageBreak/>
        <w:t>1 balanza de tres brazos, de 2.610g de capacidad y sensibilidad 0,1g.</w:t>
      </w:r>
    </w:p>
    <w:p w14:paraId="4087504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de capacidad 20kg y 1gr de sensibilidad.</w:t>
      </w:r>
    </w:p>
    <w:p w14:paraId="221FFB1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para ensayo de CBR (norma UY-S-21).</w:t>
      </w:r>
    </w:p>
    <w:p w14:paraId="3FF0F494"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horno eléctrico, termorregulado de capacidad 0,25m3</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con termómetro.</w:t>
      </w:r>
    </w:p>
    <w:p w14:paraId="19E3AD55"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12 moldes para CBR con platina, 4 pesas por molde y 4 discos espaciadores de 6cm de alto.</w:t>
      </w:r>
    </w:p>
    <w:p w14:paraId="4E7D480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trípode y dial micrométrico con aproximación de lectura de 0,01mm y recorrido mínimo 15mm.</w:t>
      </w:r>
    </w:p>
    <w:p w14:paraId="37403C0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termómetro de mercurio, con escala entre 0 y 200 grados centígrados.</w:t>
      </w:r>
    </w:p>
    <w:p w14:paraId="364CE24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conjunto de probetas graduadas de: 1.000 cm3, 500 cm3 y 100 cm3.</w:t>
      </w:r>
    </w:p>
    <w:p w14:paraId="3E921EB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calibre micrométrico.</w:t>
      </w:r>
    </w:p>
    <w:p w14:paraId="06B1AA5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pisón de compactación de 4.500g, 45 cm. de caída libre y 50 mm. de diámetro en la base.</w:t>
      </w:r>
    </w:p>
    <w:p w14:paraId="68E0FDE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conos con bandejas para densidad en sitio con arena, de volumen no menor de 1.000 cm3.</w:t>
      </w:r>
    </w:p>
    <w:p w14:paraId="1A7A9F5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lastRenderedPageBreak/>
        <w:t>bandejas para densidad en sitio con perforación de diámetro menor a la boca inferior del cono.</w:t>
      </w:r>
    </w:p>
    <w:p w14:paraId="6D401E4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cuarteador de chapa Nº 16 para 50 kg. de material, con cuchara de cuarteo y 3 recipientes con asa para recoger el material.</w:t>
      </w:r>
    </w:p>
    <w:p w14:paraId="4FD5864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bandejas de chapa de hierro galvanizado Nº 18, de 100 x 60 cm y 15 cm de profundidad.</w:t>
      </w:r>
    </w:p>
    <w:p w14:paraId="4D8DCDA0"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20 pesa filtros inoxidables con tapa ajustada, y reborde para tomar con pinzas.</w:t>
      </w:r>
    </w:p>
    <w:p w14:paraId="54165FE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pinzas para pesa filtros.</w:t>
      </w:r>
    </w:p>
    <w:p w14:paraId="796AB0A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20 tarros con tapa, para arena de densidad en sitio, capacidad 3 lts (tres litros).</w:t>
      </w:r>
    </w:p>
    <w:p w14:paraId="0D08FC26"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1</w:t>
      </w:r>
      <w:r w:rsidR="00BC0A86">
        <w:rPr>
          <w:rFonts w:ascii="Arial" w:hAnsi="Arial" w:cs="Arial"/>
          <w:sz w:val="20"/>
          <w:szCs w:val="20"/>
          <w:lang w:val="pt-BR"/>
        </w:rPr>
        <w:t xml:space="preserve"> </w:t>
      </w:r>
      <w:r w:rsidRPr="00A80C2B">
        <w:rPr>
          <w:rFonts w:ascii="Arial" w:hAnsi="Arial" w:cs="Arial"/>
          <w:sz w:val="20"/>
          <w:szCs w:val="20"/>
          <w:lang w:val="pt-BR"/>
        </w:rPr>
        <w:t>zaranda de 60 x 40 cm de malla Nº 16.</w:t>
      </w:r>
    </w:p>
    <w:p w14:paraId="2CBDF7E0"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1</w:t>
      </w:r>
      <w:r w:rsidR="00BC0A86">
        <w:rPr>
          <w:rFonts w:ascii="Arial" w:hAnsi="Arial" w:cs="Arial"/>
          <w:sz w:val="20"/>
          <w:szCs w:val="20"/>
          <w:lang w:val="pt-BR"/>
        </w:rPr>
        <w:t xml:space="preserve"> </w:t>
      </w:r>
      <w:r w:rsidRPr="00A80C2B">
        <w:rPr>
          <w:rFonts w:ascii="Arial" w:hAnsi="Arial" w:cs="Arial"/>
          <w:sz w:val="20"/>
          <w:szCs w:val="20"/>
          <w:lang w:val="pt-BR"/>
        </w:rPr>
        <w:t>zaranda de 60 x 40 cm de malla Nº 30.</w:t>
      </w:r>
    </w:p>
    <w:p w14:paraId="0EDB1D73" w14:textId="77777777" w:rsidR="00A3029F" w:rsidRPr="00A80C2B" w:rsidRDefault="00A3029F" w:rsidP="00A80C2B">
      <w:pPr>
        <w:tabs>
          <w:tab w:val="num" w:pos="1778"/>
        </w:tabs>
        <w:spacing w:before="240" w:after="120"/>
        <w:ind w:left="1418"/>
        <w:jc w:val="both"/>
        <w:rPr>
          <w:rFonts w:ascii="Arial" w:hAnsi="Arial" w:cs="Arial"/>
          <w:sz w:val="20"/>
          <w:szCs w:val="20"/>
          <w:lang w:val="es-ES_tradnl"/>
        </w:rPr>
      </w:pPr>
      <w:r w:rsidRPr="00A80C2B">
        <w:rPr>
          <w:rFonts w:ascii="Arial" w:hAnsi="Arial" w:cs="Arial"/>
          <w:sz w:val="20"/>
          <w:szCs w:val="20"/>
          <w:lang w:val="es-ES_tradnl"/>
        </w:rPr>
        <w:t>Equipo para ensayos de hormigón compuesto como mínimo de:</w:t>
      </w:r>
    </w:p>
    <w:p w14:paraId="07058CC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hidráulica.</w:t>
      </w:r>
    </w:p>
    <w:p w14:paraId="7AF6C3D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para encabezar probetas cilíndricas.</w:t>
      </w:r>
    </w:p>
    <w:p w14:paraId="67C44AF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30 moldes de acero para probetas cilíndricas.</w:t>
      </w:r>
    </w:p>
    <w:p w14:paraId="707C3480"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lastRenderedPageBreak/>
        <w:t>3 conos de Abrams.</w:t>
      </w:r>
    </w:p>
    <w:p w14:paraId="67F705BD"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moldes para probetas a flexión.</w:t>
      </w:r>
    </w:p>
    <w:p w14:paraId="0AA40B97"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piletas para curado de probetas de hormigón.</w:t>
      </w:r>
    </w:p>
    <w:p w14:paraId="525D50D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lonas para secado y cuarteo de muestras.</w:t>
      </w:r>
    </w:p>
    <w:p w14:paraId="60F3D9D1" w14:textId="77777777" w:rsidR="00A3029F" w:rsidRPr="00A80C2B" w:rsidRDefault="00A3029F" w:rsidP="009A58E0">
      <w:pPr>
        <w:numPr>
          <w:ilvl w:val="0"/>
          <w:numId w:val="73"/>
        </w:numPr>
        <w:spacing w:after="120"/>
        <w:ind w:left="1985" w:hanging="207"/>
        <w:jc w:val="both"/>
        <w:rPr>
          <w:rFonts w:ascii="Arial" w:hAnsi="Arial" w:cs="Arial"/>
          <w:sz w:val="20"/>
          <w:szCs w:val="20"/>
          <w:lang w:val="pt-BR"/>
        </w:rPr>
      </w:pPr>
      <w:r w:rsidRPr="00A80C2B">
        <w:rPr>
          <w:rFonts w:ascii="Arial" w:hAnsi="Arial" w:cs="Arial"/>
          <w:sz w:val="20"/>
          <w:szCs w:val="20"/>
          <w:lang w:val="pt-BR"/>
        </w:rPr>
        <w:t>un</w:t>
      </w:r>
      <w:r w:rsidR="0098392C">
        <w:rPr>
          <w:rFonts w:ascii="Arial" w:hAnsi="Arial" w:cs="Arial"/>
          <w:sz w:val="20"/>
          <w:szCs w:val="20"/>
          <w:lang w:val="pt-BR"/>
        </w:rPr>
        <w:t xml:space="preserve"> </w:t>
      </w:r>
      <w:r w:rsidRPr="00A80C2B">
        <w:rPr>
          <w:rFonts w:ascii="Arial" w:hAnsi="Arial" w:cs="Arial"/>
          <w:sz w:val="20"/>
          <w:szCs w:val="20"/>
          <w:lang w:val="pt-BR"/>
        </w:rPr>
        <w:t>juego de tamices de 1/4", 3/8", 1 1/2", 2", 1/2", 1", 3/4", 1/2", Nº 4, Nº 8, Nº 16, Nº 30, Nº 40, Nº 50, Nº 100 y Nº 200.</w:t>
      </w:r>
    </w:p>
    <w:p w14:paraId="05F8153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completo para el ensayo de equivalente de arena (Norma UY).</w:t>
      </w:r>
    </w:p>
    <w:p w14:paraId="1952ED92"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1 máquina para ensayo de abrasión "Los </w:t>
      </w:r>
      <w:r w:rsidR="0098392C">
        <w:rPr>
          <w:rFonts w:ascii="Arial" w:hAnsi="Arial" w:cs="Arial"/>
          <w:sz w:val="20"/>
          <w:szCs w:val="20"/>
          <w:lang w:val="es-ES_tradnl"/>
        </w:rPr>
        <w:t>Á</w:t>
      </w:r>
      <w:r w:rsidRPr="00A80C2B">
        <w:rPr>
          <w:rFonts w:ascii="Arial" w:hAnsi="Arial" w:cs="Arial"/>
          <w:sz w:val="20"/>
          <w:szCs w:val="20"/>
          <w:lang w:val="es-ES_tradnl"/>
        </w:rPr>
        <w:t>ngeles" (norma UNIT 17-47) en seco y húmedo, completa, incluyendo motor eléctrico para corriente alterna, monofásica, de 220V y 50 Hz, reductor de velocidad, contador de revoluciones con interruptor automático, bandeja de descarga, 2 (dos) juegos de 12 (doce) esferas normales de carga de abrasión cada uno.</w:t>
      </w:r>
    </w:p>
    <w:p w14:paraId="1D70C6EB" w14:textId="77777777" w:rsidR="00A3029F" w:rsidRPr="00A80C2B" w:rsidRDefault="00A3029F" w:rsidP="00A80C2B">
      <w:pPr>
        <w:tabs>
          <w:tab w:val="num" w:pos="1778"/>
        </w:tabs>
        <w:spacing w:before="360" w:after="120"/>
        <w:ind w:left="1418"/>
        <w:jc w:val="both"/>
        <w:rPr>
          <w:rFonts w:ascii="Arial" w:hAnsi="Arial" w:cs="Arial"/>
          <w:sz w:val="20"/>
          <w:szCs w:val="20"/>
          <w:lang w:val="es-ES_tradnl"/>
        </w:rPr>
      </w:pPr>
      <w:r w:rsidRPr="00A80C2B">
        <w:rPr>
          <w:rFonts w:ascii="Arial" w:hAnsi="Arial" w:cs="Arial"/>
          <w:sz w:val="20"/>
          <w:szCs w:val="20"/>
          <w:lang w:val="es-ES_tradnl"/>
        </w:rPr>
        <w:t>Equipo completo para ensayo de mezclas asfálticas compuesto como mínimo de:</w:t>
      </w:r>
    </w:p>
    <w:p w14:paraId="0A8BE6C9"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lastRenderedPageBreak/>
        <w:t>1 horno eléctrico para calentamiento de agregados y asfalto de 180 grados centígrados termoregulado.</w:t>
      </w:r>
    </w:p>
    <w:p w14:paraId="3421767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4 termómetros metálicos para mezclas asfálticas. </w:t>
      </w:r>
    </w:p>
    <w:p w14:paraId="02C9F3EC"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prensa para ensayo Marshall completa (eléctrica).</w:t>
      </w:r>
    </w:p>
    <w:p w14:paraId="189F458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mordaza para ensayo Marshall con flexímetro según norma.</w:t>
      </w:r>
    </w:p>
    <w:p w14:paraId="313C217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6 moldes para moldeos de probetas de ensayo Marshall.</w:t>
      </w:r>
    </w:p>
    <w:p w14:paraId="6ADDC57F"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pisón con guía para ensayo Marshall.</w:t>
      </w:r>
    </w:p>
    <w:p w14:paraId="58EE9A7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calentador para pisones Marshall, termorregulado.</w:t>
      </w:r>
    </w:p>
    <w:p w14:paraId="54A88E7D"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calibre micrométrico, sistema métrico, para medir altura de las briquetas.</w:t>
      </w:r>
    </w:p>
    <w:p w14:paraId="616F214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gato, para desmoldar briquetas.</w:t>
      </w:r>
    </w:p>
    <w:p w14:paraId="7F5CB91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baño eléctrico termostático para temperatura de 60ºC más o menos 1ºC y capacidad para 10 (diez) probetas como mínimo.</w:t>
      </w:r>
    </w:p>
    <w:p w14:paraId="2336BEAB"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lastRenderedPageBreak/>
        <w:t>1 balanza de 2 kg de capacidad y 0,1g de sensibilidad.</w:t>
      </w:r>
    </w:p>
    <w:p w14:paraId="063D68E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balanza electrónica de 5.000 g. de capacidad y sensibilidad 0,5 g.</w:t>
      </w:r>
    </w:p>
    <w:p w14:paraId="7CED79DE"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extractor rotativo, accionado a motor, para extraer muestras cilíndricas del pavimento de 4 (cuatro) pulgadas de diámetro completo, con 6 (seis) coronas de extracción de cada medida, y un extinguidor de incendio.</w:t>
      </w:r>
    </w:p>
    <w:p w14:paraId="3D693CB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extractor centrífugo eléctrico para determinación del contenido de asfalto provisto de dispositivo de protección.</w:t>
      </w:r>
    </w:p>
    <w:p w14:paraId="094A6D0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Equipo para determinación de la penetración de materiales bituminosos de acuerdo a la Norma UY B-3-89 (ASTM D5).</w:t>
      </w:r>
    </w:p>
    <w:p w14:paraId="074582C2"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termómetros de vidrio de hasta 250ºC.</w:t>
      </w:r>
    </w:p>
    <w:p w14:paraId="10B5FE75"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equipo completo para ensayo ASTM 2014 (Rice)</w:t>
      </w:r>
    </w:p>
    <w:p w14:paraId="30EF87E6"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Para la determinación de la viscosidad aparente del asfalto entre 38°C y 260°C según Norma ASTM D4402, un Viscosimetro Rotacional (tipo </w:t>
      </w:r>
      <w:r w:rsidRPr="00A80C2B">
        <w:rPr>
          <w:rFonts w:ascii="Arial" w:hAnsi="Arial" w:cs="Arial"/>
          <w:sz w:val="20"/>
          <w:szCs w:val="20"/>
          <w:lang w:val="es-ES_tradnl"/>
        </w:rPr>
        <w:lastRenderedPageBreak/>
        <w:t>Brookfield), digital, programable, con celda de control de temperatura, con controlador digital hasta 300°C. Software para colección de datos y construcción de curvas reológicas en computador en ambiente Windows y un registrador analógico para 2 canales (viscosidad y temperatura)</w:t>
      </w:r>
    </w:p>
    <w:p w14:paraId="703D61A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Equipo para determinación del Punto de Ablandamiento de materiales bituminosos de acuerdo al ensayo de anillo y bola, Norma UY B-5-89 (ASTM D36)</w:t>
      </w:r>
    </w:p>
    <w:p w14:paraId="7DD7974F" w14:textId="77777777" w:rsidR="00A3029F" w:rsidRPr="00A80C2B" w:rsidRDefault="00A3029F" w:rsidP="00A80C2B">
      <w:pPr>
        <w:keepNext/>
        <w:tabs>
          <w:tab w:val="left" w:pos="-1440"/>
          <w:tab w:val="num" w:pos="851"/>
        </w:tabs>
        <w:spacing w:before="360" w:after="120" w:line="360" w:lineRule="auto"/>
        <w:ind w:left="1418" w:hanging="1418"/>
        <w:jc w:val="both"/>
        <w:rPr>
          <w:rFonts w:ascii="Arial" w:hAnsi="Arial" w:cs="Arial"/>
          <w:b/>
          <w:bCs/>
          <w:sz w:val="20"/>
          <w:szCs w:val="20"/>
          <w:lang w:val="es-ES_tradnl"/>
        </w:rPr>
      </w:pPr>
      <w:r w:rsidRPr="00A80C2B">
        <w:rPr>
          <w:rFonts w:ascii="Arial" w:hAnsi="Arial" w:cs="Arial"/>
          <w:b/>
          <w:bCs/>
          <w:sz w:val="20"/>
          <w:szCs w:val="20"/>
          <w:lang w:val="es-ES_tradnl"/>
        </w:rPr>
        <w:tab/>
        <w:t>b)</w:t>
      </w:r>
      <w:r w:rsidRPr="00A80C2B">
        <w:rPr>
          <w:rFonts w:ascii="Arial" w:hAnsi="Arial" w:cs="Arial"/>
          <w:b/>
          <w:bCs/>
          <w:sz w:val="20"/>
          <w:szCs w:val="20"/>
          <w:lang w:val="es-ES_tradnl"/>
        </w:rPr>
        <w:tab/>
        <w:t>Equipo de topografía:</w:t>
      </w:r>
    </w:p>
    <w:p w14:paraId="52D49D85" w14:textId="77777777" w:rsidR="00A3029F" w:rsidRPr="00A80C2B" w:rsidRDefault="00A3029F" w:rsidP="00A80C2B">
      <w:pPr>
        <w:tabs>
          <w:tab w:val="num" w:pos="851"/>
        </w:tabs>
        <w:spacing w:after="120"/>
        <w:ind w:left="1418"/>
        <w:jc w:val="both"/>
        <w:rPr>
          <w:rFonts w:ascii="Arial" w:hAnsi="Arial" w:cs="Arial"/>
          <w:sz w:val="20"/>
          <w:szCs w:val="20"/>
          <w:lang w:val="es-ES_tradnl"/>
        </w:rPr>
      </w:pPr>
      <w:r w:rsidRPr="00A80C2B">
        <w:rPr>
          <w:rFonts w:ascii="Arial" w:hAnsi="Arial" w:cs="Arial"/>
          <w:sz w:val="20"/>
          <w:szCs w:val="20"/>
          <w:lang w:val="es-ES_tradnl"/>
        </w:rPr>
        <w:t>El Contratista deberá también disponer en obra, dentro del mismo plazo los siguientes elementos:</w:t>
      </w:r>
    </w:p>
    <w:p w14:paraId="41ABDFD7" w14:textId="77777777" w:rsidR="00A3029F" w:rsidRPr="00A80C2B" w:rsidRDefault="00A3029F" w:rsidP="009A58E0">
      <w:pPr>
        <w:numPr>
          <w:ilvl w:val="0"/>
          <w:numId w:val="73"/>
        </w:numPr>
        <w:tabs>
          <w:tab w:val="num" w:pos="1778"/>
          <w:tab w:val="num" w:pos="2204"/>
        </w:tabs>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estación total (con trípode, bastón y prisma) de las siguientes características:</w:t>
      </w:r>
    </w:p>
    <w:p w14:paraId="79B723DA" w14:textId="77777777" w:rsidR="00A3029F" w:rsidRPr="00A80C2B" w:rsidRDefault="00A3029F" w:rsidP="00A80C2B">
      <w:pPr>
        <w:tabs>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Dispositivo: Medición de distancia por luz láser</w:t>
      </w:r>
    </w:p>
    <w:p w14:paraId="01E75FDB" w14:textId="77777777" w:rsidR="00A3029F" w:rsidRPr="00A80C2B" w:rsidRDefault="00A3029F" w:rsidP="00A80C2B">
      <w:pPr>
        <w:tabs>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Rango de medición:</w:t>
      </w:r>
      <w:r w:rsidRPr="00A80C2B">
        <w:rPr>
          <w:rFonts w:ascii="Arial" w:hAnsi="Arial" w:cs="Arial"/>
          <w:sz w:val="20"/>
          <w:szCs w:val="20"/>
          <w:lang w:val="es-ES_tradnl"/>
        </w:rPr>
        <w:tab/>
      </w:r>
      <w:r w:rsidR="00BC0A86">
        <w:rPr>
          <w:rFonts w:ascii="Arial" w:hAnsi="Arial" w:cs="Arial"/>
          <w:sz w:val="20"/>
          <w:szCs w:val="20"/>
          <w:lang w:val="es-ES_tradnl"/>
        </w:rPr>
        <w:t xml:space="preserve"> </w:t>
      </w:r>
      <w:r w:rsidRPr="00A80C2B">
        <w:rPr>
          <w:rFonts w:ascii="Arial" w:hAnsi="Arial" w:cs="Arial"/>
          <w:sz w:val="20"/>
          <w:szCs w:val="20"/>
          <w:lang w:val="es-ES_tradnl"/>
        </w:rPr>
        <w:t>Con 1 prisma de 2m</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a 3000m</w:t>
      </w:r>
    </w:p>
    <w:p w14:paraId="2454F933" w14:textId="77777777" w:rsidR="00A3029F" w:rsidRPr="00A80C2B" w:rsidRDefault="00A3029F" w:rsidP="00A80C2B">
      <w:pPr>
        <w:tabs>
          <w:tab w:val="num" w:pos="1985"/>
          <w:tab w:val="left" w:pos="4253"/>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Sin prisma de 3m a 120m</w:t>
      </w:r>
    </w:p>
    <w:p w14:paraId="6AE8EC8C" w14:textId="77777777" w:rsidR="00A3029F" w:rsidRPr="00A80C2B" w:rsidRDefault="00A3029F" w:rsidP="00A80C2B">
      <w:pPr>
        <w:tabs>
          <w:tab w:val="num" w:pos="1985"/>
          <w:tab w:val="left" w:pos="3261"/>
        </w:tabs>
        <w:spacing w:after="120"/>
        <w:ind w:left="2268"/>
        <w:jc w:val="both"/>
        <w:rPr>
          <w:rFonts w:ascii="Arial" w:hAnsi="Arial" w:cs="Arial"/>
          <w:sz w:val="20"/>
          <w:szCs w:val="20"/>
          <w:lang w:val="es-ES_tradnl"/>
        </w:rPr>
      </w:pPr>
      <w:r w:rsidRPr="00A80C2B">
        <w:rPr>
          <w:rFonts w:ascii="Arial" w:hAnsi="Arial" w:cs="Arial"/>
          <w:sz w:val="20"/>
          <w:szCs w:val="20"/>
          <w:lang w:val="es-ES_tradnl"/>
        </w:rPr>
        <w:t>Precisión:</w:t>
      </w:r>
      <w:r w:rsidRPr="00A80C2B">
        <w:rPr>
          <w:rFonts w:ascii="Arial" w:hAnsi="Arial" w:cs="Arial"/>
          <w:sz w:val="20"/>
          <w:szCs w:val="20"/>
          <w:lang w:val="es-ES_tradnl"/>
        </w:rPr>
        <w:tab/>
        <w:t>Con prisma +-(2mm+2ppm)</w:t>
      </w:r>
    </w:p>
    <w:p w14:paraId="04C7B199" w14:textId="77777777" w:rsidR="00A3029F" w:rsidRPr="00A80C2B" w:rsidRDefault="00A3029F" w:rsidP="00A80C2B">
      <w:pPr>
        <w:tabs>
          <w:tab w:val="num" w:pos="3261"/>
        </w:tabs>
        <w:spacing w:after="120"/>
        <w:ind w:left="2268"/>
        <w:jc w:val="both"/>
        <w:rPr>
          <w:rFonts w:ascii="Arial" w:hAnsi="Arial" w:cs="Arial"/>
          <w:sz w:val="20"/>
          <w:szCs w:val="20"/>
        </w:rPr>
      </w:pPr>
      <w:r w:rsidRPr="00A80C2B">
        <w:rPr>
          <w:rFonts w:ascii="Arial" w:hAnsi="Arial" w:cs="Arial"/>
          <w:sz w:val="20"/>
          <w:szCs w:val="20"/>
          <w:lang w:val="es-ES_tradnl"/>
        </w:rPr>
        <w:lastRenderedPageBreak/>
        <w:tab/>
        <w:t>Sin prisma +-(10mm+2ppm</w:t>
      </w:r>
      <w:r w:rsidRPr="00A80C2B">
        <w:rPr>
          <w:rFonts w:ascii="Arial" w:hAnsi="Arial" w:cs="Arial"/>
          <w:sz w:val="20"/>
          <w:szCs w:val="20"/>
        </w:rPr>
        <w:t>)</w:t>
      </w:r>
    </w:p>
    <w:p w14:paraId="7BF4DC12" w14:textId="77777777" w:rsidR="00A3029F" w:rsidRPr="00A80C2B" w:rsidRDefault="00A3029F" w:rsidP="00A80C2B">
      <w:pPr>
        <w:tabs>
          <w:tab w:val="num" w:pos="851"/>
          <w:tab w:val="num" w:pos="1985"/>
          <w:tab w:val="left" w:pos="3828"/>
        </w:tabs>
        <w:spacing w:after="120"/>
        <w:ind w:left="2268"/>
        <w:jc w:val="both"/>
        <w:rPr>
          <w:rFonts w:ascii="Arial" w:hAnsi="Arial" w:cs="Arial"/>
          <w:sz w:val="20"/>
          <w:szCs w:val="20"/>
          <w:lang w:val="es-ES_tradnl"/>
        </w:rPr>
      </w:pPr>
      <w:r w:rsidRPr="00A80C2B">
        <w:rPr>
          <w:rFonts w:ascii="Arial" w:hAnsi="Arial" w:cs="Arial"/>
          <w:sz w:val="20"/>
          <w:szCs w:val="20"/>
          <w:lang w:val="es-ES_tradnl"/>
        </w:rPr>
        <w:t>Medición angular:</w:t>
      </w:r>
      <w:r w:rsidRPr="00A80C2B">
        <w:rPr>
          <w:rFonts w:ascii="Arial" w:hAnsi="Arial" w:cs="Arial"/>
          <w:sz w:val="20"/>
          <w:szCs w:val="20"/>
          <w:lang w:val="es-ES_tradnl"/>
        </w:rPr>
        <w:tab/>
        <w:t>Lectura mínima 1”</w:t>
      </w:r>
    </w:p>
    <w:p w14:paraId="7BABA628" w14:textId="77777777" w:rsidR="00A3029F" w:rsidRPr="00A80C2B" w:rsidRDefault="00A3029F" w:rsidP="00A80C2B">
      <w:pPr>
        <w:tabs>
          <w:tab w:val="left" w:pos="4253"/>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Precisión 1”</w:t>
      </w:r>
    </w:p>
    <w:p w14:paraId="0312440C" w14:textId="77777777" w:rsidR="00A3029F" w:rsidRPr="00A80C2B" w:rsidRDefault="00A3029F" w:rsidP="00A80C2B">
      <w:pPr>
        <w:tabs>
          <w:tab w:val="num" w:pos="851"/>
          <w:tab w:val="num" w:pos="2268"/>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Telescopio: Aumento 30X</w:t>
      </w:r>
    </w:p>
    <w:p w14:paraId="6EC9290B" w14:textId="77777777" w:rsidR="00A3029F" w:rsidRPr="00A80C2B" w:rsidRDefault="00A3029F" w:rsidP="00A80C2B">
      <w:pPr>
        <w:tabs>
          <w:tab w:val="num" w:pos="851"/>
          <w:tab w:val="num" w:pos="2268"/>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Apertura 40mm</w:t>
      </w:r>
    </w:p>
    <w:p w14:paraId="36387D0A" w14:textId="77777777" w:rsidR="00A3029F" w:rsidRPr="00A80C2B" w:rsidRDefault="00A3029F" w:rsidP="00A80C2B">
      <w:pPr>
        <w:tabs>
          <w:tab w:val="num" w:pos="851"/>
          <w:tab w:val="num" w:pos="2268"/>
          <w:tab w:val="left"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 xml:space="preserve">Modos de medición: </w:t>
      </w:r>
      <w:r w:rsidRPr="00A80C2B">
        <w:rPr>
          <w:rFonts w:ascii="Arial" w:hAnsi="Arial" w:cs="Arial"/>
          <w:sz w:val="20"/>
          <w:szCs w:val="20"/>
          <w:lang w:val="es-ES_tradnl"/>
        </w:rPr>
        <w:tab/>
        <w:t>Distancias horizontal, inclinada y desnivel</w:t>
      </w:r>
    </w:p>
    <w:p w14:paraId="3021C4B9" w14:textId="77777777" w:rsidR="00A3029F" w:rsidRPr="00A80C2B" w:rsidRDefault="00A3029F" w:rsidP="00A80C2B">
      <w:pPr>
        <w:tabs>
          <w:tab w:val="num" w:pos="851"/>
          <w:tab w:val="num"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Angulo Horizontal y Vertical</w:t>
      </w:r>
    </w:p>
    <w:p w14:paraId="1A84A9C0" w14:textId="77777777" w:rsidR="00A3029F" w:rsidRPr="00A80C2B" w:rsidRDefault="00A3029F" w:rsidP="00A80C2B">
      <w:pPr>
        <w:tabs>
          <w:tab w:val="num" w:pos="851"/>
          <w:tab w:val="num" w:pos="4395"/>
        </w:tabs>
        <w:spacing w:after="120"/>
        <w:ind w:left="1778"/>
        <w:jc w:val="both"/>
        <w:rPr>
          <w:rFonts w:ascii="Arial" w:hAnsi="Arial" w:cs="Arial"/>
          <w:sz w:val="20"/>
          <w:szCs w:val="20"/>
          <w:lang w:val="es-ES_tradnl"/>
        </w:rPr>
      </w:pPr>
      <w:r w:rsidRPr="00A80C2B">
        <w:rPr>
          <w:rFonts w:ascii="Arial" w:hAnsi="Arial" w:cs="Arial"/>
          <w:sz w:val="20"/>
          <w:szCs w:val="20"/>
          <w:lang w:val="es-ES_tradnl"/>
        </w:rPr>
        <w:tab/>
        <w:t>Por coordenadas X,</w:t>
      </w:r>
      <w:r w:rsidR="00BC0A86">
        <w:rPr>
          <w:rFonts w:ascii="Arial" w:hAnsi="Arial" w:cs="Arial"/>
          <w:sz w:val="20"/>
          <w:szCs w:val="20"/>
          <w:lang w:val="es-ES_tradnl"/>
        </w:rPr>
        <w:t xml:space="preserve"> </w:t>
      </w:r>
      <w:r w:rsidRPr="00A80C2B">
        <w:rPr>
          <w:rFonts w:ascii="Arial" w:hAnsi="Arial" w:cs="Arial"/>
          <w:sz w:val="20"/>
          <w:szCs w:val="20"/>
          <w:lang w:val="es-ES_tradnl"/>
        </w:rPr>
        <w:t>Y,</w:t>
      </w:r>
      <w:r w:rsidR="00BC0A86">
        <w:rPr>
          <w:rFonts w:ascii="Arial" w:hAnsi="Arial" w:cs="Arial"/>
          <w:sz w:val="20"/>
          <w:szCs w:val="20"/>
          <w:lang w:val="es-ES_tradnl"/>
        </w:rPr>
        <w:t xml:space="preserve"> </w:t>
      </w:r>
      <w:r w:rsidRPr="00A80C2B">
        <w:rPr>
          <w:rFonts w:ascii="Arial" w:hAnsi="Arial" w:cs="Arial"/>
          <w:sz w:val="20"/>
          <w:szCs w:val="20"/>
          <w:lang w:val="es-ES_tradnl"/>
        </w:rPr>
        <w:t>Z</w:t>
      </w:r>
    </w:p>
    <w:p w14:paraId="6E70FB98" w14:textId="77777777" w:rsidR="00A3029F" w:rsidRPr="00A80C2B" w:rsidRDefault="00A3029F" w:rsidP="00A80C2B">
      <w:pPr>
        <w:tabs>
          <w:tab w:val="num" w:pos="851"/>
          <w:tab w:val="num" w:pos="4395"/>
        </w:tabs>
        <w:spacing w:after="120"/>
        <w:ind w:left="4395"/>
        <w:jc w:val="both"/>
        <w:rPr>
          <w:rFonts w:ascii="Arial" w:hAnsi="Arial" w:cs="Arial"/>
          <w:sz w:val="20"/>
          <w:szCs w:val="20"/>
          <w:lang w:val="es-ES_tradnl"/>
        </w:rPr>
      </w:pPr>
      <w:r w:rsidRPr="00A80C2B">
        <w:rPr>
          <w:rFonts w:ascii="Arial" w:hAnsi="Arial" w:cs="Arial"/>
          <w:sz w:val="20"/>
          <w:szCs w:val="20"/>
          <w:lang w:val="es-ES_tradnl"/>
        </w:rPr>
        <w:t>Replanteo por ángulos, distancias y coordenadas</w:t>
      </w:r>
    </w:p>
    <w:p w14:paraId="7F70F60B"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Transferencia de datos: RS232</w:t>
      </w:r>
    </w:p>
    <w:p w14:paraId="2B9BFFB4" w14:textId="77777777" w:rsidR="00A3029F" w:rsidRPr="00A80C2B" w:rsidRDefault="00A3029F" w:rsidP="00A80C2B">
      <w:pPr>
        <w:tabs>
          <w:tab w:val="num" w:pos="851"/>
          <w:tab w:val="num" w:pos="1985"/>
          <w:tab w:val="left" w:pos="3969"/>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Tecnología inalámbrica Bluetooth (opcional)</w:t>
      </w:r>
    </w:p>
    <w:p w14:paraId="1AAD7209"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Batería: 2 baterías extraíbles Ion-Li</w:t>
      </w:r>
    </w:p>
    <w:p w14:paraId="0AFC8E5A" w14:textId="77777777" w:rsidR="00A3029F" w:rsidRPr="00A80C2B" w:rsidRDefault="00A3029F" w:rsidP="00A80C2B">
      <w:pPr>
        <w:tabs>
          <w:tab w:val="num" w:pos="851"/>
          <w:tab w:val="num" w:pos="3119"/>
        </w:tabs>
        <w:spacing w:after="120"/>
        <w:ind w:left="2268"/>
        <w:jc w:val="both"/>
        <w:rPr>
          <w:rFonts w:ascii="Arial" w:hAnsi="Arial" w:cs="Arial"/>
          <w:sz w:val="20"/>
          <w:szCs w:val="20"/>
        </w:rPr>
      </w:pPr>
      <w:r w:rsidRPr="00A80C2B">
        <w:rPr>
          <w:rFonts w:ascii="Arial" w:hAnsi="Arial" w:cs="Arial"/>
          <w:sz w:val="20"/>
          <w:szCs w:val="20"/>
        </w:rPr>
        <w:tab/>
      </w:r>
      <w:r w:rsidRPr="00A80C2B">
        <w:rPr>
          <w:rFonts w:ascii="Arial" w:hAnsi="Arial" w:cs="Arial"/>
          <w:sz w:val="20"/>
          <w:szCs w:val="20"/>
          <w:lang w:val="es-ES_tradnl"/>
        </w:rPr>
        <w:t>Cargador AC y DC</w:t>
      </w:r>
    </w:p>
    <w:p w14:paraId="15EDC653"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Plomada: De luz láser</w:t>
      </w:r>
    </w:p>
    <w:p w14:paraId="5DDE1765"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Puntería: Tornillo sin fin para movimientos pequeños</w:t>
      </w:r>
    </w:p>
    <w:p w14:paraId="2C347534"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lastRenderedPageBreak/>
        <w:t xml:space="preserve">Trípode: </w:t>
      </w:r>
      <w:r w:rsidRPr="00A80C2B">
        <w:rPr>
          <w:rFonts w:ascii="Arial" w:hAnsi="Arial" w:cs="Arial"/>
          <w:sz w:val="20"/>
          <w:szCs w:val="20"/>
          <w:lang w:val="es-ES_tradnl"/>
        </w:rPr>
        <w:tab/>
        <w:t>De madera</w:t>
      </w:r>
    </w:p>
    <w:p w14:paraId="73811ADD" w14:textId="77777777" w:rsidR="00A3029F" w:rsidRPr="00A80C2B" w:rsidRDefault="00A3029F" w:rsidP="00A80C2B">
      <w:pPr>
        <w:tabs>
          <w:tab w:val="num" w:pos="851"/>
          <w:tab w:val="num" w:pos="1985"/>
        </w:tabs>
        <w:spacing w:after="120"/>
        <w:ind w:left="2268"/>
        <w:jc w:val="both"/>
        <w:rPr>
          <w:rFonts w:ascii="Arial" w:hAnsi="Arial" w:cs="Arial"/>
          <w:sz w:val="20"/>
          <w:szCs w:val="20"/>
          <w:lang w:val="es-ES_tradnl"/>
        </w:rPr>
      </w:pPr>
      <w:r w:rsidRPr="00A80C2B">
        <w:rPr>
          <w:rFonts w:ascii="Arial" w:hAnsi="Arial" w:cs="Arial"/>
          <w:sz w:val="20"/>
          <w:szCs w:val="20"/>
          <w:lang w:val="es-ES_tradnl"/>
        </w:rPr>
        <w:t>Entorno de trabajo: Temperatura de -20°C</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a +50°C</w:t>
      </w:r>
    </w:p>
    <w:p w14:paraId="3AF07B5C" w14:textId="77777777" w:rsidR="00A3029F" w:rsidRPr="00A80C2B" w:rsidRDefault="00A3029F" w:rsidP="00A80C2B">
      <w:pPr>
        <w:tabs>
          <w:tab w:val="num" w:pos="851"/>
          <w:tab w:val="num" w:pos="4253"/>
        </w:tabs>
        <w:spacing w:after="120"/>
        <w:ind w:left="2268"/>
        <w:jc w:val="both"/>
        <w:rPr>
          <w:rFonts w:ascii="Arial" w:hAnsi="Arial" w:cs="Arial"/>
          <w:sz w:val="20"/>
          <w:szCs w:val="20"/>
          <w:lang w:val="es-ES_tradnl"/>
        </w:rPr>
      </w:pPr>
      <w:r w:rsidRPr="00A80C2B">
        <w:rPr>
          <w:rFonts w:ascii="Arial" w:hAnsi="Arial" w:cs="Arial"/>
          <w:sz w:val="20"/>
          <w:szCs w:val="20"/>
          <w:lang w:val="es-ES_tradnl"/>
        </w:rPr>
        <w:tab/>
        <w:t>Humedad 95%</w:t>
      </w:r>
    </w:p>
    <w:p w14:paraId="36B941A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teodolito automático, con imagen derecha, precisión de 20 seg., trípode extensible, y estuche.</w:t>
      </w:r>
    </w:p>
    <w:p w14:paraId="7C1782B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nivel óptico automático, con imagen al derecho, limbo horizontal, trípode extensible, plomada óptica, aumento mínimo 30 (treinta) y estuche.</w:t>
      </w:r>
    </w:p>
    <w:p w14:paraId="2CFEC6C1"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2 miras de longitud mínima 4 metros y lectura derecha.</w:t>
      </w:r>
    </w:p>
    <w:p w14:paraId="451BA1F8"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cinta métrica metálica de 50 m y 3 rodetes de 30 m.</w:t>
      </w:r>
    </w:p>
    <w:p w14:paraId="5021885A"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10 conos de goma.</w:t>
      </w:r>
    </w:p>
    <w:p w14:paraId="3178B5B2"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 xml:space="preserve">5 chalecos reflectivos. Y </w:t>
      </w:r>
    </w:p>
    <w:p w14:paraId="7EDF2EB3" w14:textId="77777777" w:rsidR="00A3029F" w:rsidRPr="00A80C2B" w:rsidRDefault="00A3029F" w:rsidP="009A58E0">
      <w:pPr>
        <w:numPr>
          <w:ilvl w:val="0"/>
          <w:numId w:val="73"/>
        </w:numPr>
        <w:spacing w:after="120"/>
        <w:ind w:left="1985" w:hanging="207"/>
        <w:jc w:val="both"/>
        <w:rPr>
          <w:rFonts w:ascii="Arial" w:hAnsi="Arial" w:cs="Arial"/>
          <w:sz w:val="20"/>
          <w:szCs w:val="20"/>
          <w:lang w:val="es-ES_tradnl"/>
        </w:rPr>
      </w:pPr>
      <w:r w:rsidRPr="00A80C2B">
        <w:rPr>
          <w:rFonts w:ascii="Arial" w:hAnsi="Arial" w:cs="Arial"/>
          <w:sz w:val="20"/>
          <w:szCs w:val="20"/>
          <w:lang w:val="es-ES_tradnl"/>
        </w:rPr>
        <w:t>1 baliza destellante para los vehículos.</w:t>
      </w:r>
    </w:p>
    <w:p w14:paraId="530F7C57" w14:textId="5248BB21" w:rsidR="00A3029F" w:rsidRPr="00F20848" w:rsidRDefault="00A3029F" w:rsidP="009A58E0">
      <w:pPr>
        <w:keepNext/>
        <w:numPr>
          <w:ilvl w:val="0"/>
          <w:numId w:val="55"/>
        </w:numPr>
        <w:tabs>
          <w:tab w:val="left" w:pos="-1440"/>
        </w:tabs>
        <w:spacing w:before="240" w:after="120"/>
        <w:jc w:val="both"/>
        <w:rPr>
          <w:rFonts w:ascii="Arial" w:hAnsi="Arial" w:cs="Arial"/>
          <w:b/>
          <w:bCs/>
          <w:sz w:val="20"/>
          <w:szCs w:val="20"/>
          <w:lang w:val="es-ES_tradnl"/>
        </w:rPr>
      </w:pPr>
      <w:r w:rsidRPr="00A80C2B">
        <w:rPr>
          <w:rFonts w:ascii="Arial" w:hAnsi="Arial" w:cs="Arial"/>
          <w:b/>
          <w:bCs/>
          <w:sz w:val="20"/>
          <w:szCs w:val="20"/>
        </w:rPr>
        <w:lastRenderedPageBreak/>
        <w:t>El Contratista proporcionará los equipos informáticos, fotográficos, de papelería y comunicación necesarios, para el uso del Órgano de Control y el personal de inspección de acuerdo a lo establecido:</w:t>
      </w:r>
    </w:p>
    <w:p w14:paraId="1422046D" w14:textId="77777777" w:rsidR="00F20848" w:rsidRPr="004677B3" w:rsidRDefault="00F20848" w:rsidP="00F20848">
      <w:pPr>
        <w:tabs>
          <w:tab w:val="left" w:pos="-1440"/>
          <w:tab w:val="num" w:pos="1418"/>
        </w:tabs>
        <w:ind w:left="1701"/>
        <w:jc w:val="both"/>
        <w:rPr>
          <w:rFonts w:ascii="Arial" w:hAnsi="Arial" w:cs="Arial"/>
          <w:sz w:val="20"/>
          <w:szCs w:val="20"/>
        </w:rPr>
      </w:pPr>
      <w:r w:rsidRPr="004677B3">
        <w:rPr>
          <w:rFonts w:ascii="Arial" w:hAnsi="Arial" w:cs="Arial"/>
          <w:sz w:val="20"/>
          <w:szCs w:val="20"/>
        </w:rPr>
        <w:t>Equipo de oficina:</w:t>
      </w:r>
    </w:p>
    <w:p w14:paraId="781095DF" w14:textId="77777777" w:rsidR="00F20848" w:rsidRPr="004677B3" w:rsidRDefault="00F20848" w:rsidP="009A58E0">
      <w:pPr>
        <w:numPr>
          <w:ilvl w:val="0"/>
          <w:numId w:val="142"/>
        </w:numPr>
        <w:tabs>
          <w:tab w:val="clear" w:pos="1277"/>
          <w:tab w:val="num" w:pos="355"/>
        </w:tabs>
        <w:spacing w:after="0" w:line="240" w:lineRule="auto"/>
        <w:ind w:left="1701" w:hanging="283"/>
        <w:jc w:val="both"/>
        <w:rPr>
          <w:rFonts w:ascii="Arial" w:hAnsi="Arial" w:cs="Arial"/>
          <w:sz w:val="20"/>
          <w:szCs w:val="20"/>
        </w:rPr>
      </w:pPr>
      <w:r w:rsidRPr="004677B3">
        <w:rPr>
          <w:rFonts w:ascii="Arial" w:hAnsi="Arial" w:cs="Arial"/>
          <w:sz w:val="20"/>
          <w:szCs w:val="20"/>
        </w:rPr>
        <w:t>Un (1) PC de escritorio nuevo o un notebook, para cálculo (diseño vial, programas de gestión, procesos de especialistas y de datos intensos).</w:t>
      </w:r>
    </w:p>
    <w:p w14:paraId="2F5288C5" w14:textId="77777777" w:rsidR="00F20848" w:rsidRPr="004677B3" w:rsidRDefault="00F20848" w:rsidP="00F20848">
      <w:pPr>
        <w:ind w:left="1701"/>
        <w:jc w:val="both"/>
        <w:rPr>
          <w:rFonts w:ascii="Arial" w:hAnsi="Arial" w:cs="Arial"/>
          <w:sz w:val="20"/>
          <w:szCs w:val="20"/>
        </w:rPr>
      </w:pPr>
      <w:r w:rsidRPr="004677B3">
        <w:rPr>
          <w:rFonts w:ascii="Arial" w:hAnsi="Arial" w:cs="Arial"/>
          <w:sz w:val="20"/>
          <w:szCs w:val="20"/>
        </w:rPr>
        <w:t>En caso de PC deberá tener las siguientes características mínimas:</w:t>
      </w:r>
    </w:p>
    <w:p w14:paraId="2E325736" w14:textId="77777777" w:rsidR="00325F12" w:rsidRPr="00325F12" w:rsidRDefault="00F20848" w:rsidP="00325F12">
      <w:pPr>
        <w:ind w:left="1701"/>
        <w:rPr>
          <w:rFonts w:ascii="Arial" w:hAnsi="Arial" w:cs="Arial"/>
          <w:sz w:val="20"/>
          <w:szCs w:val="20"/>
        </w:rPr>
      </w:pPr>
      <w:r w:rsidRPr="004677B3">
        <w:rPr>
          <w:rFonts w:ascii="Arial" w:hAnsi="Arial" w:cs="Arial"/>
          <w:b/>
          <w:sz w:val="20"/>
          <w:szCs w:val="20"/>
        </w:rPr>
        <w:t>Procesador CPU</w:t>
      </w:r>
      <w:r w:rsidRPr="004677B3">
        <w:rPr>
          <w:rFonts w:ascii="Arial" w:hAnsi="Arial" w:cs="Arial"/>
          <w:sz w:val="20"/>
          <w:szCs w:val="20"/>
        </w:rPr>
        <w:t xml:space="preserve"> </w:t>
      </w:r>
    </w:p>
    <w:p w14:paraId="6439985F" w14:textId="77777777" w:rsidR="00325F12" w:rsidRPr="005A2FB0" w:rsidRDefault="00325F12" w:rsidP="00325F12">
      <w:pPr>
        <w:ind w:left="1701"/>
        <w:rPr>
          <w:rFonts w:ascii="Arial" w:hAnsi="Arial" w:cs="Arial"/>
          <w:sz w:val="20"/>
          <w:szCs w:val="20"/>
          <w:lang w:val="en-US"/>
        </w:rPr>
      </w:pPr>
      <w:r w:rsidRPr="00325F12">
        <w:rPr>
          <w:rFonts w:ascii="Arial" w:hAnsi="Arial" w:cs="Arial"/>
          <w:sz w:val="20"/>
          <w:szCs w:val="20"/>
        </w:rPr>
        <w:t xml:space="preserve">Procesador CPU (de menor a mayor). </w:t>
      </w:r>
      <w:r w:rsidRPr="005A2FB0">
        <w:rPr>
          <w:rFonts w:ascii="Arial" w:hAnsi="Arial" w:cs="Arial"/>
          <w:sz w:val="20"/>
          <w:szCs w:val="20"/>
          <w:lang w:val="en-US"/>
        </w:rPr>
        <w:t>Intel core i7 6xxx o Intel core i7 7xxx.</w:t>
      </w:r>
    </w:p>
    <w:p w14:paraId="10976F79" w14:textId="060C4A13" w:rsidR="00325F12" w:rsidRPr="00325F12" w:rsidRDefault="00325F12" w:rsidP="00325F12">
      <w:pPr>
        <w:ind w:left="1701"/>
        <w:rPr>
          <w:rFonts w:ascii="Arial" w:hAnsi="Arial" w:cs="Arial"/>
          <w:sz w:val="20"/>
          <w:szCs w:val="20"/>
        </w:rPr>
      </w:pPr>
      <w:r w:rsidRPr="00325F12">
        <w:rPr>
          <w:rFonts w:ascii="Arial" w:hAnsi="Arial" w:cs="Arial"/>
          <w:sz w:val="20"/>
          <w:szCs w:val="20"/>
        </w:rPr>
        <w:t>Memoria RAM. 8 GigaByte</w:t>
      </w:r>
    </w:p>
    <w:p w14:paraId="0C55B1AE" w14:textId="629B980A" w:rsidR="00F20848" w:rsidRPr="004677B3" w:rsidRDefault="00325F12" w:rsidP="00325F12">
      <w:pPr>
        <w:ind w:left="1701"/>
        <w:rPr>
          <w:rFonts w:ascii="Arial" w:hAnsi="Arial" w:cs="Arial"/>
          <w:sz w:val="20"/>
          <w:szCs w:val="20"/>
        </w:rPr>
      </w:pPr>
      <w:r w:rsidRPr="00325F12">
        <w:rPr>
          <w:rFonts w:ascii="Arial" w:hAnsi="Arial" w:cs="Arial"/>
          <w:sz w:val="20"/>
          <w:szCs w:val="20"/>
        </w:rPr>
        <w:t>Almacenamiento. 300 (SSD) a 500 (HD) GigaByte.</w:t>
      </w:r>
      <w:r w:rsidR="00F20848" w:rsidRPr="004677B3">
        <w:rPr>
          <w:rFonts w:ascii="Arial" w:hAnsi="Arial" w:cs="Arial"/>
          <w:sz w:val="20"/>
          <w:szCs w:val="20"/>
        </w:rPr>
        <w:t>.</w:t>
      </w:r>
    </w:p>
    <w:p w14:paraId="15E885D5"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Almacenamiento externo</w:t>
      </w:r>
      <w:r w:rsidRPr="004677B3">
        <w:rPr>
          <w:rFonts w:ascii="Arial" w:hAnsi="Arial" w:cs="Arial"/>
          <w:sz w:val="20"/>
          <w:szCs w:val="20"/>
        </w:rPr>
        <w:t>. Opcional</w:t>
      </w:r>
    </w:p>
    <w:p w14:paraId="1462F999"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Unidad óptica</w:t>
      </w:r>
      <w:r w:rsidRPr="004677B3">
        <w:rPr>
          <w:rFonts w:ascii="Arial" w:hAnsi="Arial" w:cs="Arial"/>
          <w:sz w:val="20"/>
          <w:szCs w:val="20"/>
        </w:rPr>
        <w:t>. DVD 2L/RW.</w:t>
      </w:r>
    </w:p>
    <w:p w14:paraId="340E256B" w14:textId="2F8627D2" w:rsidR="00F20848" w:rsidRPr="004677B3" w:rsidRDefault="00F20848" w:rsidP="00F20848">
      <w:pPr>
        <w:ind w:left="1701"/>
        <w:rPr>
          <w:rFonts w:ascii="Arial" w:hAnsi="Arial" w:cs="Arial"/>
          <w:sz w:val="20"/>
          <w:szCs w:val="20"/>
        </w:rPr>
      </w:pPr>
      <w:r w:rsidRPr="004677B3">
        <w:rPr>
          <w:rFonts w:ascii="Arial" w:hAnsi="Arial" w:cs="Arial"/>
          <w:b/>
          <w:sz w:val="20"/>
          <w:szCs w:val="20"/>
        </w:rPr>
        <w:t>Monitor</w:t>
      </w:r>
      <w:r w:rsidRPr="004677B3">
        <w:rPr>
          <w:rFonts w:ascii="Arial" w:hAnsi="Arial" w:cs="Arial"/>
          <w:sz w:val="20"/>
          <w:szCs w:val="20"/>
        </w:rPr>
        <w:t>. 17 a 19 pulgadas</w:t>
      </w:r>
      <w:r w:rsidR="00325F12">
        <w:rPr>
          <w:rFonts w:ascii="Arial" w:hAnsi="Arial" w:cs="Arial"/>
          <w:sz w:val="20"/>
          <w:szCs w:val="20"/>
        </w:rPr>
        <w:t>, led,</w:t>
      </w:r>
      <w:r w:rsidRPr="004677B3">
        <w:rPr>
          <w:rFonts w:ascii="Arial" w:hAnsi="Arial" w:cs="Arial"/>
          <w:sz w:val="20"/>
          <w:szCs w:val="20"/>
        </w:rPr>
        <w:t xml:space="preserve"> con superficie antibrillo/antiglare.</w:t>
      </w:r>
    </w:p>
    <w:p w14:paraId="1DBE549D"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lastRenderedPageBreak/>
        <w:t>Video</w:t>
      </w:r>
      <w:r w:rsidRPr="004677B3">
        <w:rPr>
          <w:rFonts w:ascii="Arial" w:hAnsi="Arial" w:cs="Arial"/>
          <w:sz w:val="20"/>
          <w:szCs w:val="20"/>
          <w:lang w:val="en-US"/>
        </w:rPr>
        <w:t>. Onboard.</w:t>
      </w:r>
    </w:p>
    <w:p w14:paraId="29C0BD3D"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Redes</w:t>
      </w:r>
      <w:r w:rsidRPr="004677B3">
        <w:rPr>
          <w:rFonts w:ascii="Arial" w:hAnsi="Arial" w:cs="Arial"/>
          <w:sz w:val="20"/>
          <w:szCs w:val="20"/>
          <w:lang w:val="en-US"/>
        </w:rPr>
        <w:t>. Ethernet y opcional WiFi g/n</w:t>
      </w:r>
    </w:p>
    <w:p w14:paraId="62289B75"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Conectores</w:t>
      </w:r>
      <w:r w:rsidRPr="004677B3">
        <w:rPr>
          <w:rFonts w:ascii="Arial" w:hAnsi="Arial" w:cs="Arial"/>
          <w:sz w:val="20"/>
          <w:szCs w:val="20"/>
        </w:rPr>
        <w:t>. USB 3.0, salida de audio, entrada para micrófono, salida VGA y Opcional HDMI.</w:t>
      </w:r>
    </w:p>
    <w:p w14:paraId="4AE0D096" w14:textId="42560A38" w:rsidR="00F20848" w:rsidRPr="004677B3" w:rsidRDefault="00F20848" w:rsidP="00F20848">
      <w:pPr>
        <w:ind w:left="1701"/>
        <w:rPr>
          <w:rFonts w:ascii="Arial" w:hAnsi="Arial" w:cs="Arial"/>
          <w:sz w:val="20"/>
          <w:szCs w:val="20"/>
        </w:rPr>
      </w:pPr>
      <w:r w:rsidRPr="004677B3">
        <w:rPr>
          <w:rFonts w:ascii="Arial" w:hAnsi="Arial" w:cs="Arial"/>
          <w:b/>
          <w:sz w:val="20"/>
          <w:szCs w:val="20"/>
        </w:rPr>
        <w:t>Sistema operativo</w:t>
      </w:r>
      <w:r w:rsidRPr="004677B3">
        <w:rPr>
          <w:rFonts w:ascii="Arial" w:hAnsi="Arial" w:cs="Arial"/>
          <w:sz w:val="20"/>
          <w:szCs w:val="20"/>
        </w:rPr>
        <w:t xml:space="preserve">. </w:t>
      </w:r>
      <w:r w:rsidR="00325F12" w:rsidRPr="00325F12">
        <w:rPr>
          <w:rFonts w:ascii="Arial" w:hAnsi="Arial" w:cs="Arial"/>
          <w:sz w:val="20"/>
          <w:szCs w:val="20"/>
        </w:rPr>
        <w:t>Windows 10 Professional 64bits Español</w:t>
      </w:r>
    </w:p>
    <w:p w14:paraId="2DAEF8B7" w14:textId="3A35D95D" w:rsidR="00F20848" w:rsidRPr="005A2FB0" w:rsidRDefault="00F20848" w:rsidP="00F20848">
      <w:pPr>
        <w:ind w:left="1701"/>
        <w:rPr>
          <w:rFonts w:ascii="Arial" w:hAnsi="Arial" w:cs="Arial"/>
          <w:sz w:val="20"/>
          <w:szCs w:val="20"/>
        </w:rPr>
      </w:pPr>
      <w:r w:rsidRPr="004677B3">
        <w:rPr>
          <w:rFonts w:ascii="Arial" w:hAnsi="Arial" w:cs="Arial"/>
          <w:b/>
          <w:sz w:val="20"/>
          <w:szCs w:val="20"/>
        </w:rPr>
        <w:t>Aplicación de oficina</w:t>
      </w:r>
      <w:r w:rsidRPr="004677B3">
        <w:rPr>
          <w:rFonts w:ascii="Arial" w:hAnsi="Arial" w:cs="Arial"/>
          <w:sz w:val="20"/>
          <w:szCs w:val="20"/>
        </w:rPr>
        <w:t xml:space="preserve">. </w:t>
      </w:r>
      <w:r w:rsidRPr="005A2FB0">
        <w:rPr>
          <w:rFonts w:ascii="Arial" w:hAnsi="Arial" w:cs="Arial"/>
          <w:sz w:val="20"/>
          <w:szCs w:val="20"/>
        </w:rPr>
        <w:t xml:space="preserve">Suite Microsoft Office </w:t>
      </w:r>
      <w:r w:rsidR="00325F12" w:rsidRPr="005A2FB0">
        <w:rPr>
          <w:rFonts w:ascii="Arial" w:hAnsi="Arial" w:cs="Arial"/>
          <w:sz w:val="20"/>
          <w:szCs w:val="20"/>
        </w:rPr>
        <w:t xml:space="preserve">2016 </w:t>
      </w:r>
      <w:r w:rsidRPr="005A2FB0">
        <w:rPr>
          <w:rFonts w:ascii="Arial" w:hAnsi="Arial" w:cs="Arial"/>
          <w:sz w:val="20"/>
          <w:szCs w:val="20"/>
        </w:rPr>
        <w:t>Professional Español</w:t>
      </w:r>
    </w:p>
    <w:p w14:paraId="2C883F60" w14:textId="77777777" w:rsidR="00F20848" w:rsidRPr="0065709A" w:rsidRDefault="00F20848" w:rsidP="00F20848">
      <w:pPr>
        <w:ind w:left="1701"/>
        <w:rPr>
          <w:rFonts w:ascii="Arial" w:hAnsi="Arial" w:cs="Arial"/>
          <w:sz w:val="20"/>
          <w:szCs w:val="20"/>
          <w:lang w:val="en-US"/>
        </w:rPr>
      </w:pPr>
      <w:r w:rsidRPr="004677B3">
        <w:rPr>
          <w:rFonts w:ascii="Arial" w:hAnsi="Arial" w:cs="Arial"/>
          <w:b/>
          <w:sz w:val="20"/>
          <w:szCs w:val="20"/>
        </w:rPr>
        <w:t>Aplicación de seguridad</w:t>
      </w:r>
      <w:r w:rsidRPr="004677B3">
        <w:rPr>
          <w:rFonts w:ascii="Arial" w:hAnsi="Arial" w:cs="Arial"/>
          <w:sz w:val="20"/>
          <w:szCs w:val="20"/>
        </w:rPr>
        <w:t xml:space="preserve">. </w:t>
      </w:r>
      <w:r w:rsidRPr="00494389">
        <w:rPr>
          <w:rFonts w:ascii="Arial" w:hAnsi="Arial" w:cs="Arial"/>
          <w:sz w:val="20"/>
          <w:szCs w:val="20"/>
          <w:lang w:val="en-US"/>
        </w:rPr>
        <w:t>Eset Smart Security (o Kaspersky Internet Security o Bitdefender Internet Security) 2 años.</w:t>
      </w:r>
    </w:p>
    <w:p w14:paraId="01F416E0"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Dispositivos</w:t>
      </w:r>
      <w:r w:rsidRPr="004677B3">
        <w:rPr>
          <w:rFonts w:ascii="Arial" w:hAnsi="Arial" w:cs="Arial"/>
          <w:sz w:val="20"/>
          <w:szCs w:val="20"/>
        </w:rPr>
        <w:t>. Teclado Español USB y Mouse óptico USB</w:t>
      </w:r>
    </w:p>
    <w:p w14:paraId="0C1E506B"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Energía</w:t>
      </w:r>
      <w:r w:rsidRPr="004677B3">
        <w:rPr>
          <w:rFonts w:ascii="Arial" w:hAnsi="Arial" w:cs="Arial"/>
          <w:sz w:val="20"/>
          <w:szCs w:val="20"/>
        </w:rPr>
        <w:t>. Opcional. Unidad de respaldo de energía UPS de 500 VA.</w:t>
      </w:r>
    </w:p>
    <w:p w14:paraId="01FFBF77"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Garantía</w:t>
      </w:r>
      <w:r w:rsidRPr="004677B3">
        <w:rPr>
          <w:rFonts w:ascii="Arial" w:hAnsi="Arial" w:cs="Arial"/>
          <w:sz w:val="20"/>
          <w:szCs w:val="20"/>
        </w:rPr>
        <w:t>. 3 años onsite del equipo completo. Monitor al menos 1 año onsite.</w:t>
      </w:r>
    </w:p>
    <w:p w14:paraId="4B60F13E" w14:textId="77777777" w:rsidR="00F20848" w:rsidRPr="004677B3" w:rsidRDefault="00F20848" w:rsidP="00F20848">
      <w:pPr>
        <w:ind w:left="1701"/>
        <w:jc w:val="both"/>
        <w:rPr>
          <w:rFonts w:ascii="Arial" w:hAnsi="Arial" w:cs="Arial"/>
          <w:sz w:val="20"/>
          <w:szCs w:val="20"/>
        </w:rPr>
      </w:pPr>
      <w:r w:rsidRPr="004677B3">
        <w:rPr>
          <w:rFonts w:ascii="Arial" w:hAnsi="Arial" w:cs="Arial"/>
          <w:sz w:val="20"/>
          <w:szCs w:val="20"/>
        </w:rPr>
        <w:lastRenderedPageBreak/>
        <w:t>En caso de notebook deberá tener portabilidad, duración de batería media y las siguientes características mínimas:</w:t>
      </w:r>
    </w:p>
    <w:p w14:paraId="6113AADF" w14:textId="366E1B2A" w:rsidR="00F20848" w:rsidRPr="004677B3" w:rsidRDefault="00F20848" w:rsidP="00F20848">
      <w:pPr>
        <w:ind w:left="1701"/>
        <w:rPr>
          <w:rFonts w:ascii="Arial" w:hAnsi="Arial" w:cs="Arial"/>
          <w:sz w:val="20"/>
          <w:szCs w:val="20"/>
        </w:rPr>
      </w:pPr>
      <w:r w:rsidRPr="004677B3">
        <w:rPr>
          <w:rFonts w:ascii="Arial" w:hAnsi="Arial" w:cs="Arial"/>
          <w:b/>
          <w:sz w:val="20"/>
          <w:szCs w:val="20"/>
        </w:rPr>
        <w:t>Procesador CPU</w:t>
      </w:r>
      <w:r w:rsidRPr="004677B3">
        <w:rPr>
          <w:rFonts w:ascii="Arial" w:hAnsi="Arial" w:cs="Arial"/>
          <w:sz w:val="20"/>
          <w:szCs w:val="20"/>
        </w:rPr>
        <w:t xml:space="preserve"> (de menor a mayor). </w:t>
      </w:r>
      <w:r w:rsidR="00325F12" w:rsidRPr="00325F12">
        <w:rPr>
          <w:rFonts w:ascii="Arial" w:hAnsi="Arial" w:cs="Arial"/>
          <w:sz w:val="20"/>
          <w:szCs w:val="20"/>
        </w:rPr>
        <w:t>Intel core i7 6xxx o Intel core i7 7xxx o similar</w:t>
      </w:r>
    </w:p>
    <w:p w14:paraId="4A8F24AC"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Memoria RAM</w:t>
      </w:r>
      <w:r w:rsidRPr="004677B3">
        <w:rPr>
          <w:rFonts w:ascii="Arial" w:hAnsi="Arial" w:cs="Arial"/>
          <w:sz w:val="20"/>
          <w:szCs w:val="20"/>
        </w:rPr>
        <w:t>. 4 GigaByte</w:t>
      </w:r>
    </w:p>
    <w:p w14:paraId="707EB765" w14:textId="559E6E2E" w:rsidR="00F20848" w:rsidRPr="006E4555" w:rsidRDefault="00F20848" w:rsidP="00F20848">
      <w:pPr>
        <w:ind w:left="1701"/>
        <w:rPr>
          <w:rFonts w:ascii="Arial" w:hAnsi="Arial" w:cs="Arial"/>
          <w:sz w:val="20"/>
          <w:szCs w:val="20"/>
          <w:lang w:val="en-US"/>
        </w:rPr>
      </w:pPr>
      <w:r w:rsidRPr="004677B3">
        <w:rPr>
          <w:rFonts w:ascii="Arial" w:hAnsi="Arial" w:cs="Arial"/>
          <w:b/>
          <w:sz w:val="20"/>
          <w:szCs w:val="20"/>
        </w:rPr>
        <w:t>Almacenamiento.</w:t>
      </w:r>
      <w:r w:rsidRPr="004677B3">
        <w:rPr>
          <w:rFonts w:ascii="Arial" w:hAnsi="Arial" w:cs="Arial"/>
          <w:sz w:val="20"/>
          <w:szCs w:val="20"/>
        </w:rPr>
        <w:t xml:space="preserve"> </w:t>
      </w:r>
      <w:r w:rsidR="00325F12" w:rsidRPr="006E4555">
        <w:rPr>
          <w:rFonts w:ascii="Arial" w:hAnsi="Arial" w:cs="Arial"/>
          <w:sz w:val="20"/>
          <w:szCs w:val="20"/>
          <w:lang w:val="en-US"/>
        </w:rPr>
        <w:t xml:space="preserve">300 Gb </w:t>
      </w:r>
      <w:r w:rsidRPr="006E4555">
        <w:rPr>
          <w:rFonts w:ascii="Arial" w:hAnsi="Arial" w:cs="Arial"/>
          <w:sz w:val="20"/>
          <w:szCs w:val="20"/>
          <w:lang w:val="en-US"/>
        </w:rPr>
        <w:t xml:space="preserve">(SSD) a </w:t>
      </w:r>
      <w:r w:rsidR="00325F12" w:rsidRPr="006E4555">
        <w:rPr>
          <w:rFonts w:ascii="Arial" w:hAnsi="Arial" w:cs="Arial"/>
          <w:sz w:val="20"/>
          <w:szCs w:val="20"/>
          <w:lang w:val="en-US"/>
        </w:rPr>
        <w:t xml:space="preserve">1 Tb </w:t>
      </w:r>
      <w:r w:rsidRPr="006E4555">
        <w:rPr>
          <w:rFonts w:ascii="Arial" w:hAnsi="Arial" w:cs="Arial"/>
          <w:sz w:val="20"/>
          <w:szCs w:val="20"/>
          <w:lang w:val="en-US"/>
        </w:rPr>
        <w:t>(HD).</w:t>
      </w:r>
    </w:p>
    <w:p w14:paraId="484E8086"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Almacenamiento externo.</w:t>
      </w:r>
      <w:r w:rsidRPr="004677B3">
        <w:rPr>
          <w:rFonts w:ascii="Arial" w:hAnsi="Arial" w:cs="Arial"/>
          <w:sz w:val="20"/>
          <w:szCs w:val="20"/>
        </w:rPr>
        <w:t xml:space="preserve"> Disco externo USB 3.0 de 500 GB.</w:t>
      </w:r>
    </w:p>
    <w:p w14:paraId="06A55EA3"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Unidad óptica</w:t>
      </w:r>
      <w:r w:rsidRPr="004677B3">
        <w:rPr>
          <w:rFonts w:ascii="Arial" w:hAnsi="Arial" w:cs="Arial"/>
          <w:sz w:val="20"/>
          <w:szCs w:val="20"/>
        </w:rPr>
        <w:t>. Es opcional.</w:t>
      </w:r>
    </w:p>
    <w:p w14:paraId="112C5169" w14:textId="39F5D059" w:rsidR="00F20848" w:rsidRPr="004677B3" w:rsidRDefault="00F20848" w:rsidP="00F20848">
      <w:pPr>
        <w:ind w:left="1701"/>
        <w:rPr>
          <w:rFonts w:ascii="Arial" w:hAnsi="Arial" w:cs="Arial"/>
          <w:sz w:val="20"/>
          <w:szCs w:val="20"/>
        </w:rPr>
      </w:pPr>
      <w:r w:rsidRPr="004677B3">
        <w:rPr>
          <w:rFonts w:ascii="Arial" w:hAnsi="Arial" w:cs="Arial"/>
          <w:b/>
          <w:sz w:val="20"/>
          <w:szCs w:val="20"/>
        </w:rPr>
        <w:t>Monitor</w:t>
      </w:r>
      <w:r w:rsidRPr="004677B3">
        <w:rPr>
          <w:rFonts w:ascii="Arial" w:hAnsi="Arial" w:cs="Arial"/>
          <w:sz w:val="20"/>
          <w:szCs w:val="20"/>
        </w:rPr>
        <w:t>.</w:t>
      </w:r>
      <w:r w:rsidR="00325F12">
        <w:rPr>
          <w:rFonts w:ascii="Arial" w:hAnsi="Arial" w:cs="Arial"/>
          <w:sz w:val="20"/>
          <w:szCs w:val="20"/>
        </w:rPr>
        <w:t xml:space="preserve"> Led,</w:t>
      </w:r>
      <w:r w:rsidRPr="004677B3">
        <w:rPr>
          <w:rFonts w:ascii="Arial" w:hAnsi="Arial" w:cs="Arial"/>
          <w:sz w:val="20"/>
          <w:szCs w:val="20"/>
        </w:rPr>
        <w:t xml:space="preserve"> 14 pulgadas y superficie antibrillo/antiglare.</w:t>
      </w:r>
    </w:p>
    <w:p w14:paraId="6C3BD37A"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Video</w:t>
      </w:r>
      <w:r w:rsidRPr="004677B3">
        <w:rPr>
          <w:rFonts w:ascii="Arial" w:hAnsi="Arial" w:cs="Arial"/>
          <w:sz w:val="20"/>
          <w:szCs w:val="20"/>
          <w:lang w:val="en-US"/>
        </w:rPr>
        <w:t>. Onboard.</w:t>
      </w:r>
    </w:p>
    <w:p w14:paraId="4E2CE136" w14:textId="77777777" w:rsidR="00F20848" w:rsidRPr="004677B3" w:rsidRDefault="00F20848" w:rsidP="00F20848">
      <w:pPr>
        <w:ind w:left="1701"/>
        <w:rPr>
          <w:rFonts w:ascii="Arial" w:hAnsi="Arial" w:cs="Arial"/>
          <w:sz w:val="20"/>
          <w:szCs w:val="20"/>
          <w:lang w:val="en-US"/>
        </w:rPr>
      </w:pPr>
      <w:r w:rsidRPr="004677B3">
        <w:rPr>
          <w:rFonts w:ascii="Arial" w:hAnsi="Arial" w:cs="Arial"/>
          <w:b/>
          <w:sz w:val="20"/>
          <w:szCs w:val="20"/>
          <w:lang w:val="en-US"/>
        </w:rPr>
        <w:t>Redes</w:t>
      </w:r>
      <w:r w:rsidRPr="004677B3">
        <w:rPr>
          <w:rFonts w:ascii="Arial" w:hAnsi="Arial" w:cs="Arial"/>
          <w:sz w:val="20"/>
          <w:szCs w:val="20"/>
          <w:lang w:val="en-US"/>
        </w:rPr>
        <w:t>. Ethernet, WiFi b/g/n, Bluetooth y 3G/LTE de Antel.</w:t>
      </w:r>
    </w:p>
    <w:p w14:paraId="2AC8B20E"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Conectores</w:t>
      </w:r>
      <w:r w:rsidRPr="004677B3">
        <w:rPr>
          <w:rFonts w:ascii="Arial" w:hAnsi="Arial" w:cs="Arial"/>
          <w:sz w:val="20"/>
          <w:szCs w:val="20"/>
        </w:rPr>
        <w:t>. USB 3.0, salida de audio, entrada para micrófono, ranuras para memorias flash SD y microSD, salida VGA y HDMI.</w:t>
      </w:r>
    </w:p>
    <w:p w14:paraId="706389F7" w14:textId="3696DC57" w:rsidR="00F20848" w:rsidRPr="004677B3" w:rsidRDefault="00F20848" w:rsidP="00F20848">
      <w:pPr>
        <w:ind w:left="1701"/>
        <w:rPr>
          <w:rFonts w:ascii="Arial" w:hAnsi="Arial" w:cs="Arial"/>
          <w:sz w:val="20"/>
          <w:szCs w:val="20"/>
        </w:rPr>
      </w:pPr>
      <w:r w:rsidRPr="004677B3">
        <w:rPr>
          <w:rFonts w:ascii="Arial" w:hAnsi="Arial" w:cs="Arial"/>
          <w:b/>
          <w:sz w:val="20"/>
          <w:szCs w:val="20"/>
        </w:rPr>
        <w:lastRenderedPageBreak/>
        <w:t>Sistema operativo</w:t>
      </w:r>
      <w:r w:rsidRPr="004677B3">
        <w:rPr>
          <w:rFonts w:ascii="Arial" w:hAnsi="Arial" w:cs="Arial"/>
          <w:sz w:val="20"/>
          <w:szCs w:val="20"/>
        </w:rPr>
        <w:t xml:space="preserve">. Windows </w:t>
      </w:r>
      <w:r w:rsidR="00325F12">
        <w:rPr>
          <w:rFonts w:ascii="Arial" w:hAnsi="Arial" w:cs="Arial"/>
          <w:sz w:val="20"/>
          <w:szCs w:val="20"/>
        </w:rPr>
        <w:t>10</w:t>
      </w:r>
      <w:r w:rsidR="00325F12" w:rsidRPr="004677B3">
        <w:rPr>
          <w:rFonts w:ascii="Arial" w:hAnsi="Arial" w:cs="Arial"/>
          <w:sz w:val="20"/>
          <w:szCs w:val="20"/>
        </w:rPr>
        <w:t xml:space="preserve"> </w:t>
      </w:r>
      <w:r w:rsidRPr="004677B3">
        <w:rPr>
          <w:rFonts w:ascii="Arial" w:hAnsi="Arial" w:cs="Arial"/>
          <w:sz w:val="20"/>
          <w:szCs w:val="20"/>
        </w:rPr>
        <w:t>Professional 64bits Español</w:t>
      </w:r>
    </w:p>
    <w:p w14:paraId="35B0C27D" w14:textId="6A255E13" w:rsidR="00F20848" w:rsidRPr="005A2FB0" w:rsidRDefault="00F20848" w:rsidP="00F20848">
      <w:pPr>
        <w:ind w:left="1701"/>
        <w:rPr>
          <w:rFonts w:ascii="Arial" w:hAnsi="Arial" w:cs="Arial"/>
          <w:sz w:val="20"/>
          <w:szCs w:val="20"/>
        </w:rPr>
      </w:pPr>
      <w:r w:rsidRPr="004677B3">
        <w:rPr>
          <w:rFonts w:ascii="Arial" w:hAnsi="Arial" w:cs="Arial"/>
          <w:b/>
          <w:sz w:val="20"/>
          <w:szCs w:val="20"/>
        </w:rPr>
        <w:t>Aplicación de oficina</w:t>
      </w:r>
      <w:r w:rsidRPr="004677B3">
        <w:rPr>
          <w:rFonts w:ascii="Arial" w:hAnsi="Arial" w:cs="Arial"/>
          <w:sz w:val="20"/>
          <w:szCs w:val="20"/>
        </w:rPr>
        <w:t xml:space="preserve">. </w:t>
      </w:r>
      <w:r w:rsidRPr="005A2FB0">
        <w:rPr>
          <w:rFonts w:ascii="Arial" w:hAnsi="Arial" w:cs="Arial"/>
          <w:sz w:val="20"/>
          <w:szCs w:val="20"/>
        </w:rPr>
        <w:t xml:space="preserve">Suite Microsoft Office </w:t>
      </w:r>
      <w:r w:rsidR="00325F12" w:rsidRPr="005A2FB0">
        <w:rPr>
          <w:rFonts w:ascii="Arial" w:hAnsi="Arial" w:cs="Arial"/>
          <w:sz w:val="20"/>
          <w:szCs w:val="20"/>
        </w:rPr>
        <w:t xml:space="preserve">2016 </w:t>
      </w:r>
      <w:r w:rsidRPr="005A2FB0">
        <w:rPr>
          <w:rFonts w:ascii="Arial" w:hAnsi="Arial" w:cs="Arial"/>
          <w:sz w:val="20"/>
          <w:szCs w:val="20"/>
        </w:rPr>
        <w:t>std Español</w:t>
      </w:r>
    </w:p>
    <w:p w14:paraId="592215B1" w14:textId="77777777" w:rsidR="00F20848" w:rsidRPr="0065709A" w:rsidRDefault="00F20848" w:rsidP="00F20848">
      <w:pPr>
        <w:ind w:left="1701"/>
        <w:rPr>
          <w:rFonts w:ascii="Arial" w:hAnsi="Arial" w:cs="Arial"/>
          <w:sz w:val="20"/>
          <w:szCs w:val="20"/>
          <w:lang w:val="en-US"/>
        </w:rPr>
      </w:pPr>
      <w:r w:rsidRPr="004677B3">
        <w:rPr>
          <w:rFonts w:ascii="Arial" w:hAnsi="Arial" w:cs="Arial"/>
          <w:b/>
          <w:sz w:val="20"/>
          <w:szCs w:val="20"/>
        </w:rPr>
        <w:t>Aplicación de seguridad</w:t>
      </w:r>
      <w:r w:rsidRPr="004677B3">
        <w:rPr>
          <w:rFonts w:ascii="Arial" w:hAnsi="Arial" w:cs="Arial"/>
          <w:sz w:val="20"/>
          <w:szCs w:val="20"/>
        </w:rPr>
        <w:t xml:space="preserve">. </w:t>
      </w:r>
      <w:r w:rsidRPr="00494389">
        <w:rPr>
          <w:rFonts w:ascii="Arial" w:hAnsi="Arial" w:cs="Arial"/>
          <w:sz w:val="20"/>
          <w:szCs w:val="20"/>
          <w:lang w:val="en-US"/>
        </w:rPr>
        <w:t>Eset Smart Security (o Kaspersky Internet Security o Bitdefender Internet Security) 2 años.</w:t>
      </w:r>
    </w:p>
    <w:p w14:paraId="0BA710CE"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Dispositivos</w:t>
      </w:r>
      <w:r w:rsidRPr="004677B3">
        <w:rPr>
          <w:rFonts w:ascii="Arial" w:hAnsi="Arial" w:cs="Arial"/>
          <w:sz w:val="20"/>
          <w:szCs w:val="20"/>
        </w:rPr>
        <w:t>. Teclado Español y Mouse inalámbrico o USB. Cámara Web con micrófono. Hub para USB. Pendrive flash de 8 GB. Candado de fijación de notebooks.</w:t>
      </w:r>
    </w:p>
    <w:p w14:paraId="233C58B9" w14:textId="77777777" w:rsidR="00F20848" w:rsidRPr="004677B3" w:rsidRDefault="00F20848" w:rsidP="00F20848">
      <w:pPr>
        <w:ind w:left="1701"/>
        <w:rPr>
          <w:rFonts w:ascii="Arial" w:hAnsi="Arial" w:cs="Arial"/>
          <w:sz w:val="20"/>
          <w:szCs w:val="20"/>
        </w:rPr>
      </w:pPr>
      <w:r w:rsidRPr="004677B3">
        <w:rPr>
          <w:rFonts w:ascii="Arial" w:hAnsi="Arial" w:cs="Arial"/>
          <w:b/>
          <w:sz w:val="20"/>
          <w:szCs w:val="20"/>
        </w:rPr>
        <w:t>Batería</w:t>
      </w:r>
      <w:r w:rsidRPr="004677B3">
        <w:rPr>
          <w:rFonts w:ascii="Arial" w:hAnsi="Arial" w:cs="Arial"/>
          <w:sz w:val="20"/>
          <w:szCs w:val="20"/>
        </w:rPr>
        <w:t>. 6 celdas.</w:t>
      </w:r>
    </w:p>
    <w:p w14:paraId="5D247949" w14:textId="77777777" w:rsidR="00F20848" w:rsidRPr="004677B3" w:rsidRDefault="00F20848" w:rsidP="009A58E0">
      <w:pPr>
        <w:pStyle w:val="NormalWeb"/>
        <w:numPr>
          <w:ilvl w:val="0"/>
          <w:numId w:val="74"/>
        </w:numPr>
        <w:tabs>
          <w:tab w:val="clear" w:pos="1778"/>
        </w:tabs>
        <w:spacing w:before="0" w:beforeAutospacing="0" w:after="0" w:afterAutospacing="0"/>
        <w:ind w:left="1701" w:hanging="284"/>
        <w:rPr>
          <w:rFonts w:ascii="Arial" w:hAnsi="Arial" w:cs="Arial"/>
          <w:sz w:val="20"/>
          <w:szCs w:val="20"/>
          <w:lang w:val="es-ES_tradnl"/>
        </w:rPr>
      </w:pPr>
      <w:r w:rsidRPr="004677B3">
        <w:rPr>
          <w:rFonts w:ascii="Arial" w:hAnsi="Arial" w:cs="Arial"/>
          <w:sz w:val="20"/>
          <w:szCs w:val="20"/>
          <w:lang w:val="es-ES_tradnl"/>
        </w:rPr>
        <w:t>Una (1) Impresora Laser/LED Color para Escritorio:</w:t>
      </w:r>
    </w:p>
    <w:p w14:paraId="5B4DDBAE" w14:textId="04ADA528"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r w:rsidRPr="004677B3">
        <w:rPr>
          <w:rFonts w:ascii="Arial" w:hAnsi="Arial" w:cs="Arial"/>
          <w:b/>
          <w:sz w:val="20"/>
          <w:szCs w:val="20"/>
          <w:lang w:val="es-ES_tradnl"/>
        </w:rPr>
        <w:t>velocidad negro mínima</w:t>
      </w:r>
      <w:r w:rsidR="00325F12">
        <w:rPr>
          <w:rFonts w:ascii="Arial" w:hAnsi="Arial" w:cs="Arial"/>
          <w:sz w:val="20"/>
          <w:szCs w:val="20"/>
          <w:lang w:val="es-ES_tradnl"/>
        </w:rPr>
        <w:t>: 12</w:t>
      </w:r>
      <w:r w:rsidRPr="004677B3">
        <w:rPr>
          <w:rFonts w:ascii="Arial" w:hAnsi="Arial" w:cs="Arial"/>
          <w:sz w:val="20"/>
          <w:szCs w:val="20"/>
          <w:lang w:val="es-ES_tradnl"/>
        </w:rPr>
        <w:t xml:space="preserve"> ppm en hoja A4;</w:t>
      </w:r>
    </w:p>
    <w:p w14:paraId="54F18D35" w14:textId="4CAB7D6B"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r w:rsidRPr="004677B3">
        <w:rPr>
          <w:rFonts w:ascii="Arial" w:hAnsi="Arial" w:cs="Arial"/>
          <w:b/>
          <w:sz w:val="20"/>
          <w:szCs w:val="20"/>
          <w:lang w:val="es-ES_tradnl"/>
        </w:rPr>
        <w:t>velocidad color mínima:</w:t>
      </w:r>
      <w:r w:rsidRPr="004677B3">
        <w:rPr>
          <w:rFonts w:ascii="Arial" w:hAnsi="Arial" w:cs="Arial"/>
          <w:sz w:val="20"/>
          <w:szCs w:val="20"/>
          <w:lang w:val="es-ES_tradnl"/>
        </w:rPr>
        <w:t xml:space="preserve">          </w:t>
      </w:r>
      <w:r w:rsidR="00325F12">
        <w:rPr>
          <w:rFonts w:ascii="Arial" w:hAnsi="Arial" w:cs="Arial"/>
          <w:sz w:val="20"/>
          <w:szCs w:val="20"/>
          <w:lang w:val="es-ES_tradnl"/>
        </w:rPr>
        <w:t>6</w:t>
      </w:r>
      <w:r w:rsidR="00325F12" w:rsidRPr="004677B3">
        <w:rPr>
          <w:rFonts w:ascii="Arial" w:hAnsi="Arial" w:cs="Arial"/>
          <w:sz w:val="20"/>
          <w:szCs w:val="20"/>
          <w:lang w:val="es-ES_tradnl"/>
        </w:rPr>
        <w:t xml:space="preserve"> </w:t>
      </w:r>
      <w:r w:rsidRPr="004677B3">
        <w:rPr>
          <w:rFonts w:ascii="Arial" w:hAnsi="Arial" w:cs="Arial"/>
          <w:sz w:val="20"/>
          <w:szCs w:val="20"/>
          <w:lang w:val="es-ES_tradnl"/>
        </w:rPr>
        <w:t>ppm en hoja A4;</w:t>
      </w:r>
      <w:r w:rsidRPr="004677B3">
        <w:rPr>
          <w:rFonts w:ascii="Arial" w:hAnsi="Arial" w:cs="Arial"/>
          <w:sz w:val="20"/>
          <w:szCs w:val="20"/>
          <w:lang w:val="es-ES_tradnl"/>
        </w:rPr>
        <w:br/>
      </w:r>
      <w:r w:rsidRPr="004677B3">
        <w:rPr>
          <w:rFonts w:ascii="Arial" w:hAnsi="Arial" w:cs="Arial"/>
          <w:b/>
          <w:sz w:val="20"/>
          <w:szCs w:val="20"/>
          <w:lang w:val="es-ES_tradnl"/>
        </w:rPr>
        <w:t>resolución: </w:t>
      </w:r>
      <w:r w:rsidRPr="004677B3">
        <w:rPr>
          <w:rFonts w:ascii="Arial" w:hAnsi="Arial" w:cs="Arial"/>
          <w:sz w:val="20"/>
          <w:szCs w:val="20"/>
          <w:lang w:val="es-ES_tradnl"/>
        </w:rPr>
        <w:t>                     600 x 600 ppp;</w:t>
      </w:r>
      <w:r w:rsidRPr="004677B3">
        <w:rPr>
          <w:rFonts w:ascii="Arial" w:hAnsi="Arial" w:cs="Arial"/>
          <w:sz w:val="20"/>
          <w:szCs w:val="20"/>
          <w:lang w:val="es-ES_tradnl"/>
        </w:rPr>
        <w:br/>
      </w:r>
      <w:r w:rsidRPr="004677B3">
        <w:rPr>
          <w:rFonts w:ascii="Arial" w:hAnsi="Arial" w:cs="Arial"/>
          <w:b/>
          <w:sz w:val="20"/>
          <w:szCs w:val="20"/>
          <w:lang w:val="es-ES_tradnl"/>
        </w:rPr>
        <w:t>memoria mínima</w:t>
      </w:r>
      <w:r w:rsidRPr="004677B3">
        <w:rPr>
          <w:rFonts w:ascii="Arial" w:hAnsi="Arial" w:cs="Arial"/>
          <w:sz w:val="20"/>
          <w:szCs w:val="20"/>
          <w:lang w:val="es-ES_tradnl"/>
        </w:rPr>
        <w:t>:                  16 MB;</w:t>
      </w:r>
      <w:r w:rsidRPr="004677B3">
        <w:rPr>
          <w:rFonts w:ascii="Arial" w:hAnsi="Arial" w:cs="Arial"/>
          <w:sz w:val="20"/>
          <w:szCs w:val="20"/>
          <w:lang w:val="es-ES_tradnl"/>
        </w:rPr>
        <w:br/>
      </w:r>
      <w:r w:rsidRPr="004677B3">
        <w:rPr>
          <w:rFonts w:ascii="Arial" w:hAnsi="Arial" w:cs="Arial"/>
          <w:b/>
          <w:sz w:val="20"/>
          <w:szCs w:val="20"/>
          <w:lang w:val="es-ES_tradnl"/>
        </w:rPr>
        <w:t>ciclo de motor mensual mínimo</w:t>
      </w:r>
      <w:r w:rsidRPr="004677B3">
        <w:rPr>
          <w:rFonts w:ascii="Arial" w:hAnsi="Arial" w:cs="Arial"/>
          <w:sz w:val="20"/>
          <w:szCs w:val="20"/>
          <w:lang w:val="es-ES_tradnl"/>
        </w:rPr>
        <w:t>:   10.000 hojas;</w:t>
      </w:r>
      <w:r w:rsidRPr="004677B3">
        <w:rPr>
          <w:rFonts w:ascii="Arial" w:hAnsi="Arial" w:cs="Arial"/>
          <w:sz w:val="20"/>
          <w:szCs w:val="20"/>
          <w:lang w:val="es-ES_tradnl"/>
        </w:rPr>
        <w:br/>
      </w:r>
      <w:r w:rsidRPr="004677B3">
        <w:rPr>
          <w:rFonts w:ascii="Arial" w:hAnsi="Arial" w:cs="Arial"/>
          <w:b/>
          <w:sz w:val="20"/>
          <w:szCs w:val="20"/>
          <w:lang w:val="es-ES_tradnl"/>
        </w:rPr>
        <w:t>rendimiento de toner</w:t>
      </w:r>
      <w:r w:rsidRPr="004677B3">
        <w:rPr>
          <w:rFonts w:ascii="Arial" w:hAnsi="Arial" w:cs="Arial"/>
          <w:sz w:val="20"/>
          <w:szCs w:val="20"/>
          <w:lang w:val="es-ES_tradnl"/>
        </w:rPr>
        <w:t>:            1000 hojas;</w:t>
      </w:r>
      <w:r w:rsidRPr="004677B3">
        <w:rPr>
          <w:rFonts w:ascii="Arial" w:hAnsi="Arial" w:cs="Arial"/>
          <w:sz w:val="20"/>
          <w:szCs w:val="20"/>
          <w:lang w:val="es-ES_tradnl"/>
        </w:rPr>
        <w:br/>
      </w:r>
      <w:r w:rsidRPr="004677B3">
        <w:rPr>
          <w:rFonts w:ascii="Arial" w:hAnsi="Arial" w:cs="Arial"/>
          <w:b/>
          <w:sz w:val="20"/>
          <w:szCs w:val="20"/>
          <w:lang w:val="es-ES_tradnl"/>
        </w:rPr>
        <w:t>tamaño de hojas</w:t>
      </w:r>
      <w:r w:rsidRPr="004677B3">
        <w:rPr>
          <w:rFonts w:ascii="Arial" w:hAnsi="Arial" w:cs="Arial"/>
          <w:sz w:val="20"/>
          <w:szCs w:val="20"/>
          <w:lang w:val="es-ES_tradnl"/>
        </w:rPr>
        <w:t>:                 A4, A5, legal, sobres, etiquetas;</w:t>
      </w:r>
      <w:r w:rsidRPr="004677B3">
        <w:rPr>
          <w:rFonts w:ascii="Arial" w:hAnsi="Arial" w:cs="Arial"/>
          <w:sz w:val="20"/>
          <w:szCs w:val="20"/>
          <w:lang w:val="es-ES_tradnl"/>
        </w:rPr>
        <w:br/>
      </w:r>
      <w:r w:rsidRPr="004677B3">
        <w:rPr>
          <w:rFonts w:ascii="Arial" w:hAnsi="Arial" w:cs="Arial"/>
          <w:b/>
          <w:sz w:val="20"/>
          <w:szCs w:val="20"/>
          <w:lang w:val="es-ES_tradnl"/>
        </w:rPr>
        <w:t>peso de hojas</w:t>
      </w:r>
      <w:r w:rsidRPr="004677B3">
        <w:rPr>
          <w:rFonts w:ascii="Arial" w:hAnsi="Arial" w:cs="Arial"/>
          <w:sz w:val="20"/>
          <w:szCs w:val="20"/>
          <w:lang w:val="es-ES_tradnl"/>
        </w:rPr>
        <w:t>:                   200 g/m2;</w:t>
      </w:r>
      <w:r w:rsidRPr="004677B3">
        <w:rPr>
          <w:rFonts w:ascii="Arial" w:hAnsi="Arial" w:cs="Arial"/>
          <w:sz w:val="20"/>
          <w:szCs w:val="20"/>
          <w:lang w:val="es-ES_tradnl"/>
        </w:rPr>
        <w:br/>
      </w:r>
      <w:r w:rsidRPr="004677B3">
        <w:rPr>
          <w:rFonts w:ascii="Arial" w:hAnsi="Arial" w:cs="Arial"/>
          <w:b/>
          <w:sz w:val="20"/>
          <w:szCs w:val="20"/>
          <w:lang w:val="es-ES_tradnl"/>
        </w:rPr>
        <w:lastRenderedPageBreak/>
        <w:t>conectividad:</w:t>
      </w:r>
      <w:r w:rsidRPr="004677B3">
        <w:rPr>
          <w:rFonts w:ascii="Arial" w:hAnsi="Arial" w:cs="Arial"/>
          <w:sz w:val="20"/>
          <w:szCs w:val="20"/>
          <w:lang w:val="es-ES_tradnl"/>
        </w:rPr>
        <w:t>                    USB 2.0;</w:t>
      </w:r>
      <w:r w:rsidRPr="004677B3">
        <w:rPr>
          <w:rFonts w:ascii="Arial" w:hAnsi="Arial" w:cs="Arial"/>
          <w:sz w:val="20"/>
          <w:szCs w:val="20"/>
          <w:lang w:val="es-ES_tradnl"/>
        </w:rPr>
        <w:br/>
      </w:r>
      <w:r w:rsidRPr="004677B3">
        <w:rPr>
          <w:rFonts w:ascii="Arial" w:hAnsi="Arial" w:cs="Arial"/>
          <w:b/>
          <w:sz w:val="20"/>
          <w:szCs w:val="20"/>
          <w:lang w:val="es-ES_tradnl"/>
        </w:rPr>
        <w:t>compatibilidad: </w:t>
      </w:r>
      <w:r w:rsidRPr="004677B3">
        <w:rPr>
          <w:rFonts w:ascii="Arial" w:hAnsi="Arial" w:cs="Arial"/>
          <w:sz w:val="20"/>
          <w:szCs w:val="20"/>
          <w:lang w:val="es-ES_tradnl"/>
        </w:rPr>
        <w:t xml:space="preserve">                 Windows </w:t>
      </w:r>
      <w:r w:rsidR="00325F12">
        <w:rPr>
          <w:rFonts w:ascii="Arial" w:hAnsi="Arial" w:cs="Arial"/>
          <w:sz w:val="20"/>
          <w:szCs w:val="20"/>
          <w:lang w:val="es-ES_tradnl"/>
        </w:rPr>
        <w:t>7</w:t>
      </w:r>
      <w:r w:rsidRPr="004677B3">
        <w:rPr>
          <w:rFonts w:ascii="Arial" w:hAnsi="Arial" w:cs="Arial"/>
          <w:sz w:val="20"/>
          <w:szCs w:val="20"/>
          <w:lang w:val="es-ES_tradnl"/>
        </w:rPr>
        <w:t xml:space="preserve">, Windows </w:t>
      </w:r>
      <w:r w:rsidR="00325F12">
        <w:rPr>
          <w:rFonts w:ascii="Arial" w:hAnsi="Arial" w:cs="Arial"/>
          <w:sz w:val="20"/>
          <w:szCs w:val="20"/>
          <w:lang w:val="es-ES_tradnl"/>
        </w:rPr>
        <w:t>10</w:t>
      </w:r>
      <w:r w:rsidRPr="004677B3">
        <w:rPr>
          <w:rFonts w:ascii="Arial" w:hAnsi="Arial" w:cs="Arial"/>
          <w:sz w:val="20"/>
          <w:szCs w:val="20"/>
          <w:lang w:val="es-ES_tradnl"/>
        </w:rPr>
        <w:t>;</w:t>
      </w:r>
      <w:r w:rsidRPr="004677B3">
        <w:rPr>
          <w:rFonts w:ascii="Arial" w:hAnsi="Arial" w:cs="Arial"/>
          <w:sz w:val="20"/>
          <w:szCs w:val="20"/>
          <w:lang w:val="es-ES_tradnl"/>
        </w:rPr>
        <w:br/>
      </w:r>
      <w:r w:rsidRPr="004677B3">
        <w:rPr>
          <w:rFonts w:ascii="Arial" w:hAnsi="Arial" w:cs="Arial"/>
          <w:b/>
          <w:sz w:val="20"/>
          <w:szCs w:val="20"/>
          <w:lang w:val="es-ES_tradnl"/>
        </w:rPr>
        <w:t>garantía mínima:</w:t>
      </w:r>
      <w:r w:rsidRPr="004677B3">
        <w:rPr>
          <w:rFonts w:ascii="Arial" w:hAnsi="Arial" w:cs="Arial"/>
          <w:sz w:val="20"/>
          <w:szCs w:val="20"/>
          <w:lang w:val="es-ES_tradnl"/>
        </w:rPr>
        <w:t>                 un año;</w:t>
      </w:r>
      <w:r w:rsidRPr="004677B3">
        <w:rPr>
          <w:rFonts w:ascii="Arial" w:hAnsi="Arial" w:cs="Arial"/>
          <w:sz w:val="20"/>
          <w:szCs w:val="20"/>
          <w:lang w:val="es-ES_tradnl"/>
        </w:rPr>
        <w:br/>
      </w:r>
      <w:r w:rsidRPr="004677B3">
        <w:rPr>
          <w:rFonts w:ascii="Arial" w:hAnsi="Arial" w:cs="Arial"/>
          <w:b/>
          <w:sz w:val="20"/>
          <w:szCs w:val="20"/>
          <w:lang w:val="es-ES_tradnl"/>
        </w:rPr>
        <w:t>tamaño del equipo</w:t>
      </w:r>
      <w:r w:rsidRPr="004677B3">
        <w:rPr>
          <w:rFonts w:ascii="Arial" w:hAnsi="Arial" w:cs="Arial"/>
          <w:sz w:val="20"/>
          <w:szCs w:val="20"/>
          <w:lang w:val="es-ES_tradnl"/>
        </w:rPr>
        <w:t>:               small footprint.</w:t>
      </w:r>
    </w:p>
    <w:p w14:paraId="51C312C7" w14:textId="77777777" w:rsidR="00F20848" w:rsidRPr="004677B3" w:rsidRDefault="00F20848" w:rsidP="00F20848">
      <w:pPr>
        <w:pStyle w:val="NormalWeb"/>
        <w:spacing w:before="0" w:beforeAutospacing="0" w:after="0" w:afterAutospacing="0"/>
        <w:ind w:left="1701"/>
        <w:rPr>
          <w:rFonts w:ascii="Arial" w:hAnsi="Arial" w:cs="Arial"/>
          <w:sz w:val="20"/>
          <w:szCs w:val="20"/>
          <w:lang w:val="es-ES_tradnl"/>
        </w:rPr>
      </w:pPr>
    </w:p>
    <w:p w14:paraId="43B4450B" w14:textId="77777777" w:rsidR="00F20848" w:rsidRPr="004677B3" w:rsidRDefault="00F20848" w:rsidP="009A58E0">
      <w:pPr>
        <w:numPr>
          <w:ilvl w:val="0"/>
          <w:numId w:val="75"/>
        </w:numPr>
        <w:tabs>
          <w:tab w:val="clear" w:pos="1778"/>
          <w:tab w:val="left" w:pos="130"/>
        </w:tabs>
        <w:spacing w:after="0" w:line="240" w:lineRule="auto"/>
        <w:ind w:left="1701" w:hanging="283"/>
        <w:jc w:val="both"/>
        <w:rPr>
          <w:rFonts w:ascii="Arial" w:hAnsi="Arial" w:cs="Arial"/>
          <w:sz w:val="20"/>
          <w:szCs w:val="20"/>
        </w:rPr>
      </w:pPr>
      <w:r w:rsidRPr="004677B3">
        <w:rPr>
          <w:rFonts w:ascii="Arial" w:hAnsi="Arial" w:cs="Arial"/>
          <w:sz w:val="20"/>
          <w:szCs w:val="20"/>
        </w:rPr>
        <w:t>Papelería en general.</w:t>
      </w:r>
    </w:p>
    <w:p w14:paraId="75C98E49" w14:textId="77777777" w:rsidR="00F20848" w:rsidRPr="004677B3" w:rsidRDefault="00F20848" w:rsidP="00F20848">
      <w:pPr>
        <w:tabs>
          <w:tab w:val="left" w:pos="130"/>
        </w:tabs>
        <w:ind w:left="1701"/>
        <w:jc w:val="both"/>
        <w:rPr>
          <w:rFonts w:ascii="Arial" w:hAnsi="Arial" w:cs="Arial"/>
          <w:sz w:val="20"/>
          <w:szCs w:val="20"/>
        </w:rPr>
      </w:pPr>
    </w:p>
    <w:p w14:paraId="506477CF" w14:textId="77777777" w:rsidR="00F20848" w:rsidRPr="004677B3" w:rsidRDefault="00F20848" w:rsidP="009A58E0">
      <w:pPr>
        <w:numPr>
          <w:ilvl w:val="0"/>
          <w:numId w:val="75"/>
        </w:numPr>
        <w:tabs>
          <w:tab w:val="clear" w:pos="1778"/>
        </w:tabs>
        <w:spacing w:after="0" w:line="240" w:lineRule="auto"/>
        <w:ind w:left="1701" w:hanging="283"/>
        <w:jc w:val="both"/>
        <w:rPr>
          <w:rFonts w:ascii="Arial" w:hAnsi="Arial" w:cs="Arial"/>
          <w:sz w:val="20"/>
          <w:szCs w:val="20"/>
        </w:rPr>
      </w:pPr>
      <w:r w:rsidRPr="004677B3">
        <w:rPr>
          <w:rFonts w:ascii="Arial" w:hAnsi="Arial" w:cs="Arial"/>
          <w:sz w:val="20"/>
          <w:szCs w:val="20"/>
        </w:rPr>
        <w:t>1 máquina fotográfica digital, con no menos de 12 Megapixeles (efectivos), y capacidad de almacenamiento de 4 Gb como mínimo. Cuando el Director de obra lo solicite, se realizarán impresiones color de buena calidad de las fotos que considere necesarias.</w:t>
      </w:r>
    </w:p>
    <w:p w14:paraId="3955329E" w14:textId="77777777" w:rsidR="00F20848" w:rsidRPr="004677B3" w:rsidRDefault="00F20848" w:rsidP="00F20848">
      <w:pPr>
        <w:ind w:left="1418"/>
        <w:jc w:val="both"/>
        <w:rPr>
          <w:rFonts w:ascii="Arial" w:hAnsi="Arial" w:cs="Arial"/>
          <w:sz w:val="20"/>
          <w:szCs w:val="20"/>
        </w:rPr>
      </w:pPr>
      <w:r w:rsidRPr="004677B3">
        <w:rPr>
          <w:rFonts w:ascii="Arial" w:hAnsi="Arial" w:cs="Arial"/>
          <w:sz w:val="20"/>
          <w:szCs w:val="20"/>
        </w:rPr>
        <w:t>Equipo de comunicaciones:</w:t>
      </w:r>
    </w:p>
    <w:p w14:paraId="148398E4" w14:textId="6AD00F8C" w:rsidR="00F20848" w:rsidRPr="004677B3" w:rsidRDefault="00F20848" w:rsidP="009A58E0">
      <w:pPr>
        <w:pStyle w:val="Prrafodelista"/>
        <w:keepNext/>
        <w:numPr>
          <w:ilvl w:val="0"/>
          <w:numId w:val="75"/>
        </w:numPr>
        <w:tabs>
          <w:tab w:val="left" w:pos="-1440"/>
        </w:tabs>
        <w:spacing w:before="240" w:after="120"/>
        <w:jc w:val="both"/>
        <w:rPr>
          <w:rFonts w:ascii="Arial" w:hAnsi="Arial" w:cs="Arial"/>
          <w:b/>
          <w:bCs/>
          <w:sz w:val="20"/>
          <w:szCs w:val="20"/>
        </w:rPr>
      </w:pPr>
      <w:r w:rsidRPr="004677B3">
        <w:rPr>
          <w:rFonts w:ascii="Arial" w:hAnsi="Arial" w:cs="Arial"/>
          <w:sz w:val="20"/>
          <w:szCs w:val="20"/>
        </w:rPr>
        <w:t>El Contratista deberá suministrar teléfono celular</w:t>
      </w:r>
      <w:r w:rsidR="00325F12">
        <w:rPr>
          <w:rFonts w:ascii="Arial" w:hAnsi="Arial" w:cs="Arial"/>
          <w:sz w:val="20"/>
          <w:szCs w:val="20"/>
        </w:rPr>
        <w:t xml:space="preserve"> inteligente</w:t>
      </w:r>
      <w:r w:rsidRPr="004677B3">
        <w:rPr>
          <w:rFonts w:ascii="Arial" w:hAnsi="Arial" w:cs="Arial"/>
          <w:sz w:val="20"/>
          <w:szCs w:val="20"/>
        </w:rPr>
        <w:t xml:space="preserve"> con </w:t>
      </w:r>
      <w:r w:rsidR="00325F12">
        <w:rPr>
          <w:rFonts w:ascii="Arial" w:hAnsi="Arial" w:cs="Arial"/>
          <w:sz w:val="20"/>
          <w:szCs w:val="20"/>
        </w:rPr>
        <w:t xml:space="preserve">plan de datos libre y </w:t>
      </w:r>
      <w:r w:rsidRPr="004677B3">
        <w:rPr>
          <w:rFonts w:ascii="Arial" w:hAnsi="Arial" w:cs="Arial"/>
          <w:sz w:val="20"/>
          <w:szCs w:val="20"/>
        </w:rPr>
        <w:t>gasto equivalente a U$S 200 por mes.</w:t>
      </w:r>
    </w:p>
    <w:p w14:paraId="178D0CDE" w14:textId="77777777" w:rsidR="00A3029F" w:rsidRPr="00A80C2B" w:rsidRDefault="00A3029F" w:rsidP="00A80C2B">
      <w:pPr>
        <w:tabs>
          <w:tab w:val="num" w:pos="480"/>
        </w:tabs>
        <w:spacing w:before="120" w:after="120"/>
        <w:jc w:val="both"/>
        <w:rPr>
          <w:rFonts w:ascii="Arial" w:hAnsi="Arial" w:cs="Arial"/>
          <w:sz w:val="20"/>
          <w:szCs w:val="20"/>
          <w:lang w:val="es-ES_tradnl"/>
        </w:rPr>
      </w:pPr>
      <w:r w:rsidRPr="00A80C2B">
        <w:rPr>
          <w:rFonts w:ascii="Arial" w:hAnsi="Arial" w:cs="Arial"/>
          <w:b/>
          <w:bCs/>
          <w:sz w:val="20"/>
          <w:szCs w:val="20"/>
          <w:lang w:val="es-ES_tradnl"/>
        </w:rPr>
        <w:t>Tester de potencia o analizador</w:t>
      </w:r>
      <w:r w:rsidRPr="00A80C2B">
        <w:rPr>
          <w:rFonts w:ascii="Arial" w:hAnsi="Arial" w:cs="Arial"/>
          <w:sz w:val="20"/>
          <w:szCs w:val="20"/>
          <w:lang w:val="es-ES_tradnl"/>
        </w:rPr>
        <w:t xml:space="preserve"> de calidad del suministro de energía eléctrica conforme a los estándares de las normas IEEE1159 y EN50160 el que permita: realizar las siguientes mediciones: en líneas monofásicas – dos conductores, líneas trifásicas – tres conductores y líneas trifásicas cuatro conductores.</w:t>
      </w:r>
    </w:p>
    <w:p w14:paraId="1933504E"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lastRenderedPageBreak/>
        <w:t xml:space="preserve">de voltaje en cuatro canales de 0 a 600 Volts con una precisión en AC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 resistencia de entrada mínima de 4M</w:t>
      </w:r>
      <w:r w:rsidRPr="00A80C2B">
        <w:rPr>
          <w:rFonts w:ascii="Arial" w:hAnsi="Arial" w:cs="Arial"/>
          <w:sz w:val="20"/>
          <w:szCs w:val="20"/>
          <w:lang w:val="es-ES_tradnl"/>
        </w:rPr>
        <w:sym w:font="Symbol" w:char="F057"/>
      </w:r>
      <w:r w:rsidRPr="00A80C2B">
        <w:rPr>
          <w:rFonts w:ascii="Arial" w:hAnsi="Arial" w:cs="Arial"/>
          <w:sz w:val="20"/>
          <w:szCs w:val="20"/>
          <w:lang w:val="es-ES_tradnl"/>
        </w:rPr>
        <w:sym w:font="Symbol" w:char="F0B1"/>
      </w:r>
      <w:r w:rsidRPr="00A80C2B">
        <w:rPr>
          <w:rFonts w:ascii="Arial" w:hAnsi="Arial" w:cs="Arial"/>
          <w:sz w:val="20"/>
          <w:szCs w:val="20"/>
          <w:lang w:val="es-ES_tradnl"/>
        </w:rPr>
        <w:t>10%.</w:t>
      </w:r>
    </w:p>
    <w:p w14:paraId="609C87E4"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de corriente en cuatro canales de 0 a 500 Amper con una precisión en AC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0.11 % límite superior de la lectura (para el conjunto instrumento más la pinza), resistencia de entrada mínima de 200 K</w:t>
      </w:r>
      <w:r w:rsidRPr="00A80C2B">
        <w:rPr>
          <w:rFonts w:ascii="Arial" w:hAnsi="Arial" w:cs="Arial"/>
          <w:sz w:val="20"/>
          <w:szCs w:val="20"/>
          <w:lang w:val="es-ES_tradnl"/>
        </w:rPr>
        <w:sym w:font="Symbol" w:char="F057"/>
      </w:r>
      <w:r w:rsidRPr="00A80C2B">
        <w:rPr>
          <w:rFonts w:ascii="Arial" w:hAnsi="Arial" w:cs="Arial"/>
          <w:sz w:val="20"/>
          <w:szCs w:val="20"/>
          <w:lang w:val="es-ES_tradnl"/>
        </w:rPr>
        <w:sym w:font="Symbol" w:char="F0B1"/>
      </w:r>
      <w:r w:rsidRPr="00A80C2B">
        <w:rPr>
          <w:rFonts w:ascii="Arial" w:hAnsi="Arial" w:cs="Arial"/>
          <w:sz w:val="20"/>
          <w:szCs w:val="20"/>
          <w:lang w:val="es-ES_tradnl"/>
        </w:rPr>
        <w:t>10%.</w:t>
      </w:r>
    </w:p>
    <w:p w14:paraId="70162193"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Sobre voltaje transitorio hasta 2000 Vpp mínima duración detéctable 0.5</w:t>
      </w:r>
      <w:r w:rsidRPr="00A80C2B">
        <w:rPr>
          <w:rFonts w:ascii="Arial" w:hAnsi="Arial" w:cs="Arial"/>
          <w:sz w:val="20"/>
          <w:szCs w:val="20"/>
          <w:lang w:val="es-ES_tradnl"/>
        </w:rPr>
        <w:t></w:t>
      </w:r>
      <w:r w:rsidRPr="00A80C2B">
        <w:rPr>
          <w:rFonts w:ascii="Arial" w:hAnsi="Arial" w:cs="Arial"/>
          <w:sz w:val="20"/>
          <w:szCs w:val="20"/>
          <w:lang w:val="es-ES_tradnl"/>
        </w:rPr>
        <w:t>s.</w:t>
      </w:r>
    </w:p>
    <w:p w14:paraId="1C12E5E3"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Fluctuaciones de voltaje (RMS, dip, swell y flicker IEC / </w:t>
      </w:r>
      <w:r w:rsidRPr="00A80C2B">
        <w:rPr>
          <w:rFonts w:ascii="Arial" w:hAnsi="Arial" w:cs="Arial"/>
          <w:sz w:val="20"/>
          <w:szCs w:val="20"/>
          <w:lang w:val="es-ES_tradnl"/>
        </w:rPr>
        <w:t xml:space="preserve">V10) con una precisión en RMS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 y de </w:t>
      </w:r>
      <w:r w:rsidRPr="00A80C2B">
        <w:rPr>
          <w:rFonts w:ascii="Arial" w:hAnsi="Arial" w:cs="Arial"/>
          <w:sz w:val="20"/>
          <w:szCs w:val="20"/>
          <w:lang w:val="es-ES_tradnl"/>
        </w:rPr>
        <w:sym w:font="Symbol" w:char="F0B1"/>
      </w:r>
      <w:r w:rsidRPr="00A80C2B">
        <w:rPr>
          <w:rFonts w:ascii="Arial" w:hAnsi="Arial" w:cs="Arial"/>
          <w:sz w:val="20"/>
          <w:szCs w:val="20"/>
          <w:lang w:val="es-ES_tradnl"/>
        </w:rPr>
        <w:t>2% de la lectura para flicker.</w:t>
      </w:r>
    </w:p>
    <w:p w14:paraId="1C09F515"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Frecuencia entre 40 y 70 Hz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10 mHz.</w:t>
      </w:r>
    </w:p>
    <w:p w14:paraId="450BE246"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Potencia Activa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0.2%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0.1 % límite superior de la lectura</w:t>
      </w:r>
    </w:p>
    <w:p w14:paraId="73F46162"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Potencia Reactiva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 de cada valor calculado.</w:t>
      </w:r>
    </w:p>
    <w:p w14:paraId="0148D129"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Factor de Potencia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 de cada valor calculado.</w:t>
      </w:r>
    </w:p>
    <w:p w14:paraId="618CBC61"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lastRenderedPageBreak/>
        <w:t xml:space="preserve">Desplazamiento del Factor de Potencia –1000 a 0.000 a +1.000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0.2 % </w:t>
      </w:r>
      <w:r w:rsidR="00120471" w:rsidRPr="00A80C2B">
        <w:rPr>
          <w:rFonts w:ascii="Arial" w:hAnsi="Arial" w:cs="Arial"/>
          <w:sz w:val="20"/>
          <w:szCs w:val="20"/>
          <w:lang w:val="es-ES_tradnl"/>
        </w:rPr>
        <w:t>límite</w:t>
      </w:r>
      <w:r w:rsidRPr="00A80C2B">
        <w:rPr>
          <w:rFonts w:ascii="Arial" w:hAnsi="Arial" w:cs="Arial"/>
          <w:sz w:val="20"/>
          <w:szCs w:val="20"/>
          <w:lang w:val="es-ES_tradnl"/>
        </w:rPr>
        <w:t xml:space="preserve"> superior 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1digito.</w:t>
      </w:r>
      <w:r w:rsidR="00B14DCC" w:rsidRPr="00A80C2B">
        <w:rPr>
          <w:rFonts w:ascii="Arial" w:hAnsi="Arial" w:cs="Arial"/>
          <w:sz w:val="20"/>
          <w:szCs w:val="20"/>
          <w:lang w:val="es-ES_tradnl"/>
        </w:rPr>
        <w:t xml:space="preserve"> </w:t>
      </w:r>
    </w:p>
    <w:p w14:paraId="6F23AEB4"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Factor de balance para Voltaje y Corriente.</w:t>
      </w:r>
    </w:p>
    <w:p w14:paraId="46F2100C" w14:textId="77777777" w:rsidR="00A3029F" w:rsidRPr="00A80C2B" w:rsidRDefault="00A3029F" w:rsidP="009A58E0">
      <w:pPr>
        <w:numPr>
          <w:ilvl w:val="0"/>
          <w:numId w:val="75"/>
        </w:numPr>
        <w:tabs>
          <w:tab w:val="num" w:pos="480"/>
        </w:tabs>
        <w:autoSpaceDE w:val="0"/>
        <w:autoSpaceDN w:val="0"/>
        <w:spacing w:before="120" w:after="120"/>
        <w:ind w:left="0" w:firstLine="0"/>
        <w:rPr>
          <w:rFonts w:ascii="Arial" w:hAnsi="Arial" w:cs="Arial"/>
          <w:sz w:val="20"/>
          <w:szCs w:val="20"/>
          <w:lang w:val="es-ES_tradnl"/>
        </w:rPr>
      </w:pPr>
      <w:r w:rsidRPr="00A80C2B">
        <w:rPr>
          <w:rFonts w:ascii="Arial" w:hAnsi="Arial" w:cs="Arial"/>
          <w:sz w:val="20"/>
          <w:szCs w:val="20"/>
          <w:lang w:val="es-ES_tradnl"/>
        </w:rPr>
        <w:t xml:space="preserve">Harmónicas Voltaje, Corriente y Potencia entre la 1ª y la 50ª con una precisión de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0.5% a </w:t>
      </w:r>
      <w:r w:rsidRPr="00A80C2B">
        <w:rPr>
          <w:rFonts w:ascii="Arial" w:hAnsi="Arial" w:cs="Arial"/>
          <w:sz w:val="20"/>
          <w:szCs w:val="20"/>
          <w:lang w:val="es-ES_tradnl"/>
        </w:rPr>
        <w:sym w:font="Symbol" w:char="F0B1"/>
      </w:r>
      <w:r w:rsidRPr="00A80C2B">
        <w:rPr>
          <w:rFonts w:ascii="Arial" w:hAnsi="Arial" w:cs="Arial"/>
          <w:sz w:val="20"/>
          <w:szCs w:val="20"/>
          <w:lang w:val="es-ES_tradnl"/>
        </w:rPr>
        <w:t>1%</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 xml:space="preserve">de la lectura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0.2 % a </w:t>
      </w:r>
      <w:r w:rsidRPr="00A80C2B">
        <w:rPr>
          <w:rFonts w:ascii="Arial" w:hAnsi="Arial" w:cs="Arial"/>
          <w:sz w:val="20"/>
          <w:szCs w:val="20"/>
          <w:lang w:val="es-ES_tradnl"/>
        </w:rPr>
        <w:sym w:font="Symbol" w:char="F0B1"/>
      </w:r>
      <w:r w:rsidRPr="00A80C2B">
        <w:rPr>
          <w:rFonts w:ascii="Arial" w:hAnsi="Arial" w:cs="Arial"/>
          <w:sz w:val="20"/>
          <w:szCs w:val="20"/>
          <w:lang w:val="es-ES_tradnl"/>
        </w:rPr>
        <w:t xml:space="preserve"> 0.3 % </w:t>
      </w:r>
      <w:r w:rsidR="00120471" w:rsidRPr="00A80C2B">
        <w:rPr>
          <w:rFonts w:ascii="Arial" w:hAnsi="Arial" w:cs="Arial"/>
          <w:sz w:val="20"/>
          <w:szCs w:val="20"/>
          <w:lang w:val="es-ES_tradnl"/>
        </w:rPr>
        <w:t>límite</w:t>
      </w:r>
      <w:r w:rsidRPr="00A80C2B">
        <w:rPr>
          <w:rFonts w:ascii="Arial" w:hAnsi="Arial" w:cs="Arial"/>
          <w:sz w:val="20"/>
          <w:szCs w:val="20"/>
          <w:lang w:val="es-ES_tradnl"/>
        </w:rPr>
        <w:t xml:space="preserve"> superior de la lectura.</w:t>
      </w:r>
    </w:p>
    <w:p w14:paraId="4F5E827C"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b/>
          <w:bCs/>
          <w:sz w:val="20"/>
          <w:szCs w:val="20"/>
          <w:lang w:val="es-ES_tradnl"/>
        </w:rPr>
        <w:t>Megohmetro</w:t>
      </w:r>
      <w:r w:rsidRPr="00A80C2B">
        <w:rPr>
          <w:rFonts w:ascii="Arial" w:hAnsi="Arial" w:cs="Arial"/>
          <w:sz w:val="20"/>
          <w:szCs w:val="20"/>
          <w:lang w:val="es-ES_tradnl"/>
        </w:rPr>
        <w:t>-Rango de prueba de 0.01MΩ a 10GΩ</w:t>
      </w:r>
    </w:p>
    <w:p w14:paraId="77C0BEFD"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Tensiones de prueba de aislamiento: 50V,</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100V, 250V, 500V. 1000V</w:t>
      </w:r>
    </w:p>
    <w:p w14:paraId="386BD7FD"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CAA / CC de 0.1V a 600V</w:t>
      </w:r>
    </w:p>
    <w:p w14:paraId="1C49C3ED"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Continuidad 200mA</w:t>
      </w:r>
    </w:p>
    <w:p w14:paraId="54EE2BB8"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Resistencia de 0.01 Ω a 20.00 kΩ</w:t>
      </w:r>
    </w:p>
    <w:p w14:paraId="50101CC4"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b/>
          <w:bCs/>
          <w:sz w:val="20"/>
          <w:szCs w:val="20"/>
          <w:lang w:val="es-ES_tradnl"/>
        </w:rPr>
        <w:t>Telurómetro</w:t>
      </w:r>
      <w:r w:rsidRPr="00A80C2B">
        <w:rPr>
          <w:rFonts w:ascii="Arial" w:hAnsi="Arial" w:cs="Arial"/>
          <w:sz w:val="20"/>
          <w:szCs w:val="20"/>
          <w:lang w:val="es-ES_tradnl"/>
        </w:rPr>
        <w:t>:</w:t>
      </w:r>
      <w:r w:rsidRPr="00A80C2B">
        <w:rPr>
          <w:rFonts w:ascii="Arial" w:hAnsi="Arial" w:cs="Arial"/>
          <w:sz w:val="20"/>
          <w:szCs w:val="20"/>
          <w:lang w:val="es-ES_tradnl"/>
        </w:rPr>
        <w:tab/>
        <w:t>Resistencia de continuidad 20 Ω</w:t>
      </w:r>
      <w:r w:rsidR="00B14DCC" w:rsidRPr="00A80C2B">
        <w:rPr>
          <w:rFonts w:ascii="Arial" w:hAnsi="Arial" w:cs="Arial"/>
          <w:sz w:val="20"/>
          <w:szCs w:val="20"/>
          <w:lang w:val="es-ES_tradnl"/>
        </w:rPr>
        <w:t xml:space="preserve"> </w:t>
      </w:r>
      <w:r w:rsidRPr="00A80C2B">
        <w:rPr>
          <w:rFonts w:ascii="Arial" w:hAnsi="Arial" w:cs="Arial"/>
          <w:sz w:val="20"/>
          <w:szCs w:val="20"/>
          <w:lang w:val="es-ES_tradnl"/>
        </w:rPr>
        <w:t>2000 Ω</w:t>
      </w:r>
    </w:p>
    <w:p w14:paraId="152C6CC3"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de Categoría de Seguridad 300 V, 500 V</w:t>
      </w:r>
    </w:p>
    <w:p w14:paraId="64553B58"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Tensión de Prueba de Aislamiento: 100V, 1000V, 250V, 50V, 500V</w:t>
      </w:r>
    </w:p>
    <w:p w14:paraId="34D29C40" w14:textId="77777777" w:rsidR="00A3029F" w:rsidRPr="00A80C2B" w:rsidRDefault="00A3029F" w:rsidP="00A80C2B">
      <w:pPr>
        <w:tabs>
          <w:tab w:val="num" w:pos="480"/>
        </w:tabs>
        <w:spacing w:before="120" w:after="120"/>
        <w:rPr>
          <w:rFonts w:ascii="Arial" w:hAnsi="Arial" w:cs="Arial"/>
          <w:sz w:val="20"/>
          <w:szCs w:val="20"/>
          <w:lang w:val="pt-BR"/>
        </w:rPr>
      </w:pPr>
      <w:r w:rsidRPr="00A80C2B">
        <w:rPr>
          <w:rFonts w:ascii="Arial" w:hAnsi="Arial" w:cs="Arial"/>
          <w:b/>
          <w:bCs/>
          <w:sz w:val="20"/>
          <w:szCs w:val="20"/>
          <w:lang w:val="pt-BR"/>
        </w:rPr>
        <w:t>Medidor de espesores</w:t>
      </w:r>
      <w:r w:rsidRPr="00A80C2B">
        <w:rPr>
          <w:rFonts w:ascii="Arial" w:hAnsi="Arial" w:cs="Arial"/>
          <w:sz w:val="20"/>
          <w:szCs w:val="20"/>
          <w:lang w:val="pt-BR"/>
        </w:rPr>
        <w:t>: micrómetro</w:t>
      </w:r>
    </w:p>
    <w:p w14:paraId="0EC111B4" w14:textId="77777777" w:rsidR="00A3029F" w:rsidRPr="00A80C2B" w:rsidRDefault="00A3029F" w:rsidP="00A80C2B">
      <w:pPr>
        <w:tabs>
          <w:tab w:val="num" w:pos="480"/>
        </w:tabs>
        <w:spacing w:before="120" w:after="120"/>
        <w:rPr>
          <w:rFonts w:ascii="Arial" w:hAnsi="Arial" w:cs="Arial"/>
          <w:sz w:val="20"/>
          <w:szCs w:val="20"/>
          <w:lang w:val="pt-BR"/>
        </w:rPr>
      </w:pPr>
      <w:r w:rsidRPr="00A80C2B">
        <w:rPr>
          <w:rFonts w:ascii="Arial" w:hAnsi="Arial" w:cs="Arial"/>
          <w:b/>
          <w:bCs/>
          <w:sz w:val="20"/>
          <w:szCs w:val="20"/>
          <w:lang w:val="pt-BR"/>
        </w:rPr>
        <w:t>Luxómetro</w:t>
      </w:r>
      <w:r w:rsidRPr="00A80C2B">
        <w:rPr>
          <w:rFonts w:ascii="Arial" w:hAnsi="Arial" w:cs="Arial"/>
          <w:sz w:val="20"/>
          <w:szCs w:val="20"/>
          <w:lang w:val="pt-BR"/>
        </w:rPr>
        <w:t xml:space="preserve">: </w:t>
      </w:r>
      <w:r w:rsidRPr="00A80C2B">
        <w:rPr>
          <w:rFonts w:ascii="Arial" w:hAnsi="Arial" w:cs="Arial"/>
          <w:sz w:val="20"/>
          <w:szCs w:val="20"/>
          <w:lang w:val="pt-BR"/>
        </w:rPr>
        <w:tab/>
        <w:t>Rango mínimo 0.01lx</w:t>
      </w:r>
    </w:p>
    <w:p w14:paraId="1FD0E0B0"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pt-BR"/>
        </w:rPr>
        <w:lastRenderedPageBreak/>
        <w:tab/>
      </w:r>
      <w:r w:rsidRPr="00A80C2B">
        <w:rPr>
          <w:rFonts w:ascii="Arial" w:hAnsi="Arial" w:cs="Arial"/>
          <w:sz w:val="20"/>
          <w:szCs w:val="20"/>
          <w:lang w:val="pt-BR"/>
        </w:rPr>
        <w:tab/>
      </w:r>
      <w:r w:rsidRPr="00A80C2B">
        <w:rPr>
          <w:rFonts w:ascii="Arial" w:hAnsi="Arial" w:cs="Arial"/>
          <w:sz w:val="20"/>
          <w:szCs w:val="20"/>
          <w:lang w:val="pt-BR"/>
        </w:rPr>
        <w:tab/>
      </w:r>
      <w:r w:rsidRPr="00A80C2B">
        <w:rPr>
          <w:rFonts w:ascii="Arial" w:hAnsi="Arial" w:cs="Arial"/>
          <w:sz w:val="20"/>
          <w:szCs w:val="20"/>
          <w:lang w:val="es-ES_tradnl"/>
        </w:rPr>
        <w:t xml:space="preserve">Fuentes: </w:t>
      </w:r>
      <w:r w:rsidRPr="00A80C2B">
        <w:rPr>
          <w:rFonts w:ascii="Arial" w:hAnsi="Arial" w:cs="Arial"/>
          <w:sz w:val="20"/>
          <w:szCs w:val="20"/>
          <w:lang w:val="es-ES_tradnl"/>
        </w:rPr>
        <w:tab/>
        <w:t>Lámparas SAP</w:t>
      </w:r>
    </w:p>
    <w:p w14:paraId="2B487F8E" w14:textId="77777777" w:rsidR="00A3029F" w:rsidRPr="00A80C2B" w:rsidRDefault="00A3029F" w:rsidP="00A80C2B">
      <w:pPr>
        <w:tabs>
          <w:tab w:val="num" w:pos="480"/>
        </w:tabs>
        <w:spacing w:before="120" w:after="120"/>
        <w:rPr>
          <w:rFonts w:ascii="Arial" w:hAnsi="Arial" w:cs="Arial"/>
          <w:sz w:val="20"/>
          <w:szCs w:val="20"/>
          <w:lang w:val="es-ES_tradnl"/>
        </w:rPr>
      </w:pP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r>
      <w:r w:rsidRPr="00A80C2B">
        <w:rPr>
          <w:rFonts w:ascii="Arial" w:hAnsi="Arial" w:cs="Arial"/>
          <w:sz w:val="20"/>
          <w:szCs w:val="20"/>
          <w:lang w:val="es-ES_tradnl"/>
        </w:rPr>
        <w:tab/>
        <w:t>LED’S</w:t>
      </w:r>
    </w:p>
    <w:p w14:paraId="1752263B" w14:textId="77777777" w:rsidR="00A80C2B" w:rsidRDefault="00A80C2B">
      <w:pPr>
        <w:spacing w:after="0" w:line="240" w:lineRule="auto"/>
        <w:rPr>
          <w:rFonts w:ascii="Arial" w:eastAsia="Calibri" w:hAnsi="Arial" w:cs="Arial"/>
          <w:b/>
          <w:bCs/>
          <w:lang w:val="es-ES_tradnl" w:eastAsia="es-ES"/>
        </w:rPr>
      </w:pPr>
      <w:bookmarkStart w:id="1712" w:name="_Toc340671995"/>
      <w:bookmarkStart w:id="1713" w:name="_Toc340677457"/>
      <w:bookmarkStart w:id="1714" w:name="_Toc400622379"/>
      <w:bookmarkStart w:id="1715" w:name="_Toc400629218"/>
      <w:bookmarkStart w:id="1716" w:name="_Toc400634201"/>
      <w:bookmarkStart w:id="1717" w:name="_Toc400635335"/>
      <w:bookmarkStart w:id="1718" w:name="A_18"/>
      <w:r>
        <w:br w:type="page"/>
      </w:r>
    </w:p>
    <w:p w14:paraId="45916F63" w14:textId="77777777" w:rsidR="00A3029F" w:rsidRPr="00C44F63" w:rsidRDefault="00A3029F" w:rsidP="000C5D02">
      <w:pPr>
        <w:pStyle w:val="T0"/>
        <w:outlineLvl w:val="0"/>
      </w:pPr>
      <w:bookmarkStart w:id="1719" w:name="_Toc468288103"/>
      <w:bookmarkStart w:id="1720" w:name="_Toc496266696"/>
      <w:r w:rsidRPr="00C44F63">
        <w:lastRenderedPageBreak/>
        <w:t>ANEXO XVII</w:t>
      </w:r>
      <w:r>
        <w:t>:</w:t>
      </w:r>
      <w:r w:rsidRPr="00C44F63">
        <w:t xml:space="preserve"> MODELO DE CONTRATO</w:t>
      </w:r>
      <w:bookmarkEnd w:id="1712"/>
      <w:bookmarkEnd w:id="1713"/>
      <w:bookmarkEnd w:id="1714"/>
      <w:bookmarkEnd w:id="1715"/>
      <w:bookmarkEnd w:id="1716"/>
      <w:bookmarkEnd w:id="1717"/>
      <w:bookmarkEnd w:id="1719"/>
      <w:bookmarkEnd w:id="1720"/>
    </w:p>
    <w:bookmarkEnd w:id="1718"/>
    <w:p w14:paraId="776B0D84"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sz w:val="20"/>
          <w:szCs w:val="20"/>
        </w:rPr>
        <w:t>En la ciudad de Montevideo, el día ……de …..de 20..</w:t>
      </w:r>
      <w:r w:rsidR="00B14DCC">
        <w:rPr>
          <w:rFonts w:ascii="Arial" w:hAnsi="Arial" w:cs="Arial"/>
          <w:sz w:val="20"/>
          <w:szCs w:val="20"/>
        </w:rPr>
        <w:t xml:space="preserve"> </w:t>
      </w:r>
      <w:r w:rsidRPr="00260014">
        <w:rPr>
          <w:rFonts w:ascii="Arial" w:hAnsi="Arial" w:cs="Arial"/>
          <w:b/>
          <w:bCs/>
          <w:sz w:val="20"/>
          <w:szCs w:val="20"/>
        </w:rPr>
        <w:t>POR UNA PARTE</w:t>
      </w:r>
      <w:r w:rsidRPr="00260014">
        <w:rPr>
          <w:rFonts w:ascii="Arial" w:hAnsi="Arial" w:cs="Arial"/>
          <w:sz w:val="20"/>
          <w:szCs w:val="20"/>
        </w:rPr>
        <w:t>: El Sr.</w:t>
      </w:r>
      <w:r w:rsidR="00B14DCC">
        <w:rPr>
          <w:rFonts w:ascii="Arial" w:hAnsi="Arial" w:cs="Arial"/>
          <w:sz w:val="20"/>
          <w:szCs w:val="20"/>
        </w:rPr>
        <w:t xml:space="preserve"> </w:t>
      </w:r>
      <w:r w:rsidRPr="00260014">
        <w:rPr>
          <w:rFonts w:ascii="Arial" w:hAnsi="Arial" w:cs="Arial"/>
          <w:sz w:val="20"/>
          <w:szCs w:val="20"/>
        </w:rPr>
        <w:t>…….,</w:t>
      </w:r>
      <w:r w:rsidRPr="00260014">
        <w:rPr>
          <w:rFonts w:ascii="Arial" w:hAnsi="Arial" w:cs="Arial"/>
          <w:snapToGrid w:val="0"/>
          <w:sz w:val="20"/>
          <w:szCs w:val="20"/>
        </w:rPr>
        <w:t xml:space="preserve"> titular de la cédula de identidad Nº</w:t>
      </w:r>
      <w:r w:rsidR="00B14DCC">
        <w:rPr>
          <w:rFonts w:ascii="Arial" w:hAnsi="Arial" w:cs="Arial"/>
          <w:snapToGrid w:val="0"/>
          <w:sz w:val="20"/>
          <w:szCs w:val="20"/>
        </w:rPr>
        <w:t xml:space="preserve"> </w:t>
      </w:r>
      <w:r w:rsidRPr="00260014">
        <w:rPr>
          <w:rFonts w:ascii="Arial" w:hAnsi="Arial" w:cs="Arial"/>
          <w:snapToGrid w:val="0"/>
          <w:sz w:val="20"/>
          <w:szCs w:val="20"/>
        </w:rPr>
        <w:t xml:space="preserve"> ……. </w:t>
      </w:r>
      <w:r w:rsidRPr="00260014">
        <w:rPr>
          <w:rFonts w:ascii="Arial" w:hAnsi="Arial" w:cs="Arial"/>
          <w:sz w:val="20"/>
          <w:szCs w:val="20"/>
        </w:rPr>
        <w:t>actuando en nombre y representación del Ministerio de Transporte y Obras Públicas, (en adelante la Contratante), constituyendo domicilio en</w:t>
      </w:r>
      <w:r w:rsidR="00B14DCC">
        <w:rPr>
          <w:rFonts w:ascii="Arial" w:hAnsi="Arial" w:cs="Arial"/>
          <w:sz w:val="20"/>
          <w:szCs w:val="20"/>
        </w:rPr>
        <w:t xml:space="preserve"> </w:t>
      </w:r>
      <w:r w:rsidRPr="00260014">
        <w:rPr>
          <w:rFonts w:ascii="Arial" w:hAnsi="Arial" w:cs="Arial"/>
          <w:sz w:val="20"/>
          <w:szCs w:val="20"/>
        </w:rPr>
        <w:t xml:space="preserve"> ………</w:t>
      </w:r>
      <w:r w:rsidR="00B14DCC">
        <w:rPr>
          <w:rFonts w:ascii="Arial" w:hAnsi="Arial" w:cs="Arial"/>
          <w:sz w:val="20"/>
          <w:szCs w:val="20"/>
        </w:rPr>
        <w:t xml:space="preserve"> </w:t>
      </w:r>
      <w:r w:rsidRPr="00260014">
        <w:rPr>
          <w:rFonts w:ascii="Arial" w:hAnsi="Arial" w:cs="Arial"/>
          <w:b/>
          <w:bCs/>
          <w:sz w:val="20"/>
          <w:szCs w:val="20"/>
        </w:rPr>
        <w:t>POR OTRA PARTE</w:t>
      </w:r>
      <w:r w:rsidRPr="00260014">
        <w:rPr>
          <w:rFonts w:ascii="Arial" w:hAnsi="Arial" w:cs="Arial"/>
          <w:sz w:val="20"/>
          <w:szCs w:val="20"/>
        </w:rPr>
        <w:t>: El Sr.</w:t>
      </w:r>
      <w:r w:rsidR="00B14DCC">
        <w:rPr>
          <w:rFonts w:ascii="Arial" w:hAnsi="Arial" w:cs="Arial"/>
          <w:sz w:val="20"/>
          <w:szCs w:val="20"/>
        </w:rPr>
        <w:t xml:space="preserve"> </w:t>
      </w:r>
      <w:r w:rsidRPr="00260014">
        <w:rPr>
          <w:rFonts w:ascii="Arial" w:hAnsi="Arial" w:cs="Arial"/>
          <w:sz w:val="20"/>
          <w:szCs w:val="20"/>
        </w:rPr>
        <w:t>……..</w:t>
      </w:r>
      <w:r w:rsidR="00B14DCC">
        <w:rPr>
          <w:rFonts w:ascii="Arial" w:hAnsi="Arial" w:cs="Arial"/>
          <w:sz w:val="20"/>
          <w:szCs w:val="20"/>
        </w:rPr>
        <w:t xml:space="preserve"> </w:t>
      </w:r>
      <w:r w:rsidRPr="00260014">
        <w:rPr>
          <w:rFonts w:ascii="Arial" w:hAnsi="Arial" w:cs="Arial"/>
          <w:sz w:val="20"/>
          <w:szCs w:val="20"/>
        </w:rPr>
        <w:t xml:space="preserve">titular de la cédula de identidad </w:t>
      </w:r>
      <w:r w:rsidR="00797447" w:rsidRPr="00260014">
        <w:rPr>
          <w:rFonts w:ascii="Arial" w:hAnsi="Arial" w:cs="Arial"/>
          <w:snapToGrid w:val="0"/>
          <w:sz w:val="20"/>
          <w:szCs w:val="20"/>
        </w:rPr>
        <w:t>Nº</w:t>
      </w:r>
      <w:r w:rsidR="00797447" w:rsidRPr="00260014" w:rsidDel="00797447">
        <w:rPr>
          <w:rFonts w:ascii="Arial" w:hAnsi="Arial" w:cs="Arial"/>
          <w:sz w:val="20"/>
          <w:szCs w:val="20"/>
        </w:rPr>
        <w:t xml:space="preserve"> </w:t>
      </w:r>
      <w:r w:rsidRPr="00260014">
        <w:rPr>
          <w:rFonts w:ascii="Arial" w:hAnsi="Arial" w:cs="Arial"/>
          <w:sz w:val="20"/>
          <w:szCs w:val="20"/>
        </w:rPr>
        <w:t>……, actuando en nombre y represen</w:t>
      </w:r>
      <w:r>
        <w:rPr>
          <w:rFonts w:ascii="Arial" w:hAnsi="Arial" w:cs="Arial"/>
          <w:sz w:val="20"/>
          <w:szCs w:val="20"/>
        </w:rPr>
        <w:t>tación de la</w:t>
      </w:r>
      <w:r w:rsidR="00B14DCC">
        <w:rPr>
          <w:rFonts w:ascii="Arial" w:hAnsi="Arial" w:cs="Arial"/>
          <w:sz w:val="20"/>
          <w:szCs w:val="20"/>
        </w:rPr>
        <w:t xml:space="preserve"> </w:t>
      </w:r>
      <w:r>
        <w:rPr>
          <w:rFonts w:ascii="Arial" w:hAnsi="Arial" w:cs="Arial"/>
          <w:sz w:val="20"/>
          <w:szCs w:val="20"/>
        </w:rPr>
        <w:t xml:space="preserve"> ……...</w:t>
      </w:r>
      <w:r w:rsidR="00B14DCC">
        <w:rPr>
          <w:rFonts w:ascii="Arial" w:hAnsi="Arial" w:cs="Arial"/>
          <w:sz w:val="20"/>
          <w:szCs w:val="20"/>
        </w:rPr>
        <w:t xml:space="preserve"> </w:t>
      </w:r>
      <w:r>
        <w:rPr>
          <w:rFonts w:ascii="Arial" w:hAnsi="Arial" w:cs="Arial"/>
          <w:sz w:val="20"/>
          <w:szCs w:val="20"/>
        </w:rPr>
        <w:t xml:space="preserve"> (</w:t>
      </w:r>
      <w:r w:rsidRPr="00260014">
        <w:rPr>
          <w:rFonts w:ascii="Arial" w:hAnsi="Arial" w:cs="Arial"/>
          <w:sz w:val="20"/>
          <w:szCs w:val="20"/>
        </w:rPr>
        <w:t>en adelante el Contratista),</w:t>
      </w:r>
      <w:r w:rsidR="00797447">
        <w:rPr>
          <w:rFonts w:ascii="Arial" w:hAnsi="Arial" w:cs="Arial"/>
          <w:sz w:val="20"/>
          <w:szCs w:val="20"/>
        </w:rPr>
        <w:t xml:space="preserve"> </w:t>
      </w:r>
      <w:r w:rsidRPr="00260014">
        <w:rPr>
          <w:rFonts w:ascii="Arial" w:hAnsi="Arial" w:cs="Arial"/>
          <w:sz w:val="20"/>
          <w:szCs w:val="20"/>
        </w:rPr>
        <w:t xml:space="preserve">constituyendo domicilio en ……. </w:t>
      </w:r>
      <w:r w:rsidRPr="00260014">
        <w:rPr>
          <w:rFonts w:ascii="Arial" w:hAnsi="Arial" w:cs="Arial"/>
          <w:i/>
          <w:iCs/>
          <w:sz w:val="20"/>
          <w:szCs w:val="20"/>
        </w:rPr>
        <w:t xml:space="preserve">, </w:t>
      </w:r>
      <w:r w:rsidRPr="00260014">
        <w:rPr>
          <w:rFonts w:ascii="Arial" w:hAnsi="Arial" w:cs="Arial"/>
          <w:sz w:val="20"/>
          <w:szCs w:val="20"/>
        </w:rPr>
        <w:t>CONVIENEN</w:t>
      </w:r>
      <w:r w:rsidR="00B14DCC">
        <w:rPr>
          <w:rFonts w:ascii="Arial" w:hAnsi="Arial" w:cs="Arial"/>
          <w:sz w:val="20"/>
          <w:szCs w:val="20"/>
        </w:rPr>
        <w:t xml:space="preserve"> </w:t>
      </w:r>
      <w:r w:rsidRPr="00260014">
        <w:rPr>
          <w:rFonts w:ascii="Arial" w:hAnsi="Arial" w:cs="Arial"/>
          <w:sz w:val="20"/>
          <w:szCs w:val="20"/>
        </w:rPr>
        <w:t>LO SIGUIENTE:</w:t>
      </w:r>
    </w:p>
    <w:p w14:paraId="60F27803"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i/>
          <w:iCs/>
          <w:sz w:val="20"/>
          <w:szCs w:val="20"/>
        </w:rPr>
      </w:pPr>
      <w:r w:rsidRPr="00FD0B90">
        <w:rPr>
          <w:rFonts w:ascii="Arial" w:hAnsi="Arial" w:cs="Arial"/>
          <w:b/>
          <w:bCs/>
          <w:sz w:val="20"/>
          <w:szCs w:val="20"/>
        </w:rPr>
        <w:t>PRIMERO – ANTECEDENTES</w:t>
      </w:r>
      <w:r w:rsidRPr="00FD0B90">
        <w:rPr>
          <w:rFonts w:ascii="Arial" w:hAnsi="Arial" w:cs="Arial"/>
          <w:sz w:val="20"/>
          <w:szCs w:val="20"/>
        </w:rPr>
        <w:t xml:space="preserve">: 1) La Contratante llamó a licitación para la ejecución de un contrato de </w:t>
      </w:r>
      <w:r w:rsidR="00797447">
        <w:rPr>
          <w:rFonts w:ascii="Arial" w:hAnsi="Arial" w:cs="Arial"/>
          <w:sz w:val="20"/>
          <w:szCs w:val="20"/>
        </w:rPr>
        <w:t>Participación</w:t>
      </w:r>
      <w:r w:rsidR="00797447" w:rsidRPr="00FD0B90">
        <w:rPr>
          <w:rFonts w:ascii="Arial" w:hAnsi="Arial" w:cs="Arial"/>
          <w:sz w:val="20"/>
          <w:szCs w:val="20"/>
        </w:rPr>
        <w:t xml:space="preserve"> </w:t>
      </w:r>
      <w:r w:rsidR="00797447">
        <w:rPr>
          <w:rFonts w:ascii="Arial" w:hAnsi="Arial" w:cs="Arial"/>
          <w:sz w:val="20"/>
          <w:szCs w:val="20"/>
        </w:rPr>
        <w:t>P</w:t>
      </w:r>
      <w:r w:rsidRPr="00FD0B90">
        <w:rPr>
          <w:rFonts w:ascii="Arial" w:hAnsi="Arial" w:cs="Arial"/>
          <w:sz w:val="20"/>
          <w:szCs w:val="20"/>
        </w:rPr>
        <w:t xml:space="preserve">úblico – </w:t>
      </w:r>
      <w:r w:rsidR="00797447">
        <w:rPr>
          <w:rFonts w:ascii="Arial" w:hAnsi="Arial" w:cs="Arial"/>
          <w:sz w:val="20"/>
          <w:szCs w:val="20"/>
        </w:rPr>
        <w:t>P</w:t>
      </w:r>
      <w:r w:rsidRPr="00FD0B90">
        <w:rPr>
          <w:rFonts w:ascii="Arial" w:hAnsi="Arial" w:cs="Arial"/>
          <w:sz w:val="20"/>
          <w:szCs w:val="20"/>
        </w:rPr>
        <w:t>rivada, al ampar</w:t>
      </w:r>
      <w:r w:rsidR="00EC7417">
        <w:rPr>
          <w:rFonts w:ascii="Arial" w:hAnsi="Arial" w:cs="Arial"/>
          <w:sz w:val="20"/>
          <w:szCs w:val="20"/>
        </w:rPr>
        <w:t xml:space="preserve">o de la Ley Nº </w:t>
      </w:r>
      <w:hyperlink r:id="rId193" w:history="1">
        <w:r w:rsidR="00EC7417" w:rsidRPr="00EC7417">
          <w:rPr>
            <w:rStyle w:val="Hipervnculo"/>
            <w:rFonts w:ascii="Arial" w:hAnsi="Arial" w:cs="Arial"/>
            <w:sz w:val="20"/>
            <w:szCs w:val="20"/>
          </w:rPr>
          <w:t>18.</w:t>
        </w:r>
        <w:r w:rsidRPr="00EC7417">
          <w:rPr>
            <w:rStyle w:val="Hipervnculo"/>
            <w:rFonts w:ascii="Arial" w:hAnsi="Arial" w:cs="Arial"/>
            <w:sz w:val="20"/>
            <w:szCs w:val="20"/>
          </w:rPr>
          <w:t>786</w:t>
        </w:r>
      </w:hyperlink>
      <w:r w:rsidRPr="00FD0B90">
        <w:rPr>
          <w:rFonts w:ascii="Arial" w:hAnsi="Arial" w:cs="Arial"/>
          <w:sz w:val="20"/>
          <w:szCs w:val="20"/>
        </w:rPr>
        <w:t>. 2) Por resolución</w:t>
      </w:r>
      <w:r w:rsidRPr="00260014">
        <w:rPr>
          <w:rFonts w:ascii="Arial" w:hAnsi="Arial" w:cs="Arial"/>
          <w:sz w:val="20"/>
          <w:szCs w:val="20"/>
        </w:rPr>
        <w:t xml:space="preserve"> de fecha……, se adjudicó la licitación de referencia</w:t>
      </w:r>
      <w:r w:rsidR="00B14DCC">
        <w:rPr>
          <w:rFonts w:ascii="Arial" w:hAnsi="Arial" w:cs="Arial"/>
          <w:sz w:val="20"/>
          <w:szCs w:val="20"/>
        </w:rPr>
        <w:t xml:space="preserve"> </w:t>
      </w:r>
      <w:r w:rsidRPr="00260014">
        <w:rPr>
          <w:rFonts w:ascii="Arial" w:hAnsi="Arial" w:cs="Arial"/>
          <w:sz w:val="20"/>
          <w:szCs w:val="20"/>
        </w:rPr>
        <w:t>a</w:t>
      </w:r>
      <w:r w:rsidR="00B14DCC">
        <w:rPr>
          <w:rFonts w:ascii="Arial" w:hAnsi="Arial" w:cs="Arial"/>
          <w:sz w:val="20"/>
          <w:szCs w:val="20"/>
        </w:rPr>
        <w:t xml:space="preserve"> </w:t>
      </w:r>
      <w:r w:rsidRPr="00260014">
        <w:rPr>
          <w:rFonts w:ascii="Arial" w:hAnsi="Arial" w:cs="Arial"/>
          <w:sz w:val="20"/>
          <w:szCs w:val="20"/>
        </w:rPr>
        <w:t xml:space="preserve"> </w:t>
      </w:r>
      <w:r w:rsidRPr="00260014">
        <w:rPr>
          <w:rFonts w:ascii="Arial" w:hAnsi="Arial" w:cs="Arial"/>
          <w:i/>
          <w:iCs/>
          <w:sz w:val="20"/>
          <w:szCs w:val="20"/>
        </w:rPr>
        <w:t>………</w:t>
      </w:r>
    </w:p>
    <w:p w14:paraId="50F2FD0E" w14:textId="77777777" w:rsidR="00A3029F" w:rsidRPr="00A845CD"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A845CD">
        <w:rPr>
          <w:rFonts w:ascii="Arial" w:hAnsi="Arial" w:cs="Arial"/>
          <w:b/>
          <w:bCs/>
          <w:sz w:val="20"/>
          <w:szCs w:val="20"/>
        </w:rPr>
        <w:t>SEGUNDO – OBJETO:</w:t>
      </w:r>
      <w:r w:rsidRPr="00A845CD">
        <w:rPr>
          <w:rFonts w:ascii="Arial" w:hAnsi="Arial" w:cs="Arial"/>
          <w:sz w:val="20"/>
          <w:szCs w:val="20"/>
        </w:rPr>
        <w:t xml:space="preserve"> El Contratista se obliga a realizar el diseño, construcción, operación y financiamiento de la infraestructura vial dentro de la faja de dominio público en tramos de Rutas </w:t>
      </w:r>
      <w:r w:rsidRPr="003F74B6">
        <w:rPr>
          <w:rFonts w:ascii="Arial" w:hAnsi="Arial" w:cs="Arial"/>
          <w:sz w:val="20"/>
          <w:szCs w:val="20"/>
        </w:rPr>
        <w:t>Nº</w:t>
      </w:r>
      <w:r w:rsidR="00797447">
        <w:rPr>
          <w:rFonts w:ascii="Arial" w:hAnsi="Arial" w:cs="Arial"/>
          <w:sz w:val="20"/>
          <w:szCs w:val="20"/>
        </w:rPr>
        <w:t>…….</w:t>
      </w:r>
      <w:r w:rsidRPr="003F74B6">
        <w:rPr>
          <w:rFonts w:ascii="Arial" w:hAnsi="Arial" w:cs="Arial"/>
          <w:sz w:val="20"/>
          <w:szCs w:val="20"/>
        </w:rPr>
        <w:t>,</w:t>
      </w:r>
      <w:r w:rsidRPr="00A845CD">
        <w:rPr>
          <w:rFonts w:ascii="Arial" w:hAnsi="Arial" w:cs="Arial"/>
          <w:sz w:val="20"/>
          <w:szCs w:val="20"/>
        </w:rPr>
        <w:t xml:space="preserve"> de acuerdo al pliego de condiciones, las enmiendas, aclaraciones y comunicados efectuados por la Contratante y cualquier otro documento que forma parte del llamado</w:t>
      </w:r>
      <w:r w:rsidR="00797447">
        <w:rPr>
          <w:rFonts w:ascii="Arial" w:hAnsi="Arial" w:cs="Arial"/>
          <w:sz w:val="20"/>
          <w:szCs w:val="20"/>
        </w:rPr>
        <w:t>,</w:t>
      </w:r>
      <w:r w:rsidRPr="00A845CD">
        <w:rPr>
          <w:rFonts w:ascii="Arial" w:hAnsi="Arial" w:cs="Arial"/>
          <w:sz w:val="20"/>
          <w:szCs w:val="20"/>
        </w:rPr>
        <w:t xml:space="preserve"> lo</w:t>
      </w:r>
      <w:r w:rsidR="003C091F">
        <w:rPr>
          <w:rFonts w:ascii="Arial" w:hAnsi="Arial" w:cs="Arial"/>
          <w:sz w:val="20"/>
          <w:szCs w:val="20"/>
        </w:rPr>
        <w:t>s</w:t>
      </w:r>
      <w:r w:rsidRPr="00A845CD">
        <w:rPr>
          <w:rFonts w:ascii="Arial" w:hAnsi="Arial" w:cs="Arial"/>
          <w:sz w:val="20"/>
          <w:szCs w:val="20"/>
        </w:rPr>
        <w:t xml:space="preserve"> </w:t>
      </w:r>
      <w:r w:rsidR="003C091F">
        <w:rPr>
          <w:rFonts w:ascii="Arial" w:hAnsi="Arial" w:cs="Arial"/>
          <w:sz w:val="20"/>
          <w:szCs w:val="20"/>
        </w:rPr>
        <w:t xml:space="preserve">cuales </w:t>
      </w:r>
      <w:r w:rsidRPr="00A845CD">
        <w:rPr>
          <w:rFonts w:ascii="Arial" w:hAnsi="Arial" w:cs="Arial"/>
          <w:sz w:val="20"/>
          <w:szCs w:val="20"/>
        </w:rPr>
        <w:t xml:space="preserve"> se considera parte de este contrato y se agregan como Anexo I</w:t>
      </w:r>
      <w:r w:rsidR="003C091F">
        <w:rPr>
          <w:rFonts w:ascii="Arial" w:hAnsi="Arial" w:cs="Arial"/>
          <w:sz w:val="20"/>
          <w:szCs w:val="20"/>
        </w:rPr>
        <w:t xml:space="preserve">. Asimismo, </w:t>
      </w:r>
      <w:r w:rsidRPr="00A845CD">
        <w:rPr>
          <w:rFonts w:ascii="Arial" w:hAnsi="Arial" w:cs="Arial"/>
          <w:sz w:val="20"/>
          <w:szCs w:val="20"/>
        </w:rPr>
        <w:t>la oferta presentada por el Contratista se considera parte de este contrato y se agrega como Anexo II.</w:t>
      </w:r>
    </w:p>
    <w:p w14:paraId="14E2E67E"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lastRenderedPageBreak/>
        <w:t>TERCERO – RETRIBUCIÓN</w:t>
      </w:r>
      <w:r w:rsidRPr="00260014">
        <w:rPr>
          <w:rFonts w:ascii="Arial" w:hAnsi="Arial" w:cs="Arial"/>
          <w:sz w:val="20"/>
          <w:szCs w:val="20"/>
        </w:rPr>
        <w:t xml:space="preserve">: </w:t>
      </w:r>
      <w:r>
        <w:rPr>
          <w:rFonts w:ascii="Arial" w:hAnsi="Arial" w:cs="Arial"/>
          <w:sz w:val="20"/>
          <w:szCs w:val="20"/>
        </w:rPr>
        <w:t xml:space="preserve">La Contratante </w:t>
      </w:r>
      <w:r w:rsidRPr="00260014">
        <w:rPr>
          <w:rFonts w:ascii="Arial" w:hAnsi="Arial" w:cs="Arial"/>
          <w:sz w:val="20"/>
          <w:szCs w:val="20"/>
        </w:rPr>
        <w:t>abonará al Contratista por la ejecución del presente contrato la cantidad que por concepto de “pago por disponibilidad” corresponda, de acuerdo a los documentos que forman parte de esta contratación.</w:t>
      </w:r>
    </w:p>
    <w:p w14:paraId="5FB13288" w14:textId="77777777" w:rsidR="00A3029F" w:rsidRPr="00260014" w:rsidRDefault="003C091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Pr>
          <w:rFonts w:ascii="Arial" w:hAnsi="Arial" w:cs="Arial"/>
          <w:b/>
          <w:bCs/>
          <w:sz w:val="20"/>
          <w:szCs w:val="20"/>
        </w:rPr>
        <w:t>C</w:t>
      </w:r>
      <w:r w:rsidRPr="00260014">
        <w:rPr>
          <w:rFonts w:ascii="Arial" w:hAnsi="Arial" w:cs="Arial"/>
          <w:b/>
          <w:bCs/>
          <w:sz w:val="20"/>
          <w:szCs w:val="20"/>
        </w:rPr>
        <w:t xml:space="preserve">UARTO </w:t>
      </w:r>
      <w:r w:rsidR="00A3029F" w:rsidRPr="00260014">
        <w:rPr>
          <w:rFonts w:ascii="Arial" w:hAnsi="Arial" w:cs="Arial"/>
          <w:b/>
          <w:bCs/>
          <w:sz w:val="20"/>
          <w:szCs w:val="20"/>
        </w:rPr>
        <w:t>– PLAZO</w:t>
      </w:r>
      <w:r w:rsidR="00A3029F" w:rsidRPr="00260014">
        <w:rPr>
          <w:rFonts w:ascii="Arial" w:hAnsi="Arial" w:cs="Arial"/>
          <w:sz w:val="20"/>
          <w:szCs w:val="20"/>
        </w:rPr>
        <w:t xml:space="preserve">: El plazo del contrato es de </w:t>
      </w:r>
      <w:r w:rsidR="00753024">
        <w:rPr>
          <w:rFonts w:ascii="Arial" w:hAnsi="Arial" w:cs="Arial"/>
          <w:sz w:val="20"/>
          <w:szCs w:val="20"/>
        </w:rPr>
        <w:t>…</w:t>
      </w:r>
      <w:r w:rsidR="00B14DCC">
        <w:rPr>
          <w:rFonts w:ascii="Arial" w:hAnsi="Arial" w:cs="Arial"/>
          <w:sz w:val="20"/>
          <w:szCs w:val="20"/>
        </w:rPr>
        <w:t xml:space="preserve"> </w:t>
      </w:r>
      <w:r w:rsidR="00A3029F" w:rsidRPr="00260014">
        <w:rPr>
          <w:rFonts w:ascii="Arial" w:hAnsi="Arial" w:cs="Arial"/>
          <w:sz w:val="20"/>
          <w:szCs w:val="20"/>
        </w:rPr>
        <w:t>años a partir del acta de toma de posesión.</w:t>
      </w:r>
    </w:p>
    <w:p w14:paraId="2BEC858A"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QUINTO –</w:t>
      </w:r>
      <w:r w:rsidR="00B14DCC">
        <w:rPr>
          <w:rFonts w:ascii="Arial" w:hAnsi="Arial" w:cs="Arial"/>
          <w:b/>
          <w:bCs/>
          <w:sz w:val="20"/>
          <w:szCs w:val="20"/>
        </w:rPr>
        <w:t xml:space="preserve"> </w:t>
      </w:r>
      <w:r w:rsidRPr="00260014">
        <w:rPr>
          <w:rFonts w:ascii="Arial" w:hAnsi="Arial" w:cs="Arial"/>
          <w:b/>
          <w:bCs/>
          <w:sz w:val="20"/>
          <w:szCs w:val="20"/>
        </w:rPr>
        <w:t>GARANTIAS</w:t>
      </w:r>
      <w:r w:rsidRPr="00260014">
        <w:rPr>
          <w:rFonts w:ascii="Arial" w:hAnsi="Arial" w:cs="Arial"/>
          <w:sz w:val="20"/>
          <w:szCs w:val="20"/>
        </w:rPr>
        <w:t>:</w:t>
      </w:r>
      <w:r w:rsidR="00456292" w:rsidRPr="00456292">
        <w:t xml:space="preserve"> </w:t>
      </w:r>
      <w:r w:rsidR="00A314F1" w:rsidRPr="003F74B6">
        <w:rPr>
          <w:rFonts w:ascii="Arial" w:hAnsi="Arial" w:cs="Arial"/>
          <w:sz w:val="20"/>
          <w:szCs w:val="20"/>
        </w:rPr>
        <w:t xml:space="preserve">El Contratista ha constituido la garantía de fiel cumplimiento del contrato para la etapa de construcción (datos) y constituirá la garantía de fiel cumplimiento de contrato para la etapa de mantenimiento y explotación según lo estipulado en la cláusula 24.2 del Pliego. </w:t>
      </w:r>
    </w:p>
    <w:p w14:paraId="2BCBDBD2" w14:textId="7E673B25" w:rsidR="00A3029F" w:rsidRPr="00260014" w:rsidRDefault="00A3029F" w:rsidP="00EF6645">
      <w:pPr>
        <w:spacing w:after="120"/>
        <w:jc w:val="both"/>
        <w:rPr>
          <w:rFonts w:ascii="Arial" w:hAnsi="Arial" w:cs="Arial"/>
          <w:sz w:val="20"/>
          <w:szCs w:val="20"/>
        </w:rPr>
      </w:pPr>
      <w:r w:rsidRPr="00260014">
        <w:rPr>
          <w:rFonts w:ascii="Arial" w:hAnsi="Arial" w:cs="Arial"/>
          <w:b/>
          <w:bCs/>
          <w:sz w:val="20"/>
          <w:szCs w:val="20"/>
        </w:rPr>
        <w:t>SEXTO- SEGUROS</w:t>
      </w:r>
      <w:r w:rsidR="003C091F">
        <w:rPr>
          <w:rFonts w:ascii="Arial" w:hAnsi="Arial" w:cs="Arial"/>
          <w:b/>
          <w:bCs/>
          <w:sz w:val="20"/>
          <w:szCs w:val="20"/>
        </w:rPr>
        <w:t xml:space="preserve"> </w:t>
      </w:r>
      <w:r w:rsidRPr="00260014">
        <w:rPr>
          <w:rFonts w:ascii="Arial" w:hAnsi="Arial" w:cs="Arial"/>
          <w:b/>
          <w:bCs/>
          <w:sz w:val="20"/>
          <w:szCs w:val="20"/>
        </w:rPr>
        <w:t>DE RESPONSABILIDAD</w:t>
      </w:r>
      <w:r w:rsidR="00B60F37">
        <w:rPr>
          <w:rFonts w:ascii="Arial" w:hAnsi="Arial" w:cs="Arial"/>
          <w:b/>
          <w:bCs/>
          <w:sz w:val="20"/>
          <w:szCs w:val="20"/>
        </w:rPr>
        <w:t xml:space="preserve"> </w:t>
      </w:r>
      <w:r w:rsidRPr="00260014">
        <w:rPr>
          <w:rFonts w:ascii="Arial" w:hAnsi="Arial" w:cs="Arial"/>
          <w:b/>
          <w:bCs/>
          <w:sz w:val="20"/>
          <w:szCs w:val="20"/>
        </w:rPr>
        <w:t>CONTRA TODO RIESGO</w:t>
      </w:r>
      <w:r w:rsidR="00AB66A2">
        <w:rPr>
          <w:rFonts w:ascii="Arial" w:hAnsi="Arial" w:cs="Arial"/>
          <w:sz w:val="20"/>
          <w:szCs w:val="20"/>
        </w:rPr>
        <w:t>:</w:t>
      </w:r>
      <w:r w:rsidRPr="00260014">
        <w:rPr>
          <w:rFonts w:ascii="Arial" w:hAnsi="Arial" w:cs="Arial"/>
          <w:sz w:val="20"/>
          <w:szCs w:val="20"/>
        </w:rPr>
        <w:t xml:space="preserve">El Contratista deberá tener contratado un seguro de responsabilidad contra todo riesgo </w:t>
      </w:r>
      <w:r w:rsidR="003C091F">
        <w:rPr>
          <w:rFonts w:ascii="Arial" w:hAnsi="Arial" w:cs="Arial"/>
          <w:sz w:val="20"/>
          <w:szCs w:val="20"/>
        </w:rPr>
        <w:t>, según lo estipulado en la cláusula 25 del Pliego</w:t>
      </w:r>
      <w:r w:rsidRPr="00260014">
        <w:rPr>
          <w:rFonts w:ascii="Arial" w:hAnsi="Arial" w:cs="Arial"/>
          <w:sz w:val="20"/>
          <w:szCs w:val="20"/>
        </w:rPr>
        <w:t xml:space="preserve"> </w:t>
      </w:r>
      <w:r w:rsidR="003C091F" w:rsidRPr="00260014">
        <w:rPr>
          <w:rFonts w:ascii="Arial" w:hAnsi="Arial" w:cs="Arial"/>
          <w:i/>
          <w:iCs/>
          <w:sz w:val="20"/>
          <w:szCs w:val="20"/>
        </w:rPr>
        <w:t>(datos</w:t>
      </w:r>
      <w:r w:rsidR="003C091F" w:rsidRPr="00260014">
        <w:rPr>
          <w:rFonts w:ascii="Arial" w:hAnsi="Arial" w:cs="Arial"/>
          <w:sz w:val="20"/>
          <w:szCs w:val="20"/>
        </w:rPr>
        <w:t>)</w:t>
      </w:r>
      <w:r w:rsidR="003C091F">
        <w:rPr>
          <w:rFonts w:ascii="Arial" w:hAnsi="Arial" w:cs="Arial"/>
          <w:sz w:val="20"/>
          <w:szCs w:val="20"/>
        </w:rPr>
        <w:t>.</w:t>
      </w:r>
    </w:p>
    <w:p w14:paraId="46BCD537" w14:textId="5954EB5B" w:rsidR="00A3029F" w:rsidRPr="00260014" w:rsidRDefault="003C091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S</w:t>
      </w:r>
      <w:r>
        <w:rPr>
          <w:rFonts w:ascii="Arial" w:hAnsi="Arial" w:cs="Arial"/>
          <w:b/>
          <w:bCs/>
          <w:sz w:val="20"/>
          <w:szCs w:val="20"/>
        </w:rPr>
        <w:t>É</w:t>
      </w:r>
      <w:r w:rsidRPr="00260014">
        <w:rPr>
          <w:rFonts w:ascii="Arial" w:hAnsi="Arial" w:cs="Arial"/>
          <w:b/>
          <w:bCs/>
          <w:sz w:val="20"/>
          <w:szCs w:val="20"/>
        </w:rPr>
        <w:t>PTIMO</w:t>
      </w:r>
      <w:r w:rsidR="00A3029F" w:rsidRPr="00260014">
        <w:rPr>
          <w:rFonts w:ascii="Arial" w:hAnsi="Arial" w:cs="Arial"/>
          <w:b/>
          <w:bCs/>
          <w:sz w:val="20"/>
          <w:szCs w:val="20"/>
        </w:rPr>
        <w:t xml:space="preserve">- </w:t>
      </w:r>
      <w:r w:rsidRPr="00260014">
        <w:rPr>
          <w:rFonts w:ascii="Arial" w:hAnsi="Arial" w:cs="Arial"/>
          <w:b/>
          <w:bCs/>
          <w:sz w:val="20"/>
          <w:szCs w:val="20"/>
        </w:rPr>
        <w:t>CL</w:t>
      </w:r>
      <w:r>
        <w:rPr>
          <w:rFonts w:ascii="Arial" w:hAnsi="Arial" w:cs="Arial"/>
          <w:b/>
          <w:bCs/>
          <w:sz w:val="20"/>
          <w:szCs w:val="20"/>
        </w:rPr>
        <w:t>Á</w:t>
      </w:r>
      <w:r w:rsidRPr="00260014">
        <w:rPr>
          <w:rFonts w:ascii="Arial" w:hAnsi="Arial" w:cs="Arial"/>
          <w:b/>
          <w:bCs/>
          <w:sz w:val="20"/>
          <w:szCs w:val="20"/>
        </w:rPr>
        <w:t xml:space="preserve">USULA </w:t>
      </w:r>
      <w:r w:rsidR="00A3029F" w:rsidRPr="00260014">
        <w:rPr>
          <w:rFonts w:ascii="Arial" w:hAnsi="Arial" w:cs="Arial"/>
          <w:b/>
          <w:bCs/>
          <w:sz w:val="20"/>
          <w:szCs w:val="20"/>
        </w:rPr>
        <w:t>DE PROGRESO</w:t>
      </w:r>
      <w:r w:rsidR="00AB66A2">
        <w:rPr>
          <w:rFonts w:ascii="Arial" w:hAnsi="Arial" w:cs="Arial"/>
          <w:b/>
          <w:bCs/>
          <w:sz w:val="20"/>
          <w:szCs w:val="20"/>
        </w:rPr>
        <w:t>:</w:t>
      </w:r>
      <w:r w:rsidR="00A3029F" w:rsidRPr="00260014">
        <w:rPr>
          <w:rFonts w:ascii="Arial" w:hAnsi="Arial" w:cs="Arial"/>
          <w:sz w:val="20"/>
          <w:szCs w:val="20"/>
        </w:rPr>
        <w:t xml:space="preserve"> El Contratista aplicará en cada momento y según el progreso de la ciencia, lo que disponga la normativa técnica, medioambiental, de accesibilidad y eliminación de barreras y de seguridad de los usuarios que resulte de aplicación.</w:t>
      </w:r>
    </w:p>
    <w:p w14:paraId="554C7539"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lastRenderedPageBreak/>
        <w:t>OCTAVO– CUMPLIMIENTO DE NORMAS</w:t>
      </w:r>
      <w:r w:rsidRPr="00260014">
        <w:rPr>
          <w:rFonts w:ascii="Arial" w:hAnsi="Arial" w:cs="Arial"/>
          <w:sz w:val="20"/>
          <w:szCs w:val="20"/>
        </w:rPr>
        <w:t>: El Contratista queda obligado a dar cumplimiento a toda normativa vigente aplicable a la presente contratación.</w:t>
      </w:r>
    </w:p>
    <w:p w14:paraId="7139E82A"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NOVENO- PRELACIÓN DEL CONTRATO</w:t>
      </w:r>
      <w:r w:rsidRPr="00260014">
        <w:rPr>
          <w:rFonts w:ascii="Arial" w:hAnsi="Arial" w:cs="Arial"/>
          <w:sz w:val="20"/>
          <w:szCs w:val="20"/>
        </w:rPr>
        <w:t>: En todo lo no previsto en el presente contrato, se remitirá a los documentos que forman parte de esta contratación.</w:t>
      </w:r>
    </w:p>
    <w:p w14:paraId="558C9901"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DÉCIMO</w:t>
      </w:r>
      <w:r w:rsidRPr="00260014">
        <w:rPr>
          <w:rFonts w:ascii="Arial" w:hAnsi="Arial" w:cs="Arial"/>
          <w:sz w:val="20"/>
          <w:szCs w:val="20"/>
        </w:rPr>
        <w:t>- (</w:t>
      </w:r>
      <w:r w:rsidRPr="00260014">
        <w:rPr>
          <w:rFonts w:ascii="Arial" w:hAnsi="Arial" w:cs="Arial"/>
          <w:i/>
          <w:iCs/>
          <w:sz w:val="20"/>
          <w:szCs w:val="20"/>
        </w:rPr>
        <w:t>Cláusula opcional para eventual agregado</w:t>
      </w:r>
      <w:r w:rsidRPr="00260014">
        <w:rPr>
          <w:rFonts w:ascii="Arial" w:hAnsi="Arial" w:cs="Arial"/>
          <w:sz w:val="20"/>
          <w:szCs w:val="20"/>
        </w:rPr>
        <w:t>).</w:t>
      </w:r>
    </w:p>
    <w:p w14:paraId="0DD69E0C" w14:textId="77777777" w:rsidR="00A3029F" w:rsidRPr="00260014" w:rsidRDefault="00D33241"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w:t>
      </w:r>
      <w:r>
        <w:rPr>
          <w:rFonts w:ascii="Arial" w:hAnsi="Arial" w:cs="Arial"/>
          <w:b/>
          <w:bCs/>
          <w:sz w:val="20"/>
          <w:szCs w:val="20"/>
        </w:rPr>
        <w:t>E</w:t>
      </w:r>
      <w:r w:rsidRPr="00260014">
        <w:rPr>
          <w:rFonts w:ascii="Arial" w:hAnsi="Arial" w:cs="Arial"/>
          <w:b/>
          <w:bCs/>
          <w:sz w:val="20"/>
          <w:szCs w:val="20"/>
        </w:rPr>
        <w:t>CIMOPRIMERO</w:t>
      </w:r>
      <w:r w:rsidR="00A3029F" w:rsidRPr="00260014">
        <w:rPr>
          <w:rFonts w:ascii="Arial" w:hAnsi="Arial" w:cs="Arial"/>
          <w:b/>
          <w:bCs/>
          <w:sz w:val="20"/>
          <w:szCs w:val="20"/>
        </w:rPr>
        <w:t>- DOMICILIOS ESPECIALES</w:t>
      </w:r>
      <w:r w:rsidR="00A3029F" w:rsidRPr="00260014">
        <w:rPr>
          <w:rFonts w:ascii="Arial" w:hAnsi="Arial" w:cs="Arial"/>
          <w:sz w:val="20"/>
          <w:szCs w:val="20"/>
        </w:rPr>
        <w:t>: Las partes constituyen domicilios especiales para todos los efectos de este contrato en los establecidos como respectivamente suyos en la comparecencia.</w:t>
      </w:r>
    </w:p>
    <w:p w14:paraId="7D79EE4C" w14:textId="77777777" w:rsidR="00A3029F" w:rsidRPr="00260014" w:rsidRDefault="00D33241"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w:t>
      </w:r>
      <w:r>
        <w:rPr>
          <w:rFonts w:ascii="Arial" w:hAnsi="Arial" w:cs="Arial"/>
          <w:b/>
          <w:bCs/>
          <w:sz w:val="20"/>
          <w:szCs w:val="20"/>
        </w:rPr>
        <w:t>E</w:t>
      </w:r>
      <w:r w:rsidRPr="00260014">
        <w:rPr>
          <w:rFonts w:ascii="Arial" w:hAnsi="Arial" w:cs="Arial"/>
          <w:b/>
          <w:bCs/>
          <w:sz w:val="20"/>
          <w:szCs w:val="20"/>
        </w:rPr>
        <w:t xml:space="preserve">CIMOSEGUNDO </w:t>
      </w:r>
      <w:r w:rsidR="00A3029F" w:rsidRPr="00260014">
        <w:rPr>
          <w:rFonts w:ascii="Arial" w:hAnsi="Arial" w:cs="Arial"/>
          <w:b/>
          <w:bCs/>
          <w:sz w:val="20"/>
          <w:szCs w:val="20"/>
        </w:rPr>
        <w:t>- COMPETENCIA</w:t>
      </w:r>
      <w:r w:rsidR="00A3029F" w:rsidRPr="00260014">
        <w:rPr>
          <w:rFonts w:ascii="Arial" w:hAnsi="Arial" w:cs="Arial"/>
          <w:sz w:val="20"/>
          <w:szCs w:val="20"/>
        </w:rPr>
        <w:t xml:space="preserve">: Las partes aceptan la competencia de los </w:t>
      </w:r>
      <w:r w:rsidR="00907BB3">
        <w:rPr>
          <w:rFonts w:ascii="Arial" w:hAnsi="Arial" w:cs="Arial"/>
          <w:sz w:val="20"/>
          <w:szCs w:val="20"/>
        </w:rPr>
        <w:t>T</w:t>
      </w:r>
      <w:r w:rsidR="00907BB3" w:rsidRPr="00260014">
        <w:rPr>
          <w:rFonts w:ascii="Arial" w:hAnsi="Arial" w:cs="Arial"/>
          <w:sz w:val="20"/>
          <w:szCs w:val="20"/>
        </w:rPr>
        <w:t xml:space="preserve">ribunales </w:t>
      </w:r>
      <w:r w:rsidR="00A3029F" w:rsidRPr="00260014">
        <w:rPr>
          <w:rFonts w:ascii="Arial" w:hAnsi="Arial" w:cs="Arial"/>
          <w:sz w:val="20"/>
          <w:szCs w:val="20"/>
        </w:rPr>
        <w:t xml:space="preserve">de la </w:t>
      </w:r>
      <w:r w:rsidR="00907BB3">
        <w:rPr>
          <w:rFonts w:ascii="Arial" w:hAnsi="Arial" w:cs="Arial"/>
          <w:sz w:val="20"/>
          <w:szCs w:val="20"/>
        </w:rPr>
        <w:t xml:space="preserve">ciudad de Montevideo de la </w:t>
      </w:r>
      <w:r w:rsidR="00A3029F" w:rsidRPr="00260014">
        <w:rPr>
          <w:rFonts w:ascii="Arial" w:hAnsi="Arial" w:cs="Arial"/>
          <w:sz w:val="20"/>
          <w:szCs w:val="20"/>
        </w:rPr>
        <w:t>República Oriental del Uruguay a todos los efectos que pudiera dar lugar la ejecución de este contrato.</w:t>
      </w:r>
    </w:p>
    <w:p w14:paraId="49B7E5CD" w14:textId="77777777" w:rsidR="00A3029F" w:rsidRPr="00260014" w:rsidRDefault="00A3029F" w:rsidP="00EF6645">
      <w:pPr>
        <w:tabs>
          <w:tab w:val="left" w:pos="-1440"/>
          <w:tab w:val="left" w:pos="-720"/>
          <w:tab w:val="left" w:pos="0"/>
          <w:tab w:val="left" w:pos="720"/>
          <w:tab w:val="left" w:pos="1111"/>
          <w:tab w:val="left" w:pos="2160"/>
        </w:tabs>
        <w:spacing w:after="120"/>
        <w:jc w:val="both"/>
        <w:rPr>
          <w:rFonts w:ascii="Arial" w:hAnsi="Arial" w:cs="Arial"/>
          <w:sz w:val="20"/>
          <w:szCs w:val="20"/>
        </w:rPr>
      </w:pPr>
      <w:r w:rsidRPr="00260014">
        <w:rPr>
          <w:rFonts w:ascii="Arial" w:hAnsi="Arial" w:cs="Arial"/>
          <w:b/>
          <w:bCs/>
          <w:sz w:val="20"/>
          <w:szCs w:val="20"/>
        </w:rPr>
        <w:t>DECIMOTERCER</w:t>
      </w:r>
      <w:r>
        <w:rPr>
          <w:rFonts w:ascii="Arial" w:hAnsi="Arial" w:cs="Arial"/>
          <w:b/>
          <w:bCs/>
          <w:sz w:val="20"/>
          <w:szCs w:val="20"/>
        </w:rPr>
        <w:t>O</w:t>
      </w:r>
      <w:r w:rsidRPr="00260014">
        <w:rPr>
          <w:rFonts w:ascii="Arial" w:hAnsi="Arial" w:cs="Arial"/>
          <w:sz w:val="20"/>
          <w:szCs w:val="20"/>
        </w:rPr>
        <w:t>: Para constancia, y en prueba de conformidad se firman tres ejemplares del mismo tenor e igual valor, en el lugar y fecha indicada en la comparecencia.</w:t>
      </w:r>
    </w:p>
    <w:p w14:paraId="2EF7BD9E" w14:textId="77777777" w:rsidR="00A3029F" w:rsidRDefault="00A3029F" w:rsidP="000F5C7C">
      <w:pPr>
        <w:pStyle w:val="T0"/>
        <w:outlineLvl w:val="0"/>
        <w:rPr>
          <w:sz w:val="20"/>
          <w:szCs w:val="20"/>
        </w:rPr>
      </w:pPr>
      <w:bookmarkStart w:id="1721" w:name="_Toc340671996"/>
      <w:bookmarkStart w:id="1722" w:name="_Toc340677458"/>
      <w:r>
        <w:rPr>
          <w:sz w:val="20"/>
          <w:szCs w:val="20"/>
        </w:rPr>
        <w:br w:type="page"/>
      </w:r>
      <w:bookmarkStart w:id="1723" w:name="_Toc358821622"/>
      <w:bookmarkStart w:id="1724" w:name="_Toc400622380"/>
      <w:bookmarkStart w:id="1725" w:name="_Toc400629219"/>
      <w:bookmarkStart w:id="1726" w:name="_Toc400634202"/>
      <w:bookmarkStart w:id="1727" w:name="_Toc400635336"/>
      <w:bookmarkStart w:id="1728" w:name="_Toc468288104"/>
      <w:bookmarkStart w:id="1729" w:name="_Toc496266697"/>
      <w:bookmarkStart w:id="1730" w:name="A_19"/>
      <w:bookmarkEnd w:id="1721"/>
      <w:bookmarkEnd w:id="1722"/>
      <w:r>
        <w:lastRenderedPageBreak/>
        <w:t>ANEXO X</w:t>
      </w:r>
      <w:r w:rsidR="007628F2">
        <w:t>VII</w:t>
      </w:r>
      <w:r>
        <w:t>I:</w:t>
      </w:r>
      <w:r w:rsidR="00197B29">
        <w:t xml:space="preserve"> </w:t>
      </w:r>
      <w:r w:rsidRPr="00260014">
        <w:t>SIGLAS</w:t>
      </w:r>
      <w:r w:rsidR="00B14DCC">
        <w:t xml:space="preserve"> </w:t>
      </w:r>
      <w:r w:rsidRPr="00260014">
        <w:t>Y ABREVIATURAS</w:t>
      </w:r>
      <w:bookmarkEnd w:id="1723"/>
      <w:bookmarkEnd w:id="1724"/>
      <w:bookmarkEnd w:id="1725"/>
      <w:bookmarkEnd w:id="1726"/>
      <w:bookmarkEnd w:id="1727"/>
      <w:bookmarkEnd w:id="1728"/>
      <w:bookmarkEnd w:id="1729"/>
    </w:p>
    <w:bookmarkEnd w:id="1730"/>
    <w:p w14:paraId="71322F8F" w14:textId="77777777" w:rsidR="00A3029F" w:rsidRPr="00260014" w:rsidRDefault="00A3029F" w:rsidP="005668C4">
      <w:pPr>
        <w:rPr>
          <w:rFonts w:ascii="Arial" w:hAnsi="Arial" w:cs="Arial"/>
          <w:sz w:val="20"/>
          <w:szCs w:val="20"/>
        </w:rPr>
      </w:pPr>
      <w:r w:rsidRPr="00260014">
        <w:rPr>
          <w:rFonts w:ascii="Arial" w:hAnsi="Arial" w:cs="Arial"/>
          <w:b/>
          <w:bCs/>
          <w:sz w:val="20"/>
          <w:szCs w:val="20"/>
        </w:rPr>
        <w:t>BCU</w:t>
      </w:r>
      <w:r w:rsidRPr="00260014">
        <w:rPr>
          <w:rFonts w:ascii="Arial" w:hAnsi="Arial" w:cs="Arial"/>
          <w:b/>
          <w:bCs/>
          <w:sz w:val="20"/>
          <w:szCs w:val="20"/>
        </w:rPr>
        <w:tab/>
      </w:r>
      <w:r w:rsidRPr="00260014">
        <w:rPr>
          <w:rFonts w:ascii="Arial" w:hAnsi="Arial" w:cs="Arial"/>
          <w:sz w:val="20"/>
          <w:szCs w:val="20"/>
        </w:rPr>
        <w:tab/>
        <w:t>Banco Central del Uruguay</w:t>
      </w:r>
    </w:p>
    <w:p w14:paraId="2D5786FF" w14:textId="77777777" w:rsidR="00A3029F" w:rsidRPr="00260014" w:rsidRDefault="00A3029F" w:rsidP="005668C4">
      <w:pPr>
        <w:rPr>
          <w:rFonts w:ascii="Arial" w:hAnsi="Arial" w:cs="Arial"/>
          <w:sz w:val="20"/>
          <w:szCs w:val="20"/>
        </w:rPr>
      </w:pPr>
      <w:r w:rsidRPr="00260014">
        <w:rPr>
          <w:rFonts w:ascii="Arial" w:hAnsi="Arial" w:cs="Arial"/>
          <w:b/>
          <w:bCs/>
          <w:sz w:val="20"/>
          <w:szCs w:val="20"/>
        </w:rPr>
        <w:t>CTD</w:t>
      </w:r>
      <w:r w:rsidRPr="00260014">
        <w:rPr>
          <w:rFonts w:ascii="Arial" w:hAnsi="Arial" w:cs="Arial"/>
          <w:sz w:val="20"/>
          <w:szCs w:val="20"/>
        </w:rPr>
        <w:tab/>
      </w:r>
      <w:r w:rsidRPr="00260014">
        <w:rPr>
          <w:rFonts w:ascii="Arial" w:hAnsi="Arial" w:cs="Arial"/>
          <w:sz w:val="20"/>
          <w:szCs w:val="20"/>
        </w:rPr>
        <w:tab/>
        <w:t>Coeficientes Técnicos de Disponibilidad</w:t>
      </w:r>
    </w:p>
    <w:p w14:paraId="11E2BCD5" w14:textId="77777777" w:rsidR="00A3029F" w:rsidRPr="00260014" w:rsidRDefault="00A3029F" w:rsidP="005668C4">
      <w:pPr>
        <w:rPr>
          <w:rFonts w:ascii="Arial" w:hAnsi="Arial" w:cs="Arial"/>
          <w:sz w:val="20"/>
          <w:szCs w:val="20"/>
        </w:rPr>
      </w:pPr>
      <w:r w:rsidRPr="00260014">
        <w:rPr>
          <w:rFonts w:ascii="Arial" w:hAnsi="Arial" w:cs="Arial"/>
          <w:b/>
          <w:bCs/>
          <w:sz w:val="20"/>
          <w:szCs w:val="20"/>
        </w:rPr>
        <w:t>DNV</w:t>
      </w:r>
      <w:r>
        <w:rPr>
          <w:rFonts w:ascii="Arial" w:hAnsi="Arial" w:cs="Arial"/>
          <w:sz w:val="20"/>
          <w:szCs w:val="20"/>
        </w:rPr>
        <w:tab/>
      </w:r>
      <w:r>
        <w:rPr>
          <w:rFonts w:ascii="Arial" w:hAnsi="Arial" w:cs="Arial"/>
          <w:sz w:val="20"/>
          <w:szCs w:val="20"/>
        </w:rPr>
        <w:tab/>
      </w:r>
      <w:r w:rsidRPr="00260014">
        <w:rPr>
          <w:rFonts w:ascii="Arial" w:hAnsi="Arial" w:cs="Arial"/>
          <w:sz w:val="20"/>
          <w:szCs w:val="20"/>
        </w:rPr>
        <w:t>Dirección Nacional de Vialidad</w:t>
      </w:r>
    </w:p>
    <w:p w14:paraId="4272E2D6" w14:textId="77777777" w:rsidR="00A3029F" w:rsidRPr="00260014" w:rsidRDefault="00A3029F" w:rsidP="005668C4">
      <w:pPr>
        <w:rPr>
          <w:rFonts w:ascii="Arial" w:hAnsi="Arial" w:cs="Arial"/>
          <w:sz w:val="20"/>
          <w:szCs w:val="20"/>
        </w:rPr>
      </w:pPr>
      <w:r w:rsidRPr="00260014">
        <w:rPr>
          <w:rFonts w:ascii="Arial" w:hAnsi="Arial" w:cs="Arial"/>
          <w:b/>
          <w:bCs/>
          <w:sz w:val="20"/>
          <w:szCs w:val="20"/>
        </w:rPr>
        <w:t>LCPPP</w:t>
      </w:r>
      <w:r w:rsidR="00B14DCC">
        <w:rPr>
          <w:rFonts w:ascii="Arial" w:hAnsi="Arial" w:cs="Arial"/>
          <w:b/>
          <w:bCs/>
          <w:sz w:val="20"/>
          <w:szCs w:val="20"/>
        </w:rPr>
        <w:t xml:space="preserve"> </w:t>
      </w:r>
      <w:r>
        <w:rPr>
          <w:rFonts w:ascii="Arial" w:hAnsi="Arial" w:cs="Arial"/>
          <w:sz w:val="20"/>
          <w:szCs w:val="20"/>
        </w:rPr>
        <w:tab/>
      </w:r>
      <w:r w:rsidRPr="00260014">
        <w:rPr>
          <w:rFonts w:ascii="Arial" w:hAnsi="Arial" w:cs="Arial"/>
          <w:sz w:val="20"/>
          <w:szCs w:val="20"/>
        </w:rPr>
        <w:t>Ley de Contratos de Participación Público Privada</w:t>
      </w:r>
    </w:p>
    <w:p w14:paraId="4C751311" w14:textId="77777777" w:rsidR="00A3029F" w:rsidRPr="00260014" w:rsidRDefault="00A3029F" w:rsidP="005668C4">
      <w:pPr>
        <w:rPr>
          <w:rFonts w:ascii="Arial" w:hAnsi="Arial" w:cs="Arial"/>
          <w:sz w:val="20"/>
          <w:szCs w:val="20"/>
        </w:rPr>
      </w:pPr>
      <w:r w:rsidRPr="00260014">
        <w:rPr>
          <w:rFonts w:ascii="Arial" w:hAnsi="Arial" w:cs="Arial"/>
          <w:b/>
          <w:bCs/>
          <w:sz w:val="20"/>
          <w:szCs w:val="20"/>
        </w:rPr>
        <w:t>MEF</w:t>
      </w:r>
      <w:r>
        <w:rPr>
          <w:rFonts w:ascii="Arial" w:hAnsi="Arial" w:cs="Arial"/>
          <w:sz w:val="20"/>
          <w:szCs w:val="20"/>
        </w:rPr>
        <w:tab/>
      </w:r>
      <w:r>
        <w:rPr>
          <w:rFonts w:ascii="Arial" w:hAnsi="Arial" w:cs="Arial"/>
          <w:sz w:val="20"/>
          <w:szCs w:val="20"/>
        </w:rPr>
        <w:tab/>
      </w:r>
      <w:r w:rsidRPr="00260014">
        <w:rPr>
          <w:rFonts w:ascii="Arial" w:hAnsi="Arial" w:cs="Arial"/>
          <w:sz w:val="20"/>
          <w:szCs w:val="20"/>
        </w:rPr>
        <w:t>Ministerio de Economía y Finanzas</w:t>
      </w:r>
    </w:p>
    <w:p w14:paraId="42695F86" w14:textId="77777777" w:rsidR="00A3029F" w:rsidRPr="00260014" w:rsidRDefault="00A3029F" w:rsidP="005668C4">
      <w:pPr>
        <w:rPr>
          <w:rFonts w:ascii="Arial" w:hAnsi="Arial" w:cs="Arial"/>
          <w:sz w:val="20"/>
          <w:szCs w:val="20"/>
        </w:rPr>
      </w:pPr>
      <w:r w:rsidRPr="00260014">
        <w:rPr>
          <w:rFonts w:ascii="Arial" w:hAnsi="Arial" w:cs="Arial"/>
          <w:b/>
          <w:bCs/>
          <w:sz w:val="20"/>
          <w:szCs w:val="20"/>
        </w:rPr>
        <w:t>MTOP</w:t>
      </w:r>
      <w:r w:rsidR="007628F2">
        <w:rPr>
          <w:rFonts w:ascii="Arial" w:hAnsi="Arial" w:cs="Arial"/>
          <w:b/>
          <w:bCs/>
          <w:sz w:val="20"/>
          <w:szCs w:val="20"/>
        </w:rPr>
        <w:t xml:space="preserve"> </w:t>
      </w:r>
      <w:r w:rsidRPr="00260014">
        <w:rPr>
          <w:rFonts w:ascii="Arial" w:hAnsi="Arial" w:cs="Arial"/>
          <w:sz w:val="20"/>
          <w:szCs w:val="20"/>
        </w:rPr>
        <w:t>Ministerio de Transporte y Obras Públicas</w:t>
      </w:r>
    </w:p>
    <w:p w14:paraId="5F82642E" w14:textId="77777777" w:rsidR="00A3029F" w:rsidRPr="00260014" w:rsidRDefault="00A3029F" w:rsidP="005668C4">
      <w:pPr>
        <w:rPr>
          <w:rFonts w:ascii="Arial" w:hAnsi="Arial" w:cs="Arial"/>
          <w:sz w:val="20"/>
          <w:szCs w:val="20"/>
        </w:rPr>
      </w:pPr>
      <w:r w:rsidRPr="00260014">
        <w:rPr>
          <w:rFonts w:ascii="Arial" w:hAnsi="Arial" w:cs="Arial"/>
          <w:b/>
          <w:bCs/>
          <w:sz w:val="20"/>
          <w:szCs w:val="20"/>
        </w:rPr>
        <w:t>OPP</w:t>
      </w:r>
      <w:r w:rsidRPr="00260014">
        <w:rPr>
          <w:rFonts w:ascii="Arial" w:hAnsi="Arial" w:cs="Arial"/>
          <w:sz w:val="20"/>
          <w:szCs w:val="20"/>
        </w:rPr>
        <w:tab/>
      </w:r>
      <w:r w:rsidRPr="00260014">
        <w:rPr>
          <w:rFonts w:ascii="Arial" w:hAnsi="Arial" w:cs="Arial"/>
          <w:sz w:val="20"/>
          <w:szCs w:val="20"/>
        </w:rPr>
        <w:tab/>
        <w:t>Oficina de Planeamiento y Presupuesto</w:t>
      </w:r>
    </w:p>
    <w:p w14:paraId="284A2403" w14:textId="77777777" w:rsidR="00A3029F" w:rsidRPr="00260014" w:rsidRDefault="00A3029F" w:rsidP="00102264">
      <w:pPr>
        <w:tabs>
          <w:tab w:val="left" w:pos="708"/>
          <w:tab w:val="left" w:pos="1416"/>
          <w:tab w:val="left" w:pos="2124"/>
          <w:tab w:val="left" w:pos="2832"/>
          <w:tab w:val="left" w:pos="3540"/>
          <w:tab w:val="left" w:pos="4248"/>
          <w:tab w:val="left" w:pos="4956"/>
          <w:tab w:val="left" w:pos="6180"/>
        </w:tabs>
        <w:rPr>
          <w:rFonts w:ascii="Arial" w:hAnsi="Arial" w:cs="Arial"/>
          <w:sz w:val="20"/>
          <w:szCs w:val="20"/>
        </w:rPr>
      </w:pPr>
      <w:r w:rsidRPr="00260014">
        <w:rPr>
          <w:rFonts w:ascii="Arial" w:hAnsi="Arial" w:cs="Arial"/>
          <w:b/>
          <w:bCs/>
          <w:sz w:val="20"/>
          <w:szCs w:val="20"/>
        </w:rPr>
        <w:t>PCA</w:t>
      </w:r>
      <w:r w:rsidR="007628F2">
        <w:rPr>
          <w:rFonts w:ascii="Arial" w:hAnsi="Arial" w:cs="Arial"/>
          <w:b/>
          <w:bCs/>
          <w:sz w:val="20"/>
          <w:szCs w:val="20"/>
        </w:rPr>
        <w:t xml:space="preserve"> </w:t>
      </w:r>
      <w:r w:rsidRPr="00260014">
        <w:rPr>
          <w:rFonts w:ascii="Arial" w:hAnsi="Arial" w:cs="Arial"/>
          <w:sz w:val="20"/>
          <w:szCs w:val="20"/>
        </w:rPr>
        <w:t>Pliego</w:t>
      </w:r>
      <w:r w:rsidR="00B14DCC">
        <w:rPr>
          <w:rFonts w:ascii="Arial" w:hAnsi="Arial" w:cs="Arial"/>
          <w:sz w:val="20"/>
          <w:szCs w:val="20"/>
        </w:rPr>
        <w:t xml:space="preserve"> </w:t>
      </w:r>
      <w:r w:rsidRPr="00260014">
        <w:rPr>
          <w:rFonts w:ascii="Arial" w:hAnsi="Arial" w:cs="Arial"/>
          <w:sz w:val="20"/>
          <w:szCs w:val="20"/>
        </w:rPr>
        <w:t>de Condiciones Administrativas</w:t>
      </w:r>
      <w:r>
        <w:rPr>
          <w:rFonts w:ascii="Arial" w:hAnsi="Arial" w:cs="Arial"/>
          <w:sz w:val="20"/>
          <w:szCs w:val="20"/>
        </w:rPr>
        <w:tab/>
      </w:r>
      <w:r>
        <w:rPr>
          <w:rFonts w:ascii="Arial" w:hAnsi="Arial" w:cs="Arial"/>
          <w:sz w:val="20"/>
          <w:szCs w:val="20"/>
        </w:rPr>
        <w:tab/>
      </w:r>
    </w:p>
    <w:p w14:paraId="3F543EC3" w14:textId="77777777" w:rsidR="00A3029F" w:rsidRPr="00260014" w:rsidRDefault="00A3029F" w:rsidP="005668C4">
      <w:pPr>
        <w:rPr>
          <w:rFonts w:ascii="Arial" w:hAnsi="Arial" w:cs="Arial"/>
          <w:sz w:val="20"/>
          <w:szCs w:val="20"/>
        </w:rPr>
      </w:pPr>
      <w:r w:rsidRPr="00260014">
        <w:rPr>
          <w:rFonts w:ascii="Arial" w:hAnsi="Arial" w:cs="Arial"/>
          <w:b/>
          <w:bCs/>
          <w:sz w:val="20"/>
          <w:szCs w:val="20"/>
        </w:rPr>
        <w:t>PCT</w:t>
      </w:r>
      <w:r w:rsidRPr="00260014">
        <w:rPr>
          <w:rFonts w:ascii="Arial" w:hAnsi="Arial" w:cs="Arial"/>
          <w:sz w:val="20"/>
          <w:szCs w:val="20"/>
        </w:rPr>
        <w:tab/>
      </w:r>
      <w:r w:rsidRPr="00260014">
        <w:rPr>
          <w:rFonts w:ascii="Arial" w:hAnsi="Arial" w:cs="Arial"/>
          <w:sz w:val="20"/>
          <w:szCs w:val="20"/>
        </w:rPr>
        <w:tab/>
        <w:t xml:space="preserve">Pliego de Condiciones Técnicas </w:t>
      </w:r>
    </w:p>
    <w:p w14:paraId="1DF8971C" w14:textId="77777777" w:rsidR="00A3029F" w:rsidRPr="00260014" w:rsidRDefault="00A3029F" w:rsidP="005668C4">
      <w:pPr>
        <w:rPr>
          <w:rFonts w:ascii="Arial" w:hAnsi="Arial" w:cs="Arial"/>
          <w:sz w:val="20"/>
          <w:szCs w:val="20"/>
        </w:rPr>
      </w:pPr>
      <w:r w:rsidRPr="00260014">
        <w:rPr>
          <w:rFonts w:ascii="Arial" w:hAnsi="Arial" w:cs="Arial"/>
          <w:b/>
          <w:bCs/>
          <w:sz w:val="20"/>
          <w:szCs w:val="20"/>
        </w:rPr>
        <w:t>PEF</w:t>
      </w:r>
      <w:r w:rsidRPr="00260014">
        <w:rPr>
          <w:rFonts w:ascii="Arial" w:hAnsi="Arial" w:cs="Arial"/>
          <w:sz w:val="20"/>
          <w:szCs w:val="20"/>
        </w:rPr>
        <w:tab/>
      </w:r>
      <w:r w:rsidRPr="00260014">
        <w:rPr>
          <w:rFonts w:ascii="Arial" w:hAnsi="Arial" w:cs="Arial"/>
          <w:sz w:val="20"/>
          <w:szCs w:val="20"/>
        </w:rPr>
        <w:tab/>
        <w:t>Plan Económico Financiero</w:t>
      </w:r>
    </w:p>
    <w:p w14:paraId="64C9BF99" w14:textId="77777777" w:rsidR="00A3029F" w:rsidRPr="00260014" w:rsidRDefault="00A3029F" w:rsidP="005668C4">
      <w:pPr>
        <w:rPr>
          <w:rFonts w:ascii="Arial" w:hAnsi="Arial" w:cs="Arial"/>
          <w:sz w:val="20"/>
          <w:szCs w:val="20"/>
        </w:rPr>
      </w:pPr>
      <w:r w:rsidRPr="00260014">
        <w:rPr>
          <w:rFonts w:ascii="Arial" w:hAnsi="Arial" w:cs="Arial"/>
          <w:b/>
          <w:bCs/>
          <w:sz w:val="20"/>
          <w:szCs w:val="20"/>
        </w:rPr>
        <w:t>PEFD</w:t>
      </w:r>
      <w:r w:rsidRPr="00260014">
        <w:rPr>
          <w:rFonts w:ascii="Arial" w:hAnsi="Arial" w:cs="Arial"/>
          <w:sz w:val="20"/>
          <w:szCs w:val="20"/>
        </w:rPr>
        <w:tab/>
      </w:r>
      <w:r w:rsidRPr="00260014">
        <w:rPr>
          <w:rFonts w:ascii="Arial" w:hAnsi="Arial" w:cs="Arial"/>
          <w:sz w:val="20"/>
          <w:szCs w:val="20"/>
        </w:rPr>
        <w:tab/>
        <w:t>Plan Económico Financiero Definitivo</w:t>
      </w:r>
    </w:p>
    <w:p w14:paraId="2AC833CA" w14:textId="77777777" w:rsidR="00A3029F" w:rsidRPr="00260014" w:rsidRDefault="00A3029F" w:rsidP="005668C4">
      <w:pPr>
        <w:rPr>
          <w:rFonts w:ascii="Arial" w:hAnsi="Arial" w:cs="Arial"/>
          <w:sz w:val="20"/>
          <w:szCs w:val="20"/>
        </w:rPr>
      </w:pPr>
      <w:r w:rsidRPr="00260014">
        <w:rPr>
          <w:rFonts w:ascii="Arial" w:hAnsi="Arial" w:cs="Arial"/>
          <w:b/>
          <w:bCs/>
          <w:sz w:val="20"/>
          <w:szCs w:val="20"/>
        </w:rPr>
        <w:t xml:space="preserve">PPD </w:t>
      </w:r>
      <w:r w:rsidRPr="00260014">
        <w:rPr>
          <w:rFonts w:ascii="Arial" w:hAnsi="Arial" w:cs="Arial"/>
          <w:sz w:val="20"/>
          <w:szCs w:val="20"/>
        </w:rPr>
        <w:tab/>
      </w:r>
      <w:r w:rsidRPr="00260014">
        <w:rPr>
          <w:rFonts w:ascii="Arial" w:hAnsi="Arial" w:cs="Arial"/>
          <w:sz w:val="20"/>
          <w:szCs w:val="20"/>
        </w:rPr>
        <w:tab/>
        <w:t xml:space="preserve">Pago por Disponibilidad </w:t>
      </w:r>
    </w:p>
    <w:p w14:paraId="5D7792BD" w14:textId="77777777" w:rsidR="00A3029F" w:rsidRPr="00260014" w:rsidRDefault="00A3029F" w:rsidP="005668C4">
      <w:pPr>
        <w:rPr>
          <w:rFonts w:ascii="Arial" w:hAnsi="Arial" w:cs="Arial"/>
          <w:sz w:val="20"/>
          <w:szCs w:val="20"/>
        </w:rPr>
      </w:pPr>
      <w:r w:rsidRPr="00260014">
        <w:rPr>
          <w:rFonts w:ascii="Arial" w:hAnsi="Arial" w:cs="Arial"/>
          <w:b/>
          <w:bCs/>
          <w:sz w:val="20"/>
          <w:szCs w:val="20"/>
        </w:rPr>
        <w:t>PPP</w:t>
      </w:r>
      <w:r>
        <w:rPr>
          <w:rFonts w:ascii="Arial" w:hAnsi="Arial" w:cs="Arial"/>
          <w:sz w:val="20"/>
          <w:szCs w:val="20"/>
        </w:rPr>
        <w:tab/>
      </w:r>
      <w:r>
        <w:rPr>
          <w:rFonts w:ascii="Arial" w:hAnsi="Arial" w:cs="Arial"/>
          <w:sz w:val="20"/>
          <w:szCs w:val="20"/>
        </w:rPr>
        <w:tab/>
      </w:r>
      <w:r w:rsidRPr="00260014">
        <w:rPr>
          <w:rFonts w:ascii="Arial" w:hAnsi="Arial" w:cs="Arial"/>
          <w:sz w:val="20"/>
          <w:szCs w:val="20"/>
        </w:rPr>
        <w:t xml:space="preserve">Participación Público </w:t>
      </w:r>
      <w:r w:rsidR="00E04806" w:rsidRPr="00260014">
        <w:rPr>
          <w:rFonts w:ascii="Arial" w:hAnsi="Arial" w:cs="Arial"/>
          <w:sz w:val="20"/>
          <w:szCs w:val="20"/>
        </w:rPr>
        <w:t>Privad</w:t>
      </w:r>
      <w:r w:rsidR="00E04806">
        <w:rPr>
          <w:rFonts w:ascii="Arial" w:hAnsi="Arial" w:cs="Arial"/>
          <w:sz w:val="20"/>
          <w:szCs w:val="20"/>
        </w:rPr>
        <w:t>a</w:t>
      </w:r>
    </w:p>
    <w:p w14:paraId="4F454C01" w14:textId="77777777" w:rsidR="00A3029F" w:rsidRPr="00260014" w:rsidRDefault="00A3029F" w:rsidP="005668C4">
      <w:pPr>
        <w:rPr>
          <w:rFonts w:ascii="Arial" w:hAnsi="Arial" w:cs="Arial"/>
          <w:sz w:val="20"/>
          <w:szCs w:val="20"/>
        </w:rPr>
      </w:pPr>
      <w:r w:rsidRPr="00260014">
        <w:rPr>
          <w:rFonts w:ascii="Arial" w:hAnsi="Arial" w:cs="Arial"/>
          <w:b/>
          <w:bCs/>
          <w:sz w:val="20"/>
          <w:szCs w:val="20"/>
        </w:rPr>
        <w:t>TIR</w:t>
      </w:r>
      <w:r w:rsidRPr="00260014">
        <w:rPr>
          <w:rFonts w:ascii="Arial" w:hAnsi="Arial" w:cs="Arial"/>
          <w:sz w:val="20"/>
          <w:szCs w:val="20"/>
        </w:rPr>
        <w:tab/>
      </w:r>
      <w:r w:rsidRPr="00260014">
        <w:rPr>
          <w:rFonts w:ascii="Arial" w:hAnsi="Arial" w:cs="Arial"/>
          <w:sz w:val="20"/>
          <w:szCs w:val="20"/>
        </w:rPr>
        <w:tab/>
        <w:t>Tasa Interna de Retorno</w:t>
      </w:r>
    </w:p>
    <w:p w14:paraId="3081990E" w14:textId="77777777" w:rsidR="00A3029F" w:rsidRPr="00260014" w:rsidRDefault="00A3029F" w:rsidP="005668C4">
      <w:pPr>
        <w:rPr>
          <w:rFonts w:ascii="Arial" w:hAnsi="Arial" w:cs="Arial"/>
          <w:sz w:val="20"/>
          <w:szCs w:val="20"/>
        </w:rPr>
      </w:pPr>
      <w:r w:rsidRPr="00260014">
        <w:rPr>
          <w:rFonts w:ascii="Arial" w:hAnsi="Arial" w:cs="Arial"/>
          <w:b/>
          <w:bCs/>
          <w:sz w:val="20"/>
          <w:szCs w:val="20"/>
          <w:lang w:eastAsia="es-ES"/>
        </w:rPr>
        <w:lastRenderedPageBreak/>
        <w:t xml:space="preserve">UPPPP </w:t>
      </w:r>
      <w:r>
        <w:rPr>
          <w:rFonts w:ascii="Arial" w:hAnsi="Arial" w:cs="Arial"/>
          <w:sz w:val="20"/>
          <w:szCs w:val="20"/>
          <w:lang w:eastAsia="es-ES"/>
        </w:rPr>
        <w:tab/>
      </w:r>
      <w:r w:rsidRPr="00260014">
        <w:rPr>
          <w:rFonts w:ascii="Arial" w:hAnsi="Arial" w:cs="Arial"/>
          <w:sz w:val="20"/>
          <w:szCs w:val="20"/>
          <w:lang w:eastAsia="es-ES"/>
        </w:rPr>
        <w:t xml:space="preserve">Unidad de Proyectos de Participación Público </w:t>
      </w:r>
      <w:r w:rsidR="00E04806" w:rsidRPr="00260014">
        <w:rPr>
          <w:rFonts w:ascii="Arial" w:hAnsi="Arial" w:cs="Arial"/>
          <w:sz w:val="20"/>
          <w:szCs w:val="20"/>
          <w:lang w:eastAsia="es-ES"/>
        </w:rPr>
        <w:t>Privad</w:t>
      </w:r>
      <w:r w:rsidR="00E04806">
        <w:rPr>
          <w:rFonts w:ascii="Arial" w:hAnsi="Arial" w:cs="Arial"/>
          <w:sz w:val="20"/>
          <w:szCs w:val="20"/>
          <w:lang w:eastAsia="es-ES"/>
        </w:rPr>
        <w:t>a</w:t>
      </w:r>
    </w:p>
    <w:p w14:paraId="76D98DFE" w14:textId="77777777" w:rsidR="00A3029F" w:rsidRDefault="00A3029F" w:rsidP="005668C4">
      <w:pPr>
        <w:rPr>
          <w:rFonts w:ascii="Arial" w:hAnsi="Arial" w:cs="Arial"/>
          <w:sz w:val="20"/>
          <w:szCs w:val="20"/>
        </w:rPr>
      </w:pPr>
      <w:r w:rsidRPr="00260014">
        <w:rPr>
          <w:rFonts w:ascii="Arial" w:hAnsi="Arial" w:cs="Arial"/>
          <w:b/>
          <w:bCs/>
          <w:sz w:val="20"/>
          <w:szCs w:val="20"/>
        </w:rPr>
        <w:t>VAN</w:t>
      </w:r>
      <w:r w:rsidRPr="00260014">
        <w:rPr>
          <w:rFonts w:ascii="Arial" w:hAnsi="Arial" w:cs="Arial"/>
          <w:sz w:val="20"/>
          <w:szCs w:val="20"/>
        </w:rPr>
        <w:tab/>
      </w:r>
      <w:r w:rsidRPr="00260014">
        <w:rPr>
          <w:rFonts w:ascii="Arial" w:hAnsi="Arial" w:cs="Arial"/>
          <w:sz w:val="20"/>
          <w:szCs w:val="20"/>
        </w:rPr>
        <w:tab/>
        <w:t>Valor Anual Neto</w:t>
      </w:r>
    </w:p>
    <w:sectPr w:rsidR="00A3029F" w:rsidSect="00B238CC">
      <w:headerReference w:type="even" r:id="rId194"/>
      <w:headerReference w:type="default" r:id="rId195"/>
      <w:footerReference w:type="default" r:id="rId196"/>
      <w:headerReference w:type="first" r:id="rId197"/>
      <w:pgSz w:w="11906" w:h="16838" w:code="9"/>
      <w:pgMar w:top="1560" w:right="1701" w:bottom="1701" w:left="1701" w:header="964" w:footer="113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DC716" w14:textId="77777777" w:rsidR="00931785" w:rsidRDefault="00931785" w:rsidP="00775B3F">
      <w:pPr>
        <w:spacing w:after="0" w:line="240" w:lineRule="auto"/>
        <w:rPr>
          <w:rFonts w:cs="Times New Roman"/>
        </w:rPr>
      </w:pPr>
      <w:r>
        <w:rPr>
          <w:rFonts w:cs="Times New Roman"/>
        </w:rPr>
        <w:separator/>
      </w:r>
    </w:p>
  </w:endnote>
  <w:endnote w:type="continuationSeparator" w:id="0">
    <w:p w14:paraId="05B8FE20" w14:textId="77777777" w:rsidR="00931785" w:rsidRDefault="00931785" w:rsidP="00775B3F">
      <w:pPr>
        <w:spacing w:after="0" w:line="240" w:lineRule="auto"/>
        <w:rPr>
          <w:rFonts w:cs="Times New Roman"/>
        </w:rPr>
      </w:pPr>
      <w:r>
        <w:rPr>
          <w:rFonts w:cs="Times New Roman"/>
        </w:rPr>
        <w:continuationSeparator/>
      </w:r>
    </w:p>
  </w:endnote>
  <w:endnote w:type="continuationNotice" w:id="1">
    <w:p w14:paraId="1E027CFF" w14:textId="77777777" w:rsidR="00931785" w:rsidRDefault="009317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287" w:usb1="00000000" w:usb2="00000000" w:usb3="00000000" w:csb0="0000009F" w:csb1="00000000"/>
  </w:font>
  <w:font w:name="CG Times">
    <w:altName w:val="Times New Roman"/>
    <w:charset w:val="00"/>
    <w:family w:val="roman"/>
    <w:pitch w:val="variable"/>
    <w:sig w:usb0="00000287" w:usb1="00000000" w:usb2="00000000" w:usb3="00000000" w:csb0="0000009F" w:csb1="00000000"/>
  </w:font>
  <w:font w:name="CommercialPi BT">
    <w:panose1 w:val="0502010201020608080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Frutiger-Light">
    <w:panose1 w:val="00000000000000000000"/>
    <w:charset w:val="00"/>
    <w:family w:val="auto"/>
    <w:notTrueType/>
    <w:pitch w:val="variable"/>
    <w:sig w:usb0="00000003" w:usb1="00000000" w:usb2="00000000" w:usb3="00000000" w:csb0="00000001" w:csb1="00000000"/>
  </w:font>
  <w:font w:name="Times New Roman Negrita">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hoestring SSi">
    <w:altName w:val="MV Bol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BADC7" w14:textId="77777777" w:rsidR="00B70119" w:rsidRDefault="00B70119">
    <w:pPr>
      <w:pStyle w:val="Piedepgina"/>
      <w:jc w:val="right"/>
      <w:rPr>
        <w:rFonts w:cs="Times New Roman"/>
      </w:rPr>
    </w:pPr>
    <w:r>
      <w:fldChar w:fldCharType="begin"/>
    </w:r>
    <w:r>
      <w:instrText xml:space="preserve"> PAGE   \* MERGEFORMAT </w:instrText>
    </w:r>
    <w:r>
      <w:fldChar w:fldCharType="separate"/>
    </w:r>
    <w:r w:rsidR="000D7A3A">
      <w:rPr>
        <w:noProof/>
      </w:rPr>
      <w:t>i</w:t>
    </w:r>
    <w:r>
      <w:rPr>
        <w:noProof/>
      </w:rPr>
      <w:fldChar w:fldCharType="end"/>
    </w:r>
  </w:p>
  <w:p w14:paraId="072697DE" w14:textId="77777777" w:rsidR="00B70119" w:rsidRDefault="00B70119">
    <w:pPr>
      <w:pStyle w:val="Piedepgina"/>
      <w:rPr>
        <w:rFonts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51058" w14:textId="77777777" w:rsidR="00B70119" w:rsidRPr="00C43DC3" w:rsidRDefault="00B70119">
    <w:pPr>
      <w:pStyle w:val="Piedepgina"/>
      <w:jc w:val="right"/>
      <w:rPr>
        <w:rFonts w:cs="Times New Roman"/>
        <w:sz w:val="24"/>
        <w:szCs w:val="24"/>
      </w:rPr>
    </w:pPr>
    <w:r>
      <w:fldChar w:fldCharType="begin"/>
    </w:r>
    <w:r>
      <w:instrText xml:space="preserve"> PAGE   \* MERGEFORMAT </w:instrText>
    </w:r>
    <w:r>
      <w:fldChar w:fldCharType="separate"/>
    </w:r>
    <w:r w:rsidR="006E4555">
      <w:rPr>
        <w:noProof/>
      </w:rPr>
      <w:t>212</w:t>
    </w:r>
    <w:r>
      <w:rPr>
        <w:noProof/>
      </w:rPr>
      <w:fldChar w:fldCharType="end"/>
    </w:r>
  </w:p>
  <w:p w14:paraId="3500D490" w14:textId="77777777" w:rsidR="00B70119" w:rsidRPr="00A650B2" w:rsidRDefault="00B70119" w:rsidP="00C72F7D">
    <w:pPr>
      <w:pStyle w:val="Piedepgina"/>
      <w:tabs>
        <w:tab w:val="clear" w:pos="4252"/>
        <w:tab w:val="clear" w:pos="8504"/>
        <w:tab w:val="left" w:pos="1928"/>
      </w:tabs>
      <w:rPr>
        <w:rFonts w:cs="Times New Roman"/>
        <w:sz w:val="18"/>
        <w:szCs w:val="18"/>
      </w:rPr>
    </w:pPr>
    <w:r>
      <w:rPr>
        <w:rFonts w:cs="Times New Roman"/>
        <w:sz w:val="18"/>
        <w:szCs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010AE" w14:textId="77777777" w:rsidR="00B70119" w:rsidRDefault="00B70119">
    <w:pPr>
      <w:pStyle w:val="Piedepgina"/>
      <w:jc w:val="right"/>
      <w:rPr>
        <w:rFonts w:cs="Times New Roman"/>
      </w:rPr>
    </w:pPr>
    <w:r>
      <w:fldChar w:fldCharType="begin"/>
    </w:r>
    <w:r>
      <w:instrText xml:space="preserve"> PAGE   \* MERGEFORMAT </w:instrText>
    </w:r>
    <w:r>
      <w:fldChar w:fldCharType="separate"/>
    </w:r>
    <w:r w:rsidR="006E4555">
      <w:rPr>
        <w:noProof/>
      </w:rPr>
      <w:t>226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39FC8" w14:textId="77777777" w:rsidR="00B70119" w:rsidRDefault="00B7011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23621" w14:textId="77777777" w:rsidR="00B70119" w:rsidRPr="009355B7" w:rsidRDefault="00B70119" w:rsidP="009355B7">
    <w:pPr>
      <w:pStyle w:val="Piedepgina"/>
      <w:jc w:val="right"/>
      <w:rPr>
        <w:rFonts w:cs="Times New Roman"/>
        <w:sz w:val="32"/>
        <w:szCs w:val="32"/>
      </w:rPr>
    </w:pPr>
    <w:r>
      <w:fldChar w:fldCharType="begin"/>
    </w:r>
    <w:r>
      <w:instrText xml:space="preserve"> PAGE   \* MERGEFORMAT </w:instrText>
    </w:r>
    <w:r>
      <w:fldChar w:fldCharType="separate"/>
    </w:r>
    <w:r w:rsidR="006E4555">
      <w:rPr>
        <w:noProof/>
      </w:rPr>
      <w:t>98</w:t>
    </w:r>
    <w:r>
      <w:rPr>
        <w:noProof/>
      </w:rPr>
      <w:fldChar w:fldCharType="end"/>
    </w:r>
  </w:p>
  <w:p w14:paraId="6A33452F" w14:textId="77777777" w:rsidR="00B70119" w:rsidRDefault="00B70119">
    <w:pPr>
      <w:pStyle w:val="Piedepgina"/>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4E006" w14:textId="77777777" w:rsidR="00B70119" w:rsidRPr="009355B7" w:rsidRDefault="00B70119" w:rsidP="009355B7">
    <w:pPr>
      <w:pStyle w:val="Piedepgina"/>
      <w:jc w:val="right"/>
      <w:rPr>
        <w:rFonts w:cs="Times New Roman"/>
        <w:sz w:val="32"/>
        <w:szCs w:val="32"/>
      </w:rPr>
    </w:pPr>
    <w:r>
      <w:fldChar w:fldCharType="begin"/>
    </w:r>
    <w:r>
      <w:instrText xml:space="preserve"> PAGE   \* MERGEFORMAT </w:instrText>
    </w:r>
    <w:r>
      <w:fldChar w:fldCharType="separate"/>
    </w:r>
    <w:r w:rsidR="006E4555">
      <w:rPr>
        <w:noProof/>
      </w:rPr>
      <w:t>100</w:t>
    </w:r>
    <w:r>
      <w:rPr>
        <w:noProof/>
      </w:rPr>
      <w:fldChar w:fldCharType="end"/>
    </w:r>
  </w:p>
  <w:p w14:paraId="3D92FB74" w14:textId="77777777" w:rsidR="00B70119" w:rsidRDefault="00B70119">
    <w:pPr>
      <w:pStyle w:val="Piedepgina"/>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CC5E1" w14:textId="77777777" w:rsidR="00B70119" w:rsidRPr="009355B7" w:rsidRDefault="00B70119">
    <w:pPr>
      <w:pStyle w:val="Piedepgina"/>
      <w:jc w:val="right"/>
      <w:rPr>
        <w:rFonts w:cs="Times New Roman"/>
        <w:sz w:val="32"/>
        <w:szCs w:val="32"/>
      </w:rPr>
    </w:pPr>
    <w:r>
      <w:fldChar w:fldCharType="begin"/>
    </w:r>
    <w:r>
      <w:instrText xml:space="preserve"> PAGE   \* MERGEFORMAT </w:instrText>
    </w:r>
    <w:r>
      <w:fldChar w:fldCharType="separate"/>
    </w:r>
    <w:r w:rsidR="006E4555">
      <w:rPr>
        <w:noProof/>
      </w:rPr>
      <w:t>130</w:t>
    </w:r>
    <w:r>
      <w:rPr>
        <w:noProof/>
      </w:rPr>
      <w:fldChar w:fldCharType="end"/>
    </w:r>
  </w:p>
  <w:p w14:paraId="34D0316A" w14:textId="77777777" w:rsidR="00B70119" w:rsidRDefault="00B70119">
    <w:pPr>
      <w:pStyle w:val="Piedepgina"/>
      <w:rPr>
        <w:rFonts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DD450" w14:textId="77777777" w:rsidR="00B70119" w:rsidRPr="009355B7" w:rsidRDefault="00B70119" w:rsidP="00E94796">
    <w:pPr>
      <w:jc w:val="right"/>
      <w:rPr>
        <w:rFonts w:cs="Times New Roman"/>
      </w:rPr>
    </w:pPr>
    <w:r w:rsidRPr="009355B7">
      <w:rPr>
        <w:rStyle w:val="Nmerodepgina"/>
      </w:rPr>
      <w:fldChar w:fldCharType="begin"/>
    </w:r>
    <w:r w:rsidRPr="009355B7">
      <w:rPr>
        <w:rStyle w:val="Nmerodepgina"/>
      </w:rPr>
      <w:instrText xml:space="preserve"> PAGE </w:instrText>
    </w:r>
    <w:r w:rsidRPr="009355B7">
      <w:rPr>
        <w:rStyle w:val="Nmerodepgina"/>
      </w:rPr>
      <w:fldChar w:fldCharType="separate"/>
    </w:r>
    <w:r w:rsidR="006E4555">
      <w:rPr>
        <w:rStyle w:val="Nmerodepgina"/>
        <w:noProof/>
      </w:rPr>
      <w:t>154</w:t>
    </w:r>
    <w:r w:rsidRPr="009355B7">
      <w:rPr>
        <w:rStyle w:val="Nmerodepgin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91C52" w14:textId="77777777" w:rsidR="00B70119" w:rsidRPr="00C43DC3" w:rsidRDefault="00B70119" w:rsidP="00CD7956">
    <w:pPr>
      <w:jc w:val="right"/>
      <w:rPr>
        <w:rFonts w:cs="Times New Roman"/>
      </w:rPr>
    </w:pPr>
    <w:r w:rsidRPr="00C43DC3">
      <w:rPr>
        <w:rStyle w:val="Nmerodepgina"/>
      </w:rPr>
      <w:fldChar w:fldCharType="begin"/>
    </w:r>
    <w:r w:rsidRPr="00C43DC3">
      <w:rPr>
        <w:rStyle w:val="Nmerodepgina"/>
      </w:rPr>
      <w:instrText xml:space="preserve"> PAGE </w:instrText>
    </w:r>
    <w:r w:rsidRPr="00C43DC3">
      <w:rPr>
        <w:rStyle w:val="Nmerodepgina"/>
      </w:rPr>
      <w:fldChar w:fldCharType="separate"/>
    </w:r>
    <w:r w:rsidR="006E4555">
      <w:rPr>
        <w:rStyle w:val="Nmerodepgina"/>
        <w:noProof/>
      </w:rPr>
      <w:t>163</w:t>
    </w:r>
    <w:r w:rsidRPr="00C43DC3">
      <w:rPr>
        <w:rStyle w:val="Nmerodepgin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FE20F" w14:textId="77777777" w:rsidR="00B70119" w:rsidRDefault="00B70119">
    <w:pPr>
      <w:pStyle w:val="Piedepgina"/>
      <w:jc w:val="right"/>
      <w:rPr>
        <w:rFonts w:cs="Times New Roman"/>
      </w:rPr>
    </w:pPr>
    <w:r>
      <w:fldChar w:fldCharType="begin"/>
    </w:r>
    <w:r>
      <w:instrText xml:space="preserve"> PAGE   \* MERGEFORMAT </w:instrText>
    </w:r>
    <w:r>
      <w:fldChar w:fldCharType="separate"/>
    </w:r>
    <w:r w:rsidR="006E4555">
      <w:rPr>
        <w:noProof/>
      </w:rPr>
      <w:t>169</w:t>
    </w:r>
    <w:r>
      <w:rPr>
        <w:noProof/>
      </w:rPr>
      <w:fldChar w:fldCharType="end"/>
    </w:r>
  </w:p>
  <w:p w14:paraId="39501D2F" w14:textId="77777777" w:rsidR="00B70119" w:rsidRPr="00CF4F94" w:rsidRDefault="00B70119" w:rsidP="004D631B">
    <w:pPr>
      <w:pStyle w:val="Piedepgina"/>
      <w:jc w:val="right"/>
      <w:rPr>
        <w:rFonts w:cs="Times New Roma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378D9" w14:textId="77777777" w:rsidR="00B70119" w:rsidRPr="00375A57" w:rsidRDefault="00B70119" w:rsidP="004D631B">
    <w:pPr>
      <w:pStyle w:val="Piedepgina"/>
      <w:jc w:val="right"/>
      <w:rPr>
        <w:rFonts w:cs="Times New Roman"/>
      </w:rPr>
    </w:pPr>
    <w:r>
      <w:fldChar w:fldCharType="begin"/>
    </w:r>
    <w:r>
      <w:instrText xml:space="preserve"> PAGE   \* MERGEFORMAT </w:instrText>
    </w:r>
    <w:r>
      <w:fldChar w:fldCharType="separate"/>
    </w:r>
    <w:r w:rsidR="006E4555">
      <w:rPr>
        <w:noProof/>
      </w:rPr>
      <w:t>172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D8ED0" w14:textId="77777777" w:rsidR="00931785" w:rsidRDefault="00931785" w:rsidP="00775B3F">
      <w:pPr>
        <w:spacing w:after="0" w:line="240" w:lineRule="auto"/>
        <w:rPr>
          <w:rFonts w:cs="Times New Roman"/>
        </w:rPr>
      </w:pPr>
      <w:r>
        <w:rPr>
          <w:rFonts w:cs="Times New Roman"/>
        </w:rPr>
        <w:separator/>
      </w:r>
    </w:p>
  </w:footnote>
  <w:footnote w:type="continuationSeparator" w:id="0">
    <w:p w14:paraId="53CB35DA" w14:textId="77777777" w:rsidR="00931785" w:rsidRDefault="00931785" w:rsidP="00775B3F">
      <w:pPr>
        <w:spacing w:after="0" w:line="240" w:lineRule="auto"/>
        <w:rPr>
          <w:rFonts w:cs="Times New Roman"/>
        </w:rPr>
      </w:pPr>
      <w:r>
        <w:rPr>
          <w:rFonts w:cs="Times New Roman"/>
        </w:rPr>
        <w:continuationSeparator/>
      </w:r>
    </w:p>
  </w:footnote>
  <w:footnote w:type="continuationNotice" w:id="1">
    <w:p w14:paraId="1A140126" w14:textId="77777777" w:rsidR="00931785" w:rsidRDefault="00931785">
      <w:pPr>
        <w:spacing w:after="0" w:line="240" w:lineRule="auto"/>
      </w:pPr>
    </w:p>
  </w:footnote>
  <w:footnote w:id="2">
    <w:p w14:paraId="5FE5E50D" w14:textId="77777777" w:rsidR="00B70119" w:rsidRPr="00A1166B" w:rsidRDefault="00B70119">
      <w:pPr>
        <w:pStyle w:val="Textonotapie"/>
        <w:rPr>
          <w:rFonts w:ascii="Arial" w:hAnsi="Arial" w:cs="Arial"/>
          <w:sz w:val="16"/>
          <w:szCs w:val="16"/>
        </w:rPr>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se obtenga antes</w:t>
      </w:r>
      <w:r w:rsidRPr="00A1166B">
        <w:rPr>
          <w:rFonts w:ascii="Arial" w:hAnsi="Arial" w:cs="Arial"/>
          <w:sz w:val="16"/>
          <w:szCs w:val="16"/>
        </w:rPr>
        <w:t xml:space="preserve"> de la adjudicación definitiva</w:t>
      </w:r>
      <w:r>
        <w:rPr>
          <w:rFonts w:ascii="Arial" w:hAnsi="Arial" w:cs="Arial"/>
          <w:sz w:val="16"/>
          <w:szCs w:val="16"/>
        </w:rPr>
        <w:t>.</w:t>
      </w:r>
    </w:p>
  </w:footnote>
  <w:footnote w:id="3">
    <w:p w14:paraId="119117B7" w14:textId="77777777" w:rsidR="00B70119" w:rsidRPr="00A1166B" w:rsidRDefault="00B70119">
      <w:pPr>
        <w:pStyle w:val="Textonotapie"/>
        <w:rPr>
          <w:rFonts w:ascii="Arial" w:hAnsi="Arial" w:cs="Arial"/>
          <w:sz w:val="16"/>
          <w:szCs w:val="16"/>
        </w:rPr>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se obtenga antes</w:t>
      </w:r>
      <w:r w:rsidRPr="00A1166B">
        <w:rPr>
          <w:rFonts w:ascii="Arial" w:hAnsi="Arial" w:cs="Arial"/>
          <w:sz w:val="16"/>
          <w:szCs w:val="16"/>
        </w:rPr>
        <w:t xml:space="preserve"> de la adjudicación definitiva</w:t>
      </w:r>
      <w:r>
        <w:rPr>
          <w:rFonts w:ascii="Arial" w:hAnsi="Arial" w:cs="Arial"/>
          <w:sz w:val="16"/>
          <w:szCs w:val="16"/>
        </w:rPr>
        <w:t>.</w:t>
      </w:r>
    </w:p>
  </w:footnote>
  <w:footnote w:id="4">
    <w:p w14:paraId="064781DA" w14:textId="77777777" w:rsidR="00B70119" w:rsidRDefault="00B70119">
      <w:pPr>
        <w:pStyle w:val="Textonotapie"/>
      </w:pPr>
      <w:r w:rsidRPr="00A1166B">
        <w:rPr>
          <w:rStyle w:val="Refdenotaalpie"/>
          <w:rFonts w:ascii="Arial" w:hAnsi="Arial" w:cs="Arial"/>
          <w:sz w:val="16"/>
          <w:szCs w:val="16"/>
        </w:rPr>
        <w:footnoteRef/>
      </w:r>
      <w:r w:rsidRPr="00A1166B">
        <w:rPr>
          <w:rFonts w:ascii="Arial" w:hAnsi="Arial" w:cs="Arial"/>
          <w:sz w:val="16"/>
          <w:szCs w:val="16"/>
        </w:rPr>
        <w:t xml:space="preserve"> En caso de reválida se admitirá que la misma </w:t>
      </w:r>
      <w:r>
        <w:rPr>
          <w:rFonts w:ascii="Arial" w:hAnsi="Arial" w:cs="Arial"/>
          <w:sz w:val="16"/>
          <w:szCs w:val="16"/>
        </w:rPr>
        <w:t xml:space="preserve">se obtenga antes de </w:t>
      </w:r>
      <w:r w:rsidRPr="00A1166B">
        <w:rPr>
          <w:rFonts w:ascii="Arial" w:hAnsi="Arial" w:cs="Arial"/>
          <w:sz w:val="16"/>
          <w:szCs w:val="16"/>
        </w:rPr>
        <w:t>la adjudicación definitiva</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4D3C" w14:textId="5316A9EC" w:rsidR="00B70119" w:rsidRDefault="00B70119" w:rsidP="004D631B">
    <w:pPr>
      <w:pStyle w:val="Encabezado"/>
      <w:jc w:val="center"/>
    </w:pPr>
    <w:r>
      <w:t>PLIEGO DE CONDICIONES – PROYECTO “CORREDORES VIALES – CIRCUITO 6”</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438C7" w14:textId="77777777" w:rsidR="00B70119" w:rsidRDefault="00B70119" w:rsidP="00DA4AC5">
    <w:pPr>
      <w:pStyle w:val="Encabezado"/>
      <w:jc w:val="center"/>
    </w:pPr>
    <w:r w:rsidRPr="00CE0678">
      <w:t>PLIEGO DE CONDICIONES – PROYECTO</w:t>
    </w:r>
    <w:r>
      <w:t xml:space="preserve"> “CORREDORES VIALES – CIRCUITO 6”</w:t>
    </w:r>
  </w:p>
  <w:p w14:paraId="383FED82" w14:textId="43ED9F67" w:rsidR="00B70119" w:rsidRPr="008E7FA3" w:rsidRDefault="00B70119" w:rsidP="008E7FA3">
    <w:pPr>
      <w:pStyle w:val="Encabezad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BBD4C" w14:textId="77777777" w:rsidR="00B70119" w:rsidRDefault="00B70119">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41012" w14:textId="77777777" w:rsidR="00B70119" w:rsidRDefault="00B70119">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3E1E" w14:textId="77777777" w:rsidR="00B70119" w:rsidRDefault="00B70119" w:rsidP="00D55A9C">
    <w:pPr>
      <w:pStyle w:val="Encabezado"/>
      <w:jc w:val="center"/>
    </w:pPr>
    <w:r>
      <w:t>PLIEGO DE CONDICIONES – PROYECTO “CORREDORES VIALES – CIRCUITO 6”</w:t>
    </w:r>
  </w:p>
  <w:p w14:paraId="1444D29A" w14:textId="77777777" w:rsidR="00B70119" w:rsidRPr="00DA4AC5" w:rsidRDefault="00B70119" w:rsidP="00D55A9C">
    <w:pPr>
      <w:pStyle w:val="Encabezado"/>
    </w:pPr>
  </w:p>
  <w:p w14:paraId="2F501F49" w14:textId="77777777" w:rsidR="00B70119" w:rsidRPr="0068309A" w:rsidRDefault="00B70119" w:rsidP="0068309A">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57C71" w14:textId="77777777" w:rsidR="00B70119" w:rsidRDefault="00B70119">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E3941" w14:textId="77777777" w:rsidR="00B70119" w:rsidRDefault="00B70119">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C683E" w14:textId="387048FD" w:rsidR="00B70119" w:rsidRPr="008E7FA3" w:rsidRDefault="00B70119" w:rsidP="002860CE">
    <w:pPr>
      <w:pStyle w:val="Encabezado"/>
      <w:jc w:val="center"/>
    </w:pPr>
    <w:r w:rsidRPr="00CE0678">
      <w:t>PLIEGO DE CONDICIONES – PROYECTO</w:t>
    </w:r>
    <w:r>
      <w:t xml:space="preserve"> “CORREDORES VIALES – CIRCUITO 6</w:t>
    </w:r>
    <w:r w:rsidRPr="00CE0678">
      <w:t>”</w:t>
    </w:r>
  </w:p>
  <w:p w14:paraId="23861364" w14:textId="77777777" w:rsidR="00B70119" w:rsidRPr="00DA4AC5" w:rsidRDefault="00B70119" w:rsidP="00D55A9C">
    <w:pPr>
      <w:pStyle w:val="Encabezado"/>
    </w:pPr>
  </w:p>
  <w:p w14:paraId="3C77CA7F" w14:textId="77777777" w:rsidR="00B70119" w:rsidRPr="0068309A" w:rsidRDefault="00B70119" w:rsidP="0068309A">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96ED6" w14:textId="77777777" w:rsidR="00B70119" w:rsidRDefault="00B70119">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267AA" w14:textId="77777777" w:rsidR="00B70119" w:rsidRDefault="00B70119">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FA13" w14:textId="34DCC8A6" w:rsidR="00B70119" w:rsidRPr="008E7FA3" w:rsidRDefault="00B70119" w:rsidP="00976F0D">
    <w:pPr>
      <w:pStyle w:val="Encabezado"/>
      <w:jc w:val="center"/>
    </w:pPr>
    <w:r w:rsidRPr="00CE0678">
      <w:t>PLIEGO DE CONDICIONES – PROYECTO</w:t>
    </w:r>
    <w:r>
      <w:t xml:space="preserve"> “CORREDORES VIALES – CIRCUITO 6</w:t>
    </w:r>
    <w:r w:rsidRPr="00CE0678">
      <w:t>”</w:t>
    </w:r>
  </w:p>
  <w:p w14:paraId="42468F9B" w14:textId="77777777" w:rsidR="00B70119" w:rsidRPr="00084EE9" w:rsidRDefault="00B70119" w:rsidP="00084EE9">
    <w:pPr>
      <w:pStyle w:val="Encabezado"/>
      <w:rPr>
        <w:lang w:val="es-ES"/>
      </w:rPr>
    </w:pPr>
  </w:p>
  <w:p w14:paraId="28000BF2" w14:textId="77777777" w:rsidR="00B70119" w:rsidRPr="002E4E23" w:rsidRDefault="00B70119" w:rsidP="004D631B">
    <w:pPr>
      <w:pStyle w:val="Encabezado"/>
      <w:rPr>
        <w:rFonts w:cs="Times New Roman"/>
      </w:rPr>
    </w:pPr>
  </w:p>
  <w:p w14:paraId="24D70634" w14:textId="77777777" w:rsidR="00B70119" w:rsidRDefault="00B70119">
    <w:pP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16A75" w14:textId="10B01778" w:rsidR="00B70119" w:rsidRDefault="00B70119" w:rsidP="007B7A61">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73533" w14:textId="77777777" w:rsidR="00B70119" w:rsidRDefault="00B70119">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67859" w14:textId="77777777" w:rsidR="00B70119" w:rsidRDefault="00B70119">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E2110" w14:textId="2A193F39" w:rsidR="00B70119" w:rsidRPr="008E7FA3" w:rsidRDefault="00B70119" w:rsidP="00976F0D">
    <w:pPr>
      <w:pStyle w:val="Encabezado"/>
      <w:jc w:val="center"/>
    </w:pPr>
    <w:r w:rsidRPr="00CE0678">
      <w:t>PLIEGO DE CONDICIONES – PROYECTO</w:t>
    </w:r>
    <w:r>
      <w:t xml:space="preserve"> “CORREDORES VIALES – CIRCUITO 6</w:t>
    </w:r>
    <w:r w:rsidRPr="00CE0678">
      <w:t>”</w:t>
    </w:r>
  </w:p>
  <w:p w14:paraId="2F64495A" w14:textId="77777777" w:rsidR="00B70119" w:rsidRPr="00DA4AC5" w:rsidRDefault="00B70119" w:rsidP="00D55A9C">
    <w:pPr>
      <w:pStyle w:val="Encabezado"/>
    </w:pPr>
  </w:p>
  <w:p w14:paraId="0E173A8F" w14:textId="77777777" w:rsidR="00B70119" w:rsidRDefault="00B70119">
    <w:pPr>
      <w:pStyle w:val="Encabezado"/>
      <w:rPr>
        <w:rFonts w:cs="Times New Roman"/>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C853C" w14:textId="77777777" w:rsidR="00B70119" w:rsidRDefault="00B70119">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9C2B1" w14:textId="77777777" w:rsidR="00B70119" w:rsidRDefault="00B70119">
    <w:pPr>
      <w:pStyle w:val="Encabezad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F0331" w14:textId="1A938042" w:rsidR="00B70119" w:rsidRPr="008E7FA3" w:rsidRDefault="00B70119" w:rsidP="00976F0D">
    <w:pPr>
      <w:pStyle w:val="Encabezado"/>
      <w:jc w:val="center"/>
    </w:pPr>
    <w:r w:rsidRPr="00CE0678">
      <w:t>PLIEGO DE CONDICIONES – PROYECTO</w:t>
    </w:r>
    <w:r>
      <w:t xml:space="preserve"> “CORREDORES VIALES – CIRCUITO 6</w:t>
    </w:r>
    <w:r w:rsidRPr="00CE0678">
      <w:t>”</w:t>
    </w:r>
  </w:p>
  <w:p w14:paraId="1FEA3084" w14:textId="77777777" w:rsidR="00B70119" w:rsidRDefault="00B70119">
    <w:pPr>
      <w:pStyle w:val="Encabezado"/>
      <w:rPr>
        <w:rFonts w:cs="Times New Roman"/>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793A4" w14:textId="77777777" w:rsidR="00B70119" w:rsidRDefault="00B70119">
    <w:pPr>
      <w:pStyle w:val="Encabezad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FFEBB" w14:textId="77777777" w:rsidR="00B70119" w:rsidRDefault="00B70119">
    <w:pPr>
      <w:pStyle w:val="Encabezad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E0B91" w14:textId="41BFF859" w:rsidR="00B70119" w:rsidRPr="008E7FA3" w:rsidRDefault="00B70119" w:rsidP="00976F0D">
    <w:pPr>
      <w:pStyle w:val="Encabezado"/>
      <w:jc w:val="center"/>
    </w:pPr>
    <w:r w:rsidRPr="00CE0678">
      <w:t>PLIEGO DE CONDICIONES – PROYECTO</w:t>
    </w:r>
    <w:r>
      <w:t xml:space="preserve"> “CORREDORES VIALES – CIRCUITO 6</w:t>
    </w:r>
    <w:r w:rsidRPr="00CE0678">
      <w:t>”</w:t>
    </w:r>
  </w:p>
  <w:p w14:paraId="5D4EBBFA" w14:textId="77777777" w:rsidR="00B70119" w:rsidRPr="00976F0D" w:rsidRDefault="00B70119" w:rsidP="00976F0D">
    <w:pPr>
      <w:pStyle w:val="Encabezad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D6F0D" w14:textId="77777777" w:rsidR="00B70119" w:rsidRDefault="00B7011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1771C" w14:textId="77777777" w:rsidR="00B70119" w:rsidRDefault="00B70119">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065CF" w14:textId="77777777" w:rsidR="00B70119" w:rsidRDefault="00B70119">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1ACE4" w14:textId="41CF1C2A" w:rsidR="00B70119" w:rsidRPr="008E7FA3" w:rsidRDefault="00B70119" w:rsidP="00976F0D">
    <w:pPr>
      <w:pStyle w:val="Encabezado"/>
      <w:jc w:val="center"/>
    </w:pPr>
    <w:r w:rsidRPr="00CE0678">
      <w:t>PLIEGO DE CONDICIONES – PROYECTO</w:t>
    </w:r>
    <w:r>
      <w:t xml:space="preserve"> “CORREDORES VIALES – CIRCUITO 6</w:t>
    </w:r>
    <w:r w:rsidRPr="00CE0678">
      <w:t>”</w:t>
    </w:r>
  </w:p>
  <w:p w14:paraId="08628B16" w14:textId="77777777" w:rsidR="00B70119" w:rsidRPr="00976F0D" w:rsidRDefault="00B70119" w:rsidP="00976F0D">
    <w:pPr>
      <w:pStyle w:val="Encabezad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1B800" w14:textId="77777777" w:rsidR="00B70119" w:rsidRDefault="00B701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64FE8" w14:textId="61A1B79E" w:rsidR="00B70119" w:rsidRPr="00084EE9" w:rsidRDefault="00B70119" w:rsidP="00084EE9">
    <w:pPr>
      <w:pStyle w:val="Encabezado"/>
      <w:jc w:val="center"/>
    </w:pPr>
    <w:r w:rsidRPr="00084EE9">
      <w:rPr>
        <w:lang w:val="es-ES"/>
      </w:rPr>
      <w:t xml:space="preserve">PLIEGO DE CONDICIONES – PROYECTO “CORREDORES VIALES – CIRCUITO </w:t>
    </w:r>
    <w:r>
      <w:t>6</w:t>
    </w:r>
    <w:r w:rsidRPr="00084EE9">
      <w:t>”</w:t>
    </w:r>
  </w:p>
  <w:p w14:paraId="1F645B76" w14:textId="77777777" w:rsidR="00B70119" w:rsidRPr="00CE0678" w:rsidRDefault="00B70119" w:rsidP="00CE067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FE3CB" w14:textId="77777777" w:rsidR="00B70119" w:rsidRDefault="00B7011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69D56" w14:textId="77777777" w:rsidR="00B70119" w:rsidRDefault="00B7011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0AEF1" w14:textId="77777777" w:rsidR="00B70119" w:rsidRDefault="00B70119" w:rsidP="00DA4AC5">
    <w:pPr>
      <w:pStyle w:val="Encabezado"/>
      <w:jc w:val="center"/>
    </w:pPr>
    <w:r w:rsidRPr="00CE0678">
      <w:t>PLIEGO DE CONDICIONES – PROYECTO</w:t>
    </w:r>
    <w:r>
      <w:t xml:space="preserve"> “CORREDORES VIALES – CIRCUITO 6”</w:t>
    </w:r>
  </w:p>
  <w:p w14:paraId="215B522A" w14:textId="6AF0A432" w:rsidR="00B70119" w:rsidRPr="008E7FA3" w:rsidRDefault="00B70119" w:rsidP="008E7FA3">
    <w:pPr>
      <w:pStyle w:val="Encabezado"/>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D8729" w14:textId="77777777" w:rsidR="00B70119" w:rsidRDefault="00B70119">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8E9B5" w14:textId="77777777" w:rsidR="00B70119" w:rsidRDefault="00B70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8534C25E"/>
    <w:lvl w:ilvl="0">
      <w:start w:val="1"/>
      <w:numFmt w:val="decimal"/>
      <w:pStyle w:val="Listaconvietas3"/>
      <w:lvlText w:val="%1."/>
      <w:lvlJc w:val="left"/>
      <w:pPr>
        <w:tabs>
          <w:tab w:val="num" w:pos="926"/>
        </w:tabs>
        <w:ind w:left="926" w:hanging="360"/>
      </w:pPr>
    </w:lvl>
  </w:abstractNum>
  <w:abstractNum w:abstractNumId="1">
    <w:nsid w:val="FFFFFF7F"/>
    <w:multiLevelType w:val="singleLevel"/>
    <w:tmpl w:val="BDACF1DA"/>
    <w:lvl w:ilvl="0">
      <w:start w:val="1"/>
      <w:numFmt w:val="decimal"/>
      <w:lvlText w:val="%1."/>
      <w:lvlJc w:val="left"/>
      <w:pPr>
        <w:tabs>
          <w:tab w:val="num" w:pos="643"/>
        </w:tabs>
        <w:ind w:left="643" w:hanging="360"/>
      </w:pPr>
    </w:lvl>
  </w:abstractNum>
  <w:abstractNum w:abstractNumId="2">
    <w:nsid w:val="FFFFFF82"/>
    <w:multiLevelType w:val="singleLevel"/>
    <w:tmpl w:val="8DFEAF96"/>
    <w:lvl w:ilvl="0">
      <w:start w:val="1"/>
      <w:numFmt w:val="bullet"/>
      <w:pStyle w:val="Listaconvietas2"/>
      <w:lvlText w:val=""/>
      <w:lvlJc w:val="left"/>
      <w:pPr>
        <w:tabs>
          <w:tab w:val="num" w:pos="926"/>
        </w:tabs>
        <w:ind w:left="926" w:hanging="360"/>
      </w:pPr>
      <w:rPr>
        <w:rFonts w:ascii="Symbol" w:hAnsi="Symbol" w:cs="Symbol" w:hint="default"/>
      </w:rPr>
    </w:lvl>
  </w:abstractNum>
  <w:abstractNum w:abstractNumId="3">
    <w:nsid w:val="FFFFFF83"/>
    <w:multiLevelType w:val="singleLevel"/>
    <w:tmpl w:val="26E216B6"/>
    <w:lvl w:ilvl="0">
      <w:start w:val="1"/>
      <w:numFmt w:val="bullet"/>
      <w:pStyle w:val="T2A"/>
      <w:lvlText w:val=""/>
      <w:lvlJc w:val="left"/>
      <w:pPr>
        <w:tabs>
          <w:tab w:val="num" w:pos="643"/>
        </w:tabs>
        <w:ind w:left="643" w:hanging="360"/>
      </w:pPr>
      <w:rPr>
        <w:rFonts w:ascii="Symbol" w:hAnsi="Symbol" w:cs="Symbol" w:hint="default"/>
      </w:rPr>
    </w:lvl>
  </w:abstractNum>
  <w:abstractNum w:abstractNumId="4">
    <w:nsid w:val="00020B45"/>
    <w:multiLevelType w:val="singleLevel"/>
    <w:tmpl w:val="9954DAF4"/>
    <w:lvl w:ilvl="0">
      <w:start w:val="1"/>
      <w:numFmt w:val="bullet"/>
      <w:pStyle w:val="Bullet"/>
      <w:lvlText w:val=""/>
      <w:lvlJc w:val="left"/>
      <w:pPr>
        <w:tabs>
          <w:tab w:val="num" w:pos="720"/>
        </w:tabs>
        <w:ind w:left="720" w:hanging="360"/>
      </w:pPr>
      <w:rPr>
        <w:rFonts w:ascii="Symbol" w:hAnsi="Symbol" w:cs="Symbol" w:hint="default"/>
      </w:rPr>
    </w:lvl>
  </w:abstractNum>
  <w:abstractNum w:abstractNumId="5">
    <w:nsid w:val="0063078D"/>
    <w:multiLevelType w:val="hybridMultilevel"/>
    <w:tmpl w:val="A08811D2"/>
    <w:lvl w:ilvl="0" w:tplc="0C0A0017">
      <w:start w:val="1"/>
      <w:numFmt w:val="lowerLetter"/>
      <w:lvlText w:val="%1)"/>
      <w:lvlJc w:val="left"/>
      <w:pPr>
        <w:ind w:left="720" w:hanging="360"/>
      </w:pPr>
    </w:lvl>
    <w:lvl w:ilvl="1" w:tplc="340A0019">
      <w:start w:val="1"/>
      <w:numFmt w:val="lowerLetter"/>
      <w:pStyle w:val="T2A8"/>
      <w:lvlText w:val="%2."/>
      <w:lvlJc w:val="left"/>
      <w:pPr>
        <w:ind w:left="1070" w:hanging="360"/>
      </w:pPr>
      <w:rPr>
        <w:strike w:val="0"/>
      </w:rPr>
    </w:lvl>
    <w:lvl w:ilvl="2" w:tplc="340A001B">
      <w:start w:val="1"/>
      <w:numFmt w:val="lowerRoman"/>
      <w:pStyle w:val="T3B4"/>
      <w:lvlText w:val="%3."/>
      <w:lvlJc w:val="right"/>
      <w:pPr>
        <w:ind w:left="2160" w:hanging="180"/>
      </w:pPr>
    </w:lvl>
    <w:lvl w:ilvl="3" w:tplc="340A000F">
      <w:start w:val="1"/>
      <w:numFmt w:val="decimal"/>
      <w:pStyle w:val="T4"/>
      <w:lvlText w:val="%4."/>
      <w:lvlJc w:val="left"/>
      <w:pPr>
        <w:ind w:left="786" w:hanging="360"/>
      </w:pPr>
    </w:lvl>
    <w:lvl w:ilvl="4" w:tplc="340A0019">
      <w:start w:val="1"/>
      <w:numFmt w:val="lowerLetter"/>
      <w:lvlText w:val="%5)"/>
      <w:lvlJc w:val="left"/>
      <w:pPr>
        <w:ind w:left="3600" w:hanging="360"/>
      </w:pPr>
      <w:rPr>
        <w:rFonts w:hint="default"/>
      </w:r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006606FE"/>
    <w:multiLevelType w:val="singleLevel"/>
    <w:tmpl w:val="359A9D0A"/>
    <w:lvl w:ilvl="0">
      <w:start w:val="1"/>
      <w:numFmt w:val="bullet"/>
      <w:pStyle w:val="Logro"/>
      <w:lvlText w:val=""/>
      <w:lvlJc w:val="left"/>
      <w:pPr>
        <w:tabs>
          <w:tab w:val="num" w:pos="360"/>
        </w:tabs>
        <w:ind w:left="244" w:hanging="244"/>
      </w:pPr>
      <w:rPr>
        <w:rFonts w:ascii="Symbol" w:hAnsi="Symbol" w:cs="Symbol" w:hint="default"/>
        <w:sz w:val="20"/>
        <w:szCs w:val="20"/>
      </w:rPr>
    </w:lvl>
  </w:abstractNum>
  <w:abstractNum w:abstractNumId="7">
    <w:nsid w:val="007C5581"/>
    <w:multiLevelType w:val="hybridMultilevel"/>
    <w:tmpl w:val="F27AD528"/>
    <w:lvl w:ilvl="0" w:tplc="380A0001">
      <w:start w:val="1"/>
      <w:numFmt w:val="bullet"/>
      <w:lvlText w:val=""/>
      <w:lvlJc w:val="left"/>
      <w:pPr>
        <w:ind w:left="531" w:hanging="360"/>
      </w:pPr>
      <w:rPr>
        <w:rFonts w:ascii="Symbol" w:hAnsi="Symbol" w:hint="default"/>
      </w:rPr>
    </w:lvl>
    <w:lvl w:ilvl="1" w:tplc="380A0003" w:tentative="1">
      <w:start w:val="1"/>
      <w:numFmt w:val="bullet"/>
      <w:lvlText w:val="o"/>
      <w:lvlJc w:val="left"/>
      <w:pPr>
        <w:ind w:left="1251" w:hanging="360"/>
      </w:pPr>
      <w:rPr>
        <w:rFonts w:ascii="Courier New" w:hAnsi="Courier New" w:cs="Courier New" w:hint="default"/>
      </w:rPr>
    </w:lvl>
    <w:lvl w:ilvl="2" w:tplc="380A0005" w:tentative="1">
      <w:start w:val="1"/>
      <w:numFmt w:val="bullet"/>
      <w:lvlText w:val=""/>
      <w:lvlJc w:val="left"/>
      <w:pPr>
        <w:ind w:left="1971" w:hanging="360"/>
      </w:pPr>
      <w:rPr>
        <w:rFonts w:ascii="Wingdings" w:hAnsi="Wingdings" w:hint="default"/>
      </w:rPr>
    </w:lvl>
    <w:lvl w:ilvl="3" w:tplc="380A0001" w:tentative="1">
      <w:start w:val="1"/>
      <w:numFmt w:val="bullet"/>
      <w:lvlText w:val=""/>
      <w:lvlJc w:val="left"/>
      <w:pPr>
        <w:ind w:left="2691" w:hanging="360"/>
      </w:pPr>
      <w:rPr>
        <w:rFonts w:ascii="Symbol" w:hAnsi="Symbol" w:hint="default"/>
      </w:rPr>
    </w:lvl>
    <w:lvl w:ilvl="4" w:tplc="380A0003" w:tentative="1">
      <w:start w:val="1"/>
      <w:numFmt w:val="bullet"/>
      <w:lvlText w:val="o"/>
      <w:lvlJc w:val="left"/>
      <w:pPr>
        <w:ind w:left="3411" w:hanging="360"/>
      </w:pPr>
      <w:rPr>
        <w:rFonts w:ascii="Courier New" w:hAnsi="Courier New" w:cs="Courier New" w:hint="default"/>
      </w:rPr>
    </w:lvl>
    <w:lvl w:ilvl="5" w:tplc="380A0005" w:tentative="1">
      <w:start w:val="1"/>
      <w:numFmt w:val="bullet"/>
      <w:lvlText w:val=""/>
      <w:lvlJc w:val="left"/>
      <w:pPr>
        <w:ind w:left="4131" w:hanging="360"/>
      </w:pPr>
      <w:rPr>
        <w:rFonts w:ascii="Wingdings" w:hAnsi="Wingdings" w:hint="default"/>
      </w:rPr>
    </w:lvl>
    <w:lvl w:ilvl="6" w:tplc="380A0001" w:tentative="1">
      <w:start w:val="1"/>
      <w:numFmt w:val="bullet"/>
      <w:lvlText w:val=""/>
      <w:lvlJc w:val="left"/>
      <w:pPr>
        <w:ind w:left="4851" w:hanging="360"/>
      </w:pPr>
      <w:rPr>
        <w:rFonts w:ascii="Symbol" w:hAnsi="Symbol" w:hint="default"/>
      </w:rPr>
    </w:lvl>
    <w:lvl w:ilvl="7" w:tplc="380A0003" w:tentative="1">
      <w:start w:val="1"/>
      <w:numFmt w:val="bullet"/>
      <w:lvlText w:val="o"/>
      <w:lvlJc w:val="left"/>
      <w:pPr>
        <w:ind w:left="5571" w:hanging="360"/>
      </w:pPr>
      <w:rPr>
        <w:rFonts w:ascii="Courier New" w:hAnsi="Courier New" w:cs="Courier New" w:hint="default"/>
      </w:rPr>
    </w:lvl>
    <w:lvl w:ilvl="8" w:tplc="380A0005" w:tentative="1">
      <w:start w:val="1"/>
      <w:numFmt w:val="bullet"/>
      <w:lvlText w:val=""/>
      <w:lvlJc w:val="left"/>
      <w:pPr>
        <w:ind w:left="6291" w:hanging="360"/>
      </w:pPr>
      <w:rPr>
        <w:rFonts w:ascii="Wingdings" w:hAnsi="Wingdings" w:hint="default"/>
      </w:rPr>
    </w:lvl>
  </w:abstractNum>
  <w:abstractNum w:abstractNumId="8">
    <w:nsid w:val="00F96F8B"/>
    <w:multiLevelType w:val="hybridMultilevel"/>
    <w:tmpl w:val="7E7CF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11939E7"/>
    <w:multiLevelType w:val="multilevel"/>
    <w:tmpl w:val="0E1A3D48"/>
    <w:lvl w:ilvl="0">
      <w:start w:val="1"/>
      <w:numFmt w:val="decimal"/>
      <w:lvlText w:val="%1."/>
      <w:lvlJc w:val="left"/>
      <w:pPr>
        <w:ind w:left="360" w:hanging="360"/>
      </w:pPr>
    </w:lvl>
    <w:lvl w:ilvl="1">
      <w:start w:val="1"/>
      <w:numFmt w:val="decimal"/>
      <w:pStyle w:val="T2A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1E43219"/>
    <w:multiLevelType w:val="multilevel"/>
    <w:tmpl w:val="790C30C8"/>
    <w:lvl w:ilvl="0">
      <w:start w:val="1"/>
      <w:numFmt w:val="decimal"/>
      <w:lvlText w:val="%1"/>
      <w:lvlJc w:val="left"/>
      <w:pPr>
        <w:ind w:left="444" w:hanging="444"/>
      </w:pPr>
      <w:rPr>
        <w:sz w:val="20"/>
        <w:szCs w:val="20"/>
      </w:rPr>
    </w:lvl>
    <w:lvl w:ilvl="1">
      <w:start w:val="1"/>
      <w:numFmt w:val="decimal"/>
      <w:lvlText w:val="%1.%2"/>
      <w:lvlJc w:val="left"/>
      <w:pPr>
        <w:ind w:left="1646" w:hanging="444"/>
      </w:pPr>
      <w:rPr>
        <w:sz w:val="20"/>
        <w:szCs w:val="20"/>
      </w:rPr>
    </w:lvl>
    <w:lvl w:ilvl="2">
      <w:start w:val="1"/>
      <w:numFmt w:val="decimal"/>
      <w:lvlText w:val="%1.%2.%3"/>
      <w:lvlJc w:val="left"/>
      <w:pPr>
        <w:ind w:left="2848" w:hanging="444"/>
      </w:pPr>
      <w:rPr>
        <w:sz w:val="20"/>
        <w:szCs w:val="20"/>
      </w:rPr>
    </w:lvl>
    <w:lvl w:ilvl="3">
      <w:start w:val="1"/>
      <w:numFmt w:val="decimal"/>
      <w:lvlText w:val="%1.%2.%3.%4"/>
      <w:lvlJc w:val="left"/>
      <w:pPr>
        <w:ind w:left="4326" w:hanging="720"/>
      </w:pPr>
      <w:rPr>
        <w:sz w:val="20"/>
        <w:szCs w:val="20"/>
      </w:rPr>
    </w:lvl>
    <w:lvl w:ilvl="4">
      <w:start w:val="1"/>
      <w:numFmt w:val="decimal"/>
      <w:lvlText w:val="%1.%2.%3.%4.%5"/>
      <w:lvlJc w:val="left"/>
      <w:pPr>
        <w:ind w:left="5528" w:hanging="720"/>
      </w:pPr>
      <w:rPr>
        <w:sz w:val="20"/>
        <w:szCs w:val="20"/>
      </w:rPr>
    </w:lvl>
    <w:lvl w:ilvl="5">
      <w:start w:val="1"/>
      <w:numFmt w:val="decimal"/>
      <w:lvlText w:val="%1.%2.%3.%4.%5.%6"/>
      <w:lvlJc w:val="left"/>
      <w:pPr>
        <w:ind w:left="7090" w:hanging="1080"/>
      </w:pPr>
      <w:rPr>
        <w:sz w:val="20"/>
        <w:szCs w:val="20"/>
      </w:rPr>
    </w:lvl>
    <w:lvl w:ilvl="6">
      <w:start w:val="1"/>
      <w:numFmt w:val="decimal"/>
      <w:lvlText w:val="%1.%2.%3.%4.%5.%6.%7"/>
      <w:lvlJc w:val="left"/>
      <w:pPr>
        <w:ind w:left="8292" w:hanging="1080"/>
      </w:pPr>
      <w:rPr>
        <w:sz w:val="20"/>
        <w:szCs w:val="20"/>
      </w:rPr>
    </w:lvl>
    <w:lvl w:ilvl="7">
      <w:start w:val="1"/>
      <w:numFmt w:val="decimal"/>
      <w:lvlText w:val="%1.%2.%3.%4.%5.%6.%7.%8"/>
      <w:lvlJc w:val="left"/>
      <w:pPr>
        <w:ind w:left="9494" w:hanging="1080"/>
      </w:pPr>
      <w:rPr>
        <w:sz w:val="20"/>
        <w:szCs w:val="20"/>
      </w:rPr>
    </w:lvl>
    <w:lvl w:ilvl="8">
      <w:start w:val="1"/>
      <w:numFmt w:val="decimal"/>
      <w:lvlText w:val="%1.%2.%3.%4.%5.%6.%7.%8.%9"/>
      <w:lvlJc w:val="left"/>
      <w:pPr>
        <w:ind w:left="11056" w:hanging="1440"/>
      </w:pPr>
      <w:rPr>
        <w:sz w:val="20"/>
        <w:szCs w:val="20"/>
      </w:rPr>
    </w:lvl>
  </w:abstractNum>
  <w:abstractNum w:abstractNumId="11">
    <w:nsid w:val="03382812"/>
    <w:multiLevelType w:val="singleLevel"/>
    <w:tmpl w:val="0C0A0017"/>
    <w:lvl w:ilvl="0">
      <w:start w:val="1"/>
      <w:numFmt w:val="lowerLetter"/>
      <w:lvlText w:val="%1)"/>
      <w:lvlJc w:val="left"/>
      <w:pPr>
        <w:tabs>
          <w:tab w:val="num" w:pos="360"/>
        </w:tabs>
        <w:ind w:left="360" w:hanging="360"/>
      </w:pPr>
    </w:lvl>
  </w:abstractNum>
  <w:abstractNum w:abstractNumId="12">
    <w:nsid w:val="033944AE"/>
    <w:multiLevelType w:val="multilevel"/>
    <w:tmpl w:val="9AECC874"/>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36A316A"/>
    <w:multiLevelType w:val="hybridMultilevel"/>
    <w:tmpl w:val="80D25F58"/>
    <w:lvl w:ilvl="0" w:tplc="0C0A0001">
      <w:start w:val="1"/>
      <w:numFmt w:val="bullet"/>
      <w:lvlText w:val=""/>
      <w:lvlJc w:val="left"/>
      <w:pPr>
        <w:tabs>
          <w:tab w:val="num" w:pos="1571"/>
        </w:tabs>
        <w:ind w:left="1571" w:hanging="360"/>
      </w:pPr>
      <w:rPr>
        <w:rFonts w:ascii="Symbol" w:hAnsi="Symbol" w:cs="Symbol" w:hint="default"/>
      </w:rPr>
    </w:lvl>
    <w:lvl w:ilvl="1" w:tplc="0C0A0003">
      <w:start w:val="1"/>
      <w:numFmt w:val="bullet"/>
      <w:lvlText w:val="o"/>
      <w:lvlJc w:val="left"/>
      <w:pPr>
        <w:tabs>
          <w:tab w:val="num" w:pos="2291"/>
        </w:tabs>
        <w:ind w:left="2291" w:hanging="360"/>
      </w:pPr>
      <w:rPr>
        <w:rFonts w:ascii="Courier New" w:hAnsi="Courier New" w:cs="Courier New" w:hint="default"/>
      </w:rPr>
    </w:lvl>
    <w:lvl w:ilvl="2" w:tplc="0C0A0005">
      <w:start w:val="1"/>
      <w:numFmt w:val="bullet"/>
      <w:lvlText w:val=""/>
      <w:lvlJc w:val="left"/>
      <w:pPr>
        <w:tabs>
          <w:tab w:val="num" w:pos="3011"/>
        </w:tabs>
        <w:ind w:left="3011" w:hanging="360"/>
      </w:pPr>
      <w:rPr>
        <w:rFonts w:ascii="Wingdings" w:hAnsi="Wingdings" w:cs="Wingdings" w:hint="default"/>
      </w:rPr>
    </w:lvl>
    <w:lvl w:ilvl="3" w:tplc="0C0A0001">
      <w:start w:val="1"/>
      <w:numFmt w:val="bullet"/>
      <w:lvlText w:val=""/>
      <w:lvlJc w:val="left"/>
      <w:pPr>
        <w:tabs>
          <w:tab w:val="num" w:pos="3731"/>
        </w:tabs>
        <w:ind w:left="3731" w:hanging="360"/>
      </w:pPr>
      <w:rPr>
        <w:rFonts w:ascii="Symbol" w:hAnsi="Symbol" w:cs="Symbol" w:hint="default"/>
      </w:rPr>
    </w:lvl>
    <w:lvl w:ilvl="4" w:tplc="0C0A0003">
      <w:start w:val="1"/>
      <w:numFmt w:val="bullet"/>
      <w:lvlText w:val="o"/>
      <w:lvlJc w:val="left"/>
      <w:pPr>
        <w:tabs>
          <w:tab w:val="num" w:pos="4451"/>
        </w:tabs>
        <w:ind w:left="4451" w:hanging="360"/>
      </w:pPr>
      <w:rPr>
        <w:rFonts w:ascii="Courier New" w:hAnsi="Courier New" w:cs="Courier New" w:hint="default"/>
      </w:rPr>
    </w:lvl>
    <w:lvl w:ilvl="5" w:tplc="0C0A0005">
      <w:start w:val="1"/>
      <w:numFmt w:val="bullet"/>
      <w:lvlText w:val=""/>
      <w:lvlJc w:val="left"/>
      <w:pPr>
        <w:tabs>
          <w:tab w:val="num" w:pos="5171"/>
        </w:tabs>
        <w:ind w:left="5171" w:hanging="360"/>
      </w:pPr>
      <w:rPr>
        <w:rFonts w:ascii="Wingdings" w:hAnsi="Wingdings" w:cs="Wingdings" w:hint="default"/>
      </w:rPr>
    </w:lvl>
    <w:lvl w:ilvl="6" w:tplc="0C0A0001">
      <w:start w:val="1"/>
      <w:numFmt w:val="bullet"/>
      <w:lvlText w:val=""/>
      <w:lvlJc w:val="left"/>
      <w:pPr>
        <w:tabs>
          <w:tab w:val="num" w:pos="5891"/>
        </w:tabs>
        <w:ind w:left="5891" w:hanging="360"/>
      </w:pPr>
      <w:rPr>
        <w:rFonts w:ascii="Symbol" w:hAnsi="Symbol" w:cs="Symbol" w:hint="default"/>
      </w:rPr>
    </w:lvl>
    <w:lvl w:ilvl="7" w:tplc="0C0A0003">
      <w:start w:val="1"/>
      <w:numFmt w:val="bullet"/>
      <w:lvlText w:val="o"/>
      <w:lvlJc w:val="left"/>
      <w:pPr>
        <w:tabs>
          <w:tab w:val="num" w:pos="6611"/>
        </w:tabs>
        <w:ind w:left="6611" w:hanging="360"/>
      </w:pPr>
      <w:rPr>
        <w:rFonts w:ascii="Courier New" w:hAnsi="Courier New" w:cs="Courier New" w:hint="default"/>
      </w:rPr>
    </w:lvl>
    <w:lvl w:ilvl="8" w:tplc="0C0A0005">
      <w:start w:val="1"/>
      <w:numFmt w:val="bullet"/>
      <w:lvlText w:val=""/>
      <w:lvlJc w:val="left"/>
      <w:pPr>
        <w:tabs>
          <w:tab w:val="num" w:pos="7331"/>
        </w:tabs>
        <w:ind w:left="7331" w:hanging="360"/>
      </w:pPr>
      <w:rPr>
        <w:rFonts w:ascii="Wingdings" w:hAnsi="Wingdings" w:cs="Wingdings" w:hint="default"/>
      </w:rPr>
    </w:lvl>
  </w:abstractNum>
  <w:abstractNum w:abstractNumId="14">
    <w:nsid w:val="04E60D3B"/>
    <w:multiLevelType w:val="multilevel"/>
    <w:tmpl w:val="80CA2C1E"/>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25"/>
        </w:tabs>
        <w:ind w:left="1425" w:hanging="720"/>
      </w:pPr>
      <w:rPr>
        <w:rFonts w:hint="default"/>
      </w:rPr>
    </w:lvl>
    <w:lvl w:ilvl="2">
      <w:start w:val="3"/>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5">
    <w:nsid w:val="063D713F"/>
    <w:multiLevelType w:val="multilevel"/>
    <w:tmpl w:val="5ADACB9A"/>
    <w:lvl w:ilvl="0">
      <w:start w:val="1"/>
      <w:numFmt w:val="decimal"/>
      <w:lvlText w:val="%1."/>
      <w:lvlJc w:val="left"/>
      <w:pPr>
        <w:ind w:left="2070" w:hanging="360"/>
      </w:pPr>
      <w:rPr>
        <w:rFonts w:hint="default"/>
        <w:b w:val="0"/>
        <w:bCs/>
      </w:rPr>
    </w:lvl>
    <w:lvl w:ilvl="1">
      <w:start w:val="1"/>
      <w:numFmt w:val="decimal"/>
      <w:isLgl/>
      <w:lvlText w:val="%1.%2"/>
      <w:lvlJc w:val="left"/>
      <w:pPr>
        <w:ind w:left="927"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430" w:hanging="72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2790" w:hanging="108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150" w:hanging="1440"/>
      </w:pPr>
      <w:rPr>
        <w:rFonts w:hint="default"/>
      </w:rPr>
    </w:lvl>
  </w:abstractNum>
  <w:abstractNum w:abstractNumId="16">
    <w:nsid w:val="067C64B0"/>
    <w:multiLevelType w:val="multilevel"/>
    <w:tmpl w:val="0DAE3E74"/>
    <w:lvl w:ilvl="0">
      <w:start w:val="6"/>
      <w:numFmt w:val="decimal"/>
      <w:pStyle w:val="TITULO1"/>
      <w:lvlText w:val="%1"/>
      <w:lvlJc w:val="left"/>
      <w:pPr>
        <w:tabs>
          <w:tab w:val="num" w:pos="432"/>
        </w:tabs>
        <w:ind w:left="432" w:hanging="432"/>
      </w:pPr>
      <w:rPr>
        <w:rFonts w:hint="default"/>
      </w:rPr>
    </w:lvl>
    <w:lvl w:ilvl="1">
      <w:start w:val="1"/>
      <w:numFmt w:val="decimal"/>
      <w:pStyle w:val="T2A7"/>
      <w:lvlText w:val="6.%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9F539D9"/>
    <w:multiLevelType w:val="hybridMultilevel"/>
    <w:tmpl w:val="0B6480A6"/>
    <w:lvl w:ilvl="0" w:tplc="F0E07264">
      <w:start w:val="1"/>
      <w:numFmt w:val="upperLetter"/>
      <w:lvlText w:val="%1)"/>
      <w:lvlJc w:val="left"/>
      <w:pPr>
        <w:ind w:left="720" w:hanging="360"/>
      </w:pPr>
      <w:rPr>
        <w:rFonts w:hint="default"/>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18">
    <w:nsid w:val="0AE52F69"/>
    <w:multiLevelType w:val="hybridMultilevel"/>
    <w:tmpl w:val="2548834C"/>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2858"/>
        </w:tabs>
        <w:ind w:left="2858" w:hanging="360"/>
      </w:pPr>
      <w:rPr>
        <w:rFonts w:ascii="Courier New" w:hAnsi="Courier New" w:cs="Courier New" w:hint="default"/>
      </w:rPr>
    </w:lvl>
    <w:lvl w:ilvl="2" w:tplc="0C0A0005">
      <w:start w:val="1"/>
      <w:numFmt w:val="bullet"/>
      <w:lvlText w:val=""/>
      <w:lvlJc w:val="left"/>
      <w:pPr>
        <w:tabs>
          <w:tab w:val="num" w:pos="3578"/>
        </w:tabs>
        <w:ind w:left="3578" w:hanging="360"/>
      </w:pPr>
      <w:rPr>
        <w:rFonts w:ascii="Wingdings" w:hAnsi="Wingdings" w:cs="Wingdings" w:hint="default"/>
      </w:rPr>
    </w:lvl>
    <w:lvl w:ilvl="3" w:tplc="0C0A0001">
      <w:start w:val="1"/>
      <w:numFmt w:val="bullet"/>
      <w:lvlText w:val=""/>
      <w:lvlJc w:val="left"/>
      <w:pPr>
        <w:tabs>
          <w:tab w:val="num" w:pos="4298"/>
        </w:tabs>
        <w:ind w:left="4298" w:hanging="360"/>
      </w:pPr>
      <w:rPr>
        <w:rFonts w:ascii="Symbol" w:hAnsi="Symbol" w:cs="Symbol" w:hint="default"/>
      </w:rPr>
    </w:lvl>
    <w:lvl w:ilvl="4" w:tplc="0C0A0003">
      <w:start w:val="1"/>
      <w:numFmt w:val="bullet"/>
      <w:lvlText w:val="o"/>
      <w:lvlJc w:val="left"/>
      <w:pPr>
        <w:tabs>
          <w:tab w:val="num" w:pos="5018"/>
        </w:tabs>
        <w:ind w:left="5018" w:hanging="360"/>
      </w:pPr>
      <w:rPr>
        <w:rFonts w:ascii="Courier New" w:hAnsi="Courier New" w:cs="Courier New" w:hint="default"/>
      </w:rPr>
    </w:lvl>
    <w:lvl w:ilvl="5" w:tplc="0C0A0005">
      <w:start w:val="1"/>
      <w:numFmt w:val="bullet"/>
      <w:lvlText w:val=""/>
      <w:lvlJc w:val="left"/>
      <w:pPr>
        <w:tabs>
          <w:tab w:val="num" w:pos="5738"/>
        </w:tabs>
        <w:ind w:left="5738" w:hanging="360"/>
      </w:pPr>
      <w:rPr>
        <w:rFonts w:ascii="Wingdings" w:hAnsi="Wingdings" w:cs="Wingdings" w:hint="default"/>
      </w:rPr>
    </w:lvl>
    <w:lvl w:ilvl="6" w:tplc="0C0A0001">
      <w:start w:val="1"/>
      <w:numFmt w:val="bullet"/>
      <w:lvlText w:val=""/>
      <w:lvlJc w:val="left"/>
      <w:pPr>
        <w:tabs>
          <w:tab w:val="num" w:pos="6458"/>
        </w:tabs>
        <w:ind w:left="6458" w:hanging="360"/>
      </w:pPr>
      <w:rPr>
        <w:rFonts w:ascii="Symbol" w:hAnsi="Symbol" w:cs="Symbol" w:hint="default"/>
      </w:rPr>
    </w:lvl>
    <w:lvl w:ilvl="7" w:tplc="0C0A0003">
      <w:start w:val="1"/>
      <w:numFmt w:val="bullet"/>
      <w:lvlText w:val="o"/>
      <w:lvlJc w:val="left"/>
      <w:pPr>
        <w:tabs>
          <w:tab w:val="num" w:pos="7178"/>
        </w:tabs>
        <w:ind w:left="7178" w:hanging="360"/>
      </w:pPr>
      <w:rPr>
        <w:rFonts w:ascii="Courier New" w:hAnsi="Courier New" w:cs="Courier New" w:hint="default"/>
      </w:rPr>
    </w:lvl>
    <w:lvl w:ilvl="8" w:tplc="0C0A0005">
      <w:start w:val="1"/>
      <w:numFmt w:val="bullet"/>
      <w:lvlText w:val=""/>
      <w:lvlJc w:val="left"/>
      <w:pPr>
        <w:tabs>
          <w:tab w:val="num" w:pos="7898"/>
        </w:tabs>
        <w:ind w:left="7898" w:hanging="360"/>
      </w:pPr>
      <w:rPr>
        <w:rFonts w:ascii="Wingdings" w:hAnsi="Wingdings" w:cs="Wingdings" w:hint="default"/>
      </w:rPr>
    </w:lvl>
  </w:abstractNum>
  <w:abstractNum w:abstractNumId="19">
    <w:nsid w:val="0B4056A9"/>
    <w:multiLevelType w:val="hybridMultilevel"/>
    <w:tmpl w:val="CC66F8C2"/>
    <w:lvl w:ilvl="0" w:tplc="0C0A0001">
      <w:start w:val="1"/>
      <w:numFmt w:val="bullet"/>
      <w:lvlText w:val=""/>
      <w:lvlJc w:val="left"/>
      <w:pPr>
        <w:ind w:left="1110" w:hanging="360"/>
      </w:pPr>
      <w:rPr>
        <w:rFonts w:ascii="Symbol" w:hAnsi="Symbol" w:cs="Symbol" w:hint="default"/>
      </w:rPr>
    </w:lvl>
    <w:lvl w:ilvl="1" w:tplc="0C0A0003">
      <w:start w:val="1"/>
      <w:numFmt w:val="bullet"/>
      <w:lvlText w:val="o"/>
      <w:lvlJc w:val="left"/>
      <w:pPr>
        <w:ind w:left="1830" w:hanging="360"/>
      </w:pPr>
      <w:rPr>
        <w:rFonts w:ascii="Courier New" w:hAnsi="Courier New" w:cs="Courier New" w:hint="default"/>
      </w:rPr>
    </w:lvl>
    <w:lvl w:ilvl="2" w:tplc="0C0A0005">
      <w:start w:val="1"/>
      <w:numFmt w:val="bullet"/>
      <w:lvlText w:val=""/>
      <w:lvlJc w:val="left"/>
      <w:pPr>
        <w:ind w:left="2550" w:hanging="360"/>
      </w:pPr>
      <w:rPr>
        <w:rFonts w:ascii="Wingdings" w:hAnsi="Wingdings" w:cs="Wingdings" w:hint="default"/>
      </w:rPr>
    </w:lvl>
    <w:lvl w:ilvl="3" w:tplc="0C0A0001">
      <w:start w:val="1"/>
      <w:numFmt w:val="bullet"/>
      <w:lvlText w:val=""/>
      <w:lvlJc w:val="left"/>
      <w:pPr>
        <w:ind w:left="3270" w:hanging="360"/>
      </w:pPr>
      <w:rPr>
        <w:rFonts w:ascii="Symbol" w:hAnsi="Symbol" w:cs="Symbol" w:hint="default"/>
      </w:rPr>
    </w:lvl>
    <w:lvl w:ilvl="4" w:tplc="0C0A0003">
      <w:start w:val="1"/>
      <w:numFmt w:val="bullet"/>
      <w:lvlText w:val="o"/>
      <w:lvlJc w:val="left"/>
      <w:pPr>
        <w:ind w:left="3990" w:hanging="360"/>
      </w:pPr>
      <w:rPr>
        <w:rFonts w:ascii="Courier New" w:hAnsi="Courier New" w:cs="Courier New" w:hint="default"/>
      </w:rPr>
    </w:lvl>
    <w:lvl w:ilvl="5" w:tplc="0C0A0005">
      <w:start w:val="1"/>
      <w:numFmt w:val="bullet"/>
      <w:lvlText w:val=""/>
      <w:lvlJc w:val="left"/>
      <w:pPr>
        <w:ind w:left="4710" w:hanging="360"/>
      </w:pPr>
      <w:rPr>
        <w:rFonts w:ascii="Wingdings" w:hAnsi="Wingdings" w:cs="Wingdings" w:hint="default"/>
      </w:rPr>
    </w:lvl>
    <w:lvl w:ilvl="6" w:tplc="0C0A0001">
      <w:start w:val="1"/>
      <w:numFmt w:val="bullet"/>
      <w:lvlText w:val=""/>
      <w:lvlJc w:val="left"/>
      <w:pPr>
        <w:ind w:left="5430" w:hanging="360"/>
      </w:pPr>
      <w:rPr>
        <w:rFonts w:ascii="Symbol" w:hAnsi="Symbol" w:cs="Symbol" w:hint="default"/>
      </w:rPr>
    </w:lvl>
    <w:lvl w:ilvl="7" w:tplc="0C0A0003">
      <w:start w:val="1"/>
      <w:numFmt w:val="bullet"/>
      <w:lvlText w:val="o"/>
      <w:lvlJc w:val="left"/>
      <w:pPr>
        <w:ind w:left="6150" w:hanging="360"/>
      </w:pPr>
      <w:rPr>
        <w:rFonts w:ascii="Courier New" w:hAnsi="Courier New" w:cs="Courier New" w:hint="default"/>
      </w:rPr>
    </w:lvl>
    <w:lvl w:ilvl="8" w:tplc="0C0A0005">
      <w:start w:val="1"/>
      <w:numFmt w:val="bullet"/>
      <w:lvlText w:val=""/>
      <w:lvlJc w:val="left"/>
      <w:pPr>
        <w:ind w:left="6870" w:hanging="360"/>
      </w:pPr>
      <w:rPr>
        <w:rFonts w:ascii="Wingdings" w:hAnsi="Wingdings" w:cs="Wingdings" w:hint="default"/>
      </w:rPr>
    </w:lvl>
  </w:abstractNum>
  <w:abstractNum w:abstractNumId="20">
    <w:nsid w:val="0C1650A8"/>
    <w:multiLevelType w:val="multilevel"/>
    <w:tmpl w:val="ACD84D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E6568BC"/>
    <w:multiLevelType w:val="multilevel"/>
    <w:tmpl w:val="2C24EEA4"/>
    <w:lvl w:ilvl="0">
      <w:start w:val="1"/>
      <w:numFmt w:val="decimal"/>
      <w:pStyle w:val="tomas1"/>
      <w:lvlText w:val="%1"/>
      <w:lvlJc w:val="left"/>
      <w:pPr>
        <w:tabs>
          <w:tab w:val="num" w:pos="360"/>
        </w:tabs>
        <w:ind w:left="360" w:hanging="360"/>
      </w:pPr>
      <w:rPr>
        <w:rFonts w:hint="default"/>
      </w:rPr>
    </w:lvl>
    <w:lvl w:ilvl="1">
      <w:start w:val="1"/>
      <w:numFmt w:val="decimal"/>
      <w:pStyle w:val="tomas2"/>
      <w:lvlText w:val="%1.%2"/>
      <w:lvlJc w:val="left"/>
      <w:pPr>
        <w:tabs>
          <w:tab w:val="num" w:pos="786"/>
        </w:tabs>
        <w:ind w:left="786" w:hanging="360"/>
      </w:pPr>
      <w:rPr>
        <w:rFonts w:hint="default"/>
        <w:b/>
        <w:bCs/>
      </w:rPr>
    </w:lvl>
    <w:lvl w:ilvl="2">
      <w:start w:val="1"/>
      <w:numFmt w:val="decimal"/>
      <w:pStyle w:val="tomas3"/>
      <w:lvlText w:val="%1.%2.%3"/>
      <w:lvlJc w:val="left"/>
      <w:pPr>
        <w:tabs>
          <w:tab w:val="num" w:pos="1572"/>
        </w:tabs>
        <w:ind w:left="1572" w:hanging="720"/>
      </w:pPr>
      <w:rPr>
        <w:rFonts w:hint="default"/>
      </w:rPr>
    </w:lvl>
    <w:lvl w:ilvl="3">
      <w:start w:val="1"/>
      <w:numFmt w:val="decimal"/>
      <w:pStyle w:val="tomas4"/>
      <w:lvlText w:val="%1.%2.%3.%4"/>
      <w:lvlJc w:val="left"/>
      <w:pPr>
        <w:tabs>
          <w:tab w:val="num" w:pos="1998"/>
        </w:tabs>
        <w:ind w:left="1998" w:hanging="720"/>
      </w:pPr>
      <w:rPr>
        <w:rFonts w:hint="default"/>
      </w:rPr>
    </w:lvl>
    <w:lvl w:ilvl="4">
      <w:start w:val="1"/>
      <w:numFmt w:val="decimal"/>
      <w:lvlText w:val="%1.%2.%3.%4.%5"/>
      <w:lvlJc w:val="left"/>
      <w:pPr>
        <w:tabs>
          <w:tab w:val="num" w:pos="2424"/>
        </w:tabs>
        <w:ind w:left="2424" w:hanging="72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636"/>
        </w:tabs>
        <w:ind w:left="3636" w:hanging="108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4848"/>
        </w:tabs>
        <w:ind w:left="4848" w:hanging="1440"/>
      </w:pPr>
      <w:rPr>
        <w:rFonts w:hint="default"/>
      </w:rPr>
    </w:lvl>
  </w:abstractNum>
  <w:abstractNum w:abstractNumId="22">
    <w:nsid w:val="0ED546A2"/>
    <w:multiLevelType w:val="hybridMultilevel"/>
    <w:tmpl w:val="FDCAC21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1326475F"/>
    <w:multiLevelType w:val="multilevel"/>
    <w:tmpl w:val="790C30C8"/>
    <w:lvl w:ilvl="0">
      <w:start w:val="1"/>
      <w:numFmt w:val="decimal"/>
      <w:lvlText w:val="%1"/>
      <w:lvlJc w:val="left"/>
      <w:pPr>
        <w:ind w:left="444" w:hanging="444"/>
      </w:pPr>
      <w:rPr>
        <w:rFonts w:hint="default"/>
        <w:sz w:val="20"/>
        <w:szCs w:val="20"/>
      </w:rPr>
    </w:lvl>
    <w:lvl w:ilvl="1">
      <w:start w:val="1"/>
      <w:numFmt w:val="decimal"/>
      <w:lvlText w:val="%1.%2"/>
      <w:lvlJc w:val="left"/>
      <w:pPr>
        <w:ind w:left="1646" w:hanging="444"/>
      </w:pPr>
      <w:rPr>
        <w:rFonts w:hint="default"/>
        <w:sz w:val="20"/>
        <w:szCs w:val="20"/>
      </w:rPr>
    </w:lvl>
    <w:lvl w:ilvl="2">
      <w:start w:val="1"/>
      <w:numFmt w:val="decimal"/>
      <w:lvlText w:val="%1.%2.%3"/>
      <w:lvlJc w:val="left"/>
      <w:pPr>
        <w:ind w:left="2848" w:hanging="444"/>
      </w:pPr>
      <w:rPr>
        <w:rFonts w:hint="default"/>
        <w:sz w:val="20"/>
        <w:szCs w:val="20"/>
      </w:rPr>
    </w:lvl>
    <w:lvl w:ilvl="3">
      <w:start w:val="1"/>
      <w:numFmt w:val="decimal"/>
      <w:lvlText w:val="%1.%2.%3.%4"/>
      <w:lvlJc w:val="left"/>
      <w:pPr>
        <w:ind w:left="4326" w:hanging="720"/>
      </w:pPr>
      <w:rPr>
        <w:rFonts w:hint="default"/>
        <w:sz w:val="20"/>
        <w:szCs w:val="20"/>
      </w:rPr>
    </w:lvl>
    <w:lvl w:ilvl="4">
      <w:start w:val="1"/>
      <w:numFmt w:val="decimal"/>
      <w:lvlText w:val="%1.%2.%3.%4.%5"/>
      <w:lvlJc w:val="left"/>
      <w:pPr>
        <w:ind w:left="5528" w:hanging="720"/>
      </w:pPr>
      <w:rPr>
        <w:rFonts w:hint="default"/>
        <w:sz w:val="20"/>
        <w:szCs w:val="20"/>
      </w:rPr>
    </w:lvl>
    <w:lvl w:ilvl="5">
      <w:start w:val="1"/>
      <w:numFmt w:val="decimal"/>
      <w:lvlText w:val="%1.%2.%3.%4.%5.%6"/>
      <w:lvlJc w:val="left"/>
      <w:pPr>
        <w:ind w:left="7090" w:hanging="1080"/>
      </w:pPr>
      <w:rPr>
        <w:rFonts w:hint="default"/>
        <w:sz w:val="20"/>
        <w:szCs w:val="20"/>
      </w:rPr>
    </w:lvl>
    <w:lvl w:ilvl="6">
      <w:start w:val="1"/>
      <w:numFmt w:val="decimal"/>
      <w:lvlText w:val="%1.%2.%3.%4.%5.%6.%7"/>
      <w:lvlJc w:val="left"/>
      <w:pPr>
        <w:ind w:left="8292" w:hanging="1080"/>
      </w:pPr>
      <w:rPr>
        <w:rFonts w:hint="default"/>
        <w:sz w:val="20"/>
        <w:szCs w:val="20"/>
      </w:rPr>
    </w:lvl>
    <w:lvl w:ilvl="7">
      <w:start w:val="1"/>
      <w:numFmt w:val="decimal"/>
      <w:lvlText w:val="%1.%2.%3.%4.%5.%6.%7.%8"/>
      <w:lvlJc w:val="left"/>
      <w:pPr>
        <w:ind w:left="9494" w:hanging="1080"/>
      </w:pPr>
      <w:rPr>
        <w:rFonts w:hint="default"/>
        <w:sz w:val="20"/>
        <w:szCs w:val="20"/>
      </w:rPr>
    </w:lvl>
    <w:lvl w:ilvl="8">
      <w:start w:val="1"/>
      <w:numFmt w:val="decimal"/>
      <w:lvlText w:val="%1.%2.%3.%4.%5.%6.%7.%8.%9"/>
      <w:lvlJc w:val="left"/>
      <w:pPr>
        <w:ind w:left="11056" w:hanging="1440"/>
      </w:pPr>
      <w:rPr>
        <w:rFonts w:hint="default"/>
        <w:sz w:val="20"/>
        <w:szCs w:val="20"/>
      </w:rPr>
    </w:lvl>
  </w:abstractNum>
  <w:abstractNum w:abstractNumId="24">
    <w:nsid w:val="13387A68"/>
    <w:multiLevelType w:val="multilevel"/>
    <w:tmpl w:val="291A1DB6"/>
    <w:lvl w:ilvl="0">
      <w:start w:val="1"/>
      <w:numFmt w:val="decimal"/>
      <w:pStyle w:val="CharCharCarCarCharCharCarCarCharChar1"/>
      <w:lvlText w:val="%1"/>
      <w:lvlJc w:val="left"/>
      <w:pPr>
        <w:tabs>
          <w:tab w:val="num" w:pos="432"/>
        </w:tabs>
        <w:ind w:left="432" w:hanging="432"/>
      </w:pPr>
      <w:rPr>
        <w:rFonts w:hint="default"/>
        <w:b/>
        <w:bCs/>
        <w:i w:val="0"/>
        <w:iCs w:val="0"/>
        <w:sz w:val="28"/>
        <w:szCs w:val="28"/>
      </w:rPr>
    </w:lvl>
    <w:lvl w:ilvl="1">
      <w:start w:val="1"/>
      <w:numFmt w:val="decimal"/>
      <w:lvlText w:val="%1.%2"/>
      <w:lvlJc w:val="left"/>
      <w:pPr>
        <w:tabs>
          <w:tab w:val="num" w:pos="576"/>
        </w:tabs>
        <w:ind w:left="576" w:hanging="576"/>
      </w:pPr>
      <w:rPr>
        <w:rFonts w:hint="default"/>
        <w:b/>
        <w:bCs/>
        <w:i w:val="0"/>
        <w:iCs w:val="0"/>
        <w:sz w:val="24"/>
        <w:szCs w:val="24"/>
      </w:rPr>
    </w:lvl>
    <w:lvl w:ilvl="2">
      <w:start w:val="1"/>
      <w:numFmt w:val="decimal"/>
      <w:lvlText w:val="%1.%2.%3"/>
      <w:lvlJc w:val="left"/>
      <w:pPr>
        <w:tabs>
          <w:tab w:val="num" w:pos="720"/>
        </w:tabs>
        <w:ind w:left="720" w:hanging="720"/>
      </w:pPr>
      <w:rPr>
        <w:rFonts w:hint="default"/>
        <w:b/>
        <w:bCs/>
        <w:i w:val="0"/>
        <w:iCs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149E32B4"/>
    <w:multiLevelType w:val="hybridMultilevel"/>
    <w:tmpl w:val="427AD124"/>
    <w:lvl w:ilvl="0" w:tplc="380A000F">
      <w:start w:val="1"/>
      <w:numFmt w:val="decimal"/>
      <w:lvlText w:val="%1."/>
      <w:lvlJc w:val="left"/>
      <w:pPr>
        <w:ind w:left="720" w:hanging="360"/>
      </w:pPr>
    </w:lvl>
    <w:lvl w:ilvl="1" w:tplc="BD8AED54">
      <w:start w:val="1"/>
      <w:numFmt w:val="decimal"/>
      <w:lvlText w:val="%2)"/>
      <w:lvlJc w:val="left"/>
      <w:pPr>
        <w:ind w:left="1440" w:hanging="360"/>
      </w:pPr>
      <w:rPr>
        <w:rFonts w:hint="default"/>
        <w:lang w:val="es-ES_tradnl"/>
      </w:r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26">
    <w:nsid w:val="15947D0D"/>
    <w:multiLevelType w:val="hybridMultilevel"/>
    <w:tmpl w:val="4C14E92C"/>
    <w:lvl w:ilvl="0" w:tplc="9D8A60A6">
      <w:start w:val="6"/>
      <w:numFmt w:val="bullet"/>
      <w:lvlText w:val="-"/>
      <w:lvlJc w:val="left"/>
      <w:pPr>
        <w:ind w:left="2070" w:hanging="360"/>
      </w:pPr>
      <w:rPr>
        <w:rFonts w:ascii="Calibri" w:eastAsia="Times New Roman" w:hAnsi="Calibri" w:hint="default"/>
        <w:b/>
        <w:bCs/>
      </w:rPr>
    </w:lvl>
    <w:lvl w:ilvl="1" w:tplc="380A0003" w:tentative="1">
      <w:start w:val="1"/>
      <w:numFmt w:val="bullet"/>
      <w:lvlText w:val="o"/>
      <w:lvlJc w:val="left"/>
      <w:pPr>
        <w:ind w:left="2790" w:hanging="360"/>
      </w:pPr>
      <w:rPr>
        <w:rFonts w:ascii="Courier New" w:hAnsi="Courier New" w:cs="Courier New" w:hint="default"/>
      </w:rPr>
    </w:lvl>
    <w:lvl w:ilvl="2" w:tplc="380A0005" w:tentative="1">
      <w:start w:val="1"/>
      <w:numFmt w:val="bullet"/>
      <w:lvlText w:val=""/>
      <w:lvlJc w:val="left"/>
      <w:pPr>
        <w:ind w:left="3510" w:hanging="360"/>
      </w:pPr>
      <w:rPr>
        <w:rFonts w:ascii="Wingdings" w:hAnsi="Wingdings" w:hint="default"/>
      </w:rPr>
    </w:lvl>
    <w:lvl w:ilvl="3" w:tplc="380A0001" w:tentative="1">
      <w:start w:val="1"/>
      <w:numFmt w:val="bullet"/>
      <w:lvlText w:val=""/>
      <w:lvlJc w:val="left"/>
      <w:pPr>
        <w:ind w:left="4230" w:hanging="360"/>
      </w:pPr>
      <w:rPr>
        <w:rFonts w:ascii="Symbol" w:hAnsi="Symbol" w:hint="default"/>
      </w:rPr>
    </w:lvl>
    <w:lvl w:ilvl="4" w:tplc="380A0003" w:tentative="1">
      <w:start w:val="1"/>
      <w:numFmt w:val="bullet"/>
      <w:lvlText w:val="o"/>
      <w:lvlJc w:val="left"/>
      <w:pPr>
        <w:ind w:left="4950" w:hanging="360"/>
      </w:pPr>
      <w:rPr>
        <w:rFonts w:ascii="Courier New" w:hAnsi="Courier New" w:cs="Courier New" w:hint="default"/>
      </w:rPr>
    </w:lvl>
    <w:lvl w:ilvl="5" w:tplc="380A0005" w:tentative="1">
      <w:start w:val="1"/>
      <w:numFmt w:val="bullet"/>
      <w:lvlText w:val=""/>
      <w:lvlJc w:val="left"/>
      <w:pPr>
        <w:ind w:left="5670" w:hanging="360"/>
      </w:pPr>
      <w:rPr>
        <w:rFonts w:ascii="Wingdings" w:hAnsi="Wingdings" w:hint="default"/>
      </w:rPr>
    </w:lvl>
    <w:lvl w:ilvl="6" w:tplc="380A0001" w:tentative="1">
      <w:start w:val="1"/>
      <w:numFmt w:val="bullet"/>
      <w:lvlText w:val=""/>
      <w:lvlJc w:val="left"/>
      <w:pPr>
        <w:ind w:left="6390" w:hanging="360"/>
      </w:pPr>
      <w:rPr>
        <w:rFonts w:ascii="Symbol" w:hAnsi="Symbol" w:hint="default"/>
      </w:rPr>
    </w:lvl>
    <w:lvl w:ilvl="7" w:tplc="380A0003" w:tentative="1">
      <w:start w:val="1"/>
      <w:numFmt w:val="bullet"/>
      <w:lvlText w:val="o"/>
      <w:lvlJc w:val="left"/>
      <w:pPr>
        <w:ind w:left="7110" w:hanging="360"/>
      </w:pPr>
      <w:rPr>
        <w:rFonts w:ascii="Courier New" w:hAnsi="Courier New" w:cs="Courier New" w:hint="default"/>
      </w:rPr>
    </w:lvl>
    <w:lvl w:ilvl="8" w:tplc="380A0005" w:tentative="1">
      <w:start w:val="1"/>
      <w:numFmt w:val="bullet"/>
      <w:lvlText w:val=""/>
      <w:lvlJc w:val="left"/>
      <w:pPr>
        <w:ind w:left="7830" w:hanging="360"/>
      </w:pPr>
      <w:rPr>
        <w:rFonts w:ascii="Wingdings" w:hAnsi="Wingdings" w:hint="default"/>
      </w:rPr>
    </w:lvl>
  </w:abstractNum>
  <w:abstractNum w:abstractNumId="27">
    <w:nsid w:val="15CC5A4F"/>
    <w:multiLevelType w:val="hybridMultilevel"/>
    <w:tmpl w:val="A26443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1604411F"/>
    <w:multiLevelType w:val="hybridMultilevel"/>
    <w:tmpl w:val="58C265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166F54D4"/>
    <w:multiLevelType w:val="hybridMultilevel"/>
    <w:tmpl w:val="556221B4"/>
    <w:lvl w:ilvl="0" w:tplc="4CBA1120">
      <w:start w:val="1"/>
      <w:numFmt w:val="lowerLetter"/>
      <w:lvlText w:val="%1)"/>
      <w:lvlJc w:val="left"/>
      <w:pPr>
        <w:ind w:left="717" w:hanging="360"/>
      </w:pPr>
      <w:rPr>
        <w:rFonts w:hint="default"/>
        <w:b w:val="0"/>
        <w:bCs w:val="0"/>
      </w:rPr>
    </w:lvl>
    <w:lvl w:ilvl="1" w:tplc="0C0A0019">
      <w:start w:val="1"/>
      <w:numFmt w:val="lowerLetter"/>
      <w:lvlText w:val="%2."/>
      <w:lvlJc w:val="left"/>
      <w:pPr>
        <w:ind w:left="1437" w:hanging="360"/>
      </w:pPr>
    </w:lvl>
    <w:lvl w:ilvl="2" w:tplc="0C0A001B">
      <w:start w:val="1"/>
      <w:numFmt w:val="lowerRoman"/>
      <w:lvlText w:val="%3."/>
      <w:lvlJc w:val="right"/>
      <w:pPr>
        <w:ind w:left="2157" w:hanging="180"/>
      </w:pPr>
    </w:lvl>
    <w:lvl w:ilvl="3" w:tplc="0C0A000F">
      <w:start w:val="1"/>
      <w:numFmt w:val="decimal"/>
      <w:lvlText w:val="%4."/>
      <w:lvlJc w:val="left"/>
      <w:pPr>
        <w:ind w:left="2877" w:hanging="360"/>
      </w:pPr>
    </w:lvl>
    <w:lvl w:ilvl="4" w:tplc="0C0A0019">
      <w:start w:val="1"/>
      <w:numFmt w:val="lowerLetter"/>
      <w:lvlText w:val="%5."/>
      <w:lvlJc w:val="left"/>
      <w:pPr>
        <w:ind w:left="3597" w:hanging="360"/>
      </w:pPr>
    </w:lvl>
    <w:lvl w:ilvl="5" w:tplc="0C0A001B">
      <w:start w:val="1"/>
      <w:numFmt w:val="lowerRoman"/>
      <w:lvlText w:val="%6."/>
      <w:lvlJc w:val="right"/>
      <w:pPr>
        <w:ind w:left="4317" w:hanging="180"/>
      </w:pPr>
    </w:lvl>
    <w:lvl w:ilvl="6" w:tplc="0C0A000F">
      <w:start w:val="1"/>
      <w:numFmt w:val="decimal"/>
      <w:lvlText w:val="%7."/>
      <w:lvlJc w:val="left"/>
      <w:pPr>
        <w:ind w:left="5037" w:hanging="360"/>
      </w:pPr>
    </w:lvl>
    <w:lvl w:ilvl="7" w:tplc="0C0A0019">
      <w:start w:val="1"/>
      <w:numFmt w:val="lowerLetter"/>
      <w:lvlText w:val="%8."/>
      <w:lvlJc w:val="left"/>
      <w:pPr>
        <w:ind w:left="5757" w:hanging="360"/>
      </w:pPr>
    </w:lvl>
    <w:lvl w:ilvl="8" w:tplc="0C0A001B">
      <w:start w:val="1"/>
      <w:numFmt w:val="lowerRoman"/>
      <w:lvlText w:val="%9."/>
      <w:lvlJc w:val="right"/>
      <w:pPr>
        <w:ind w:left="6477" w:hanging="180"/>
      </w:pPr>
    </w:lvl>
  </w:abstractNum>
  <w:abstractNum w:abstractNumId="30">
    <w:nsid w:val="17137169"/>
    <w:multiLevelType w:val="multilevel"/>
    <w:tmpl w:val="6EE49C1A"/>
    <w:lvl w:ilvl="0">
      <w:start w:val="2"/>
      <w:numFmt w:val="decimal"/>
      <w:lvlText w:val="%1."/>
      <w:lvlJc w:val="left"/>
      <w:pPr>
        <w:ind w:left="2070"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2430" w:hanging="72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2790" w:hanging="108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150" w:hanging="1440"/>
      </w:pPr>
      <w:rPr>
        <w:rFonts w:hint="default"/>
      </w:rPr>
    </w:lvl>
  </w:abstractNum>
  <w:abstractNum w:abstractNumId="31">
    <w:nsid w:val="1750102F"/>
    <w:multiLevelType w:val="hybridMultilevel"/>
    <w:tmpl w:val="FAF2A390"/>
    <w:lvl w:ilvl="0" w:tplc="D59EB2EE">
      <w:start w:val="2"/>
      <w:numFmt w:val="decimal"/>
      <w:lvlText w:val="%1."/>
      <w:lvlJc w:val="left"/>
      <w:pPr>
        <w:ind w:left="720" w:hanging="360"/>
      </w:pPr>
      <w:rPr>
        <w:rFonts w:hint="default"/>
      </w:rPr>
    </w:lvl>
    <w:lvl w:ilvl="1" w:tplc="2B84CD48">
      <w:start w:val="1"/>
      <w:numFmt w:val="decimal"/>
      <w:lvlText w:val="%2."/>
      <w:lvlJc w:val="left"/>
      <w:pPr>
        <w:ind w:left="1353" w:hanging="360"/>
      </w:pPr>
      <w:rPr>
        <w:rFonts w:hint="default"/>
      </w:rPr>
    </w:lvl>
    <w:lvl w:ilvl="2" w:tplc="380A001B">
      <w:start w:val="1"/>
      <w:numFmt w:val="lowerRoman"/>
      <w:lvlText w:val="%3."/>
      <w:lvlJc w:val="right"/>
      <w:pPr>
        <w:ind w:left="2160" w:hanging="180"/>
      </w:pPr>
    </w:lvl>
    <w:lvl w:ilvl="3" w:tplc="A866FB96">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32">
    <w:nsid w:val="1897038A"/>
    <w:multiLevelType w:val="multilevel"/>
    <w:tmpl w:val="BDACF1DA"/>
    <w:styleLink w:val="Estilo7"/>
    <w:lvl w:ilvl="0">
      <w:start w:val="1"/>
      <w:numFmt w:val="decimal"/>
      <w:lvlText w:val="%1."/>
      <w:lvlJc w:val="left"/>
      <w:pPr>
        <w:tabs>
          <w:tab w:val="num" w:pos="643"/>
        </w:tabs>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19726A5B"/>
    <w:multiLevelType w:val="hybridMultilevel"/>
    <w:tmpl w:val="36A2370E"/>
    <w:lvl w:ilvl="0" w:tplc="ACEC5258">
      <w:start w:val="1"/>
      <w:numFmt w:val="decimal"/>
      <w:lvlText w:val="%1."/>
      <w:lvlJc w:val="left"/>
      <w:pPr>
        <w:ind w:left="720" w:hanging="360"/>
      </w:pPr>
      <w:rPr>
        <w:rFonts w:hint="default"/>
      </w:rPr>
    </w:lvl>
    <w:lvl w:ilvl="1" w:tplc="7C762A38">
      <w:start w:val="1"/>
      <w:numFmt w:val="lowerLetter"/>
      <w:lvlText w:val="%2."/>
      <w:lvlJc w:val="left"/>
      <w:pPr>
        <w:ind w:left="1440" w:hanging="360"/>
      </w:pPr>
    </w:lvl>
    <w:lvl w:ilvl="2" w:tplc="FC7CE11A">
      <w:start w:val="1"/>
      <w:numFmt w:val="lowerRoman"/>
      <w:lvlText w:val="%3."/>
      <w:lvlJc w:val="right"/>
      <w:pPr>
        <w:ind w:left="2160" w:hanging="180"/>
      </w:pPr>
    </w:lvl>
    <w:lvl w:ilvl="3" w:tplc="64C2C95A">
      <w:start w:val="1"/>
      <w:numFmt w:val="decimal"/>
      <w:lvlText w:val="%4."/>
      <w:lvlJc w:val="left"/>
      <w:pPr>
        <w:ind w:left="2880" w:hanging="360"/>
      </w:pPr>
    </w:lvl>
    <w:lvl w:ilvl="4" w:tplc="24948A04">
      <w:start w:val="1"/>
      <w:numFmt w:val="lowerLetter"/>
      <w:lvlText w:val="%5."/>
      <w:lvlJc w:val="left"/>
      <w:pPr>
        <w:ind w:left="3600" w:hanging="360"/>
      </w:pPr>
    </w:lvl>
    <w:lvl w:ilvl="5" w:tplc="3086CAD4">
      <w:start w:val="1"/>
      <w:numFmt w:val="lowerRoman"/>
      <w:lvlText w:val="%6."/>
      <w:lvlJc w:val="right"/>
      <w:pPr>
        <w:ind w:left="4320" w:hanging="180"/>
      </w:pPr>
    </w:lvl>
    <w:lvl w:ilvl="6" w:tplc="9EACBE28">
      <w:start w:val="1"/>
      <w:numFmt w:val="decimal"/>
      <w:lvlText w:val="%7."/>
      <w:lvlJc w:val="left"/>
      <w:pPr>
        <w:ind w:left="5040" w:hanging="360"/>
      </w:pPr>
    </w:lvl>
    <w:lvl w:ilvl="7" w:tplc="B57615DE">
      <w:start w:val="1"/>
      <w:numFmt w:val="lowerLetter"/>
      <w:lvlText w:val="%8."/>
      <w:lvlJc w:val="left"/>
      <w:pPr>
        <w:ind w:left="5760" w:hanging="360"/>
      </w:pPr>
    </w:lvl>
    <w:lvl w:ilvl="8" w:tplc="4B7C4BFA">
      <w:start w:val="1"/>
      <w:numFmt w:val="lowerRoman"/>
      <w:lvlText w:val="%9."/>
      <w:lvlJc w:val="right"/>
      <w:pPr>
        <w:ind w:left="6480" w:hanging="180"/>
      </w:pPr>
    </w:lvl>
  </w:abstractNum>
  <w:abstractNum w:abstractNumId="34">
    <w:nsid w:val="1A8D4AB5"/>
    <w:multiLevelType w:val="hybridMultilevel"/>
    <w:tmpl w:val="7FE87E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C1518C0"/>
    <w:multiLevelType w:val="hybridMultilevel"/>
    <w:tmpl w:val="1E701AA0"/>
    <w:lvl w:ilvl="0" w:tplc="B592225A">
      <w:start w:val="1"/>
      <w:numFmt w:val="upperLetter"/>
      <w:lvlText w:val="%1)"/>
      <w:lvlJc w:val="left"/>
      <w:pPr>
        <w:ind w:left="420" w:hanging="360"/>
      </w:pPr>
      <w:rPr>
        <w:rFonts w:ascii="Calibri" w:eastAsia="Times New Roman" w:hAnsi="Calibri" w:hint="default"/>
      </w:rPr>
    </w:lvl>
    <w:lvl w:ilvl="1" w:tplc="5CB0688A">
      <w:start w:val="1"/>
      <w:numFmt w:val="decimal"/>
      <w:pStyle w:val="T2A6"/>
      <w:lvlText w:val="%2."/>
      <w:lvlJc w:val="left"/>
      <w:pPr>
        <w:ind w:left="1140" w:hanging="360"/>
      </w:pPr>
      <w:rPr>
        <w:rFonts w:hint="default"/>
      </w:rPr>
    </w:lvl>
    <w:lvl w:ilvl="2" w:tplc="DE666C2E">
      <w:start w:val="1"/>
      <w:numFmt w:val="lowerRoman"/>
      <w:pStyle w:val="T3B3"/>
      <w:lvlText w:val="%3."/>
      <w:lvlJc w:val="right"/>
      <w:pPr>
        <w:ind w:left="1860" w:hanging="180"/>
      </w:pPr>
    </w:lvl>
    <w:lvl w:ilvl="3" w:tplc="7F068704">
      <w:start w:val="1"/>
      <w:numFmt w:val="decimal"/>
      <w:pStyle w:val="ANEXO4"/>
      <w:lvlText w:val="%4."/>
      <w:lvlJc w:val="left"/>
      <w:pPr>
        <w:ind w:left="2580" w:hanging="360"/>
      </w:pPr>
    </w:lvl>
    <w:lvl w:ilvl="4" w:tplc="2B32A67A">
      <w:start w:val="1"/>
      <w:numFmt w:val="lowerLetter"/>
      <w:lvlText w:val="%5."/>
      <w:lvlJc w:val="left"/>
      <w:pPr>
        <w:ind w:left="3300" w:hanging="360"/>
      </w:pPr>
    </w:lvl>
    <w:lvl w:ilvl="5" w:tplc="40D21812">
      <w:start w:val="1"/>
      <w:numFmt w:val="lowerRoman"/>
      <w:lvlText w:val="%6."/>
      <w:lvlJc w:val="right"/>
      <w:pPr>
        <w:ind w:left="4020" w:hanging="180"/>
      </w:pPr>
    </w:lvl>
    <w:lvl w:ilvl="6" w:tplc="B944D540">
      <w:start w:val="1"/>
      <w:numFmt w:val="decimal"/>
      <w:lvlText w:val="%7."/>
      <w:lvlJc w:val="left"/>
      <w:pPr>
        <w:ind w:left="4740" w:hanging="360"/>
      </w:pPr>
    </w:lvl>
    <w:lvl w:ilvl="7" w:tplc="79C8874A">
      <w:start w:val="1"/>
      <w:numFmt w:val="lowerLetter"/>
      <w:lvlText w:val="%8."/>
      <w:lvlJc w:val="left"/>
      <w:pPr>
        <w:ind w:left="5460" w:hanging="360"/>
      </w:pPr>
    </w:lvl>
    <w:lvl w:ilvl="8" w:tplc="89027DE2">
      <w:start w:val="1"/>
      <w:numFmt w:val="lowerRoman"/>
      <w:lvlText w:val="%9."/>
      <w:lvlJc w:val="right"/>
      <w:pPr>
        <w:ind w:left="6180" w:hanging="180"/>
      </w:pPr>
    </w:lvl>
  </w:abstractNum>
  <w:abstractNum w:abstractNumId="36">
    <w:nsid w:val="1DEF0908"/>
    <w:multiLevelType w:val="hybridMultilevel"/>
    <w:tmpl w:val="4DA426AA"/>
    <w:lvl w:ilvl="0" w:tplc="380A0001">
      <w:start w:val="1"/>
      <w:numFmt w:val="bullet"/>
      <w:lvlText w:val=""/>
      <w:lvlJc w:val="left"/>
      <w:pPr>
        <w:ind w:left="720" w:hanging="360"/>
      </w:pPr>
      <w:rPr>
        <w:rFonts w:ascii="Symbol" w:hAnsi="Symbol" w:hint="default"/>
        <w:b/>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7">
    <w:nsid w:val="1F163C2B"/>
    <w:multiLevelType w:val="multilevel"/>
    <w:tmpl w:val="0CB26A12"/>
    <w:lvl w:ilvl="0">
      <w:start w:val="1"/>
      <w:numFmt w:val="bullet"/>
      <w:lvlText w:val=""/>
      <w:lvlJc w:val="left"/>
      <w:pPr>
        <w:tabs>
          <w:tab w:val="num" w:pos="1287"/>
        </w:tabs>
        <w:ind w:left="1287" w:hanging="360"/>
      </w:pPr>
      <w:rPr>
        <w:rFonts w:ascii="Wingdings" w:hAnsi="Wingdings" w:cs="Wingdings"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8">
    <w:nsid w:val="1F6636D0"/>
    <w:multiLevelType w:val="hybridMultilevel"/>
    <w:tmpl w:val="DE2E104A"/>
    <w:lvl w:ilvl="0" w:tplc="0C0A0017">
      <w:start w:val="1"/>
      <w:numFmt w:val="lowerLetter"/>
      <w:lvlText w:val="%1)"/>
      <w:lvlJc w:val="left"/>
      <w:pPr>
        <w:ind w:left="720" w:hanging="360"/>
      </w:pPr>
    </w:lvl>
    <w:lvl w:ilvl="1" w:tplc="DEF05CD4">
      <w:start w:val="5"/>
      <w:numFmt w:val="decimal"/>
      <w:lvlText w:val="%2"/>
      <w:lvlJc w:val="left"/>
      <w:pPr>
        <w:ind w:left="1440" w:hanging="360"/>
      </w:pPr>
      <w:rPr>
        <w:rFonts w:hint="default"/>
        <w:b w:val="0"/>
      </w:rPr>
    </w:lvl>
    <w:lvl w:ilvl="2" w:tplc="6BBECACE">
      <w:start w:val="1"/>
      <w:numFmt w:val="decimal"/>
      <w:lvlText w:val="%3)"/>
      <w:lvlJc w:val="left"/>
      <w:pPr>
        <w:ind w:left="2340" w:hanging="360"/>
      </w:pPr>
      <w:rPr>
        <w:rFonts w:hint="default"/>
        <w:vertAlign w:val="subscript"/>
      </w:rPr>
    </w:lvl>
    <w:lvl w:ilvl="3" w:tplc="0C0A000F" w:tentative="1">
      <w:start w:val="1"/>
      <w:numFmt w:val="decimal"/>
      <w:lvlText w:val="%4."/>
      <w:lvlJc w:val="left"/>
      <w:pPr>
        <w:ind w:left="2880" w:hanging="360"/>
      </w:pPr>
    </w:lvl>
    <w:lvl w:ilvl="4" w:tplc="0C0A0017">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F886482"/>
    <w:multiLevelType w:val="hybridMultilevel"/>
    <w:tmpl w:val="DCF2E176"/>
    <w:lvl w:ilvl="0" w:tplc="D832ADEC">
      <w:start w:val="1"/>
      <w:numFmt w:val="lowerLetter"/>
      <w:lvlText w:val="%1)"/>
      <w:lvlJc w:val="left"/>
      <w:pPr>
        <w:ind w:left="720" w:hanging="360"/>
      </w:pPr>
      <w:rPr>
        <w:lang w:val="es-ES_tradnl"/>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0">
    <w:nsid w:val="20092980"/>
    <w:multiLevelType w:val="hybridMultilevel"/>
    <w:tmpl w:val="868C514A"/>
    <w:lvl w:ilvl="0" w:tplc="DD7C7114">
      <w:start w:val="2"/>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1">
    <w:nsid w:val="210D16A2"/>
    <w:multiLevelType w:val="hybridMultilevel"/>
    <w:tmpl w:val="A120E2D4"/>
    <w:lvl w:ilvl="0" w:tplc="69648964">
      <w:start w:val="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1741EF7"/>
    <w:multiLevelType w:val="hybridMultilevel"/>
    <w:tmpl w:val="85E29C6C"/>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nsid w:val="222C17DF"/>
    <w:multiLevelType w:val="hybridMultilevel"/>
    <w:tmpl w:val="C94ACD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229273A5"/>
    <w:multiLevelType w:val="hybridMultilevel"/>
    <w:tmpl w:val="A770115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22C63F34"/>
    <w:multiLevelType w:val="hybridMultilevel"/>
    <w:tmpl w:val="E750A780"/>
    <w:lvl w:ilvl="0" w:tplc="0C0A000F">
      <w:start w:val="1"/>
      <w:numFmt w:val="bullet"/>
      <w:pStyle w:val="T1A"/>
      <w:lvlText w:val=""/>
      <w:lvlJc w:val="left"/>
      <w:pPr>
        <w:ind w:left="720" w:hanging="360"/>
      </w:pPr>
      <w:rPr>
        <w:rFonts w:ascii="Symbol" w:hAnsi="Symbol" w:cs="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cs="Wingdings" w:hint="default"/>
      </w:rPr>
    </w:lvl>
    <w:lvl w:ilvl="3" w:tplc="0C0A000F">
      <w:start w:val="1"/>
      <w:numFmt w:val="bullet"/>
      <w:lvlText w:val=""/>
      <w:lvlJc w:val="left"/>
      <w:pPr>
        <w:ind w:left="2880" w:hanging="360"/>
      </w:pPr>
      <w:rPr>
        <w:rFonts w:ascii="Symbol" w:hAnsi="Symbol" w:cs="Symbol" w:hint="default"/>
      </w:rPr>
    </w:lvl>
    <w:lvl w:ilvl="4" w:tplc="0C0A0019">
      <w:start w:val="1"/>
      <w:numFmt w:val="bullet"/>
      <w:lvlText w:val="o"/>
      <w:lvlJc w:val="left"/>
      <w:pPr>
        <w:ind w:left="3600" w:hanging="360"/>
      </w:pPr>
      <w:rPr>
        <w:rFonts w:ascii="Courier New" w:hAnsi="Courier New" w:cs="Courier New" w:hint="default"/>
      </w:rPr>
    </w:lvl>
    <w:lvl w:ilvl="5" w:tplc="0C0A001B">
      <w:start w:val="1"/>
      <w:numFmt w:val="bullet"/>
      <w:lvlText w:val=""/>
      <w:lvlJc w:val="left"/>
      <w:pPr>
        <w:ind w:left="4320" w:hanging="360"/>
      </w:pPr>
      <w:rPr>
        <w:rFonts w:ascii="Wingdings" w:hAnsi="Wingdings" w:cs="Wingdings" w:hint="default"/>
      </w:rPr>
    </w:lvl>
    <w:lvl w:ilvl="6" w:tplc="0C0A000F">
      <w:start w:val="1"/>
      <w:numFmt w:val="bullet"/>
      <w:lvlText w:val=""/>
      <w:lvlJc w:val="left"/>
      <w:pPr>
        <w:ind w:left="5040" w:hanging="360"/>
      </w:pPr>
      <w:rPr>
        <w:rFonts w:ascii="Symbol" w:hAnsi="Symbol" w:cs="Symbol" w:hint="default"/>
      </w:rPr>
    </w:lvl>
    <w:lvl w:ilvl="7" w:tplc="0C0A0019">
      <w:start w:val="1"/>
      <w:numFmt w:val="bullet"/>
      <w:lvlText w:val="o"/>
      <w:lvlJc w:val="left"/>
      <w:pPr>
        <w:ind w:left="5760" w:hanging="360"/>
      </w:pPr>
      <w:rPr>
        <w:rFonts w:ascii="Courier New" w:hAnsi="Courier New" w:cs="Courier New" w:hint="default"/>
      </w:rPr>
    </w:lvl>
    <w:lvl w:ilvl="8" w:tplc="0C0A001B">
      <w:start w:val="1"/>
      <w:numFmt w:val="bullet"/>
      <w:lvlText w:val=""/>
      <w:lvlJc w:val="left"/>
      <w:pPr>
        <w:ind w:left="6480" w:hanging="360"/>
      </w:pPr>
      <w:rPr>
        <w:rFonts w:ascii="Wingdings" w:hAnsi="Wingdings" w:cs="Wingdings" w:hint="default"/>
      </w:rPr>
    </w:lvl>
  </w:abstractNum>
  <w:abstractNum w:abstractNumId="46">
    <w:nsid w:val="24E64DB6"/>
    <w:multiLevelType w:val="hybridMultilevel"/>
    <w:tmpl w:val="059ED892"/>
    <w:lvl w:ilvl="0" w:tplc="28B27FFE">
      <w:start w:val="1"/>
      <w:numFmt w:val="bullet"/>
      <w:lvlText w:val=""/>
      <w:lvlJc w:val="left"/>
      <w:pPr>
        <w:ind w:left="720" w:hanging="360"/>
      </w:pPr>
      <w:rPr>
        <w:rFonts w:ascii="Symbol" w:hAnsi="Symbol" w:cs="Symbol" w:hint="default"/>
      </w:rPr>
    </w:lvl>
    <w:lvl w:ilvl="1" w:tplc="A830DC82">
      <w:start w:val="1"/>
      <w:numFmt w:val="bullet"/>
      <w:lvlText w:val="o"/>
      <w:lvlJc w:val="left"/>
      <w:pPr>
        <w:ind w:left="1440" w:hanging="360"/>
      </w:pPr>
      <w:rPr>
        <w:rFonts w:ascii="Courier New" w:hAnsi="Courier New" w:cs="Courier New" w:hint="default"/>
      </w:rPr>
    </w:lvl>
    <w:lvl w:ilvl="2" w:tplc="130618F6">
      <w:start w:val="1"/>
      <w:numFmt w:val="bullet"/>
      <w:lvlText w:val=""/>
      <w:lvlJc w:val="left"/>
      <w:pPr>
        <w:ind w:left="2160" w:hanging="360"/>
      </w:pPr>
      <w:rPr>
        <w:rFonts w:ascii="Wingdings" w:hAnsi="Wingdings" w:cs="Wingdings" w:hint="default"/>
      </w:rPr>
    </w:lvl>
    <w:lvl w:ilvl="3" w:tplc="D5887EB6">
      <w:start w:val="1"/>
      <w:numFmt w:val="bullet"/>
      <w:lvlText w:val=""/>
      <w:lvlJc w:val="left"/>
      <w:pPr>
        <w:ind w:left="2880" w:hanging="360"/>
      </w:pPr>
      <w:rPr>
        <w:rFonts w:ascii="Symbol" w:hAnsi="Symbol" w:cs="Symbol" w:hint="default"/>
      </w:rPr>
    </w:lvl>
    <w:lvl w:ilvl="4" w:tplc="996EA73C">
      <w:start w:val="1"/>
      <w:numFmt w:val="bullet"/>
      <w:lvlText w:val="o"/>
      <w:lvlJc w:val="left"/>
      <w:pPr>
        <w:ind w:left="3600" w:hanging="360"/>
      </w:pPr>
      <w:rPr>
        <w:rFonts w:ascii="Courier New" w:hAnsi="Courier New" w:cs="Courier New" w:hint="default"/>
      </w:rPr>
    </w:lvl>
    <w:lvl w:ilvl="5" w:tplc="4B58F54E">
      <w:start w:val="1"/>
      <w:numFmt w:val="bullet"/>
      <w:lvlText w:val=""/>
      <w:lvlJc w:val="left"/>
      <w:pPr>
        <w:ind w:left="4320" w:hanging="360"/>
      </w:pPr>
      <w:rPr>
        <w:rFonts w:ascii="Wingdings" w:hAnsi="Wingdings" w:cs="Wingdings" w:hint="default"/>
      </w:rPr>
    </w:lvl>
    <w:lvl w:ilvl="6" w:tplc="48A0AB0C">
      <w:start w:val="1"/>
      <w:numFmt w:val="bullet"/>
      <w:lvlText w:val=""/>
      <w:lvlJc w:val="left"/>
      <w:pPr>
        <w:ind w:left="5040" w:hanging="360"/>
      </w:pPr>
      <w:rPr>
        <w:rFonts w:ascii="Symbol" w:hAnsi="Symbol" w:cs="Symbol" w:hint="default"/>
      </w:rPr>
    </w:lvl>
    <w:lvl w:ilvl="7" w:tplc="77403AB8">
      <w:start w:val="1"/>
      <w:numFmt w:val="bullet"/>
      <w:lvlText w:val="o"/>
      <w:lvlJc w:val="left"/>
      <w:pPr>
        <w:ind w:left="5760" w:hanging="360"/>
      </w:pPr>
      <w:rPr>
        <w:rFonts w:ascii="Courier New" w:hAnsi="Courier New" w:cs="Courier New" w:hint="default"/>
      </w:rPr>
    </w:lvl>
    <w:lvl w:ilvl="8" w:tplc="37041B18">
      <w:start w:val="1"/>
      <w:numFmt w:val="bullet"/>
      <w:lvlText w:val=""/>
      <w:lvlJc w:val="left"/>
      <w:pPr>
        <w:ind w:left="6480" w:hanging="360"/>
      </w:pPr>
      <w:rPr>
        <w:rFonts w:ascii="Wingdings" w:hAnsi="Wingdings" w:cs="Wingdings" w:hint="default"/>
      </w:rPr>
    </w:lvl>
  </w:abstractNum>
  <w:abstractNum w:abstractNumId="47">
    <w:nsid w:val="255D09AE"/>
    <w:multiLevelType w:val="multilevel"/>
    <w:tmpl w:val="92C04A22"/>
    <w:styleLink w:val="Estilo8"/>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275C1E57"/>
    <w:multiLevelType w:val="multilevel"/>
    <w:tmpl w:val="06AE7F3A"/>
    <w:lvl w:ilvl="0">
      <w:start w:val="1"/>
      <w:numFmt w:val="decimal"/>
      <w:pStyle w:val="tomas5"/>
      <w:lvlText w:val="%1."/>
      <w:lvlJc w:val="left"/>
      <w:pPr>
        <w:tabs>
          <w:tab w:val="num" w:pos="360"/>
        </w:tabs>
        <w:ind w:left="737" w:hanging="737"/>
      </w:pPr>
      <w:rPr>
        <w:rFonts w:hint="default"/>
      </w:rPr>
    </w:lvl>
    <w:lvl w:ilvl="1">
      <w:start w:val="1"/>
      <w:numFmt w:val="decimal"/>
      <w:lvlText w:val="%1.%2."/>
      <w:lvlJc w:val="left"/>
      <w:pPr>
        <w:tabs>
          <w:tab w:val="num" w:pos="794"/>
        </w:tabs>
        <w:ind w:left="1361" w:hanging="567"/>
      </w:pPr>
      <w:rPr>
        <w:rFonts w:ascii="Arial" w:hAnsi="Arial" w:cs="Arial" w:hint="default"/>
        <w:b/>
        <w:bCs/>
        <w:i w:val="0"/>
        <w:iCs w:val="0"/>
        <w:caps w:val="0"/>
        <w:strike w:val="0"/>
        <w:dstrike w:val="0"/>
        <w:vanish w:val="0"/>
        <w:spacing w:val="0"/>
        <w:kern w:val="0"/>
        <w:position w:val="0"/>
        <w:sz w:val="28"/>
        <w:szCs w:val="28"/>
        <w:u w:val="none"/>
        <w:vertAlign w:val="baseline"/>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suff w:val="nothing"/>
      <w:lvlText w:val="%1.%2.%3.%5.%4"/>
      <w:lvlJc w:val="left"/>
      <w:pPr>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285928CE"/>
    <w:multiLevelType w:val="hybridMultilevel"/>
    <w:tmpl w:val="203ACE90"/>
    <w:lvl w:ilvl="0" w:tplc="DD7C7114">
      <w:start w:val="2"/>
      <w:numFmt w:val="bullet"/>
      <w:lvlText w:val="-"/>
      <w:lvlJc w:val="left"/>
      <w:pPr>
        <w:ind w:left="720" w:hanging="360"/>
      </w:pPr>
      <w:rPr>
        <w:rFonts w:ascii="Arial" w:eastAsia="Times New Roman" w:hAnsi="Aria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0">
    <w:nsid w:val="28E74D41"/>
    <w:multiLevelType w:val="hybridMultilevel"/>
    <w:tmpl w:val="A4AE4284"/>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1">
    <w:nsid w:val="2A2E65DC"/>
    <w:multiLevelType w:val="multilevel"/>
    <w:tmpl w:val="787CBF0A"/>
    <w:lvl w:ilvl="0">
      <w:start w:val="1"/>
      <w:numFmt w:val="decimal"/>
      <w:lvlText w:val="%1."/>
      <w:lvlJc w:val="left"/>
      <w:pPr>
        <w:ind w:left="360" w:hanging="360"/>
      </w:pPr>
      <w:rPr>
        <w:rFonts w:hint="default"/>
        <w:b/>
        <w:bCs/>
        <w:sz w:val="22"/>
        <w:szCs w:val="22"/>
      </w:rPr>
    </w:lvl>
    <w:lvl w:ilvl="1">
      <w:start w:val="1"/>
      <w:numFmt w:val="decimal"/>
      <w:lvlText w:val="%1.%2."/>
      <w:lvlJc w:val="left"/>
      <w:pPr>
        <w:ind w:left="360" w:hanging="360"/>
      </w:pPr>
      <w:rPr>
        <w:rFonts w:hint="default"/>
        <w:b/>
        <w:bCs/>
        <w:sz w:val="22"/>
        <w:szCs w:val="22"/>
      </w:rPr>
    </w:lvl>
    <w:lvl w:ilvl="2">
      <w:start w:val="1"/>
      <w:numFmt w:val="decimal"/>
      <w:pStyle w:val="ANEXO3"/>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b/>
        <w:bCs/>
        <w:sz w:val="22"/>
        <w:szCs w:val="22"/>
      </w:rPr>
    </w:lvl>
    <w:lvl w:ilvl="4">
      <w:start w:val="1"/>
      <w:numFmt w:val="decimal"/>
      <w:lvlText w:val="%1.%2.%3.%4.%5."/>
      <w:lvlJc w:val="left"/>
      <w:pPr>
        <w:ind w:left="1080" w:hanging="1080"/>
      </w:pPr>
      <w:rPr>
        <w:rFonts w:hint="default"/>
        <w:b/>
        <w:bCs/>
        <w:sz w:val="22"/>
        <w:szCs w:val="22"/>
      </w:rPr>
    </w:lvl>
    <w:lvl w:ilvl="5">
      <w:start w:val="1"/>
      <w:numFmt w:val="decimal"/>
      <w:lvlText w:val="%1.%2.%3.%4.%5.%6."/>
      <w:lvlJc w:val="left"/>
      <w:pPr>
        <w:ind w:left="1080" w:hanging="1080"/>
      </w:pPr>
      <w:rPr>
        <w:rFonts w:hint="default"/>
        <w:b/>
        <w:bCs/>
        <w:sz w:val="22"/>
        <w:szCs w:val="22"/>
      </w:rPr>
    </w:lvl>
    <w:lvl w:ilvl="6">
      <w:start w:val="1"/>
      <w:numFmt w:val="decimal"/>
      <w:lvlText w:val="%1.%2.%3.%4.%5.%6.%7."/>
      <w:lvlJc w:val="left"/>
      <w:pPr>
        <w:ind w:left="1440" w:hanging="1440"/>
      </w:pPr>
      <w:rPr>
        <w:rFonts w:hint="default"/>
        <w:b/>
        <w:bCs/>
        <w:sz w:val="22"/>
        <w:szCs w:val="22"/>
      </w:rPr>
    </w:lvl>
    <w:lvl w:ilvl="7">
      <w:start w:val="1"/>
      <w:numFmt w:val="decimal"/>
      <w:lvlText w:val="%1.%2.%3.%4.%5.%6.%7.%8."/>
      <w:lvlJc w:val="left"/>
      <w:pPr>
        <w:ind w:left="1440" w:hanging="1440"/>
      </w:pPr>
      <w:rPr>
        <w:rFonts w:hint="default"/>
        <w:b/>
        <w:bCs/>
        <w:sz w:val="22"/>
        <w:szCs w:val="22"/>
      </w:rPr>
    </w:lvl>
    <w:lvl w:ilvl="8">
      <w:start w:val="1"/>
      <w:numFmt w:val="decimal"/>
      <w:lvlText w:val="%1.%2.%3.%4.%5.%6.%7.%8.%9."/>
      <w:lvlJc w:val="left"/>
      <w:pPr>
        <w:ind w:left="1800" w:hanging="1800"/>
      </w:pPr>
      <w:rPr>
        <w:rFonts w:hint="default"/>
        <w:b/>
        <w:bCs/>
        <w:sz w:val="22"/>
        <w:szCs w:val="22"/>
      </w:rPr>
    </w:lvl>
  </w:abstractNum>
  <w:abstractNum w:abstractNumId="52">
    <w:nsid w:val="2A845159"/>
    <w:multiLevelType w:val="multilevel"/>
    <w:tmpl w:val="9E4E9832"/>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2B2E35F9"/>
    <w:multiLevelType w:val="singleLevel"/>
    <w:tmpl w:val="63CAA578"/>
    <w:lvl w:ilvl="0">
      <w:start w:val="1"/>
      <w:numFmt w:val="lowerLetter"/>
      <w:lvlText w:val="%1)"/>
      <w:lvlJc w:val="left"/>
      <w:pPr>
        <w:tabs>
          <w:tab w:val="num" w:pos="1295"/>
        </w:tabs>
        <w:ind w:left="1295" w:hanging="585"/>
      </w:pPr>
      <w:rPr>
        <w:rFonts w:hint="default"/>
      </w:rPr>
    </w:lvl>
  </w:abstractNum>
  <w:abstractNum w:abstractNumId="54">
    <w:nsid w:val="2BC73624"/>
    <w:multiLevelType w:val="hybridMultilevel"/>
    <w:tmpl w:val="74928D50"/>
    <w:lvl w:ilvl="0" w:tplc="380A001B">
      <w:start w:val="1"/>
      <w:numFmt w:val="lowerRoman"/>
      <w:lvlText w:val="%1."/>
      <w:lvlJc w:val="righ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5">
    <w:nsid w:val="2C433EC0"/>
    <w:multiLevelType w:val="multilevel"/>
    <w:tmpl w:val="6C80D61A"/>
    <w:lvl w:ilvl="0">
      <w:start w:val="1"/>
      <w:numFmt w:val="decimal"/>
      <w:lvlText w:val="%1."/>
      <w:lvlJc w:val="left"/>
      <w:pPr>
        <w:ind w:left="360" w:hanging="360"/>
      </w:pPr>
      <w:rPr>
        <w:rFonts w:hint="default"/>
      </w:rPr>
    </w:lvl>
    <w:lvl w:ilvl="1">
      <w:start w:val="1"/>
      <w:numFmt w:val="decimal"/>
      <w:pStyle w:val="T2BIS"/>
      <w:lvlText w:val="%1.%2."/>
      <w:lvlJc w:val="left"/>
      <w:pPr>
        <w:ind w:left="792" w:hanging="432"/>
      </w:pPr>
      <w:rPr>
        <w:rFonts w:hint="default"/>
      </w:rPr>
    </w:lvl>
    <w:lvl w:ilvl="2">
      <w:start w:val="1"/>
      <w:numFmt w:val="decimal"/>
      <w:pStyle w:val="T3B"/>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D8D2428"/>
    <w:multiLevelType w:val="hybridMultilevel"/>
    <w:tmpl w:val="71A41524"/>
    <w:lvl w:ilvl="0" w:tplc="F28A3A6A">
      <w:start w:val="2"/>
      <w:numFmt w:val="bullet"/>
      <w:lvlText w:val=""/>
      <w:lvlJc w:val="left"/>
      <w:pPr>
        <w:ind w:left="720" w:hanging="360"/>
      </w:pPr>
      <w:rPr>
        <w:rFonts w:ascii="Symbol" w:hAnsi="Symbol" w:cs="Symbol" w:hint="default"/>
      </w:rPr>
    </w:lvl>
    <w:lvl w:ilvl="1" w:tplc="E862864E">
      <w:start w:val="1"/>
      <w:numFmt w:val="bullet"/>
      <w:lvlText w:val="o"/>
      <w:lvlJc w:val="left"/>
      <w:pPr>
        <w:ind w:left="1440" w:hanging="360"/>
      </w:pPr>
      <w:rPr>
        <w:rFonts w:ascii="Courier New" w:hAnsi="Courier New" w:cs="Courier New" w:hint="default"/>
      </w:rPr>
    </w:lvl>
    <w:lvl w:ilvl="2" w:tplc="C14277AA">
      <w:start w:val="1"/>
      <w:numFmt w:val="bullet"/>
      <w:lvlText w:val=""/>
      <w:lvlJc w:val="left"/>
      <w:pPr>
        <w:ind w:left="2160" w:hanging="360"/>
      </w:pPr>
      <w:rPr>
        <w:rFonts w:ascii="Wingdings" w:hAnsi="Wingdings" w:cs="Wingdings" w:hint="default"/>
      </w:rPr>
    </w:lvl>
    <w:lvl w:ilvl="3" w:tplc="5452688C">
      <w:start w:val="1"/>
      <w:numFmt w:val="bullet"/>
      <w:lvlText w:val=""/>
      <w:lvlJc w:val="left"/>
      <w:pPr>
        <w:ind w:left="2880" w:hanging="360"/>
      </w:pPr>
      <w:rPr>
        <w:rFonts w:ascii="Symbol" w:hAnsi="Symbol" w:cs="Symbol" w:hint="default"/>
      </w:rPr>
    </w:lvl>
    <w:lvl w:ilvl="4" w:tplc="503EBADE">
      <w:start w:val="1"/>
      <w:numFmt w:val="bullet"/>
      <w:lvlText w:val="o"/>
      <w:lvlJc w:val="left"/>
      <w:pPr>
        <w:ind w:left="3600" w:hanging="360"/>
      </w:pPr>
      <w:rPr>
        <w:rFonts w:ascii="Courier New" w:hAnsi="Courier New" w:cs="Courier New" w:hint="default"/>
      </w:rPr>
    </w:lvl>
    <w:lvl w:ilvl="5" w:tplc="86F26408">
      <w:start w:val="1"/>
      <w:numFmt w:val="bullet"/>
      <w:lvlText w:val=""/>
      <w:lvlJc w:val="left"/>
      <w:pPr>
        <w:ind w:left="4320" w:hanging="360"/>
      </w:pPr>
      <w:rPr>
        <w:rFonts w:ascii="Wingdings" w:hAnsi="Wingdings" w:cs="Wingdings" w:hint="default"/>
      </w:rPr>
    </w:lvl>
    <w:lvl w:ilvl="6" w:tplc="E10E98A4">
      <w:start w:val="1"/>
      <w:numFmt w:val="bullet"/>
      <w:lvlText w:val=""/>
      <w:lvlJc w:val="left"/>
      <w:pPr>
        <w:ind w:left="5040" w:hanging="360"/>
      </w:pPr>
      <w:rPr>
        <w:rFonts w:ascii="Symbol" w:hAnsi="Symbol" w:cs="Symbol" w:hint="default"/>
      </w:rPr>
    </w:lvl>
    <w:lvl w:ilvl="7" w:tplc="4B64B562">
      <w:start w:val="1"/>
      <w:numFmt w:val="bullet"/>
      <w:lvlText w:val="o"/>
      <w:lvlJc w:val="left"/>
      <w:pPr>
        <w:ind w:left="5760" w:hanging="360"/>
      </w:pPr>
      <w:rPr>
        <w:rFonts w:ascii="Courier New" w:hAnsi="Courier New" w:cs="Courier New" w:hint="default"/>
      </w:rPr>
    </w:lvl>
    <w:lvl w:ilvl="8" w:tplc="0BD8A728">
      <w:start w:val="1"/>
      <w:numFmt w:val="bullet"/>
      <w:lvlText w:val=""/>
      <w:lvlJc w:val="left"/>
      <w:pPr>
        <w:ind w:left="6480" w:hanging="360"/>
      </w:pPr>
      <w:rPr>
        <w:rFonts w:ascii="Wingdings" w:hAnsi="Wingdings" w:cs="Wingdings" w:hint="default"/>
      </w:rPr>
    </w:lvl>
  </w:abstractNum>
  <w:abstractNum w:abstractNumId="57">
    <w:nsid w:val="2DF70FCD"/>
    <w:multiLevelType w:val="hybridMultilevel"/>
    <w:tmpl w:val="A168BCB0"/>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lvl>
    <w:lvl w:ilvl="2" w:tplc="0A2A34A2">
      <w:start w:val="4"/>
      <w:numFmt w:val="bullet"/>
      <w:lvlText w:val="-"/>
      <w:lvlJc w:val="left"/>
      <w:pPr>
        <w:ind w:left="2160" w:hanging="360"/>
      </w:pPr>
      <w:rPr>
        <w:rFonts w:ascii="Calibri" w:eastAsiaTheme="minorEastAsia" w:hAnsi="Calibri" w:cstheme="minorBidi"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8">
    <w:nsid w:val="2F6C7738"/>
    <w:multiLevelType w:val="multilevel"/>
    <w:tmpl w:val="9AECC874"/>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F9A6F85"/>
    <w:multiLevelType w:val="singleLevel"/>
    <w:tmpl w:val="E62809FC"/>
    <w:lvl w:ilvl="0">
      <w:start w:val="1"/>
      <w:numFmt w:val="bullet"/>
      <w:lvlText w:val=""/>
      <w:lvlJc w:val="left"/>
      <w:pPr>
        <w:tabs>
          <w:tab w:val="num" w:pos="360"/>
        </w:tabs>
        <w:ind w:left="360" w:hanging="360"/>
      </w:pPr>
      <w:rPr>
        <w:rFonts w:ascii="Symbol" w:hAnsi="Symbol" w:cs="Symbol" w:hint="default"/>
        <w:b w:val="0"/>
        <w:bCs w:val="0"/>
        <w:i w:val="0"/>
        <w:iCs w:val="0"/>
        <w:sz w:val="20"/>
        <w:szCs w:val="20"/>
      </w:rPr>
    </w:lvl>
  </w:abstractNum>
  <w:abstractNum w:abstractNumId="60">
    <w:nsid w:val="310B2DCA"/>
    <w:multiLevelType w:val="multilevel"/>
    <w:tmpl w:val="65084660"/>
    <w:lvl w:ilvl="0">
      <w:start w:val="1"/>
      <w:numFmt w:val="decimal"/>
      <w:lvlText w:val="%1."/>
      <w:lvlJc w:val="left"/>
      <w:pPr>
        <w:ind w:left="360" w:hanging="360"/>
      </w:pPr>
    </w:lvl>
    <w:lvl w:ilvl="1">
      <w:start w:val="1"/>
      <w:numFmt w:val="decimal"/>
      <w:pStyle w:val="T2A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3614286"/>
    <w:multiLevelType w:val="hybridMultilevel"/>
    <w:tmpl w:val="907C7C92"/>
    <w:lvl w:ilvl="0" w:tplc="A55C329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2">
    <w:nsid w:val="33644BA6"/>
    <w:multiLevelType w:val="singleLevel"/>
    <w:tmpl w:val="039EFC02"/>
    <w:lvl w:ilvl="0">
      <w:start w:val="1"/>
      <w:numFmt w:val="bullet"/>
      <w:pStyle w:val="BoxBullet"/>
      <w:lvlText w:val=""/>
      <w:lvlJc w:val="left"/>
      <w:pPr>
        <w:tabs>
          <w:tab w:val="num" w:pos="360"/>
        </w:tabs>
        <w:ind w:left="360" w:hanging="360"/>
      </w:pPr>
      <w:rPr>
        <w:rFonts w:ascii="Symbol" w:hAnsi="Symbol" w:cs="Symbol" w:hint="default"/>
      </w:rPr>
    </w:lvl>
  </w:abstractNum>
  <w:abstractNum w:abstractNumId="63">
    <w:nsid w:val="33D128A4"/>
    <w:multiLevelType w:val="hybridMultilevel"/>
    <w:tmpl w:val="B3F2E82A"/>
    <w:lvl w:ilvl="0" w:tplc="198EC210">
      <w:start w:val="1"/>
      <w:numFmt w:val="decimal"/>
      <w:lvlText w:val="%1."/>
      <w:lvlJc w:val="left"/>
      <w:pPr>
        <w:ind w:left="720" w:hanging="360"/>
      </w:pPr>
      <w:rPr>
        <w:b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33D9499D"/>
    <w:multiLevelType w:val="hybridMultilevel"/>
    <w:tmpl w:val="80164856"/>
    <w:lvl w:ilvl="0" w:tplc="E87C69B0">
      <w:start w:val="1"/>
      <w:numFmt w:val="decimal"/>
      <w:lvlText w:val="%1."/>
      <w:lvlJc w:val="left"/>
      <w:pPr>
        <w:ind w:left="720" w:hanging="360"/>
      </w:pPr>
    </w:lvl>
    <w:lvl w:ilvl="1" w:tplc="0A803E42">
      <w:start w:val="1"/>
      <w:numFmt w:val="lowerLetter"/>
      <w:lvlText w:val="%2."/>
      <w:lvlJc w:val="left"/>
      <w:pPr>
        <w:ind w:left="1440" w:hanging="360"/>
      </w:pPr>
    </w:lvl>
    <w:lvl w:ilvl="2" w:tplc="C762AC70">
      <w:start w:val="1"/>
      <w:numFmt w:val="lowerRoman"/>
      <w:lvlText w:val="%3."/>
      <w:lvlJc w:val="right"/>
      <w:pPr>
        <w:ind w:left="2160" w:hanging="180"/>
      </w:pPr>
    </w:lvl>
    <w:lvl w:ilvl="3" w:tplc="E21CFCFE">
      <w:start w:val="1"/>
      <w:numFmt w:val="decimal"/>
      <w:lvlText w:val="%4."/>
      <w:lvlJc w:val="left"/>
      <w:pPr>
        <w:ind w:left="2880" w:hanging="360"/>
      </w:pPr>
    </w:lvl>
    <w:lvl w:ilvl="4" w:tplc="37309ECC">
      <w:start w:val="1"/>
      <w:numFmt w:val="lowerLetter"/>
      <w:lvlText w:val="%5."/>
      <w:lvlJc w:val="left"/>
      <w:pPr>
        <w:ind w:left="3600" w:hanging="360"/>
      </w:pPr>
    </w:lvl>
    <w:lvl w:ilvl="5" w:tplc="A25AF810">
      <w:start w:val="1"/>
      <w:numFmt w:val="lowerRoman"/>
      <w:lvlText w:val="%6."/>
      <w:lvlJc w:val="right"/>
      <w:pPr>
        <w:ind w:left="4320" w:hanging="180"/>
      </w:pPr>
    </w:lvl>
    <w:lvl w:ilvl="6" w:tplc="0E52B59A">
      <w:start w:val="1"/>
      <w:numFmt w:val="decimal"/>
      <w:lvlText w:val="%7."/>
      <w:lvlJc w:val="left"/>
      <w:pPr>
        <w:ind w:left="5040" w:hanging="360"/>
      </w:pPr>
    </w:lvl>
    <w:lvl w:ilvl="7" w:tplc="5C1CF8A8">
      <w:start w:val="1"/>
      <w:numFmt w:val="lowerLetter"/>
      <w:lvlText w:val="%8."/>
      <w:lvlJc w:val="left"/>
      <w:pPr>
        <w:ind w:left="5760" w:hanging="360"/>
      </w:pPr>
    </w:lvl>
    <w:lvl w:ilvl="8" w:tplc="C73A8D86">
      <w:start w:val="1"/>
      <w:numFmt w:val="lowerRoman"/>
      <w:lvlText w:val="%9."/>
      <w:lvlJc w:val="right"/>
      <w:pPr>
        <w:ind w:left="6480" w:hanging="180"/>
      </w:pPr>
    </w:lvl>
  </w:abstractNum>
  <w:abstractNum w:abstractNumId="65">
    <w:nsid w:val="3497453E"/>
    <w:multiLevelType w:val="hybridMultilevel"/>
    <w:tmpl w:val="CD7A4034"/>
    <w:lvl w:ilvl="0" w:tplc="C36EEB2C">
      <w:start w:val="1"/>
      <w:numFmt w:val="bullet"/>
      <w:pStyle w:val="Ruta1vietas"/>
      <w:lvlText w:val=""/>
      <w:lvlJc w:val="left"/>
      <w:pPr>
        <w:tabs>
          <w:tab w:val="num" w:pos="2495"/>
        </w:tabs>
        <w:ind w:left="2495" w:hanging="204"/>
      </w:pPr>
      <w:rPr>
        <w:rFonts w:ascii="Wingdings" w:hAnsi="Wingdings" w:cs="Wingdings" w:hint="default"/>
      </w:rPr>
    </w:lvl>
    <w:lvl w:ilvl="1" w:tplc="92C64456">
      <w:start w:val="1"/>
      <w:numFmt w:val="bullet"/>
      <w:lvlText w:val="o"/>
      <w:lvlJc w:val="left"/>
      <w:pPr>
        <w:tabs>
          <w:tab w:val="num" w:pos="3011"/>
        </w:tabs>
        <w:ind w:left="3011" w:hanging="360"/>
      </w:pPr>
      <w:rPr>
        <w:rFonts w:ascii="Courier New" w:hAnsi="Courier New" w:cs="Courier New" w:hint="default"/>
      </w:rPr>
    </w:lvl>
    <w:lvl w:ilvl="2" w:tplc="1F8EDAA4">
      <w:start w:val="1"/>
      <w:numFmt w:val="bullet"/>
      <w:lvlText w:val=""/>
      <w:lvlJc w:val="left"/>
      <w:pPr>
        <w:tabs>
          <w:tab w:val="num" w:pos="3731"/>
        </w:tabs>
        <w:ind w:left="3731" w:hanging="360"/>
      </w:pPr>
      <w:rPr>
        <w:rFonts w:ascii="Wingdings" w:hAnsi="Wingdings" w:cs="Wingdings" w:hint="default"/>
      </w:rPr>
    </w:lvl>
    <w:lvl w:ilvl="3" w:tplc="6F28AEA6">
      <w:start w:val="1"/>
      <w:numFmt w:val="bullet"/>
      <w:lvlText w:val=""/>
      <w:lvlJc w:val="left"/>
      <w:pPr>
        <w:tabs>
          <w:tab w:val="num" w:pos="4451"/>
        </w:tabs>
        <w:ind w:left="4451" w:hanging="360"/>
      </w:pPr>
      <w:rPr>
        <w:rFonts w:ascii="Symbol" w:hAnsi="Symbol" w:cs="Symbol" w:hint="default"/>
      </w:rPr>
    </w:lvl>
    <w:lvl w:ilvl="4" w:tplc="CCC652C4">
      <w:start w:val="1"/>
      <w:numFmt w:val="bullet"/>
      <w:lvlText w:val="o"/>
      <w:lvlJc w:val="left"/>
      <w:pPr>
        <w:tabs>
          <w:tab w:val="num" w:pos="5171"/>
        </w:tabs>
        <w:ind w:left="5171" w:hanging="360"/>
      </w:pPr>
      <w:rPr>
        <w:rFonts w:ascii="Courier New" w:hAnsi="Courier New" w:cs="Courier New" w:hint="default"/>
      </w:rPr>
    </w:lvl>
    <w:lvl w:ilvl="5" w:tplc="85DCE69A">
      <w:start w:val="1"/>
      <w:numFmt w:val="bullet"/>
      <w:lvlText w:val=""/>
      <w:lvlJc w:val="left"/>
      <w:pPr>
        <w:tabs>
          <w:tab w:val="num" w:pos="5891"/>
        </w:tabs>
        <w:ind w:left="5891" w:hanging="360"/>
      </w:pPr>
      <w:rPr>
        <w:rFonts w:ascii="Wingdings" w:hAnsi="Wingdings" w:cs="Wingdings" w:hint="default"/>
      </w:rPr>
    </w:lvl>
    <w:lvl w:ilvl="6" w:tplc="6792B31A">
      <w:start w:val="1"/>
      <w:numFmt w:val="bullet"/>
      <w:lvlText w:val=""/>
      <w:lvlJc w:val="left"/>
      <w:pPr>
        <w:tabs>
          <w:tab w:val="num" w:pos="6611"/>
        </w:tabs>
        <w:ind w:left="6611" w:hanging="360"/>
      </w:pPr>
      <w:rPr>
        <w:rFonts w:ascii="Symbol" w:hAnsi="Symbol" w:cs="Symbol" w:hint="default"/>
      </w:rPr>
    </w:lvl>
    <w:lvl w:ilvl="7" w:tplc="8C2E640C">
      <w:start w:val="1"/>
      <w:numFmt w:val="bullet"/>
      <w:lvlText w:val="o"/>
      <w:lvlJc w:val="left"/>
      <w:pPr>
        <w:tabs>
          <w:tab w:val="num" w:pos="7331"/>
        </w:tabs>
        <w:ind w:left="7331" w:hanging="360"/>
      </w:pPr>
      <w:rPr>
        <w:rFonts w:ascii="Courier New" w:hAnsi="Courier New" w:cs="Courier New" w:hint="default"/>
      </w:rPr>
    </w:lvl>
    <w:lvl w:ilvl="8" w:tplc="8452E43E">
      <w:start w:val="1"/>
      <w:numFmt w:val="bullet"/>
      <w:lvlText w:val=""/>
      <w:lvlJc w:val="left"/>
      <w:pPr>
        <w:tabs>
          <w:tab w:val="num" w:pos="8051"/>
        </w:tabs>
        <w:ind w:left="8051" w:hanging="360"/>
      </w:pPr>
      <w:rPr>
        <w:rFonts w:ascii="Wingdings" w:hAnsi="Wingdings" w:cs="Wingdings" w:hint="default"/>
      </w:rPr>
    </w:lvl>
  </w:abstractNum>
  <w:abstractNum w:abstractNumId="66">
    <w:nsid w:val="36300AAB"/>
    <w:multiLevelType w:val="hybridMultilevel"/>
    <w:tmpl w:val="621681CE"/>
    <w:lvl w:ilvl="0" w:tplc="30A80770">
      <w:start w:val="1"/>
      <w:numFmt w:val="decimal"/>
      <w:pStyle w:val="Style2"/>
      <w:lvlText w:val="%1."/>
      <w:lvlJc w:val="left"/>
      <w:pPr>
        <w:ind w:left="360" w:hanging="360"/>
      </w:pPr>
      <w:rPr>
        <w:rFonts w:hint="default"/>
        <w:b w:val="0"/>
        <w:bCs w:val="0"/>
      </w:rPr>
    </w:lvl>
    <w:lvl w:ilvl="1" w:tplc="C250FDEA">
      <w:start w:val="1"/>
      <w:numFmt w:val="upperLetter"/>
      <w:lvlText w:val="%2."/>
      <w:lvlJc w:val="left"/>
      <w:pPr>
        <w:tabs>
          <w:tab w:val="num" w:pos="1080"/>
        </w:tabs>
        <w:ind w:left="1080" w:hanging="360"/>
      </w:pPr>
      <w:rPr>
        <w:rFonts w:hint="default"/>
        <w:b w:val="0"/>
        <w:bCs w:val="0"/>
      </w:rPr>
    </w:lvl>
    <w:lvl w:ilvl="2" w:tplc="842035CE">
      <w:start w:val="1"/>
      <w:numFmt w:val="lowerLetter"/>
      <w:lvlText w:val="%3."/>
      <w:lvlJc w:val="left"/>
      <w:pPr>
        <w:ind w:left="1800" w:hanging="180"/>
      </w:pPr>
    </w:lvl>
    <w:lvl w:ilvl="3" w:tplc="77F2ED56">
      <w:start w:val="1"/>
      <w:numFmt w:val="decimal"/>
      <w:lvlText w:val="%4."/>
      <w:lvlJc w:val="left"/>
      <w:pPr>
        <w:ind w:left="2520" w:hanging="360"/>
      </w:pPr>
    </w:lvl>
    <w:lvl w:ilvl="4" w:tplc="8F6A5D9C">
      <w:start w:val="1"/>
      <w:numFmt w:val="lowerLetter"/>
      <w:pStyle w:val="Ttulo5"/>
      <w:lvlText w:val="%5."/>
      <w:lvlJc w:val="left"/>
      <w:pPr>
        <w:ind w:left="3240" w:hanging="360"/>
      </w:pPr>
    </w:lvl>
    <w:lvl w:ilvl="5" w:tplc="A1D27E42">
      <w:start w:val="1"/>
      <w:numFmt w:val="lowerRoman"/>
      <w:pStyle w:val="Ttulo6"/>
      <w:lvlText w:val="%6."/>
      <w:lvlJc w:val="right"/>
      <w:pPr>
        <w:ind w:left="3960" w:hanging="180"/>
      </w:pPr>
    </w:lvl>
    <w:lvl w:ilvl="6" w:tplc="1E2A80F8">
      <w:start w:val="1"/>
      <w:numFmt w:val="decimal"/>
      <w:pStyle w:val="Ttulo7"/>
      <w:lvlText w:val="%7."/>
      <w:lvlJc w:val="left"/>
      <w:pPr>
        <w:ind w:left="4680" w:hanging="360"/>
      </w:pPr>
    </w:lvl>
    <w:lvl w:ilvl="7" w:tplc="274E472E">
      <w:start w:val="1"/>
      <w:numFmt w:val="lowerLetter"/>
      <w:pStyle w:val="Ttulo8"/>
      <w:lvlText w:val="%8."/>
      <w:lvlJc w:val="left"/>
      <w:pPr>
        <w:ind w:left="5400" w:hanging="360"/>
      </w:pPr>
    </w:lvl>
    <w:lvl w:ilvl="8" w:tplc="0DAAA9A6">
      <w:start w:val="1"/>
      <w:numFmt w:val="lowerRoman"/>
      <w:pStyle w:val="Ttulo9"/>
      <w:lvlText w:val="%9."/>
      <w:lvlJc w:val="right"/>
      <w:pPr>
        <w:ind w:left="6120" w:hanging="180"/>
      </w:pPr>
    </w:lvl>
  </w:abstractNum>
  <w:abstractNum w:abstractNumId="67">
    <w:nsid w:val="37A61344"/>
    <w:multiLevelType w:val="multilevel"/>
    <w:tmpl w:val="8368AF0C"/>
    <w:lvl w:ilvl="0">
      <w:start w:val="1"/>
      <w:numFmt w:val="decimal"/>
      <w:lvlText w:val="%1."/>
      <w:lvlJc w:val="right"/>
      <w:pPr>
        <w:ind w:left="1671" w:hanging="360"/>
      </w:pPr>
      <w:rPr>
        <w:rFonts w:cs="Times New Roman" w:hint="default"/>
      </w:rPr>
    </w:lvl>
    <w:lvl w:ilvl="1">
      <w:start w:val="4"/>
      <w:numFmt w:val="decimal"/>
      <w:isLgl/>
      <w:lvlText w:val="%1.%2"/>
      <w:lvlJc w:val="left"/>
      <w:pPr>
        <w:ind w:left="644" w:hanging="360"/>
      </w:pPr>
      <w:rPr>
        <w:rFonts w:cs="Times New Roman" w:hint="default"/>
      </w:rPr>
    </w:lvl>
    <w:lvl w:ilvl="2">
      <w:start w:val="1"/>
      <w:numFmt w:val="decimal"/>
      <w:isLgl/>
      <w:lvlText w:val="%1.%2.%3"/>
      <w:lvlJc w:val="left"/>
      <w:pPr>
        <w:ind w:left="2031" w:hanging="720"/>
      </w:pPr>
      <w:rPr>
        <w:rFonts w:cs="Times New Roman" w:hint="default"/>
      </w:rPr>
    </w:lvl>
    <w:lvl w:ilvl="3">
      <w:start w:val="1"/>
      <w:numFmt w:val="decimal"/>
      <w:isLgl/>
      <w:lvlText w:val="%1.%2.%3.%4"/>
      <w:lvlJc w:val="left"/>
      <w:pPr>
        <w:ind w:left="2031" w:hanging="720"/>
      </w:pPr>
      <w:rPr>
        <w:rFonts w:cs="Times New Roman" w:hint="default"/>
      </w:rPr>
    </w:lvl>
    <w:lvl w:ilvl="4">
      <w:start w:val="1"/>
      <w:numFmt w:val="decimal"/>
      <w:isLgl/>
      <w:lvlText w:val="%1.%2.%3.%4.%5"/>
      <w:lvlJc w:val="left"/>
      <w:pPr>
        <w:ind w:left="2391" w:hanging="1080"/>
      </w:pPr>
      <w:rPr>
        <w:rFonts w:cs="Times New Roman" w:hint="default"/>
      </w:rPr>
    </w:lvl>
    <w:lvl w:ilvl="5">
      <w:start w:val="1"/>
      <w:numFmt w:val="decimal"/>
      <w:isLgl/>
      <w:lvlText w:val="%1.%2.%3.%4.%5.%6"/>
      <w:lvlJc w:val="left"/>
      <w:pPr>
        <w:ind w:left="2391" w:hanging="1080"/>
      </w:pPr>
      <w:rPr>
        <w:rFonts w:cs="Times New Roman" w:hint="default"/>
      </w:rPr>
    </w:lvl>
    <w:lvl w:ilvl="6">
      <w:start w:val="1"/>
      <w:numFmt w:val="decimal"/>
      <w:isLgl/>
      <w:lvlText w:val="%1.%2.%3.%4.%5.%6.%7"/>
      <w:lvlJc w:val="left"/>
      <w:pPr>
        <w:ind w:left="2751" w:hanging="1440"/>
      </w:pPr>
      <w:rPr>
        <w:rFonts w:cs="Times New Roman" w:hint="default"/>
      </w:rPr>
    </w:lvl>
    <w:lvl w:ilvl="7">
      <w:start w:val="1"/>
      <w:numFmt w:val="decimal"/>
      <w:isLgl/>
      <w:lvlText w:val="%1.%2.%3.%4.%5.%6.%7.%8"/>
      <w:lvlJc w:val="left"/>
      <w:pPr>
        <w:ind w:left="2751" w:hanging="1440"/>
      </w:pPr>
      <w:rPr>
        <w:rFonts w:cs="Times New Roman" w:hint="default"/>
      </w:rPr>
    </w:lvl>
    <w:lvl w:ilvl="8">
      <w:start w:val="1"/>
      <w:numFmt w:val="decimal"/>
      <w:isLgl/>
      <w:lvlText w:val="%1.%2.%3.%4.%5.%6.%7.%8.%9"/>
      <w:lvlJc w:val="left"/>
      <w:pPr>
        <w:ind w:left="3111" w:hanging="1800"/>
      </w:pPr>
      <w:rPr>
        <w:rFonts w:cs="Times New Roman" w:hint="default"/>
      </w:rPr>
    </w:lvl>
  </w:abstractNum>
  <w:abstractNum w:abstractNumId="68">
    <w:nsid w:val="385C72FB"/>
    <w:multiLevelType w:val="hybridMultilevel"/>
    <w:tmpl w:val="4C1E9B3C"/>
    <w:lvl w:ilvl="0" w:tplc="69648964">
      <w:start w:val="6"/>
      <w:numFmt w:val="bullet"/>
      <w:lvlText w:val="-"/>
      <w:lvlJc w:val="left"/>
      <w:pPr>
        <w:ind w:left="2192" w:hanging="360"/>
      </w:pPr>
      <w:rPr>
        <w:rFonts w:ascii="Arial" w:eastAsia="Times New Roman" w:hAnsi="Arial" w:cs="Arial" w:hint="default"/>
      </w:rPr>
    </w:lvl>
    <w:lvl w:ilvl="1" w:tplc="0C0A0003" w:tentative="1">
      <w:start w:val="1"/>
      <w:numFmt w:val="bullet"/>
      <w:lvlText w:val="o"/>
      <w:lvlJc w:val="left"/>
      <w:pPr>
        <w:ind w:left="2912" w:hanging="360"/>
      </w:pPr>
      <w:rPr>
        <w:rFonts w:ascii="Courier New" w:hAnsi="Courier New" w:cs="Courier New" w:hint="default"/>
      </w:rPr>
    </w:lvl>
    <w:lvl w:ilvl="2" w:tplc="0C0A0005" w:tentative="1">
      <w:start w:val="1"/>
      <w:numFmt w:val="bullet"/>
      <w:lvlText w:val=""/>
      <w:lvlJc w:val="left"/>
      <w:pPr>
        <w:ind w:left="3632" w:hanging="360"/>
      </w:pPr>
      <w:rPr>
        <w:rFonts w:ascii="Wingdings" w:hAnsi="Wingdings" w:hint="default"/>
      </w:rPr>
    </w:lvl>
    <w:lvl w:ilvl="3" w:tplc="0C0A0001" w:tentative="1">
      <w:start w:val="1"/>
      <w:numFmt w:val="bullet"/>
      <w:lvlText w:val=""/>
      <w:lvlJc w:val="left"/>
      <w:pPr>
        <w:ind w:left="4352" w:hanging="360"/>
      </w:pPr>
      <w:rPr>
        <w:rFonts w:ascii="Symbol" w:hAnsi="Symbol" w:hint="default"/>
      </w:rPr>
    </w:lvl>
    <w:lvl w:ilvl="4" w:tplc="0C0A0003" w:tentative="1">
      <w:start w:val="1"/>
      <w:numFmt w:val="bullet"/>
      <w:lvlText w:val="o"/>
      <w:lvlJc w:val="left"/>
      <w:pPr>
        <w:ind w:left="5072" w:hanging="360"/>
      </w:pPr>
      <w:rPr>
        <w:rFonts w:ascii="Courier New" w:hAnsi="Courier New" w:cs="Courier New" w:hint="default"/>
      </w:rPr>
    </w:lvl>
    <w:lvl w:ilvl="5" w:tplc="0C0A0005" w:tentative="1">
      <w:start w:val="1"/>
      <w:numFmt w:val="bullet"/>
      <w:lvlText w:val=""/>
      <w:lvlJc w:val="left"/>
      <w:pPr>
        <w:ind w:left="5792" w:hanging="360"/>
      </w:pPr>
      <w:rPr>
        <w:rFonts w:ascii="Wingdings" w:hAnsi="Wingdings" w:hint="default"/>
      </w:rPr>
    </w:lvl>
    <w:lvl w:ilvl="6" w:tplc="0C0A0001" w:tentative="1">
      <w:start w:val="1"/>
      <w:numFmt w:val="bullet"/>
      <w:lvlText w:val=""/>
      <w:lvlJc w:val="left"/>
      <w:pPr>
        <w:ind w:left="6512" w:hanging="360"/>
      </w:pPr>
      <w:rPr>
        <w:rFonts w:ascii="Symbol" w:hAnsi="Symbol" w:hint="default"/>
      </w:rPr>
    </w:lvl>
    <w:lvl w:ilvl="7" w:tplc="0C0A0003" w:tentative="1">
      <w:start w:val="1"/>
      <w:numFmt w:val="bullet"/>
      <w:lvlText w:val="o"/>
      <w:lvlJc w:val="left"/>
      <w:pPr>
        <w:ind w:left="7232" w:hanging="360"/>
      </w:pPr>
      <w:rPr>
        <w:rFonts w:ascii="Courier New" w:hAnsi="Courier New" w:cs="Courier New" w:hint="default"/>
      </w:rPr>
    </w:lvl>
    <w:lvl w:ilvl="8" w:tplc="0C0A0005" w:tentative="1">
      <w:start w:val="1"/>
      <w:numFmt w:val="bullet"/>
      <w:lvlText w:val=""/>
      <w:lvlJc w:val="left"/>
      <w:pPr>
        <w:ind w:left="7952" w:hanging="360"/>
      </w:pPr>
      <w:rPr>
        <w:rFonts w:ascii="Wingdings" w:hAnsi="Wingdings" w:hint="default"/>
      </w:rPr>
    </w:lvl>
  </w:abstractNum>
  <w:abstractNum w:abstractNumId="69">
    <w:nsid w:val="38B23F8D"/>
    <w:multiLevelType w:val="hybridMultilevel"/>
    <w:tmpl w:val="7F3CC152"/>
    <w:lvl w:ilvl="0" w:tplc="1D665218">
      <w:start w:val="1"/>
      <w:numFmt w:val="lowerLetter"/>
      <w:lvlText w:val="%1)"/>
      <w:lvlJc w:val="left"/>
      <w:pPr>
        <w:tabs>
          <w:tab w:val="num" w:pos="1005"/>
        </w:tabs>
        <w:ind w:left="1005" w:hanging="360"/>
      </w:pPr>
      <w:rPr>
        <w:rFonts w:hint="default"/>
        <w:sz w:val="20"/>
        <w:szCs w:val="20"/>
      </w:rPr>
    </w:lvl>
    <w:lvl w:ilvl="1" w:tplc="380A0019">
      <w:start w:val="1"/>
      <w:numFmt w:val="lowerLetter"/>
      <w:lvlText w:val="%2."/>
      <w:lvlJc w:val="left"/>
      <w:pPr>
        <w:tabs>
          <w:tab w:val="num" w:pos="1440"/>
        </w:tabs>
        <w:ind w:left="1440" w:hanging="360"/>
      </w:pPr>
    </w:lvl>
    <w:lvl w:ilvl="2" w:tplc="380A001B">
      <w:start w:val="1"/>
      <w:numFmt w:val="lowerRoman"/>
      <w:lvlText w:val="%3."/>
      <w:lvlJc w:val="right"/>
      <w:pPr>
        <w:tabs>
          <w:tab w:val="num" w:pos="2160"/>
        </w:tabs>
        <w:ind w:left="2160" w:hanging="180"/>
      </w:pPr>
    </w:lvl>
    <w:lvl w:ilvl="3" w:tplc="380A000F">
      <w:start w:val="1"/>
      <w:numFmt w:val="decimal"/>
      <w:lvlText w:val="%4."/>
      <w:lvlJc w:val="left"/>
      <w:pPr>
        <w:tabs>
          <w:tab w:val="num" w:pos="2880"/>
        </w:tabs>
        <w:ind w:left="2880" w:hanging="360"/>
      </w:pPr>
    </w:lvl>
    <w:lvl w:ilvl="4" w:tplc="380A0019">
      <w:start w:val="1"/>
      <w:numFmt w:val="lowerLetter"/>
      <w:lvlText w:val="%5."/>
      <w:lvlJc w:val="left"/>
      <w:pPr>
        <w:tabs>
          <w:tab w:val="num" w:pos="3600"/>
        </w:tabs>
        <w:ind w:left="3600" w:hanging="360"/>
      </w:pPr>
    </w:lvl>
    <w:lvl w:ilvl="5" w:tplc="380A001B">
      <w:start w:val="1"/>
      <w:numFmt w:val="lowerRoman"/>
      <w:lvlText w:val="%6."/>
      <w:lvlJc w:val="right"/>
      <w:pPr>
        <w:tabs>
          <w:tab w:val="num" w:pos="4320"/>
        </w:tabs>
        <w:ind w:left="4320" w:hanging="180"/>
      </w:pPr>
    </w:lvl>
    <w:lvl w:ilvl="6" w:tplc="380A000F">
      <w:start w:val="1"/>
      <w:numFmt w:val="decimal"/>
      <w:lvlText w:val="%7."/>
      <w:lvlJc w:val="left"/>
      <w:pPr>
        <w:tabs>
          <w:tab w:val="num" w:pos="5040"/>
        </w:tabs>
        <w:ind w:left="5040" w:hanging="360"/>
      </w:pPr>
    </w:lvl>
    <w:lvl w:ilvl="7" w:tplc="380A0019">
      <w:start w:val="1"/>
      <w:numFmt w:val="lowerLetter"/>
      <w:lvlText w:val="%8."/>
      <w:lvlJc w:val="left"/>
      <w:pPr>
        <w:tabs>
          <w:tab w:val="num" w:pos="5760"/>
        </w:tabs>
        <w:ind w:left="5760" w:hanging="360"/>
      </w:pPr>
    </w:lvl>
    <w:lvl w:ilvl="8" w:tplc="380A001B">
      <w:start w:val="1"/>
      <w:numFmt w:val="lowerRoman"/>
      <w:lvlText w:val="%9."/>
      <w:lvlJc w:val="right"/>
      <w:pPr>
        <w:tabs>
          <w:tab w:val="num" w:pos="6480"/>
        </w:tabs>
        <w:ind w:left="6480" w:hanging="180"/>
      </w:pPr>
    </w:lvl>
  </w:abstractNum>
  <w:abstractNum w:abstractNumId="70">
    <w:nsid w:val="38D91A42"/>
    <w:multiLevelType w:val="hybridMultilevel"/>
    <w:tmpl w:val="34B45638"/>
    <w:lvl w:ilvl="0" w:tplc="E308397A">
      <w:start w:val="1"/>
      <w:numFmt w:val="lowerLetter"/>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start w:val="1"/>
      <w:numFmt w:val="lowerRoman"/>
      <w:lvlText w:val="%6."/>
      <w:lvlJc w:val="right"/>
      <w:pPr>
        <w:tabs>
          <w:tab w:val="num" w:pos="4320"/>
        </w:tabs>
        <w:ind w:left="4320" w:hanging="180"/>
      </w:pPr>
    </w:lvl>
    <w:lvl w:ilvl="6" w:tplc="0C0A0001">
      <w:start w:val="1"/>
      <w:numFmt w:val="decimal"/>
      <w:lvlText w:val="%7."/>
      <w:lvlJc w:val="left"/>
      <w:pPr>
        <w:tabs>
          <w:tab w:val="num" w:pos="5040"/>
        </w:tabs>
        <w:ind w:left="5040" w:hanging="360"/>
      </w:pPr>
    </w:lvl>
    <w:lvl w:ilvl="7" w:tplc="0C0A0003">
      <w:start w:val="1"/>
      <w:numFmt w:val="lowerLetter"/>
      <w:lvlText w:val="%8."/>
      <w:lvlJc w:val="left"/>
      <w:pPr>
        <w:tabs>
          <w:tab w:val="num" w:pos="5760"/>
        </w:tabs>
        <w:ind w:left="5760" w:hanging="360"/>
      </w:pPr>
    </w:lvl>
    <w:lvl w:ilvl="8" w:tplc="0C0A0005">
      <w:start w:val="1"/>
      <w:numFmt w:val="lowerRoman"/>
      <w:lvlText w:val="%9."/>
      <w:lvlJc w:val="right"/>
      <w:pPr>
        <w:tabs>
          <w:tab w:val="num" w:pos="6480"/>
        </w:tabs>
        <w:ind w:left="6480" w:hanging="180"/>
      </w:pPr>
    </w:lvl>
  </w:abstractNum>
  <w:abstractNum w:abstractNumId="71">
    <w:nsid w:val="3AEA68B1"/>
    <w:multiLevelType w:val="hybridMultilevel"/>
    <w:tmpl w:val="293E8356"/>
    <w:lvl w:ilvl="0" w:tplc="92F89FA6">
      <w:start w:val="1"/>
      <w:numFmt w:val="bullet"/>
      <w:lvlText w:val=""/>
      <w:lvlJc w:val="left"/>
      <w:pPr>
        <w:ind w:left="1500" w:hanging="360"/>
      </w:pPr>
      <w:rPr>
        <w:rFonts w:ascii="Symbol" w:hAnsi="Symbol"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3BF31E6B"/>
    <w:multiLevelType w:val="hybridMultilevel"/>
    <w:tmpl w:val="E53608EA"/>
    <w:lvl w:ilvl="0" w:tplc="0C0A0015">
      <w:start w:val="1"/>
      <w:numFmt w:val="upperLetter"/>
      <w:lvlText w:val="%1."/>
      <w:lvlJc w:val="left"/>
      <w:pPr>
        <w:ind w:left="2421" w:hanging="360"/>
      </w:p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73">
    <w:nsid w:val="3D0821CC"/>
    <w:multiLevelType w:val="hybridMultilevel"/>
    <w:tmpl w:val="7E96AA62"/>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4">
    <w:nsid w:val="3D25780B"/>
    <w:multiLevelType w:val="hybridMultilevel"/>
    <w:tmpl w:val="80164856"/>
    <w:lvl w:ilvl="0" w:tplc="E87C69B0">
      <w:start w:val="1"/>
      <w:numFmt w:val="decimal"/>
      <w:lvlText w:val="%1."/>
      <w:lvlJc w:val="left"/>
      <w:pPr>
        <w:ind w:left="720" w:hanging="360"/>
      </w:pPr>
    </w:lvl>
    <w:lvl w:ilvl="1" w:tplc="0A803E42">
      <w:start w:val="1"/>
      <w:numFmt w:val="lowerLetter"/>
      <w:lvlText w:val="%2."/>
      <w:lvlJc w:val="left"/>
      <w:pPr>
        <w:ind w:left="1440" w:hanging="360"/>
      </w:pPr>
    </w:lvl>
    <w:lvl w:ilvl="2" w:tplc="C762AC70">
      <w:start w:val="1"/>
      <w:numFmt w:val="lowerRoman"/>
      <w:lvlText w:val="%3."/>
      <w:lvlJc w:val="right"/>
      <w:pPr>
        <w:ind w:left="2160" w:hanging="180"/>
      </w:pPr>
    </w:lvl>
    <w:lvl w:ilvl="3" w:tplc="E21CFCFE">
      <w:start w:val="1"/>
      <w:numFmt w:val="decimal"/>
      <w:lvlText w:val="%4."/>
      <w:lvlJc w:val="left"/>
      <w:pPr>
        <w:ind w:left="2880" w:hanging="360"/>
      </w:pPr>
    </w:lvl>
    <w:lvl w:ilvl="4" w:tplc="37309ECC">
      <w:start w:val="1"/>
      <w:numFmt w:val="lowerLetter"/>
      <w:lvlText w:val="%5."/>
      <w:lvlJc w:val="left"/>
      <w:pPr>
        <w:ind w:left="3600" w:hanging="360"/>
      </w:pPr>
    </w:lvl>
    <w:lvl w:ilvl="5" w:tplc="A25AF810">
      <w:start w:val="1"/>
      <w:numFmt w:val="lowerRoman"/>
      <w:lvlText w:val="%6."/>
      <w:lvlJc w:val="right"/>
      <w:pPr>
        <w:ind w:left="4320" w:hanging="180"/>
      </w:pPr>
    </w:lvl>
    <w:lvl w:ilvl="6" w:tplc="0E52B59A">
      <w:start w:val="1"/>
      <w:numFmt w:val="decimal"/>
      <w:lvlText w:val="%7."/>
      <w:lvlJc w:val="left"/>
      <w:pPr>
        <w:ind w:left="5040" w:hanging="360"/>
      </w:pPr>
    </w:lvl>
    <w:lvl w:ilvl="7" w:tplc="5C1CF8A8">
      <w:start w:val="1"/>
      <w:numFmt w:val="lowerLetter"/>
      <w:lvlText w:val="%8."/>
      <w:lvlJc w:val="left"/>
      <w:pPr>
        <w:ind w:left="5760" w:hanging="360"/>
      </w:pPr>
    </w:lvl>
    <w:lvl w:ilvl="8" w:tplc="C73A8D86">
      <w:start w:val="1"/>
      <w:numFmt w:val="lowerRoman"/>
      <w:lvlText w:val="%9."/>
      <w:lvlJc w:val="right"/>
      <w:pPr>
        <w:ind w:left="6480" w:hanging="180"/>
      </w:pPr>
    </w:lvl>
  </w:abstractNum>
  <w:abstractNum w:abstractNumId="75">
    <w:nsid w:val="3DC14509"/>
    <w:multiLevelType w:val="multilevel"/>
    <w:tmpl w:val="F0A235E2"/>
    <w:lvl w:ilvl="0">
      <w:start w:val="1"/>
      <w:numFmt w:val="none"/>
      <w:pStyle w:val="Titulo5"/>
      <w:lvlText w:val="%1"/>
      <w:lvlJc w:val="left"/>
      <w:pPr>
        <w:tabs>
          <w:tab w:val="num" w:pos="431"/>
        </w:tabs>
        <w:ind w:left="431" w:hanging="431"/>
      </w:pPr>
      <w:rPr>
        <w:rFonts w:ascii="Arial" w:hAnsi="Arial" w:cs="Arial" w:hint="default"/>
        <w:sz w:val="24"/>
        <w:szCs w:val="24"/>
      </w:rPr>
    </w:lvl>
    <w:lvl w:ilvl="1">
      <w:start w:val="1"/>
      <w:numFmt w:val="decimal"/>
      <w:lvlText w:val="%2."/>
      <w:lvlJc w:val="left"/>
      <w:pPr>
        <w:tabs>
          <w:tab w:val="num" w:pos="578"/>
        </w:tabs>
        <w:ind w:left="578" w:hanging="578"/>
      </w:pPr>
      <w:rPr>
        <w:rFonts w:hint="default"/>
        <w:sz w:val="28"/>
        <w:szCs w:val="28"/>
      </w:rPr>
    </w:lvl>
    <w:lvl w:ilvl="2">
      <w:start w:val="1"/>
      <w:numFmt w:val="decimal"/>
      <w:lvlText w:val="%2.%3."/>
      <w:lvlJc w:val="left"/>
      <w:pPr>
        <w:tabs>
          <w:tab w:val="num" w:pos="600"/>
        </w:tabs>
        <w:ind w:left="600"/>
      </w:pPr>
      <w:rPr>
        <w:rFonts w:hint="default"/>
        <w:i w:val="0"/>
        <w:iCs w:val="0"/>
      </w:rPr>
    </w:lvl>
    <w:lvl w:ilvl="3">
      <w:start w:val="1"/>
      <w:numFmt w:val="decimal"/>
      <w:lvlText w:val="%2.%3.%4."/>
      <w:lvlJc w:val="left"/>
      <w:pPr>
        <w:tabs>
          <w:tab w:val="num" w:pos="595"/>
        </w:tabs>
        <w:ind w:left="595" w:hanging="595"/>
      </w:pPr>
      <w:rPr>
        <w:rFonts w:hint="default"/>
      </w:rPr>
    </w:lvl>
    <w:lvl w:ilvl="4">
      <w:start w:val="1"/>
      <w:numFmt w:val="decimal"/>
      <w:lvlText w:val="%2.%3.%4.%5."/>
      <w:lvlJc w:val="left"/>
      <w:pPr>
        <w:tabs>
          <w:tab w:val="num" w:pos="634"/>
        </w:tabs>
        <w:ind w:left="634" w:firstLine="1237"/>
      </w:pPr>
      <w:rPr>
        <w:rFonts w:ascii="Arial" w:hAnsi="Arial" w:cs="Aria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3E034551"/>
    <w:multiLevelType w:val="hybridMultilevel"/>
    <w:tmpl w:val="8CC8651A"/>
    <w:lvl w:ilvl="0" w:tplc="E86C2A06">
      <w:start w:val="1"/>
      <w:numFmt w:val="decimal"/>
      <w:lvlText w:val="%1."/>
      <w:lvlJc w:val="left"/>
      <w:pPr>
        <w:ind w:left="720" w:hanging="360"/>
      </w:pPr>
      <w:rPr>
        <w:rFonts w:hint="default"/>
      </w:rPr>
    </w:lvl>
    <w:lvl w:ilvl="1" w:tplc="380A0019">
      <w:start w:val="1"/>
      <w:numFmt w:val="lowerLetter"/>
      <w:lvlText w:val="%2."/>
      <w:lvlJc w:val="left"/>
      <w:pPr>
        <w:ind w:left="1353" w:hanging="360"/>
      </w:pPr>
    </w:lvl>
    <w:lvl w:ilvl="2" w:tplc="380A001B">
      <w:start w:val="1"/>
      <w:numFmt w:val="lowerRoman"/>
      <w:lvlText w:val="%3."/>
      <w:lvlJc w:val="right"/>
      <w:pPr>
        <w:ind w:left="2160" w:hanging="180"/>
      </w:pPr>
    </w:lvl>
    <w:lvl w:ilvl="3" w:tplc="A866FB96">
      <w:start w:val="1"/>
      <w:numFmt w:val="decimal"/>
      <w:pStyle w:val="ANEXO1"/>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77">
    <w:nsid w:val="3EAE6902"/>
    <w:multiLevelType w:val="hybridMultilevel"/>
    <w:tmpl w:val="FFBED198"/>
    <w:lvl w:ilvl="0" w:tplc="380A0001">
      <w:start w:val="1"/>
      <w:numFmt w:val="bullet"/>
      <w:lvlText w:val=""/>
      <w:lvlJc w:val="left"/>
      <w:pPr>
        <w:ind w:left="1386" w:hanging="360"/>
      </w:pPr>
      <w:rPr>
        <w:rFonts w:ascii="Symbol" w:hAnsi="Symbol" w:hint="default"/>
      </w:rPr>
    </w:lvl>
    <w:lvl w:ilvl="1" w:tplc="380A0003" w:tentative="1">
      <w:start w:val="1"/>
      <w:numFmt w:val="bullet"/>
      <w:lvlText w:val="o"/>
      <w:lvlJc w:val="left"/>
      <w:pPr>
        <w:ind w:left="2106" w:hanging="360"/>
      </w:pPr>
      <w:rPr>
        <w:rFonts w:ascii="Courier New" w:hAnsi="Courier New" w:cs="Courier New" w:hint="default"/>
      </w:rPr>
    </w:lvl>
    <w:lvl w:ilvl="2" w:tplc="380A0005" w:tentative="1">
      <w:start w:val="1"/>
      <w:numFmt w:val="bullet"/>
      <w:lvlText w:val=""/>
      <w:lvlJc w:val="left"/>
      <w:pPr>
        <w:ind w:left="2826" w:hanging="360"/>
      </w:pPr>
      <w:rPr>
        <w:rFonts w:ascii="Wingdings" w:hAnsi="Wingdings" w:hint="default"/>
      </w:rPr>
    </w:lvl>
    <w:lvl w:ilvl="3" w:tplc="380A0001" w:tentative="1">
      <w:start w:val="1"/>
      <w:numFmt w:val="bullet"/>
      <w:lvlText w:val=""/>
      <w:lvlJc w:val="left"/>
      <w:pPr>
        <w:ind w:left="3546" w:hanging="360"/>
      </w:pPr>
      <w:rPr>
        <w:rFonts w:ascii="Symbol" w:hAnsi="Symbol" w:hint="default"/>
      </w:rPr>
    </w:lvl>
    <w:lvl w:ilvl="4" w:tplc="380A0003" w:tentative="1">
      <w:start w:val="1"/>
      <w:numFmt w:val="bullet"/>
      <w:lvlText w:val="o"/>
      <w:lvlJc w:val="left"/>
      <w:pPr>
        <w:ind w:left="4266" w:hanging="360"/>
      </w:pPr>
      <w:rPr>
        <w:rFonts w:ascii="Courier New" w:hAnsi="Courier New" w:cs="Courier New" w:hint="default"/>
      </w:rPr>
    </w:lvl>
    <w:lvl w:ilvl="5" w:tplc="380A0005" w:tentative="1">
      <w:start w:val="1"/>
      <w:numFmt w:val="bullet"/>
      <w:lvlText w:val=""/>
      <w:lvlJc w:val="left"/>
      <w:pPr>
        <w:ind w:left="4986" w:hanging="360"/>
      </w:pPr>
      <w:rPr>
        <w:rFonts w:ascii="Wingdings" w:hAnsi="Wingdings" w:hint="default"/>
      </w:rPr>
    </w:lvl>
    <w:lvl w:ilvl="6" w:tplc="380A0001" w:tentative="1">
      <w:start w:val="1"/>
      <w:numFmt w:val="bullet"/>
      <w:lvlText w:val=""/>
      <w:lvlJc w:val="left"/>
      <w:pPr>
        <w:ind w:left="5706" w:hanging="360"/>
      </w:pPr>
      <w:rPr>
        <w:rFonts w:ascii="Symbol" w:hAnsi="Symbol" w:hint="default"/>
      </w:rPr>
    </w:lvl>
    <w:lvl w:ilvl="7" w:tplc="380A0003" w:tentative="1">
      <w:start w:val="1"/>
      <w:numFmt w:val="bullet"/>
      <w:lvlText w:val="o"/>
      <w:lvlJc w:val="left"/>
      <w:pPr>
        <w:ind w:left="6426" w:hanging="360"/>
      </w:pPr>
      <w:rPr>
        <w:rFonts w:ascii="Courier New" w:hAnsi="Courier New" w:cs="Courier New" w:hint="default"/>
      </w:rPr>
    </w:lvl>
    <w:lvl w:ilvl="8" w:tplc="380A0005" w:tentative="1">
      <w:start w:val="1"/>
      <w:numFmt w:val="bullet"/>
      <w:lvlText w:val=""/>
      <w:lvlJc w:val="left"/>
      <w:pPr>
        <w:ind w:left="7146" w:hanging="360"/>
      </w:pPr>
      <w:rPr>
        <w:rFonts w:ascii="Wingdings" w:hAnsi="Wingdings" w:hint="default"/>
      </w:rPr>
    </w:lvl>
  </w:abstractNum>
  <w:abstractNum w:abstractNumId="78">
    <w:nsid w:val="3ED1282D"/>
    <w:multiLevelType w:val="singleLevel"/>
    <w:tmpl w:val="FB6A9E98"/>
    <w:lvl w:ilvl="0">
      <w:start w:val="1"/>
      <w:numFmt w:val="lowerLetter"/>
      <w:lvlText w:val="%1)"/>
      <w:lvlJc w:val="left"/>
      <w:pPr>
        <w:tabs>
          <w:tab w:val="num" w:pos="705"/>
        </w:tabs>
        <w:ind w:left="705" w:hanging="705"/>
      </w:pPr>
      <w:rPr>
        <w:rFonts w:hint="default"/>
      </w:rPr>
    </w:lvl>
  </w:abstractNum>
  <w:abstractNum w:abstractNumId="79">
    <w:nsid w:val="3EEE79C0"/>
    <w:multiLevelType w:val="hybridMultilevel"/>
    <w:tmpl w:val="A2063C6E"/>
    <w:lvl w:ilvl="0" w:tplc="C5F4ADE6">
      <w:start w:val="1"/>
      <w:numFmt w:val="decimal"/>
      <w:lvlText w:val="%1."/>
      <w:lvlJc w:val="left"/>
      <w:pPr>
        <w:ind w:left="420" w:hanging="360"/>
      </w:pPr>
      <w:rPr>
        <w:rFonts w:hint="default"/>
      </w:rPr>
    </w:lvl>
    <w:lvl w:ilvl="1" w:tplc="E86071D4">
      <w:start w:val="1"/>
      <w:numFmt w:val="bullet"/>
      <w:lvlText w:val="o"/>
      <w:lvlJc w:val="left"/>
      <w:pPr>
        <w:ind w:left="1140" w:hanging="360"/>
      </w:pPr>
      <w:rPr>
        <w:rFonts w:ascii="Courier New" w:hAnsi="Courier New" w:cs="Courier New" w:hint="default"/>
      </w:rPr>
    </w:lvl>
    <w:lvl w:ilvl="2" w:tplc="534AACFA">
      <w:start w:val="1"/>
      <w:numFmt w:val="bullet"/>
      <w:lvlText w:val=""/>
      <w:lvlJc w:val="left"/>
      <w:pPr>
        <w:ind w:left="1860" w:hanging="360"/>
      </w:pPr>
      <w:rPr>
        <w:rFonts w:ascii="Wingdings" w:hAnsi="Wingdings" w:cs="Wingdings" w:hint="default"/>
      </w:rPr>
    </w:lvl>
    <w:lvl w:ilvl="3" w:tplc="6696F56C">
      <w:start w:val="1"/>
      <w:numFmt w:val="bullet"/>
      <w:lvlText w:val=""/>
      <w:lvlJc w:val="left"/>
      <w:pPr>
        <w:ind w:left="2580" w:hanging="360"/>
      </w:pPr>
      <w:rPr>
        <w:rFonts w:ascii="Symbol" w:hAnsi="Symbol" w:cs="Symbol" w:hint="default"/>
      </w:rPr>
    </w:lvl>
    <w:lvl w:ilvl="4" w:tplc="F4202CFA">
      <w:start w:val="1"/>
      <w:numFmt w:val="bullet"/>
      <w:lvlText w:val="o"/>
      <w:lvlJc w:val="left"/>
      <w:pPr>
        <w:ind w:left="3300" w:hanging="360"/>
      </w:pPr>
      <w:rPr>
        <w:rFonts w:ascii="Courier New" w:hAnsi="Courier New" w:cs="Courier New" w:hint="default"/>
      </w:rPr>
    </w:lvl>
    <w:lvl w:ilvl="5" w:tplc="F438B09E">
      <w:start w:val="1"/>
      <w:numFmt w:val="bullet"/>
      <w:lvlText w:val=""/>
      <w:lvlJc w:val="left"/>
      <w:pPr>
        <w:ind w:left="4020" w:hanging="360"/>
      </w:pPr>
      <w:rPr>
        <w:rFonts w:ascii="Wingdings" w:hAnsi="Wingdings" w:cs="Wingdings" w:hint="default"/>
      </w:rPr>
    </w:lvl>
    <w:lvl w:ilvl="6" w:tplc="3F062F28">
      <w:start w:val="1"/>
      <w:numFmt w:val="bullet"/>
      <w:lvlText w:val=""/>
      <w:lvlJc w:val="left"/>
      <w:pPr>
        <w:ind w:left="4740" w:hanging="360"/>
      </w:pPr>
      <w:rPr>
        <w:rFonts w:ascii="Symbol" w:hAnsi="Symbol" w:cs="Symbol" w:hint="default"/>
      </w:rPr>
    </w:lvl>
    <w:lvl w:ilvl="7" w:tplc="7A70AC82">
      <w:start w:val="1"/>
      <w:numFmt w:val="bullet"/>
      <w:lvlText w:val="o"/>
      <w:lvlJc w:val="left"/>
      <w:pPr>
        <w:ind w:left="5460" w:hanging="360"/>
      </w:pPr>
      <w:rPr>
        <w:rFonts w:ascii="Courier New" w:hAnsi="Courier New" w:cs="Courier New" w:hint="default"/>
      </w:rPr>
    </w:lvl>
    <w:lvl w:ilvl="8" w:tplc="85B4BEFE">
      <w:start w:val="1"/>
      <w:numFmt w:val="bullet"/>
      <w:lvlText w:val=""/>
      <w:lvlJc w:val="left"/>
      <w:pPr>
        <w:ind w:left="6180" w:hanging="360"/>
      </w:pPr>
      <w:rPr>
        <w:rFonts w:ascii="Wingdings" w:hAnsi="Wingdings" w:cs="Wingdings" w:hint="default"/>
      </w:rPr>
    </w:lvl>
  </w:abstractNum>
  <w:abstractNum w:abstractNumId="80">
    <w:nsid w:val="3F421023"/>
    <w:multiLevelType w:val="multilevel"/>
    <w:tmpl w:val="E3747962"/>
    <w:lvl w:ilvl="0">
      <w:start w:val="4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1"/>
        <w:szCs w:val="2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3F94577D"/>
    <w:multiLevelType w:val="hybridMultilevel"/>
    <w:tmpl w:val="4FB661A8"/>
    <w:lvl w:ilvl="0" w:tplc="0C0A0017">
      <w:start w:val="1"/>
      <w:numFmt w:val="lowerLetter"/>
      <w:lvlText w:val="%1)"/>
      <w:lvlJc w:val="left"/>
      <w:pPr>
        <w:ind w:left="720" w:hanging="360"/>
      </w:pPr>
    </w:lvl>
    <w:lvl w:ilvl="1" w:tplc="DEF05CD4">
      <w:start w:val="5"/>
      <w:numFmt w:val="decimal"/>
      <w:lvlText w:val="%2"/>
      <w:lvlJc w:val="left"/>
      <w:pPr>
        <w:ind w:left="1440" w:hanging="360"/>
      </w:pPr>
      <w:rPr>
        <w:rFonts w:hint="default"/>
        <w:b w:val="0"/>
      </w:rPr>
    </w:lvl>
    <w:lvl w:ilvl="2" w:tplc="D5F257CA">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7">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15923F2"/>
    <w:multiLevelType w:val="multilevel"/>
    <w:tmpl w:val="C9B0E1D6"/>
    <w:lvl w:ilvl="0">
      <w:start w:val="1"/>
      <w:numFmt w:val="decimal"/>
      <w:pStyle w:val="Titulo10"/>
      <w:lvlText w:val="%1"/>
      <w:lvlJc w:val="left"/>
      <w:pPr>
        <w:tabs>
          <w:tab w:val="num" w:pos="567"/>
        </w:tabs>
        <w:ind w:left="567" w:hanging="567"/>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41594273"/>
    <w:multiLevelType w:val="singleLevel"/>
    <w:tmpl w:val="63CAA578"/>
    <w:lvl w:ilvl="0">
      <w:start w:val="1"/>
      <w:numFmt w:val="lowerLetter"/>
      <w:lvlText w:val="%1)"/>
      <w:lvlJc w:val="left"/>
      <w:pPr>
        <w:tabs>
          <w:tab w:val="num" w:pos="1295"/>
        </w:tabs>
        <w:ind w:left="1295" w:hanging="585"/>
      </w:pPr>
      <w:rPr>
        <w:rFonts w:hint="default"/>
      </w:rPr>
    </w:lvl>
  </w:abstractNum>
  <w:abstractNum w:abstractNumId="84">
    <w:nsid w:val="41A2292D"/>
    <w:multiLevelType w:val="multilevel"/>
    <w:tmpl w:val="CCD23940"/>
    <w:lvl w:ilvl="0">
      <w:start w:val="1"/>
      <w:numFmt w:val="decimal"/>
      <w:lvlText w:val="%1."/>
      <w:lvlJc w:val="left"/>
      <w:pPr>
        <w:ind w:left="360" w:hanging="360"/>
      </w:pPr>
    </w:lvl>
    <w:lvl w:ilvl="1">
      <w:start w:val="1"/>
      <w:numFmt w:val="decimal"/>
      <w:lvlText w:val="%1.%2."/>
      <w:lvlJc w:val="left"/>
      <w:pPr>
        <w:ind w:left="792" w:hanging="432"/>
      </w:pPr>
      <w:rPr>
        <w:lang w:val="es-E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41FD3A1A"/>
    <w:multiLevelType w:val="hybridMultilevel"/>
    <w:tmpl w:val="32DED1CC"/>
    <w:lvl w:ilvl="0" w:tplc="72D6196E">
      <w:start w:val="1"/>
      <w:numFmt w:val="lowerLetter"/>
      <w:lvlText w:val="%1)"/>
      <w:lvlJc w:val="left"/>
      <w:pPr>
        <w:tabs>
          <w:tab w:val="num" w:pos="1211"/>
        </w:tabs>
        <w:ind w:left="1211" w:hanging="360"/>
      </w:pPr>
      <w:rPr>
        <w:rFonts w:hint="default"/>
      </w:rPr>
    </w:lvl>
    <w:lvl w:ilvl="1" w:tplc="0A665130">
      <w:start w:val="1"/>
      <w:numFmt w:val="lowerLetter"/>
      <w:lvlText w:val="%2."/>
      <w:lvlJc w:val="left"/>
      <w:pPr>
        <w:tabs>
          <w:tab w:val="num" w:pos="1931"/>
        </w:tabs>
        <w:ind w:left="1931" w:hanging="360"/>
      </w:pPr>
    </w:lvl>
    <w:lvl w:ilvl="2" w:tplc="388CE48C">
      <w:start w:val="1"/>
      <w:numFmt w:val="lowerRoman"/>
      <w:lvlText w:val="%3."/>
      <w:lvlJc w:val="right"/>
      <w:pPr>
        <w:tabs>
          <w:tab w:val="num" w:pos="2651"/>
        </w:tabs>
        <w:ind w:left="2651" w:hanging="180"/>
      </w:pPr>
    </w:lvl>
    <w:lvl w:ilvl="3" w:tplc="4EB87422">
      <w:start w:val="1"/>
      <w:numFmt w:val="decimal"/>
      <w:lvlText w:val="%4."/>
      <w:lvlJc w:val="left"/>
      <w:pPr>
        <w:tabs>
          <w:tab w:val="num" w:pos="3371"/>
        </w:tabs>
        <w:ind w:left="3371" w:hanging="360"/>
      </w:pPr>
    </w:lvl>
    <w:lvl w:ilvl="4" w:tplc="CE86AA00">
      <w:start w:val="1"/>
      <w:numFmt w:val="lowerLetter"/>
      <w:lvlText w:val="%5."/>
      <w:lvlJc w:val="left"/>
      <w:pPr>
        <w:tabs>
          <w:tab w:val="num" w:pos="4091"/>
        </w:tabs>
        <w:ind w:left="4091" w:hanging="360"/>
      </w:pPr>
    </w:lvl>
    <w:lvl w:ilvl="5" w:tplc="352EB0BE">
      <w:start w:val="1"/>
      <w:numFmt w:val="lowerRoman"/>
      <w:lvlText w:val="%6."/>
      <w:lvlJc w:val="right"/>
      <w:pPr>
        <w:tabs>
          <w:tab w:val="num" w:pos="4811"/>
        </w:tabs>
        <w:ind w:left="4811" w:hanging="180"/>
      </w:pPr>
    </w:lvl>
    <w:lvl w:ilvl="6" w:tplc="D8582D22">
      <w:start w:val="1"/>
      <w:numFmt w:val="decimal"/>
      <w:lvlText w:val="%7."/>
      <w:lvlJc w:val="left"/>
      <w:pPr>
        <w:tabs>
          <w:tab w:val="num" w:pos="5531"/>
        </w:tabs>
        <w:ind w:left="5531" w:hanging="360"/>
      </w:pPr>
    </w:lvl>
    <w:lvl w:ilvl="7" w:tplc="BC22D9C2">
      <w:start w:val="1"/>
      <w:numFmt w:val="lowerLetter"/>
      <w:lvlText w:val="%8."/>
      <w:lvlJc w:val="left"/>
      <w:pPr>
        <w:tabs>
          <w:tab w:val="num" w:pos="6251"/>
        </w:tabs>
        <w:ind w:left="6251" w:hanging="360"/>
      </w:pPr>
    </w:lvl>
    <w:lvl w:ilvl="8" w:tplc="A23AFBC2">
      <w:start w:val="1"/>
      <w:numFmt w:val="lowerRoman"/>
      <w:lvlText w:val="%9."/>
      <w:lvlJc w:val="right"/>
      <w:pPr>
        <w:tabs>
          <w:tab w:val="num" w:pos="6971"/>
        </w:tabs>
        <w:ind w:left="6971" w:hanging="180"/>
      </w:pPr>
    </w:lvl>
  </w:abstractNum>
  <w:abstractNum w:abstractNumId="86">
    <w:nsid w:val="433102AB"/>
    <w:multiLevelType w:val="hybridMultilevel"/>
    <w:tmpl w:val="58144946"/>
    <w:lvl w:ilvl="0" w:tplc="0C0A0015">
      <w:start w:val="1"/>
      <w:numFmt w:val="upperLetter"/>
      <w:lvlText w:val="%1."/>
      <w:lvlJc w:val="left"/>
      <w:pPr>
        <w:ind w:left="1996" w:hanging="360"/>
      </w:p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7">
    <w:nsid w:val="43584B37"/>
    <w:multiLevelType w:val="multilevel"/>
    <w:tmpl w:val="3E34B78A"/>
    <w:lvl w:ilvl="0">
      <w:start w:val="1"/>
      <w:numFmt w:val="decimal"/>
      <w:lvlText w:val="%1"/>
      <w:lvlJc w:val="left"/>
      <w:pPr>
        <w:tabs>
          <w:tab w:val="num" w:pos="1005"/>
        </w:tabs>
        <w:ind w:left="1005" w:hanging="1005"/>
      </w:pPr>
      <w:rPr>
        <w:rFonts w:hint="default"/>
      </w:rPr>
    </w:lvl>
    <w:lvl w:ilvl="1">
      <w:start w:val="1"/>
      <w:numFmt w:val="decimal"/>
      <w:lvlText w:val="%2%1.2"/>
      <w:lvlJc w:val="left"/>
      <w:pPr>
        <w:tabs>
          <w:tab w:val="num" w:pos="1605"/>
        </w:tabs>
        <w:ind w:left="1605" w:hanging="1005"/>
      </w:pPr>
      <w:rPr>
        <w:rFonts w:hint="default"/>
      </w:rPr>
    </w:lvl>
    <w:lvl w:ilvl="2">
      <w:start w:val="1"/>
      <w:numFmt w:val="decimal"/>
      <w:pStyle w:val="Titulo4"/>
      <w:lvlText w:val="%1.2.1"/>
      <w:lvlJc w:val="left"/>
      <w:pPr>
        <w:tabs>
          <w:tab w:val="num" w:pos="2565"/>
        </w:tabs>
        <w:ind w:left="2565" w:hanging="1005"/>
      </w:pPr>
      <w:rPr>
        <w:rFonts w:hint="default"/>
      </w:rPr>
    </w:lvl>
    <w:lvl w:ilvl="3">
      <w:start w:val="1"/>
      <w:numFmt w:val="decimal"/>
      <w:lvlText w:val="%1.%2.%3.%4"/>
      <w:lvlJc w:val="left"/>
      <w:pPr>
        <w:tabs>
          <w:tab w:val="num" w:pos="2805"/>
        </w:tabs>
        <w:ind w:left="2805" w:hanging="1005"/>
      </w:pPr>
      <w:rPr>
        <w:rFonts w:hint="default"/>
      </w:rPr>
    </w:lvl>
    <w:lvl w:ilvl="4">
      <w:start w:val="1"/>
      <w:numFmt w:val="decimal"/>
      <w:lvlText w:val="%1.%2.%3.%4.%5"/>
      <w:lvlJc w:val="left"/>
      <w:pPr>
        <w:tabs>
          <w:tab w:val="num" w:pos="3405"/>
        </w:tabs>
        <w:ind w:left="3405" w:hanging="1005"/>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88">
    <w:nsid w:val="45075045"/>
    <w:multiLevelType w:val="hybridMultilevel"/>
    <w:tmpl w:val="3D96F1C2"/>
    <w:lvl w:ilvl="0" w:tplc="0C0A0019">
      <w:start w:val="1"/>
      <w:numFmt w:val="low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nsid w:val="4549348D"/>
    <w:multiLevelType w:val="singleLevel"/>
    <w:tmpl w:val="F28A3A6A"/>
    <w:lvl w:ilvl="0">
      <w:start w:val="2"/>
      <w:numFmt w:val="bullet"/>
      <w:lvlText w:val=""/>
      <w:lvlJc w:val="left"/>
      <w:pPr>
        <w:tabs>
          <w:tab w:val="num" w:pos="1303"/>
        </w:tabs>
        <w:ind w:left="1303" w:hanging="735"/>
      </w:pPr>
      <w:rPr>
        <w:rFonts w:ascii="Symbol" w:hAnsi="Symbol" w:cs="Symbol" w:hint="default"/>
      </w:rPr>
    </w:lvl>
  </w:abstractNum>
  <w:abstractNum w:abstractNumId="90">
    <w:nsid w:val="4731658E"/>
    <w:multiLevelType w:val="hybridMultilevel"/>
    <w:tmpl w:val="9EBAF15E"/>
    <w:lvl w:ilvl="0" w:tplc="380A0001">
      <w:start w:val="1"/>
      <w:numFmt w:val="bullet"/>
      <w:lvlText w:val=""/>
      <w:lvlJc w:val="left"/>
      <w:pPr>
        <w:ind w:left="816" w:hanging="360"/>
      </w:pPr>
      <w:rPr>
        <w:rFonts w:ascii="Symbol" w:hAnsi="Symbol" w:hint="default"/>
      </w:rPr>
    </w:lvl>
    <w:lvl w:ilvl="1" w:tplc="380A0003" w:tentative="1">
      <w:start w:val="1"/>
      <w:numFmt w:val="bullet"/>
      <w:lvlText w:val="o"/>
      <w:lvlJc w:val="left"/>
      <w:pPr>
        <w:ind w:left="1536" w:hanging="360"/>
      </w:pPr>
      <w:rPr>
        <w:rFonts w:ascii="Courier New" w:hAnsi="Courier New" w:cs="Courier New" w:hint="default"/>
      </w:rPr>
    </w:lvl>
    <w:lvl w:ilvl="2" w:tplc="380A0005" w:tentative="1">
      <w:start w:val="1"/>
      <w:numFmt w:val="bullet"/>
      <w:lvlText w:val=""/>
      <w:lvlJc w:val="left"/>
      <w:pPr>
        <w:ind w:left="2256" w:hanging="360"/>
      </w:pPr>
      <w:rPr>
        <w:rFonts w:ascii="Wingdings" w:hAnsi="Wingdings" w:hint="default"/>
      </w:rPr>
    </w:lvl>
    <w:lvl w:ilvl="3" w:tplc="380A0001" w:tentative="1">
      <w:start w:val="1"/>
      <w:numFmt w:val="bullet"/>
      <w:lvlText w:val=""/>
      <w:lvlJc w:val="left"/>
      <w:pPr>
        <w:ind w:left="2976" w:hanging="360"/>
      </w:pPr>
      <w:rPr>
        <w:rFonts w:ascii="Symbol" w:hAnsi="Symbol" w:hint="default"/>
      </w:rPr>
    </w:lvl>
    <w:lvl w:ilvl="4" w:tplc="380A0003" w:tentative="1">
      <w:start w:val="1"/>
      <w:numFmt w:val="bullet"/>
      <w:lvlText w:val="o"/>
      <w:lvlJc w:val="left"/>
      <w:pPr>
        <w:ind w:left="3696" w:hanging="360"/>
      </w:pPr>
      <w:rPr>
        <w:rFonts w:ascii="Courier New" w:hAnsi="Courier New" w:cs="Courier New" w:hint="default"/>
      </w:rPr>
    </w:lvl>
    <w:lvl w:ilvl="5" w:tplc="380A0005" w:tentative="1">
      <w:start w:val="1"/>
      <w:numFmt w:val="bullet"/>
      <w:lvlText w:val=""/>
      <w:lvlJc w:val="left"/>
      <w:pPr>
        <w:ind w:left="4416" w:hanging="360"/>
      </w:pPr>
      <w:rPr>
        <w:rFonts w:ascii="Wingdings" w:hAnsi="Wingdings" w:hint="default"/>
      </w:rPr>
    </w:lvl>
    <w:lvl w:ilvl="6" w:tplc="380A0001" w:tentative="1">
      <w:start w:val="1"/>
      <w:numFmt w:val="bullet"/>
      <w:lvlText w:val=""/>
      <w:lvlJc w:val="left"/>
      <w:pPr>
        <w:ind w:left="5136" w:hanging="360"/>
      </w:pPr>
      <w:rPr>
        <w:rFonts w:ascii="Symbol" w:hAnsi="Symbol" w:hint="default"/>
      </w:rPr>
    </w:lvl>
    <w:lvl w:ilvl="7" w:tplc="380A0003" w:tentative="1">
      <w:start w:val="1"/>
      <w:numFmt w:val="bullet"/>
      <w:lvlText w:val="o"/>
      <w:lvlJc w:val="left"/>
      <w:pPr>
        <w:ind w:left="5856" w:hanging="360"/>
      </w:pPr>
      <w:rPr>
        <w:rFonts w:ascii="Courier New" w:hAnsi="Courier New" w:cs="Courier New" w:hint="default"/>
      </w:rPr>
    </w:lvl>
    <w:lvl w:ilvl="8" w:tplc="380A0005" w:tentative="1">
      <w:start w:val="1"/>
      <w:numFmt w:val="bullet"/>
      <w:lvlText w:val=""/>
      <w:lvlJc w:val="left"/>
      <w:pPr>
        <w:ind w:left="6576" w:hanging="360"/>
      </w:pPr>
      <w:rPr>
        <w:rFonts w:ascii="Wingdings" w:hAnsi="Wingdings" w:hint="default"/>
      </w:rPr>
    </w:lvl>
  </w:abstractNum>
  <w:abstractNum w:abstractNumId="91">
    <w:nsid w:val="47F4291A"/>
    <w:multiLevelType w:val="multilevel"/>
    <w:tmpl w:val="E96A2D88"/>
    <w:styleLink w:val="WWNum2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nsid w:val="484E2D5F"/>
    <w:multiLevelType w:val="multilevel"/>
    <w:tmpl w:val="797E4880"/>
    <w:styleLink w:val="EstiloConvietasCourierNewIzquierda063cmSangrafrance"/>
    <w:lvl w:ilvl="0">
      <w:start w:val="1"/>
      <w:numFmt w:val="bullet"/>
      <w:lvlText w:val="-"/>
      <w:lvlJc w:val="left"/>
      <w:pPr>
        <w:tabs>
          <w:tab w:val="num" w:pos="1069"/>
        </w:tabs>
        <w:ind w:left="1069" w:hanging="360"/>
      </w:pPr>
      <w:rPr>
        <w:rFonts w:ascii="Arial" w:hAnsi="Arial" w:cs="Arial" w:hint="default"/>
        <w:sz w:val="16"/>
        <w:szCs w:val="16"/>
      </w:rPr>
    </w:lvl>
    <w:lvl w:ilvl="1">
      <w:start w:val="1"/>
      <w:numFmt w:val="bullet"/>
      <w:lvlText w:val="o"/>
      <w:lvlJc w:val="left"/>
      <w:pPr>
        <w:tabs>
          <w:tab w:val="num" w:pos="1789"/>
        </w:tabs>
        <w:ind w:left="1789" w:hanging="360"/>
      </w:pPr>
      <w:rPr>
        <w:rFonts w:ascii="Courier New" w:hAnsi="Courier New" w:cs="Courier New" w:hint="default"/>
      </w:rPr>
    </w:lvl>
    <w:lvl w:ilvl="2">
      <w:start w:val="1"/>
      <w:numFmt w:val="bullet"/>
      <w:lvlText w:val=""/>
      <w:lvlJc w:val="left"/>
      <w:pPr>
        <w:tabs>
          <w:tab w:val="num" w:pos="2509"/>
        </w:tabs>
        <w:ind w:left="2509" w:hanging="360"/>
      </w:pPr>
      <w:rPr>
        <w:rFonts w:ascii="Wingdings" w:hAnsi="Wingdings" w:cs="Wingdings" w:hint="default"/>
      </w:rPr>
    </w:lvl>
    <w:lvl w:ilvl="3">
      <w:start w:val="1"/>
      <w:numFmt w:val="bullet"/>
      <w:lvlText w:val=""/>
      <w:lvlJc w:val="left"/>
      <w:pPr>
        <w:tabs>
          <w:tab w:val="num" w:pos="3229"/>
        </w:tabs>
        <w:ind w:left="3229" w:hanging="360"/>
      </w:pPr>
      <w:rPr>
        <w:rFonts w:ascii="Symbol" w:hAnsi="Symbol" w:cs="Symbol" w:hint="default"/>
      </w:rPr>
    </w:lvl>
    <w:lvl w:ilvl="4">
      <w:start w:val="1"/>
      <w:numFmt w:val="bullet"/>
      <w:lvlText w:val="o"/>
      <w:lvlJc w:val="left"/>
      <w:pPr>
        <w:tabs>
          <w:tab w:val="num" w:pos="3949"/>
        </w:tabs>
        <w:ind w:left="3949" w:hanging="360"/>
      </w:pPr>
      <w:rPr>
        <w:rFonts w:ascii="Courier New" w:hAnsi="Courier New" w:cs="Courier New" w:hint="default"/>
      </w:rPr>
    </w:lvl>
    <w:lvl w:ilvl="5">
      <w:start w:val="1"/>
      <w:numFmt w:val="bullet"/>
      <w:lvlText w:val=""/>
      <w:lvlJc w:val="left"/>
      <w:pPr>
        <w:tabs>
          <w:tab w:val="num" w:pos="4669"/>
        </w:tabs>
        <w:ind w:left="4669" w:hanging="360"/>
      </w:pPr>
      <w:rPr>
        <w:rFonts w:ascii="Wingdings" w:hAnsi="Wingdings" w:cs="Wingdings" w:hint="default"/>
      </w:rPr>
    </w:lvl>
    <w:lvl w:ilvl="6">
      <w:start w:val="1"/>
      <w:numFmt w:val="bullet"/>
      <w:lvlText w:val=""/>
      <w:lvlJc w:val="left"/>
      <w:pPr>
        <w:tabs>
          <w:tab w:val="num" w:pos="5389"/>
        </w:tabs>
        <w:ind w:left="5389" w:hanging="360"/>
      </w:pPr>
      <w:rPr>
        <w:rFonts w:ascii="Symbol" w:hAnsi="Symbol" w:cs="Symbol" w:hint="default"/>
      </w:rPr>
    </w:lvl>
    <w:lvl w:ilvl="7">
      <w:start w:val="1"/>
      <w:numFmt w:val="bullet"/>
      <w:lvlText w:val="o"/>
      <w:lvlJc w:val="left"/>
      <w:pPr>
        <w:tabs>
          <w:tab w:val="num" w:pos="6109"/>
        </w:tabs>
        <w:ind w:left="6109" w:hanging="360"/>
      </w:pPr>
      <w:rPr>
        <w:rFonts w:ascii="Courier New" w:hAnsi="Courier New" w:cs="Courier New" w:hint="default"/>
      </w:rPr>
    </w:lvl>
    <w:lvl w:ilvl="8">
      <w:start w:val="1"/>
      <w:numFmt w:val="bullet"/>
      <w:lvlText w:val=""/>
      <w:lvlJc w:val="left"/>
      <w:pPr>
        <w:tabs>
          <w:tab w:val="num" w:pos="6829"/>
        </w:tabs>
        <w:ind w:left="6829" w:hanging="360"/>
      </w:pPr>
      <w:rPr>
        <w:rFonts w:ascii="Wingdings" w:hAnsi="Wingdings" w:cs="Wingdings" w:hint="default"/>
      </w:rPr>
    </w:lvl>
  </w:abstractNum>
  <w:abstractNum w:abstractNumId="93">
    <w:nsid w:val="4D271373"/>
    <w:multiLevelType w:val="hybridMultilevel"/>
    <w:tmpl w:val="8766F7AC"/>
    <w:lvl w:ilvl="0" w:tplc="88D6DA18">
      <w:start w:val="1"/>
      <w:numFmt w:val="lowerLetter"/>
      <w:lvlText w:val="%1)"/>
      <w:lvlJc w:val="left"/>
      <w:pPr>
        <w:ind w:left="720" w:hanging="360"/>
      </w:pPr>
    </w:lvl>
    <w:lvl w:ilvl="1" w:tplc="5A2CA9E8">
      <w:start w:val="1"/>
      <w:numFmt w:val="lowerLetter"/>
      <w:lvlText w:val="%2."/>
      <w:lvlJc w:val="left"/>
      <w:pPr>
        <w:ind w:left="1440" w:hanging="360"/>
      </w:pPr>
    </w:lvl>
    <w:lvl w:ilvl="2" w:tplc="9626A940">
      <w:start w:val="1"/>
      <w:numFmt w:val="lowerRoman"/>
      <w:lvlText w:val="%3."/>
      <w:lvlJc w:val="right"/>
      <w:pPr>
        <w:ind w:left="2160" w:hanging="180"/>
      </w:pPr>
    </w:lvl>
    <w:lvl w:ilvl="3" w:tplc="91EA37E2">
      <w:start w:val="1"/>
      <w:numFmt w:val="decimal"/>
      <w:lvlText w:val="%4."/>
      <w:lvlJc w:val="left"/>
      <w:pPr>
        <w:ind w:left="2880" w:hanging="360"/>
      </w:pPr>
    </w:lvl>
    <w:lvl w:ilvl="4" w:tplc="4F8869AE">
      <w:start w:val="1"/>
      <w:numFmt w:val="lowerLetter"/>
      <w:lvlText w:val="%5."/>
      <w:lvlJc w:val="left"/>
      <w:pPr>
        <w:ind w:left="3600" w:hanging="360"/>
      </w:pPr>
    </w:lvl>
    <w:lvl w:ilvl="5" w:tplc="B682308E">
      <w:start w:val="1"/>
      <w:numFmt w:val="lowerRoman"/>
      <w:lvlText w:val="%6."/>
      <w:lvlJc w:val="right"/>
      <w:pPr>
        <w:ind w:left="4320" w:hanging="180"/>
      </w:pPr>
    </w:lvl>
    <w:lvl w:ilvl="6" w:tplc="44386D7A">
      <w:start w:val="1"/>
      <w:numFmt w:val="decimal"/>
      <w:lvlText w:val="%7."/>
      <w:lvlJc w:val="left"/>
      <w:pPr>
        <w:ind w:left="5040" w:hanging="360"/>
      </w:pPr>
    </w:lvl>
    <w:lvl w:ilvl="7" w:tplc="70D866EC">
      <w:start w:val="1"/>
      <w:numFmt w:val="lowerLetter"/>
      <w:lvlText w:val="%8."/>
      <w:lvlJc w:val="left"/>
      <w:pPr>
        <w:ind w:left="5760" w:hanging="360"/>
      </w:pPr>
    </w:lvl>
    <w:lvl w:ilvl="8" w:tplc="FFA04A40">
      <w:start w:val="1"/>
      <w:numFmt w:val="lowerRoman"/>
      <w:lvlText w:val="%9."/>
      <w:lvlJc w:val="right"/>
      <w:pPr>
        <w:ind w:left="6480" w:hanging="180"/>
      </w:pPr>
    </w:lvl>
  </w:abstractNum>
  <w:abstractNum w:abstractNumId="94">
    <w:nsid w:val="4DCA79F6"/>
    <w:multiLevelType w:val="multilevel"/>
    <w:tmpl w:val="9AECC874"/>
    <w:lvl w:ilvl="0">
      <w:start w:val="1"/>
      <w:numFmt w:val="decimal"/>
      <w:lvlText w:val="%1."/>
      <w:lvlJc w:val="left"/>
      <w:pPr>
        <w:ind w:left="360" w:hanging="360"/>
      </w:pPr>
      <w:rPr>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E456112"/>
    <w:multiLevelType w:val="multilevel"/>
    <w:tmpl w:val="CA0E10B8"/>
    <w:lvl w:ilvl="0">
      <w:start w:val="1"/>
      <w:numFmt w:val="decimal"/>
      <w:lvlText w:val="%1."/>
      <w:lvlJc w:val="left"/>
      <w:pPr>
        <w:ind w:left="360" w:hanging="360"/>
      </w:pPr>
    </w:lvl>
    <w:lvl w:ilvl="1">
      <w:start w:val="1"/>
      <w:numFmt w:val="decimal"/>
      <w:lvlText w:val="%2."/>
      <w:lvlJc w:val="left"/>
      <w:pPr>
        <w:ind w:left="792" w:hanging="432"/>
      </w:pPr>
      <w:rPr>
        <w:lang w:val="es-ES_trad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4EBD7FF2"/>
    <w:multiLevelType w:val="multilevel"/>
    <w:tmpl w:val="203CF152"/>
    <w:lvl w:ilvl="0">
      <w:start w:val="1"/>
      <w:numFmt w:val="upperLetter"/>
      <w:lvlText w:val="%1. "/>
      <w:lvlJc w:val="left"/>
      <w:pPr>
        <w:tabs>
          <w:tab w:val="num" w:pos="432"/>
        </w:tabs>
        <w:ind w:left="432" w:hanging="432"/>
      </w:pPr>
      <w:rPr>
        <w:rFonts w:hint="default"/>
      </w:rPr>
    </w:lvl>
    <w:lvl w:ilvl="1">
      <w:start w:val="1"/>
      <w:numFmt w:val="decimal"/>
      <w:lvlRestart w:val="0"/>
      <w:lvlText w:val="%2."/>
      <w:lvlJc w:val="left"/>
      <w:pPr>
        <w:tabs>
          <w:tab w:val="num" w:pos="576"/>
        </w:tabs>
        <w:ind w:left="576" w:hanging="576"/>
      </w:pPr>
      <w:rPr>
        <w:rFonts w:hint="default"/>
      </w:rPr>
    </w:lvl>
    <w:lvl w:ilvl="2">
      <w:start w:val="1"/>
      <w:numFmt w:val="decimal"/>
      <w:lvlText w:val="%2.%3"/>
      <w:lvlJc w:val="left"/>
      <w:pPr>
        <w:tabs>
          <w:tab w:val="num" w:pos="1010"/>
        </w:tabs>
        <w:ind w:left="1010" w:hanging="584"/>
      </w:pPr>
      <w:rPr>
        <w:b w:val="0"/>
        <w:bCs w:val="0"/>
        <w:i w:val="0"/>
        <w:iCs w:val="0"/>
        <w:caps w:val="0"/>
        <w:smallCaps w:val="0"/>
        <w:strike w:val="0"/>
        <w:dstrike w:val="0"/>
        <w:vanish w:val="0"/>
        <w:spacing w:val="0"/>
        <w:kern w:val="0"/>
        <w:position w:val="0"/>
        <w:u w:val="none"/>
        <w:vertAlign w:val="baseline"/>
      </w:rPr>
    </w:lvl>
    <w:lvl w:ilvl="3">
      <w:start w:val="1"/>
      <w:numFmt w:val="lowerLetter"/>
      <w:lvlText w:val="%4)"/>
      <w:lvlJc w:val="left"/>
      <w:pPr>
        <w:tabs>
          <w:tab w:val="num" w:pos="944"/>
        </w:tabs>
        <w:ind w:left="944" w:hanging="360"/>
      </w:pPr>
      <w:rPr>
        <w:rFonts w:hint="default"/>
        <w:b w:val="0"/>
        <w:bCs w:val="0"/>
        <w:i w:val="0"/>
        <w:iCs w:val="0"/>
      </w:rPr>
    </w:lvl>
    <w:lvl w:ilvl="4">
      <w:start w:val="1"/>
      <w:numFmt w:val="lowerRoman"/>
      <w:lvlText w:val="%5)"/>
      <w:lvlJc w:val="left"/>
      <w:pPr>
        <w:tabs>
          <w:tab w:val="num" w:pos="1080"/>
        </w:tabs>
        <w:ind w:left="584" w:hanging="58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4EC81B9C"/>
    <w:multiLevelType w:val="singleLevel"/>
    <w:tmpl w:val="B5B0C426"/>
    <w:lvl w:ilvl="0">
      <w:start w:val="1"/>
      <w:numFmt w:val="lowerLetter"/>
      <w:lvlText w:val="%1)"/>
      <w:lvlJc w:val="left"/>
      <w:pPr>
        <w:tabs>
          <w:tab w:val="num" w:pos="705"/>
        </w:tabs>
        <w:ind w:left="705" w:hanging="705"/>
      </w:pPr>
      <w:rPr>
        <w:rFonts w:hint="default"/>
      </w:rPr>
    </w:lvl>
  </w:abstractNum>
  <w:abstractNum w:abstractNumId="98">
    <w:nsid w:val="4FC16821"/>
    <w:multiLevelType w:val="singleLevel"/>
    <w:tmpl w:val="F370BE46"/>
    <w:lvl w:ilvl="0">
      <w:start w:val="1"/>
      <w:numFmt w:val="lowerLetter"/>
      <w:lvlText w:val="%1)"/>
      <w:lvlJc w:val="left"/>
      <w:pPr>
        <w:tabs>
          <w:tab w:val="num" w:pos="360"/>
        </w:tabs>
        <w:ind w:left="360" w:hanging="360"/>
      </w:pPr>
    </w:lvl>
  </w:abstractNum>
  <w:abstractNum w:abstractNumId="99">
    <w:nsid w:val="501C7870"/>
    <w:multiLevelType w:val="hybridMultilevel"/>
    <w:tmpl w:val="648CAD38"/>
    <w:lvl w:ilvl="0" w:tplc="9A44BAEC">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050643D"/>
    <w:multiLevelType w:val="hybridMultilevel"/>
    <w:tmpl w:val="8D9624D4"/>
    <w:lvl w:ilvl="0" w:tplc="37F2B64C">
      <w:start w:val="1"/>
      <w:numFmt w:val="decimal"/>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01">
    <w:nsid w:val="50894C74"/>
    <w:multiLevelType w:val="hybridMultilevel"/>
    <w:tmpl w:val="45BA6CCE"/>
    <w:lvl w:ilvl="0" w:tplc="7714D1E0">
      <w:start w:val="1"/>
      <w:numFmt w:val="lowerLetter"/>
      <w:lvlText w:val="%1)"/>
      <w:lvlJc w:val="left"/>
      <w:pPr>
        <w:ind w:left="720" w:hanging="360"/>
      </w:pPr>
      <w:rPr>
        <w:rFonts w:hint="default"/>
      </w:rPr>
    </w:lvl>
    <w:lvl w:ilvl="1" w:tplc="F6E8E5FC">
      <w:start w:val="1"/>
      <w:numFmt w:val="lowerLetter"/>
      <w:lvlText w:val="%2."/>
      <w:lvlJc w:val="left"/>
      <w:pPr>
        <w:ind w:left="1440" w:hanging="360"/>
      </w:pPr>
    </w:lvl>
    <w:lvl w:ilvl="2" w:tplc="8D8CD168">
      <w:start w:val="1"/>
      <w:numFmt w:val="lowerRoman"/>
      <w:lvlText w:val="%3."/>
      <w:lvlJc w:val="right"/>
      <w:pPr>
        <w:ind w:left="2160" w:hanging="180"/>
      </w:pPr>
    </w:lvl>
    <w:lvl w:ilvl="3" w:tplc="2528BA96">
      <w:start w:val="1"/>
      <w:numFmt w:val="decimal"/>
      <w:lvlText w:val="%4."/>
      <w:lvlJc w:val="left"/>
      <w:pPr>
        <w:ind w:left="2880" w:hanging="360"/>
      </w:pPr>
    </w:lvl>
    <w:lvl w:ilvl="4" w:tplc="9E720BD2">
      <w:start w:val="1"/>
      <w:numFmt w:val="lowerLetter"/>
      <w:lvlText w:val="%5."/>
      <w:lvlJc w:val="left"/>
      <w:pPr>
        <w:ind w:left="3600" w:hanging="360"/>
      </w:pPr>
    </w:lvl>
    <w:lvl w:ilvl="5" w:tplc="CE541CC0">
      <w:start w:val="1"/>
      <w:numFmt w:val="lowerRoman"/>
      <w:lvlText w:val="%6."/>
      <w:lvlJc w:val="right"/>
      <w:pPr>
        <w:ind w:left="4320" w:hanging="180"/>
      </w:pPr>
    </w:lvl>
    <w:lvl w:ilvl="6" w:tplc="36BE9D24">
      <w:start w:val="1"/>
      <w:numFmt w:val="decimal"/>
      <w:lvlText w:val="%7."/>
      <w:lvlJc w:val="left"/>
      <w:pPr>
        <w:ind w:left="5040" w:hanging="360"/>
      </w:pPr>
    </w:lvl>
    <w:lvl w:ilvl="7" w:tplc="EC588948">
      <w:start w:val="1"/>
      <w:numFmt w:val="lowerLetter"/>
      <w:lvlText w:val="%8."/>
      <w:lvlJc w:val="left"/>
      <w:pPr>
        <w:ind w:left="5760" w:hanging="360"/>
      </w:pPr>
    </w:lvl>
    <w:lvl w:ilvl="8" w:tplc="0A18A5CA">
      <w:start w:val="1"/>
      <w:numFmt w:val="lowerRoman"/>
      <w:lvlText w:val="%9."/>
      <w:lvlJc w:val="right"/>
      <w:pPr>
        <w:ind w:left="6480" w:hanging="180"/>
      </w:pPr>
    </w:lvl>
  </w:abstractNum>
  <w:abstractNum w:abstractNumId="102">
    <w:nsid w:val="508A7476"/>
    <w:multiLevelType w:val="hybridMultilevel"/>
    <w:tmpl w:val="31224716"/>
    <w:lvl w:ilvl="0" w:tplc="CB784BC6">
      <w:start w:val="2"/>
      <w:numFmt w:val="bullet"/>
      <w:lvlText w:val="-"/>
      <w:lvlJc w:val="left"/>
      <w:pPr>
        <w:ind w:left="720" w:hanging="360"/>
      </w:pPr>
      <w:rPr>
        <w:rFonts w:ascii="Arial" w:eastAsia="Times New Roman" w:hAnsi="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3">
    <w:nsid w:val="50FE6B99"/>
    <w:multiLevelType w:val="multilevel"/>
    <w:tmpl w:val="1DE6495C"/>
    <w:lvl w:ilvl="0">
      <w:start w:val="1"/>
      <w:numFmt w:val="bullet"/>
      <w:lvlText w:val=""/>
      <w:lvlJc w:val="left"/>
      <w:pPr>
        <w:tabs>
          <w:tab w:val="num" w:pos="360"/>
        </w:tabs>
        <w:ind w:left="360" w:hanging="360"/>
      </w:pPr>
      <w:rPr>
        <w:rFonts w:ascii="Symbol" w:hAnsi="Symbol" w:cs="Symbol" w:hint="default"/>
        <w:b w:val="0"/>
        <w:bCs w:val="0"/>
      </w:rPr>
    </w:lvl>
    <w:lvl w:ilvl="1">
      <w:start w:val="1"/>
      <w:numFmt w:val="lowerLetter"/>
      <w:lvlText w:val="%2."/>
      <w:lvlJc w:val="left"/>
      <w:pPr>
        <w:tabs>
          <w:tab w:val="num" w:pos="720"/>
        </w:tabs>
        <w:ind w:left="720" w:hanging="360"/>
      </w:pPr>
      <w:rPr>
        <w:b w:val="0"/>
        <w:bCs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4">
    <w:nsid w:val="51AA2CCA"/>
    <w:multiLevelType w:val="hybridMultilevel"/>
    <w:tmpl w:val="262246BA"/>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5">
    <w:nsid w:val="53FC2EC2"/>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06">
    <w:nsid w:val="54047145"/>
    <w:multiLevelType w:val="hybridMultilevel"/>
    <w:tmpl w:val="823CDF64"/>
    <w:lvl w:ilvl="0" w:tplc="F28A3A6A">
      <w:start w:val="2"/>
      <w:numFmt w:val="bullet"/>
      <w:lvlText w:val=""/>
      <w:lvlJc w:val="left"/>
      <w:pPr>
        <w:ind w:left="737" w:hanging="360"/>
      </w:pPr>
      <w:rPr>
        <w:rFonts w:ascii="Symbol" w:hAnsi="Symbol" w:cs="Symbol" w:hint="default"/>
      </w:rPr>
    </w:lvl>
    <w:lvl w:ilvl="1" w:tplc="0C0A0003">
      <w:start w:val="1"/>
      <w:numFmt w:val="bullet"/>
      <w:lvlText w:val="o"/>
      <w:lvlJc w:val="left"/>
      <w:pPr>
        <w:ind w:left="1457" w:hanging="360"/>
      </w:pPr>
      <w:rPr>
        <w:rFonts w:ascii="Courier New" w:hAnsi="Courier New" w:cs="Courier New" w:hint="default"/>
      </w:rPr>
    </w:lvl>
    <w:lvl w:ilvl="2" w:tplc="0C0A0005">
      <w:start w:val="1"/>
      <w:numFmt w:val="bullet"/>
      <w:lvlText w:val=""/>
      <w:lvlJc w:val="left"/>
      <w:pPr>
        <w:ind w:left="2177" w:hanging="360"/>
      </w:pPr>
      <w:rPr>
        <w:rFonts w:ascii="Wingdings" w:hAnsi="Wingdings" w:cs="Wingdings" w:hint="default"/>
      </w:rPr>
    </w:lvl>
    <w:lvl w:ilvl="3" w:tplc="0C0A0001">
      <w:start w:val="1"/>
      <w:numFmt w:val="bullet"/>
      <w:lvlText w:val=""/>
      <w:lvlJc w:val="left"/>
      <w:pPr>
        <w:ind w:left="2897" w:hanging="360"/>
      </w:pPr>
      <w:rPr>
        <w:rFonts w:ascii="Symbol" w:hAnsi="Symbol" w:cs="Symbol" w:hint="default"/>
      </w:rPr>
    </w:lvl>
    <w:lvl w:ilvl="4" w:tplc="0C0A0003">
      <w:start w:val="1"/>
      <w:numFmt w:val="bullet"/>
      <w:lvlText w:val="o"/>
      <w:lvlJc w:val="left"/>
      <w:pPr>
        <w:ind w:left="3617" w:hanging="360"/>
      </w:pPr>
      <w:rPr>
        <w:rFonts w:ascii="Courier New" w:hAnsi="Courier New" w:cs="Courier New" w:hint="default"/>
      </w:rPr>
    </w:lvl>
    <w:lvl w:ilvl="5" w:tplc="0C0A0005">
      <w:start w:val="1"/>
      <w:numFmt w:val="bullet"/>
      <w:lvlText w:val=""/>
      <w:lvlJc w:val="left"/>
      <w:pPr>
        <w:ind w:left="4337" w:hanging="360"/>
      </w:pPr>
      <w:rPr>
        <w:rFonts w:ascii="Wingdings" w:hAnsi="Wingdings" w:cs="Wingdings" w:hint="default"/>
      </w:rPr>
    </w:lvl>
    <w:lvl w:ilvl="6" w:tplc="0C0A0001">
      <w:start w:val="1"/>
      <w:numFmt w:val="bullet"/>
      <w:lvlText w:val=""/>
      <w:lvlJc w:val="left"/>
      <w:pPr>
        <w:ind w:left="5057" w:hanging="360"/>
      </w:pPr>
      <w:rPr>
        <w:rFonts w:ascii="Symbol" w:hAnsi="Symbol" w:cs="Symbol" w:hint="default"/>
      </w:rPr>
    </w:lvl>
    <w:lvl w:ilvl="7" w:tplc="0C0A0003">
      <w:start w:val="1"/>
      <w:numFmt w:val="bullet"/>
      <w:lvlText w:val="o"/>
      <w:lvlJc w:val="left"/>
      <w:pPr>
        <w:ind w:left="5777" w:hanging="360"/>
      </w:pPr>
      <w:rPr>
        <w:rFonts w:ascii="Courier New" w:hAnsi="Courier New" w:cs="Courier New" w:hint="default"/>
      </w:rPr>
    </w:lvl>
    <w:lvl w:ilvl="8" w:tplc="0C0A0005">
      <w:start w:val="1"/>
      <w:numFmt w:val="bullet"/>
      <w:lvlText w:val=""/>
      <w:lvlJc w:val="left"/>
      <w:pPr>
        <w:ind w:left="6497" w:hanging="360"/>
      </w:pPr>
      <w:rPr>
        <w:rFonts w:ascii="Wingdings" w:hAnsi="Wingdings" w:cs="Wingdings" w:hint="default"/>
      </w:rPr>
    </w:lvl>
  </w:abstractNum>
  <w:abstractNum w:abstractNumId="107">
    <w:nsid w:val="541152BB"/>
    <w:multiLevelType w:val="multilevel"/>
    <w:tmpl w:val="275A0C2C"/>
    <w:lvl w:ilvl="0">
      <w:start w:val="1"/>
      <w:numFmt w:val="decimal"/>
      <w:lvlText w:val="%1."/>
      <w:lvlJc w:val="left"/>
      <w:pPr>
        <w:ind w:left="360" w:hanging="360"/>
      </w:pPr>
      <w:rPr>
        <w:b/>
        <w:sz w:val="22"/>
      </w:r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nsid w:val="56AC3C19"/>
    <w:multiLevelType w:val="hybridMultilevel"/>
    <w:tmpl w:val="E0604152"/>
    <w:lvl w:ilvl="0" w:tplc="0C0A0001">
      <w:start w:val="1"/>
      <w:numFmt w:val="bullet"/>
      <w:lvlText w:val=""/>
      <w:lvlJc w:val="left"/>
      <w:pPr>
        <w:ind w:left="720" w:hanging="360"/>
      </w:pPr>
      <w:rPr>
        <w:rFonts w:ascii="Symbol" w:hAnsi="Symbol"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9">
    <w:nsid w:val="56C76A61"/>
    <w:multiLevelType w:val="hybridMultilevel"/>
    <w:tmpl w:val="98D0FC40"/>
    <w:lvl w:ilvl="0" w:tplc="DD7C7114">
      <w:start w:val="1"/>
      <w:numFmt w:val="bullet"/>
      <w:lvlText w:val=""/>
      <w:lvlJc w:val="left"/>
      <w:pPr>
        <w:ind w:left="720" w:hanging="360"/>
      </w:pPr>
      <w:rPr>
        <w:rFonts w:ascii="Symbol" w:hAnsi="Symbol" w:hint="default"/>
      </w:rPr>
    </w:lvl>
    <w:lvl w:ilvl="1" w:tplc="0A2A34A2">
      <w:start w:val="4"/>
      <w:numFmt w:val="bullet"/>
      <w:lvlText w:val="-"/>
      <w:lvlJc w:val="left"/>
      <w:pPr>
        <w:ind w:left="1440" w:hanging="360"/>
      </w:pPr>
      <w:rPr>
        <w:rFonts w:ascii="Calibri" w:eastAsiaTheme="minorEastAsia"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56F3650D"/>
    <w:multiLevelType w:val="multilevel"/>
    <w:tmpl w:val="39085704"/>
    <w:lvl w:ilvl="0">
      <w:start w:val="1"/>
      <w:numFmt w:val="decimal"/>
      <w:pStyle w:val="EstiloTtulo1Calibri14ptAzulclaroMaysculasDespus"/>
      <w:lvlText w:val="%1"/>
      <w:lvlJc w:val="left"/>
      <w:pPr>
        <w:tabs>
          <w:tab w:val="num" w:pos="0"/>
        </w:tabs>
        <w:ind w:left="357" w:hanging="357"/>
      </w:pPr>
      <w:rPr>
        <w:rFonts w:ascii="Calibri" w:hAnsi="Calibri" w:cs="Calibri" w:hint="default"/>
        <w:b/>
        <w:bCs/>
        <w:i w:val="0"/>
        <w:iCs w:val="0"/>
        <w:caps/>
        <w:strike w:val="0"/>
        <w:dstrike w:val="0"/>
        <w:vanish w:val="0"/>
        <w:sz w:val="24"/>
        <w:szCs w:val="24"/>
        <w:vertAlign w:val="baseline"/>
      </w:rPr>
    </w:lvl>
    <w:lvl w:ilvl="1">
      <w:start w:val="1"/>
      <w:numFmt w:val="decimal"/>
      <w:lvlText w:val="%1.%2"/>
      <w:lvlJc w:val="left"/>
      <w:pPr>
        <w:tabs>
          <w:tab w:val="num" w:pos="720"/>
        </w:tabs>
        <w:ind w:left="720" w:hanging="720"/>
      </w:pPr>
      <w:rPr>
        <w:rFonts w:ascii="Calibri" w:hAnsi="Calibri" w:cs="Calibri" w:hint="default"/>
        <w:b/>
        <w:bCs/>
        <w:i w:val="0"/>
        <w:iCs w:val="0"/>
        <w:caps w:val="0"/>
        <w:strike w:val="0"/>
        <w:dstrike w:val="0"/>
        <w:vanish w:val="0"/>
        <w:sz w:val="24"/>
        <w:szCs w:val="24"/>
        <w:u w:val="none"/>
        <w:vertAlign w:val="baseline"/>
      </w:rPr>
    </w:lvl>
    <w:lvl w:ilvl="2">
      <w:start w:val="1"/>
      <w:numFmt w:val="decimal"/>
      <w:lvlText w:val="%1.%2.%3"/>
      <w:lvlJc w:val="left"/>
      <w:pPr>
        <w:tabs>
          <w:tab w:val="num" w:pos="0"/>
        </w:tabs>
        <w:ind w:left="1080" w:hanging="1080"/>
      </w:pPr>
      <w:rPr>
        <w:rFonts w:ascii="Times New Roman" w:hAnsi="Times New Roman" w:cs="Times New Roman" w:hint="default"/>
        <w:b w:val="0"/>
        <w:bCs w:val="0"/>
        <w:i w:val="0"/>
        <w:iCs w:val="0"/>
        <w:sz w:val="24"/>
        <w:szCs w:val="24"/>
        <w:u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57E2317F"/>
    <w:multiLevelType w:val="hybridMultilevel"/>
    <w:tmpl w:val="5BC2AA48"/>
    <w:lvl w:ilvl="0" w:tplc="35380C92">
      <w:start w:val="1"/>
      <w:numFmt w:val="decimal"/>
      <w:lvlText w:val="%1)"/>
      <w:lvlJc w:val="left"/>
      <w:pPr>
        <w:ind w:left="588" w:hanging="360"/>
      </w:pPr>
      <w:rPr>
        <w:b w:val="0"/>
        <w:bCs w:val="0"/>
        <w:sz w:val="20"/>
        <w:szCs w:val="20"/>
      </w:rPr>
    </w:lvl>
    <w:lvl w:ilvl="1" w:tplc="EEE6A230">
      <w:start w:val="1"/>
      <w:numFmt w:val="lowerLetter"/>
      <w:lvlText w:val="%2."/>
      <w:lvlJc w:val="left"/>
      <w:pPr>
        <w:ind w:left="1308" w:hanging="360"/>
      </w:pPr>
    </w:lvl>
    <w:lvl w:ilvl="2" w:tplc="9F364D00">
      <w:start w:val="1"/>
      <w:numFmt w:val="lowerRoman"/>
      <w:lvlText w:val="%3."/>
      <w:lvlJc w:val="right"/>
      <w:pPr>
        <w:ind w:left="2028" w:hanging="180"/>
      </w:pPr>
    </w:lvl>
    <w:lvl w:ilvl="3" w:tplc="EEACBDC8">
      <w:start w:val="1"/>
      <w:numFmt w:val="decimal"/>
      <w:lvlText w:val="%4."/>
      <w:lvlJc w:val="left"/>
      <w:pPr>
        <w:ind w:left="-350" w:hanging="360"/>
      </w:pPr>
      <w:rPr>
        <w:b/>
        <w:bCs/>
      </w:rPr>
    </w:lvl>
    <w:lvl w:ilvl="4" w:tplc="A976B724">
      <w:start w:val="1"/>
      <w:numFmt w:val="lowerLetter"/>
      <w:lvlText w:val="%5."/>
      <w:lvlJc w:val="left"/>
      <w:pPr>
        <w:ind w:left="3468" w:hanging="360"/>
      </w:pPr>
    </w:lvl>
    <w:lvl w:ilvl="5" w:tplc="891201A0">
      <w:start w:val="1"/>
      <w:numFmt w:val="lowerRoman"/>
      <w:lvlText w:val="%6."/>
      <w:lvlJc w:val="right"/>
      <w:pPr>
        <w:ind w:left="4188" w:hanging="180"/>
      </w:pPr>
    </w:lvl>
    <w:lvl w:ilvl="6" w:tplc="B28AEA32">
      <w:start w:val="1"/>
      <w:numFmt w:val="decimal"/>
      <w:lvlText w:val="%7."/>
      <w:lvlJc w:val="left"/>
      <w:pPr>
        <w:ind w:left="4908" w:hanging="360"/>
      </w:pPr>
    </w:lvl>
    <w:lvl w:ilvl="7" w:tplc="1198538A">
      <w:start w:val="1"/>
      <w:numFmt w:val="lowerLetter"/>
      <w:lvlText w:val="%8."/>
      <w:lvlJc w:val="left"/>
      <w:pPr>
        <w:ind w:left="5628" w:hanging="360"/>
      </w:pPr>
    </w:lvl>
    <w:lvl w:ilvl="8" w:tplc="2BE8E820">
      <w:start w:val="1"/>
      <w:numFmt w:val="lowerRoman"/>
      <w:lvlText w:val="%9."/>
      <w:lvlJc w:val="right"/>
      <w:pPr>
        <w:ind w:left="6348" w:hanging="180"/>
      </w:pPr>
    </w:lvl>
  </w:abstractNum>
  <w:abstractNum w:abstractNumId="112">
    <w:nsid w:val="58FC74D8"/>
    <w:multiLevelType w:val="hybridMultilevel"/>
    <w:tmpl w:val="81449CC0"/>
    <w:lvl w:ilvl="0" w:tplc="0C0A000F">
      <w:start w:val="1"/>
      <w:numFmt w:val="decimal"/>
      <w:lvlText w:val="%1."/>
      <w:lvlJc w:val="left"/>
      <w:pPr>
        <w:ind w:left="420" w:hanging="360"/>
      </w:pPr>
      <w:rPr>
        <w:rFonts w:hint="default"/>
      </w:rPr>
    </w:lvl>
    <w:lvl w:ilvl="1" w:tplc="0C0A0019">
      <w:start w:val="1"/>
      <w:numFmt w:val="bullet"/>
      <w:lvlText w:val="o"/>
      <w:lvlJc w:val="left"/>
      <w:pPr>
        <w:ind w:left="1140" w:hanging="360"/>
      </w:pPr>
      <w:rPr>
        <w:rFonts w:ascii="Courier New" w:hAnsi="Courier New" w:cs="Courier New" w:hint="default"/>
      </w:rPr>
    </w:lvl>
    <w:lvl w:ilvl="2" w:tplc="0C0A001B">
      <w:start w:val="1"/>
      <w:numFmt w:val="bullet"/>
      <w:lvlText w:val=""/>
      <w:lvlJc w:val="left"/>
      <w:pPr>
        <w:ind w:left="1860" w:hanging="360"/>
      </w:pPr>
      <w:rPr>
        <w:rFonts w:ascii="Wingdings" w:hAnsi="Wingdings" w:cs="Wingdings" w:hint="default"/>
      </w:rPr>
    </w:lvl>
    <w:lvl w:ilvl="3" w:tplc="0C0A000F">
      <w:start w:val="1"/>
      <w:numFmt w:val="bullet"/>
      <w:lvlText w:val=""/>
      <w:lvlJc w:val="left"/>
      <w:pPr>
        <w:ind w:left="2580" w:hanging="360"/>
      </w:pPr>
      <w:rPr>
        <w:rFonts w:ascii="Symbol" w:hAnsi="Symbol" w:cs="Symbol" w:hint="default"/>
      </w:rPr>
    </w:lvl>
    <w:lvl w:ilvl="4" w:tplc="0C0A0019">
      <w:start w:val="1"/>
      <w:numFmt w:val="bullet"/>
      <w:lvlText w:val="o"/>
      <w:lvlJc w:val="left"/>
      <w:pPr>
        <w:ind w:left="3300" w:hanging="360"/>
      </w:pPr>
      <w:rPr>
        <w:rFonts w:ascii="Courier New" w:hAnsi="Courier New" w:cs="Courier New" w:hint="default"/>
      </w:rPr>
    </w:lvl>
    <w:lvl w:ilvl="5" w:tplc="0C0A001B">
      <w:start w:val="1"/>
      <w:numFmt w:val="bullet"/>
      <w:lvlText w:val=""/>
      <w:lvlJc w:val="left"/>
      <w:pPr>
        <w:ind w:left="4020" w:hanging="360"/>
      </w:pPr>
      <w:rPr>
        <w:rFonts w:ascii="Wingdings" w:hAnsi="Wingdings" w:cs="Wingdings" w:hint="default"/>
      </w:rPr>
    </w:lvl>
    <w:lvl w:ilvl="6" w:tplc="0C0A000F">
      <w:start w:val="1"/>
      <w:numFmt w:val="bullet"/>
      <w:lvlText w:val=""/>
      <w:lvlJc w:val="left"/>
      <w:pPr>
        <w:ind w:left="4740" w:hanging="360"/>
      </w:pPr>
      <w:rPr>
        <w:rFonts w:ascii="Symbol" w:hAnsi="Symbol" w:cs="Symbol" w:hint="default"/>
      </w:rPr>
    </w:lvl>
    <w:lvl w:ilvl="7" w:tplc="0C0A0019">
      <w:start w:val="1"/>
      <w:numFmt w:val="bullet"/>
      <w:lvlText w:val="o"/>
      <w:lvlJc w:val="left"/>
      <w:pPr>
        <w:ind w:left="5460" w:hanging="360"/>
      </w:pPr>
      <w:rPr>
        <w:rFonts w:ascii="Courier New" w:hAnsi="Courier New" w:cs="Courier New" w:hint="default"/>
      </w:rPr>
    </w:lvl>
    <w:lvl w:ilvl="8" w:tplc="0C0A001B">
      <w:start w:val="1"/>
      <w:numFmt w:val="bullet"/>
      <w:lvlText w:val=""/>
      <w:lvlJc w:val="left"/>
      <w:pPr>
        <w:ind w:left="6180" w:hanging="360"/>
      </w:pPr>
      <w:rPr>
        <w:rFonts w:ascii="Wingdings" w:hAnsi="Wingdings" w:cs="Wingdings" w:hint="default"/>
      </w:rPr>
    </w:lvl>
  </w:abstractNum>
  <w:abstractNum w:abstractNumId="113">
    <w:nsid w:val="5AE96186"/>
    <w:multiLevelType w:val="hybridMultilevel"/>
    <w:tmpl w:val="46D23E6C"/>
    <w:lvl w:ilvl="0" w:tplc="59D0D7BE">
      <w:start w:val="5"/>
      <w:numFmt w:val="bullet"/>
      <w:lvlText w:val="-"/>
      <w:lvlJc w:val="left"/>
      <w:pPr>
        <w:ind w:left="405" w:hanging="360"/>
      </w:pPr>
      <w:rPr>
        <w:rFonts w:ascii="Calibri" w:eastAsia="Calibri" w:hAnsi="Calibri" w:cs="Calibri" w:hint="default"/>
      </w:rPr>
    </w:lvl>
    <w:lvl w:ilvl="1" w:tplc="0C0A0003" w:tentative="1">
      <w:start w:val="1"/>
      <w:numFmt w:val="bullet"/>
      <w:lvlText w:val="o"/>
      <w:lvlJc w:val="left"/>
      <w:pPr>
        <w:ind w:left="1125" w:hanging="360"/>
      </w:pPr>
      <w:rPr>
        <w:rFonts w:ascii="Courier New" w:hAnsi="Courier New" w:cs="Courier New" w:hint="default"/>
      </w:rPr>
    </w:lvl>
    <w:lvl w:ilvl="2" w:tplc="0C0A0005" w:tentative="1">
      <w:start w:val="1"/>
      <w:numFmt w:val="bullet"/>
      <w:lvlText w:val=""/>
      <w:lvlJc w:val="left"/>
      <w:pPr>
        <w:ind w:left="1845" w:hanging="360"/>
      </w:pPr>
      <w:rPr>
        <w:rFonts w:ascii="Wingdings" w:hAnsi="Wingdings" w:hint="default"/>
      </w:rPr>
    </w:lvl>
    <w:lvl w:ilvl="3" w:tplc="0C0A0001" w:tentative="1">
      <w:start w:val="1"/>
      <w:numFmt w:val="bullet"/>
      <w:lvlText w:val=""/>
      <w:lvlJc w:val="left"/>
      <w:pPr>
        <w:ind w:left="2565" w:hanging="360"/>
      </w:pPr>
      <w:rPr>
        <w:rFonts w:ascii="Symbol" w:hAnsi="Symbol" w:hint="default"/>
      </w:rPr>
    </w:lvl>
    <w:lvl w:ilvl="4" w:tplc="0C0A0003" w:tentative="1">
      <w:start w:val="1"/>
      <w:numFmt w:val="bullet"/>
      <w:lvlText w:val="o"/>
      <w:lvlJc w:val="left"/>
      <w:pPr>
        <w:ind w:left="3285" w:hanging="360"/>
      </w:pPr>
      <w:rPr>
        <w:rFonts w:ascii="Courier New" w:hAnsi="Courier New" w:cs="Courier New" w:hint="default"/>
      </w:rPr>
    </w:lvl>
    <w:lvl w:ilvl="5" w:tplc="0C0A0005" w:tentative="1">
      <w:start w:val="1"/>
      <w:numFmt w:val="bullet"/>
      <w:lvlText w:val=""/>
      <w:lvlJc w:val="left"/>
      <w:pPr>
        <w:ind w:left="4005" w:hanging="360"/>
      </w:pPr>
      <w:rPr>
        <w:rFonts w:ascii="Wingdings" w:hAnsi="Wingdings" w:hint="default"/>
      </w:rPr>
    </w:lvl>
    <w:lvl w:ilvl="6" w:tplc="0C0A0001" w:tentative="1">
      <w:start w:val="1"/>
      <w:numFmt w:val="bullet"/>
      <w:lvlText w:val=""/>
      <w:lvlJc w:val="left"/>
      <w:pPr>
        <w:ind w:left="4725" w:hanging="360"/>
      </w:pPr>
      <w:rPr>
        <w:rFonts w:ascii="Symbol" w:hAnsi="Symbol" w:hint="default"/>
      </w:rPr>
    </w:lvl>
    <w:lvl w:ilvl="7" w:tplc="0C0A0003" w:tentative="1">
      <w:start w:val="1"/>
      <w:numFmt w:val="bullet"/>
      <w:lvlText w:val="o"/>
      <w:lvlJc w:val="left"/>
      <w:pPr>
        <w:ind w:left="5445" w:hanging="360"/>
      </w:pPr>
      <w:rPr>
        <w:rFonts w:ascii="Courier New" w:hAnsi="Courier New" w:cs="Courier New" w:hint="default"/>
      </w:rPr>
    </w:lvl>
    <w:lvl w:ilvl="8" w:tplc="0C0A0005" w:tentative="1">
      <w:start w:val="1"/>
      <w:numFmt w:val="bullet"/>
      <w:lvlText w:val=""/>
      <w:lvlJc w:val="left"/>
      <w:pPr>
        <w:ind w:left="6165" w:hanging="360"/>
      </w:pPr>
      <w:rPr>
        <w:rFonts w:ascii="Wingdings" w:hAnsi="Wingdings" w:hint="default"/>
      </w:rPr>
    </w:lvl>
  </w:abstractNum>
  <w:abstractNum w:abstractNumId="114">
    <w:nsid w:val="5C0453F0"/>
    <w:multiLevelType w:val="hybridMultilevel"/>
    <w:tmpl w:val="DCCE5B6E"/>
    <w:lvl w:ilvl="0" w:tplc="20407BB8">
      <w:start w:val="1"/>
      <w:numFmt w:val="bullet"/>
      <w:lvlText w:val=""/>
      <w:lvlJc w:val="left"/>
      <w:pPr>
        <w:tabs>
          <w:tab w:val="num" w:pos="1778"/>
        </w:tabs>
        <w:ind w:left="1778" w:hanging="360"/>
      </w:pPr>
      <w:rPr>
        <w:rFonts w:ascii="Wingdings" w:hAnsi="Wingdings" w:cs="Wingdings" w:hint="default"/>
      </w:rPr>
    </w:lvl>
    <w:lvl w:ilvl="1" w:tplc="0C0A0003">
      <w:start w:val="1"/>
      <w:numFmt w:val="bullet"/>
      <w:lvlText w:val="o"/>
      <w:lvlJc w:val="left"/>
      <w:pPr>
        <w:tabs>
          <w:tab w:val="num" w:pos="4658"/>
        </w:tabs>
        <w:ind w:left="4658" w:hanging="360"/>
      </w:pPr>
      <w:rPr>
        <w:rFonts w:ascii="Courier New" w:hAnsi="Courier New" w:cs="Courier New" w:hint="default"/>
      </w:rPr>
    </w:lvl>
    <w:lvl w:ilvl="2" w:tplc="0C0A0005">
      <w:start w:val="1"/>
      <w:numFmt w:val="bullet"/>
      <w:lvlText w:val=""/>
      <w:lvlJc w:val="left"/>
      <w:pPr>
        <w:tabs>
          <w:tab w:val="num" w:pos="5378"/>
        </w:tabs>
        <w:ind w:left="5378" w:hanging="360"/>
      </w:pPr>
      <w:rPr>
        <w:rFonts w:ascii="Wingdings" w:hAnsi="Wingdings" w:cs="Wingdings" w:hint="default"/>
      </w:rPr>
    </w:lvl>
    <w:lvl w:ilvl="3" w:tplc="0C0A0001">
      <w:start w:val="1"/>
      <w:numFmt w:val="bullet"/>
      <w:lvlText w:val=""/>
      <w:lvlJc w:val="left"/>
      <w:pPr>
        <w:tabs>
          <w:tab w:val="num" w:pos="6098"/>
        </w:tabs>
        <w:ind w:left="6098" w:hanging="360"/>
      </w:pPr>
      <w:rPr>
        <w:rFonts w:ascii="Symbol" w:hAnsi="Symbol" w:cs="Symbol" w:hint="default"/>
      </w:rPr>
    </w:lvl>
    <w:lvl w:ilvl="4" w:tplc="0C0A0003">
      <w:start w:val="1"/>
      <w:numFmt w:val="bullet"/>
      <w:lvlText w:val="o"/>
      <w:lvlJc w:val="left"/>
      <w:pPr>
        <w:tabs>
          <w:tab w:val="num" w:pos="6818"/>
        </w:tabs>
        <w:ind w:left="6818" w:hanging="360"/>
      </w:pPr>
      <w:rPr>
        <w:rFonts w:ascii="Courier New" w:hAnsi="Courier New" w:cs="Courier New" w:hint="default"/>
      </w:rPr>
    </w:lvl>
    <w:lvl w:ilvl="5" w:tplc="0C0A0005">
      <w:start w:val="1"/>
      <w:numFmt w:val="bullet"/>
      <w:lvlText w:val=""/>
      <w:lvlJc w:val="left"/>
      <w:pPr>
        <w:tabs>
          <w:tab w:val="num" w:pos="7538"/>
        </w:tabs>
        <w:ind w:left="7538" w:hanging="360"/>
      </w:pPr>
      <w:rPr>
        <w:rFonts w:ascii="Wingdings" w:hAnsi="Wingdings" w:cs="Wingdings" w:hint="default"/>
      </w:rPr>
    </w:lvl>
    <w:lvl w:ilvl="6" w:tplc="0C0A0001">
      <w:start w:val="1"/>
      <w:numFmt w:val="bullet"/>
      <w:lvlText w:val=""/>
      <w:lvlJc w:val="left"/>
      <w:pPr>
        <w:tabs>
          <w:tab w:val="num" w:pos="8258"/>
        </w:tabs>
        <w:ind w:left="8258" w:hanging="360"/>
      </w:pPr>
      <w:rPr>
        <w:rFonts w:ascii="Symbol" w:hAnsi="Symbol" w:cs="Symbol" w:hint="default"/>
      </w:rPr>
    </w:lvl>
    <w:lvl w:ilvl="7" w:tplc="0C0A0003">
      <w:start w:val="1"/>
      <w:numFmt w:val="bullet"/>
      <w:lvlText w:val="o"/>
      <w:lvlJc w:val="left"/>
      <w:pPr>
        <w:tabs>
          <w:tab w:val="num" w:pos="8978"/>
        </w:tabs>
        <w:ind w:left="8978" w:hanging="360"/>
      </w:pPr>
      <w:rPr>
        <w:rFonts w:ascii="Courier New" w:hAnsi="Courier New" w:cs="Courier New" w:hint="default"/>
      </w:rPr>
    </w:lvl>
    <w:lvl w:ilvl="8" w:tplc="0C0A0005">
      <w:start w:val="1"/>
      <w:numFmt w:val="bullet"/>
      <w:lvlText w:val=""/>
      <w:lvlJc w:val="left"/>
      <w:pPr>
        <w:tabs>
          <w:tab w:val="num" w:pos="9698"/>
        </w:tabs>
        <w:ind w:left="9698" w:hanging="360"/>
      </w:pPr>
      <w:rPr>
        <w:rFonts w:ascii="Wingdings" w:hAnsi="Wingdings" w:cs="Wingdings" w:hint="default"/>
      </w:rPr>
    </w:lvl>
  </w:abstractNum>
  <w:abstractNum w:abstractNumId="115">
    <w:nsid w:val="5C905CA8"/>
    <w:multiLevelType w:val="multilevel"/>
    <w:tmpl w:val="1F265D8A"/>
    <w:lvl w:ilvl="0">
      <w:start w:val="1"/>
      <w:numFmt w:val="decimal"/>
      <w:lvlText w:val="%1."/>
      <w:lvlJc w:val="left"/>
      <w:pPr>
        <w:ind w:left="360" w:hanging="360"/>
      </w:pPr>
      <w:rPr>
        <w:rFonts w:hint="default"/>
      </w:rPr>
    </w:lvl>
    <w:lvl w:ilvl="1">
      <w:start w:val="1"/>
      <w:numFmt w:val="decimal"/>
      <w:pStyle w:val="T2A5"/>
      <w:lvlText w:val="%1.%2."/>
      <w:lvlJc w:val="left"/>
      <w:pPr>
        <w:ind w:left="792" w:hanging="432"/>
      </w:pPr>
      <w:rPr>
        <w:rFonts w:hint="default"/>
        <w:lang w:val="es-UY"/>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nsid w:val="5CE03DF5"/>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7">
    <w:nsid w:val="5CFD2C22"/>
    <w:multiLevelType w:val="hybridMultilevel"/>
    <w:tmpl w:val="7C3C864C"/>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5D9C7DE8"/>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19">
    <w:nsid w:val="5EF9501A"/>
    <w:multiLevelType w:val="hybridMultilevel"/>
    <w:tmpl w:val="6636B84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0">
    <w:nsid w:val="5F57593D"/>
    <w:multiLevelType w:val="multilevel"/>
    <w:tmpl w:val="DC321AA8"/>
    <w:lvl w:ilvl="0">
      <w:start w:val="1"/>
      <w:numFmt w:val="decimal"/>
      <w:lvlText w:val="%1."/>
      <w:lvlJc w:val="left"/>
      <w:pPr>
        <w:ind w:left="360" w:hanging="360"/>
      </w:pPr>
    </w:lvl>
    <w:lvl w:ilvl="1">
      <w:start w:val="1"/>
      <w:numFmt w:val="decimal"/>
      <w:pStyle w:val="T2AAAA"/>
      <w:lvlText w:val="%1.%2."/>
      <w:lvlJc w:val="left"/>
      <w:pPr>
        <w:ind w:left="792" w:hanging="432"/>
      </w:pPr>
      <w:rPr>
        <w:b/>
        <w:bCs/>
      </w:rPr>
    </w:lvl>
    <w:lvl w:ilvl="2">
      <w:start w:val="1"/>
      <w:numFmt w:val="decimal"/>
      <w:pStyle w:val="T3B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F662483"/>
    <w:multiLevelType w:val="hybridMultilevel"/>
    <w:tmpl w:val="E204709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2">
    <w:nsid w:val="607B12CF"/>
    <w:multiLevelType w:val="hybridMultilevel"/>
    <w:tmpl w:val="E140F694"/>
    <w:lvl w:ilvl="0" w:tplc="E702CBBA">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3">
    <w:nsid w:val="60E85FFF"/>
    <w:multiLevelType w:val="hybridMultilevel"/>
    <w:tmpl w:val="00228902"/>
    <w:lvl w:ilvl="0" w:tplc="949CC3D8">
      <w:start w:val="1"/>
      <w:numFmt w:val="decimal"/>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24">
    <w:nsid w:val="622A3F93"/>
    <w:multiLevelType w:val="hybridMultilevel"/>
    <w:tmpl w:val="C92E5E6E"/>
    <w:lvl w:ilvl="0" w:tplc="4790EF5C">
      <w:start w:val="1"/>
      <w:numFmt w:val="decimal"/>
      <w:lvlText w:val="%1."/>
      <w:lvlJc w:val="left"/>
      <w:pPr>
        <w:tabs>
          <w:tab w:val="num" w:pos="1759"/>
        </w:tabs>
        <w:ind w:left="1759" w:hanging="1191"/>
      </w:pPr>
      <w:rPr>
        <w:rFonts w:hint="default"/>
      </w:rPr>
    </w:lvl>
    <w:lvl w:ilvl="1" w:tplc="5C3E3030">
      <w:start w:val="1"/>
      <w:numFmt w:val="lowerLetter"/>
      <w:lvlText w:val="%2."/>
      <w:lvlJc w:val="left"/>
      <w:pPr>
        <w:tabs>
          <w:tab w:val="num" w:pos="1918"/>
        </w:tabs>
        <w:ind w:left="1918" w:hanging="360"/>
      </w:pPr>
    </w:lvl>
    <w:lvl w:ilvl="2" w:tplc="074C551E">
      <w:start w:val="1"/>
      <w:numFmt w:val="lowerRoman"/>
      <w:lvlText w:val="%3."/>
      <w:lvlJc w:val="right"/>
      <w:pPr>
        <w:tabs>
          <w:tab w:val="num" w:pos="2638"/>
        </w:tabs>
        <w:ind w:left="2638" w:hanging="180"/>
      </w:pPr>
    </w:lvl>
    <w:lvl w:ilvl="3" w:tplc="C70E0CAC">
      <w:start w:val="1"/>
      <w:numFmt w:val="decimal"/>
      <w:lvlText w:val="%4."/>
      <w:lvlJc w:val="left"/>
      <w:pPr>
        <w:tabs>
          <w:tab w:val="num" w:pos="3358"/>
        </w:tabs>
        <w:ind w:left="3358" w:hanging="360"/>
      </w:pPr>
    </w:lvl>
    <w:lvl w:ilvl="4" w:tplc="76565408">
      <w:start w:val="1"/>
      <w:numFmt w:val="lowerLetter"/>
      <w:lvlText w:val="%5."/>
      <w:lvlJc w:val="left"/>
      <w:pPr>
        <w:tabs>
          <w:tab w:val="num" w:pos="4078"/>
        </w:tabs>
        <w:ind w:left="4078" w:hanging="360"/>
      </w:pPr>
    </w:lvl>
    <w:lvl w:ilvl="5" w:tplc="182C9426">
      <w:start w:val="1"/>
      <w:numFmt w:val="lowerRoman"/>
      <w:lvlText w:val="%6."/>
      <w:lvlJc w:val="right"/>
      <w:pPr>
        <w:tabs>
          <w:tab w:val="num" w:pos="4798"/>
        </w:tabs>
        <w:ind w:left="4798" w:hanging="180"/>
      </w:pPr>
    </w:lvl>
    <w:lvl w:ilvl="6" w:tplc="229C22B6">
      <w:start w:val="1"/>
      <w:numFmt w:val="decimal"/>
      <w:lvlText w:val="%7."/>
      <w:lvlJc w:val="left"/>
      <w:pPr>
        <w:tabs>
          <w:tab w:val="num" w:pos="5518"/>
        </w:tabs>
        <w:ind w:left="5518" w:hanging="360"/>
      </w:pPr>
    </w:lvl>
    <w:lvl w:ilvl="7" w:tplc="16C86DD6">
      <w:start w:val="1"/>
      <w:numFmt w:val="lowerLetter"/>
      <w:lvlText w:val="%8."/>
      <w:lvlJc w:val="left"/>
      <w:pPr>
        <w:tabs>
          <w:tab w:val="num" w:pos="6238"/>
        </w:tabs>
        <w:ind w:left="6238" w:hanging="360"/>
      </w:pPr>
    </w:lvl>
    <w:lvl w:ilvl="8" w:tplc="4C221CF4">
      <w:start w:val="1"/>
      <w:numFmt w:val="lowerRoman"/>
      <w:lvlText w:val="%9."/>
      <w:lvlJc w:val="right"/>
      <w:pPr>
        <w:tabs>
          <w:tab w:val="num" w:pos="6958"/>
        </w:tabs>
        <w:ind w:left="6958" w:hanging="180"/>
      </w:pPr>
    </w:lvl>
  </w:abstractNum>
  <w:abstractNum w:abstractNumId="125">
    <w:nsid w:val="627A3378"/>
    <w:multiLevelType w:val="multilevel"/>
    <w:tmpl w:val="640ECA6E"/>
    <w:lvl w:ilvl="0">
      <w:start w:val="6"/>
      <w:numFmt w:val="decimal"/>
      <w:lvlText w:val="%1"/>
      <w:lvlJc w:val="left"/>
      <w:pPr>
        <w:ind w:left="444" w:hanging="444"/>
      </w:pPr>
      <w:rPr>
        <w:rFonts w:hint="default"/>
      </w:rPr>
    </w:lvl>
    <w:lvl w:ilvl="1">
      <w:start w:val="5"/>
      <w:numFmt w:val="decimal"/>
      <w:lvlText w:val="%1.%2"/>
      <w:lvlJc w:val="left"/>
      <w:pPr>
        <w:ind w:left="869" w:hanging="444"/>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6">
    <w:nsid w:val="62E365D4"/>
    <w:multiLevelType w:val="hybridMultilevel"/>
    <w:tmpl w:val="6FC6733E"/>
    <w:lvl w:ilvl="0" w:tplc="20407BB8">
      <w:start w:val="1"/>
      <w:numFmt w:val="bullet"/>
      <w:lvlText w:val=""/>
      <w:lvlJc w:val="left"/>
      <w:pPr>
        <w:tabs>
          <w:tab w:val="num" w:pos="1277"/>
        </w:tabs>
        <w:ind w:left="1277" w:hanging="360"/>
      </w:pPr>
      <w:rPr>
        <w:rFonts w:ascii="Wingdings" w:hAnsi="Wingdings" w:hint="default"/>
      </w:rPr>
    </w:lvl>
    <w:lvl w:ilvl="1" w:tplc="0C0A0003" w:tentative="1">
      <w:start w:val="1"/>
      <w:numFmt w:val="bullet"/>
      <w:lvlText w:val="o"/>
      <w:lvlJc w:val="left"/>
      <w:pPr>
        <w:tabs>
          <w:tab w:val="num" w:pos="1937"/>
        </w:tabs>
        <w:ind w:left="1937" w:hanging="360"/>
      </w:pPr>
      <w:rPr>
        <w:rFonts w:ascii="Courier New" w:hAnsi="Courier New" w:cs="Courier New" w:hint="default"/>
      </w:rPr>
    </w:lvl>
    <w:lvl w:ilvl="2" w:tplc="0C0A0005" w:tentative="1">
      <w:start w:val="1"/>
      <w:numFmt w:val="bullet"/>
      <w:lvlText w:val=""/>
      <w:lvlJc w:val="left"/>
      <w:pPr>
        <w:tabs>
          <w:tab w:val="num" w:pos="2657"/>
        </w:tabs>
        <w:ind w:left="2657" w:hanging="360"/>
      </w:pPr>
      <w:rPr>
        <w:rFonts w:ascii="Wingdings" w:hAnsi="Wingdings" w:hint="default"/>
      </w:rPr>
    </w:lvl>
    <w:lvl w:ilvl="3" w:tplc="0C0A0001" w:tentative="1">
      <w:start w:val="1"/>
      <w:numFmt w:val="bullet"/>
      <w:lvlText w:val=""/>
      <w:lvlJc w:val="left"/>
      <w:pPr>
        <w:tabs>
          <w:tab w:val="num" w:pos="3377"/>
        </w:tabs>
        <w:ind w:left="3377" w:hanging="360"/>
      </w:pPr>
      <w:rPr>
        <w:rFonts w:ascii="Symbol" w:hAnsi="Symbol" w:hint="default"/>
      </w:rPr>
    </w:lvl>
    <w:lvl w:ilvl="4" w:tplc="0C0A0003" w:tentative="1">
      <w:start w:val="1"/>
      <w:numFmt w:val="bullet"/>
      <w:lvlText w:val="o"/>
      <w:lvlJc w:val="left"/>
      <w:pPr>
        <w:tabs>
          <w:tab w:val="num" w:pos="4097"/>
        </w:tabs>
        <w:ind w:left="4097" w:hanging="360"/>
      </w:pPr>
      <w:rPr>
        <w:rFonts w:ascii="Courier New" w:hAnsi="Courier New" w:cs="Courier New" w:hint="default"/>
      </w:rPr>
    </w:lvl>
    <w:lvl w:ilvl="5" w:tplc="0C0A0005" w:tentative="1">
      <w:start w:val="1"/>
      <w:numFmt w:val="bullet"/>
      <w:lvlText w:val=""/>
      <w:lvlJc w:val="left"/>
      <w:pPr>
        <w:tabs>
          <w:tab w:val="num" w:pos="4817"/>
        </w:tabs>
        <w:ind w:left="4817" w:hanging="360"/>
      </w:pPr>
      <w:rPr>
        <w:rFonts w:ascii="Wingdings" w:hAnsi="Wingdings" w:hint="default"/>
      </w:rPr>
    </w:lvl>
    <w:lvl w:ilvl="6" w:tplc="0C0A0001" w:tentative="1">
      <w:start w:val="1"/>
      <w:numFmt w:val="bullet"/>
      <w:lvlText w:val=""/>
      <w:lvlJc w:val="left"/>
      <w:pPr>
        <w:tabs>
          <w:tab w:val="num" w:pos="5537"/>
        </w:tabs>
        <w:ind w:left="5537" w:hanging="360"/>
      </w:pPr>
      <w:rPr>
        <w:rFonts w:ascii="Symbol" w:hAnsi="Symbol" w:hint="default"/>
      </w:rPr>
    </w:lvl>
    <w:lvl w:ilvl="7" w:tplc="0C0A0003" w:tentative="1">
      <w:start w:val="1"/>
      <w:numFmt w:val="bullet"/>
      <w:lvlText w:val="o"/>
      <w:lvlJc w:val="left"/>
      <w:pPr>
        <w:tabs>
          <w:tab w:val="num" w:pos="6257"/>
        </w:tabs>
        <w:ind w:left="6257" w:hanging="360"/>
      </w:pPr>
      <w:rPr>
        <w:rFonts w:ascii="Courier New" w:hAnsi="Courier New" w:cs="Courier New" w:hint="default"/>
      </w:rPr>
    </w:lvl>
    <w:lvl w:ilvl="8" w:tplc="0C0A0005" w:tentative="1">
      <w:start w:val="1"/>
      <w:numFmt w:val="bullet"/>
      <w:lvlText w:val=""/>
      <w:lvlJc w:val="left"/>
      <w:pPr>
        <w:tabs>
          <w:tab w:val="num" w:pos="6977"/>
        </w:tabs>
        <w:ind w:left="6977" w:hanging="360"/>
      </w:pPr>
      <w:rPr>
        <w:rFonts w:ascii="Wingdings" w:hAnsi="Wingdings" w:hint="default"/>
      </w:rPr>
    </w:lvl>
  </w:abstractNum>
  <w:abstractNum w:abstractNumId="127">
    <w:nsid w:val="656E6ED0"/>
    <w:multiLevelType w:val="hybridMultilevel"/>
    <w:tmpl w:val="F93E590A"/>
    <w:lvl w:ilvl="0" w:tplc="0C0A0001">
      <w:start w:val="1"/>
      <w:numFmt w:val="lowerRoman"/>
      <w:lvlText w:val="%1."/>
      <w:lvlJc w:val="right"/>
      <w:pPr>
        <w:ind w:left="720" w:hanging="360"/>
      </w:pPr>
    </w:lvl>
    <w:lvl w:ilvl="1" w:tplc="0C0A0003">
      <w:start w:val="1"/>
      <w:numFmt w:val="lowerLetter"/>
      <w:lvlText w:val="%2."/>
      <w:lvlJc w:val="left"/>
      <w:pPr>
        <w:ind w:left="5747" w:hanging="360"/>
      </w:pPr>
      <w:rPr>
        <w:color w:val="auto"/>
      </w:rPr>
    </w:lvl>
    <w:lvl w:ilvl="2" w:tplc="0C0A0005">
      <w:start w:val="46"/>
      <w:numFmt w:val="decimal"/>
      <w:lvlText w:val="%3."/>
      <w:lvlJc w:val="left"/>
      <w:pPr>
        <w:ind w:left="2340" w:hanging="360"/>
      </w:pPr>
      <w:rPr>
        <w:rFonts w:hint="default"/>
      </w:rPr>
    </w:lvl>
    <w:lvl w:ilvl="3" w:tplc="0C0A0001">
      <w:start w:val="1"/>
      <w:numFmt w:val="decimal"/>
      <w:lvlText w:val="%4."/>
      <w:lvlJc w:val="left"/>
      <w:pPr>
        <w:ind w:left="2880" w:hanging="360"/>
      </w:pPr>
    </w:lvl>
    <w:lvl w:ilvl="4" w:tplc="0C0A0003">
      <w:start w:val="1"/>
      <w:numFmt w:val="lowerLetter"/>
      <w:lvlText w:val="%5."/>
      <w:lvlJc w:val="left"/>
      <w:pPr>
        <w:ind w:left="3600" w:hanging="360"/>
      </w:pPr>
    </w:lvl>
    <w:lvl w:ilvl="5" w:tplc="0C0A0005">
      <w:start w:val="1"/>
      <w:numFmt w:val="lowerRoman"/>
      <w:lvlText w:val="%6."/>
      <w:lvlJc w:val="right"/>
      <w:pPr>
        <w:ind w:left="4320" w:hanging="180"/>
      </w:pPr>
    </w:lvl>
    <w:lvl w:ilvl="6" w:tplc="0C0A0001">
      <w:start w:val="1"/>
      <w:numFmt w:val="decimal"/>
      <w:lvlText w:val="%7."/>
      <w:lvlJc w:val="left"/>
      <w:pPr>
        <w:ind w:left="5040" w:hanging="360"/>
      </w:pPr>
    </w:lvl>
    <w:lvl w:ilvl="7" w:tplc="0C0A0003">
      <w:start w:val="1"/>
      <w:numFmt w:val="lowerLetter"/>
      <w:lvlText w:val="%8."/>
      <w:lvlJc w:val="left"/>
      <w:pPr>
        <w:ind w:left="5760" w:hanging="360"/>
      </w:pPr>
    </w:lvl>
    <w:lvl w:ilvl="8" w:tplc="0C0A0005">
      <w:start w:val="1"/>
      <w:numFmt w:val="lowerRoman"/>
      <w:lvlText w:val="%9."/>
      <w:lvlJc w:val="right"/>
      <w:pPr>
        <w:ind w:left="6480" w:hanging="180"/>
      </w:pPr>
    </w:lvl>
  </w:abstractNum>
  <w:abstractNum w:abstractNumId="128">
    <w:nsid w:val="65A12D7B"/>
    <w:multiLevelType w:val="multilevel"/>
    <w:tmpl w:val="3A4A79CC"/>
    <w:lvl w:ilvl="0">
      <w:start w:val="1"/>
      <w:numFmt w:val="decimal"/>
      <w:lvlText w:val="%1."/>
      <w:lvlJc w:val="left"/>
      <w:pPr>
        <w:tabs>
          <w:tab w:val="num" w:pos="362"/>
        </w:tabs>
        <w:ind w:left="362" w:hanging="360"/>
      </w:pPr>
      <w:rPr>
        <w:rFonts w:hint="default"/>
      </w:rPr>
    </w:lvl>
    <w:lvl w:ilvl="1">
      <w:start w:val="1"/>
      <w:numFmt w:val="decimal"/>
      <w:pStyle w:val="EstiloTtulo211pt"/>
      <w:lvlText w:val="%1.%2."/>
      <w:lvlJc w:val="left"/>
      <w:pPr>
        <w:tabs>
          <w:tab w:val="num" w:pos="569"/>
        </w:tabs>
        <w:ind w:left="569" w:hanging="567"/>
      </w:pPr>
      <w:rPr>
        <w:rFonts w:hint="default"/>
      </w:rPr>
    </w:lvl>
    <w:lvl w:ilvl="2">
      <w:start w:val="1"/>
      <w:numFmt w:val="decimal"/>
      <w:lvlText w:val="%1.%2.%3."/>
      <w:lvlJc w:val="left"/>
      <w:pPr>
        <w:tabs>
          <w:tab w:val="num" w:pos="1802"/>
        </w:tabs>
        <w:ind w:left="1226" w:hanging="504"/>
      </w:pPr>
      <w:rPr>
        <w:rFonts w:hint="default"/>
      </w:rPr>
    </w:lvl>
    <w:lvl w:ilvl="3">
      <w:start w:val="1"/>
      <w:numFmt w:val="decimal"/>
      <w:lvlText w:val="%1.%2.%3.%4."/>
      <w:lvlJc w:val="left"/>
      <w:pPr>
        <w:tabs>
          <w:tab w:val="num" w:pos="2522"/>
        </w:tabs>
        <w:ind w:left="1730" w:hanging="648"/>
      </w:pPr>
      <w:rPr>
        <w:rFonts w:hint="default"/>
      </w:rPr>
    </w:lvl>
    <w:lvl w:ilvl="4">
      <w:start w:val="1"/>
      <w:numFmt w:val="decimal"/>
      <w:lvlText w:val="%1.%2.%3.%4.%5."/>
      <w:lvlJc w:val="left"/>
      <w:pPr>
        <w:tabs>
          <w:tab w:val="num" w:pos="2882"/>
        </w:tabs>
        <w:ind w:left="2234" w:hanging="792"/>
      </w:pPr>
      <w:rPr>
        <w:rFonts w:hint="default"/>
      </w:rPr>
    </w:lvl>
    <w:lvl w:ilvl="5">
      <w:start w:val="1"/>
      <w:numFmt w:val="decimal"/>
      <w:lvlText w:val="%1.%2.%3.%4.%5.%6."/>
      <w:lvlJc w:val="left"/>
      <w:pPr>
        <w:tabs>
          <w:tab w:val="num" w:pos="3602"/>
        </w:tabs>
        <w:ind w:left="2738" w:hanging="936"/>
      </w:pPr>
      <w:rPr>
        <w:rFonts w:hint="default"/>
      </w:rPr>
    </w:lvl>
    <w:lvl w:ilvl="6">
      <w:start w:val="1"/>
      <w:numFmt w:val="decimal"/>
      <w:lvlText w:val="%1.%2.%3.%4.%5.%6.%7."/>
      <w:lvlJc w:val="left"/>
      <w:pPr>
        <w:tabs>
          <w:tab w:val="num" w:pos="4322"/>
        </w:tabs>
        <w:ind w:left="3242" w:hanging="1080"/>
      </w:pPr>
      <w:rPr>
        <w:rFonts w:hint="default"/>
      </w:rPr>
    </w:lvl>
    <w:lvl w:ilvl="7">
      <w:start w:val="1"/>
      <w:numFmt w:val="decimal"/>
      <w:lvlText w:val="%1.%2.%3.%4.%5.%6.%7.%8."/>
      <w:lvlJc w:val="left"/>
      <w:pPr>
        <w:tabs>
          <w:tab w:val="num" w:pos="5042"/>
        </w:tabs>
        <w:ind w:left="3746" w:hanging="1224"/>
      </w:pPr>
      <w:rPr>
        <w:rFonts w:hint="default"/>
      </w:rPr>
    </w:lvl>
    <w:lvl w:ilvl="8">
      <w:start w:val="1"/>
      <w:numFmt w:val="decimal"/>
      <w:lvlText w:val="%1.%2.%3.%4.%5.%6.%7.%8.%9."/>
      <w:lvlJc w:val="left"/>
      <w:pPr>
        <w:tabs>
          <w:tab w:val="num" w:pos="5402"/>
        </w:tabs>
        <w:ind w:left="4322" w:hanging="1440"/>
      </w:pPr>
      <w:rPr>
        <w:rFonts w:hint="default"/>
      </w:rPr>
    </w:lvl>
  </w:abstractNum>
  <w:abstractNum w:abstractNumId="129">
    <w:nsid w:val="66064641"/>
    <w:multiLevelType w:val="hybridMultilevel"/>
    <w:tmpl w:val="349A41A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0">
    <w:nsid w:val="66DF344A"/>
    <w:multiLevelType w:val="hybridMultilevel"/>
    <w:tmpl w:val="19A0614E"/>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1">
    <w:nsid w:val="698B49A7"/>
    <w:multiLevelType w:val="hybridMultilevel"/>
    <w:tmpl w:val="B6ECF9AC"/>
    <w:lvl w:ilvl="0" w:tplc="264EC406">
      <w:start w:val="1"/>
      <w:numFmt w:val="lowerLetter"/>
      <w:lvlText w:val="%1)"/>
      <w:lvlJc w:val="left"/>
      <w:pPr>
        <w:tabs>
          <w:tab w:val="num" w:pos="360"/>
        </w:tabs>
        <w:ind w:left="360" w:hanging="360"/>
      </w:pPr>
      <w:rPr>
        <w:rFonts w:hint="default"/>
        <w:b w:val="0"/>
        <w:bCs w:val="0"/>
      </w:rPr>
    </w:lvl>
    <w:lvl w:ilvl="1" w:tplc="C28875C6">
      <w:start w:val="1"/>
      <w:numFmt w:val="lowerLetter"/>
      <w:lvlText w:val="%2)"/>
      <w:lvlJc w:val="left"/>
      <w:pPr>
        <w:tabs>
          <w:tab w:val="num" w:pos="1080"/>
        </w:tabs>
        <w:ind w:left="1080" w:hanging="360"/>
      </w:pPr>
      <w:rPr>
        <w:strike w:val="0"/>
      </w:rPr>
    </w:lvl>
    <w:lvl w:ilvl="2" w:tplc="BB624DA2">
      <w:start w:val="1"/>
      <w:numFmt w:val="lowerRoman"/>
      <w:lvlText w:val="%3."/>
      <w:lvlJc w:val="right"/>
      <w:pPr>
        <w:tabs>
          <w:tab w:val="num" w:pos="1800"/>
        </w:tabs>
        <w:ind w:left="1800" w:hanging="180"/>
      </w:pPr>
    </w:lvl>
    <w:lvl w:ilvl="3" w:tplc="CB36640C">
      <w:start w:val="1"/>
      <w:numFmt w:val="decimal"/>
      <w:lvlText w:val="%4."/>
      <w:lvlJc w:val="left"/>
      <w:pPr>
        <w:tabs>
          <w:tab w:val="num" w:pos="2520"/>
        </w:tabs>
        <w:ind w:left="2520" w:hanging="360"/>
      </w:pPr>
    </w:lvl>
    <w:lvl w:ilvl="4" w:tplc="ABB852E8">
      <w:start w:val="1"/>
      <w:numFmt w:val="lowerLetter"/>
      <w:lvlText w:val="%5."/>
      <w:lvlJc w:val="left"/>
      <w:pPr>
        <w:tabs>
          <w:tab w:val="num" w:pos="3240"/>
        </w:tabs>
        <w:ind w:left="3240" w:hanging="360"/>
      </w:pPr>
    </w:lvl>
    <w:lvl w:ilvl="5" w:tplc="E496CA84">
      <w:start w:val="1"/>
      <w:numFmt w:val="lowerRoman"/>
      <w:lvlText w:val="%6."/>
      <w:lvlJc w:val="right"/>
      <w:pPr>
        <w:tabs>
          <w:tab w:val="num" w:pos="3960"/>
        </w:tabs>
        <w:ind w:left="3960" w:hanging="180"/>
      </w:pPr>
    </w:lvl>
    <w:lvl w:ilvl="6" w:tplc="BEF67520">
      <w:start w:val="1"/>
      <w:numFmt w:val="decimal"/>
      <w:lvlText w:val="%7."/>
      <w:lvlJc w:val="left"/>
      <w:pPr>
        <w:tabs>
          <w:tab w:val="num" w:pos="4680"/>
        </w:tabs>
        <w:ind w:left="4680" w:hanging="360"/>
      </w:pPr>
    </w:lvl>
    <w:lvl w:ilvl="7" w:tplc="B55884D2">
      <w:start w:val="1"/>
      <w:numFmt w:val="lowerLetter"/>
      <w:lvlText w:val="%8."/>
      <w:lvlJc w:val="left"/>
      <w:pPr>
        <w:tabs>
          <w:tab w:val="num" w:pos="5400"/>
        </w:tabs>
        <w:ind w:left="5400" w:hanging="360"/>
      </w:pPr>
    </w:lvl>
    <w:lvl w:ilvl="8" w:tplc="F16A2D1C">
      <w:start w:val="1"/>
      <w:numFmt w:val="lowerRoman"/>
      <w:lvlText w:val="%9."/>
      <w:lvlJc w:val="right"/>
      <w:pPr>
        <w:tabs>
          <w:tab w:val="num" w:pos="6120"/>
        </w:tabs>
        <w:ind w:left="6120" w:hanging="180"/>
      </w:pPr>
    </w:lvl>
  </w:abstractNum>
  <w:abstractNum w:abstractNumId="132">
    <w:nsid w:val="6A761216"/>
    <w:multiLevelType w:val="hybridMultilevel"/>
    <w:tmpl w:val="F76C9976"/>
    <w:lvl w:ilvl="0" w:tplc="380A0001">
      <w:start w:val="1"/>
      <w:numFmt w:val="bullet"/>
      <w:lvlText w:val=""/>
      <w:lvlJc w:val="left"/>
      <w:pPr>
        <w:ind w:left="833" w:hanging="360"/>
      </w:pPr>
      <w:rPr>
        <w:rFonts w:ascii="Symbol" w:hAnsi="Symbol" w:cs="Symbol" w:hint="default"/>
      </w:rPr>
    </w:lvl>
    <w:lvl w:ilvl="1" w:tplc="380A0003">
      <w:start w:val="1"/>
      <w:numFmt w:val="bullet"/>
      <w:lvlText w:val="o"/>
      <w:lvlJc w:val="left"/>
      <w:pPr>
        <w:ind w:left="1553" w:hanging="360"/>
      </w:pPr>
      <w:rPr>
        <w:rFonts w:ascii="Courier New" w:hAnsi="Courier New" w:cs="Courier New" w:hint="default"/>
      </w:rPr>
    </w:lvl>
    <w:lvl w:ilvl="2" w:tplc="380A0005">
      <w:start w:val="1"/>
      <w:numFmt w:val="bullet"/>
      <w:lvlText w:val=""/>
      <w:lvlJc w:val="left"/>
      <w:pPr>
        <w:ind w:left="2273" w:hanging="360"/>
      </w:pPr>
      <w:rPr>
        <w:rFonts w:ascii="Wingdings" w:hAnsi="Wingdings" w:cs="Wingdings" w:hint="default"/>
      </w:rPr>
    </w:lvl>
    <w:lvl w:ilvl="3" w:tplc="380A0001">
      <w:start w:val="1"/>
      <w:numFmt w:val="bullet"/>
      <w:lvlText w:val=""/>
      <w:lvlJc w:val="left"/>
      <w:pPr>
        <w:ind w:left="2993" w:hanging="360"/>
      </w:pPr>
      <w:rPr>
        <w:rFonts w:ascii="Symbol" w:hAnsi="Symbol" w:cs="Symbol" w:hint="default"/>
      </w:rPr>
    </w:lvl>
    <w:lvl w:ilvl="4" w:tplc="380A0003">
      <w:start w:val="1"/>
      <w:numFmt w:val="bullet"/>
      <w:lvlText w:val="o"/>
      <w:lvlJc w:val="left"/>
      <w:pPr>
        <w:ind w:left="3713" w:hanging="360"/>
      </w:pPr>
      <w:rPr>
        <w:rFonts w:ascii="Courier New" w:hAnsi="Courier New" w:cs="Courier New" w:hint="default"/>
      </w:rPr>
    </w:lvl>
    <w:lvl w:ilvl="5" w:tplc="380A0005">
      <w:start w:val="1"/>
      <w:numFmt w:val="bullet"/>
      <w:lvlText w:val=""/>
      <w:lvlJc w:val="left"/>
      <w:pPr>
        <w:ind w:left="4433" w:hanging="360"/>
      </w:pPr>
      <w:rPr>
        <w:rFonts w:ascii="Wingdings" w:hAnsi="Wingdings" w:cs="Wingdings" w:hint="default"/>
      </w:rPr>
    </w:lvl>
    <w:lvl w:ilvl="6" w:tplc="380A0001">
      <w:start w:val="1"/>
      <w:numFmt w:val="bullet"/>
      <w:lvlText w:val=""/>
      <w:lvlJc w:val="left"/>
      <w:pPr>
        <w:ind w:left="5153" w:hanging="360"/>
      </w:pPr>
      <w:rPr>
        <w:rFonts w:ascii="Symbol" w:hAnsi="Symbol" w:cs="Symbol" w:hint="default"/>
      </w:rPr>
    </w:lvl>
    <w:lvl w:ilvl="7" w:tplc="380A0003">
      <w:start w:val="1"/>
      <w:numFmt w:val="bullet"/>
      <w:lvlText w:val="o"/>
      <w:lvlJc w:val="left"/>
      <w:pPr>
        <w:ind w:left="5873" w:hanging="360"/>
      </w:pPr>
      <w:rPr>
        <w:rFonts w:ascii="Courier New" w:hAnsi="Courier New" w:cs="Courier New" w:hint="default"/>
      </w:rPr>
    </w:lvl>
    <w:lvl w:ilvl="8" w:tplc="380A0005">
      <w:start w:val="1"/>
      <w:numFmt w:val="bullet"/>
      <w:lvlText w:val=""/>
      <w:lvlJc w:val="left"/>
      <w:pPr>
        <w:ind w:left="6593" w:hanging="360"/>
      </w:pPr>
      <w:rPr>
        <w:rFonts w:ascii="Wingdings" w:hAnsi="Wingdings" w:cs="Wingdings" w:hint="default"/>
      </w:rPr>
    </w:lvl>
  </w:abstractNum>
  <w:abstractNum w:abstractNumId="133">
    <w:nsid w:val="6B4C1844"/>
    <w:multiLevelType w:val="hybridMultilevel"/>
    <w:tmpl w:val="CDD6047A"/>
    <w:lvl w:ilvl="0" w:tplc="92F89FA6">
      <w:start w:val="1"/>
      <w:numFmt w:val="bullet"/>
      <w:lvlText w:val=""/>
      <w:lvlJc w:val="left"/>
      <w:pPr>
        <w:ind w:left="1728" w:hanging="360"/>
      </w:pPr>
      <w:rPr>
        <w:rFonts w:ascii="Symbol" w:hAnsi="Symbol" w:hint="default"/>
        <w:lang w:val="es-ES"/>
      </w:rPr>
    </w:lvl>
    <w:lvl w:ilvl="1" w:tplc="0C0A0003" w:tentative="1">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92F89FA6">
      <w:start w:val="1"/>
      <w:numFmt w:val="bullet"/>
      <w:lvlText w:val=""/>
      <w:lvlJc w:val="left"/>
      <w:pPr>
        <w:ind w:left="3828" w:hanging="360"/>
      </w:pPr>
      <w:rPr>
        <w:rFonts w:ascii="Symbol" w:hAnsi="Symbol" w:hint="default"/>
        <w:lang w:val="es-ES"/>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134">
    <w:nsid w:val="6CDD3770"/>
    <w:multiLevelType w:val="singleLevel"/>
    <w:tmpl w:val="DFD6CB2A"/>
    <w:lvl w:ilvl="0">
      <w:start w:val="1"/>
      <w:numFmt w:val="lowerLetter"/>
      <w:lvlText w:val="%1)"/>
      <w:lvlJc w:val="left"/>
      <w:pPr>
        <w:tabs>
          <w:tab w:val="num" w:pos="705"/>
        </w:tabs>
        <w:ind w:left="705" w:hanging="705"/>
      </w:pPr>
      <w:rPr>
        <w:rFonts w:hint="default"/>
      </w:rPr>
    </w:lvl>
  </w:abstractNum>
  <w:abstractNum w:abstractNumId="135">
    <w:nsid w:val="6EC971B0"/>
    <w:multiLevelType w:val="hybridMultilevel"/>
    <w:tmpl w:val="60925DC6"/>
    <w:lvl w:ilvl="0" w:tplc="E308397A">
      <w:start w:val="42"/>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6">
    <w:nsid w:val="6F321359"/>
    <w:multiLevelType w:val="hybridMultilevel"/>
    <w:tmpl w:val="9628E528"/>
    <w:lvl w:ilvl="0" w:tplc="0C0A0017">
      <w:start w:val="1"/>
      <w:numFmt w:val="decimal"/>
      <w:pStyle w:val="EstiloListaconnmerosIzquierda022cmSangrafrancesa0"/>
      <w:lvlText w:val="%1."/>
      <w:lvlJc w:val="left"/>
      <w:pPr>
        <w:tabs>
          <w:tab w:val="num" w:pos="408"/>
        </w:tabs>
        <w:ind w:left="533" w:hanging="408"/>
      </w:pPr>
      <w:rPr>
        <w:rFonts w:ascii="Calibri" w:hAnsi="Calibri" w:cs="Calibri" w:hint="default"/>
        <w:b/>
        <w:bCs/>
        <w:i w:val="0"/>
        <w:iCs w:val="0"/>
        <w:color w:val="3366FF"/>
        <w:sz w:val="24"/>
        <w:szCs w:val="24"/>
      </w:rPr>
    </w:lvl>
    <w:lvl w:ilvl="1" w:tplc="517A06C8">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nsid w:val="6F45706B"/>
    <w:multiLevelType w:val="hybridMultilevel"/>
    <w:tmpl w:val="86BC6A5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8">
    <w:nsid w:val="6F4C06A1"/>
    <w:multiLevelType w:val="hybridMultilevel"/>
    <w:tmpl w:val="F300E862"/>
    <w:lvl w:ilvl="0" w:tplc="46AA7162">
      <w:numFmt w:val="bullet"/>
      <w:lvlText w:val="-"/>
      <w:lvlJc w:val="left"/>
      <w:pPr>
        <w:ind w:left="720" w:hanging="360"/>
      </w:pPr>
      <w:rPr>
        <w:rFonts w:ascii="Calibri" w:hAnsi="Calibri" w:cstheme="minorBidi" w:hint="default"/>
        <w:b/>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0983761"/>
    <w:multiLevelType w:val="multilevel"/>
    <w:tmpl w:val="EFBA39F6"/>
    <w:lvl w:ilvl="0">
      <w:start w:val="1"/>
      <w:numFmt w:val="decimal"/>
      <w:lvlText w:val="%1."/>
      <w:lvlJc w:val="left"/>
      <w:pPr>
        <w:ind w:left="501" w:hanging="360"/>
      </w:pPr>
      <w:rPr>
        <w:rFonts w:hint="default"/>
        <w:lang w:val="es-ES"/>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0C200AE"/>
    <w:multiLevelType w:val="multilevel"/>
    <w:tmpl w:val="EFBA39F6"/>
    <w:lvl w:ilvl="0">
      <w:start w:val="1"/>
      <w:numFmt w:val="decimal"/>
      <w:lvlText w:val="%1."/>
      <w:lvlJc w:val="left"/>
      <w:pPr>
        <w:ind w:left="501" w:hanging="360"/>
      </w:pPr>
      <w:rPr>
        <w:rFonts w:hint="default"/>
        <w:lang w:val="es-ES"/>
      </w:rPr>
    </w:lvl>
    <w:lvl w:ilvl="1">
      <w:start w:val="1"/>
      <w:numFmt w:val="decimal"/>
      <w:lvlText w:val="%1.%2."/>
      <w:lvlJc w:val="left"/>
      <w:pPr>
        <w:ind w:left="792" w:hanging="432"/>
      </w:pPr>
      <w:rPr>
        <w:rFonts w:hint="default"/>
      </w:rPr>
    </w:lvl>
    <w:lvl w:ilvl="2">
      <w:start w:val="1"/>
      <w:numFmt w:val="decimal"/>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nsid w:val="72434833"/>
    <w:multiLevelType w:val="hybridMultilevel"/>
    <w:tmpl w:val="38162514"/>
    <w:lvl w:ilvl="0" w:tplc="0C0A000F">
      <w:start w:val="1"/>
      <w:numFmt w:val="decimal"/>
      <w:lvlText w:val="%1."/>
      <w:lvlJc w:val="left"/>
      <w:pPr>
        <w:ind w:left="1164" w:hanging="360"/>
      </w:pPr>
    </w:lvl>
    <w:lvl w:ilvl="1" w:tplc="0C0A0019" w:tentative="1">
      <w:start w:val="1"/>
      <w:numFmt w:val="lowerLetter"/>
      <w:lvlText w:val="%2."/>
      <w:lvlJc w:val="left"/>
      <w:pPr>
        <w:ind w:left="1884" w:hanging="360"/>
      </w:pPr>
    </w:lvl>
    <w:lvl w:ilvl="2" w:tplc="0C0A001B" w:tentative="1">
      <w:start w:val="1"/>
      <w:numFmt w:val="lowerRoman"/>
      <w:lvlText w:val="%3."/>
      <w:lvlJc w:val="right"/>
      <w:pPr>
        <w:ind w:left="2604" w:hanging="180"/>
      </w:pPr>
    </w:lvl>
    <w:lvl w:ilvl="3" w:tplc="0C0A000F" w:tentative="1">
      <w:start w:val="1"/>
      <w:numFmt w:val="decimal"/>
      <w:lvlText w:val="%4."/>
      <w:lvlJc w:val="left"/>
      <w:pPr>
        <w:ind w:left="3324" w:hanging="360"/>
      </w:pPr>
    </w:lvl>
    <w:lvl w:ilvl="4" w:tplc="0C0A0019" w:tentative="1">
      <w:start w:val="1"/>
      <w:numFmt w:val="lowerLetter"/>
      <w:lvlText w:val="%5."/>
      <w:lvlJc w:val="left"/>
      <w:pPr>
        <w:ind w:left="4044" w:hanging="360"/>
      </w:pPr>
    </w:lvl>
    <w:lvl w:ilvl="5" w:tplc="0C0A001B" w:tentative="1">
      <w:start w:val="1"/>
      <w:numFmt w:val="lowerRoman"/>
      <w:lvlText w:val="%6."/>
      <w:lvlJc w:val="right"/>
      <w:pPr>
        <w:ind w:left="4764" w:hanging="180"/>
      </w:pPr>
    </w:lvl>
    <w:lvl w:ilvl="6" w:tplc="0C0A000F" w:tentative="1">
      <w:start w:val="1"/>
      <w:numFmt w:val="decimal"/>
      <w:lvlText w:val="%7."/>
      <w:lvlJc w:val="left"/>
      <w:pPr>
        <w:ind w:left="5484" w:hanging="360"/>
      </w:pPr>
    </w:lvl>
    <w:lvl w:ilvl="7" w:tplc="0C0A0019" w:tentative="1">
      <w:start w:val="1"/>
      <w:numFmt w:val="lowerLetter"/>
      <w:lvlText w:val="%8."/>
      <w:lvlJc w:val="left"/>
      <w:pPr>
        <w:ind w:left="6204" w:hanging="360"/>
      </w:pPr>
    </w:lvl>
    <w:lvl w:ilvl="8" w:tplc="0C0A001B" w:tentative="1">
      <w:start w:val="1"/>
      <w:numFmt w:val="lowerRoman"/>
      <w:lvlText w:val="%9."/>
      <w:lvlJc w:val="right"/>
      <w:pPr>
        <w:ind w:left="6924" w:hanging="180"/>
      </w:pPr>
    </w:lvl>
  </w:abstractNum>
  <w:abstractNum w:abstractNumId="142">
    <w:nsid w:val="72B31CF1"/>
    <w:multiLevelType w:val="hybridMultilevel"/>
    <w:tmpl w:val="214CE806"/>
    <w:lvl w:ilvl="0" w:tplc="0A2A34A2">
      <w:start w:val="4"/>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7323469C"/>
    <w:multiLevelType w:val="hybridMultilevel"/>
    <w:tmpl w:val="CA605ADE"/>
    <w:lvl w:ilvl="0" w:tplc="92F89FA6">
      <w:start w:val="1"/>
      <w:numFmt w:val="bullet"/>
      <w:lvlText w:val=""/>
      <w:lvlJc w:val="left"/>
      <w:pPr>
        <w:ind w:left="720" w:hanging="360"/>
      </w:pPr>
      <w:rPr>
        <w:rFonts w:ascii="Symbol" w:hAnsi="Symbol" w:hint="default"/>
        <w:lang w:val="es-E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4">
    <w:nsid w:val="761A16CD"/>
    <w:multiLevelType w:val="hybridMultilevel"/>
    <w:tmpl w:val="D4F69D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762B1429"/>
    <w:multiLevelType w:val="hybridMultilevel"/>
    <w:tmpl w:val="41D01C7A"/>
    <w:lvl w:ilvl="0" w:tplc="0C0A0017">
      <w:start w:val="1"/>
      <w:numFmt w:val="decimal"/>
      <w:lvlText w:val="%1."/>
      <w:lvlJc w:val="left"/>
      <w:pPr>
        <w:ind w:left="502" w:hanging="360"/>
      </w:pPr>
    </w:lvl>
    <w:lvl w:ilvl="1" w:tplc="0C0A0019">
      <w:start w:val="1"/>
      <w:numFmt w:val="lowerLetter"/>
      <w:lvlText w:val="%2."/>
      <w:lvlJc w:val="left"/>
      <w:pPr>
        <w:ind w:left="1222" w:hanging="360"/>
      </w:pPr>
    </w:lvl>
    <w:lvl w:ilvl="2" w:tplc="0C0A001B">
      <w:start w:val="1"/>
      <w:numFmt w:val="lowerRoman"/>
      <w:lvlText w:val="%3."/>
      <w:lvlJc w:val="right"/>
      <w:pPr>
        <w:ind w:left="1942" w:hanging="180"/>
      </w:pPr>
    </w:lvl>
    <w:lvl w:ilvl="3" w:tplc="0C0A000F">
      <w:start w:val="1"/>
      <w:numFmt w:val="decimal"/>
      <w:lvlText w:val="%4."/>
      <w:lvlJc w:val="left"/>
      <w:pPr>
        <w:ind w:left="2662" w:hanging="360"/>
      </w:pPr>
    </w:lvl>
    <w:lvl w:ilvl="4" w:tplc="0C0A0019">
      <w:start w:val="1"/>
      <w:numFmt w:val="lowerLetter"/>
      <w:lvlText w:val="%5."/>
      <w:lvlJc w:val="left"/>
      <w:pPr>
        <w:ind w:left="3382" w:hanging="360"/>
      </w:pPr>
    </w:lvl>
    <w:lvl w:ilvl="5" w:tplc="0C0A001B">
      <w:start w:val="1"/>
      <w:numFmt w:val="lowerRoman"/>
      <w:lvlText w:val="%6."/>
      <w:lvlJc w:val="right"/>
      <w:pPr>
        <w:ind w:left="4102" w:hanging="180"/>
      </w:pPr>
    </w:lvl>
    <w:lvl w:ilvl="6" w:tplc="0C0A000F">
      <w:start w:val="1"/>
      <w:numFmt w:val="decimal"/>
      <w:lvlText w:val="%7."/>
      <w:lvlJc w:val="left"/>
      <w:pPr>
        <w:ind w:left="4822" w:hanging="360"/>
      </w:pPr>
    </w:lvl>
    <w:lvl w:ilvl="7" w:tplc="0C0A0019">
      <w:start w:val="1"/>
      <w:numFmt w:val="lowerLetter"/>
      <w:lvlText w:val="%8."/>
      <w:lvlJc w:val="left"/>
      <w:pPr>
        <w:ind w:left="5542" w:hanging="360"/>
      </w:pPr>
    </w:lvl>
    <w:lvl w:ilvl="8" w:tplc="0C0A001B">
      <w:start w:val="1"/>
      <w:numFmt w:val="lowerRoman"/>
      <w:lvlText w:val="%9."/>
      <w:lvlJc w:val="right"/>
      <w:pPr>
        <w:ind w:left="6262" w:hanging="180"/>
      </w:pPr>
    </w:lvl>
  </w:abstractNum>
  <w:abstractNum w:abstractNumId="146">
    <w:nsid w:val="76EF7AE0"/>
    <w:multiLevelType w:val="hybridMultilevel"/>
    <w:tmpl w:val="711497C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7">
    <w:nsid w:val="77456D19"/>
    <w:multiLevelType w:val="hybridMultilevel"/>
    <w:tmpl w:val="58CE39BC"/>
    <w:lvl w:ilvl="0" w:tplc="0C0A0017">
      <w:start w:val="1"/>
      <w:numFmt w:val="lowerLetter"/>
      <w:lvlText w:val="%1)"/>
      <w:lvlJc w:val="left"/>
      <w:pPr>
        <w:ind w:left="2847" w:hanging="360"/>
      </w:pPr>
    </w:lvl>
    <w:lvl w:ilvl="1" w:tplc="0C0A0019" w:tentative="1">
      <w:start w:val="1"/>
      <w:numFmt w:val="lowerLetter"/>
      <w:lvlText w:val="%2."/>
      <w:lvlJc w:val="left"/>
      <w:pPr>
        <w:ind w:left="3567" w:hanging="360"/>
      </w:pPr>
    </w:lvl>
    <w:lvl w:ilvl="2" w:tplc="0C0A001B" w:tentative="1">
      <w:start w:val="1"/>
      <w:numFmt w:val="lowerRoman"/>
      <w:lvlText w:val="%3."/>
      <w:lvlJc w:val="right"/>
      <w:pPr>
        <w:ind w:left="4287" w:hanging="180"/>
      </w:pPr>
    </w:lvl>
    <w:lvl w:ilvl="3" w:tplc="0C0A000F" w:tentative="1">
      <w:start w:val="1"/>
      <w:numFmt w:val="decimal"/>
      <w:lvlText w:val="%4."/>
      <w:lvlJc w:val="left"/>
      <w:pPr>
        <w:ind w:left="5007" w:hanging="360"/>
      </w:pPr>
    </w:lvl>
    <w:lvl w:ilvl="4" w:tplc="0C0A0019" w:tentative="1">
      <w:start w:val="1"/>
      <w:numFmt w:val="lowerLetter"/>
      <w:lvlText w:val="%5."/>
      <w:lvlJc w:val="left"/>
      <w:pPr>
        <w:ind w:left="5727" w:hanging="360"/>
      </w:pPr>
    </w:lvl>
    <w:lvl w:ilvl="5" w:tplc="0C0A001B" w:tentative="1">
      <w:start w:val="1"/>
      <w:numFmt w:val="lowerRoman"/>
      <w:lvlText w:val="%6."/>
      <w:lvlJc w:val="right"/>
      <w:pPr>
        <w:ind w:left="6447" w:hanging="180"/>
      </w:pPr>
    </w:lvl>
    <w:lvl w:ilvl="6" w:tplc="0C0A000F" w:tentative="1">
      <w:start w:val="1"/>
      <w:numFmt w:val="decimal"/>
      <w:lvlText w:val="%7."/>
      <w:lvlJc w:val="left"/>
      <w:pPr>
        <w:ind w:left="7167" w:hanging="360"/>
      </w:pPr>
    </w:lvl>
    <w:lvl w:ilvl="7" w:tplc="0C0A0019" w:tentative="1">
      <w:start w:val="1"/>
      <w:numFmt w:val="lowerLetter"/>
      <w:lvlText w:val="%8."/>
      <w:lvlJc w:val="left"/>
      <w:pPr>
        <w:ind w:left="7887" w:hanging="360"/>
      </w:pPr>
    </w:lvl>
    <w:lvl w:ilvl="8" w:tplc="0C0A001B" w:tentative="1">
      <w:start w:val="1"/>
      <w:numFmt w:val="lowerRoman"/>
      <w:lvlText w:val="%9."/>
      <w:lvlJc w:val="right"/>
      <w:pPr>
        <w:ind w:left="8607" w:hanging="180"/>
      </w:pPr>
    </w:lvl>
  </w:abstractNum>
  <w:abstractNum w:abstractNumId="148">
    <w:nsid w:val="77EF5CA9"/>
    <w:multiLevelType w:val="hybridMultilevel"/>
    <w:tmpl w:val="BD3E6386"/>
    <w:lvl w:ilvl="0" w:tplc="0C0A001B">
      <w:start w:val="1"/>
      <w:numFmt w:val="lowerRoman"/>
      <w:lvlText w:val="%1."/>
      <w:lvlJc w:val="right"/>
      <w:pPr>
        <w:ind w:left="720" w:hanging="360"/>
      </w:pPr>
      <w:rPr>
        <w:rFonts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9">
    <w:nsid w:val="7A5E41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7AC0725A"/>
    <w:multiLevelType w:val="hybridMultilevel"/>
    <w:tmpl w:val="37A2A172"/>
    <w:lvl w:ilvl="0" w:tplc="380A0011">
      <w:start w:val="1"/>
      <w:numFmt w:val="decimal"/>
      <w:lvlText w:val="%1)"/>
      <w:lvlJc w:val="left"/>
      <w:pPr>
        <w:ind w:left="360" w:hanging="360"/>
      </w:pPr>
    </w:lvl>
    <w:lvl w:ilvl="1" w:tplc="12A0C4B4">
      <w:start w:val="1"/>
      <w:numFmt w:val="lowerLetter"/>
      <w:lvlText w:val="%2."/>
      <w:lvlJc w:val="left"/>
      <w:pPr>
        <w:ind w:left="1298" w:hanging="360"/>
      </w:pPr>
    </w:lvl>
    <w:lvl w:ilvl="2" w:tplc="E29AC934">
      <w:start w:val="1"/>
      <w:numFmt w:val="lowerRoman"/>
      <w:lvlText w:val="%3."/>
      <w:lvlJc w:val="right"/>
      <w:pPr>
        <w:ind w:left="2018" w:hanging="180"/>
      </w:pPr>
    </w:lvl>
    <w:lvl w:ilvl="3" w:tplc="84100042">
      <w:start w:val="1"/>
      <w:numFmt w:val="decimal"/>
      <w:lvlText w:val="%4."/>
      <w:lvlJc w:val="left"/>
      <w:pPr>
        <w:ind w:left="2738" w:hanging="360"/>
      </w:pPr>
    </w:lvl>
    <w:lvl w:ilvl="4" w:tplc="4FB68CB4">
      <w:start w:val="1"/>
      <w:numFmt w:val="lowerLetter"/>
      <w:lvlText w:val="%5."/>
      <w:lvlJc w:val="left"/>
      <w:pPr>
        <w:ind w:left="3458" w:hanging="360"/>
      </w:pPr>
    </w:lvl>
    <w:lvl w:ilvl="5" w:tplc="6F601530">
      <w:start w:val="1"/>
      <w:numFmt w:val="lowerRoman"/>
      <w:lvlText w:val="%6."/>
      <w:lvlJc w:val="right"/>
      <w:pPr>
        <w:ind w:left="4178" w:hanging="180"/>
      </w:pPr>
    </w:lvl>
    <w:lvl w:ilvl="6" w:tplc="224ACFE4">
      <w:start w:val="1"/>
      <w:numFmt w:val="decimal"/>
      <w:lvlText w:val="%7."/>
      <w:lvlJc w:val="left"/>
      <w:pPr>
        <w:ind w:left="4898" w:hanging="360"/>
      </w:pPr>
    </w:lvl>
    <w:lvl w:ilvl="7" w:tplc="E566173C">
      <w:start w:val="1"/>
      <w:numFmt w:val="lowerLetter"/>
      <w:lvlText w:val="%8."/>
      <w:lvlJc w:val="left"/>
      <w:pPr>
        <w:ind w:left="5618" w:hanging="360"/>
      </w:pPr>
    </w:lvl>
    <w:lvl w:ilvl="8" w:tplc="BE100CF2">
      <w:start w:val="1"/>
      <w:numFmt w:val="lowerRoman"/>
      <w:lvlText w:val="%9."/>
      <w:lvlJc w:val="right"/>
      <w:pPr>
        <w:ind w:left="6338" w:hanging="180"/>
      </w:pPr>
    </w:lvl>
  </w:abstractNum>
  <w:abstractNum w:abstractNumId="151">
    <w:nsid w:val="7BAD70F7"/>
    <w:multiLevelType w:val="hybridMultilevel"/>
    <w:tmpl w:val="88640244"/>
    <w:lvl w:ilvl="0" w:tplc="380A0001">
      <w:start w:val="1"/>
      <w:numFmt w:val="bullet"/>
      <w:lvlText w:val=""/>
      <w:lvlJc w:val="left"/>
      <w:pPr>
        <w:ind w:left="720" w:hanging="360"/>
      </w:pPr>
      <w:rPr>
        <w:rFonts w:ascii="Symbol" w:hAnsi="Symbol" w:hint="default"/>
        <w:b/>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2">
    <w:nsid w:val="7C354C68"/>
    <w:multiLevelType w:val="hybridMultilevel"/>
    <w:tmpl w:val="126028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3">
      <w:start w:val="1"/>
      <w:numFmt w:val="lowerLetter"/>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3">
    <w:nsid w:val="7CDE33DC"/>
    <w:multiLevelType w:val="hybridMultilevel"/>
    <w:tmpl w:val="9ECC8646"/>
    <w:lvl w:ilvl="0" w:tplc="37F2B64C">
      <w:start w:val="1"/>
      <w:numFmt w:val="decimal"/>
      <w:lvlText w:val="%1."/>
      <w:lvlJc w:val="left"/>
      <w:pPr>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4">
    <w:nsid w:val="7D4213C1"/>
    <w:multiLevelType w:val="multilevel"/>
    <w:tmpl w:val="182CB756"/>
    <w:lvl w:ilvl="0">
      <w:start w:val="1"/>
      <w:numFmt w:val="decimal"/>
      <w:pStyle w:val="1"/>
      <w:lvlText w:val="%1"/>
      <w:lvlJc w:val="left"/>
      <w:pPr>
        <w:ind w:left="432" w:hanging="432"/>
      </w:pPr>
      <w:rPr>
        <w:rFonts w:hint="default"/>
      </w:rPr>
    </w:lvl>
    <w:lvl w:ilvl="1">
      <w:start w:val="1"/>
      <w:numFmt w:val="decimal"/>
      <w:pStyle w:val="2"/>
      <w:lvlText w:val="%1.%2"/>
      <w:lvlJc w:val="left"/>
      <w:pPr>
        <w:ind w:left="1002"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5">
    <w:nsid w:val="7DE91A29"/>
    <w:multiLevelType w:val="multilevel"/>
    <w:tmpl w:val="DB9A42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nsid w:val="7EE03479"/>
    <w:multiLevelType w:val="hybridMultilevel"/>
    <w:tmpl w:val="E1B21810"/>
    <w:lvl w:ilvl="0" w:tplc="0A2A34A2">
      <w:start w:val="4"/>
      <w:numFmt w:val="bullet"/>
      <w:lvlText w:val="-"/>
      <w:lvlJc w:val="left"/>
      <w:pPr>
        <w:ind w:left="720" w:hanging="360"/>
      </w:pPr>
      <w:rPr>
        <w:rFonts w:ascii="Calibri" w:eastAsiaTheme="minorEastAsia" w:hAnsi="Calibri" w:cstheme="minorBidi"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7">
    <w:nsid w:val="7F7A516C"/>
    <w:multiLevelType w:val="hybridMultilevel"/>
    <w:tmpl w:val="DFBA70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96"/>
  </w:num>
  <w:num w:numId="5">
    <w:abstractNumId w:val="66"/>
  </w:num>
  <w:num w:numId="6">
    <w:abstractNumId w:val="88"/>
  </w:num>
  <w:num w:numId="7">
    <w:abstractNumId w:val="150"/>
  </w:num>
  <w:num w:numId="8">
    <w:abstractNumId w:val="127"/>
  </w:num>
  <w:num w:numId="9">
    <w:abstractNumId w:val="89"/>
  </w:num>
  <w:num w:numId="10">
    <w:abstractNumId w:val="11"/>
  </w:num>
  <w:num w:numId="11">
    <w:abstractNumId w:val="70"/>
  </w:num>
  <w:num w:numId="12">
    <w:abstractNumId w:val="93"/>
  </w:num>
  <w:num w:numId="13">
    <w:abstractNumId w:val="5"/>
  </w:num>
  <w:num w:numId="14">
    <w:abstractNumId w:val="35"/>
  </w:num>
  <w:num w:numId="15">
    <w:abstractNumId w:val="100"/>
  </w:num>
  <w:num w:numId="16">
    <w:abstractNumId w:val="69"/>
  </w:num>
  <w:num w:numId="17">
    <w:abstractNumId w:val="145"/>
  </w:num>
  <w:num w:numId="18">
    <w:abstractNumId w:val="33"/>
  </w:num>
  <w:num w:numId="19">
    <w:abstractNumId w:val="122"/>
  </w:num>
  <w:num w:numId="20">
    <w:abstractNumId w:val="101"/>
  </w:num>
  <w:num w:numId="21">
    <w:abstractNumId w:val="45"/>
  </w:num>
  <w:num w:numId="22">
    <w:abstractNumId w:val="6"/>
  </w:num>
  <w:num w:numId="23">
    <w:abstractNumId w:val="65"/>
  </w:num>
  <w:num w:numId="24">
    <w:abstractNumId w:val="75"/>
  </w:num>
  <w:num w:numId="25">
    <w:abstractNumId w:val="87"/>
  </w:num>
  <w:num w:numId="26">
    <w:abstractNumId w:val="92"/>
  </w:num>
  <w:num w:numId="27">
    <w:abstractNumId w:val="21"/>
  </w:num>
  <w:num w:numId="28">
    <w:abstractNumId w:val="82"/>
  </w:num>
  <w:num w:numId="29">
    <w:abstractNumId w:val="4"/>
  </w:num>
  <w:num w:numId="30">
    <w:abstractNumId w:val="24"/>
  </w:num>
  <w:num w:numId="31">
    <w:abstractNumId w:val="62"/>
  </w:num>
  <w:num w:numId="32">
    <w:abstractNumId w:val="1"/>
  </w:num>
  <w:num w:numId="33">
    <w:abstractNumId w:val="48"/>
  </w:num>
  <w:num w:numId="34">
    <w:abstractNumId w:val="16"/>
  </w:num>
  <w:num w:numId="35">
    <w:abstractNumId w:val="128"/>
  </w:num>
  <w:num w:numId="36">
    <w:abstractNumId w:val="105"/>
  </w:num>
  <w:num w:numId="37">
    <w:abstractNumId w:val="154"/>
  </w:num>
  <w:num w:numId="38">
    <w:abstractNumId w:val="110"/>
  </w:num>
  <w:num w:numId="39">
    <w:abstractNumId w:val="136"/>
  </w:num>
  <w:num w:numId="40">
    <w:abstractNumId w:val="19"/>
  </w:num>
  <w:num w:numId="41">
    <w:abstractNumId w:val="46"/>
  </w:num>
  <w:num w:numId="42">
    <w:abstractNumId w:val="103"/>
  </w:num>
  <w:num w:numId="43">
    <w:abstractNumId w:val="64"/>
  </w:num>
  <w:num w:numId="44">
    <w:abstractNumId w:val="25"/>
  </w:num>
  <w:num w:numId="45">
    <w:abstractNumId w:val="112"/>
  </w:num>
  <w:num w:numId="46">
    <w:abstractNumId w:val="79"/>
  </w:num>
  <w:num w:numId="47">
    <w:abstractNumId w:val="13"/>
  </w:num>
  <w:num w:numId="48">
    <w:abstractNumId w:val="98"/>
  </w:num>
  <w:num w:numId="49">
    <w:abstractNumId w:val="14"/>
  </w:num>
  <w:num w:numId="50">
    <w:abstractNumId w:val="134"/>
  </w:num>
  <w:num w:numId="51">
    <w:abstractNumId w:val="78"/>
  </w:num>
  <w:num w:numId="52">
    <w:abstractNumId w:val="97"/>
  </w:num>
  <w:num w:numId="53">
    <w:abstractNumId w:val="59"/>
  </w:num>
  <w:num w:numId="54">
    <w:abstractNumId w:val="53"/>
  </w:num>
  <w:num w:numId="55">
    <w:abstractNumId w:val="85"/>
  </w:num>
  <w:num w:numId="56">
    <w:abstractNumId w:val="29"/>
  </w:num>
  <w:num w:numId="57">
    <w:abstractNumId w:val="131"/>
  </w:num>
  <w:num w:numId="58">
    <w:abstractNumId w:val="135"/>
  </w:num>
  <w:num w:numId="59">
    <w:abstractNumId w:val="23"/>
  </w:num>
  <w:num w:numId="60">
    <w:abstractNumId w:val="40"/>
  </w:num>
  <w:num w:numId="61">
    <w:abstractNumId w:val="22"/>
  </w:num>
  <w:num w:numId="62">
    <w:abstractNumId w:val="125"/>
  </w:num>
  <w:num w:numId="63">
    <w:abstractNumId w:val="132"/>
  </w:num>
  <w:num w:numId="64">
    <w:abstractNumId w:val="106"/>
  </w:num>
  <w:num w:numId="65">
    <w:abstractNumId w:val="111"/>
  </w:num>
  <w:num w:numId="66">
    <w:abstractNumId w:val="44"/>
  </w:num>
  <w:num w:numId="67">
    <w:abstractNumId w:val="116"/>
  </w:num>
  <w:num w:numId="68">
    <w:abstractNumId w:val="118"/>
  </w:num>
  <w:num w:numId="69">
    <w:abstractNumId w:val="124"/>
  </w:num>
  <w:num w:numId="70">
    <w:abstractNumId w:val="152"/>
  </w:num>
  <w:num w:numId="71">
    <w:abstractNumId w:val="27"/>
  </w:num>
  <w:num w:numId="72">
    <w:abstractNumId w:val="153"/>
  </w:num>
  <w:num w:numId="73">
    <w:abstractNumId w:val="137"/>
  </w:num>
  <w:num w:numId="74">
    <w:abstractNumId w:val="18"/>
  </w:num>
  <w:num w:numId="75">
    <w:abstractNumId w:val="114"/>
  </w:num>
  <w:num w:numId="76">
    <w:abstractNumId w:val="37"/>
  </w:num>
  <w:num w:numId="77">
    <w:abstractNumId w:val="61"/>
  </w:num>
  <w:num w:numId="78">
    <w:abstractNumId w:val="129"/>
  </w:num>
  <w:num w:numId="79">
    <w:abstractNumId w:val="121"/>
  </w:num>
  <w:num w:numId="80">
    <w:abstractNumId w:val="76"/>
  </w:num>
  <w:num w:numId="81">
    <w:abstractNumId w:val="51"/>
  </w:num>
  <w:num w:numId="82">
    <w:abstractNumId w:val="17"/>
  </w:num>
  <w:num w:numId="83">
    <w:abstractNumId w:val="32"/>
  </w:num>
  <w:num w:numId="84">
    <w:abstractNumId w:val="20"/>
  </w:num>
  <w:num w:numId="85">
    <w:abstractNumId w:val="31"/>
  </w:num>
  <w:num w:numId="86">
    <w:abstractNumId w:val="60"/>
  </w:num>
  <w:num w:numId="87">
    <w:abstractNumId w:val="9"/>
  </w:num>
  <w:num w:numId="88">
    <w:abstractNumId w:val="28"/>
  </w:num>
  <w:num w:numId="89">
    <w:abstractNumId w:val="120"/>
  </w:num>
  <w:num w:numId="90">
    <w:abstractNumId w:val="139"/>
  </w:num>
  <w:num w:numId="91">
    <w:abstractNumId w:val="148"/>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num>
  <w:num w:numId="95">
    <w:abstractNumId w:val="54"/>
  </w:num>
  <w:num w:numId="96">
    <w:abstractNumId w:val="39"/>
  </w:num>
  <w:num w:numId="97">
    <w:abstractNumId w:val="47"/>
  </w:num>
  <w:num w:numId="98">
    <w:abstractNumId w:val="130"/>
  </w:num>
  <w:num w:numId="99">
    <w:abstractNumId w:val="108"/>
  </w:num>
  <w:num w:numId="10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3"/>
  </w:num>
  <w:num w:numId="10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5"/>
  </w:num>
  <w:num w:numId="104">
    <w:abstractNumId w:val="12"/>
  </w:num>
  <w:num w:numId="105">
    <w:abstractNumId w:val="84"/>
  </w:num>
  <w:num w:numId="106">
    <w:abstractNumId w:val="115"/>
  </w:num>
  <w:num w:numId="1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72"/>
  </w:num>
  <w:num w:numId="110">
    <w:abstractNumId w:val="68"/>
  </w:num>
  <w:num w:numId="111">
    <w:abstractNumId w:val="157"/>
  </w:num>
  <w:num w:numId="112">
    <w:abstractNumId w:val="55"/>
  </w:num>
  <w:num w:numId="113">
    <w:abstractNumId w:val="77"/>
  </w:num>
  <w:num w:numId="114">
    <w:abstractNumId w:val="42"/>
  </w:num>
  <w:num w:numId="115">
    <w:abstractNumId w:val="104"/>
  </w:num>
  <w:num w:numId="116">
    <w:abstractNumId w:val="26"/>
  </w:num>
  <w:num w:numId="117">
    <w:abstractNumId w:val="15"/>
  </w:num>
  <w:num w:numId="118">
    <w:abstractNumId w:val="30"/>
  </w:num>
  <w:num w:numId="119">
    <w:abstractNumId w:val="67"/>
  </w:num>
  <w:num w:numId="120">
    <w:abstractNumId w:val="36"/>
  </w:num>
  <w:num w:numId="121">
    <w:abstractNumId w:val="119"/>
  </w:num>
  <w:num w:numId="122">
    <w:abstractNumId w:val="151"/>
  </w:num>
  <w:num w:numId="123">
    <w:abstractNumId w:val="56"/>
  </w:num>
  <w:num w:numId="124">
    <w:abstractNumId w:val="83"/>
  </w:num>
  <w:num w:numId="125">
    <w:abstractNumId w:val="81"/>
  </w:num>
  <w:num w:numId="126">
    <w:abstractNumId w:val="143"/>
  </w:num>
  <w:num w:numId="127">
    <w:abstractNumId w:val="147"/>
  </w:num>
  <w:num w:numId="128">
    <w:abstractNumId w:val="52"/>
  </w:num>
  <w:num w:numId="129">
    <w:abstractNumId w:val="149"/>
  </w:num>
  <w:num w:numId="130">
    <w:abstractNumId w:val="34"/>
  </w:num>
  <w:num w:numId="131">
    <w:abstractNumId w:val="8"/>
  </w:num>
  <w:num w:numId="132">
    <w:abstractNumId w:val="117"/>
  </w:num>
  <w:num w:numId="133">
    <w:abstractNumId w:val="99"/>
  </w:num>
  <w:num w:numId="134">
    <w:abstractNumId w:val="107"/>
  </w:num>
  <w:num w:numId="135">
    <w:abstractNumId w:val="74"/>
  </w:num>
  <w:num w:numId="136">
    <w:abstractNumId w:val="146"/>
  </w:num>
  <w:num w:numId="137">
    <w:abstractNumId w:val="50"/>
  </w:num>
  <w:num w:numId="138">
    <w:abstractNumId w:val="7"/>
  </w:num>
  <w:num w:numId="139">
    <w:abstractNumId w:val="63"/>
  </w:num>
  <w:num w:numId="140">
    <w:abstractNumId w:val="90"/>
  </w:num>
  <w:num w:numId="141">
    <w:abstractNumId w:val="91"/>
  </w:num>
  <w:num w:numId="142">
    <w:abstractNumId w:val="126"/>
  </w:num>
  <w:num w:numId="143">
    <w:abstractNumId w:val="71"/>
  </w:num>
  <w:num w:numId="144">
    <w:abstractNumId w:val="133"/>
  </w:num>
  <w:num w:numId="145">
    <w:abstractNumId w:val="38"/>
  </w:num>
  <w:num w:numId="146">
    <w:abstractNumId w:val="144"/>
  </w:num>
  <w:num w:numId="147">
    <w:abstractNumId w:val="41"/>
  </w:num>
  <w:num w:numId="148">
    <w:abstractNumId w:val="49"/>
  </w:num>
  <w:num w:numId="149">
    <w:abstractNumId w:val="102"/>
  </w:num>
  <w:num w:numId="150">
    <w:abstractNumId w:val="109"/>
  </w:num>
  <w:num w:numId="151">
    <w:abstractNumId w:val="56"/>
  </w:num>
  <w:num w:numId="1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7"/>
  </w:num>
  <w:num w:numId="154">
    <w:abstractNumId w:val="143"/>
  </w:num>
  <w:num w:numId="1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0"/>
  </w:num>
  <w:num w:numId="157">
    <w:abstractNumId w:val="57"/>
  </w:num>
  <w:num w:numId="158">
    <w:abstractNumId w:val="142"/>
  </w:num>
  <w:num w:numId="159">
    <w:abstractNumId w:val="138"/>
  </w:num>
  <w:num w:numId="160">
    <w:abstractNumId w:val="140"/>
  </w:num>
  <w:num w:numId="161">
    <w:abstractNumId w:val="156"/>
  </w:num>
  <w:num w:numId="162">
    <w:abstractNumId w:val="113"/>
  </w:num>
  <w:num w:numId="163">
    <w:abstractNumId w:val="10"/>
  </w:num>
  <w:num w:numId="164">
    <w:abstractNumId w:val="58"/>
  </w:num>
  <w:num w:numId="165">
    <w:abstractNumId w:val="141"/>
  </w:num>
  <w:num w:numId="166">
    <w:abstractNumId w:val="55"/>
  </w:num>
  <w:num w:numId="167">
    <w:abstractNumId w:val="55"/>
  </w:num>
  <w:num w:numId="168">
    <w:abstractNumId w:val="55"/>
  </w:num>
  <w:num w:numId="169">
    <w:abstractNumId w:val="55"/>
  </w:num>
  <w:num w:numId="170">
    <w:abstractNumId w:val="9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embedSystemFonts/>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s-UY"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fr-BE" w:vendorID="64" w:dllVersion="131078" w:nlCheck="1" w:checkStyle="1"/>
  <w:defaultTabStop w:val="57"/>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C1"/>
    <w:rsid w:val="00000DC5"/>
    <w:rsid w:val="00000DF4"/>
    <w:rsid w:val="00002A67"/>
    <w:rsid w:val="00003007"/>
    <w:rsid w:val="000039BF"/>
    <w:rsid w:val="00003AAD"/>
    <w:rsid w:val="00003F46"/>
    <w:rsid w:val="00004A25"/>
    <w:rsid w:val="00004D2D"/>
    <w:rsid w:val="0000506C"/>
    <w:rsid w:val="0000549D"/>
    <w:rsid w:val="00005967"/>
    <w:rsid w:val="00005A1E"/>
    <w:rsid w:val="00006880"/>
    <w:rsid w:val="00006F18"/>
    <w:rsid w:val="00006F7E"/>
    <w:rsid w:val="00006FCB"/>
    <w:rsid w:val="0000747E"/>
    <w:rsid w:val="000078C6"/>
    <w:rsid w:val="00007BAD"/>
    <w:rsid w:val="00010399"/>
    <w:rsid w:val="00010B14"/>
    <w:rsid w:val="00011622"/>
    <w:rsid w:val="0001163B"/>
    <w:rsid w:val="00011DDC"/>
    <w:rsid w:val="0001256B"/>
    <w:rsid w:val="0001272D"/>
    <w:rsid w:val="00012C12"/>
    <w:rsid w:val="00012F7D"/>
    <w:rsid w:val="00013024"/>
    <w:rsid w:val="00013469"/>
    <w:rsid w:val="00013A7F"/>
    <w:rsid w:val="00013C89"/>
    <w:rsid w:val="00014873"/>
    <w:rsid w:val="00014AC9"/>
    <w:rsid w:val="00014F26"/>
    <w:rsid w:val="000154DD"/>
    <w:rsid w:val="00015646"/>
    <w:rsid w:val="000156B0"/>
    <w:rsid w:val="00015976"/>
    <w:rsid w:val="00016797"/>
    <w:rsid w:val="00016806"/>
    <w:rsid w:val="00020211"/>
    <w:rsid w:val="00021FF6"/>
    <w:rsid w:val="00022C0A"/>
    <w:rsid w:val="00023091"/>
    <w:rsid w:val="000234EF"/>
    <w:rsid w:val="00023BE5"/>
    <w:rsid w:val="00023D3E"/>
    <w:rsid w:val="00024646"/>
    <w:rsid w:val="00024B56"/>
    <w:rsid w:val="0002576C"/>
    <w:rsid w:val="000257F9"/>
    <w:rsid w:val="0002625E"/>
    <w:rsid w:val="00027616"/>
    <w:rsid w:val="000306A4"/>
    <w:rsid w:val="000314E6"/>
    <w:rsid w:val="0003251D"/>
    <w:rsid w:val="00032A9D"/>
    <w:rsid w:val="00032D64"/>
    <w:rsid w:val="00032EE9"/>
    <w:rsid w:val="0003445F"/>
    <w:rsid w:val="0003485B"/>
    <w:rsid w:val="000348A8"/>
    <w:rsid w:val="000353CC"/>
    <w:rsid w:val="00035698"/>
    <w:rsid w:val="0003650B"/>
    <w:rsid w:val="00036887"/>
    <w:rsid w:val="000368E2"/>
    <w:rsid w:val="000369F8"/>
    <w:rsid w:val="00037BED"/>
    <w:rsid w:val="00037FF3"/>
    <w:rsid w:val="0004022C"/>
    <w:rsid w:val="000402FA"/>
    <w:rsid w:val="00040B45"/>
    <w:rsid w:val="000412B8"/>
    <w:rsid w:val="00041591"/>
    <w:rsid w:val="00041865"/>
    <w:rsid w:val="00041DCC"/>
    <w:rsid w:val="00042479"/>
    <w:rsid w:val="000426DE"/>
    <w:rsid w:val="000428CE"/>
    <w:rsid w:val="00043186"/>
    <w:rsid w:val="000449AB"/>
    <w:rsid w:val="000449C6"/>
    <w:rsid w:val="00045948"/>
    <w:rsid w:val="00046093"/>
    <w:rsid w:val="0004630D"/>
    <w:rsid w:val="000464F3"/>
    <w:rsid w:val="00046635"/>
    <w:rsid w:val="00050B49"/>
    <w:rsid w:val="000518BF"/>
    <w:rsid w:val="00051927"/>
    <w:rsid w:val="00052F39"/>
    <w:rsid w:val="00053808"/>
    <w:rsid w:val="00053943"/>
    <w:rsid w:val="00053AAC"/>
    <w:rsid w:val="00053E31"/>
    <w:rsid w:val="000544DC"/>
    <w:rsid w:val="0005499F"/>
    <w:rsid w:val="00054BEA"/>
    <w:rsid w:val="00056386"/>
    <w:rsid w:val="000566CC"/>
    <w:rsid w:val="000572CE"/>
    <w:rsid w:val="00060763"/>
    <w:rsid w:val="00060876"/>
    <w:rsid w:val="00060C9B"/>
    <w:rsid w:val="000611AA"/>
    <w:rsid w:val="000614B5"/>
    <w:rsid w:val="0006199B"/>
    <w:rsid w:val="00061AA8"/>
    <w:rsid w:val="000627DF"/>
    <w:rsid w:val="00062EB6"/>
    <w:rsid w:val="000631D8"/>
    <w:rsid w:val="00063DE0"/>
    <w:rsid w:val="0006409E"/>
    <w:rsid w:val="000647FC"/>
    <w:rsid w:val="00064EF8"/>
    <w:rsid w:val="0006500C"/>
    <w:rsid w:val="000653BA"/>
    <w:rsid w:val="000659D3"/>
    <w:rsid w:val="00065CEE"/>
    <w:rsid w:val="0006704A"/>
    <w:rsid w:val="00067376"/>
    <w:rsid w:val="000705FF"/>
    <w:rsid w:val="000708CC"/>
    <w:rsid w:val="00070B8C"/>
    <w:rsid w:val="00070C10"/>
    <w:rsid w:val="00072715"/>
    <w:rsid w:val="00073784"/>
    <w:rsid w:val="000738F8"/>
    <w:rsid w:val="0007438E"/>
    <w:rsid w:val="00074697"/>
    <w:rsid w:val="00074940"/>
    <w:rsid w:val="00075F8F"/>
    <w:rsid w:val="00077BCC"/>
    <w:rsid w:val="00077C09"/>
    <w:rsid w:val="000804BC"/>
    <w:rsid w:val="00080ACD"/>
    <w:rsid w:val="00080C50"/>
    <w:rsid w:val="000814E7"/>
    <w:rsid w:val="00081970"/>
    <w:rsid w:val="00081AA8"/>
    <w:rsid w:val="00082008"/>
    <w:rsid w:val="00083118"/>
    <w:rsid w:val="00083236"/>
    <w:rsid w:val="00083562"/>
    <w:rsid w:val="0008361B"/>
    <w:rsid w:val="000836E5"/>
    <w:rsid w:val="00083788"/>
    <w:rsid w:val="00083ED6"/>
    <w:rsid w:val="00084DB4"/>
    <w:rsid w:val="00084EE9"/>
    <w:rsid w:val="00085DC4"/>
    <w:rsid w:val="000860EF"/>
    <w:rsid w:val="000864FE"/>
    <w:rsid w:val="00086951"/>
    <w:rsid w:val="00087848"/>
    <w:rsid w:val="00087C86"/>
    <w:rsid w:val="00090908"/>
    <w:rsid w:val="00091260"/>
    <w:rsid w:val="00091296"/>
    <w:rsid w:val="000921A3"/>
    <w:rsid w:val="0009225C"/>
    <w:rsid w:val="000930B1"/>
    <w:rsid w:val="00093725"/>
    <w:rsid w:val="00093E9E"/>
    <w:rsid w:val="0009475D"/>
    <w:rsid w:val="00095364"/>
    <w:rsid w:val="00095B7F"/>
    <w:rsid w:val="00096084"/>
    <w:rsid w:val="00096AFE"/>
    <w:rsid w:val="00097880"/>
    <w:rsid w:val="000A0945"/>
    <w:rsid w:val="000A0DEC"/>
    <w:rsid w:val="000A1004"/>
    <w:rsid w:val="000A1126"/>
    <w:rsid w:val="000A18F4"/>
    <w:rsid w:val="000A1910"/>
    <w:rsid w:val="000A2482"/>
    <w:rsid w:val="000A2815"/>
    <w:rsid w:val="000A28AD"/>
    <w:rsid w:val="000A2D1A"/>
    <w:rsid w:val="000A2ED2"/>
    <w:rsid w:val="000A3606"/>
    <w:rsid w:val="000A3E37"/>
    <w:rsid w:val="000A4142"/>
    <w:rsid w:val="000A4CD6"/>
    <w:rsid w:val="000A5ED8"/>
    <w:rsid w:val="000A63A6"/>
    <w:rsid w:val="000A673F"/>
    <w:rsid w:val="000A67C3"/>
    <w:rsid w:val="000A6944"/>
    <w:rsid w:val="000A7DF4"/>
    <w:rsid w:val="000B0157"/>
    <w:rsid w:val="000B058C"/>
    <w:rsid w:val="000B06A7"/>
    <w:rsid w:val="000B0AC5"/>
    <w:rsid w:val="000B2908"/>
    <w:rsid w:val="000B2A80"/>
    <w:rsid w:val="000B2E32"/>
    <w:rsid w:val="000B3ED1"/>
    <w:rsid w:val="000B433E"/>
    <w:rsid w:val="000B45E3"/>
    <w:rsid w:val="000B4680"/>
    <w:rsid w:val="000B4BB7"/>
    <w:rsid w:val="000B4EED"/>
    <w:rsid w:val="000B50E3"/>
    <w:rsid w:val="000B594E"/>
    <w:rsid w:val="000B67D5"/>
    <w:rsid w:val="000B67F9"/>
    <w:rsid w:val="000B6BCE"/>
    <w:rsid w:val="000B7675"/>
    <w:rsid w:val="000C08D8"/>
    <w:rsid w:val="000C0EC0"/>
    <w:rsid w:val="000C2205"/>
    <w:rsid w:val="000C259C"/>
    <w:rsid w:val="000C2904"/>
    <w:rsid w:val="000C3188"/>
    <w:rsid w:val="000C3189"/>
    <w:rsid w:val="000C33D2"/>
    <w:rsid w:val="000C344D"/>
    <w:rsid w:val="000C392F"/>
    <w:rsid w:val="000C3E86"/>
    <w:rsid w:val="000C3F9E"/>
    <w:rsid w:val="000C46AE"/>
    <w:rsid w:val="000C47E9"/>
    <w:rsid w:val="000C5D02"/>
    <w:rsid w:val="000C6090"/>
    <w:rsid w:val="000C615F"/>
    <w:rsid w:val="000C65A3"/>
    <w:rsid w:val="000C69B0"/>
    <w:rsid w:val="000C7A14"/>
    <w:rsid w:val="000D1281"/>
    <w:rsid w:val="000D1303"/>
    <w:rsid w:val="000D1490"/>
    <w:rsid w:val="000D19B7"/>
    <w:rsid w:val="000D2141"/>
    <w:rsid w:val="000D2275"/>
    <w:rsid w:val="000D2AB1"/>
    <w:rsid w:val="000D2ACA"/>
    <w:rsid w:val="000D4BAD"/>
    <w:rsid w:val="000D4CEA"/>
    <w:rsid w:val="000D5061"/>
    <w:rsid w:val="000D516B"/>
    <w:rsid w:val="000D6BD2"/>
    <w:rsid w:val="000D7A3A"/>
    <w:rsid w:val="000D7ED3"/>
    <w:rsid w:val="000E0F0F"/>
    <w:rsid w:val="000E160C"/>
    <w:rsid w:val="000E1930"/>
    <w:rsid w:val="000E2199"/>
    <w:rsid w:val="000E23EF"/>
    <w:rsid w:val="000E2875"/>
    <w:rsid w:val="000E2A4C"/>
    <w:rsid w:val="000E2D9D"/>
    <w:rsid w:val="000E2EB7"/>
    <w:rsid w:val="000E35D5"/>
    <w:rsid w:val="000E4105"/>
    <w:rsid w:val="000E4330"/>
    <w:rsid w:val="000E45ED"/>
    <w:rsid w:val="000E5476"/>
    <w:rsid w:val="000E5BA6"/>
    <w:rsid w:val="000E611C"/>
    <w:rsid w:val="000E7192"/>
    <w:rsid w:val="000E75EB"/>
    <w:rsid w:val="000E79F4"/>
    <w:rsid w:val="000F03AD"/>
    <w:rsid w:val="000F089D"/>
    <w:rsid w:val="000F10FB"/>
    <w:rsid w:val="000F1D95"/>
    <w:rsid w:val="000F1FA0"/>
    <w:rsid w:val="000F2E14"/>
    <w:rsid w:val="000F328B"/>
    <w:rsid w:val="000F3BFA"/>
    <w:rsid w:val="000F425A"/>
    <w:rsid w:val="000F4C18"/>
    <w:rsid w:val="000F5AF7"/>
    <w:rsid w:val="000F5C7C"/>
    <w:rsid w:val="000F5E82"/>
    <w:rsid w:val="000F5EF1"/>
    <w:rsid w:val="000F5FC1"/>
    <w:rsid w:val="000F705F"/>
    <w:rsid w:val="000F72CF"/>
    <w:rsid w:val="000F743F"/>
    <w:rsid w:val="000F7AF2"/>
    <w:rsid w:val="001003E6"/>
    <w:rsid w:val="00100731"/>
    <w:rsid w:val="0010134A"/>
    <w:rsid w:val="00102264"/>
    <w:rsid w:val="001027D5"/>
    <w:rsid w:val="00102C55"/>
    <w:rsid w:val="001038AA"/>
    <w:rsid w:val="00103953"/>
    <w:rsid w:val="00103C04"/>
    <w:rsid w:val="001040BB"/>
    <w:rsid w:val="001053EF"/>
    <w:rsid w:val="00106D17"/>
    <w:rsid w:val="00106F53"/>
    <w:rsid w:val="0010754D"/>
    <w:rsid w:val="00107AE0"/>
    <w:rsid w:val="00110EB2"/>
    <w:rsid w:val="00111C83"/>
    <w:rsid w:val="00111CE7"/>
    <w:rsid w:val="00111F90"/>
    <w:rsid w:val="00112110"/>
    <w:rsid w:val="00112B7E"/>
    <w:rsid w:val="001131DD"/>
    <w:rsid w:val="001139FD"/>
    <w:rsid w:val="00113D35"/>
    <w:rsid w:val="00114709"/>
    <w:rsid w:val="001151A7"/>
    <w:rsid w:val="00116CE1"/>
    <w:rsid w:val="00117E45"/>
    <w:rsid w:val="00120471"/>
    <w:rsid w:val="00121151"/>
    <w:rsid w:val="001212F5"/>
    <w:rsid w:val="0012166C"/>
    <w:rsid w:val="001223BE"/>
    <w:rsid w:val="001226C8"/>
    <w:rsid w:val="00123E0A"/>
    <w:rsid w:val="00123EE8"/>
    <w:rsid w:val="00124314"/>
    <w:rsid w:val="00124809"/>
    <w:rsid w:val="00125501"/>
    <w:rsid w:val="00125681"/>
    <w:rsid w:val="00126326"/>
    <w:rsid w:val="0012636E"/>
    <w:rsid w:val="0012709F"/>
    <w:rsid w:val="00127A79"/>
    <w:rsid w:val="00127B38"/>
    <w:rsid w:val="00127EF8"/>
    <w:rsid w:val="00130788"/>
    <w:rsid w:val="001310DE"/>
    <w:rsid w:val="0013147C"/>
    <w:rsid w:val="00132B78"/>
    <w:rsid w:val="0013495A"/>
    <w:rsid w:val="0013572F"/>
    <w:rsid w:val="001357D6"/>
    <w:rsid w:val="00136E16"/>
    <w:rsid w:val="001371A7"/>
    <w:rsid w:val="001377A1"/>
    <w:rsid w:val="00140ECA"/>
    <w:rsid w:val="001414E0"/>
    <w:rsid w:val="00141B5F"/>
    <w:rsid w:val="00141C33"/>
    <w:rsid w:val="00142020"/>
    <w:rsid w:val="0014220F"/>
    <w:rsid w:val="00142268"/>
    <w:rsid w:val="001422FD"/>
    <w:rsid w:val="00142891"/>
    <w:rsid w:val="00142900"/>
    <w:rsid w:val="0014353E"/>
    <w:rsid w:val="00143750"/>
    <w:rsid w:val="001438FF"/>
    <w:rsid w:val="00143F4A"/>
    <w:rsid w:val="00145360"/>
    <w:rsid w:val="00145BBA"/>
    <w:rsid w:val="00145DD8"/>
    <w:rsid w:val="001469B2"/>
    <w:rsid w:val="00147943"/>
    <w:rsid w:val="0014796E"/>
    <w:rsid w:val="00147D11"/>
    <w:rsid w:val="001506DC"/>
    <w:rsid w:val="00150870"/>
    <w:rsid w:val="00150981"/>
    <w:rsid w:val="0015124B"/>
    <w:rsid w:val="001513EF"/>
    <w:rsid w:val="001516D6"/>
    <w:rsid w:val="001518E4"/>
    <w:rsid w:val="0015198C"/>
    <w:rsid w:val="00151A42"/>
    <w:rsid w:val="00151A62"/>
    <w:rsid w:val="00151BEC"/>
    <w:rsid w:val="0015240A"/>
    <w:rsid w:val="0015281D"/>
    <w:rsid w:val="001533EB"/>
    <w:rsid w:val="00153ADD"/>
    <w:rsid w:val="00153C24"/>
    <w:rsid w:val="0015434A"/>
    <w:rsid w:val="00154FE6"/>
    <w:rsid w:val="001558EC"/>
    <w:rsid w:val="00156A73"/>
    <w:rsid w:val="00157486"/>
    <w:rsid w:val="00157FB4"/>
    <w:rsid w:val="00161482"/>
    <w:rsid w:val="001618E8"/>
    <w:rsid w:val="00161EC7"/>
    <w:rsid w:val="0016320B"/>
    <w:rsid w:val="00163980"/>
    <w:rsid w:val="0016398F"/>
    <w:rsid w:val="00163EDD"/>
    <w:rsid w:val="0016560D"/>
    <w:rsid w:val="00165B38"/>
    <w:rsid w:val="00166AEF"/>
    <w:rsid w:val="00166D59"/>
    <w:rsid w:val="0017035E"/>
    <w:rsid w:val="00170C44"/>
    <w:rsid w:val="00170FC9"/>
    <w:rsid w:val="0017114F"/>
    <w:rsid w:val="00171D35"/>
    <w:rsid w:val="00171FFB"/>
    <w:rsid w:val="00172E55"/>
    <w:rsid w:val="0017364D"/>
    <w:rsid w:val="00173A09"/>
    <w:rsid w:val="001740BE"/>
    <w:rsid w:val="00174174"/>
    <w:rsid w:val="001743C7"/>
    <w:rsid w:val="00174A49"/>
    <w:rsid w:val="00174AD4"/>
    <w:rsid w:val="00175A61"/>
    <w:rsid w:val="00175BE7"/>
    <w:rsid w:val="001760D6"/>
    <w:rsid w:val="001769FF"/>
    <w:rsid w:val="00176F11"/>
    <w:rsid w:val="00177235"/>
    <w:rsid w:val="0017770F"/>
    <w:rsid w:val="001777DB"/>
    <w:rsid w:val="00180110"/>
    <w:rsid w:val="001815EA"/>
    <w:rsid w:val="00181E8E"/>
    <w:rsid w:val="00183BB6"/>
    <w:rsid w:val="00183C65"/>
    <w:rsid w:val="001846D9"/>
    <w:rsid w:val="00184AEF"/>
    <w:rsid w:val="00185062"/>
    <w:rsid w:val="001862F2"/>
    <w:rsid w:val="00186B87"/>
    <w:rsid w:val="00187643"/>
    <w:rsid w:val="00187BE1"/>
    <w:rsid w:val="00190387"/>
    <w:rsid w:val="001905C8"/>
    <w:rsid w:val="001906D2"/>
    <w:rsid w:val="00190ACD"/>
    <w:rsid w:val="0019118A"/>
    <w:rsid w:val="0019251C"/>
    <w:rsid w:val="00192F82"/>
    <w:rsid w:val="001933B8"/>
    <w:rsid w:val="00195162"/>
    <w:rsid w:val="001952A5"/>
    <w:rsid w:val="001958C9"/>
    <w:rsid w:val="00195A30"/>
    <w:rsid w:val="00197B29"/>
    <w:rsid w:val="00197C20"/>
    <w:rsid w:val="001A0689"/>
    <w:rsid w:val="001A1AD8"/>
    <w:rsid w:val="001A2C42"/>
    <w:rsid w:val="001A31B2"/>
    <w:rsid w:val="001A4B22"/>
    <w:rsid w:val="001A4D91"/>
    <w:rsid w:val="001A4E23"/>
    <w:rsid w:val="001A508B"/>
    <w:rsid w:val="001A5308"/>
    <w:rsid w:val="001A5927"/>
    <w:rsid w:val="001A5B67"/>
    <w:rsid w:val="001A5C95"/>
    <w:rsid w:val="001A68EA"/>
    <w:rsid w:val="001A69D4"/>
    <w:rsid w:val="001A70A3"/>
    <w:rsid w:val="001A7789"/>
    <w:rsid w:val="001B01CE"/>
    <w:rsid w:val="001B025C"/>
    <w:rsid w:val="001B066D"/>
    <w:rsid w:val="001B06A8"/>
    <w:rsid w:val="001B0D13"/>
    <w:rsid w:val="001B13AE"/>
    <w:rsid w:val="001B17AC"/>
    <w:rsid w:val="001B2338"/>
    <w:rsid w:val="001B23BB"/>
    <w:rsid w:val="001B2430"/>
    <w:rsid w:val="001B2753"/>
    <w:rsid w:val="001B2A57"/>
    <w:rsid w:val="001B3064"/>
    <w:rsid w:val="001B406A"/>
    <w:rsid w:val="001B4A3B"/>
    <w:rsid w:val="001B5168"/>
    <w:rsid w:val="001B56B6"/>
    <w:rsid w:val="001B586E"/>
    <w:rsid w:val="001B5EF1"/>
    <w:rsid w:val="001B7E64"/>
    <w:rsid w:val="001C00AB"/>
    <w:rsid w:val="001C02C3"/>
    <w:rsid w:val="001C0B00"/>
    <w:rsid w:val="001C0EB0"/>
    <w:rsid w:val="001C0F65"/>
    <w:rsid w:val="001C1426"/>
    <w:rsid w:val="001C1828"/>
    <w:rsid w:val="001C1FDE"/>
    <w:rsid w:val="001C2B21"/>
    <w:rsid w:val="001C300C"/>
    <w:rsid w:val="001C3531"/>
    <w:rsid w:val="001C4647"/>
    <w:rsid w:val="001C4EC1"/>
    <w:rsid w:val="001C5FE9"/>
    <w:rsid w:val="001C64D3"/>
    <w:rsid w:val="001C6F15"/>
    <w:rsid w:val="001C739E"/>
    <w:rsid w:val="001C786A"/>
    <w:rsid w:val="001C7D94"/>
    <w:rsid w:val="001D0046"/>
    <w:rsid w:val="001D0CB4"/>
    <w:rsid w:val="001D2115"/>
    <w:rsid w:val="001D2D03"/>
    <w:rsid w:val="001D357C"/>
    <w:rsid w:val="001D4AE3"/>
    <w:rsid w:val="001D4CF4"/>
    <w:rsid w:val="001D577E"/>
    <w:rsid w:val="001D5A33"/>
    <w:rsid w:val="001D64BF"/>
    <w:rsid w:val="001E0B56"/>
    <w:rsid w:val="001E0EA0"/>
    <w:rsid w:val="001E1090"/>
    <w:rsid w:val="001E10A8"/>
    <w:rsid w:val="001E17B7"/>
    <w:rsid w:val="001E26B7"/>
    <w:rsid w:val="001E2A67"/>
    <w:rsid w:val="001E36DD"/>
    <w:rsid w:val="001E41FF"/>
    <w:rsid w:val="001E4460"/>
    <w:rsid w:val="001E4491"/>
    <w:rsid w:val="001E4AFB"/>
    <w:rsid w:val="001E4C2C"/>
    <w:rsid w:val="001E4D1F"/>
    <w:rsid w:val="001E608D"/>
    <w:rsid w:val="001E6B16"/>
    <w:rsid w:val="001E741E"/>
    <w:rsid w:val="001E7EAB"/>
    <w:rsid w:val="001F08BB"/>
    <w:rsid w:val="001F1152"/>
    <w:rsid w:val="001F1CA2"/>
    <w:rsid w:val="001F2A14"/>
    <w:rsid w:val="001F2A3F"/>
    <w:rsid w:val="001F3F43"/>
    <w:rsid w:val="001F3FE1"/>
    <w:rsid w:val="001F408E"/>
    <w:rsid w:val="001F4980"/>
    <w:rsid w:val="001F4B6C"/>
    <w:rsid w:val="001F571F"/>
    <w:rsid w:val="001F5AED"/>
    <w:rsid w:val="001F6EC6"/>
    <w:rsid w:val="001F7653"/>
    <w:rsid w:val="001F795C"/>
    <w:rsid w:val="00200FD2"/>
    <w:rsid w:val="00201076"/>
    <w:rsid w:val="00201628"/>
    <w:rsid w:val="0020255B"/>
    <w:rsid w:val="002025DE"/>
    <w:rsid w:val="00202F4E"/>
    <w:rsid w:val="00203008"/>
    <w:rsid w:val="002032C1"/>
    <w:rsid w:val="00203B67"/>
    <w:rsid w:val="002044DF"/>
    <w:rsid w:val="002045C0"/>
    <w:rsid w:val="0020471A"/>
    <w:rsid w:val="00204FE3"/>
    <w:rsid w:val="002051F5"/>
    <w:rsid w:val="0020520D"/>
    <w:rsid w:val="002053D6"/>
    <w:rsid w:val="002054F4"/>
    <w:rsid w:val="0020596C"/>
    <w:rsid w:val="00205D1E"/>
    <w:rsid w:val="00206231"/>
    <w:rsid w:val="00206E83"/>
    <w:rsid w:val="002072E5"/>
    <w:rsid w:val="00207E62"/>
    <w:rsid w:val="0021056C"/>
    <w:rsid w:val="002106FD"/>
    <w:rsid w:val="002114C5"/>
    <w:rsid w:val="00211794"/>
    <w:rsid w:val="002126D4"/>
    <w:rsid w:val="00212B50"/>
    <w:rsid w:val="00213B62"/>
    <w:rsid w:val="0021435B"/>
    <w:rsid w:val="00215880"/>
    <w:rsid w:val="00215C06"/>
    <w:rsid w:val="00216DCC"/>
    <w:rsid w:val="00217549"/>
    <w:rsid w:val="00220311"/>
    <w:rsid w:val="0022041F"/>
    <w:rsid w:val="0022051E"/>
    <w:rsid w:val="00221736"/>
    <w:rsid w:val="00221A84"/>
    <w:rsid w:val="002229CB"/>
    <w:rsid w:val="00223732"/>
    <w:rsid w:val="00223821"/>
    <w:rsid w:val="002239C8"/>
    <w:rsid w:val="00223ADE"/>
    <w:rsid w:val="00224EB1"/>
    <w:rsid w:val="00224FD0"/>
    <w:rsid w:val="00225408"/>
    <w:rsid w:val="002257B8"/>
    <w:rsid w:val="0022676B"/>
    <w:rsid w:val="0023106B"/>
    <w:rsid w:val="00231613"/>
    <w:rsid w:val="00232CCA"/>
    <w:rsid w:val="0023376F"/>
    <w:rsid w:val="00233903"/>
    <w:rsid w:val="00233B98"/>
    <w:rsid w:val="00233C4C"/>
    <w:rsid w:val="002341AC"/>
    <w:rsid w:val="00234FE7"/>
    <w:rsid w:val="00236010"/>
    <w:rsid w:val="0023643F"/>
    <w:rsid w:val="0023745B"/>
    <w:rsid w:val="00240BB6"/>
    <w:rsid w:val="0024170D"/>
    <w:rsid w:val="00241A4C"/>
    <w:rsid w:val="00241F16"/>
    <w:rsid w:val="002421B7"/>
    <w:rsid w:val="00242208"/>
    <w:rsid w:val="002425BA"/>
    <w:rsid w:val="002428FF"/>
    <w:rsid w:val="00242C1B"/>
    <w:rsid w:val="00243251"/>
    <w:rsid w:val="00243B8D"/>
    <w:rsid w:val="00244325"/>
    <w:rsid w:val="00244385"/>
    <w:rsid w:val="00246C18"/>
    <w:rsid w:val="002470D7"/>
    <w:rsid w:val="00247227"/>
    <w:rsid w:val="0024780E"/>
    <w:rsid w:val="00247AC6"/>
    <w:rsid w:val="00250038"/>
    <w:rsid w:val="00250C89"/>
    <w:rsid w:val="00250E2B"/>
    <w:rsid w:val="00251788"/>
    <w:rsid w:val="00251D20"/>
    <w:rsid w:val="00251D7B"/>
    <w:rsid w:val="00252295"/>
    <w:rsid w:val="002528BA"/>
    <w:rsid w:val="002529B7"/>
    <w:rsid w:val="002536DD"/>
    <w:rsid w:val="002537E7"/>
    <w:rsid w:val="00253EBE"/>
    <w:rsid w:val="002545EC"/>
    <w:rsid w:val="00254EF7"/>
    <w:rsid w:val="00255044"/>
    <w:rsid w:val="00255193"/>
    <w:rsid w:val="00255EF6"/>
    <w:rsid w:val="00256021"/>
    <w:rsid w:val="002567D8"/>
    <w:rsid w:val="002572CB"/>
    <w:rsid w:val="00257432"/>
    <w:rsid w:val="002577B2"/>
    <w:rsid w:val="00257F19"/>
    <w:rsid w:val="00257F64"/>
    <w:rsid w:val="00260014"/>
    <w:rsid w:val="00260018"/>
    <w:rsid w:val="00260046"/>
    <w:rsid w:val="002602EB"/>
    <w:rsid w:val="0026041C"/>
    <w:rsid w:val="002604A7"/>
    <w:rsid w:val="002609C0"/>
    <w:rsid w:val="00260C04"/>
    <w:rsid w:val="00261E21"/>
    <w:rsid w:val="00262432"/>
    <w:rsid w:val="00262BDD"/>
    <w:rsid w:val="002631CD"/>
    <w:rsid w:val="002632BF"/>
    <w:rsid w:val="00263480"/>
    <w:rsid w:val="002642F5"/>
    <w:rsid w:val="0026481A"/>
    <w:rsid w:val="00264D7F"/>
    <w:rsid w:val="00264E54"/>
    <w:rsid w:val="00265C0F"/>
    <w:rsid w:val="0026669E"/>
    <w:rsid w:val="00270464"/>
    <w:rsid w:val="002706DC"/>
    <w:rsid w:val="00271870"/>
    <w:rsid w:val="002726AB"/>
    <w:rsid w:val="00272A4F"/>
    <w:rsid w:val="00273182"/>
    <w:rsid w:val="002731ED"/>
    <w:rsid w:val="002739D9"/>
    <w:rsid w:val="00274C24"/>
    <w:rsid w:val="00275B04"/>
    <w:rsid w:val="00275DAA"/>
    <w:rsid w:val="002768A8"/>
    <w:rsid w:val="00277869"/>
    <w:rsid w:val="00281C54"/>
    <w:rsid w:val="00281CD4"/>
    <w:rsid w:val="00281F1A"/>
    <w:rsid w:val="0028266C"/>
    <w:rsid w:val="00283072"/>
    <w:rsid w:val="0028322B"/>
    <w:rsid w:val="00283A09"/>
    <w:rsid w:val="002844BB"/>
    <w:rsid w:val="00284F0F"/>
    <w:rsid w:val="00285172"/>
    <w:rsid w:val="002860CE"/>
    <w:rsid w:val="002862D0"/>
    <w:rsid w:val="0028658E"/>
    <w:rsid w:val="00286A07"/>
    <w:rsid w:val="0028762E"/>
    <w:rsid w:val="00287E23"/>
    <w:rsid w:val="00287FC2"/>
    <w:rsid w:val="00290995"/>
    <w:rsid w:val="00290BDC"/>
    <w:rsid w:val="00291183"/>
    <w:rsid w:val="00291F34"/>
    <w:rsid w:val="0029335A"/>
    <w:rsid w:val="002937CE"/>
    <w:rsid w:val="00293BF5"/>
    <w:rsid w:val="00295562"/>
    <w:rsid w:val="002956E7"/>
    <w:rsid w:val="00295E5B"/>
    <w:rsid w:val="00296FE5"/>
    <w:rsid w:val="002A0AEF"/>
    <w:rsid w:val="002A10B7"/>
    <w:rsid w:val="002A15D5"/>
    <w:rsid w:val="002A1729"/>
    <w:rsid w:val="002A1ECA"/>
    <w:rsid w:val="002A248A"/>
    <w:rsid w:val="002A2B18"/>
    <w:rsid w:val="002A2B28"/>
    <w:rsid w:val="002A3B5B"/>
    <w:rsid w:val="002A3C10"/>
    <w:rsid w:val="002A3FFB"/>
    <w:rsid w:val="002A4C74"/>
    <w:rsid w:val="002A56D7"/>
    <w:rsid w:val="002A5D10"/>
    <w:rsid w:val="002A6777"/>
    <w:rsid w:val="002A783A"/>
    <w:rsid w:val="002B0BC6"/>
    <w:rsid w:val="002B17F9"/>
    <w:rsid w:val="002B2BEB"/>
    <w:rsid w:val="002B3B8C"/>
    <w:rsid w:val="002B4486"/>
    <w:rsid w:val="002B4A8D"/>
    <w:rsid w:val="002B52E2"/>
    <w:rsid w:val="002B5997"/>
    <w:rsid w:val="002B6338"/>
    <w:rsid w:val="002B63F1"/>
    <w:rsid w:val="002B642E"/>
    <w:rsid w:val="002B701E"/>
    <w:rsid w:val="002B77D2"/>
    <w:rsid w:val="002C0550"/>
    <w:rsid w:val="002C2AF5"/>
    <w:rsid w:val="002C30A7"/>
    <w:rsid w:val="002C3797"/>
    <w:rsid w:val="002C3805"/>
    <w:rsid w:val="002C3A0F"/>
    <w:rsid w:val="002C3DC9"/>
    <w:rsid w:val="002C4945"/>
    <w:rsid w:val="002C4BD8"/>
    <w:rsid w:val="002C4E92"/>
    <w:rsid w:val="002C5F96"/>
    <w:rsid w:val="002C6351"/>
    <w:rsid w:val="002C68CF"/>
    <w:rsid w:val="002C6F7B"/>
    <w:rsid w:val="002C76B7"/>
    <w:rsid w:val="002C7C91"/>
    <w:rsid w:val="002D0881"/>
    <w:rsid w:val="002D1760"/>
    <w:rsid w:val="002D1A3B"/>
    <w:rsid w:val="002D27F4"/>
    <w:rsid w:val="002D332B"/>
    <w:rsid w:val="002D39FE"/>
    <w:rsid w:val="002D40C2"/>
    <w:rsid w:val="002D4BEE"/>
    <w:rsid w:val="002D6998"/>
    <w:rsid w:val="002D6C57"/>
    <w:rsid w:val="002D7024"/>
    <w:rsid w:val="002D72A1"/>
    <w:rsid w:val="002D7380"/>
    <w:rsid w:val="002D7403"/>
    <w:rsid w:val="002D7617"/>
    <w:rsid w:val="002D7791"/>
    <w:rsid w:val="002E0264"/>
    <w:rsid w:val="002E04B2"/>
    <w:rsid w:val="002E04ED"/>
    <w:rsid w:val="002E0F5D"/>
    <w:rsid w:val="002E1250"/>
    <w:rsid w:val="002E1907"/>
    <w:rsid w:val="002E19C3"/>
    <w:rsid w:val="002E2950"/>
    <w:rsid w:val="002E2AC1"/>
    <w:rsid w:val="002E2D91"/>
    <w:rsid w:val="002E3097"/>
    <w:rsid w:val="002E38C3"/>
    <w:rsid w:val="002E401F"/>
    <w:rsid w:val="002E4645"/>
    <w:rsid w:val="002E4E23"/>
    <w:rsid w:val="002E508F"/>
    <w:rsid w:val="002E5A60"/>
    <w:rsid w:val="002E6138"/>
    <w:rsid w:val="002E63CC"/>
    <w:rsid w:val="002E6F5E"/>
    <w:rsid w:val="002E7F00"/>
    <w:rsid w:val="002F008B"/>
    <w:rsid w:val="002F0593"/>
    <w:rsid w:val="002F1B54"/>
    <w:rsid w:val="002F200D"/>
    <w:rsid w:val="002F2200"/>
    <w:rsid w:val="002F2ABD"/>
    <w:rsid w:val="002F33D3"/>
    <w:rsid w:val="002F3EFF"/>
    <w:rsid w:val="002F4151"/>
    <w:rsid w:val="002F4204"/>
    <w:rsid w:val="002F480F"/>
    <w:rsid w:val="002F4917"/>
    <w:rsid w:val="002F590A"/>
    <w:rsid w:val="002F5DC5"/>
    <w:rsid w:val="002F646D"/>
    <w:rsid w:val="002F678B"/>
    <w:rsid w:val="002F6BEF"/>
    <w:rsid w:val="002F7247"/>
    <w:rsid w:val="002F733C"/>
    <w:rsid w:val="002F7CBD"/>
    <w:rsid w:val="00300015"/>
    <w:rsid w:val="003007D3"/>
    <w:rsid w:val="0030186F"/>
    <w:rsid w:val="0030192E"/>
    <w:rsid w:val="00301AD9"/>
    <w:rsid w:val="00302157"/>
    <w:rsid w:val="003029A8"/>
    <w:rsid w:val="003043F9"/>
    <w:rsid w:val="0030459B"/>
    <w:rsid w:val="00304ACF"/>
    <w:rsid w:val="0030618E"/>
    <w:rsid w:val="00306A58"/>
    <w:rsid w:val="00306F36"/>
    <w:rsid w:val="00307BDA"/>
    <w:rsid w:val="00310841"/>
    <w:rsid w:val="0031166C"/>
    <w:rsid w:val="00311691"/>
    <w:rsid w:val="00313808"/>
    <w:rsid w:val="00314075"/>
    <w:rsid w:val="00314108"/>
    <w:rsid w:val="00314142"/>
    <w:rsid w:val="00314A52"/>
    <w:rsid w:val="00315C36"/>
    <w:rsid w:val="00315E37"/>
    <w:rsid w:val="003166FC"/>
    <w:rsid w:val="00316D0C"/>
    <w:rsid w:val="003177EE"/>
    <w:rsid w:val="003179F3"/>
    <w:rsid w:val="003209C5"/>
    <w:rsid w:val="003211CB"/>
    <w:rsid w:val="003218BC"/>
    <w:rsid w:val="00321A18"/>
    <w:rsid w:val="00321E65"/>
    <w:rsid w:val="003222E5"/>
    <w:rsid w:val="00322868"/>
    <w:rsid w:val="003234DC"/>
    <w:rsid w:val="0032361B"/>
    <w:rsid w:val="00323647"/>
    <w:rsid w:val="00323C8A"/>
    <w:rsid w:val="00324191"/>
    <w:rsid w:val="00324E43"/>
    <w:rsid w:val="003253C7"/>
    <w:rsid w:val="00325733"/>
    <w:rsid w:val="00325929"/>
    <w:rsid w:val="00325F12"/>
    <w:rsid w:val="003262AF"/>
    <w:rsid w:val="0032697E"/>
    <w:rsid w:val="00326BA7"/>
    <w:rsid w:val="00327141"/>
    <w:rsid w:val="00327402"/>
    <w:rsid w:val="00327697"/>
    <w:rsid w:val="00327AF5"/>
    <w:rsid w:val="00327C74"/>
    <w:rsid w:val="003300EA"/>
    <w:rsid w:val="00330429"/>
    <w:rsid w:val="00330AB4"/>
    <w:rsid w:val="00330CEE"/>
    <w:rsid w:val="00332A51"/>
    <w:rsid w:val="00332A5E"/>
    <w:rsid w:val="00333D8C"/>
    <w:rsid w:val="00334E91"/>
    <w:rsid w:val="00335375"/>
    <w:rsid w:val="003369A3"/>
    <w:rsid w:val="00336AC7"/>
    <w:rsid w:val="00340404"/>
    <w:rsid w:val="00340673"/>
    <w:rsid w:val="00342142"/>
    <w:rsid w:val="00342391"/>
    <w:rsid w:val="00343389"/>
    <w:rsid w:val="003442BB"/>
    <w:rsid w:val="003443AB"/>
    <w:rsid w:val="003445BE"/>
    <w:rsid w:val="003449E1"/>
    <w:rsid w:val="00344C84"/>
    <w:rsid w:val="00345F72"/>
    <w:rsid w:val="00347504"/>
    <w:rsid w:val="00347D05"/>
    <w:rsid w:val="00347E5A"/>
    <w:rsid w:val="003503E0"/>
    <w:rsid w:val="00350769"/>
    <w:rsid w:val="00351169"/>
    <w:rsid w:val="0035193B"/>
    <w:rsid w:val="0035259B"/>
    <w:rsid w:val="003526E4"/>
    <w:rsid w:val="003527A8"/>
    <w:rsid w:val="00352847"/>
    <w:rsid w:val="00352BE1"/>
    <w:rsid w:val="00352DFA"/>
    <w:rsid w:val="00353DE8"/>
    <w:rsid w:val="00355BCD"/>
    <w:rsid w:val="00356AD9"/>
    <w:rsid w:val="00357038"/>
    <w:rsid w:val="003576D7"/>
    <w:rsid w:val="00357DFB"/>
    <w:rsid w:val="0036127B"/>
    <w:rsid w:val="0036135E"/>
    <w:rsid w:val="0036156A"/>
    <w:rsid w:val="00362008"/>
    <w:rsid w:val="00362A8D"/>
    <w:rsid w:val="00363130"/>
    <w:rsid w:val="00363150"/>
    <w:rsid w:val="00363764"/>
    <w:rsid w:val="003651CA"/>
    <w:rsid w:val="00365D00"/>
    <w:rsid w:val="00366181"/>
    <w:rsid w:val="00366FF8"/>
    <w:rsid w:val="00367B02"/>
    <w:rsid w:val="00370556"/>
    <w:rsid w:val="00370FF0"/>
    <w:rsid w:val="00371361"/>
    <w:rsid w:val="00371433"/>
    <w:rsid w:val="0037149B"/>
    <w:rsid w:val="0037195F"/>
    <w:rsid w:val="00372880"/>
    <w:rsid w:val="00372BFE"/>
    <w:rsid w:val="00372E92"/>
    <w:rsid w:val="00375150"/>
    <w:rsid w:val="00375A57"/>
    <w:rsid w:val="00376C97"/>
    <w:rsid w:val="00376CBB"/>
    <w:rsid w:val="00376D8D"/>
    <w:rsid w:val="00377A8B"/>
    <w:rsid w:val="00377BC3"/>
    <w:rsid w:val="00380153"/>
    <w:rsid w:val="003809E2"/>
    <w:rsid w:val="003812C3"/>
    <w:rsid w:val="00382231"/>
    <w:rsid w:val="0038243E"/>
    <w:rsid w:val="003827A9"/>
    <w:rsid w:val="00382EBF"/>
    <w:rsid w:val="00382F52"/>
    <w:rsid w:val="00383B01"/>
    <w:rsid w:val="0038409E"/>
    <w:rsid w:val="00385418"/>
    <w:rsid w:val="003856C9"/>
    <w:rsid w:val="0038573E"/>
    <w:rsid w:val="00385E0A"/>
    <w:rsid w:val="00386892"/>
    <w:rsid w:val="00386CC4"/>
    <w:rsid w:val="00386FC6"/>
    <w:rsid w:val="00386FEF"/>
    <w:rsid w:val="00387A85"/>
    <w:rsid w:val="00387C6D"/>
    <w:rsid w:val="00387D86"/>
    <w:rsid w:val="00390631"/>
    <w:rsid w:val="0039099F"/>
    <w:rsid w:val="0039134C"/>
    <w:rsid w:val="003917EB"/>
    <w:rsid w:val="003933AC"/>
    <w:rsid w:val="0039399D"/>
    <w:rsid w:val="00394435"/>
    <w:rsid w:val="00394C14"/>
    <w:rsid w:val="00394FE7"/>
    <w:rsid w:val="00396561"/>
    <w:rsid w:val="00396E13"/>
    <w:rsid w:val="00397089"/>
    <w:rsid w:val="00397182"/>
    <w:rsid w:val="0039734A"/>
    <w:rsid w:val="003974D3"/>
    <w:rsid w:val="003977C0"/>
    <w:rsid w:val="003978C3"/>
    <w:rsid w:val="00397E8F"/>
    <w:rsid w:val="00397EAC"/>
    <w:rsid w:val="00397ECA"/>
    <w:rsid w:val="003A0CCB"/>
    <w:rsid w:val="003A114F"/>
    <w:rsid w:val="003A165C"/>
    <w:rsid w:val="003A1A91"/>
    <w:rsid w:val="003A2712"/>
    <w:rsid w:val="003A292C"/>
    <w:rsid w:val="003A2EA3"/>
    <w:rsid w:val="003A331F"/>
    <w:rsid w:val="003A388A"/>
    <w:rsid w:val="003A41FA"/>
    <w:rsid w:val="003A444B"/>
    <w:rsid w:val="003A5D2F"/>
    <w:rsid w:val="003A5E59"/>
    <w:rsid w:val="003A607E"/>
    <w:rsid w:val="003A6594"/>
    <w:rsid w:val="003A772C"/>
    <w:rsid w:val="003B0C20"/>
    <w:rsid w:val="003B12AD"/>
    <w:rsid w:val="003B1D8A"/>
    <w:rsid w:val="003B20E4"/>
    <w:rsid w:val="003B2705"/>
    <w:rsid w:val="003B2C1C"/>
    <w:rsid w:val="003B3899"/>
    <w:rsid w:val="003B3EEE"/>
    <w:rsid w:val="003B4991"/>
    <w:rsid w:val="003B4B90"/>
    <w:rsid w:val="003B5DA9"/>
    <w:rsid w:val="003B613E"/>
    <w:rsid w:val="003B6626"/>
    <w:rsid w:val="003C03A8"/>
    <w:rsid w:val="003C091F"/>
    <w:rsid w:val="003C0BA5"/>
    <w:rsid w:val="003C0CFE"/>
    <w:rsid w:val="003C1001"/>
    <w:rsid w:val="003C15F9"/>
    <w:rsid w:val="003C2DF8"/>
    <w:rsid w:val="003C3957"/>
    <w:rsid w:val="003C458D"/>
    <w:rsid w:val="003C4AC3"/>
    <w:rsid w:val="003C4B03"/>
    <w:rsid w:val="003C5206"/>
    <w:rsid w:val="003C60AE"/>
    <w:rsid w:val="003C66FC"/>
    <w:rsid w:val="003C677F"/>
    <w:rsid w:val="003C76C2"/>
    <w:rsid w:val="003D01EB"/>
    <w:rsid w:val="003D060B"/>
    <w:rsid w:val="003D0F52"/>
    <w:rsid w:val="003D1169"/>
    <w:rsid w:val="003D1347"/>
    <w:rsid w:val="003D19D0"/>
    <w:rsid w:val="003D1C4A"/>
    <w:rsid w:val="003D1CD7"/>
    <w:rsid w:val="003D2369"/>
    <w:rsid w:val="003D2824"/>
    <w:rsid w:val="003D293A"/>
    <w:rsid w:val="003D29CF"/>
    <w:rsid w:val="003D32CC"/>
    <w:rsid w:val="003D3DDD"/>
    <w:rsid w:val="003D45E5"/>
    <w:rsid w:val="003D4CCF"/>
    <w:rsid w:val="003D56CF"/>
    <w:rsid w:val="003D5BDD"/>
    <w:rsid w:val="003D653E"/>
    <w:rsid w:val="003D6CD9"/>
    <w:rsid w:val="003D73BC"/>
    <w:rsid w:val="003D7D06"/>
    <w:rsid w:val="003E0151"/>
    <w:rsid w:val="003E0F8D"/>
    <w:rsid w:val="003E163C"/>
    <w:rsid w:val="003E2B05"/>
    <w:rsid w:val="003E44ED"/>
    <w:rsid w:val="003E4911"/>
    <w:rsid w:val="003E4DBF"/>
    <w:rsid w:val="003E5706"/>
    <w:rsid w:val="003E6F38"/>
    <w:rsid w:val="003E75C4"/>
    <w:rsid w:val="003E7A5C"/>
    <w:rsid w:val="003E7BF8"/>
    <w:rsid w:val="003F06EC"/>
    <w:rsid w:val="003F13BA"/>
    <w:rsid w:val="003F16AE"/>
    <w:rsid w:val="003F182B"/>
    <w:rsid w:val="003F2282"/>
    <w:rsid w:val="003F405F"/>
    <w:rsid w:val="003F64EB"/>
    <w:rsid w:val="003F74B6"/>
    <w:rsid w:val="003F7A69"/>
    <w:rsid w:val="003F7AAE"/>
    <w:rsid w:val="003F7F8F"/>
    <w:rsid w:val="004007A4"/>
    <w:rsid w:val="0040103A"/>
    <w:rsid w:val="004012B6"/>
    <w:rsid w:val="004016C0"/>
    <w:rsid w:val="00401A6D"/>
    <w:rsid w:val="00401AAC"/>
    <w:rsid w:val="00401DB5"/>
    <w:rsid w:val="00403344"/>
    <w:rsid w:val="00403E70"/>
    <w:rsid w:val="00405EC0"/>
    <w:rsid w:val="0040609D"/>
    <w:rsid w:val="004064D4"/>
    <w:rsid w:val="00406D00"/>
    <w:rsid w:val="004113A7"/>
    <w:rsid w:val="00411976"/>
    <w:rsid w:val="00412133"/>
    <w:rsid w:val="004125DC"/>
    <w:rsid w:val="0041291D"/>
    <w:rsid w:val="0041331A"/>
    <w:rsid w:val="00413531"/>
    <w:rsid w:val="00414172"/>
    <w:rsid w:val="0041456F"/>
    <w:rsid w:val="00415819"/>
    <w:rsid w:val="00416B99"/>
    <w:rsid w:val="004175FB"/>
    <w:rsid w:val="00420037"/>
    <w:rsid w:val="00420188"/>
    <w:rsid w:val="00420F6D"/>
    <w:rsid w:val="004212A6"/>
    <w:rsid w:val="0042184F"/>
    <w:rsid w:val="00421898"/>
    <w:rsid w:val="004218CF"/>
    <w:rsid w:val="004219DF"/>
    <w:rsid w:val="0042231C"/>
    <w:rsid w:val="004224F2"/>
    <w:rsid w:val="00423828"/>
    <w:rsid w:val="0042394A"/>
    <w:rsid w:val="00424159"/>
    <w:rsid w:val="004245DA"/>
    <w:rsid w:val="00424A6F"/>
    <w:rsid w:val="00425980"/>
    <w:rsid w:val="00426416"/>
    <w:rsid w:val="00426A62"/>
    <w:rsid w:val="00426D8D"/>
    <w:rsid w:val="00427225"/>
    <w:rsid w:val="004275FE"/>
    <w:rsid w:val="00431951"/>
    <w:rsid w:val="004322DF"/>
    <w:rsid w:val="00432736"/>
    <w:rsid w:val="0043325E"/>
    <w:rsid w:val="00433346"/>
    <w:rsid w:val="00433638"/>
    <w:rsid w:val="00433829"/>
    <w:rsid w:val="00433C6A"/>
    <w:rsid w:val="00433D78"/>
    <w:rsid w:val="00433DEA"/>
    <w:rsid w:val="004343A6"/>
    <w:rsid w:val="0043441E"/>
    <w:rsid w:val="00435253"/>
    <w:rsid w:val="00435B83"/>
    <w:rsid w:val="00435CF0"/>
    <w:rsid w:val="00435D7B"/>
    <w:rsid w:val="0043641F"/>
    <w:rsid w:val="00436567"/>
    <w:rsid w:val="00436599"/>
    <w:rsid w:val="004365D5"/>
    <w:rsid w:val="004368F1"/>
    <w:rsid w:val="00436D7D"/>
    <w:rsid w:val="00437A94"/>
    <w:rsid w:val="00440968"/>
    <w:rsid w:val="0044154E"/>
    <w:rsid w:val="00441678"/>
    <w:rsid w:val="00441685"/>
    <w:rsid w:val="00441950"/>
    <w:rsid w:val="004423C2"/>
    <w:rsid w:val="004439B1"/>
    <w:rsid w:val="00443A66"/>
    <w:rsid w:val="00443B00"/>
    <w:rsid w:val="00443C6A"/>
    <w:rsid w:val="00445487"/>
    <w:rsid w:val="00445EF4"/>
    <w:rsid w:val="0044609B"/>
    <w:rsid w:val="004464C5"/>
    <w:rsid w:val="0044687E"/>
    <w:rsid w:val="00446BED"/>
    <w:rsid w:val="004474B6"/>
    <w:rsid w:val="00447629"/>
    <w:rsid w:val="00447668"/>
    <w:rsid w:val="00447863"/>
    <w:rsid w:val="00447A18"/>
    <w:rsid w:val="0045052D"/>
    <w:rsid w:val="00451132"/>
    <w:rsid w:val="004524AF"/>
    <w:rsid w:val="004525F7"/>
    <w:rsid w:val="00452753"/>
    <w:rsid w:val="00454308"/>
    <w:rsid w:val="00454708"/>
    <w:rsid w:val="00455E86"/>
    <w:rsid w:val="0045627B"/>
    <w:rsid w:val="00456292"/>
    <w:rsid w:val="00456385"/>
    <w:rsid w:val="00456478"/>
    <w:rsid w:val="004568FC"/>
    <w:rsid w:val="00456C3B"/>
    <w:rsid w:val="00457180"/>
    <w:rsid w:val="004572CB"/>
    <w:rsid w:val="00457306"/>
    <w:rsid w:val="004576AD"/>
    <w:rsid w:val="00457DDE"/>
    <w:rsid w:val="00460E43"/>
    <w:rsid w:val="00460F79"/>
    <w:rsid w:val="00461999"/>
    <w:rsid w:val="004619DF"/>
    <w:rsid w:val="00461F2F"/>
    <w:rsid w:val="004626DD"/>
    <w:rsid w:val="00462F3F"/>
    <w:rsid w:val="00463AA7"/>
    <w:rsid w:val="00463BFD"/>
    <w:rsid w:val="00463F09"/>
    <w:rsid w:val="0046459C"/>
    <w:rsid w:val="00464871"/>
    <w:rsid w:val="00465B56"/>
    <w:rsid w:val="00465DFC"/>
    <w:rsid w:val="00466326"/>
    <w:rsid w:val="00466A14"/>
    <w:rsid w:val="00466AF5"/>
    <w:rsid w:val="00466CD4"/>
    <w:rsid w:val="004673AC"/>
    <w:rsid w:val="004677B3"/>
    <w:rsid w:val="00467CB7"/>
    <w:rsid w:val="0047064B"/>
    <w:rsid w:val="00472588"/>
    <w:rsid w:val="00472681"/>
    <w:rsid w:val="0047286C"/>
    <w:rsid w:val="004729DF"/>
    <w:rsid w:val="004734A5"/>
    <w:rsid w:val="00473EAA"/>
    <w:rsid w:val="00474180"/>
    <w:rsid w:val="00474A1E"/>
    <w:rsid w:val="004751D1"/>
    <w:rsid w:val="004758C4"/>
    <w:rsid w:val="00475B9A"/>
    <w:rsid w:val="00475C79"/>
    <w:rsid w:val="004763BB"/>
    <w:rsid w:val="004768A2"/>
    <w:rsid w:val="004772FD"/>
    <w:rsid w:val="0047765E"/>
    <w:rsid w:val="004802D9"/>
    <w:rsid w:val="004809DB"/>
    <w:rsid w:val="004811F5"/>
    <w:rsid w:val="00481339"/>
    <w:rsid w:val="004818E9"/>
    <w:rsid w:val="00481D52"/>
    <w:rsid w:val="00483F24"/>
    <w:rsid w:val="00484F06"/>
    <w:rsid w:val="0048547D"/>
    <w:rsid w:val="00485607"/>
    <w:rsid w:val="00485DC7"/>
    <w:rsid w:val="00487185"/>
    <w:rsid w:val="00487717"/>
    <w:rsid w:val="0049080E"/>
    <w:rsid w:val="00490BBF"/>
    <w:rsid w:val="00490ED9"/>
    <w:rsid w:val="00491081"/>
    <w:rsid w:val="004910D9"/>
    <w:rsid w:val="00492C89"/>
    <w:rsid w:val="0049315C"/>
    <w:rsid w:val="0049331C"/>
    <w:rsid w:val="0049348B"/>
    <w:rsid w:val="004936F9"/>
    <w:rsid w:val="00493740"/>
    <w:rsid w:val="00494389"/>
    <w:rsid w:val="004943A8"/>
    <w:rsid w:val="004945B3"/>
    <w:rsid w:val="00494FB3"/>
    <w:rsid w:val="00495681"/>
    <w:rsid w:val="004962BA"/>
    <w:rsid w:val="00497124"/>
    <w:rsid w:val="00497566"/>
    <w:rsid w:val="00497591"/>
    <w:rsid w:val="00497704"/>
    <w:rsid w:val="00497BE7"/>
    <w:rsid w:val="004A000B"/>
    <w:rsid w:val="004A11F4"/>
    <w:rsid w:val="004A1EAC"/>
    <w:rsid w:val="004A203A"/>
    <w:rsid w:val="004A332B"/>
    <w:rsid w:val="004A3DE0"/>
    <w:rsid w:val="004A4201"/>
    <w:rsid w:val="004A4645"/>
    <w:rsid w:val="004A5D55"/>
    <w:rsid w:val="004A69F6"/>
    <w:rsid w:val="004A7297"/>
    <w:rsid w:val="004A7849"/>
    <w:rsid w:val="004A79F3"/>
    <w:rsid w:val="004A7AF6"/>
    <w:rsid w:val="004A7B8B"/>
    <w:rsid w:val="004B082D"/>
    <w:rsid w:val="004B0876"/>
    <w:rsid w:val="004B0DCB"/>
    <w:rsid w:val="004B11FE"/>
    <w:rsid w:val="004B1BB7"/>
    <w:rsid w:val="004B1D9A"/>
    <w:rsid w:val="004B1F8F"/>
    <w:rsid w:val="004B204B"/>
    <w:rsid w:val="004B2052"/>
    <w:rsid w:val="004B2075"/>
    <w:rsid w:val="004B222C"/>
    <w:rsid w:val="004B29F4"/>
    <w:rsid w:val="004B2C45"/>
    <w:rsid w:val="004B2FEF"/>
    <w:rsid w:val="004B4B08"/>
    <w:rsid w:val="004B4C41"/>
    <w:rsid w:val="004B4F2D"/>
    <w:rsid w:val="004B62D5"/>
    <w:rsid w:val="004B6D50"/>
    <w:rsid w:val="004B7DA5"/>
    <w:rsid w:val="004B7DEB"/>
    <w:rsid w:val="004C045F"/>
    <w:rsid w:val="004C05E1"/>
    <w:rsid w:val="004C155B"/>
    <w:rsid w:val="004C15C1"/>
    <w:rsid w:val="004C20B6"/>
    <w:rsid w:val="004C302B"/>
    <w:rsid w:val="004C3832"/>
    <w:rsid w:val="004C3C3B"/>
    <w:rsid w:val="004C438B"/>
    <w:rsid w:val="004C457B"/>
    <w:rsid w:val="004C4DB6"/>
    <w:rsid w:val="004C525C"/>
    <w:rsid w:val="004C58CE"/>
    <w:rsid w:val="004C5E10"/>
    <w:rsid w:val="004C6856"/>
    <w:rsid w:val="004C6987"/>
    <w:rsid w:val="004C74DA"/>
    <w:rsid w:val="004C780C"/>
    <w:rsid w:val="004D01C5"/>
    <w:rsid w:val="004D053A"/>
    <w:rsid w:val="004D0B13"/>
    <w:rsid w:val="004D138E"/>
    <w:rsid w:val="004D2DAC"/>
    <w:rsid w:val="004D3F38"/>
    <w:rsid w:val="004D48E5"/>
    <w:rsid w:val="004D631B"/>
    <w:rsid w:val="004D63AE"/>
    <w:rsid w:val="004D78E8"/>
    <w:rsid w:val="004D7F12"/>
    <w:rsid w:val="004E0808"/>
    <w:rsid w:val="004E1863"/>
    <w:rsid w:val="004E27B8"/>
    <w:rsid w:val="004E37B0"/>
    <w:rsid w:val="004E3AF3"/>
    <w:rsid w:val="004E5078"/>
    <w:rsid w:val="004E61B6"/>
    <w:rsid w:val="004E6D49"/>
    <w:rsid w:val="004E6D5C"/>
    <w:rsid w:val="004E70A9"/>
    <w:rsid w:val="004E70FE"/>
    <w:rsid w:val="004E7E96"/>
    <w:rsid w:val="004E7ECE"/>
    <w:rsid w:val="004E7FD9"/>
    <w:rsid w:val="004F0DA1"/>
    <w:rsid w:val="004F16E1"/>
    <w:rsid w:val="004F1A7B"/>
    <w:rsid w:val="004F292B"/>
    <w:rsid w:val="004F2DAE"/>
    <w:rsid w:val="004F49AF"/>
    <w:rsid w:val="004F4A10"/>
    <w:rsid w:val="004F5242"/>
    <w:rsid w:val="004F53F6"/>
    <w:rsid w:val="004F5A9B"/>
    <w:rsid w:val="004F693E"/>
    <w:rsid w:val="004F75BC"/>
    <w:rsid w:val="004F7FA0"/>
    <w:rsid w:val="005005B2"/>
    <w:rsid w:val="00500E88"/>
    <w:rsid w:val="0050115A"/>
    <w:rsid w:val="005025EE"/>
    <w:rsid w:val="005029EE"/>
    <w:rsid w:val="00502C96"/>
    <w:rsid w:val="00503177"/>
    <w:rsid w:val="005037D4"/>
    <w:rsid w:val="005039C3"/>
    <w:rsid w:val="005040E3"/>
    <w:rsid w:val="0050512D"/>
    <w:rsid w:val="0050517A"/>
    <w:rsid w:val="00505320"/>
    <w:rsid w:val="00505B1C"/>
    <w:rsid w:val="00505DCB"/>
    <w:rsid w:val="00505F5D"/>
    <w:rsid w:val="005061B1"/>
    <w:rsid w:val="005061B7"/>
    <w:rsid w:val="005064F1"/>
    <w:rsid w:val="005068D6"/>
    <w:rsid w:val="0050791F"/>
    <w:rsid w:val="00507A68"/>
    <w:rsid w:val="00510558"/>
    <w:rsid w:val="00510FBF"/>
    <w:rsid w:val="00511678"/>
    <w:rsid w:val="00511767"/>
    <w:rsid w:val="00511AFD"/>
    <w:rsid w:val="00512700"/>
    <w:rsid w:val="00512811"/>
    <w:rsid w:val="00512D60"/>
    <w:rsid w:val="00512F34"/>
    <w:rsid w:val="00513017"/>
    <w:rsid w:val="00513246"/>
    <w:rsid w:val="005134FD"/>
    <w:rsid w:val="00513B27"/>
    <w:rsid w:val="0051402F"/>
    <w:rsid w:val="0051554A"/>
    <w:rsid w:val="00515589"/>
    <w:rsid w:val="0051681A"/>
    <w:rsid w:val="00516B39"/>
    <w:rsid w:val="00516F69"/>
    <w:rsid w:val="00517079"/>
    <w:rsid w:val="005171C4"/>
    <w:rsid w:val="00517DA1"/>
    <w:rsid w:val="00520AAF"/>
    <w:rsid w:val="00521987"/>
    <w:rsid w:val="00521C61"/>
    <w:rsid w:val="00521E00"/>
    <w:rsid w:val="00523121"/>
    <w:rsid w:val="005234F5"/>
    <w:rsid w:val="005249BE"/>
    <w:rsid w:val="00524DA5"/>
    <w:rsid w:val="00525D24"/>
    <w:rsid w:val="00525F12"/>
    <w:rsid w:val="00526BCA"/>
    <w:rsid w:val="00527F5C"/>
    <w:rsid w:val="00531425"/>
    <w:rsid w:val="00532031"/>
    <w:rsid w:val="005321DD"/>
    <w:rsid w:val="005324DB"/>
    <w:rsid w:val="00532678"/>
    <w:rsid w:val="0053274C"/>
    <w:rsid w:val="005334D4"/>
    <w:rsid w:val="00533D75"/>
    <w:rsid w:val="00533E96"/>
    <w:rsid w:val="00533EA2"/>
    <w:rsid w:val="005343F5"/>
    <w:rsid w:val="00534DCB"/>
    <w:rsid w:val="005354F7"/>
    <w:rsid w:val="005356CE"/>
    <w:rsid w:val="005362F2"/>
    <w:rsid w:val="00536568"/>
    <w:rsid w:val="00536F36"/>
    <w:rsid w:val="005371EF"/>
    <w:rsid w:val="00537262"/>
    <w:rsid w:val="00537BD6"/>
    <w:rsid w:val="005409F7"/>
    <w:rsid w:val="00540FC2"/>
    <w:rsid w:val="005411B6"/>
    <w:rsid w:val="00541ABA"/>
    <w:rsid w:val="005425D4"/>
    <w:rsid w:val="0054401B"/>
    <w:rsid w:val="00544456"/>
    <w:rsid w:val="00545DF6"/>
    <w:rsid w:val="00546933"/>
    <w:rsid w:val="00546E7D"/>
    <w:rsid w:val="00547613"/>
    <w:rsid w:val="00547B2C"/>
    <w:rsid w:val="00547C9B"/>
    <w:rsid w:val="0055188F"/>
    <w:rsid w:val="00551A48"/>
    <w:rsid w:val="00551CA4"/>
    <w:rsid w:val="00552639"/>
    <w:rsid w:val="0055267B"/>
    <w:rsid w:val="00552E57"/>
    <w:rsid w:val="00553100"/>
    <w:rsid w:val="005541ED"/>
    <w:rsid w:val="005558E9"/>
    <w:rsid w:val="00555F27"/>
    <w:rsid w:val="00555F92"/>
    <w:rsid w:val="005561D3"/>
    <w:rsid w:val="0055702D"/>
    <w:rsid w:val="00557094"/>
    <w:rsid w:val="005575C9"/>
    <w:rsid w:val="0055760E"/>
    <w:rsid w:val="00557784"/>
    <w:rsid w:val="00557BE9"/>
    <w:rsid w:val="00557C07"/>
    <w:rsid w:val="0056104D"/>
    <w:rsid w:val="0056115D"/>
    <w:rsid w:val="005618DC"/>
    <w:rsid w:val="00561B83"/>
    <w:rsid w:val="0056210C"/>
    <w:rsid w:val="00562680"/>
    <w:rsid w:val="00562D93"/>
    <w:rsid w:val="00563058"/>
    <w:rsid w:val="0056321E"/>
    <w:rsid w:val="0056441A"/>
    <w:rsid w:val="00564C41"/>
    <w:rsid w:val="00565717"/>
    <w:rsid w:val="00565BFC"/>
    <w:rsid w:val="00565CFF"/>
    <w:rsid w:val="0056632B"/>
    <w:rsid w:val="005668C4"/>
    <w:rsid w:val="0056755E"/>
    <w:rsid w:val="00570655"/>
    <w:rsid w:val="00570A8E"/>
    <w:rsid w:val="00571674"/>
    <w:rsid w:val="00571CB3"/>
    <w:rsid w:val="0057271C"/>
    <w:rsid w:val="0057321D"/>
    <w:rsid w:val="005734C3"/>
    <w:rsid w:val="005735D1"/>
    <w:rsid w:val="005739F5"/>
    <w:rsid w:val="00573CB7"/>
    <w:rsid w:val="00573F86"/>
    <w:rsid w:val="00574175"/>
    <w:rsid w:val="005744B7"/>
    <w:rsid w:val="005745B0"/>
    <w:rsid w:val="0057481F"/>
    <w:rsid w:val="00575CB2"/>
    <w:rsid w:val="005769D4"/>
    <w:rsid w:val="0057715B"/>
    <w:rsid w:val="0057751A"/>
    <w:rsid w:val="005778B7"/>
    <w:rsid w:val="00580F95"/>
    <w:rsid w:val="00581368"/>
    <w:rsid w:val="00581FB5"/>
    <w:rsid w:val="005827C9"/>
    <w:rsid w:val="00583381"/>
    <w:rsid w:val="00584E50"/>
    <w:rsid w:val="00585151"/>
    <w:rsid w:val="0058573B"/>
    <w:rsid w:val="00585A53"/>
    <w:rsid w:val="00586D82"/>
    <w:rsid w:val="00587284"/>
    <w:rsid w:val="00587F0F"/>
    <w:rsid w:val="00587FAE"/>
    <w:rsid w:val="0059083D"/>
    <w:rsid w:val="00590B54"/>
    <w:rsid w:val="00590B92"/>
    <w:rsid w:val="005921AA"/>
    <w:rsid w:val="005923C9"/>
    <w:rsid w:val="00592E29"/>
    <w:rsid w:val="00593471"/>
    <w:rsid w:val="005941EE"/>
    <w:rsid w:val="0059479F"/>
    <w:rsid w:val="005948C8"/>
    <w:rsid w:val="005949EB"/>
    <w:rsid w:val="005965B2"/>
    <w:rsid w:val="005A05F0"/>
    <w:rsid w:val="005A0825"/>
    <w:rsid w:val="005A08EF"/>
    <w:rsid w:val="005A09B7"/>
    <w:rsid w:val="005A0B15"/>
    <w:rsid w:val="005A0B9C"/>
    <w:rsid w:val="005A11FF"/>
    <w:rsid w:val="005A25C2"/>
    <w:rsid w:val="005A2A95"/>
    <w:rsid w:val="005A2FB0"/>
    <w:rsid w:val="005A39D8"/>
    <w:rsid w:val="005A3B26"/>
    <w:rsid w:val="005A4187"/>
    <w:rsid w:val="005A4F74"/>
    <w:rsid w:val="005A52B3"/>
    <w:rsid w:val="005A60E3"/>
    <w:rsid w:val="005A6470"/>
    <w:rsid w:val="005A6AE1"/>
    <w:rsid w:val="005A7F7E"/>
    <w:rsid w:val="005B113D"/>
    <w:rsid w:val="005B1DB4"/>
    <w:rsid w:val="005B2339"/>
    <w:rsid w:val="005B24E1"/>
    <w:rsid w:val="005B2885"/>
    <w:rsid w:val="005B2DDD"/>
    <w:rsid w:val="005B3099"/>
    <w:rsid w:val="005B4553"/>
    <w:rsid w:val="005B4E48"/>
    <w:rsid w:val="005B4E97"/>
    <w:rsid w:val="005B6B2B"/>
    <w:rsid w:val="005B74F0"/>
    <w:rsid w:val="005B7BBB"/>
    <w:rsid w:val="005B7D66"/>
    <w:rsid w:val="005C0301"/>
    <w:rsid w:val="005C0C2A"/>
    <w:rsid w:val="005C0D4A"/>
    <w:rsid w:val="005C15DD"/>
    <w:rsid w:val="005C2780"/>
    <w:rsid w:val="005C360D"/>
    <w:rsid w:val="005C47A5"/>
    <w:rsid w:val="005C4D16"/>
    <w:rsid w:val="005C4EE8"/>
    <w:rsid w:val="005C501E"/>
    <w:rsid w:val="005C5556"/>
    <w:rsid w:val="005C66D1"/>
    <w:rsid w:val="005C6C83"/>
    <w:rsid w:val="005C7074"/>
    <w:rsid w:val="005C7770"/>
    <w:rsid w:val="005D028D"/>
    <w:rsid w:val="005D0552"/>
    <w:rsid w:val="005D1551"/>
    <w:rsid w:val="005D17A6"/>
    <w:rsid w:val="005D1BBA"/>
    <w:rsid w:val="005D20CB"/>
    <w:rsid w:val="005D2BC4"/>
    <w:rsid w:val="005D4F89"/>
    <w:rsid w:val="005D5F3A"/>
    <w:rsid w:val="005D6C84"/>
    <w:rsid w:val="005D6C99"/>
    <w:rsid w:val="005E04B3"/>
    <w:rsid w:val="005E0661"/>
    <w:rsid w:val="005E1FD8"/>
    <w:rsid w:val="005E23ED"/>
    <w:rsid w:val="005E3541"/>
    <w:rsid w:val="005E4EB8"/>
    <w:rsid w:val="005E5661"/>
    <w:rsid w:val="005E762A"/>
    <w:rsid w:val="005F07B6"/>
    <w:rsid w:val="005F09C9"/>
    <w:rsid w:val="005F0C22"/>
    <w:rsid w:val="005F1165"/>
    <w:rsid w:val="005F150B"/>
    <w:rsid w:val="005F18C7"/>
    <w:rsid w:val="005F2082"/>
    <w:rsid w:val="005F2197"/>
    <w:rsid w:val="005F2638"/>
    <w:rsid w:val="005F31D8"/>
    <w:rsid w:val="005F3A77"/>
    <w:rsid w:val="005F4348"/>
    <w:rsid w:val="005F4961"/>
    <w:rsid w:val="005F49C7"/>
    <w:rsid w:val="005F4B0B"/>
    <w:rsid w:val="005F4CAD"/>
    <w:rsid w:val="005F538E"/>
    <w:rsid w:val="005F5A33"/>
    <w:rsid w:val="005F5A64"/>
    <w:rsid w:val="005F5B3E"/>
    <w:rsid w:val="005F6A43"/>
    <w:rsid w:val="005F6D48"/>
    <w:rsid w:val="005F7BB9"/>
    <w:rsid w:val="005F7C63"/>
    <w:rsid w:val="005F7DAA"/>
    <w:rsid w:val="006003C9"/>
    <w:rsid w:val="00600445"/>
    <w:rsid w:val="006004ED"/>
    <w:rsid w:val="00600527"/>
    <w:rsid w:val="00601659"/>
    <w:rsid w:val="00601AF3"/>
    <w:rsid w:val="00601C47"/>
    <w:rsid w:val="00602774"/>
    <w:rsid w:val="00602CD9"/>
    <w:rsid w:val="006031D3"/>
    <w:rsid w:val="006032BD"/>
    <w:rsid w:val="00603AF4"/>
    <w:rsid w:val="006045B7"/>
    <w:rsid w:val="00604A25"/>
    <w:rsid w:val="00604D17"/>
    <w:rsid w:val="006054FA"/>
    <w:rsid w:val="006057BA"/>
    <w:rsid w:val="00605805"/>
    <w:rsid w:val="00607FAF"/>
    <w:rsid w:val="00610C10"/>
    <w:rsid w:val="00610C4B"/>
    <w:rsid w:val="00611780"/>
    <w:rsid w:val="00611CB0"/>
    <w:rsid w:val="0061232E"/>
    <w:rsid w:val="006139BC"/>
    <w:rsid w:val="00613AAE"/>
    <w:rsid w:val="00613E75"/>
    <w:rsid w:val="006141DA"/>
    <w:rsid w:val="00614E69"/>
    <w:rsid w:val="00615FE1"/>
    <w:rsid w:val="00616586"/>
    <w:rsid w:val="00616B99"/>
    <w:rsid w:val="00616C4F"/>
    <w:rsid w:val="00616ECA"/>
    <w:rsid w:val="00620937"/>
    <w:rsid w:val="00621491"/>
    <w:rsid w:val="0062195E"/>
    <w:rsid w:val="006219E6"/>
    <w:rsid w:val="00621BCD"/>
    <w:rsid w:val="0062260E"/>
    <w:rsid w:val="0062265E"/>
    <w:rsid w:val="00622AAD"/>
    <w:rsid w:val="00622E97"/>
    <w:rsid w:val="00623933"/>
    <w:rsid w:val="00623F55"/>
    <w:rsid w:val="00624338"/>
    <w:rsid w:val="00625105"/>
    <w:rsid w:val="00625741"/>
    <w:rsid w:val="00625D6E"/>
    <w:rsid w:val="00626042"/>
    <w:rsid w:val="00626F4A"/>
    <w:rsid w:val="00627DE1"/>
    <w:rsid w:val="006305F3"/>
    <w:rsid w:val="0063084F"/>
    <w:rsid w:val="00630D26"/>
    <w:rsid w:val="00631137"/>
    <w:rsid w:val="006312C8"/>
    <w:rsid w:val="006312ED"/>
    <w:rsid w:val="006313B6"/>
    <w:rsid w:val="00631725"/>
    <w:rsid w:val="00631F6F"/>
    <w:rsid w:val="00632030"/>
    <w:rsid w:val="00632F94"/>
    <w:rsid w:val="00633692"/>
    <w:rsid w:val="00633F56"/>
    <w:rsid w:val="00634F25"/>
    <w:rsid w:val="00634F7C"/>
    <w:rsid w:val="006356BE"/>
    <w:rsid w:val="00637638"/>
    <w:rsid w:val="006379CC"/>
    <w:rsid w:val="00637CBD"/>
    <w:rsid w:val="00640238"/>
    <w:rsid w:val="00640729"/>
    <w:rsid w:val="0064093C"/>
    <w:rsid w:val="006412E6"/>
    <w:rsid w:val="00642001"/>
    <w:rsid w:val="00642128"/>
    <w:rsid w:val="00642B04"/>
    <w:rsid w:val="006434A1"/>
    <w:rsid w:val="00643E7E"/>
    <w:rsid w:val="00644A7E"/>
    <w:rsid w:val="00645D1B"/>
    <w:rsid w:val="0064695A"/>
    <w:rsid w:val="006469A8"/>
    <w:rsid w:val="00647429"/>
    <w:rsid w:val="00647777"/>
    <w:rsid w:val="00647AB9"/>
    <w:rsid w:val="0065153F"/>
    <w:rsid w:val="0065191B"/>
    <w:rsid w:val="0065256B"/>
    <w:rsid w:val="00652A97"/>
    <w:rsid w:val="006558A8"/>
    <w:rsid w:val="00655985"/>
    <w:rsid w:val="00655996"/>
    <w:rsid w:val="0065705C"/>
    <w:rsid w:val="0065709A"/>
    <w:rsid w:val="00657345"/>
    <w:rsid w:val="006575DF"/>
    <w:rsid w:val="0065797D"/>
    <w:rsid w:val="006608F0"/>
    <w:rsid w:val="006609C3"/>
    <w:rsid w:val="006621FD"/>
    <w:rsid w:val="0066267B"/>
    <w:rsid w:val="006628CD"/>
    <w:rsid w:val="00662B61"/>
    <w:rsid w:val="0066348A"/>
    <w:rsid w:val="00663521"/>
    <w:rsid w:val="0066372C"/>
    <w:rsid w:val="00664D53"/>
    <w:rsid w:val="00665D32"/>
    <w:rsid w:val="00666028"/>
    <w:rsid w:val="00667A90"/>
    <w:rsid w:val="00667F09"/>
    <w:rsid w:val="006704EC"/>
    <w:rsid w:val="00670A7A"/>
    <w:rsid w:val="006710C4"/>
    <w:rsid w:val="0067153F"/>
    <w:rsid w:val="006737FE"/>
    <w:rsid w:val="006750D5"/>
    <w:rsid w:val="006755E0"/>
    <w:rsid w:val="00675F16"/>
    <w:rsid w:val="00676FCE"/>
    <w:rsid w:val="0067784A"/>
    <w:rsid w:val="00680686"/>
    <w:rsid w:val="00680B72"/>
    <w:rsid w:val="00680BDF"/>
    <w:rsid w:val="00681A41"/>
    <w:rsid w:val="00681F52"/>
    <w:rsid w:val="006821C6"/>
    <w:rsid w:val="006821E2"/>
    <w:rsid w:val="00682407"/>
    <w:rsid w:val="006824B8"/>
    <w:rsid w:val="0068309A"/>
    <w:rsid w:val="006831AD"/>
    <w:rsid w:val="00683CB0"/>
    <w:rsid w:val="006844CE"/>
    <w:rsid w:val="0068480A"/>
    <w:rsid w:val="00685322"/>
    <w:rsid w:val="0068675D"/>
    <w:rsid w:val="00686D05"/>
    <w:rsid w:val="00686E6C"/>
    <w:rsid w:val="00687091"/>
    <w:rsid w:val="006872F6"/>
    <w:rsid w:val="006901E1"/>
    <w:rsid w:val="0069023E"/>
    <w:rsid w:val="006904B8"/>
    <w:rsid w:val="0069141D"/>
    <w:rsid w:val="00692283"/>
    <w:rsid w:val="00694234"/>
    <w:rsid w:val="006942F3"/>
    <w:rsid w:val="0069434C"/>
    <w:rsid w:val="00694383"/>
    <w:rsid w:val="0069593E"/>
    <w:rsid w:val="00696380"/>
    <w:rsid w:val="0069780C"/>
    <w:rsid w:val="00697B5D"/>
    <w:rsid w:val="006A04BC"/>
    <w:rsid w:val="006A05EB"/>
    <w:rsid w:val="006A0838"/>
    <w:rsid w:val="006A09D7"/>
    <w:rsid w:val="006A0FAC"/>
    <w:rsid w:val="006A1061"/>
    <w:rsid w:val="006A148D"/>
    <w:rsid w:val="006A1DD4"/>
    <w:rsid w:val="006A1DE4"/>
    <w:rsid w:val="006A1F98"/>
    <w:rsid w:val="006A23EF"/>
    <w:rsid w:val="006A26BB"/>
    <w:rsid w:val="006A3990"/>
    <w:rsid w:val="006A3CEB"/>
    <w:rsid w:val="006A41A7"/>
    <w:rsid w:val="006A4593"/>
    <w:rsid w:val="006A49CE"/>
    <w:rsid w:val="006A5169"/>
    <w:rsid w:val="006A5876"/>
    <w:rsid w:val="006A5E36"/>
    <w:rsid w:val="006A66C4"/>
    <w:rsid w:val="006A723C"/>
    <w:rsid w:val="006A775A"/>
    <w:rsid w:val="006A7B78"/>
    <w:rsid w:val="006A7D8F"/>
    <w:rsid w:val="006B07BF"/>
    <w:rsid w:val="006B0C2B"/>
    <w:rsid w:val="006B0F1B"/>
    <w:rsid w:val="006B1E6E"/>
    <w:rsid w:val="006B229F"/>
    <w:rsid w:val="006B26DB"/>
    <w:rsid w:val="006B34D6"/>
    <w:rsid w:val="006B34FB"/>
    <w:rsid w:val="006B385E"/>
    <w:rsid w:val="006B3860"/>
    <w:rsid w:val="006B4203"/>
    <w:rsid w:val="006B5917"/>
    <w:rsid w:val="006B6502"/>
    <w:rsid w:val="006B6A36"/>
    <w:rsid w:val="006B6FDE"/>
    <w:rsid w:val="006B6FF1"/>
    <w:rsid w:val="006B7143"/>
    <w:rsid w:val="006B74EE"/>
    <w:rsid w:val="006C0625"/>
    <w:rsid w:val="006C14F0"/>
    <w:rsid w:val="006C1679"/>
    <w:rsid w:val="006C1ABE"/>
    <w:rsid w:val="006C1DE8"/>
    <w:rsid w:val="006C2796"/>
    <w:rsid w:val="006C2A44"/>
    <w:rsid w:val="006C31EE"/>
    <w:rsid w:val="006C370F"/>
    <w:rsid w:val="006C389E"/>
    <w:rsid w:val="006C3C43"/>
    <w:rsid w:val="006C4DAE"/>
    <w:rsid w:val="006C4EEA"/>
    <w:rsid w:val="006C5BA5"/>
    <w:rsid w:val="006C665A"/>
    <w:rsid w:val="006C6C10"/>
    <w:rsid w:val="006C7942"/>
    <w:rsid w:val="006C79E3"/>
    <w:rsid w:val="006C7AEB"/>
    <w:rsid w:val="006D00C6"/>
    <w:rsid w:val="006D024A"/>
    <w:rsid w:val="006D120D"/>
    <w:rsid w:val="006D18A3"/>
    <w:rsid w:val="006D258C"/>
    <w:rsid w:val="006D28E1"/>
    <w:rsid w:val="006D2B05"/>
    <w:rsid w:val="006D2C16"/>
    <w:rsid w:val="006D2F9F"/>
    <w:rsid w:val="006D3379"/>
    <w:rsid w:val="006D36B1"/>
    <w:rsid w:val="006D41FA"/>
    <w:rsid w:val="006D4542"/>
    <w:rsid w:val="006E0678"/>
    <w:rsid w:val="006E06BF"/>
    <w:rsid w:val="006E1909"/>
    <w:rsid w:val="006E21C5"/>
    <w:rsid w:val="006E2582"/>
    <w:rsid w:val="006E25AF"/>
    <w:rsid w:val="006E260D"/>
    <w:rsid w:val="006E2D36"/>
    <w:rsid w:val="006E3509"/>
    <w:rsid w:val="006E4555"/>
    <w:rsid w:val="006E48CA"/>
    <w:rsid w:val="006E4CC3"/>
    <w:rsid w:val="006E53BC"/>
    <w:rsid w:val="006E5801"/>
    <w:rsid w:val="006E5912"/>
    <w:rsid w:val="006E5F94"/>
    <w:rsid w:val="006E63E7"/>
    <w:rsid w:val="006E67E5"/>
    <w:rsid w:val="006E6B0A"/>
    <w:rsid w:val="006E73C4"/>
    <w:rsid w:val="006E7472"/>
    <w:rsid w:val="006E7A01"/>
    <w:rsid w:val="006F05AA"/>
    <w:rsid w:val="006F0824"/>
    <w:rsid w:val="006F08F6"/>
    <w:rsid w:val="006F10D4"/>
    <w:rsid w:val="006F1493"/>
    <w:rsid w:val="006F1C49"/>
    <w:rsid w:val="006F1F7B"/>
    <w:rsid w:val="006F223D"/>
    <w:rsid w:val="006F2675"/>
    <w:rsid w:val="006F26C5"/>
    <w:rsid w:val="006F2763"/>
    <w:rsid w:val="006F2867"/>
    <w:rsid w:val="006F2938"/>
    <w:rsid w:val="006F3DBE"/>
    <w:rsid w:val="006F4EED"/>
    <w:rsid w:val="006F714D"/>
    <w:rsid w:val="006F7BB6"/>
    <w:rsid w:val="00701930"/>
    <w:rsid w:val="00701A19"/>
    <w:rsid w:val="00701A2B"/>
    <w:rsid w:val="00701D4C"/>
    <w:rsid w:val="00701F76"/>
    <w:rsid w:val="007038E5"/>
    <w:rsid w:val="0070441A"/>
    <w:rsid w:val="0070527F"/>
    <w:rsid w:val="00705CC3"/>
    <w:rsid w:val="00707051"/>
    <w:rsid w:val="00707A7F"/>
    <w:rsid w:val="00707B87"/>
    <w:rsid w:val="00707D57"/>
    <w:rsid w:val="00707E22"/>
    <w:rsid w:val="00707E62"/>
    <w:rsid w:val="00710124"/>
    <w:rsid w:val="007103FB"/>
    <w:rsid w:val="007106E9"/>
    <w:rsid w:val="007112BF"/>
    <w:rsid w:val="00711A26"/>
    <w:rsid w:val="00711F12"/>
    <w:rsid w:val="007120CE"/>
    <w:rsid w:val="00712E03"/>
    <w:rsid w:val="0071366C"/>
    <w:rsid w:val="00713C57"/>
    <w:rsid w:val="00714B2F"/>
    <w:rsid w:val="0071541C"/>
    <w:rsid w:val="0071654F"/>
    <w:rsid w:val="007167D8"/>
    <w:rsid w:val="007168D9"/>
    <w:rsid w:val="0071709F"/>
    <w:rsid w:val="007201F7"/>
    <w:rsid w:val="007208DA"/>
    <w:rsid w:val="00721FE3"/>
    <w:rsid w:val="00722688"/>
    <w:rsid w:val="00722C0D"/>
    <w:rsid w:val="00722F26"/>
    <w:rsid w:val="007237FA"/>
    <w:rsid w:val="00724E61"/>
    <w:rsid w:val="007252F3"/>
    <w:rsid w:val="00725615"/>
    <w:rsid w:val="00725E41"/>
    <w:rsid w:val="007264D0"/>
    <w:rsid w:val="007268D9"/>
    <w:rsid w:val="00726AAB"/>
    <w:rsid w:val="00727AAA"/>
    <w:rsid w:val="00730104"/>
    <w:rsid w:val="007301A1"/>
    <w:rsid w:val="007303FB"/>
    <w:rsid w:val="00730A22"/>
    <w:rsid w:val="00730B1E"/>
    <w:rsid w:val="00731964"/>
    <w:rsid w:val="00731FF3"/>
    <w:rsid w:val="0073263E"/>
    <w:rsid w:val="00733123"/>
    <w:rsid w:val="007339F8"/>
    <w:rsid w:val="00733F52"/>
    <w:rsid w:val="00734CAE"/>
    <w:rsid w:val="00735F13"/>
    <w:rsid w:val="007362C6"/>
    <w:rsid w:val="007370F5"/>
    <w:rsid w:val="00740234"/>
    <w:rsid w:val="00741ACF"/>
    <w:rsid w:val="00742AA9"/>
    <w:rsid w:val="00742E4E"/>
    <w:rsid w:val="00742E83"/>
    <w:rsid w:val="00743989"/>
    <w:rsid w:val="00744B02"/>
    <w:rsid w:val="007452FB"/>
    <w:rsid w:val="007456FF"/>
    <w:rsid w:val="007462D6"/>
    <w:rsid w:val="00746BDA"/>
    <w:rsid w:val="00747007"/>
    <w:rsid w:val="00750247"/>
    <w:rsid w:val="0075106D"/>
    <w:rsid w:val="007513B0"/>
    <w:rsid w:val="00752D37"/>
    <w:rsid w:val="00753024"/>
    <w:rsid w:val="00753141"/>
    <w:rsid w:val="00753952"/>
    <w:rsid w:val="00753CE1"/>
    <w:rsid w:val="007541F6"/>
    <w:rsid w:val="0075448A"/>
    <w:rsid w:val="007544E8"/>
    <w:rsid w:val="00754D42"/>
    <w:rsid w:val="007551D6"/>
    <w:rsid w:val="007556A4"/>
    <w:rsid w:val="0075628B"/>
    <w:rsid w:val="00756F6D"/>
    <w:rsid w:val="00757036"/>
    <w:rsid w:val="007576EB"/>
    <w:rsid w:val="00760822"/>
    <w:rsid w:val="00760FEE"/>
    <w:rsid w:val="00761C0D"/>
    <w:rsid w:val="00761FDA"/>
    <w:rsid w:val="00761FF7"/>
    <w:rsid w:val="007620B1"/>
    <w:rsid w:val="00762472"/>
    <w:rsid w:val="007628F2"/>
    <w:rsid w:val="00762BCD"/>
    <w:rsid w:val="0076383E"/>
    <w:rsid w:val="00763E1C"/>
    <w:rsid w:val="00764317"/>
    <w:rsid w:val="00764F52"/>
    <w:rsid w:val="00764F75"/>
    <w:rsid w:val="0076543D"/>
    <w:rsid w:val="0076575B"/>
    <w:rsid w:val="00765C1A"/>
    <w:rsid w:val="00766C5A"/>
    <w:rsid w:val="007676AC"/>
    <w:rsid w:val="00767BE6"/>
    <w:rsid w:val="00767E11"/>
    <w:rsid w:val="00773177"/>
    <w:rsid w:val="007740D2"/>
    <w:rsid w:val="0077456A"/>
    <w:rsid w:val="0077527A"/>
    <w:rsid w:val="00775B3F"/>
    <w:rsid w:val="00775C48"/>
    <w:rsid w:val="00775CF0"/>
    <w:rsid w:val="00776609"/>
    <w:rsid w:val="00776EE3"/>
    <w:rsid w:val="007779C1"/>
    <w:rsid w:val="00777D4B"/>
    <w:rsid w:val="00780812"/>
    <w:rsid w:val="007808BD"/>
    <w:rsid w:val="00780E04"/>
    <w:rsid w:val="00780F1C"/>
    <w:rsid w:val="00781414"/>
    <w:rsid w:val="00781579"/>
    <w:rsid w:val="007824E3"/>
    <w:rsid w:val="00782AEC"/>
    <w:rsid w:val="0078329F"/>
    <w:rsid w:val="00783370"/>
    <w:rsid w:val="007838BD"/>
    <w:rsid w:val="00783BBF"/>
    <w:rsid w:val="00783EF6"/>
    <w:rsid w:val="007845FE"/>
    <w:rsid w:val="007852A0"/>
    <w:rsid w:val="0078573F"/>
    <w:rsid w:val="007867A5"/>
    <w:rsid w:val="007906FC"/>
    <w:rsid w:val="00790A91"/>
    <w:rsid w:val="00790C4F"/>
    <w:rsid w:val="00792302"/>
    <w:rsid w:val="0079249D"/>
    <w:rsid w:val="00792ACF"/>
    <w:rsid w:val="0079301B"/>
    <w:rsid w:val="007934B2"/>
    <w:rsid w:val="00793D29"/>
    <w:rsid w:val="007946D1"/>
    <w:rsid w:val="00795477"/>
    <w:rsid w:val="00795525"/>
    <w:rsid w:val="00795D13"/>
    <w:rsid w:val="00796406"/>
    <w:rsid w:val="0079669D"/>
    <w:rsid w:val="00797447"/>
    <w:rsid w:val="00797702"/>
    <w:rsid w:val="00797B3B"/>
    <w:rsid w:val="00797CB6"/>
    <w:rsid w:val="007A040A"/>
    <w:rsid w:val="007A0EC9"/>
    <w:rsid w:val="007A1278"/>
    <w:rsid w:val="007A1310"/>
    <w:rsid w:val="007A1637"/>
    <w:rsid w:val="007A22A9"/>
    <w:rsid w:val="007A27DA"/>
    <w:rsid w:val="007A38AC"/>
    <w:rsid w:val="007A3DF8"/>
    <w:rsid w:val="007A4397"/>
    <w:rsid w:val="007A47A2"/>
    <w:rsid w:val="007A6092"/>
    <w:rsid w:val="007A6813"/>
    <w:rsid w:val="007A6887"/>
    <w:rsid w:val="007A6936"/>
    <w:rsid w:val="007A698A"/>
    <w:rsid w:val="007A6B0E"/>
    <w:rsid w:val="007A7159"/>
    <w:rsid w:val="007A76EA"/>
    <w:rsid w:val="007A7BBA"/>
    <w:rsid w:val="007B1708"/>
    <w:rsid w:val="007B286E"/>
    <w:rsid w:val="007B3692"/>
    <w:rsid w:val="007B3914"/>
    <w:rsid w:val="007B3BF6"/>
    <w:rsid w:val="007B3ED3"/>
    <w:rsid w:val="007B4968"/>
    <w:rsid w:val="007B4DDF"/>
    <w:rsid w:val="007B5507"/>
    <w:rsid w:val="007B571F"/>
    <w:rsid w:val="007B5D27"/>
    <w:rsid w:val="007B6C5F"/>
    <w:rsid w:val="007B7A61"/>
    <w:rsid w:val="007C0612"/>
    <w:rsid w:val="007C06F0"/>
    <w:rsid w:val="007C0CED"/>
    <w:rsid w:val="007C1271"/>
    <w:rsid w:val="007C20DF"/>
    <w:rsid w:val="007C2304"/>
    <w:rsid w:val="007C327A"/>
    <w:rsid w:val="007C355E"/>
    <w:rsid w:val="007C3EF9"/>
    <w:rsid w:val="007C40C3"/>
    <w:rsid w:val="007C4479"/>
    <w:rsid w:val="007C4DED"/>
    <w:rsid w:val="007C51E5"/>
    <w:rsid w:val="007C674F"/>
    <w:rsid w:val="007C6D0C"/>
    <w:rsid w:val="007C7105"/>
    <w:rsid w:val="007C7709"/>
    <w:rsid w:val="007C791B"/>
    <w:rsid w:val="007D01FF"/>
    <w:rsid w:val="007D0697"/>
    <w:rsid w:val="007D0C5A"/>
    <w:rsid w:val="007D1DE2"/>
    <w:rsid w:val="007D237B"/>
    <w:rsid w:val="007D2D52"/>
    <w:rsid w:val="007D2E87"/>
    <w:rsid w:val="007D2EA3"/>
    <w:rsid w:val="007D32A2"/>
    <w:rsid w:val="007D35D4"/>
    <w:rsid w:val="007D42DA"/>
    <w:rsid w:val="007D4EF8"/>
    <w:rsid w:val="007D5652"/>
    <w:rsid w:val="007D58E7"/>
    <w:rsid w:val="007D5902"/>
    <w:rsid w:val="007D7562"/>
    <w:rsid w:val="007D790E"/>
    <w:rsid w:val="007E0364"/>
    <w:rsid w:val="007E077D"/>
    <w:rsid w:val="007E1096"/>
    <w:rsid w:val="007E195D"/>
    <w:rsid w:val="007E1CAC"/>
    <w:rsid w:val="007E2119"/>
    <w:rsid w:val="007E2973"/>
    <w:rsid w:val="007E313E"/>
    <w:rsid w:val="007E3226"/>
    <w:rsid w:val="007E5046"/>
    <w:rsid w:val="007E518C"/>
    <w:rsid w:val="007E5722"/>
    <w:rsid w:val="007E68CF"/>
    <w:rsid w:val="007E6B46"/>
    <w:rsid w:val="007E7908"/>
    <w:rsid w:val="007E7EF5"/>
    <w:rsid w:val="007F017E"/>
    <w:rsid w:val="007F089B"/>
    <w:rsid w:val="007F0E8E"/>
    <w:rsid w:val="007F156D"/>
    <w:rsid w:val="007F23A7"/>
    <w:rsid w:val="007F28C3"/>
    <w:rsid w:val="007F2B0B"/>
    <w:rsid w:val="007F2C68"/>
    <w:rsid w:val="007F3121"/>
    <w:rsid w:val="007F3673"/>
    <w:rsid w:val="007F39D9"/>
    <w:rsid w:val="007F42C3"/>
    <w:rsid w:val="007F48E8"/>
    <w:rsid w:val="007F4AC0"/>
    <w:rsid w:val="007F56F5"/>
    <w:rsid w:val="007F61C1"/>
    <w:rsid w:val="007F76F8"/>
    <w:rsid w:val="007F7782"/>
    <w:rsid w:val="00800135"/>
    <w:rsid w:val="00800191"/>
    <w:rsid w:val="00800609"/>
    <w:rsid w:val="00801365"/>
    <w:rsid w:val="00801837"/>
    <w:rsid w:val="0080231F"/>
    <w:rsid w:val="00802A64"/>
    <w:rsid w:val="00802D7F"/>
    <w:rsid w:val="00802F6A"/>
    <w:rsid w:val="00804201"/>
    <w:rsid w:val="008049A8"/>
    <w:rsid w:val="00804C2A"/>
    <w:rsid w:val="0080530C"/>
    <w:rsid w:val="0080555A"/>
    <w:rsid w:val="00806C71"/>
    <w:rsid w:val="00807BCF"/>
    <w:rsid w:val="00810126"/>
    <w:rsid w:val="00810367"/>
    <w:rsid w:val="0081038D"/>
    <w:rsid w:val="00810645"/>
    <w:rsid w:val="00810BB5"/>
    <w:rsid w:val="00810F2B"/>
    <w:rsid w:val="00810F83"/>
    <w:rsid w:val="0081128D"/>
    <w:rsid w:val="008121F6"/>
    <w:rsid w:val="00812286"/>
    <w:rsid w:val="00813435"/>
    <w:rsid w:val="008137EC"/>
    <w:rsid w:val="00813CD4"/>
    <w:rsid w:val="00813F8F"/>
    <w:rsid w:val="00814E0E"/>
    <w:rsid w:val="00814EFD"/>
    <w:rsid w:val="00815611"/>
    <w:rsid w:val="00816D6E"/>
    <w:rsid w:val="00816E2B"/>
    <w:rsid w:val="008170BD"/>
    <w:rsid w:val="008172E3"/>
    <w:rsid w:val="00817A1A"/>
    <w:rsid w:val="008202BE"/>
    <w:rsid w:val="00820EE7"/>
    <w:rsid w:val="00821D46"/>
    <w:rsid w:val="00821FBE"/>
    <w:rsid w:val="0082235D"/>
    <w:rsid w:val="00822645"/>
    <w:rsid w:val="008227B2"/>
    <w:rsid w:val="008239D3"/>
    <w:rsid w:val="00823F1E"/>
    <w:rsid w:val="00827385"/>
    <w:rsid w:val="00830E6F"/>
    <w:rsid w:val="008310D9"/>
    <w:rsid w:val="00832022"/>
    <w:rsid w:val="008320E3"/>
    <w:rsid w:val="00832DBD"/>
    <w:rsid w:val="00832EDE"/>
    <w:rsid w:val="00833691"/>
    <w:rsid w:val="008354A5"/>
    <w:rsid w:val="0083569B"/>
    <w:rsid w:val="00836104"/>
    <w:rsid w:val="00836DBA"/>
    <w:rsid w:val="00837475"/>
    <w:rsid w:val="00837573"/>
    <w:rsid w:val="0083772A"/>
    <w:rsid w:val="00837751"/>
    <w:rsid w:val="008378F9"/>
    <w:rsid w:val="0084099F"/>
    <w:rsid w:val="00841151"/>
    <w:rsid w:val="0084163A"/>
    <w:rsid w:val="008419C1"/>
    <w:rsid w:val="00841B1A"/>
    <w:rsid w:val="008434C7"/>
    <w:rsid w:val="0084393C"/>
    <w:rsid w:val="00843E1E"/>
    <w:rsid w:val="0084447C"/>
    <w:rsid w:val="00844846"/>
    <w:rsid w:val="00845D9D"/>
    <w:rsid w:val="0084672A"/>
    <w:rsid w:val="00846E45"/>
    <w:rsid w:val="008471E5"/>
    <w:rsid w:val="00847208"/>
    <w:rsid w:val="00847267"/>
    <w:rsid w:val="0084798C"/>
    <w:rsid w:val="00850CE8"/>
    <w:rsid w:val="00852243"/>
    <w:rsid w:val="00852A6E"/>
    <w:rsid w:val="0085306C"/>
    <w:rsid w:val="00853768"/>
    <w:rsid w:val="00853F72"/>
    <w:rsid w:val="00854D3D"/>
    <w:rsid w:val="00855FDE"/>
    <w:rsid w:val="00856453"/>
    <w:rsid w:val="00856AB4"/>
    <w:rsid w:val="008571F6"/>
    <w:rsid w:val="0086058D"/>
    <w:rsid w:val="00860A62"/>
    <w:rsid w:val="00861104"/>
    <w:rsid w:val="008614B9"/>
    <w:rsid w:val="008618E5"/>
    <w:rsid w:val="00861F95"/>
    <w:rsid w:val="00862077"/>
    <w:rsid w:val="0086284D"/>
    <w:rsid w:val="00862912"/>
    <w:rsid w:val="008630E5"/>
    <w:rsid w:val="00863A9E"/>
    <w:rsid w:val="00864294"/>
    <w:rsid w:val="0086441C"/>
    <w:rsid w:val="008647D1"/>
    <w:rsid w:val="0086581C"/>
    <w:rsid w:val="00866F8E"/>
    <w:rsid w:val="00867052"/>
    <w:rsid w:val="00867168"/>
    <w:rsid w:val="008677B8"/>
    <w:rsid w:val="00867BDC"/>
    <w:rsid w:val="00867CF5"/>
    <w:rsid w:val="008705F6"/>
    <w:rsid w:val="00870727"/>
    <w:rsid w:val="0087075A"/>
    <w:rsid w:val="0087101A"/>
    <w:rsid w:val="008713D8"/>
    <w:rsid w:val="00871E8E"/>
    <w:rsid w:val="00872081"/>
    <w:rsid w:val="00872588"/>
    <w:rsid w:val="00873945"/>
    <w:rsid w:val="00874848"/>
    <w:rsid w:val="00874EEA"/>
    <w:rsid w:val="0087530A"/>
    <w:rsid w:val="008754C0"/>
    <w:rsid w:val="008760D4"/>
    <w:rsid w:val="008765A0"/>
    <w:rsid w:val="00876620"/>
    <w:rsid w:val="0087665D"/>
    <w:rsid w:val="00877F38"/>
    <w:rsid w:val="008810C7"/>
    <w:rsid w:val="008823BE"/>
    <w:rsid w:val="008825C2"/>
    <w:rsid w:val="00882E2D"/>
    <w:rsid w:val="0088479A"/>
    <w:rsid w:val="00884A4C"/>
    <w:rsid w:val="0088531C"/>
    <w:rsid w:val="008854A5"/>
    <w:rsid w:val="008861C9"/>
    <w:rsid w:val="008862F4"/>
    <w:rsid w:val="00886664"/>
    <w:rsid w:val="00887118"/>
    <w:rsid w:val="008877FB"/>
    <w:rsid w:val="00890098"/>
    <w:rsid w:val="00890A54"/>
    <w:rsid w:val="00890E88"/>
    <w:rsid w:val="00890F0A"/>
    <w:rsid w:val="008914DE"/>
    <w:rsid w:val="00891A27"/>
    <w:rsid w:val="008921FC"/>
    <w:rsid w:val="008924AE"/>
    <w:rsid w:val="00893513"/>
    <w:rsid w:val="00893CB6"/>
    <w:rsid w:val="00893D77"/>
    <w:rsid w:val="008942FD"/>
    <w:rsid w:val="008943C9"/>
    <w:rsid w:val="00894437"/>
    <w:rsid w:val="00894DC3"/>
    <w:rsid w:val="00894ED9"/>
    <w:rsid w:val="00895389"/>
    <w:rsid w:val="0089587D"/>
    <w:rsid w:val="008968DD"/>
    <w:rsid w:val="00896EDA"/>
    <w:rsid w:val="00897931"/>
    <w:rsid w:val="00897CD8"/>
    <w:rsid w:val="008A072E"/>
    <w:rsid w:val="008A1E23"/>
    <w:rsid w:val="008A32EB"/>
    <w:rsid w:val="008A3489"/>
    <w:rsid w:val="008A39DE"/>
    <w:rsid w:val="008A3E1B"/>
    <w:rsid w:val="008A400A"/>
    <w:rsid w:val="008A4604"/>
    <w:rsid w:val="008A46A0"/>
    <w:rsid w:val="008A4B52"/>
    <w:rsid w:val="008A5305"/>
    <w:rsid w:val="008A55ED"/>
    <w:rsid w:val="008A66EA"/>
    <w:rsid w:val="008A66FA"/>
    <w:rsid w:val="008A71BD"/>
    <w:rsid w:val="008A7CC3"/>
    <w:rsid w:val="008B0BB1"/>
    <w:rsid w:val="008B168B"/>
    <w:rsid w:val="008B271A"/>
    <w:rsid w:val="008B37EB"/>
    <w:rsid w:val="008B38C9"/>
    <w:rsid w:val="008B3DB3"/>
    <w:rsid w:val="008B4F90"/>
    <w:rsid w:val="008B5183"/>
    <w:rsid w:val="008B5B36"/>
    <w:rsid w:val="008B617A"/>
    <w:rsid w:val="008B630A"/>
    <w:rsid w:val="008B68B2"/>
    <w:rsid w:val="008B6CC2"/>
    <w:rsid w:val="008B7281"/>
    <w:rsid w:val="008B7967"/>
    <w:rsid w:val="008C012E"/>
    <w:rsid w:val="008C066F"/>
    <w:rsid w:val="008C170C"/>
    <w:rsid w:val="008C24E7"/>
    <w:rsid w:val="008C2506"/>
    <w:rsid w:val="008C2689"/>
    <w:rsid w:val="008C272A"/>
    <w:rsid w:val="008C275B"/>
    <w:rsid w:val="008C3204"/>
    <w:rsid w:val="008C39FB"/>
    <w:rsid w:val="008C3BB8"/>
    <w:rsid w:val="008C49FE"/>
    <w:rsid w:val="008C4BAF"/>
    <w:rsid w:val="008C4D49"/>
    <w:rsid w:val="008C5511"/>
    <w:rsid w:val="008C574D"/>
    <w:rsid w:val="008C5F91"/>
    <w:rsid w:val="008C68D2"/>
    <w:rsid w:val="008C7F5D"/>
    <w:rsid w:val="008D0186"/>
    <w:rsid w:val="008D05EA"/>
    <w:rsid w:val="008D076E"/>
    <w:rsid w:val="008D091D"/>
    <w:rsid w:val="008D0FE9"/>
    <w:rsid w:val="008D1981"/>
    <w:rsid w:val="008D1DF4"/>
    <w:rsid w:val="008D1EF6"/>
    <w:rsid w:val="008D2A15"/>
    <w:rsid w:val="008D2FC9"/>
    <w:rsid w:val="008D35C9"/>
    <w:rsid w:val="008D4344"/>
    <w:rsid w:val="008D4E64"/>
    <w:rsid w:val="008D5109"/>
    <w:rsid w:val="008D5424"/>
    <w:rsid w:val="008D5CAE"/>
    <w:rsid w:val="008D5EFC"/>
    <w:rsid w:val="008D5F3E"/>
    <w:rsid w:val="008D6A72"/>
    <w:rsid w:val="008D716C"/>
    <w:rsid w:val="008D75D8"/>
    <w:rsid w:val="008D798E"/>
    <w:rsid w:val="008E1222"/>
    <w:rsid w:val="008E1406"/>
    <w:rsid w:val="008E2002"/>
    <w:rsid w:val="008E34BE"/>
    <w:rsid w:val="008E38E2"/>
    <w:rsid w:val="008E3C06"/>
    <w:rsid w:val="008E4152"/>
    <w:rsid w:val="008E4252"/>
    <w:rsid w:val="008E4DDC"/>
    <w:rsid w:val="008E5237"/>
    <w:rsid w:val="008E61B2"/>
    <w:rsid w:val="008E660A"/>
    <w:rsid w:val="008E666E"/>
    <w:rsid w:val="008E7047"/>
    <w:rsid w:val="008E74F0"/>
    <w:rsid w:val="008E7E09"/>
    <w:rsid w:val="008E7FA3"/>
    <w:rsid w:val="008F0237"/>
    <w:rsid w:val="008F0497"/>
    <w:rsid w:val="008F0D39"/>
    <w:rsid w:val="008F11EC"/>
    <w:rsid w:val="008F17AA"/>
    <w:rsid w:val="008F1C27"/>
    <w:rsid w:val="008F2142"/>
    <w:rsid w:val="008F24CA"/>
    <w:rsid w:val="008F2655"/>
    <w:rsid w:val="008F29B5"/>
    <w:rsid w:val="008F2BFD"/>
    <w:rsid w:val="008F2D45"/>
    <w:rsid w:val="008F2F15"/>
    <w:rsid w:val="008F2F70"/>
    <w:rsid w:val="008F2F9A"/>
    <w:rsid w:val="008F3CDA"/>
    <w:rsid w:val="008F4182"/>
    <w:rsid w:val="008F4902"/>
    <w:rsid w:val="008F5230"/>
    <w:rsid w:val="008F534B"/>
    <w:rsid w:val="008F5ECC"/>
    <w:rsid w:val="008F6EA8"/>
    <w:rsid w:val="00900673"/>
    <w:rsid w:val="009020EC"/>
    <w:rsid w:val="00902135"/>
    <w:rsid w:val="0090296A"/>
    <w:rsid w:val="00902C60"/>
    <w:rsid w:val="0090305D"/>
    <w:rsid w:val="00903199"/>
    <w:rsid w:val="009033EF"/>
    <w:rsid w:val="00903439"/>
    <w:rsid w:val="00904111"/>
    <w:rsid w:val="00904170"/>
    <w:rsid w:val="0090444E"/>
    <w:rsid w:val="00904CFC"/>
    <w:rsid w:val="00904DBD"/>
    <w:rsid w:val="0090538D"/>
    <w:rsid w:val="00905B41"/>
    <w:rsid w:val="00905F20"/>
    <w:rsid w:val="009062A4"/>
    <w:rsid w:val="00906B03"/>
    <w:rsid w:val="00907BB3"/>
    <w:rsid w:val="009111F7"/>
    <w:rsid w:val="00911E54"/>
    <w:rsid w:val="00911FD9"/>
    <w:rsid w:val="00912173"/>
    <w:rsid w:val="009121A5"/>
    <w:rsid w:val="00912733"/>
    <w:rsid w:val="0091296F"/>
    <w:rsid w:val="00912CCA"/>
    <w:rsid w:val="00914AEB"/>
    <w:rsid w:val="00915AC0"/>
    <w:rsid w:val="00915E20"/>
    <w:rsid w:val="00916100"/>
    <w:rsid w:val="009173E5"/>
    <w:rsid w:val="00917676"/>
    <w:rsid w:val="00917B03"/>
    <w:rsid w:val="00917FA4"/>
    <w:rsid w:val="00920521"/>
    <w:rsid w:val="00920581"/>
    <w:rsid w:val="009213D0"/>
    <w:rsid w:val="00921523"/>
    <w:rsid w:val="009220E2"/>
    <w:rsid w:val="009226CF"/>
    <w:rsid w:val="00922F1C"/>
    <w:rsid w:val="00923378"/>
    <w:rsid w:val="009236CA"/>
    <w:rsid w:val="00923A05"/>
    <w:rsid w:val="00923A69"/>
    <w:rsid w:val="00923EFB"/>
    <w:rsid w:val="0092535F"/>
    <w:rsid w:val="009266A6"/>
    <w:rsid w:val="009268AC"/>
    <w:rsid w:val="00930EF0"/>
    <w:rsid w:val="0093163F"/>
    <w:rsid w:val="00931785"/>
    <w:rsid w:val="00931790"/>
    <w:rsid w:val="009317F6"/>
    <w:rsid w:val="00931D03"/>
    <w:rsid w:val="009320D9"/>
    <w:rsid w:val="00932E87"/>
    <w:rsid w:val="00933F58"/>
    <w:rsid w:val="00933FE1"/>
    <w:rsid w:val="00934075"/>
    <w:rsid w:val="009343CC"/>
    <w:rsid w:val="00934E23"/>
    <w:rsid w:val="009355B7"/>
    <w:rsid w:val="00935A04"/>
    <w:rsid w:val="00935F38"/>
    <w:rsid w:val="00936C1D"/>
    <w:rsid w:val="00937520"/>
    <w:rsid w:val="00940253"/>
    <w:rsid w:val="009402A2"/>
    <w:rsid w:val="009408D6"/>
    <w:rsid w:val="00940FF0"/>
    <w:rsid w:val="00941082"/>
    <w:rsid w:val="00942611"/>
    <w:rsid w:val="00942670"/>
    <w:rsid w:val="00942F24"/>
    <w:rsid w:val="00943747"/>
    <w:rsid w:val="0094378B"/>
    <w:rsid w:val="00943FD3"/>
    <w:rsid w:val="0094478C"/>
    <w:rsid w:val="009449EE"/>
    <w:rsid w:val="009462CD"/>
    <w:rsid w:val="009463DA"/>
    <w:rsid w:val="0094683A"/>
    <w:rsid w:val="00946C96"/>
    <w:rsid w:val="009473F8"/>
    <w:rsid w:val="00950E8C"/>
    <w:rsid w:val="0095186F"/>
    <w:rsid w:val="00951D64"/>
    <w:rsid w:val="00952259"/>
    <w:rsid w:val="00953920"/>
    <w:rsid w:val="0095504F"/>
    <w:rsid w:val="009550C7"/>
    <w:rsid w:val="00955627"/>
    <w:rsid w:val="00955940"/>
    <w:rsid w:val="00955B19"/>
    <w:rsid w:val="0095670F"/>
    <w:rsid w:val="00956AA9"/>
    <w:rsid w:val="009574E1"/>
    <w:rsid w:val="00957DF3"/>
    <w:rsid w:val="009609F6"/>
    <w:rsid w:val="00960E02"/>
    <w:rsid w:val="009615AF"/>
    <w:rsid w:val="0096193E"/>
    <w:rsid w:val="00962335"/>
    <w:rsid w:val="0096240D"/>
    <w:rsid w:val="0096309C"/>
    <w:rsid w:val="00963FF5"/>
    <w:rsid w:val="009643B8"/>
    <w:rsid w:val="00965286"/>
    <w:rsid w:val="00965345"/>
    <w:rsid w:val="00965722"/>
    <w:rsid w:val="00966499"/>
    <w:rsid w:val="00966597"/>
    <w:rsid w:val="009665CD"/>
    <w:rsid w:val="0096668F"/>
    <w:rsid w:val="00966D50"/>
    <w:rsid w:val="00967250"/>
    <w:rsid w:val="00967D68"/>
    <w:rsid w:val="00967F25"/>
    <w:rsid w:val="009701ED"/>
    <w:rsid w:val="009702AC"/>
    <w:rsid w:val="0097047B"/>
    <w:rsid w:val="009709B5"/>
    <w:rsid w:val="00971BA8"/>
    <w:rsid w:val="00971DA6"/>
    <w:rsid w:val="00971DFA"/>
    <w:rsid w:val="00971F16"/>
    <w:rsid w:val="00971F73"/>
    <w:rsid w:val="00973727"/>
    <w:rsid w:val="009743B8"/>
    <w:rsid w:val="00974A99"/>
    <w:rsid w:val="00974B92"/>
    <w:rsid w:val="00974FFB"/>
    <w:rsid w:val="0097563D"/>
    <w:rsid w:val="00975D89"/>
    <w:rsid w:val="009763EA"/>
    <w:rsid w:val="00976609"/>
    <w:rsid w:val="00976C56"/>
    <w:rsid w:val="00976F0D"/>
    <w:rsid w:val="009773F0"/>
    <w:rsid w:val="009779BD"/>
    <w:rsid w:val="00977ED9"/>
    <w:rsid w:val="00980318"/>
    <w:rsid w:val="009811A3"/>
    <w:rsid w:val="0098128A"/>
    <w:rsid w:val="00981A8A"/>
    <w:rsid w:val="00981C9C"/>
    <w:rsid w:val="00981D03"/>
    <w:rsid w:val="009820C5"/>
    <w:rsid w:val="009826A3"/>
    <w:rsid w:val="009826CE"/>
    <w:rsid w:val="00982AD8"/>
    <w:rsid w:val="00982CEF"/>
    <w:rsid w:val="0098314A"/>
    <w:rsid w:val="0098392C"/>
    <w:rsid w:val="00985381"/>
    <w:rsid w:val="00985895"/>
    <w:rsid w:val="009875A7"/>
    <w:rsid w:val="009875F6"/>
    <w:rsid w:val="0099094A"/>
    <w:rsid w:val="00990980"/>
    <w:rsid w:val="00990AF0"/>
    <w:rsid w:val="00990E07"/>
    <w:rsid w:val="009912E7"/>
    <w:rsid w:val="009918A9"/>
    <w:rsid w:val="0099216A"/>
    <w:rsid w:val="009926F3"/>
    <w:rsid w:val="00994B12"/>
    <w:rsid w:val="0099556F"/>
    <w:rsid w:val="009957CA"/>
    <w:rsid w:val="00995AE7"/>
    <w:rsid w:val="009961C4"/>
    <w:rsid w:val="00996369"/>
    <w:rsid w:val="0099714C"/>
    <w:rsid w:val="0099747C"/>
    <w:rsid w:val="00997A3F"/>
    <w:rsid w:val="009A055B"/>
    <w:rsid w:val="009A0910"/>
    <w:rsid w:val="009A18D4"/>
    <w:rsid w:val="009A38DD"/>
    <w:rsid w:val="009A4841"/>
    <w:rsid w:val="009A4EE4"/>
    <w:rsid w:val="009A58E0"/>
    <w:rsid w:val="009A60BE"/>
    <w:rsid w:val="009A68DB"/>
    <w:rsid w:val="009A71A4"/>
    <w:rsid w:val="009A71EE"/>
    <w:rsid w:val="009A7383"/>
    <w:rsid w:val="009A7515"/>
    <w:rsid w:val="009A77B7"/>
    <w:rsid w:val="009A7AAB"/>
    <w:rsid w:val="009B03EA"/>
    <w:rsid w:val="009B0AD8"/>
    <w:rsid w:val="009B16CD"/>
    <w:rsid w:val="009B1E51"/>
    <w:rsid w:val="009B27DD"/>
    <w:rsid w:val="009B2D24"/>
    <w:rsid w:val="009B3A98"/>
    <w:rsid w:val="009B5FDC"/>
    <w:rsid w:val="009B606E"/>
    <w:rsid w:val="009B7337"/>
    <w:rsid w:val="009B77C6"/>
    <w:rsid w:val="009B7D18"/>
    <w:rsid w:val="009C04F0"/>
    <w:rsid w:val="009C0693"/>
    <w:rsid w:val="009C2257"/>
    <w:rsid w:val="009C2C4A"/>
    <w:rsid w:val="009C3525"/>
    <w:rsid w:val="009C379F"/>
    <w:rsid w:val="009C3AA0"/>
    <w:rsid w:val="009C4544"/>
    <w:rsid w:val="009C5165"/>
    <w:rsid w:val="009C52BD"/>
    <w:rsid w:val="009C53F5"/>
    <w:rsid w:val="009C5BE3"/>
    <w:rsid w:val="009C5D63"/>
    <w:rsid w:val="009C61CF"/>
    <w:rsid w:val="009C7EFD"/>
    <w:rsid w:val="009D014C"/>
    <w:rsid w:val="009D0232"/>
    <w:rsid w:val="009D065E"/>
    <w:rsid w:val="009D0B23"/>
    <w:rsid w:val="009D159F"/>
    <w:rsid w:val="009D22B0"/>
    <w:rsid w:val="009D2584"/>
    <w:rsid w:val="009D28CD"/>
    <w:rsid w:val="009D2A17"/>
    <w:rsid w:val="009D2F96"/>
    <w:rsid w:val="009D388B"/>
    <w:rsid w:val="009D423B"/>
    <w:rsid w:val="009D42E6"/>
    <w:rsid w:val="009D43CA"/>
    <w:rsid w:val="009D4B8B"/>
    <w:rsid w:val="009D4DBE"/>
    <w:rsid w:val="009D4E5B"/>
    <w:rsid w:val="009D6738"/>
    <w:rsid w:val="009D7C41"/>
    <w:rsid w:val="009E18D4"/>
    <w:rsid w:val="009E1AF0"/>
    <w:rsid w:val="009E2BFE"/>
    <w:rsid w:val="009E2E2B"/>
    <w:rsid w:val="009E315D"/>
    <w:rsid w:val="009E36E0"/>
    <w:rsid w:val="009E486E"/>
    <w:rsid w:val="009E4FAB"/>
    <w:rsid w:val="009E5605"/>
    <w:rsid w:val="009E620C"/>
    <w:rsid w:val="009E6CE8"/>
    <w:rsid w:val="009E713B"/>
    <w:rsid w:val="009E7C89"/>
    <w:rsid w:val="009F0640"/>
    <w:rsid w:val="009F09CB"/>
    <w:rsid w:val="009F1066"/>
    <w:rsid w:val="009F268C"/>
    <w:rsid w:val="009F2C94"/>
    <w:rsid w:val="009F3897"/>
    <w:rsid w:val="009F54C7"/>
    <w:rsid w:val="009F57FC"/>
    <w:rsid w:val="009F59FA"/>
    <w:rsid w:val="009F5C03"/>
    <w:rsid w:val="009F6479"/>
    <w:rsid w:val="009F79EC"/>
    <w:rsid w:val="00A00BCB"/>
    <w:rsid w:val="00A028E3"/>
    <w:rsid w:val="00A03562"/>
    <w:rsid w:val="00A03822"/>
    <w:rsid w:val="00A0384A"/>
    <w:rsid w:val="00A03872"/>
    <w:rsid w:val="00A03A0F"/>
    <w:rsid w:val="00A03ABC"/>
    <w:rsid w:val="00A03D4B"/>
    <w:rsid w:val="00A042D7"/>
    <w:rsid w:val="00A0489A"/>
    <w:rsid w:val="00A04A65"/>
    <w:rsid w:val="00A05192"/>
    <w:rsid w:val="00A0704D"/>
    <w:rsid w:val="00A07EA2"/>
    <w:rsid w:val="00A10AD3"/>
    <w:rsid w:val="00A1166B"/>
    <w:rsid w:val="00A117BA"/>
    <w:rsid w:val="00A12E13"/>
    <w:rsid w:val="00A13C7B"/>
    <w:rsid w:val="00A1429C"/>
    <w:rsid w:val="00A144F6"/>
    <w:rsid w:val="00A1468E"/>
    <w:rsid w:val="00A147E5"/>
    <w:rsid w:val="00A1491D"/>
    <w:rsid w:val="00A15D5E"/>
    <w:rsid w:val="00A16ECF"/>
    <w:rsid w:val="00A179EA"/>
    <w:rsid w:val="00A17A7F"/>
    <w:rsid w:val="00A20800"/>
    <w:rsid w:val="00A20923"/>
    <w:rsid w:val="00A22228"/>
    <w:rsid w:val="00A22363"/>
    <w:rsid w:val="00A231EE"/>
    <w:rsid w:val="00A23265"/>
    <w:rsid w:val="00A2395A"/>
    <w:rsid w:val="00A239DB"/>
    <w:rsid w:val="00A23A73"/>
    <w:rsid w:val="00A24120"/>
    <w:rsid w:val="00A2453D"/>
    <w:rsid w:val="00A24DEB"/>
    <w:rsid w:val="00A24E9D"/>
    <w:rsid w:val="00A25401"/>
    <w:rsid w:val="00A2555F"/>
    <w:rsid w:val="00A25574"/>
    <w:rsid w:val="00A258C0"/>
    <w:rsid w:val="00A25ABA"/>
    <w:rsid w:val="00A26405"/>
    <w:rsid w:val="00A266F6"/>
    <w:rsid w:val="00A2718F"/>
    <w:rsid w:val="00A273C5"/>
    <w:rsid w:val="00A2779B"/>
    <w:rsid w:val="00A279B1"/>
    <w:rsid w:val="00A27A25"/>
    <w:rsid w:val="00A3029F"/>
    <w:rsid w:val="00A307E1"/>
    <w:rsid w:val="00A308BC"/>
    <w:rsid w:val="00A30AAE"/>
    <w:rsid w:val="00A30ED3"/>
    <w:rsid w:val="00A314E1"/>
    <w:rsid w:val="00A314F1"/>
    <w:rsid w:val="00A32154"/>
    <w:rsid w:val="00A32A12"/>
    <w:rsid w:val="00A32AE6"/>
    <w:rsid w:val="00A32F11"/>
    <w:rsid w:val="00A33236"/>
    <w:rsid w:val="00A33CC0"/>
    <w:rsid w:val="00A34CDD"/>
    <w:rsid w:val="00A34E97"/>
    <w:rsid w:val="00A35352"/>
    <w:rsid w:val="00A35ACB"/>
    <w:rsid w:val="00A36DBE"/>
    <w:rsid w:val="00A3706A"/>
    <w:rsid w:val="00A37225"/>
    <w:rsid w:val="00A406FD"/>
    <w:rsid w:val="00A411E6"/>
    <w:rsid w:val="00A4144E"/>
    <w:rsid w:val="00A416BE"/>
    <w:rsid w:val="00A41982"/>
    <w:rsid w:val="00A41BAA"/>
    <w:rsid w:val="00A41BDB"/>
    <w:rsid w:val="00A42C82"/>
    <w:rsid w:val="00A447E2"/>
    <w:rsid w:val="00A45068"/>
    <w:rsid w:val="00A455FD"/>
    <w:rsid w:val="00A45846"/>
    <w:rsid w:val="00A459FD"/>
    <w:rsid w:val="00A46FBC"/>
    <w:rsid w:val="00A4709B"/>
    <w:rsid w:val="00A50735"/>
    <w:rsid w:val="00A50F4E"/>
    <w:rsid w:val="00A517E3"/>
    <w:rsid w:val="00A52268"/>
    <w:rsid w:val="00A526FD"/>
    <w:rsid w:val="00A52753"/>
    <w:rsid w:val="00A52E8C"/>
    <w:rsid w:val="00A52FA1"/>
    <w:rsid w:val="00A5334B"/>
    <w:rsid w:val="00A539E2"/>
    <w:rsid w:val="00A544E1"/>
    <w:rsid w:val="00A54908"/>
    <w:rsid w:val="00A55AE9"/>
    <w:rsid w:val="00A56148"/>
    <w:rsid w:val="00A56BDD"/>
    <w:rsid w:val="00A57125"/>
    <w:rsid w:val="00A5794B"/>
    <w:rsid w:val="00A57EF0"/>
    <w:rsid w:val="00A57FC0"/>
    <w:rsid w:val="00A60183"/>
    <w:rsid w:val="00A605D3"/>
    <w:rsid w:val="00A6099E"/>
    <w:rsid w:val="00A61434"/>
    <w:rsid w:val="00A616CB"/>
    <w:rsid w:val="00A61A7B"/>
    <w:rsid w:val="00A62136"/>
    <w:rsid w:val="00A6232E"/>
    <w:rsid w:val="00A623B5"/>
    <w:rsid w:val="00A63468"/>
    <w:rsid w:val="00A6378B"/>
    <w:rsid w:val="00A63840"/>
    <w:rsid w:val="00A63861"/>
    <w:rsid w:val="00A645A9"/>
    <w:rsid w:val="00A646C4"/>
    <w:rsid w:val="00A64776"/>
    <w:rsid w:val="00A650B2"/>
    <w:rsid w:val="00A65220"/>
    <w:rsid w:val="00A6583A"/>
    <w:rsid w:val="00A65A27"/>
    <w:rsid w:val="00A6617C"/>
    <w:rsid w:val="00A6642D"/>
    <w:rsid w:val="00A6648B"/>
    <w:rsid w:val="00A66B70"/>
    <w:rsid w:val="00A676C5"/>
    <w:rsid w:val="00A70300"/>
    <w:rsid w:val="00A706CB"/>
    <w:rsid w:val="00A708D1"/>
    <w:rsid w:val="00A7093A"/>
    <w:rsid w:val="00A70E02"/>
    <w:rsid w:val="00A71467"/>
    <w:rsid w:val="00A72011"/>
    <w:rsid w:val="00A730C3"/>
    <w:rsid w:val="00A7343D"/>
    <w:rsid w:val="00A73B18"/>
    <w:rsid w:val="00A74606"/>
    <w:rsid w:val="00A74664"/>
    <w:rsid w:val="00A7481E"/>
    <w:rsid w:val="00A749F5"/>
    <w:rsid w:val="00A74B89"/>
    <w:rsid w:val="00A754B5"/>
    <w:rsid w:val="00A75798"/>
    <w:rsid w:val="00A800BF"/>
    <w:rsid w:val="00A8021D"/>
    <w:rsid w:val="00A80C2B"/>
    <w:rsid w:val="00A80C4B"/>
    <w:rsid w:val="00A831E6"/>
    <w:rsid w:val="00A832CF"/>
    <w:rsid w:val="00A8369E"/>
    <w:rsid w:val="00A83E0A"/>
    <w:rsid w:val="00A845CD"/>
    <w:rsid w:val="00A84CE2"/>
    <w:rsid w:val="00A8608F"/>
    <w:rsid w:val="00A86300"/>
    <w:rsid w:val="00A86726"/>
    <w:rsid w:val="00A86736"/>
    <w:rsid w:val="00A86AC4"/>
    <w:rsid w:val="00A87F3D"/>
    <w:rsid w:val="00A9073B"/>
    <w:rsid w:val="00A90A7E"/>
    <w:rsid w:val="00A90CFB"/>
    <w:rsid w:val="00A9174D"/>
    <w:rsid w:val="00A924F0"/>
    <w:rsid w:val="00A928B0"/>
    <w:rsid w:val="00A92E9C"/>
    <w:rsid w:val="00A92FA6"/>
    <w:rsid w:val="00A9381E"/>
    <w:rsid w:val="00A9394B"/>
    <w:rsid w:val="00A944F8"/>
    <w:rsid w:val="00A94FC7"/>
    <w:rsid w:val="00A95208"/>
    <w:rsid w:val="00A95E9E"/>
    <w:rsid w:val="00A962D8"/>
    <w:rsid w:val="00A964DD"/>
    <w:rsid w:val="00A96AE0"/>
    <w:rsid w:val="00A96C52"/>
    <w:rsid w:val="00AA0630"/>
    <w:rsid w:val="00AA06C3"/>
    <w:rsid w:val="00AA072A"/>
    <w:rsid w:val="00AA08D1"/>
    <w:rsid w:val="00AA0BAF"/>
    <w:rsid w:val="00AA197D"/>
    <w:rsid w:val="00AA2C64"/>
    <w:rsid w:val="00AA2EE2"/>
    <w:rsid w:val="00AA34FB"/>
    <w:rsid w:val="00AA3B49"/>
    <w:rsid w:val="00AA3C28"/>
    <w:rsid w:val="00AA4329"/>
    <w:rsid w:val="00AA442B"/>
    <w:rsid w:val="00AA4BCE"/>
    <w:rsid w:val="00AA5135"/>
    <w:rsid w:val="00AA5451"/>
    <w:rsid w:val="00AA5A64"/>
    <w:rsid w:val="00AA5C96"/>
    <w:rsid w:val="00AA63DD"/>
    <w:rsid w:val="00AA68EC"/>
    <w:rsid w:val="00AA7015"/>
    <w:rsid w:val="00AA76E7"/>
    <w:rsid w:val="00AA7C6E"/>
    <w:rsid w:val="00AB2A22"/>
    <w:rsid w:val="00AB2E68"/>
    <w:rsid w:val="00AB3570"/>
    <w:rsid w:val="00AB357A"/>
    <w:rsid w:val="00AB3B22"/>
    <w:rsid w:val="00AB4344"/>
    <w:rsid w:val="00AB6666"/>
    <w:rsid w:val="00AB66A2"/>
    <w:rsid w:val="00AB6C0D"/>
    <w:rsid w:val="00AB74C9"/>
    <w:rsid w:val="00AB7DA5"/>
    <w:rsid w:val="00AC053F"/>
    <w:rsid w:val="00AC1FA0"/>
    <w:rsid w:val="00AC2558"/>
    <w:rsid w:val="00AC2ACA"/>
    <w:rsid w:val="00AC2D79"/>
    <w:rsid w:val="00AC32AD"/>
    <w:rsid w:val="00AC43E3"/>
    <w:rsid w:val="00AC4BD3"/>
    <w:rsid w:val="00AC53E6"/>
    <w:rsid w:val="00AC567E"/>
    <w:rsid w:val="00AC57A7"/>
    <w:rsid w:val="00AC6492"/>
    <w:rsid w:val="00AC6AD6"/>
    <w:rsid w:val="00AC70A2"/>
    <w:rsid w:val="00AC7227"/>
    <w:rsid w:val="00AD0614"/>
    <w:rsid w:val="00AD1509"/>
    <w:rsid w:val="00AD1D1C"/>
    <w:rsid w:val="00AD1DE4"/>
    <w:rsid w:val="00AD2151"/>
    <w:rsid w:val="00AD2204"/>
    <w:rsid w:val="00AD269E"/>
    <w:rsid w:val="00AD3E21"/>
    <w:rsid w:val="00AD41D0"/>
    <w:rsid w:val="00AD4208"/>
    <w:rsid w:val="00AD4F82"/>
    <w:rsid w:val="00AD65A6"/>
    <w:rsid w:val="00AD6A00"/>
    <w:rsid w:val="00AD6A0D"/>
    <w:rsid w:val="00AD6ECB"/>
    <w:rsid w:val="00AD7424"/>
    <w:rsid w:val="00AD7675"/>
    <w:rsid w:val="00AE0082"/>
    <w:rsid w:val="00AE0BEA"/>
    <w:rsid w:val="00AE0C66"/>
    <w:rsid w:val="00AE0FE0"/>
    <w:rsid w:val="00AE11E4"/>
    <w:rsid w:val="00AE1480"/>
    <w:rsid w:val="00AE1791"/>
    <w:rsid w:val="00AE1EAE"/>
    <w:rsid w:val="00AE2A3A"/>
    <w:rsid w:val="00AE303D"/>
    <w:rsid w:val="00AE3B22"/>
    <w:rsid w:val="00AE3C2E"/>
    <w:rsid w:val="00AE4352"/>
    <w:rsid w:val="00AE46CE"/>
    <w:rsid w:val="00AE5568"/>
    <w:rsid w:val="00AE58AB"/>
    <w:rsid w:val="00AE5CF6"/>
    <w:rsid w:val="00AE5DB9"/>
    <w:rsid w:val="00AE5F5D"/>
    <w:rsid w:val="00AE6B2A"/>
    <w:rsid w:val="00AE6E5C"/>
    <w:rsid w:val="00AF03A1"/>
    <w:rsid w:val="00AF0765"/>
    <w:rsid w:val="00AF0B9C"/>
    <w:rsid w:val="00AF1642"/>
    <w:rsid w:val="00AF19AE"/>
    <w:rsid w:val="00AF22FC"/>
    <w:rsid w:val="00AF2610"/>
    <w:rsid w:val="00AF26A3"/>
    <w:rsid w:val="00AF3070"/>
    <w:rsid w:val="00AF3D4D"/>
    <w:rsid w:val="00AF4008"/>
    <w:rsid w:val="00AF4400"/>
    <w:rsid w:val="00AF44D6"/>
    <w:rsid w:val="00AF4E45"/>
    <w:rsid w:val="00AF5555"/>
    <w:rsid w:val="00AF55FC"/>
    <w:rsid w:val="00AF6753"/>
    <w:rsid w:val="00AF6B5F"/>
    <w:rsid w:val="00AF6D81"/>
    <w:rsid w:val="00AF7C46"/>
    <w:rsid w:val="00B00A34"/>
    <w:rsid w:val="00B010F9"/>
    <w:rsid w:val="00B01CA2"/>
    <w:rsid w:val="00B023B0"/>
    <w:rsid w:val="00B02AA3"/>
    <w:rsid w:val="00B02BCA"/>
    <w:rsid w:val="00B03E50"/>
    <w:rsid w:val="00B049A0"/>
    <w:rsid w:val="00B049AA"/>
    <w:rsid w:val="00B04B44"/>
    <w:rsid w:val="00B051BF"/>
    <w:rsid w:val="00B05534"/>
    <w:rsid w:val="00B071C9"/>
    <w:rsid w:val="00B10896"/>
    <w:rsid w:val="00B11819"/>
    <w:rsid w:val="00B11864"/>
    <w:rsid w:val="00B11D23"/>
    <w:rsid w:val="00B12E53"/>
    <w:rsid w:val="00B1305E"/>
    <w:rsid w:val="00B131BB"/>
    <w:rsid w:val="00B13704"/>
    <w:rsid w:val="00B14002"/>
    <w:rsid w:val="00B14DCC"/>
    <w:rsid w:val="00B14F6D"/>
    <w:rsid w:val="00B15093"/>
    <w:rsid w:val="00B16B25"/>
    <w:rsid w:val="00B16BDA"/>
    <w:rsid w:val="00B16BDF"/>
    <w:rsid w:val="00B16D7B"/>
    <w:rsid w:val="00B17046"/>
    <w:rsid w:val="00B17A8F"/>
    <w:rsid w:val="00B17AA9"/>
    <w:rsid w:val="00B17F3B"/>
    <w:rsid w:val="00B20860"/>
    <w:rsid w:val="00B20BC2"/>
    <w:rsid w:val="00B2141A"/>
    <w:rsid w:val="00B21C65"/>
    <w:rsid w:val="00B21D66"/>
    <w:rsid w:val="00B22050"/>
    <w:rsid w:val="00B222FF"/>
    <w:rsid w:val="00B223EB"/>
    <w:rsid w:val="00B22DF9"/>
    <w:rsid w:val="00B22E94"/>
    <w:rsid w:val="00B2340D"/>
    <w:rsid w:val="00B238CC"/>
    <w:rsid w:val="00B23B8D"/>
    <w:rsid w:val="00B24DF5"/>
    <w:rsid w:val="00B24E17"/>
    <w:rsid w:val="00B24FDA"/>
    <w:rsid w:val="00B25594"/>
    <w:rsid w:val="00B26703"/>
    <w:rsid w:val="00B2709A"/>
    <w:rsid w:val="00B27787"/>
    <w:rsid w:val="00B27CDB"/>
    <w:rsid w:val="00B27FD2"/>
    <w:rsid w:val="00B305E7"/>
    <w:rsid w:val="00B3077C"/>
    <w:rsid w:val="00B30A1C"/>
    <w:rsid w:val="00B31587"/>
    <w:rsid w:val="00B324C3"/>
    <w:rsid w:val="00B32760"/>
    <w:rsid w:val="00B32799"/>
    <w:rsid w:val="00B33D71"/>
    <w:rsid w:val="00B33EA3"/>
    <w:rsid w:val="00B352E5"/>
    <w:rsid w:val="00B35AE7"/>
    <w:rsid w:val="00B379EE"/>
    <w:rsid w:val="00B37F8C"/>
    <w:rsid w:val="00B406CC"/>
    <w:rsid w:val="00B4079E"/>
    <w:rsid w:val="00B410F1"/>
    <w:rsid w:val="00B4117B"/>
    <w:rsid w:val="00B418AD"/>
    <w:rsid w:val="00B422E5"/>
    <w:rsid w:val="00B426CB"/>
    <w:rsid w:val="00B434DA"/>
    <w:rsid w:val="00B43912"/>
    <w:rsid w:val="00B4394B"/>
    <w:rsid w:val="00B44CE6"/>
    <w:rsid w:val="00B45110"/>
    <w:rsid w:val="00B461C7"/>
    <w:rsid w:val="00B4621F"/>
    <w:rsid w:val="00B466C8"/>
    <w:rsid w:val="00B46B7A"/>
    <w:rsid w:val="00B472AB"/>
    <w:rsid w:val="00B473D1"/>
    <w:rsid w:val="00B50113"/>
    <w:rsid w:val="00B508BA"/>
    <w:rsid w:val="00B516AC"/>
    <w:rsid w:val="00B51852"/>
    <w:rsid w:val="00B52418"/>
    <w:rsid w:val="00B52A8A"/>
    <w:rsid w:val="00B52CCE"/>
    <w:rsid w:val="00B52F5B"/>
    <w:rsid w:val="00B54465"/>
    <w:rsid w:val="00B54AE5"/>
    <w:rsid w:val="00B54EE7"/>
    <w:rsid w:val="00B5530F"/>
    <w:rsid w:val="00B5707C"/>
    <w:rsid w:val="00B578E8"/>
    <w:rsid w:val="00B57B82"/>
    <w:rsid w:val="00B57CFA"/>
    <w:rsid w:val="00B6013F"/>
    <w:rsid w:val="00B601E3"/>
    <w:rsid w:val="00B601F2"/>
    <w:rsid w:val="00B60B2D"/>
    <w:rsid w:val="00B60D91"/>
    <w:rsid w:val="00B60F37"/>
    <w:rsid w:val="00B61249"/>
    <w:rsid w:val="00B61971"/>
    <w:rsid w:val="00B61B1C"/>
    <w:rsid w:val="00B62A6E"/>
    <w:rsid w:val="00B62FF3"/>
    <w:rsid w:val="00B633BA"/>
    <w:rsid w:val="00B638E3"/>
    <w:rsid w:val="00B63CD1"/>
    <w:rsid w:val="00B63E42"/>
    <w:rsid w:val="00B64077"/>
    <w:rsid w:val="00B641B7"/>
    <w:rsid w:val="00B6470E"/>
    <w:rsid w:val="00B64AE9"/>
    <w:rsid w:val="00B652ED"/>
    <w:rsid w:val="00B655DC"/>
    <w:rsid w:val="00B65633"/>
    <w:rsid w:val="00B65E33"/>
    <w:rsid w:val="00B66A6D"/>
    <w:rsid w:val="00B66C41"/>
    <w:rsid w:val="00B670AE"/>
    <w:rsid w:val="00B67E5A"/>
    <w:rsid w:val="00B700BD"/>
    <w:rsid w:val="00B70119"/>
    <w:rsid w:val="00B70740"/>
    <w:rsid w:val="00B7174F"/>
    <w:rsid w:val="00B7203F"/>
    <w:rsid w:val="00B72A9C"/>
    <w:rsid w:val="00B744FF"/>
    <w:rsid w:val="00B74A46"/>
    <w:rsid w:val="00B753D9"/>
    <w:rsid w:val="00B758CD"/>
    <w:rsid w:val="00B75AB9"/>
    <w:rsid w:val="00B75FD6"/>
    <w:rsid w:val="00B760BB"/>
    <w:rsid w:val="00B7632A"/>
    <w:rsid w:val="00B7647C"/>
    <w:rsid w:val="00B774BD"/>
    <w:rsid w:val="00B77B4A"/>
    <w:rsid w:val="00B80202"/>
    <w:rsid w:val="00B80D3E"/>
    <w:rsid w:val="00B80D51"/>
    <w:rsid w:val="00B811CE"/>
    <w:rsid w:val="00B811FA"/>
    <w:rsid w:val="00B81D5E"/>
    <w:rsid w:val="00B8242B"/>
    <w:rsid w:val="00B82524"/>
    <w:rsid w:val="00B825A4"/>
    <w:rsid w:val="00B82EC1"/>
    <w:rsid w:val="00B836B3"/>
    <w:rsid w:val="00B83F9B"/>
    <w:rsid w:val="00B841DF"/>
    <w:rsid w:val="00B84D4B"/>
    <w:rsid w:val="00B85713"/>
    <w:rsid w:val="00B85BDD"/>
    <w:rsid w:val="00B861A3"/>
    <w:rsid w:val="00B86BEC"/>
    <w:rsid w:val="00B87974"/>
    <w:rsid w:val="00B906AE"/>
    <w:rsid w:val="00B90A0E"/>
    <w:rsid w:val="00B92463"/>
    <w:rsid w:val="00B9263A"/>
    <w:rsid w:val="00B927FB"/>
    <w:rsid w:val="00B92A1A"/>
    <w:rsid w:val="00B93444"/>
    <w:rsid w:val="00B948A1"/>
    <w:rsid w:val="00B95134"/>
    <w:rsid w:val="00B951B3"/>
    <w:rsid w:val="00B9550E"/>
    <w:rsid w:val="00B955D7"/>
    <w:rsid w:val="00B956F2"/>
    <w:rsid w:val="00B959DA"/>
    <w:rsid w:val="00B964E7"/>
    <w:rsid w:val="00B96A12"/>
    <w:rsid w:val="00B96DD0"/>
    <w:rsid w:val="00BA03DB"/>
    <w:rsid w:val="00BA0862"/>
    <w:rsid w:val="00BA1187"/>
    <w:rsid w:val="00BA18BF"/>
    <w:rsid w:val="00BA1F97"/>
    <w:rsid w:val="00BA2072"/>
    <w:rsid w:val="00BA2B34"/>
    <w:rsid w:val="00BA3020"/>
    <w:rsid w:val="00BA32E4"/>
    <w:rsid w:val="00BA3946"/>
    <w:rsid w:val="00BA3D6C"/>
    <w:rsid w:val="00BA412B"/>
    <w:rsid w:val="00BA419F"/>
    <w:rsid w:val="00BA4333"/>
    <w:rsid w:val="00BA4C62"/>
    <w:rsid w:val="00BA5289"/>
    <w:rsid w:val="00BA5B05"/>
    <w:rsid w:val="00BA5C2E"/>
    <w:rsid w:val="00BA6FC7"/>
    <w:rsid w:val="00BA7E28"/>
    <w:rsid w:val="00BA7EC7"/>
    <w:rsid w:val="00BB067E"/>
    <w:rsid w:val="00BB0CF2"/>
    <w:rsid w:val="00BB0DDA"/>
    <w:rsid w:val="00BB10B5"/>
    <w:rsid w:val="00BB17C4"/>
    <w:rsid w:val="00BB1885"/>
    <w:rsid w:val="00BB22BC"/>
    <w:rsid w:val="00BB2557"/>
    <w:rsid w:val="00BB2B42"/>
    <w:rsid w:val="00BB2CC4"/>
    <w:rsid w:val="00BB3458"/>
    <w:rsid w:val="00BB4776"/>
    <w:rsid w:val="00BB48D5"/>
    <w:rsid w:val="00BB4DD3"/>
    <w:rsid w:val="00BB5870"/>
    <w:rsid w:val="00BB6111"/>
    <w:rsid w:val="00BB6BD0"/>
    <w:rsid w:val="00BB702D"/>
    <w:rsid w:val="00BB72F4"/>
    <w:rsid w:val="00BB7607"/>
    <w:rsid w:val="00BC0108"/>
    <w:rsid w:val="00BC055F"/>
    <w:rsid w:val="00BC059A"/>
    <w:rsid w:val="00BC0A86"/>
    <w:rsid w:val="00BC1A56"/>
    <w:rsid w:val="00BC2A02"/>
    <w:rsid w:val="00BC2A9A"/>
    <w:rsid w:val="00BC2F8F"/>
    <w:rsid w:val="00BC3689"/>
    <w:rsid w:val="00BC4092"/>
    <w:rsid w:val="00BC4093"/>
    <w:rsid w:val="00BC4337"/>
    <w:rsid w:val="00BC4A85"/>
    <w:rsid w:val="00BC6DC0"/>
    <w:rsid w:val="00BC7A46"/>
    <w:rsid w:val="00BC7C7E"/>
    <w:rsid w:val="00BC7EA8"/>
    <w:rsid w:val="00BD01C8"/>
    <w:rsid w:val="00BD0574"/>
    <w:rsid w:val="00BD151F"/>
    <w:rsid w:val="00BD193C"/>
    <w:rsid w:val="00BD19A8"/>
    <w:rsid w:val="00BD1AFD"/>
    <w:rsid w:val="00BD239E"/>
    <w:rsid w:val="00BD2A59"/>
    <w:rsid w:val="00BD4A9D"/>
    <w:rsid w:val="00BD4DCC"/>
    <w:rsid w:val="00BD5017"/>
    <w:rsid w:val="00BD58DD"/>
    <w:rsid w:val="00BD5CC1"/>
    <w:rsid w:val="00BD5F19"/>
    <w:rsid w:val="00BD644D"/>
    <w:rsid w:val="00BD6C1F"/>
    <w:rsid w:val="00BD7B5B"/>
    <w:rsid w:val="00BE0457"/>
    <w:rsid w:val="00BE0E45"/>
    <w:rsid w:val="00BE11AC"/>
    <w:rsid w:val="00BE1391"/>
    <w:rsid w:val="00BE1575"/>
    <w:rsid w:val="00BE15BF"/>
    <w:rsid w:val="00BE1794"/>
    <w:rsid w:val="00BE1EA4"/>
    <w:rsid w:val="00BE24BC"/>
    <w:rsid w:val="00BE2790"/>
    <w:rsid w:val="00BE30AA"/>
    <w:rsid w:val="00BE4250"/>
    <w:rsid w:val="00BE45F0"/>
    <w:rsid w:val="00BE6D5B"/>
    <w:rsid w:val="00BE7835"/>
    <w:rsid w:val="00BE7A18"/>
    <w:rsid w:val="00BF04BE"/>
    <w:rsid w:val="00BF0615"/>
    <w:rsid w:val="00BF066A"/>
    <w:rsid w:val="00BF0893"/>
    <w:rsid w:val="00BF2049"/>
    <w:rsid w:val="00BF2ED5"/>
    <w:rsid w:val="00BF35C3"/>
    <w:rsid w:val="00BF3602"/>
    <w:rsid w:val="00BF377E"/>
    <w:rsid w:val="00BF3ABF"/>
    <w:rsid w:val="00BF4762"/>
    <w:rsid w:val="00BF4992"/>
    <w:rsid w:val="00BF4D8B"/>
    <w:rsid w:val="00BF6761"/>
    <w:rsid w:val="00BF6A0B"/>
    <w:rsid w:val="00BF70CB"/>
    <w:rsid w:val="00C0059D"/>
    <w:rsid w:val="00C00604"/>
    <w:rsid w:val="00C00E41"/>
    <w:rsid w:val="00C026EB"/>
    <w:rsid w:val="00C02781"/>
    <w:rsid w:val="00C029E0"/>
    <w:rsid w:val="00C02EFA"/>
    <w:rsid w:val="00C039A1"/>
    <w:rsid w:val="00C03C3A"/>
    <w:rsid w:val="00C05095"/>
    <w:rsid w:val="00C0599A"/>
    <w:rsid w:val="00C05CF1"/>
    <w:rsid w:val="00C06A25"/>
    <w:rsid w:val="00C07033"/>
    <w:rsid w:val="00C07E0E"/>
    <w:rsid w:val="00C10605"/>
    <w:rsid w:val="00C10A2A"/>
    <w:rsid w:val="00C10C4A"/>
    <w:rsid w:val="00C10E20"/>
    <w:rsid w:val="00C11BF4"/>
    <w:rsid w:val="00C120E0"/>
    <w:rsid w:val="00C1228D"/>
    <w:rsid w:val="00C12F20"/>
    <w:rsid w:val="00C14353"/>
    <w:rsid w:val="00C14378"/>
    <w:rsid w:val="00C14C7B"/>
    <w:rsid w:val="00C1615B"/>
    <w:rsid w:val="00C172B8"/>
    <w:rsid w:val="00C17413"/>
    <w:rsid w:val="00C17665"/>
    <w:rsid w:val="00C20015"/>
    <w:rsid w:val="00C2204E"/>
    <w:rsid w:val="00C22336"/>
    <w:rsid w:val="00C22BB4"/>
    <w:rsid w:val="00C23175"/>
    <w:rsid w:val="00C24175"/>
    <w:rsid w:val="00C25162"/>
    <w:rsid w:val="00C255D4"/>
    <w:rsid w:val="00C257E0"/>
    <w:rsid w:val="00C25C28"/>
    <w:rsid w:val="00C25CD4"/>
    <w:rsid w:val="00C274A6"/>
    <w:rsid w:val="00C32261"/>
    <w:rsid w:val="00C32446"/>
    <w:rsid w:val="00C32732"/>
    <w:rsid w:val="00C3284D"/>
    <w:rsid w:val="00C328A4"/>
    <w:rsid w:val="00C33374"/>
    <w:rsid w:val="00C3349A"/>
    <w:rsid w:val="00C335A1"/>
    <w:rsid w:val="00C336F0"/>
    <w:rsid w:val="00C33B28"/>
    <w:rsid w:val="00C347D1"/>
    <w:rsid w:val="00C34A6A"/>
    <w:rsid w:val="00C34F53"/>
    <w:rsid w:val="00C35039"/>
    <w:rsid w:val="00C352A5"/>
    <w:rsid w:val="00C35B40"/>
    <w:rsid w:val="00C35F8B"/>
    <w:rsid w:val="00C361AD"/>
    <w:rsid w:val="00C3659D"/>
    <w:rsid w:val="00C36E96"/>
    <w:rsid w:val="00C36FF9"/>
    <w:rsid w:val="00C37A4B"/>
    <w:rsid w:val="00C37FAF"/>
    <w:rsid w:val="00C403C3"/>
    <w:rsid w:val="00C42832"/>
    <w:rsid w:val="00C42A95"/>
    <w:rsid w:val="00C42C3F"/>
    <w:rsid w:val="00C43BB5"/>
    <w:rsid w:val="00C43DC3"/>
    <w:rsid w:val="00C44ABE"/>
    <w:rsid w:val="00C44F63"/>
    <w:rsid w:val="00C452D6"/>
    <w:rsid w:val="00C46C11"/>
    <w:rsid w:val="00C471B6"/>
    <w:rsid w:val="00C472ED"/>
    <w:rsid w:val="00C47573"/>
    <w:rsid w:val="00C47D7B"/>
    <w:rsid w:val="00C503C5"/>
    <w:rsid w:val="00C50484"/>
    <w:rsid w:val="00C5119B"/>
    <w:rsid w:val="00C5180B"/>
    <w:rsid w:val="00C51D0D"/>
    <w:rsid w:val="00C51EC2"/>
    <w:rsid w:val="00C53064"/>
    <w:rsid w:val="00C53C36"/>
    <w:rsid w:val="00C544E2"/>
    <w:rsid w:val="00C54746"/>
    <w:rsid w:val="00C5502D"/>
    <w:rsid w:val="00C55E93"/>
    <w:rsid w:val="00C560DB"/>
    <w:rsid w:val="00C5672F"/>
    <w:rsid w:val="00C60162"/>
    <w:rsid w:val="00C601CF"/>
    <w:rsid w:val="00C60422"/>
    <w:rsid w:val="00C6058D"/>
    <w:rsid w:val="00C616B1"/>
    <w:rsid w:val="00C621EC"/>
    <w:rsid w:val="00C62347"/>
    <w:rsid w:val="00C6259E"/>
    <w:rsid w:val="00C62664"/>
    <w:rsid w:val="00C62CAB"/>
    <w:rsid w:val="00C63073"/>
    <w:rsid w:val="00C63077"/>
    <w:rsid w:val="00C63261"/>
    <w:rsid w:val="00C63409"/>
    <w:rsid w:val="00C63AEA"/>
    <w:rsid w:val="00C65184"/>
    <w:rsid w:val="00C65774"/>
    <w:rsid w:val="00C65D9E"/>
    <w:rsid w:val="00C665A7"/>
    <w:rsid w:val="00C66963"/>
    <w:rsid w:val="00C66A07"/>
    <w:rsid w:val="00C66B1F"/>
    <w:rsid w:val="00C66D6B"/>
    <w:rsid w:val="00C6759A"/>
    <w:rsid w:val="00C67AC4"/>
    <w:rsid w:val="00C67D3E"/>
    <w:rsid w:val="00C7001A"/>
    <w:rsid w:val="00C70B96"/>
    <w:rsid w:val="00C70D4F"/>
    <w:rsid w:val="00C70E0E"/>
    <w:rsid w:val="00C718CC"/>
    <w:rsid w:val="00C72DCA"/>
    <w:rsid w:val="00C72F7D"/>
    <w:rsid w:val="00C73BFB"/>
    <w:rsid w:val="00C74397"/>
    <w:rsid w:val="00C74ABA"/>
    <w:rsid w:val="00C74AEB"/>
    <w:rsid w:val="00C74B40"/>
    <w:rsid w:val="00C75097"/>
    <w:rsid w:val="00C7560F"/>
    <w:rsid w:val="00C75F06"/>
    <w:rsid w:val="00C75F0F"/>
    <w:rsid w:val="00C76014"/>
    <w:rsid w:val="00C760C0"/>
    <w:rsid w:val="00C76E0F"/>
    <w:rsid w:val="00C7770E"/>
    <w:rsid w:val="00C778C7"/>
    <w:rsid w:val="00C77B73"/>
    <w:rsid w:val="00C77E96"/>
    <w:rsid w:val="00C80B06"/>
    <w:rsid w:val="00C81801"/>
    <w:rsid w:val="00C819F9"/>
    <w:rsid w:val="00C81B72"/>
    <w:rsid w:val="00C81D0B"/>
    <w:rsid w:val="00C81D22"/>
    <w:rsid w:val="00C820F0"/>
    <w:rsid w:val="00C82BC1"/>
    <w:rsid w:val="00C82F5B"/>
    <w:rsid w:val="00C833EE"/>
    <w:rsid w:val="00C83773"/>
    <w:rsid w:val="00C839A3"/>
    <w:rsid w:val="00C83E21"/>
    <w:rsid w:val="00C843DC"/>
    <w:rsid w:val="00C84482"/>
    <w:rsid w:val="00C84AE0"/>
    <w:rsid w:val="00C84FF8"/>
    <w:rsid w:val="00C85255"/>
    <w:rsid w:val="00C8574B"/>
    <w:rsid w:val="00C85883"/>
    <w:rsid w:val="00C85C7D"/>
    <w:rsid w:val="00C86D3F"/>
    <w:rsid w:val="00C8721C"/>
    <w:rsid w:val="00C87229"/>
    <w:rsid w:val="00C87272"/>
    <w:rsid w:val="00C90402"/>
    <w:rsid w:val="00C90451"/>
    <w:rsid w:val="00C927B6"/>
    <w:rsid w:val="00C92DF4"/>
    <w:rsid w:val="00C92E8B"/>
    <w:rsid w:val="00C93560"/>
    <w:rsid w:val="00C9432A"/>
    <w:rsid w:val="00C944AD"/>
    <w:rsid w:val="00C95223"/>
    <w:rsid w:val="00C9582C"/>
    <w:rsid w:val="00C95E07"/>
    <w:rsid w:val="00C95E98"/>
    <w:rsid w:val="00C977D3"/>
    <w:rsid w:val="00CA1015"/>
    <w:rsid w:val="00CA1908"/>
    <w:rsid w:val="00CA24FC"/>
    <w:rsid w:val="00CA2DD6"/>
    <w:rsid w:val="00CA3675"/>
    <w:rsid w:val="00CA43B6"/>
    <w:rsid w:val="00CA447A"/>
    <w:rsid w:val="00CA4886"/>
    <w:rsid w:val="00CA586E"/>
    <w:rsid w:val="00CA7245"/>
    <w:rsid w:val="00CB04F6"/>
    <w:rsid w:val="00CB076A"/>
    <w:rsid w:val="00CB07C0"/>
    <w:rsid w:val="00CB1047"/>
    <w:rsid w:val="00CB1608"/>
    <w:rsid w:val="00CB1866"/>
    <w:rsid w:val="00CB20FA"/>
    <w:rsid w:val="00CB21B0"/>
    <w:rsid w:val="00CB23B6"/>
    <w:rsid w:val="00CB23FE"/>
    <w:rsid w:val="00CB242A"/>
    <w:rsid w:val="00CB2B6B"/>
    <w:rsid w:val="00CB3220"/>
    <w:rsid w:val="00CB3F3C"/>
    <w:rsid w:val="00CB4122"/>
    <w:rsid w:val="00CB45A1"/>
    <w:rsid w:val="00CB47D4"/>
    <w:rsid w:val="00CB4C99"/>
    <w:rsid w:val="00CB4FFA"/>
    <w:rsid w:val="00CB504D"/>
    <w:rsid w:val="00CB54E5"/>
    <w:rsid w:val="00CB5BEC"/>
    <w:rsid w:val="00CB642C"/>
    <w:rsid w:val="00CB725D"/>
    <w:rsid w:val="00CB74A8"/>
    <w:rsid w:val="00CB7666"/>
    <w:rsid w:val="00CB77C4"/>
    <w:rsid w:val="00CB7E2E"/>
    <w:rsid w:val="00CC0C54"/>
    <w:rsid w:val="00CC1929"/>
    <w:rsid w:val="00CC1A77"/>
    <w:rsid w:val="00CC1C83"/>
    <w:rsid w:val="00CC1CDE"/>
    <w:rsid w:val="00CC22DC"/>
    <w:rsid w:val="00CC24AC"/>
    <w:rsid w:val="00CC2574"/>
    <w:rsid w:val="00CC26CE"/>
    <w:rsid w:val="00CC2DF9"/>
    <w:rsid w:val="00CC4433"/>
    <w:rsid w:val="00CC6497"/>
    <w:rsid w:val="00CC6530"/>
    <w:rsid w:val="00CC78A0"/>
    <w:rsid w:val="00CC7C27"/>
    <w:rsid w:val="00CD06CF"/>
    <w:rsid w:val="00CD0A6F"/>
    <w:rsid w:val="00CD0EA4"/>
    <w:rsid w:val="00CD0F48"/>
    <w:rsid w:val="00CD1450"/>
    <w:rsid w:val="00CD2101"/>
    <w:rsid w:val="00CD23C8"/>
    <w:rsid w:val="00CD34D1"/>
    <w:rsid w:val="00CD48C4"/>
    <w:rsid w:val="00CD4F19"/>
    <w:rsid w:val="00CD569F"/>
    <w:rsid w:val="00CD5E51"/>
    <w:rsid w:val="00CD6ECE"/>
    <w:rsid w:val="00CD7230"/>
    <w:rsid w:val="00CD7956"/>
    <w:rsid w:val="00CD79E8"/>
    <w:rsid w:val="00CE00DA"/>
    <w:rsid w:val="00CE0678"/>
    <w:rsid w:val="00CE1564"/>
    <w:rsid w:val="00CE16C6"/>
    <w:rsid w:val="00CE2B24"/>
    <w:rsid w:val="00CE2B63"/>
    <w:rsid w:val="00CE32FB"/>
    <w:rsid w:val="00CE3894"/>
    <w:rsid w:val="00CE3AEB"/>
    <w:rsid w:val="00CE431E"/>
    <w:rsid w:val="00CE4B37"/>
    <w:rsid w:val="00CE4FA2"/>
    <w:rsid w:val="00CF05D5"/>
    <w:rsid w:val="00CF0793"/>
    <w:rsid w:val="00CF0D9F"/>
    <w:rsid w:val="00CF0E27"/>
    <w:rsid w:val="00CF0F36"/>
    <w:rsid w:val="00CF0FFF"/>
    <w:rsid w:val="00CF11DA"/>
    <w:rsid w:val="00CF1786"/>
    <w:rsid w:val="00CF2AEC"/>
    <w:rsid w:val="00CF2D67"/>
    <w:rsid w:val="00CF2DB1"/>
    <w:rsid w:val="00CF47DC"/>
    <w:rsid w:val="00CF4809"/>
    <w:rsid w:val="00CF4D08"/>
    <w:rsid w:val="00CF4DF3"/>
    <w:rsid w:val="00CF4F94"/>
    <w:rsid w:val="00CF5311"/>
    <w:rsid w:val="00CF5A46"/>
    <w:rsid w:val="00CF61A9"/>
    <w:rsid w:val="00CF69B3"/>
    <w:rsid w:val="00CF749F"/>
    <w:rsid w:val="00D00275"/>
    <w:rsid w:val="00D00865"/>
    <w:rsid w:val="00D01909"/>
    <w:rsid w:val="00D019C0"/>
    <w:rsid w:val="00D02D8C"/>
    <w:rsid w:val="00D034CB"/>
    <w:rsid w:val="00D03932"/>
    <w:rsid w:val="00D03E2B"/>
    <w:rsid w:val="00D03FA1"/>
    <w:rsid w:val="00D045B4"/>
    <w:rsid w:val="00D04946"/>
    <w:rsid w:val="00D05073"/>
    <w:rsid w:val="00D0508A"/>
    <w:rsid w:val="00D06878"/>
    <w:rsid w:val="00D068AD"/>
    <w:rsid w:val="00D073B0"/>
    <w:rsid w:val="00D0752E"/>
    <w:rsid w:val="00D0796F"/>
    <w:rsid w:val="00D07CDA"/>
    <w:rsid w:val="00D10440"/>
    <w:rsid w:val="00D10DA0"/>
    <w:rsid w:val="00D10FF9"/>
    <w:rsid w:val="00D14780"/>
    <w:rsid w:val="00D15805"/>
    <w:rsid w:val="00D159B3"/>
    <w:rsid w:val="00D16373"/>
    <w:rsid w:val="00D1642C"/>
    <w:rsid w:val="00D16BAB"/>
    <w:rsid w:val="00D17623"/>
    <w:rsid w:val="00D20E8A"/>
    <w:rsid w:val="00D217F0"/>
    <w:rsid w:val="00D21A2E"/>
    <w:rsid w:val="00D21A96"/>
    <w:rsid w:val="00D2215A"/>
    <w:rsid w:val="00D22274"/>
    <w:rsid w:val="00D23125"/>
    <w:rsid w:val="00D232BF"/>
    <w:rsid w:val="00D23D6D"/>
    <w:rsid w:val="00D2400E"/>
    <w:rsid w:val="00D24BC8"/>
    <w:rsid w:val="00D24BD6"/>
    <w:rsid w:val="00D25220"/>
    <w:rsid w:val="00D262EB"/>
    <w:rsid w:val="00D272BB"/>
    <w:rsid w:val="00D30E41"/>
    <w:rsid w:val="00D30EF7"/>
    <w:rsid w:val="00D310C0"/>
    <w:rsid w:val="00D31813"/>
    <w:rsid w:val="00D33241"/>
    <w:rsid w:val="00D33EFA"/>
    <w:rsid w:val="00D3431A"/>
    <w:rsid w:val="00D34389"/>
    <w:rsid w:val="00D348D5"/>
    <w:rsid w:val="00D34990"/>
    <w:rsid w:val="00D34D3D"/>
    <w:rsid w:val="00D35207"/>
    <w:rsid w:val="00D36500"/>
    <w:rsid w:val="00D36988"/>
    <w:rsid w:val="00D370A5"/>
    <w:rsid w:val="00D37695"/>
    <w:rsid w:val="00D37D29"/>
    <w:rsid w:val="00D37EAE"/>
    <w:rsid w:val="00D40533"/>
    <w:rsid w:val="00D406B6"/>
    <w:rsid w:val="00D40715"/>
    <w:rsid w:val="00D40C70"/>
    <w:rsid w:val="00D414DE"/>
    <w:rsid w:val="00D4222A"/>
    <w:rsid w:val="00D4369A"/>
    <w:rsid w:val="00D43896"/>
    <w:rsid w:val="00D444E6"/>
    <w:rsid w:val="00D45623"/>
    <w:rsid w:val="00D45665"/>
    <w:rsid w:val="00D45CF7"/>
    <w:rsid w:val="00D4678F"/>
    <w:rsid w:val="00D47512"/>
    <w:rsid w:val="00D475E5"/>
    <w:rsid w:val="00D51346"/>
    <w:rsid w:val="00D5151E"/>
    <w:rsid w:val="00D517BF"/>
    <w:rsid w:val="00D51946"/>
    <w:rsid w:val="00D51973"/>
    <w:rsid w:val="00D532F0"/>
    <w:rsid w:val="00D53ACB"/>
    <w:rsid w:val="00D54056"/>
    <w:rsid w:val="00D549CE"/>
    <w:rsid w:val="00D558D7"/>
    <w:rsid w:val="00D55A9C"/>
    <w:rsid w:val="00D56D8A"/>
    <w:rsid w:val="00D56E21"/>
    <w:rsid w:val="00D57C42"/>
    <w:rsid w:val="00D602D6"/>
    <w:rsid w:val="00D606DB"/>
    <w:rsid w:val="00D60DF5"/>
    <w:rsid w:val="00D6121F"/>
    <w:rsid w:val="00D61506"/>
    <w:rsid w:val="00D61BB6"/>
    <w:rsid w:val="00D62427"/>
    <w:rsid w:val="00D624B7"/>
    <w:rsid w:val="00D626FA"/>
    <w:rsid w:val="00D634C9"/>
    <w:rsid w:val="00D63685"/>
    <w:rsid w:val="00D636B2"/>
    <w:rsid w:val="00D639DF"/>
    <w:rsid w:val="00D65774"/>
    <w:rsid w:val="00D65A20"/>
    <w:rsid w:val="00D65BD4"/>
    <w:rsid w:val="00D65DD4"/>
    <w:rsid w:val="00D666BD"/>
    <w:rsid w:val="00D66D92"/>
    <w:rsid w:val="00D675BB"/>
    <w:rsid w:val="00D6765E"/>
    <w:rsid w:val="00D676A1"/>
    <w:rsid w:val="00D677B6"/>
    <w:rsid w:val="00D67837"/>
    <w:rsid w:val="00D67D38"/>
    <w:rsid w:val="00D702BA"/>
    <w:rsid w:val="00D71297"/>
    <w:rsid w:val="00D7167F"/>
    <w:rsid w:val="00D7175B"/>
    <w:rsid w:val="00D72461"/>
    <w:rsid w:val="00D726EE"/>
    <w:rsid w:val="00D72D91"/>
    <w:rsid w:val="00D72E45"/>
    <w:rsid w:val="00D7315B"/>
    <w:rsid w:val="00D7415E"/>
    <w:rsid w:val="00D741C0"/>
    <w:rsid w:val="00D74BAF"/>
    <w:rsid w:val="00D760BD"/>
    <w:rsid w:val="00D76244"/>
    <w:rsid w:val="00D762DD"/>
    <w:rsid w:val="00D76865"/>
    <w:rsid w:val="00D775C7"/>
    <w:rsid w:val="00D810CD"/>
    <w:rsid w:val="00D81E4B"/>
    <w:rsid w:val="00D821CB"/>
    <w:rsid w:val="00D831E1"/>
    <w:rsid w:val="00D84BBF"/>
    <w:rsid w:val="00D84DCE"/>
    <w:rsid w:val="00D85BBE"/>
    <w:rsid w:val="00D8603C"/>
    <w:rsid w:val="00D861E0"/>
    <w:rsid w:val="00D87563"/>
    <w:rsid w:val="00D87732"/>
    <w:rsid w:val="00D90518"/>
    <w:rsid w:val="00D907D5"/>
    <w:rsid w:val="00D9155A"/>
    <w:rsid w:val="00D91920"/>
    <w:rsid w:val="00D92A4D"/>
    <w:rsid w:val="00D93490"/>
    <w:rsid w:val="00D93498"/>
    <w:rsid w:val="00D938BB"/>
    <w:rsid w:val="00D93DF2"/>
    <w:rsid w:val="00D94208"/>
    <w:rsid w:val="00D9461A"/>
    <w:rsid w:val="00D94ABF"/>
    <w:rsid w:val="00D95C9C"/>
    <w:rsid w:val="00D966C8"/>
    <w:rsid w:val="00D967F3"/>
    <w:rsid w:val="00D96FBE"/>
    <w:rsid w:val="00D97016"/>
    <w:rsid w:val="00D9720E"/>
    <w:rsid w:val="00D973BA"/>
    <w:rsid w:val="00D9785B"/>
    <w:rsid w:val="00DA03CF"/>
    <w:rsid w:val="00DA123C"/>
    <w:rsid w:val="00DA12E8"/>
    <w:rsid w:val="00DA1891"/>
    <w:rsid w:val="00DA2EC7"/>
    <w:rsid w:val="00DA2FF7"/>
    <w:rsid w:val="00DA356D"/>
    <w:rsid w:val="00DA4AC5"/>
    <w:rsid w:val="00DA51B6"/>
    <w:rsid w:val="00DA698F"/>
    <w:rsid w:val="00DA729D"/>
    <w:rsid w:val="00DA7867"/>
    <w:rsid w:val="00DA7F54"/>
    <w:rsid w:val="00DB008F"/>
    <w:rsid w:val="00DB0379"/>
    <w:rsid w:val="00DB0D52"/>
    <w:rsid w:val="00DB0E11"/>
    <w:rsid w:val="00DB0E8D"/>
    <w:rsid w:val="00DB224E"/>
    <w:rsid w:val="00DB28C1"/>
    <w:rsid w:val="00DB2FB8"/>
    <w:rsid w:val="00DB3669"/>
    <w:rsid w:val="00DB3708"/>
    <w:rsid w:val="00DB392E"/>
    <w:rsid w:val="00DB4402"/>
    <w:rsid w:val="00DB4A3B"/>
    <w:rsid w:val="00DB4E83"/>
    <w:rsid w:val="00DB5341"/>
    <w:rsid w:val="00DB5A26"/>
    <w:rsid w:val="00DB6188"/>
    <w:rsid w:val="00DC1456"/>
    <w:rsid w:val="00DC1A3C"/>
    <w:rsid w:val="00DC2072"/>
    <w:rsid w:val="00DC243F"/>
    <w:rsid w:val="00DC24E3"/>
    <w:rsid w:val="00DC3779"/>
    <w:rsid w:val="00DC3E6D"/>
    <w:rsid w:val="00DC40C5"/>
    <w:rsid w:val="00DC465C"/>
    <w:rsid w:val="00DC4668"/>
    <w:rsid w:val="00DC4BC6"/>
    <w:rsid w:val="00DC4C6E"/>
    <w:rsid w:val="00DC5C04"/>
    <w:rsid w:val="00DC5F89"/>
    <w:rsid w:val="00DC758D"/>
    <w:rsid w:val="00DC7920"/>
    <w:rsid w:val="00DC7933"/>
    <w:rsid w:val="00DD0D1B"/>
    <w:rsid w:val="00DD1916"/>
    <w:rsid w:val="00DD1B10"/>
    <w:rsid w:val="00DD2213"/>
    <w:rsid w:val="00DD251F"/>
    <w:rsid w:val="00DD2B49"/>
    <w:rsid w:val="00DD2FDF"/>
    <w:rsid w:val="00DD32D4"/>
    <w:rsid w:val="00DD5A8E"/>
    <w:rsid w:val="00DD6019"/>
    <w:rsid w:val="00DD64B6"/>
    <w:rsid w:val="00DD6844"/>
    <w:rsid w:val="00DD7FA2"/>
    <w:rsid w:val="00DE0225"/>
    <w:rsid w:val="00DE04C3"/>
    <w:rsid w:val="00DE0594"/>
    <w:rsid w:val="00DE1A1F"/>
    <w:rsid w:val="00DE2730"/>
    <w:rsid w:val="00DE28C5"/>
    <w:rsid w:val="00DE2B15"/>
    <w:rsid w:val="00DE2FF3"/>
    <w:rsid w:val="00DE35EF"/>
    <w:rsid w:val="00DE38AE"/>
    <w:rsid w:val="00DE3A91"/>
    <w:rsid w:val="00DE40F9"/>
    <w:rsid w:val="00DE6362"/>
    <w:rsid w:val="00DE6A09"/>
    <w:rsid w:val="00DE79FE"/>
    <w:rsid w:val="00DE7A5F"/>
    <w:rsid w:val="00DF0A81"/>
    <w:rsid w:val="00DF22DD"/>
    <w:rsid w:val="00DF2F04"/>
    <w:rsid w:val="00DF38D3"/>
    <w:rsid w:val="00DF3CDE"/>
    <w:rsid w:val="00DF4880"/>
    <w:rsid w:val="00DF5066"/>
    <w:rsid w:val="00DF5653"/>
    <w:rsid w:val="00DF6806"/>
    <w:rsid w:val="00DF75A1"/>
    <w:rsid w:val="00DF76AF"/>
    <w:rsid w:val="00E007B7"/>
    <w:rsid w:val="00E01CE5"/>
    <w:rsid w:val="00E01F95"/>
    <w:rsid w:val="00E02815"/>
    <w:rsid w:val="00E029D9"/>
    <w:rsid w:val="00E02BEF"/>
    <w:rsid w:val="00E03088"/>
    <w:rsid w:val="00E033C5"/>
    <w:rsid w:val="00E03D2E"/>
    <w:rsid w:val="00E04806"/>
    <w:rsid w:val="00E04DED"/>
    <w:rsid w:val="00E050DA"/>
    <w:rsid w:val="00E05DEF"/>
    <w:rsid w:val="00E05EDB"/>
    <w:rsid w:val="00E05FBF"/>
    <w:rsid w:val="00E06075"/>
    <w:rsid w:val="00E06302"/>
    <w:rsid w:val="00E065E0"/>
    <w:rsid w:val="00E066A8"/>
    <w:rsid w:val="00E07A2F"/>
    <w:rsid w:val="00E07F80"/>
    <w:rsid w:val="00E10083"/>
    <w:rsid w:val="00E10518"/>
    <w:rsid w:val="00E117B1"/>
    <w:rsid w:val="00E11FB8"/>
    <w:rsid w:val="00E11FDA"/>
    <w:rsid w:val="00E11FF8"/>
    <w:rsid w:val="00E121AF"/>
    <w:rsid w:val="00E1230C"/>
    <w:rsid w:val="00E13BB7"/>
    <w:rsid w:val="00E13BF2"/>
    <w:rsid w:val="00E16080"/>
    <w:rsid w:val="00E165E9"/>
    <w:rsid w:val="00E167EF"/>
    <w:rsid w:val="00E1729B"/>
    <w:rsid w:val="00E178CA"/>
    <w:rsid w:val="00E17D04"/>
    <w:rsid w:val="00E204A3"/>
    <w:rsid w:val="00E207F6"/>
    <w:rsid w:val="00E21F89"/>
    <w:rsid w:val="00E2245F"/>
    <w:rsid w:val="00E22FC7"/>
    <w:rsid w:val="00E2343A"/>
    <w:rsid w:val="00E242E2"/>
    <w:rsid w:val="00E24B32"/>
    <w:rsid w:val="00E24FEB"/>
    <w:rsid w:val="00E25AFD"/>
    <w:rsid w:val="00E25C71"/>
    <w:rsid w:val="00E262AA"/>
    <w:rsid w:val="00E26581"/>
    <w:rsid w:val="00E2664E"/>
    <w:rsid w:val="00E26BF4"/>
    <w:rsid w:val="00E273AC"/>
    <w:rsid w:val="00E3066E"/>
    <w:rsid w:val="00E30AC0"/>
    <w:rsid w:val="00E30AC6"/>
    <w:rsid w:val="00E318EE"/>
    <w:rsid w:val="00E32D46"/>
    <w:rsid w:val="00E33885"/>
    <w:rsid w:val="00E33B67"/>
    <w:rsid w:val="00E3572A"/>
    <w:rsid w:val="00E366E8"/>
    <w:rsid w:val="00E37917"/>
    <w:rsid w:val="00E37EB7"/>
    <w:rsid w:val="00E401A8"/>
    <w:rsid w:val="00E405E3"/>
    <w:rsid w:val="00E40FEF"/>
    <w:rsid w:val="00E417DB"/>
    <w:rsid w:val="00E41F24"/>
    <w:rsid w:val="00E42219"/>
    <w:rsid w:val="00E4233A"/>
    <w:rsid w:val="00E43135"/>
    <w:rsid w:val="00E43780"/>
    <w:rsid w:val="00E44009"/>
    <w:rsid w:val="00E447EA"/>
    <w:rsid w:val="00E44E1B"/>
    <w:rsid w:val="00E4611C"/>
    <w:rsid w:val="00E4695E"/>
    <w:rsid w:val="00E46B7F"/>
    <w:rsid w:val="00E46BFC"/>
    <w:rsid w:val="00E47168"/>
    <w:rsid w:val="00E475E8"/>
    <w:rsid w:val="00E47C10"/>
    <w:rsid w:val="00E52A87"/>
    <w:rsid w:val="00E53584"/>
    <w:rsid w:val="00E535B8"/>
    <w:rsid w:val="00E535F2"/>
    <w:rsid w:val="00E53626"/>
    <w:rsid w:val="00E54458"/>
    <w:rsid w:val="00E56575"/>
    <w:rsid w:val="00E568D2"/>
    <w:rsid w:val="00E56BD7"/>
    <w:rsid w:val="00E56BFD"/>
    <w:rsid w:val="00E56C98"/>
    <w:rsid w:val="00E57659"/>
    <w:rsid w:val="00E604BA"/>
    <w:rsid w:val="00E60730"/>
    <w:rsid w:val="00E618F0"/>
    <w:rsid w:val="00E61CFA"/>
    <w:rsid w:val="00E621D9"/>
    <w:rsid w:val="00E62438"/>
    <w:rsid w:val="00E62943"/>
    <w:rsid w:val="00E63001"/>
    <w:rsid w:val="00E63005"/>
    <w:rsid w:val="00E64188"/>
    <w:rsid w:val="00E6466E"/>
    <w:rsid w:val="00E65C7D"/>
    <w:rsid w:val="00E65D7E"/>
    <w:rsid w:val="00E661E2"/>
    <w:rsid w:val="00E6689A"/>
    <w:rsid w:val="00E668A0"/>
    <w:rsid w:val="00E67197"/>
    <w:rsid w:val="00E675BD"/>
    <w:rsid w:val="00E70417"/>
    <w:rsid w:val="00E716AF"/>
    <w:rsid w:val="00E718A9"/>
    <w:rsid w:val="00E71F87"/>
    <w:rsid w:val="00E72241"/>
    <w:rsid w:val="00E73010"/>
    <w:rsid w:val="00E73D11"/>
    <w:rsid w:val="00E75114"/>
    <w:rsid w:val="00E75225"/>
    <w:rsid w:val="00E753E4"/>
    <w:rsid w:val="00E75C4E"/>
    <w:rsid w:val="00E760AE"/>
    <w:rsid w:val="00E766E7"/>
    <w:rsid w:val="00E76A9F"/>
    <w:rsid w:val="00E76DF6"/>
    <w:rsid w:val="00E76EA5"/>
    <w:rsid w:val="00E76F8E"/>
    <w:rsid w:val="00E81229"/>
    <w:rsid w:val="00E821F8"/>
    <w:rsid w:val="00E827D9"/>
    <w:rsid w:val="00E82AD3"/>
    <w:rsid w:val="00E83124"/>
    <w:rsid w:val="00E8458C"/>
    <w:rsid w:val="00E86169"/>
    <w:rsid w:val="00E86459"/>
    <w:rsid w:val="00E87186"/>
    <w:rsid w:val="00E9027D"/>
    <w:rsid w:val="00E90409"/>
    <w:rsid w:val="00E908FC"/>
    <w:rsid w:val="00E909F4"/>
    <w:rsid w:val="00E91006"/>
    <w:rsid w:val="00E91E69"/>
    <w:rsid w:val="00E92A5E"/>
    <w:rsid w:val="00E92CAC"/>
    <w:rsid w:val="00E94796"/>
    <w:rsid w:val="00E96139"/>
    <w:rsid w:val="00E963C7"/>
    <w:rsid w:val="00EA08B6"/>
    <w:rsid w:val="00EA0F8C"/>
    <w:rsid w:val="00EA132C"/>
    <w:rsid w:val="00EA1516"/>
    <w:rsid w:val="00EA1B67"/>
    <w:rsid w:val="00EA3730"/>
    <w:rsid w:val="00EA3AF3"/>
    <w:rsid w:val="00EA40B7"/>
    <w:rsid w:val="00EA4287"/>
    <w:rsid w:val="00EA45B8"/>
    <w:rsid w:val="00EA4AAA"/>
    <w:rsid w:val="00EA5058"/>
    <w:rsid w:val="00EA5150"/>
    <w:rsid w:val="00EA52C9"/>
    <w:rsid w:val="00EA6AA8"/>
    <w:rsid w:val="00EA7DBD"/>
    <w:rsid w:val="00EB035E"/>
    <w:rsid w:val="00EB1AD6"/>
    <w:rsid w:val="00EB1B21"/>
    <w:rsid w:val="00EB2481"/>
    <w:rsid w:val="00EB2496"/>
    <w:rsid w:val="00EB27D1"/>
    <w:rsid w:val="00EB2E22"/>
    <w:rsid w:val="00EB3080"/>
    <w:rsid w:val="00EB3EAE"/>
    <w:rsid w:val="00EB40D4"/>
    <w:rsid w:val="00EB4651"/>
    <w:rsid w:val="00EB5593"/>
    <w:rsid w:val="00EB5E00"/>
    <w:rsid w:val="00EB6625"/>
    <w:rsid w:val="00EB70C0"/>
    <w:rsid w:val="00EC19AB"/>
    <w:rsid w:val="00EC34F4"/>
    <w:rsid w:val="00EC3DB1"/>
    <w:rsid w:val="00EC44F2"/>
    <w:rsid w:val="00EC477F"/>
    <w:rsid w:val="00EC4E19"/>
    <w:rsid w:val="00EC522D"/>
    <w:rsid w:val="00EC546E"/>
    <w:rsid w:val="00EC56C6"/>
    <w:rsid w:val="00EC6AC0"/>
    <w:rsid w:val="00EC724D"/>
    <w:rsid w:val="00EC7417"/>
    <w:rsid w:val="00EC772D"/>
    <w:rsid w:val="00EC7F3B"/>
    <w:rsid w:val="00ED0386"/>
    <w:rsid w:val="00ED0487"/>
    <w:rsid w:val="00ED0F29"/>
    <w:rsid w:val="00ED13D3"/>
    <w:rsid w:val="00ED1459"/>
    <w:rsid w:val="00ED1AD6"/>
    <w:rsid w:val="00ED1D85"/>
    <w:rsid w:val="00ED296B"/>
    <w:rsid w:val="00ED29D5"/>
    <w:rsid w:val="00ED32C0"/>
    <w:rsid w:val="00ED369C"/>
    <w:rsid w:val="00ED386A"/>
    <w:rsid w:val="00ED3918"/>
    <w:rsid w:val="00ED4727"/>
    <w:rsid w:val="00ED49C7"/>
    <w:rsid w:val="00ED4D6A"/>
    <w:rsid w:val="00ED4E91"/>
    <w:rsid w:val="00ED586C"/>
    <w:rsid w:val="00ED5A2A"/>
    <w:rsid w:val="00ED5CE0"/>
    <w:rsid w:val="00ED5F9B"/>
    <w:rsid w:val="00ED72D1"/>
    <w:rsid w:val="00ED7702"/>
    <w:rsid w:val="00ED7763"/>
    <w:rsid w:val="00ED7765"/>
    <w:rsid w:val="00ED7FAE"/>
    <w:rsid w:val="00EE0580"/>
    <w:rsid w:val="00EE07E2"/>
    <w:rsid w:val="00EE090E"/>
    <w:rsid w:val="00EE16CC"/>
    <w:rsid w:val="00EE1D48"/>
    <w:rsid w:val="00EE40E9"/>
    <w:rsid w:val="00EE4AE8"/>
    <w:rsid w:val="00EE4C04"/>
    <w:rsid w:val="00EE5112"/>
    <w:rsid w:val="00EE52FD"/>
    <w:rsid w:val="00EE5D7F"/>
    <w:rsid w:val="00EE5E40"/>
    <w:rsid w:val="00EE6853"/>
    <w:rsid w:val="00EE6A34"/>
    <w:rsid w:val="00EE7947"/>
    <w:rsid w:val="00EE7D12"/>
    <w:rsid w:val="00EF0093"/>
    <w:rsid w:val="00EF140E"/>
    <w:rsid w:val="00EF34F2"/>
    <w:rsid w:val="00EF37C1"/>
    <w:rsid w:val="00EF42C5"/>
    <w:rsid w:val="00EF44AE"/>
    <w:rsid w:val="00EF4A55"/>
    <w:rsid w:val="00EF50CF"/>
    <w:rsid w:val="00EF54A1"/>
    <w:rsid w:val="00EF5BF0"/>
    <w:rsid w:val="00EF5D76"/>
    <w:rsid w:val="00EF5FCB"/>
    <w:rsid w:val="00EF6645"/>
    <w:rsid w:val="00EF6A46"/>
    <w:rsid w:val="00EF705A"/>
    <w:rsid w:val="00EF7A40"/>
    <w:rsid w:val="00F006D7"/>
    <w:rsid w:val="00F012C2"/>
    <w:rsid w:val="00F02167"/>
    <w:rsid w:val="00F026B6"/>
    <w:rsid w:val="00F028E1"/>
    <w:rsid w:val="00F029C3"/>
    <w:rsid w:val="00F032BE"/>
    <w:rsid w:val="00F05B4E"/>
    <w:rsid w:val="00F06A67"/>
    <w:rsid w:val="00F07450"/>
    <w:rsid w:val="00F079BC"/>
    <w:rsid w:val="00F079E5"/>
    <w:rsid w:val="00F117F1"/>
    <w:rsid w:val="00F11E18"/>
    <w:rsid w:val="00F1216B"/>
    <w:rsid w:val="00F127EC"/>
    <w:rsid w:val="00F12E14"/>
    <w:rsid w:val="00F131C3"/>
    <w:rsid w:val="00F133AC"/>
    <w:rsid w:val="00F134A8"/>
    <w:rsid w:val="00F134C2"/>
    <w:rsid w:val="00F136AE"/>
    <w:rsid w:val="00F137A4"/>
    <w:rsid w:val="00F138D7"/>
    <w:rsid w:val="00F140F0"/>
    <w:rsid w:val="00F14907"/>
    <w:rsid w:val="00F14CB4"/>
    <w:rsid w:val="00F14F5E"/>
    <w:rsid w:val="00F15066"/>
    <w:rsid w:val="00F15898"/>
    <w:rsid w:val="00F15BD8"/>
    <w:rsid w:val="00F15F5D"/>
    <w:rsid w:val="00F17260"/>
    <w:rsid w:val="00F200E7"/>
    <w:rsid w:val="00F207C8"/>
    <w:rsid w:val="00F20848"/>
    <w:rsid w:val="00F21B68"/>
    <w:rsid w:val="00F21BA1"/>
    <w:rsid w:val="00F21C58"/>
    <w:rsid w:val="00F223E5"/>
    <w:rsid w:val="00F2346A"/>
    <w:rsid w:val="00F237C8"/>
    <w:rsid w:val="00F23DA5"/>
    <w:rsid w:val="00F241A9"/>
    <w:rsid w:val="00F2515E"/>
    <w:rsid w:val="00F25B54"/>
    <w:rsid w:val="00F2783A"/>
    <w:rsid w:val="00F30075"/>
    <w:rsid w:val="00F30195"/>
    <w:rsid w:val="00F3033B"/>
    <w:rsid w:val="00F305C5"/>
    <w:rsid w:val="00F30B01"/>
    <w:rsid w:val="00F30B0E"/>
    <w:rsid w:val="00F30FAD"/>
    <w:rsid w:val="00F31410"/>
    <w:rsid w:val="00F31CB5"/>
    <w:rsid w:val="00F31E5E"/>
    <w:rsid w:val="00F33BB2"/>
    <w:rsid w:val="00F3403A"/>
    <w:rsid w:val="00F3475A"/>
    <w:rsid w:val="00F34D92"/>
    <w:rsid w:val="00F35140"/>
    <w:rsid w:val="00F35A18"/>
    <w:rsid w:val="00F364B1"/>
    <w:rsid w:val="00F36A82"/>
    <w:rsid w:val="00F36E94"/>
    <w:rsid w:val="00F37766"/>
    <w:rsid w:val="00F37B69"/>
    <w:rsid w:val="00F37E57"/>
    <w:rsid w:val="00F41793"/>
    <w:rsid w:val="00F41822"/>
    <w:rsid w:val="00F4188F"/>
    <w:rsid w:val="00F420FD"/>
    <w:rsid w:val="00F43343"/>
    <w:rsid w:val="00F43538"/>
    <w:rsid w:val="00F438D6"/>
    <w:rsid w:val="00F43C82"/>
    <w:rsid w:val="00F4427A"/>
    <w:rsid w:val="00F45008"/>
    <w:rsid w:val="00F465F2"/>
    <w:rsid w:val="00F46978"/>
    <w:rsid w:val="00F46E5E"/>
    <w:rsid w:val="00F47B8D"/>
    <w:rsid w:val="00F47FDE"/>
    <w:rsid w:val="00F50216"/>
    <w:rsid w:val="00F50AB8"/>
    <w:rsid w:val="00F50E31"/>
    <w:rsid w:val="00F51418"/>
    <w:rsid w:val="00F51BB5"/>
    <w:rsid w:val="00F52D8F"/>
    <w:rsid w:val="00F53408"/>
    <w:rsid w:val="00F534A4"/>
    <w:rsid w:val="00F53A01"/>
    <w:rsid w:val="00F53D89"/>
    <w:rsid w:val="00F55115"/>
    <w:rsid w:val="00F55FFF"/>
    <w:rsid w:val="00F56682"/>
    <w:rsid w:val="00F56B49"/>
    <w:rsid w:val="00F56CA6"/>
    <w:rsid w:val="00F57BEE"/>
    <w:rsid w:val="00F57DDD"/>
    <w:rsid w:val="00F57EC5"/>
    <w:rsid w:val="00F6008B"/>
    <w:rsid w:val="00F602F4"/>
    <w:rsid w:val="00F605BC"/>
    <w:rsid w:val="00F60F59"/>
    <w:rsid w:val="00F60F6C"/>
    <w:rsid w:val="00F61923"/>
    <w:rsid w:val="00F63799"/>
    <w:rsid w:val="00F63A57"/>
    <w:rsid w:val="00F64018"/>
    <w:rsid w:val="00F64D55"/>
    <w:rsid w:val="00F66093"/>
    <w:rsid w:val="00F661B4"/>
    <w:rsid w:val="00F663B3"/>
    <w:rsid w:val="00F6769F"/>
    <w:rsid w:val="00F67919"/>
    <w:rsid w:val="00F679F5"/>
    <w:rsid w:val="00F67C11"/>
    <w:rsid w:val="00F70B4D"/>
    <w:rsid w:val="00F70E27"/>
    <w:rsid w:val="00F716CF"/>
    <w:rsid w:val="00F72074"/>
    <w:rsid w:val="00F7224E"/>
    <w:rsid w:val="00F74771"/>
    <w:rsid w:val="00F75713"/>
    <w:rsid w:val="00F77340"/>
    <w:rsid w:val="00F80685"/>
    <w:rsid w:val="00F8091B"/>
    <w:rsid w:val="00F80D5D"/>
    <w:rsid w:val="00F812EC"/>
    <w:rsid w:val="00F81833"/>
    <w:rsid w:val="00F81D60"/>
    <w:rsid w:val="00F823D4"/>
    <w:rsid w:val="00F82EA4"/>
    <w:rsid w:val="00F82F0B"/>
    <w:rsid w:val="00F84325"/>
    <w:rsid w:val="00F8444F"/>
    <w:rsid w:val="00F8453A"/>
    <w:rsid w:val="00F84FB9"/>
    <w:rsid w:val="00F85452"/>
    <w:rsid w:val="00F8549C"/>
    <w:rsid w:val="00F860DA"/>
    <w:rsid w:val="00F8674D"/>
    <w:rsid w:val="00F86963"/>
    <w:rsid w:val="00F86D31"/>
    <w:rsid w:val="00F870FC"/>
    <w:rsid w:val="00F87AF7"/>
    <w:rsid w:val="00F87D9A"/>
    <w:rsid w:val="00F91F2E"/>
    <w:rsid w:val="00F932CA"/>
    <w:rsid w:val="00F9377F"/>
    <w:rsid w:val="00F9389D"/>
    <w:rsid w:val="00F93DF3"/>
    <w:rsid w:val="00F94713"/>
    <w:rsid w:val="00F947CC"/>
    <w:rsid w:val="00F94B19"/>
    <w:rsid w:val="00F9517B"/>
    <w:rsid w:val="00F959E3"/>
    <w:rsid w:val="00F961B7"/>
    <w:rsid w:val="00F961D7"/>
    <w:rsid w:val="00F964E2"/>
    <w:rsid w:val="00F96A89"/>
    <w:rsid w:val="00F96C3F"/>
    <w:rsid w:val="00FA1166"/>
    <w:rsid w:val="00FA159D"/>
    <w:rsid w:val="00FA1633"/>
    <w:rsid w:val="00FA177A"/>
    <w:rsid w:val="00FA1C33"/>
    <w:rsid w:val="00FA2319"/>
    <w:rsid w:val="00FA271A"/>
    <w:rsid w:val="00FA3295"/>
    <w:rsid w:val="00FA34B0"/>
    <w:rsid w:val="00FA4C49"/>
    <w:rsid w:val="00FA55A9"/>
    <w:rsid w:val="00FA566E"/>
    <w:rsid w:val="00FA6257"/>
    <w:rsid w:val="00FA7357"/>
    <w:rsid w:val="00FA774B"/>
    <w:rsid w:val="00FA79BF"/>
    <w:rsid w:val="00FB0375"/>
    <w:rsid w:val="00FB04E8"/>
    <w:rsid w:val="00FB0882"/>
    <w:rsid w:val="00FB0C69"/>
    <w:rsid w:val="00FB1191"/>
    <w:rsid w:val="00FB1267"/>
    <w:rsid w:val="00FB1DAC"/>
    <w:rsid w:val="00FB210E"/>
    <w:rsid w:val="00FB2394"/>
    <w:rsid w:val="00FB318F"/>
    <w:rsid w:val="00FB46A5"/>
    <w:rsid w:val="00FB46E8"/>
    <w:rsid w:val="00FB4C36"/>
    <w:rsid w:val="00FB4DFD"/>
    <w:rsid w:val="00FB4EC7"/>
    <w:rsid w:val="00FB5082"/>
    <w:rsid w:val="00FB6812"/>
    <w:rsid w:val="00FC010E"/>
    <w:rsid w:val="00FC0567"/>
    <w:rsid w:val="00FC07C6"/>
    <w:rsid w:val="00FC0824"/>
    <w:rsid w:val="00FC0B39"/>
    <w:rsid w:val="00FC110D"/>
    <w:rsid w:val="00FC13C7"/>
    <w:rsid w:val="00FC1A80"/>
    <w:rsid w:val="00FC20EC"/>
    <w:rsid w:val="00FC2111"/>
    <w:rsid w:val="00FC24DB"/>
    <w:rsid w:val="00FC2791"/>
    <w:rsid w:val="00FC2DF5"/>
    <w:rsid w:val="00FC33AA"/>
    <w:rsid w:val="00FC392F"/>
    <w:rsid w:val="00FC3AD4"/>
    <w:rsid w:val="00FC3BAE"/>
    <w:rsid w:val="00FC3DB2"/>
    <w:rsid w:val="00FC44F1"/>
    <w:rsid w:val="00FC4A74"/>
    <w:rsid w:val="00FC631A"/>
    <w:rsid w:val="00FC688F"/>
    <w:rsid w:val="00FC74DA"/>
    <w:rsid w:val="00FC7F08"/>
    <w:rsid w:val="00FC7F8E"/>
    <w:rsid w:val="00FD07E0"/>
    <w:rsid w:val="00FD0B90"/>
    <w:rsid w:val="00FD1008"/>
    <w:rsid w:val="00FD137B"/>
    <w:rsid w:val="00FD1418"/>
    <w:rsid w:val="00FD16B7"/>
    <w:rsid w:val="00FD1969"/>
    <w:rsid w:val="00FD3408"/>
    <w:rsid w:val="00FD3803"/>
    <w:rsid w:val="00FD3A8F"/>
    <w:rsid w:val="00FD3B35"/>
    <w:rsid w:val="00FD3B53"/>
    <w:rsid w:val="00FD439E"/>
    <w:rsid w:val="00FD4698"/>
    <w:rsid w:val="00FD47DE"/>
    <w:rsid w:val="00FD4AB6"/>
    <w:rsid w:val="00FD4DB5"/>
    <w:rsid w:val="00FD5656"/>
    <w:rsid w:val="00FD672C"/>
    <w:rsid w:val="00FD6DE3"/>
    <w:rsid w:val="00FD73D8"/>
    <w:rsid w:val="00FE0CD6"/>
    <w:rsid w:val="00FE153B"/>
    <w:rsid w:val="00FE20BC"/>
    <w:rsid w:val="00FE2122"/>
    <w:rsid w:val="00FE3BBA"/>
    <w:rsid w:val="00FE51AD"/>
    <w:rsid w:val="00FE5279"/>
    <w:rsid w:val="00FE625F"/>
    <w:rsid w:val="00FE6937"/>
    <w:rsid w:val="00FE6C69"/>
    <w:rsid w:val="00FE6CBA"/>
    <w:rsid w:val="00FE6EA0"/>
    <w:rsid w:val="00FE74C8"/>
    <w:rsid w:val="00FE7EE9"/>
    <w:rsid w:val="00FF1267"/>
    <w:rsid w:val="00FF1653"/>
    <w:rsid w:val="00FF217C"/>
    <w:rsid w:val="00FF23A6"/>
    <w:rsid w:val="00FF2AB0"/>
    <w:rsid w:val="00FF2D9A"/>
    <w:rsid w:val="00FF40B7"/>
    <w:rsid w:val="00FF4226"/>
    <w:rsid w:val="00FF46FF"/>
    <w:rsid w:val="00FF47FA"/>
    <w:rsid w:val="00FF5275"/>
    <w:rsid w:val="00FF5AA1"/>
    <w:rsid w:val="00FF66D2"/>
    <w:rsid w:val="00FF70F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184D20"/>
  <w15:docId w15:val="{1BFEA57D-5C3A-44B0-A73E-71958609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UY" w:eastAsia="es-UY"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D49"/>
    <w:pPr>
      <w:spacing w:after="200" w:line="276" w:lineRule="auto"/>
    </w:pPr>
    <w:rPr>
      <w:rFonts w:eastAsia="Times New Roman" w:cs="Calibri"/>
      <w:lang w:val="es-ES" w:eastAsia="en-US"/>
    </w:rPr>
  </w:style>
  <w:style w:type="paragraph" w:styleId="Ttulo1">
    <w:name w:val="heading 1"/>
    <w:aliases w:val="Estilo Ruta 1,Don't Use"/>
    <w:basedOn w:val="Normal"/>
    <w:next w:val="Normal"/>
    <w:link w:val="Ttulo1Car"/>
    <w:uiPriority w:val="99"/>
    <w:qFormat/>
    <w:rsid w:val="00EF37C1"/>
    <w:pPr>
      <w:keepNext/>
      <w:keepLines/>
      <w:spacing w:before="480" w:after="0"/>
      <w:outlineLvl w:val="0"/>
    </w:pPr>
    <w:rPr>
      <w:rFonts w:eastAsia="Calibri"/>
      <w:b/>
      <w:bCs/>
      <w:sz w:val="28"/>
      <w:szCs w:val="28"/>
      <w:lang w:val="es-UY"/>
    </w:rPr>
  </w:style>
  <w:style w:type="paragraph" w:styleId="Ttulo2">
    <w:name w:val="heading 2"/>
    <w:aliases w:val="Ruta 1 Car,Don't use"/>
    <w:basedOn w:val="Normal"/>
    <w:next w:val="Normal"/>
    <w:link w:val="Ttulo2Car"/>
    <w:autoRedefine/>
    <w:uiPriority w:val="99"/>
    <w:qFormat/>
    <w:rsid w:val="00AF4008"/>
    <w:pPr>
      <w:keepNext/>
      <w:tabs>
        <w:tab w:val="left" w:pos="720"/>
      </w:tabs>
      <w:spacing w:before="240" w:after="60" w:line="240" w:lineRule="auto"/>
      <w:outlineLvl w:val="1"/>
    </w:pPr>
    <w:rPr>
      <w:rFonts w:ascii="Arial" w:eastAsia="Calibri" w:hAnsi="Arial" w:cs="Arial"/>
      <w:b/>
      <w:bCs/>
      <w:sz w:val="20"/>
      <w:szCs w:val="20"/>
      <w:lang w:val="es-ES_tradnl" w:eastAsia="es-ES"/>
    </w:rPr>
  </w:style>
  <w:style w:type="paragraph" w:styleId="Ttulo3">
    <w:name w:val="heading 3"/>
    <w:aliases w:val="Ruta 1 T3 Car,don't use"/>
    <w:basedOn w:val="Normal"/>
    <w:next w:val="Normal"/>
    <w:link w:val="Ttulo3Car"/>
    <w:autoRedefine/>
    <w:uiPriority w:val="99"/>
    <w:qFormat/>
    <w:rsid w:val="0020520D"/>
    <w:pPr>
      <w:tabs>
        <w:tab w:val="left" w:pos="567"/>
        <w:tab w:val="left" w:pos="709"/>
      </w:tabs>
      <w:spacing w:before="360" w:after="360" w:line="240" w:lineRule="auto"/>
      <w:ind w:left="360"/>
      <w:jc w:val="center"/>
      <w:outlineLvl w:val="2"/>
    </w:pPr>
    <w:rPr>
      <w:rFonts w:ascii="Arial" w:eastAsia="Calibri" w:hAnsi="Arial" w:cs="Arial"/>
      <w:b/>
      <w:smallCaps/>
      <w:sz w:val="24"/>
      <w:szCs w:val="20"/>
      <w:lang w:val="es-ES_tradnl" w:eastAsia="es-ES"/>
    </w:rPr>
  </w:style>
  <w:style w:type="paragraph" w:styleId="Ttulo4">
    <w:name w:val="heading 4"/>
    <w:aliases w:val="Car,Título A"/>
    <w:basedOn w:val="Normal"/>
    <w:next w:val="Normal"/>
    <w:link w:val="Ttulo4Car"/>
    <w:uiPriority w:val="99"/>
    <w:qFormat/>
    <w:rsid w:val="00EF37C1"/>
    <w:pPr>
      <w:keepNext/>
      <w:keepLines/>
      <w:spacing w:before="200" w:after="0"/>
      <w:outlineLvl w:val="3"/>
    </w:pPr>
    <w:rPr>
      <w:rFonts w:ascii="Cambria" w:eastAsia="Calibri" w:hAnsi="Cambria" w:cs="Cambria"/>
      <w:b/>
      <w:bCs/>
      <w:i/>
      <w:iCs/>
      <w:color w:val="000000"/>
      <w:sz w:val="24"/>
      <w:szCs w:val="24"/>
      <w:lang w:val="es-UY"/>
    </w:rPr>
  </w:style>
  <w:style w:type="paragraph" w:styleId="Ttulo5">
    <w:name w:val="heading 5"/>
    <w:aliases w:val="Título B"/>
    <w:basedOn w:val="Normal"/>
    <w:next w:val="Normal"/>
    <w:link w:val="Ttulo5Car"/>
    <w:autoRedefine/>
    <w:uiPriority w:val="99"/>
    <w:qFormat/>
    <w:rsid w:val="00EF37C1"/>
    <w:pPr>
      <w:numPr>
        <w:ilvl w:val="4"/>
        <w:numId w:val="5"/>
      </w:numPr>
      <w:tabs>
        <w:tab w:val="left" w:pos="720"/>
        <w:tab w:val="num" w:pos="1080"/>
      </w:tabs>
      <w:spacing w:before="240" w:after="60" w:line="240" w:lineRule="auto"/>
      <w:ind w:left="584" w:hanging="584"/>
      <w:outlineLvl w:val="4"/>
    </w:pPr>
    <w:rPr>
      <w:rFonts w:ascii="Arial" w:eastAsia="Calibri" w:hAnsi="Arial" w:cs="Arial"/>
      <w:sz w:val="20"/>
      <w:szCs w:val="20"/>
      <w:lang w:eastAsia="es-ES"/>
    </w:rPr>
  </w:style>
  <w:style w:type="paragraph" w:styleId="Ttulo6">
    <w:name w:val="heading 6"/>
    <w:basedOn w:val="Normal"/>
    <w:next w:val="Normal"/>
    <w:link w:val="Ttulo6Car"/>
    <w:uiPriority w:val="99"/>
    <w:qFormat/>
    <w:rsid w:val="00EF37C1"/>
    <w:pPr>
      <w:numPr>
        <w:ilvl w:val="5"/>
        <w:numId w:val="5"/>
      </w:numPr>
      <w:tabs>
        <w:tab w:val="num" w:pos="1152"/>
      </w:tabs>
      <w:spacing w:before="240" w:after="60" w:line="240" w:lineRule="auto"/>
      <w:ind w:left="1152" w:hanging="1152"/>
      <w:outlineLvl w:val="5"/>
    </w:pPr>
    <w:rPr>
      <w:rFonts w:eastAsia="Calibri"/>
      <w:i/>
      <w:iCs/>
      <w:lang w:eastAsia="es-ES"/>
    </w:rPr>
  </w:style>
  <w:style w:type="paragraph" w:styleId="Ttulo7">
    <w:name w:val="heading 7"/>
    <w:basedOn w:val="Normal"/>
    <w:next w:val="Normal"/>
    <w:link w:val="Ttulo7Car"/>
    <w:uiPriority w:val="99"/>
    <w:qFormat/>
    <w:rsid w:val="00EF37C1"/>
    <w:pPr>
      <w:numPr>
        <w:ilvl w:val="6"/>
        <w:numId w:val="5"/>
      </w:numPr>
      <w:tabs>
        <w:tab w:val="num" w:pos="1296"/>
      </w:tabs>
      <w:spacing w:before="240" w:after="60" w:line="240" w:lineRule="auto"/>
      <w:ind w:left="1296" w:hanging="1296"/>
      <w:outlineLvl w:val="6"/>
    </w:pPr>
    <w:rPr>
      <w:rFonts w:ascii="Arial" w:eastAsia="Calibri" w:hAnsi="Arial" w:cs="Arial"/>
      <w:sz w:val="20"/>
      <w:szCs w:val="20"/>
      <w:lang w:eastAsia="es-ES"/>
    </w:rPr>
  </w:style>
  <w:style w:type="paragraph" w:styleId="Ttulo8">
    <w:name w:val="heading 8"/>
    <w:basedOn w:val="Normal"/>
    <w:next w:val="Normal"/>
    <w:link w:val="Ttulo8Car"/>
    <w:uiPriority w:val="99"/>
    <w:qFormat/>
    <w:rsid w:val="00EF37C1"/>
    <w:pPr>
      <w:numPr>
        <w:ilvl w:val="7"/>
        <w:numId w:val="5"/>
      </w:numPr>
      <w:tabs>
        <w:tab w:val="num" w:pos="1440"/>
      </w:tabs>
      <w:spacing w:before="240" w:after="60" w:line="240" w:lineRule="auto"/>
      <w:ind w:left="1440" w:hanging="1440"/>
      <w:outlineLvl w:val="7"/>
    </w:pPr>
    <w:rPr>
      <w:rFonts w:ascii="Arial" w:eastAsia="Calibri" w:hAnsi="Arial" w:cs="Arial"/>
      <w:i/>
      <w:iCs/>
      <w:sz w:val="20"/>
      <w:szCs w:val="20"/>
      <w:lang w:eastAsia="es-ES"/>
    </w:rPr>
  </w:style>
  <w:style w:type="paragraph" w:styleId="Ttulo9">
    <w:name w:val="heading 9"/>
    <w:aliases w:val="Tabla titulo 1"/>
    <w:basedOn w:val="Normal"/>
    <w:next w:val="Normal"/>
    <w:link w:val="Ttulo9Car"/>
    <w:uiPriority w:val="99"/>
    <w:qFormat/>
    <w:rsid w:val="00EF37C1"/>
    <w:pPr>
      <w:numPr>
        <w:ilvl w:val="8"/>
        <w:numId w:val="5"/>
      </w:numPr>
      <w:tabs>
        <w:tab w:val="num" w:pos="1584"/>
      </w:tabs>
      <w:spacing w:before="240" w:after="60" w:line="240" w:lineRule="auto"/>
      <w:ind w:left="1584" w:hanging="1584"/>
      <w:outlineLvl w:val="8"/>
    </w:pPr>
    <w:rPr>
      <w:rFonts w:ascii="Arial" w:eastAsia="Calibri" w:hAnsi="Arial" w:cs="Arial"/>
      <w:b/>
      <w:bCs/>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stilo Ruta 1 Car,Don't Use Car"/>
    <w:basedOn w:val="Fuentedeprrafopredeter"/>
    <w:link w:val="Ttulo1"/>
    <w:uiPriority w:val="99"/>
    <w:locked/>
    <w:rsid w:val="00EF37C1"/>
    <w:rPr>
      <w:rFonts w:ascii="Times New Roman" w:hAnsi="Times New Roman" w:cs="Times New Roman"/>
      <w:b/>
      <w:bCs/>
      <w:sz w:val="28"/>
      <w:szCs w:val="28"/>
      <w:lang w:val="es-UY"/>
    </w:rPr>
  </w:style>
  <w:style w:type="character" w:customStyle="1" w:styleId="Ttulo2Car">
    <w:name w:val="Título 2 Car"/>
    <w:aliases w:val="Ruta 1 Car Car,Don't use Car"/>
    <w:basedOn w:val="Fuentedeprrafopredeter"/>
    <w:link w:val="Ttulo2"/>
    <w:uiPriority w:val="99"/>
    <w:locked/>
    <w:rsid w:val="00AF4008"/>
    <w:rPr>
      <w:rFonts w:ascii="Arial" w:hAnsi="Arial" w:cs="Arial"/>
      <w:b/>
      <w:bCs/>
      <w:lang w:val="es-ES_tradnl" w:eastAsia="es-ES"/>
    </w:rPr>
  </w:style>
  <w:style w:type="character" w:customStyle="1" w:styleId="Ttulo3Car">
    <w:name w:val="Título 3 Car"/>
    <w:aliases w:val="Ruta 1 T3 Car Car,don't use Car"/>
    <w:basedOn w:val="Fuentedeprrafopredeter"/>
    <w:link w:val="Ttulo3"/>
    <w:uiPriority w:val="99"/>
    <w:locked/>
    <w:rsid w:val="0020520D"/>
    <w:rPr>
      <w:rFonts w:ascii="Arial" w:hAnsi="Arial" w:cs="Arial"/>
      <w:b/>
      <w:smallCaps/>
      <w:sz w:val="24"/>
      <w:szCs w:val="20"/>
      <w:lang w:val="es-ES_tradnl" w:eastAsia="es-ES"/>
    </w:rPr>
  </w:style>
  <w:style w:type="character" w:customStyle="1" w:styleId="Ttulo4Car">
    <w:name w:val="Título 4 Car"/>
    <w:aliases w:val="Car Car,Título A Car"/>
    <w:basedOn w:val="Fuentedeprrafopredeter"/>
    <w:link w:val="Ttulo4"/>
    <w:uiPriority w:val="99"/>
    <w:locked/>
    <w:rsid w:val="00EF37C1"/>
    <w:rPr>
      <w:rFonts w:ascii="Cambria" w:hAnsi="Cambria" w:cs="Cambria"/>
      <w:b/>
      <w:bCs/>
      <w:i/>
      <w:iCs/>
      <w:color w:val="000000"/>
      <w:sz w:val="24"/>
      <w:szCs w:val="24"/>
      <w:lang w:val="es-UY"/>
    </w:rPr>
  </w:style>
  <w:style w:type="character" w:customStyle="1" w:styleId="Ttulo5Car">
    <w:name w:val="Título 5 Car"/>
    <w:aliases w:val="Título B Car"/>
    <w:basedOn w:val="Fuentedeprrafopredeter"/>
    <w:link w:val="Ttulo5"/>
    <w:uiPriority w:val="99"/>
    <w:locked/>
    <w:rsid w:val="00EF37C1"/>
    <w:rPr>
      <w:rFonts w:ascii="Arial" w:hAnsi="Arial" w:cs="Arial"/>
      <w:sz w:val="20"/>
      <w:szCs w:val="20"/>
      <w:lang w:val="es-ES" w:eastAsia="es-ES"/>
    </w:rPr>
  </w:style>
  <w:style w:type="character" w:customStyle="1" w:styleId="Ttulo6Car">
    <w:name w:val="Título 6 Car"/>
    <w:basedOn w:val="Fuentedeprrafopredeter"/>
    <w:link w:val="Ttulo6"/>
    <w:uiPriority w:val="99"/>
    <w:locked/>
    <w:rsid w:val="00EF37C1"/>
    <w:rPr>
      <w:rFonts w:cs="Calibri"/>
      <w:i/>
      <w:iCs/>
      <w:lang w:val="es-ES" w:eastAsia="es-ES"/>
    </w:rPr>
  </w:style>
  <w:style w:type="character" w:customStyle="1" w:styleId="Ttulo7Car">
    <w:name w:val="Título 7 Car"/>
    <w:basedOn w:val="Fuentedeprrafopredeter"/>
    <w:link w:val="Ttulo7"/>
    <w:uiPriority w:val="99"/>
    <w:locked/>
    <w:rsid w:val="00EF37C1"/>
    <w:rPr>
      <w:rFonts w:ascii="Arial" w:hAnsi="Arial" w:cs="Arial"/>
      <w:sz w:val="20"/>
      <w:szCs w:val="20"/>
      <w:lang w:val="es-ES" w:eastAsia="es-ES"/>
    </w:rPr>
  </w:style>
  <w:style w:type="character" w:customStyle="1" w:styleId="Ttulo8Car">
    <w:name w:val="Título 8 Car"/>
    <w:basedOn w:val="Fuentedeprrafopredeter"/>
    <w:link w:val="Ttulo8"/>
    <w:uiPriority w:val="99"/>
    <w:locked/>
    <w:rsid w:val="00EF37C1"/>
    <w:rPr>
      <w:rFonts w:ascii="Arial" w:hAnsi="Arial" w:cs="Arial"/>
      <w:i/>
      <w:iCs/>
      <w:sz w:val="20"/>
      <w:szCs w:val="20"/>
      <w:lang w:val="es-ES" w:eastAsia="es-ES"/>
    </w:rPr>
  </w:style>
  <w:style w:type="character" w:customStyle="1" w:styleId="Ttulo9Car">
    <w:name w:val="Título 9 Car"/>
    <w:aliases w:val="Tabla titulo 1 Car"/>
    <w:basedOn w:val="Fuentedeprrafopredeter"/>
    <w:link w:val="Ttulo9"/>
    <w:uiPriority w:val="99"/>
    <w:locked/>
    <w:rsid w:val="00EF37C1"/>
    <w:rPr>
      <w:rFonts w:ascii="Arial" w:hAnsi="Arial" w:cs="Arial"/>
      <w:b/>
      <w:bCs/>
      <w:i/>
      <w:iCs/>
      <w:sz w:val="18"/>
      <w:szCs w:val="18"/>
      <w:lang w:val="es-ES" w:eastAsia="es-ES"/>
    </w:rPr>
  </w:style>
  <w:style w:type="paragraph" w:customStyle="1" w:styleId="Prrafodelista1">
    <w:name w:val="Párrafo de lista1"/>
    <w:basedOn w:val="Normal"/>
    <w:link w:val="ListParagraphChar"/>
    <w:uiPriority w:val="99"/>
    <w:rsid w:val="00EF37C1"/>
    <w:pPr>
      <w:ind w:left="720"/>
    </w:pPr>
    <w:rPr>
      <w:lang w:val="es-UY"/>
    </w:rPr>
  </w:style>
  <w:style w:type="paragraph" w:styleId="Encabezado">
    <w:name w:val="header"/>
    <w:basedOn w:val="Normal"/>
    <w:link w:val="EncabezadoCar"/>
    <w:uiPriority w:val="99"/>
    <w:rsid w:val="00EF37C1"/>
    <w:pPr>
      <w:tabs>
        <w:tab w:val="center" w:pos="4252"/>
        <w:tab w:val="right" w:pos="8504"/>
      </w:tabs>
      <w:spacing w:after="0" w:line="240" w:lineRule="auto"/>
    </w:pPr>
    <w:rPr>
      <w:lang w:val="es-UY"/>
    </w:rPr>
  </w:style>
  <w:style w:type="character" w:customStyle="1" w:styleId="EncabezadoCar">
    <w:name w:val="Encabezado Car"/>
    <w:basedOn w:val="Fuentedeprrafopredeter"/>
    <w:link w:val="Encabezado"/>
    <w:uiPriority w:val="99"/>
    <w:locked/>
    <w:rsid w:val="00EF37C1"/>
    <w:rPr>
      <w:rFonts w:ascii="Calibri" w:hAnsi="Calibri" w:cs="Calibri"/>
      <w:lang w:val="es-UY"/>
    </w:rPr>
  </w:style>
  <w:style w:type="paragraph" w:styleId="Piedepgina">
    <w:name w:val="footer"/>
    <w:aliases w:val="pie de página"/>
    <w:basedOn w:val="Normal"/>
    <w:link w:val="PiedepginaCar"/>
    <w:uiPriority w:val="99"/>
    <w:rsid w:val="00EF37C1"/>
    <w:pPr>
      <w:tabs>
        <w:tab w:val="center" w:pos="4252"/>
        <w:tab w:val="right" w:pos="8504"/>
      </w:tabs>
      <w:spacing w:after="0" w:line="240" w:lineRule="auto"/>
    </w:pPr>
    <w:rPr>
      <w:lang w:val="es-UY"/>
    </w:rPr>
  </w:style>
  <w:style w:type="character" w:customStyle="1" w:styleId="PiedepginaCar">
    <w:name w:val="Pie de página Car"/>
    <w:aliases w:val="pie de página Car"/>
    <w:basedOn w:val="Fuentedeprrafopredeter"/>
    <w:link w:val="Piedepgina"/>
    <w:uiPriority w:val="99"/>
    <w:locked/>
    <w:rsid w:val="00EF37C1"/>
    <w:rPr>
      <w:rFonts w:ascii="Calibri" w:hAnsi="Calibri" w:cs="Calibri"/>
      <w:lang w:val="es-UY"/>
    </w:rPr>
  </w:style>
  <w:style w:type="paragraph" w:styleId="Sangradetextonormal">
    <w:name w:val="Body Text Indent"/>
    <w:basedOn w:val="Normal"/>
    <w:link w:val="SangradetextonormalCar"/>
    <w:uiPriority w:val="99"/>
    <w:rsid w:val="00EF37C1"/>
    <w:pPr>
      <w:spacing w:after="240" w:line="240" w:lineRule="auto"/>
      <w:ind w:left="283"/>
      <w:jc w:val="both"/>
    </w:pPr>
    <w:rPr>
      <w:rFonts w:eastAsia="Calibri"/>
      <w:sz w:val="24"/>
      <w:szCs w:val="24"/>
      <w:lang w:val="en-US"/>
    </w:rPr>
  </w:style>
  <w:style w:type="character" w:customStyle="1" w:styleId="SangradetextonormalCar">
    <w:name w:val="Sangría de texto normal Car"/>
    <w:basedOn w:val="Fuentedeprrafopredeter"/>
    <w:link w:val="Sangradetextonormal"/>
    <w:uiPriority w:val="99"/>
    <w:locked/>
    <w:rsid w:val="00EF37C1"/>
    <w:rPr>
      <w:rFonts w:ascii="Times New Roman" w:hAnsi="Times New Roman" w:cs="Times New Roman"/>
      <w:sz w:val="24"/>
      <w:szCs w:val="24"/>
      <w:lang w:val="en-US"/>
    </w:rPr>
  </w:style>
  <w:style w:type="character" w:styleId="Hipervnculo">
    <w:name w:val="Hyperlink"/>
    <w:basedOn w:val="Fuentedeprrafopredeter"/>
    <w:uiPriority w:val="99"/>
    <w:rsid w:val="00EF37C1"/>
    <w:rPr>
      <w:color w:val="00A1DE"/>
      <w:u w:val="single"/>
    </w:rPr>
  </w:style>
  <w:style w:type="paragraph" w:customStyle="1" w:styleId="Dact00">
    <w:name w:val="Dact_00"/>
    <w:basedOn w:val="Normal"/>
    <w:uiPriority w:val="99"/>
    <w:rsid w:val="00EF37C1"/>
    <w:pPr>
      <w:tabs>
        <w:tab w:val="left" w:pos="567"/>
      </w:tabs>
      <w:suppressAutoHyphens/>
      <w:spacing w:after="0" w:line="320" w:lineRule="exact"/>
      <w:jc w:val="both"/>
    </w:pPr>
    <w:rPr>
      <w:rFonts w:ascii="Courier New" w:eastAsia="Calibri" w:hAnsi="Courier New" w:cs="Courier New"/>
      <w:lang w:val="es-UY" w:eastAsia="es-ES"/>
    </w:rPr>
  </w:style>
  <w:style w:type="paragraph" w:customStyle="1" w:styleId="Style2">
    <w:name w:val="Style2"/>
    <w:basedOn w:val="Normal"/>
    <w:link w:val="Style2Char"/>
    <w:uiPriority w:val="99"/>
    <w:rsid w:val="00EF37C1"/>
    <w:pPr>
      <w:numPr>
        <w:numId w:val="5"/>
      </w:numPr>
      <w:spacing w:after="240" w:line="240" w:lineRule="auto"/>
      <w:jc w:val="both"/>
    </w:pPr>
    <w:rPr>
      <w:rFonts w:ascii="Constantia" w:hAnsi="Constantia" w:cs="Constantia"/>
    </w:rPr>
  </w:style>
  <w:style w:type="character" w:customStyle="1" w:styleId="Style2Char">
    <w:name w:val="Style2 Char"/>
    <w:basedOn w:val="Fuentedeprrafopredeter"/>
    <w:link w:val="Style2"/>
    <w:uiPriority w:val="99"/>
    <w:locked/>
    <w:rsid w:val="00EF37C1"/>
    <w:rPr>
      <w:rFonts w:ascii="Constantia" w:eastAsia="Times New Roman" w:hAnsi="Constantia" w:cs="Constantia"/>
      <w:lang w:val="es-ES" w:eastAsia="en-US"/>
    </w:rPr>
  </w:style>
  <w:style w:type="paragraph" w:styleId="Sangra2detindependiente">
    <w:name w:val="Body Text Indent 2"/>
    <w:basedOn w:val="Normal"/>
    <w:link w:val="Sangra2detindependienteCar"/>
    <w:uiPriority w:val="99"/>
    <w:rsid w:val="00EF37C1"/>
    <w:pPr>
      <w:spacing w:after="120" w:line="480" w:lineRule="auto"/>
      <w:ind w:left="283"/>
    </w:pPr>
    <w:rPr>
      <w:lang w:val="es-UY"/>
    </w:rPr>
  </w:style>
  <w:style w:type="character" w:customStyle="1" w:styleId="Sangra2detindependienteCar">
    <w:name w:val="Sangría 2 de t. independiente Car"/>
    <w:basedOn w:val="Fuentedeprrafopredeter"/>
    <w:link w:val="Sangra2detindependiente"/>
    <w:uiPriority w:val="99"/>
    <w:locked/>
    <w:rsid w:val="00EF37C1"/>
    <w:rPr>
      <w:rFonts w:ascii="Calibri" w:hAnsi="Calibri" w:cs="Calibri"/>
      <w:lang w:val="es-UY"/>
    </w:rPr>
  </w:style>
  <w:style w:type="paragraph" w:customStyle="1" w:styleId="TITULOPUNTO">
    <w:name w:val="TITULO PUNTO"/>
    <w:basedOn w:val="Ttulo1"/>
    <w:link w:val="TITULOPUNTOCar"/>
    <w:uiPriority w:val="99"/>
    <w:rsid w:val="00EF37C1"/>
    <w:pPr>
      <w:tabs>
        <w:tab w:val="left" w:pos="567"/>
      </w:tabs>
      <w:spacing w:after="240" w:line="240" w:lineRule="auto"/>
      <w:jc w:val="both"/>
    </w:pPr>
    <w:rPr>
      <w:rFonts w:eastAsia="Times New Roman"/>
      <w:b w:val="0"/>
      <w:bCs w:val="0"/>
      <w:sz w:val="24"/>
      <w:szCs w:val="24"/>
      <w:lang w:val="es-ES"/>
    </w:rPr>
  </w:style>
  <w:style w:type="character" w:customStyle="1" w:styleId="TITULOPUNTOCar">
    <w:name w:val="TITULO PUNTO Car"/>
    <w:basedOn w:val="Fuentedeprrafopredeter"/>
    <w:link w:val="TITULOPUNTO"/>
    <w:uiPriority w:val="99"/>
    <w:locked/>
    <w:rsid w:val="00EF37C1"/>
    <w:rPr>
      <w:rFonts w:ascii="Times New Roman" w:hAnsi="Times New Roman" w:cs="Times New Roman"/>
      <w:sz w:val="24"/>
      <w:szCs w:val="24"/>
    </w:rPr>
  </w:style>
  <w:style w:type="paragraph" w:styleId="Textoindependiente">
    <w:name w:val="Body Text"/>
    <w:basedOn w:val="Normal"/>
    <w:link w:val="TextoindependienteCar"/>
    <w:uiPriority w:val="99"/>
    <w:rsid w:val="00EF37C1"/>
    <w:pPr>
      <w:spacing w:after="120"/>
    </w:pPr>
    <w:rPr>
      <w:lang w:val="es-UY"/>
    </w:rPr>
  </w:style>
  <w:style w:type="character" w:customStyle="1" w:styleId="TextoindependienteCar">
    <w:name w:val="Texto independiente Car"/>
    <w:basedOn w:val="Fuentedeprrafopredeter"/>
    <w:link w:val="Textoindependiente"/>
    <w:uiPriority w:val="99"/>
    <w:locked/>
    <w:rsid w:val="00EF37C1"/>
    <w:rPr>
      <w:rFonts w:ascii="Calibri" w:hAnsi="Calibri" w:cs="Calibri"/>
      <w:lang w:val="es-UY"/>
    </w:rPr>
  </w:style>
  <w:style w:type="character" w:styleId="Refdecomentario">
    <w:name w:val="annotation reference"/>
    <w:basedOn w:val="Fuentedeprrafopredeter"/>
    <w:uiPriority w:val="99"/>
    <w:semiHidden/>
    <w:rsid w:val="00EF37C1"/>
    <w:rPr>
      <w:sz w:val="16"/>
      <w:szCs w:val="16"/>
    </w:rPr>
  </w:style>
  <w:style w:type="paragraph" w:styleId="Textocomentario">
    <w:name w:val="annotation text"/>
    <w:basedOn w:val="Normal"/>
    <w:link w:val="TextocomentarioCar"/>
    <w:uiPriority w:val="99"/>
    <w:semiHidden/>
    <w:rsid w:val="00EF37C1"/>
    <w:pPr>
      <w:spacing w:after="0" w:line="240" w:lineRule="auto"/>
      <w:jc w:val="both"/>
    </w:pPr>
    <w:rPr>
      <w:rFonts w:eastAsia="Calibri"/>
      <w:sz w:val="20"/>
      <w:szCs w:val="20"/>
      <w:lang w:val="en-US"/>
    </w:rPr>
  </w:style>
  <w:style w:type="character" w:customStyle="1" w:styleId="TextocomentarioCar">
    <w:name w:val="Texto comentario Car"/>
    <w:basedOn w:val="Fuentedeprrafopredeter"/>
    <w:link w:val="Textocomentario"/>
    <w:uiPriority w:val="99"/>
    <w:locked/>
    <w:rsid w:val="00EF37C1"/>
    <w:rPr>
      <w:rFonts w:ascii="Times New Roman" w:hAnsi="Times New Roman" w:cs="Times New Roman"/>
      <w:sz w:val="20"/>
      <w:szCs w:val="20"/>
      <w:lang w:val="en-US"/>
    </w:rPr>
  </w:style>
  <w:style w:type="paragraph" w:styleId="Lista2">
    <w:name w:val="List 2"/>
    <w:basedOn w:val="Normal"/>
    <w:uiPriority w:val="99"/>
    <w:rsid w:val="00EF37C1"/>
    <w:pPr>
      <w:spacing w:after="0" w:line="240" w:lineRule="auto"/>
      <w:ind w:left="566" w:hanging="283"/>
      <w:jc w:val="both"/>
    </w:pPr>
    <w:rPr>
      <w:rFonts w:eastAsia="Calibri"/>
      <w:sz w:val="20"/>
      <w:szCs w:val="20"/>
      <w:lang w:eastAsia="es-ES"/>
    </w:rPr>
  </w:style>
  <w:style w:type="paragraph" w:styleId="Lista3">
    <w:name w:val="List 3"/>
    <w:basedOn w:val="Normal"/>
    <w:uiPriority w:val="99"/>
    <w:rsid w:val="00EF37C1"/>
    <w:pPr>
      <w:spacing w:after="0" w:line="240" w:lineRule="auto"/>
      <w:ind w:left="849" w:hanging="283"/>
      <w:jc w:val="both"/>
    </w:pPr>
    <w:rPr>
      <w:rFonts w:eastAsia="Calibri"/>
      <w:sz w:val="20"/>
      <w:szCs w:val="20"/>
      <w:lang w:eastAsia="es-ES"/>
    </w:rPr>
  </w:style>
  <w:style w:type="paragraph" w:styleId="Lista4">
    <w:name w:val="List 4"/>
    <w:basedOn w:val="Normal"/>
    <w:uiPriority w:val="99"/>
    <w:rsid w:val="00EF37C1"/>
    <w:pPr>
      <w:spacing w:after="0" w:line="240" w:lineRule="auto"/>
      <w:ind w:left="1132" w:hanging="283"/>
      <w:jc w:val="both"/>
    </w:pPr>
    <w:rPr>
      <w:rFonts w:eastAsia="Calibri"/>
      <w:sz w:val="20"/>
      <w:szCs w:val="20"/>
      <w:lang w:eastAsia="es-ES"/>
    </w:rPr>
  </w:style>
  <w:style w:type="paragraph" w:styleId="Listaconvietas2">
    <w:name w:val="List Bullet 2"/>
    <w:basedOn w:val="Normal"/>
    <w:uiPriority w:val="99"/>
    <w:rsid w:val="00EF37C1"/>
    <w:pPr>
      <w:numPr>
        <w:numId w:val="2"/>
      </w:numPr>
      <w:tabs>
        <w:tab w:val="clear" w:pos="926"/>
        <w:tab w:val="num" w:pos="560"/>
      </w:tabs>
      <w:spacing w:after="0" w:line="240" w:lineRule="auto"/>
      <w:ind w:left="560"/>
      <w:jc w:val="both"/>
    </w:pPr>
    <w:rPr>
      <w:rFonts w:eastAsia="Calibri"/>
      <w:sz w:val="20"/>
      <w:szCs w:val="20"/>
      <w:lang w:eastAsia="es-ES"/>
    </w:rPr>
  </w:style>
  <w:style w:type="paragraph" w:styleId="Listaconvietas3">
    <w:name w:val="List Bullet 3"/>
    <w:basedOn w:val="Normal"/>
    <w:uiPriority w:val="99"/>
    <w:rsid w:val="00EF37C1"/>
    <w:pPr>
      <w:numPr>
        <w:numId w:val="3"/>
      </w:numPr>
      <w:spacing w:after="0" w:line="240" w:lineRule="auto"/>
      <w:jc w:val="both"/>
    </w:pPr>
    <w:rPr>
      <w:rFonts w:eastAsia="Calibri"/>
      <w:sz w:val="20"/>
      <w:szCs w:val="20"/>
      <w:lang w:eastAsia="es-ES"/>
    </w:rPr>
  </w:style>
  <w:style w:type="paragraph" w:styleId="Textodeglobo">
    <w:name w:val="Balloon Text"/>
    <w:basedOn w:val="Normal"/>
    <w:link w:val="TextodegloboCar"/>
    <w:uiPriority w:val="99"/>
    <w:semiHidden/>
    <w:rsid w:val="00EF37C1"/>
    <w:pPr>
      <w:spacing w:after="0" w:line="240" w:lineRule="auto"/>
    </w:pPr>
    <w:rPr>
      <w:rFonts w:ascii="Tahoma" w:hAnsi="Tahoma" w:cs="Tahoma"/>
      <w:sz w:val="16"/>
      <w:szCs w:val="16"/>
      <w:lang w:val="es-UY"/>
    </w:rPr>
  </w:style>
  <w:style w:type="character" w:customStyle="1" w:styleId="TextodegloboCar">
    <w:name w:val="Texto de globo Car"/>
    <w:basedOn w:val="Fuentedeprrafopredeter"/>
    <w:link w:val="Textodeglobo"/>
    <w:uiPriority w:val="99"/>
    <w:semiHidden/>
    <w:locked/>
    <w:rsid w:val="00EF37C1"/>
    <w:rPr>
      <w:rFonts w:ascii="Tahoma" w:hAnsi="Tahoma" w:cs="Tahoma"/>
      <w:sz w:val="16"/>
      <w:szCs w:val="16"/>
      <w:lang w:val="es-UY"/>
    </w:rPr>
  </w:style>
  <w:style w:type="character" w:styleId="nfasis">
    <w:name w:val="Emphasis"/>
    <w:basedOn w:val="Fuentedeprrafopredeter"/>
    <w:uiPriority w:val="20"/>
    <w:qFormat/>
    <w:rsid w:val="00EF37C1"/>
    <w:rPr>
      <w:b/>
      <w:bCs/>
    </w:rPr>
  </w:style>
  <w:style w:type="character" w:customStyle="1" w:styleId="st">
    <w:name w:val="st"/>
    <w:basedOn w:val="Fuentedeprrafopredeter"/>
    <w:uiPriority w:val="99"/>
    <w:rsid w:val="00EF37C1"/>
  </w:style>
  <w:style w:type="paragraph" w:styleId="Asuntodelcomentario">
    <w:name w:val="annotation subject"/>
    <w:basedOn w:val="Textocomentario"/>
    <w:next w:val="Textocomentario"/>
    <w:link w:val="AsuntodelcomentarioCar"/>
    <w:uiPriority w:val="99"/>
    <w:semiHidden/>
    <w:rsid w:val="00EF37C1"/>
    <w:pPr>
      <w:spacing w:after="200"/>
      <w:jc w:val="left"/>
    </w:pPr>
    <w:rPr>
      <w:rFonts w:eastAsia="Times New Roman"/>
      <w:b/>
      <w:bCs/>
      <w:lang w:val="es-UY"/>
    </w:rPr>
  </w:style>
  <w:style w:type="character" w:customStyle="1" w:styleId="AsuntodelcomentarioCar">
    <w:name w:val="Asunto del comentario Car"/>
    <w:basedOn w:val="TextocomentarioCar"/>
    <w:link w:val="Asuntodelcomentario"/>
    <w:uiPriority w:val="99"/>
    <w:semiHidden/>
    <w:locked/>
    <w:rsid w:val="00EF37C1"/>
    <w:rPr>
      <w:rFonts w:ascii="Calibri" w:hAnsi="Calibri" w:cs="Calibri"/>
      <w:b/>
      <w:bCs/>
      <w:sz w:val="20"/>
      <w:szCs w:val="20"/>
      <w:lang w:val="es-UY"/>
    </w:rPr>
  </w:style>
  <w:style w:type="paragraph" w:customStyle="1" w:styleId="Prrafodelista2">
    <w:name w:val="Párrafo de lista2"/>
    <w:basedOn w:val="Normal"/>
    <w:uiPriority w:val="99"/>
    <w:rsid w:val="00EF37C1"/>
    <w:pPr>
      <w:ind w:left="720"/>
    </w:pPr>
    <w:rPr>
      <w:rFonts w:eastAsia="Calibri"/>
    </w:rPr>
  </w:style>
  <w:style w:type="paragraph" w:customStyle="1" w:styleId="TOC31">
    <w:name w:val="TOC 31"/>
    <w:basedOn w:val="Normal"/>
    <w:uiPriority w:val="99"/>
    <w:rsid w:val="00EF37C1"/>
    <w:pPr>
      <w:widowControl w:val="0"/>
      <w:spacing w:after="0" w:line="240" w:lineRule="auto"/>
      <w:ind w:left="1621" w:hanging="397"/>
    </w:pPr>
    <w:rPr>
      <w:rFonts w:eastAsia="Calibri"/>
      <w:sz w:val="24"/>
      <w:szCs w:val="24"/>
      <w:lang w:val="es-UY" w:eastAsia="es-ES"/>
    </w:rPr>
  </w:style>
  <w:style w:type="paragraph" w:customStyle="1" w:styleId="TEXTOCOMUN">
    <w:name w:val="TEXTO COMUN"/>
    <w:basedOn w:val="Normal"/>
    <w:link w:val="TEXTOCOMUNCar"/>
    <w:uiPriority w:val="99"/>
    <w:rsid w:val="00EF37C1"/>
    <w:pPr>
      <w:spacing w:after="240" w:line="240" w:lineRule="auto"/>
      <w:jc w:val="both"/>
    </w:pPr>
    <w:rPr>
      <w:sz w:val="24"/>
      <w:szCs w:val="24"/>
    </w:rPr>
  </w:style>
  <w:style w:type="character" w:customStyle="1" w:styleId="TEXTOCOMUNCar">
    <w:name w:val="TEXTO COMUN Car"/>
    <w:basedOn w:val="Fuentedeprrafopredeter"/>
    <w:link w:val="TEXTOCOMUN"/>
    <w:uiPriority w:val="99"/>
    <w:locked/>
    <w:rsid w:val="00EF37C1"/>
    <w:rPr>
      <w:rFonts w:ascii="Times New Roman" w:hAnsi="Times New Roman" w:cs="Times New Roman"/>
      <w:sz w:val="24"/>
      <w:szCs w:val="24"/>
    </w:rPr>
  </w:style>
  <w:style w:type="paragraph" w:customStyle="1" w:styleId="Dact01">
    <w:name w:val="Dact_01"/>
    <w:basedOn w:val="Normal"/>
    <w:uiPriority w:val="99"/>
    <w:rsid w:val="00EF37C1"/>
    <w:pPr>
      <w:tabs>
        <w:tab w:val="right" w:pos="1134"/>
      </w:tabs>
      <w:suppressAutoHyphens/>
      <w:spacing w:after="0" w:line="320" w:lineRule="exact"/>
      <w:ind w:left="1276" w:hanging="1276"/>
      <w:jc w:val="both"/>
    </w:pPr>
    <w:rPr>
      <w:rFonts w:ascii="Courier New" w:eastAsia="Calibri" w:hAnsi="Courier New" w:cs="Courier New"/>
      <w:lang w:val="es-UY" w:eastAsia="es-ES"/>
    </w:rPr>
  </w:style>
  <w:style w:type="character" w:customStyle="1" w:styleId="apple-style-span">
    <w:name w:val="apple-style-span"/>
    <w:uiPriority w:val="99"/>
    <w:rsid w:val="00EF37C1"/>
  </w:style>
  <w:style w:type="paragraph" w:styleId="Continuarlista">
    <w:name w:val="List Continue"/>
    <w:basedOn w:val="Normal"/>
    <w:uiPriority w:val="99"/>
    <w:rsid w:val="00EF37C1"/>
    <w:pPr>
      <w:spacing w:after="120" w:line="240" w:lineRule="auto"/>
      <w:ind w:left="283"/>
      <w:jc w:val="both"/>
    </w:pPr>
    <w:rPr>
      <w:rFonts w:eastAsia="Calibri"/>
      <w:sz w:val="20"/>
      <w:szCs w:val="20"/>
      <w:lang w:eastAsia="es-ES"/>
    </w:rPr>
  </w:style>
  <w:style w:type="paragraph" w:styleId="TDC3">
    <w:name w:val="toc 3"/>
    <w:basedOn w:val="Normal"/>
    <w:next w:val="Normal"/>
    <w:autoRedefine/>
    <w:uiPriority w:val="39"/>
    <w:rsid w:val="00817A1A"/>
    <w:pPr>
      <w:tabs>
        <w:tab w:val="left" w:pos="880"/>
        <w:tab w:val="right" w:pos="8494"/>
      </w:tabs>
      <w:spacing w:after="0"/>
      <w:ind w:left="220"/>
    </w:pPr>
    <w:rPr>
      <w:rFonts w:ascii="Arial" w:hAnsi="Arial" w:cs="Arial"/>
      <w:noProof/>
      <w:sz w:val="20"/>
      <w:szCs w:val="20"/>
    </w:rPr>
  </w:style>
  <w:style w:type="paragraph" w:customStyle="1" w:styleId="Sangradetindependie">
    <w:name w:val="SangrÌa de t. independie"/>
    <w:basedOn w:val="Normal"/>
    <w:uiPriority w:val="99"/>
    <w:rsid w:val="00EF37C1"/>
    <w:pPr>
      <w:tabs>
        <w:tab w:val="left" w:pos="-720"/>
      </w:tabs>
      <w:spacing w:before="120" w:after="120" w:line="288" w:lineRule="auto"/>
      <w:jc w:val="both"/>
    </w:pPr>
    <w:rPr>
      <w:rFonts w:eastAsia="Calibri"/>
      <w:color w:val="000000"/>
      <w:sz w:val="20"/>
      <w:szCs w:val="20"/>
      <w:lang w:val="en-US" w:eastAsia="es-ES"/>
    </w:rPr>
  </w:style>
  <w:style w:type="paragraph" w:styleId="TDC1">
    <w:name w:val="toc 1"/>
    <w:basedOn w:val="Normal"/>
    <w:next w:val="Normal"/>
    <w:autoRedefine/>
    <w:uiPriority w:val="39"/>
    <w:rsid w:val="00437A94"/>
    <w:pPr>
      <w:tabs>
        <w:tab w:val="right" w:pos="8494"/>
      </w:tabs>
      <w:spacing w:before="360" w:after="0"/>
    </w:pPr>
    <w:rPr>
      <w:rFonts w:ascii="Arial" w:hAnsi="Arial" w:cs="Arial"/>
      <w:b/>
      <w:bCs/>
      <w:caps/>
      <w:noProof/>
      <w:lang w:val="es-ES_tradnl" w:eastAsia="es-ES"/>
    </w:rPr>
  </w:style>
  <w:style w:type="paragraph" w:styleId="TDC2">
    <w:name w:val="toc 2"/>
    <w:basedOn w:val="Normal"/>
    <w:next w:val="Normal"/>
    <w:autoRedefine/>
    <w:uiPriority w:val="39"/>
    <w:rsid w:val="00437A94"/>
    <w:pPr>
      <w:tabs>
        <w:tab w:val="right" w:pos="8494"/>
      </w:tabs>
      <w:spacing w:before="240" w:after="0"/>
    </w:pPr>
    <w:rPr>
      <w:rFonts w:ascii="Arial" w:hAnsi="Arial" w:cs="Arial"/>
      <w:b/>
      <w:bCs/>
      <w:noProof/>
    </w:rPr>
  </w:style>
  <w:style w:type="paragraph" w:styleId="TDC4">
    <w:name w:val="toc 4"/>
    <w:basedOn w:val="Normal"/>
    <w:next w:val="Normal"/>
    <w:autoRedefine/>
    <w:uiPriority w:val="39"/>
    <w:rsid w:val="00EF37C1"/>
    <w:pPr>
      <w:spacing w:after="0"/>
      <w:ind w:left="440"/>
    </w:pPr>
    <w:rPr>
      <w:rFonts w:asciiTheme="minorHAnsi" w:hAnsiTheme="minorHAnsi"/>
      <w:sz w:val="20"/>
      <w:szCs w:val="20"/>
    </w:rPr>
  </w:style>
  <w:style w:type="paragraph" w:styleId="TDC5">
    <w:name w:val="toc 5"/>
    <w:basedOn w:val="Normal"/>
    <w:next w:val="Normal"/>
    <w:autoRedefine/>
    <w:uiPriority w:val="39"/>
    <w:rsid w:val="00EF37C1"/>
    <w:pPr>
      <w:spacing w:after="0"/>
      <w:ind w:left="660"/>
    </w:pPr>
    <w:rPr>
      <w:rFonts w:asciiTheme="minorHAnsi" w:hAnsiTheme="minorHAnsi"/>
      <w:sz w:val="20"/>
      <w:szCs w:val="20"/>
    </w:rPr>
  </w:style>
  <w:style w:type="paragraph" w:styleId="TDC6">
    <w:name w:val="toc 6"/>
    <w:basedOn w:val="Normal"/>
    <w:next w:val="Normal"/>
    <w:autoRedefine/>
    <w:uiPriority w:val="39"/>
    <w:rsid w:val="00EF37C1"/>
    <w:pPr>
      <w:spacing w:after="0"/>
      <w:ind w:left="880"/>
    </w:pPr>
    <w:rPr>
      <w:rFonts w:asciiTheme="minorHAnsi" w:hAnsiTheme="minorHAnsi"/>
      <w:sz w:val="20"/>
      <w:szCs w:val="20"/>
    </w:rPr>
  </w:style>
  <w:style w:type="paragraph" w:styleId="TDC7">
    <w:name w:val="toc 7"/>
    <w:basedOn w:val="Normal"/>
    <w:next w:val="Normal"/>
    <w:autoRedefine/>
    <w:uiPriority w:val="39"/>
    <w:rsid w:val="00761FF7"/>
    <w:pPr>
      <w:spacing w:after="0"/>
      <w:ind w:left="1100"/>
    </w:pPr>
    <w:rPr>
      <w:rFonts w:asciiTheme="minorHAnsi" w:hAnsiTheme="minorHAnsi"/>
      <w:sz w:val="20"/>
      <w:szCs w:val="20"/>
    </w:rPr>
  </w:style>
  <w:style w:type="paragraph" w:styleId="TDC8">
    <w:name w:val="toc 8"/>
    <w:basedOn w:val="Normal"/>
    <w:next w:val="Normal"/>
    <w:autoRedefine/>
    <w:uiPriority w:val="39"/>
    <w:rsid w:val="00B01CA2"/>
    <w:pPr>
      <w:spacing w:after="0"/>
      <w:ind w:left="1320"/>
    </w:pPr>
    <w:rPr>
      <w:rFonts w:asciiTheme="minorHAnsi" w:hAnsiTheme="minorHAnsi"/>
      <w:sz w:val="20"/>
      <w:szCs w:val="20"/>
    </w:rPr>
  </w:style>
  <w:style w:type="paragraph" w:styleId="TDC9">
    <w:name w:val="toc 9"/>
    <w:basedOn w:val="Normal"/>
    <w:next w:val="Normal"/>
    <w:autoRedefine/>
    <w:uiPriority w:val="39"/>
    <w:rsid w:val="00EF37C1"/>
    <w:pPr>
      <w:spacing w:after="0"/>
      <w:ind w:left="1540"/>
    </w:pPr>
    <w:rPr>
      <w:rFonts w:asciiTheme="minorHAnsi" w:hAnsiTheme="minorHAnsi"/>
      <w:sz w:val="20"/>
      <w:szCs w:val="20"/>
    </w:rPr>
  </w:style>
  <w:style w:type="paragraph" w:customStyle="1" w:styleId="Default">
    <w:name w:val="Default"/>
    <w:uiPriority w:val="99"/>
    <w:rsid w:val="00EF37C1"/>
    <w:pPr>
      <w:autoSpaceDE w:val="0"/>
      <w:autoSpaceDN w:val="0"/>
      <w:adjustRightInd w:val="0"/>
    </w:pPr>
    <w:rPr>
      <w:rFonts w:eastAsia="Times New Roman" w:cs="Calibri"/>
      <w:color w:val="000000"/>
      <w:sz w:val="24"/>
      <w:szCs w:val="24"/>
      <w:lang w:eastAsia="en-US"/>
    </w:rPr>
  </w:style>
  <w:style w:type="paragraph" w:styleId="Listaconnmeros3">
    <w:name w:val="List Number 3"/>
    <w:basedOn w:val="Normal"/>
    <w:uiPriority w:val="99"/>
    <w:rsid w:val="00EF37C1"/>
    <w:pPr>
      <w:tabs>
        <w:tab w:val="num" w:pos="926"/>
      </w:tabs>
      <w:ind w:left="926" w:hanging="360"/>
    </w:pPr>
    <w:rPr>
      <w:lang w:val="es-UY"/>
    </w:rPr>
  </w:style>
  <w:style w:type="paragraph" w:customStyle="1" w:styleId="ListNumber1">
    <w:name w:val="List Number 1"/>
    <w:basedOn w:val="Normal"/>
    <w:uiPriority w:val="99"/>
    <w:rsid w:val="00EF37C1"/>
    <w:pPr>
      <w:autoSpaceDE w:val="0"/>
      <w:autoSpaceDN w:val="0"/>
      <w:adjustRightInd w:val="0"/>
      <w:spacing w:after="240" w:line="360" w:lineRule="auto"/>
      <w:ind w:left="425"/>
      <w:jc w:val="both"/>
    </w:pPr>
    <w:rPr>
      <w:rFonts w:ascii="Arial" w:eastAsia="Calibri" w:hAnsi="Arial" w:cs="Arial"/>
      <w:lang w:val="es-ES_tradnl" w:eastAsia="es-ES"/>
    </w:rPr>
  </w:style>
  <w:style w:type="paragraph" w:customStyle="1" w:styleId="content">
    <w:name w:val="content"/>
    <w:basedOn w:val="Normal"/>
    <w:uiPriority w:val="99"/>
    <w:rsid w:val="00EF37C1"/>
    <w:pPr>
      <w:spacing w:before="100" w:beforeAutospacing="1" w:after="100" w:afterAutospacing="1" w:line="240" w:lineRule="auto"/>
    </w:pPr>
    <w:rPr>
      <w:rFonts w:eastAsia="Calibri"/>
      <w:sz w:val="24"/>
      <w:szCs w:val="24"/>
      <w:lang w:eastAsia="es-ES"/>
    </w:rPr>
  </w:style>
  <w:style w:type="paragraph" w:styleId="Textodebloque">
    <w:name w:val="Block Text"/>
    <w:basedOn w:val="Normal"/>
    <w:uiPriority w:val="99"/>
    <w:rsid w:val="00EF37C1"/>
    <w:pPr>
      <w:tabs>
        <w:tab w:val="left" w:pos="-1440"/>
        <w:tab w:val="left" w:pos="-720"/>
      </w:tabs>
      <w:spacing w:after="0" w:line="240" w:lineRule="auto"/>
      <w:ind w:left="851" w:right="-3"/>
      <w:jc w:val="both"/>
    </w:pPr>
    <w:rPr>
      <w:rFonts w:ascii="Arial" w:eastAsia="Calibri" w:hAnsi="Arial" w:cs="Arial"/>
      <w:sz w:val="21"/>
      <w:szCs w:val="21"/>
      <w:lang w:val="es-UY" w:eastAsia="es-ES"/>
    </w:rPr>
  </w:style>
  <w:style w:type="character" w:customStyle="1" w:styleId="TextonotapieCar">
    <w:name w:val="Texto nota pie Car"/>
    <w:aliases w:val="Char Car1,Char Car Car,texto de nota al pie Car,Texto nota pie Car Car Car Car Car Car Car Car Car,Texto nota pie Car Car Car Car,fn Car,Footnote Text Char Char Char Char Char Char Car,Texto nota pie Car Car Car Car Car Car,ft Car"/>
    <w:basedOn w:val="Fuentedeprrafopredeter"/>
    <w:link w:val="Textonotapie"/>
    <w:uiPriority w:val="99"/>
    <w:locked/>
    <w:rsid w:val="00EF37C1"/>
    <w:rPr>
      <w:rFonts w:ascii="Calibri" w:hAnsi="Calibri" w:cs="Calibri"/>
      <w:sz w:val="20"/>
      <w:szCs w:val="20"/>
      <w:lang w:eastAsia="es-ES"/>
    </w:rPr>
  </w:style>
  <w:style w:type="paragraph" w:styleId="Textonotapie">
    <w:name w:val="footnote text"/>
    <w:aliases w:val="Char,Char Car,texto de nota al pie,Texto nota pie Car Car Car Car Car Car Car Car,Texto nota pie Car Car Car,fn,Footnote Text Char Char Char Char Char Char,Texto nota pie Car Car Car Car Car,ft,Footnote Text Char"/>
    <w:basedOn w:val="Normal"/>
    <w:link w:val="TextonotapieCar"/>
    <w:uiPriority w:val="99"/>
    <w:semiHidden/>
    <w:rsid w:val="00EF37C1"/>
    <w:pPr>
      <w:spacing w:after="0" w:line="240" w:lineRule="auto"/>
    </w:pPr>
    <w:rPr>
      <w:sz w:val="20"/>
      <w:szCs w:val="20"/>
      <w:lang w:eastAsia="es-ES"/>
    </w:rPr>
  </w:style>
  <w:style w:type="character" w:customStyle="1" w:styleId="FootnoteTextChar2">
    <w:name w:val="Footnote Text Char2"/>
    <w:aliases w:val="Char Char1,Char Car Char1,texto de nota al pie Char1,Texto nota pie Car Car Car Car Car Car Car Car Char1,Texto nota pie Car Car Car Char1,fn Char1,Footnote Text Char Char Char Char Char Char Char1,ft Char,Footnote Text Char Char"/>
    <w:basedOn w:val="Fuentedeprrafopredeter"/>
    <w:uiPriority w:val="99"/>
    <w:semiHidden/>
    <w:locked/>
    <w:rsid w:val="00EF37C1"/>
    <w:rPr>
      <w:sz w:val="20"/>
      <w:szCs w:val="20"/>
      <w:lang w:eastAsia="en-US"/>
    </w:rPr>
  </w:style>
  <w:style w:type="character" w:customStyle="1" w:styleId="TextonotapieCar1">
    <w:name w:val="Texto nota pie Car1"/>
    <w:basedOn w:val="Fuentedeprrafopredeter"/>
    <w:uiPriority w:val="99"/>
    <w:semiHidden/>
    <w:locked/>
    <w:rsid w:val="00EF37C1"/>
    <w:rPr>
      <w:sz w:val="20"/>
      <w:szCs w:val="20"/>
    </w:rPr>
  </w:style>
  <w:style w:type="character" w:customStyle="1" w:styleId="Sangra3detindependienteCar">
    <w:name w:val="Sangría 3 de t. independiente Car"/>
    <w:basedOn w:val="Fuentedeprrafopredeter"/>
    <w:link w:val="Sangra3detindependiente"/>
    <w:uiPriority w:val="99"/>
    <w:locked/>
    <w:rsid w:val="00EF37C1"/>
    <w:rPr>
      <w:sz w:val="16"/>
      <w:szCs w:val="16"/>
    </w:rPr>
  </w:style>
  <w:style w:type="paragraph" w:styleId="Sangra3detindependiente">
    <w:name w:val="Body Text Indent 3"/>
    <w:basedOn w:val="Normal"/>
    <w:link w:val="Sangra3detindependienteCar"/>
    <w:uiPriority w:val="99"/>
    <w:rsid w:val="00EF37C1"/>
    <w:pPr>
      <w:spacing w:after="120"/>
      <w:ind w:left="283"/>
    </w:pPr>
    <w:rPr>
      <w:sz w:val="16"/>
      <w:szCs w:val="16"/>
    </w:rPr>
  </w:style>
  <w:style w:type="character" w:customStyle="1" w:styleId="BodyTextIndent3Char1">
    <w:name w:val="Body Text Indent 3 Char1"/>
    <w:basedOn w:val="Fuentedeprrafopredeter"/>
    <w:uiPriority w:val="99"/>
    <w:semiHidden/>
    <w:locked/>
    <w:rsid w:val="00EF37C1"/>
    <w:rPr>
      <w:sz w:val="16"/>
      <w:szCs w:val="16"/>
      <w:lang w:eastAsia="en-US"/>
    </w:rPr>
  </w:style>
  <w:style w:type="character" w:customStyle="1" w:styleId="Sangra3detindependienteCar1">
    <w:name w:val="Sangría 3 de t. independiente Car1"/>
    <w:basedOn w:val="Fuentedeprrafopredeter"/>
    <w:uiPriority w:val="99"/>
    <w:semiHidden/>
    <w:locked/>
    <w:rsid w:val="00EF37C1"/>
    <w:rPr>
      <w:sz w:val="16"/>
      <w:szCs w:val="16"/>
    </w:rPr>
  </w:style>
  <w:style w:type="paragraph" w:customStyle="1" w:styleId="Titulo3">
    <w:name w:val="Titulo 3"/>
    <w:basedOn w:val="Normal"/>
    <w:next w:val="Normal"/>
    <w:link w:val="Titulo3CarCar"/>
    <w:autoRedefine/>
    <w:uiPriority w:val="99"/>
    <w:rsid w:val="00EF37C1"/>
    <w:pPr>
      <w:widowControl w:val="0"/>
      <w:tabs>
        <w:tab w:val="num" w:pos="1440"/>
      </w:tabs>
      <w:spacing w:before="240" w:after="240" w:line="240" w:lineRule="auto"/>
      <w:jc w:val="both"/>
    </w:pPr>
    <w:rPr>
      <w:rFonts w:eastAsia="Calibri" w:cs="Times New Roman"/>
      <w:b/>
      <w:bCs/>
      <w:sz w:val="24"/>
      <w:szCs w:val="24"/>
      <w:lang w:val="es-UY" w:eastAsia="es-ES"/>
    </w:rPr>
  </w:style>
  <w:style w:type="character" w:customStyle="1" w:styleId="Titulo3CarCar">
    <w:name w:val="Titulo 3 Car Car"/>
    <w:link w:val="Titulo3"/>
    <w:uiPriority w:val="99"/>
    <w:locked/>
    <w:rsid w:val="00EF37C1"/>
    <w:rPr>
      <w:rFonts w:ascii="Times New Roman" w:hAnsi="Times New Roman" w:cs="Times New Roman"/>
      <w:b/>
      <w:bCs/>
      <w:sz w:val="24"/>
      <w:szCs w:val="24"/>
    </w:rPr>
  </w:style>
  <w:style w:type="paragraph" w:styleId="Textoindependiente3">
    <w:name w:val="Body Text 3"/>
    <w:basedOn w:val="Normal"/>
    <w:link w:val="Textoindependiente3Car"/>
    <w:uiPriority w:val="99"/>
    <w:rsid w:val="00EF37C1"/>
    <w:pPr>
      <w:spacing w:after="120" w:line="240" w:lineRule="auto"/>
    </w:pPr>
    <w:rPr>
      <w:rFonts w:ascii="Univers" w:eastAsia="Calibri" w:hAnsi="Univers" w:cs="Univers"/>
      <w:sz w:val="16"/>
      <w:szCs w:val="16"/>
      <w:lang w:val="es-ES_tradnl" w:eastAsia="es-ES"/>
    </w:rPr>
  </w:style>
  <w:style w:type="character" w:customStyle="1" w:styleId="Textoindependiente3Car">
    <w:name w:val="Texto independiente 3 Car"/>
    <w:basedOn w:val="Fuentedeprrafopredeter"/>
    <w:link w:val="Textoindependiente3"/>
    <w:uiPriority w:val="99"/>
    <w:locked/>
    <w:rsid w:val="00EF37C1"/>
    <w:rPr>
      <w:rFonts w:ascii="Univers" w:hAnsi="Univers" w:cs="Univers"/>
      <w:sz w:val="16"/>
      <w:szCs w:val="16"/>
      <w:lang w:val="es-ES_tradnl" w:eastAsia="es-ES"/>
    </w:rPr>
  </w:style>
  <w:style w:type="character" w:customStyle="1" w:styleId="Textodelmarcadordeposicin1">
    <w:name w:val="Texto del marcador de posición1"/>
    <w:basedOn w:val="Fuentedeprrafopredeter"/>
    <w:uiPriority w:val="99"/>
    <w:semiHidden/>
    <w:rsid w:val="00EF37C1"/>
    <w:rPr>
      <w:color w:val="808080"/>
    </w:rPr>
  </w:style>
  <w:style w:type="table" w:styleId="Tablaconcuadrcula">
    <w:name w:val="Table Grid"/>
    <w:basedOn w:val="Tablanormal"/>
    <w:uiPriority w:val="99"/>
    <w:rsid w:val="00EF37C1"/>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
    <w:name w:val="Body Text In"/>
    <w:uiPriority w:val="99"/>
    <w:rsid w:val="00EF37C1"/>
    <w:rPr>
      <w:rFonts w:ascii="CG Times" w:hAnsi="CG Times" w:cs="CG Times"/>
      <w:sz w:val="24"/>
      <w:szCs w:val="24"/>
    </w:rPr>
  </w:style>
  <w:style w:type="paragraph" w:styleId="Mapadeldocumento">
    <w:name w:val="Document Map"/>
    <w:basedOn w:val="Normal"/>
    <w:link w:val="MapadeldocumentoCar"/>
    <w:uiPriority w:val="99"/>
    <w:semiHidden/>
    <w:rsid w:val="00EF37C1"/>
    <w:pPr>
      <w:widowControl w:val="0"/>
      <w:shd w:val="clear" w:color="auto" w:fill="000080"/>
      <w:spacing w:after="0" w:line="240" w:lineRule="auto"/>
    </w:pPr>
    <w:rPr>
      <w:rFonts w:ascii="Tahoma" w:eastAsia="Calibri" w:hAnsi="Tahoma" w:cs="Tahoma"/>
      <w:sz w:val="24"/>
      <w:szCs w:val="24"/>
      <w:lang w:val="es-UY" w:eastAsia="es-ES"/>
    </w:rPr>
  </w:style>
  <w:style w:type="character" w:customStyle="1" w:styleId="MapadeldocumentoCar">
    <w:name w:val="Mapa del documento Car"/>
    <w:basedOn w:val="Fuentedeprrafopredeter"/>
    <w:link w:val="Mapadeldocumento"/>
    <w:uiPriority w:val="99"/>
    <w:semiHidden/>
    <w:locked/>
    <w:rsid w:val="00EF37C1"/>
    <w:rPr>
      <w:rFonts w:ascii="Tahoma" w:hAnsi="Tahoma" w:cs="Tahoma"/>
      <w:sz w:val="24"/>
      <w:szCs w:val="24"/>
      <w:shd w:val="clear" w:color="auto" w:fill="000080"/>
      <w:lang w:val="es-UY" w:eastAsia="es-ES"/>
    </w:rPr>
  </w:style>
  <w:style w:type="paragraph" w:styleId="Puesto">
    <w:name w:val="Title"/>
    <w:basedOn w:val="Normal"/>
    <w:link w:val="PuestoCar"/>
    <w:uiPriority w:val="99"/>
    <w:qFormat/>
    <w:rsid w:val="00EF37C1"/>
    <w:pPr>
      <w:spacing w:after="0" w:line="312" w:lineRule="auto"/>
      <w:jc w:val="center"/>
    </w:pPr>
    <w:rPr>
      <w:rFonts w:ascii="Arial" w:eastAsia="Calibri" w:hAnsi="Arial" w:cs="Arial"/>
      <w:b/>
      <w:bCs/>
      <w:sz w:val="28"/>
      <w:szCs w:val="28"/>
      <w:lang w:val="es-ES_tradnl" w:eastAsia="es-ES"/>
    </w:rPr>
  </w:style>
  <w:style w:type="character" w:customStyle="1" w:styleId="PuestoCar">
    <w:name w:val="Puesto Car"/>
    <w:basedOn w:val="Fuentedeprrafopredeter"/>
    <w:link w:val="Puesto"/>
    <w:uiPriority w:val="99"/>
    <w:locked/>
    <w:rsid w:val="00EF37C1"/>
    <w:rPr>
      <w:rFonts w:ascii="Arial" w:hAnsi="Arial" w:cs="Arial"/>
      <w:b/>
      <w:bCs/>
      <w:sz w:val="28"/>
      <w:szCs w:val="28"/>
      <w:lang w:val="es-ES_tradnl" w:eastAsia="es-ES"/>
    </w:rPr>
  </w:style>
  <w:style w:type="character" w:styleId="Nmerodepgina">
    <w:name w:val="page number"/>
    <w:basedOn w:val="Fuentedeprrafopredeter"/>
    <w:uiPriority w:val="99"/>
    <w:rsid w:val="00EF37C1"/>
  </w:style>
  <w:style w:type="paragraph" w:styleId="ndice1">
    <w:name w:val="index 1"/>
    <w:basedOn w:val="Normal"/>
    <w:next w:val="Normal"/>
    <w:autoRedefine/>
    <w:uiPriority w:val="99"/>
    <w:semiHidden/>
    <w:rsid w:val="00EF37C1"/>
    <w:pPr>
      <w:widowControl w:val="0"/>
      <w:spacing w:after="0" w:line="240" w:lineRule="auto"/>
      <w:ind w:left="240" w:hanging="240"/>
    </w:pPr>
    <w:rPr>
      <w:rFonts w:eastAsia="Calibri"/>
      <w:sz w:val="18"/>
      <w:szCs w:val="18"/>
      <w:lang w:val="es-UY" w:eastAsia="es-ES"/>
    </w:rPr>
  </w:style>
  <w:style w:type="paragraph" w:customStyle="1" w:styleId="1Artculo">
    <w:name w:val="1 Artículo"/>
    <w:basedOn w:val="ndice1"/>
    <w:autoRedefine/>
    <w:uiPriority w:val="99"/>
    <w:rsid w:val="00EF37C1"/>
    <w:pPr>
      <w:keepNext/>
      <w:keepLines/>
      <w:tabs>
        <w:tab w:val="left" w:pos="709"/>
      </w:tabs>
      <w:ind w:left="709" w:hanging="709"/>
      <w:jc w:val="both"/>
    </w:pPr>
    <w:rPr>
      <w:rFonts w:ascii="Arial" w:hAnsi="Arial" w:cs="Arial"/>
      <w:b/>
      <w:bCs/>
      <w:sz w:val="21"/>
      <w:szCs w:val="21"/>
    </w:rPr>
  </w:style>
  <w:style w:type="paragraph" w:customStyle="1" w:styleId="ARTCULOS">
    <w:name w:val="ARTÍCULOS"/>
    <w:basedOn w:val="Normal"/>
    <w:autoRedefine/>
    <w:uiPriority w:val="99"/>
    <w:rsid w:val="00EF37C1"/>
    <w:pPr>
      <w:widowControl w:val="0"/>
      <w:tabs>
        <w:tab w:val="left" w:pos="709"/>
      </w:tabs>
      <w:spacing w:after="0" w:line="240" w:lineRule="auto"/>
      <w:ind w:left="709" w:hanging="709"/>
      <w:outlineLvl w:val="0"/>
    </w:pPr>
    <w:rPr>
      <w:rFonts w:ascii="Arial" w:eastAsia="Calibri" w:hAnsi="Arial" w:cs="Arial"/>
      <w:b/>
      <w:bCs/>
      <w:lang w:val="es-ES_tradnl" w:eastAsia="es-ES"/>
    </w:rPr>
  </w:style>
  <w:style w:type="paragraph" w:styleId="Textoindependiente2">
    <w:name w:val="Body Text 2"/>
    <w:basedOn w:val="Normal"/>
    <w:link w:val="Textoindependiente2Car"/>
    <w:uiPriority w:val="99"/>
    <w:rsid w:val="00EF37C1"/>
    <w:pPr>
      <w:widowControl w:val="0"/>
      <w:spacing w:after="0" w:line="240" w:lineRule="auto"/>
    </w:pPr>
    <w:rPr>
      <w:rFonts w:ascii="Arial" w:eastAsia="Calibri" w:hAnsi="Arial" w:cs="Arial"/>
      <w:sz w:val="21"/>
      <w:szCs w:val="21"/>
      <w:lang w:val="es-UY" w:eastAsia="es-ES"/>
    </w:rPr>
  </w:style>
  <w:style w:type="character" w:customStyle="1" w:styleId="Textoindependiente2Car">
    <w:name w:val="Texto independiente 2 Car"/>
    <w:basedOn w:val="Fuentedeprrafopredeter"/>
    <w:link w:val="Textoindependiente2"/>
    <w:uiPriority w:val="99"/>
    <w:locked/>
    <w:rsid w:val="00EF37C1"/>
    <w:rPr>
      <w:rFonts w:ascii="Arial" w:hAnsi="Arial" w:cs="Arial"/>
      <w:sz w:val="21"/>
      <w:szCs w:val="21"/>
      <w:lang w:val="es-UY" w:eastAsia="es-ES"/>
    </w:rPr>
  </w:style>
  <w:style w:type="paragraph" w:customStyle="1" w:styleId="Logro">
    <w:name w:val="Logro"/>
    <w:basedOn w:val="Normal"/>
    <w:uiPriority w:val="99"/>
    <w:rsid w:val="00EF37C1"/>
    <w:pPr>
      <w:widowControl w:val="0"/>
      <w:numPr>
        <w:numId w:val="22"/>
      </w:numPr>
      <w:spacing w:after="0" w:line="240" w:lineRule="auto"/>
    </w:pPr>
    <w:rPr>
      <w:rFonts w:ascii="CG Times" w:eastAsia="Calibri" w:hAnsi="CG Times" w:cs="CG Times"/>
      <w:sz w:val="24"/>
      <w:szCs w:val="24"/>
      <w:lang w:val="es-UY" w:eastAsia="es-ES"/>
    </w:rPr>
  </w:style>
  <w:style w:type="paragraph" w:customStyle="1" w:styleId="TOC11">
    <w:name w:val="TOC 11"/>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paragraph" w:styleId="ndice2">
    <w:name w:val="index 2"/>
    <w:basedOn w:val="Normal"/>
    <w:next w:val="Normal"/>
    <w:autoRedefine/>
    <w:uiPriority w:val="99"/>
    <w:semiHidden/>
    <w:rsid w:val="00EF37C1"/>
    <w:pPr>
      <w:widowControl w:val="0"/>
      <w:spacing w:after="0" w:line="240" w:lineRule="auto"/>
      <w:ind w:left="480" w:hanging="240"/>
    </w:pPr>
    <w:rPr>
      <w:rFonts w:eastAsia="Calibri"/>
      <w:sz w:val="18"/>
      <w:szCs w:val="18"/>
      <w:lang w:val="es-UY" w:eastAsia="es-ES"/>
    </w:rPr>
  </w:style>
  <w:style w:type="paragraph" w:styleId="ndice3">
    <w:name w:val="index 3"/>
    <w:basedOn w:val="Normal"/>
    <w:next w:val="Normal"/>
    <w:autoRedefine/>
    <w:uiPriority w:val="99"/>
    <w:semiHidden/>
    <w:rsid w:val="00EF37C1"/>
    <w:pPr>
      <w:widowControl w:val="0"/>
      <w:spacing w:after="0" w:line="240" w:lineRule="auto"/>
      <w:ind w:left="720" w:hanging="240"/>
    </w:pPr>
    <w:rPr>
      <w:rFonts w:eastAsia="Calibri"/>
      <w:sz w:val="18"/>
      <w:szCs w:val="18"/>
      <w:lang w:val="es-UY" w:eastAsia="es-ES"/>
    </w:rPr>
  </w:style>
  <w:style w:type="paragraph" w:styleId="ndice4">
    <w:name w:val="index 4"/>
    <w:basedOn w:val="Normal"/>
    <w:next w:val="Normal"/>
    <w:autoRedefine/>
    <w:uiPriority w:val="99"/>
    <w:semiHidden/>
    <w:rsid w:val="00EF37C1"/>
    <w:pPr>
      <w:widowControl w:val="0"/>
      <w:spacing w:after="0" w:line="240" w:lineRule="auto"/>
      <w:ind w:left="960" w:hanging="240"/>
    </w:pPr>
    <w:rPr>
      <w:rFonts w:eastAsia="Calibri"/>
      <w:sz w:val="18"/>
      <w:szCs w:val="18"/>
      <w:lang w:val="es-UY" w:eastAsia="es-ES"/>
    </w:rPr>
  </w:style>
  <w:style w:type="paragraph" w:styleId="ndice5">
    <w:name w:val="index 5"/>
    <w:basedOn w:val="Normal"/>
    <w:next w:val="Normal"/>
    <w:autoRedefine/>
    <w:uiPriority w:val="99"/>
    <w:semiHidden/>
    <w:rsid w:val="00EF37C1"/>
    <w:pPr>
      <w:widowControl w:val="0"/>
      <w:spacing w:after="0" w:line="240" w:lineRule="auto"/>
      <w:ind w:left="1200" w:hanging="240"/>
    </w:pPr>
    <w:rPr>
      <w:rFonts w:eastAsia="Calibri"/>
      <w:sz w:val="18"/>
      <w:szCs w:val="18"/>
      <w:lang w:val="es-UY" w:eastAsia="es-ES"/>
    </w:rPr>
  </w:style>
  <w:style w:type="paragraph" w:styleId="ndice6">
    <w:name w:val="index 6"/>
    <w:basedOn w:val="Normal"/>
    <w:next w:val="Normal"/>
    <w:autoRedefine/>
    <w:uiPriority w:val="99"/>
    <w:semiHidden/>
    <w:rsid w:val="00EF37C1"/>
    <w:pPr>
      <w:widowControl w:val="0"/>
      <w:spacing w:after="0" w:line="240" w:lineRule="auto"/>
      <w:ind w:left="1440" w:hanging="240"/>
    </w:pPr>
    <w:rPr>
      <w:rFonts w:eastAsia="Calibri"/>
      <w:sz w:val="18"/>
      <w:szCs w:val="18"/>
      <w:lang w:val="es-UY" w:eastAsia="es-ES"/>
    </w:rPr>
  </w:style>
  <w:style w:type="paragraph" w:styleId="ndice7">
    <w:name w:val="index 7"/>
    <w:basedOn w:val="Normal"/>
    <w:next w:val="Normal"/>
    <w:autoRedefine/>
    <w:uiPriority w:val="99"/>
    <w:semiHidden/>
    <w:rsid w:val="00EF37C1"/>
    <w:pPr>
      <w:widowControl w:val="0"/>
      <w:spacing w:after="0" w:line="240" w:lineRule="auto"/>
      <w:ind w:left="1680" w:hanging="240"/>
    </w:pPr>
    <w:rPr>
      <w:rFonts w:eastAsia="Calibri"/>
      <w:sz w:val="18"/>
      <w:szCs w:val="18"/>
      <w:lang w:val="es-UY" w:eastAsia="es-ES"/>
    </w:rPr>
  </w:style>
  <w:style w:type="paragraph" w:styleId="ndice8">
    <w:name w:val="index 8"/>
    <w:basedOn w:val="Normal"/>
    <w:next w:val="Normal"/>
    <w:autoRedefine/>
    <w:uiPriority w:val="99"/>
    <w:semiHidden/>
    <w:rsid w:val="00EF37C1"/>
    <w:pPr>
      <w:widowControl w:val="0"/>
      <w:spacing w:after="0" w:line="240" w:lineRule="auto"/>
      <w:ind w:left="1920" w:hanging="240"/>
    </w:pPr>
    <w:rPr>
      <w:rFonts w:eastAsia="Calibri"/>
      <w:sz w:val="18"/>
      <w:szCs w:val="18"/>
      <w:lang w:val="es-UY" w:eastAsia="es-ES"/>
    </w:rPr>
  </w:style>
  <w:style w:type="paragraph" w:styleId="ndice9">
    <w:name w:val="index 9"/>
    <w:basedOn w:val="Normal"/>
    <w:next w:val="Normal"/>
    <w:autoRedefine/>
    <w:uiPriority w:val="99"/>
    <w:semiHidden/>
    <w:rsid w:val="00EF37C1"/>
    <w:pPr>
      <w:widowControl w:val="0"/>
      <w:spacing w:after="0" w:line="240" w:lineRule="auto"/>
      <w:ind w:left="2160" w:hanging="240"/>
    </w:pPr>
    <w:rPr>
      <w:rFonts w:eastAsia="Calibri"/>
      <w:sz w:val="18"/>
      <w:szCs w:val="18"/>
      <w:lang w:val="es-UY" w:eastAsia="es-ES"/>
    </w:rPr>
  </w:style>
  <w:style w:type="paragraph" w:styleId="Ttulodendice">
    <w:name w:val="index heading"/>
    <w:basedOn w:val="Normal"/>
    <w:next w:val="ndice1"/>
    <w:uiPriority w:val="99"/>
    <w:semiHidden/>
    <w:rsid w:val="00EF37C1"/>
    <w:pPr>
      <w:widowControl w:val="0"/>
      <w:spacing w:before="240" w:after="120" w:line="240" w:lineRule="auto"/>
      <w:jc w:val="center"/>
    </w:pPr>
    <w:rPr>
      <w:rFonts w:eastAsia="Calibri"/>
      <w:b/>
      <w:bCs/>
      <w:sz w:val="26"/>
      <w:szCs w:val="26"/>
      <w:lang w:val="es-UY" w:eastAsia="es-ES"/>
    </w:rPr>
  </w:style>
  <w:style w:type="paragraph" w:customStyle="1" w:styleId="Ruta1Estilo1Car">
    <w:name w:val="Ruta 1 Estilo1 Car"/>
    <w:basedOn w:val="Normal"/>
    <w:autoRedefine/>
    <w:uiPriority w:val="99"/>
    <w:semiHidden/>
    <w:rsid w:val="00EF37C1"/>
    <w:pPr>
      <w:widowControl w:val="0"/>
      <w:spacing w:after="120" w:line="240" w:lineRule="auto"/>
      <w:ind w:left="120"/>
      <w:jc w:val="both"/>
    </w:pPr>
    <w:rPr>
      <w:rFonts w:ascii="Arial" w:eastAsia="Calibri" w:hAnsi="Arial" w:cs="Arial"/>
      <w:sz w:val="20"/>
      <w:szCs w:val="20"/>
      <w:lang w:val="es-ES_tradnl" w:eastAsia="es-ES"/>
    </w:rPr>
  </w:style>
  <w:style w:type="paragraph" w:customStyle="1" w:styleId="Ruta1Negrita">
    <w:name w:val="Ruta 1 Negrita"/>
    <w:basedOn w:val="Ruta1Estilo1Car"/>
    <w:autoRedefine/>
    <w:uiPriority w:val="99"/>
    <w:semiHidden/>
    <w:rsid w:val="00EF37C1"/>
    <w:pPr>
      <w:widowControl/>
      <w:tabs>
        <w:tab w:val="left" w:pos="567"/>
      </w:tabs>
      <w:spacing w:after="0"/>
      <w:jc w:val="left"/>
    </w:pPr>
    <w:rPr>
      <w:b/>
      <w:bCs/>
    </w:rPr>
  </w:style>
  <w:style w:type="character" w:customStyle="1" w:styleId="Ruta1NegritaCar">
    <w:name w:val="Ruta 1 Negrita Car"/>
    <w:uiPriority w:val="99"/>
    <w:semiHidden/>
    <w:rsid w:val="00EF37C1"/>
    <w:rPr>
      <w:b/>
      <w:bCs/>
      <w:snapToGrid w:val="0"/>
      <w:sz w:val="16"/>
      <w:szCs w:val="16"/>
      <w:lang w:val="es-ES_tradnl" w:eastAsia="es-ES"/>
    </w:rPr>
  </w:style>
  <w:style w:type="character" w:customStyle="1" w:styleId="Ruta1T3CarCarCar">
    <w:name w:val="Ruta 1 T3 Car Car Car"/>
    <w:uiPriority w:val="99"/>
    <w:rsid w:val="00EF37C1"/>
    <w:rPr>
      <w:rFonts w:ascii="Arial" w:hAnsi="Arial" w:cs="Arial"/>
      <w:snapToGrid w:val="0"/>
      <w:sz w:val="24"/>
      <w:szCs w:val="24"/>
      <w:lang w:val="es-UY" w:eastAsia="es-ES"/>
    </w:rPr>
  </w:style>
  <w:style w:type="paragraph" w:customStyle="1" w:styleId="Ruta1vietas">
    <w:name w:val="Ruta 1 viñetas"/>
    <w:basedOn w:val="Ruta1Estilo1Car"/>
    <w:autoRedefine/>
    <w:uiPriority w:val="99"/>
    <w:rsid w:val="00EF37C1"/>
    <w:pPr>
      <w:numPr>
        <w:numId w:val="23"/>
      </w:numPr>
      <w:tabs>
        <w:tab w:val="clear" w:pos="2495"/>
      </w:tabs>
      <w:ind w:left="1134" w:firstLine="0"/>
    </w:pPr>
  </w:style>
  <w:style w:type="paragraph" w:customStyle="1" w:styleId="Sangra2detindependiente1">
    <w:name w:val="Sangría 2 de t. independiente1"/>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paragraph" w:customStyle="1" w:styleId="Ruta1Estilo1subrayado">
    <w:name w:val="Ruta 1 Estilo 1 subrayado"/>
    <w:basedOn w:val="Normal"/>
    <w:autoRedefine/>
    <w:uiPriority w:val="99"/>
    <w:rsid w:val="00EF37C1"/>
    <w:pPr>
      <w:spacing w:after="0" w:line="240" w:lineRule="auto"/>
      <w:ind w:left="851"/>
      <w:jc w:val="both"/>
    </w:pPr>
    <w:rPr>
      <w:rFonts w:ascii="Arial" w:eastAsia="Calibri" w:hAnsi="Arial" w:cs="Arial"/>
      <w:sz w:val="20"/>
      <w:szCs w:val="20"/>
      <w:u w:val="single"/>
      <w:lang w:eastAsia="es-ES"/>
    </w:rPr>
  </w:style>
  <w:style w:type="paragraph" w:customStyle="1" w:styleId="Ruta1inclinado">
    <w:name w:val="Ruta 1inclinado"/>
    <w:basedOn w:val="Ruta1Estilo1Car"/>
    <w:uiPriority w:val="99"/>
    <w:rsid w:val="00EF37C1"/>
    <w:pPr>
      <w:ind w:left="284"/>
    </w:pPr>
    <w:rPr>
      <w:i/>
      <w:iCs/>
    </w:rPr>
  </w:style>
  <w:style w:type="paragraph" w:customStyle="1" w:styleId="EstiloRuta1NegritaCar">
    <w:name w:val="Estilo Ruta 1 Negrita Car"/>
    <w:basedOn w:val="Ruta1Negrita"/>
    <w:autoRedefine/>
    <w:uiPriority w:val="99"/>
    <w:rsid w:val="00EF37C1"/>
  </w:style>
  <w:style w:type="character" w:customStyle="1" w:styleId="EstiloRuta1NegritaCarCar">
    <w:name w:val="Estilo Ruta 1 Negrita Car Car"/>
    <w:basedOn w:val="Ruta1NegritaCar"/>
    <w:uiPriority w:val="99"/>
    <w:rsid w:val="00EF37C1"/>
    <w:rPr>
      <w:b/>
      <w:bCs/>
      <w:snapToGrid w:val="0"/>
      <w:sz w:val="16"/>
      <w:szCs w:val="16"/>
      <w:lang w:val="es-ES_tradnl" w:eastAsia="es-ES"/>
    </w:rPr>
  </w:style>
  <w:style w:type="paragraph" w:customStyle="1" w:styleId="nocambiarEstiloRuta1izquierdacuadrossmboloCar">
    <w:name w:val="no cambiar Estilo Ruta 1 izquierda (cuadros)  (símbolo) Car"/>
    <w:basedOn w:val="Normal"/>
    <w:autoRedefine/>
    <w:uiPriority w:val="99"/>
    <w:rsid w:val="00EF37C1"/>
    <w:pPr>
      <w:framePr w:hSpace="141" w:wrap="auto" w:hAnchor="margin" w:y="541"/>
      <w:spacing w:after="0" w:line="240" w:lineRule="auto"/>
    </w:pPr>
    <w:rPr>
      <w:rFonts w:ascii="CommercialPi BT" w:eastAsia="Calibri" w:hAnsi="CommercialPi BT" w:cs="CommercialPi BT"/>
      <w:color w:val="000000"/>
      <w:sz w:val="20"/>
      <w:szCs w:val="20"/>
      <w:lang w:val="es-ES_tradnl" w:eastAsia="es-ES"/>
    </w:rPr>
  </w:style>
  <w:style w:type="character" w:customStyle="1" w:styleId="nocambiarEstiloRuta1izquierdacuadrossmboloCarCar">
    <w:name w:val="no cambiar Estilo Ruta 1 izquierda (cuadros)  (símbolo) Car Car"/>
    <w:uiPriority w:val="99"/>
    <w:rsid w:val="00EF37C1"/>
    <w:rPr>
      <w:rFonts w:ascii="CommercialPi BT" w:hAnsi="CommercialPi BT" w:cs="CommercialPi BT"/>
      <w:color w:val="000000"/>
      <w:lang w:val="es-ES_tradnl" w:eastAsia="es-ES"/>
    </w:rPr>
  </w:style>
  <w:style w:type="paragraph" w:styleId="Descripcin">
    <w:name w:val="caption"/>
    <w:aliases w:val="Epígrafe1"/>
    <w:basedOn w:val="Normal"/>
    <w:next w:val="Normal"/>
    <w:link w:val="DescripcinCar"/>
    <w:uiPriority w:val="99"/>
    <w:qFormat/>
    <w:rsid w:val="00EF37C1"/>
    <w:pPr>
      <w:spacing w:before="120" w:after="120" w:line="240" w:lineRule="auto"/>
    </w:pPr>
    <w:rPr>
      <w:rFonts w:ascii="Univers" w:eastAsia="Calibri" w:hAnsi="Univers" w:cs="Univers"/>
      <w:b/>
      <w:bCs/>
      <w:sz w:val="20"/>
      <w:szCs w:val="20"/>
      <w:lang w:val="es-UY" w:eastAsia="es-ES"/>
    </w:rPr>
  </w:style>
  <w:style w:type="character" w:customStyle="1" w:styleId="Ttulo4CarCar">
    <w:name w:val="Título 4 Car Car"/>
    <w:uiPriority w:val="99"/>
    <w:rsid w:val="00EF37C1"/>
    <w:rPr>
      <w:b/>
      <w:bCs/>
      <w:snapToGrid w:val="0"/>
      <w:sz w:val="24"/>
      <w:szCs w:val="24"/>
      <w:lang w:val="es-UY" w:eastAsia="es-ES"/>
    </w:rPr>
  </w:style>
  <w:style w:type="character" w:customStyle="1" w:styleId="Ruta1CarCarCar">
    <w:name w:val="Ruta 1 Car Car Car"/>
    <w:uiPriority w:val="99"/>
    <w:rsid w:val="00EF37C1"/>
    <w:rPr>
      <w:b/>
      <w:bCs/>
      <w:snapToGrid w:val="0"/>
      <w:sz w:val="24"/>
      <w:szCs w:val="24"/>
      <w:lang w:val="es-ES_tradnl" w:eastAsia="es-ES"/>
    </w:rPr>
  </w:style>
  <w:style w:type="paragraph" w:customStyle="1" w:styleId="Ruta1Estilo1">
    <w:name w:val="Ruta 1 Estilo1"/>
    <w:basedOn w:val="Normal"/>
    <w:autoRedefine/>
    <w:uiPriority w:val="99"/>
    <w:rsid w:val="00EF37C1"/>
    <w:pPr>
      <w:widowControl w:val="0"/>
      <w:spacing w:after="0" w:line="240" w:lineRule="auto"/>
      <w:jc w:val="center"/>
    </w:pPr>
    <w:rPr>
      <w:rFonts w:ascii="Arial" w:eastAsia="Calibri" w:hAnsi="Arial" w:cs="Arial"/>
      <w:sz w:val="20"/>
      <w:szCs w:val="20"/>
      <w:lang w:val="es-UY" w:eastAsia="es-ES"/>
    </w:rPr>
  </w:style>
  <w:style w:type="paragraph" w:styleId="Encabezadodelista">
    <w:name w:val="toa heading"/>
    <w:basedOn w:val="Normal"/>
    <w:next w:val="Normal"/>
    <w:uiPriority w:val="99"/>
    <w:semiHidden/>
    <w:rsid w:val="00EF37C1"/>
    <w:pPr>
      <w:tabs>
        <w:tab w:val="left" w:pos="9000"/>
        <w:tab w:val="right" w:pos="9360"/>
      </w:tabs>
      <w:suppressAutoHyphens/>
      <w:spacing w:after="0" w:line="240" w:lineRule="auto"/>
    </w:pPr>
    <w:rPr>
      <w:rFonts w:ascii="Courier New" w:eastAsia="Calibri" w:hAnsi="Courier New" w:cs="Courier New"/>
      <w:sz w:val="20"/>
      <w:szCs w:val="20"/>
      <w:lang w:val="es-ES_tradnl" w:eastAsia="es-ES"/>
    </w:rPr>
  </w:style>
  <w:style w:type="paragraph" w:customStyle="1" w:styleId="Estilo1">
    <w:name w:val="Estilo1"/>
    <w:basedOn w:val="Normal"/>
    <w:uiPriority w:val="99"/>
    <w:rsid w:val="00EF37C1"/>
    <w:pPr>
      <w:widowControl w:val="0"/>
      <w:spacing w:after="0" w:line="240" w:lineRule="auto"/>
      <w:jc w:val="both"/>
    </w:pPr>
    <w:rPr>
      <w:rFonts w:eastAsia="Calibri"/>
      <w:b/>
      <w:bCs/>
      <w:sz w:val="28"/>
      <w:szCs w:val="28"/>
      <w:lang w:val="es-UY" w:eastAsia="es-ES"/>
    </w:rPr>
  </w:style>
  <w:style w:type="paragraph" w:customStyle="1" w:styleId="Estilo2">
    <w:name w:val="Estilo2"/>
    <w:basedOn w:val="Ttulo1"/>
    <w:uiPriority w:val="99"/>
    <w:rsid w:val="00EF37C1"/>
    <w:pPr>
      <w:keepLines w:val="0"/>
      <w:spacing w:before="240" w:after="60" w:line="240" w:lineRule="auto"/>
      <w:ind w:left="357" w:hanging="357"/>
    </w:pPr>
    <w:rPr>
      <w:caps/>
      <w:kern w:val="28"/>
      <w:sz w:val="24"/>
      <w:szCs w:val="24"/>
      <w:lang w:val="es-ES_tradnl" w:eastAsia="es-ES"/>
    </w:rPr>
  </w:style>
  <w:style w:type="paragraph" w:customStyle="1" w:styleId="Textoindependiente21">
    <w:name w:val="Texto independiente 21"/>
    <w:basedOn w:val="Normal"/>
    <w:uiPriority w:val="99"/>
    <w:rsid w:val="00EF37C1"/>
    <w:pPr>
      <w:widowControl w:val="0"/>
      <w:spacing w:after="0" w:line="240" w:lineRule="auto"/>
      <w:ind w:left="567"/>
      <w:jc w:val="both"/>
    </w:pPr>
    <w:rPr>
      <w:rFonts w:ascii="Arial" w:eastAsia="Calibri" w:hAnsi="Arial" w:cs="Arial"/>
      <w:lang w:eastAsia="es-ES"/>
    </w:rPr>
  </w:style>
  <w:style w:type="paragraph" w:customStyle="1" w:styleId="EstiloTtulo3Ruta1T3CarTimesNewRomanNegrita">
    <w:name w:val="Estilo Título 3Ruta 1 T3 Car + Times New Roman Negrita"/>
    <w:basedOn w:val="Ttulo3"/>
    <w:autoRedefine/>
    <w:uiPriority w:val="99"/>
    <w:rsid w:val="00EF37C1"/>
    <w:pPr>
      <w:keepNext/>
      <w:widowControl w:val="0"/>
      <w:tabs>
        <w:tab w:val="num" w:pos="1208"/>
      </w:tabs>
      <w:ind w:left="1208" w:hanging="357"/>
    </w:pPr>
    <w:rPr>
      <w:b w:val="0"/>
      <w:bCs/>
      <w:lang w:val="es-UY"/>
    </w:rPr>
  </w:style>
  <w:style w:type="character" w:customStyle="1" w:styleId="EstiloTtulo3Ruta1T3CarTimesNewRomanNegritaCar">
    <w:name w:val="Estilo Título 3Ruta 1 T3 Car + Times New Roman Negrita Car"/>
    <w:uiPriority w:val="99"/>
    <w:rsid w:val="00EF37C1"/>
    <w:rPr>
      <w:rFonts w:ascii="Arial" w:hAnsi="Arial" w:cs="Arial"/>
      <w:b/>
      <w:bCs/>
      <w:snapToGrid w:val="0"/>
      <w:sz w:val="24"/>
      <w:szCs w:val="24"/>
      <w:lang w:val="es-UY" w:eastAsia="es-ES"/>
    </w:rPr>
  </w:style>
  <w:style w:type="paragraph" w:customStyle="1" w:styleId="Titulo2">
    <w:name w:val="Titulo 2"/>
    <w:basedOn w:val="Normal"/>
    <w:next w:val="Normal"/>
    <w:autoRedefine/>
    <w:uiPriority w:val="99"/>
    <w:rsid w:val="00EF37C1"/>
    <w:pPr>
      <w:widowControl w:val="0"/>
      <w:tabs>
        <w:tab w:val="num" w:pos="567"/>
      </w:tabs>
      <w:spacing w:before="240" w:after="240" w:line="240" w:lineRule="auto"/>
      <w:ind w:left="567" w:hanging="567"/>
    </w:pPr>
    <w:rPr>
      <w:rFonts w:ascii="Arial" w:eastAsia="Calibri" w:hAnsi="Arial" w:cs="Arial"/>
      <w:b/>
      <w:bCs/>
      <w:lang w:eastAsia="es-MX"/>
    </w:rPr>
  </w:style>
  <w:style w:type="paragraph" w:styleId="Textoindependienteprimerasangra2">
    <w:name w:val="Body Text First Indent 2"/>
    <w:basedOn w:val="Sangradetextonormal"/>
    <w:link w:val="Textoindependienteprimerasangra2Car"/>
    <w:uiPriority w:val="99"/>
    <w:rsid w:val="00EF37C1"/>
    <w:pPr>
      <w:widowControl w:val="0"/>
      <w:spacing w:after="120"/>
      <w:ind w:firstLine="210"/>
      <w:jc w:val="left"/>
    </w:pPr>
    <w:rPr>
      <w:rFonts w:ascii="CG Times" w:hAnsi="CG Times" w:cs="CG Times"/>
      <w:lang w:val="es-UY" w:eastAsia="es-ES"/>
    </w:rPr>
  </w:style>
  <w:style w:type="character" w:customStyle="1" w:styleId="Textoindependienteprimerasangra2Car">
    <w:name w:val="Texto independiente primera sangría 2 Car"/>
    <w:basedOn w:val="SangradetextonormalCar"/>
    <w:link w:val="Textoindependienteprimerasangra2"/>
    <w:uiPriority w:val="99"/>
    <w:locked/>
    <w:rsid w:val="00EF37C1"/>
    <w:rPr>
      <w:rFonts w:ascii="CG Times" w:hAnsi="CG Times" w:cs="CG Times"/>
      <w:sz w:val="24"/>
      <w:szCs w:val="24"/>
      <w:lang w:val="es-UY" w:eastAsia="es-ES"/>
    </w:rPr>
  </w:style>
  <w:style w:type="character" w:customStyle="1" w:styleId="Titulo3Car">
    <w:name w:val="Titulo 3 Car"/>
    <w:uiPriority w:val="99"/>
    <w:rsid w:val="00EF37C1"/>
    <w:rPr>
      <w:b/>
      <w:bCs/>
      <w:snapToGrid w:val="0"/>
      <w:sz w:val="28"/>
      <w:szCs w:val="28"/>
      <w:lang w:val="es-UY" w:eastAsia="es-ES"/>
    </w:rPr>
  </w:style>
  <w:style w:type="character" w:styleId="Hipervnculovisitado">
    <w:name w:val="FollowedHyperlink"/>
    <w:basedOn w:val="Fuentedeprrafopredeter"/>
    <w:uiPriority w:val="99"/>
    <w:rsid w:val="00EF37C1"/>
    <w:rPr>
      <w:color w:val="800080"/>
      <w:u w:val="single"/>
    </w:rPr>
  </w:style>
  <w:style w:type="paragraph" w:customStyle="1" w:styleId="Sangra2detindependiente2">
    <w:name w:val="Sangría 2 de t. independiente2"/>
    <w:basedOn w:val="Normal"/>
    <w:uiPriority w:val="99"/>
    <w:rsid w:val="00EF37C1"/>
    <w:pPr>
      <w:widowControl w:val="0"/>
      <w:tabs>
        <w:tab w:val="left" w:pos="1985"/>
      </w:tabs>
      <w:spacing w:after="0" w:line="240" w:lineRule="auto"/>
      <w:ind w:left="1974" w:hanging="840"/>
      <w:jc w:val="both"/>
    </w:pPr>
    <w:rPr>
      <w:rFonts w:ascii="Arial" w:eastAsia="Calibri" w:hAnsi="Arial" w:cs="Arial"/>
      <w:lang w:eastAsia="es-ES"/>
    </w:rPr>
  </w:style>
  <w:style w:type="character" w:styleId="Textoennegrita">
    <w:name w:val="Strong"/>
    <w:basedOn w:val="Fuentedeprrafopredeter"/>
    <w:uiPriority w:val="99"/>
    <w:qFormat/>
    <w:rsid w:val="00EF37C1"/>
    <w:rPr>
      <w:b/>
      <w:bCs/>
    </w:rPr>
  </w:style>
  <w:style w:type="paragraph" w:customStyle="1" w:styleId="tituloestandr">
    <w:name w:val="titulo estandr"/>
    <w:uiPriority w:val="99"/>
    <w:rsid w:val="00EF37C1"/>
    <w:rPr>
      <w:rFonts w:ascii="Arial" w:hAnsi="Arial" w:cs="Arial"/>
      <w:b/>
      <w:bCs/>
      <w:i/>
      <w:iCs/>
      <w:sz w:val="18"/>
      <w:szCs w:val="18"/>
      <w:lang w:val="es-ES_tradnl" w:eastAsia="es-ES"/>
    </w:rPr>
  </w:style>
  <w:style w:type="paragraph" w:customStyle="1" w:styleId="explanatoryclause11">
    <w:name w:val="explanatory_clause 11"/>
    <w:basedOn w:val="Normal"/>
    <w:uiPriority w:val="99"/>
    <w:rsid w:val="00EF37C1"/>
    <w:pPr>
      <w:suppressAutoHyphens/>
      <w:spacing w:after="240" w:line="240" w:lineRule="auto"/>
      <w:ind w:left="547" w:right="-14" w:hanging="547"/>
      <w:jc w:val="both"/>
    </w:pPr>
    <w:rPr>
      <w:rFonts w:eastAsia="Calibri"/>
      <w:lang w:val="en-US"/>
    </w:rPr>
  </w:style>
  <w:style w:type="paragraph" w:customStyle="1" w:styleId="TituloTabla">
    <w:name w:val="Titulo Tabla"/>
    <w:basedOn w:val="Titulo2"/>
    <w:uiPriority w:val="99"/>
    <w:rsid w:val="00EF37C1"/>
    <w:rPr>
      <w:rFonts w:ascii="Calibri" w:hAnsi="Calibri" w:cs="Calibri"/>
    </w:rPr>
  </w:style>
  <w:style w:type="paragraph" w:customStyle="1" w:styleId="Titulotabla0">
    <w:name w:val="Titulo tabla"/>
    <w:basedOn w:val="Titulo2"/>
    <w:uiPriority w:val="99"/>
    <w:rsid w:val="00EF37C1"/>
    <w:pPr>
      <w:ind w:left="851"/>
    </w:pPr>
    <w:rPr>
      <w:rFonts w:ascii="Calibri" w:hAnsi="Calibri" w:cs="Calibri"/>
      <w:sz w:val="20"/>
      <w:szCs w:val="20"/>
    </w:rPr>
  </w:style>
  <w:style w:type="paragraph" w:customStyle="1" w:styleId="Tablatitulo2">
    <w:name w:val="Tabla titulo 2"/>
    <w:basedOn w:val="Ttulo9"/>
    <w:uiPriority w:val="99"/>
    <w:rsid w:val="00EF37C1"/>
    <w:pPr>
      <w:widowControl w:val="0"/>
      <w:numPr>
        <w:ilvl w:val="0"/>
        <w:numId w:val="0"/>
      </w:numPr>
      <w:spacing w:before="120" w:after="120"/>
    </w:pPr>
    <w:rPr>
      <w:i w:val="0"/>
      <w:iCs w:val="0"/>
      <w:sz w:val="20"/>
      <w:szCs w:val="20"/>
      <w:lang w:val="es-UY"/>
    </w:rPr>
  </w:style>
  <w:style w:type="paragraph" w:customStyle="1" w:styleId="Tablacontenido1">
    <w:name w:val="Tabla contenido 1"/>
    <w:basedOn w:val="Textoindependiente"/>
    <w:autoRedefine/>
    <w:uiPriority w:val="99"/>
    <w:rsid w:val="00EF37C1"/>
    <w:pPr>
      <w:framePr w:hSpace="141" w:wrap="auto" w:vAnchor="text" w:hAnchor="margin" w:xAlign="center" w:y="544"/>
      <w:widowControl w:val="0"/>
      <w:spacing w:after="0" w:line="240" w:lineRule="auto"/>
      <w:jc w:val="center"/>
    </w:pPr>
    <w:rPr>
      <w:rFonts w:ascii="Arial" w:eastAsia="Calibri" w:hAnsi="Arial" w:cs="Arial"/>
      <w:sz w:val="20"/>
      <w:szCs w:val="20"/>
      <w:lang w:eastAsia="es-ES"/>
    </w:rPr>
  </w:style>
  <w:style w:type="paragraph" w:customStyle="1" w:styleId="Titulo4">
    <w:name w:val="Titulo 4"/>
    <w:basedOn w:val="Textoindependiente"/>
    <w:autoRedefine/>
    <w:uiPriority w:val="99"/>
    <w:rsid w:val="00EF37C1"/>
    <w:pPr>
      <w:widowControl w:val="0"/>
      <w:numPr>
        <w:ilvl w:val="2"/>
        <w:numId w:val="25"/>
      </w:numPr>
      <w:spacing w:before="60" w:after="60" w:line="240" w:lineRule="auto"/>
      <w:jc w:val="both"/>
    </w:pPr>
    <w:rPr>
      <w:rFonts w:ascii="Arial" w:eastAsia="Calibri" w:hAnsi="Arial" w:cs="Arial"/>
      <w:b/>
      <w:bCs/>
      <w:color w:val="000000"/>
      <w:sz w:val="18"/>
      <w:szCs w:val="18"/>
      <w:lang w:val="es-ES_tradnl" w:eastAsia="es-ES"/>
    </w:rPr>
  </w:style>
  <w:style w:type="paragraph" w:customStyle="1" w:styleId="Titulo5">
    <w:name w:val="Titulo 5"/>
    <w:basedOn w:val="Textoindependiente"/>
    <w:uiPriority w:val="99"/>
    <w:rsid w:val="00EF37C1"/>
    <w:pPr>
      <w:widowControl w:val="0"/>
      <w:numPr>
        <w:numId w:val="24"/>
      </w:numPr>
      <w:spacing w:after="0" w:line="240" w:lineRule="auto"/>
      <w:jc w:val="both"/>
    </w:pPr>
    <w:rPr>
      <w:rFonts w:ascii="Arial" w:eastAsia="Calibri" w:hAnsi="Arial" w:cs="Arial"/>
      <w:b/>
      <w:bCs/>
      <w:color w:val="000000"/>
      <w:sz w:val="18"/>
      <w:szCs w:val="18"/>
      <w:lang w:val="es-ES_tradnl" w:eastAsia="es-ES"/>
    </w:rPr>
  </w:style>
  <w:style w:type="table" w:customStyle="1" w:styleId="Sombreadoclaro-nfasis11">
    <w:name w:val="Sombreado claro - Énfasis 11"/>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Sinespaciado1">
    <w:name w:val="Sin espaciado1"/>
    <w:link w:val="NoSpacingChar"/>
    <w:uiPriority w:val="99"/>
    <w:rsid w:val="00EF37C1"/>
    <w:rPr>
      <w:rFonts w:cs="Calibri"/>
      <w:lang w:val="es-ES" w:eastAsia="en-US"/>
    </w:rPr>
  </w:style>
  <w:style w:type="character" w:customStyle="1" w:styleId="NoSpacingChar">
    <w:name w:val="No Spacing Char"/>
    <w:basedOn w:val="Fuentedeprrafopredeter"/>
    <w:link w:val="Sinespaciado1"/>
    <w:uiPriority w:val="99"/>
    <w:locked/>
    <w:rsid w:val="00EF37C1"/>
    <w:rPr>
      <w:sz w:val="22"/>
      <w:szCs w:val="22"/>
      <w:lang w:val="es-ES" w:eastAsia="en-US"/>
    </w:rPr>
  </w:style>
  <w:style w:type="table" w:customStyle="1" w:styleId="Sombreadoclaro-nfasis12">
    <w:name w:val="Sombreado claro - Énfasis 12"/>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styleId="Refdenotaalpie">
    <w:name w:val="footnote reference"/>
    <w:aliases w:val="referencia nota al pie"/>
    <w:basedOn w:val="Fuentedeprrafopredeter"/>
    <w:uiPriority w:val="99"/>
    <w:semiHidden/>
    <w:rsid w:val="00EF37C1"/>
    <w:rPr>
      <w:vertAlign w:val="superscript"/>
    </w:rPr>
  </w:style>
  <w:style w:type="paragraph" w:customStyle="1" w:styleId="TtulodeTDC1">
    <w:name w:val="Título de TDC1"/>
    <w:basedOn w:val="Ttulo1"/>
    <w:next w:val="Normal"/>
    <w:uiPriority w:val="99"/>
    <w:rsid w:val="00EF37C1"/>
    <w:pPr>
      <w:spacing w:before="1200" w:after="600"/>
      <w:outlineLvl w:val="9"/>
    </w:pPr>
    <w:rPr>
      <w:rFonts w:ascii="Cambria" w:hAnsi="Cambria" w:cs="Cambria"/>
      <w:color w:val="365F91"/>
      <w:sz w:val="44"/>
      <w:szCs w:val="44"/>
      <w:lang w:val="es-ES"/>
    </w:rPr>
  </w:style>
  <w:style w:type="paragraph" w:styleId="Textonotaalfinal">
    <w:name w:val="endnote text"/>
    <w:basedOn w:val="Normal"/>
    <w:link w:val="TextonotaalfinalCar"/>
    <w:uiPriority w:val="99"/>
    <w:semiHidden/>
    <w:rsid w:val="00EF37C1"/>
    <w:pPr>
      <w:spacing w:after="0" w:line="240" w:lineRule="auto"/>
      <w:jc w:val="both"/>
    </w:pPr>
    <w:rPr>
      <w:sz w:val="20"/>
      <w:szCs w:val="20"/>
    </w:rPr>
  </w:style>
  <w:style w:type="character" w:customStyle="1" w:styleId="TextonotaalfinalCar">
    <w:name w:val="Texto nota al final Car"/>
    <w:basedOn w:val="Fuentedeprrafopredeter"/>
    <w:link w:val="Textonotaalfinal"/>
    <w:uiPriority w:val="99"/>
    <w:semiHidden/>
    <w:locked/>
    <w:rsid w:val="00EF37C1"/>
    <w:rPr>
      <w:rFonts w:ascii="Calibri" w:hAnsi="Calibri" w:cs="Calibri"/>
      <w:sz w:val="20"/>
      <w:szCs w:val="20"/>
    </w:rPr>
  </w:style>
  <w:style w:type="character" w:styleId="Refdenotaalfinal">
    <w:name w:val="endnote reference"/>
    <w:basedOn w:val="Fuentedeprrafopredeter"/>
    <w:uiPriority w:val="99"/>
    <w:semiHidden/>
    <w:rsid w:val="00EF37C1"/>
    <w:rPr>
      <w:vertAlign w:val="superscript"/>
    </w:rPr>
  </w:style>
  <w:style w:type="table" w:customStyle="1" w:styleId="LightShading-Accent31">
    <w:name w:val="Light Shading - Accent 31"/>
    <w:uiPriority w:val="99"/>
    <w:rsid w:val="00EF37C1"/>
    <w:rPr>
      <w:rFonts w:eastAsia="Times New Roman" w:cs="Calibri"/>
      <w:color w:val="76923C"/>
      <w:sz w:val="20"/>
      <w:szCs w:val="20"/>
      <w:lang w:eastAsia="es-ES"/>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Sombreadoclaro-nfasis13">
    <w:name w:val="Sombreado claro - Énfasis 13"/>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EstiloR">
    <w:name w:val="EstiloR"/>
    <w:basedOn w:val="Listaclara-nfasis12"/>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uiPriority w:val="99"/>
    <w:rsid w:val="00EF37C1"/>
    <w:rPr>
      <w:rFonts w:ascii="Cambria" w:hAnsi="Cambria" w:cs="Cambria"/>
      <w:color w:val="000000"/>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nfasis14">
    <w:name w:val="Sombreado claro - Énfasis 14"/>
    <w:uiPriority w:val="99"/>
    <w:rsid w:val="00EF37C1"/>
    <w:rPr>
      <w:rFonts w:eastAsia="Times New Roman" w:cs="Calibri"/>
      <w:color w:val="365F91"/>
      <w:sz w:val="20"/>
      <w:szCs w:val="20"/>
      <w:lang w:val="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basedOn w:val="Listaclara-nfasis12"/>
    <w:uiPriority w:val="99"/>
    <w:rsid w:val="00EF37C1"/>
    <w:rPr>
      <w:sz w:val="24"/>
      <w:szCs w:val="24"/>
      <w:lang w:val="en-US" w:eastAsia="en-GB"/>
    </w:rPr>
    <w:tblPr>
      <w:tblStyleRowBandSize w:val="1"/>
      <w:tblStyleColBandSize w:val="1"/>
      <w:tblBorders>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ahoma" w:eastAsia="Times New Roman" w:hAnsi="Tahoma" w:cs="Tahoma"/>
        <w:b/>
        <w:bCs/>
        <w:color w:val="FFFFFF"/>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shd w:val="clear" w:color="auto" w:fill="4F81BD"/>
      </w:tcPr>
    </w:tblStylePr>
    <w:tblStylePr w:type="lastRow">
      <w:pPr>
        <w:spacing w:before="0" w:after="0"/>
      </w:pPr>
      <w:rPr>
        <w:rFonts w:ascii="Tahoma" w:eastAsia="Times New Roman" w:hAnsi="Tahoma" w:cs="Tahom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aliases w:val="Normal (Web) Char Char Char,Normal (Web) Char Char Char Char Char Char"/>
    <w:basedOn w:val="Normal"/>
    <w:link w:val="NormalWebCar"/>
    <w:rsid w:val="00EF37C1"/>
    <w:pPr>
      <w:spacing w:before="100" w:beforeAutospacing="1" w:after="100" w:afterAutospacing="1" w:line="240" w:lineRule="auto"/>
    </w:pPr>
    <w:rPr>
      <w:rFonts w:eastAsia="Calibri" w:cs="Times New Roman"/>
      <w:sz w:val="24"/>
      <w:szCs w:val="24"/>
      <w:lang w:val="es-UY" w:eastAsia="es-UY"/>
    </w:rPr>
  </w:style>
  <w:style w:type="paragraph" w:styleId="Listaconvietas">
    <w:name w:val="List Bullet"/>
    <w:basedOn w:val="Normal"/>
    <w:uiPriority w:val="99"/>
    <w:rsid w:val="00EF37C1"/>
    <w:pPr>
      <w:widowControl w:val="0"/>
      <w:tabs>
        <w:tab w:val="num" w:pos="357"/>
      </w:tabs>
      <w:spacing w:after="80" w:line="280" w:lineRule="exact"/>
      <w:ind w:left="357" w:hanging="357"/>
    </w:pPr>
    <w:rPr>
      <w:rFonts w:eastAsia="Calibri"/>
      <w:lang w:val="en-US"/>
    </w:rPr>
  </w:style>
  <w:style w:type="table" w:customStyle="1" w:styleId="MediumGrid3-Accent11">
    <w:name w:val="Medium Grid 3 - Accent 11"/>
    <w:uiPriority w:val="99"/>
    <w:rsid w:val="00EF37C1"/>
    <w:rPr>
      <w:rFonts w:eastAsia="Times New Roman" w:cs="Calibri"/>
      <w:sz w:val="20"/>
      <w:szCs w:val="20"/>
      <w:lang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xl66">
    <w:name w:val="xl66"/>
    <w:basedOn w:val="Normal"/>
    <w:uiPriority w:val="99"/>
    <w:rsid w:val="00EF37C1"/>
    <w:pPr>
      <w:pBdr>
        <w:left w:val="single" w:sz="8" w:space="0" w:color="auto"/>
      </w:pBdr>
      <w:spacing w:before="100" w:beforeAutospacing="1" w:after="100" w:afterAutospacing="1" w:line="240" w:lineRule="auto"/>
    </w:pPr>
    <w:rPr>
      <w:rFonts w:eastAsia="Calibri"/>
      <w:sz w:val="24"/>
      <w:szCs w:val="24"/>
      <w:lang w:eastAsia="es-ES"/>
    </w:rPr>
  </w:style>
  <w:style w:type="paragraph" w:customStyle="1" w:styleId="xl67">
    <w:name w:val="xl67"/>
    <w:basedOn w:val="Normal"/>
    <w:uiPriority w:val="99"/>
    <w:rsid w:val="00EF37C1"/>
    <w:pPr>
      <w:pBdr>
        <w:right w:val="single" w:sz="8" w:space="0" w:color="auto"/>
      </w:pBdr>
      <w:spacing w:before="100" w:beforeAutospacing="1" w:after="100" w:afterAutospacing="1" w:line="240" w:lineRule="auto"/>
    </w:pPr>
    <w:rPr>
      <w:rFonts w:eastAsia="Calibri"/>
      <w:color w:val="000000"/>
      <w:sz w:val="16"/>
      <w:szCs w:val="16"/>
      <w:lang w:eastAsia="es-ES"/>
    </w:rPr>
  </w:style>
  <w:style w:type="paragraph" w:customStyle="1" w:styleId="xl69">
    <w:name w:val="xl69"/>
    <w:basedOn w:val="Normal"/>
    <w:uiPriority w:val="99"/>
    <w:rsid w:val="00EF37C1"/>
    <w:pPr>
      <w:pBdr>
        <w:left w:val="single" w:sz="4" w:space="0" w:color="auto"/>
        <w:right w:val="single" w:sz="4" w:space="0" w:color="auto"/>
      </w:pBdr>
      <w:spacing w:before="100" w:beforeAutospacing="1" w:after="100" w:afterAutospacing="1" w:line="240" w:lineRule="auto"/>
    </w:pPr>
    <w:rPr>
      <w:rFonts w:eastAsia="Calibri"/>
      <w:sz w:val="24"/>
      <w:szCs w:val="24"/>
      <w:lang w:eastAsia="es-ES"/>
    </w:rPr>
  </w:style>
  <w:style w:type="paragraph" w:customStyle="1" w:styleId="xl70">
    <w:name w:val="xl70"/>
    <w:basedOn w:val="Normal"/>
    <w:uiPriority w:val="99"/>
    <w:rsid w:val="00EF37C1"/>
    <w:pPr>
      <w:pBdr>
        <w:left w:val="single" w:sz="8" w:space="0" w:color="auto"/>
      </w:pBdr>
      <w:shd w:val="clear" w:color="000000" w:fill="FFFF00"/>
      <w:spacing w:before="100" w:beforeAutospacing="1" w:after="100" w:afterAutospacing="1" w:line="240" w:lineRule="auto"/>
    </w:pPr>
    <w:rPr>
      <w:rFonts w:eastAsia="Calibri"/>
      <w:sz w:val="24"/>
      <w:szCs w:val="24"/>
      <w:lang w:eastAsia="es-ES"/>
    </w:rPr>
  </w:style>
  <w:style w:type="paragraph" w:customStyle="1" w:styleId="xl71">
    <w:name w:val="xl71"/>
    <w:basedOn w:val="Normal"/>
    <w:uiPriority w:val="99"/>
    <w:rsid w:val="00EF37C1"/>
    <w:pPr>
      <w:spacing w:before="100" w:beforeAutospacing="1" w:after="100" w:afterAutospacing="1" w:line="240" w:lineRule="auto"/>
      <w:jc w:val="center"/>
    </w:pPr>
    <w:rPr>
      <w:rFonts w:eastAsia="Calibri"/>
      <w:sz w:val="24"/>
      <w:szCs w:val="24"/>
      <w:lang w:eastAsia="es-ES"/>
    </w:rPr>
  </w:style>
  <w:style w:type="character" w:customStyle="1" w:styleId="DescripcinCar">
    <w:name w:val="Descripción Car"/>
    <w:aliases w:val="Epígrafe1 Car"/>
    <w:link w:val="Descripcin"/>
    <w:uiPriority w:val="99"/>
    <w:locked/>
    <w:rsid w:val="00EF37C1"/>
    <w:rPr>
      <w:rFonts w:ascii="Univers" w:hAnsi="Univers" w:cs="Univers"/>
      <w:b/>
      <w:bCs/>
      <w:sz w:val="20"/>
      <w:szCs w:val="20"/>
      <w:lang w:eastAsia="es-ES"/>
    </w:rPr>
  </w:style>
  <w:style w:type="table" w:customStyle="1" w:styleId="Sombreadomedio1-nfasis11">
    <w:name w:val="Sombreado medio 1 - Énfasis 11"/>
    <w:uiPriority w:val="99"/>
    <w:rsid w:val="00EF37C1"/>
    <w:rPr>
      <w:rFonts w:eastAsia="Times New Roman" w:cs="Calibri"/>
      <w:sz w:val="20"/>
      <w:szCs w:val="20"/>
      <w:lang w:val="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ps">
    <w:name w:val="hps"/>
    <w:basedOn w:val="Fuentedeprrafopredeter"/>
    <w:uiPriority w:val="99"/>
    <w:rsid w:val="00EF37C1"/>
  </w:style>
  <w:style w:type="character" w:customStyle="1" w:styleId="ListParagraphChar">
    <w:name w:val="List Paragraph Char"/>
    <w:basedOn w:val="Fuentedeprrafopredeter"/>
    <w:link w:val="Prrafodelista1"/>
    <w:uiPriority w:val="99"/>
    <w:locked/>
    <w:rsid w:val="00EF37C1"/>
    <w:rPr>
      <w:rFonts w:ascii="Calibri" w:hAnsi="Calibri" w:cs="Calibri"/>
      <w:lang w:val="es-UY"/>
    </w:rPr>
  </w:style>
  <w:style w:type="paragraph" w:customStyle="1" w:styleId="4">
    <w:name w:val="4"/>
    <w:basedOn w:val="Normal"/>
    <w:next w:val="Normal"/>
    <w:link w:val="4Car"/>
    <w:uiPriority w:val="99"/>
    <w:rsid w:val="00EF37C1"/>
    <w:pPr>
      <w:spacing w:before="360" w:after="360"/>
      <w:ind w:left="648" w:hanging="864"/>
      <w:outlineLvl w:val="0"/>
    </w:pPr>
    <w:rPr>
      <w:b/>
      <w:bCs/>
      <w:sz w:val="24"/>
      <w:szCs w:val="24"/>
      <w:lang w:val="es-ES_tradnl"/>
    </w:rPr>
  </w:style>
  <w:style w:type="character" w:customStyle="1" w:styleId="4Car">
    <w:name w:val="4 Car"/>
    <w:basedOn w:val="Fuentedeprrafopredeter"/>
    <w:link w:val="4"/>
    <w:uiPriority w:val="99"/>
    <w:locked/>
    <w:rsid w:val="00EF37C1"/>
    <w:rPr>
      <w:rFonts w:ascii="Calibri" w:hAnsi="Calibri" w:cs="Calibri"/>
      <w:b/>
      <w:bCs/>
      <w:sz w:val="24"/>
      <w:szCs w:val="24"/>
      <w:lang w:val="es-ES_tradnl"/>
    </w:rPr>
  </w:style>
  <w:style w:type="paragraph" w:customStyle="1" w:styleId="1">
    <w:name w:val="1"/>
    <w:basedOn w:val="Prrafodelista1"/>
    <w:next w:val="Normal"/>
    <w:uiPriority w:val="99"/>
    <w:rsid w:val="00EF37C1"/>
    <w:pPr>
      <w:numPr>
        <w:numId w:val="37"/>
      </w:numPr>
      <w:spacing w:before="360" w:after="360"/>
      <w:outlineLvl w:val="0"/>
    </w:pPr>
    <w:rPr>
      <w:b/>
      <w:bCs/>
      <w:sz w:val="32"/>
      <w:szCs w:val="32"/>
      <w:lang w:val="es-ES"/>
    </w:rPr>
  </w:style>
  <w:style w:type="paragraph" w:customStyle="1" w:styleId="2">
    <w:name w:val="2"/>
    <w:basedOn w:val="1"/>
    <w:next w:val="Normal"/>
    <w:link w:val="2Car"/>
    <w:uiPriority w:val="99"/>
    <w:rsid w:val="00EF37C1"/>
    <w:pPr>
      <w:numPr>
        <w:ilvl w:val="1"/>
      </w:numPr>
      <w:tabs>
        <w:tab w:val="num" w:pos="576"/>
      </w:tabs>
      <w:ind w:left="576"/>
    </w:pPr>
    <w:rPr>
      <w:sz w:val="24"/>
      <w:szCs w:val="24"/>
    </w:rPr>
  </w:style>
  <w:style w:type="character" w:customStyle="1" w:styleId="2Car">
    <w:name w:val="2 Car"/>
    <w:basedOn w:val="ListParagraphChar"/>
    <w:link w:val="2"/>
    <w:uiPriority w:val="99"/>
    <w:locked/>
    <w:rsid w:val="00EF37C1"/>
    <w:rPr>
      <w:rFonts w:ascii="Calibri" w:eastAsia="Times New Roman" w:hAnsi="Calibri" w:cs="Calibri"/>
      <w:b/>
      <w:bCs/>
      <w:sz w:val="24"/>
      <w:szCs w:val="24"/>
      <w:lang w:val="es-ES" w:eastAsia="en-US"/>
    </w:rPr>
  </w:style>
  <w:style w:type="paragraph" w:customStyle="1" w:styleId="3">
    <w:name w:val="3"/>
    <w:basedOn w:val="1"/>
    <w:next w:val="Normal"/>
    <w:uiPriority w:val="99"/>
    <w:rsid w:val="00EF37C1"/>
    <w:pPr>
      <w:numPr>
        <w:ilvl w:val="2"/>
      </w:numPr>
      <w:tabs>
        <w:tab w:val="num" w:pos="720"/>
      </w:tabs>
    </w:pPr>
    <w:rPr>
      <w:sz w:val="24"/>
      <w:szCs w:val="24"/>
      <w:lang w:val="es-ES_tradnl"/>
    </w:rPr>
  </w:style>
  <w:style w:type="character" w:customStyle="1" w:styleId="nfasisintenso1">
    <w:name w:val="Énfasis intenso1"/>
    <w:basedOn w:val="Fuentedeprrafopredeter"/>
    <w:uiPriority w:val="99"/>
    <w:rsid w:val="00EF37C1"/>
    <w:rPr>
      <w:b/>
      <w:bCs/>
      <w:i/>
      <w:iCs/>
      <w:color w:val="4F81BD"/>
    </w:rPr>
  </w:style>
  <w:style w:type="character" w:customStyle="1" w:styleId="Ttulodellibro1">
    <w:name w:val="Título del libro1"/>
    <w:basedOn w:val="Fuentedeprrafopredeter"/>
    <w:uiPriority w:val="99"/>
    <w:rsid w:val="00EF37C1"/>
    <w:rPr>
      <w:b/>
      <w:bCs/>
      <w:smallCaps/>
      <w:spacing w:val="5"/>
    </w:rPr>
  </w:style>
  <w:style w:type="table" w:customStyle="1" w:styleId="Sombreadoclaro-nfasis15">
    <w:name w:val="Sombreado claro - Énfasis 15"/>
    <w:uiPriority w:val="99"/>
    <w:rsid w:val="00EF37C1"/>
    <w:rPr>
      <w:rFonts w:eastAsia="Times New Roman" w:cs="Calibri"/>
      <w:color w:val="365F91"/>
      <w:sz w:val="20"/>
      <w:szCs w:val="20"/>
      <w:lang w:val="en-U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Tablaconlista3">
    <w:name w:val="Table List 3"/>
    <w:basedOn w:val="Tablanormal"/>
    <w:uiPriority w:val="99"/>
    <w:rsid w:val="00EF37C1"/>
    <w:rPr>
      <w:rFonts w:ascii="Times New Roman" w:eastAsia="Batang" w:hAnsi="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Cuadrculaclara-nfasis12">
    <w:name w:val="Cuadrícul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tomas1">
    <w:name w:val="tomas 1"/>
    <w:basedOn w:val="Ttulo1"/>
    <w:uiPriority w:val="99"/>
    <w:rsid w:val="00EF37C1"/>
    <w:pPr>
      <w:keepLines w:val="0"/>
      <w:numPr>
        <w:numId w:val="27"/>
      </w:numPr>
      <w:spacing w:before="0" w:line="240" w:lineRule="auto"/>
    </w:pPr>
    <w:rPr>
      <w:rFonts w:ascii="Verdana" w:hAnsi="Verdana" w:cs="Verdana"/>
      <w:kern w:val="32"/>
      <w:sz w:val="24"/>
      <w:szCs w:val="24"/>
      <w:lang w:val="es-ES" w:eastAsia="es-ES"/>
    </w:rPr>
  </w:style>
  <w:style w:type="paragraph" w:customStyle="1" w:styleId="tomas2">
    <w:name w:val="tomas 2"/>
    <w:basedOn w:val="Textoindependiente"/>
    <w:uiPriority w:val="99"/>
    <w:rsid w:val="00EF37C1"/>
    <w:pPr>
      <w:numPr>
        <w:ilvl w:val="1"/>
        <w:numId w:val="27"/>
      </w:numPr>
      <w:spacing w:after="0" w:line="240" w:lineRule="auto"/>
      <w:jc w:val="both"/>
    </w:pPr>
    <w:rPr>
      <w:rFonts w:ascii="Verdana" w:eastAsia="Calibri" w:hAnsi="Verdana" w:cs="Verdana"/>
      <w:b/>
      <w:bCs/>
      <w:lang w:val="es-ES_tradnl"/>
    </w:rPr>
  </w:style>
  <w:style w:type="paragraph" w:customStyle="1" w:styleId="tomas3">
    <w:name w:val="tomas 3"/>
    <w:basedOn w:val="Textoindependiente"/>
    <w:uiPriority w:val="99"/>
    <w:rsid w:val="00EF37C1"/>
    <w:pPr>
      <w:numPr>
        <w:ilvl w:val="2"/>
        <w:numId w:val="27"/>
      </w:numPr>
      <w:spacing w:after="0" w:line="240" w:lineRule="auto"/>
      <w:jc w:val="both"/>
    </w:pPr>
    <w:rPr>
      <w:rFonts w:ascii="Verdana" w:eastAsia="Calibri" w:hAnsi="Verdana" w:cs="Verdana"/>
      <w:b/>
      <w:bCs/>
      <w:lang w:val="es-ES_tradnl"/>
    </w:rPr>
  </w:style>
  <w:style w:type="paragraph" w:customStyle="1" w:styleId="tomas4">
    <w:name w:val="tomas 4"/>
    <w:basedOn w:val="Normal"/>
    <w:uiPriority w:val="99"/>
    <w:rsid w:val="00EF37C1"/>
    <w:pPr>
      <w:numPr>
        <w:ilvl w:val="3"/>
        <w:numId w:val="27"/>
      </w:numPr>
      <w:tabs>
        <w:tab w:val="clear" w:pos="1998"/>
      </w:tabs>
      <w:spacing w:after="0" w:line="240" w:lineRule="auto"/>
      <w:ind w:left="720"/>
    </w:pPr>
    <w:rPr>
      <w:rFonts w:ascii="Verdana" w:eastAsia="Calibri" w:hAnsi="Verdana" w:cs="Verdana"/>
      <w:b/>
      <w:bCs/>
      <w:lang w:eastAsia="es-ES"/>
    </w:rPr>
  </w:style>
  <w:style w:type="paragraph" w:customStyle="1" w:styleId="figurat">
    <w:name w:val="figurat"/>
    <w:basedOn w:val="Descripcin"/>
    <w:link w:val="figuratChar"/>
    <w:uiPriority w:val="99"/>
    <w:rsid w:val="00EF37C1"/>
    <w:pPr>
      <w:spacing w:before="0" w:after="0"/>
      <w:jc w:val="center"/>
    </w:pPr>
    <w:rPr>
      <w:rFonts w:ascii="Verdana" w:hAnsi="Verdana" w:cs="Verdana"/>
      <w:smallCaps/>
      <w:sz w:val="28"/>
      <w:szCs w:val="28"/>
    </w:rPr>
  </w:style>
  <w:style w:type="character" w:customStyle="1" w:styleId="figuratChar">
    <w:name w:val="figurat Char"/>
    <w:link w:val="figurat"/>
    <w:uiPriority w:val="99"/>
    <w:locked/>
    <w:rsid w:val="00EF37C1"/>
    <w:rPr>
      <w:rFonts w:ascii="Verdana" w:hAnsi="Verdana" w:cs="Verdana"/>
      <w:b/>
      <w:bCs/>
      <w:smallCaps/>
      <w:sz w:val="28"/>
      <w:szCs w:val="28"/>
      <w:lang w:eastAsia="es-ES"/>
    </w:rPr>
  </w:style>
  <w:style w:type="paragraph" w:customStyle="1" w:styleId="Titulo10">
    <w:name w:val="Titulo 1"/>
    <w:basedOn w:val="Normal"/>
    <w:autoRedefine/>
    <w:uiPriority w:val="99"/>
    <w:rsid w:val="00EF37C1"/>
    <w:pPr>
      <w:widowControl w:val="0"/>
      <w:numPr>
        <w:numId w:val="28"/>
      </w:numPr>
      <w:spacing w:after="0" w:line="312" w:lineRule="auto"/>
      <w:jc w:val="both"/>
    </w:pPr>
    <w:rPr>
      <w:rFonts w:ascii="Verdana" w:eastAsia="Calibri" w:hAnsi="Verdana" w:cs="Verdana"/>
      <w:b/>
      <w:bCs/>
      <w:sz w:val="24"/>
      <w:szCs w:val="24"/>
      <w:lang w:val="es-ES_tradnl" w:eastAsia="es-ES"/>
    </w:rPr>
  </w:style>
  <w:style w:type="character" w:customStyle="1" w:styleId="v101">
    <w:name w:val="v101"/>
    <w:uiPriority w:val="99"/>
    <w:rsid w:val="00EF37C1"/>
    <w:rPr>
      <w:rFonts w:ascii="Arial" w:hAnsi="Arial" w:cs="Arial"/>
      <w:b/>
      <w:bCs/>
      <w:color w:val="auto"/>
      <w:sz w:val="18"/>
      <w:szCs w:val="18"/>
      <w:u w:val="none"/>
      <w:effect w:val="none"/>
      <w:lang w:val="es-ES_tradnl" w:eastAsia="en-US"/>
    </w:rPr>
  </w:style>
  <w:style w:type="paragraph" w:customStyle="1" w:styleId="xl24">
    <w:name w:val="xl24"/>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Calibri"/>
      <w:sz w:val="18"/>
      <w:szCs w:val="18"/>
      <w:lang w:eastAsia="es-ES"/>
    </w:rPr>
  </w:style>
  <w:style w:type="paragraph" w:customStyle="1" w:styleId="xl25">
    <w:name w:val="xl25"/>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xl26">
    <w:name w:val="xl26"/>
    <w:basedOn w:val="Normal"/>
    <w:uiPriority w:val="99"/>
    <w:rsid w:val="00EF37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eastAsia="Calibri"/>
      <w:sz w:val="18"/>
      <w:szCs w:val="18"/>
      <w:lang w:eastAsia="es-ES"/>
    </w:rPr>
  </w:style>
  <w:style w:type="paragraph" w:customStyle="1" w:styleId="xl27">
    <w:name w:val="xl27"/>
    <w:basedOn w:val="Normal"/>
    <w:uiPriority w:val="99"/>
    <w:rsid w:val="00EF37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Calibri"/>
      <w:sz w:val="18"/>
      <w:szCs w:val="18"/>
      <w:lang w:eastAsia="es-ES"/>
    </w:rPr>
  </w:style>
  <w:style w:type="paragraph" w:customStyle="1" w:styleId="FuentedeTablas">
    <w:name w:val="Fuente de Tablas"/>
    <w:basedOn w:val="NormalWeb"/>
    <w:next w:val="Normal"/>
    <w:uiPriority w:val="99"/>
    <w:rsid w:val="00EF37C1"/>
    <w:pPr>
      <w:spacing w:before="120" w:beforeAutospacing="0" w:after="0" w:afterAutospacing="0"/>
      <w:jc w:val="center"/>
    </w:pPr>
    <w:rPr>
      <w:rFonts w:ascii="Arial" w:hAnsi="Arial" w:cs="Arial"/>
      <w:sz w:val="18"/>
      <w:szCs w:val="18"/>
      <w:lang w:val="es-ES" w:eastAsia="es-ES"/>
    </w:rPr>
  </w:style>
  <w:style w:type="character" w:customStyle="1" w:styleId="NormalWebCar">
    <w:name w:val="Normal (Web) Car"/>
    <w:aliases w:val="Normal (Web) Char Char Char Car,Normal (Web) Char Char Char Char Char Char Car"/>
    <w:link w:val="NormalWeb"/>
    <w:uiPriority w:val="99"/>
    <w:locked/>
    <w:rsid w:val="00EF37C1"/>
    <w:rPr>
      <w:rFonts w:ascii="Times New Roman" w:hAnsi="Times New Roman" w:cs="Times New Roman"/>
      <w:sz w:val="24"/>
      <w:szCs w:val="24"/>
      <w:lang w:val="es-UY" w:eastAsia="es-UY"/>
    </w:rPr>
  </w:style>
  <w:style w:type="paragraph" w:customStyle="1" w:styleId="CharCharCarCarCharCharCarCarCharCharCarCarCharCharCarCarCharCharCarCarCharChar">
    <w:name w:val="Char Char Car Car Char Char Car Car Char Char Car Car Char Char Car Car Char Char Car Car Char Ch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Bullet">
    <w:name w:val="Bullet"/>
    <w:aliases w:val="Alt-B"/>
    <w:next w:val="Normal"/>
    <w:uiPriority w:val="99"/>
    <w:rsid w:val="00EF37C1"/>
    <w:pPr>
      <w:numPr>
        <w:numId w:val="29"/>
      </w:numPr>
    </w:pPr>
    <w:rPr>
      <w:rFonts w:cs="Calibri"/>
      <w:noProof/>
      <w:sz w:val="24"/>
      <w:szCs w:val="24"/>
      <w:lang w:val="en-US" w:eastAsia="en-US"/>
    </w:rPr>
  </w:style>
  <w:style w:type="paragraph" w:styleId="Sangranormal">
    <w:name w:val="Normal Indent"/>
    <w:basedOn w:val="Normal"/>
    <w:link w:val="SangranormalCar"/>
    <w:uiPriority w:val="99"/>
    <w:rsid w:val="00EF37C1"/>
    <w:pPr>
      <w:spacing w:line="280" w:lineRule="atLeast"/>
      <w:ind w:left="851"/>
      <w:jc w:val="both"/>
    </w:pPr>
    <w:rPr>
      <w:rFonts w:ascii="Arial" w:eastAsia="Calibri" w:hAnsi="Arial" w:cs="Arial"/>
      <w:sz w:val="20"/>
      <w:szCs w:val="20"/>
      <w:lang w:val="es-AR" w:eastAsia="es-ES"/>
    </w:rPr>
  </w:style>
  <w:style w:type="character" w:customStyle="1" w:styleId="SangranormalCar">
    <w:name w:val="Sangría normal Car"/>
    <w:link w:val="Sangranormal"/>
    <w:uiPriority w:val="99"/>
    <w:locked/>
    <w:rsid w:val="00EF37C1"/>
    <w:rPr>
      <w:rFonts w:ascii="Arial" w:hAnsi="Arial" w:cs="Arial"/>
      <w:sz w:val="20"/>
      <w:szCs w:val="20"/>
      <w:lang w:val="es-AR"/>
    </w:rPr>
  </w:style>
  <w:style w:type="paragraph" w:customStyle="1" w:styleId="Textopredeterminado">
    <w:name w:val="Texto predeterminado"/>
    <w:basedOn w:val="Normal"/>
    <w:uiPriority w:val="99"/>
    <w:rsid w:val="00EF37C1"/>
    <w:pPr>
      <w:tabs>
        <w:tab w:val="left" w:pos="0"/>
      </w:tabs>
      <w:overflowPunct w:val="0"/>
      <w:autoSpaceDE w:val="0"/>
      <w:autoSpaceDN w:val="0"/>
      <w:adjustRightInd w:val="0"/>
      <w:spacing w:after="0" w:line="240" w:lineRule="auto"/>
      <w:ind w:left="720" w:hanging="360"/>
      <w:jc w:val="both"/>
      <w:textAlignment w:val="baseline"/>
    </w:pPr>
    <w:rPr>
      <w:rFonts w:ascii="Frutiger-Light" w:eastAsia="Calibri" w:hAnsi="Frutiger-Light" w:cs="Frutiger-Light"/>
      <w:color w:val="000000"/>
      <w:sz w:val="20"/>
      <w:szCs w:val="20"/>
      <w:lang w:val="es-AR" w:eastAsia="es-ES"/>
    </w:rPr>
  </w:style>
  <w:style w:type="paragraph" w:customStyle="1" w:styleId="Subhead">
    <w:name w:val="Subhead"/>
    <w:aliases w:val="Alt-S"/>
    <w:next w:val="Normal"/>
    <w:link w:val="SubheadChar"/>
    <w:uiPriority w:val="99"/>
    <w:rsid w:val="00EF37C1"/>
    <w:pPr>
      <w:keepNext/>
      <w:spacing w:after="240"/>
    </w:pPr>
    <w:rPr>
      <w:rFonts w:ascii="Arial" w:hAnsi="Arial" w:cs="Arial"/>
      <w:b/>
      <w:bCs/>
      <w:noProof/>
      <w:lang w:val="en-US" w:eastAsia="en-US"/>
    </w:rPr>
  </w:style>
  <w:style w:type="character" w:customStyle="1" w:styleId="SubheadChar">
    <w:name w:val="Subhead Char"/>
    <w:aliases w:val="Alt-S Char"/>
    <w:link w:val="Subhead"/>
    <w:uiPriority w:val="99"/>
    <w:locked/>
    <w:rsid w:val="00EF37C1"/>
    <w:rPr>
      <w:rFonts w:ascii="Arial" w:hAnsi="Arial" w:cs="Arial"/>
      <w:b/>
      <w:bCs/>
      <w:noProof/>
      <w:sz w:val="22"/>
      <w:szCs w:val="22"/>
      <w:lang w:val="en-US" w:eastAsia="en-US"/>
    </w:rPr>
  </w:style>
  <w:style w:type="paragraph" w:customStyle="1" w:styleId="CharCharCarCarCharCharCarCarCharChar1">
    <w:name w:val="Char Char Car Car Char Char Car Car Char Char1"/>
    <w:basedOn w:val="Normal"/>
    <w:next w:val="Normal"/>
    <w:uiPriority w:val="99"/>
    <w:rsid w:val="00EF37C1"/>
    <w:pPr>
      <w:numPr>
        <w:numId w:val="30"/>
      </w:numPr>
      <w:spacing w:after="0" w:line="240" w:lineRule="auto"/>
      <w:jc w:val="both"/>
    </w:pPr>
    <w:rPr>
      <w:rFonts w:ascii="Times New Roman Negrita" w:eastAsia="Calibri" w:hAnsi="Times New Roman Negrita" w:cs="Times New Roman Negrita"/>
      <w:b/>
      <w:bCs/>
      <w:sz w:val="28"/>
      <w:szCs w:val="28"/>
      <w:lang w:val="es-ES_tradnl"/>
    </w:rPr>
  </w:style>
  <w:style w:type="paragraph" w:styleId="HTMLconformatoprevio">
    <w:name w:val="HTML Preformatted"/>
    <w:basedOn w:val="Normal"/>
    <w:link w:val="HTMLconformatoprevioCar"/>
    <w:uiPriority w:val="99"/>
    <w:rsid w:val="00EF3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s-ES"/>
    </w:rPr>
  </w:style>
  <w:style w:type="character" w:customStyle="1" w:styleId="HTMLconformatoprevioCar">
    <w:name w:val="HTML con formato previo Car"/>
    <w:basedOn w:val="Fuentedeprrafopredeter"/>
    <w:link w:val="HTMLconformatoprevio"/>
    <w:uiPriority w:val="99"/>
    <w:locked/>
    <w:rsid w:val="00EF37C1"/>
    <w:rPr>
      <w:rFonts w:ascii="Arial Unicode MS" w:eastAsia="Arial Unicode MS" w:hAnsi="Arial Unicode MS" w:cs="Arial Unicode MS"/>
      <w:sz w:val="20"/>
      <w:szCs w:val="20"/>
      <w:lang w:eastAsia="es-ES"/>
    </w:rPr>
  </w:style>
  <w:style w:type="paragraph" w:customStyle="1" w:styleId="Bullet2">
    <w:name w:val="Bullet 2"/>
    <w:aliases w:val="Alt-2"/>
    <w:uiPriority w:val="99"/>
    <w:rsid w:val="00EF37C1"/>
    <w:pPr>
      <w:ind w:left="1440" w:hanging="360"/>
    </w:pPr>
    <w:rPr>
      <w:rFonts w:cs="Calibri"/>
      <w:noProof/>
      <w:sz w:val="24"/>
      <w:szCs w:val="24"/>
      <w:lang w:val="en-US" w:eastAsia="en-US"/>
    </w:rPr>
  </w:style>
  <w:style w:type="character" w:customStyle="1" w:styleId="CharCharChar">
    <w:name w:val="Char Char Char"/>
    <w:uiPriority w:val="99"/>
    <w:rsid w:val="00EF37C1"/>
    <w:rPr>
      <w:rFonts w:ascii="Times New Roman Negrita" w:hAnsi="Times New Roman Negrita" w:cs="Times New Roman Negrita"/>
      <w:b/>
      <w:bCs/>
      <w:sz w:val="18"/>
      <w:szCs w:val="18"/>
      <w:lang w:val="en-US" w:eastAsia="en-US"/>
    </w:rPr>
  </w:style>
  <w:style w:type="paragraph" w:customStyle="1" w:styleId="Numberedlist">
    <w:name w:val="Numbered list"/>
    <w:aliases w:val="Alt-L"/>
    <w:next w:val="Normal"/>
    <w:link w:val="NumberedlistChar"/>
    <w:uiPriority w:val="99"/>
    <w:rsid w:val="00EF37C1"/>
    <w:pPr>
      <w:ind w:left="1080" w:hanging="360"/>
    </w:pPr>
    <w:rPr>
      <w:noProof/>
      <w:lang w:val="en-US" w:eastAsia="es-ES"/>
    </w:rPr>
  </w:style>
  <w:style w:type="character" w:customStyle="1" w:styleId="NumberedlistChar">
    <w:name w:val="Numbered list Char"/>
    <w:aliases w:val="Alt-L Char"/>
    <w:link w:val="Numberedlist"/>
    <w:uiPriority w:val="99"/>
    <w:locked/>
    <w:rsid w:val="00EF37C1"/>
    <w:rPr>
      <w:rFonts w:ascii="Times New Roman" w:hAnsi="Times New Roman" w:cs="Times New Roman"/>
      <w:noProof/>
      <w:sz w:val="22"/>
      <w:szCs w:val="22"/>
      <w:lang w:val="en-US" w:eastAsia="es-ES"/>
    </w:rPr>
  </w:style>
  <w:style w:type="paragraph" w:customStyle="1" w:styleId="BoxText">
    <w:name w:val="Box Text"/>
    <w:aliases w:val="Alt-X"/>
    <w:uiPriority w:val="99"/>
    <w:rsid w:val="00EF37C1"/>
    <w:pPr>
      <w:jc w:val="both"/>
    </w:pPr>
    <w:rPr>
      <w:rFonts w:ascii="Arial" w:hAnsi="Arial" w:cs="Arial"/>
      <w:noProof/>
      <w:kern w:val="20"/>
      <w:sz w:val="18"/>
      <w:szCs w:val="18"/>
      <w:lang w:val="en-US" w:eastAsia="en-US"/>
    </w:rPr>
  </w:style>
  <w:style w:type="paragraph" w:customStyle="1" w:styleId="BoxHeadline">
    <w:name w:val="Box Headline"/>
    <w:uiPriority w:val="99"/>
    <w:rsid w:val="00EF37C1"/>
    <w:pPr>
      <w:suppressAutoHyphens/>
      <w:spacing w:after="120"/>
      <w:jc w:val="center"/>
    </w:pPr>
    <w:rPr>
      <w:rFonts w:ascii="Arial" w:hAnsi="Arial" w:cs="Arial"/>
      <w:b/>
      <w:bCs/>
      <w:sz w:val="18"/>
      <w:szCs w:val="18"/>
      <w:lang w:val="en-US" w:eastAsia="en-US"/>
    </w:rPr>
  </w:style>
  <w:style w:type="paragraph" w:customStyle="1" w:styleId="SectionHead">
    <w:name w:val="Section # Head"/>
    <w:basedOn w:val="Normal"/>
    <w:uiPriority w:val="99"/>
    <w:rsid w:val="00EF37C1"/>
    <w:pPr>
      <w:pBdr>
        <w:bottom w:val="single" w:sz="4" w:space="2" w:color="auto"/>
      </w:pBdr>
      <w:suppressAutoHyphens/>
      <w:spacing w:after="0" w:line="240" w:lineRule="auto"/>
    </w:pPr>
    <w:rPr>
      <w:rFonts w:ascii="Arial" w:eastAsia="Calibri" w:hAnsi="Arial" w:cs="Arial"/>
      <w:b/>
      <w:bCs/>
      <w:caps/>
      <w:spacing w:val="20"/>
      <w:lang w:val="en-US"/>
    </w:rPr>
  </w:style>
  <w:style w:type="paragraph" w:customStyle="1" w:styleId="SectionTitleHead">
    <w:name w:val="Section Title Head"/>
    <w:basedOn w:val="Normal"/>
    <w:uiPriority w:val="99"/>
    <w:rsid w:val="00EF37C1"/>
    <w:pPr>
      <w:suppressAutoHyphens/>
      <w:spacing w:after="0" w:line="240" w:lineRule="auto"/>
    </w:pPr>
    <w:rPr>
      <w:rFonts w:ascii="Arial Black" w:eastAsia="Calibri" w:hAnsi="Arial Black" w:cs="Arial Black"/>
      <w:sz w:val="28"/>
      <w:szCs w:val="28"/>
      <w:lang w:val="en-US"/>
    </w:rPr>
  </w:style>
  <w:style w:type="paragraph" w:customStyle="1" w:styleId="BoxBullet">
    <w:name w:val="Box Bullet"/>
    <w:aliases w:val="Alt-3"/>
    <w:basedOn w:val="BoxText"/>
    <w:next w:val="BoxText"/>
    <w:uiPriority w:val="99"/>
    <w:rsid w:val="00EF37C1"/>
    <w:pPr>
      <w:numPr>
        <w:numId w:val="31"/>
      </w:numPr>
    </w:pPr>
  </w:style>
  <w:style w:type="paragraph" w:customStyle="1" w:styleId="Style1">
    <w:name w:val="Style1"/>
    <w:basedOn w:val="Ttulo1"/>
    <w:uiPriority w:val="99"/>
    <w:rsid w:val="00EF37C1"/>
    <w:pPr>
      <w:pBdr>
        <w:top w:val="single" w:sz="48" w:space="3" w:color="FFFFFF"/>
        <w:left w:val="single" w:sz="6" w:space="3" w:color="FFFFFF"/>
        <w:bottom w:val="single" w:sz="6" w:space="3" w:color="FFFFFF"/>
      </w:pBdr>
      <w:shd w:val="solid" w:color="auto" w:fill="auto"/>
      <w:suppressAutoHyphens/>
      <w:spacing w:before="0" w:after="240" w:line="240" w:lineRule="atLeast"/>
      <w:ind w:left="120"/>
    </w:pPr>
    <w:rPr>
      <w:rFonts w:ascii="Berlin Sans FB" w:hAnsi="Berlin Sans FB" w:cs="Berlin Sans FB"/>
      <w:color w:val="993300"/>
      <w:kern w:val="20"/>
      <w:sz w:val="24"/>
      <w:szCs w:val="24"/>
      <w:lang w:val="es-ES" w:eastAsia="es-ES"/>
    </w:rPr>
  </w:style>
  <w:style w:type="paragraph" w:customStyle="1" w:styleId="Contents">
    <w:name w:val="Contents"/>
    <w:aliases w:val="Alt-C"/>
    <w:basedOn w:val="Normal"/>
    <w:uiPriority w:val="99"/>
    <w:rsid w:val="00EF37C1"/>
    <w:pPr>
      <w:tabs>
        <w:tab w:val="left" w:pos="1440"/>
        <w:tab w:val="left" w:pos="2160"/>
        <w:tab w:val="right" w:pos="9360"/>
      </w:tabs>
      <w:spacing w:after="0" w:line="240" w:lineRule="auto"/>
    </w:pPr>
    <w:rPr>
      <w:rFonts w:ascii="Arial" w:eastAsia="Calibri" w:hAnsi="Arial" w:cs="Arial"/>
      <w:sz w:val="20"/>
      <w:szCs w:val="20"/>
      <w:lang w:val="en-US"/>
    </w:rPr>
  </w:style>
  <w:style w:type="paragraph" w:styleId="Textosinformato">
    <w:name w:val="Plain Text"/>
    <w:basedOn w:val="Normal"/>
    <w:link w:val="TextosinformatoCar"/>
    <w:uiPriority w:val="99"/>
    <w:rsid w:val="00EF37C1"/>
    <w:pPr>
      <w:spacing w:after="0" w:line="240" w:lineRule="auto"/>
    </w:pPr>
    <w:rPr>
      <w:rFonts w:ascii="Courier New" w:eastAsia="Calibri" w:hAnsi="Courier New" w:cs="Courier New"/>
      <w:sz w:val="20"/>
      <w:szCs w:val="20"/>
      <w:lang w:val="fr-FR" w:eastAsia="fr-FR"/>
    </w:rPr>
  </w:style>
  <w:style w:type="character" w:customStyle="1" w:styleId="PlainTextChar">
    <w:name w:val="Plain Text Char"/>
    <w:basedOn w:val="Fuentedeprrafopredeter"/>
    <w:uiPriority w:val="99"/>
    <w:locked/>
    <w:rsid w:val="00EF37C1"/>
    <w:rPr>
      <w:rFonts w:ascii="Courier New" w:hAnsi="Courier New" w:cs="Courier New"/>
      <w:b/>
      <w:bCs/>
      <w:sz w:val="24"/>
      <w:szCs w:val="24"/>
      <w:lang w:val="es-ES" w:eastAsia="es-ES"/>
    </w:rPr>
  </w:style>
  <w:style w:type="character" w:customStyle="1" w:styleId="TextosinformatoCar">
    <w:name w:val="Texto sin formato Car"/>
    <w:basedOn w:val="Fuentedeprrafopredeter"/>
    <w:link w:val="Textosinformato"/>
    <w:uiPriority w:val="99"/>
    <w:locked/>
    <w:rsid w:val="00EF37C1"/>
    <w:rPr>
      <w:rFonts w:ascii="Courier New" w:hAnsi="Courier New" w:cs="Courier New"/>
      <w:sz w:val="20"/>
      <w:szCs w:val="20"/>
      <w:lang w:val="fr-FR" w:eastAsia="fr-FR"/>
    </w:rPr>
  </w:style>
  <w:style w:type="paragraph" w:customStyle="1" w:styleId="columnasshoestring9CharChar">
    <w:name w:val="columnas shoestring 9 Char Char"/>
    <w:basedOn w:val="Textoindependiente"/>
    <w:uiPriority w:val="99"/>
    <w:rsid w:val="00EF37C1"/>
    <w:pPr>
      <w:spacing w:before="100" w:after="0" w:line="240" w:lineRule="auto"/>
      <w:jc w:val="both"/>
    </w:pPr>
    <w:rPr>
      <w:rFonts w:ascii="Shoestring SSi" w:eastAsia="Calibri" w:hAnsi="Shoestring SSi" w:cs="Shoestring SSi"/>
      <w:sz w:val="18"/>
      <w:szCs w:val="18"/>
      <w:lang w:val="es-AR" w:eastAsia="es-ES"/>
    </w:rPr>
  </w:style>
  <w:style w:type="paragraph" w:customStyle="1" w:styleId="ind">
    <w:name w:val="ind"/>
    <w:basedOn w:val="Normal"/>
    <w:uiPriority w:val="99"/>
    <w:rsid w:val="00EF37C1"/>
    <w:pPr>
      <w:tabs>
        <w:tab w:val="left" w:pos="786"/>
      </w:tabs>
      <w:spacing w:after="0" w:line="240" w:lineRule="auto"/>
      <w:ind w:left="426"/>
    </w:pPr>
    <w:rPr>
      <w:rFonts w:eastAsia="Calibri"/>
      <w:sz w:val="24"/>
      <w:szCs w:val="24"/>
      <w:lang w:val="es-AR"/>
    </w:rPr>
  </w:style>
  <w:style w:type="paragraph" w:styleId="Textoindependienteprimerasangra">
    <w:name w:val="Body Text First Indent"/>
    <w:basedOn w:val="Textoindependiente"/>
    <w:link w:val="TextoindependienteprimerasangraCar"/>
    <w:uiPriority w:val="99"/>
    <w:rsid w:val="00EF37C1"/>
    <w:pPr>
      <w:spacing w:line="240" w:lineRule="auto"/>
      <w:ind w:firstLine="210"/>
    </w:pPr>
    <w:rPr>
      <w:rFonts w:eastAsia="Calibri"/>
      <w:sz w:val="24"/>
      <w:szCs w:val="24"/>
      <w:lang w:val="en-US"/>
    </w:rPr>
  </w:style>
  <w:style w:type="character" w:customStyle="1" w:styleId="TextoindependienteprimerasangraCar">
    <w:name w:val="Texto independiente primera sangría Car"/>
    <w:basedOn w:val="TextoindependienteCar"/>
    <w:link w:val="Textoindependienteprimerasangra"/>
    <w:uiPriority w:val="99"/>
    <w:locked/>
    <w:rsid w:val="00EF37C1"/>
    <w:rPr>
      <w:rFonts w:ascii="Times New Roman" w:hAnsi="Times New Roman" w:cs="Times New Roman"/>
      <w:sz w:val="24"/>
      <w:szCs w:val="24"/>
      <w:lang w:val="en-US"/>
    </w:rPr>
  </w:style>
  <w:style w:type="paragraph" w:styleId="Cierre">
    <w:name w:val="Closing"/>
    <w:basedOn w:val="Normal"/>
    <w:link w:val="CierreCar"/>
    <w:uiPriority w:val="99"/>
    <w:rsid w:val="00EF37C1"/>
    <w:pPr>
      <w:spacing w:after="0" w:line="240" w:lineRule="auto"/>
      <w:ind w:left="4252"/>
    </w:pPr>
    <w:rPr>
      <w:rFonts w:eastAsia="Calibri"/>
      <w:sz w:val="24"/>
      <w:szCs w:val="24"/>
      <w:lang w:val="en-US"/>
    </w:rPr>
  </w:style>
  <w:style w:type="character" w:customStyle="1" w:styleId="CierreCar">
    <w:name w:val="Cierre Car"/>
    <w:basedOn w:val="Fuentedeprrafopredeter"/>
    <w:link w:val="Cierre"/>
    <w:uiPriority w:val="99"/>
    <w:locked/>
    <w:rsid w:val="00EF37C1"/>
    <w:rPr>
      <w:rFonts w:ascii="Times New Roman" w:hAnsi="Times New Roman" w:cs="Times New Roman"/>
      <w:sz w:val="24"/>
      <w:szCs w:val="24"/>
      <w:lang w:val="en-US"/>
    </w:rPr>
  </w:style>
  <w:style w:type="paragraph" w:styleId="Fecha">
    <w:name w:val="Date"/>
    <w:basedOn w:val="Normal"/>
    <w:next w:val="Normal"/>
    <w:link w:val="FechaCar"/>
    <w:uiPriority w:val="99"/>
    <w:rsid w:val="00EF37C1"/>
    <w:pPr>
      <w:spacing w:after="0" w:line="240" w:lineRule="auto"/>
    </w:pPr>
    <w:rPr>
      <w:rFonts w:eastAsia="Calibri"/>
      <w:sz w:val="24"/>
      <w:szCs w:val="24"/>
      <w:lang w:val="en-US"/>
    </w:rPr>
  </w:style>
  <w:style w:type="character" w:customStyle="1" w:styleId="FechaCar">
    <w:name w:val="Fecha Car"/>
    <w:basedOn w:val="Fuentedeprrafopredeter"/>
    <w:link w:val="Fecha"/>
    <w:uiPriority w:val="99"/>
    <w:locked/>
    <w:rsid w:val="00EF37C1"/>
    <w:rPr>
      <w:rFonts w:ascii="Times New Roman" w:hAnsi="Times New Roman" w:cs="Times New Roman"/>
      <w:sz w:val="24"/>
      <w:szCs w:val="24"/>
      <w:lang w:val="en-US"/>
    </w:rPr>
  </w:style>
  <w:style w:type="paragraph" w:styleId="Firmadecorreoelectrnico">
    <w:name w:val="E-mail Signature"/>
    <w:basedOn w:val="Normal"/>
    <w:link w:val="FirmadecorreoelectrnicoCar"/>
    <w:uiPriority w:val="99"/>
    <w:rsid w:val="00EF37C1"/>
    <w:pPr>
      <w:spacing w:after="0" w:line="240" w:lineRule="auto"/>
    </w:pPr>
    <w:rPr>
      <w:rFonts w:eastAsia="Calibri"/>
      <w:sz w:val="24"/>
      <w:szCs w:val="24"/>
      <w:lang w:val="en-US"/>
    </w:rPr>
  </w:style>
  <w:style w:type="character" w:customStyle="1" w:styleId="FirmadecorreoelectrnicoCar">
    <w:name w:val="Firma de correo electrónico Car"/>
    <w:basedOn w:val="Fuentedeprrafopredeter"/>
    <w:link w:val="Firmadecorreoelectrnico"/>
    <w:uiPriority w:val="99"/>
    <w:locked/>
    <w:rsid w:val="00EF37C1"/>
    <w:rPr>
      <w:rFonts w:ascii="Times New Roman" w:hAnsi="Times New Roman" w:cs="Times New Roman"/>
      <w:sz w:val="24"/>
      <w:szCs w:val="24"/>
      <w:lang w:val="en-US"/>
    </w:rPr>
  </w:style>
  <w:style w:type="paragraph" w:styleId="Direccinsobre">
    <w:name w:val="envelope address"/>
    <w:basedOn w:val="Normal"/>
    <w:uiPriority w:val="99"/>
    <w:rsid w:val="00EF37C1"/>
    <w:pPr>
      <w:framePr w:w="7920" w:h="1980" w:hRule="exact" w:hSpace="180" w:wrap="auto" w:hAnchor="page" w:xAlign="center" w:yAlign="bottom"/>
      <w:spacing w:after="0" w:line="240" w:lineRule="auto"/>
      <w:ind w:left="2880"/>
    </w:pPr>
    <w:rPr>
      <w:rFonts w:ascii="Arial" w:eastAsia="Calibri" w:hAnsi="Arial" w:cs="Arial"/>
      <w:sz w:val="24"/>
      <w:szCs w:val="24"/>
      <w:lang w:val="en-US"/>
    </w:rPr>
  </w:style>
  <w:style w:type="paragraph" w:styleId="Remitedesobre">
    <w:name w:val="envelope return"/>
    <w:basedOn w:val="Normal"/>
    <w:uiPriority w:val="99"/>
    <w:rsid w:val="00EF37C1"/>
    <w:pPr>
      <w:spacing w:after="0" w:line="240" w:lineRule="auto"/>
    </w:pPr>
    <w:rPr>
      <w:rFonts w:ascii="Arial" w:eastAsia="Calibri" w:hAnsi="Arial" w:cs="Arial"/>
      <w:sz w:val="20"/>
      <w:szCs w:val="20"/>
      <w:lang w:val="en-US"/>
    </w:rPr>
  </w:style>
  <w:style w:type="paragraph" w:styleId="DireccinHTML">
    <w:name w:val="HTML Address"/>
    <w:basedOn w:val="Normal"/>
    <w:link w:val="DireccinHTMLCar"/>
    <w:uiPriority w:val="99"/>
    <w:rsid w:val="00EF37C1"/>
    <w:pPr>
      <w:spacing w:after="0" w:line="240" w:lineRule="auto"/>
    </w:pPr>
    <w:rPr>
      <w:rFonts w:eastAsia="Calibri"/>
      <w:i/>
      <w:iCs/>
      <w:sz w:val="24"/>
      <w:szCs w:val="24"/>
      <w:lang w:val="en-US"/>
    </w:rPr>
  </w:style>
  <w:style w:type="character" w:customStyle="1" w:styleId="DireccinHTMLCar">
    <w:name w:val="Dirección HTML Car"/>
    <w:basedOn w:val="Fuentedeprrafopredeter"/>
    <w:link w:val="DireccinHTML"/>
    <w:uiPriority w:val="99"/>
    <w:locked/>
    <w:rsid w:val="00EF37C1"/>
    <w:rPr>
      <w:rFonts w:ascii="Times New Roman" w:hAnsi="Times New Roman" w:cs="Times New Roman"/>
      <w:i/>
      <w:iCs/>
      <w:sz w:val="24"/>
      <w:szCs w:val="24"/>
      <w:lang w:val="en-US"/>
    </w:rPr>
  </w:style>
  <w:style w:type="paragraph" w:styleId="Lista">
    <w:name w:val="List"/>
    <w:basedOn w:val="Normal"/>
    <w:uiPriority w:val="99"/>
    <w:rsid w:val="00EF37C1"/>
    <w:pPr>
      <w:spacing w:after="0" w:line="240" w:lineRule="auto"/>
      <w:ind w:left="283" w:hanging="283"/>
    </w:pPr>
    <w:rPr>
      <w:rFonts w:eastAsia="Calibri"/>
      <w:sz w:val="24"/>
      <w:szCs w:val="24"/>
      <w:lang w:val="en-US"/>
    </w:rPr>
  </w:style>
  <w:style w:type="paragraph" w:styleId="Lista5">
    <w:name w:val="List 5"/>
    <w:basedOn w:val="Normal"/>
    <w:uiPriority w:val="99"/>
    <w:rsid w:val="00EF37C1"/>
    <w:pPr>
      <w:spacing w:after="0" w:line="240" w:lineRule="auto"/>
      <w:ind w:left="1415" w:hanging="283"/>
    </w:pPr>
    <w:rPr>
      <w:rFonts w:eastAsia="Calibri"/>
      <w:sz w:val="24"/>
      <w:szCs w:val="24"/>
      <w:lang w:val="en-US"/>
    </w:rPr>
  </w:style>
  <w:style w:type="paragraph" w:styleId="Listaconvietas4">
    <w:name w:val="List Bullet 4"/>
    <w:basedOn w:val="Normal"/>
    <w:autoRedefine/>
    <w:uiPriority w:val="99"/>
    <w:rsid w:val="00EF37C1"/>
    <w:pPr>
      <w:tabs>
        <w:tab w:val="num" w:pos="1209"/>
      </w:tabs>
      <w:spacing w:after="0" w:line="240" w:lineRule="auto"/>
      <w:ind w:left="1209" w:hanging="360"/>
    </w:pPr>
    <w:rPr>
      <w:rFonts w:eastAsia="Calibri"/>
      <w:sz w:val="24"/>
      <w:szCs w:val="24"/>
      <w:lang w:val="en-US"/>
    </w:rPr>
  </w:style>
  <w:style w:type="paragraph" w:styleId="Listaconvietas5">
    <w:name w:val="List Bullet 5"/>
    <w:basedOn w:val="Normal"/>
    <w:autoRedefine/>
    <w:uiPriority w:val="99"/>
    <w:rsid w:val="00EF37C1"/>
    <w:pPr>
      <w:tabs>
        <w:tab w:val="num" w:pos="567"/>
      </w:tabs>
      <w:spacing w:after="0" w:line="240" w:lineRule="auto"/>
      <w:ind w:left="567" w:hanging="567"/>
    </w:pPr>
    <w:rPr>
      <w:rFonts w:eastAsia="Calibri"/>
      <w:sz w:val="24"/>
      <w:szCs w:val="24"/>
      <w:lang w:val="en-US"/>
    </w:rPr>
  </w:style>
  <w:style w:type="paragraph" w:styleId="Continuarlista2">
    <w:name w:val="List Continue 2"/>
    <w:basedOn w:val="Normal"/>
    <w:uiPriority w:val="99"/>
    <w:rsid w:val="00EF37C1"/>
    <w:pPr>
      <w:spacing w:after="120" w:line="240" w:lineRule="auto"/>
      <w:ind w:left="566"/>
    </w:pPr>
    <w:rPr>
      <w:rFonts w:eastAsia="Calibri"/>
      <w:sz w:val="24"/>
      <w:szCs w:val="24"/>
      <w:lang w:val="en-US"/>
    </w:rPr>
  </w:style>
  <w:style w:type="paragraph" w:styleId="Continuarlista3">
    <w:name w:val="List Continue 3"/>
    <w:basedOn w:val="Normal"/>
    <w:uiPriority w:val="99"/>
    <w:rsid w:val="00EF37C1"/>
    <w:pPr>
      <w:spacing w:after="120" w:line="240" w:lineRule="auto"/>
      <w:ind w:left="849"/>
    </w:pPr>
    <w:rPr>
      <w:rFonts w:eastAsia="Calibri"/>
      <w:sz w:val="24"/>
      <w:szCs w:val="24"/>
      <w:lang w:val="en-US"/>
    </w:rPr>
  </w:style>
  <w:style w:type="paragraph" w:styleId="Continuarlista4">
    <w:name w:val="List Continue 4"/>
    <w:basedOn w:val="Normal"/>
    <w:uiPriority w:val="99"/>
    <w:rsid w:val="00EF37C1"/>
    <w:pPr>
      <w:spacing w:after="120" w:line="240" w:lineRule="auto"/>
      <w:ind w:left="1132"/>
    </w:pPr>
    <w:rPr>
      <w:rFonts w:eastAsia="Calibri"/>
      <w:sz w:val="24"/>
      <w:szCs w:val="24"/>
      <w:lang w:val="en-US"/>
    </w:rPr>
  </w:style>
  <w:style w:type="paragraph" w:styleId="Continuarlista5">
    <w:name w:val="List Continue 5"/>
    <w:basedOn w:val="Normal"/>
    <w:uiPriority w:val="99"/>
    <w:rsid w:val="00EF37C1"/>
    <w:pPr>
      <w:spacing w:after="120" w:line="240" w:lineRule="auto"/>
      <w:ind w:left="1415" w:hanging="360"/>
    </w:pPr>
    <w:rPr>
      <w:rFonts w:eastAsia="Calibri"/>
      <w:sz w:val="24"/>
      <w:szCs w:val="24"/>
      <w:lang w:val="en-US"/>
    </w:rPr>
  </w:style>
  <w:style w:type="paragraph" w:styleId="Listaconnmeros">
    <w:name w:val="List Number"/>
    <w:basedOn w:val="Normal"/>
    <w:uiPriority w:val="99"/>
    <w:rsid w:val="00EF37C1"/>
    <w:pPr>
      <w:spacing w:after="0" w:line="240" w:lineRule="auto"/>
      <w:ind w:left="360" w:hanging="360"/>
    </w:pPr>
    <w:rPr>
      <w:rFonts w:eastAsia="Calibri"/>
      <w:sz w:val="24"/>
      <w:szCs w:val="24"/>
      <w:lang w:val="en-US"/>
    </w:rPr>
  </w:style>
  <w:style w:type="paragraph" w:styleId="Listaconnmeros2">
    <w:name w:val="List Number 2"/>
    <w:basedOn w:val="Normal"/>
    <w:uiPriority w:val="99"/>
    <w:rsid w:val="00EF37C1"/>
    <w:pPr>
      <w:tabs>
        <w:tab w:val="num" w:pos="643"/>
      </w:tabs>
      <w:spacing w:after="0" w:line="240" w:lineRule="auto"/>
      <w:ind w:left="643" w:hanging="360"/>
    </w:pPr>
    <w:rPr>
      <w:rFonts w:eastAsia="Calibri"/>
      <w:sz w:val="24"/>
      <w:szCs w:val="24"/>
      <w:lang w:val="en-US"/>
    </w:rPr>
  </w:style>
  <w:style w:type="paragraph" w:styleId="Listaconnmeros4">
    <w:name w:val="List Number 4"/>
    <w:basedOn w:val="Normal"/>
    <w:uiPriority w:val="99"/>
    <w:rsid w:val="00EF37C1"/>
    <w:pPr>
      <w:tabs>
        <w:tab w:val="num" w:pos="1209"/>
      </w:tabs>
      <w:spacing w:after="0" w:line="240" w:lineRule="auto"/>
      <w:ind w:left="1209" w:hanging="360"/>
    </w:pPr>
    <w:rPr>
      <w:rFonts w:eastAsia="Calibri"/>
      <w:sz w:val="24"/>
      <w:szCs w:val="24"/>
      <w:lang w:val="en-US"/>
    </w:rPr>
  </w:style>
  <w:style w:type="paragraph" w:styleId="Listaconnmeros5">
    <w:name w:val="List Number 5"/>
    <w:basedOn w:val="Normal"/>
    <w:uiPriority w:val="99"/>
    <w:rsid w:val="00EF37C1"/>
    <w:pPr>
      <w:tabs>
        <w:tab w:val="num" w:pos="567"/>
      </w:tabs>
      <w:spacing w:after="0" w:line="240" w:lineRule="auto"/>
      <w:ind w:left="567" w:hanging="567"/>
    </w:pPr>
    <w:rPr>
      <w:rFonts w:eastAsia="Calibri"/>
      <w:sz w:val="24"/>
      <w:szCs w:val="24"/>
      <w:lang w:val="en-US"/>
    </w:rPr>
  </w:style>
  <w:style w:type="paragraph" w:styleId="Encabezadodemensaje">
    <w:name w:val="Message Header"/>
    <w:basedOn w:val="Normal"/>
    <w:link w:val="EncabezadodemensajeCar"/>
    <w:uiPriority w:val="99"/>
    <w:rsid w:val="00EF37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val="en-US"/>
    </w:rPr>
  </w:style>
  <w:style w:type="character" w:customStyle="1" w:styleId="EncabezadodemensajeCar">
    <w:name w:val="Encabezado de mensaje Car"/>
    <w:basedOn w:val="Fuentedeprrafopredeter"/>
    <w:link w:val="Encabezadodemensaje"/>
    <w:uiPriority w:val="99"/>
    <w:locked/>
    <w:rsid w:val="00EF37C1"/>
    <w:rPr>
      <w:rFonts w:ascii="Arial" w:hAnsi="Arial" w:cs="Arial"/>
      <w:sz w:val="24"/>
      <w:szCs w:val="24"/>
      <w:shd w:val="pct20" w:color="auto" w:fill="auto"/>
      <w:lang w:val="en-US"/>
    </w:rPr>
  </w:style>
  <w:style w:type="paragraph" w:styleId="Encabezadodenota">
    <w:name w:val="Note Heading"/>
    <w:basedOn w:val="Normal"/>
    <w:next w:val="Normal"/>
    <w:link w:val="EncabezadodenotaCar"/>
    <w:uiPriority w:val="99"/>
    <w:rsid w:val="00EF37C1"/>
    <w:pPr>
      <w:spacing w:after="0" w:line="240" w:lineRule="auto"/>
    </w:pPr>
    <w:rPr>
      <w:rFonts w:eastAsia="Calibri"/>
      <w:sz w:val="24"/>
      <w:szCs w:val="24"/>
      <w:lang w:val="en-US"/>
    </w:rPr>
  </w:style>
  <w:style w:type="character" w:customStyle="1" w:styleId="EncabezadodenotaCar">
    <w:name w:val="Encabezado de nota Car"/>
    <w:basedOn w:val="Fuentedeprrafopredeter"/>
    <w:link w:val="Encabezadodenota"/>
    <w:uiPriority w:val="99"/>
    <w:locked/>
    <w:rsid w:val="00EF37C1"/>
    <w:rPr>
      <w:rFonts w:ascii="Times New Roman" w:hAnsi="Times New Roman" w:cs="Times New Roman"/>
      <w:sz w:val="24"/>
      <w:szCs w:val="24"/>
      <w:lang w:val="en-US"/>
    </w:rPr>
  </w:style>
  <w:style w:type="paragraph" w:styleId="Saludo">
    <w:name w:val="Salutation"/>
    <w:basedOn w:val="Normal"/>
    <w:next w:val="Normal"/>
    <w:link w:val="SaludoCar"/>
    <w:uiPriority w:val="99"/>
    <w:rsid w:val="00EF37C1"/>
    <w:pPr>
      <w:spacing w:after="0" w:line="240" w:lineRule="auto"/>
    </w:pPr>
    <w:rPr>
      <w:rFonts w:eastAsia="Calibri"/>
      <w:sz w:val="24"/>
      <w:szCs w:val="24"/>
      <w:lang w:val="en-US"/>
    </w:rPr>
  </w:style>
  <w:style w:type="character" w:customStyle="1" w:styleId="SaludoCar">
    <w:name w:val="Saludo Car"/>
    <w:basedOn w:val="Fuentedeprrafopredeter"/>
    <w:link w:val="Saludo"/>
    <w:uiPriority w:val="99"/>
    <w:locked/>
    <w:rsid w:val="00EF37C1"/>
    <w:rPr>
      <w:rFonts w:ascii="Times New Roman" w:hAnsi="Times New Roman" w:cs="Times New Roman"/>
      <w:sz w:val="24"/>
      <w:szCs w:val="24"/>
      <w:lang w:val="en-US"/>
    </w:rPr>
  </w:style>
  <w:style w:type="paragraph" w:styleId="Firma">
    <w:name w:val="Signature"/>
    <w:basedOn w:val="Normal"/>
    <w:link w:val="FirmaCar"/>
    <w:uiPriority w:val="99"/>
    <w:rsid w:val="00EF37C1"/>
    <w:pPr>
      <w:spacing w:after="0" w:line="240" w:lineRule="auto"/>
      <w:ind w:left="4252"/>
    </w:pPr>
    <w:rPr>
      <w:rFonts w:eastAsia="Calibri"/>
      <w:sz w:val="24"/>
      <w:szCs w:val="24"/>
      <w:lang w:val="en-US"/>
    </w:rPr>
  </w:style>
  <w:style w:type="character" w:customStyle="1" w:styleId="FirmaCar">
    <w:name w:val="Firma Car"/>
    <w:basedOn w:val="Fuentedeprrafopredeter"/>
    <w:link w:val="Firma"/>
    <w:uiPriority w:val="99"/>
    <w:locked/>
    <w:rsid w:val="00EF37C1"/>
    <w:rPr>
      <w:rFonts w:ascii="Times New Roman" w:hAnsi="Times New Roman" w:cs="Times New Roman"/>
      <w:sz w:val="24"/>
      <w:szCs w:val="24"/>
      <w:lang w:val="en-US"/>
    </w:rPr>
  </w:style>
  <w:style w:type="paragraph" w:styleId="Subttulo">
    <w:name w:val="Subtitle"/>
    <w:basedOn w:val="Normal"/>
    <w:link w:val="SubttuloCar"/>
    <w:uiPriority w:val="99"/>
    <w:qFormat/>
    <w:rsid w:val="00EF37C1"/>
    <w:pPr>
      <w:spacing w:after="60" w:line="240" w:lineRule="auto"/>
      <w:jc w:val="center"/>
      <w:outlineLvl w:val="1"/>
    </w:pPr>
    <w:rPr>
      <w:rFonts w:ascii="Arial" w:eastAsia="Calibri" w:hAnsi="Arial" w:cs="Arial"/>
      <w:sz w:val="24"/>
      <w:szCs w:val="24"/>
      <w:lang w:val="en-US"/>
    </w:rPr>
  </w:style>
  <w:style w:type="character" w:customStyle="1" w:styleId="SubttuloCar">
    <w:name w:val="Subtítulo Car"/>
    <w:basedOn w:val="Fuentedeprrafopredeter"/>
    <w:link w:val="Subttulo"/>
    <w:uiPriority w:val="99"/>
    <w:locked/>
    <w:rsid w:val="00EF37C1"/>
    <w:rPr>
      <w:rFonts w:ascii="Arial" w:hAnsi="Arial" w:cs="Arial"/>
      <w:sz w:val="24"/>
      <w:szCs w:val="24"/>
      <w:lang w:val="en-US"/>
    </w:rPr>
  </w:style>
  <w:style w:type="paragraph" w:customStyle="1" w:styleId="xl30">
    <w:name w:val="xl30"/>
    <w:basedOn w:val="Normal"/>
    <w:uiPriority w:val="99"/>
    <w:rsid w:val="00EF37C1"/>
    <w:pPr>
      <w:spacing w:before="100" w:beforeAutospacing="1" w:after="100" w:afterAutospacing="1" w:line="240" w:lineRule="auto"/>
    </w:pPr>
    <w:rPr>
      <w:rFonts w:ascii="Times New Roman" w:eastAsia="Arial Unicode MS" w:hAnsi="Times New Roman" w:cs="Times New Roman"/>
      <w:sz w:val="24"/>
      <w:szCs w:val="24"/>
      <w:lang w:eastAsia="es-ES"/>
    </w:rPr>
  </w:style>
  <w:style w:type="paragraph" w:customStyle="1" w:styleId="BodyText21">
    <w:name w:val="Body Text 21"/>
    <w:basedOn w:val="Normal"/>
    <w:uiPriority w:val="99"/>
    <w:rsid w:val="00EF37C1"/>
    <w:pPr>
      <w:widowControl w:val="0"/>
      <w:spacing w:after="0" w:line="240" w:lineRule="auto"/>
      <w:jc w:val="both"/>
    </w:pPr>
    <w:rPr>
      <w:rFonts w:ascii="Garamond" w:eastAsia="Calibri" w:hAnsi="Garamond" w:cs="Garamond"/>
      <w:sz w:val="26"/>
      <w:szCs w:val="26"/>
      <w:lang w:val="es-ES_tradnl" w:eastAsia="es-ES"/>
    </w:rPr>
  </w:style>
  <w:style w:type="paragraph" w:customStyle="1" w:styleId="PrrafoNormal">
    <w:name w:val="Párrafo Normal"/>
    <w:basedOn w:val="Normal"/>
    <w:uiPriority w:val="99"/>
    <w:rsid w:val="00EF37C1"/>
    <w:pPr>
      <w:tabs>
        <w:tab w:val="center" w:pos="7797"/>
      </w:tabs>
      <w:spacing w:after="0" w:line="360" w:lineRule="auto"/>
      <w:jc w:val="both"/>
    </w:pPr>
    <w:rPr>
      <w:rFonts w:ascii="Arial" w:eastAsia="Calibri" w:hAnsi="Arial" w:cs="Arial"/>
      <w:lang w:val="es-CL" w:eastAsia="es-ES"/>
    </w:rPr>
  </w:style>
  <w:style w:type="character" w:customStyle="1" w:styleId="jutsr1">
    <w:name w:val="jutsr1"/>
    <w:basedOn w:val="Fuentedeprrafopredeter"/>
    <w:uiPriority w:val="99"/>
    <w:rsid w:val="00EF37C1"/>
  </w:style>
  <w:style w:type="paragraph" w:customStyle="1" w:styleId="juts">
    <w:name w:val="juts"/>
    <w:basedOn w:val="Normal"/>
    <w:uiPriority w:val="99"/>
    <w:rsid w:val="00EF37C1"/>
    <w:pPr>
      <w:spacing w:before="100" w:beforeAutospacing="1" w:after="100" w:afterAutospacing="1" w:line="240" w:lineRule="auto"/>
    </w:pPr>
    <w:rPr>
      <w:rFonts w:eastAsia="Calibri"/>
      <w:sz w:val="24"/>
      <w:szCs w:val="24"/>
      <w:lang w:eastAsia="es-ES"/>
    </w:rPr>
  </w:style>
  <w:style w:type="character" w:customStyle="1" w:styleId="juts1">
    <w:name w:val="juts1"/>
    <w:basedOn w:val="Fuentedeprrafopredeter"/>
    <w:uiPriority w:val="99"/>
    <w:rsid w:val="00EF37C1"/>
  </w:style>
  <w:style w:type="paragraph" w:customStyle="1" w:styleId="tdtextoizq">
    <w:name w:val="tdtextoizq"/>
    <w:basedOn w:val="Normal"/>
    <w:uiPriority w:val="99"/>
    <w:rsid w:val="00EF37C1"/>
    <w:pPr>
      <w:spacing w:before="100" w:beforeAutospacing="1" w:after="100" w:afterAutospacing="1" w:line="240" w:lineRule="auto"/>
    </w:pPr>
    <w:rPr>
      <w:rFonts w:ascii="Arial" w:eastAsia="Calibri" w:hAnsi="Arial" w:cs="Arial"/>
      <w:sz w:val="15"/>
      <w:szCs w:val="15"/>
      <w:lang w:eastAsia="es-ES"/>
    </w:rPr>
  </w:style>
  <w:style w:type="character" w:customStyle="1" w:styleId="tdtextojustificado1">
    <w:name w:val="tdtextojustificado1"/>
    <w:uiPriority w:val="99"/>
    <w:rsid w:val="00EF37C1"/>
    <w:rPr>
      <w:rFonts w:ascii="Arial" w:hAnsi="Arial" w:cs="Arial"/>
      <w:b/>
      <w:bCs/>
      <w:sz w:val="15"/>
      <w:szCs w:val="15"/>
      <w:lang w:val="es-ES_tradnl" w:eastAsia="en-US"/>
    </w:rPr>
  </w:style>
  <w:style w:type="character" w:customStyle="1" w:styleId="subtitulos1">
    <w:name w:val="subtitulos1"/>
    <w:uiPriority w:val="99"/>
    <w:rsid w:val="00EF37C1"/>
    <w:rPr>
      <w:rFonts w:ascii="Arial" w:hAnsi="Arial" w:cs="Arial"/>
      <w:color w:val="auto"/>
      <w:sz w:val="17"/>
      <w:szCs w:val="17"/>
      <w:lang w:val="es-ES_tradnl" w:eastAsia="en-US"/>
    </w:rPr>
  </w:style>
  <w:style w:type="paragraph" w:customStyle="1" w:styleId="Estilo">
    <w:name w:val="Estilo"/>
    <w:uiPriority w:val="99"/>
    <w:rsid w:val="00EF37C1"/>
    <w:pPr>
      <w:widowControl w:val="0"/>
      <w:autoSpaceDE w:val="0"/>
      <w:autoSpaceDN w:val="0"/>
      <w:adjustRightInd w:val="0"/>
    </w:pPr>
    <w:rPr>
      <w:rFonts w:cs="Calibri"/>
      <w:sz w:val="24"/>
      <w:szCs w:val="24"/>
      <w:lang w:val="es-ES" w:eastAsia="es-ES"/>
    </w:rPr>
  </w:style>
  <w:style w:type="paragraph" w:customStyle="1" w:styleId="font5">
    <w:name w:val="font5"/>
    <w:basedOn w:val="Normal"/>
    <w:uiPriority w:val="99"/>
    <w:rsid w:val="00EF37C1"/>
    <w:pPr>
      <w:spacing w:before="100" w:beforeAutospacing="1" w:after="100" w:afterAutospacing="1" w:line="240" w:lineRule="auto"/>
    </w:pPr>
    <w:rPr>
      <w:rFonts w:ascii="Tahoma" w:eastAsia="Arial Unicode MS" w:hAnsi="Tahoma" w:cs="Tahoma"/>
      <w:color w:val="000000"/>
      <w:sz w:val="16"/>
      <w:szCs w:val="16"/>
      <w:lang w:eastAsia="es-ES"/>
    </w:rPr>
  </w:style>
  <w:style w:type="paragraph" w:customStyle="1" w:styleId="font6">
    <w:name w:val="font6"/>
    <w:basedOn w:val="Normal"/>
    <w:uiPriority w:val="99"/>
    <w:rsid w:val="00EF37C1"/>
    <w:pPr>
      <w:spacing w:before="100" w:beforeAutospacing="1" w:after="100" w:afterAutospacing="1" w:line="240" w:lineRule="auto"/>
    </w:pPr>
    <w:rPr>
      <w:rFonts w:ascii="Tahoma" w:eastAsia="Arial Unicode MS" w:hAnsi="Tahoma" w:cs="Tahoma"/>
      <w:b/>
      <w:bCs/>
      <w:color w:val="000000"/>
      <w:sz w:val="16"/>
      <w:szCs w:val="16"/>
      <w:lang w:eastAsia="es-ES"/>
    </w:rPr>
  </w:style>
  <w:style w:type="paragraph" w:customStyle="1" w:styleId="Textbody">
    <w:name w:val="Text body"/>
    <w:basedOn w:val="Normal"/>
    <w:uiPriority w:val="99"/>
    <w:rsid w:val="00EF37C1"/>
    <w:pPr>
      <w:suppressAutoHyphens/>
      <w:overflowPunct w:val="0"/>
      <w:autoSpaceDE w:val="0"/>
      <w:autoSpaceDN w:val="0"/>
      <w:adjustRightInd w:val="0"/>
      <w:spacing w:after="0" w:line="240" w:lineRule="auto"/>
      <w:jc w:val="both"/>
      <w:textAlignment w:val="baseline"/>
    </w:pPr>
    <w:rPr>
      <w:rFonts w:eastAsia="Calibri"/>
      <w:noProof/>
      <w:sz w:val="24"/>
      <w:szCs w:val="24"/>
      <w:lang w:val="es-GT" w:eastAsia="es-ES"/>
    </w:rPr>
  </w:style>
  <w:style w:type="paragraph" w:customStyle="1" w:styleId="a">
    <w:name w:val=":"/>
    <w:basedOn w:val="Normal"/>
    <w:uiPriority w:val="99"/>
    <w:rsid w:val="00EF37C1"/>
    <w:pPr>
      <w:tabs>
        <w:tab w:val="left" w:pos="-720"/>
      </w:tabs>
      <w:suppressAutoHyphens/>
      <w:spacing w:after="240" w:line="240" w:lineRule="auto"/>
      <w:jc w:val="both"/>
    </w:pPr>
    <w:rPr>
      <w:rFonts w:eastAsia="Calibri"/>
      <w:spacing w:val="-2"/>
      <w:sz w:val="20"/>
      <w:szCs w:val="20"/>
      <w:lang w:val="es-ES_tradnl" w:eastAsia="es-ES"/>
    </w:rPr>
  </w:style>
  <w:style w:type="paragraph" w:customStyle="1" w:styleId="BodyText22">
    <w:name w:val="Body Text 22"/>
    <w:basedOn w:val="Normal"/>
    <w:uiPriority w:val="99"/>
    <w:rsid w:val="00EF37C1"/>
    <w:pPr>
      <w:tabs>
        <w:tab w:val="left" w:pos="567"/>
        <w:tab w:val="left" w:pos="1134"/>
        <w:tab w:val="left" w:pos="1701"/>
        <w:tab w:val="left" w:pos="2268"/>
        <w:tab w:val="left" w:pos="2835"/>
      </w:tabs>
      <w:spacing w:after="0" w:line="240" w:lineRule="auto"/>
      <w:jc w:val="both"/>
    </w:pPr>
    <w:rPr>
      <w:rFonts w:eastAsia="Calibri"/>
      <w:sz w:val="24"/>
      <w:szCs w:val="24"/>
      <w:lang w:eastAsia="es-ES"/>
    </w:rPr>
  </w:style>
  <w:style w:type="paragraph" w:customStyle="1" w:styleId="Pelota">
    <w:name w:val="Pelota"/>
    <w:basedOn w:val="Normal"/>
    <w:uiPriority w:val="99"/>
    <w:rsid w:val="00EF37C1"/>
    <w:pPr>
      <w:spacing w:after="0" w:line="240" w:lineRule="auto"/>
      <w:jc w:val="both"/>
    </w:pPr>
    <w:rPr>
      <w:rFonts w:eastAsia="Calibri"/>
      <w:lang w:val="en-US" w:eastAsia="es-ES"/>
    </w:rPr>
  </w:style>
  <w:style w:type="paragraph" w:customStyle="1" w:styleId="TableCells">
    <w:name w:val="Table Cells"/>
    <w:basedOn w:val="Normal"/>
    <w:uiPriority w:val="99"/>
    <w:rsid w:val="00EF37C1"/>
    <w:pPr>
      <w:spacing w:before="60" w:after="60" w:line="264" w:lineRule="auto"/>
      <w:jc w:val="center"/>
    </w:pPr>
    <w:rPr>
      <w:rFonts w:ascii="Arial" w:eastAsia="Calibri" w:hAnsi="Arial" w:cs="Arial"/>
      <w:sz w:val="18"/>
      <w:szCs w:val="18"/>
      <w:lang w:val="en-GB"/>
    </w:rPr>
  </w:style>
  <w:style w:type="paragraph" w:customStyle="1" w:styleId="CharChar2CarCarCharCharCarCar">
    <w:name w:val="Char Char2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tomas5">
    <w:name w:val="tomas 5"/>
    <w:basedOn w:val="Normal"/>
    <w:uiPriority w:val="99"/>
    <w:rsid w:val="00EF37C1"/>
    <w:pPr>
      <w:numPr>
        <w:numId w:val="33"/>
      </w:numPr>
      <w:spacing w:after="0" w:line="240" w:lineRule="auto"/>
    </w:pPr>
    <w:rPr>
      <w:rFonts w:ascii="Verdana" w:eastAsia="Calibri" w:hAnsi="Verdana" w:cs="Verdana"/>
      <w:b/>
      <w:bCs/>
      <w:lang w:eastAsia="es-ES"/>
    </w:rPr>
  </w:style>
  <w:style w:type="paragraph" w:customStyle="1" w:styleId="tomas0">
    <w:name w:val="tomas0"/>
    <w:basedOn w:val="Normal"/>
    <w:uiPriority w:val="99"/>
    <w:rsid w:val="00EF37C1"/>
    <w:pPr>
      <w:spacing w:after="0" w:line="240" w:lineRule="auto"/>
    </w:pPr>
    <w:rPr>
      <w:rFonts w:ascii="Verdana" w:eastAsia="Calibri" w:hAnsi="Verdana" w:cs="Verdana"/>
      <w:b/>
      <w:bCs/>
      <w:lang w:eastAsia="es-ES"/>
    </w:rPr>
  </w:style>
  <w:style w:type="table" w:styleId="Tablamoderna">
    <w:name w:val="Table Contemporary"/>
    <w:basedOn w:val="Tablanormal"/>
    <w:uiPriority w:val="99"/>
    <w:rsid w:val="00EF37C1"/>
    <w:pPr>
      <w:ind w:left="993"/>
      <w:jc w:val="both"/>
    </w:pPr>
    <w:rPr>
      <w:rFonts w:cs="Calibri"/>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cuacin">
    <w:name w:val="Ecuación"/>
    <w:basedOn w:val="Normal"/>
    <w:next w:val="Normal"/>
    <w:uiPriority w:val="99"/>
    <w:rsid w:val="00EF37C1"/>
    <w:pPr>
      <w:tabs>
        <w:tab w:val="center" w:pos="5529"/>
        <w:tab w:val="right" w:pos="9923"/>
      </w:tabs>
      <w:spacing w:after="0" w:line="240" w:lineRule="auto"/>
      <w:ind w:left="993"/>
      <w:jc w:val="both"/>
    </w:pPr>
    <w:rPr>
      <w:rFonts w:ascii="Verdana" w:eastAsia="Calibri" w:hAnsi="Verdana" w:cs="Verdana"/>
      <w:sz w:val="24"/>
      <w:szCs w:val="24"/>
      <w:lang w:val="es-CL" w:eastAsia="es-ES"/>
    </w:rPr>
  </w:style>
  <w:style w:type="paragraph" w:customStyle="1" w:styleId="TITULO1">
    <w:name w:val="TITULO 1"/>
    <w:basedOn w:val="Ttulo1"/>
    <w:next w:val="Ttulo1"/>
    <w:autoRedefine/>
    <w:uiPriority w:val="99"/>
    <w:rsid w:val="00EF37C1"/>
    <w:pPr>
      <w:keepLines w:val="0"/>
      <w:numPr>
        <w:numId w:val="34"/>
      </w:numPr>
      <w:spacing w:before="0" w:line="240" w:lineRule="auto"/>
      <w:jc w:val="both"/>
    </w:pPr>
    <w:rPr>
      <w:rFonts w:ascii="Arial Narrow" w:hAnsi="Arial Narrow" w:cs="Arial Narrow"/>
      <w:caps/>
      <w:kern w:val="32"/>
      <w:lang w:val="es-ES" w:eastAsia="es-ES"/>
    </w:rPr>
  </w:style>
  <w:style w:type="character" w:customStyle="1" w:styleId="CarCharChar">
    <w:name w:val="Car Char Char"/>
    <w:uiPriority w:val="99"/>
    <w:rsid w:val="00EF37C1"/>
    <w:rPr>
      <w:rFonts w:ascii="Courier New" w:hAnsi="Courier New" w:cs="Courier New"/>
      <w:b/>
      <w:bCs/>
      <w:sz w:val="28"/>
      <w:szCs w:val="28"/>
      <w:lang w:val="fr-FR" w:eastAsia="fr-FR"/>
    </w:rPr>
  </w:style>
  <w:style w:type="table" w:styleId="Tablaprofesional">
    <w:name w:val="Table Professional"/>
    <w:basedOn w:val="Tablanormal"/>
    <w:uiPriority w:val="99"/>
    <w:rsid w:val="00EF37C1"/>
    <w:rPr>
      <w:rFonts w:ascii="Times New Roman" w:eastAsia="MS Mincho" w:hAnsi="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Textomacro">
    <w:name w:val="macro"/>
    <w:link w:val="TextomacroCar"/>
    <w:uiPriority w:val="99"/>
    <w:semiHidden/>
    <w:rsid w:val="00EF37C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0"/>
      <w:szCs w:val="20"/>
      <w:lang w:val="en-US" w:eastAsia="en-US"/>
    </w:rPr>
  </w:style>
  <w:style w:type="character" w:customStyle="1" w:styleId="TextomacroCar">
    <w:name w:val="Texto macro Car"/>
    <w:basedOn w:val="Fuentedeprrafopredeter"/>
    <w:link w:val="Textomacro"/>
    <w:uiPriority w:val="99"/>
    <w:semiHidden/>
    <w:locked/>
    <w:rsid w:val="00EF37C1"/>
    <w:rPr>
      <w:rFonts w:ascii="Courier New" w:hAnsi="Courier New" w:cs="Courier New"/>
      <w:lang w:val="en-US" w:eastAsia="en-US"/>
    </w:rPr>
  </w:style>
  <w:style w:type="paragraph" w:styleId="Textoconsangra">
    <w:name w:val="table of authorities"/>
    <w:basedOn w:val="Normal"/>
    <w:next w:val="Normal"/>
    <w:uiPriority w:val="99"/>
    <w:semiHidden/>
    <w:rsid w:val="00EF37C1"/>
    <w:pPr>
      <w:spacing w:after="0" w:line="240" w:lineRule="auto"/>
      <w:ind w:left="240" w:hanging="240"/>
    </w:pPr>
    <w:rPr>
      <w:rFonts w:eastAsia="Calibri"/>
      <w:sz w:val="24"/>
      <w:szCs w:val="24"/>
      <w:lang w:val="en-US"/>
    </w:rPr>
  </w:style>
  <w:style w:type="paragraph" w:styleId="Tabladeilustraciones">
    <w:name w:val="table of figures"/>
    <w:basedOn w:val="Normal"/>
    <w:next w:val="Normal"/>
    <w:uiPriority w:val="99"/>
    <w:semiHidden/>
    <w:rsid w:val="00EF37C1"/>
    <w:pPr>
      <w:spacing w:after="0" w:line="240" w:lineRule="auto"/>
      <w:ind w:left="480" w:hanging="480"/>
    </w:pPr>
    <w:rPr>
      <w:rFonts w:eastAsia="Calibri"/>
      <w:sz w:val="24"/>
      <w:szCs w:val="24"/>
      <w:lang w:val="en-US"/>
    </w:rPr>
  </w:style>
  <w:style w:type="paragraph" w:customStyle="1" w:styleId="BalloonText1">
    <w:name w:val="Balloon Text1"/>
    <w:basedOn w:val="Normal"/>
    <w:uiPriority w:val="99"/>
    <w:semiHidden/>
    <w:rsid w:val="00EF37C1"/>
    <w:pPr>
      <w:spacing w:after="0" w:line="240" w:lineRule="auto"/>
      <w:jc w:val="both"/>
    </w:pPr>
    <w:rPr>
      <w:rFonts w:ascii="Tahoma" w:eastAsia="Calibri" w:hAnsi="Tahoma" w:cs="Tahoma"/>
      <w:sz w:val="16"/>
      <w:szCs w:val="16"/>
      <w:lang w:val="es-ES_tradnl" w:eastAsia="es-ES"/>
    </w:rPr>
  </w:style>
  <w:style w:type="paragraph" w:customStyle="1" w:styleId="CharCharCarCarCharCharCarCarCharCharCarCarCharCharCarCarCharCharCarCar">
    <w:name w:val="Char Char Car Car Char Char Car Car Char Char Car Car Char Char Car Car Char Char Car Car"/>
    <w:basedOn w:val="Normal"/>
    <w:uiPriority w:val="99"/>
    <w:rsid w:val="00EF37C1"/>
    <w:pPr>
      <w:spacing w:after="160" w:line="240" w:lineRule="exact"/>
    </w:pPr>
    <w:rPr>
      <w:rFonts w:ascii="Verdana" w:eastAsia="Calibri" w:hAnsi="Verdana" w:cs="Verdana"/>
      <w:sz w:val="20"/>
      <w:szCs w:val="20"/>
      <w:lang w:val="es-ES_tradnl"/>
    </w:rPr>
  </w:style>
  <w:style w:type="paragraph" w:customStyle="1" w:styleId="EstiloTtulo2Negrita">
    <w:name w:val="Estilo Título 2 + Negrita"/>
    <w:basedOn w:val="Ttulo2"/>
    <w:link w:val="EstiloTtulo2NegritaCar"/>
    <w:uiPriority w:val="99"/>
    <w:rsid w:val="00EF37C1"/>
    <w:pPr>
      <w:tabs>
        <w:tab w:val="clear" w:pos="720"/>
      </w:tabs>
    </w:pPr>
    <w:rPr>
      <w:rFonts w:ascii="Verdana" w:hAnsi="Verdana" w:cs="Verdana"/>
      <w:b w:val="0"/>
      <w:bCs w:val="0"/>
      <w:kern w:val="28"/>
      <w:sz w:val="32"/>
      <w:szCs w:val="32"/>
      <w:lang w:val="en-US"/>
    </w:rPr>
  </w:style>
  <w:style w:type="paragraph" w:customStyle="1" w:styleId="CharChar1CarCarCharCharCarCharCharCarCarCharCharCarCarCarCharCharCarCharCharCarCarCharCharCarCarCharCharCarCharCharCarCharCharCarCharChar">
    <w:name w:val="Char Char1 Car Car Char Char Car Char Char Car Car Char Char Car Car Car Char Char Car Char Char Car Car Char Char Car Car Char Char Car Char Char Car Char Char Car Char Char"/>
    <w:basedOn w:val="Normal"/>
    <w:uiPriority w:val="99"/>
    <w:rsid w:val="00EF37C1"/>
    <w:pPr>
      <w:spacing w:after="160" w:line="240" w:lineRule="exact"/>
    </w:pPr>
    <w:rPr>
      <w:rFonts w:ascii="Verdana" w:eastAsia="Calibri" w:hAnsi="Verdana" w:cs="Verdana"/>
      <w:sz w:val="20"/>
      <w:szCs w:val="20"/>
      <w:lang w:val="es-ES_tradnl"/>
    </w:rPr>
  </w:style>
  <w:style w:type="character" w:customStyle="1" w:styleId="EstiloTtulo2NegritaCar">
    <w:name w:val="Estilo Título 2 + Negrita Car"/>
    <w:link w:val="EstiloTtulo2Negrita"/>
    <w:uiPriority w:val="99"/>
    <w:locked/>
    <w:rsid w:val="00EF37C1"/>
    <w:rPr>
      <w:rFonts w:ascii="Verdana" w:hAnsi="Verdana" w:cs="Verdana"/>
      <w:kern w:val="28"/>
      <w:sz w:val="32"/>
      <w:szCs w:val="32"/>
      <w:lang w:val="en-US" w:eastAsia="es-ES"/>
    </w:rPr>
  </w:style>
  <w:style w:type="paragraph" w:customStyle="1" w:styleId="EstiloVerdanaNegritaJustificado">
    <w:name w:val="Estilo Verdana Negrita Justificado"/>
    <w:basedOn w:val="Normal"/>
    <w:uiPriority w:val="99"/>
    <w:rsid w:val="00EF37C1"/>
    <w:pPr>
      <w:suppressAutoHyphens/>
      <w:spacing w:after="0" w:line="240" w:lineRule="auto"/>
      <w:jc w:val="both"/>
    </w:pPr>
    <w:rPr>
      <w:rFonts w:ascii="Verdana" w:eastAsia="Calibri" w:hAnsi="Verdana" w:cs="Verdana"/>
      <w:b/>
      <w:bCs/>
      <w:spacing w:val="-3"/>
      <w:lang w:val="en-US"/>
    </w:rPr>
  </w:style>
  <w:style w:type="paragraph" w:customStyle="1" w:styleId="EstiloVerdanaJustificadoDerecha003cm">
    <w:name w:val="Estilo Verdana Justificado Derecha:  0.03 cm"/>
    <w:basedOn w:val="Normal"/>
    <w:uiPriority w:val="99"/>
    <w:rsid w:val="00EF37C1"/>
    <w:pPr>
      <w:suppressAutoHyphens/>
      <w:spacing w:after="0" w:line="240" w:lineRule="auto"/>
      <w:ind w:right="18"/>
      <w:jc w:val="both"/>
    </w:pPr>
    <w:rPr>
      <w:rFonts w:ascii="Verdana" w:eastAsia="Calibri" w:hAnsi="Verdana" w:cs="Verdana"/>
      <w:spacing w:val="-3"/>
      <w:lang w:val="en-US"/>
    </w:rPr>
  </w:style>
  <w:style w:type="paragraph" w:customStyle="1" w:styleId="EstiloVerdanaJustificadoIzquierda19cm">
    <w:name w:val="Estilo Verdana Justificado Izquierda:  1.9 cm"/>
    <w:basedOn w:val="Normal"/>
    <w:uiPriority w:val="99"/>
    <w:rsid w:val="00EF37C1"/>
    <w:pPr>
      <w:suppressAutoHyphens/>
      <w:spacing w:after="0" w:line="240" w:lineRule="auto"/>
      <w:ind w:left="1080"/>
      <w:jc w:val="both"/>
    </w:pPr>
    <w:rPr>
      <w:rFonts w:ascii="Verdana" w:eastAsia="Calibri" w:hAnsi="Verdana" w:cs="Verdana"/>
      <w:lang w:val="en-US"/>
    </w:rPr>
  </w:style>
  <w:style w:type="paragraph" w:customStyle="1" w:styleId="EstiloTtulo211pt">
    <w:name w:val="Estilo Título 2 + 11 pt"/>
    <w:basedOn w:val="Ttulo2"/>
    <w:link w:val="EstiloTtulo211ptCar"/>
    <w:uiPriority w:val="99"/>
    <w:rsid w:val="00EF37C1"/>
    <w:pPr>
      <w:numPr>
        <w:ilvl w:val="1"/>
        <w:numId w:val="35"/>
      </w:numPr>
      <w:tabs>
        <w:tab w:val="clear" w:pos="720"/>
      </w:tabs>
    </w:pPr>
    <w:rPr>
      <w:rFonts w:ascii="Verdana" w:hAnsi="Verdana" w:cs="Verdana"/>
      <w:kern w:val="28"/>
      <w:sz w:val="26"/>
      <w:szCs w:val="26"/>
      <w:lang w:val="en-US"/>
    </w:rPr>
  </w:style>
  <w:style w:type="character" w:customStyle="1" w:styleId="EstiloTtulo211ptCar">
    <w:name w:val="Estilo Título 2 + 11 pt Car"/>
    <w:link w:val="EstiloTtulo211pt"/>
    <w:uiPriority w:val="99"/>
    <w:locked/>
    <w:rsid w:val="00EF37C1"/>
    <w:rPr>
      <w:rFonts w:ascii="Verdana" w:hAnsi="Verdana" w:cs="Verdana"/>
      <w:b/>
      <w:bCs/>
      <w:kern w:val="28"/>
      <w:sz w:val="26"/>
      <w:szCs w:val="26"/>
      <w:lang w:val="en-US" w:eastAsia="es-ES"/>
    </w:rPr>
  </w:style>
  <w:style w:type="paragraph" w:customStyle="1" w:styleId="CarCar4CharCharCarCarCharChar">
    <w:name w:val="Car Car4 Char Char Car Car Char Char"/>
    <w:basedOn w:val="Normal"/>
    <w:next w:val="Normal"/>
    <w:uiPriority w:val="99"/>
    <w:rsid w:val="00EF37C1"/>
    <w:pPr>
      <w:tabs>
        <w:tab w:val="num" w:pos="432"/>
      </w:tabs>
      <w:spacing w:after="0" w:line="240" w:lineRule="auto"/>
      <w:ind w:left="432" w:hanging="432"/>
      <w:jc w:val="both"/>
    </w:pPr>
    <w:rPr>
      <w:rFonts w:ascii="Times New Roman Negrita" w:eastAsia="Calibri" w:hAnsi="Times New Roman Negrita" w:cs="Times New Roman Negrita"/>
      <w:b/>
      <w:bCs/>
      <w:sz w:val="28"/>
      <w:szCs w:val="28"/>
      <w:lang w:val="es-ES_tradnl"/>
    </w:rPr>
  </w:style>
  <w:style w:type="table" w:customStyle="1" w:styleId="Listaclara-nfasis11">
    <w:name w:val="Lista clara - Énfasis 11"/>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M39">
    <w:name w:val="CM39"/>
    <w:basedOn w:val="Default"/>
    <w:next w:val="Default"/>
    <w:uiPriority w:val="99"/>
    <w:rsid w:val="00EF37C1"/>
    <w:pPr>
      <w:widowControl w:val="0"/>
    </w:pPr>
    <w:rPr>
      <w:rFonts w:ascii="Verdana" w:eastAsia="Calibri" w:hAnsi="Verdana" w:cs="Verdana"/>
      <w:color w:val="auto"/>
      <w:lang w:val="en-US"/>
    </w:rPr>
  </w:style>
  <w:style w:type="paragraph" w:customStyle="1" w:styleId="CM8">
    <w:name w:val="CM8"/>
    <w:basedOn w:val="Default"/>
    <w:next w:val="Default"/>
    <w:uiPriority w:val="99"/>
    <w:rsid w:val="00EF37C1"/>
    <w:pPr>
      <w:widowControl w:val="0"/>
      <w:spacing w:line="276" w:lineRule="atLeast"/>
    </w:pPr>
    <w:rPr>
      <w:rFonts w:ascii="Verdana" w:eastAsia="Calibri" w:hAnsi="Verdana" w:cs="Verdana"/>
      <w:color w:val="auto"/>
      <w:lang w:val="en-US"/>
    </w:rPr>
  </w:style>
  <w:style w:type="paragraph" w:customStyle="1" w:styleId="CM45">
    <w:name w:val="CM45"/>
    <w:basedOn w:val="Default"/>
    <w:next w:val="Default"/>
    <w:uiPriority w:val="99"/>
    <w:rsid w:val="00EF37C1"/>
    <w:pPr>
      <w:widowControl w:val="0"/>
    </w:pPr>
    <w:rPr>
      <w:rFonts w:ascii="Verdana" w:eastAsia="Calibri" w:hAnsi="Verdana" w:cs="Verdana"/>
      <w:color w:val="auto"/>
      <w:lang w:val="en-US"/>
    </w:rPr>
  </w:style>
  <w:style w:type="paragraph" w:customStyle="1" w:styleId="CM5">
    <w:name w:val="CM5"/>
    <w:basedOn w:val="Default"/>
    <w:next w:val="Default"/>
    <w:uiPriority w:val="99"/>
    <w:rsid w:val="00EF37C1"/>
    <w:pPr>
      <w:widowControl w:val="0"/>
    </w:pPr>
    <w:rPr>
      <w:rFonts w:ascii="Arial" w:eastAsia="Calibri" w:hAnsi="Arial" w:cs="Arial"/>
      <w:color w:val="auto"/>
      <w:lang w:val="en-US"/>
    </w:rPr>
  </w:style>
  <w:style w:type="paragraph" w:customStyle="1" w:styleId="CM6">
    <w:name w:val="CM6"/>
    <w:basedOn w:val="Default"/>
    <w:next w:val="Default"/>
    <w:uiPriority w:val="99"/>
    <w:rsid w:val="00EF37C1"/>
    <w:pPr>
      <w:widowControl w:val="0"/>
    </w:pPr>
    <w:rPr>
      <w:rFonts w:ascii="Arial" w:eastAsia="Calibri" w:hAnsi="Arial" w:cs="Arial"/>
      <w:color w:val="auto"/>
      <w:lang w:val="en-US"/>
    </w:rPr>
  </w:style>
  <w:style w:type="paragraph" w:customStyle="1" w:styleId="CM1">
    <w:name w:val="CM1"/>
    <w:basedOn w:val="Default"/>
    <w:next w:val="Default"/>
    <w:uiPriority w:val="99"/>
    <w:rsid w:val="00EF37C1"/>
    <w:pPr>
      <w:widowControl w:val="0"/>
      <w:spacing w:line="231" w:lineRule="atLeast"/>
    </w:pPr>
    <w:rPr>
      <w:rFonts w:ascii="Arial" w:eastAsia="Calibri" w:hAnsi="Arial" w:cs="Arial"/>
      <w:color w:val="auto"/>
      <w:lang w:val="en-US"/>
    </w:rPr>
  </w:style>
  <w:style w:type="paragraph" w:customStyle="1" w:styleId="CM7">
    <w:name w:val="CM7"/>
    <w:basedOn w:val="Default"/>
    <w:next w:val="Default"/>
    <w:uiPriority w:val="99"/>
    <w:rsid w:val="00EF37C1"/>
    <w:pPr>
      <w:widowControl w:val="0"/>
    </w:pPr>
    <w:rPr>
      <w:rFonts w:ascii="Arial" w:eastAsia="Calibri" w:hAnsi="Arial" w:cs="Arial"/>
      <w:color w:val="auto"/>
      <w:lang w:val="en-US"/>
    </w:rPr>
  </w:style>
  <w:style w:type="table" w:customStyle="1" w:styleId="Listaclara-nfasis12">
    <w:name w:val="Lista clara - Énfasis 12"/>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Nmerodelnea">
    <w:name w:val="line number"/>
    <w:basedOn w:val="Fuentedeprrafopredeter"/>
    <w:uiPriority w:val="99"/>
    <w:rsid w:val="00EF37C1"/>
  </w:style>
  <w:style w:type="paragraph" w:customStyle="1" w:styleId="EstiloEpgrafeAzulclaroAntes0ptoDespus6pto">
    <w:name w:val="Estilo Epígrafe + Azul claro Antes:  0 pto Después:  6 pto"/>
    <w:basedOn w:val="Descripcin"/>
    <w:uiPriority w:val="99"/>
    <w:rsid w:val="00EF37C1"/>
    <w:pPr>
      <w:spacing w:after="80"/>
    </w:pPr>
    <w:rPr>
      <w:rFonts w:ascii="Calibri" w:hAnsi="Calibri" w:cs="Calibri"/>
      <w:color w:val="3366FF"/>
      <w:sz w:val="22"/>
      <w:szCs w:val="22"/>
    </w:rPr>
  </w:style>
  <w:style w:type="paragraph" w:customStyle="1" w:styleId="msolistparagraph0">
    <w:name w:val="msolistparagraph"/>
    <w:basedOn w:val="Normal"/>
    <w:uiPriority w:val="99"/>
    <w:rsid w:val="00EF37C1"/>
    <w:pPr>
      <w:spacing w:after="0" w:line="240" w:lineRule="auto"/>
      <w:ind w:left="720"/>
    </w:pPr>
    <w:rPr>
      <w:rFonts w:eastAsia="Calibri"/>
      <w:lang w:eastAsia="es-ES"/>
    </w:rPr>
  </w:style>
  <w:style w:type="table" w:customStyle="1" w:styleId="Listaclara-nfasis13">
    <w:name w:val="List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aclara-nfasis14">
    <w:name w:val="Lista clara - Énfasis 14"/>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1-Accent11">
    <w:name w:val="Medium Grid 1 - Accent 11"/>
    <w:uiPriority w:val="99"/>
    <w:rsid w:val="00EF37C1"/>
    <w:rPr>
      <w:rFonts w:eastAsia="Times New Roman" w:cs="Calibri"/>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paragraph" w:customStyle="1" w:styleId="EstiloEpgrafeAzulclaro">
    <w:name w:val="Estilo Epígrafe + Azul claro"/>
    <w:basedOn w:val="Descripcin"/>
    <w:link w:val="EstiloEpgrafeAzulclaroCar"/>
    <w:uiPriority w:val="99"/>
    <w:rsid w:val="00EF37C1"/>
    <w:pPr>
      <w:spacing w:before="240" w:after="80"/>
    </w:pPr>
    <w:rPr>
      <w:rFonts w:ascii="Calibri" w:hAnsi="Calibri" w:cs="Calibri"/>
      <w:color w:val="3366FF"/>
      <w:sz w:val="22"/>
      <w:szCs w:val="22"/>
    </w:rPr>
  </w:style>
  <w:style w:type="character" w:customStyle="1" w:styleId="EstiloEpgrafeAzulclaroCar">
    <w:name w:val="Estilo Epígrafe + Azul claro Car"/>
    <w:basedOn w:val="DescripcinCar"/>
    <w:link w:val="EstiloEpgrafeAzulclaro"/>
    <w:uiPriority w:val="99"/>
    <w:locked/>
    <w:rsid w:val="00EF37C1"/>
    <w:rPr>
      <w:rFonts w:ascii="Calibri" w:hAnsi="Calibri" w:cs="Calibri"/>
      <w:b/>
      <w:bCs/>
      <w:color w:val="3366FF"/>
      <w:sz w:val="20"/>
      <w:szCs w:val="20"/>
      <w:lang w:eastAsia="es-ES"/>
    </w:rPr>
  </w:style>
  <w:style w:type="paragraph" w:customStyle="1" w:styleId="EstiloTtulo1Calibri14ptAzulclaroMaysculasDespus">
    <w:name w:val="Estilo Título 1 + Calibri 14 pt Azul claro Mayúsculas Después:  ..."/>
    <w:basedOn w:val="Ttulo1"/>
    <w:uiPriority w:val="99"/>
    <w:rsid w:val="00EF37C1"/>
    <w:pPr>
      <w:keepLines w:val="0"/>
      <w:numPr>
        <w:numId w:val="38"/>
      </w:numPr>
      <w:spacing w:before="240" w:after="240" w:line="240" w:lineRule="auto"/>
    </w:pPr>
    <w:rPr>
      <w:caps/>
      <w:color w:val="3366FF"/>
      <w:kern w:val="32"/>
      <w:lang w:val="es-ES" w:eastAsia="es-ES"/>
    </w:rPr>
  </w:style>
  <w:style w:type="paragraph" w:customStyle="1" w:styleId="EstiloTtulo214ptAzulclaro">
    <w:name w:val="Estilo Título 2 + 14 pt Azul claro"/>
    <w:basedOn w:val="Ttulo2"/>
    <w:uiPriority w:val="99"/>
    <w:rsid w:val="00EF37C1"/>
    <w:pPr>
      <w:numPr>
        <w:ilvl w:val="1"/>
      </w:numPr>
      <w:tabs>
        <w:tab w:val="num" w:pos="720"/>
      </w:tabs>
      <w:spacing w:after="240"/>
      <w:ind w:left="720" w:hanging="720"/>
    </w:pPr>
    <w:rPr>
      <w:rFonts w:ascii="Calibri" w:hAnsi="Calibri" w:cs="Calibri"/>
      <w:color w:val="3366FF"/>
      <w:sz w:val="28"/>
      <w:szCs w:val="28"/>
      <w:lang w:val="es-ES"/>
    </w:rPr>
  </w:style>
  <w:style w:type="paragraph" w:customStyle="1" w:styleId="EstiloListaconnmerosIzquierda022cmSangrafrancesa0">
    <w:name w:val="Estilo Lista con números + Izquierda:  022 cm Sangría francesa:  0..."/>
    <w:basedOn w:val="Listaconnmeros"/>
    <w:uiPriority w:val="99"/>
    <w:rsid w:val="00EF37C1"/>
    <w:pPr>
      <w:numPr>
        <w:numId w:val="39"/>
      </w:numPr>
      <w:tabs>
        <w:tab w:val="left" w:pos="533"/>
        <w:tab w:val="num" w:pos="1492"/>
      </w:tabs>
      <w:spacing w:after="120"/>
    </w:pPr>
    <w:rPr>
      <w:lang w:val="es-ES" w:eastAsia="es-ES"/>
    </w:rPr>
  </w:style>
  <w:style w:type="paragraph" w:customStyle="1" w:styleId="xl63">
    <w:name w:val="xl63"/>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64">
    <w:name w:val="xl64"/>
    <w:basedOn w:val="Normal"/>
    <w:uiPriority w:val="99"/>
    <w:rsid w:val="00EF37C1"/>
    <w:pPr>
      <w:pBdr>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65">
    <w:name w:val="xl65"/>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pPr>
    <w:rPr>
      <w:rFonts w:eastAsia="Calibri"/>
      <w:sz w:val="20"/>
      <w:szCs w:val="20"/>
      <w:lang w:eastAsia="es-ES"/>
    </w:rPr>
  </w:style>
  <w:style w:type="paragraph" w:customStyle="1" w:styleId="xl68">
    <w:name w:val="xl6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72">
    <w:name w:val="xl72"/>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3">
    <w:name w:val="xl73"/>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4">
    <w:name w:val="xl74"/>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5">
    <w:name w:val="xl7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76">
    <w:name w:val="xl76"/>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7">
    <w:name w:val="xl77"/>
    <w:basedOn w:val="Normal"/>
    <w:uiPriority w:val="99"/>
    <w:rsid w:val="00EF37C1"/>
    <w:pPr>
      <w:pBdr>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78">
    <w:name w:val="xl78"/>
    <w:basedOn w:val="Normal"/>
    <w:uiPriority w:val="99"/>
    <w:rsid w:val="00EF37C1"/>
    <w:pPr>
      <w:pBdr>
        <w:right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79">
    <w:name w:val="xl79"/>
    <w:basedOn w:val="Normal"/>
    <w:uiPriority w:val="99"/>
    <w:rsid w:val="00EF37C1"/>
    <w:pPr>
      <w:pBdr>
        <w:top w:val="single" w:sz="8" w:space="0" w:color="808080"/>
        <w:bottom w:val="single" w:sz="8" w:space="0" w:color="808080"/>
        <w:right w:val="dotted" w:sz="4" w:space="0" w:color="auto"/>
      </w:pBdr>
      <w:spacing w:before="100" w:beforeAutospacing="1" w:after="100" w:afterAutospacing="1" w:line="240" w:lineRule="auto"/>
      <w:jc w:val="center"/>
    </w:pPr>
    <w:rPr>
      <w:rFonts w:eastAsia="Calibri"/>
      <w:sz w:val="20"/>
      <w:szCs w:val="20"/>
      <w:lang w:eastAsia="es-ES"/>
    </w:rPr>
  </w:style>
  <w:style w:type="paragraph" w:customStyle="1" w:styleId="xl80">
    <w:name w:val="xl80"/>
    <w:basedOn w:val="Normal"/>
    <w:uiPriority w:val="99"/>
    <w:rsid w:val="00EF37C1"/>
    <w:pPr>
      <w:pBdr>
        <w:top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81">
    <w:name w:val="xl81"/>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2">
    <w:name w:val="xl82"/>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3">
    <w:name w:val="xl83"/>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4">
    <w:name w:val="xl84"/>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5">
    <w:name w:val="xl85"/>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right"/>
    </w:pPr>
    <w:rPr>
      <w:rFonts w:eastAsia="Calibri"/>
      <w:sz w:val="20"/>
      <w:szCs w:val="20"/>
      <w:lang w:eastAsia="es-ES"/>
    </w:rPr>
  </w:style>
  <w:style w:type="paragraph" w:customStyle="1" w:styleId="xl86">
    <w:name w:val="xl86"/>
    <w:basedOn w:val="Normal"/>
    <w:uiPriority w:val="99"/>
    <w:rsid w:val="00EF37C1"/>
    <w:pPr>
      <w:pBdr>
        <w:top w:val="single" w:sz="8" w:space="0" w:color="808080"/>
        <w:left w:val="single" w:sz="8" w:space="0" w:color="808080"/>
        <w:bottom w:val="single" w:sz="8" w:space="0" w:color="808080"/>
        <w:right w:val="single" w:sz="8" w:space="0" w:color="808080"/>
      </w:pBdr>
      <w:shd w:val="clear" w:color="000000" w:fill="F3F3F3"/>
      <w:spacing w:before="100" w:beforeAutospacing="1" w:after="100" w:afterAutospacing="1" w:line="240" w:lineRule="auto"/>
    </w:pPr>
    <w:rPr>
      <w:rFonts w:eastAsia="Calibri"/>
      <w:sz w:val="20"/>
      <w:szCs w:val="20"/>
      <w:lang w:eastAsia="es-ES"/>
    </w:rPr>
  </w:style>
  <w:style w:type="paragraph" w:customStyle="1" w:styleId="xl87">
    <w:name w:val="xl87"/>
    <w:basedOn w:val="Normal"/>
    <w:uiPriority w:val="99"/>
    <w:rsid w:val="00EF37C1"/>
    <w:pPr>
      <w:pBdr>
        <w:top w:val="single" w:sz="8" w:space="0" w:color="808080"/>
        <w:bottom w:val="single" w:sz="8" w:space="0" w:color="808080"/>
        <w:right w:val="dotted" w:sz="4" w:space="0" w:color="auto"/>
      </w:pBdr>
      <w:shd w:val="clear" w:color="000000" w:fill="D9D9D9"/>
      <w:spacing w:before="100" w:beforeAutospacing="1" w:after="100" w:afterAutospacing="1" w:line="240" w:lineRule="auto"/>
      <w:jc w:val="right"/>
    </w:pPr>
    <w:rPr>
      <w:rFonts w:eastAsia="Calibri"/>
      <w:sz w:val="20"/>
      <w:szCs w:val="20"/>
      <w:lang w:eastAsia="es-ES"/>
    </w:rPr>
  </w:style>
  <w:style w:type="paragraph" w:customStyle="1" w:styleId="xl88">
    <w:name w:val="xl88"/>
    <w:basedOn w:val="Normal"/>
    <w:uiPriority w:val="99"/>
    <w:rsid w:val="00EF37C1"/>
    <w:pPr>
      <w:pBdr>
        <w:top w:val="single" w:sz="8" w:space="0" w:color="808080"/>
        <w:bottom w:val="single" w:sz="8" w:space="0" w:color="808080"/>
        <w:right w:val="dotted" w:sz="4" w:space="0" w:color="auto"/>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89">
    <w:name w:val="xl89"/>
    <w:basedOn w:val="Normal"/>
    <w:uiPriority w:val="99"/>
    <w:rsid w:val="00EF37C1"/>
    <w:pPr>
      <w:pBdr>
        <w:top w:val="single" w:sz="8" w:space="0" w:color="808080"/>
        <w:left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0">
    <w:name w:val="xl90"/>
    <w:basedOn w:val="Normal"/>
    <w:uiPriority w:val="99"/>
    <w:rsid w:val="00EF37C1"/>
    <w:pPr>
      <w:pBdr>
        <w:top w:val="single" w:sz="8" w:space="0" w:color="808080"/>
        <w:bottom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1">
    <w:name w:val="xl91"/>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b/>
      <w:bCs/>
      <w:color w:val="3366FF"/>
      <w:sz w:val="20"/>
      <w:szCs w:val="20"/>
      <w:lang w:eastAsia="es-ES"/>
    </w:rPr>
  </w:style>
  <w:style w:type="paragraph" w:customStyle="1" w:styleId="xl92">
    <w:name w:val="xl92"/>
    <w:basedOn w:val="Normal"/>
    <w:uiPriority w:val="99"/>
    <w:rsid w:val="00EF37C1"/>
    <w:pPr>
      <w:pBdr>
        <w:top w:val="single" w:sz="8" w:space="0" w:color="808080"/>
        <w:lef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3">
    <w:name w:val="xl93"/>
    <w:basedOn w:val="Normal"/>
    <w:uiPriority w:val="99"/>
    <w:rsid w:val="00EF37C1"/>
    <w:pPr>
      <w:pBdr>
        <w:top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4">
    <w:name w:val="xl94"/>
    <w:basedOn w:val="Normal"/>
    <w:uiPriority w:val="99"/>
    <w:rsid w:val="00EF37C1"/>
    <w:pPr>
      <w:pBdr>
        <w:left w:val="dotted" w:sz="4" w:space="0" w:color="auto"/>
        <w:bottom w:val="single" w:sz="8" w:space="0" w:color="808080"/>
      </w:pBdr>
      <w:spacing w:before="100" w:beforeAutospacing="1" w:after="100" w:afterAutospacing="1" w:line="240" w:lineRule="auto"/>
      <w:jc w:val="right"/>
    </w:pPr>
    <w:rPr>
      <w:rFonts w:eastAsia="Calibri"/>
      <w:sz w:val="20"/>
      <w:szCs w:val="20"/>
      <w:lang w:eastAsia="es-ES"/>
    </w:rPr>
  </w:style>
  <w:style w:type="paragraph" w:customStyle="1" w:styleId="xl95">
    <w:name w:val="xl95"/>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sz w:val="20"/>
      <w:szCs w:val="20"/>
      <w:lang w:eastAsia="es-ES"/>
    </w:rPr>
  </w:style>
  <w:style w:type="paragraph" w:customStyle="1" w:styleId="xl96">
    <w:name w:val="xl96"/>
    <w:basedOn w:val="Normal"/>
    <w:uiPriority w:val="99"/>
    <w:rsid w:val="00EF37C1"/>
    <w:pPr>
      <w:pBdr>
        <w:top w:val="single" w:sz="8" w:space="0" w:color="808080"/>
        <w:bottom w:val="single" w:sz="8" w:space="0" w:color="808080"/>
        <w:right w:val="single" w:sz="8" w:space="0" w:color="808080"/>
      </w:pBdr>
      <w:shd w:val="clear" w:color="000000" w:fill="F3F3F3"/>
      <w:spacing w:before="100" w:beforeAutospacing="1" w:after="100" w:afterAutospacing="1" w:line="240" w:lineRule="auto"/>
      <w:jc w:val="center"/>
    </w:pPr>
    <w:rPr>
      <w:rFonts w:eastAsia="Calibri"/>
      <w:sz w:val="20"/>
      <w:szCs w:val="20"/>
      <w:lang w:eastAsia="es-ES"/>
    </w:rPr>
  </w:style>
  <w:style w:type="paragraph" w:customStyle="1" w:styleId="xl97">
    <w:name w:val="xl97"/>
    <w:basedOn w:val="Normal"/>
    <w:uiPriority w:val="99"/>
    <w:rsid w:val="00EF37C1"/>
    <w:pPr>
      <w:pBdr>
        <w:bottom w:val="single" w:sz="8" w:space="0" w:color="808080"/>
        <w:right w:val="dotted" w:sz="4" w:space="0" w:color="auto"/>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8">
    <w:name w:val="xl98"/>
    <w:basedOn w:val="Normal"/>
    <w:uiPriority w:val="99"/>
    <w:rsid w:val="00EF37C1"/>
    <w:pPr>
      <w:pBdr>
        <w:bottom w:val="single" w:sz="8" w:space="0" w:color="808080"/>
        <w:right w:val="single" w:sz="8" w:space="0" w:color="808080"/>
      </w:pBdr>
      <w:shd w:val="clear" w:color="000000" w:fill="F3F3F3"/>
      <w:spacing w:before="100" w:beforeAutospacing="1" w:after="100" w:afterAutospacing="1" w:line="240" w:lineRule="auto"/>
      <w:jc w:val="center"/>
    </w:pPr>
    <w:rPr>
      <w:rFonts w:eastAsia="Calibri"/>
      <w:i/>
      <w:iCs/>
      <w:sz w:val="20"/>
      <w:szCs w:val="20"/>
      <w:lang w:eastAsia="es-ES"/>
    </w:rPr>
  </w:style>
  <w:style w:type="paragraph" w:customStyle="1" w:styleId="xl99">
    <w:name w:val="xl99"/>
    <w:basedOn w:val="Normal"/>
    <w:uiPriority w:val="99"/>
    <w:rsid w:val="00EF37C1"/>
    <w:pPr>
      <w:pBdr>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0">
    <w:name w:val="xl100"/>
    <w:basedOn w:val="Normal"/>
    <w:uiPriority w:val="99"/>
    <w:rsid w:val="00EF37C1"/>
    <w:pPr>
      <w:pBdr>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01">
    <w:name w:val="xl101"/>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02">
    <w:name w:val="xl102"/>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3">
    <w:name w:val="xl103"/>
    <w:basedOn w:val="Normal"/>
    <w:uiPriority w:val="99"/>
    <w:rsid w:val="00EF37C1"/>
    <w:pPr>
      <w:pBdr>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4">
    <w:name w:val="xl104"/>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05">
    <w:name w:val="xl105"/>
    <w:basedOn w:val="Normal"/>
    <w:uiPriority w:val="99"/>
    <w:rsid w:val="00EF37C1"/>
    <w:pPr>
      <w:pBdr>
        <w:left w:val="single" w:sz="8" w:space="0" w:color="808080"/>
        <w:bottom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6">
    <w:name w:val="xl106"/>
    <w:basedOn w:val="Normal"/>
    <w:uiPriority w:val="99"/>
    <w:rsid w:val="00EF37C1"/>
    <w:pPr>
      <w:pBdr>
        <w:bottom w:val="single" w:sz="8" w:space="0" w:color="808080"/>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paragraph" w:customStyle="1" w:styleId="xl107">
    <w:name w:val="xl107"/>
    <w:basedOn w:val="Normal"/>
    <w:uiPriority w:val="99"/>
    <w:rsid w:val="00EF37C1"/>
    <w:pPr>
      <w:pBdr>
        <w:left w:val="single" w:sz="8" w:space="0" w:color="808080"/>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8">
    <w:name w:val="xl108"/>
    <w:basedOn w:val="Normal"/>
    <w:uiPriority w:val="99"/>
    <w:rsid w:val="00EF37C1"/>
    <w:pPr>
      <w:pBdr>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09">
    <w:name w:val="xl109"/>
    <w:basedOn w:val="Normal"/>
    <w:uiPriority w:val="99"/>
    <w:rsid w:val="00EF37C1"/>
    <w:pPr>
      <w:pBdr>
        <w:top w:val="single" w:sz="8" w:space="0" w:color="808080"/>
        <w:left w:val="single" w:sz="8" w:space="0" w:color="808080"/>
        <w:bottom w:val="single" w:sz="8" w:space="0" w:color="808080"/>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0">
    <w:name w:val="xl110"/>
    <w:basedOn w:val="Normal"/>
    <w:uiPriority w:val="99"/>
    <w:rsid w:val="00EF37C1"/>
    <w:pPr>
      <w:pBdr>
        <w:bottom w:val="single" w:sz="8" w:space="0" w:color="808080"/>
        <w:right w:val="dotted" w:sz="4" w:space="0" w:color="auto"/>
      </w:pBdr>
      <w:spacing w:before="100" w:beforeAutospacing="1" w:after="100" w:afterAutospacing="1" w:line="240" w:lineRule="auto"/>
      <w:jc w:val="center"/>
    </w:pPr>
    <w:rPr>
      <w:rFonts w:eastAsia="Calibri"/>
      <w:i/>
      <w:iCs/>
      <w:sz w:val="20"/>
      <w:szCs w:val="20"/>
      <w:lang w:eastAsia="es-ES"/>
    </w:rPr>
  </w:style>
  <w:style w:type="paragraph" w:customStyle="1" w:styleId="xl111">
    <w:name w:val="xl111"/>
    <w:basedOn w:val="Normal"/>
    <w:uiPriority w:val="99"/>
    <w:rsid w:val="00EF37C1"/>
    <w:pPr>
      <w:pBdr>
        <w:bottom w:val="single" w:sz="8" w:space="0" w:color="808080"/>
        <w:right w:val="single" w:sz="8" w:space="0" w:color="808080"/>
      </w:pBdr>
      <w:spacing w:before="100" w:beforeAutospacing="1" w:after="100" w:afterAutospacing="1" w:line="240" w:lineRule="auto"/>
      <w:jc w:val="center"/>
    </w:pPr>
    <w:rPr>
      <w:rFonts w:eastAsia="Calibri"/>
      <w:i/>
      <w:iCs/>
      <w:sz w:val="20"/>
      <w:szCs w:val="20"/>
      <w:lang w:eastAsia="es-ES"/>
    </w:rPr>
  </w:style>
  <w:style w:type="paragraph" w:customStyle="1" w:styleId="xl112">
    <w:name w:val="xl112"/>
    <w:basedOn w:val="Normal"/>
    <w:uiPriority w:val="99"/>
    <w:rsid w:val="00EF37C1"/>
    <w:pPr>
      <w:pBdr>
        <w:right w:val="dotted" w:sz="4" w:space="0" w:color="auto"/>
      </w:pBdr>
      <w:spacing w:before="100" w:beforeAutospacing="1" w:after="100" w:afterAutospacing="1" w:line="240" w:lineRule="auto"/>
      <w:jc w:val="right"/>
    </w:pPr>
    <w:rPr>
      <w:rFonts w:eastAsia="Calibri"/>
      <w:color w:val="0000FF"/>
      <w:sz w:val="20"/>
      <w:szCs w:val="20"/>
      <w:lang w:eastAsia="es-ES"/>
    </w:rPr>
  </w:style>
  <w:style w:type="paragraph" w:customStyle="1" w:styleId="xl113">
    <w:name w:val="xl113"/>
    <w:basedOn w:val="Normal"/>
    <w:uiPriority w:val="99"/>
    <w:rsid w:val="00EF37C1"/>
    <w:pPr>
      <w:pBdr>
        <w:right w:val="single" w:sz="8" w:space="0" w:color="808080"/>
      </w:pBdr>
      <w:spacing w:before="100" w:beforeAutospacing="1" w:after="100" w:afterAutospacing="1" w:line="240" w:lineRule="auto"/>
      <w:jc w:val="right"/>
    </w:pPr>
    <w:rPr>
      <w:rFonts w:eastAsia="Calibri"/>
      <w:color w:val="0000FF"/>
      <w:sz w:val="20"/>
      <w:szCs w:val="20"/>
      <w:lang w:eastAsia="es-ES"/>
    </w:rPr>
  </w:style>
  <w:style w:type="paragraph" w:customStyle="1" w:styleId="xl114">
    <w:name w:val="xl114"/>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center"/>
    </w:pPr>
    <w:rPr>
      <w:rFonts w:eastAsia="Calibri"/>
      <w:sz w:val="20"/>
      <w:szCs w:val="20"/>
      <w:lang w:eastAsia="es-ES"/>
    </w:rPr>
  </w:style>
  <w:style w:type="paragraph" w:customStyle="1" w:styleId="xl115">
    <w:name w:val="xl115"/>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color w:val="0000FF"/>
      <w:sz w:val="20"/>
      <w:szCs w:val="20"/>
      <w:lang w:eastAsia="es-ES"/>
    </w:rPr>
  </w:style>
  <w:style w:type="paragraph" w:customStyle="1" w:styleId="xl116">
    <w:name w:val="xl116"/>
    <w:basedOn w:val="Normal"/>
    <w:uiPriority w:val="99"/>
    <w:rsid w:val="00EF37C1"/>
    <w:pPr>
      <w:pBdr>
        <w:bottom w:val="single" w:sz="4" w:space="0" w:color="auto"/>
        <w:right w:val="dotted" w:sz="4" w:space="0" w:color="auto"/>
      </w:pBdr>
      <w:spacing w:before="100" w:beforeAutospacing="1" w:after="100" w:afterAutospacing="1" w:line="240" w:lineRule="auto"/>
    </w:pPr>
    <w:rPr>
      <w:rFonts w:eastAsia="Calibri"/>
      <w:sz w:val="20"/>
      <w:szCs w:val="20"/>
      <w:lang w:eastAsia="es-ES"/>
    </w:rPr>
  </w:style>
  <w:style w:type="paragraph" w:customStyle="1" w:styleId="xl117">
    <w:name w:val="xl117"/>
    <w:basedOn w:val="Normal"/>
    <w:uiPriority w:val="99"/>
    <w:rsid w:val="00EF37C1"/>
    <w:pPr>
      <w:pBdr>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8">
    <w:name w:val="xl118"/>
    <w:basedOn w:val="Normal"/>
    <w:uiPriority w:val="99"/>
    <w:rsid w:val="00EF37C1"/>
    <w:pPr>
      <w:pBdr>
        <w:left w:val="single" w:sz="8" w:space="0" w:color="808080"/>
        <w:bottom w:val="single" w:sz="4" w:space="0" w:color="auto"/>
        <w:right w:val="single" w:sz="8" w:space="0" w:color="808080"/>
      </w:pBdr>
      <w:spacing w:before="100" w:beforeAutospacing="1" w:after="100" w:afterAutospacing="1" w:line="240" w:lineRule="auto"/>
      <w:jc w:val="right"/>
    </w:pPr>
    <w:rPr>
      <w:rFonts w:eastAsia="Calibri"/>
      <w:b/>
      <w:bCs/>
      <w:color w:val="0000FF"/>
      <w:sz w:val="20"/>
      <w:szCs w:val="20"/>
      <w:lang w:eastAsia="es-ES"/>
    </w:rPr>
  </w:style>
  <w:style w:type="paragraph" w:customStyle="1" w:styleId="xl119">
    <w:name w:val="xl119"/>
    <w:basedOn w:val="Normal"/>
    <w:uiPriority w:val="99"/>
    <w:rsid w:val="00EF37C1"/>
    <w:pPr>
      <w:pBdr>
        <w:bottom w:val="single" w:sz="4" w:space="0" w:color="auto"/>
        <w:right w:val="dotted" w:sz="4" w:space="0" w:color="auto"/>
      </w:pBdr>
      <w:spacing w:before="100" w:beforeAutospacing="1" w:after="100" w:afterAutospacing="1" w:line="240" w:lineRule="auto"/>
      <w:jc w:val="right"/>
    </w:pPr>
    <w:rPr>
      <w:rFonts w:eastAsia="Calibri"/>
      <w:b/>
      <w:bCs/>
      <w:color w:val="0000FF"/>
      <w:sz w:val="20"/>
      <w:szCs w:val="20"/>
      <w:lang w:eastAsia="es-ES"/>
    </w:rPr>
  </w:style>
  <w:style w:type="table" w:styleId="Tablaconlista2">
    <w:name w:val="Table List 2"/>
    <w:basedOn w:val="Tablanormal"/>
    <w:uiPriority w:val="99"/>
    <w:semiHidden/>
    <w:rsid w:val="00EF37C1"/>
    <w:pPr>
      <w:jc w:val="both"/>
    </w:pPr>
    <w:rPr>
      <w:rFonts w:eastAsia="Times New Roman" w:cs="Calibri"/>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stilo3">
    <w:name w:val="Estilo3"/>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4">
    <w:name w:val="Estilo4"/>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5">
    <w:name w:val="Estilo5"/>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5">
    <w:name w:val="Lista clara - Énfasis 15"/>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uadrculaclara-nfasis13">
    <w:name w:val="Cuadrícula clara - Énfasis 13"/>
    <w:uiPriority w:val="99"/>
    <w:rsid w:val="00EF37C1"/>
    <w:rPr>
      <w:rFonts w:eastAsia="Times New Roman" w:cs="Calibri"/>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Estilo6">
    <w:name w:val="Estilo6"/>
    <w:basedOn w:val="Listaclara-nfasis13"/>
    <w:uiPriority w:val="99"/>
    <w:rsid w:val="00EF37C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titulo1">
    <w:name w:val="subtitulo1"/>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paragraph" w:customStyle="1" w:styleId="texto">
    <w:name w:val="texto"/>
    <w:basedOn w:val="Normal"/>
    <w:uiPriority w:val="99"/>
    <w:rsid w:val="00EF37C1"/>
    <w:pPr>
      <w:spacing w:before="100" w:beforeAutospacing="1" w:after="100" w:afterAutospacing="1" w:line="240" w:lineRule="auto"/>
    </w:pPr>
    <w:rPr>
      <w:rFonts w:eastAsia="Calibri"/>
      <w:sz w:val="24"/>
      <w:szCs w:val="24"/>
      <w:lang w:val="es-ES_tradnl" w:eastAsia="es-ES_tradnl"/>
    </w:rPr>
  </w:style>
  <w:style w:type="table" w:customStyle="1" w:styleId="Tablaconcuadrcula1">
    <w:name w:val="Tabla con cuadrícula1"/>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EF37C1"/>
    <w:rPr>
      <w:rFonts w:eastAsia="Times New Roman" w:cs="Calibri"/>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link w:val="ListParagraphChar1"/>
    <w:uiPriority w:val="99"/>
    <w:rsid w:val="00EF37C1"/>
    <w:pPr>
      <w:ind w:left="720"/>
    </w:pPr>
    <w:rPr>
      <w:lang w:val="es-UY"/>
    </w:rPr>
  </w:style>
  <w:style w:type="character" w:customStyle="1" w:styleId="Textodelmarcadordeposicin2">
    <w:name w:val="Texto del marcador de posición2"/>
    <w:basedOn w:val="Fuentedeprrafopredeter"/>
    <w:uiPriority w:val="99"/>
    <w:semiHidden/>
    <w:rsid w:val="00EF37C1"/>
    <w:rPr>
      <w:color w:val="808080"/>
    </w:rPr>
  </w:style>
  <w:style w:type="paragraph" w:customStyle="1" w:styleId="TOC12">
    <w:name w:val="TOC 12"/>
    <w:basedOn w:val="Normal"/>
    <w:uiPriority w:val="99"/>
    <w:rsid w:val="00EF37C1"/>
    <w:pPr>
      <w:widowControl w:val="0"/>
      <w:spacing w:after="0" w:line="240" w:lineRule="auto"/>
      <w:ind w:left="720" w:hanging="720"/>
    </w:pPr>
    <w:rPr>
      <w:rFonts w:ascii="Courier New" w:eastAsia="Calibri" w:hAnsi="Courier New" w:cs="Courier New"/>
      <w:sz w:val="24"/>
      <w:szCs w:val="24"/>
      <w:lang w:val="es-UY" w:eastAsia="es-ES"/>
    </w:rPr>
  </w:style>
  <w:style w:type="character" w:customStyle="1" w:styleId="Ruta1Estilo1CarCar">
    <w:name w:val="Ruta 1 Estilo1 Car Car"/>
    <w:uiPriority w:val="99"/>
    <w:semiHidden/>
    <w:rsid w:val="00EF37C1"/>
    <w:rPr>
      <w:snapToGrid w:val="0"/>
      <w:sz w:val="24"/>
      <w:szCs w:val="24"/>
      <w:lang w:val="es-ES_tradnl" w:eastAsia="es-ES"/>
    </w:rPr>
  </w:style>
  <w:style w:type="character" w:customStyle="1" w:styleId="Ttulo5CarCar">
    <w:name w:val="Título 5 Car Car"/>
    <w:uiPriority w:val="99"/>
    <w:semiHidden/>
    <w:rsid w:val="00EF37C1"/>
    <w:rPr>
      <w:b/>
      <w:bCs/>
      <w:snapToGrid w:val="0"/>
      <w:sz w:val="24"/>
      <w:szCs w:val="24"/>
      <w:lang w:val="es-UY" w:eastAsia="es-ES"/>
    </w:rPr>
  </w:style>
  <w:style w:type="character" w:customStyle="1" w:styleId="Titulo2Car">
    <w:name w:val="Titulo 2 Car"/>
    <w:uiPriority w:val="99"/>
    <w:semiHidden/>
    <w:rsid w:val="00EF37C1"/>
    <w:rPr>
      <w:b/>
      <w:bCs/>
      <w:snapToGrid w:val="0"/>
      <w:sz w:val="32"/>
      <w:szCs w:val="32"/>
      <w:lang w:val="es-UY" w:eastAsia="es-ES"/>
    </w:rPr>
  </w:style>
  <w:style w:type="table" w:customStyle="1" w:styleId="Tablaconcuadrcula3">
    <w:name w:val="Tabla con cuadrícula3"/>
    <w:uiPriority w:val="99"/>
    <w:rsid w:val="00EF37C1"/>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uiPriority w:val="99"/>
    <w:rsid w:val="00937520"/>
    <w:pPr>
      <w:widowControl w:val="0"/>
    </w:pPr>
    <w:rPr>
      <w:rFonts w:cs="Calibri"/>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a1">
    <w:name w:val="pia1"/>
    <w:basedOn w:val="Normal"/>
    <w:link w:val="pia1Car"/>
    <w:uiPriority w:val="99"/>
    <w:rsid w:val="004D631B"/>
    <w:pPr>
      <w:keepNext/>
      <w:tabs>
        <w:tab w:val="left" w:pos="720"/>
      </w:tabs>
      <w:spacing w:before="240" w:after="60" w:line="360" w:lineRule="auto"/>
      <w:jc w:val="both"/>
      <w:outlineLvl w:val="1"/>
    </w:pPr>
    <w:rPr>
      <w:rFonts w:ascii="Arial" w:eastAsia="Calibri" w:hAnsi="Arial" w:cs="Arial"/>
      <w:b/>
      <w:bCs/>
      <w:lang w:val="es-ES_tradnl" w:eastAsia="es-ES"/>
    </w:rPr>
  </w:style>
  <w:style w:type="paragraph" w:customStyle="1" w:styleId="pia2">
    <w:name w:val="pia2"/>
    <w:basedOn w:val="Prrafodelista3"/>
    <w:link w:val="pia2Car"/>
    <w:uiPriority w:val="99"/>
    <w:rsid w:val="004D631B"/>
    <w:pPr>
      <w:keepNext/>
      <w:tabs>
        <w:tab w:val="left" w:pos="720"/>
      </w:tabs>
      <w:spacing w:before="240" w:after="60" w:line="360" w:lineRule="auto"/>
      <w:ind w:left="0"/>
      <w:jc w:val="both"/>
      <w:outlineLvl w:val="1"/>
    </w:pPr>
    <w:rPr>
      <w:rFonts w:ascii="Arial" w:eastAsia="Calibri" w:hAnsi="Arial" w:cs="Arial"/>
      <w:b/>
      <w:bCs/>
      <w:lang w:val="es-ES_tradnl" w:eastAsia="es-ES"/>
    </w:rPr>
  </w:style>
  <w:style w:type="character" w:customStyle="1" w:styleId="pia1Car">
    <w:name w:val="pia1 Car"/>
    <w:basedOn w:val="Fuentedeprrafopredeter"/>
    <w:link w:val="pia1"/>
    <w:uiPriority w:val="99"/>
    <w:locked/>
    <w:rsid w:val="004D631B"/>
    <w:rPr>
      <w:rFonts w:ascii="Arial" w:hAnsi="Arial" w:cs="Arial"/>
      <w:b/>
      <w:bCs/>
      <w:lang w:val="es-ES_tradnl" w:eastAsia="es-ES"/>
    </w:rPr>
  </w:style>
  <w:style w:type="paragraph" w:customStyle="1" w:styleId="pr11">
    <w:name w:val="pr1.1"/>
    <w:basedOn w:val="Normal"/>
    <w:link w:val="pr11Car"/>
    <w:uiPriority w:val="99"/>
    <w:rsid w:val="009D43CA"/>
  </w:style>
  <w:style w:type="character" w:customStyle="1" w:styleId="ListParagraphChar1">
    <w:name w:val="List Paragraph Char1"/>
    <w:basedOn w:val="Fuentedeprrafopredeter"/>
    <w:link w:val="Prrafodelista3"/>
    <w:uiPriority w:val="99"/>
    <w:locked/>
    <w:rsid w:val="004D631B"/>
    <w:rPr>
      <w:rFonts w:ascii="Calibri" w:hAnsi="Calibri" w:cs="Calibri"/>
      <w:lang w:val="es-UY"/>
    </w:rPr>
  </w:style>
  <w:style w:type="character" w:customStyle="1" w:styleId="pia2Car">
    <w:name w:val="pia2 Car"/>
    <w:basedOn w:val="ListParagraphChar1"/>
    <w:link w:val="pia2"/>
    <w:uiPriority w:val="99"/>
    <w:locked/>
    <w:rsid w:val="004D631B"/>
    <w:rPr>
      <w:rFonts w:ascii="Arial" w:hAnsi="Arial" w:cs="Arial"/>
      <w:b/>
      <w:bCs/>
      <w:sz w:val="22"/>
      <w:szCs w:val="22"/>
      <w:lang w:val="es-ES_tradnl"/>
    </w:rPr>
  </w:style>
  <w:style w:type="paragraph" w:customStyle="1" w:styleId="pr12">
    <w:name w:val="pr1.2"/>
    <w:basedOn w:val="pia2"/>
    <w:link w:val="pr12Car"/>
    <w:uiPriority w:val="99"/>
    <w:rsid w:val="009D43CA"/>
  </w:style>
  <w:style w:type="character" w:customStyle="1" w:styleId="pr11Car">
    <w:name w:val="pr1.1 Car"/>
    <w:basedOn w:val="Fuentedeprrafopredeter"/>
    <w:link w:val="pr11"/>
    <w:uiPriority w:val="99"/>
    <w:locked/>
    <w:rsid w:val="009D43CA"/>
  </w:style>
  <w:style w:type="paragraph" w:customStyle="1" w:styleId="pia3">
    <w:name w:val="pia3"/>
    <w:basedOn w:val="Normal"/>
    <w:link w:val="pia3Car"/>
    <w:uiPriority w:val="99"/>
    <w:rsid w:val="00B33EA3"/>
    <w:pPr>
      <w:tabs>
        <w:tab w:val="left" w:pos="284"/>
      </w:tabs>
      <w:spacing w:before="240" w:after="60" w:line="360" w:lineRule="auto"/>
      <w:jc w:val="both"/>
      <w:outlineLvl w:val="2"/>
    </w:pPr>
    <w:rPr>
      <w:rFonts w:ascii="Arial" w:eastAsia="Calibri" w:hAnsi="Arial" w:cs="Arial"/>
      <w:lang w:val="es-ES_tradnl" w:eastAsia="es-ES"/>
    </w:rPr>
  </w:style>
  <w:style w:type="character" w:customStyle="1" w:styleId="pr12Car">
    <w:name w:val="pr1.2 Car"/>
    <w:basedOn w:val="pia2Car"/>
    <w:link w:val="pr12"/>
    <w:uiPriority w:val="99"/>
    <w:locked/>
    <w:rsid w:val="009D43CA"/>
    <w:rPr>
      <w:rFonts w:ascii="Arial" w:hAnsi="Arial" w:cs="Arial"/>
      <w:b/>
      <w:bCs/>
      <w:sz w:val="22"/>
      <w:szCs w:val="22"/>
      <w:lang w:val="es-ES_tradnl"/>
    </w:rPr>
  </w:style>
  <w:style w:type="paragraph" w:customStyle="1" w:styleId="pia4">
    <w:name w:val="pia4"/>
    <w:basedOn w:val="pia3"/>
    <w:link w:val="pia4Car"/>
    <w:uiPriority w:val="99"/>
    <w:rsid w:val="00006FCB"/>
  </w:style>
  <w:style w:type="character" w:customStyle="1" w:styleId="pia3Car">
    <w:name w:val="pia3 Car"/>
    <w:basedOn w:val="Fuentedeprrafopredeter"/>
    <w:link w:val="pia3"/>
    <w:uiPriority w:val="99"/>
    <w:locked/>
    <w:rsid w:val="00B33EA3"/>
    <w:rPr>
      <w:rFonts w:ascii="Arial" w:hAnsi="Arial" w:cs="Arial"/>
      <w:sz w:val="24"/>
      <w:szCs w:val="24"/>
      <w:lang w:val="es-ES_tradnl" w:eastAsia="es-ES"/>
    </w:rPr>
  </w:style>
  <w:style w:type="character" w:customStyle="1" w:styleId="pia4Car">
    <w:name w:val="pia4 Car"/>
    <w:basedOn w:val="pia3Car"/>
    <w:link w:val="pia4"/>
    <w:uiPriority w:val="99"/>
    <w:locked/>
    <w:rsid w:val="00006FCB"/>
    <w:rPr>
      <w:rFonts w:ascii="Arial" w:hAnsi="Arial" w:cs="Arial"/>
      <w:sz w:val="24"/>
      <w:szCs w:val="24"/>
      <w:lang w:val="es-ES_tradnl" w:eastAsia="es-ES"/>
    </w:rPr>
  </w:style>
  <w:style w:type="paragraph" w:customStyle="1" w:styleId="Sinespaciado2">
    <w:name w:val="Sin espaciado2"/>
    <w:link w:val="NoSpacingChar1"/>
    <w:uiPriority w:val="99"/>
    <w:rsid w:val="00C72F7D"/>
    <w:rPr>
      <w:rFonts w:cs="Calibri"/>
      <w:lang w:val="es-ES" w:eastAsia="en-US"/>
    </w:rPr>
  </w:style>
  <w:style w:type="character" w:customStyle="1" w:styleId="NoSpacingChar1">
    <w:name w:val="No Spacing Char1"/>
    <w:basedOn w:val="Fuentedeprrafopredeter"/>
    <w:link w:val="Sinespaciado2"/>
    <w:uiPriority w:val="99"/>
    <w:locked/>
    <w:rsid w:val="00C72F7D"/>
    <w:rPr>
      <w:sz w:val="22"/>
      <w:szCs w:val="22"/>
      <w:lang w:val="es-ES" w:eastAsia="en-US"/>
    </w:rPr>
  </w:style>
  <w:style w:type="paragraph" w:customStyle="1" w:styleId="TtulodeTDC2">
    <w:name w:val="Título de TDC2"/>
    <w:basedOn w:val="Ttulo1"/>
    <w:next w:val="Normal"/>
    <w:uiPriority w:val="99"/>
    <w:rsid w:val="00C72F7D"/>
    <w:pPr>
      <w:spacing w:before="1200" w:after="600"/>
      <w:outlineLvl w:val="9"/>
    </w:pPr>
    <w:rPr>
      <w:rFonts w:ascii="Cambria" w:hAnsi="Cambria" w:cs="Cambria"/>
      <w:color w:val="365F91"/>
      <w:sz w:val="44"/>
      <w:szCs w:val="44"/>
      <w:lang w:val="es-ES"/>
    </w:rPr>
  </w:style>
  <w:style w:type="table" w:customStyle="1" w:styleId="LightShading-Accent32">
    <w:name w:val="Light Shading - Accent 32"/>
    <w:uiPriority w:val="99"/>
    <w:rsid w:val="00C72F7D"/>
    <w:rPr>
      <w:rFonts w:eastAsia="Times New Roman"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MediumList2-Accent12">
    <w:name w:val="Medium List 2 - Accent 12"/>
    <w:uiPriority w:val="99"/>
    <w:rsid w:val="00C72F7D"/>
    <w:rPr>
      <w:rFonts w:ascii="Cambria"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Grid3-Accent12">
    <w:name w:val="Medium Grid 3 - Accent 12"/>
    <w:uiPriority w:val="99"/>
    <w:rsid w:val="00C72F7D"/>
    <w:rPr>
      <w:rFonts w:eastAsia="Times New Roman"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nfasisintenso2">
    <w:name w:val="Énfasis intenso2"/>
    <w:basedOn w:val="Fuentedeprrafopredeter"/>
    <w:uiPriority w:val="99"/>
    <w:rsid w:val="00C72F7D"/>
    <w:rPr>
      <w:b/>
      <w:bCs/>
      <w:i/>
      <w:iCs/>
      <w:color w:val="4F81BD"/>
    </w:rPr>
  </w:style>
  <w:style w:type="character" w:customStyle="1" w:styleId="Ttulodellibro2">
    <w:name w:val="Título del libro2"/>
    <w:basedOn w:val="Fuentedeprrafopredeter"/>
    <w:uiPriority w:val="99"/>
    <w:rsid w:val="00C72F7D"/>
    <w:rPr>
      <w:b/>
      <w:bCs/>
      <w:smallCaps/>
      <w:spacing w:val="5"/>
    </w:rPr>
  </w:style>
  <w:style w:type="table" w:customStyle="1" w:styleId="MediumGrid1-Accent12">
    <w:name w:val="Medium Grid 1 - Accent 12"/>
    <w:uiPriority w:val="99"/>
    <w:rsid w:val="00C72F7D"/>
    <w:rPr>
      <w:rFonts w:eastAsia="Times New Roman"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Textodelmarcadordeposicin3">
    <w:name w:val="Texto del marcador de posición3"/>
    <w:basedOn w:val="Fuentedeprrafopredeter"/>
    <w:uiPriority w:val="99"/>
    <w:semiHidden/>
    <w:rsid w:val="00A62136"/>
    <w:rPr>
      <w:color w:val="808080"/>
    </w:rPr>
  </w:style>
  <w:style w:type="paragraph" w:customStyle="1" w:styleId="Prrafodelista4">
    <w:name w:val="Párrafo de lista4"/>
    <w:basedOn w:val="Normal"/>
    <w:link w:val="Prrafodelista4Car"/>
    <w:uiPriority w:val="99"/>
    <w:rsid w:val="00A544E1"/>
    <w:pPr>
      <w:ind w:left="720"/>
    </w:pPr>
  </w:style>
  <w:style w:type="paragraph" w:customStyle="1" w:styleId="CND1">
    <w:name w:val="CND 1"/>
    <w:basedOn w:val="pia1"/>
    <w:link w:val="CND1Car"/>
    <w:uiPriority w:val="99"/>
    <w:rsid w:val="00FD07E0"/>
    <w:pPr>
      <w:spacing w:line="240" w:lineRule="auto"/>
      <w:jc w:val="center"/>
    </w:pPr>
    <w:rPr>
      <w:sz w:val="24"/>
      <w:szCs w:val="24"/>
    </w:rPr>
  </w:style>
  <w:style w:type="paragraph" w:customStyle="1" w:styleId="CND2">
    <w:name w:val="CND 2"/>
    <w:basedOn w:val="pia1"/>
    <w:link w:val="CND2Car"/>
    <w:uiPriority w:val="99"/>
    <w:rsid w:val="00FD07E0"/>
    <w:pPr>
      <w:spacing w:before="360" w:after="240"/>
    </w:pPr>
  </w:style>
  <w:style w:type="character" w:customStyle="1" w:styleId="CND1Car">
    <w:name w:val="CND 1 Car"/>
    <w:basedOn w:val="pia1Car"/>
    <w:link w:val="CND1"/>
    <w:uiPriority w:val="99"/>
    <w:locked/>
    <w:rsid w:val="00FD07E0"/>
    <w:rPr>
      <w:rFonts w:ascii="Arial" w:hAnsi="Arial" w:cs="Arial"/>
      <w:b/>
      <w:bCs/>
      <w:sz w:val="22"/>
      <w:szCs w:val="22"/>
      <w:lang w:val="es-ES_tradnl" w:eastAsia="es-ES"/>
    </w:rPr>
  </w:style>
  <w:style w:type="paragraph" w:customStyle="1" w:styleId="CND3">
    <w:name w:val="CND 3"/>
    <w:basedOn w:val="pia2"/>
    <w:link w:val="CND3Car"/>
    <w:uiPriority w:val="99"/>
    <w:rsid w:val="00613AAE"/>
    <w:pPr>
      <w:tabs>
        <w:tab w:val="clear" w:pos="720"/>
        <w:tab w:val="left" w:pos="284"/>
      </w:tabs>
      <w:spacing w:after="120"/>
    </w:pPr>
    <w:rPr>
      <w:sz w:val="21"/>
      <w:szCs w:val="21"/>
    </w:rPr>
  </w:style>
  <w:style w:type="character" w:customStyle="1" w:styleId="CND2Car">
    <w:name w:val="CND 2 Car"/>
    <w:basedOn w:val="pia1Car"/>
    <w:link w:val="CND2"/>
    <w:uiPriority w:val="99"/>
    <w:locked/>
    <w:rsid w:val="00FD07E0"/>
    <w:rPr>
      <w:rFonts w:ascii="Arial" w:hAnsi="Arial" w:cs="Arial"/>
      <w:b/>
      <w:bCs/>
      <w:sz w:val="22"/>
      <w:szCs w:val="22"/>
      <w:lang w:val="es-ES_tradnl" w:eastAsia="es-ES"/>
    </w:rPr>
  </w:style>
  <w:style w:type="paragraph" w:customStyle="1" w:styleId="CND4">
    <w:name w:val="CND 4"/>
    <w:basedOn w:val="pia3"/>
    <w:link w:val="CND4Car"/>
    <w:uiPriority w:val="99"/>
    <w:rsid w:val="00957DF3"/>
    <w:pPr>
      <w:spacing w:after="120"/>
      <w:ind w:left="284"/>
    </w:pPr>
    <w:rPr>
      <w:sz w:val="20"/>
      <w:szCs w:val="20"/>
    </w:rPr>
  </w:style>
  <w:style w:type="character" w:customStyle="1" w:styleId="CND3Car">
    <w:name w:val="CND 3 Car"/>
    <w:basedOn w:val="pia2Car"/>
    <w:link w:val="CND3"/>
    <w:uiPriority w:val="99"/>
    <w:locked/>
    <w:rsid w:val="00613AAE"/>
    <w:rPr>
      <w:rFonts w:ascii="Arial" w:hAnsi="Arial" w:cs="Arial"/>
      <w:b/>
      <w:bCs/>
      <w:sz w:val="21"/>
      <w:szCs w:val="21"/>
      <w:lang w:val="es-ES_tradnl"/>
    </w:rPr>
  </w:style>
  <w:style w:type="paragraph" w:customStyle="1" w:styleId="CND5">
    <w:name w:val="CND 5"/>
    <w:basedOn w:val="pia4"/>
    <w:link w:val="CND5Car"/>
    <w:uiPriority w:val="99"/>
    <w:rsid w:val="00CA1908"/>
    <w:pPr>
      <w:tabs>
        <w:tab w:val="clear" w:pos="284"/>
      </w:tabs>
      <w:spacing w:after="240"/>
      <w:ind w:left="567"/>
    </w:pPr>
    <w:rPr>
      <w:sz w:val="20"/>
      <w:szCs w:val="20"/>
    </w:rPr>
  </w:style>
  <w:style w:type="character" w:customStyle="1" w:styleId="CND4Car">
    <w:name w:val="CND 4 Car"/>
    <w:basedOn w:val="pia3Car"/>
    <w:link w:val="CND4"/>
    <w:uiPriority w:val="99"/>
    <w:locked/>
    <w:rsid w:val="00957DF3"/>
    <w:rPr>
      <w:rFonts w:ascii="Arial" w:hAnsi="Arial" w:cs="Arial"/>
      <w:sz w:val="24"/>
      <w:szCs w:val="24"/>
      <w:lang w:val="es-ES_tradnl" w:eastAsia="es-ES"/>
    </w:rPr>
  </w:style>
  <w:style w:type="character" w:customStyle="1" w:styleId="apple-converted-space">
    <w:name w:val="apple-converted-space"/>
    <w:basedOn w:val="Fuentedeprrafopredeter"/>
    <w:uiPriority w:val="99"/>
    <w:rsid w:val="00343389"/>
  </w:style>
  <w:style w:type="character" w:customStyle="1" w:styleId="CND5Car">
    <w:name w:val="CND 5 Car"/>
    <w:basedOn w:val="pia4Car"/>
    <w:link w:val="CND5"/>
    <w:uiPriority w:val="99"/>
    <w:locked/>
    <w:rsid w:val="00CA1908"/>
    <w:rPr>
      <w:rFonts w:ascii="Arial" w:hAnsi="Arial" w:cs="Arial"/>
      <w:sz w:val="22"/>
      <w:szCs w:val="22"/>
      <w:lang w:val="es-ES_tradnl" w:eastAsia="es-ES"/>
    </w:rPr>
  </w:style>
  <w:style w:type="paragraph" w:styleId="Prrafodelista">
    <w:name w:val="List Paragraph"/>
    <w:basedOn w:val="Normal"/>
    <w:link w:val="PrrafodelistaCar"/>
    <w:uiPriority w:val="34"/>
    <w:qFormat/>
    <w:rsid w:val="003209C5"/>
    <w:pPr>
      <w:ind w:left="720"/>
    </w:pPr>
  </w:style>
  <w:style w:type="paragraph" w:customStyle="1" w:styleId="ANEXO1">
    <w:name w:val="ANEXO 1"/>
    <w:basedOn w:val="Prrafodelista"/>
    <w:link w:val="ANEXO1Car"/>
    <w:uiPriority w:val="99"/>
    <w:rsid w:val="004B6D50"/>
    <w:pPr>
      <w:numPr>
        <w:ilvl w:val="3"/>
        <w:numId w:val="80"/>
      </w:numPr>
      <w:spacing w:before="240" w:after="240"/>
      <w:jc w:val="both"/>
    </w:pPr>
    <w:rPr>
      <w:rFonts w:ascii="Arial" w:hAnsi="Arial" w:cs="Arial"/>
      <w:caps/>
      <w:sz w:val="20"/>
      <w:szCs w:val="20"/>
      <w:lang w:val="es-UY"/>
    </w:rPr>
  </w:style>
  <w:style w:type="paragraph" w:customStyle="1" w:styleId="ANEXO2">
    <w:name w:val="ANEXO 2"/>
    <w:basedOn w:val="Prrafodelista"/>
    <w:link w:val="ANEXO2Car"/>
    <w:uiPriority w:val="99"/>
    <w:rsid w:val="00E56575"/>
    <w:pPr>
      <w:tabs>
        <w:tab w:val="num" w:pos="868"/>
      </w:tabs>
      <w:spacing w:before="240" w:after="240"/>
      <w:ind w:left="868" w:hanging="584"/>
      <w:jc w:val="both"/>
    </w:pPr>
    <w:rPr>
      <w:rFonts w:ascii="Arial" w:hAnsi="Arial" w:cs="Arial"/>
      <w:b/>
      <w:bCs/>
      <w:sz w:val="20"/>
      <w:szCs w:val="20"/>
      <w:lang w:val="es-UY"/>
    </w:rPr>
  </w:style>
  <w:style w:type="character" w:customStyle="1" w:styleId="PrrafodelistaCar">
    <w:name w:val="Párrafo de lista Car"/>
    <w:basedOn w:val="Fuentedeprrafopredeter"/>
    <w:link w:val="Prrafodelista"/>
    <w:uiPriority w:val="34"/>
    <w:locked/>
    <w:rsid w:val="004B6D50"/>
    <w:rPr>
      <w:rFonts w:eastAsia="Times New Roman"/>
      <w:sz w:val="22"/>
      <w:szCs w:val="22"/>
      <w:lang w:eastAsia="en-US"/>
    </w:rPr>
  </w:style>
  <w:style w:type="character" w:customStyle="1" w:styleId="ANEXO1Car">
    <w:name w:val="ANEXO 1 Car"/>
    <w:basedOn w:val="PrrafodelistaCar"/>
    <w:link w:val="ANEXO1"/>
    <w:uiPriority w:val="99"/>
    <w:locked/>
    <w:rsid w:val="004B6D50"/>
    <w:rPr>
      <w:rFonts w:ascii="Arial" w:eastAsia="Times New Roman" w:hAnsi="Arial" w:cs="Arial"/>
      <w:caps/>
      <w:sz w:val="20"/>
      <w:szCs w:val="20"/>
      <w:lang w:eastAsia="en-US"/>
    </w:rPr>
  </w:style>
  <w:style w:type="paragraph" w:customStyle="1" w:styleId="ANEXO3">
    <w:name w:val="ANEXO 3"/>
    <w:basedOn w:val="Prrafodelista4"/>
    <w:link w:val="ANEXO3Car"/>
    <w:uiPriority w:val="99"/>
    <w:rsid w:val="00BE30AA"/>
    <w:pPr>
      <w:numPr>
        <w:ilvl w:val="2"/>
        <w:numId w:val="81"/>
      </w:numPr>
      <w:spacing w:before="240" w:after="0" w:line="240" w:lineRule="auto"/>
      <w:jc w:val="both"/>
    </w:pPr>
    <w:rPr>
      <w:rFonts w:ascii="Arial" w:hAnsi="Arial" w:cs="Arial"/>
      <w:b/>
      <w:bCs/>
      <w:sz w:val="20"/>
      <w:szCs w:val="20"/>
    </w:rPr>
  </w:style>
  <w:style w:type="character" w:customStyle="1" w:styleId="ANEXO2Car">
    <w:name w:val="ANEXO 2 Car"/>
    <w:basedOn w:val="PrrafodelistaCar"/>
    <w:link w:val="ANEXO2"/>
    <w:uiPriority w:val="99"/>
    <w:locked/>
    <w:rsid w:val="00E56575"/>
    <w:rPr>
      <w:rFonts w:ascii="Arial" w:eastAsia="Times New Roman" w:hAnsi="Arial" w:cs="Arial"/>
      <w:b/>
      <w:bCs/>
      <w:sz w:val="22"/>
      <w:szCs w:val="22"/>
      <w:lang w:val="es-UY" w:eastAsia="en-US"/>
    </w:rPr>
  </w:style>
  <w:style w:type="paragraph" w:customStyle="1" w:styleId="ANEXO4">
    <w:name w:val="ANEXO 4"/>
    <w:basedOn w:val="Prrafodelista"/>
    <w:link w:val="ANEXO4Car"/>
    <w:uiPriority w:val="99"/>
    <w:rsid w:val="00271870"/>
    <w:pPr>
      <w:widowControl w:val="0"/>
      <w:numPr>
        <w:ilvl w:val="3"/>
        <w:numId w:val="14"/>
      </w:numPr>
      <w:spacing w:before="120" w:after="240" w:line="240" w:lineRule="auto"/>
      <w:ind w:left="1572" w:hanging="720"/>
      <w:jc w:val="both"/>
    </w:pPr>
    <w:rPr>
      <w:rFonts w:ascii="Arial" w:hAnsi="Arial" w:cs="Arial"/>
      <w:b/>
      <w:bCs/>
      <w:sz w:val="20"/>
      <w:szCs w:val="20"/>
      <w:lang w:val="es-ES_tradnl" w:eastAsia="es-ES"/>
    </w:rPr>
  </w:style>
  <w:style w:type="character" w:customStyle="1" w:styleId="Prrafodelista4Car">
    <w:name w:val="Párrafo de lista4 Car"/>
    <w:basedOn w:val="Fuentedeprrafopredeter"/>
    <w:link w:val="Prrafodelista4"/>
    <w:uiPriority w:val="99"/>
    <w:locked/>
    <w:rsid w:val="00BE30AA"/>
    <w:rPr>
      <w:rFonts w:eastAsia="Times New Roman"/>
      <w:sz w:val="22"/>
      <w:szCs w:val="22"/>
      <w:lang w:eastAsia="en-US"/>
    </w:rPr>
  </w:style>
  <w:style w:type="character" w:customStyle="1" w:styleId="ANEXO3Car">
    <w:name w:val="ANEXO 3 Car"/>
    <w:basedOn w:val="Prrafodelista4Car"/>
    <w:link w:val="ANEXO3"/>
    <w:uiPriority w:val="99"/>
    <w:locked/>
    <w:rsid w:val="00BE30AA"/>
    <w:rPr>
      <w:rFonts w:ascii="Arial" w:eastAsia="Times New Roman" w:hAnsi="Arial" w:cs="Arial"/>
      <w:b/>
      <w:bCs/>
      <w:sz w:val="20"/>
      <w:szCs w:val="20"/>
      <w:lang w:val="es-ES" w:eastAsia="en-US"/>
    </w:rPr>
  </w:style>
  <w:style w:type="paragraph" w:customStyle="1" w:styleId="ANEXO0">
    <w:name w:val="ANEXO 0"/>
    <w:basedOn w:val="Normal"/>
    <w:link w:val="ANEXO0Car"/>
    <w:uiPriority w:val="99"/>
    <w:rsid w:val="007D5652"/>
    <w:pPr>
      <w:keepNext/>
      <w:spacing w:before="240" w:after="360" w:line="240" w:lineRule="auto"/>
      <w:ind w:left="357" w:hanging="357"/>
      <w:outlineLvl w:val="0"/>
    </w:pPr>
    <w:rPr>
      <w:rFonts w:ascii="Arial" w:hAnsi="Arial" w:cs="Arial"/>
      <w:b/>
      <w:bCs/>
      <w:caps/>
      <w:kern w:val="28"/>
      <w:lang w:eastAsia="es-ES"/>
    </w:rPr>
  </w:style>
  <w:style w:type="character" w:customStyle="1" w:styleId="ANEXO4Car">
    <w:name w:val="ANEXO 4 Car"/>
    <w:basedOn w:val="PrrafodelistaCar"/>
    <w:link w:val="ANEXO4"/>
    <w:uiPriority w:val="99"/>
    <w:locked/>
    <w:rsid w:val="00271870"/>
    <w:rPr>
      <w:rFonts w:ascii="Arial" w:eastAsia="Times New Roman" w:hAnsi="Arial" w:cs="Arial"/>
      <w:b/>
      <w:bCs/>
      <w:sz w:val="20"/>
      <w:szCs w:val="20"/>
      <w:lang w:val="es-ES_tradnl" w:eastAsia="es-ES"/>
    </w:rPr>
  </w:style>
  <w:style w:type="character" w:customStyle="1" w:styleId="ANEXO0Car">
    <w:name w:val="ANEXO 0 Car"/>
    <w:basedOn w:val="Fuentedeprrafopredeter"/>
    <w:link w:val="ANEXO0"/>
    <w:uiPriority w:val="99"/>
    <w:locked/>
    <w:rsid w:val="007D5652"/>
    <w:rPr>
      <w:rFonts w:ascii="Arial" w:hAnsi="Arial" w:cs="Arial"/>
      <w:b/>
      <w:bCs/>
      <w:caps/>
      <w:kern w:val="28"/>
      <w:sz w:val="24"/>
      <w:szCs w:val="24"/>
    </w:rPr>
  </w:style>
  <w:style w:type="paragraph" w:customStyle="1" w:styleId="T-1">
    <w:name w:val="T-1"/>
    <w:basedOn w:val="CND1"/>
    <w:link w:val="T-1Car"/>
    <w:uiPriority w:val="99"/>
    <w:rsid w:val="00E4611C"/>
  </w:style>
  <w:style w:type="paragraph" w:customStyle="1" w:styleId="T0">
    <w:name w:val="T0"/>
    <w:basedOn w:val="CND2"/>
    <w:link w:val="T0Car"/>
    <w:uiPriority w:val="99"/>
    <w:rsid w:val="00724E61"/>
  </w:style>
  <w:style w:type="character" w:customStyle="1" w:styleId="T-1Car">
    <w:name w:val="T-1 Car"/>
    <w:basedOn w:val="CND1Car"/>
    <w:link w:val="T-1"/>
    <w:uiPriority w:val="99"/>
    <w:locked/>
    <w:rsid w:val="00E4611C"/>
    <w:rPr>
      <w:rFonts w:ascii="Arial" w:hAnsi="Arial" w:cs="Arial"/>
      <w:b/>
      <w:bCs/>
      <w:sz w:val="22"/>
      <w:szCs w:val="22"/>
      <w:lang w:val="es-ES_tradnl" w:eastAsia="es-ES"/>
    </w:rPr>
  </w:style>
  <w:style w:type="paragraph" w:customStyle="1" w:styleId="T1">
    <w:name w:val="T1"/>
    <w:basedOn w:val="CND3"/>
    <w:link w:val="T1Car"/>
    <w:uiPriority w:val="99"/>
    <w:rsid w:val="003856C9"/>
    <w:pPr>
      <w:spacing w:after="240"/>
    </w:pPr>
  </w:style>
  <w:style w:type="character" w:customStyle="1" w:styleId="T0Car">
    <w:name w:val="T0 Car"/>
    <w:basedOn w:val="CND2Car"/>
    <w:link w:val="T0"/>
    <w:uiPriority w:val="99"/>
    <w:locked/>
    <w:rsid w:val="00724E61"/>
    <w:rPr>
      <w:rFonts w:ascii="Arial" w:hAnsi="Arial" w:cs="Arial"/>
      <w:b/>
      <w:bCs/>
      <w:sz w:val="22"/>
      <w:szCs w:val="22"/>
      <w:lang w:val="es-ES_tradnl" w:eastAsia="es-ES"/>
    </w:rPr>
  </w:style>
  <w:style w:type="paragraph" w:customStyle="1" w:styleId="T1A">
    <w:name w:val="T1A"/>
    <w:basedOn w:val="ANEXO1"/>
    <w:link w:val="T1ACar"/>
    <w:uiPriority w:val="99"/>
    <w:rsid w:val="00A9174D"/>
    <w:pPr>
      <w:numPr>
        <w:ilvl w:val="0"/>
        <w:numId w:val="21"/>
      </w:numPr>
      <w:tabs>
        <w:tab w:val="num" w:pos="0"/>
        <w:tab w:val="num" w:pos="705"/>
        <w:tab w:val="num" w:pos="1778"/>
      </w:tabs>
      <w:ind w:hanging="1191"/>
    </w:pPr>
  </w:style>
  <w:style w:type="character" w:customStyle="1" w:styleId="T1Car">
    <w:name w:val="T1 Car"/>
    <w:basedOn w:val="CND3Car"/>
    <w:link w:val="T1"/>
    <w:uiPriority w:val="99"/>
    <w:locked/>
    <w:rsid w:val="003856C9"/>
    <w:rPr>
      <w:rFonts w:ascii="Arial" w:hAnsi="Arial" w:cs="Arial"/>
      <w:b/>
      <w:bCs/>
      <w:sz w:val="21"/>
      <w:szCs w:val="21"/>
      <w:lang w:val="es-ES_tradnl"/>
    </w:rPr>
  </w:style>
  <w:style w:type="paragraph" w:customStyle="1" w:styleId="T1AA">
    <w:name w:val="T1AA"/>
    <w:basedOn w:val="T1A"/>
    <w:link w:val="T1AACar"/>
    <w:uiPriority w:val="99"/>
    <w:rsid w:val="00E75C4E"/>
    <w:rPr>
      <w:rFonts w:eastAsia="Calibri"/>
    </w:rPr>
  </w:style>
  <w:style w:type="character" w:customStyle="1" w:styleId="T1ACar">
    <w:name w:val="T1A Car"/>
    <w:basedOn w:val="ANEXO1Car"/>
    <w:link w:val="T1A"/>
    <w:uiPriority w:val="99"/>
    <w:locked/>
    <w:rsid w:val="00A9174D"/>
    <w:rPr>
      <w:rFonts w:ascii="Arial" w:eastAsia="Times New Roman" w:hAnsi="Arial" w:cs="Arial"/>
      <w:caps/>
      <w:sz w:val="20"/>
      <w:szCs w:val="20"/>
      <w:lang w:eastAsia="en-US"/>
    </w:rPr>
  </w:style>
  <w:style w:type="paragraph" w:customStyle="1" w:styleId="T1AAA">
    <w:name w:val="T1AAA"/>
    <w:basedOn w:val="pia2"/>
    <w:link w:val="T1AAACar"/>
    <w:uiPriority w:val="99"/>
    <w:rsid w:val="00C53064"/>
  </w:style>
  <w:style w:type="character" w:customStyle="1" w:styleId="T1AACar">
    <w:name w:val="T1AA Car"/>
    <w:basedOn w:val="T1ACar"/>
    <w:link w:val="T1AA"/>
    <w:uiPriority w:val="99"/>
    <w:locked/>
    <w:rsid w:val="00E75C4E"/>
    <w:rPr>
      <w:rFonts w:ascii="Arial" w:eastAsia="Times New Roman" w:hAnsi="Arial" w:cs="Arial"/>
      <w:caps/>
      <w:sz w:val="20"/>
      <w:szCs w:val="20"/>
      <w:lang w:eastAsia="en-US"/>
    </w:rPr>
  </w:style>
  <w:style w:type="paragraph" w:customStyle="1" w:styleId="T2">
    <w:name w:val="T2"/>
    <w:basedOn w:val="T1"/>
    <w:link w:val="T2Car"/>
    <w:uiPriority w:val="99"/>
    <w:rsid w:val="00130788"/>
    <w:rPr>
      <w:b w:val="0"/>
      <w:bCs w:val="0"/>
      <w:sz w:val="20"/>
      <w:szCs w:val="20"/>
    </w:rPr>
  </w:style>
  <w:style w:type="character" w:customStyle="1" w:styleId="T1AAACar">
    <w:name w:val="T1AAA Car"/>
    <w:basedOn w:val="pia2Car"/>
    <w:link w:val="T1AAA"/>
    <w:uiPriority w:val="99"/>
    <w:locked/>
    <w:rsid w:val="00C53064"/>
    <w:rPr>
      <w:rFonts w:ascii="Arial" w:hAnsi="Arial" w:cs="Arial"/>
      <w:b/>
      <w:bCs/>
      <w:sz w:val="22"/>
      <w:szCs w:val="22"/>
      <w:lang w:val="es-ES_tradnl"/>
    </w:rPr>
  </w:style>
  <w:style w:type="paragraph" w:customStyle="1" w:styleId="T2BIS">
    <w:name w:val="T2BIS"/>
    <w:basedOn w:val="T1"/>
    <w:link w:val="T2BISCar"/>
    <w:uiPriority w:val="99"/>
    <w:rsid w:val="00C82F5B"/>
    <w:pPr>
      <w:numPr>
        <w:ilvl w:val="1"/>
        <w:numId w:val="112"/>
      </w:numPr>
    </w:pPr>
    <w:rPr>
      <w:b w:val="0"/>
      <w:bCs w:val="0"/>
    </w:rPr>
  </w:style>
  <w:style w:type="character" w:customStyle="1" w:styleId="T2Car">
    <w:name w:val="T2 Car"/>
    <w:basedOn w:val="T1Car"/>
    <w:link w:val="T2"/>
    <w:uiPriority w:val="99"/>
    <w:locked/>
    <w:rsid w:val="00130788"/>
    <w:rPr>
      <w:rFonts w:ascii="Arial" w:hAnsi="Arial" w:cs="Arial"/>
      <w:b w:val="0"/>
      <w:bCs w:val="0"/>
      <w:sz w:val="20"/>
      <w:szCs w:val="20"/>
      <w:lang w:val="es-ES_tradnl" w:eastAsia="es-ES"/>
    </w:rPr>
  </w:style>
  <w:style w:type="paragraph" w:customStyle="1" w:styleId="T2A">
    <w:name w:val="T2A"/>
    <w:basedOn w:val="ANEXO2"/>
    <w:link w:val="T2ACar"/>
    <w:uiPriority w:val="99"/>
    <w:rsid w:val="00DF5653"/>
    <w:pPr>
      <w:numPr>
        <w:numId w:val="1"/>
      </w:numPr>
      <w:tabs>
        <w:tab w:val="clear" w:pos="643"/>
        <w:tab w:val="num" w:pos="432"/>
      </w:tabs>
      <w:ind w:left="432" w:hanging="432"/>
    </w:pPr>
  </w:style>
  <w:style w:type="character" w:customStyle="1" w:styleId="T2BISCar">
    <w:name w:val="T2BIS Car"/>
    <w:basedOn w:val="T1Car"/>
    <w:link w:val="T2BIS"/>
    <w:uiPriority w:val="99"/>
    <w:locked/>
    <w:rsid w:val="00C82F5B"/>
    <w:rPr>
      <w:rFonts w:ascii="Arial" w:hAnsi="Arial" w:cs="Arial"/>
      <w:b w:val="0"/>
      <w:bCs w:val="0"/>
      <w:sz w:val="21"/>
      <w:szCs w:val="21"/>
      <w:lang w:val="es-ES_tradnl" w:eastAsia="es-ES"/>
    </w:rPr>
  </w:style>
  <w:style w:type="paragraph" w:customStyle="1" w:styleId="T2AA">
    <w:name w:val="T2AA"/>
    <w:basedOn w:val="T2A"/>
    <w:link w:val="T2AACar"/>
    <w:uiPriority w:val="99"/>
    <w:rsid w:val="00DF5653"/>
    <w:pPr>
      <w:numPr>
        <w:ilvl w:val="1"/>
        <w:numId w:val="86"/>
      </w:numPr>
      <w:tabs>
        <w:tab w:val="num" w:pos="2238"/>
      </w:tabs>
    </w:pPr>
  </w:style>
  <w:style w:type="character" w:customStyle="1" w:styleId="T2ACar">
    <w:name w:val="T2A Car"/>
    <w:basedOn w:val="ANEXO2Car"/>
    <w:link w:val="T2A"/>
    <w:uiPriority w:val="99"/>
    <w:locked/>
    <w:rsid w:val="00DF5653"/>
    <w:rPr>
      <w:rFonts w:ascii="Arial" w:eastAsia="Times New Roman" w:hAnsi="Arial" w:cs="Arial"/>
      <w:b/>
      <w:bCs/>
      <w:sz w:val="20"/>
      <w:szCs w:val="20"/>
      <w:lang w:val="es-UY" w:eastAsia="en-US"/>
    </w:rPr>
  </w:style>
  <w:style w:type="paragraph" w:customStyle="1" w:styleId="T2AAA">
    <w:name w:val="T2AAA"/>
    <w:basedOn w:val="T2AA"/>
    <w:link w:val="T2AAACar"/>
    <w:uiPriority w:val="99"/>
    <w:rsid w:val="00ED72D1"/>
    <w:pPr>
      <w:numPr>
        <w:numId w:val="87"/>
      </w:numPr>
    </w:pPr>
  </w:style>
  <w:style w:type="character" w:customStyle="1" w:styleId="T2AACar">
    <w:name w:val="T2AA Car"/>
    <w:basedOn w:val="T2ACar"/>
    <w:link w:val="T2AA"/>
    <w:uiPriority w:val="99"/>
    <w:locked/>
    <w:rsid w:val="00DF5653"/>
    <w:rPr>
      <w:rFonts w:ascii="Arial" w:eastAsia="Times New Roman" w:hAnsi="Arial" w:cs="Arial"/>
      <w:b/>
      <w:bCs/>
      <w:sz w:val="20"/>
      <w:szCs w:val="20"/>
      <w:lang w:val="es-UY" w:eastAsia="en-US"/>
    </w:rPr>
  </w:style>
  <w:style w:type="paragraph" w:customStyle="1" w:styleId="T2AAAA">
    <w:name w:val="T2AAAA"/>
    <w:basedOn w:val="T1AAA"/>
    <w:link w:val="T2AAAACar"/>
    <w:uiPriority w:val="99"/>
    <w:rsid w:val="00330AB4"/>
    <w:pPr>
      <w:numPr>
        <w:ilvl w:val="1"/>
        <w:numId w:val="89"/>
      </w:numPr>
    </w:pPr>
    <w:rPr>
      <w:sz w:val="21"/>
      <w:szCs w:val="21"/>
    </w:rPr>
  </w:style>
  <w:style w:type="character" w:customStyle="1" w:styleId="T2AAACar">
    <w:name w:val="T2AAA Car"/>
    <w:basedOn w:val="T2AACar"/>
    <w:link w:val="T2AAA"/>
    <w:uiPriority w:val="99"/>
    <w:locked/>
    <w:rsid w:val="00ED72D1"/>
    <w:rPr>
      <w:rFonts w:ascii="Arial" w:eastAsia="Times New Roman" w:hAnsi="Arial" w:cs="Arial"/>
      <w:b/>
      <w:bCs/>
      <w:sz w:val="20"/>
      <w:szCs w:val="20"/>
      <w:lang w:val="es-UY" w:eastAsia="en-US"/>
    </w:rPr>
  </w:style>
  <w:style w:type="paragraph" w:customStyle="1" w:styleId="T2A5">
    <w:name w:val="T2A5"/>
    <w:basedOn w:val="T1AAA"/>
    <w:link w:val="T2A5Car"/>
    <w:uiPriority w:val="99"/>
    <w:rsid w:val="00CB21B0"/>
    <w:pPr>
      <w:numPr>
        <w:ilvl w:val="1"/>
        <w:numId w:val="106"/>
      </w:numPr>
    </w:pPr>
    <w:rPr>
      <w:caps/>
      <w:sz w:val="21"/>
      <w:szCs w:val="21"/>
    </w:rPr>
  </w:style>
  <w:style w:type="character" w:customStyle="1" w:styleId="T2AAAACar">
    <w:name w:val="T2AAAA Car"/>
    <w:basedOn w:val="T1AAACar"/>
    <w:link w:val="T2AAAA"/>
    <w:uiPriority w:val="99"/>
    <w:locked/>
    <w:rsid w:val="00330AB4"/>
    <w:rPr>
      <w:rFonts w:ascii="Arial" w:hAnsi="Arial" w:cs="Arial"/>
      <w:b/>
      <w:bCs/>
      <w:sz w:val="21"/>
      <w:szCs w:val="21"/>
      <w:lang w:val="es-ES_tradnl" w:eastAsia="es-ES"/>
    </w:rPr>
  </w:style>
  <w:style w:type="paragraph" w:customStyle="1" w:styleId="T2A6">
    <w:name w:val="T2A6"/>
    <w:basedOn w:val="ANEXO2"/>
    <w:link w:val="T2A6Car"/>
    <w:uiPriority w:val="99"/>
    <w:rsid w:val="00AC053F"/>
    <w:pPr>
      <w:numPr>
        <w:ilvl w:val="1"/>
        <w:numId w:val="14"/>
      </w:numPr>
    </w:pPr>
    <w:rPr>
      <w:caps/>
      <w:sz w:val="21"/>
      <w:szCs w:val="21"/>
      <w:lang w:eastAsia="es-ES"/>
    </w:rPr>
  </w:style>
  <w:style w:type="character" w:customStyle="1" w:styleId="T2A5Car">
    <w:name w:val="T2A5 Car"/>
    <w:basedOn w:val="T1AAACar"/>
    <w:link w:val="T2A5"/>
    <w:uiPriority w:val="99"/>
    <w:locked/>
    <w:rsid w:val="00CB21B0"/>
    <w:rPr>
      <w:rFonts w:ascii="Arial" w:hAnsi="Arial" w:cs="Arial"/>
      <w:b/>
      <w:bCs/>
      <w:caps/>
      <w:sz w:val="21"/>
      <w:szCs w:val="21"/>
      <w:lang w:val="es-ES_tradnl" w:eastAsia="es-ES"/>
    </w:rPr>
  </w:style>
  <w:style w:type="paragraph" w:customStyle="1" w:styleId="T2A7">
    <w:name w:val="T2A7"/>
    <w:basedOn w:val="T2A6"/>
    <w:link w:val="T2A7Car"/>
    <w:uiPriority w:val="99"/>
    <w:rsid w:val="00083788"/>
    <w:pPr>
      <w:numPr>
        <w:numId w:val="34"/>
      </w:numPr>
      <w:tabs>
        <w:tab w:val="clear" w:pos="576"/>
      </w:tabs>
      <w:ind w:left="792" w:hanging="432"/>
    </w:pPr>
  </w:style>
  <w:style w:type="character" w:customStyle="1" w:styleId="T2A6Car">
    <w:name w:val="T2A6 Car"/>
    <w:basedOn w:val="ANEXO2Car"/>
    <w:link w:val="T2A6"/>
    <w:uiPriority w:val="99"/>
    <w:locked/>
    <w:rsid w:val="00AC053F"/>
    <w:rPr>
      <w:rFonts w:ascii="Arial" w:eastAsia="Times New Roman" w:hAnsi="Arial" w:cs="Arial"/>
      <w:b/>
      <w:bCs/>
      <w:caps/>
      <w:sz w:val="21"/>
      <w:szCs w:val="21"/>
      <w:lang w:val="es-UY" w:eastAsia="es-ES"/>
    </w:rPr>
  </w:style>
  <w:style w:type="paragraph" w:customStyle="1" w:styleId="T2A8">
    <w:name w:val="T2A8"/>
    <w:basedOn w:val="ANEXO2"/>
    <w:link w:val="T2A8Car"/>
    <w:uiPriority w:val="99"/>
    <w:rsid w:val="00083788"/>
    <w:pPr>
      <w:numPr>
        <w:ilvl w:val="1"/>
        <w:numId w:val="13"/>
      </w:numPr>
      <w:ind w:left="720"/>
    </w:pPr>
    <w:rPr>
      <w:caps/>
      <w:lang w:eastAsia="es-ES"/>
    </w:rPr>
  </w:style>
  <w:style w:type="character" w:customStyle="1" w:styleId="T2A7Car">
    <w:name w:val="T2A7 Car"/>
    <w:basedOn w:val="T2A6Car"/>
    <w:link w:val="T2A7"/>
    <w:uiPriority w:val="99"/>
    <w:locked/>
    <w:rsid w:val="00083788"/>
    <w:rPr>
      <w:rFonts w:ascii="Arial" w:eastAsia="Times New Roman" w:hAnsi="Arial" w:cs="Arial"/>
      <w:b/>
      <w:bCs/>
      <w:caps/>
      <w:sz w:val="21"/>
      <w:szCs w:val="21"/>
      <w:lang w:val="es-UY" w:eastAsia="es-ES"/>
    </w:rPr>
  </w:style>
  <w:style w:type="paragraph" w:customStyle="1" w:styleId="T2A9">
    <w:name w:val="T2A9"/>
    <w:basedOn w:val="T2A8"/>
    <w:link w:val="T2A9Car"/>
    <w:uiPriority w:val="99"/>
    <w:rsid w:val="00AE0082"/>
  </w:style>
  <w:style w:type="character" w:customStyle="1" w:styleId="T2A8Car">
    <w:name w:val="T2A8 Car"/>
    <w:basedOn w:val="ANEXO2Car"/>
    <w:link w:val="T2A8"/>
    <w:uiPriority w:val="99"/>
    <w:locked/>
    <w:rsid w:val="00083788"/>
    <w:rPr>
      <w:rFonts w:ascii="Arial" w:eastAsia="Times New Roman" w:hAnsi="Arial" w:cs="Arial"/>
      <w:b/>
      <w:bCs/>
      <w:caps/>
      <w:sz w:val="20"/>
      <w:szCs w:val="20"/>
      <w:lang w:val="es-UY" w:eastAsia="es-ES"/>
    </w:rPr>
  </w:style>
  <w:style w:type="paragraph" w:customStyle="1" w:styleId="T2A10">
    <w:name w:val="T2A10"/>
    <w:basedOn w:val="T1A"/>
    <w:link w:val="T2A10Car"/>
    <w:uiPriority w:val="99"/>
    <w:rsid w:val="00AE0082"/>
    <w:pPr>
      <w:numPr>
        <w:numId w:val="0"/>
      </w:numPr>
      <w:tabs>
        <w:tab w:val="clear" w:pos="1778"/>
        <w:tab w:val="num" w:pos="705"/>
      </w:tabs>
      <w:ind w:left="720"/>
    </w:pPr>
    <w:rPr>
      <w:b/>
      <w:bCs/>
      <w:sz w:val="21"/>
      <w:szCs w:val="21"/>
      <w:lang w:eastAsia="es-ES"/>
    </w:rPr>
  </w:style>
  <w:style w:type="character" w:customStyle="1" w:styleId="T2A9Car">
    <w:name w:val="T2A9 Car"/>
    <w:basedOn w:val="T2A8Car"/>
    <w:link w:val="T2A9"/>
    <w:uiPriority w:val="99"/>
    <w:locked/>
    <w:rsid w:val="00AE0082"/>
    <w:rPr>
      <w:rFonts w:ascii="Arial" w:eastAsia="Times New Roman" w:hAnsi="Arial" w:cs="Arial"/>
      <w:b/>
      <w:bCs/>
      <w:caps/>
      <w:sz w:val="20"/>
      <w:szCs w:val="20"/>
      <w:lang w:val="es-UY" w:eastAsia="es-ES"/>
    </w:rPr>
  </w:style>
  <w:style w:type="paragraph" w:customStyle="1" w:styleId="T3">
    <w:name w:val="T3"/>
    <w:basedOn w:val="T2"/>
    <w:link w:val="T3Car"/>
    <w:uiPriority w:val="99"/>
    <w:rsid w:val="00E9027D"/>
    <w:pPr>
      <w:numPr>
        <w:ilvl w:val="2"/>
      </w:numPr>
    </w:pPr>
  </w:style>
  <w:style w:type="character" w:customStyle="1" w:styleId="T2A10Car">
    <w:name w:val="T2A10 Car"/>
    <w:basedOn w:val="T1ACar"/>
    <w:link w:val="T2A10"/>
    <w:uiPriority w:val="99"/>
    <w:locked/>
    <w:rsid w:val="00AE0082"/>
    <w:rPr>
      <w:rFonts w:ascii="Arial" w:eastAsia="Times New Roman" w:hAnsi="Arial" w:cs="Arial"/>
      <w:b/>
      <w:bCs/>
      <w:caps/>
      <w:snapToGrid w:val="0"/>
      <w:sz w:val="21"/>
      <w:szCs w:val="21"/>
      <w:lang w:eastAsia="en-US"/>
    </w:rPr>
  </w:style>
  <w:style w:type="paragraph" w:customStyle="1" w:styleId="T3B">
    <w:name w:val="T3B"/>
    <w:basedOn w:val="T2BIS"/>
    <w:link w:val="T3BCar"/>
    <w:uiPriority w:val="99"/>
    <w:rsid w:val="004275FE"/>
    <w:pPr>
      <w:numPr>
        <w:ilvl w:val="2"/>
      </w:numPr>
    </w:pPr>
  </w:style>
  <w:style w:type="character" w:customStyle="1" w:styleId="T3Car">
    <w:name w:val="T3 Car"/>
    <w:basedOn w:val="T2Car"/>
    <w:link w:val="T3"/>
    <w:uiPriority w:val="99"/>
    <w:locked/>
    <w:rsid w:val="00E9027D"/>
    <w:rPr>
      <w:rFonts w:ascii="Arial" w:hAnsi="Arial" w:cs="Arial"/>
      <w:b w:val="0"/>
      <w:bCs w:val="0"/>
      <w:sz w:val="20"/>
      <w:szCs w:val="20"/>
      <w:lang w:val="es-ES_tradnl" w:eastAsia="es-ES"/>
    </w:rPr>
  </w:style>
  <w:style w:type="paragraph" w:customStyle="1" w:styleId="T3B2">
    <w:name w:val="T3B2"/>
    <w:basedOn w:val="T2AAAA"/>
    <w:link w:val="T3B2Car"/>
    <w:uiPriority w:val="99"/>
    <w:rsid w:val="0055702D"/>
    <w:pPr>
      <w:numPr>
        <w:ilvl w:val="2"/>
      </w:numPr>
    </w:pPr>
  </w:style>
  <w:style w:type="character" w:customStyle="1" w:styleId="T3BCar">
    <w:name w:val="T3B Car"/>
    <w:basedOn w:val="T2BISCar"/>
    <w:link w:val="T3B"/>
    <w:uiPriority w:val="99"/>
    <w:locked/>
    <w:rsid w:val="004275FE"/>
    <w:rPr>
      <w:rFonts w:ascii="Arial" w:hAnsi="Arial" w:cs="Arial"/>
      <w:b w:val="0"/>
      <w:bCs w:val="0"/>
      <w:sz w:val="21"/>
      <w:szCs w:val="21"/>
      <w:lang w:val="es-ES_tradnl" w:eastAsia="es-ES"/>
    </w:rPr>
  </w:style>
  <w:style w:type="paragraph" w:customStyle="1" w:styleId="T3B3">
    <w:name w:val="T3B3"/>
    <w:basedOn w:val="ANEXO3"/>
    <w:link w:val="T3B3Car"/>
    <w:uiPriority w:val="99"/>
    <w:rsid w:val="00511767"/>
    <w:pPr>
      <w:numPr>
        <w:numId w:val="14"/>
      </w:numPr>
      <w:tabs>
        <w:tab w:val="num" w:pos="1295"/>
        <w:tab w:val="num" w:pos="1802"/>
        <w:tab w:val="num" w:pos="2160"/>
        <w:tab w:val="num" w:pos="2509"/>
        <w:tab w:val="num" w:pos="3011"/>
      </w:tabs>
      <w:spacing w:after="240"/>
      <w:ind w:left="1288" w:hanging="360"/>
    </w:pPr>
    <w:rPr>
      <w:lang w:val="es-UY" w:eastAsia="es-ES"/>
    </w:rPr>
  </w:style>
  <w:style w:type="character" w:customStyle="1" w:styleId="T3B2Car">
    <w:name w:val="T3B2 Car"/>
    <w:basedOn w:val="T2AAAACar"/>
    <w:link w:val="T3B2"/>
    <w:uiPriority w:val="99"/>
    <w:locked/>
    <w:rsid w:val="0055702D"/>
    <w:rPr>
      <w:rFonts w:ascii="Arial" w:hAnsi="Arial" w:cs="Arial"/>
      <w:b/>
      <w:bCs/>
      <w:sz w:val="21"/>
      <w:szCs w:val="21"/>
      <w:lang w:val="es-ES_tradnl" w:eastAsia="es-ES"/>
    </w:rPr>
  </w:style>
  <w:style w:type="paragraph" w:customStyle="1" w:styleId="T3B4">
    <w:name w:val="T3B4"/>
    <w:basedOn w:val="T2A8"/>
    <w:link w:val="T3B4Car"/>
    <w:uiPriority w:val="99"/>
    <w:rsid w:val="004B0DCB"/>
    <w:pPr>
      <w:numPr>
        <w:ilvl w:val="2"/>
      </w:numPr>
      <w:tabs>
        <w:tab w:val="num" w:pos="2160"/>
      </w:tabs>
      <w:ind w:left="1080" w:hanging="720"/>
    </w:pPr>
    <w:rPr>
      <w:lang w:val="es-ES_tradnl"/>
    </w:rPr>
  </w:style>
  <w:style w:type="character" w:customStyle="1" w:styleId="T3B3Car">
    <w:name w:val="T3B3 Car"/>
    <w:basedOn w:val="ANEXO3Car"/>
    <w:link w:val="T3B3"/>
    <w:uiPriority w:val="99"/>
    <w:locked/>
    <w:rsid w:val="00511767"/>
    <w:rPr>
      <w:rFonts w:ascii="Arial" w:eastAsia="Times New Roman" w:hAnsi="Arial" w:cs="Arial"/>
      <w:b/>
      <w:bCs/>
      <w:sz w:val="20"/>
      <w:szCs w:val="20"/>
      <w:lang w:val="es-ES" w:eastAsia="es-ES"/>
    </w:rPr>
  </w:style>
  <w:style w:type="paragraph" w:customStyle="1" w:styleId="T4">
    <w:name w:val="T4"/>
    <w:basedOn w:val="T3B4"/>
    <w:link w:val="T4Car"/>
    <w:uiPriority w:val="99"/>
    <w:rsid w:val="00585A53"/>
    <w:pPr>
      <w:numPr>
        <w:ilvl w:val="3"/>
      </w:numPr>
      <w:tabs>
        <w:tab w:val="num" w:pos="2880"/>
      </w:tabs>
      <w:ind w:left="2880"/>
    </w:pPr>
  </w:style>
  <w:style w:type="character" w:customStyle="1" w:styleId="T3B4Car">
    <w:name w:val="T3B4 Car"/>
    <w:basedOn w:val="T2A8Car"/>
    <w:link w:val="T3B4"/>
    <w:uiPriority w:val="99"/>
    <w:locked/>
    <w:rsid w:val="004B0DCB"/>
    <w:rPr>
      <w:rFonts w:ascii="Arial" w:eastAsia="Times New Roman" w:hAnsi="Arial" w:cs="Arial"/>
      <w:b/>
      <w:bCs/>
      <w:caps/>
      <w:sz w:val="20"/>
      <w:szCs w:val="20"/>
      <w:lang w:val="es-ES_tradnl" w:eastAsia="es-ES"/>
    </w:rPr>
  </w:style>
  <w:style w:type="character" w:customStyle="1" w:styleId="T4Car">
    <w:name w:val="T4 Car"/>
    <w:basedOn w:val="T3B4Car"/>
    <w:link w:val="T4"/>
    <w:uiPriority w:val="99"/>
    <w:locked/>
    <w:rsid w:val="00585A53"/>
    <w:rPr>
      <w:rFonts w:ascii="Arial" w:eastAsia="Times New Roman" w:hAnsi="Arial" w:cs="Arial"/>
      <w:b/>
      <w:bCs/>
      <w:caps/>
      <w:sz w:val="20"/>
      <w:szCs w:val="20"/>
      <w:lang w:val="es-ES_tradnl" w:eastAsia="es-ES"/>
    </w:rPr>
  </w:style>
  <w:style w:type="numbering" w:customStyle="1" w:styleId="Estilo7">
    <w:name w:val="Estilo7"/>
    <w:rsid w:val="00CC0628"/>
    <w:pPr>
      <w:numPr>
        <w:numId w:val="83"/>
      </w:numPr>
    </w:pPr>
  </w:style>
  <w:style w:type="numbering" w:customStyle="1" w:styleId="EstiloConvietasCourierNewIzquierda063cmSangrafrance">
    <w:name w:val="Estilo Con viñetas Courier New Izquierda:  063 cm Sangría france..."/>
    <w:rsid w:val="00CC0628"/>
    <w:pPr>
      <w:numPr>
        <w:numId w:val="26"/>
      </w:numPr>
    </w:pPr>
  </w:style>
  <w:style w:type="paragraph" w:customStyle="1" w:styleId="Prrafodelista5">
    <w:name w:val="Párrafo de lista5"/>
    <w:basedOn w:val="Normal"/>
    <w:rsid w:val="00BB10B5"/>
    <w:pPr>
      <w:ind w:left="720"/>
    </w:pPr>
    <w:rPr>
      <w:rFonts w:cs="Times New Roman"/>
    </w:rPr>
  </w:style>
  <w:style w:type="paragraph" w:styleId="Revisin">
    <w:name w:val="Revision"/>
    <w:hidden/>
    <w:uiPriority w:val="99"/>
    <w:semiHidden/>
    <w:rsid w:val="007120CE"/>
    <w:rPr>
      <w:rFonts w:eastAsia="Times New Roman" w:cs="Calibri"/>
      <w:lang w:val="es-ES" w:eastAsia="en-US"/>
    </w:rPr>
  </w:style>
  <w:style w:type="numbering" w:customStyle="1" w:styleId="Estilo8">
    <w:name w:val="Estilo8"/>
    <w:rsid w:val="005A11FF"/>
    <w:pPr>
      <w:numPr>
        <w:numId w:val="97"/>
      </w:numPr>
    </w:pPr>
  </w:style>
  <w:style w:type="paragraph" w:styleId="Sinespaciado">
    <w:name w:val="No Spacing"/>
    <w:uiPriority w:val="1"/>
    <w:qFormat/>
    <w:rsid w:val="00916100"/>
    <w:rPr>
      <w:rFonts w:eastAsia="Times New Roman" w:cs="Calibri"/>
      <w:lang w:val="es-ES" w:eastAsia="en-US"/>
    </w:rPr>
  </w:style>
  <w:style w:type="numbering" w:customStyle="1" w:styleId="WWNum220">
    <w:name w:val="WWNum220"/>
    <w:basedOn w:val="Sinlista"/>
    <w:rsid w:val="006219E6"/>
    <w:pPr>
      <w:numPr>
        <w:numId w:val="141"/>
      </w:numPr>
    </w:pPr>
  </w:style>
  <w:style w:type="numbering" w:customStyle="1" w:styleId="WWNum2201">
    <w:name w:val="WWNum2201"/>
    <w:basedOn w:val="Sinlista"/>
    <w:rsid w:val="006219E6"/>
  </w:style>
  <w:style w:type="character" w:styleId="Textodelmarcadordeposicin">
    <w:name w:val="Placeholder Text"/>
    <w:basedOn w:val="Fuentedeprrafopredeter"/>
    <w:uiPriority w:val="99"/>
    <w:semiHidden/>
    <w:rsid w:val="001F5A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33870">
      <w:bodyDiv w:val="1"/>
      <w:marLeft w:val="0"/>
      <w:marRight w:val="0"/>
      <w:marTop w:val="0"/>
      <w:marBottom w:val="0"/>
      <w:divBdr>
        <w:top w:val="none" w:sz="0" w:space="0" w:color="auto"/>
        <w:left w:val="none" w:sz="0" w:space="0" w:color="auto"/>
        <w:bottom w:val="none" w:sz="0" w:space="0" w:color="auto"/>
        <w:right w:val="none" w:sz="0" w:space="0" w:color="auto"/>
      </w:divBdr>
    </w:div>
    <w:div w:id="211036503">
      <w:marLeft w:val="0"/>
      <w:marRight w:val="0"/>
      <w:marTop w:val="0"/>
      <w:marBottom w:val="0"/>
      <w:divBdr>
        <w:top w:val="none" w:sz="0" w:space="0" w:color="auto"/>
        <w:left w:val="none" w:sz="0" w:space="0" w:color="auto"/>
        <w:bottom w:val="none" w:sz="0" w:space="0" w:color="auto"/>
        <w:right w:val="none" w:sz="0" w:space="0" w:color="auto"/>
      </w:divBdr>
    </w:div>
    <w:div w:id="211036504">
      <w:marLeft w:val="0"/>
      <w:marRight w:val="0"/>
      <w:marTop w:val="0"/>
      <w:marBottom w:val="0"/>
      <w:divBdr>
        <w:top w:val="none" w:sz="0" w:space="0" w:color="auto"/>
        <w:left w:val="none" w:sz="0" w:space="0" w:color="auto"/>
        <w:bottom w:val="none" w:sz="0" w:space="0" w:color="auto"/>
        <w:right w:val="none" w:sz="0" w:space="0" w:color="auto"/>
      </w:divBdr>
    </w:div>
    <w:div w:id="211036505">
      <w:marLeft w:val="0"/>
      <w:marRight w:val="0"/>
      <w:marTop w:val="0"/>
      <w:marBottom w:val="0"/>
      <w:divBdr>
        <w:top w:val="none" w:sz="0" w:space="0" w:color="auto"/>
        <w:left w:val="none" w:sz="0" w:space="0" w:color="auto"/>
        <w:bottom w:val="none" w:sz="0" w:space="0" w:color="auto"/>
        <w:right w:val="none" w:sz="0" w:space="0" w:color="auto"/>
      </w:divBdr>
    </w:div>
    <w:div w:id="211036506">
      <w:marLeft w:val="0"/>
      <w:marRight w:val="0"/>
      <w:marTop w:val="0"/>
      <w:marBottom w:val="0"/>
      <w:divBdr>
        <w:top w:val="none" w:sz="0" w:space="0" w:color="auto"/>
        <w:left w:val="none" w:sz="0" w:space="0" w:color="auto"/>
        <w:bottom w:val="none" w:sz="0" w:space="0" w:color="auto"/>
        <w:right w:val="none" w:sz="0" w:space="0" w:color="auto"/>
      </w:divBdr>
    </w:div>
    <w:div w:id="211036507">
      <w:marLeft w:val="0"/>
      <w:marRight w:val="0"/>
      <w:marTop w:val="0"/>
      <w:marBottom w:val="0"/>
      <w:divBdr>
        <w:top w:val="none" w:sz="0" w:space="0" w:color="auto"/>
        <w:left w:val="none" w:sz="0" w:space="0" w:color="auto"/>
        <w:bottom w:val="none" w:sz="0" w:space="0" w:color="auto"/>
        <w:right w:val="none" w:sz="0" w:space="0" w:color="auto"/>
      </w:divBdr>
    </w:div>
    <w:div w:id="211036508">
      <w:marLeft w:val="0"/>
      <w:marRight w:val="0"/>
      <w:marTop w:val="0"/>
      <w:marBottom w:val="0"/>
      <w:divBdr>
        <w:top w:val="none" w:sz="0" w:space="0" w:color="auto"/>
        <w:left w:val="none" w:sz="0" w:space="0" w:color="auto"/>
        <w:bottom w:val="none" w:sz="0" w:space="0" w:color="auto"/>
        <w:right w:val="none" w:sz="0" w:space="0" w:color="auto"/>
      </w:divBdr>
    </w:div>
    <w:div w:id="277876888">
      <w:bodyDiv w:val="1"/>
      <w:marLeft w:val="0"/>
      <w:marRight w:val="0"/>
      <w:marTop w:val="0"/>
      <w:marBottom w:val="0"/>
      <w:divBdr>
        <w:top w:val="none" w:sz="0" w:space="0" w:color="auto"/>
        <w:left w:val="none" w:sz="0" w:space="0" w:color="auto"/>
        <w:bottom w:val="none" w:sz="0" w:space="0" w:color="auto"/>
        <w:right w:val="none" w:sz="0" w:space="0" w:color="auto"/>
      </w:divBdr>
    </w:div>
    <w:div w:id="334918076">
      <w:bodyDiv w:val="1"/>
      <w:marLeft w:val="0"/>
      <w:marRight w:val="0"/>
      <w:marTop w:val="0"/>
      <w:marBottom w:val="0"/>
      <w:divBdr>
        <w:top w:val="none" w:sz="0" w:space="0" w:color="auto"/>
        <w:left w:val="none" w:sz="0" w:space="0" w:color="auto"/>
        <w:bottom w:val="none" w:sz="0" w:space="0" w:color="auto"/>
        <w:right w:val="none" w:sz="0" w:space="0" w:color="auto"/>
      </w:divBdr>
    </w:div>
    <w:div w:id="406263895">
      <w:bodyDiv w:val="1"/>
      <w:marLeft w:val="0"/>
      <w:marRight w:val="0"/>
      <w:marTop w:val="0"/>
      <w:marBottom w:val="0"/>
      <w:divBdr>
        <w:top w:val="none" w:sz="0" w:space="0" w:color="auto"/>
        <w:left w:val="none" w:sz="0" w:space="0" w:color="auto"/>
        <w:bottom w:val="none" w:sz="0" w:space="0" w:color="auto"/>
        <w:right w:val="none" w:sz="0" w:space="0" w:color="auto"/>
      </w:divBdr>
    </w:div>
    <w:div w:id="450831220">
      <w:bodyDiv w:val="1"/>
      <w:marLeft w:val="0"/>
      <w:marRight w:val="0"/>
      <w:marTop w:val="0"/>
      <w:marBottom w:val="0"/>
      <w:divBdr>
        <w:top w:val="none" w:sz="0" w:space="0" w:color="auto"/>
        <w:left w:val="none" w:sz="0" w:space="0" w:color="auto"/>
        <w:bottom w:val="none" w:sz="0" w:space="0" w:color="auto"/>
        <w:right w:val="none" w:sz="0" w:space="0" w:color="auto"/>
      </w:divBdr>
    </w:div>
    <w:div w:id="455029046">
      <w:bodyDiv w:val="1"/>
      <w:marLeft w:val="0"/>
      <w:marRight w:val="0"/>
      <w:marTop w:val="0"/>
      <w:marBottom w:val="0"/>
      <w:divBdr>
        <w:top w:val="none" w:sz="0" w:space="0" w:color="auto"/>
        <w:left w:val="none" w:sz="0" w:space="0" w:color="auto"/>
        <w:bottom w:val="none" w:sz="0" w:space="0" w:color="auto"/>
        <w:right w:val="none" w:sz="0" w:space="0" w:color="auto"/>
      </w:divBdr>
    </w:div>
    <w:div w:id="471407535">
      <w:bodyDiv w:val="1"/>
      <w:marLeft w:val="0"/>
      <w:marRight w:val="0"/>
      <w:marTop w:val="0"/>
      <w:marBottom w:val="0"/>
      <w:divBdr>
        <w:top w:val="none" w:sz="0" w:space="0" w:color="auto"/>
        <w:left w:val="none" w:sz="0" w:space="0" w:color="auto"/>
        <w:bottom w:val="none" w:sz="0" w:space="0" w:color="auto"/>
        <w:right w:val="none" w:sz="0" w:space="0" w:color="auto"/>
      </w:divBdr>
    </w:div>
    <w:div w:id="491139590">
      <w:bodyDiv w:val="1"/>
      <w:marLeft w:val="0"/>
      <w:marRight w:val="0"/>
      <w:marTop w:val="0"/>
      <w:marBottom w:val="0"/>
      <w:divBdr>
        <w:top w:val="none" w:sz="0" w:space="0" w:color="auto"/>
        <w:left w:val="none" w:sz="0" w:space="0" w:color="auto"/>
        <w:bottom w:val="none" w:sz="0" w:space="0" w:color="auto"/>
        <w:right w:val="none" w:sz="0" w:space="0" w:color="auto"/>
      </w:divBdr>
    </w:div>
    <w:div w:id="524365649">
      <w:bodyDiv w:val="1"/>
      <w:marLeft w:val="0"/>
      <w:marRight w:val="0"/>
      <w:marTop w:val="0"/>
      <w:marBottom w:val="0"/>
      <w:divBdr>
        <w:top w:val="none" w:sz="0" w:space="0" w:color="auto"/>
        <w:left w:val="none" w:sz="0" w:space="0" w:color="auto"/>
        <w:bottom w:val="none" w:sz="0" w:space="0" w:color="auto"/>
        <w:right w:val="none" w:sz="0" w:space="0" w:color="auto"/>
      </w:divBdr>
    </w:div>
    <w:div w:id="561259363">
      <w:bodyDiv w:val="1"/>
      <w:marLeft w:val="0"/>
      <w:marRight w:val="0"/>
      <w:marTop w:val="0"/>
      <w:marBottom w:val="0"/>
      <w:divBdr>
        <w:top w:val="none" w:sz="0" w:space="0" w:color="auto"/>
        <w:left w:val="none" w:sz="0" w:space="0" w:color="auto"/>
        <w:bottom w:val="none" w:sz="0" w:space="0" w:color="auto"/>
        <w:right w:val="none" w:sz="0" w:space="0" w:color="auto"/>
      </w:divBdr>
    </w:div>
    <w:div w:id="724060037">
      <w:bodyDiv w:val="1"/>
      <w:marLeft w:val="0"/>
      <w:marRight w:val="0"/>
      <w:marTop w:val="0"/>
      <w:marBottom w:val="0"/>
      <w:divBdr>
        <w:top w:val="none" w:sz="0" w:space="0" w:color="auto"/>
        <w:left w:val="none" w:sz="0" w:space="0" w:color="auto"/>
        <w:bottom w:val="none" w:sz="0" w:space="0" w:color="auto"/>
        <w:right w:val="none" w:sz="0" w:space="0" w:color="auto"/>
      </w:divBdr>
    </w:div>
    <w:div w:id="752045801">
      <w:bodyDiv w:val="1"/>
      <w:marLeft w:val="0"/>
      <w:marRight w:val="0"/>
      <w:marTop w:val="0"/>
      <w:marBottom w:val="0"/>
      <w:divBdr>
        <w:top w:val="none" w:sz="0" w:space="0" w:color="auto"/>
        <w:left w:val="none" w:sz="0" w:space="0" w:color="auto"/>
        <w:bottom w:val="none" w:sz="0" w:space="0" w:color="auto"/>
        <w:right w:val="none" w:sz="0" w:space="0" w:color="auto"/>
      </w:divBdr>
    </w:div>
    <w:div w:id="759057504">
      <w:bodyDiv w:val="1"/>
      <w:marLeft w:val="0"/>
      <w:marRight w:val="0"/>
      <w:marTop w:val="0"/>
      <w:marBottom w:val="0"/>
      <w:divBdr>
        <w:top w:val="none" w:sz="0" w:space="0" w:color="auto"/>
        <w:left w:val="none" w:sz="0" w:space="0" w:color="auto"/>
        <w:bottom w:val="none" w:sz="0" w:space="0" w:color="auto"/>
        <w:right w:val="none" w:sz="0" w:space="0" w:color="auto"/>
      </w:divBdr>
    </w:div>
    <w:div w:id="821048897">
      <w:bodyDiv w:val="1"/>
      <w:marLeft w:val="0"/>
      <w:marRight w:val="0"/>
      <w:marTop w:val="0"/>
      <w:marBottom w:val="0"/>
      <w:divBdr>
        <w:top w:val="none" w:sz="0" w:space="0" w:color="auto"/>
        <w:left w:val="none" w:sz="0" w:space="0" w:color="auto"/>
        <w:bottom w:val="none" w:sz="0" w:space="0" w:color="auto"/>
        <w:right w:val="none" w:sz="0" w:space="0" w:color="auto"/>
      </w:divBdr>
    </w:div>
    <w:div w:id="840045953">
      <w:bodyDiv w:val="1"/>
      <w:marLeft w:val="0"/>
      <w:marRight w:val="0"/>
      <w:marTop w:val="0"/>
      <w:marBottom w:val="0"/>
      <w:divBdr>
        <w:top w:val="none" w:sz="0" w:space="0" w:color="auto"/>
        <w:left w:val="none" w:sz="0" w:space="0" w:color="auto"/>
        <w:bottom w:val="none" w:sz="0" w:space="0" w:color="auto"/>
        <w:right w:val="none" w:sz="0" w:space="0" w:color="auto"/>
      </w:divBdr>
    </w:div>
    <w:div w:id="946500184">
      <w:bodyDiv w:val="1"/>
      <w:marLeft w:val="0"/>
      <w:marRight w:val="0"/>
      <w:marTop w:val="0"/>
      <w:marBottom w:val="0"/>
      <w:divBdr>
        <w:top w:val="none" w:sz="0" w:space="0" w:color="auto"/>
        <w:left w:val="none" w:sz="0" w:space="0" w:color="auto"/>
        <w:bottom w:val="none" w:sz="0" w:space="0" w:color="auto"/>
        <w:right w:val="none" w:sz="0" w:space="0" w:color="auto"/>
      </w:divBdr>
    </w:div>
    <w:div w:id="1019702340">
      <w:bodyDiv w:val="1"/>
      <w:marLeft w:val="0"/>
      <w:marRight w:val="0"/>
      <w:marTop w:val="0"/>
      <w:marBottom w:val="0"/>
      <w:divBdr>
        <w:top w:val="none" w:sz="0" w:space="0" w:color="auto"/>
        <w:left w:val="none" w:sz="0" w:space="0" w:color="auto"/>
        <w:bottom w:val="none" w:sz="0" w:space="0" w:color="auto"/>
        <w:right w:val="none" w:sz="0" w:space="0" w:color="auto"/>
      </w:divBdr>
    </w:div>
    <w:div w:id="1187989682">
      <w:bodyDiv w:val="1"/>
      <w:marLeft w:val="0"/>
      <w:marRight w:val="0"/>
      <w:marTop w:val="0"/>
      <w:marBottom w:val="0"/>
      <w:divBdr>
        <w:top w:val="none" w:sz="0" w:space="0" w:color="auto"/>
        <w:left w:val="none" w:sz="0" w:space="0" w:color="auto"/>
        <w:bottom w:val="none" w:sz="0" w:space="0" w:color="auto"/>
        <w:right w:val="none" w:sz="0" w:space="0" w:color="auto"/>
      </w:divBdr>
    </w:div>
    <w:div w:id="1293487174">
      <w:bodyDiv w:val="1"/>
      <w:marLeft w:val="0"/>
      <w:marRight w:val="0"/>
      <w:marTop w:val="0"/>
      <w:marBottom w:val="0"/>
      <w:divBdr>
        <w:top w:val="none" w:sz="0" w:space="0" w:color="auto"/>
        <w:left w:val="none" w:sz="0" w:space="0" w:color="auto"/>
        <w:bottom w:val="none" w:sz="0" w:space="0" w:color="auto"/>
        <w:right w:val="none" w:sz="0" w:space="0" w:color="auto"/>
      </w:divBdr>
    </w:div>
    <w:div w:id="1404840221">
      <w:bodyDiv w:val="1"/>
      <w:marLeft w:val="0"/>
      <w:marRight w:val="0"/>
      <w:marTop w:val="0"/>
      <w:marBottom w:val="0"/>
      <w:divBdr>
        <w:top w:val="none" w:sz="0" w:space="0" w:color="auto"/>
        <w:left w:val="none" w:sz="0" w:space="0" w:color="auto"/>
        <w:bottom w:val="none" w:sz="0" w:space="0" w:color="auto"/>
        <w:right w:val="none" w:sz="0" w:space="0" w:color="auto"/>
      </w:divBdr>
    </w:div>
    <w:div w:id="1451120256">
      <w:bodyDiv w:val="1"/>
      <w:marLeft w:val="0"/>
      <w:marRight w:val="0"/>
      <w:marTop w:val="0"/>
      <w:marBottom w:val="0"/>
      <w:divBdr>
        <w:top w:val="none" w:sz="0" w:space="0" w:color="auto"/>
        <w:left w:val="none" w:sz="0" w:space="0" w:color="auto"/>
        <w:bottom w:val="none" w:sz="0" w:space="0" w:color="auto"/>
        <w:right w:val="none" w:sz="0" w:space="0" w:color="auto"/>
      </w:divBdr>
    </w:div>
    <w:div w:id="1485270818">
      <w:bodyDiv w:val="1"/>
      <w:marLeft w:val="0"/>
      <w:marRight w:val="0"/>
      <w:marTop w:val="0"/>
      <w:marBottom w:val="0"/>
      <w:divBdr>
        <w:top w:val="none" w:sz="0" w:space="0" w:color="auto"/>
        <w:left w:val="none" w:sz="0" w:space="0" w:color="auto"/>
        <w:bottom w:val="none" w:sz="0" w:space="0" w:color="auto"/>
        <w:right w:val="none" w:sz="0" w:space="0" w:color="auto"/>
      </w:divBdr>
    </w:div>
    <w:div w:id="1540438910">
      <w:bodyDiv w:val="1"/>
      <w:marLeft w:val="0"/>
      <w:marRight w:val="0"/>
      <w:marTop w:val="0"/>
      <w:marBottom w:val="0"/>
      <w:divBdr>
        <w:top w:val="none" w:sz="0" w:space="0" w:color="auto"/>
        <w:left w:val="none" w:sz="0" w:space="0" w:color="auto"/>
        <w:bottom w:val="none" w:sz="0" w:space="0" w:color="auto"/>
        <w:right w:val="none" w:sz="0" w:space="0" w:color="auto"/>
      </w:divBdr>
    </w:div>
    <w:div w:id="1574584628">
      <w:bodyDiv w:val="1"/>
      <w:marLeft w:val="0"/>
      <w:marRight w:val="0"/>
      <w:marTop w:val="0"/>
      <w:marBottom w:val="0"/>
      <w:divBdr>
        <w:top w:val="none" w:sz="0" w:space="0" w:color="auto"/>
        <w:left w:val="none" w:sz="0" w:space="0" w:color="auto"/>
        <w:bottom w:val="none" w:sz="0" w:space="0" w:color="auto"/>
        <w:right w:val="none" w:sz="0" w:space="0" w:color="auto"/>
      </w:divBdr>
    </w:div>
    <w:div w:id="1575701816">
      <w:bodyDiv w:val="1"/>
      <w:marLeft w:val="0"/>
      <w:marRight w:val="0"/>
      <w:marTop w:val="0"/>
      <w:marBottom w:val="0"/>
      <w:divBdr>
        <w:top w:val="none" w:sz="0" w:space="0" w:color="auto"/>
        <w:left w:val="none" w:sz="0" w:space="0" w:color="auto"/>
        <w:bottom w:val="none" w:sz="0" w:space="0" w:color="auto"/>
        <w:right w:val="none" w:sz="0" w:space="0" w:color="auto"/>
      </w:divBdr>
    </w:div>
    <w:div w:id="1584490194">
      <w:bodyDiv w:val="1"/>
      <w:marLeft w:val="0"/>
      <w:marRight w:val="0"/>
      <w:marTop w:val="0"/>
      <w:marBottom w:val="0"/>
      <w:divBdr>
        <w:top w:val="none" w:sz="0" w:space="0" w:color="auto"/>
        <w:left w:val="none" w:sz="0" w:space="0" w:color="auto"/>
        <w:bottom w:val="none" w:sz="0" w:space="0" w:color="auto"/>
        <w:right w:val="none" w:sz="0" w:space="0" w:color="auto"/>
      </w:divBdr>
    </w:div>
    <w:div w:id="1687364069">
      <w:bodyDiv w:val="1"/>
      <w:marLeft w:val="0"/>
      <w:marRight w:val="0"/>
      <w:marTop w:val="0"/>
      <w:marBottom w:val="0"/>
      <w:divBdr>
        <w:top w:val="none" w:sz="0" w:space="0" w:color="auto"/>
        <w:left w:val="none" w:sz="0" w:space="0" w:color="auto"/>
        <w:bottom w:val="none" w:sz="0" w:space="0" w:color="auto"/>
        <w:right w:val="none" w:sz="0" w:space="0" w:color="auto"/>
      </w:divBdr>
    </w:div>
    <w:div w:id="1688753644">
      <w:bodyDiv w:val="1"/>
      <w:marLeft w:val="0"/>
      <w:marRight w:val="0"/>
      <w:marTop w:val="0"/>
      <w:marBottom w:val="0"/>
      <w:divBdr>
        <w:top w:val="none" w:sz="0" w:space="0" w:color="auto"/>
        <w:left w:val="none" w:sz="0" w:space="0" w:color="auto"/>
        <w:bottom w:val="none" w:sz="0" w:space="0" w:color="auto"/>
        <w:right w:val="none" w:sz="0" w:space="0" w:color="auto"/>
      </w:divBdr>
    </w:div>
    <w:div w:id="1827818753">
      <w:bodyDiv w:val="1"/>
      <w:marLeft w:val="0"/>
      <w:marRight w:val="0"/>
      <w:marTop w:val="0"/>
      <w:marBottom w:val="0"/>
      <w:divBdr>
        <w:top w:val="none" w:sz="0" w:space="0" w:color="auto"/>
        <w:left w:val="none" w:sz="0" w:space="0" w:color="auto"/>
        <w:bottom w:val="none" w:sz="0" w:space="0" w:color="auto"/>
        <w:right w:val="none" w:sz="0" w:space="0" w:color="auto"/>
      </w:divBdr>
    </w:div>
    <w:div w:id="1897156780">
      <w:bodyDiv w:val="1"/>
      <w:marLeft w:val="0"/>
      <w:marRight w:val="0"/>
      <w:marTop w:val="0"/>
      <w:marBottom w:val="0"/>
      <w:divBdr>
        <w:top w:val="none" w:sz="0" w:space="0" w:color="auto"/>
        <w:left w:val="none" w:sz="0" w:space="0" w:color="auto"/>
        <w:bottom w:val="none" w:sz="0" w:space="0" w:color="auto"/>
        <w:right w:val="none" w:sz="0" w:space="0" w:color="auto"/>
      </w:divBdr>
    </w:div>
    <w:div w:id="1908806821">
      <w:bodyDiv w:val="1"/>
      <w:marLeft w:val="0"/>
      <w:marRight w:val="0"/>
      <w:marTop w:val="0"/>
      <w:marBottom w:val="0"/>
      <w:divBdr>
        <w:top w:val="none" w:sz="0" w:space="0" w:color="auto"/>
        <w:left w:val="none" w:sz="0" w:space="0" w:color="auto"/>
        <w:bottom w:val="none" w:sz="0" w:space="0" w:color="auto"/>
        <w:right w:val="none" w:sz="0" w:space="0" w:color="auto"/>
      </w:divBdr>
    </w:div>
    <w:div w:id="1954970543">
      <w:bodyDiv w:val="1"/>
      <w:marLeft w:val="0"/>
      <w:marRight w:val="0"/>
      <w:marTop w:val="0"/>
      <w:marBottom w:val="0"/>
      <w:divBdr>
        <w:top w:val="none" w:sz="0" w:space="0" w:color="auto"/>
        <w:left w:val="none" w:sz="0" w:space="0" w:color="auto"/>
        <w:bottom w:val="none" w:sz="0" w:space="0" w:color="auto"/>
        <w:right w:val="none" w:sz="0" w:space="0" w:color="auto"/>
      </w:divBdr>
    </w:div>
    <w:div w:id="2000494503">
      <w:bodyDiv w:val="1"/>
      <w:marLeft w:val="0"/>
      <w:marRight w:val="0"/>
      <w:marTop w:val="0"/>
      <w:marBottom w:val="0"/>
      <w:divBdr>
        <w:top w:val="none" w:sz="0" w:space="0" w:color="auto"/>
        <w:left w:val="none" w:sz="0" w:space="0" w:color="auto"/>
        <w:bottom w:val="none" w:sz="0" w:space="0" w:color="auto"/>
        <w:right w:val="none" w:sz="0" w:space="0" w:color="auto"/>
      </w:divBdr>
    </w:div>
    <w:div w:id="2118480281">
      <w:bodyDiv w:val="1"/>
      <w:marLeft w:val="0"/>
      <w:marRight w:val="0"/>
      <w:marTop w:val="0"/>
      <w:marBottom w:val="0"/>
      <w:divBdr>
        <w:top w:val="none" w:sz="0" w:space="0" w:color="auto"/>
        <w:left w:val="none" w:sz="0" w:space="0" w:color="auto"/>
        <w:bottom w:val="none" w:sz="0" w:space="0" w:color="auto"/>
        <w:right w:val="none" w:sz="0" w:space="0" w:color="auto"/>
      </w:divBdr>
    </w:div>
    <w:div w:id="2138255327">
      <w:bodyDiv w:val="1"/>
      <w:marLeft w:val="0"/>
      <w:marRight w:val="0"/>
      <w:marTop w:val="0"/>
      <w:marBottom w:val="0"/>
      <w:divBdr>
        <w:top w:val="none" w:sz="0" w:space="0" w:color="auto"/>
        <w:left w:val="none" w:sz="0" w:space="0" w:color="auto"/>
        <w:bottom w:val="none" w:sz="0" w:space="0" w:color="auto"/>
        <w:right w:val="none" w:sz="0" w:space="0" w:color="auto"/>
      </w:divBdr>
    </w:div>
    <w:div w:id="214692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1" Type="http://schemas.openxmlformats.org/officeDocument/2006/relationships/hyperlink" Target="http://www.impo.com.uy/bases/decretos/181-2015" TargetMode="External"/><Relationship Id="rId42" Type="http://schemas.openxmlformats.org/officeDocument/2006/relationships/hyperlink" Target="http://www.impo.com.uy/bases/decretos/162-2004" TargetMode="External"/><Relationship Id="rId63" Type="http://schemas.openxmlformats.org/officeDocument/2006/relationships/hyperlink" Target="http://www.impo.com.uy/bases/decretos/17-2012/71" TargetMode="External"/><Relationship Id="rId84" Type="http://schemas.openxmlformats.org/officeDocument/2006/relationships/hyperlink" Target="http://www.impo.com.uy/bases/leyes/18251-2008" TargetMode="External"/><Relationship Id="rId138" Type="http://schemas.openxmlformats.org/officeDocument/2006/relationships/header" Target="header10.xml"/><Relationship Id="rId159" Type="http://schemas.openxmlformats.org/officeDocument/2006/relationships/header" Target="header19.xml"/><Relationship Id="rId170" Type="http://schemas.openxmlformats.org/officeDocument/2006/relationships/image" Target="media/image39.wmf"/><Relationship Id="rId191" Type="http://schemas.openxmlformats.org/officeDocument/2006/relationships/image" Target="media/image52.emf"/><Relationship Id="rId107" Type="http://schemas.openxmlformats.org/officeDocument/2006/relationships/image" Target="media/image14.emf"/><Relationship Id="rId11" Type="http://schemas.openxmlformats.org/officeDocument/2006/relationships/image" Target="media/image1.jpeg"/><Relationship Id="rId32" Type="http://schemas.openxmlformats.org/officeDocument/2006/relationships/hyperlink" Target="http://www.impo.com.uy/bases/leyes/18786-2011/33" TargetMode="External"/><Relationship Id="rId53" Type="http://schemas.openxmlformats.org/officeDocument/2006/relationships/hyperlink" Target="http://www.impo.com.uy/bases/decretos/251-2015/3" TargetMode="External"/><Relationship Id="rId74" Type="http://schemas.openxmlformats.org/officeDocument/2006/relationships/hyperlink" Target="http://www.impo.com.uy/bases/decretos/17-2012/66" TargetMode="External"/><Relationship Id="rId128" Type="http://schemas.openxmlformats.org/officeDocument/2006/relationships/image" Target="media/image24.png"/><Relationship Id="rId149" Type="http://schemas.openxmlformats.org/officeDocument/2006/relationships/image" Target="media/image38.wmf"/><Relationship Id="rId5" Type="http://schemas.openxmlformats.org/officeDocument/2006/relationships/numbering" Target="numbering.xml"/><Relationship Id="rId95" Type="http://schemas.openxmlformats.org/officeDocument/2006/relationships/hyperlink" Target="http://www.impo.com.uy/bases/leyes/15982-1988/480" TargetMode="External"/><Relationship Id="rId160" Type="http://schemas.openxmlformats.org/officeDocument/2006/relationships/footer" Target="footer7.xml"/><Relationship Id="rId181" Type="http://schemas.openxmlformats.org/officeDocument/2006/relationships/oleObject" Target="embeddings/oleObject10.bin"/><Relationship Id="rId22" Type="http://schemas.openxmlformats.org/officeDocument/2006/relationships/hyperlink" Target="http://www.impo.com.uy/bases/decretos/251-2015" TargetMode="External"/><Relationship Id="rId43" Type="http://schemas.openxmlformats.org/officeDocument/2006/relationships/hyperlink" Target="http://www.impo.com.uy/bases/decretos/222-2004" TargetMode="External"/><Relationship Id="rId64" Type="http://schemas.openxmlformats.org/officeDocument/2006/relationships/hyperlink" Target="http://www.impo.com.uy/bases/decretos/17-2012" TargetMode="External"/><Relationship Id="rId118" Type="http://schemas.openxmlformats.org/officeDocument/2006/relationships/header" Target="header4.xml"/><Relationship Id="rId139" Type="http://schemas.openxmlformats.org/officeDocument/2006/relationships/footer" Target="footer5.xml"/><Relationship Id="rId85" Type="http://schemas.openxmlformats.org/officeDocument/2006/relationships/hyperlink" Target="http://www.impo.com.uy/bases/leyes/16713-1995/87" TargetMode="External"/><Relationship Id="rId150" Type="http://schemas.openxmlformats.org/officeDocument/2006/relationships/oleObject" Target="embeddings/oleObject7.bin"/><Relationship Id="rId171" Type="http://schemas.openxmlformats.org/officeDocument/2006/relationships/oleObject" Target="embeddings/oleObject8.bin"/><Relationship Id="rId192" Type="http://schemas.openxmlformats.org/officeDocument/2006/relationships/image" Target="media/image53.emf"/><Relationship Id="rId12" Type="http://schemas.openxmlformats.org/officeDocument/2006/relationships/header" Target="header1.xml"/><Relationship Id="rId33" Type="http://schemas.openxmlformats.org/officeDocument/2006/relationships/hyperlink" Target="http://www.impo.com.uy/bases/decretos/17-2012" TargetMode="External"/><Relationship Id="rId108" Type="http://schemas.openxmlformats.org/officeDocument/2006/relationships/image" Target="media/image15.emf"/><Relationship Id="rId129" Type="http://schemas.openxmlformats.org/officeDocument/2006/relationships/image" Target="media/image25.wmf"/><Relationship Id="rId54" Type="http://schemas.openxmlformats.org/officeDocument/2006/relationships/image" Target="media/image4.wmf"/><Relationship Id="rId75" Type="http://schemas.openxmlformats.org/officeDocument/2006/relationships/hyperlink" Target="http://www.impo.com.uy/bases/decretos/17-2012" TargetMode="External"/><Relationship Id="rId96" Type="http://schemas.openxmlformats.org/officeDocument/2006/relationships/hyperlink" Target="http://www.impo.com.uy/bases/leyes/15982-1988/480" TargetMode="External"/><Relationship Id="rId140" Type="http://schemas.openxmlformats.org/officeDocument/2006/relationships/header" Target="header11.xml"/><Relationship Id="rId161" Type="http://schemas.openxmlformats.org/officeDocument/2006/relationships/header" Target="header20.xml"/><Relationship Id="rId182" Type="http://schemas.openxmlformats.org/officeDocument/2006/relationships/image" Target="media/image44.wmf"/><Relationship Id="rId6" Type="http://schemas.openxmlformats.org/officeDocument/2006/relationships/styles" Target="styles.xml"/><Relationship Id="rId23" Type="http://schemas.openxmlformats.org/officeDocument/2006/relationships/hyperlink" Target="http://www.impo.com.uy/bases/decretos/8-1990" TargetMode="External"/><Relationship Id="rId119" Type="http://schemas.openxmlformats.org/officeDocument/2006/relationships/footer" Target="footer3.xml"/><Relationship Id="rId44" Type="http://schemas.openxmlformats.org/officeDocument/2006/relationships/hyperlink" Target="http://www.impo.com.uy/bases/decretos/90-2005" TargetMode="External"/><Relationship Id="rId65" Type="http://schemas.openxmlformats.org/officeDocument/2006/relationships/hyperlink" Target="http://www.impo.com.uy/bases/decretos/251-2015/3" TargetMode="External"/><Relationship Id="rId86" Type="http://schemas.openxmlformats.org/officeDocument/2006/relationships/hyperlink" Target="http://www.impo.com.uy/bases/leyes/16713-1995" TargetMode="External"/><Relationship Id="rId130" Type="http://schemas.openxmlformats.org/officeDocument/2006/relationships/oleObject" Target="embeddings/oleObject4.bin"/><Relationship Id="rId151" Type="http://schemas.openxmlformats.org/officeDocument/2006/relationships/header" Target="header12.xml"/><Relationship Id="rId172" Type="http://schemas.openxmlformats.org/officeDocument/2006/relationships/header" Target="header27.xml"/><Relationship Id="rId193" Type="http://schemas.openxmlformats.org/officeDocument/2006/relationships/hyperlink" Target="http://www.impo.com.uy/bases/leyes/18786-2011" TargetMode="External"/><Relationship Id="rId13" Type="http://schemas.openxmlformats.org/officeDocument/2006/relationships/footer" Target="footer1.xml"/><Relationship Id="rId109" Type="http://schemas.openxmlformats.org/officeDocument/2006/relationships/image" Target="media/image16.emf"/><Relationship Id="rId34" Type="http://schemas.openxmlformats.org/officeDocument/2006/relationships/hyperlink" Target="http://www.comprasestatales.gub.uy" TargetMode="External"/><Relationship Id="rId55" Type="http://schemas.openxmlformats.org/officeDocument/2006/relationships/oleObject" Target="embeddings/oleObject1.bin"/><Relationship Id="rId76" Type="http://schemas.openxmlformats.org/officeDocument/2006/relationships/hyperlink" Target="http://ppp.mef.gub.uy/10000/2/areas/guia-de-mejores-practicas-recomendadas.html" TargetMode="External"/><Relationship Id="rId97" Type="http://schemas.openxmlformats.org/officeDocument/2006/relationships/hyperlink" Target="http://www.impo.com.uy/bases/leyes/15982-1988/494" TargetMode="External"/><Relationship Id="rId120" Type="http://schemas.openxmlformats.org/officeDocument/2006/relationships/header" Target="header5.xml"/><Relationship Id="rId141"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hyperlink" Target="http://www.impo.com.uy/bases/leyes/18786-2011/54" TargetMode="External"/><Relationship Id="rId92" Type="http://schemas.openxmlformats.org/officeDocument/2006/relationships/hyperlink" Target="http://www.impo.com.uy/bases/leyes/18786-2011/52" TargetMode="External"/><Relationship Id="rId162" Type="http://schemas.openxmlformats.org/officeDocument/2006/relationships/header" Target="header21.xml"/><Relationship Id="rId183"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hyperlink" Target="http://www.brou.com.uy" TargetMode="External"/><Relationship Id="rId24" Type="http://schemas.openxmlformats.org/officeDocument/2006/relationships/hyperlink" Target="http://www.impo.com.uy/bases/decretos/9-1990" TargetMode="External"/><Relationship Id="rId40" Type="http://schemas.openxmlformats.org/officeDocument/2006/relationships/hyperlink" Target="https://www.comprasestatales.gub.uy/inicio/proveedores/rupe/rupe" TargetMode="External"/><Relationship Id="rId45" Type="http://schemas.openxmlformats.org/officeDocument/2006/relationships/hyperlink" Target="http://www.impo.com.uy/bases/decretos/208-2009" TargetMode="External"/><Relationship Id="rId66" Type="http://schemas.openxmlformats.org/officeDocument/2006/relationships/image" Target="media/image5.wmf"/><Relationship Id="rId87" Type="http://schemas.openxmlformats.org/officeDocument/2006/relationships/hyperlink" Target="http://www.impo.com.uy/bases/leyes/16170-1990/663" TargetMode="External"/><Relationship Id="rId110" Type="http://schemas.openxmlformats.org/officeDocument/2006/relationships/image" Target="media/image17.png"/><Relationship Id="rId115" Type="http://schemas.openxmlformats.org/officeDocument/2006/relationships/hyperlink" Target="http://www.impo.com.uy/bases/decretos/17-2012" TargetMode="External"/><Relationship Id="rId131" Type="http://schemas.openxmlformats.org/officeDocument/2006/relationships/image" Target="media/image26.emf"/><Relationship Id="rId136" Type="http://schemas.openxmlformats.org/officeDocument/2006/relationships/image" Target="media/image31.emf"/><Relationship Id="rId157" Type="http://schemas.openxmlformats.org/officeDocument/2006/relationships/header" Target="header17.xml"/><Relationship Id="rId178" Type="http://schemas.openxmlformats.org/officeDocument/2006/relationships/image" Target="media/image42.wmf"/><Relationship Id="rId61" Type="http://schemas.openxmlformats.org/officeDocument/2006/relationships/hyperlink" Target="http://www.impo.com.uy/bases/leyes/17703-2003" TargetMode="External"/><Relationship Id="rId82" Type="http://schemas.openxmlformats.org/officeDocument/2006/relationships/hyperlink" Target="http://www.impo.com.uy/bases/leyes/16074-1989" TargetMode="External"/><Relationship Id="rId152" Type="http://schemas.openxmlformats.org/officeDocument/2006/relationships/header" Target="header13.xml"/><Relationship Id="rId173" Type="http://schemas.openxmlformats.org/officeDocument/2006/relationships/header" Target="header28.xml"/><Relationship Id="rId194" Type="http://schemas.openxmlformats.org/officeDocument/2006/relationships/header" Target="header30.xml"/><Relationship Id="rId199" Type="http://schemas.openxmlformats.org/officeDocument/2006/relationships/theme" Target="theme/theme1.xml"/><Relationship Id="rId19" Type="http://schemas.openxmlformats.org/officeDocument/2006/relationships/hyperlink" Target="http://www.impo.com.uy/bases/decretos/45-2013" TargetMode="External"/><Relationship Id="rId14" Type="http://schemas.openxmlformats.org/officeDocument/2006/relationships/image" Target="media/image2.jpeg"/><Relationship Id="rId30" Type="http://schemas.openxmlformats.org/officeDocument/2006/relationships/hyperlink" Target="http://www.mtop.gub.uy/" TargetMode="External"/><Relationship Id="rId35" Type="http://schemas.openxmlformats.org/officeDocument/2006/relationships/hyperlink" Target="http://www.impo.com.uy/bases/leyes/16060-1989" TargetMode="External"/><Relationship Id="rId56" Type="http://schemas.openxmlformats.org/officeDocument/2006/relationships/header" Target="header2.xml"/><Relationship Id="rId77" Type="http://schemas.openxmlformats.org/officeDocument/2006/relationships/hyperlink" Target="http://www.impo.com.uy/bases/leyes/17897-2005" TargetMode="External"/><Relationship Id="rId100" Type="http://schemas.openxmlformats.org/officeDocument/2006/relationships/image" Target="media/image7.emf"/><Relationship Id="rId105" Type="http://schemas.openxmlformats.org/officeDocument/2006/relationships/image" Target="media/image12.emf"/><Relationship Id="rId126" Type="http://schemas.openxmlformats.org/officeDocument/2006/relationships/image" Target="media/image22.emf"/><Relationship Id="rId147" Type="http://schemas.openxmlformats.org/officeDocument/2006/relationships/image" Target="media/image36.emf"/><Relationship Id="rId168"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www.impo.com.uy/bases/decretos/17-2012/32" TargetMode="External"/><Relationship Id="rId72" Type="http://schemas.openxmlformats.org/officeDocument/2006/relationships/hyperlink" Target="http://www.impo.com.uy/bases/decretos/17-2012/66" TargetMode="External"/><Relationship Id="rId93" Type="http://schemas.openxmlformats.org/officeDocument/2006/relationships/hyperlink" Target="http://www.impo.com.uy/bases/leyes/18786-2011/19" TargetMode="External"/><Relationship Id="rId98" Type="http://schemas.openxmlformats.org/officeDocument/2006/relationships/hyperlink" Target="http://www.impo.com.uy/bases/leyes/15982-1988/480" TargetMode="External"/><Relationship Id="rId121" Type="http://schemas.openxmlformats.org/officeDocument/2006/relationships/header" Target="header6.xml"/><Relationship Id="rId142" Type="http://schemas.openxmlformats.org/officeDocument/2006/relationships/image" Target="media/image33.wmf"/><Relationship Id="rId163" Type="http://schemas.openxmlformats.org/officeDocument/2006/relationships/header" Target="header22.xml"/><Relationship Id="rId184" Type="http://schemas.openxmlformats.org/officeDocument/2006/relationships/image" Target="media/image45.emf"/><Relationship Id="rId189" Type="http://schemas.openxmlformats.org/officeDocument/2006/relationships/image" Target="media/image50.emf"/><Relationship Id="rId3" Type="http://schemas.openxmlformats.org/officeDocument/2006/relationships/customXml" Target="../customXml/item3.xml"/><Relationship Id="rId25" Type="http://schemas.openxmlformats.org/officeDocument/2006/relationships/hyperlink" Target="http://www.impo.com.uy/bases/decretos/45-2013" TargetMode="External"/><Relationship Id="rId46" Type="http://schemas.openxmlformats.org/officeDocument/2006/relationships/hyperlink" Target="http://www.impo.com.uy/bases/leyes/18381-2008" TargetMode="External"/><Relationship Id="rId67" Type="http://schemas.openxmlformats.org/officeDocument/2006/relationships/oleObject" Target="embeddings/oleObject2.bin"/><Relationship Id="rId116" Type="http://schemas.openxmlformats.org/officeDocument/2006/relationships/hyperlink" Target="http://ppp.mef.gub.uy/10000/2/areas/guia-de-mejores-practicas-recomendadas.html" TargetMode="External"/><Relationship Id="rId137" Type="http://schemas.openxmlformats.org/officeDocument/2006/relationships/header" Target="header9.xml"/><Relationship Id="rId158" Type="http://schemas.openxmlformats.org/officeDocument/2006/relationships/header" Target="header18.xml"/><Relationship Id="rId20" Type="http://schemas.openxmlformats.org/officeDocument/2006/relationships/hyperlink" Target="http://www.impo.com.uy/bases/decretos/75-2015" TargetMode="External"/><Relationship Id="rId41" Type="http://schemas.openxmlformats.org/officeDocument/2006/relationships/hyperlink" Target="http://www.impo.com.uy/bases/leyes/16060-1989" TargetMode="External"/><Relationship Id="rId62" Type="http://schemas.openxmlformats.org/officeDocument/2006/relationships/hyperlink" Target="http://www.impo.com.uy/bases/leyes/18786-2011/56" TargetMode="External"/><Relationship Id="rId83" Type="http://schemas.openxmlformats.org/officeDocument/2006/relationships/hyperlink" Target="http://www.impo.com.uy/bases/leyes/18099-2007" TargetMode="External"/><Relationship Id="rId88" Type="http://schemas.openxmlformats.org/officeDocument/2006/relationships/hyperlink" Target="http://www.impo.com.uy/bases/leyes/16170-1990" TargetMode="External"/><Relationship Id="rId111" Type="http://schemas.openxmlformats.org/officeDocument/2006/relationships/image" Target="media/image18.emf"/><Relationship Id="rId132" Type="http://schemas.openxmlformats.org/officeDocument/2006/relationships/image" Target="media/image27.png"/><Relationship Id="rId153" Type="http://schemas.openxmlformats.org/officeDocument/2006/relationships/header" Target="header14.xml"/><Relationship Id="rId174" Type="http://schemas.openxmlformats.org/officeDocument/2006/relationships/footer" Target="footer10.xml"/><Relationship Id="rId179" Type="http://schemas.openxmlformats.org/officeDocument/2006/relationships/oleObject" Target="embeddings/oleObject9.bin"/><Relationship Id="rId195" Type="http://schemas.openxmlformats.org/officeDocument/2006/relationships/header" Target="header31.xml"/><Relationship Id="rId190" Type="http://schemas.openxmlformats.org/officeDocument/2006/relationships/image" Target="media/image51.emf"/><Relationship Id="rId15" Type="http://schemas.openxmlformats.org/officeDocument/2006/relationships/image" Target="media/image3.jpg"/><Relationship Id="rId36" Type="http://schemas.openxmlformats.org/officeDocument/2006/relationships/hyperlink" Target="http://www.impo.com.uy/bases/leyes/16497-1994" TargetMode="External"/><Relationship Id="rId57" Type="http://schemas.openxmlformats.org/officeDocument/2006/relationships/footer" Target="footer2.xml"/><Relationship Id="rId106" Type="http://schemas.openxmlformats.org/officeDocument/2006/relationships/image" Target="media/image13.emf"/><Relationship Id="rId12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hyperlink" Target="http://www.comprasestatales.gub.uy" TargetMode="External"/><Relationship Id="rId52" Type="http://schemas.openxmlformats.org/officeDocument/2006/relationships/hyperlink" Target="http://www.impo.com.uy/bases/decretos/17-2012" TargetMode="External"/><Relationship Id="rId73" Type="http://schemas.openxmlformats.org/officeDocument/2006/relationships/hyperlink" Target="http://www.impo.com.uy/bases/decretos/17-2012" TargetMode="External"/><Relationship Id="rId78" Type="http://schemas.openxmlformats.org/officeDocument/2006/relationships/hyperlink" Target="http://www.impo.com.uy/bases/decretos/226-2006" TargetMode="External"/><Relationship Id="rId94" Type="http://schemas.openxmlformats.org/officeDocument/2006/relationships/hyperlink" Target="http://www.impo.com.uy/bases/leyes/18786-2011/58" TargetMode="External"/><Relationship Id="rId99" Type="http://schemas.openxmlformats.org/officeDocument/2006/relationships/hyperlink" Target="http://www.impo.com.uy/bases/leyes/15982-1988/507" TargetMode="External"/><Relationship Id="rId101" Type="http://schemas.openxmlformats.org/officeDocument/2006/relationships/image" Target="media/image8.emf"/><Relationship Id="rId122" Type="http://schemas.openxmlformats.org/officeDocument/2006/relationships/header" Target="header7.xml"/><Relationship Id="rId143" Type="http://schemas.openxmlformats.org/officeDocument/2006/relationships/oleObject" Target="embeddings/oleObject5.bin"/><Relationship Id="rId148" Type="http://schemas.openxmlformats.org/officeDocument/2006/relationships/image" Target="media/image37.emf"/><Relationship Id="rId164" Type="http://schemas.openxmlformats.org/officeDocument/2006/relationships/footer" Target="footer8.xml"/><Relationship Id="rId169" Type="http://schemas.openxmlformats.org/officeDocument/2006/relationships/header" Target="header26.xml"/><Relationship Id="rId185" Type="http://schemas.openxmlformats.org/officeDocument/2006/relationships/image" Target="media/image46.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43.wmf"/><Relationship Id="rId26" Type="http://schemas.openxmlformats.org/officeDocument/2006/relationships/hyperlink" Target="http://www.impo.com.uy/bases/decretos/181-2015" TargetMode="External"/><Relationship Id="rId47" Type="http://schemas.openxmlformats.org/officeDocument/2006/relationships/hyperlink" Target="http://www.impo.com.uy/bases/decretos/17-2012/31" TargetMode="External"/><Relationship Id="rId68" Type="http://schemas.openxmlformats.org/officeDocument/2006/relationships/image" Target="media/image6.wmf"/><Relationship Id="rId89" Type="http://schemas.openxmlformats.org/officeDocument/2006/relationships/hyperlink" Target="http://www.impo.com.uy/bases/leyes/18786-2011/58" TargetMode="External"/><Relationship Id="rId112" Type="http://schemas.openxmlformats.org/officeDocument/2006/relationships/image" Target="media/image19.png"/><Relationship Id="rId133" Type="http://schemas.openxmlformats.org/officeDocument/2006/relationships/image" Target="media/image28.png"/><Relationship Id="rId154" Type="http://schemas.openxmlformats.org/officeDocument/2006/relationships/header" Target="header15.xml"/><Relationship Id="rId175" Type="http://schemas.openxmlformats.org/officeDocument/2006/relationships/header" Target="header29.xml"/><Relationship Id="rId196" Type="http://schemas.openxmlformats.org/officeDocument/2006/relationships/footer" Target="footer11.xml"/><Relationship Id="rId16" Type="http://schemas.openxmlformats.org/officeDocument/2006/relationships/hyperlink" Target="http://www.impo.com.uy/bases/leyes/18786-2011" TargetMode="External"/><Relationship Id="rId37" Type="http://schemas.openxmlformats.org/officeDocument/2006/relationships/hyperlink" Target="http://www.impo.com.uy/bases/decretos/369-1994" TargetMode="External"/><Relationship Id="rId58" Type="http://schemas.openxmlformats.org/officeDocument/2006/relationships/hyperlink" Target="http://www.impo.com.uy/bases/decretos/17-2012/34" TargetMode="External"/><Relationship Id="rId79" Type="http://schemas.openxmlformats.org/officeDocument/2006/relationships/hyperlink" Target="http://www.impo.com.uy/bases/leyes/18516-2009" TargetMode="External"/><Relationship Id="rId102" Type="http://schemas.openxmlformats.org/officeDocument/2006/relationships/image" Target="media/image9.emf"/><Relationship Id="rId123" Type="http://schemas.openxmlformats.org/officeDocument/2006/relationships/footer" Target="footer4.xml"/><Relationship Id="rId144" Type="http://schemas.openxmlformats.org/officeDocument/2006/relationships/image" Target="media/image34.wmf"/><Relationship Id="rId90" Type="http://schemas.openxmlformats.org/officeDocument/2006/relationships/hyperlink" Target="http://www.impo.com.uy/bases/decretos/17-2012/82" TargetMode="External"/><Relationship Id="rId165" Type="http://schemas.openxmlformats.org/officeDocument/2006/relationships/header" Target="header23.xml"/><Relationship Id="rId186" Type="http://schemas.openxmlformats.org/officeDocument/2006/relationships/image" Target="media/image47.emf"/><Relationship Id="rId27" Type="http://schemas.openxmlformats.org/officeDocument/2006/relationships/hyperlink" Target="%20http://ppp.mef.gub.uy/20875/2/areas/proyecto-corredor-vial-circuito-6.html" TargetMode="External"/><Relationship Id="rId48" Type="http://schemas.openxmlformats.org/officeDocument/2006/relationships/hyperlink" Target="http://www.impo.com.uy/bases/decretos/17-2012" TargetMode="External"/><Relationship Id="rId69" Type="http://schemas.openxmlformats.org/officeDocument/2006/relationships/oleObject" Target="embeddings/oleObject3.bin"/><Relationship Id="rId113" Type="http://schemas.openxmlformats.org/officeDocument/2006/relationships/image" Target="media/image20.emf"/><Relationship Id="rId134" Type="http://schemas.openxmlformats.org/officeDocument/2006/relationships/image" Target="media/image29.emf"/><Relationship Id="rId80" Type="http://schemas.openxmlformats.org/officeDocument/2006/relationships/hyperlink" Target="http://www.impo.com.uy/bases/decretos/255-2010" TargetMode="External"/><Relationship Id="rId155" Type="http://schemas.openxmlformats.org/officeDocument/2006/relationships/header" Target="header16.xml"/><Relationship Id="rId176" Type="http://schemas.openxmlformats.org/officeDocument/2006/relationships/image" Target="media/image40.emf"/><Relationship Id="rId197" Type="http://schemas.openxmlformats.org/officeDocument/2006/relationships/header" Target="header32.xml"/><Relationship Id="rId17" Type="http://schemas.openxmlformats.org/officeDocument/2006/relationships/hyperlink" Target="http://www.impo.com.uy/bases/decretos/17-2012/2" TargetMode="External"/><Relationship Id="rId38" Type="http://schemas.openxmlformats.org/officeDocument/2006/relationships/hyperlink" Target="http://www.impo.com.uy/bases/leyes/18244-2007" TargetMode="External"/><Relationship Id="rId59" Type="http://schemas.openxmlformats.org/officeDocument/2006/relationships/hyperlink" Target="http://www.impo.com.uy/bases/decretos/17-2012" TargetMode="External"/><Relationship Id="rId103" Type="http://schemas.openxmlformats.org/officeDocument/2006/relationships/image" Target="media/image10.emf"/><Relationship Id="rId124" Type="http://schemas.openxmlformats.org/officeDocument/2006/relationships/header" Target="header8.xml"/><Relationship Id="rId70" Type="http://schemas.openxmlformats.org/officeDocument/2006/relationships/hyperlink" Target="http://www.impo.com.uy/bases/leyes/18786-2011/48" TargetMode="External"/><Relationship Id="rId91" Type="http://schemas.openxmlformats.org/officeDocument/2006/relationships/hyperlink" Target="http://www.impo.com.uy/bases/decretos/17-2012" TargetMode="External"/><Relationship Id="rId145" Type="http://schemas.openxmlformats.org/officeDocument/2006/relationships/oleObject" Target="embeddings/oleObject6.bin"/><Relationship Id="rId166" Type="http://schemas.openxmlformats.org/officeDocument/2006/relationships/header" Target="header24.xml"/><Relationship Id="rId187" Type="http://schemas.openxmlformats.org/officeDocument/2006/relationships/image" Target="media/image48.emf"/><Relationship Id="rId1" Type="http://schemas.openxmlformats.org/officeDocument/2006/relationships/customXml" Target="../customXml/item1.xml"/><Relationship Id="rId28" Type="http://schemas.openxmlformats.org/officeDocument/2006/relationships/hyperlink" Target="http://www.comprasestatales.gub.uy" TargetMode="External"/><Relationship Id="rId49" Type="http://schemas.openxmlformats.org/officeDocument/2006/relationships/hyperlink" Target="http://www.impo.com.uy/bases/decretos/251-2015/3" TargetMode="External"/><Relationship Id="rId114" Type="http://schemas.openxmlformats.org/officeDocument/2006/relationships/hyperlink" Target="http://www.impo.com.uy/bases/decretos/17-2012/66" TargetMode="External"/><Relationship Id="rId60" Type="http://schemas.openxmlformats.org/officeDocument/2006/relationships/hyperlink" Target="http://www.impo.com.uy/bases/decretos/251-2015/3" TargetMode="External"/><Relationship Id="rId81" Type="http://schemas.openxmlformats.org/officeDocument/2006/relationships/hyperlink" Target="http://www.impo.com.uy/bases/leyes/18098-2007" TargetMode="External"/><Relationship Id="rId135" Type="http://schemas.openxmlformats.org/officeDocument/2006/relationships/image" Target="media/image30.png"/><Relationship Id="rId156" Type="http://schemas.openxmlformats.org/officeDocument/2006/relationships/footer" Target="footer6.xml"/><Relationship Id="rId177" Type="http://schemas.openxmlformats.org/officeDocument/2006/relationships/image" Target="media/image41.jpeg"/><Relationship Id="rId198" Type="http://schemas.openxmlformats.org/officeDocument/2006/relationships/fontTable" Target="fontTable.xml"/><Relationship Id="rId18" Type="http://schemas.openxmlformats.org/officeDocument/2006/relationships/hyperlink" Target="http://www.impo.com.uy/bases/decretos/280-2012" TargetMode="External"/><Relationship Id="rId39" Type="http://schemas.openxmlformats.org/officeDocument/2006/relationships/hyperlink" Target="http://www.impo.com.uy/bases/leyes/17904-2005" TargetMode="External"/><Relationship Id="rId50" Type="http://schemas.openxmlformats.org/officeDocument/2006/relationships/hyperlink" Target="http://www.impo.com.uy/bases/decretos/17-2012" TargetMode="External"/><Relationship Id="rId104" Type="http://schemas.openxmlformats.org/officeDocument/2006/relationships/image" Target="media/image11.emf"/><Relationship Id="rId125" Type="http://schemas.openxmlformats.org/officeDocument/2006/relationships/image" Target="media/image21.emf"/><Relationship Id="rId146" Type="http://schemas.openxmlformats.org/officeDocument/2006/relationships/image" Target="media/image35.emf"/><Relationship Id="rId167" Type="http://schemas.openxmlformats.org/officeDocument/2006/relationships/header" Target="header25.xml"/><Relationship Id="rId188"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9F2BF-5047-43A9-A7BF-2B8F5F5E2D00}">
  <ds:schemaRefs>
    <ds:schemaRef ds:uri="http://schemas.openxmlformats.org/officeDocument/2006/bibliography"/>
  </ds:schemaRefs>
</ds:datastoreItem>
</file>

<file path=customXml/itemProps2.xml><?xml version="1.0" encoding="utf-8"?>
<ds:datastoreItem xmlns:ds="http://schemas.openxmlformats.org/officeDocument/2006/customXml" ds:itemID="{412EFA20-703B-4A6B-B358-9091C057FE82}">
  <ds:schemaRefs>
    <ds:schemaRef ds:uri="http://schemas.openxmlformats.org/officeDocument/2006/bibliography"/>
  </ds:schemaRefs>
</ds:datastoreItem>
</file>

<file path=customXml/itemProps3.xml><?xml version="1.0" encoding="utf-8"?>
<ds:datastoreItem xmlns:ds="http://schemas.openxmlformats.org/officeDocument/2006/customXml" ds:itemID="{051CDAA1-CC33-4DDF-B99B-2A3157A423AF}">
  <ds:schemaRefs>
    <ds:schemaRef ds:uri="http://schemas.openxmlformats.org/officeDocument/2006/bibliography"/>
  </ds:schemaRefs>
</ds:datastoreItem>
</file>

<file path=customXml/itemProps4.xml><?xml version="1.0" encoding="utf-8"?>
<ds:datastoreItem xmlns:ds="http://schemas.openxmlformats.org/officeDocument/2006/customXml" ds:itemID="{A463D098-B7DA-47C4-8CCE-21D64FC1E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481</Pages>
  <Words>72404</Words>
  <Characters>398226</Characters>
  <Application>Microsoft Office Word</Application>
  <DocSecurity>0</DocSecurity>
  <Lines>3318</Lines>
  <Paragraphs>939</Paragraphs>
  <ScaleCrop>false</ScaleCrop>
  <HeadingPairs>
    <vt:vector size="2" baseType="variant">
      <vt:variant>
        <vt:lpstr>Título</vt:lpstr>
      </vt:variant>
      <vt:variant>
        <vt:i4>1</vt:i4>
      </vt:variant>
    </vt:vector>
  </HeadingPairs>
  <TitlesOfParts>
    <vt:vector size="1" baseType="lpstr">
      <vt:lpstr/>
    </vt:vector>
  </TitlesOfParts>
  <Company>MTOP - DNVialidad</Company>
  <LinksUpToDate>false</LinksUpToDate>
  <CharactersWithSpaces>469691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Domenica Deferrari</dc:creator>
  <cp:lastModifiedBy>DIANA POSTIGLIONE</cp:lastModifiedBy>
  <cp:revision>2</cp:revision>
  <cp:lastPrinted>2017-06-27T15:19:00Z</cp:lastPrinted>
  <dcterms:created xsi:type="dcterms:W3CDTF">2017-11-08T14:10:00Z</dcterms:created>
  <dcterms:modified xsi:type="dcterms:W3CDTF">2017-11-08T14:10:00Z</dcterms:modified>
</cp:coreProperties>
</file>