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FE827" w14:textId="77777777" w:rsidR="00BC2389" w:rsidRPr="00ED4541" w:rsidRDefault="00BC2389">
      <w:pPr>
        <w:widowControl w:val="0"/>
        <w:jc w:val="both"/>
        <w:rPr>
          <w:rFonts w:ascii="Arial" w:hAnsi="Arial"/>
          <w:sz w:val="24"/>
        </w:rPr>
      </w:pPr>
    </w:p>
    <w:p w14:paraId="28B9FBCF" w14:textId="77777777" w:rsidR="009B435C" w:rsidRPr="00ED4541" w:rsidRDefault="009B435C">
      <w:pPr>
        <w:widowControl w:val="0"/>
        <w:jc w:val="both"/>
        <w:rPr>
          <w:rFonts w:ascii="Arial" w:hAnsi="Arial"/>
          <w:sz w:val="24"/>
        </w:rPr>
      </w:pPr>
    </w:p>
    <w:p w14:paraId="63EE3282" w14:textId="77777777" w:rsidR="00BC2389" w:rsidRPr="00EC5B67" w:rsidRDefault="00BC2389">
      <w:pPr>
        <w:widowControl w:val="0"/>
        <w:tabs>
          <w:tab w:val="center" w:pos="4512"/>
        </w:tabs>
        <w:jc w:val="center"/>
        <w:rPr>
          <w:rFonts w:ascii="Arial" w:hAnsi="Arial"/>
          <w:b/>
          <w:sz w:val="24"/>
        </w:rPr>
      </w:pPr>
    </w:p>
    <w:p w14:paraId="4414802E" w14:textId="77777777" w:rsidR="00BC2389" w:rsidRPr="00EC5B67" w:rsidRDefault="00BC2389" w:rsidP="003A5EBE">
      <w:pPr>
        <w:widowControl w:val="0"/>
        <w:tabs>
          <w:tab w:val="center" w:pos="4512"/>
        </w:tabs>
        <w:jc w:val="both"/>
        <w:rPr>
          <w:rFonts w:ascii="Arial" w:hAnsi="Arial"/>
          <w:vanish/>
          <w:sz w:val="22"/>
        </w:rPr>
      </w:pPr>
    </w:p>
    <w:p w14:paraId="618642E5" w14:textId="77777777" w:rsidR="00BC2389" w:rsidRPr="00EC5B67" w:rsidRDefault="00BC2389">
      <w:pPr>
        <w:widowControl w:val="0"/>
        <w:tabs>
          <w:tab w:val="center" w:pos="4512"/>
        </w:tabs>
        <w:jc w:val="both"/>
        <w:rPr>
          <w:rFonts w:ascii="Arial" w:hAnsi="Arial"/>
          <w:sz w:val="22"/>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8428"/>
      </w:tblGrid>
      <w:tr w:rsidR="00BC2389" w:rsidRPr="00D96C8D" w14:paraId="507D78D1" w14:textId="77777777" w:rsidTr="000D2B75">
        <w:trPr>
          <w:trHeight w:val="10434"/>
          <w:jc w:val="center"/>
        </w:trPr>
        <w:tc>
          <w:tcPr>
            <w:tcW w:w="8428" w:type="dxa"/>
          </w:tcPr>
          <w:p w14:paraId="76C13164" w14:textId="77777777" w:rsidR="007131A8" w:rsidRPr="00EC5B67" w:rsidRDefault="007131A8" w:rsidP="007131A8">
            <w:pPr>
              <w:widowControl w:val="0"/>
              <w:spacing w:line="120" w:lineRule="exact"/>
              <w:jc w:val="center"/>
              <w:rPr>
                <w:rFonts w:ascii="Arial" w:hAnsi="Arial"/>
                <w:sz w:val="22"/>
              </w:rPr>
            </w:pPr>
          </w:p>
          <w:p w14:paraId="239C1BE3" w14:textId="77777777" w:rsidR="00CC21BA" w:rsidRPr="00FB07FC" w:rsidRDefault="00CC21BA" w:rsidP="00CC21BA">
            <w:pPr>
              <w:widowControl w:val="0"/>
              <w:jc w:val="center"/>
              <w:rPr>
                <w:rFonts w:ascii="Arial" w:hAnsi="Arial"/>
                <w:b/>
                <w:sz w:val="24"/>
                <w:szCs w:val="24"/>
              </w:rPr>
            </w:pPr>
            <w:r w:rsidRPr="00FB07FC">
              <w:rPr>
                <w:rFonts w:ascii="Arial" w:hAnsi="Arial"/>
                <w:b/>
                <w:sz w:val="24"/>
                <w:szCs w:val="24"/>
              </w:rPr>
              <w:t>Gerencia de Sector Compras</w:t>
            </w:r>
          </w:p>
          <w:p w14:paraId="36E69A59" w14:textId="015FFC9D" w:rsidR="00CC21BA" w:rsidRPr="00FB07FC" w:rsidRDefault="00CC21BA" w:rsidP="00CC21BA">
            <w:pPr>
              <w:widowControl w:val="0"/>
              <w:ind w:left="-1694" w:firstLine="2160"/>
              <w:jc w:val="center"/>
              <w:rPr>
                <w:rFonts w:ascii="Arial" w:hAnsi="Arial"/>
                <w:sz w:val="22"/>
              </w:rPr>
            </w:pPr>
            <w:r w:rsidRPr="00FB07FC">
              <w:rPr>
                <w:rFonts w:ascii="Arial" w:hAnsi="Arial"/>
                <w:sz w:val="22"/>
              </w:rPr>
              <w:t>Grupo Compras</w:t>
            </w:r>
            <w:r w:rsidRPr="00FB07FC">
              <w:rPr>
                <w:rFonts w:ascii="Arial" w:hAnsi="Arial"/>
                <w:b/>
                <w:sz w:val="22"/>
              </w:rPr>
              <w:t xml:space="preserve"> </w:t>
            </w:r>
            <w:r w:rsidR="00C950F0">
              <w:rPr>
                <w:rFonts w:ascii="Arial" w:hAnsi="Arial"/>
                <w:b/>
                <w:sz w:val="22"/>
              </w:rPr>
              <w:t>517</w:t>
            </w:r>
          </w:p>
          <w:p w14:paraId="47BC1BBA" w14:textId="77777777" w:rsidR="00CC21BA" w:rsidRPr="00FB07FC" w:rsidRDefault="00CC21BA" w:rsidP="00CC21BA">
            <w:pPr>
              <w:widowControl w:val="0"/>
              <w:jc w:val="center"/>
              <w:rPr>
                <w:rFonts w:ascii="Arial" w:hAnsi="Arial"/>
                <w:sz w:val="22"/>
              </w:rPr>
            </w:pPr>
          </w:p>
          <w:p w14:paraId="16808EC8" w14:textId="77777777" w:rsidR="00CC21BA" w:rsidRPr="00FB07FC" w:rsidRDefault="00CC21BA" w:rsidP="00CC21BA">
            <w:pPr>
              <w:widowControl w:val="0"/>
              <w:jc w:val="center"/>
              <w:rPr>
                <w:rFonts w:ascii="Arial" w:hAnsi="Arial"/>
                <w:b/>
                <w:sz w:val="22"/>
              </w:rPr>
            </w:pPr>
            <w:r w:rsidRPr="00FB07FC">
              <w:rPr>
                <w:rFonts w:ascii="Arial" w:hAnsi="Arial"/>
                <w:b/>
                <w:sz w:val="22"/>
              </w:rPr>
              <w:t>Precio del Ejemplar: Sin Costo</w:t>
            </w:r>
          </w:p>
          <w:p w14:paraId="5CF24AD2" w14:textId="77777777" w:rsidR="00CC21BA" w:rsidRPr="00FB07FC" w:rsidRDefault="00CC21BA" w:rsidP="00CC21BA">
            <w:pPr>
              <w:widowControl w:val="0"/>
              <w:jc w:val="center"/>
              <w:rPr>
                <w:rFonts w:ascii="Arial" w:hAnsi="Arial"/>
                <w:sz w:val="22"/>
              </w:rPr>
            </w:pPr>
          </w:p>
          <w:p w14:paraId="562D5505" w14:textId="77777777" w:rsidR="00CC21BA" w:rsidRPr="00FB07FC" w:rsidRDefault="00CC21BA" w:rsidP="00CC21BA">
            <w:pPr>
              <w:widowControl w:val="0"/>
              <w:jc w:val="center"/>
              <w:rPr>
                <w:rFonts w:ascii="Arial" w:hAnsi="Arial"/>
                <w:sz w:val="22"/>
              </w:rPr>
            </w:pPr>
            <w:r w:rsidRPr="00FB07FC">
              <w:rPr>
                <w:rFonts w:ascii="Arial" w:hAnsi="Arial"/>
                <w:sz w:val="22"/>
              </w:rPr>
              <w:t xml:space="preserve">PROCEDIMIENTO DE COMPRA: </w:t>
            </w:r>
          </w:p>
          <w:p w14:paraId="24238EE3" w14:textId="77777777" w:rsidR="00CC21BA" w:rsidRPr="00FB07FC" w:rsidRDefault="00CC21BA" w:rsidP="00CC21BA">
            <w:pPr>
              <w:widowControl w:val="0"/>
              <w:jc w:val="center"/>
              <w:rPr>
                <w:rFonts w:ascii="Arial" w:hAnsi="Arial"/>
                <w:b/>
                <w:sz w:val="22"/>
              </w:rPr>
            </w:pPr>
          </w:p>
          <w:p w14:paraId="032D6DCA" w14:textId="77777777" w:rsidR="00CC21BA" w:rsidRPr="00FB07FC" w:rsidRDefault="00CC21BA" w:rsidP="00CC21BA">
            <w:pPr>
              <w:widowControl w:val="0"/>
              <w:jc w:val="center"/>
              <w:rPr>
                <w:rFonts w:ascii="Arial" w:hAnsi="Arial"/>
                <w:b/>
                <w:sz w:val="22"/>
              </w:rPr>
            </w:pPr>
            <w:r>
              <w:rPr>
                <w:rFonts w:ascii="Arial" w:hAnsi="Arial"/>
                <w:b/>
                <w:sz w:val="22"/>
              </w:rPr>
              <w:t>Concurso de Precios</w:t>
            </w:r>
            <w:r w:rsidRPr="00FB07FC">
              <w:rPr>
                <w:rFonts w:ascii="Arial" w:hAnsi="Arial"/>
                <w:b/>
                <w:sz w:val="22"/>
              </w:rPr>
              <w:t xml:space="preserve"> </w:t>
            </w:r>
          </w:p>
          <w:p w14:paraId="00D99143" w14:textId="77777777" w:rsidR="00CC21BA" w:rsidRPr="00FB07FC" w:rsidRDefault="00CC21BA" w:rsidP="00CC21BA">
            <w:pPr>
              <w:widowControl w:val="0"/>
              <w:jc w:val="center"/>
              <w:rPr>
                <w:rFonts w:ascii="Arial" w:hAnsi="Arial"/>
                <w:sz w:val="22"/>
              </w:rPr>
            </w:pPr>
          </w:p>
          <w:p w14:paraId="35A677A2" w14:textId="6E97392F" w:rsidR="00CC21BA" w:rsidRPr="00FB07FC" w:rsidRDefault="00CC21BA" w:rsidP="00CC21BA">
            <w:pPr>
              <w:widowControl w:val="0"/>
              <w:jc w:val="center"/>
              <w:rPr>
                <w:rFonts w:ascii="Arial" w:hAnsi="Arial"/>
                <w:b/>
                <w:sz w:val="22"/>
              </w:rPr>
            </w:pPr>
            <w:proofErr w:type="spellStart"/>
            <w:r w:rsidRPr="00FB07FC">
              <w:rPr>
                <w:rFonts w:ascii="Arial" w:hAnsi="Arial"/>
                <w:sz w:val="22"/>
              </w:rPr>
              <w:t>Nº</w:t>
            </w:r>
            <w:proofErr w:type="spellEnd"/>
            <w:r w:rsidRPr="00FB07FC">
              <w:rPr>
                <w:rFonts w:ascii="Arial" w:hAnsi="Arial"/>
                <w:sz w:val="22"/>
              </w:rPr>
              <w:t xml:space="preserve"> de Compra:</w:t>
            </w:r>
            <w:r w:rsidRPr="00FB07FC">
              <w:rPr>
                <w:rFonts w:ascii="Arial" w:hAnsi="Arial"/>
                <w:b/>
                <w:sz w:val="22"/>
              </w:rPr>
              <w:t xml:space="preserve">  </w:t>
            </w:r>
            <w:r>
              <w:rPr>
                <w:rFonts w:ascii="Arial" w:hAnsi="Arial"/>
                <w:b/>
                <w:sz w:val="22"/>
              </w:rPr>
              <w:t>C</w:t>
            </w:r>
            <w:r w:rsidR="00C950F0">
              <w:rPr>
                <w:rFonts w:ascii="Arial" w:hAnsi="Arial"/>
                <w:b/>
                <w:sz w:val="22"/>
              </w:rPr>
              <w:t>703152</w:t>
            </w:r>
          </w:p>
          <w:p w14:paraId="4E48467B" w14:textId="77777777" w:rsidR="00CC21BA" w:rsidRPr="00FB07FC" w:rsidRDefault="00CC21BA" w:rsidP="00CC21BA">
            <w:pPr>
              <w:widowControl w:val="0"/>
              <w:jc w:val="center"/>
              <w:rPr>
                <w:rFonts w:ascii="Arial" w:hAnsi="Arial"/>
                <w:b/>
                <w:sz w:val="22"/>
              </w:rPr>
            </w:pPr>
          </w:p>
          <w:p w14:paraId="45C4B21A" w14:textId="77777777" w:rsidR="00CC21BA" w:rsidRPr="00FB07FC" w:rsidRDefault="00CC21BA" w:rsidP="00CC21BA">
            <w:pPr>
              <w:widowControl w:val="0"/>
              <w:tabs>
                <w:tab w:val="center" w:pos="4512"/>
              </w:tabs>
              <w:ind w:left="1418" w:hanging="1418"/>
              <w:jc w:val="center"/>
              <w:rPr>
                <w:rFonts w:ascii="Arial" w:hAnsi="Arial"/>
                <w:b/>
              </w:rPr>
            </w:pPr>
            <w:r w:rsidRPr="00FB07FC">
              <w:rPr>
                <w:rFonts w:ascii="Arial" w:hAnsi="Arial"/>
                <w:b/>
                <w:u w:val="single"/>
              </w:rPr>
              <w:t>OBJETO</w:t>
            </w:r>
            <w:r w:rsidRPr="00FB07FC">
              <w:rPr>
                <w:rFonts w:ascii="Arial" w:hAnsi="Arial"/>
                <w:b/>
              </w:rPr>
              <w:t>:</w:t>
            </w:r>
          </w:p>
          <w:p w14:paraId="25F16BFC" w14:textId="77777777" w:rsidR="00CC21BA" w:rsidRPr="00FB07FC" w:rsidRDefault="00CC21BA" w:rsidP="00CC21BA">
            <w:pPr>
              <w:widowControl w:val="0"/>
              <w:tabs>
                <w:tab w:val="center" w:pos="4512"/>
              </w:tabs>
              <w:ind w:left="1418" w:hanging="1418"/>
              <w:jc w:val="center"/>
              <w:rPr>
                <w:rFonts w:ascii="Arial" w:hAnsi="Arial"/>
                <w:b/>
              </w:rPr>
            </w:pPr>
          </w:p>
          <w:p w14:paraId="2840B973" w14:textId="77777777" w:rsidR="00C950F0" w:rsidRPr="00C950F0" w:rsidRDefault="00C950F0" w:rsidP="00C950F0">
            <w:pPr>
              <w:jc w:val="center"/>
              <w:rPr>
                <w:rFonts w:ascii="Arial" w:hAnsi="Arial"/>
                <w:b/>
                <w:sz w:val="32"/>
                <w:szCs w:val="24"/>
              </w:rPr>
            </w:pPr>
            <w:r w:rsidRPr="00C950F0">
              <w:rPr>
                <w:rFonts w:ascii="Arial" w:hAnsi="Arial"/>
                <w:b/>
                <w:sz w:val="32"/>
                <w:szCs w:val="24"/>
              </w:rPr>
              <w:t xml:space="preserve">SERVICIO DE LIMPIEZA </w:t>
            </w:r>
          </w:p>
          <w:p w14:paraId="57790041" w14:textId="54B1750F" w:rsidR="00CC21BA" w:rsidRDefault="00C950F0" w:rsidP="00C950F0">
            <w:pPr>
              <w:jc w:val="center"/>
              <w:rPr>
                <w:rFonts w:ascii="Arial" w:hAnsi="Arial"/>
                <w:b/>
                <w:sz w:val="32"/>
                <w:szCs w:val="24"/>
              </w:rPr>
            </w:pPr>
            <w:r w:rsidRPr="00C950F0">
              <w:rPr>
                <w:rFonts w:ascii="Arial" w:hAnsi="Arial"/>
                <w:b/>
                <w:sz w:val="32"/>
                <w:szCs w:val="24"/>
              </w:rPr>
              <w:t>EN PREDIOS FORESTADOS</w:t>
            </w:r>
          </w:p>
          <w:p w14:paraId="36E4A454" w14:textId="77777777" w:rsidR="00C950F0" w:rsidRPr="00FB07FC" w:rsidRDefault="00C950F0" w:rsidP="00C950F0">
            <w:pPr>
              <w:jc w:val="center"/>
              <w:rPr>
                <w:rFonts w:ascii="Arial" w:hAnsi="Arial"/>
                <w:b/>
                <w:szCs w:val="24"/>
              </w:rPr>
            </w:pPr>
          </w:p>
          <w:p w14:paraId="580B9953" w14:textId="77777777" w:rsidR="00CC21BA" w:rsidRPr="00FB07FC" w:rsidRDefault="00CC21BA" w:rsidP="00CC21BA">
            <w:pPr>
              <w:widowControl w:val="0"/>
              <w:jc w:val="center"/>
              <w:rPr>
                <w:rFonts w:ascii="Arial" w:hAnsi="Arial"/>
                <w:sz w:val="22"/>
              </w:rPr>
            </w:pPr>
            <w:r w:rsidRPr="00FB07FC">
              <w:rPr>
                <w:rFonts w:ascii="Arial" w:hAnsi="Arial"/>
                <w:sz w:val="22"/>
              </w:rPr>
              <w:t>Recepción de ofertas hasta la hora de la apertura:</w:t>
            </w:r>
          </w:p>
          <w:p w14:paraId="5005EB94" w14:textId="77777777" w:rsidR="00CC21BA" w:rsidRPr="00FB07FC" w:rsidRDefault="00CC21BA" w:rsidP="00CC21BA">
            <w:pPr>
              <w:widowControl w:val="0"/>
              <w:jc w:val="center"/>
              <w:rPr>
                <w:rFonts w:ascii="Arial" w:hAnsi="Arial"/>
                <w:sz w:val="22"/>
              </w:rPr>
            </w:pPr>
          </w:p>
          <w:p w14:paraId="0E2B7239" w14:textId="0EF9E9BA" w:rsidR="00CC21BA" w:rsidRPr="00FB07FC" w:rsidRDefault="00CC21BA" w:rsidP="00CC21BA">
            <w:pPr>
              <w:widowControl w:val="0"/>
              <w:jc w:val="center"/>
              <w:rPr>
                <w:rFonts w:ascii="Arial" w:hAnsi="Arial"/>
                <w:b/>
                <w:sz w:val="22"/>
              </w:rPr>
            </w:pPr>
            <w:r w:rsidRPr="00FB07FC">
              <w:rPr>
                <w:rFonts w:ascii="Arial" w:hAnsi="Arial"/>
                <w:b/>
                <w:sz w:val="22"/>
              </w:rPr>
              <w:t xml:space="preserve">APERTURA DE OFERTAS: </w:t>
            </w:r>
            <w:r w:rsidR="00C950F0">
              <w:rPr>
                <w:rFonts w:ascii="Arial" w:hAnsi="Arial"/>
                <w:b/>
                <w:sz w:val="22"/>
              </w:rPr>
              <w:t>16</w:t>
            </w:r>
            <w:r w:rsidRPr="00FB07FC">
              <w:rPr>
                <w:rFonts w:ascii="Arial" w:hAnsi="Arial"/>
                <w:b/>
                <w:sz w:val="22"/>
              </w:rPr>
              <w:t>/</w:t>
            </w:r>
            <w:r w:rsidR="00C950F0">
              <w:rPr>
                <w:rFonts w:ascii="Arial" w:hAnsi="Arial"/>
                <w:b/>
                <w:sz w:val="22"/>
              </w:rPr>
              <w:t>06</w:t>
            </w:r>
            <w:r w:rsidRPr="00FB07FC">
              <w:rPr>
                <w:rFonts w:ascii="Arial" w:hAnsi="Arial"/>
                <w:b/>
                <w:sz w:val="22"/>
              </w:rPr>
              <w:t>/</w:t>
            </w:r>
            <w:r>
              <w:rPr>
                <w:rFonts w:ascii="Arial" w:hAnsi="Arial"/>
                <w:b/>
                <w:sz w:val="22"/>
              </w:rPr>
              <w:t>2</w:t>
            </w:r>
            <w:r w:rsidR="00C950F0">
              <w:rPr>
                <w:rFonts w:ascii="Arial" w:hAnsi="Arial"/>
                <w:b/>
                <w:sz w:val="22"/>
              </w:rPr>
              <w:t>025</w:t>
            </w:r>
          </w:p>
          <w:p w14:paraId="33C9A5F0" w14:textId="5A822B1F" w:rsidR="00CC21BA" w:rsidRPr="00FB07FC" w:rsidRDefault="00CC21BA" w:rsidP="00CC21BA">
            <w:pPr>
              <w:widowControl w:val="0"/>
              <w:jc w:val="center"/>
              <w:rPr>
                <w:rFonts w:ascii="Arial" w:hAnsi="Arial"/>
                <w:b/>
                <w:sz w:val="22"/>
              </w:rPr>
            </w:pPr>
            <w:r w:rsidRPr="00FB07FC">
              <w:rPr>
                <w:rFonts w:ascii="Arial" w:hAnsi="Arial"/>
                <w:b/>
                <w:sz w:val="22"/>
              </w:rPr>
              <w:t xml:space="preserve">HORA:  </w:t>
            </w:r>
            <w:r>
              <w:rPr>
                <w:rFonts w:ascii="Arial" w:hAnsi="Arial"/>
                <w:b/>
                <w:sz w:val="22"/>
              </w:rPr>
              <w:t>11:00</w:t>
            </w:r>
          </w:p>
          <w:p w14:paraId="59EFA8A0" w14:textId="77777777" w:rsidR="00CC21BA" w:rsidRPr="00FB07FC" w:rsidRDefault="00CC21BA" w:rsidP="00CC21BA">
            <w:pPr>
              <w:widowControl w:val="0"/>
              <w:jc w:val="center"/>
              <w:rPr>
                <w:rFonts w:ascii="Arial" w:hAnsi="Arial"/>
                <w:b/>
                <w:sz w:val="22"/>
              </w:rPr>
            </w:pPr>
          </w:p>
          <w:p w14:paraId="5A24E40E" w14:textId="77777777" w:rsidR="00CC21BA" w:rsidRPr="00FB07FC" w:rsidRDefault="00CC21BA" w:rsidP="00CC21BA">
            <w:pPr>
              <w:pStyle w:val="Textoindependiente"/>
              <w:jc w:val="center"/>
              <w:rPr>
                <w:rFonts w:ascii="Arial" w:hAnsi="Arial"/>
                <w:lang w:val="es-UY"/>
              </w:rPr>
            </w:pPr>
            <w:r w:rsidRPr="00FB07FC">
              <w:rPr>
                <w:rFonts w:ascii="Arial" w:hAnsi="Arial"/>
              </w:rPr>
              <w:t xml:space="preserve">Apertura de ofertas en línea a través de la plataforma del Sistema de Información de Compras y Contrataciones Estatales </w:t>
            </w:r>
            <w:r w:rsidRPr="00FB07FC">
              <w:rPr>
                <w:rFonts w:ascii="Arial" w:hAnsi="Arial"/>
                <w:b/>
              </w:rPr>
              <w:t>(SICE)</w:t>
            </w:r>
            <w:r w:rsidRPr="00FB07FC">
              <w:rPr>
                <w:rFonts w:ascii="Arial" w:hAnsi="Arial"/>
                <w:lang w:val="es-UY"/>
              </w:rPr>
              <w:t xml:space="preserve"> </w:t>
            </w:r>
          </w:p>
          <w:p w14:paraId="49284900" w14:textId="5E53D273" w:rsidR="00CC21BA" w:rsidRPr="00FB07FC" w:rsidRDefault="00CC21BA" w:rsidP="00CC21BA">
            <w:pPr>
              <w:autoSpaceDE w:val="0"/>
              <w:autoSpaceDN w:val="0"/>
              <w:adjustRightInd w:val="0"/>
              <w:rPr>
                <w:rFonts w:ascii="Arial" w:hAnsi="Arial"/>
                <w:b/>
                <w:sz w:val="22"/>
              </w:rPr>
            </w:pPr>
          </w:p>
          <w:p w14:paraId="29855553" w14:textId="77777777" w:rsidR="00CC21BA" w:rsidRPr="00C63489" w:rsidRDefault="00CC21BA" w:rsidP="00CC21BA">
            <w:pPr>
              <w:pStyle w:val="Textoindependiente"/>
              <w:jc w:val="center"/>
              <w:rPr>
                <w:rFonts w:ascii="Arial" w:hAnsi="Arial"/>
                <w:lang w:val="es-UY"/>
              </w:rPr>
            </w:pPr>
          </w:p>
          <w:p w14:paraId="7B272033" w14:textId="77777777" w:rsidR="00CC21BA" w:rsidRDefault="00CC21BA" w:rsidP="00CC21BA">
            <w:pPr>
              <w:widowControl w:val="0"/>
              <w:jc w:val="center"/>
              <w:rPr>
                <w:rFonts w:ascii="Arial" w:hAnsi="Arial" w:cs="Arial"/>
                <w:b/>
                <w:sz w:val="22"/>
              </w:rPr>
            </w:pPr>
          </w:p>
          <w:p w14:paraId="270B3692" w14:textId="77777777" w:rsidR="00CC21BA" w:rsidRPr="00C92F4E" w:rsidRDefault="00CC21BA" w:rsidP="00CC21BA">
            <w:pPr>
              <w:widowControl w:val="0"/>
              <w:jc w:val="center"/>
              <w:rPr>
                <w:rFonts w:ascii="Arial" w:hAnsi="Arial" w:cs="Arial"/>
                <w:b/>
                <w:sz w:val="22"/>
              </w:rPr>
            </w:pPr>
            <w:r w:rsidRPr="00C92F4E">
              <w:rPr>
                <w:rFonts w:ascii="Arial" w:hAnsi="Arial" w:cs="Arial"/>
                <w:b/>
                <w:sz w:val="22"/>
              </w:rPr>
              <w:t xml:space="preserve">ATENCION!!! </w:t>
            </w:r>
          </w:p>
          <w:p w14:paraId="74394432" w14:textId="77777777" w:rsidR="00CC21BA" w:rsidRPr="00C92F4E" w:rsidRDefault="00CC21BA" w:rsidP="00CC21BA">
            <w:pPr>
              <w:widowControl w:val="0"/>
              <w:jc w:val="center"/>
              <w:rPr>
                <w:rFonts w:ascii="Arial" w:hAnsi="Arial" w:cs="Arial"/>
                <w:b/>
                <w:sz w:val="22"/>
              </w:rPr>
            </w:pPr>
          </w:p>
          <w:p w14:paraId="53FA251A" w14:textId="77777777" w:rsidR="00CC21BA" w:rsidRPr="00C92F4E" w:rsidRDefault="00CC21BA" w:rsidP="00CC21BA">
            <w:pPr>
              <w:widowControl w:val="0"/>
              <w:rPr>
                <w:rFonts w:ascii="Arial" w:hAnsi="Arial" w:cs="Arial"/>
                <w:b/>
                <w:sz w:val="22"/>
              </w:rPr>
            </w:pPr>
            <w:r w:rsidRPr="00C92F4E">
              <w:rPr>
                <w:rFonts w:ascii="Arial" w:hAnsi="Arial" w:cs="Arial"/>
                <w:b/>
                <w:sz w:val="22"/>
              </w:rPr>
              <w:t>LAS OFERTAS:</w:t>
            </w:r>
          </w:p>
          <w:p w14:paraId="3E6E48DC" w14:textId="77777777" w:rsidR="00CC21BA" w:rsidRPr="00A75220" w:rsidRDefault="00CC21BA" w:rsidP="00CC21BA">
            <w:pPr>
              <w:widowControl w:val="0"/>
              <w:jc w:val="both"/>
              <w:rPr>
                <w:rFonts w:ascii="Arial" w:hAnsi="Arial" w:cs="Arial"/>
                <w:b/>
                <w:sz w:val="22"/>
              </w:rPr>
            </w:pPr>
          </w:p>
          <w:p w14:paraId="27EE07C6" w14:textId="77777777" w:rsidR="00CC21BA" w:rsidRPr="00C92F4E" w:rsidRDefault="00CC21BA" w:rsidP="00CC21BA">
            <w:pPr>
              <w:widowControl w:val="0"/>
              <w:numPr>
                <w:ilvl w:val="0"/>
                <w:numId w:val="14"/>
              </w:numPr>
              <w:jc w:val="both"/>
              <w:rPr>
                <w:rFonts w:ascii="Arial" w:hAnsi="Arial" w:cs="Arial"/>
                <w:b/>
                <w:sz w:val="22"/>
              </w:rPr>
            </w:pPr>
            <w:r w:rsidRPr="00C92F4E">
              <w:rPr>
                <w:rFonts w:ascii="Arial" w:hAnsi="Arial" w:cs="Arial"/>
                <w:b/>
                <w:sz w:val="22"/>
              </w:rPr>
              <w:t>Deberán estar firmadas y con aclaración de firma, por quien tenga facultades suficientes para presentarlas y contratar, debidamente habilitada en RUPE.</w:t>
            </w:r>
          </w:p>
          <w:p w14:paraId="5C414EEB" w14:textId="77777777" w:rsidR="00BC2389" w:rsidRPr="00547D9A" w:rsidRDefault="00BC2389" w:rsidP="00916911">
            <w:pPr>
              <w:pStyle w:val="Textoindependiente"/>
              <w:jc w:val="center"/>
              <w:rPr>
                <w:rFonts w:ascii="Arial" w:hAnsi="Arial"/>
                <w:lang w:val="es-UY"/>
              </w:rPr>
            </w:pPr>
          </w:p>
        </w:tc>
      </w:tr>
      <w:tr w:rsidR="00F95A94" w:rsidRPr="00D96C8D" w14:paraId="676AA893" w14:textId="77777777" w:rsidTr="000D2B75">
        <w:trPr>
          <w:trHeight w:val="46"/>
          <w:jc w:val="center"/>
        </w:trPr>
        <w:tc>
          <w:tcPr>
            <w:tcW w:w="8428" w:type="dxa"/>
          </w:tcPr>
          <w:p w14:paraId="7890D5E5" w14:textId="77777777" w:rsidR="00F95A94" w:rsidRPr="00EC5B67" w:rsidRDefault="00F95A94" w:rsidP="007131A8">
            <w:pPr>
              <w:widowControl w:val="0"/>
              <w:spacing w:line="120" w:lineRule="exact"/>
              <w:jc w:val="center"/>
              <w:rPr>
                <w:rFonts w:ascii="Arial" w:hAnsi="Arial"/>
                <w:sz w:val="22"/>
              </w:rPr>
            </w:pPr>
          </w:p>
        </w:tc>
      </w:tr>
    </w:tbl>
    <w:p w14:paraId="01D20F4F" w14:textId="77777777" w:rsidR="00BC2389" w:rsidRPr="00547D9A" w:rsidRDefault="00BC2389">
      <w:pPr>
        <w:widowControl w:val="0"/>
        <w:jc w:val="both"/>
        <w:rPr>
          <w:rFonts w:ascii="Arial" w:hAnsi="Arial"/>
          <w:sz w:val="22"/>
          <w:lang w:val="es-UY"/>
        </w:rPr>
      </w:pPr>
    </w:p>
    <w:p w14:paraId="72A1FF7F" w14:textId="77777777" w:rsidR="00547D9A" w:rsidRDefault="00547D9A">
      <w:pPr>
        <w:widowControl w:val="0"/>
        <w:jc w:val="both"/>
        <w:rPr>
          <w:rFonts w:ascii="Arial" w:hAnsi="Arial"/>
          <w:b/>
          <w:sz w:val="18"/>
          <w:lang w:val="es-UY"/>
        </w:rPr>
      </w:pPr>
    </w:p>
    <w:p w14:paraId="4BD39503" w14:textId="77777777" w:rsidR="00827AB9" w:rsidRDefault="00827AB9">
      <w:pPr>
        <w:widowControl w:val="0"/>
        <w:jc w:val="both"/>
        <w:rPr>
          <w:rFonts w:ascii="Arial" w:hAnsi="Arial"/>
          <w:b/>
          <w:sz w:val="18"/>
        </w:rPr>
      </w:pPr>
    </w:p>
    <w:p w14:paraId="0F0877D3" w14:textId="77777777" w:rsidR="00827AB9" w:rsidRDefault="00827AB9">
      <w:pPr>
        <w:widowControl w:val="0"/>
        <w:jc w:val="both"/>
        <w:rPr>
          <w:rFonts w:ascii="Arial" w:hAnsi="Arial"/>
          <w:b/>
          <w:sz w:val="18"/>
        </w:rPr>
      </w:pPr>
    </w:p>
    <w:p w14:paraId="52E98410" w14:textId="77777777" w:rsidR="00827AB9" w:rsidRDefault="00827AB9">
      <w:pPr>
        <w:widowControl w:val="0"/>
        <w:jc w:val="both"/>
        <w:rPr>
          <w:rFonts w:ascii="Arial" w:hAnsi="Arial"/>
          <w:b/>
          <w:sz w:val="18"/>
        </w:rPr>
      </w:pPr>
    </w:p>
    <w:p w14:paraId="637C2C4F" w14:textId="77777777" w:rsidR="00827AB9" w:rsidRDefault="00827AB9">
      <w:pPr>
        <w:widowControl w:val="0"/>
        <w:jc w:val="both"/>
        <w:rPr>
          <w:rFonts w:ascii="Arial" w:hAnsi="Arial"/>
          <w:b/>
          <w:sz w:val="18"/>
        </w:rPr>
      </w:pPr>
    </w:p>
    <w:p w14:paraId="2DBCAC04" w14:textId="77777777" w:rsidR="00827AB9" w:rsidRDefault="00827AB9">
      <w:pPr>
        <w:widowControl w:val="0"/>
        <w:jc w:val="both"/>
        <w:rPr>
          <w:rFonts w:ascii="Arial" w:hAnsi="Arial"/>
          <w:b/>
          <w:sz w:val="18"/>
        </w:rPr>
      </w:pPr>
    </w:p>
    <w:p w14:paraId="3A1FDCB6" w14:textId="77777777" w:rsidR="00827AB9" w:rsidRDefault="00827AB9">
      <w:pPr>
        <w:widowControl w:val="0"/>
        <w:jc w:val="both"/>
        <w:rPr>
          <w:rFonts w:ascii="Arial" w:hAnsi="Arial"/>
          <w:b/>
          <w:sz w:val="18"/>
        </w:rPr>
      </w:pPr>
    </w:p>
    <w:p w14:paraId="736301FD" w14:textId="77777777" w:rsidR="00827AB9" w:rsidRDefault="00827AB9">
      <w:pPr>
        <w:widowControl w:val="0"/>
        <w:jc w:val="both"/>
        <w:rPr>
          <w:rFonts w:ascii="Arial" w:hAnsi="Arial"/>
          <w:b/>
          <w:sz w:val="18"/>
        </w:rPr>
      </w:pPr>
    </w:p>
    <w:p w14:paraId="2BC4694F" w14:textId="756EC775" w:rsidR="00C9174B" w:rsidRDefault="00C9174B" w:rsidP="005A28A3">
      <w:pPr>
        <w:suppressAutoHyphens/>
      </w:pPr>
    </w:p>
    <w:p w14:paraId="2908BA0B" w14:textId="77777777" w:rsidR="00A0371E" w:rsidRPr="00570E91" w:rsidRDefault="00A0371E" w:rsidP="00A0371E">
      <w:pPr>
        <w:pStyle w:val="Ttulo1"/>
        <w:rPr>
          <w:rFonts w:ascii="Calibri" w:hAnsi="Calibri" w:cs="Calibri"/>
          <w:sz w:val="40"/>
        </w:rPr>
      </w:pPr>
      <w:r w:rsidRPr="00570E91">
        <w:rPr>
          <w:rFonts w:ascii="Calibri" w:hAnsi="Calibri" w:cs="Calibri"/>
          <w:noProof/>
          <w:szCs w:val="28"/>
          <w:lang w:val="es-419" w:eastAsia="es-419"/>
        </w:rPr>
        <w:drawing>
          <wp:inline distT="0" distB="0" distL="0" distR="0" wp14:anchorId="44EC9832" wp14:editId="4397A19D">
            <wp:extent cx="228600" cy="228600"/>
            <wp:effectExtent l="0" t="0" r="0" b="0"/>
            <wp:docPr id="4" name="Imagen 4" descr="img_Audi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Auditor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570E91">
        <w:rPr>
          <w:rFonts w:ascii="Calibri" w:hAnsi="Calibri" w:cs="Calibri"/>
          <w:szCs w:val="28"/>
        </w:rPr>
        <w:t xml:space="preserve"> </w:t>
      </w:r>
      <w:r w:rsidRPr="00570E91">
        <w:rPr>
          <w:rFonts w:ascii="Calibri" w:hAnsi="Calibri" w:cs="Calibri"/>
          <w:sz w:val="40"/>
        </w:rPr>
        <w:t xml:space="preserve">INDICE GENERAL </w:t>
      </w:r>
    </w:p>
    <w:p w14:paraId="4ED5F044" w14:textId="77777777" w:rsidR="00A0371E" w:rsidRPr="00570E91" w:rsidRDefault="00A0371E" w:rsidP="00A0371E">
      <w:pPr>
        <w:rPr>
          <w:rFonts w:ascii="Calibri" w:hAnsi="Calibri" w:cs="Calibri"/>
        </w:rPr>
      </w:pPr>
    </w:p>
    <w:p w14:paraId="006F4A5B" w14:textId="77777777" w:rsidR="00A0371E" w:rsidRPr="00570E91" w:rsidRDefault="00A0371E" w:rsidP="00A0371E">
      <w:pPr>
        <w:rPr>
          <w:rFonts w:ascii="Calibri" w:hAnsi="Calibri" w:cs="Calibri"/>
        </w:rPr>
      </w:pPr>
    </w:p>
    <w:p w14:paraId="48843CE1" w14:textId="302EFD6A" w:rsidR="00A0371E" w:rsidRPr="007B3BD6" w:rsidRDefault="005261CB" w:rsidP="005261CB">
      <w:pPr>
        <w:rPr>
          <w:sz w:val="24"/>
          <w:szCs w:val="24"/>
        </w:rPr>
      </w:pPr>
      <w:r w:rsidRPr="007B3BD6">
        <w:rPr>
          <w:sz w:val="24"/>
          <w:szCs w:val="24"/>
        </w:rPr>
        <w:t xml:space="preserve">- </w:t>
      </w:r>
      <w:r w:rsidR="007D7534" w:rsidRPr="007B3BD6">
        <w:rPr>
          <w:sz w:val="24"/>
          <w:szCs w:val="24"/>
        </w:rPr>
        <w:t xml:space="preserve">PARTE I - </w:t>
      </w:r>
      <w:r w:rsidR="00A0371E" w:rsidRPr="007B3BD6">
        <w:rPr>
          <w:sz w:val="24"/>
          <w:szCs w:val="24"/>
        </w:rPr>
        <w:t>PLIEGO PARTICULAR</w:t>
      </w:r>
    </w:p>
    <w:p w14:paraId="142069F2" w14:textId="6362F9C9" w:rsidR="00A0371E" w:rsidRPr="007B3BD6" w:rsidRDefault="005261CB" w:rsidP="005261CB">
      <w:pPr>
        <w:rPr>
          <w:sz w:val="24"/>
          <w:szCs w:val="24"/>
        </w:rPr>
      </w:pPr>
      <w:r w:rsidRPr="007B3BD6">
        <w:rPr>
          <w:sz w:val="24"/>
          <w:szCs w:val="24"/>
        </w:rPr>
        <w:t>- PARTE II</w:t>
      </w:r>
      <w:r w:rsidR="007D7534" w:rsidRPr="007B3BD6">
        <w:rPr>
          <w:sz w:val="24"/>
          <w:szCs w:val="24"/>
        </w:rPr>
        <w:t xml:space="preserve"> - </w:t>
      </w:r>
      <w:r w:rsidR="007D7534" w:rsidRPr="007B3BD6">
        <w:rPr>
          <w:spacing w:val="-3"/>
          <w:sz w:val="24"/>
          <w:szCs w:val="24"/>
        </w:rPr>
        <w:t>CONDICIONES GENERALES PARA ADQUISICIONES DE SUMINISTROS Y SERVICIOS</w:t>
      </w:r>
    </w:p>
    <w:p w14:paraId="3A8D1E90" w14:textId="481892B6" w:rsidR="005261CB" w:rsidRPr="007B3BD6" w:rsidRDefault="005261CB" w:rsidP="005261CB">
      <w:pPr>
        <w:rPr>
          <w:sz w:val="24"/>
          <w:szCs w:val="24"/>
        </w:rPr>
      </w:pPr>
      <w:r w:rsidRPr="007B3BD6">
        <w:rPr>
          <w:sz w:val="24"/>
          <w:szCs w:val="24"/>
        </w:rPr>
        <w:t>- PARTE III</w:t>
      </w:r>
      <w:r w:rsidR="007D7534" w:rsidRPr="007B3BD6">
        <w:rPr>
          <w:sz w:val="24"/>
          <w:szCs w:val="24"/>
        </w:rPr>
        <w:t xml:space="preserve"> - PLIEGO ÚNICO DE BASES Y CONDICIONES GENERALES</w:t>
      </w:r>
    </w:p>
    <w:p w14:paraId="52DA5640" w14:textId="77777777" w:rsidR="00D459B0" w:rsidRPr="003D527A" w:rsidRDefault="00D459B0" w:rsidP="00B04B68">
      <w:pPr>
        <w:rPr>
          <w:rFonts w:ascii="Arial" w:hAnsi="Arial"/>
          <w:lang w:val="es-UY"/>
        </w:rPr>
      </w:pPr>
    </w:p>
    <w:p w14:paraId="1D2BAA39" w14:textId="77777777" w:rsidR="009378D9" w:rsidRPr="0098027C" w:rsidRDefault="009378D9" w:rsidP="009378D9">
      <w:pPr>
        <w:rPr>
          <w:rFonts w:ascii="Arial" w:hAnsi="Arial"/>
          <w:lang w:val="es-UY"/>
        </w:rPr>
      </w:pPr>
    </w:p>
    <w:p w14:paraId="2F2DFF6F" w14:textId="77777777" w:rsidR="00FB61A7" w:rsidRDefault="00FB61A7" w:rsidP="00FB61A7">
      <w:pPr>
        <w:rPr>
          <w:sz w:val="28"/>
        </w:rPr>
      </w:pPr>
    </w:p>
    <w:p w14:paraId="12AD1E0B" w14:textId="40918115" w:rsidR="00FB61A7" w:rsidRPr="007B3BD6" w:rsidRDefault="00FB61A7" w:rsidP="00FB61A7">
      <w:pPr>
        <w:suppressAutoHyphens/>
        <w:jc w:val="center"/>
        <w:rPr>
          <w:b/>
          <w:sz w:val="28"/>
        </w:rPr>
      </w:pPr>
      <w:r w:rsidRPr="007B3BD6">
        <w:rPr>
          <w:b/>
          <w:sz w:val="28"/>
        </w:rPr>
        <w:t xml:space="preserve">CONDICIONES QUE RIGEN PARA EL PRESENTE </w:t>
      </w:r>
      <w:r w:rsidR="00494FB7" w:rsidRPr="007B3BD6">
        <w:rPr>
          <w:b/>
          <w:sz w:val="28"/>
        </w:rPr>
        <w:t>CONCURSO DE PRECIOS</w:t>
      </w:r>
    </w:p>
    <w:p w14:paraId="166641DF" w14:textId="4339CB0A" w:rsidR="00FB61A7" w:rsidRDefault="00FB61A7" w:rsidP="00FB61A7">
      <w:pPr>
        <w:suppressAutoHyphens/>
        <w:jc w:val="center"/>
        <w:rPr>
          <w:sz w:val="28"/>
        </w:rPr>
      </w:pPr>
    </w:p>
    <w:p w14:paraId="760D4B2E" w14:textId="5BF75077" w:rsidR="008F0C06" w:rsidRPr="003D527A" w:rsidRDefault="008F0C06" w:rsidP="008F0C06">
      <w:pPr>
        <w:jc w:val="both"/>
        <w:rPr>
          <w:rFonts w:ascii="Arial" w:hAnsi="Arial" w:cs="Arial"/>
          <w:b/>
          <w:sz w:val="24"/>
          <w:szCs w:val="24"/>
        </w:rPr>
      </w:pPr>
      <w:r w:rsidRPr="00306A51">
        <w:rPr>
          <w:rFonts w:ascii="Arial" w:hAnsi="Arial" w:cs="Arial"/>
          <w:b/>
          <w:sz w:val="24"/>
          <w:szCs w:val="24"/>
        </w:rPr>
        <w:t>Las condiciones establecidas en el este anexo rigen para la presente compra y priman sobre las establecidas en la Parte II CONDICIONES GENERALES PARA ADQUISICIONES DE SUMINISTROS Y SERVICIOS y sobre las que se establezcan en la Parte I si presentan contradicciones con las mismas.</w:t>
      </w:r>
    </w:p>
    <w:p w14:paraId="1B2F0631" w14:textId="77777777" w:rsidR="008F0C06" w:rsidRDefault="008F0C06" w:rsidP="00FB61A7">
      <w:pPr>
        <w:suppressAutoHyphens/>
        <w:jc w:val="center"/>
        <w:rPr>
          <w:rFonts w:ascii="Arial" w:hAnsi="Arial" w:cs="Arial"/>
          <w:sz w:val="24"/>
          <w:szCs w:val="24"/>
        </w:rPr>
      </w:pPr>
    </w:p>
    <w:p w14:paraId="53B45720" w14:textId="77777777" w:rsidR="00F2042A" w:rsidRPr="00F2042A" w:rsidRDefault="00F2042A" w:rsidP="00FB61A7">
      <w:pPr>
        <w:suppressAutoHyphens/>
        <w:jc w:val="center"/>
        <w:rPr>
          <w:rFonts w:ascii="Arial" w:hAnsi="Arial" w:cs="Arial"/>
          <w:b/>
          <w:sz w:val="24"/>
          <w:szCs w:val="24"/>
        </w:rPr>
      </w:pPr>
    </w:p>
    <w:p w14:paraId="487F555E" w14:textId="6A5BC3E0" w:rsidR="00F2042A" w:rsidRPr="005E58E0" w:rsidRDefault="00F2042A" w:rsidP="00F2042A">
      <w:pPr>
        <w:suppressAutoHyphens/>
        <w:rPr>
          <w:rFonts w:ascii="Arial" w:hAnsi="Arial" w:cs="Arial"/>
          <w:b/>
          <w:sz w:val="24"/>
          <w:szCs w:val="24"/>
        </w:rPr>
      </w:pPr>
      <w:r w:rsidRPr="005E58E0">
        <w:rPr>
          <w:rFonts w:ascii="Arial" w:hAnsi="Arial" w:cs="Arial"/>
          <w:b/>
          <w:sz w:val="24"/>
          <w:szCs w:val="24"/>
        </w:rPr>
        <w:t>Aclaraciones de los Pliegos (Referencia al Punto 3 Parte II)</w:t>
      </w:r>
    </w:p>
    <w:p w14:paraId="049E0209" w14:textId="584C7DF8" w:rsidR="00F2042A" w:rsidRPr="005E58E0" w:rsidRDefault="00F2042A" w:rsidP="00F2042A">
      <w:pPr>
        <w:jc w:val="both"/>
        <w:rPr>
          <w:rFonts w:ascii="Arial" w:hAnsi="Arial" w:cs="Arial"/>
          <w:sz w:val="24"/>
          <w:szCs w:val="24"/>
        </w:rPr>
      </w:pPr>
      <w:r w:rsidRPr="005E58E0">
        <w:rPr>
          <w:rFonts w:ascii="Arial" w:hAnsi="Arial" w:cs="Arial"/>
          <w:sz w:val="24"/>
          <w:szCs w:val="24"/>
        </w:rPr>
        <w:t xml:space="preserve">Cualquier persona física o jurídica interesada en presentarse al llamado, podrá solicitar aclaraciones al Pliego de Condiciones, con una antelación de hasta 10 (diez) días hábiles (Licitaciones Públicas), 3 (tres) días hábiles (Licitaciones Abreviadas) y 1 (un) día hábil para Concurso de Precios; antes de la respectiva fecha </w:t>
      </w:r>
      <w:r w:rsidR="000D2B75" w:rsidRPr="005E58E0">
        <w:rPr>
          <w:rFonts w:ascii="Arial" w:hAnsi="Arial" w:cs="Arial"/>
          <w:sz w:val="24"/>
          <w:szCs w:val="24"/>
        </w:rPr>
        <w:t>establecida para el A</w:t>
      </w:r>
      <w:r w:rsidRPr="005E58E0">
        <w:rPr>
          <w:rFonts w:ascii="Arial" w:hAnsi="Arial" w:cs="Arial"/>
          <w:sz w:val="24"/>
          <w:szCs w:val="24"/>
        </w:rPr>
        <w:t xml:space="preserve">cto de </w:t>
      </w:r>
      <w:r w:rsidR="000D2B75" w:rsidRPr="005E58E0">
        <w:rPr>
          <w:rFonts w:ascii="Arial" w:hAnsi="Arial" w:cs="Arial"/>
          <w:sz w:val="24"/>
          <w:szCs w:val="24"/>
        </w:rPr>
        <w:t>A</w:t>
      </w:r>
      <w:r w:rsidRPr="005E58E0">
        <w:rPr>
          <w:rFonts w:ascii="Arial" w:hAnsi="Arial" w:cs="Arial"/>
          <w:sz w:val="24"/>
          <w:szCs w:val="24"/>
        </w:rPr>
        <w:t xml:space="preserve">pertura de las ofertas hasta las 15:00 Hs, salvo especificación en contrario establecida en el Pliego Particular. </w:t>
      </w:r>
    </w:p>
    <w:p w14:paraId="1360D37C" w14:textId="77777777" w:rsidR="00F2042A" w:rsidRPr="005E58E0" w:rsidRDefault="00F2042A" w:rsidP="00FB61A7">
      <w:pPr>
        <w:suppressAutoHyphens/>
        <w:jc w:val="center"/>
        <w:rPr>
          <w:rFonts w:ascii="Arial" w:hAnsi="Arial" w:cs="Arial"/>
          <w:sz w:val="24"/>
          <w:szCs w:val="24"/>
        </w:rPr>
      </w:pPr>
    </w:p>
    <w:p w14:paraId="4895B614" w14:textId="261CAE5D" w:rsidR="00F2042A" w:rsidRPr="005E58E0" w:rsidRDefault="00F2042A" w:rsidP="00F2042A">
      <w:pPr>
        <w:jc w:val="both"/>
        <w:rPr>
          <w:rFonts w:ascii="Arial" w:hAnsi="Arial" w:cs="Arial"/>
          <w:b/>
          <w:sz w:val="24"/>
          <w:szCs w:val="24"/>
        </w:rPr>
      </w:pPr>
      <w:r w:rsidRPr="005E58E0">
        <w:rPr>
          <w:rFonts w:ascii="Arial" w:hAnsi="Arial" w:cs="Arial"/>
          <w:b/>
          <w:sz w:val="24"/>
          <w:szCs w:val="24"/>
        </w:rPr>
        <w:t>Solicitud de prórroga de apertura de ofertas (Referencia al Punto 5 Parte II)</w:t>
      </w:r>
    </w:p>
    <w:p w14:paraId="6B9462FF" w14:textId="0ED8A1BE" w:rsidR="00F2042A" w:rsidRPr="005E58E0" w:rsidRDefault="00F2042A" w:rsidP="00F2042A">
      <w:pPr>
        <w:jc w:val="both"/>
        <w:rPr>
          <w:rFonts w:ascii="Arial" w:hAnsi="Arial" w:cs="Arial"/>
          <w:sz w:val="24"/>
          <w:szCs w:val="24"/>
        </w:rPr>
      </w:pPr>
      <w:r w:rsidRPr="005E58E0">
        <w:rPr>
          <w:rFonts w:ascii="Arial" w:hAnsi="Arial" w:cs="Arial"/>
          <w:sz w:val="24"/>
          <w:szCs w:val="24"/>
        </w:rPr>
        <w:t xml:space="preserve">El plazo para solicitar prórroga de apertura de ofertas (Punto 5 Solicitud de Prórroga de apertura de Ofertas del Pliego Único), será de  hasta 10 (diez) días hábiles (Licitaciones Públicas), 3 (tres) días hábiles (Licitaciones Abreviadas) y  1 (un) día hábil para Concurso de Precios; antes hasta las 15:00 Hs de la respectiva fecha establecida para el </w:t>
      </w:r>
      <w:r w:rsidR="000D2B75" w:rsidRPr="005E58E0">
        <w:rPr>
          <w:rFonts w:ascii="Arial" w:hAnsi="Arial" w:cs="Arial"/>
          <w:sz w:val="24"/>
          <w:szCs w:val="24"/>
        </w:rPr>
        <w:t>A</w:t>
      </w:r>
      <w:r w:rsidRPr="005E58E0">
        <w:rPr>
          <w:rFonts w:ascii="Arial" w:hAnsi="Arial" w:cs="Arial"/>
          <w:sz w:val="24"/>
          <w:szCs w:val="24"/>
        </w:rPr>
        <w:t xml:space="preserve">cto de </w:t>
      </w:r>
      <w:r w:rsidR="000D2B75" w:rsidRPr="005E58E0">
        <w:rPr>
          <w:rFonts w:ascii="Arial" w:hAnsi="Arial" w:cs="Arial"/>
          <w:sz w:val="24"/>
          <w:szCs w:val="24"/>
        </w:rPr>
        <w:t>A</w:t>
      </w:r>
      <w:r w:rsidRPr="005E58E0">
        <w:rPr>
          <w:rFonts w:ascii="Arial" w:hAnsi="Arial" w:cs="Arial"/>
          <w:sz w:val="24"/>
          <w:szCs w:val="24"/>
        </w:rPr>
        <w:t xml:space="preserve">pertura de las ofertas, salvo especificación en contrario establecida en el Pliego Particular; las mismas deberán ser solicitadas a la Gerencia de Sector Compras (Atención Personalizada a Proveedores, Punto 1.4.2 del presente pliego). </w:t>
      </w:r>
    </w:p>
    <w:p w14:paraId="08EE5AED" w14:textId="77777777" w:rsidR="00FB61A7" w:rsidRPr="005E58E0" w:rsidRDefault="00FB61A7" w:rsidP="000D2B75">
      <w:pPr>
        <w:jc w:val="both"/>
        <w:rPr>
          <w:rFonts w:ascii="Arial" w:hAnsi="Arial" w:cs="Arial"/>
          <w:sz w:val="24"/>
          <w:szCs w:val="24"/>
        </w:rPr>
      </w:pPr>
    </w:p>
    <w:p w14:paraId="3B22E035" w14:textId="77777777" w:rsidR="00FB61A7" w:rsidRPr="005E58E0" w:rsidRDefault="00FB61A7" w:rsidP="00FB61A7">
      <w:pPr>
        <w:rPr>
          <w:rFonts w:ascii="Arial" w:hAnsi="Arial" w:cs="Arial"/>
          <w:b/>
          <w:sz w:val="24"/>
          <w:szCs w:val="24"/>
        </w:rPr>
      </w:pPr>
      <w:r w:rsidRPr="005E58E0">
        <w:rPr>
          <w:rFonts w:ascii="Arial" w:hAnsi="Arial" w:cs="Arial"/>
          <w:b/>
          <w:sz w:val="24"/>
          <w:szCs w:val="24"/>
        </w:rPr>
        <w:t>Precios y cotización (Referencia al Punto 10.3</w:t>
      </w:r>
      <w:r w:rsidR="008074CF" w:rsidRPr="005E58E0">
        <w:rPr>
          <w:rFonts w:ascii="Arial" w:hAnsi="Arial" w:cs="Arial"/>
          <w:b/>
          <w:sz w:val="24"/>
          <w:szCs w:val="24"/>
        </w:rPr>
        <w:t xml:space="preserve"> P</w:t>
      </w:r>
      <w:r w:rsidRPr="005E58E0">
        <w:rPr>
          <w:rFonts w:ascii="Arial" w:hAnsi="Arial" w:cs="Arial"/>
          <w:b/>
          <w:sz w:val="24"/>
          <w:szCs w:val="24"/>
        </w:rPr>
        <w:t>arte II)</w:t>
      </w:r>
    </w:p>
    <w:p w14:paraId="44002E3D" w14:textId="77777777" w:rsidR="00FB61A7" w:rsidRPr="005E58E0" w:rsidRDefault="00531FB7" w:rsidP="003D527A">
      <w:pPr>
        <w:jc w:val="both"/>
        <w:rPr>
          <w:rFonts w:ascii="Arial" w:hAnsi="Arial" w:cs="Arial"/>
          <w:sz w:val="24"/>
          <w:szCs w:val="24"/>
        </w:rPr>
      </w:pPr>
      <w:r w:rsidRPr="005E58E0">
        <w:rPr>
          <w:rFonts w:ascii="Arial" w:hAnsi="Arial" w:cs="Arial"/>
          <w:sz w:val="24"/>
          <w:szCs w:val="24"/>
        </w:rPr>
        <w:t>S</w:t>
      </w:r>
      <w:r w:rsidR="00FB61A7" w:rsidRPr="005E58E0">
        <w:rPr>
          <w:rFonts w:ascii="Arial" w:hAnsi="Arial" w:cs="Arial"/>
          <w:sz w:val="24"/>
          <w:szCs w:val="24"/>
        </w:rPr>
        <w:t xml:space="preserve">ólo se aceptarán cotizaciones en condiciones plaza. </w:t>
      </w:r>
    </w:p>
    <w:p w14:paraId="55FAC3F5" w14:textId="77777777" w:rsidR="00FB61A7" w:rsidRPr="003D527A" w:rsidRDefault="00FB61A7" w:rsidP="003D527A">
      <w:pPr>
        <w:jc w:val="both"/>
        <w:rPr>
          <w:rFonts w:ascii="Arial" w:hAnsi="Arial" w:cs="Arial"/>
          <w:sz w:val="24"/>
          <w:szCs w:val="24"/>
        </w:rPr>
      </w:pPr>
      <w:r w:rsidRPr="005E58E0">
        <w:rPr>
          <w:rFonts w:ascii="Arial" w:hAnsi="Arial" w:cs="Arial"/>
          <w:sz w:val="24"/>
          <w:szCs w:val="24"/>
        </w:rPr>
        <w:t>No se aceptarán ofertas que provengan de empresas extranjeras o de empresas de plaza que oferten suministros en Puerto Libre o Zona Franca</w:t>
      </w:r>
    </w:p>
    <w:p w14:paraId="103C7A21" w14:textId="7E9F1AFA" w:rsidR="00FB61A7" w:rsidRDefault="00FB61A7" w:rsidP="003D527A">
      <w:pPr>
        <w:jc w:val="both"/>
        <w:rPr>
          <w:rFonts w:ascii="Arial" w:hAnsi="Arial" w:cs="Arial"/>
          <w:sz w:val="24"/>
          <w:szCs w:val="24"/>
        </w:rPr>
      </w:pPr>
    </w:p>
    <w:p w14:paraId="38DAF16A" w14:textId="426C4E71" w:rsidR="000D2B75" w:rsidRDefault="000D2B75" w:rsidP="003D527A">
      <w:pPr>
        <w:jc w:val="both"/>
        <w:rPr>
          <w:rFonts w:ascii="Arial" w:hAnsi="Arial" w:cs="Arial"/>
          <w:sz w:val="24"/>
          <w:szCs w:val="24"/>
        </w:rPr>
      </w:pPr>
    </w:p>
    <w:p w14:paraId="500A2436" w14:textId="77777777" w:rsidR="000D2B75" w:rsidRPr="003D527A" w:rsidRDefault="000D2B75" w:rsidP="003D527A">
      <w:pPr>
        <w:jc w:val="both"/>
        <w:rPr>
          <w:rFonts w:ascii="Arial" w:hAnsi="Arial" w:cs="Arial"/>
          <w:sz w:val="24"/>
          <w:szCs w:val="24"/>
        </w:rPr>
      </w:pPr>
    </w:p>
    <w:p w14:paraId="7B25FB95" w14:textId="77777777" w:rsidR="00FB61A7" w:rsidRPr="003D527A" w:rsidRDefault="00FB61A7" w:rsidP="00FB61A7">
      <w:pPr>
        <w:rPr>
          <w:rFonts w:ascii="Arial" w:hAnsi="Arial" w:cs="Arial"/>
          <w:sz w:val="24"/>
          <w:szCs w:val="24"/>
        </w:rPr>
      </w:pPr>
    </w:p>
    <w:p w14:paraId="7B317AC9" w14:textId="77777777" w:rsidR="00FB61A7" w:rsidRPr="007D7534" w:rsidRDefault="00FB61A7" w:rsidP="00FB61A7">
      <w:pPr>
        <w:rPr>
          <w:rFonts w:ascii="Arial" w:hAnsi="Arial" w:cs="Arial"/>
          <w:b/>
          <w:sz w:val="24"/>
          <w:szCs w:val="24"/>
        </w:rPr>
      </w:pPr>
      <w:r w:rsidRPr="007D7534">
        <w:rPr>
          <w:rFonts w:ascii="Arial" w:hAnsi="Arial" w:cs="Arial"/>
          <w:b/>
          <w:sz w:val="24"/>
          <w:szCs w:val="24"/>
        </w:rPr>
        <w:t xml:space="preserve">Mantenimiento de oferta (Referencia al Punto 11.1 </w:t>
      </w:r>
      <w:r w:rsidR="008074CF" w:rsidRPr="007D7534">
        <w:rPr>
          <w:rFonts w:ascii="Arial" w:hAnsi="Arial" w:cs="Arial"/>
          <w:b/>
          <w:sz w:val="24"/>
          <w:szCs w:val="24"/>
        </w:rPr>
        <w:t>P</w:t>
      </w:r>
      <w:r w:rsidRPr="007D7534">
        <w:rPr>
          <w:rFonts w:ascii="Arial" w:hAnsi="Arial" w:cs="Arial"/>
          <w:b/>
          <w:sz w:val="24"/>
          <w:szCs w:val="24"/>
        </w:rPr>
        <w:t>arte II)</w:t>
      </w:r>
    </w:p>
    <w:p w14:paraId="3440745F" w14:textId="77777777" w:rsidR="00FB61A7" w:rsidRPr="007D7534" w:rsidRDefault="00FB61A7" w:rsidP="00FB61A7">
      <w:pPr>
        <w:jc w:val="both"/>
        <w:rPr>
          <w:rFonts w:ascii="Arial" w:eastAsia="Arial" w:hAnsi="Arial" w:cs="Arial"/>
          <w:sz w:val="24"/>
          <w:szCs w:val="24"/>
          <w:lang w:val="es-UY"/>
        </w:rPr>
      </w:pPr>
      <w:r w:rsidRPr="007D7534">
        <w:rPr>
          <w:rFonts w:ascii="Arial" w:eastAsia="Arial" w:hAnsi="Arial" w:cs="Arial"/>
          <w:sz w:val="24"/>
          <w:szCs w:val="24"/>
          <w:lang w:val="es-UY"/>
        </w:rPr>
        <w:t>Para el estudio de las ofertas y adjudicación definitiva por parte del ordenador competente para los concursos de precios se dispondrá de un plazo mínimo de 30 (treinta) días calendario, contabilizados a partir de la fecha de apertura de las ofertas, durante los cuales el oferente deberá mantener válida su oferta.</w:t>
      </w:r>
    </w:p>
    <w:p w14:paraId="27BD2406" w14:textId="77777777" w:rsidR="00FB61A7" w:rsidRPr="007D7534" w:rsidRDefault="00FB61A7" w:rsidP="00FB61A7">
      <w:pPr>
        <w:jc w:val="both"/>
        <w:rPr>
          <w:rFonts w:ascii="Arial" w:eastAsia="Arial" w:hAnsi="Arial" w:cs="Arial"/>
          <w:sz w:val="24"/>
          <w:szCs w:val="24"/>
          <w:lang w:val="es-UY"/>
        </w:rPr>
      </w:pPr>
    </w:p>
    <w:p w14:paraId="1E1BC6E9" w14:textId="77777777" w:rsidR="00FB61A7" w:rsidRPr="007D7534" w:rsidRDefault="00FB61A7" w:rsidP="00FB61A7">
      <w:pPr>
        <w:spacing w:after="120"/>
        <w:jc w:val="both"/>
        <w:rPr>
          <w:rFonts w:ascii="Arial" w:hAnsi="Arial" w:cs="Arial"/>
          <w:sz w:val="24"/>
          <w:szCs w:val="24"/>
        </w:rPr>
      </w:pPr>
      <w:r w:rsidRPr="007D7534">
        <w:rPr>
          <w:rFonts w:ascii="Arial" w:hAnsi="Arial" w:cs="Arial"/>
          <w:sz w:val="24"/>
          <w:szCs w:val="24"/>
        </w:rPr>
        <w:t xml:space="preserve">Si en la oferta no existiera mención expresa sobre este punto, se considerará que el oferente </w:t>
      </w:r>
      <w:r w:rsidRPr="007D7534">
        <w:rPr>
          <w:rFonts w:ascii="Arial" w:hAnsi="Arial" w:cs="Arial"/>
          <w:sz w:val="24"/>
          <w:szCs w:val="24"/>
          <w:u w:val="single"/>
        </w:rPr>
        <w:t>está de acuerdo</w:t>
      </w:r>
      <w:r w:rsidRPr="007D7534">
        <w:rPr>
          <w:rFonts w:ascii="Arial" w:hAnsi="Arial" w:cs="Arial"/>
          <w:sz w:val="24"/>
          <w:szCs w:val="24"/>
        </w:rPr>
        <w:t xml:space="preserve"> con el mantenimiento solicitado.</w:t>
      </w:r>
    </w:p>
    <w:p w14:paraId="0960B6B9" w14:textId="4CF855B4" w:rsidR="002577CF" w:rsidRPr="007D7534" w:rsidRDefault="00FB61A7" w:rsidP="00531FB7">
      <w:pPr>
        <w:spacing w:after="120"/>
        <w:jc w:val="both"/>
        <w:rPr>
          <w:rFonts w:ascii="Arial" w:hAnsi="Arial" w:cs="Arial"/>
          <w:sz w:val="24"/>
          <w:szCs w:val="24"/>
        </w:rPr>
      </w:pPr>
      <w:r w:rsidRPr="007D7534">
        <w:rPr>
          <w:rFonts w:ascii="Arial" w:hAnsi="Arial" w:cs="Arial"/>
          <w:sz w:val="24"/>
          <w:szCs w:val="24"/>
        </w:rPr>
        <w:t>El plazo de vigencia del mantenimiento de oferta será prorrogado automáticamente por períodos de 30 (treinta) días calendario, siempre que el oferente no desista en forma expresa de su propuesta, por escrito, ante la Gerencia de Sector Compras</w:t>
      </w:r>
      <w:r w:rsidR="002577CF" w:rsidRPr="007D7534">
        <w:rPr>
          <w:rFonts w:ascii="Arial" w:hAnsi="Arial" w:cs="Arial"/>
          <w:sz w:val="24"/>
          <w:szCs w:val="24"/>
        </w:rPr>
        <w:t>.</w:t>
      </w:r>
    </w:p>
    <w:p w14:paraId="0F540CE1" w14:textId="5E4E959F" w:rsidR="00324CE7" w:rsidRPr="007D7534" w:rsidRDefault="00324CE7" w:rsidP="00531FB7">
      <w:pPr>
        <w:spacing w:after="120"/>
        <w:jc w:val="both"/>
        <w:rPr>
          <w:rFonts w:ascii="Arial" w:hAnsi="Arial" w:cs="Arial"/>
          <w:sz w:val="24"/>
          <w:szCs w:val="24"/>
        </w:rPr>
      </w:pPr>
      <w:r w:rsidRPr="007D7534">
        <w:rPr>
          <w:rFonts w:ascii="Arial" w:eastAsia="Arial" w:hAnsi="Arial" w:cs="Arial"/>
          <w:sz w:val="24"/>
          <w:szCs w:val="24"/>
          <w:lang w:val="es-UY"/>
        </w:rPr>
        <w:t>No se admitirán cláusulas que condicionen el mantenimiento de la oferta en forma alguna o que indiquen plazos menores.</w:t>
      </w:r>
    </w:p>
    <w:p w14:paraId="0CFCA6D6" w14:textId="34AFCCCF" w:rsidR="00FB61A7" w:rsidRPr="007D7534" w:rsidRDefault="00FB61A7" w:rsidP="00FB61A7">
      <w:pPr>
        <w:rPr>
          <w:rFonts w:ascii="Arial" w:hAnsi="Arial" w:cs="Arial"/>
          <w:sz w:val="24"/>
          <w:szCs w:val="24"/>
        </w:rPr>
      </w:pPr>
    </w:p>
    <w:p w14:paraId="5520C9D1" w14:textId="1131E7EE" w:rsidR="00685E4B" w:rsidRPr="00A80F54" w:rsidRDefault="00685E4B" w:rsidP="00685E4B">
      <w:pPr>
        <w:widowControl w:val="0"/>
        <w:jc w:val="both"/>
        <w:rPr>
          <w:rFonts w:ascii="Arial" w:hAnsi="Arial" w:cs="Arial"/>
          <w:b/>
          <w:sz w:val="24"/>
          <w:szCs w:val="24"/>
        </w:rPr>
      </w:pPr>
      <w:r w:rsidRPr="00A80F54">
        <w:rPr>
          <w:rFonts w:ascii="Arial" w:hAnsi="Arial" w:cs="Arial"/>
          <w:b/>
          <w:sz w:val="24"/>
          <w:szCs w:val="24"/>
        </w:rPr>
        <w:t>LOS OFERENTES DEBERAN TENER EN CUENTA CUANDO ENVIAN SUS OFERTAS:</w:t>
      </w:r>
    </w:p>
    <w:p w14:paraId="7018D4A9" w14:textId="77777777" w:rsidR="00B63E77" w:rsidRPr="003D527A" w:rsidRDefault="00B63E77" w:rsidP="00CC21BA">
      <w:pPr>
        <w:rPr>
          <w:rFonts w:ascii="Arial" w:hAnsi="Arial" w:cs="Arial"/>
          <w:sz w:val="24"/>
          <w:szCs w:val="24"/>
          <w:lang w:val="es-UY"/>
        </w:rPr>
      </w:pPr>
    </w:p>
    <w:p w14:paraId="327C2F54" w14:textId="225395AC" w:rsidR="00685E4B" w:rsidRPr="007D7534" w:rsidRDefault="00CC21BA" w:rsidP="00685E4B">
      <w:pPr>
        <w:pStyle w:val="Prrafodelista"/>
        <w:numPr>
          <w:ilvl w:val="0"/>
          <w:numId w:val="9"/>
        </w:numPr>
        <w:spacing w:before="0"/>
        <w:contextualSpacing w:val="0"/>
        <w:rPr>
          <w:rFonts w:eastAsia="Arial" w:cs="Arial"/>
          <w:sz w:val="24"/>
          <w:szCs w:val="24"/>
          <w:lang w:val="es-UY" w:eastAsia="en-US"/>
        </w:rPr>
      </w:pPr>
      <w:r>
        <w:rPr>
          <w:rFonts w:eastAsia="Arial" w:cs="Arial"/>
          <w:sz w:val="24"/>
          <w:szCs w:val="24"/>
          <w:lang w:val="es-UY" w:eastAsia="en-US"/>
        </w:rPr>
        <w:t>L</w:t>
      </w:r>
      <w:r w:rsidR="00685E4B" w:rsidRPr="007D7534">
        <w:rPr>
          <w:rFonts w:eastAsia="Arial" w:cs="Arial"/>
          <w:sz w:val="24"/>
          <w:szCs w:val="24"/>
          <w:lang w:val="es-UY" w:eastAsia="en-US"/>
        </w:rPr>
        <w:t>a oferta deberá estar firmada por el titular, o representante con facultades suficientes para es</w:t>
      </w:r>
      <w:r w:rsidR="00685E4B" w:rsidRPr="00B827B5">
        <w:rPr>
          <w:rFonts w:eastAsia="Arial" w:cs="Arial"/>
          <w:sz w:val="24"/>
          <w:szCs w:val="24"/>
          <w:lang w:val="es-UY" w:eastAsia="en-US"/>
        </w:rPr>
        <w:t xml:space="preserve">te acto y dicha representación deberá </w:t>
      </w:r>
      <w:r w:rsidR="00254B8E" w:rsidRPr="003D527A">
        <w:rPr>
          <w:rFonts w:eastAsia="Arial" w:cs="Arial"/>
          <w:sz w:val="24"/>
          <w:szCs w:val="24"/>
          <w:lang w:val="es-UY" w:eastAsia="en-US"/>
        </w:rPr>
        <w:t>estar debidamente</w:t>
      </w:r>
      <w:r w:rsidR="00685E4B" w:rsidRPr="007D7534">
        <w:rPr>
          <w:rFonts w:eastAsia="Arial" w:cs="Arial"/>
          <w:sz w:val="24"/>
          <w:szCs w:val="24"/>
          <w:lang w:val="es-UY" w:eastAsia="en-US"/>
        </w:rPr>
        <w:t xml:space="preserve"> acreditada en RUPE. La firma puede ser electrónica o también denominada digital (en el marco de la Ley 18.600 mediante los sistemas existentes) o manuscrita y luego escaneado el documento (en este último caso, la Administración puede pedir el original en caso de entenderlo necesario al amparo del artículo 48 del TOCAF).  </w:t>
      </w:r>
    </w:p>
    <w:p w14:paraId="561700DE" w14:textId="77777777" w:rsidR="00B63E77" w:rsidRPr="00870852" w:rsidRDefault="00B63E77" w:rsidP="00870852">
      <w:pPr>
        <w:rPr>
          <w:rFonts w:cs="Arial"/>
          <w:sz w:val="24"/>
          <w:szCs w:val="24"/>
          <w:lang w:val="es-UY"/>
        </w:rPr>
      </w:pPr>
    </w:p>
    <w:p w14:paraId="698B07DA" w14:textId="609DDAB6" w:rsidR="00685E4B" w:rsidRPr="00870852" w:rsidRDefault="00685E4B" w:rsidP="00870852">
      <w:pPr>
        <w:pStyle w:val="Prrafodelista"/>
        <w:numPr>
          <w:ilvl w:val="0"/>
          <w:numId w:val="9"/>
        </w:numPr>
        <w:rPr>
          <w:rFonts w:cs="Arial"/>
          <w:sz w:val="24"/>
          <w:szCs w:val="24"/>
          <w:lang w:val="es-UY"/>
        </w:rPr>
      </w:pPr>
      <w:r w:rsidRPr="003D527A">
        <w:rPr>
          <w:rFonts w:cs="Arial"/>
          <w:sz w:val="24"/>
          <w:szCs w:val="24"/>
          <w:lang w:val="es-UY"/>
        </w:rPr>
        <w:t>Si se ampara en el Artículo 10 de la Ley N° 18.381 del 17/10/2008 expresando que parte de su oferta es confidencial, debe enviarlo en archivo separado en formato no editable.</w:t>
      </w:r>
    </w:p>
    <w:p w14:paraId="15B92D2F" w14:textId="77777777" w:rsidR="00685E4B" w:rsidRPr="003D527A" w:rsidRDefault="00685E4B" w:rsidP="00685E4B">
      <w:pPr>
        <w:widowControl w:val="0"/>
        <w:jc w:val="both"/>
        <w:rPr>
          <w:rFonts w:ascii="Arial" w:hAnsi="Arial" w:cs="Arial"/>
          <w:sz w:val="24"/>
          <w:szCs w:val="24"/>
          <w:lang w:val="es-UY"/>
        </w:rPr>
      </w:pPr>
    </w:p>
    <w:p w14:paraId="7C0728A1" w14:textId="38166904" w:rsidR="00685E4B" w:rsidRPr="003D527A" w:rsidRDefault="00870852" w:rsidP="00685E4B">
      <w:pPr>
        <w:widowControl w:val="0"/>
        <w:jc w:val="both"/>
        <w:rPr>
          <w:rFonts w:ascii="Arial" w:hAnsi="Arial" w:cs="Arial"/>
          <w:b/>
          <w:sz w:val="24"/>
          <w:szCs w:val="24"/>
          <w:lang w:val="es-UY"/>
        </w:rPr>
      </w:pPr>
      <w:r>
        <w:rPr>
          <w:rFonts w:ascii="Arial" w:hAnsi="Arial" w:cs="Arial"/>
          <w:b/>
          <w:sz w:val="24"/>
          <w:szCs w:val="24"/>
          <w:lang w:val="es-UY"/>
        </w:rPr>
        <w:t>L</w:t>
      </w:r>
      <w:r w:rsidR="00685E4B" w:rsidRPr="003D527A">
        <w:rPr>
          <w:rFonts w:ascii="Arial" w:hAnsi="Arial" w:cs="Arial"/>
          <w:b/>
          <w:sz w:val="24"/>
          <w:szCs w:val="24"/>
          <w:lang w:val="es-UY"/>
        </w:rPr>
        <w:t>as hojas de las ofertas deberán ser numeradas correlativamente.</w:t>
      </w:r>
    </w:p>
    <w:p w14:paraId="69B92CAC" w14:textId="7FF39F8B" w:rsidR="00B63E77" w:rsidRPr="003D527A" w:rsidRDefault="00B63E77" w:rsidP="00685E4B">
      <w:pPr>
        <w:widowControl w:val="0"/>
        <w:jc w:val="both"/>
        <w:rPr>
          <w:rFonts w:ascii="Arial" w:hAnsi="Arial" w:cs="Arial"/>
          <w:b/>
          <w:sz w:val="24"/>
          <w:szCs w:val="24"/>
          <w:lang w:val="es-UY"/>
        </w:rPr>
      </w:pPr>
    </w:p>
    <w:p w14:paraId="5399105F" w14:textId="77777777" w:rsidR="00FB61A7" w:rsidRPr="00B827B5" w:rsidRDefault="00FB61A7" w:rsidP="00FB61A7">
      <w:pPr>
        <w:rPr>
          <w:rFonts w:ascii="Arial" w:hAnsi="Arial" w:cs="Arial"/>
          <w:b/>
          <w:sz w:val="24"/>
          <w:szCs w:val="24"/>
        </w:rPr>
      </w:pPr>
      <w:r w:rsidRPr="007D7534">
        <w:rPr>
          <w:rFonts w:ascii="Arial" w:hAnsi="Arial" w:cs="Arial"/>
          <w:b/>
          <w:sz w:val="24"/>
          <w:szCs w:val="24"/>
        </w:rPr>
        <w:t xml:space="preserve">Condiciones automáticas de rechazo de ofertas (Referencia al punto 13.1 </w:t>
      </w:r>
      <w:r w:rsidR="008074CF" w:rsidRPr="00B827B5">
        <w:rPr>
          <w:rFonts w:ascii="Arial" w:hAnsi="Arial" w:cs="Arial"/>
          <w:b/>
          <w:sz w:val="24"/>
          <w:szCs w:val="24"/>
        </w:rPr>
        <w:t>P</w:t>
      </w:r>
      <w:r w:rsidRPr="00B827B5">
        <w:rPr>
          <w:rFonts w:ascii="Arial" w:hAnsi="Arial" w:cs="Arial"/>
          <w:b/>
          <w:sz w:val="24"/>
          <w:szCs w:val="24"/>
        </w:rPr>
        <w:t>arte II)</w:t>
      </w:r>
    </w:p>
    <w:p w14:paraId="3215E1EE" w14:textId="77777777" w:rsidR="00FB61A7" w:rsidRPr="003D527A" w:rsidRDefault="00FB61A7" w:rsidP="00FB61A7">
      <w:pPr>
        <w:pStyle w:val="Prrafodelista"/>
        <w:numPr>
          <w:ilvl w:val="0"/>
          <w:numId w:val="12"/>
        </w:numPr>
        <w:spacing w:before="0"/>
        <w:contextualSpacing w:val="0"/>
        <w:rPr>
          <w:rFonts w:eastAsia="Arial" w:cs="Arial"/>
          <w:sz w:val="24"/>
          <w:szCs w:val="24"/>
          <w:lang w:val="es-UY" w:eastAsia="en-US"/>
        </w:rPr>
      </w:pPr>
      <w:r w:rsidRPr="003D527A">
        <w:rPr>
          <w:rFonts w:eastAsia="Arial" w:cs="Arial"/>
          <w:sz w:val="24"/>
          <w:szCs w:val="24"/>
          <w:lang w:val="es-UY" w:eastAsia="en-US"/>
        </w:rPr>
        <w:t>Mantener la oferta por un plazo inferior a 30 días calendario</w:t>
      </w:r>
    </w:p>
    <w:p w14:paraId="3E288F65" w14:textId="5B74D80B" w:rsidR="00FB61A7" w:rsidRPr="007D7534" w:rsidRDefault="00FB61A7" w:rsidP="007B3BD6">
      <w:pPr>
        <w:pStyle w:val="Prrafodelista"/>
        <w:numPr>
          <w:ilvl w:val="0"/>
          <w:numId w:val="12"/>
        </w:numPr>
        <w:spacing w:before="0"/>
        <w:contextualSpacing w:val="0"/>
        <w:rPr>
          <w:rFonts w:eastAsia="Arial" w:cs="Arial"/>
          <w:sz w:val="24"/>
          <w:szCs w:val="24"/>
          <w:lang w:val="es-UY" w:eastAsia="en-US"/>
        </w:rPr>
      </w:pPr>
      <w:r w:rsidRPr="003D527A">
        <w:rPr>
          <w:rFonts w:eastAsia="Arial" w:cs="Arial"/>
          <w:sz w:val="24"/>
          <w:szCs w:val="24"/>
          <w:lang w:val="es-UY" w:eastAsia="en-US"/>
        </w:rPr>
        <w:t>No estar inscripto en RUPE de acuerdo con lo establecido en el numeral 12.3 de la parte II CONDICIONES GENERALES PARA ADQUISICIONES DE SUMINISTROS Y</w:t>
      </w:r>
      <w:r w:rsidR="007D7534" w:rsidRPr="003D527A">
        <w:rPr>
          <w:rFonts w:eastAsia="Arial" w:cs="Arial"/>
          <w:sz w:val="24"/>
          <w:szCs w:val="24"/>
          <w:lang w:val="es-UY" w:eastAsia="en-US"/>
        </w:rPr>
        <w:t xml:space="preserve"> </w:t>
      </w:r>
      <w:r w:rsidRPr="003D527A">
        <w:rPr>
          <w:rFonts w:eastAsia="Arial" w:cs="Arial"/>
          <w:sz w:val="24"/>
          <w:szCs w:val="24"/>
          <w:lang w:val="es-UY" w:eastAsia="en-US"/>
        </w:rPr>
        <w:t xml:space="preserve">SERVICIOS (excepto en </w:t>
      </w:r>
      <w:r w:rsidR="00870852" w:rsidRPr="003D527A">
        <w:rPr>
          <w:rFonts w:eastAsia="Arial" w:cs="Arial"/>
          <w:sz w:val="24"/>
          <w:szCs w:val="24"/>
          <w:lang w:val="es-UY" w:eastAsia="en-US"/>
        </w:rPr>
        <w:t>aquellos</w:t>
      </w:r>
      <w:r w:rsidRPr="003D527A">
        <w:rPr>
          <w:rFonts w:eastAsia="Arial" w:cs="Arial"/>
          <w:sz w:val="24"/>
          <w:szCs w:val="24"/>
          <w:lang w:val="es-UY" w:eastAsia="en-US"/>
        </w:rPr>
        <w:t xml:space="preserve"> casos en las que dicha inscripción se encuentre expresamente exceptuada por la normativa vigente)</w:t>
      </w:r>
    </w:p>
    <w:p w14:paraId="0C66E2D9" w14:textId="40D04D57" w:rsidR="00FB61A7" w:rsidRPr="007D7534" w:rsidRDefault="00FB61A7" w:rsidP="00FB61A7">
      <w:pPr>
        <w:pStyle w:val="Prrafodelista"/>
        <w:numPr>
          <w:ilvl w:val="0"/>
          <w:numId w:val="12"/>
        </w:numPr>
        <w:spacing w:before="0"/>
        <w:contextualSpacing w:val="0"/>
        <w:rPr>
          <w:rFonts w:eastAsia="Arial" w:cs="Arial"/>
          <w:sz w:val="24"/>
          <w:szCs w:val="24"/>
          <w:lang w:val="es-UY" w:eastAsia="en-US"/>
        </w:rPr>
      </w:pPr>
      <w:r w:rsidRPr="007D7534">
        <w:rPr>
          <w:rFonts w:eastAsia="Arial" w:cs="Arial"/>
          <w:sz w:val="24"/>
          <w:szCs w:val="24"/>
          <w:lang w:val="es-UY" w:eastAsia="en-US"/>
        </w:rPr>
        <w:t>Que la oferta no este firmada por el titular, o representante con facultades suficientes para ese acto</w:t>
      </w:r>
      <w:r w:rsidR="00685E4B" w:rsidRPr="007D7534">
        <w:rPr>
          <w:rFonts w:eastAsia="Arial" w:cs="Arial"/>
          <w:sz w:val="24"/>
          <w:szCs w:val="24"/>
          <w:lang w:val="es-UY" w:eastAsia="en-US"/>
        </w:rPr>
        <w:t xml:space="preserve"> </w:t>
      </w:r>
      <w:r w:rsidR="007D7534" w:rsidRPr="007D7534">
        <w:rPr>
          <w:rFonts w:eastAsia="Arial" w:cs="Arial"/>
          <w:sz w:val="24"/>
          <w:szCs w:val="24"/>
          <w:lang w:val="es-UY" w:eastAsia="en-US"/>
        </w:rPr>
        <w:t>o</w:t>
      </w:r>
      <w:r w:rsidR="00685E4B" w:rsidRPr="007D7534">
        <w:rPr>
          <w:rFonts w:eastAsia="Arial" w:cs="Arial"/>
          <w:sz w:val="24"/>
          <w:szCs w:val="24"/>
          <w:lang w:val="es-UY" w:eastAsia="en-US"/>
        </w:rPr>
        <w:t xml:space="preserve"> que dicha representación no esté debidamente acreditada en RUPE</w:t>
      </w:r>
      <w:r w:rsidRPr="007D7534">
        <w:rPr>
          <w:rFonts w:eastAsia="Arial" w:cs="Arial"/>
          <w:sz w:val="24"/>
          <w:szCs w:val="24"/>
          <w:lang w:val="es-UY" w:eastAsia="en-US"/>
        </w:rPr>
        <w:t xml:space="preserve">. </w:t>
      </w:r>
    </w:p>
    <w:p w14:paraId="0234FE54" w14:textId="716B8EE1" w:rsidR="00FB61A7" w:rsidRPr="007D7534" w:rsidRDefault="00685E4B" w:rsidP="00FB61A7">
      <w:pPr>
        <w:pStyle w:val="Prrafodelista"/>
        <w:numPr>
          <w:ilvl w:val="0"/>
          <w:numId w:val="12"/>
        </w:numPr>
        <w:autoSpaceDE w:val="0"/>
        <w:autoSpaceDN w:val="0"/>
        <w:adjustRightInd w:val="0"/>
        <w:rPr>
          <w:rFonts w:cs="Arial"/>
          <w:sz w:val="24"/>
          <w:szCs w:val="24"/>
          <w:lang w:val="es-UY"/>
        </w:rPr>
      </w:pPr>
      <w:r w:rsidRPr="007D7534">
        <w:rPr>
          <w:rFonts w:cs="Arial"/>
          <w:sz w:val="24"/>
          <w:szCs w:val="24"/>
          <w:lang w:val="es-UY"/>
        </w:rPr>
        <w:t xml:space="preserve">Serán rechazadas las ofertas cuya información se encuentre en </w:t>
      </w:r>
      <w:r w:rsidR="002577CF" w:rsidRPr="007D7534">
        <w:rPr>
          <w:rFonts w:cs="Arial"/>
          <w:sz w:val="24"/>
          <w:szCs w:val="24"/>
          <w:lang w:val="es-UY"/>
        </w:rPr>
        <w:t>un</w:t>
      </w:r>
      <w:r w:rsidR="00FB61A7" w:rsidRPr="007D7534">
        <w:rPr>
          <w:rFonts w:cs="Arial"/>
          <w:sz w:val="24"/>
          <w:szCs w:val="24"/>
          <w:lang w:val="es-UY"/>
        </w:rPr>
        <w:t xml:space="preserve"> link </w:t>
      </w:r>
      <w:r w:rsidR="002577CF" w:rsidRPr="007D7534">
        <w:rPr>
          <w:rFonts w:cs="Arial"/>
          <w:sz w:val="24"/>
          <w:szCs w:val="24"/>
          <w:lang w:val="es-UY"/>
        </w:rPr>
        <w:t>incluido en</w:t>
      </w:r>
      <w:r w:rsidR="00FB61A7" w:rsidRPr="007D7534">
        <w:rPr>
          <w:rFonts w:cs="Arial"/>
          <w:sz w:val="24"/>
          <w:szCs w:val="24"/>
          <w:lang w:val="es-UY"/>
        </w:rPr>
        <w:t xml:space="preserve"> un servidor fuera de UTE.</w:t>
      </w:r>
    </w:p>
    <w:p w14:paraId="460D9CF4" w14:textId="77777777" w:rsidR="00FB61A7" w:rsidRPr="007D7534" w:rsidRDefault="00FB61A7" w:rsidP="00FB61A7">
      <w:pPr>
        <w:pStyle w:val="Prrafodelista"/>
        <w:spacing w:before="0"/>
        <w:contextualSpacing w:val="0"/>
        <w:rPr>
          <w:rFonts w:eastAsia="Arial" w:cs="Arial"/>
          <w:sz w:val="24"/>
          <w:szCs w:val="24"/>
          <w:lang w:val="es-UY" w:eastAsia="en-US"/>
        </w:rPr>
      </w:pPr>
    </w:p>
    <w:p w14:paraId="43E0C764" w14:textId="77777777" w:rsidR="00597797" w:rsidRPr="007D7534" w:rsidRDefault="00597797" w:rsidP="00597797">
      <w:pPr>
        <w:rPr>
          <w:rFonts w:ascii="Arial" w:hAnsi="Arial" w:cs="Arial"/>
          <w:b/>
          <w:sz w:val="24"/>
          <w:szCs w:val="24"/>
        </w:rPr>
      </w:pPr>
      <w:r w:rsidRPr="007D7534">
        <w:rPr>
          <w:rFonts w:ascii="Arial" w:hAnsi="Arial" w:cs="Arial"/>
          <w:b/>
          <w:sz w:val="24"/>
          <w:szCs w:val="24"/>
        </w:rPr>
        <w:t xml:space="preserve">Notificación </w:t>
      </w:r>
      <w:r w:rsidR="008074CF" w:rsidRPr="007D7534">
        <w:rPr>
          <w:rFonts w:ascii="Arial" w:hAnsi="Arial" w:cs="Arial"/>
          <w:b/>
          <w:sz w:val="24"/>
          <w:szCs w:val="24"/>
        </w:rPr>
        <w:t>(Referencia al p</w:t>
      </w:r>
      <w:r w:rsidRPr="007D7534">
        <w:rPr>
          <w:rFonts w:ascii="Arial" w:hAnsi="Arial" w:cs="Arial"/>
          <w:b/>
          <w:sz w:val="24"/>
          <w:szCs w:val="24"/>
        </w:rPr>
        <w:t>unto 16 Parte II</w:t>
      </w:r>
      <w:r w:rsidR="008074CF" w:rsidRPr="007D7534">
        <w:rPr>
          <w:rFonts w:ascii="Arial" w:hAnsi="Arial" w:cs="Arial"/>
          <w:b/>
          <w:sz w:val="24"/>
          <w:szCs w:val="24"/>
        </w:rPr>
        <w:t>)</w:t>
      </w:r>
    </w:p>
    <w:p w14:paraId="214E26F0" w14:textId="709D9FE7" w:rsidR="00597797" w:rsidRPr="00B827B5" w:rsidRDefault="00597797" w:rsidP="00597797">
      <w:pPr>
        <w:spacing w:after="120"/>
        <w:jc w:val="both"/>
        <w:rPr>
          <w:rFonts w:ascii="Arial" w:hAnsi="Arial" w:cs="Arial"/>
          <w:sz w:val="24"/>
          <w:szCs w:val="24"/>
        </w:rPr>
      </w:pPr>
      <w:r w:rsidRPr="007D7534">
        <w:rPr>
          <w:rFonts w:ascii="Arial" w:hAnsi="Arial" w:cs="Arial"/>
          <w:sz w:val="24"/>
          <w:szCs w:val="24"/>
        </w:rPr>
        <w:t xml:space="preserve">Una vez resuelta la adjudicación, la misma será comunicada al oferente seleccionado, publicándose además </w:t>
      </w:r>
      <w:r w:rsidRPr="003D527A">
        <w:rPr>
          <w:rFonts w:ascii="Arial" w:hAnsi="Arial" w:cs="Arial"/>
          <w:sz w:val="24"/>
          <w:szCs w:val="24"/>
        </w:rPr>
        <w:t xml:space="preserve">la resolución de adjudicación en la página </w:t>
      </w:r>
      <w:r w:rsidR="008074CF" w:rsidRPr="003D527A">
        <w:rPr>
          <w:rFonts w:ascii="Arial" w:hAnsi="Arial" w:cs="Arial"/>
          <w:sz w:val="24"/>
          <w:szCs w:val="24"/>
        </w:rPr>
        <w:t>w</w:t>
      </w:r>
      <w:r w:rsidRPr="003D527A">
        <w:rPr>
          <w:rFonts w:ascii="Arial" w:hAnsi="Arial" w:cs="Arial"/>
          <w:sz w:val="24"/>
          <w:szCs w:val="24"/>
        </w:rPr>
        <w:t xml:space="preserve">eb de UTE </w:t>
      </w:r>
      <w:hyperlink r:id="rId9" w:history="1">
        <w:r w:rsidRPr="003D527A">
          <w:rPr>
            <w:rStyle w:val="Hipervnculo"/>
            <w:rFonts w:ascii="Arial" w:hAnsi="Arial" w:cs="Arial"/>
            <w:sz w:val="24"/>
            <w:szCs w:val="24"/>
          </w:rPr>
          <w:t>www.ute.com.uy</w:t>
        </w:r>
      </w:hyperlink>
      <w:r w:rsidRPr="007D7534">
        <w:rPr>
          <w:rFonts w:ascii="Arial" w:hAnsi="Arial" w:cs="Arial"/>
          <w:sz w:val="24"/>
          <w:szCs w:val="24"/>
        </w:rPr>
        <w:t xml:space="preserve"> </w:t>
      </w:r>
      <w:r w:rsidR="007D7534" w:rsidRPr="007D7534">
        <w:rPr>
          <w:rFonts w:ascii="Arial" w:hAnsi="Arial" w:cs="Arial"/>
          <w:sz w:val="24"/>
          <w:szCs w:val="24"/>
        </w:rPr>
        <w:t>(</w:t>
      </w:r>
      <w:r w:rsidRPr="007D7534">
        <w:rPr>
          <w:rFonts w:ascii="Arial" w:hAnsi="Arial" w:cs="Arial"/>
          <w:sz w:val="24"/>
          <w:szCs w:val="24"/>
        </w:rPr>
        <w:t>en el sitio Gestión de Compras –Informes</w:t>
      </w:r>
      <w:r w:rsidR="007D7534" w:rsidRPr="007D7534">
        <w:rPr>
          <w:rFonts w:ascii="Arial" w:hAnsi="Arial" w:cs="Arial"/>
          <w:sz w:val="24"/>
          <w:szCs w:val="24"/>
        </w:rPr>
        <w:t>)</w:t>
      </w:r>
      <w:r w:rsidRPr="007D7534">
        <w:rPr>
          <w:rFonts w:ascii="Arial" w:hAnsi="Arial" w:cs="Arial"/>
          <w:sz w:val="24"/>
          <w:szCs w:val="24"/>
        </w:rPr>
        <w:t xml:space="preserve"> y en el sitio web de Compras Estatales.</w:t>
      </w:r>
    </w:p>
    <w:p w14:paraId="4E389656" w14:textId="77777777" w:rsidR="00597797" w:rsidRPr="007D7534" w:rsidRDefault="00597797" w:rsidP="00597797">
      <w:pPr>
        <w:jc w:val="both"/>
        <w:rPr>
          <w:rFonts w:ascii="Arial" w:eastAsia="Arial" w:hAnsi="Arial" w:cs="Arial"/>
          <w:sz w:val="24"/>
          <w:szCs w:val="24"/>
          <w:lang w:val="es-UY"/>
        </w:rPr>
      </w:pPr>
    </w:p>
    <w:p w14:paraId="5A426B3B" w14:textId="77777777" w:rsidR="00FB61A7" w:rsidRPr="007D7534" w:rsidRDefault="00911666" w:rsidP="00FB61A7">
      <w:pPr>
        <w:rPr>
          <w:rFonts w:ascii="Arial" w:hAnsi="Arial" w:cs="Arial"/>
          <w:b/>
          <w:sz w:val="24"/>
          <w:szCs w:val="24"/>
        </w:rPr>
      </w:pPr>
      <w:r w:rsidRPr="007D7534">
        <w:rPr>
          <w:rFonts w:ascii="Arial" w:hAnsi="Arial" w:cs="Arial"/>
          <w:b/>
          <w:sz w:val="24"/>
          <w:szCs w:val="24"/>
        </w:rPr>
        <w:t>Perfeccionamiento del contrato</w:t>
      </w:r>
      <w:r w:rsidR="00531FB7" w:rsidRPr="007D7534">
        <w:rPr>
          <w:rFonts w:ascii="Arial" w:hAnsi="Arial" w:cs="Arial"/>
          <w:b/>
          <w:sz w:val="24"/>
          <w:szCs w:val="24"/>
        </w:rPr>
        <w:t xml:space="preserve"> (Referencia al punto 18 P</w:t>
      </w:r>
      <w:r w:rsidRPr="007D7534">
        <w:rPr>
          <w:rFonts w:ascii="Arial" w:hAnsi="Arial" w:cs="Arial"/>
          <w:b/>
          <w:sz w:val="24"/>
          <w:szCs w:val="24"/>
        </w:rPr>
        <w:t>arte II</w:t>
      </w:r>
      <w:r w:rsidR="00531FB7" w:rsidRPr="007D7534">
        <w:rPr>
          <w:rFonts w:ascii="Arial" w:hAnsi="Arial" w:cs="Arial"/>
          <w:b/>
          <w:sz w:val="24"/>
          <w:szCs w:val="24"/>
        </w:rPr>
        <w:t>)</w:t>
      </w:r>
    </w:p>
    <w:p w14:paraId="41189538" w14:textId="24CE4FBC" w:rsidR="00911666" w:rsidRPr="003D527A" w:rsidRDefault="00FE395A" w:rsidP="003D527A">
      <w:pPr>
        <w:jc w:val="both"/>
        <w:rPr>
          <w:rFonts w:ascii="Arial" w:eastAsia="Arial" w:hAnsi="Arial" w:cs="Arial"/>
          <w:sz w:val="24"/>
          <w:szCs w:val="24"/>
          <w:lang w:val="es-UY" w:eastAsia="en-US"/>
        </w:rPr>
      </w:pPr>
      <w:r w:rsidRPr="003D527A">
        <w:rPr>
          <w:rFonts w:ascii="Arial" w:eastAsia="Arial" w:hAnsi="Arial" w:cs="Arial"/>
          <w:sz w:val="24"/>
          <w:szCs w:val="24"/>
          <w:lang w:val="es-UY" w:eastAsia="en-US"/>
        </w:rPr>
        <w:t xml:space="preserve">Se enviará al proveedor que resulte adjudicatario la orden de compra por </w:t>
      </w:r>
      <w:r w:rsidR="007D7534" w:rsidRPr="003D527A">
        <w:rPr>
          <w:rFonts w:ascii="Arial" w:eastAsia="Arial" w:hAnsi="Arial" w:cs="Arial"/>
          <w:sz w:val="24"/>
          <w:szCs w:val="24"/>
          <w:lang w:val="es-UY" w:eastAsia="en-US"/>
        </w:rPr>
        <w:t xml:space="preserve">un </w:t>
      </w:r>
      <w:r w:rsidRPr="003D527A">
        <w:rPr>
          <w:rFonts w:ascii="Arial" w:eastAsia="Arial" w:hAnsi="Arial" w:cs="Arial"/>
          <w:sz w:val="24"/>
          <w:szCs w:val="24"/>
          <w:lang w:val="es-UY" w:eastAsia="en-US"/>
        </w:rPr>
        <w:t>medio válido, considerando el contrato perfeccionado</w:t>
      </w:r>
      <w:r w:rsidR="00531FB7" w:rsidRPr="003D527A">
        <w:rPr>
          <w:rFonts w:ascii="Arial" w:eastAsia="Arial" w:hAnsi="Arial" w:cs="Arial"/>
          <w:sz w:val="24"/>
          <w:szCs w:val="24"/>
          <w:lang w:val="es-UY" w:eastAsia="en-US"/>
        </w:rPr>
        <w:t xml:space="preserve"> en esta instancia</w:t>
      </w:r>
      <w:r w:rsidRPr="003D527A">
        <w:rPr>
          <w:rFonts w:ascii="Arial" w:eastAsia="Arial" w:hAnsi="Arial" w:cs="Arial"/>
          <w:sz w:val="24"/>
          <w:szCs w:val="24"/>
          <w:lang w:val="es-UY" w:eastAsia="en-US"/>
        </w:rPr>
        <w:t>.</w:t>
      </w:r>
    </w:p>
    <w:p w14:paraId="67215690" w14:textId="77777777" w:rsidR="00FE395A" w:rsidRPr="007D7534" w:rsidRDefault="00FE395A" w:rsidP="003D527A">
      <w:pPr>
        <w:jc w:val="both"/>
        <w:rPr>
          <w:rFonts w:ascii="Arial" w:eastAsia="Arial" w:hAnsi="Arial" w:cs="Arial"/>
          <w:sz w:val="24"/>
          <w:szCs w:val="24"/>
          <w:lang w:val="es-UY" w:eastAsia="en-US"/>
        </w:rPr>
      </w:pPr>
    </w:p>
    <w:p w14:paraId="0502CE9F" w14:textId="77777777" w:rsidR="00531FB7" w:rsidRPr="007D7534" w:rsidRDefault="00531FB7" w:rsidP="00531FB7">
      <w:pPr>
        <w:rPr>
          <w:rFonts w:ascii="Arial" w:hAnsi="Arial" w:cs="Arial"/>
          <w:b/>
          <w:sz w:val="24"/>
          <w:szCs w:val="24"/>
        </w:rPr>
      </w:pPr>
      <w:r w:rsidRPr="007D7534">
        <w:rPr>
          <w:rFonts w:ascii="Arial" w:hAnsi="Arial" w:cs="Arial"/>
          <w:b/>
          <w:sz w:val="24"/>
          <w:szCs w:val="24"/>
        </w:rPr>
        <w:t>Computo de plazos</w:t>
      </w:r>
      <w:r w:rsidRPr="007D7534">
        <w:rPr>
          <w:rFonts w:ascii="Arial" w:eastAsia="Arial" w:hAnsi="Arial" w:cs="Arial"/>
          <w:sz w:val="24"/>
          <w:szCs w:val="24"/>
          <w:lang w:val="es-UY" w:eastAsia="en-US"/>
        </w:rPr>
        <w:t xml:space="preserve"> </w:t>
      </w:r>
      <w:r w:rsidRPr="007D7534">
        <w:rPr>
          <w:rFonts w:ascii="Arial" w:hAnsi="Arial" w:cs="Arial"/>
          <w:b/>
          <w:sz w:val="24"/>
          <w:szCs w:val="24"/>
        </w:rPr>
        <w:t>(Referencia al punto 25.1.1 Parte II)</w:t>
      </w:r>
    </w:p>
    <w:p w14:paraId="57BD6A59" w14:textId="0ADA38F8" w:rsidR="00531FB7" w:rsidRPr="003D527A" w:rsidRDefault="00531FB7" w:rsidP="003D527A">
      <w:pPr>
        <w:jc w:val="both"/>
        <w:rPr>
          <w:rFonts w:ascii="Arial" w:hAnsi="Arial" w:cs="Arial"/>
          <w:sz w:val="24"/>
          <w:szCs w:val="24"/>
        </w:rPr>
      </w:pPr>
      <w:r w:rsidRPr="003D527A">
        <w:rPr>
          <w:rFonts w:ascii="Arial" w:hAnsi="Arial" w:cs="Arial"/>
          <w:sz w:val="24"/>
          <w:szCs w:val="24"/>
        </w:rPr>
        <w:t>Los plazos contractuales empezarán indefectiblemente a computarse desde el día siguiente a la comunicación de la orden de compra.</w:t>
      </w:r>
    </w:p>
    <w:p w14:paraId="18A5C834" w14:textId="77777777" w:rsidR="00531FB7" w:rsidRPr="003D527A" w:rsidRDefault="00531FB7" w:rsidP="00FB61A7">
      <w:pPr>
        <w:rPr>
          <w:rFonts w:ascii="Arial" w:eastAsia="Arial" w:hAnsi="Arial" w:cs="Arial"/>
          <w:sz w:val="24"/>
          <w:szCs w:val="24"/>
          <w:lang w:val="es-UY"/>
        </w:rPr>
      </w:pPr>
    </w:p>
    <w:p w14:paraId="2AFE2DA3" w14:textId="77777777" w:rsidR="00FB61A7" w:rsidRPr="007D7534" w:rsidRDefault="00FB61A7" w:rsidP="00FB61A7">
      <w:pPr>
        <w:rPr>
          <w:rFonts w:ascii="Arial" w:hAnsi="Arial" w:cs="Arial"/>
          <w:b/>
          <w:sz w:val="24"/>
          <w:szCs w:val="24"/>
        </w:rPr>
      </w:pPr>
      <w:r w:rsidRPr="007D7534">
        <w:rPr>
          <w:rFonts w:ascii="Arial" w:hAnsi="Arial" w:cs="Arial"/>
          <w:b/>
          <w:sz w:val="24"/>
          <w:szCs w:val="24"/>
        </w:rPr>
        <w:t xml:space="preserve">Condiciones de pago en plaza (Referencia al punto 28.1 </w:t>
      </w:r>
      <w:r w:rsidR="00531FB7" w:rsidRPr="007D7534">
        <w:rPr>
          <w:rFonts w:ascii="Arial" w:hAnsi="Arial" w:cs="Arial"/>
          <w:b/>
          <w:sz w:val="24"/>
          <w:szCs w:val="24"/>
        </w:rPr>
        <w:t>P</w:t>
      </w:r>
      <w:r w:rsidRPr="007D7534">
        <w:rPr>
          <w:rFonts w:ascii="Arial" w:hAnsi="Arial" w:cs="Arial"/>
          <w:b/>
          <w:sz w:val="24"/>
          <w:szCs w:val="24"/>
        </w:rPr>
        <w:t>arte II)</w:t>
      </w:r>
    </w:p>
    <w:p w14:paraId="78843212" w14:textId="6A90AE9B" w:rsidR="00C61870" w:rsidRPr="003D527A" w:rsidRDefault="00C61870" w:rsidP="00B63E77">
      <w:pPr>
        <w:jc w:val="both"/>
        <w:rPr>
          <w:rFonts w:ascii="Arial" w:hAnsi="Arial" w:cs="Arial"/>
          <w:sz w:val="24"/>
          <w:szCs w:val="24"/>
        </w:rPr>
      </w:pPr>
      <w:r w:rsidRPr="00B827B5">
        <w:rPr>
          <w:rFonts w:ascii="Arial" w:hAnsi="Arial" w:cs="Arial"/>
          <w:sz w:val="24"/>
          <w:szCs w:val="24"/>
          <w:u w:val="single"/>
        </w:rPr>
        <w:t>Medio de pago</w:t>
      </w:r>
      <w:r w:rsidR="00B63E77" w:rsidRPr="00B827B5">
        <w:rPr>
          <w:rFonts w:ascii="Arial" w:hAnsi="Arial" w:cs="Arial"/>
          <w:sz w:val="24"/>
          <w:szCs w:val="24"/>
        </w:rPr>
        <w:t xml:space="preserve">: </w:t>
      </w:r>
      <w:bookmarkStart w:id="0" w:name="_Toc469652770"/>
      <w:r w:rsidRPr="00B827B5">
        <w:rPr>
          <w:rFonts w:ascii="Arial" w:hAnsi="Arial" w:cs="Arial"/>
          <w:sz w:val="24"/>
          <w:szCs w:val="24"/>
        </w:rPr>
        <w:t xml:space="preserve">El pago se realizará mediante transferencia electrónica de fondos a alguna de las cuentas acreditadas por el proveedor a tal fin en el </w:t>
      </w:r>
      <w:r w:rsidRPr="003D527A">
        <w:rPr>
          <w:rFonts w:ascii="Arial" w:hAnsi="Arial" w:cs="Arial"/>
          <w:sz w:val="24"/>
          <w:szCs w:val="24"/>
        </w:rPr>
        <w:t>RUPE y aprobadas en dicho registro.</w:t>
      </w:r>
      <w:bookmarkEnd w:id="0"/>
    </w:p>
    <w:p w14:paraId="0281CF42" w14:textId="77777777" w:rsidR="00FB61A7" w:rsidRPr="007D7534" w:rsidRDefault="00FB61A7" w:rsidP="00FB61A7">
      <w:pPr>
        <w:rPr>
          <w:rFonts w:ascii="Arial" w:hAnsi="Arial" w:cs="Arial"/>
          <w:sz w:val="24"/>
          <w:szCs w:val="24"/>
        </w:rPr>
      </w:pPr>
    </w:p>
    <w:p w14:paraId="0C058F9C" w14:textId="1AB88B91" w:rsidR="00FB61A7" w:rsidRPr="007D7534" w:rsidRDefault="00C61870" w:rsidP="00FB61A7">
      <w:pPr>
        <w:rPr>
          <w:rFonts w:ascii="Arial" w:hAnsi="Arial" w:cs="Arial"/>
          <w:sz w:val="24"/>
          <w:szCs w:val="24"/>
        </w:rPr>
      </w:pPr>
      <w:r w:rsidRPr="007D7534">
        <w:rPr>
          <w:rFonts w:ascii="Arial" w:hAnsi="Arial" w:cs="Arial"/>
          <w:sz w:val="24"/>
          <w:szCs w:val="24"/>
          <w:u w:val="single"/>
        </w:rPr>
        <w:t>Momento del pago</w:t>
      </w:r>
      <w:r w:rsidR="00B63E77" w:rsidRPr="007D7534">
        <w:rPr>
          <w:rFonts w:ascii="Arial" w:hAnsi="Arial" w:cs="Arial"/>
          <w:sz w:val="24"/>
          <w:szCs w:val="24"/>
        </w:rPr>
        <w:t xml:space="preserve">: </w:t>
      </w:r>
      <w:r w:rsidRPr="007D7534">
        <w:rPr>
          <w:rFonts w:ascii="Arial" w:hAnsi="Arial" w:cs="Arial"/>
          <w:sz w:val="24"/>
          <w:szCs w:val="24"/>
        </w:rPr>
        <w:t>Las facturas correspondientes se abonarán a los 30 día</w:t>
      </w:r>
      <w:r w:rsidR="008F0C06" w:rsidRPr="007D7534">
        <w:rPr>
          <w:rFonts w:ascii="Arial" w:hAnsi="Arial" w:cs="Arial"/>
          <w:sz w:val="24"/>
          <w:szCs w:val="24"/>
        </w:rPr>
        <w:t>s de la fecha de la factura.</w:t>
      </w:r>
    </w:p>
    <w:p w14:paraId="5CF87005" w14:textId="77777777" w:rsidR="00FB61A7" w:rsidRPr="007D7534" w:rsidRDefault="00FB61A7" w:rsidP="00FB61A7">
      <w:pPr>
        <w:widowControl w:val="0"/>
        <w:jc w:val="both"/>
        <w:rPr>
          <w:rFonts w:ascii="Arial" w:hAnsi="Arial" w:cs="Arial"/>
          <w:sz w:val="24"/>
          <w:szCs w:val="24"/>
        </w:rPr>
      </w:pPr>
    </w:p>
    <w:p w14:paraId="41EE5B57" w14:textId="77777777" w:rsidR="00FB61A7" w:rsidRPr="007D7534" w:rsidRDefault="00FB61A7" w:rsidP="00FB61A7">
      <w:pPr>
        <w:suppressAutoHyphens/>
        <w:rPr>
          <w:rFonts w:ascii="Arial" w:hAnsi="Arial" w:cs="Arial"/>
          <w:sz w:val="24"/>
          <w:szCs w:val="24"/>
        </w:rPr>
      </w:pPr>
      <w:r w:rsidRPr="007D7534">
        <w:rPr>
          <w:rFonts w:ascii="Arial" w:hAnsi="Arial" w:cs="Arial"/>
          <w:sz w:val="24"/>
          <w:szCs w:val="24"/>
        </w:rPr>
        <w:t xml:space="preserve">ANEXOS-GUÍA DE OFERTAS:  </w:t>
      </w:r>
      <w:hyperlink r:id="rId10" w:history="1">
        <w:r w:rsidRPr="007D7534">
          <w:rPr>
            <w:rStyle w:val="Hipervnculo"/>
            <w:rFonts w:ascii="Arial" w:hAnsi="Arial" w:cs="Arial"/>
            <w:sz w:val="24"/>
            <w:szCs w:val="24"/>
          </w:rPr>
          <w:t>https://portal.ute.com.uy/proveedores/informacion/documentos-de-licitaciones-y-compras</w:t>
        </w:r>
      </w:hyperlink>
    </w:p>
    <w:p w14:paraId="7032E52E" w14:textId="65EFE0F3" w:rsidR="00FB61A7" w:rsidRDefault="00FB61A7" w:rsidP="00FB61A7">
      <w:pPr>
        <w:suppressAutoHyphens/>
        <w:rPr>
          <w:rFonts w:ascii="Arial" w:hAnsi="Arial" w:cs="Arial"/>
          <w:sz w:val="24"/>
          <w:szCs w:val="24"/>
        </w:rPr>
      </w:pPr>
    </w:p>
    <w:p w14:paraId="3E95BEB7" w14:textId="77777777" w:rsidR="00ED05FA" w:rsidRPr="007D7534" w:rsidRDefault="00ED05FA" w:rsidP="00FB61A7">
      <w:pPr>
        <w:suppressAutoHyphens/>
        <w:rPr>
          <w:rFonts w:ascii="Arial" w:hAnsi="Arial" w:cs="Arial"/>
          <w:sz w:val="24"/>
          <w:szCs w:val="24"/>
        </w:rPr>
      </w:pPr>
    </w:p>
    <w:p w14:paraId="68C344F2" w14:textId="77777777" w:rsidR="00ED05FA" w:rsidRPr="00ED05FA" w:rsidRDefault="00C950F0" w:rsidP="00ED05FA">
      <w:pPr>
        <w:pStyle w:val="NormalWeb"/>
        <w:rPr>
          <w:rStyle w:val="Hipervnculo"/>
          <w:rFonts w:ascii="Arial" w:hAnsi="Arial" w:cs="Arial"/>
          <w:lang w:val="es-ES" w:eastAsia="es-ES"/>
        </w:rPr>
      </w:pPr>
      <w:hyperlink r:id="rId11" w:tgtFrame="_blank" w:tooltip="https://www.gub.uy/agencia-reguladora-compras-estatales/comunicacion/publicaciones/ofertar-linea" w:history="1">
        <w:r w:rsidR="00ED05FA" w:rsidRPr="00ED05FA">
          <w:rPr>
            <w:rStyle w:val="Hipervnculo"/>
            <w:rFonts w:ascii="Arial" w:hAnsi="Arial" w:cs="Arial"/>
            <w:lang w:val="es-ES" w:eastAsia="es-ES"/>
          </w:rPr>
          <w:t>https://www.gub.uy/agencia-reguladora-compras-estatales/comunicacion/publicaciones/ofertar-linea</w:t>
        </w:r>
      </w:hyperlink>
    </w:p>
    <w:p w14:paraId="6B8F07F9" w14:textId="2638EEAD" w:rsidR="00FB61A7" w:rsidRPr="007D7534" w:rsidRDefault="00ED05FA" w:rsidP="00ED05FA">
      <w:pPr>
        <w:suppressAutoHyphens/>
        <w:rPr>
          <w:rFonts w:ascii="Arial" w:hAnsi="Arial" w:cs="Arial"/>
          <w:sz w:val="24"/>
          <w:szCs w:val="24"/>
        </w:rPr>
      </w:pPr>
      <w:r>
        <w:rPr>
          <w:rFonts w:ascii="Segoe UI" w:hAnsi="Segoe UI" w:cs="Segoe UI"/>
          <w:sz w:val="21"/>
          <w:szCs w:val="21"/>
        </w:rPr>
        <w:t> </w:t>
      </w:r>
    </w:p>
    <w:p w14:paraId="49CC7D38" w14:textId="77777777" w:rsidR="00AC1ABF" w:rsidRPr="002B75FA" w:rsidRDefault="00AC1ABF" w:rsidP="002B75FA">
      <w:pPr>
        <w:rPr>
          <w:b/>
        </w:rPr>
      </w:pPr>
    </w:p>
    <w:sectPr w:rsidR="00AC1ABF" w:rsidRPr="002B75FA">
      <w:headerReference w:type="even" r:id="rId12"/>
      <w:headerReference w:type="default" r:id="rId13"/>
      <w:headerReference w:type="first" r:id="rId14"/>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B2CD7" w14:textId="77777777" w:rsidR="00861525" w:rsidRDefault="00861525">
      <w:r>
        <w:separator/>
      </w:r>
    </w:p>
  </w:endnote>
  <w:endnote w:type="continuationSeparator" w:id="0">
    <w:p w14:paraId="4C85E339" w14:textId="77777777" w:rsidR="00861525" w:rsidRDefault="00861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578AF" w14:textId="77777777" w:rsidR="00861525" w:rsidRDefault="00861525">
      <w:r>
        <w:separator/>
      </w:r>
    </w:p>
  </w:footnote>
  <w:footnote w:type="continuationSeparator" w:id="0">
    <w:p w14:paraId="2B200F5C" w14:textId="77777777" w:rsidR="00861525" w:rsidRDefault="008615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63B37" w14:textId="77777777" w:rsidR="00D21500" w:rsidRDefault="00C950F0">
    <w:pPr>
      <w:pStyle w:val="Encabezado"/>
    </w:pPr>
    <w:r>
      <w:rPr>
        <w:noProof/>
      </w:rPr>
      <w:pict w14:anchorId="0A9E46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49.6pt;height:149.85pt;rotation:315;z-index:-251658240;mso-position-horizontal:center;mso-position-horizontal-relative:margin;mso-position-vertical:center;mso-position-vertical-relative:margin" o:allowincell="f" fillcolor="silver" stroked="f">
          <v:fill opacity=".5"/>
          <v:textpath style="font-family:&quot;Times New Roman&quot;;font-size:1pt" string="U.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2A0F1" w14:textId="77777777" w:rsidR="00490C2B" w:rsidRDefault="001523EE" w:rsidP="001523EE">
    <w:pPr>
      <w:pStyle w:val="Encabezado"/>
      <w:tabs>
        <w:tab w:val="clear" w:pos="4252"/>
        <w:tab w:val="center" w:pos="2694"/>
      </w:tabs>
      <w:jc w:val="right"/>
    </w:pPr>
    <w:r w:rsidRPr="001523EE">
      <w:rPr>
        <w:noProof/>
        <w:lang w:val="es-419" w:eastAsia="es-419"/>
      </w:rPr>
      <w:drawing>
        <wp:anchor distT="0" distB="0" distL="114300" distR="114300" simplePos="0" relativeHeight="251659264" behindDoc="0" locked="0" layoutInCell="1" allowOverlap="1" wp14:anchorId="75148681" wp14:editId="4C2A211E">
          <wp:simplePos x="0" y="0"/>
          <wp:positionH relativeFrom="column">
            <wp:posOffset>169545</wp:posOffset>
          </wp:positionH>
          <wp:positionV relativeFrom="paragraph">
            <wp:posOffset>-76200</wp:posOffset>
          </wp:positionV>
          <wp:extent cx="1266190" cy="830580"/>
          <wp:effectExtent l="0" t="0" r="0" b="7620"/>
          <wp:wrapThrough wrapText="bothSides">
            <wp:wrapPolygon edited="0">
              <wp:start x="0" y="0"/>
              <wp:lineTo x="0" y="21303"/>
              <wp:lineTo x="21123" y="21303"/>
              <wp:lineTo x="21123" y="0"/>
              <wp:lineTo x="0" y="0"/>
            </wp:wrapPolygon>
          </wp:wrapThrough>
          <wp:docPr id="1" name="Imagen 1" descr="C:\Users\ut600727\Desktop\Logo Fondo 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600727\Desktop\Logo Fondo Blanc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66190" cy="830580"/>
                  </a:xfrm>
                  <a:prstGeom prst="rect">
                    <a:avLst/>
                  </a:prstGeom>
                  <a:noFill/>
                  <a:ln>
                    <a:noFill/>
                  </a:ln>
                </pic:spPr>
              </pic:pic>
            </a:graphicData>
          </a:graphic>
          <wp14:sizeRelV relativeFrom="margin">
            <wp14:pctHeight>0</wp14:pctHeight>
          </wp14:sizeRelV>
        </wp:anchor>
      </w:drawing>
    </w:r>
    <w:r w:rsidR="00490C2B">
      <w:t xml:space="preserve">          </w:t>
    </w:r>
    <w:r w:rsidR="000F7430">
      <w:t xml:space="preserve">                           </w:t>
    </w:r>
    <w:r w:rsidR="00443516" w:rsidRPr="000F7430">
      <w:rPr>
        <w:noProof/>
        <w:lang w:val="es-419" w:eastAsia="es-419"/>
      </w:rPr>
      <w:drawing>
        <wp:inline distT="0" distB="0" distL="0" distR="0" wp14:anchorId="50E1D010" wp14:editId="01F7D02E">
          <wp:extent cx="1400175" cy="733425"/>
          <wp:effectExtent l="0" t="0" r="0" b="0"/>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175" cy="733425"/>
                  </a:xfrm>
                  <a:prstGeom prst="rect">
                    <a:avLst/>
                  </a:prstGeom>
                  <a:noFill/>
                  <a:ln>
                    <a:noFill/>
                  </a:ln>
                </pic:spPr>
              </pic:pic>
            </a:graphicData>
          </a:graphic>
        </wp:inline>
      </w:drawing>
    </w:r>
    <w:r w:rsidR="000F7430">
      <w:t xml:space="preserve">              </w:t>
    </w:r>
    <w:r w:rsidR="00490C2B">
      <w:t xml:space="preserve">                                                                         </w:t>
    </w:r>
  </w:p>
  <w:p w14:paraId="4CD5124B" w14:textId="77777777" w:rsidR="00DB37D7" w:rsidRDefault="00DB37D7" w:rsidP="0044542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9DD4" w14:textId="77777777" w:rsidR="00D21500" w:rsidRDefault="00C950F0">
    <w:pPr>
      <w:pStyle w:val="Encabezado"/>
    </w:pPr>
    <w:r>
      <w:rPr>
        <w:noProof/>
      </w:rPr>
      <w:pict w14:anchorId="1AFA2A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49.6pt;height:149.85pt;rotation:315;z-index:-251659264;mso-position-horizontal:center;mso-position-horizontal-relative:margin;mso-position-vertical:center;mso-position-vertical-relative:margin" o:allowincell="f" fillcolor="silver" stroked="f">
          <v:fill opacity=".5"/>
          <v:textpath style="font-family:&quot;Times New Roman&quot;;font-size:1pt" string="U.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8.75pt;height:18.75pt" o:bullet="t">
        <v:imagedata r:id="rId1" o:title="img_Auditoria"/>
      </v:shape>
    </w:pict>
  </w:numPicBullet>
  <w:abstractNum w:abstractNumId="0" w15:restartNumberingAfterBreak="0">
    <w:nsid w:val="0E0766D3"/>
    <w:multiLevelType w:val="hybridMultilevel"/>
    <w:tmpl w:val="C486F3B4"/>
    <w:lvl w:ilvl="0" w:tplc="F5321F76">
      <w:start w:val="1"/>
      <w:numFmt w:val="decimal"/>
      <w:lvlText w:val="%1)"/>
      <w:lvlJc w:val="left"/>
      <w:pPr>
        <w:tabs>
          <w:tab w:val="num" w:pos="720"/>
        </w:tabs>
        <w:ind w:left="720" w:hanging="360"/>
      </w:pPr>
      <w:rPr>
        <w:rFonts w:hint="default"/>
      </w:rPr>
    </w:lvl>
    <w:lvl w:ilvl="1" w:tplc="401CCDE4">
      <w:start w:val="1"/>
      <w:numFmt w:val="lowerLetter"/>
      <w:lvlText w:val="%2."/>
      <w:lvlJc w:val="left"/>
      <w:pPr>
        <w:tabs>
          <w:tab w:val="num" w:pos="1440"/>
        </w:tabs>
        <w:ind w:left="1440" w:hanging="360"/>
      </w:pPr>
    </w:lvl>
    <w:lvl w:ilvl="2" w:tplc="487AF98A">
      <w:start w:val="1"/>
      <w:numFmt w:val="lowerRoman"/>
      <w:lvlText w:val="%3."/>
      <w:lvlJc w:val="right"/>
      <w:pPr>
        <w:tabs>
          <w:tab w:val="num" w:pos="2160"/>
        </w:tabs>
        <w:ind w:left="2160" w:hanging="180"/>
      </w:pPr>
    </w:lvl>
    <w:lvl w:ilvl="3" w:tplc="D8862376" w:tentative="1">
      <w:start w:val="1"/>
      <w:numFmt w:val="decimal"/>
      <w:lvlText w:val="%4."/>
      <w:lvlJc w:val="left"/>
      <w:pPr>
        <w:tabs>
          <w:tab w:val="num" w:pos="2880"/>
        </w:tabs>
        <w:ind w:left="2880" w:hanging="360"/>
      </w:pPr>
    </w:lvl>
    <w:lvl w:ilvl="4" w:tplc="B2B8B8B2" w:tentative="1">
      <w:start w:val="1"/>
      <w:numFmt w:val="lowerLetter"/>
      <w:lvlText w:val="%5."/>
      <w:lvlJc w:val="left"/>
      <w:pPr>
        <w:tabs>
          <w:tab w:val="num" w:pos="3600"/>
        </w:tabs>
        <w:ind w:left="3600" w:hanging="360"/>
      </w:pPr>
    </w:lvl>
    <w:lvl w:ilvl="5" w:tplc="29A62628" w:tentative="1">
      <w:start w:val="1"/>
      <w:numFmt w:val="lowerRoman"/>
      <w:lvlText w:val="%6."/>
      <w:lvlJc w:val="right"/>
      <w:pPr>
        <w:tabs>
          <w:tab w:val="num" w:pos="4320"/>
        </w:tabs>
        <w:ind w:left="4320" w:hanging="180"/>
      </w:pPr>
    </w:lvl>
    <w:lvl w:ilvl="6" w:tplc="43D0D572" w:tentative="1">
      <w:start w:val="1"/>
      <w:numFmt w:val="decimal"/>
      <w:lvlText w:val="%7."/>
      <w:lvlJc w:val="left"/>
      <w:pPr>
        <w:tabs>
          <w:tab w:val="num" w:pos="5040"/>
        </w:tabs>
        <w:ind w:left="5040" w:hanging="360"/>
      </w:pPr>
    </w:lvl>
    <w:lvl w:ilvl="7" w:tplc="F82EC9DA" w:tentative="1">
      <w:start w:val="1"/>
      <w:numFmt w:val="lowerLetter"/>
      <w:lvlText w:val="%8."/>
      <w:lvlJc w:val="left"/>
      <w:pPr>
        <w:tabs>
          <w:tab w:val="num" w:pos="5760"/>
        </w:tabs>
        <w:ind w:left="5760" w:hanging="360"/>
      </w:pPr>
    </w:lvl>
    <w:lvl w:ilvl="8" w:tplc="68BEE170" w:tentative="1">
      <w:start w:val="1"/>
      <w:numFmt w:val="lowerRoman"/>
      <w:lvlText w:val="%9."/>
      <w:lvlJc w:val="right"/>
      <w:pPr>
        <w:tabs>
          <w:tab w:val="num" w:pos="6480"/>
        </w:tabs>
        <w:ind w:left="6480" w:hanging="180"/>
      </w:pPr>
    </w:lvl>
  </w:abstractNum>
  <w:abstractNum w:abstractNumId="1" w15:restartNumberingAfterBreak="0">
    <w:nsid w:val="1AA4371F"/>
    <w:multiLevelType w:val="hybridMultilevel"/>
    <w:tmpl w:val="D01A1A52"/>
    <w:lvl w:ilvl="0" w:tplc="580A000D">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281D1157"/>
    <w:multiLevelType w:val="hybridMultilevel"/>
    <w:tmpl w:val="964439A0"/>
    <w:lvl w:ilvl="0" w:tplc="5192C2D2">
      <w:start w:val="4"/>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3" w15:restartNumberingAfterBreak="0">
    <w:nsid w:val="2AD1411E"/>
    <w:multiLevelType w:val="hybridMultilevel"/>
    <w:tmpl w:val="DC1CB6F6"/>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15:restartNumberingAfterBreak="0">
    <w:nsid w:val="2FAE670A"/>
    <w:multiLevelType w:val="hybridMultilevel"/>
    <w:tmpl w:val="8796FC3E"/>
    <w:lvl w:ilvl="0" w:tplc="0C0A0017">
      <w:start w:val="1"/>
      <w:numFmt w:val="lowerLetter"/>
      <w:lvlText w:val="%1)"/>
      <w:lvlJc w:val="left"/>
      <w:pPr>
        <w:ind w:left="785"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15:restartNumberingAfterBreak="0">
    <w:nsid w:val="31442968"/>
    <w:multiLevelType w:val="hybridMultilevel"/>
    <w:tmpl w:val="2DEE5B4C"/>
    <w:lvl w:ilvl="0" w:tplc="5F34C19C">
      <w:start w:val="2"/>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6" w15:restartNumberingAfterBreak="0">
    <w:nsid w:val="39791BCE"/>
    <w:multiLevelType w:val="hybridMultilevel"/>
    <w:tmpl w:val="24AA14A6"/>
    <w:lvl w:ilvl="0" w:tplc="0C0A0011">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5E6476C9"/>
    <w:multiLevelType w:val="hybridMultilevel"/>
    <w:tmpl w:val="49D4DE58"/>
    <w:lvl w:ilvl="0" w:tplc="784EB406">
      <w:start w:val="1"/>
      <w:numFmt w:val="lowerLetter"/>
      <w:lvlText w:val="%1)"/>
      <w:lvlJc w:val="left"/>
      <w:pPr>
        <w:ind w:left="1065" w:hanging="360"/>
      </w:pPr>
      <w:rPr>
        <w:rFonts w:ascii="Arial" w:eastAsia="Times New Roman" w:hAnsi="Arial" w:cs="Times New Roman"/>
      </w:rPr>
    </w:lvl>
    <w:lvl w:ilvl="1" w:tplc="380A0019" w:tentative="1">
      <w:start w:val="1"/>
      <w:numFmt w:val="lowerLetter"/>
      <w:lvlText w:val="%2."/>
      <w:lvlJc w:val="left"/>
      <w:pPr>
        <w:ind w:left="1785" w:hanging="360"/>
      </w:pPr>
    </w:lvl>
    <w:lvl w:ilvl="2" w:tplc="380A001B" w:tentative="1">
      <w:start w:val="1"/>
      <w:numFmt w:val="lowerRoman"/>
      <w:lvlText w:val="%3."/>
      <w:lvlJc w:val="right"/>
      <w:pPr>
        <w:ind w:left="2505" w:hanging="180"/>
      </w:pPr>
    </w:lvl>
    <w:lvl w:ilvl="3" w:tplc="380A000F" w:tentative="1">
      <w:start w:val="1"/>
      <w:numFmt w:val="decimal"/>
      <w:lvlText w:val="%4."/>
      <w:lvlJc w:val="left"/>
      <w:pPr>
        <w:ind w:left="3225" w:hanging="360"/>
      </w:pPr>
    </w:lvl>
    <w:lvl w:ilvl="4" w:tplc="380A0019" w:tentative="1">
      <w:start w:val="1"/>
      <w:numFmt w:val="lowerLetter"/>
      <w:lvlText w:val="%5."/>
      <w:lvlJc w:val="left"/>
      <w:pPr>
        <w:ind w:left="3945" w:hanging="360"/>
      </w:pPr>
    </w:lvl>
    <w:lvl w:ilvl="5" w:tplc="380A001B" w:tentative="1">
      <w:start w:val="1"/>
      <w:numFmt w:val="lowerRoman"/>
      <w:lvlText w:val="%6."/>
      <w:lvlJc w:val="right"/>
      <w:pPr>
        <w:ind w:left="4665" w:hanging="180"/>
      </w:pPr>
    </w:lvl>
    <w:lvl w:ilvl="6" w:tplc="380A000F" w:tentative="1">
      <w:start w:val="1"/>
      <w:numFmt w:val="decimal"/>
      <w:lvlText w:val="%7."/>
      <w:lvlJc w:val="left"/>
      <w:pPr>
        <w:ind w:left="5385" w:hanging="360"/>
      </w:pPr>
    </w:lvl>
    <w:lvl w:ilvl="7" w:tplc="380A0019" w:tentative="1">
      <w:start w:val="1"/>
      <w:numFmt w:val="lowerLetter"/>
      <w:lvlText w:val="%8."/>
      <w:lvlJc w:val="left"/>
      <w:pPr>
        <w:ind w:left="6105" w:hanging="360"/>
      </w:pPr>
    </w:lvl>
    <w:lvl w:ilvl="8" w:tplc="380A001B" w:tentative="1">
      <w:start w:val="1"/>
      <w:numFmt w:val="lowerRoman"/>
      <w:lvlText w:val="%9."/>
      <w:lvlJc w:val="right"/>
      <w:pPr>
        <w:ind w:left="6825" w:hanging="180"/>
      </w:pPr>
    </w:lvl>
  </w:abstractNum>
  <w:abstractNum w:abstractNumId="8" w15:restartNumberingAfterBreak="0">
    <w:nsid w:val="63255494"/>
    <w:multiLevelType w:val="hybridMultilevel"/>
    <w:tmpl w:val="DFAE99FA"/>
    <w:lvl w:ilvl="0" w:tplc="380A0015">
      <w:start w:val="1"/>
      <w:numFmt w:val="upperLetter"/>
      <w:lvlText w:val="%1."/>
      <w:lvlJc w:val="left"/>
      <w:pPr>
        <w:ind w:left="720" w:hanging="360"/>
      </w:pPr>
    </w:lvl>
    <w:lvl w:ilvl="1" w:tplc="8E3C2BDC">
      <w:start w:val="1"/>
      <w:numFmt w:val="lowerLetter"/>
      <w:lvlText w:val="%2)"/>
      <w:lvlJc w:val="left"/>
      <w:pPr>
        <w:ind w:left="1785" w:hanging="705"/>
      </w:pPr>
      <w:rPr>
        <w:rFonts w:hint="default"/>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9" w15:restartNumberingAfterBreak="0">
    <w:nsid w:val="687355DA"/>
    <w:multiLevelType w:val="hybridMultilevel"/>
    <w:tmpl w:val="1F8EEECC"/>
    <w:lvl w:ilvl="0" w:tplc="F2C401B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6F8C2580"/>
    <w:multiLevelType w:val="hybridMultilevel"/>
    <w:tmpl w:val="43965056"/>
    <w:lvl w:ilvl="0" w:tplc="D75A1AEC">
      <w:start w:val="1"/>
      <w:numFmt w:val="decimal"/>
      <w:lvlText w:val="%1)"/>
      <w:lvlJc w:val="left"/>
      <w:pPr>
        <w:tabs>
          <w:tab w:val="num" w:pos="765"/>
        </w:tabs>
        <w:ind w:left="765" w:hanging="4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78F10B42"/>
    <w:multiLevelType w:val="hybridMultilevel"/>
    <w:tmpl w:val="826268D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2" w15:restartNumberingAfterBreak="0">
    <w:nsid w:val="7AC0767F"/>
    <w:multiLevelType w:val="hybridMultilevel"/>
    <w:tmpl w:val="87D6ACDC"/>
    <w:lvl w:ilvl="0" w:tplc="6C14CF90">
      <w:start w:val="2"/>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3" w15:restartNumberingAfterBreak="0">
    <w:nsid w:val="7DE87BF1"/>
    <w:multiLevelType w:val="hybridMultilevel"/>
    <w:tmpl w:val="8796FC3E"/>
    <w:lvl w:ilvl="0" w:tplc="0C0A0017">
      <w:start w:val="1"/>
      <w:numFmt w:val="low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0"/>
  </w:num>
  <w:num w:numId="2">
    <w:abstractNumId w:val="10"/>
  </w:num>
  <w:num w:numId="3">
    <w:abstractNumId w:val="6"/>
  </w:num>
  <w:num w:numId="4">
    <w:abstractNumId w:val="5"/>
  </w:num>
  <w:num w:numId="5">
    <w:abstractNumId w:val="2"/>
  </w:num>
  <w:num w:numId="6">
    <w:abstractNumId w:val="9"/>
  </w:num>
  <w:num w:numId="7">
    <w:abstractNumId w:val="3"/>
  </w:num>
  <w:num w:numId="8">
    <w:abstractNumId w:val="7"/>
  </w:num>
  <w:num w:numId="9">
    <w:abstractNumId w:val="4"/>
  </w:num>
  <w:num w:numId="10">
    <w:abstractNumId w:val="12"/>
  </w:num>
  <w:num w:numId="11">
    <w:abstractNumId w:val="13"/>
  </w:num>
  <w:num w:numId="12">
    <w:abstractNumId w:val="11"/>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1E"/>
    <w:rsid w:val="00000261"/>
    <w:rsid w:val="00010330"/>
    <w:rsid w:val="000103BF"/>
    <w:rsid w:val="00017589"/>
    <w:rsid w:val="000358AB"/>
    <w:rsid w:val="00043065"/>
    <w:rsid w:val="00046C0C"/>
    <w:rsid w:val="00062719"/>
    <w:rsid w:val="000664D7"/>
    <w:rsid w:val="0007390A"/>
    <w:rsid w:val="00080363"/>
    <w:rsid w:val="00081DC7"/>
    <w:rsid w:val="00082699"/>
    <w:rsid w:val="00092607"/>
    <w:rsid w:val="000942A0"/>
    <w:rsid w:val="000B1A16"/>
    <w:rsid w:val="000B395A"/>
    <w:rsid w:val="000D2B75"/>
    <w:rsid w:val="000D70F2"/>
    <w:rsid w:val="000E1DC7"/>
    <w:rsid w:val="000E36F2"/>
    <w:rsid w:val="000E6A08"/>
    <w:rsid w:val="000F7430"/>
    <w:rsid w:val="00122ABD"/>
    <w:rsid w:val="00145867"/>
    <w:rsid w:val="001523EE"/>
    <w:rsid w:val="001639D8"/>
    <w:rsid w:val="00164228"/>
    <w:rsid w:val="00177092"/>
    <w:rsid w:val="0017764F"/>
    <w:rsid w:val="001A67E0"/>
    <w:rsid w:val="001D134E"/>
    <w:rsid w:val="001F078B"/>
    <w:rsid w:val="002158BA"/>
    <w:rsid w:val="00215B0E"/>
    <w:rsid w:val="00236F11"/>
    <w:rsid w:val="00246D3F"/>
    <w:rsid w:val="00252F4D"/>
    <w:rsid w:val="0025326A"/>
    <w:rsid w:val="00254B8E"/>
    <w:rsid w:val="002577CF"/>
    <w:rsid w:val="00257B74"/>
    <w:rsid w:val="0026016A"/>
    <w:rsid w:val="002634F6"/>
    <w:rsid w:val="0027134C"/>
    <w:rsid w:val="00285E75"/>
    <w:rsid w:val="002A1665"/>
    <w:rsid w:val="002A6C26"/>
    <w:rsid w:val="002A7526"/>
    <w:rsid w:val="002B75FA"/>
    <w:rsid w:val="002C2ADE"/>
    <w:rsid w:val="002C43CE"/>
    <w:rsid w:val="002D06C5"/>
    <w:rsid w:val="002D2DAA"/>
    <w:rsid w:val="002F49A0"/>
    <w:rsid w:val="00306A51"/>
    <w:rsid w:val="00324CE7"/>
    <w:rsid w:val="00351318"/>
    <w:rsid w:val="003556B5"/>
    <w:rsid w:val="00364C3F"/>
    <w:rsid w:val="003709E3"/>
    <w:rsid w:val="00375F69"/>
    <w:rsid w:val="0038296A"/>
    <w:rsid w:val="003833F6"/>
    <w:rsid w:val="00384F54"/>
    <w:rsid w:val="003A5EBE"/>
    <w:rsid w:val="003B7164"/>
    <w:rsid w:val="003C3793"/>
    <w:rsid w:val="003D2190"/>
    <w:rsid w:val="003D527A"/>
    <w:rsid w:val="003D7146"/>
    <w:rsid w:val="003E20B5"/>
    <w:rsid w:val="003F075B"/>
    <w:rsid w:val="004140C9"/>
    <w:rsid w:val="0041411D"/>
    <w:rsid w:val="00424E4D"/>
    <w:rsid w:val="00434336"/>
    <w:rsid w:val="00437A91"/>
    <w:rsid w:val="00443516"/>
    <w:rsid w:val="00445423"/>
    <w:rsid w:val="00457DA2"/>
    <w:rsid w:val="00470C13"/>
    <w:rsid w:val="00483F80"/>
    <w:rsid w:val="00490C2B"/>
    <w:rsid w:val="00494FB7"/>
    <w:rsid w:val="004A28B9"/>
    <w:rsid w:val="004A2ECC"/>
    <w:rsid w:val="004A4C91"/>
    <w:rsid w:val="004A559F"/>
    <w:rsid w:val="004B314A"/>
    <w:rsid w:val="004B3E85"/>
    <w:rsid w:val="004C056D"/>
    <w:rsid w:val="004C5C9C"/>
    <w:rsid w:val="004F75D2"/>
    <w:rsid w:val="005047AB"/>
    <w:rsid w:val="0050493D"/>
    <w:rsid w:val="00504B33"/>
    <w:rsid w:val="00505FD3"/>
    <w:rsid w:val="00523148"/>
    <w:rsid w:val="005261CB"/>
    <w:rsid w:val="00531FB7"/>
    <w:rsid w:val="005355CC"/>
    <w:rsid w:val="0053751C"/>
    <w:rsid w:val="00544685"/>
    <w:rsid w:val="00547D9A"/>
    <w:rsid w:val="00556EE2"/>
    <w:rsid w:val="0056787E"/>
    <w:rsid w:val="00567B5E"/>
    <w:rsid w:val="005804EB"/>
    <w:rsid w:val="00594407"/>
    <w:rsid w:val="005965A8"/>
    <w:rsid w:val="00597797"/>
    <w:rsid w:val="005A28A3"/>
    <w:rsid w:val="005A46FE"/>
    <w:rsid w:val="005A7C64"/>
    <w:rsid w:val="005B38AB"/>
    <w:rsid w:val="005C4144"/>
    <w:rsid w:val="005E3298"/>
    <w:rsid w:val="005E3E5D"/>
    <w:rsid w:val="005E58E0"/>
    <w:rsid w:val="005F0451"/>
    <w:rsid w:val="0060029B"/>
    <w:rsid w:val="0061520C"/>
    <w:rsid w:val="00636DC1"/>
    <w:rsid w:val="00643DC3"/>
    <w:rsid w:val="00657953"/>
    <w:rsid w:val="0067595A"/>
    <w:rsid w:val="00677D84"/>
    <w:rsid w:val="006836B9"/>
    <w:rsid w:val="00685E4B"/>
    <w:rsid w:val="0069041B"/>
    <w:rsid w:val="00693681"/>
    <w:rsid w:val="00695FA7"/>
    <w:rsid w:val="006A0DC9"/>
    <w:rsid w:val="006A12F5"/>
    <w:rsid w:val="006B06A6"/>
    <w:rsid w:val="006B2508"/>
    <w:rsid w:val="006D12A2"/>
    <w:rsid w:val="006F2929"/>
    <w:rsid w:val="00703277"/>
    <w:rsid w:val="007131A8"/>
    <w:rsid w:val="00717801"/>
    <w:rsid w:val="0072712F"/>
    <w:rsid w:val="00731557"/>
    <w:rsid w:val="00770052"/>
    <w:rsid w:val="0078603E"/>
    <w:rsid w:val="007954AA"/>
    <w:rsid w:val="007A7F79"/>
    <w:rsid w:val="007B3BD6"/>
    <w:rsid w:val="007C0A91"/>
    <w:rsid w:val="007C3F6A"/>
    <w:rsid w:val="007C655B"/>
    <w:rsid w:val="007D0E5F"/>
    <w:rsid w:val="007D7534"/>
    <w:rsid w:val="007E75CE"/>
    <w:rsid w:val="007F45A4"/>
    <w:rsid w:val="007F48DE"/>
    <w:rsid w:val="007F6656"/>
    <w:rsid w:val="008031F9"/>
    <w:rsid w:val="0080616F"/>
    <w:rsid w:val="008074CF"/>
    <w:rsid w:val="00807BE8"/>
    <w:rsid w:val="00814CAD"/>
    <w:rsid w:val="008160F7"/>
    <w:rsid w:val="008201D4"/>
    <w:rsid w:val="00827AB9"/>
    <w:rsid w:val="00830581"/>
    <w:rsid w:val="00833E72"/>
    <w:rsid w:val="008378F0"/>
    <w:rsid w:val="00840C24"/>
    <w:rsid w:val="00841B69"/>
    <w:rsid w:val="00852DD8"/>
    <w:rsid w:val="0085635F"/>
    <w:rsid w:val="00861525"/>
    <w:rsid w:val="008619BC"/>
    <w:rsid w:val="00861E75"/>
    <w:rsid w:val="00870852"/>
    <w:rsid w:val="00881EF8"/>
    <w:rsid w:val="008A241E"/>
    <w:rsid w:val="008A60C3"/>
    <w:rsid w:val="008B5D31"/>
    <w:rsid w:val="008B666D"/>
    <w:rsid w:val="008D781E"/>
    <w:rsid w:val="008E02AB"/>
    <w:rsid w:val="008E2D78"/>
    <w:rsid w:val="008E68BD"/>
    <w:rsid w:val="008F0C06"/>
    <w:rsid w:val="008F369A"/>
    <w:rsid w:val="00903FBE"/>
    <w:rsid w:val="0090748C"/>
    <w:rsid w:val="00910AF4"/>
    <w:rsid w:val="00911446"/>
    <w:rsid w:val="00911666"/>
    <w:rsid w:val="00916911"/>
    <w:rsid w:val="00921A30"/>
    <w:rsid w:val="0092243E"/>
    <w:rsid w:val="00923348"/>
    <w:rsid w:val="00925A62"/>
    <w:rsid w:val="00931F53"/>
    <w:rsid w:val="009378D9"/>
    <w:rsid w:val="0094493A"/>
    <w:rsid w:val="009471D0"/>
    <w:rsid w:val="00951B87"/>
    <w:rsid w:val="009558E9"/>
    <w:rsid w:val="00956B9E"/>
    <w:rsid w:val="00963840"/>
    <w:rsid w:val="009865DC"/>
    <w:rsid w:val="009B435C"/>
    <w:rsid w:val="009B6598"/>
    <w:rsid w:val="009E1309"/>
    <w:rsid w:val="009E4028"/>
    <w:rsid w:val="009F5099"/>
    <w:rsid w:val="00A0371E"/>
    <w:rsid w:val="00A06B85"/>
    <w:rsid w:val="00A201D5"/>
    <w:rsid w:val="00A24912"/>
    <w:rsid w:val="00A25E08"/>
    <w:rsid w:val="00A26DB8"/>
    <w:rsid w:val="00A37E4F"/>
    <w:rsid w:val="00A41631"/>
    <w:rsid w:val="00A6327F"/>
    <w:rsid w:val="00A75B5F"/>
    <w:rsid w:val="00A77D01"/>
    <w:rsid w:val="00A80F54"/>
    <w:rsid w:val="00A8165F"/>
    <w:rsid w:val="00A92A57"/>
    <w:rsid w:val="00A942B5"/>
    <w:rsid w:val="00AA5910"/>
    <w:rsid w:val="00AC1ABF"/>
    <w:rsid w:val="00AC2AEA"/>
    <w:rsid w:val="00AC5D16"/>
    <w:rsid w:val="00AC6910"/>
    <w:rsid w:val="00AD2A09"/>
    <w:rsid w:val="00AD504D"/>
    <w:rsid w:val="00AF058C"/>
    <w:rsid w:val="00B04B68"/>
    <w:rsid w:val="00B1199C"/>
    <w:rsid w:val="00B33310"/>
    <w:rsid w:val="00B43030"/>
    <w:rsid w:val="00B52558"/>
    <w:rsid w:val="00B61695"/>
    <w:rsid w:val="00B63E77"/>
    <w:rsid w:val="00B746E7"/>
    <w:rsid w:val="00B773B6"/>
    <w:rsid w:val="00B77CA1"/>
    <w:rsid w:val="00B827B5"/>
    <w:rsid w:val="00B92C46"/>
    <w:rsid w:val="00BB3EF2"/>
    <w:rsid w:val="00BC2389"/>
    <w:rsid w:val="00BC2B43"/>
    <w:rsid w:val="00BD2E96"/>
    <w:rsid w:val="00BD51EF"/>
    <w:rsid w:val="00C01F0A"/>
    <w:rsid w:val="00C132E8"/>
    <w:rsid w:val="00C15535"/>
    <w:rsid w:val="00C21828"/>
    <w:rsid w:val="00C27CE8"/>
    <w:rsid w:val="00C47AFB"/>
    <w:rsid w:val="00C520EA"/>
    <w:rsid w:val="00C61870"/>
    <w:rsid w:val="00C66897"/>
    <w:rsid w:val="00C67354"/>
    <w:rsid w:val="00C9158A"/>
    <w:rsid w:val="00C9174B"/>
    <w:rsid w:val="00C950F0"/>
    <w:rsid w:val="00C95753"/>
    <w:rsid w:val="00CC1D1B"/>
    <w:rsid w:val="00CC21BA"/>
    <w:rsid w:val="00CD12AE"/>
    <w:rsid w:val="00CD1FE2"/>
    <w:rsid w:val="00CE2A38"/>
    <w:rsid w:val="00CE38A9"/>
    <w:rsid w:val="00CF20D7"/>
    <w:rsid w:val="00CF229A"/>
    <w:rsid w:val="00D12788"/>
    <w:rsid w:val="00D146AF"/>
    <w:rsid w:val="00D17CE0"/>
    <w:rsid w:val="00D21500"/>
    <w:rsid w:val="00D239FF"/>
    <w:rsid w:val="00D23DB2"/>
    <w:rsid w:val="00D24C01"/>
    <w:rsid w:val="00D459B0"/>
    <w:rsid w:val="00D5127E"/>
    <w:rsid w:val="00D538C4"/>
    <w:rsid w:val="00D53A3F"/>
    <w:rsid w:val="00D57E41"/>
    <w:rsid w:val="00D753BA"/>
    <w:rsid w:val="00D776A8"/>
    <w:rsid w:val="00D821D1"/>
    <w:rsid w:val="00D96AE1"/>
    <w:rsid w:val="00D96C8D"/>
    <w:rsid w:val="00DB37D7"/>
    <w:rsid w:val="00DC2D66"/>
    <w:rsid w:val="00DE4A18"/>
    <w:rsid w:val="00DE61C8"/>
    <w:rsid w:val="00DF2B52"/>
    <w:rsid w:val="00E106B8"/>
    <w:rsid w:val="00E13FCB"/>
    <w:rsid w:val="00E14CE7"/>
    <w:rsid w:val="00E2319F"/>
    <w:rsid w:val="00E27E6F"/>
    <w:rsid w:val="00E379CD"/>
    <w:rsid w:val="00E50434"/>
    <w:rsid w:val="00E63168"/>
    <w:rsid w:val="00E642B4"/>
    <w:rsid w:val="00E64A58"/>
    <w:rsid w:val="00E664D3"/>
    <w:rsid w:val="00E66770"/>
    <w:rsid w:val="00E67246"/>
    <w:rsid w:val="00E7209B"/>
    <w:rsid w:val="00E72180"/>
    <w:rsid w:val="00E72706"/>
    <w:rsid w:val="00E74974"/>
    <w:rsid w:val="00EB37C0"/>
    <w:rsid w:val="00EB794A"/>
    <w:rsid w:val="00EC2C06"/>
    <w:rsid w:val="00EC5481"/>
    <w:rsid w:val="00EC5B67"/>
    <w:rsid w:val="00ED05FA"/>
    <w:rsid w:val="00ED2ABF"/>
    <w:rsid w:val="00ED4541"/>
    <w:rsid w:val="00ED5167"/>
    <w:rsid w:val="00EE579D"/>
    <w:rsid w:val="00EF256A"/>
    <w:rsid w:val="00F02767"/>
    <w:rsid w:val="00F0518D"/>
    <w:rsid w:val="00F2042A"/>
    <w:rsid w:val="00F30687"/>
    <w:rsid w:val="00F30766"/>
    <w:rsid w:val="00F461BE"/>
    <w:rsid w:val="00F56B62"/>
    <w:rsid w:val="00F56D30"/>
    <w:rsid w:val="00F6666F"/>
    <w:rsid w:val="00F77E75"/>
    <w:rsid w:val="00F90880"/>
    <w:rsid w:val="00F93ACC"/>
    <w:rsid w:val="00F95A94"/>
    <w:rsid w:val="00FB1E96"/>
    <w:rsid w:val="00FB61A7"/>
    <w:rsid w:val="00FC25F2"/>
    <w:rsid w:val="00FD153F"/>
    <w:rsid w:val="00FE395A"/>
    <w:rsid w:val="00FE751E"/>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95183DD"/>
  <w15:docId w15:val="{E74936B1-1F5F-4E0C-B932-26ABCE5C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UY" w:eastAsia="es-UY"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s-ES" w:eastAsia="es-ES"/>
    </w:rPr>
  </w:style>
  <w:style w:type="paragraph" w:styleId="Ttulo1">
    <w:name w:val="heading 1"/>
    <w:basedOn w:val="Normal"/>
    <w:next w:val="Normal"/>
    <w:qFormat/>
    <w:pPr>
      <w:keepNext/>
      <w:outlineLvl w:val="0"/>
    </w:pPr>
    <w:rPr>
      <w:b/>
      <w:bCs/>
      <w:sz w:val="28"/>
    </w:rPr>
  </w:style>
  <w:style w:type="paragraph" w:styleId="Ttulo2">
    <w:name w:val="heading 2"/>
    <w:basedOn w:val="Normal"/>
    <w:next w:val="Normal"/>
    <w:qFormat/>
    <w:pPr>
      <w:keepNext/>
      <w:widowControl w:val="0"/>
      <w:tabs>
        <w:tab w:val="center" w:pos="4512"/>
      </w:tabs>
      <w:ind w:left="1418" w:hanging="1418"/>
      <w:jc w:val="center"/>
      <w:outlineLvl w:val="1"/>
    </w:pPr>
    <w:rPr>
      <w:b/>
      <w:color w:val="FF0000"/>
      <w:lang w:val="es-ES_tradnl"/>
    </w:rPr>
  </w:style>
  <w:style w:type="paragraph" w:styleId="Ttulo3">
    <w:name w:val="heading 3"/>
    <w:basedOn w:val="Normal"/>
    <w:next w:val="Normal"/>
    <w:link w:val="Ttulo3Car"/>
    <w:qFormat/>
    <w:rsid w:val="009B435C"/>
    <w:pPr>
      <w:keepNext/>
      <w:spacing w:before="240" w:after="60"/>
      <w:outlineLvl w:val="2"/>
    </w:pPr>
    <w:rPr>
      <w:rFonts w:ascii="Arial" w:hAnsi="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color w:val="0000FF"/>
      <w:u w:val="single"/>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independiente">
    <w:name w:val="Body Text"/>
    <w:basedOn w:val="Normal"/>
    <w:link w:val="TextoindependienteCar"/>
    <w:pPr>
      <w:widowControl w:val="0"/>
    </w:pPr>
    <w:rPr>
      <w:rFonts w:ascii="Lucida Sans Unicode" w:hAnsi="Lucida Sans Unicode"/>
      <w:sz w:val="22"/>
      <w:lang w:val="es-ES_tradnl"/>
    </w:rPr>
  </w:style>
  <w:style w:type="character" w:styleId="Hipervnculovisitado">
    <w:name w:val="FollowedHyperlink"/>
    <w:rPr>
      <w:color w:val="800080"/>
      <w:u w:val="single"/>
    </w:rPr>
  </w:style>
  <w:style w:type="paragraph" w:styleId="Sangradetextonormal">
    <w:name w:val="Body Text Indent"/>
    <w:basedOn w:val="Normal"/>
    <w:pPr>
      <w:widowControl w:val="0"/>
      <w:tabs>
        <w:tab w:val="center" w:pos="4512"/>
      </w:tabs>
      <w:ind w:left="1418" w:hanging="1418"/>
      <w:jc w:val="center"/>
    </w:pPr>
    <w:rPr>
      <w:b/>
      <w:sz w:val="26"/>
    </w:rPr>
  </w:style>
  <w:style w:type="paragraph" w:styleId="Mapadeldocumento">
    <w:name w:val="Document Map"/>
    <w:basedOn w:val="Normal"/>
    <w:semiHidden/>
    <w:pPr>
      <w:shd w:val="clear" w:color="auto" w:fill="000080"/>
    </w:pPr>
    <w:rPr>
      <w:rFonts w:ascii="Tahoma" w:hAnsi="Tahoma"/>
    </w:rPr>
  </w:style>
  <w:style w:type="paragraph" w:styleId="Textoindependiente2">
    <w:name w:val="Body Text 2"/>
    <w:basedOn w:val="Normal"/>
    <w:pPr>
      <w:widowControl w:val="0"/>
      <w:jc w:val="center"/>
    </w:pPr>
    <w:rPr>
      <w:rFonts w:ascii="Arial" w:hAnsi="Arial"/>
      <w:b/>
      <w:sz w:val="24"/>
    </w:rPr>
  </w:style>
  <w:style w:type="paragraph" w:styleId="Textoindependiente3">
    <w:name w:val="Body Text 3"/>
    <w:basedOn w:val="Normal"/>
    <w:pPr>
      <w:widowControl w:val="0"/>
      <w:jc w:val="center"/>
    </w:pPr>
    <w:rPr>
      <w:rFonts w:ascii="Arial" w:hAnsi="Arial"/>
      <w:b/>
      <w:sz w:val="22"/>
    </w:rPr>
  </w:style>
  <w:style w:type="character" w:styleId="nfasis">
    <w:name w:val="Emphasis"/>
    <w:qFormat/>
    <w:rsid w:val="00FB1E96"/>
    <w:rPr>
      <w:i/>
      <w:iCs/>
    </w:rPr>
  </w:style>
  <w:style w:type="paragraph" w:styleId="Sangra2detindependiente">
    <w:name w:val="Body Text Indent 2"/>
    <w:basedOn w:val="Normal"/>
    <w:rsid w:val="00D459B0"/>
    <w:pPr>
      <w:spacing w:after="120" w:line="480" w:lineRule="auto"/>
      <w:ind w:left="283"/>
    </w:pPr>
  </w:style>
  <w:style w:type="character" w:styleId="Textoennegrita">
    <w:name w:val="Strong"/>
    <w:qFormat/>
    <w:rsid w:val="00F56D30"/>
    <w:rPr>
      <w:b/>
      <w:bCs/>
    </w:rPr>
  </w:style>
  <w:style w:type="character" w:customStyle="1" w:styleId="Ttulo3Car">
    <w:name w:val="Título 3 Car"/>
    <w:link w:val="Ttulo3"/>
    <w:rsid w:val="00A25E08"/>
    <w:rPr>
      <w:rFonts w:ascii="Arial" w:hAnsi="Arial" w:cs="Arial"/>
      <w:b/>
      <w:bCs/>
      <w:sz w:val="26"/>
      <w:szCs w:val="26"/>
      <w:lang w:val="es-ES" w:eastAsia="es-ES"/>
    </w:rPr>
  </w:style>
  <w:style w:type="table" w:styleId="Tablaconcuadrcula">
    <w:name w:val="Table Grid"/>
    <w:basedOn w:val="Tablanormal"/>
    <w:rsid w:val="00DB3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8A241E"/>
    <w:rPr>
      <w:rFonts w:ascii="Tahoma" w:hAnsi="Tahoma" w:cs="Tahoma"/>
      <w:sz w:val="16"/>
      <w:szCs w:val="16"/>
    </w:rPr>
  </w:style>
  <w:style w:type="character" w:customStyle="1" w:styleId="TextodegloboCar">
    <w:name w:val="Texto de globo Car"/>
    <w:link w:val="Textodeglobo"/>
    <w:rsid w:val="008A241E"/>
    <w:rPr>
      <w:rFonts w:ascii="Tahoma" w:hAnsi="Tahoma" w:cs="Tahoma"/>
      <w:sz w:val="16"/>
      <w:szCs w:val="16"/>
      <w:lang w:val="es-ES" w:eastAsia="es-ES"/>
    </w:rPr>
  </w:style>
  <w:style w:type="paragraph" w:styleId="Prrafodelista">
    <w:name w:val="List Paragraph"/>
    <w:basedOn w:val="Normal"/>
    <w:uiPriority w:val="34"/>
    <w:qFormat/>
    <w:rsid w:val="00547D9A"/>
    <w:pPr>
      <w:spacing w:before="120"/>
      <w:ind w:left="720"/>
      <w:contextualSpacing/>
      <w:jc w:val="both"/>
    </w:pPr>
    <w:rPr>
      <w:rFonts w:ascii="Arial" w:hAnsi="Arial"/>
      <w:sz w:val="22"/>
    </w:rPr>
  </w:style>
  <w:style w:type="paragraph" w:styleId="Ttulo">
    <w:name w:val="Title"/>
    <w:basedOn w:val="Normal"/>
    <w:next w:val="Normal"/>
    <w:link w:val="TtuloCar"/>
    <w:qFormat/>
    <w:rsid w:val="005261CB"/>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5261CB"/>
    <w:rPr>
      <w:rFonts w:asciiTheme="majorHAnsi" w:eastAsiaTheme="majorEastAsia" w:hAnsiTheme="majorHAnsi" w:cstheme="majorBidi"/>
      <w:spacing w:val="-10"/>
      <w:kern w:val="28"/>
      <w:sz w:val="56"/>
      <w:szCs w:val="56"/>
      <w:lang w:val="es-ES" w:eastAsia="es-ES"/>
    </w:rPr>
  </w:style>
  <w:style w:type="paragraph" w:customStyle="1" w:styleId="Default">
    <w:name w:val="Default"/>
    <w:rsid w:val="00FB61A7"/>
    <w:pPr>
      <w:autoSpaceDE w:val="0"/>
      <w:autoSpaceDN w:val="0"/>
      <w:adjustRightInd w:val="0"/>
    </w:pPr>
    <w:rPr>
      <w:rFonts w:ascii="Arial" w:hAnsi="Arial" w:cs="Arial"/>
      <w:color w:val="000000"/>
      <w:sz w:val="24"/>
      <w:szCs w:val="24"/>
      <w:lang w:val="es-419"/>
    </w:rPr>
  </w:style>
  <w:style w:type="character" w:styleId="Refdecomentario">
    <w:name w:val="annotation reference"/>
    <w:basedOn w:val="Fuentedeprrafopredeter"/>
    <w:semiHidden/>
    <w:unhideWhenUsed/>
    <w:rsid w:val="008074CF"/>
    <w:rPr>
      <w:sz w:val="16"/>
      <w:szCs w:val="16"/>
    </w:rPr>
  </w:style>
  <w:style w:type="paragraph" w:styleId="Textocomentario">
    <w:name w:val="annotation text"/>
    <w:basedOn w:val="Normal"/>
    <w:link w:val="TextocomentarioCar"/>
    <w:semiHidden/>
    <w:unhideWhenUsed/>
    <w:rsid w:val="008074CF"/>
  </w:style>
  <w:style w:type="character" w:customStyle="1" w:styleId="TextocomentarioCar">
    <w:name w:val="Texto comentario Car"/>
    <w:basedOn w:val="Fuentedeprrafopredeter"/>
    <w:link w:val="Textocomentario"/>
    <w:semiHidden/>
    <w:rsid w:val="008074CF"/>
    <w:rPr>
      <w:lang w:val="es-ES" w:eastAsia="es-ES"/>
    </w:rPr>
  </w:style>
  <w:style w:type="paragraph" w:styleId="Asuntodelcomentario">
    <w:name w:val="annotation subject"/>
    <w:basedOn w:val="Textocomentario"/>
    <w:next w:val="Textocomentario"/>
    <w:link w:val="AsuntodelcomentarioCar"/>
    <w:semiHidden/>
    <w:unhideWhenUsed/>
    <w:rsid w:val="008074CF"/>
    <w:rPr>
      <w:b/>
      <w:bCs/>
    </w:rPr>
  </w:style>
  <w:style w:type="character" w:customStyle="1" w:styleId="AsuntodelcomentarioCar">
    <w:name w:val="Asunto del comentario Car"/>
    <w:basedOn w:val="TextocomentarioCar"/>
    <w:link w:val="Asuntodelcomentario"/>
    <w:semiHidden/>
    <w:rsid w:val="008074CF"/>
    <w:rPr>
      <w:b/>
      <w:bCs/>
      <w:lang w:val="es-ES" w:eastAsia="es-ES"/>
    </w:rPr>
  </w:style>
  <w:style w:type="character" w:customStyle="1" w:styleId="TextoindependienteCar">
    <w:name w:val="Texto independiente Car"/>
    <w:basedOn w:val="Fuentedeprrafopredeter"/>
    <w:link w:val="Textoindependiente"/>
    <w:rsid w:val="00CC21BA"/>
    <w:rPr>
      <w:rFonts w:ascii="Lucida Sans Unicode" w:hAnsi="Lucida Sans Unicode"/>
      <w:sz w:val="22"/>
      <w:lang w:val="es-ES_tradnl" w:eastAsia="es-ES"/>
    </w:rPr>
  </w:style>
  <w:style w:type="paragraph" w:styleId="NormalWeb">
    <w:name w:val="Normal (Web)"/>
    <w:basedOn w:val="Normal"/>
    <w:uiPriority w:val="99"/>
    <w:semiHidden/>
    <w:unhideWhenUsed/>
    <w:rsid w:val="00ED05FA"/>
    <w:pPr>
      <w:spacing w:before="100" w:beforeAutospacing="1" w:after="100" w:afterAutospacing="1"/>
    </w:pPr>
    <w:rPr>
      <w:sz w:val="24"/>
      <w:szCs w:val="24"/>
      <w:lang w:val="es-419" w:eastAsia="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87453">
      <w:bodyDiv w:val="1"/>
      <w:marLeft w:val="0"/>
      <w:marRight w:val="0"/>
      <w:marTop w:val="0"/>
      <w:marBottom w:val="0"/>
      <w:divBdr>
        <w:top w:val="none" w:sz="0" w:space="0" w:color="auto"/>
        <w:left w:val="none" w:sz="0" w:space="0" w:color="auto"/>
        <w:bottom w:val="none" w:sz="0" w:space="0" w:color="auto"/>
        <w:right w:val="none" w:sz="0" w:space="0" w:color="auto"/>
      </w:divBdr>
    </w:div>
    <w:div w:id="1126043486">
      <w:bodyDiv w:val="1"/>
      <w:marLeft w:val="0"/>
      <w:marRight w:val="0"/>
      <w:marTop w:val="0"/>
      <w:marBottom w:val="0"/>
      <w:divBdr>
        <w:top w:val="none" w:sz="0" w:space="0" w:color="auto"/>
        <w:left w:val="none" w:sz="0" w:space="0" w:color="auto"/>
        <w:bottom w:val="none" w:sz="0" w:space="0" w:color="auto"/>
        <w:right w:val="none" w:sz="0" w:space="0" w:color="auto"/>
      </w:divBdr>
    </w:div>
    <w:div w:id="1437870817">
      <w:bodyDiv w:val="1"/>
      <w:marLeft w:val="0"/>
      <w:marRight w:val="0"/>
      <w:marTop w:val="0"/>
      <w:marBottom w:val="0"/>
      <w:divBdr>
        <w:top w:val="none" w:sz="0" w:space="0" w:color="auto"/>
        <w:left w:val="none" w:sz="0" w:space="0" w:color="auto"/>
        <w:bottom w:val="none" w:sz="0" w:space="0" w:color="auto"/>
        <w:right w:val="none" w:sz="0" w:space="0" w:color="auto"/>
      </w:divBdr>
    </w:div>
    <w:div w:id="1826430342">
      <w:bodyDiv w:val="1"/>
      <w:marLeft w:val="0"/>
      <w:marRight w:val="0"/>
      <w:marTop w:val="0"/>
      <w:marBottom w:val="0"/>
      <w:divBdr>
        <w:top w:val="none" w:sz="0" w:space="0" w:color="auto"/>
        <w:left w:val="none" w:sz="0" w:space="0" w:color="auto"/>
        <w:bottom w:val="none" w:sz="0" w:space="0" w:color="auto"/>
        <w:right w:val="none" w:sz="0" w:space="0" w:color="auto"/>
      </w:divBdr>
    </w:div>
    <w:div w:id="1830562471">
      <w:bodyDiv w:val="1"/>
      <w:marLeft w:val="0"/>
      <w:marRight w:val="0"/>
      <w:marTop w:val="0"/>
      <w:marBottom w:val="0"/>
      <w:divBdr>
        <w:top w:val="none" w:sz="0" w:space="0" w:color="auto"/>
        <w:left w:val="none" w:sz="0" w:space="0" w:color="auto"/>
        <w:bottom w:val="none" w:sz="0" w:space="0" w:color="auto"/>
        <w:right w:val="none" w:sz="0" w:space="0" w:color="auto"/>
      </w:divBdr>
    </w:div>
    <w:div w:id="196368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ub.uy/agencia-reguladora-compras-estatales/comunicacion/publicaciones/ofertar-line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ortal.ute.com.uy/proveedores/informacion/documentos-de-licitaciones-y-compras" TargetMode="External"/><Relationship Id="rId4" Type="http://schemas.openxmlformats.org/officeDocument/2006/relationships/settings" Target="settings.xml"/><Relationship Id="rId9" Type="http://schemas.openxmlformats.org/officeDocument/2006/relationships/hyperlink" Target="http://www.ute.com.uy"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8AE58-F5D3-48C9-BC5B-2E1201473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947</Words>
  <Characters>5704</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INDICE GENERAL</vt:lpstr>
    </vt:vector>
  </TitlesOfParts>
  <Company>UTE</Company>
  <LinksUpToDate>false</LinksUpToDate>
  <CharactersWithSpaces>6638</CharactersWithSpaces>
  <SharedDoc>false</SharedDoc>
  <HLinks>
    <vt:vector size="6" baseType="variant">
      <vt:variant>
        <vt:i4>8060964</vt:i4>
      </vt:variant>
      <vt:variant>
        <vt:i4>0</vt:i4>
      </vt:variant>
      <vt:variant>
        <vt:i4>0</vt:i4>
      </vt:variant>
      <vt:variant>
        <vt:i4>5</vt:i4>
      </vt:variant>
      <vt:variant>
        <vt:lpwstr>https://portal.ute.com.uy/proveedores/informacion/documentos-de-licitaciones-y-compras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 GENERAL</dc:title>
  <dc:subject/>
  <dc:creator>UT535915</dc:creator>
  <cp:keywords/>
  <cp:lastModifiedBy>Nin Castro, Josefina</cp:lastModifiedBy>
  <cp:revision>8</cp:revision>
  <cp:lastPrinted>2023-02-14T14:02:00Z</cp:lastPrinted>
  <dcterms:created xsi:type="dcterms:W3CDTF">2024-01-17T15:05:00Z</dcterms:created>
  <dcterms:modified xsi:type="dcterms:W3CDTF">2025-06-03T14:38:00Z</dcterms:modified>
</cp:coreProperties>
</file>