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7.xml" ContentType="application/vnd.openxmlformats-officedocument.wordprocessingml.footer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VIVERES SECOS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</w:t>
      </w:r>
    </w:p>
    <w:p>
      <w:pPr>
        <w:pStyle w:val="Normal"/>
        <w:ind w:left="5132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PARA ALIMENTACION - HOSP. VILARDEBO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CONCURSO A PRECIOS Nº 221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</w:rPr>
        <w:t>02</w:t>
      </w:r>
      <w:r>
        <w:rPr>
          <w:rFonts w:cs="Calibri" w:ascii="Calibri" w:hAnsi="Calibri" w:asciiTheme="minorHAnsi" w:cstheme="minorHAnsi" w:hAnsiTheme="minorHAnsi"/>
        </w:rPr>
        <w:t>/0</w:t>
      </w:r>
      <w:r>
        <w:rPr>
          <w:rFonts w:cs="Calibri" w:ascii="Calibri" w:hAnsi="Calibri" w:asciiTheme="minorHAnsi" w:cstheme="minorHAnsi" w:hAnsiTheme="minorHAnsi"/>
        </w:rPr>
        <w:t>5</w:t>
      </w:r>
      <w:r>
        <w:rPr>
          <w:rFonts w:cs="Calibri" w:ascii="Calibri" w:hAnsi="Calibri" w:asciiTheme="minorHAnsi" w:cstheme="minorHAnsi" w:hAnsiTheme="minorHAnsi"/>
        </w:rPr>
        <w:t>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Víveres Secos,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III,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b),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Departamento de Alimentación del Hospital Vilardebó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08:00 a 12:30 hrs</w:t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1697990</wp:posOffset>
                </wp:positionH>
                <wp:positionV relativeFrom="paragraph">
                  <wp:posOffset>391160</wp:posOffset>
                </wp:positionV>
                <wp:extent cx="31750" cy="3175"/>
                <wp:effectExtent l="0" t="0" r="0" b="0"/>
                <wp:wrapNone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0.8pt" to="136.1pt,30.85pt" ID="Imagen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Concurso a Precios 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2 (dos) meses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contar desde la fecha  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de Alimentación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30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0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plazo de dos días hábiles. No serán consideradas las ofertas que vencido dicho plazo no hubieran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Ttulo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8.1-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2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ListParagraph"/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DECLARACION JURADA ART. 46 CON TIMBRE PROFESIONAL VALOR $U240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C3%25252593N_DE_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9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37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39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252525C3%25252593N_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Cuerpodetexto"/>
        <w:jc w:val="center"/>
        <w:rPr/>
      </w:pPr>
      <w:r>
        <w:rPr>
          <w:rFonts w:ascii="Verdana" w:hAnsi="Verdana"/>
          <w:b/>
          <w:sz w:val="20"/>
          <w:szCs w:val="20"/>
          <w:u w:val="single"/>
        </w:rPr>
        <w:t>SOLICITUD DE VIVERES SECOS BIMESTRE MAYO-JUNIO</w:t>
      </w:r>
    </w:p>
    <w:p>
      <w:pPr>
        <w:pStyle w:val="Cuerpodetexto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Cuerpodetexto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tbl>
      <w:tblPr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899"/>
        <w:gridCol w:w="1960"/>
        <w:gridCol w:w="3220"/>
        <w:gridCol w:w="1213"/>
        <w:gridCol w:w="1497"/>
      </w:tblGrid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Descripción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Especificaciones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Cantidad BIMENSUAL Hasta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Unidad de compra (cotizar por..)</w:t>
            </w:r>
          </w:p>
        </w:tc>
      </w:tr>
      <w:tr>
        <w:trPr>
          <w:trHeight w:val="300" w:hRule="exac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ACEITUNA VERDE SIN CAROZO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ADOBO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AJO Y PEREJIL DESHIDRATADO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 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12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 xml:space="preserve">ANANÁ EN ALMÍBAR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EN LATA DE 3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LATAS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AVENA LAMINADA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DE 3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AZÚCAR IMPALPABLE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BOLSA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12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CACAO EN POLVO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DE 1 KG APROBADO POR ADU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CAFE DE MALTA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CANELA EN POLVO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BOLSA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CHAMPIÑONES LAMINADOS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 LATA X 3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LATAS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CIRUELAS PASA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 1 KG SIN CAROZO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COCO RALLADO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12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COCOA VAINILLADA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300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 xml:space="preserve">COLORANTE ALIMENTARIO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DE 1 LITRO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LITROS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COMINO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CONDIMENTO AMARILLO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DE 1 KG POLVO TIPO CURRY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DULCE DE LECHE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BALDE X 5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BALDES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DULCE DE BATATA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ENVASE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DURAZNOS EN ALMÍBAR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 LATAS DE 800 GRS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LATAS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DURAZNOS EN ALMÍBAR DIETÉTICOS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 LATAS APROBADO POR ADU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LATAS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FIDEOS DE ARROZ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EN 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FLAN DIETÉTICO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CAJA X8 PORCIÓN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CAJAS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GALLETAS DE ARROZ CON SAL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400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 xml:space="preserve">GALLETAS AL AGUA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 (CON SAL)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GALLETAS SIN SAL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CAJA DE 3,5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CAJAS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GARBANZOS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480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12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GELATINA COMUN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200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12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GELATINA DIETETICA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576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</w:t>
            </w:r>
          </w:p>
        </w:tc>
      </w:tr>
      <w:tr>
        <w:trPr>
          <w:trHeight w:val="12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29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LENTEJAS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480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LEVADURA SECA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 DE 500 GR.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PAQUETES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MAÍZ EN GRANO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LATAS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LATAS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MAYONESA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SACHET DE 500 GR.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SACHET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MERMELADA DE DURAZNO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3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MERMELADA DE FRUTILLAS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BALDE DE 3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BALDES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MERMELADA DIETETICA DURAZNO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BLISTER DIETETICA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BLISTER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NUEZ MOSCADA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 POLVO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OREGANO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PASAS DE UVA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PIMENTON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PIZETAS CELIACOS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UNIDAD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UNIDADES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POLVO DE HORNEAR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POROTO DE FRUTILLA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POROTO DE MANTECA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POROTO NEGRO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PURÉ DE PAPAS INSTANTÁNEO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2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SAL FINA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PAQUETE DE 500 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PAQUETES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SALSA MOSTAZA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BOLSA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SALSA DE SOJA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1 LITRO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LITROS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SALSA DE TOMATE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DE 1 KG TIPO KETCHUP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STEVIA GRANULADO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FRASCO DE 1 KG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KILOS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STEVIA INDIVIDUAL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SOBRES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SOBRES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TE DE SOBRE COMUN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CAJA DE 100 UNIDADES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CAJAS</w:t>
            </w:r>
          </w:p>
        </w:tc>
      </w:tr>
      <w:tr>
        <w:trPr>
          <w:trHeight w:val="9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VAINILLA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ENVASE 1 LT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LITROS</w:t>
            </w:r>
          </w:p>
        </w:tc>
      </w:tr>
    </w:tbl>
    <w:p>
      <w:pPr>
        <w:pStyle w:val="Cuerpodetexto"/>
        <w:jc w:val="center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Cuerpodetexto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Cuerpodetexto"/>
        <w:jc w:val="center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Cuerpodetexto"/>
        <w:jc w:val="center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tbl>
      <w:tblPr>
        <w:tblW w:w="840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98"/>
        <w:gridCol w:w="2501"/>
        <w:gridCol w:w="2500"/>
        <w:gridCol w:w="1200"/>
        <w:gridCol w:w="1"/>
        <w:gridCol w:w="1201"/>
      </w:tblGrid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  <w:t>INFORMACIÓN OBLIGATORIA EN EL ROTULADO:</w:t>
            </w:r>
          </w:p>
        </w:tc>
      </w:tr>
      <w:tr>
        <w:trPr>
          <w:trHeight w:val="300" w:hRule="atLeast"/>
        </w:trPr>
        <w:tc>
          <w:tcPr>
            <w:tcW w:w="9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Denominación de venta del alimento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Lista de ingredientes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Contenidos neto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Identificador del origen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Nombre o razón social y dirección del importador, para alimentos importados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Identificación del lote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Fecha de duración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Preparación e instrucciones de uso (cuando corresponda)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* Rotulado nutricional</w:t>
            </w:r>
          </w:p>
        </w:tc>
      </w:tr>
      <w:tr>
        <w:trPr>
          <w:trHeight w:val="300" w:hRule="atLeast"/>
        </w:trPr>
        <w:tc>
          <w:tcPr>
            <w:tcW w:w="9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2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  <w:t>CONDICIONES DE LOS ENVASES</w:t>
            </w:r>
          </w:p>
        </w:tc>
      </w:tr>
      <w:tr>
        <w:trPr>
          <w:trHeight w:val="300" w:hRule="atLeast"/>
        </w:trPr>
        <w:tc>
          <w:tcPr>
            <w:tcW w:w="9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Sin roturas, ni abolladuras (si están presentes rechazar el envase identificado)</w:t>
            </w:r>
          </w:p>
        </w:tc>
      </w:tr>
      <w:tr>
        <w:trPr>
          <w:trHeight w:val="300" w:hRule="atLeast"/>
        </w:trPr>
        <w:tc>
          <w:tcPr>
            <w:tcW w:w="9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2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20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  <w:t>PRODUCTOS ENLATADOS</w:t>
            </w:r>
          </w:p>
        </w:tc>
        <w:tc>
          <w:tcPr>
            <w:tcW w:w="12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9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2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Se rechazarán en caso de que las mismas se encuentren oxidadas, abolladas, agujereadas</w:t>
            </w:r>
          </w:p>
        </w:tc>
      </w:tr>
      <w:tr>
        <w:trPr>
          <w:trHeight w:val="300" w:hRule="atLeast"/>
        </w:trPr>
        <w:tc>
          <w:tcPr>
            <w:tcW w:w="840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lang w:eastAsia="es-ES"/>
              </w:rPr>
              <w:t>Las latas no deberán estar manchadas por la salida del producto y aumento de tamaño</w:t>
            </w:r>
          </w:p>
        </w:tc>
      </w:tr>
    </w:tbl>
    <w:p>
      <w:pPr>
        <w:pStyle w:val="Normal"/>
        <w:widowControl/>
        <w:numPr>
          <w:ilvl w:val="0"/>
          <w:numId w:val="11"/>
        </w:numPr>
        <w:suppressAutoHyphens w:val="true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numPr>
          <w:ilvl w:val="0"/>
          <w:numId w:val="11"/>
        </w:numPr>
        <w:suppressAutoHyphens w:val="true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numPr>
          <w:ilvl w:val="0"/>
          <w:numId w:val="11"/>
        </w:numPr>
        <w:suppressAutoHyphens w:val="true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75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494"/>
        <w:gridCol w:w="1492"/>
        <w:gridCol w:w="1492"/>
        <w:gridCol w:w="1491"/>
        <w:gridCol w:w="1491"/>
        <w:gridCol w:w="59"/>
      </w:tblGrid>
      <w:tr>
        <w:trPr>
          <w:trHeight w:val="1290" w:hRule="atLeast"/>
        </w:trPr>
        <w:tc>
          <w:tcPr>
            <w:tcW w:w="7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  <w:t>TRANSPORTE: se realizará en vehículos habilitados y registrados por las Oficinas Bromatológicas competentes que aseguren las condiciones de higiene y conservación, de acuerdo a lo establecido en el Reglamento Bromatológico Nacional Decreto 315/994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cs="Calibri" w:ascii="Calibri" w:hAnsi="Calibri"/>
                <w:color w:val="000000"/>
                <w:lang w:eastAsia="es-ES"/>
              </w:rPr>
            </w:r>
          </w:p>
        </w:tc>
        <w:tc>
          <w:tcPr>
            <w:tcW w:w="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</w:r>
          </w:p>
        </w:tc>
      </w:tr>
      <w:tr>
        <w:trPr>
          <w:trHeight w:val="960" w:hRule="atLeast"/>
        </w:trPr>
        <w:tc>
          <w:tcPr>
            <w:tcW w:w="7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lang w:eastAsia="es-ES"/>
              </w:rPr>
              <w:t>CONDICIONES DE VESTIMENTA E HIGIENE DE LOS RESPONSABLES DE LA ENTREGA: uniforme apropiado y limpio, de acuerdo a lo establecido en el Reglamento Bromatológico Nacional Decreto 315/99</w:t>
            </w:r>
          </w:p>
        </w:tc>
      </w:tr>
    </w:tbl>
    <w:p>
      <w:pPr>
        <w:pStyle w:val="Ttulo1"/>
        <w:numPr>
          <w:ilvl w:val="0"/>
          <w:numId w:val="10"/>
        </w:numPr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tulo1"/>
        <w:numPr>
          <w:ilvl w:val="0"/>
          <w:numId w:val="10"/>
        </w:numPr>
        <w:jc w:val="center"/>
        <w:rPr/>
      </w:pPr>
      <w:r>
        <w:rPr/>
      </w:r>
    </w:p>
    <w:p>
      <w:pPr>
        <w:pStyle w:val="Ttulo1"/>
        <w:numPr>
          <w:ilvl w:val="0"/>
          <w:numId w:val="10"/>
        </w:numPr>
        <w:jc w:val="center"/>
        <w:rPr/>
      </w:pPr>
      <w:r>
        <w:rPr>
          <w:rFonts w:cs="Verdana" w:ascii="Verdana" w:hAnsi="Verdana"/>
          <w:sz w:val="20"/>
          <w:szCs w:val="20"/>
        </w:rPr>
        <w:t>MOTIVO DE RECHAZO:</w:t>
      </w:r>
    </w:p>
    <w:p>
      <w:pPr>
        <w:pStyle w:val="Cuerpodetexto"/>
        <w:rPr/>
      </w:pPr>
      <w:r>
        <w:rPr>
          <w:rFonts w:cs="Verdana" w:ascii="Verdana" w:hAnsi="Verdana"/>
          <w:b/>
          <w:bCs/>
          <w:sz w:val="20"/>
          <w:szCs w:val="20"/>
        </w:rPr>
        <w:t>Pollo</w:t>
      </w:r>
      <w:r>
        <w:rPr>
          <w:rFonts w:cs="Verdana" w:ascii="Verdana" w:hAnsi="Verdana"/>
          <w:sz w:val="20"/>
          <w:szCs w:val="20"/>
        </w:rPr>
        <w:t xml:space="preserve"> : En el momento de la recepción este debe tener una temperatura interna igual o inferior a 4o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C y superior a 0o C. No signo de congelado. Manchas de color rojo y/o hematomas. Putrefacción in-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terna o externa, contaminación por hongos, envejecimiento o enrancia miento, quemaduras por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frio.</w:t>
      </w:r>
    </w:p>
    <w:p>
      <w:pPr>
        <w:pStyle w:val="Cuerpodetexto"/>
        <w:rPr/>
      </w:pPr>
      <w:r>
        <w:rPr>
          <w:rFonts w:cs="Verdana" w:ascii="Verdana" w:hAnsi="Verdana"/>
          <w:b/>
          <w:bCs/>
          <w:sz w:val="20"/>
          <w:szCs w:val="20"/>
        </w:rPr>
        <w:t>Pescado:</w:t>
      </w:r>
      <w:r>
        <w:rPr>
          <w:rFonts w:cs="Verdana" w:ascii="Verdana" w:hAnsi="Verdana"/>
          <w:sz w:val="20"/>
          <w:szCs w:val="20"/>
        </w:rPr>
        <w:t xml:space="preserve"> En el momento de la recepción este debe tener una temperatura interna igual o inferior a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4o C y superior a 0o C. No signo de congelado. En cuanto a la apariencia debe estar exento de toda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evidencia de descomposición, manchas, coloración distinta de la normal de la especie considerada,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ni rupturas en los filetes, debe presentar color y olor fresco característico de la especie.</w:t>
      </w:r>
    </w:p>
    <w:p>
      <w:pPr>
        <w:pStyle w:val="Cuerpodetexto"/>
        <w:rPr/>
      </w:pPr>
      <w:r>
        <w:rPr>
          <w:rFonts w:cs="Verdana" w:ascii="Verdana" w:hAnsi="Verdana"/>
          <w:b/>
          <w:bCs/>
          <w:sz w:val="20"/>
          <w:szCs w:val="20"/>
        </w:rPr>
        <w:t>Cerdo:</w:t>
      </w:r>
      <w:r>
        <w:rPr>
          <w:rFonts w:cs="Verdana" w:ascii="Verdana" w:hAnsi="Verdana"/>
          <w:sz w:val="20"/>
          <w:szCs w:val="20"/>
        </w:rPr>
        <w:t xml:space="preserve"> En el momento de la recepción este debe tener una temperatura interna igual o inferior a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4o C y superior a 0o C. No signo de congelado. En cuanto a la apariencia debe estar exento de toda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evidencia de descomposición, manchas, coloración distinta de la normal.</w:t>
      </w:r>
    </w:p>
    <w:p>
      <w:pPr>
        <w:pStyle w:val="Cuerpodetexto"/>
        <w:rPr/>
      </w:pPr>
      <w:r>
        <w:rPr>
          <w:rFonts w:cs="Verdana" w:ascii="Verdana" w:hAnsi="Verdana"/>
          <w:b/>
          <w:bCs/>
          <w:sz w:val="20"/>
          <w:szCs w:val="20"/>
        </w:rPr>
        <w:t>Vacuno:</w:t>
      </w:r>
      <w:r>
        <w:rPr>
          <w:rFonts w:cs="Verdana" w:ascii="Verdana" w:hAnsi="Verdana"/>
          <w:sz w:val="20"/>
          <w:szCs w:val="20"/>
        </w:rPr>
        <w:t xml:space="preserve"> En el momento de la recepción este debe tener una temperatura interna igual o inferior a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4o C y superior a 0o C. No signo de congelado. En cuanto a la apariencia debe estar exento de toda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evidencia de descomposición, manchas, coloración distinta de la normal.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TRANSPORTE: Acondicionado como transporte isotérmico o transporte refrigerado para mantener</w:t>
      </w:r>
    </w:p>
    <w:p>
      <w:pPr>
        <w:pStyle w:val="Cuerpodetexto"/>
        <w:rPr/>
      </w:pPr>
      <w:r>
        <w:rPr>
          <w:rFonts w:cs="Verdana" w:ascii="Verdana" w:hAnsi="Verdana"/>
          <w:sz w:val="20"/>
          <w:szCs w:val="20"/>
        </w:rPr>
        <w:t>la característica de los alimentos y la cadena de frío.</w:t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0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1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2781300</wp:posOffset>
                </wp:positionH>
                <wp:positionV relativeFrom="paragraph">
                  <wp:posOffset>811530</wp:posOffset>
                </wp:positionV>
                <wp:extent cx="33020" cy="3175"/>
                <wp:effectExtent l="0" t="0" r="0" b="0"/>
                <wp:wrapNone/>
                <wp:docPr id="6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9pt" to="221.5pt,63.95pt" ID="Imagen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2364740</wp:posOffset>
                </wp:positionH>
                <wp:positionV relativeFrom="paragraph">
                  <wp:posOffset>985520</wp:posOffset>
                </wp:positionV>
                <wp:extent cx="31115" cy="3175"/>
                <wp:effectExtent l="0" t="0" r="0" b="0"/>
                <wp:wrapNone/>
                <wp:docPr id="7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6pt" to="188.55pt,77.65pt" ID="Imagen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1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43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3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44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44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1262380</wp:posOffset>
                </wp:positionH>
                <wp:positionV relativeFrom="paragraph">
                  <wp:posOffset>140970</wp:posOffset>
                </wp:positionV>
                <wp:extent cx="5511165" cy="3175"/>
                <wp:effectExtent l="0" t="0" r="0" b="0"/>
                <wp:wrapTopAndBottom/>
                <wp:docPr id="8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52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.05pt" to="533.25pt,11.1pt" ID="Imagen6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2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0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122035" cy="3175"/>
                <wp:effectExtent l="0" t="0" r="0" b="0"/>
                <wp:wrapTopAndBottom/>
                <wp:docPr id="9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5pt" to="538.65pt,16.55pt" ID="Imagen7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>
          <w:rFonts w:cs="Calibri" w:ascii="Calibri" w:hAnsi="Calibri" w:asciiTheme="minorHAnsi" w:cstheme="minorHAnsi" w:hAnsiTheme="minorHAnsi"/>
          <w:position w:val="22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sectPr>
      <w:footerReference w:type="default" r:id="rId30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0505" cy="19621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Ttulo1Car" w:customStyle="1">
    <w:name w:val="Título 1 Car"/>
    <w:basedOn w:val="DefaultParagraphFont"/>
    <w:link w:val="Ttulo1"/>
    <w:qFormat/>
    <w:rsid w:val="00d90bb1"/>
    <w:rPr>
      <w:rFonts w:ascii="Times New Roman" w:hAnsi="Times New Roman" w:eastAsia="Times New Roman" w:cs="Times New Roman"/>
      <w:b/>
      <w:bCs/>
      <w:kern w:val="2"/>
      <w:sz w:val="48"/>
      <w:szCs w:val="48"/>
      <w:lang w:val="es-ES" w:eastAsia="zh-CN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rFonts w:ascii="Calibri" w:hAnsi="Calibri" w:cs="Calibri" w:asciiTheme="minorHAnsi" w:cstheme="minorHAnsi" w:hAnsiTheme="minorHAnsi"/>
    </w:rPr>
  </w:style>
  <w:style w:type="character" w:styleId="ListLabel129">
    <w:name w:val="ListLabel 12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0">
    <w:name w:val="ListLabel 130"/>
    <w:qFormat/>
    <w:rPr>
      <w:rFonts w:ascii="Calibri" w:hAnsi="Calibri" w:cs="Calibri" w:asciiTheme="minorHAnsi" w:cstheme="minorHAnsi" w:hAnsiTheme="minorHAnsi"/>
    </w:rPr>
  </w:style>
  <w:style w:type="character" w:styleId="ListLabel131">
    <w:name w:val="ListLabel 13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2">
    <w:name w:val="ListLabel 13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3">
    <w:name w:val="ListLabel 13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37">
    <w:name w:val="ListLabel 1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38">
    <w:name w:val="ListLabel 138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39">
    <w:name w:val="ListLabel 139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3">
    <w:name w:val="ListLabel 14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44">
    <w:name w:val="ListLabel 144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45">
    <w:name w:val="ListLabel 14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46">
    <w:name w:val="ListLabel 14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47">
    <w:name w:val="ListLabel 147"/>
    <w:qFormat/>
    <w:rPr>
      <w:rFonts w:cs="Symbol"/>
      <w:lang w:val="es-ES" w:eastAsia="en-US" w:bidi="ar-SA"/>
    </w:rPr>
  </w:style>
  <w:style w:type="character" w:styleId="ListLabel148">
    <w:name w:val="ListLabel 148"/>
    <w:qFormat/>
    <w:rPr>
      <w:rFonts w:cs="Symbol"/>
      <w:lang w:val="es-ES" w:eastAsia="en-US" w:bidi="ar-SA"/>
    </w:rPr>
  </w:style>
  <w:style w:type="character" w:styleId="ListLabel149">
    <w:name w:val="ListLabel 149"/>
    <w:qFormat/>
    <w:rPr>
      <w:rFonts w:cs="Symbol"/>
      <w:lang w:val="es-ES" w:eastAsia="en-US" w:bidi="ar-SA"/>
    </w:rPr>
  </w:style>
  <w:style w:type="character" w:styleId="ListLabel150">
    <w:name w:val="ListLabel 150"/>
    <w:qFormat/>
    <w:rPr>
      <w:rFonts w:cs="Symbol"/>
      <w:lang w:val="es-ES" w:eastAsia="en-US" w:bidi="ar-SA"/>
    </w:rPr>
  </w:style>
  <w:style w:type="character" w:styleId="ListLabel151">
    <w:name w:val="ListLabel 151"/>
    <w:qFormat/>
    <w:rPr>
      <w:rFonts w:cs="Symbol"/>
      <w:lang w:val="es-ES" w:eastAsia="en-US" w:bidi="ar-SA"/>
    </w:rPr>
  </w:style>
  <w:style w:type="character" w:styleId="ListLabel152">
    <w:name w:val="ListLabel 152"/>
    <w:qFormat/>
    <w:rPr>
      <w:rFonts w:cs="Symbol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55">
    <w:name w:val="ListLabel 155"/>
    <w:qFormat/>
    <w:rPr>
      <w:rFonts w:cs="Symbol"/>
      <w:lang w:val="es-ES" w:eastAsia="en-US" w:bidi="ar-SA"/>
    </w:rPr>
  </w:style>
  <w:style w:type="character" w:styleId="ListLabel156">
    <w:name w:val="ListLabel 156"/>
    <w:qFormat/>
    <w:rPr>
      <w:rFonts w:cs="Symbol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cs="Symbol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64">
    <w:name w:val="ListLabel 164"/>
    <w:qFormat/>
    <w:rPr>
      <w:rFonts w:cs="Symbol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73">
    <w:name w:val="ListLabel 173"/>
    <w:qFormat/>
    <w:rPr>
      <w:rFonts w:cs="Symbol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82">
    <w:name w:val="ListLabel 182"/>
    <w:qFormat/>
    <w:rPr>
      <w:rFonts w:cs="Symbol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1">
    <w:name w:val="ListLabel 191"/>
    <w:qFormat/>
    <w:rPr>
      <w:rFonts w:ascii="Calibri" w:hAnsi="Calibri"/>
      <w:b/>
      <w:bCs/>
      <w:w w:val="100"/>
      <w:lang w:val="es-ES" w:eastAsia="en-US" w:bidi="ar-SA"/>
    </w:rPr>
  </w:style>
  <w:style w:type="character" w:styleId="ListLabel192">
    <w:name w:val="ListLabel 192"/>
    <w:qFormat/>
    <w:rPr>
      <w:rFonts w:cs="Symbol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0">
    <w:name w:val="ListLabel 200"/>
    <w:qFormat/>
    <w:rPr>
      <w:rFonts w:cs="Symbol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0">
    <w:name w:val="ListLabel 210"/>
    <w:qFormat/>
    <w:rPr>
      <w:rFonts w:cs="Symbol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ascii="Calibri" w:hAnsi="Calibri"/>
      <w:b/>
      <w:sz w:val="22"/>
      <w:u w:val="single"/>
    </w:rPr>
  </w:style>
  <w:style w:type="character" w:styleId="ListLabel218">
    <w:name w:val="ListLabel 218"/>
    <w:qFormat/>
    <w:rPr>
      <w:rFonts w:ascii="Calibri" w:hAnsi="Calibri" w:cs="Calibri" w:asciiTheme="minorHAnsi" w:cstheme="minorHAnsi" w:hAnsiTheme="minorHAnsi"/>
    </w:rPr>
  </w:style>
  <w:style w:type="character" w:styleId="ListLabel219">
    <w:name w:val="ListLabel 21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20">
    <w:name w:val="ListLabel 220"/>
    <w:qFormat/>
    <w:rPr>
      <w:rFonts w:ascii="Calibri" w:hAnsi="Calibri" w:cs="Calibri" w:asciiTheme="minorHAnsi" w:cstheme="minorHAnsi" w:hAnsiTheme="minorHAnsi"/>
    </w:rPr>
  </w:style>
  <w:style w:type="character" w:styleId="ListLabel221">
    <w:name w:val="ListLabel 22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22">
    <w:name w:val="ListLabel 22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23">
    <w:name w:val="ListLabel 22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24">
    <w:name w:val="ListLabel 22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25">
    <w:name w:val="ListLabel 22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26">
    <w:name w:val="ListLabel 22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27">
    <w:name w:val="ListLabel 22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28">
    <w:name w:val="ListLabel 22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29">
    <w:name w:val="ListLabel 22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0">
    <w:name w:val="ListLabel 23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31">
    <w:name w:val="ListLabel 2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2">
    <w:name w:val="ListLabel 23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33">
    <w:name w:val="ListLabel 23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34">
    <w:name w:val="ListLabel 23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35">
    <w:name w:val="ListLabel 23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36">
    <w:name w:val="ListLabel 23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37">
    <w:name w:val="ListLabel 237"/>
    <w:qFormat/>
    <w:rPr>
      <w:rFonts w:cs="Symbol"/>
      <w:lang w:val="es-ES" w:eastAsia="en-US" w:bidi="ar-SA"/>
    </w:rPr>
  </w:style>
  <w:style w:type="character" w:styleId="ListLabel238">
    <w:name w:val="ListLabel 238"/>
    <w:qFormat/>
    <w:rPr>
      <w:rFonts w:cs="Symbol"/>
      <w:lang w:val="es-ES" w:eastAsia="en-US" w:bidi="ar-SA"/>
    </w:rPr>
  </w:style>
  <w:style w:type="character" w:styleId="ListLabel239">
    <w:name w:val="ListLabel 239"/>
    <w:qFormat/>
    <w:rPr>
      <w:rFonts w:cs="Symbol"/>
      <w:lang w:val="es-ES" w:eastAsia="en-US" w:bidi="ar-SA"/>
    </w:rPr>
  </w:style>
  <w:style w:type="character" w:styleId="ListLabel240">
    <w:name w:val="ListLabel 240"/>
    <w:qFormat/>
    <w:rPr>
      <w:rFonts w:cs="Symbol"/>
      <w:lang w:val="es-ES" w:eastAsia="en-US" w:bidi="ar-SA"/>
    </w:rPr>
  </w:style>
  <w:style w:type="character" w:styleId="ListLabel241">
    <w:name w:val="ListLabel 241"/>
    <w:qFormat/>
    <w:rPr>
      <w:rFonts w:cs="Symbol"/>
      <w:lang w:val="es-ES" w:eastAsia="en-US" w:bidi="ar-SA"/>
    </w:rPr>
  </w:style>
  <w:style w:type="character" w:styleId="ListLabel242">
    <w:name w:val="ListLabel 242"/>
    <w:qFormat/>
    <w:rPr>
      <w:rFonts w:cs="Symbol"/>
      <w:lang w:val="es-ES" w:eastAsia="en-US" w:bidi="ar-SA"/>
    </w:rPr>
  </w:style>
  <w:style w:type="character" w:styleId="ListLabel243">
    <w:name w:val="ListLabel 243"/>
    <w:qFormat/>
    <w:rPr>
      <w:rFonts w:cs="Symbol"/>
      <w:lang w:val="es-ES" w:eastAsia="en-US" w:bidi="ar-SA"/>
    </w:rPr>
  </w:style>
  <w:style w:type="character" w:styleId="ListLabel244">
    <w:name w:val="ListLabel 244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245">
    <w:name w:val="ListLabel 245"/>
    <w:qFormat/>
    <w:rPr>
      <w:rFonts w:cs="Symbol"/>
      <w:lang w:val="es-ES" w:eastAsia="en-US" w:bidi="ar-SA"/>
    </w:rPr>
  </w:style>
  <w:style w:type="character" w:styleId="ListLabel246">
    <w:name w:val="ListLabel 246"/>
    <w:qFormat/>
    <w:rPr>
      <w:rFonts w:cs="Symbol"/>
      <w:lang w:val="es-ES" w:eastAsia="en-US" w:bidi="ar-SA"/>
    </w:rPr>
  </w:style>
  <w:style w:type="character" w:styleId="ListLabel247">
    <w:name w:val="ListLabel 247"/>
    <w:qFormat/>
    <w:rPr>
      <w:rFonts w:cs="Symbol"/>
      <w:lang w:val="es-ES" w:eastAsia="en-US" w:bidi="ar-SA"/>
    </w:rPr>
  </w:style>
  <w:style w:type="character" w:styleId="ListLabel248">
    <w:name w:val="ListLabel 248"/>
    <w:qFormat/>
    <w:rPr>
      <w:rFonts w:cs="Symbol"/>
      <w:lang w:val="es-ES" w:eastAsia="en-US" w:bidi="ar-SA"/>
    </w:rPr>
  </w:style>
  <w:style w:type="character" w:styleId="ListLabel249">
    <w:name w:val="ListLabel 249"/>
    <w:qFormat/>
    <w:rPr>
      <w:rFonts w:cs="Symbol"/>
      <w:lang w:val="es-ES" w:eastAsia="en-US" w:bidi="ar-SA"/>
    </w:rPr>
  </w:style>
  <w:style w:type="character" w:styleId="ListLabel250">
    <w:name w:val="ListLabel 250"/>
    <w:qFormat/>
    <w:rPr>
      <w:rFonts w:cs="Symbol"/>
      <w:lang w:val="es-ES" w:eastAsia="en-US" w:bidi="ar-SA"/>
    </w:rPr>
  </w:style>
  <w:style w:type="character" w:styleId="ListLabel251">
    <w:name w:val="ListLabel 251"/>
    <w:qFormat/>
    <w:rPr>
      <w:rFonts w:cs="Symbol"/>
      <w:lang w:val="es-ES" w:eastAsia="en-US" w:bidi="ar-SA"/>
    </w:rPr>
  </w:style>
  <w:style w:type="character" w:styleId="ListLabel252">
    <w:name w:val="ListLabel 252"/>
    <w:qFormat/>
    <w:rPr>
      <w:rFonts w:cs="Symbol"/>
      <w:lang w:val="es-ES" w:eastAsia="en-US" w:bidi="ar-SA"/>
    </w:rPr>
  </w:style>
  <w:style w:type="character" w:styleId="ListLabel253">
    <w:name w:val="ListLabel 25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54">
    <w:name w:val="ListLabel 254"/>
    <w:qFormat/>
    <w:rPr>
      <w:rFonts w:cs="Symbol"/>
      <w:lang w:val="es-ES" w:eastAsia="en-US" w:bidi="ar-SA"/>
    </w:rPr>
  </w:style>
  <w:style w:type="character" w:styleId="ListLabel255">
    <w:name w:val="ListLabel 255"/>
    <w:qFormat/>
    <w:rPr>
      <w:rFonts w:cs="Symbol"/>
      <w:lang w:val="es-ES" w:eastAsia="en-US" w:bidi="ar-SA"/>
    </w:rPr>
  </w:style>
  <w:style w:type="character" w:styleId="ListLabel256">
    <w:name w:val="ListLabel 256"/>
    <w:qFormat/>
    <w:rPr>
      <w:rFonts w:cs="Symbol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cs="Symbol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cs="Symbol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81">
    <w:name w:val="ListLabel 281"/>
    <w:qFormat/>
    <w:rPr>
      <w:rFonts w:ascii="Calibri" w:hAnsi="Calibri"/>
      <w:b/>
      <w:bCs/>
      <w:w w:val="100"/>
      <w:lang w:val="es-ES" w:eastAsia="en-US" w:bidi="ar-SA"/>
    </w:rPr>
  </w:style>
  <w:style w:type="character" w:styleId="ListLabel282">
    <w:name w:val="ListLabel 282"/>
    <w:qFormat/>
    <w:rPr>
      <w:rFonts w:cs="Symbol"/>
      <w:lang w:val="es-ES" w:eastAsia="en-US" w:bidi="ar-SA"/>
    </w:rPr>
  </w:style>
  <w:style w:type="character" w:styleId="ListLabel283">
    <w:name w:val="ListLabel 283"/>
    <w:qFormat/>
    <w:rPr>
      <w:rFonts w:cs="Symbol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0">
    <w:name w:val="ListLabel 290"/>
    <w:qFormat/>
    <w:rPr>
      <w:rFonts w:cs="Symbol"/>
      <w:lang w:val="es-ES" w:eastAsia="en-US" w:bidi="ar-SA"/>
    </w:rPr>
  </w:style>
  <w:style w:type="character" w:styleId="ListLabel291">
    <w:name w:val="ListLabel 291"/>
    <w:qFormat/>
    <w:rPr>
      <w:rFonts w:cs="Symbol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99">
    <w:name w:val="ListLabel 29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0">
    <w:name w:val="ListLabel 300"/>
    <w:qFormat/>
    <w:rPr>
      <w:rFonts w:cs="Symbol"/>
      <w:lang w:val="es-ES" w:eastAsia="en-US" w:bidi="ar-SA"/>
    </w:rPr>
  </w:style>
  <w:style w:type="character" w:styleId="ListLabel301">
    <w:name w:val="ListLabel 301"/>
    <w:qFormat/>
    <w:rPr>
      <w:rFonts w:cs="Symbol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ascii="Calibri" w:hAnsi="Calibri"/>
      <w:b/>
      <w:sz w:val="22"/>
      <w:u w:val="single"/>
    </w:rPr>
  </w:style>
  <w:style w:type="character" w:styleId="ListLabel308">
    <w:name w:val="ListLabel 308"/>
    <w:qFormat/>
    <w:rPr>
      <w:rFonts w:ascii="Calibri" w:hAnsi="Calibri" w:cs="Calibri" w:asciiTheme="minorHAnsi" w:cstheme="minorHAnsi" w:hAnsiTheme="minorHAnsi"/>
    </w:rPr>
  </w:style>
  <w:style w:type="character" w:styleId="ListLabel309">
    <w:name w:val="ListLabel 30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10">
    <w:name w:val="ListLabel 310"/>
    <w:qFormat/>
    <w:rPr>
      <w:rFonts w:ascii="Calibri" w:hAnsi="Calibri" w:cs="Calibri" w:asciiTheme="minorHAnsi" w:cstheme="minorHAnsi" w:hAnsiTheme="minorHAnsi"/>
    </w:rPr>
  </w:style>
  <w:style w:type="character" w:styleId="ListLabel311">
    <w:name w:val="ListLabel 31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12">
    <w:name w:val="ListLabel 31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13">
    <w:name w:val="ListLabel 31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14">
    <w:name w:val="ListLabel 31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15">
    <w:name w:val="ListLabel 31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16">
    <w:name w:val="ListLabel 31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17">
    <w:name w:val="ListLabel 31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18">
    <w:name w:val="ListLabel 31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19">
    <w:name w:val="ListLabel 31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20">
    <w:name w:val="ListLabel 32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21">
    <w:name w:val="ListLabel 32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22">
    <w:name w:val="ListLabel 32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23">
    <w:name w:val="ListLabel 32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24">
    <w:name w:val="ListLabel 32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25">
    <w:name w:val="ListLabel 32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26">
    <w:name w:val="ListLabel 32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27">
    <w:name w:val="ListLabel 327"/>
    <w:qFormat/>
    <w:rPr>
      <w:rFonts w:cs="Symbol"/>
      <w:lang w:val="es-ES" w:eastAsia="en-US" w:bidi="ar-SA"/>
    </w:rPr>
  </w:style>
  <w:style w:type="character" w:styleId="ListLabel328">
    <w:name w:val="ListLabel 328"/>
    <w:qFormat/>
    <w:rPr>
      <w:rFonts w:cs="Symbol"/>
      <w:lang w:val="es-ES" w:eastAsia="en-US" w:bidi="ar-SA"/>
    </w:rPr>
  </w:style>
  <w:style w:type="character" w:styleId="ListLabel329">
    <w:name w:val="ListLabel 329"/>
    <w:qFormat/>
    <w:rPr>
      <w:rFonts w:cs="Symbol"/>
      <w:lang w:val="es-ES" w:eastAsia="en-US" w:bidi="ar-SA"/>
    </w:rPr>
  </w:style>
  <w:style w:type="character" w:styleId="ListLabel330">
    <w:name w:val="ListLabel 330"/>
    <w:qFormat/>
    <w:rPr>
      <w:rFonts w:cs="Symbol"/>
      <w:lang w:val="es-ES" w:eastAsia="en-US" w:bidi="ar-SA"/>
    </w:rPr>
  </w:style>
  <w:style w:type="character" w:styleId="ListLabel331">
    <w:name w:val="ListLabel 331"/>
    <w:qFormat/>
    <w:rPr>
      <w:rFonts w:cs="Symbol"/>
      <w:lang w:val="es-ES" w:eastAsia="en-US" w:bidi="ar-SA"/>
    </w:rPr>
  </w:style>
  <w:style w:type="character" w:styleId="ListLabel332">
    <w:name w:val="ListLabel 332"/>
    <w:qFormat/>
    <w:rPr>
      <w:rFonts w:cs="Symbol"/>
      <w:lang w:val="es-ES" w:eastAsia="en-US" w:bidi="ar-SA"/>
    </w:rPr>
  </w:style>
  <w:style w:type="character" w:styleId="ListLabel333">
    <w:name w:val="ListLabel 333"/>
    <w:qFormat/>
    <w:rPr>
      <w:rFonts w:cs="Symbol"/>
      <w:lang w:val="es-ES" w:eastAsia="en-US" w:bidi="ar-SA"/>
    </w:rPr>
  </w:style>
  <w:style w:type="character" w:styleId="ListLabel334">
    <w:name w:val="ListLabel 334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335">
    <w:name w:val="ListLabel 335"/>
    <w:qFormat/>
    <w:rPr>
      <w:rFonts w:cs="Symbol"/>
      <w:lang w:val="es-ES" w:eastAsia="en-US" w:bidi="ar-SA"/>
    </w:rPr>
  </w:style>
  <w:style w:type="character" w:styleId="ListLabel336">
    <w:name w:val="ListLabel 336"/>
    <w:qFormat/>
    <w:rPr>
      <w:rFonts w:cs="Symbol"/>
      <w:lang w:val="es-ES" w:eastAsia="en-US" w:bidi="ar-SA"/>
    </w:rPr>
  </w:style>
  <w:style w:type="character" w:styleId="ListLabel337">
    <w:name w:val="ListLabel 337"/>
    <w:qFormat/>
    <w:rPr>
      <w:rFonts w:cs="Symbol"/>
      <w:lang w:val="es-ES" w:eastAsia="en-US" w:bidi="ar-SA"/>
    </w:rPr>
  </w:style>
  <w:style w:type="character" w:styleId="ListLabel338">
    <w:name w:val="ListLabel 338"/>
    <w:qFormat/>
    <w:rPr>
      <w:rFonts w:cs="Symbol"/>
      <w:lang w:val="es-ES" w:eastAsia="en-US" w:bidi="ar-SA"/>
    </w:rPr>
  </w:style>
  <w:style w:type="character" w:styleId="ListLabel339">
    <w:name w:val="ListLabel 339"/>
    <w:qFormat/>
    <w:rPr>
      <w:rFonts w:cs="Symbol"/>
      <w:lang w:val="es-ES" w:eastAsia="en-US" w:bidi="ar-SA"/>
    </w:rPr>
  </w:style>
  <w:style w:type="character" w:styleId="ListLabel340">
    <w:name w:val="ListLabel 340"/>
    <w:qFormat/>
    <w:rPr>
      <w:rFonts w:cs="Symbol"/>
      <w:lang w:val="es-ES" w:eastAsia="en-US" w:bidi="ar-SA"/>
    </w:rPr>
  </w:style>
  <w:style w:type="character" w:styleId="ListLabel341">
    <w:name w:val="ListLabel 341"/>
    <w:qFormat/>
    <w:rPr>
      <w:rFonts w:cs="Symbol"/>
      <w:lang w:val="es-ES" w:eastAsia="en-US" w:bidi="ar-SA"/>
    </w:rPr>
  </w:style>
  <w:style w:type="character" w:styleId="ListLabel342">
    <w:name w:val="ListLabel 342"/>
    <w:qFormat/>
    <w:rPr>
      <w:rFonts w:cs="Symbol"/>
      <w:lang w:val="es-ES" w:eastAsia="en-US" w:bidi="ar-SA"/>
    </w:rPr>
  </w:style>
  <w:style w:type="character" w:styleId="ListLabel343">
    <w:name w:val="ListLabel 34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44">
    <w:name w:val="ListLabel 344"/>
    <w:qFormat/>
    <w:rPr>
      <w:rFonts w:cs="Symbol"/>
      <w:lang w:val="es-ES" w:eastAsia="en-US" w:bidi="ar-SA"/>
    </w:rPr>
  </w:style>
  <w:style w:type="character" w:styleId="ListLabel345">
    <w:name w:val="ListLabel 345"/>
    <w:qFormat/>
    <w:rPr>
      <w:rFonts w:cs="Symbol"/>
      <w:lang w:val="es-ES" w:eastAsia="en-US" w:bidi="ar-SA"/>
    </w:rPr>
  </w:style>
  <w:style w:type="character" w:styleId="ListLabel346">
    <w:name w:val="ListLabel 346"/>
    <w:qFormat/>
    <w:rPr>
      <w:rFonts w:cs="Symbol"/>
      <w:lang w:val="es-ES" w:eastAsia="en-US" w:bidi="ar-SA"/>
    </w:rPr>
  </w:style>
  <w:style w:type="character" w:styleId="ListLabel347">
    <w:name w:val="ListLabel 347"/>
    <w:qFormat/>
    <w:rPr>
      <w:rFonts w:cs="Symbol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cs="Symbol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cs="Symbol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71">
    <w:name w:val="ListLabel 371"/>
    <w:qFormat/>
    <w:rPr>
      <w:rFonts w:ascii="Calibri" w:hAnsi="Calibri"/>
      <w:b/>
      <w:bCs/>
      <w:w w:val="100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cs="Symbol"/>
      <w:lang w:val="es-ES" w:eastAsia="en-US" w:bidi="ar-SA"/>
    </w:rPr>
  </w:style>
  <w:style w:type="character" w:styleId="ListLabel374">
    <w:name w:val="ListLabel 374"/>
    <w:qFormat/>
    <w:rPr>
      <w:rFonts w:cs="Symbol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cs="Symbol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89">
    <w:name w:val="ListLabel 38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cs="Symbol"/>
      <w:lang w:val="es-ES" w:eastAsia="en-US" w:bidi="ar-SA"/>
    </w:rPr>
  </w:style>
  <w:style w:type="character" w:styleId="ListLabel392">
    <w:name w:val="ListLabel 392"/>
    <w:qFormat/>
    <w:rPr>
      <w:rFonts w:cs="Symbol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ascii="Calibri" w:hAnsi="Calibri"/>
      <w:b/>
      <w:sz w:val="22"/>
      <w:u w:val="single"/>
    </w:rPr>
  </w:style>
  <w:style w:type="character" w:styleId="ListLabel398">
    <w:name w:val="ListLabel 398"/>
    <w:qFormat/>
    <w:rPr>
      <w:rFonts w:ascii="Calibri" w:hAnsi="Calibri" w:cs="Calibri" w:asciiTheme="minorHAnsi" w:cstheme="minorHAnsi" w:hAnsiTheme="minorHAnsi"/>
    </w:rPr>
  </w:style>
  <w:style w:type="character" w:styleId="ListLabel399">
    <w:name w:val="ListLabel 39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00">
    <w:name w:val="ListLabel 400"/>
    <w:qFormat/>
    <w:rPr>
      <w:rFonts w:ascii="Calibri" w:hAnsi="Calibri" w:cs="Calibri" w:asciiTheme="minorHAnsi" w:cstheme="minorHAnsi" w:hAnsiTheme="minorHAnsi"/>
    </w:rPr>
  </w:style>
  <w:style w:type="character" w:styleId="ListLabel401">
    <w:name w:val="ListLabel 40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02">
    <w:name w:val="ListLabel 40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03">
    <w:name w:val="ListLabel 40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04">
    <w:name w:val="ListLabel 40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05">
    <w:name w:val="ListLabel 40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06">
    <w:name w:val="ListLabel 40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07">
    <w:name w:val="ListLabel 40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08">
    <w:name w:val="ListLabel 40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09">
    <w:name w:val="ListLabel 40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10">
    <w:name w:val="ListLabel 41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11">
    <w:name w:val="ListLabel 41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12">
    <w:name w:val="ListLabel 41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13">
    <w:name w:val="ListLabel 41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14">
    <w:name w:val="ListLabel 41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LibreOffice/6.0.7.3$Linux_X86_64 LibreOffice_project/00m0$Build-3</Application>
  <Pages>17</Pages>
  <Words>4558</Words>
  <Characters>23857</Characters>
  <CharactersWithSpaces>27981</CharactersWithSpaces>
  <Paragraphs>458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2023-12-11T18:51:00Z</dcterms:created>
  <dc:creator>Usuario</dc:creator>
  <dc:description/>
  <dc:language>es-UY</dc:language>
  <cp:lastModifiedBy/>
  <cp:lastPrinted>2024-04-19T12:33:25Z</cp:lastPrinted>
  <dcterms:modified xsi:type="dcterms:W3CDTF">2024-04-23T15:12:32Z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