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MEDICAMENTOS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”</w:t>
      </w:r>
    </w:p>
    <w:p>
      <w:pPr>
        <w:pStyle w:val="Normal"/>
        <w:ind w:left="5132" w:hanging="0"/>
        <w:rPr/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PARA </w:t>
      </w:r>
      <w:r>
        <w:rPr>
          <w:rFonts w:cs="Calibri" w:ascii="Calibri" w:hAnsi="Calibri" w:asciiTheme="minorHAnsi" w:cstheme="minorHAnsi" w:hAnsiTheme="minorHAnsi"/>
          <w:b/>
          <w:u w:val="single"/>
        </w:rPr>
        <w:t>COTTOLENGO MASCULINO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CONCURSO A PRECIOS Nº</w:t>
      </w:r>
      <w:r>
        <w:rPr>
          <w:rFonts w:cs="Calibri" w:ascii="Calibri" w:hAnsi="Calibri" w:asciiTheme="minorHAnsi" w:cstheme="minorHAnsi" w:hAnsiTheme="minorHAnsi"/>
          <w:b/>
        </w:rPr>
        <w:t>142/2024</w:t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ELECTRÓNICA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</w:rPr>
        <w:t>2/4/2024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Medicamentos,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b),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Cottolengo Masculino 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08:30 a 15:30 hrs</w:t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2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1697990</wp:posOffset>
                </wp:positionH>
                <wp:positionV relativeFrom="paragraph">
                  <wp:posOffset>389890</wp:posOffset>
                </wp:positionV>
                <wp:extent cx="30480" cy="1905"/>
                <wp:effectExtent l="0" t="0" r="0" b="0"/>
                <wp:wrapNone/>
                <wp:docPr id="4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7pt,30.7pt" to="136pt,30.7pt" ID="Imagen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deberá cotizar tanto en moneda nacional estableciendo los precios unitarios y totales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cada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ítem.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establecerse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sin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impuestos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indicando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separado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mismos.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contrario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 ofertado.</w:t>
      </w:r>
    </w:p>
    <w:p>
      <w:pPr>
        <w:pStyle w:val="Normal"/>
        <w:spacing w:before="140" w:after="0"/>
        <w:ind w:left="395" w:righ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Los precios y cotizaciones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deberán ser inequívocamente asociables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(corresponder)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ofertado.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Cualquier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incongruencia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u w:val="single"/>
        </w:rPr>
        <w:t>Cotizar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bajo</w:t>
      </w:r>
      <w:r>
        <w:rPr>
          <w:rFonts w:cs="Calibri" w:ascii="Calibri" w:hAnsi="Calibri" w:asciiTheme="minorHAnsi" w:cstheme="minorHAnsi" w:hAnsiTheme="minorHAnsi"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modalidad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CRÉDITO SIIF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1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</w:rPr>
        <w:t>En caso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presentarlas solo se considerará la oferta indicada como básica o en su defecto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ubicada 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 orden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NO SE ACEPTARAN OFERTAS QUE INCLUYAN INTERESES POR MORA 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AJUSTES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POR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PAGO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FUERA</w:t>
      </w:r>
      <w:r>
        <w:rPr>
          <w:rFonts w:cs="Calibri" w:ascii="Calibri" w:hAnsi="Calibri" w:asciiTheme="minorHAnsi" w:cstheme="minorHAnsi" w:hAnsiTheme="minorHAnsi"/>
          <w:b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FECHA.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factura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contuviera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impresa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alguna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referencia a esos extremos, por el solo hecho de presentar la oferta, se entiende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las firmas aceptan que la Administración anule dicha referencia mediante sello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medio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similar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5811520</wp:posOffset>
                </wp:positionH>
                <wp:positionV relativeFrom="paragraph">
                  <wp:posOffset>57785</wp:posOffset>
                </wp:positionV>
                <wp:extent cx="42545" cy="175895"/>
                <wp:effectExtent l="0" t="0" r="0" b="0"/>
                <wp:wrapNone/>
                <wp:docPr id="5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175320"/>
                        </a:xfrm>
                        <a:prstGeom prst="rect">
                          <a:avLst/>
                        </a:prstGeom>
                        <a:solidFill>
                          <a:srgbClr val="ff940d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fillcolor="#ff940d" stroked="f" style="position:absolute;margin-left:457.6pt;margin-top:4.55pt;width:3.25pt;height:13.75pt;mso-position-horizontal-relative:page">
                <w10:wrap type="none"/>
                <v:fill o:detectmouseclick="t" type="solid" color2="#006bf2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objeto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3 (tres) meses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contar desde la fecha 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establezca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notificación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adjudicatario.-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Farmacia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"La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80%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variación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IPC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Enero,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fórmula:</w:t>
      </w:r>
    </w:p>
    <w:p>
      <w:pPr>
        <w:pStyle w:val="Cuerpodetexto"/>
        <w:spacing w:before="14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P1=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P0*[0,8*(A1/A0)]+P0*0,2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Siendo</w:t>
      </w:r>
    </w:p>
    <w:p>
      <w:pPr>
        <w:pStyle w:val="Cuerpodetexto"/>
        <w:ind w:left="395" w:right="77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P1- Precio actual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P0-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</w:p>
    <w:p>
      <w:pPr>
        <w:pStyle w:val="Cuerpodetexto"/>
        <w:ind w:left="395" w:right="99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A0-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 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oferta, (para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primer ajuste).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A1-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ajuste"</w:t>
      </w:r>
    </w:p>
    <w:p>
      <w:pPr>
        <w:pStyle w:val="Cuerpodetexto"/>
        <w:spacing w:before="140" w:after="0"/>
        <w:ind w:left="395" w:right="128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 el cálculo de la variación del IPC en el caso del primer ajuste, se considerará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 transcurrido entre el último día del mes anterior al de la apertura y el 31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36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36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37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37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38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38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plazo de dos días hábiles. No serán consideradas las ofertas que vencido dicho plazo no hubieran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spacing w:before="1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90" w:leader="none"/>
          <w:tab w:val="left" w:pos="2649" w:leader="dot"/>
        </w:tabs>
        <w:ind w:left="690" w:hanging="29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Mínimo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3 referencias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documentadas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rubro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objeto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hoja membretada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donde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prestó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servicios,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cumplido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satisfactoriamente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haber prestado servicios en el rubro del objeto del llamado en alguna Unidad Ejecutora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A.S.S.E., no es necesario presentar la referencia documentada, pero deberá estable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cerse Unidad Ejecutora y período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actuación. Se contabilizará una referencia por procedimiento.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 proveedor que presente referencias de procedimientos de la Unidad Centralizada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Adquisiciones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(U.C.A.)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número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llamado,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Unidad/es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Ejecutora/s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A.S.S.E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realizó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suministro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período.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contabilizará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referencia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procedimiento.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Ttulo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3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C3%2593N_DE_EQUIPOS_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que no se cumpla con las condiciones establecidas en el presente Pliego, así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hubiere,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aplicándose 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sistema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sanciones: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Primer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Segundo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incumplimiento:</w:t>
      </w:r>
    </w:p>
    <w:p>
      <w:pPr>
        <w:pStyle w:val="Cuerpodetexto"/>
        <w:ind w:left="395" w:right="13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incumplimiento, la Administración aplicará una multa del 50%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orden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Tercer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 y ejecutar el depósito de garantía. Se aplicará lo establecido en los artículos 25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26 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Bases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Generales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Nº131/014.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SIN PERJUICIO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 LO ANTERIOR LA ADMINISTRACIÓN SE RESERVA LA FACULTAD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RESCINDIR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CUALQUIER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MOMENTO;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CASO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FIRMA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ADJUDICATARIA INCURRA EN CUALQUIER INSTANCIA DEL CONTRATO EN TRES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SUCESIVOS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DEBIDAMENTE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DOCUMENTADOS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GRAVEDAD,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FUNCIONAMIENTO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UNIDAD.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1" w:name="18)_NORMAS_QUE_REGULAN_EL_PRESENTE_LLAMA"/>
      <w:bookmarkStart w:id="2" w:name="18)_NORMAS_QUE_REGULAN_EL_PRESENTE_LLAMA"/>
      <w:bookmarkEnd w:id="2"/>
    </w:p>
    <w:p>
      <w:pPr>
        <w:pStyle w:val="Ttulo2"/>
        <w:numPr>
          <w:ilvl w:val="0"/>
          <w:numId w:val="10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42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42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42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42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43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45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45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45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45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Normal"/>
        <w:ind w:left="1176" w:right="450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1176" w:right="45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Times New Roman" w:ascii="Times New Roman" w:hAnsi="Times New Roman"/>
        </w:rPr>
        <w:t xml:space="preserve">🟃 </w:t>
      </w:r>
      <w:r>
        <w:rPr>
          <w:rFonts w:eastAsia="Times New Roman" w:cs="Calibri" w:ascii="Calibri" w:hAnsi="Calibri" w:asciiTheme="minorHAnsi" w:cstheme="minorHAnsi" w:hAnsiTheme="minorHAnsi"/>
          <w:b/>
        </w:rPr>
        <w:t>Decreto Nº 194/014 del 11/07/2017 Reglamentario de los Arts. 43 y 44 de la Ley 18.362: Sobre creación de Subprograma de Contratación Pública para el Desarrollo de la Industria Farmacéutica.-</w:t>
      </w:r>
    </w:p>
    <w:p>
      <w:pPr>
        <w:pStyle w:val="Normal"/>
        <w:ind w:left="1176" w:right="45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ind w:left="720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1176" w:right="450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3" w:name="MODELOS_DE_DECLARACI%25C3%2593N_JURADA_P"/>
      <w:bookmarkEnd w:id="3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200"/>
        <w:gridCol w:w="4579"/>
        <w:gridCol w:w="1200"/>
        <w:gridCol w:w="1200"/>
      </w:tblGrid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Material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CLORPROTIXENO 50 MG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LEVETIRACETAM 500 MG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ARIPIPRAZOL 10 MG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QUETIAPINA 25 MG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BIPERIDENO LP 40 MG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6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BACLOFENO 25 MG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7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HALOPERIDOL 5 MG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3000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COMP</w:t>
            </w:r>
          </w:p>
        </w:tc>
      </w:tr>
    </w:tbl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93" w:after="0"/>
        <w:ind w:left="395" w:right="123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8"/>
        </w:rPr>
        <w:t xml:space="preserve">3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47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47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2781300</wp:posOffset>
                </wp:positionH>
                <wp:positionV relativeFrom="paragraph">
                  <wp:posOffset>810260</wp:posOffset>
                </wp:positionV>
                <wp:extent cx="31750" cy="1905"/>
                <wp:effectExtent l="0" t="0" r="0" b="0"/>
                <wp:wrapNone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3.8pt" to="221.4pt,63.8pt" ID="Imagen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2364740</wp:posOffset>
                </wp:positionH>
                <wp:positionV relativeFrom="paragraph">
                  <wp:posOffset>984250</wp:posOffset>
                </wp:positionV>
                <wp:extent cx="29845" cy="1905"/>
                <wp:effectExtent l="0" t="0" r="0" b="0"/>
                <wp:wrapNone/>
                <wp:docPr id="8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7.5pt" to="188.45pt,77.5pt" ID="Imagen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46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47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47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49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49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38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38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50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50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1262380</wp:posOffset>
                </wp:positionH>
                <wp:positionV relativeFrom="paragraph">
                  <wp:posOffset>139700</wp:posOffset>
                </wp:positionV>
                <wp:extent cx="5509895" cy="1905"/>
                <wp:effectExtent l="0" t="0" r="0" b="0"/>
                <wp:wrapTopAndBottom/>
                <wp:docPr id="9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44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pt" to="533.15pt,11.05pt" ID="Imagen6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0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8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46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46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46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720090</wp:posOffset>
                </wp:positionH>
                <wp:positionV relativeFrom="paragraph">
                  <wp:posOffset>208915</wp:posOffset>
                </wp:positionV>
                <wp:extent cx="6120765" cy="1905"/>
                <wp:effectExtent l="0" t="0" r="0" b="0"/>
                <wp:wrapTopAndBottom/>
                <wp:docPr id="10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.45pt" to="538.55pt,16.5pt" ID="Imagen7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>
          <w:rFonts w:cs="Calibri" w:ascii="Calibri" w:hAnsi="Calibri" w:asciiTheme="minorHAnsi" w:cstheme="minorHAnsi" w:hAnsiTheme="minorHAnsi"/>
          <w:position w:val="15"/>
        </w:rPr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3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4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7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8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/>
      </w:pPr>
      <w:r>
        <w:rPr/>
      </w:r>
      <w:bookmarkStart w:id="4" w:name="ANEXO_II"/>
      <w:bookmarkStart w:id="5" w:name="ANEXO_II"/>
      <w:bookmarkEnd w:id="5"/>
    </w:p>
    <w:p>
      <w:pPr>
        <w:sectPr>
          <w:footerReference w:type="default" r:id="rId39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40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29235" cy="19494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7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564" w:hanging="280"/>
      </w:pPr>
      <w:rPr>
        <w:sz w:val="2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51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0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5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0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9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40" w:hanging="28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bullet"/>
      <w:lvlText w:val=""/>
      <w:lvlJc w:val="left"/>
      <w:pPr>
        <w:ind w:left="1116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3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b/>
        <w:bCs/>
        <w:w w:val="100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9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10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sz w:val="28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Calibri" w:hAnsi="Calibri" w:cs="Calibri" w:asciiTheme="minorHAnsi" w:cstheme="minorHAnsi" w:hAnsiTheme="minorHAnsi"/>
    </w:rPr>
  </w:style>
  <w:style w:type="character" w:styleId="ListLabel135">
    <w:name w:val="ListLabel 135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36">
    <w:name w:val="ListLabel 136"/>
    <w:qFormat/>
    <w:rPr>
      <w:rFonts w:ascii="Calibri" w:hAnsi="Calibri" w:cs="Calibri" w:asciiTheme="minorHAnsi" w:cstheme="minorHAnsi" w:hAnsiTheme="minorHAnsi"/>
    </w:rPr>
  </w:style>
  <w:style w:type="character" w:styleId="ListLabel137">
    <w:name w:val="ListLabel 137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38">
    <w:name w:val="ListLabel 138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41">
    <w:name w:val="ListLabel 141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42">
    <w:name w:val="ListLabel 142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43">
    <w:name w:val="ListLabel 143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44">
    <w:name w:val="ListLabel 144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45">
    <w:name w:val="ListLabel 145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46">
    <w:name w:val="ListLabel 146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47">
    <w:name w:val="ListLabel 147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48">
    <w:name w:val="ListLabel 148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49">
    <w:name w:val="ListLabel 149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50">
    <w:name w:val="ListLabel 150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51">
    <w:name w:val="ListLabel 15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52">
    <w:name w:val="ListLabel 152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53">
    <w:name w:val="ListLabel 153"/>
    <w:qFormat/>
    <w:rPr>
      <w:rFonts w:cs="Symbol"/>
      <w:lang w:val="es-ES" w:eastAsia="en-US" w:bidi="ar-SA"/>
    </w:rPr>
  </w:style>
  <w:style w:type="character" w:styleId="ListLabel154">
    <w:name w:val="ListLabel 154"/>
    <w:qFormat/>
    <w:rPr>
      <w:rFonts w:cs="Symbol"/>
      <w:lang w:val="es-ES" w:eastAsia="en-US" w:bidi="ar-SA"/>
    </w:rPr>
  </w:style>
  <w:style w:type="character" w:styleId="ListLabel155">
    <w:name w:val="ListLabel 155"/>
    <w:qFormat/>
    <w:rPr>
      <w:rFonts w:cs="Symbol"/>
      <w:lang w:val="es-ES" w:eastAsia="en-US" w:bidi="ar-SA"/>
    </w:rPr>
  </w:style>
  <w:style w:type="character" w:styleId="ListLabel156">
    <w:name w:val="ListLabel 156"/>
    <w:qFormat/>
    <w:rPr>
      <w:rFonts w:cs="Symbol"/>
      <w:lang w:val="es-ES" w:eastAsia="en-US" w:bidi="ar-SA"/>
    </w:rPr>
  </w:style>
  <w:style w:type="character" w:styleId="ListLabel157">
    <w:name w:val="ListLabel 157"/>
    <w:qFormat/>
    <w:rPr>
      <w:rFonts w:cs="Symbol"/>
      <w:lang w:val="es-ES" w:eastAsia="en-US" w:bidi="ar-SA"/>
    </w:rPr>
  </w:style>
  <w:style w:type="character" w:styleId="ListLabel158">
    <w:name w:val="ListLabel 158"/>
    <w:qFormat/>
    <w:rPr>
      <w:rFonts w:cs="Symbol"/>
      <w:lang w:val="es-ES" w:eastAsia="en-US" w:bidi="ar-SA"/>
    </w:rPr>
  </w:style>
  <w:style w:type="character" w:styleId="ListLabel159">
    <w:name w:val="ListLabel 159"/>
    <w:qFormat/>
    <w:rPr>
      <w:rFonts w:cs="Symbol"/>
      <w:lang w:val="es-ES" w:eastAsia="en-US" w:bidi="ar-SA"/>
    </w:rPr>
  </w:style>
  <w:style w:type="character" w:styleId="ListLabel160">
    <w:name w:val="ListLabel 160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61">
    <w:name w:val="ListLabel 161"/>
    <w:qFormat/>
    <w:rPr>
      <w:rFonts w:cs="Symbol"/>
      <w:lang w:val="es-ES" w:eastAsia="en-US" w:bidi="ar-SA"/>
    </w:rPr>
  </w:style>
  <w:style w:type="character" w:styleId="ListLabel162">
    <w:name w:val="ListLabel 162"/>
    <w:qFormat/>
    <w:rPr>
      <w:rFonts w:cs="Symbol"/>
      <w:lang w:val="es-ES" w:eastAsia="en-US" w:bidi="ar-SA"/>
    </w:rPr>
  </w:style>
  <w:style w:type="character" w:styleId="ListLabel163">
    <w:name w:val="ListLabel 163"/>
    <w:qFormat/>
    <w:rPr>
      <w:rFonts w:cs="Symbol"/>
      <w:lang w:val="es-ES" w:eastAsia="en-US" w:bidi="ar-SA"/>
    </w:rPr>
  </w:style>
  <w:style w:type="character" w:styleId="ListLabel164">
    <w:name w:val="ListLabel 164"/>
    <w:qFormat/>
    <w:rPr>
      <w:rFonts w:cs="Symbol"/>
      <w:lang w:val="es-ES" w:eastAsia="en-US" w:bidi="ar-SA"/>
    </w:rPr>
  </w:style>
  <w:style w:type="character" w:styleId="ListLabel165">
    <w:name w:val="ListLabel 165"/>
    <w:qFormat/>
    <w:rPr>
      <w:rFonts w:cs="Symbol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cs="Symbol"/>
      <w:lang w:val="es-ES" w:eastAsia="en-US" w:bidi="ar-SA"/>
    </w:rPr>
  </w:style>
  <w:style w:type="character" w:styleId="ListLabel173">
    <w:name w:val="ListLabel 173"/>
    <w:qFormat/>
    <w:rPr>
      <w:rFonts w:cs="Symbol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cs="Symbol"/>
      <w:lang w:val="es-ES" w:eastAsia="en-US" w:bidi="ar-SA"/>
    </w:rPr>
  </w:style>
  <w:style w:type="character" w:styleId="ListLabel182">
    <w:name w:val="ListLabel 182"/>
    <w:qFormat/>
    <w:rPr>
      <w:rFonts w:cs="Symbol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cs="Symbol"/>
      <w:lang w:val="es-ES" w:eastAsia="en-US" w:bidi="ar-SA"/>
    </w:rPr>
  </w:style>
  <w:style w:type="character" w:styleId="ListLabel191">
    <w:name w:val="ListLabel 191"/>
    <w:qFormat/>
    <w:rPr>
      <w:rFonts w:cs="Symbol"/>
      <w:lang w:val="es-ES" w:eastAsia="en-US" w:bidi="ar-SA"/>
    </w:rPr>
  </w:style>
  <w:style w:type="character" w:styleId="ListLabel192">
    <w:name w:val="ListLabel 192"/>
    <w:qFormat/>
    <w:rPr>
      <w:rFonts w:cs="Symbol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7">
    <w:name w:val="ListLabel 197"/>
    <w:qFormat/>
    <w:rPr>
      <w:b/>
      <w:bCs/>
      <w:w w:val="100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cs="Symbol"/>
      <w:lang w:val="es-ES" w:eastAsia="en-US" w:bidi="ar-SA"/>
    </w:rPr>
  </w:style>
  <w:style w:type="character" w:styleId="ListLabel200">
    <w:name w:val="ListLabel 200"/>
    <w:qFormat/>
    <w:rPr>
      <w:rFonts w:cs="Symbol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cs="Symbol"/>
      <w:lang w:val="es-ES" w:eastAsia="en-US" w:bidi="ar-SA"/>
    </w:rPr>
  </w:style>
  <w:style w:type="character" w:styleId="ListLabel209">
    <w:name w:val="ListLabel 209"/>
    <w:qFormat/>
    <w:rPr>
      <w:rFonts w:cs="Symbol"/>
      <w:lang w:val="es-ES" w:eastAsia="en-US" w:bidi="ar-SA"/>
    </w:rPr>
  </w:style>
  <w:style w:type="character" w:styleId="ListLabel210">
    <w:name w:val="ListLabel 210"/>
    <w:qFormat/>
    <w:rPr>
      <w:rFonts w:cs="Symbol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15">
    <w:name w:val="ListLabel 215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cs="Symbol"/>
      <w:lang w:val="es-ES" w:eastAsia="en-US" w:bidi="ar-SA"/>
    </w:rPr>
  </w:style>
  <w:style w:type="character" w:styleId="ListLabel218">
    <w:name w:val="ListLabel 218"/>
    <w:qFormat/>
    <w:rPr>
      <w:rFonts w:cs="Symbol"/>
      <w:lang w:val="es-ES" w:eastAsia="en-US" w:bidi="ar-SA"/>
    </w:rPr>
  </w:style>
  <w:style w:type="character" w:styleId="ListLabel219">
    <w:name w:val="ListLabel 219"/>
    <w:qFormat/>
    <w:rPr>
      <w:rFonts w:cs="Symbol"/>
      <w:lang w:val="es-ES" w:eastAsia="en-US" w:bidi="ar-SA"/>
    </w:rPr>
  </w:style>
  <w:style w:type="character" w:styleId="ListLabel220">
    <w:name w:val="ListLabel 220"/>
    <w:qFormat/>
    <w:rPr>
      <w:rFonts w:cs="Symbol"/>
      <w:lang w:val="es-ES" w:eastAsia="en-US" w:bidi="ar-SA"/>
    </w:rPr>
  </w:style>
  <w:style w:type="character" w:styleId="ListLabel221">
    <w:name w:val="ListLabel 221"/>
    <w:qFormat/>
    <w:rPr>
      <w:rFonts w:cs="Symbol"/>
      <w:lang w:val="es-ES" w:eastAsia="en-US" w:bidi="ar-SA"/>
    </w:rPr>
  </w:style>
  <w:style w:type="character" w:styleId="ListLabel222">
    <w:name w:val="ListLabel 222"/>
    <w:qFormat/>
    <w:rPr>
      <w:rFonts w:cs="Symbol"/>
      <w:lang w:val="es-ES" w:eastAsia="en-US" w:bidi="ar-SA"/>
    </w:rPr>
  </w:style>
  <w:style w:type="character" w:styleId="ListLabel223">
    <w:name w:val="ListLabel 22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24">
    <w:name w:val="ListLabel 224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225">
    <w:name w:val="ListLabel 225"/>
    <w:qFormat/>
    <w:rPr>
      <w:rFonts w:cs="Symbol"/>
      <w:lang w:val="es-ES" w:eastAsia="en-US" w:bidi="ar-SA"/>
    </w:rPr>
  </w:style>
  <w:style w:type="character" w:styleId="ListLabel226">
    <w:name w:val="ListLabel 226"/>
    <w:qFormat/>
    <w:rPr>
      <w:rFonts w:cs="Symbol"/>
      <w:lang w:val="es-ES" w:eastAsia="en-US" w:bidi="ar-SA"/>
    </w:rPr>
  </w:style>
  <w:style w:type="character" w:styleId="ListLabel227">
    <w:name w:val="ListLabel 227"/>
    <w:qFormat/>
    <w:rPr>
      <w:rFonts w:cs="Symbol"/>
      <w:lang w:val="es-ES" w:eastAsia="en-US" w:bidi="ar-SA"/>
    </w:rPr>
  </w:style>
  <w:style w:type="character" w:styleId="ListLabel228">
    <w:name w:val="ListLabel 228"/>
    <w:qFormat/>
    <w:rPr>
      <w:rFonts w:cs="Symbol"/>
      <w:lang w:val="es-ES" w:eastAsia="en-US" w:bidi="ar-SA"/>
    </w:rPr>
  </w:style>
  <w:style w:type="character" w:styleId="ListLabel229">
    <w:name w:val="ListLabel 229"/>
    <w:qFormat/>
    <w:rPr>
      <w:rFonts w:cs="Symbol"/>
      <w:lang w:val="es-ES" w:eastAsia="en-US" w:bidi="ar-SA"/>
    </w:rPr>
  </w:style>
  <w:style w:type="character" w:styleId="ListLabel230">
    <w:name w:val="ListLabel 230"/>
    <w:qFormat/>
    <w:rPr>
      <w:rFonts w:cs="Symbol"/>
      <w:lang w:val="es-ES" w:eastAsia="en-US" w:bidi="ar-SA"/>
    </w:rPr>
  </w:style>
  <w:style w:type="character" w:styleId="ListLabel231">
    <w:name w:val="ListLabel 231"/>
    <w:qFormat/>
    <w:rPr>
      <w:rFonts w:cs="Symbol"/>
      <w:lang w:val="es-ES" w:eastAsia="en-US" w:bidi="ar-SA"/>
    </w:rPr>
  </w:style>
  <w:style w:type="character" w:styleId="ListLabel232">
    <w:name w:val="ListLabel 232"/>
    <w:qFormat/>
    <w:rPr>
      <w:rFonts w:ascii="Calibri" w:hAnsi="Calibri"/>
      <w:b/>
      <w:sz w:val="22"/>
      <w:u w:val="single"/>
    </w:rPr>
  </w:style>
  <w:style w:type="character" w:styleId="ListLabel233">
    <w:name w:val="ListLabel 233"/>
    <w:qFormat/>
    <w:rPr>
      <w:rFonts w:ascii="Calibri" w:hAnsi="Calibri" w:cs="Calibri" w:asciiTheme="minorHAnsi" w:cstheme="minorHAnsi" w:hAnsiTheme="minorHAnsi"/>
    </w:rPr>
  </w:style>
  <w:style w:type="character" w:styleId="ListLabel234">
    <w:name w:val="ListLabel 234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35">
    <w:name w:val="ListLabel 235"/>
    <w:qFormat/>
    <w:rPr>
      <w:rFonts w:ascii="Calibri" w:hAnsi="Calibri" w:cs="Calibri" w:asciiTheme="minorHAnsi" w:cstheme="minorHAnsi" w:hAnsiTheme="minorHAnsi"/>
    </w:rPr>
  </w:style>
  <w:style w:type="character" w:styleId="ListLabel236">
    <w:name w:val="ListLabel 236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37">
    <w:name w:val="ListLabel 237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38">
    <w:name w:val="ListLabel 238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39">
    <w:name w:val="ListLabel 239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40">
    <w:name w:val="ListLabel 240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41">
    <w:name w:val="ListLabel 241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42">
    <w:name w:val="ListLabel 242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43">
    <w:name w:val="ListLabel 243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44">
    <w:name w:val="ListLabel 244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45">
    <w:name w:val="ListLabel 245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46">
    <w:name w:val="ListLabel 246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47">
    <w:name w:val="ListLabel 247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48">
    <w:name w:val="ListLabel 248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49">
    <w:name w:val="ListLabel 249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26</Pages>
  <Words>3959</Words>
  <Characters>21368</Characters>
  <CharactersWithSpaces>25151</CharactersWithSpaces>
  <Paragraphs>200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2023-12-11T16:42:00Z</dcterms:created>
  <dc:creator>Usuario</dc:creator>
  <dc:description/>
  <dc:language>es-UY</dc:language>
  <cp:lastModifiedBy/>
  <dcterms:modified xsi:type="dcterms:W3CDTF">2024-03-22T11:19:41Z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