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997AFF">
        <w:rPr>
          <w:rFonts w:ascii="Arial" w:hAnsi="Arial" w:cs="Arial"/>
          <w:b/>
          <w:sz w:val="22"/>
          <w:szCs w:val="22"/>
          <w:lang w:val="es-UY"/>
        </w:rPr>
        <w:t xml:space="preserve">Concurso </w:t>
      </w:r>
      <w:r w:rsidR="0001325C" w:rsidRPr="003E6ADE">
        <w:rPr>
          <w:rFonts w:ascii="Arial" w:hAnsi="Arial" w:cs="Arial"/>
          <w:b/>
          <w:sz w:val="22"/>
          <w:szCs w:val="22"/>
          <w:lang w:val="es-UY"/>
        </w:rPr>
        <w:t xml:space="preserve">de </w:t>
      </w:r>
      <w:r w:rsidR="00997AFF">
        <w:rPr>
          <w:rFonts w:ascii="Arial" w:hAnsi="Arial" w:cs="Arial"/>
          <w:b/>
          <w:sz w:val="22"/>
          <w:szCs w:val="22"/>
          <w:lang w:val="es-UY"/>
        </w:rPr>
        <w:t>P</w:t>
      </w:r>
      <w:r w:rsidR="0001325C" w:rsidRPr="003E6ADE">
        <w:rPr>
          <w:rFonts w:ascii="Arial" w:hAnsi="Arial" w:cs="Arial"/>
          <w:b/>
          <w:sz w:val="22"/>
          <w:szCs w:val="22"/>
          <w:lang w:val="es-UY"/>
        </w:rPr>
        <w:t>recios</w:t>
      </w:r>
      <w:r w:rsidR="00EA0DC6">
        <w:rPr>
          <w:rFonts w:ascii="Arial" w:hAnsi="Arial" w:cs="Arial"/>
          <w:sz w:val="22"/>
          <w:szCs w:val="22"/>
          <w:lang w:val="es-UY"/>
        </w:rPr>
        <w:t xml:space="preserve"> para la </w:t>
      </w:r>
      <w:r w:rsidR="0073652B">
        <w:rPr>
          <w:rFonts w:ascii="Arial" w:hAnsi="Arial" w:cs="Arial"/>
          <w:sz w:val="22"/>
          <w:szCs w:val="22"/>
          <w:lang w:val="es-UY"/>
        </w:rPr>
        <w:t>contratación de</w:t>
      </w:r>
      <w:r w:rsidR="00B9441A">
        <w:rPr>
          <w:rFonts w:ascii="Arial" w:hAnsi="Arial" w:cs="Arial"/>
          <w:sz w:val="22"/>
          <w:szCs w:val="22"/>
          <w:lang w:val="es-UY"/>
        </w:rPr>
        <w:t xml:space="preserve"> un</w:t>
      </w:r>
      <w:r w:rsidR="0073652B">
        <w:rPr>
          <w:rFonts w:ascii="Arial" w:hAnsi="Arial" w:cs="Arial"/>
          <w:sz w:val="22"/>
          <w:szCs w:val="22"/>
          <w:lang w:val="es-UY"/>
        </w:rPr>
        <w:t xml:space="preserve"> </w:t>
      </w:r>
      <w:r w:rsidR="0073652B" w:rsidRPr="00B9441A">
        <w:rPr>
          <w:rFonts w:ascii="Arial" w:hAnsi="Arial" w:cs="Arial"/>
          <w:b/>
          <w:sz w:val="22"/>
          <w:szCs w:val="22"/>
          <w:lang w:val="es-UY"/>
        </w:rPr>
        <w:t xml:space="preserve">servicio de vigilancia para el </w:t>
      </w:r>
      <w:r w:rsidR="0073652B" w:rsidRPr="00B9441A">
        <w:rPr>
          <w:rFonts w:ascii="Arial" w:hAnsi="Arial" w:cs="Arial"/>
          <w:b/>
          <w:i/>
          <w:sz w:val="22"/>
          <w:szCs w:val="22"/>
          <w:lang w:val="es-UY"/>
        </w:rPr>
        <w:t>Distrito A de la División Regional 1</w:t>
      </w:r>
      <w:r w:rsidR="002B37A4" w:rsidRPr="00B9441A">
        <w:rPr>
          <w:rFonts w:ascii="Arial" w:hAnsi="Arial" w:cs="Arial"/>
          <w:b/>
          <w:sz w:val="22"/>
          <w:szCs w:val="22"/>
          <w:lang w:val="es-UY"/>
        </w:rPr>
        <w:t>,</w:t>
      </w:r>
      <w:r w:rsidR="0052335F" w:rsidRPr="00B9441A">
        <w:rPr>
          <w:rFonts w:ascii="Arial" w:hAnsi="Arial" w:cs="Arial"/>
          <w:b/>
          <w:sz w:val="22"/>
          <w:szCs w:val="22"/>
          <w:lang w:val="es-UY"/>
        </w:rPr>
        <w:t xml:space="preserve"> </w:t>
      </w:r>
      <w:r w:rsidR="0073652B" w:rsidRPr="00B9441A">
        <w:rPr>
          <w:rFonts w:ascii="Arial" w:hAnsi="Arial" w:cs="Arial"/>
          <w:b/>
          <w:i/>
          <w:sz w:val="22"/>
          <w:szCs w:val="22"/>
          <w:lang w:val="es-UY"/>
        </w:rPr>
        <w:t>sito en intersecciones de Ruta 107 y Ruta 11, Departamento de Canelones</w:t>
      </w:r>
      <w:r w:rsidR="0073652B">
        <w:rPr>
          <w:rFonts w:ascii="Arial" w:hAnsi="Arial" w:cs="Arial"/>
          <w:i/>
          <w:sz w:val="22"/>
          <w:szCs w:val="22"/>
          <w:lang w:val="es-UY"/>
        </w:rPr>
        <w:t>,</w:t>
      </w:r>
      <w:r w:rsidR="0073652B">
        <w:rPr>
          <w:rFonts w:ascii="Arial" w:hAnsi="Arial"/>
          <w:sz w:val="22"/>
          <w:szCs w:val="22"/>
          <w:lang w:val="es-UY"/>
        </w:rPr>
        <w:t xml:space="preserve"> </w:t>
      </w:r>
      <w:r w:rsidR="00C16DB4">
        <w:rPr>
          <w:rFonts w:ascii="Arial" w:hAnsi="Arial"/>
          <w:sz w:val="22"/>
          <w:szCs w:val="22"/>
          <w:lang w:val="es-UY"/>
        </w:rPr>
        <w:t>de acuerdo a lo establecido en este pliego</w:t>
      </w:r>
      <w:r w:rsidR="00081113" w:rsidRPr="007C1786">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w:t>
      </w:r>
      <w:r w:rsidR="0073652B">
        <w:rPr>
          <w:rFonts w:ascii="Arial" w:hAnsi="Arial"/>
          <w:sz w:val="22"/>
          <w:szCs w:val="22"/>
        </w:rPr>
        <w:t>oc</w:t>
      </w:r>
      <w:r w:rsidR="0052335F" w:rsidRPr="006A4C85">
        <w:rPr>
          <w:rFonts w:ascii="Arial" w:hAnsi="Arial"/>
          <w:sz w:val="22"/>
          <w:szCs w:val="22"/>
        </w:rPr>
        <w:t>urrencia del monto máximo de adjudic</w:t>
      </w:r>
      <w:r w:rsidR="00C50094">
        <w:rPr>
          <w:rFonts w:ascii="Arial" w:hAnsi="Arial"/>
          <w:sz w:val="22"/>
          <w:szCs w:val="22"/>
        </w:rPr>
        <w:t>ación, $1.</w:t>
      </w:r>
      <w:r w:rsidR="00997AFF">
        <w:rPr>
          <w:rFonts w:ascii="Arial" w:hAnsi="Arial"/>
          <w:sz w:val="22"/>
          <w:szCs w:val="22"/>
        </w:rPr>
        <w:t>25</w:t>
      </w:r>
      <w:r w:rsidR="00C50094">
        <w:rPr>
          <w:rFonts w:ascii="Arial" w:hAnsi="Arial"/>
          <w:sz w:val="22"/>
          <w:szCs w:val="22"/>
        </w:rPr>
        <w:t>4</w:t>
      </w:r>
      <w:r w:rsidR="0052335F" w:rsidRPr="006A4C85">
        <w:rPr>
          <w:rFonts w:ascii="Arial" w:hAnsi="Arial"/>
          <w:sz w:val="22"/>
          <w:szCs w:val="22"/>
        </w:rPr>
        <w:t>.000</w:t>
      </w:r>
      <w:r w:rsidR="00997AFF">
        <w:rPr>
          <w:rFonts w:ascii="Arial" w:hAnsi="Arial"/>
          <w:sz w:val="22"/>
          <w:szCs w:val="22"/>
        </w:rPr>
        <w:t>,00</w:t>
      </w:r>
      <w:r w:rsidR="0052335F" w:rsidRPr="006A4C85">
        <w:rPr>
          <w:rFonts w:ascii="Arial" w:hAnsi="Arial"/>
          <w:sz w:val="22"/>
          <w:szCs w:val="22"/>
        </w:rPr>
        <w:t xml:space="preserve"> contado </w:t>
      </w:r>
      <w:r w:rsidR="00C16DB4">
        <w:rPr>
          <w:rFonts w:ascii="Arial" w:hAnsi="Arial"/>
          <w:sz w:val="22"/>
          <w:szCs w:val="22"/>
        </w:rPr>
        <w:t>a partir del</w:t>
      </w:r>
      <w:r w:rsidR="0052335F" w:rsidRPr="006A4C85">
        <w:rPr>
          <w:rFonts w:ascii="Arial" w:hAnsi="Arial"/>
          <w:sz w:val="22"/>
          <w:szCs w:val="22"/>
        </w:rPr>
        <w:t xml:space="preserve">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335B7B" w:rsidRDefault="00335B7B" w:rsidP="00EA2B3D">
      <w:pPr>
        <w:pStyle w:val="Sangradetextonormal"/>
        <w:tabs>
          <w:tab w:val="center" w:pos="4513"/>
        </w:tabs>
        <w:ind w:left="0"/>
        <w:rPr>
          <w:rFonts w:ascii="Arial" w:hAnsi="Arial"/>
        </w:rPr>
      </w:pPr>
    </w:p>
    <w:p w:rsidR="00997AFF" w:rsidRDefault="00997AFF" w:rsidP="00EA2B3D">
      <w:pPr>
        <w:pStyle w:val="Sangradetextonormal"/>
        <w:tabs>
          <w:tab w:val="center" w:pos="4513"/>
        </w:tabs>
        <w:ind w:left="0"/>
        <w:rPr>
          <w:rFonts w:ascii="Arial" w:hAnsi="Arial"/>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 xml:space="preserve">Acreditar </w:t>
      </w:r>
      <w:r w:rsidR="00C16DB4">
        <w:rPr>
          <w:rFonts w:ascii="Arial" w:hAnsi="Arial"/>
          <w:sz w:val="22"/>
        </w:rPr>
        <w:t xml:space="preserve">mediante nota emitida por los contratantes, públicos o privados, haber cumplido al menos </w:t>
      </w:r>
      <w:r w:rsidR="008E6B3E">
        <w:rPr>
          <w:rFonts w:ascii="Arial" w:hAnsi="Arial"/>
          <w:sz w:val="22"/>
        </w:rPr>
        <w:t xml:space="preserve">dos </w:t>
      </w:r>
      <w:r w:rsidR="00700A28" w:rsidRPr="00503AB6">
        <w:rPr>
          <w:rFonts w:ascii="Arial" w:hAnsi="Arial"/>
          <w:sz w:val="22"/>
        </w:rPr>
        <w:t xml:space="preserve">contratos </w:t>
      </w:r>
      <w:r w:rsidR="00C16DB4">
        <w:rPr>
          <w:rFonts w:ascii="Arial" w:hAnsi="Arial"/>
          <w:sz w:val="22"/>
        </w:rPr>
        <w:t>entre los años 201</w:t>
      </w:r>
      <w:r w:rsidR="008E6B3E">
        <w:rPr>
          <w:rFonts w:ascii="Arial" w:hAnsi="Arial"/>
          <w:sz w:val="22"/>
        </w:rPr>
        <w:t>9</w:t>
      </w:r>
      <w:r w:rsidR="00C16DB4">
        <w:rPr>
          <w:rFonts w:ascii="Arial" w:hAnsi="Arial"/>
          <w:sz w:val="22"/>
        </w:rPr>
        <w:t xml:space="preserve"> y 202</w:t>
      </w:r>
      <w:r w:rsidR="008E6B3E">
        <w:rPr>
          <w:rFonts w:ascii="Arial" w:hAnsi="Arial"/>
          <w:sz w:val="22"/>
        </w:rPr>
        <w:t>3</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w:t>
      </w:r>
      <w:r w:rsidR="00B9441A">
        <w:rPr>
          <w:rFonts w:ascii="Arial" w:hAnsi="Arial" w:cs="Arial"/>
          <w:sz w:val="22"/>
          <w:szCs w:val="22"/>
        </w:rPr>
        <w:t>,</w:t>
      </w:r>
      <w:r w:rsidRPr="00CC4B1E">
        <w:rPr>
          <w:rFonts w:ascii="Arial" w:hAnsi="Arial" w:cs="Arial"/>
          <w:sz w:val="22"/>
          <w:szCs w:val="22"/>
        </w:rPr>
        <w:t xml:space="preserve">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D149C8" w:rsidRDefault="00D149C8" w:rsidP="00D149C8">
      <w:pPr>
        <w:jc w:val="center"/>
        <w:rPr>
          <w:rFonts w:ascii="Arial" w:hAnsi="Arial"/>
          <w:b/>
          <w:sz w:val="24"/>
          <w:u w:val="single"/>
        </w:rPr>
      </w:pPr>
      <w:r>
        <w:rPr>
          <w:rFonts w:ascii="Arial" w:hAnsi="Arial"/>
          <w:b/>
          <w:sz w:val="24"/>
          <w:u w:val="single"/>
        </w:rPr>
        <w:lastRenderedPageBreak/>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5D0984" w:rsidRDefault="005D0984" w:rsidP="00430555">
      <w:pPr>
        <w:jc w:val="center"/>
        <w:rPr>
          <w:rFonts w:ascii="Arial" w:hAnsi="Arial"/>
          <w:b/>
          <w:sz w:val="24"/>
          <w:u w:val="single"/>
        </w:rPr>
      </w:pPr>
      <w:r>
        <w:rPr>
          <w:rFonts w:ascii="Arial" w:hAnsi="Arial"/>
          <w:b/>
          <w:sz w:val="24"/>
          <w:u w:val="single"/>
        </w:rPr>
        <w:lastRenderedPageBreak/>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proofErr w:type="gramStart"/>
      <w:r w:rsidRPr="00A36A32">
        <w:rPr>
          <w:rFonts w:ascii="Arial" w:hAnsi="Arial"/>
          <w:sz w:val="22"/>
        </w:rPr>
        <w:t xml:space="preserve"> ....</w:t>
      </w:r>
      <w:proofErr w:type="gramEnd"/>
      <w:r w:rsidRPr="00A36A32">
        <w:rPr>
          <w:rFonts w:ascii="Arial" w:hAnsi="Arial"/>
          <w:sz w:val="22"/>
        </w:rPr>
        <w:t>.</w:t>
      </w:r>
      <w:r w:rsidR="00F81C88" w:rsidRPr="00A36A32">
        <w:rPr>
          <w:rFonts w:ascii="Arial" w:hAnsi="Arial"/>
          <w:sz w:val="22"/>
        </w:rPr>
        <w:t xml:space="preserve"> </w:t>
      </w:r>
      <w:proofErr w:type="spellStart"/>
      <w:r w:rsidR="00F81C88" w:rsidRPr="00A36A32">
        <w:rPr>
          <w:rFonts w:ascii="Arial" w:hAnsi="Arial"/>
          <w:sz w:val="22"/>
        </w:rPr>
        <w:t>Nº</w:t>
      </w:r>
      <w:proofErr w:type="spellEnd"/>
      <w:r w:rsidR="00F81C88" w:rsidRPr="00A36A32">
        <w:rPr>
          <w:rFonts w:ascii="Arial" w:hAnsi="Arial"/>
          <w:sz w:val="22"/>
        </w:rPr>
        <w:t xml:space="preserve">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 xml:space="preserve">Servicio </w:t>
      </w:r>
      <w:r w:rsidR="00FE011D">
        <w:rPr>
          <w:rFonts w:ascii="Arial" w:hAnsi="Arial"/>
          <w:b/>
          <w:i/>
          <w:sz w:val="22"/>
        </w:rPr>
        <w:t>de</w:t>
      </w:r>
      <w:r w:rsidR="00265330">
        <w:rPr>
          <w:rFonts w:ascii="Arial" w:hAnsi="Arial"/>
          <w:b/>
          <w:i/>
          <w:sz w:val="22"/>
        </w:rPr>
        <w:t xml:space="preserve"> vigilancia </w:t>
      </w:r>
      <w:r w:rsidR="0073652B">
        <w:rPr>
          <w:rFonts w:ascii="Arial" w:hAnsi="Arial"/>
          <w:b/>
          <w:i/>
          <w:sz w:val="22"/>
        </w:rPr>
        <w:t>para el Distrito A,</w:t>
      </w:r>
      <w:r w:rsidR="008E6B3E">
        <w:rPr>
          <w:rFonts w:ascii="Arial" w:hAnsi="Arial"/>
          <w:b/>
          <w:i/>
          <w:sz w:val="22"/>
        </w:rPr>
        <w:t xml:space="preserve"> División Regional </w:t>
      </w:r>
      <w:r w:rsidR="0073652B">
        <w:rPr>
          <w:rFonts w:ascii="Arial" w:hAnsi="Arial"/>
          <w:b/>
          <w:i/>
          <w:sz w:val="22"/>
        </w:rPr>
        <w:t>1</w:t>
      </w:r>
      <w:r w:rsidR="002B37A4">
        <w:rPr>
          <w:rFonts w:ascii="Arial" w:hAnsi="Arial"/>
          <w:b/>
          <w:i/>
          <w:sz w:val="22"/>
        </w:rPr>
        <w:t xml:space="preserve">, </w:t>
      </w:r>
      <w:r w:rsidR="008E6B3E">
        <w:rPr>
          <w:rFonts w:ascii="Arial" w:hAnsi="Arial"/>
          <w:b/>
          <w:i/>
          <w:sz w:val="22"/>
        </w:rPr>
        <w:t xml:space="preserve">Departamento de </w:t>
      </w:r>
      <w:r w:rsidR="0073652B">
        <w:rPr>
          <w:rFonts w:ascii="Arial" w:hAnsi="Arial"/>
          <w:b/>
          <w:i/>
          <w:sz w:val="22"/>
        </w:rPr>
        <w:t>Canelones</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2C1883" w:rsidRPr="00C16DB4"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Pr="00C16DB4">
        <w:rPr>
          <w:rFonts w:ascii="Arial" w:hAnsi="Arial"/>
          <w:sz w:val="22"/>
          <w:szCs w:val="22"/>
        </w:rPr>
        <w:t xml:space="preserve"> </w:t>
      </w:r>
      <w:r w:rsidRPr="00C16DB4">
        <w:rPr>
          <w:rFonts w:ascii="Arial" w:hAnsi="Arial"/>
          <w:b/>
          <w:sz w:val="22"/>
          <w:szCs w:val="22"/>
        </w:rPr>
        <w:t>hora hombre</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demás rubros correspondientes (salarios, nocturnidad, </w:t>
      </w:r>
      <w:r w:rsidR="00C16DB4" w:rsidRPr="00C16DB4">
        <w:rPr>
          <w:rFonts w:ascii="Arial" w:hAnsi="Arial"/>
          <w:b/>
          <w:sz w:val="22"/>
          <w:szCs w:val="22"/>
        </w:rPr>
        <w:t xml:space="preserve">días feriados, horas extra, </w:t>
      </w:r>
      <w:r w:rsidRPr="00C16DB4">
        <w:rPr>
          <w:rFonts w:ascii="Arial" w:hAnsi="Arial"/>
          <w:b/>
          <w:sz w:val="22"/>
          <w:szCs w:val="22"/>
        </w:rPr>
        <w:t>supervisión, contribuciones a la seguridad social, seguros, IVA, equipos, costo de equipos, uniforme, personal, etc.).</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lastRenderedPageBreak/>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w:t>
      </w:r>
      <w:r w:rsidRPr="00CD2A69">
        <w:rPr>
          <w:rFonts w:ascii="Arial" w:hAnsi="Arial"/>
          <w:sz w:val="22"/>
        </w:rPr>
        <w:t>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9F6FF2"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9F6FF2">
      <w:pPr>
        <w:pStyle w:val="Ttulo6"/>
        <w:tabs>
          <w:tab w:val="clear" w:pos="4513"/>
        </w:tabs>
        <w:rPr>
          <w:rFonts w:ascii="Arial" w:hAnsi="Arial"/>
        </w:rPr>
      </w:pPr>
      <w:r>
        <w:rPr>
          <w:rFonts w:ascii="Arial" w:hAnsi="Arial"/>
        </w:rPr>
        <w:t xml:space="preserve"> CONDICIONES PARTICULARES </w:t>
      </w:r>
    </w:p>
    <w:p w:rsidR="00B62452" w:rsidRDefault="00B62452" w:rsidP="009F6FF2">
      <w:pPr>
        <w:jc w:val="center"/>
      </w:pPr>
    </w:p>
    <w:p w:rsidR="00997AFF" w:rsidRPr="00FE4393" w:rsidRDefault="00997AFF" w:rsidP="00997AF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t>Prestación de los servicios</w:t>
      </w:r>
    </w:p>
    <w:p w:rsidR="00FA230C" w:rsidRPr="00362635" w:rsidRDefault="00997AFF" w:rsidP="00FA230C">
      <w:pPr>
        <w:pStyle w:val="Sangra3detindependiente"/>
        <w:ind w:hanging="851"/>
        <w:jc w:val="both"/>
        <w:rPr>
          <w:rFonts w:ascii="Arial" w:hAnsi="Arial"/>
          <w:szCs w:val="22"/>
        </w:rPr>
      </w:pPr>
      <w:r w:rsidRPr="00FE4393">
        <w:rPr>
          <w:rFonts w:ascii="Arial" w:hAnsi="Arial"/>
          <w:szCs w:val="22"/>
          <w:lang w:val="es-UY"/>
        </w:rPr>
        <w:t>1.1</w:t>
      </w:r>
      <w:r w:rsidRPr="00FE4393">
        <w:rPr>
          <w:rFonts w:ascii="Arial" w:hAnsi="Arial"/>
          <w:szCs w:val="22"/>
          <w:lang w:val="es-UY"/>
        </w:rPr>
        <w:tab/>
      </w:r>
      <w:r w:rsidR="00FA230C" w:rsidRPr="00FE4393">
        <w:rPr>
          <w:rFonts w:ascii="Arial" w:hAnsi="Arial"/>
          <w:szCs w:val="22"/>
          <w:lang w:val="es-UY"/>
        </w:rPr>
        <w:t xml:space="preserve">Los servicios de vigilancia serán prestados dentro del perímetro </w:t>
      </w:r>
      <w:r w:rsidR="00FA230C" w:rsidRPr="00362635">
        <w:rPr>
          <w:rFonts w:ascii="Arial" w:hAnsi="Arial"/>
          <w:szCs w:val="22"/>
          <w:lang w:val="es-UY"/>
        </w:rPr>
        <w:t xml:space="preserve">Distrito </w:t>
      </w:r>
      <w:r w:rsidR="00FA230C">
        <w:rPr>
          <w:rFonts w:ascii="Arial" w:hAnsi="Arial"/>
          <w:szCs w:val="22"/>
          <w:lang w:val="es-UY"/>
        </w:rPr>
        <w:t>A</w:t>
      </w:r>
      <w:r w:rsidR="00FA230C" w:rsidRPr="00362635">
        <w:rPr>
          <w:rFonts w:ascii="Arial" w:hAnsi="Arial"/>
          <w:szCs w:val="22"/>
          <w:lang w:val="es-UY"/>
        </w:rPr>
        <w:t xml:space="preserve">, de la División Regional 1, sito en la intersección de las Rutas Nos. </w:t>
      </w:r>
      <w:r w:rsidR="00FA230C">
        <w:rPr>
          <w:rFonts w:ascii="Arial" w:hAnsi="Arial"/>
          <w:szCs w:val="22"/>
          <w:lang w:val="es-UY"/>
        </w:rPr>
        <w:t>107</w:t>
      </w:r>
      <w:r w:rsidR="00FA230C" w:rsidRPr="00362635">
        <w:rPr>
          <w:rFonts w:ascii="Arial" w:hAnsi="Arial"/>
          <w:szCs w:val="22"/>
          <w:lang w:val="es-UY"/>
        </w:rPr>
        <w:t xml:space="preserve"> y </w:t>
      </w:r>
      <w:r w:rsidR="00FA230C">
        <w:rPr>
          <w:rFonts w:ascii="Arial" w:hAnsi="Arial"/>
          <w:szCs w:val="22"/>
          <w:lang w:val="es-UY"/>
        </w:rPr>
        <w:t>11</w:t>
      </w:r>
      <w:r w:rsidR="00FA230C" w:rsidRPr="00362635">
        <w:rPr>
          <w:rFonts w:ascii="Arial" w:hAnsi="Arial"/>
          <w:szCs w:val="22"/>
          <w:lang w:val="es-UY"/>
        </w:rPr>
        <w:t>, Departamento de Canelones.</w:t>
      </w:r>
    </w:p>
    <w:p w:rsidR="00FA230C" w:rsidRPr="00362635" w:rsidRDefault="00FA230C" w:rsidP="00FA230C">
      <w:pPr>
        <w:pStyle w:val="Sangra3detindependiente"/>
        <w:ind w:hanging="851"/>
        <w:jc w:val="both"/>
        <w:rPr>
          <w:rFonts w:ascii="Arial" w:hAnsi="Arial"/>
          <w:szCs w:val="22"/>
          <w:lang w:val="es-UY"/>
        </w:rPr>
      </w:pPr>
      <w:r w:rsidRPr="00FE4393">
        <w:rPr>
          <w:rFonts w:ascii="Arial" w:hAnsi="Arial"/>
          <w:szCs w:val="22"/>
          <w:lang w:val="es-ES"/>
        </w:rPr>
        <w:t>1.2</w:t>
      </w:r>
      <w:r w:rsidRPr="00FE4393">
        <w:rPr>
          <w:rFonts w:ascii="Arial" w:hAnsi="Arial"/>
          <w:szCs w:val="22"/>
          <w:lang w:val="es-ES"/>
        </w:rPr>
        <w:tab/>
      </w:r>
      <w:r w:rsidRPr="00362635">
        <w:rPr>
          <w:rFonts w:ascii="Arial" w:hAnsi="Arial"/>
          <w:szCs w:val="22"/>
          <w:lang w:val="es-UY"/>
        </w:rPr>
        <w:t xml:space="preserve">Los servicios serán prestados de lunes a domingo de 0 a 24 </w:t>
      </w:r>
      <w:proofErr w:type="spellStart"/>
      <w:r w:rsidRPr="00362635">
        <w:rPr>
          <w:rFonts w:ascii="Arial" w:hAnsi="Arial"/>
          <w:szCs w:val="22"/>
          <w:lang w:val="es-UY"/>
        </w:rPr>
        <w:t>hs</w:t>
      </w:r>
      <w:proofErr w:type="spellEnd"/>
      <w:r w:rsidRPr="00362635">
        <w:rPr>
          <w:rFonts w:ascii="Arial" w:hAnsi="Arial"/>
          <w:szCs w:val="22"/>
          <w:lang w:val="es-UY"/>
        </w:rPr>
        <w:t xml:space="preserve">, incluidos los días feriados. </w:t>
      </w:r>
    </w:p>
    <w:p w:rsidR="00FA230C" w:rsidRPr="00362635" w:rsidRDefault="00FA230C" w:rsidP="00FA230C">
      <w:pPr>
        <w:suppressAutoHyphens/>
        <w:autoSpaceDN w:val="0"/>
        <w:ind w:left="851" w:hanging="851"/>
        <w:jc w:val="both"/>
        <w:textAlignment w:val="baseline"/>
        <w:rPr>
          <w:rFonts w:ascii="Arial" w:hAnsi="Arial"/>
          <w:sz w:val="22"/>
          <w:szCs w:val="22"/>
          <w:lang w:val="es-UY"/>
        </w:rPr>
      </w:pPr>
      <w:r w:rsidRPr="00362635">
        <w:rPr>
          <w:rFonts w:ascii="Arial" w:hAnsi="Arial"/>
          <w:sz w:val="22"/>
          <w:szCs w:val="22"/>
          <w:lang w:val="es-UY"/>
        </w:rPr>
        <w:t>1.3</w:t>
      </w:r>
      <w:r w:rsidRPr="00362635">
        <w:rPr>
          <w:rFonts w:ascii="Arial" w:hAnsi="Arial"/>
          <w:sz w:val="22"/>
          <w:szCs w:val="22"/>
          <w:lang w:val="es-UY"/>
        </w:rPr>
        <w:tab/>
        <w:t>El requerimiento de los servicios y las modificaciones serán fijados por la Administración con hasta 12 horas de anticipación.</w:t>
      </w:r>
    </w:p>
    <w:p w:rsidR="00FA230C" w:rsidRDefault="00FA230C" w:rsidP="00FA230C">
      <w:pPr>
        <w:pStyle w:val="Sangra3detindependiente"/>
        <w:ind w:hanging="851"/>
        <w:jc w:val="both"/>
        <w:rPr>
          <w:rFonts w:ascii="Arial" w:hAnsi="Arial"/>
          <w:szCs w:val="22"/>
          <w:lang w:val="es-UY"/>
        </w:rPr>
      </w:pPr>
      <w:r>
        <w:rPr>
          <w:rFonts w:ascii="Arial" w:hAnsi="Arial"/>
          <w:szCs w:val="22"/>
          <w:lang w:val="es-UY"/>
        </w:rPr>
        <w:t>1.4</w:t>
      </w:r>
      <w:r>
        <w:rPr>
          <w:rFonts w:ascii="Arial" w:hAnsi="Arial"/>
          <w:szCs w:val="22"/>
          <w:lang w:val="es-UY"/>
        </w:rPr>
        <w:tab/>
        <w:t>La Administración no se hará cargo de retribuciones adicionales por horas extra, siendo exclusivamente de cargo del adjudicatario disponer de los relevos correspondientes.</w:t>
      </w:r>
    </w:p>
    <w:p w:rsidR="00FA230C" w:rsidRDefault="00FA230C" w:rsidP="00FA230C">
      <w:pPr>
        <w:pStyle w:val="Sangra3detindependiente"/>
        <w:ind w:hanging="851"/>
        <w:jc w:val="both"/>
        <w:rPr>
          <w:rFonts w:ascii="Arial" w:hAnsi="Arial"/>
          <w:szCs w:val="22"/>
          <w:lang w:val="es-UY"/>
        </w:rPr>
      </w:pPr>
      <w:r>
        <w:rPr>
          <w:rFonts w:ascii="Arial" w:hAnsi="Arial"/>
          <w:szCs w:val="22"/>
          <w:lang w:val="es-UY"/>
        </w:rPr>
        <w:t>1.5</w:t>
      </w:r>
      <w:r>
        <w:rPr>
          <w:rFonts w:ascii="Arial" w:hAnsi="Arial"/>
          <w:szCs w:val="22"/>
          <w:lang w:val="es-UY"/>
        </w:rPr>
        <w:tab/>
        <w:t>Los servicios comprenderán:</w:t>
      </w:r>
    </w:p>
    <w:p w:rsidR="00FA230C" w:rsidRDefault="00FA230C" w:rsidP="00FA230C">
      <w:pPr>
        <w:pStyle w:val="Sangra3detindependiente"/>
        <w:numPr>
          <w:ilvl w:val="0"/>
          <w:numId w:val="37"/>
        </w:numPr>
        <w:jc w:val="both"/>
        <w:rPr>
          <w:rFonts w:ascii="Arial" w:hAnsi="Arial"/>
          <w:szCs w:val="22"/>
          <w:lang w:val="es-UY"/>
        </w:rPr>
      </w:pPr>
      <w:r>
        <w:rPr>
          <w:rFonts w:ascii="Arial" w:hAnsi="Arial"/>
          <w:szCs w:val="22"/>
          <w:lang w:val="es-UY"/>
        </w:rPr>
        <w:t>mantener cerrado el portón de acceso al predio y abrirlo al paso de vehículos y personas cuando le sea requerido</w:t>
      </w:r>
    </w:p>
    <w:p w:rsidR="00FA230C" w:rsidRPr="00FE4393" w:rsidRDefault="00FA230C" w:rsidP="00FA230C">
      <w:pPr>
        <w:pStyle w:val="Sangra3detindependiente"/>
        <w:numPr>
          <w:ilvl w:val="0"/>
          <w:numId w:val="37"/>
        </w:numPr>
        <w:jc w:val="both"/>
        <w:rPr>
          <w:rFonts w:ascii="Arial" w:hAnsi="Arial"/>
          <w:szCs w:val="22"/>
          <w:lang w:val="es-UY"/>
        </w:rPr>
      </w:pPr>
      <w:r w:rsidRPr="00FE4393">
        <w:rPr>
          <w:rFonts w:ascii="Arial" w:hAnsi="Arial"/>
          <w:szCs w:val="22"/>
          <w:lang w:val="es-UY"/>
        </w:rPr>
        <w:t>llevar en forma diaria un registro de ingresos/salida de toda persona y vehículo en el horario de la vigilancia, sean o no, funcionarios o vehículos de la DNV. Se debe indicar, nombre, cedula y datos del vehículo, marca, matrícula y color</w:t>
      </w:r>
    </w:p>
    <w:p w:rsidR="00FA230C" w:rsidRPr="00FF6AA3" w:rsidRDefault="00FA230C" w:rsidP="00FA230C">
      <w:pPr>
        <w:pStyle w:val="Sangra3detindependiente"/>
        <w:numPr>
          <w:ilvl w:val="0"/>
          <w:numId w:val="37"/>
        </w:numPr>
        <w:jc w:val="both"/>
        <w:rPr>
          <w:rFonts w:ascii="Arial" w:hAnsi="Arial"/>
          <w:szCs w:val="22"/>
          <w:lang w:val="es-UY"/>
        </w:rPr>
      </w:pPr>
      <w:r w:rsidRPr="00FF6AA3">
        <w:rPr>
          <w:rFonts w:ascii="Arial" w:hAnsi="Arial"/>
          <w:szCs w:val="22"/>
          <w:lang w:val="es-UY"/>
        </w:rPr>
        <w:t>llevar en forma diaria un libro de novedades a comunicar cada día a las Jefaturas de las dependencias y al funcionario de la DNV que se designe para el control.</w:t>
      </w:r>
    </w:p>
    <w:p w:rsidR="00FA230C" w:rsidRDefault="00FA230C" w:rsidP="00FA230C">
      <w:pPr>
        <w:pStyle w:val="Sangra3detindependiente"/>
        <w:numPr>
          <w:ilvl w:val="0"/>
          <w:numId w:val="37"/>
        </w:numPr>
        <w:jc w:val="both"/>
        <w:rPr>
          <w:rFonts w:ascii="Arial" w:hAnsi="Arial"/>
          <w:szCs w:val="22"/>
          <w:lang w:val="es-UY"/>
        </w:rPr>
      </w:pPr>
      <w:r>
        <w:rPr>
          <w:rFonts w:ascii="Arial" w:hAnsi="Arial"/>
          <w:szCs w:val="22"/>
          <w:lang w:val="es-UY"/>
        </w:rPr>
        <w:t>revisar cabinas, valijas y cajas de vehículos que ingresen o salgan de las dependencias fuera del horario de labor.</w:t>
      </w:r>
    </w:p>
    <w:p w:rsidR="00FA230C" w:rsidRPr="00FE4393" w:rsidRDefault="00FA230C" w:rsidP="00FA230C">
      <w:pPr>
        <w:pStyle w:val="Sangra3detindependiente"/>
        <w:numPr>
          <w:ilvl w:val="0"/>
          <w:numId w:val="37"/>
        </w:numPr>
        <w:jc w:val="both"/>
        <w:rPr>
          <w:rFonts w:ascii="Arial" w:hAnsi="Arial"/>
          <w:szCs w:val="22"/>
          <w:lang w:val="es-UY"/>
        </w:rPr>
      </w:pPr>
      <w:r>
        <w:rPr>
          <w:rFonts w:ascii="Arial" w:hAnsi="Arial"/>
          <w:szCs w:val="22"/>
          <w:lang w:val="es-UY"/>
        </w:rPr>
        <w:t xml:space="preserve">Realizar rondas de inspección fuera del horario de trabajo de los funcionarios, por todo el predio, cada una hora, utilizando además los </w:t>
      </w:r>
      <w:r w:rsidRPr="00FE4393">
        <w:rPr>
          <w:rFonts w:ascii="Arial" w:hAnsi="Arial"/>
          <w:szCs w:val="22"/>
          <w:lang w:val="es-UY"/>
        </w:rPr>
        <w:t>sistemas de ronda ya instalados.</w:t>
      </w:r>
    </w:p>
    <w:p w:rsidR="00FA230C" w:rsidRDefault="00FA230C" w:rsidP="00FA230C">
      <w:pPr>
        <w:pStyle w:val="Sangra3detindependiente"/>
        <w:numPr>
          <w:ilvl w:val="0"/>
          <w:numId w:val="37"/>
        </w:numPr>
        <w:jc w:val="both"/>
        <w:rPr>
          <w:rFonts w:ascii="Arial" w:hAnsi="Arial"/>
          <w:szCs w:val="22"/>
          <w:lang w:val="es-UY"/>
        </w:rPr>
      </w:pPr>
      <w:r>
        <w:rPr>
          <w:rFonts w:ascii="Arial" w:hAnsi="Arial"/>
          <w:szCs w:val="22"/>
          <w:lang w:val="es-UY"/>
        </w:rPr>
        <w:t>Cumplir con las instrucciones recibidas por la Administración, respecto al ingreso y egreso de personas y vehículos y otras relacionadas con el servicio a prestar.</w:t>
      </w:r>
    </w:p>
    <w:p w:rsidR="00E04700" w:rsidRDefault="00E04700" w:rsidP="00FA230C">
      <w:pPr>
        <w:pStyle w:val="Sangra3detindependiente"/>
        <w:ind w:hanging="851"/>
        <w:jc w:val="both"/>
        <w:rPr>
          <w:rFonts w:ascii="Arial" w:hAnsi="Arial"/>
          <w:szCs w:val="22"/>
          <w:lang w:val="es-UY"/>
        </w:rPr>
      </w:pPr>
    </w:p>
    <w:p w:rsidR="00E61A2F" w:rsidRPr="007C1786" w:rsidRDefault="00E61A2F" w:rsidP="00E04700">
      <w:pPr>
        <w:pStyle w:val="Sangra3detindependiente"/>
        <w:ind w:hanging="851"/>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xml:space="preserve">. Estará obligado a cumplirlas </w:t>
      </w:r>
      <w:r w:rsidR="009768AD" w:rsidRPr="007C1786">
        <w:rPr>
          <w:rFonts w:ascii="Arial" w:hAnsi="Arial" w:cs="Arial"/>
          <w:szCs w:val="22"/>
        </w:rPr>
        <w:t>aun</w:t>
      </w:r>
      <w:r w:rsidR="00E61A2F" w:rsidRPr="007C1786">
        <w:rPr>
          <w:rFonts w:ascii="Arial" w:hAnsi="Arial" w:cs="Arial"/>
          <w:szCs w:val="22"/>
        </w:rPr>
        <w:t xml:space="preserve">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lastRenderedPageBreak/>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w:t>
      </w:r>
      <w:proofErr w:type="spellStart"/>
      <w:r w:rsidRPr="007C1786">
        <w:rPr>
          <w:rFonts w:ascii="Arial" w:hAnsi="Arial" w:cs="Arial"/>
          <w:szCs w:val="22"/>
        </w:rPr>
        <w:t>etc</w:t>
      </w:r>
      <w:proofErr w:type="spellEnd"/>
      <w:r w:rsidRPr="007C1786">
        <w:rPr>
          <w:rFonts w:ascii="Arial" w:hAnsi="Arial" w:cs="Arial"/>
          <w:szCs w:val="22"/>
        </w:rPr>
        <w:t xml:space="preserve">,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w:t>
      </w:r>
      <w:r w:rsidR="009768AD" w:rsidRPr="007C1786">
        <w:rPr>
          <w:rFonts w:ascii="Arial" w:hAnsi="Arial" w:cs="Arial"/>
          <w:szCs w:val="22"/>
        </w:rPr>
        <w:t>trabajo,</w:t>
      </w:r>
      <w:r w:rsidRPr="007C1786">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proofErr w:type="gramStart"/>
      <w:r w:rsidR="00E61A2F" w:rsidRPr="000B2A6A">
        <w:rPr>
          <w:rFonts w:ascii="Arial" w:hAnsi="Arial"/>
          <w:b w:val="0"/>
          <w:szCs w:val="22"/>
        </w:rPr>
        <w:t>El</w:t>
      </w:r>
      <w:proofErr w:type="gramEnd"/>
      <w:r w:rsidR="00E61A2F" w:rsidRPr="000B2A6A">
        <w:rPr>
          <w:rFonts w:ascii="Arial" w:hAnsi="Arial"/>
          <w:b w:val="0"/>
          <w:szCs w:val="22"/>
        </w:rPr>
        <w:t xml:space="preserve">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xml:space="preserve">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lastRenderedPageBreak/>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430555">
        <w:rPr>
          <w:rFonts w:ascii="Arial" w:hAnsi="Arial"/>
          <w:b/>
          <w:sz w:val="22"/>
        </w:rPr>
        <w:t xml:space="preserve">CONCURSO DE PRECIOS </w:t>
      </w:r>
      <w:proofErr w:type="spellStart"/>
      <w:r w:rsidR="00430555">
        <w:rPr>
          <w:rFonts w:ascii="Arial" w:hAnsi="Arial"/>
          <w:b/>
          <w:sz w:val="22"/>
        </w:rPr>
        <w:t>Nº</w:t>
      </w:r>
      <w:proofErr w:type="spellEnd"/>
      <w:r w:rsidR="00430555">
        <w:rPr>
          <w:rFonts w:ascii="Arial" w:hAnsi="Arial"/>
          <w:b/>
          <w:sz w:val="22"/>
        </w:rPr>
        <w:t xml:space="preserve"> </w:t>
      </w:r>
      <w:r w:rsidR="009921E5">
        <w:rPr>
          <w:rFonts w:ascii="Arial" w:hAnsi="Arial"/>
          <w:b/>
          <w:sz w:val="22"/>
        </w:rPr>
        <w:t>0</w:t>
      </w:r>
      <w:r w:rsidR="00B9441A">
        <w:rPr>
          <w:rFonts w:ascii="Arial" w:hAnsi="Arial"/>
          <w:b/>
          <w:sz w:val="22"/>
        </w:rPr>
        <w:t>4</w:t>
      </w:r>
      <w:r>
        <w:rPr>
          <w:rFonts w:ascii="Arial" w:hAnsi="Arial"/>
          <w:b/>
          <w:sz w:val="22"/>
        </w:rPr>
        <w:t>/20</w:t>
      </w:r>
      <w:r w:rsidR="00430555">
        <w:rPr>
          <w:rFonts w:ascii="Arial" w:hAnsi="Arial"/>
          <w:b/>
          <w:sz w:val="22"/>
        </w:rPr>
        <w:t>2</w:t>
      </w:r>
      <w:r w:rsidR="008E6B3E">
        <w:rPr>
          <w:rFonts w:ascii="Arial" w:hAnsi="Arial"/>
          <w:b/>
          <w:sz w:val="22"/>
        </w:rPr>
        <w:t>4</w:t>
      </w:r>
    </w:p>
    <w:p w:rsidR="005D0984" w:rsidRDefault="005D0984" w:rsidP="00331FD7">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bookmarkStart w:id="0" w:name="_GoBack"/>
      <w:bookmarkEnd w:id="0"/>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8E6B3E">
        <w:rPr>
          <w:rFonts w:ascii="Arial" w:hAnsi="Arial"/>
          <w:b/>
          <w:sz w:val="22"/>
        </w:rPr>
        <w:t>T</w:t>
      </w:r>
      <w:r>
        <w:rPr>
          <w:rFonts w:ascii="Arial" w:hAnsi="Arial"/>
          <w:b/>
          <w:sz w:val="22"/>
        </w:rPr>
        <w:t xml:space="preserve">.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 xml:space="preserve">Calle: _________________________________ </w:t>
      </w:r>
      <w:proofErr w:type="spellStart"/>
      <w:r>
        <w:rPr>
          <w:rFonts w:ascii="Arial" w:hAnsi="Arial"/>
          <w:sz w:val="22"/>
        </w:rPr>
        <w:t>Nº</w:t>
      </w:r>
      <w:proofErr w:type="spellEnd"/>
      <w:r>
        <w:rPr>
          <w:rFonts w:ascii="Arial" w:hAnsi="Arial"/>
          <w:sz w:val="22"/>
        </w:rPr>
        <w:t>: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 xml:space="preserve">Ciudad o </w:t>
      </w:r>
      <w:proofErr w:type="gramStart"/>
      <w:r>
        <w:rPr>
          <w:rFonts w:ascii="Arial" w:hAnsi="Arial"/>
          <w:sz w:val="22"/>
        </w:rPr>
        <w:t>Localidad:_</w:t>
      </w:r>
      <w:proofErr w:type="gramEnd"/>
      <w:r>
        <w:rPr>
          <w:rFonts w:ascii="Arial" w:hAnsi="Arial"/>
          <w:sz w:val="22"/>
        </w:rPr>
        <w:t>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w:t>
      </w:r>
      <w:proofErr w:type="gramStart"/>
      <w:r>
        <w:rPr>
          <w:rFonts w:ascii="Arial" w:hAnsi="Arial"/>
          <w:sz w:val="22"/>
          <w:lang w:val="pt-BR"/>
        </w:rPr>
        <w:t>No._</w:t>
      </w:r>
      <w:proofErr w:type="gramEnd"/>
      <w:r>
        <w:rPr>
          <w:rFonts w:ascii="Arial" w:hAnsi="Arial"/>
          <w:sz w:val="22"/>
          <w:lang w:val="pt-BR"/>
        </w:rPr>
        <w:t>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proofErr w:type="gramStart"/>
      <w:r>
        <w:rPr>
          <w:rFonts w:ascii="Arial" w:hAnsi="Arial"/>
          <w:sz w:val="22"/>
        </w:rPr>
        <w:t>E-mail:_</w:t>
      </w:r>
      <w:proofErr w:type="gramEnd"/>
      <w:r>
        <w:rPr>
          <w:rFonts w:ascii="Arial" w:hAnsi="Arial"/>
          <w:sz w:val="22"/>
        </w:rPr>
        <w:t>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w:t>
      </w:r>
      <w:proofErr w:type="gramStart"/>
      <w:r>
        <w:rPr>
          <w:rFonts w:ascii="Arial" w:hAnsi="Arial"/>
          <w:b/>
        </w:rPr>
        <w:t>S:_</w:t>
      </w:r>
      <w:proofErr w:type="gramEnd"/>
      <w:r>
        <w:rPr>
          <w:rFonts w:ascii="Arial" w:hAnsi="Arial"/>
          <w:b/>
        </w:rPr>
        <w:t>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39" w:rsidRDefault="00965739">
      <w:r>
        <w:separator/>
      </w:r>
    </w:p>
  </w:endnote>
  <w:endnote w:type="continuationSeparator" w:id="0">
    <w:p w:rsidR="00965739" w:rsidRDefault="0096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B8" w:rsidRDefault="00F14D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r w:rsidR="0073652B">
      <w:rPr>
        <w:rFonts w:ascii="Arial" w:hAnsi="Arial"/>
        <w:i/>
        <w:sz w:val="18"/>
      </w:rPr>
      <w:t xml:space="preserve"> – División Regional 1  </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7165C6">
      <w:rPr>
        <w:rStyle w:val="Nmerodepgina"/>
        <w:noProof/>
        <w:kern w:val="18"/>
      </w:rPr>
      <w:t>1</w:t>
    </w:r>
    <w:r>
      <w:rPr>
        <w:rStyle w:val="Nmerodepgina"/>
        <w:kern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B8" w:rsidRDefault="00F14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39" w:rsidRDefault="00965739">
      <w:r>
        <w:separator/>
      </w:r>
    </w:p>
  </w:footnote>
  <w:footnote w:type="continuationSeparator" w:id="0">
    <w:p w:rsidR="00965739" w:rsidRDefault="0096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B8" w:rsidRDefault="00F14D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3E" w:rsidRPr="007C7E6D" w:rsidRDefault="002B37A4">
    <w:pPr>
      <w:pStyle w:val="Descripcin"/>
      <w:pBdr>
        <w:bottom w:val="single" w:sz="4" w:space="1" w:color="auto"/>
      </w:pBdr>
      <w:spacing w:line="240" w:lineRule="auto"/>
      <w:ind w:right="-144"/>
      <w:rPr>
        <w:lang w:val="es-AR"/>
      </w:rPr>
    </w:pPr>
    <w:r>
      <w:rPr>
        <w:lang w:val="es-AR"/>
      </w:rPr>
      <w:t>V</w:t>
    </w:r>
    <w:r w:rsidR="00944E3E">
      <w:rPr>
        <w:lang w:val="es-AR"/>
      </w:rPr>
      <w:t xml:space="preserve">igilancia </w:t>
    </w:r>
    <w:r w:rsidR="0073652B">
      <w:rPr>
        <w:lang w:val="es-AR"/>
      </w:rPr>
      <w:t>Distrito A</w:t>
    </w:r>
    <w:r w:rsidR="003E2F3A">
      <w:rPr>
        <w:lang w:val="es-AR"/>
      </w:rPr>
      <w:t xml:space="preserve"> -</w:t>
    </w:r>
    <w:r w:rsidR="009B7237">
      <w:rPr>
        <w:lang w:val="es-AR"/>
      </w:rPr>
      <w:t xml:space="preserve"> </w:t>
    </w:r>
    <w:r w:rsidR="00F14DB8">
      <w:rPr>
        <w:lang w:val="es-AR"/>
      </w:rPr>
      <w:t>Canelones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B8" w:rsidRDefault="00F14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0"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8"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9"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0"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2"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4"/>
  </w:num>
  <w:num w:numId="2">
    <w:abstractNumId w:val="10"/>
  </w:num>
  <w:num w:numId="3">
    <w:abstractNumId w:val="9"/>
  </w:num>
  <w:num w:numId="4">
    <w:abstractNumId w:val="13"/>
  </w:num>
  <w:num w:numId="5">
    <w:abstractNumId w:val="14"/>
  </w:num>
  <w:num w:numId="6">
    <w:abstractNumId w:val="15"/>
  </w:num>
  <w:num w:numId="7">
    <w:abstractNumId w:val="25"/>
  </w:num>
  <w:num w:numId="8">
    <w:abstractNumId w:val="21"/>
  </w:num>
  <w:num w:numId="9">
    <w:abstractNumId w:val="29"/>
  </w:num>
  <w:num w:numId="10">
    <w:abstractNumId w:val="5"/>
  </w:num>
  <w:num w:numId="11">
    <w:abstractNumId w:val="30"/>
  </w:num>
  <w:num w:numId="12">
    <w:abstractNumId w:val="31"/>
  </w:num>
  <w:num w:numId="13">
    <w:abstractNumId w:val="28"/>
  </w:num>
  <w:num w:numId="14">
    <w:abstractNumId w:val="7"/>
  </w:num>
  <w:num w:numId="15">
    <w:abstractNumId w:val="11"/>
  </w:num>
  <w:num w:numId="16">
    <w:abstractNumId w:val="23"/>
  </w:num>
  <w:num w:numId="17">
    <w:abstractNumId w:val="19"/>
  </w:num>
  <w:num w:numId="18">
    <w:abstractNumId w:val="2"/>
  </w:num>
  <w:num w:numId="19">
    <w:abstractNumId w:val="3"/>
  </w:num>
  <w:num w:numId="20">
    <w:abstractNumId w:val="12"/>
  </w:num>
  <w:num w:numId="21">
    <w:abstractNumId w:val="1"/>
  </w:num>
  <w:num w:numId="22">
    <w:abstractNumId w:val="27"/>
  </w:num>
  <w:num w:numId="23">
    <w:abstractNumId w:val="20"/>
  </w:num>
  <w:num w:numId="24">
    <w:abstractNumId w:val="24"/>
  </w:num>
  <w:num w:numId="25">
    <w:abstractNumId w:val="6"/>
  </w:num>
  <w:num w:numId="26">
    <w:abstractNumId w:val="18"/>
  </w:num>
  <w:num w:numId="27">
    <w:abstractNumId w:val="26"/>
  </w:num>
  <w:num w:numId="28">
    <w:abstractNumId w:val="17"/>
  </w:num>
  <w:num w:numId="29">
    <w:abstractNumId w:val="32"/>
  </w:num>
  <w:num w:numId="30">
    <w:abstractNumId w:val="4"/>
  </w:num>
  <w:num w:numId="31">
    <w:abstractNumId w:val="1"/>
  </w:num>
  <w:num w:numId="32">
    <w:abstractNumId w:val="8"/>
  </w:num>
  <w:num w:numId="33">
    <w:abstractNumId w:val="16"/>
  </w:num>
  <w:num w:numId="34">
    <w:abstractNumId w:val="0"/>
  </w:num>
  <w:num w:numId="35">
    <w:abstractNumId w:val="22"/>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2EBF"/>
    <w:rsid w:val="0007301C"/>
    <w:rsid w:val="000763F4"/>
    <w:rsid w:val="00081113"/>
    <w:rsid w:val="00082071"/>
    <w:rsid w:val="00084122"/>
    <w:rsid w:val="000A3E4C"/>
    <w:rsid w:val="000B2A6A"/>
    <w:rsid w:val="000C15D6"/>
    <w:rsid w:val="000D2FDC"/>
    <w:rsid w:val="000D424C"/>
    <w:rsid w:val="000D5AE6"/>
    <w:rsid w:val="000D631B"/>
    <w:rsid w:val="000E1FEA"/>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1FD7"/>
    <w:rsid w:val="003333B7"/>
    <w:rsid w:val="00335B7B"/>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2F3A"/>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27D6"/>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32A4"/>
    <w:rsid w:val="007165C6"/>
    <w:rsid w:val="00716F73"/>
    <w:rsid w:val="0071740A"/>
    <w:rsid w:val="00721D6F"/>
    <w:rsid w:val="00723174"/>
    <w:rsid w:val="00731B33"/>
    <w:rsid w:val="00736000"/>
    <w:rsid w:val="0073652B"/>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4989"/>
    <w:rsid w:val="00886E23"/>
    <w:rsid w:val="008A25ED"/>
    <w:rsid w:val="008A768C"/>
    <w:rsid w:val="008B0BAD"/>
    <w:rsid w:val="008C0269"/>
    <w:rsid w:val="008C07BD"/>
    <w:rsid w:val="008C18A7"/>
    <w:rsid w:val="008E6B3E"/>
    <w:rsid w:val="008F14BC"/>
    <w:rsid w:val="008F326E"/>
    <w:rsid w:val="00905860"/>
    <w:rsid w:val="00907BFC"/>
    <w:rsid w:val="00914F1D"/>
    <w:rsid w:val="00921A6D"/>
    <w:rsid w:val="00924CB3"/>
    <w:rsid w:val="00930073"/>
    <w:rsid w:val="00931573"/>
    <w:rsid w:val="0093735B"/>
    <w:rsid w:val="009375D6"/>
    <w:rsid w:val="00942257"/>
    <w:rsid w:val="00944E3E"/>
    <w:rsid w:val="0095031E"/>
    <w:rsid w:val="009602A5"/>
    <w:rsid w:val="00965739"/>
    <w:rsid w:val="00972EC8"/>
    <w:rsid w:val="009768AD"/>
    <w:rsid w:val="0098247F"/>
    <w:rsid w:val="009824BA"/>
    <w:rsid w:val="00982575"/>
    <w:rsid w:val="009840E8"/>
    <w:rsid w:val="00984574"/>
    <w:rsid w:val="00986FD1"/>
    <w:rsid w:val="009921E5"/>
    <w:rsid w:val="00997AFF"/>
    <w:rsid w:val="009B7237"/>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3872"/>
    <w:rsid w:val="00A9505A"/>
    <w:rsid w:val="00AA1FEB"/>
    <w:rsid w:val="00AC1973"/>
    <w:rsid w:val="00AC714A"/>
    <w:rsid w:val="00AD0303"/>
    <w:rsid w:val="00AE1473"/>
    <w:rsid w:val="00AE4BCD"/>
    <w:rsid w:val="00AF55B1"/>
    <w:rsid w:val="00B16387"/>
    <w:rsid w:val="00B213DB"/>
    <w:rsid w:val="00B2179F"/>
    <w:rsid w:val="00B278C4"/>
    <w:rsid w:val="00B41BBE"/>
    <w:rsid w:val="00B428A7"/>
    <w:rsid w:val="00B46813"/>
    <w:rsid w:val="00B47B08"/>
    <w:rsid w:val="00B54477"/>
    <w:rsid w:val="00B62452"/>
    <w:rsid w:val="00B62878"/>
    <w:rsid w:val="00B66B73"/>
    <w:rsid w:val="00B66E0B"/>
    <w:rsid w:val="00B7397D"/>
    <w:rsid w:val="00B749AF"/>
    <w:rsid w:val="00B91ED5"/>
    <w:rsid w:val="00B9441A"/>
    <w:rsid w:val="00BA5005"/>
    <w:rsid w:val="00BC739F"/>
    <w:rsid w:val="00BF2904"/>
    <w:rsid w:val="00BF320B"/>
    <w:rsid w:val="00BF5641"/>
    <w:rsid w:val="00C04137"/>
    <w:rsid w:val="00C16DB4"/>
    <w:rsid w:val="00C307F6"/>
    <w:rsid w:val="00C33C31"/>
    <w:rsid w:val="00C40D0A"/>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4700"/>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4DB8"/>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230C"/>
    <w:rsid w:val="00FA367E"/>
    <w:rsid w:val="00FA5CC3"/>
    <w:rsid w:val="00FD0D24"/>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E89623"/>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4D9F-B8F2-4E5A-B5C2-2CB39F4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2790</Words>
  <Characters>15619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18373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SOFIA TOGNAZZOLO</cp:lastModifiedBy>
  <cp:revision>4</cp:revision>
  <cp:lastPrinted>2023-03-29T17:07:00Z</cp:lastPrinted>
  <dcterms:created xsi:type="dcterms:W3CDTF">2024-02-09T17:59:00Z</dcterms:created>
  <dcterms:modified xsi:type="dcterms:W3CDTF">2024-02-26T11:39:00Z</dcterms:modified>
</cp:coreProperties>
</file>