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39" w:rsidRPr="00474711" w:rsidRDefault="008076B1" w:rsidP="00716E7A">
      <w:pPr>
        <w:widowControl w:val="0"/>
        <w:autoSpaceDE w:val="0"/>
        <w:autoSpaceDN w:val="0"/>
        <w:adjustRightInd w:val="0"/>
        <w:spacing w:before="100" w:after="100" w:line="240" w:lineRule="auto"/>
        <w:ind w:left="22" w:firstLine="142"/>
        <w:jc w:val="center"/>
        <w:rPr>
          <w:rFonts w:ascii="Bookman Old Style" w:hAnsi="Bookman Old Style"/>
          <w:sz w:val="24"/>
          <w:szCs w:val="24"/>
          <w:lang w:val="es-ES_tradnl"/>
        </w:rPr>
      </w:pPr>
      <w:r>
        <w:rPr>
          <w:rFonts w:ascii="Bookman Old Style" w:hAnsi="Bookman Old Style"/>
          <w:noProof/>
          <w:sz w:val="24"/>
          <w:szCs w:val="24"/>
          <w:lang w:eastAsia="es-ES"/>
        </w:rPr>
        <w:drawing>
          <wp:inline distT="0" distB="0" distL="0" distR="0" wp14:anchorId="73667DBA">
            <wp:extent cx="3017520" cy="78041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7520" cy="780415"/>
                    </a:xfrm>
                    <a:prstGeom prst="rect">
                      <a:avLst/>
                    </a:prstGeom>
                    <a:noFill/>
                  </pic:spPr>
                </pic:pic>
              </a:graphicData>
            </a:graphic>
          </wp:inline>
        </w:drawing>
      </w:r>
      <w:r w:rsidR="00A23C39">
        <w:rPr>
          <w:rFonts w:ascii="Bookman Old Style" w:hAnsi="Bookman Old Style"/>
          <w:sz w:val="24"/>
          <w:szCs w:val="24"/>
          <w:lang w:val="es-ES_tradnl"/>
        </w:rPr>
        <w:tab/>
      </w:r>
      <w:r w:rsidR="00A23C39">
        <w:rPr>
          <w:rFonts w:ascii="Bookman Old Style" w:hAnsi="Bookman Old Style"/>
          <w:sz w:val="24"/>
          <w:szCs w:val="24"/>
          <w:lang w:val="es-ES_tradnl"/>
        </w:rPr>
        <w:tab/>
      </w:r>
    </w:p>
    <w:p w:rsidR="006745E4" w:rsidRDefault="006745E4" w:rsidP="006C2DE2">
      <w:pPr>
        <w:widowControl w:val="0"/>
        <w:autoSpaceDE w:val="0"/>
        <w:autoSpaceDN w:val="0"/>
        <w:adjustRightInd w:val="0"/>
        <w:spacing w:before="100" w:after="100" w:line="360" w:lineRule="auto"/>
        <w:jc w:val="both"/>
        <w:rPr>
          <w:rFonts w:ascii="Arial" w:hAnsi="Arial" w:cs="Arial"/>
          <w:b/>
          <w:bCs/>
          <w:sz w:val="21"/>
          <w:szCs w:val="21"/>
        </w:rPr>
      </w:pPr>
    </w:p>
    <w:p w:rsidR="006C2DE2" w:rsidRPr="001132D5" w:rsidRDefault="006C2DE2" w:rsidP="006C2DE2">
      <w:pPr>
        <w:widowControl w:val="0"/>
        <w:autoSpaceDE w:val="0"/>
        <w:autoSpaceDN w:val="0"/>
        <w:adjustRightInd w:val="0"/>
        <w:spacing w:before="100" w:after="100" w:line="360" w:lineRule="auto"/>
        <w:jc w:val="both"/>
        <w:rPr>
          <w:rFonts w:ascii="Arial" w:hAnsi="Arial" w:cs="Arial"/>
          <w:b/>
          <w:bCs/>
          <w:sz w:val="21"/>
          <w:szCs w:val="21"/>
        </w:rPr>
      </w:pPr>
      <w:r w:rsidRPr="001132D5">
        <w:rPr>
          <w:rFonts w:ascii="Arial" w:hAnsi="Arial" w:cs="Arial"/>
          <w:b/>
          <w:bCs/>
          <w:sz w:val="21"/>
          <w:szCs w:val="21"/>
        </w:rPr>
        <w:t>1. OBJETO</w:t>
      </w:r>
    </w:p>
    <w:p w:rsidR="0053504F" w:rsidRDefault="002B1A9D" w:rsidP="006C2DE2">
      <w:pPr>
        <w:widowControl w:val="0"/>
        <w:autoSpaceDE w:val="0"/>
        <w:autoSpaceDN w:val="0"/>
        <w:adjustRightInd w:val="0"/>
        <w:spacing w:before="100" w:after="100" w:line="360" w:lineRule="auto"/>
        <w:jc w:val="both"/>
        <w:rPr>
          <w:rFonts w:ascii="Arial" w:hAnsi="Arial" w:cs="Arial"/>
          <w:sz w:val="21"/>
          <w:szCs w:val="21"/>
        </w:rPr>
      </w:pPr>
      <w:r>
        <w:rPr>
          <w:rFonts w:ascii="Arial" w:hAnsi="Arial" w:cs="Arial"/>
          <w:sz w:val="21"/>
          <w:szCs w:val="21"/>
        </w:rPr>
        <w:t>La Dirección Nacional de Hidrografía</w:t>
      </w:r>
      <w:r w:rsidRPr="005C324C">
        <w:rPr>
          <w:sz w:val="24"/>
          <w:szCs w:val="24"/>
        </w:rPr>
        <w:t xml:space="preserve"> </w:t>
      </w:r>
      <w:r w:rsidR="006C2DE2" w:rsidRPr="001132D5">
        <w:rPr>
          <w:rFonts w:ascii="Arial" w:hAnsi="Arial" w:cs="Arial"/>
          <w:sz w:val="21"/>
          <w:szCs w:val="21"/>
        </w:rPr>
        <w:t xml:space="preserve">convoca a </w:t>
      </w:r>
      <w:r w:rsidR="00214064">
        <w:rPr>
          <w:rFonts w:ascii="Arial" w:hAnsi="Arial" w:cs="Arial"/>
          <w:sz w:val="21"/>
          <w:szCs w:val="21"/>
        </w:rPr>
        <w:t>Concurso de P</w:t>
      </w:r>
      <w:r w:rsidR="00716E7A">
        <w:rPr>
          <w:rFonts w:ascii="Arial" w:hAnsi="Arial" w:cs="Arial"/>
          <w:sz w:val="21"/>
          <w:szCs w:val="21"/>
        </w:rPr>
        <w:t xml:space="preserve">recios </w:t>
      </w:r>
      <w:r w:rsidR="00214064">
        <w:rPr>
          <w:rFonts w:ascii="Arial" w:hAnsi="Arial" w:cs="Arial"/>
          <w:sz w:val="21"/>
          <w:szCs w:val="21"/>
        </w:rPr>
        <w:t xml:space="preserve">a </w:t>
      </w:r>
      <w:r>
        <w:rPr>
          <w:rFonts w:ascii="Arial" w:hAnsi="Arial" w:cs="Arial"/>
          <w:sz w:val="21"/>
          <w:szCs w:val="21"/>
        </w:rPr>
        <w:t>e</w:t>
      </w:r>
      <w:r w:rsidRPr="005C1791">
        <w:rPr>
          <w:rFonts w:ascii="Arial" w:hAnsi="Arial" w:cs="Arial"/>
          <w:sz w:val="21"/>
          <w:szCs w:val="21"/>
        </w:rPr>
        <w:t>mpresas inscriptas</w:t>
      </w:r>
      <w:r w:rsidR="005C324C" w:rsidRPr="005C1791">
        <w:rPr>
          <w:rFonts w:ascii="Arial" w:hAnsi="Arial" w:cs="Arial"/>
          <w:sz w:val="21"/>
          <w:szCs w:val="21"/>
        </w:rPr>
        <w:t xml:space="preserve"> o calificadas en el Registro </w:t>
      </w:r>
      <w:r w:rsidR="001905C2" w:rsidRPr="005C1791">
        <w:rPr>
          <w:rFonts w:ascii="Arial" w:hAnsi="Arial" w:cs="Arial"/>
          <w:sz w:val="21"/>
          <w:szCs w:val="21"/>
        </w:rPr>
        <w:t>Único de Proveedores del Estado</w:t>
      </w:r>
      <w:r w:rsidR="005C324C" w:rsidRPr="005C1791">
        <w:rPr>
          <w:rFonts w:ascii="Arial" w:hAnsi="Arial" w:cs="Arial"/>
          <w:sz w:val="21"/>
          <w:szCs w:val="21"/>
        </w:rPr>
        <w:t xml:space="preserve"> para </w:t>
      </w:r>
      <w:bookmarkStart w:id="0" w:name="_Hlk152160161"/>
      <w:r w:rsidR="005C324C" w:rsidRPr="005C1791">
        <w:rPr>
          <w:rFonts w:ascii="Arial" w:hAnsi="Arial" w:cs="Arial"/>
          <w:sz w:val="21"/>
          <w:szCs w:val="21"/>
        </w:rPr>
        <w:t xml:space="preserve">el </w:t>
      </w:r>
      <w:r w:rsidR="00E1286B">
        <w:rPr>
          <w:rFonts w:ascii="Arial" w:hAnsi="Arial" w:cs="Arial"/>
          <w:sz w:val="21"/>
          <w:szCs w:val="21"/>
        </w:rPr>
        <w:t>“</w:t>
      </w:r>
      <w:r w:rsidR="00214064">
        <w:rPr>
          <w:rFonts w:ascii="Arial" w:hAnsi="Arial" w:cs="Arial"/>
          <w:sz w:val="21"/>
          <w:szCs w:val="21"/>
        </w:rPr>
        <w:t xml:space="preserve">suministro de </w:t>
      </w:r>
      <w:r w:rsidR="00FB3475">
        <w:rPr>
          <w:rFonts w:ascii="Arial" w:hAnsi="Arial" w:cs="Arial"/>
          <w:sz w:val="21"/>
          <w:szCs w:val="21"/>
        </w:rPr>
        <w:t>“</w:t>
      </w:r>
      <w:r>
        <w:rPr>
          <w:rFonts w:ascii="Arial" w:hAnsi="Arial" w:cs="Arial"/>
          <w:sz w:val="21"/>
          <w:szCs w:val="21"/>
        </w:rPr>
        <w:t>1 (</w:t>
      </w:r>
      <w:r w:rsidR="00AB30A1">
        <w:rPr>
          <w:rFonts w:ascii="Arial" w:hAnsi="Arial" w:cs="Arial"/>
          <w:sz w:val="21"/>
          <w:szCs w:val="21"/>
        </w:rPr>
        <w:t>un</w:t>
      </w:r>
      <w:r>
        <w:rPr>
          <w:rFonts w:ascii="Arial" w:hAnsi="Arial" w:cs="Arial"/>
          <w:sz w:val="21"/>
          <w:szCs w:val="21"/>
        </w:rPr>
        <w:t>)</w:t>
      </w:r>
      <w:r w:rsidR="00AB30A1">
        <w:rPr>
          <w:rFonts w:ascii="Arial" w:hAnsi="Arial" w:cs="Arial"/>
          <w:sz w:val="21"/>
          <w:szCs w:val="21"/>
        </w:rPr>
        <w:t xml:space="preserve"> eje, </w:t>
      </w:r>
      <w:r>
        <w:rPr>
          <w:rFonts w:ascii="Arial" w:hAnsi="Arial" w:cs="Arial"/>
          <w:sz w:val="21"/>
          <w:szCs w:val="21"/>
        </w:rPr>
        <w:t>2 (</w:t>
      </w:r>
      <w:r w:rsidR="00AB30A1">
        <w:rPr>
          <w:rFonts w:ascii="Arial" w:hAnsi="Arial" w:cs="Arial"/>
          <w:sz w:val="21"/>
          <w:szCs w:val="21"/>
        </w:rPr>
        <w:t>dos</w:t>
      </w:r>
      <w:r>
        <w:rPr>
          <w:rFonts w:ascii="Arial" w:hAnsi="Arial" w:cs="Arial"/>
          <w:sz w:val="21"/>
          <w:szCs w:val="21"/>
        </w:rPr>
        <w:t>)</w:t>
      </w:r>
      <w:r w:rsidR="00AB30A1">
        <w:rPr>
          <w:rFonts w:ascii="Arial" w:hAnsi="Arial" w:cs="Arial"/>
          <w:sz w:val="21"/>
          <w:szCs w:val="21"/>
        </w:rPr>
        <w:t xml:space="preserve"> hélices y </w:t>
      </w:r>
      <w:r>
        <w:rPr>
          <w:rFonts w:ascii="Arial" w:hAnsi="Arial" w:cs="Arial"/>
          <w:sz w:val="21"/>
          <w:szCs w:val="21"/>
        </w:rPr>
        <w:t>2 (</w:t>
      </w:r>
      <w:r w:rsidR="00AB30A1">
        <w:rPr>
          <w:rFonts w:ascii="Arial" w:hAnsi="Arial" w:cs="Arial"/>
          <w:sz w:val="21"/>
          <w:szCs w:val="21"/>
        </w:rPr>
        <w:t>dos</w:t>
      </w:r>
      <w:r>
        <w:rPr>
          <w:rFonts w:ascii="Arial" w:hAnsi="Arial" w:cs="Arial"/>
          <w:sz w:val="21"/>
          <w:szCs w:val="21"/>
        </w:rPr>
        <w:t>)</w:t>
      </w:r>
      <w:r w:rsidR="00AB30A1">
        <w:rPr>
          <w:rFonts w:ascii="Arial" w:hAnsi="Arial" w:cs="Arial"/>
          <w:sz w:val="21"/>
          <w:szCs w:val="21"/>
        </w:rPr>
        <w:t xml:space="preserve"> </w:t>
      </w:r>
      <w:r w:rsidR="00C8500F">
        <w:rPr>
          <w:rFonts w:ascii="Arial" w:hAnsi="Arial" w:cs="Arial"/>
          <w:sz w:val="21"/>
          <w:szCs w:val="21"/>
        </w:rPr>
        <w:t xml:space="preserve">bujes </w:t>
      </w:r>
      <w:r w:rsidR="00D7236F">
        <w:rPr>
          <w:rFonts w:ascii="Arial" w:hAnsi="Arial" w:cs="Arial"/>
          <w:sz w:val="21"/>
          <w:szCs w:val="21"/>
        </w:rPr>
        <w:t>vulcanizados</w:t>
      </w:r>
      <w:r>
        <w:rPr>
          <w:rFonts w:ascii="Arial" w:hAnsi="Arial" w:cs="Arial"/>
          <w:sz w:val="21"/>
          <w:szCs w:val="21"/>
        </w:rPr>
        <w:t>,</w:t>
      </w:r>
      <w:r w:rsidR="00AB30A1">
        <w:rPr>
          <w:rFonts w:ascii="Arial" w:hAnsi="Arial" w:cs="Arial"/>
          <w:sz w:val="21"/>
          <w:szCs w:val="21"/>
        </w:rPr>
        <w:t xml:space="preserve"> para el remolcador DHR-20</w:t>
      </w:r>
      <w:r w:rsidR="00FB3475">
        <w:rPr>
          <w:rFonts w:ascii="Arial" w:hAnsi="Arial" w:cs="Arial"/>
          <w:sz w:val="21"/>
          <w:szCs w:val="21"/>
        </w:rPr>
        <w:t>”</w:t>
      </w:r>
      <w:r>
        <w:rPr>
          <w:rFonts w:ascii="Arial" w:hAnsi="Arial" w:cs="Arial"/>
          <w:sz w:val="21"/>
          <w:szCs w:val="21"/>
        </w:rPr>
        <w:t>.</w:t>
      </w:r>
      <w:bookmarkEnd w:id="0"/>
    </w:p>
    <w:p w:rsidR="0058057E" w:rsidRPr="005C1791" w:rsidRDefault="0058057E" w:rsidP="006C2DE2">
      <w:pPr>
        <w:widowControl w:val="0"/>
        <w:autoSpaceDE w:val="0"/>
        <w:autoSpaceDN w:val="0"/>
        <w:adjustRightInd w:val="0"/>
        <w:spacing w:before="100" w:after="100" w:line="360" w:lineRule="auto"/>
        <w:jc w:val="both"/>
        <w:rPr>
          <w:rFonts w:ascii="Arial" w:hAnsi="Arial" w:cs="Arial"/>
          <w:sz w:val="21"/>
          <w:szCs w:val="21"/>
        </w:rPr>
      </w:pPr>
    </w:p>
    <w:p w:rsidR="006C2DE2" w:rsidRDefault="006C2DE2" w:rsidP="006C2DE2">
      <w:pPr>
        <w:pStyle w:val="Prrafodelista"/>
        <w:widowControl w:val="0"/>
        <w:numPr>
          <w:ilvl w:val="1"/>
          <w:numId w:val="3"/>
        </w:numPr>
        <w:autoSpaceDE w:val="0"/>
        <w:autoSpaceDN w:val="0"/>
        <w:adjustRightInd w:val="0"/>
        <w:spacing w:before="100" w:after="100" w:line="360" w:lineRule="auto"/>
        <w:jc w:val="both"/>
        <w:rPr>
          <w:rFonts w:ascii="Arial" w:hAnsi="Arial" w:cs="Arial"/>
          <w:b/>
          <w:bCs/>
          <w:sz w:val="21"/>
          <w:szCs w:val="21"/>
        </w:rPr>
      </w:pPr>
      <w:r>
        <w:rPr>
          <w:rFonts w:ascii="Arial" w:hAnsi="Arial" w:cs="Arial"/>
          <w:b/>
          <w:bCs/>
          <w:sz w:val="21"/>
          <w:szCs w:val="21"/>
        </w:rPr>
        <w:t xml:space="preserve">CARACTERISTICAS </w:t>
      </w:r>
    </w:p>
    <w:p w:rsidR="008E50A8" w:rsidRDefault="00D7236F" w:rsidP="00E12162">
      <w:pPr>
        <w:widowControl w:val="0"/>
        <w:autoSpaceDE w:val="0"/>
        <w:autoSpaceDN w:val="0"/>
        <w:adjustRightInd w:val="0"/>
        <w:spacing w:before="100" w:after="100" w:line="360" w:lineRule="auto"/>
      </w:pPr>
      <w:r>
        <w:rPr>
          <w:rFonts w:ascii="Arial" w:hAnsi="Arial" w:cs="Arial"/>
          <w:b/>
          <w:bCs/>
          <w:sz w:val="21"/>
          <w:szCs w:val="21"/>
        </w:rPr>
        <w:t xml:space="preserve">Ítem nº 1: </w:t>
      </w:r>
      <w:r>
        <w:rPr>
          <w:rFonts w:ascii="Arial" w:hAnsi="Arial" w:cs="Arial"/>
          <w:bCs/>
          <w:sz w:val="21"/>
          <w:szCs w:val="21"/>
        </w:rPr>
        <w:t xml:space="preserve">Suministro de un eje </w:t>
      </w:r>
      <w:r>
        <w:t xml:space="preserve">fabricado en una barra </w:t>
      </w:r>
      <w:r w:rsidR="002F1B1C">
        <w:t xml:space="preserve">acero 1045, </w:t>
      </w:r>
      <w:r>
        <w:t>cromo durada</w:t>
      </w:r>
      <w:r w:rsidR="00E12162">
        <w:t>,</w:t>
      </w:r>
      <w:r w:rsidR="008E50A8">
        <w:t xml:space="preserve"> con la mecanización de conos con chaveteros para manchón y hélice.</w:t>
      </w:r>
      <w:r w:rsidR="00451521">
        <w:t xml:space="preserve"> (se adjuntan fotografías de referencia en Anexo II)</w:t>
      </w:r>
      <w:r w:rsidR="00C66460">
        <w:t>.</w:t>
      </w:r>
    </w:p>
    <w:p w:rsidR="00D7236F" w:rsidRDefault="008E50A8" w:rsidP="00E12162">
      <w:pPr>
        <w:widowControl w:val="0"/>
        <w:autoSpaceDE w:val="0"/>
        <w:autoSpaceDN w:val="0"/>
        <w:adjustRightInd w:val="0"/>
        <w:spacing w:before="100" w:after="100" w:line="360" w:lineRule="auto"/>
      </w:pPr>
      <w:r>
        <w:t xml:space="preserve">Medias aproximadas: </w:t>
      </w:r>
      <w:r w:rsidR="00D7236F">
        <w:t>espesor: 65mm</w:t>
      </w:r>
      <w:r>
        <w:t xml:space="preserve"> </w:t>
      </w:r>
      <w:r w:rsidR="00D7236F">
        <w:t>largo: 3100mm</w:t>
      </w:r>
      <w:r w:rsidR="00C66460">
        <w:t>.</w:t>
      </w:r>
      <w:r w:rsidR="00D7236F">
        <w:t xml:space="preserve"> </w:t>
      </w:r>
    </w:p>
    <w:p w:rsidR="008E50A8" w:rsidRPr="00E12162" w:rsidRDefault="008E50A8" w:rsidP="00E12162">
      <w:pPr>
        <w:widowControl w:val="0"/>
        <w:autoSpaceDE w:val="0"/>
        <w:autoSpaceDN w:val="0"/>
        <w:adjustRightInd w:val="0"/>
        <w:spacing w:before="100" w:after="100" w:line="360" w:lineRule="auto"/>
        <w:rPr>
          <w:b/>
          <w:u w:val="single"/>
        </w:rPr>
      </w:pPr>
      <w:r w:rsidRPr="00E12162">
        <w:rPr>
          <w:b/>
          <w:u w:val="single"/>
        </w:rPr>
        <w:t xml:space="preserve">Una vez adjudicado el oferente debe rectificar las medidas </w:t>
      </w:r>
      <w:r w:rsidR="00E12162">
        <w:rPr>
          <w:b/>
          <w:u w:val="single"/>
        </w:rPr>
        <w:t>con la</w:t>
      </w:r>
      <w:r w:rsidRPr="00E12162">
        <w:rPr>
          <w:b/>
          <w:u w:val="single"/>
        </w:rPr>
        <w:t xml:space="preserve"> muestra</w:t>
      </w:r>
      <w:r w:rsidR="00C66460">
        <w:rPr>
          <w:b/>
          <w:u w:val="single"/>
        </w:rPr>
        <w:t>,</w:t>
      </w:r>
      <w:r w:rsidRPr="00E12162">
        <w:rPr>
          <w:b/>
          <w:u w:val="single"/>
        </w:rPr>
        <w:t xml:space="preserve"> </w:t>
      </w:r>
      <w:r w:rsidR="00E12162">
        <w:rPr>
          <w:b/>
          <w:u w:val="single"/>
        </w:rPr>
        <w:t>previo a</w:t>
      </w:r>
      <w:r w:rsidR="00E12162" w:rsidRPr="00E12162">
        <w:rPr>
          <w:b/>
          <w:u w:val="single"/>
        </w:rPr>
        <w:t xml:space="preserve"> la fabricación d</w:t>
      </w:r>
      <w:r w:rsidR="00E12162">
        <w:rPr>
          <w:b/>
          <w:u w:val="single"/>
        </w:rPr>
        <w:t>el eje</w:t>
      </w:r>
      <w:r w:rsidR="00EA1B39">
        <w:rPr>
          <w:b/>
          <w:u w:val="single"/>
        </w:rPr>
        <w:t>, en lugar a definir por la DNH en Montevideo.</w:t>
      </w:r>
    </w:p>
    <w:p w:rsidR="00F518B3" w:rsidRPr="002F1B1C" w:rsidRDefault="002F1B1C" w:rsidP="00E12162">
      <w:pPr>
        <w:widowControl w:val="0"/>
        <w:autoSpaceDE w:val="0"/>
        <w:autoSpaceDN w:val="0"/>
        <w:adjustRightInd w:val="0"/>
        <w:spacing w:before="100" w:after="100" w:line="360" w:lineRule="auto"/>
        <w:rPr>
          <w:rFonts w:ascii="Arial" w:hAnsi="Arial" w:cs="Arial"/>
          <w:bCs/>
          <w:sz w:val="21"/>
          <w:szCs w:val="21"/>
        </w:rPr>
      </w:pPr>
      <w:r>
        <w:rPr>
          <w:rFonts w:ascii="Arial" w:hAnsi="Arial" w:cs="Arial"/>
          <w:b/>
          <w:bCs/>
          <w:sz w:val="21"/>
          <w:szCs w:val="21"/>
        </w:rPr>
        <w:t xml:space="preserve">Ítem nº 2: </w:t>
      </w:r>
      <w:r>
        <w:rPr>
          <w:rFonts w:ascii="Arial" w:hAnsi="Arial" w:cs="Arial"/>
          <w:bCs/>
          <w:sz w:val="21"/>
          <w:szCs w:val="21"/>
        </w:rPr>
        <w:t xml:space="preserve">Suministro de dos hélices </w:t>
      </w:r>
      <w:r w:rsidR="008E50A8">
        <w:rPr>
          <w:rFonts w:ascii="Arial" w:hAnsi="Arial" w:cs="Arial"/>
          <w:bCs/>
          <w:sz w:val="21"/>
          <w:szCs w:val="21"/>
        </w:rPr>
        <w:t>de bronce con las siguientes dimensiones.</w:t>
      </w:r>
    </w:p>
    <w:p w:rsidR="008E50A8" w:rsidRDefault="008E50A8" w:rsidP="00E12162">
      <w:pPr>
        <w:pStyle w:val="Prrafodelista"/>
        <w:widowControl w:val="0"/>
        <w:autoSpaceDE w:val="0"/>
        <w:autoSpaceDN w:val="0"/>
        <w:adjustRightInd w:val="0"/>
        <w:spacing w:before="100" w:after="100" w:line="360" w:lineRule="auto"/>
        <w:ind w:left="405"/>
      </w:pPr>
      <w:r>
        <w:t xml:space="preserve">Numero de palas= 4 </w:t>
      </w:r>
    </w:p>
    <w:p w:rsidR="008E50A8" w:rsidRDefault="008E50A8" w:rsidP="00E12162">
      <w:pPr>
        <w:pStyle w:val="Prrafodelista"/>
        <w:widowControl w:val="0"/>
        <w:autoSpaceDE w:val="0"/>
        <w:autoSpaceDN w:val="0"/>
        <w:adjustRightInd w:val="0"/>
        <w:spacing w:before="100" w:after="100" w:line="360" w:lineRule="auto"/>
        <w:ind w:left="405"/>
      </w:pPr>
      <w:r>
        <w:t>Relación Paso/Diámetro, P/D = 0.9</w:t>
      </w:r>
      <w:r w:rsidR="00980263">
        <w:t>0</w:t>
      </w:r>
      <w:r>
        <w:t xml:space="preserve"> </w:t>
      </w:r>
    </w:p>
    <w:p w:rsidR="008E50A8" w:rsidRDefault="008E50A8" w:rsidP="00E12162">
      <w:pPr>
        <w:pStyle w:val="Prrafodelista"/>
        <w:widowControl w:val="0"/>
        <w:autoSpaceDE w:val="0"/>
        <w:autoSpaceDN w:val="0"/>
        <w:adjustRightInd w:val="0"/>
        <w:spacing w:before="100" w:after="100" w:line="360" w:lineRule="auto"/>
        <w:ind w:left="405"/>
      </w:pPr>
      <w:r>
        <w:t xml:space="preserve">Diámetro, D = 700 mm </w:t>
      </w:r>
    </w:p>
    <w:p w:rsidR="008E50A8" w:rsidRDefault="008E50A8" w:rsidP="00E12162">
      <w:pPr>
        <w:pStyle w:val="Prrafodelista"/>
        <w:widowControl w:val="0"/>
        <w:autoSpaceDE w:val="0"/>
        <w:autoSpaceDN w:val="0"/>
        <w:adjustRightInd w:val="0"/>
        <w:spacing w:before="100" w:after="100" w:line="360" w:lineRule="auto"/>
        <w:ind w:left="405"/>
      </w:pPr>
      <w:r>
        <w:t xml:space="preserve">Paso, P = 630 mm </w:t>
      </w:r>
    </w:p>
    <w:p w:rsidR="008E50A8" w:rsidRDefault="008E50A8" w:rsidP="00E12162">
      <w:pPr>
        <w:widowControl w:val="0"/>
        <w:autoSpaceDE w:val="0"/>
        <w:autoSpaceDN w:val="0"/>
        <w:adjustRightInd w:val="0"/>
        <w:spacing w:before="100" w:after="100" w:line="360" w:lineRule="auto"/>
      </w:pPr>
      <w:r>
        <w:t>Se indican a continuación otros datos asociados con el dimensionamiento de la hélice relacionados con el eje porta</w:t>
      </w:r>
      <w:r w:rsidR="00E12162">
        <w:t xml:space="preserve"> </w:t>
      </w:r>
      <w:r>
        <w:t>hélice, los cuales deben ser ratificadas por un tornero.</w:t>
      </w:r>
    </w:p>
    <w:p w:rsidR="008E50A8" w:rsidRDefault="008E50A8" w:rsidP="00E12162">
      <w:pPr>
        <w:pStyle w:val="Prrafodelista"/>
        <w:widowControl w:val="0"/>
        <w:autoSpaceDE w:val="0"/>
        <w:autoSpaceDN w:val="0"/>
        <w:adjustRightInd w:val="0"/>
        <w:spacing w:before="100" w:after="100" w:line="360" w:lineRule="auto"/>
        <w:ind w:left="405"/>
      </w:pPr>
      <w:r>
        <w:t xml:space="preserve">Altura del cubo de la hélice, </w:t>
      </w:r>
      <w:r w:rsidR="00C42686">
        <w:t>1</w:t>
      </w:r>
      <w:r>
        <w:t xml:space="preserve">25 mm </w:t>
      </w:r>
    </w:p>
    <w:p w:rsidR="008E50A8" w:rsidRDefault="008E50A8" w:rsidP="00E12162">
      <w:pPr>
        <w:pStyle w:val="Prrafodelista"/>
        <w:widowControl w:val="0"/>
        <w:autoSpaceDE w:val="0"/>
        <w:autoSpaceDN w:val="0"/>
        <w:adjustRightInd w:val="0"/>
        <w:spacing w:before="100" w:after="100" w:line="360" w:lineRule="auto"/>
        <w:ind w:left="405"/>
      </w:pPr>
      <w:r>
        <w:t xml:space="preserve">Diámetro del eje en el borde anterior del cono, 50 mm </w:t>
      </w:r>
    </w:p>
    <w:p w:rsidR="00F518B3" w:rsidRDefault="008E50A8" w:rsidP="00E12162">
      <w:pPr>
        <w:pStyle w:val="Prrafodelista"/>
        <w:widowControl w:val="0"/>
        <w:autoSpaceDE w:val="0"/>
        <w:autoSpaceDN w:val="0"/>
        <w:adjustRightInd w:val="0"/>
        <w:spacing w:before="100" w:after="100" w:line="360" w:lineRule="auto"/>
        <w:ind w:left="405"/>
      </w:pPr>
      <w:r>
        <w:t>Diámetro del eje en el borde posterior del cono, 40 mm</w:t>
      </w:r>
    </w:p>
    <w:p w:rsidR="00E12162" w:rsidRDefault="00E12162" w:rsidP="00E12162">
      <w:pPr>
        <w:widowControl w:val="0"/>
        <w:autoSpaceDE w:val="0"/>
        <w:autoSpaceDN w:val="0"/>
        <w:adjustRightInd w:val="0"/>
        <w:spacing w:before="100" w:after="100" w:line="360" w:lineRule="auto"/>
        <w:rPr>
          <w:rFonts w:ascii="Arial" w:eastAsia="Arial Unicode MS" w:hAnsi="Arial" w:cs="Arial"/>
          <w:lang w:val="es-MX"/>
        </w:rPr>
      </w:pPr>
      <w:r w:rsidRPr="00E12162">
        <w:rPr>
          <w:rFonts w:ascii="Arial" w:hAnsi="Arial" w:cs="Arial"/>
          <w:b/>
          <w:bCs/>
          <w:sz w:val="21"/>
          <w:szCs w:val="21"/>
        </w:rPr>
        <w:t xml:space="preserve">Ítem nº 3: </w:t>
      </w:r>
      <w:r w:rsidRPr="00E12162">
        <w:rPr>
          <w:rFonts w:ascii="Arial" w:eastAsia="Arial Unicode MS" w:hAnsi="Arial" w:cs="Arial"/>
          <w:lang w:val="es-MX"/>
        </w:rPr>
        <w:t xml:space="preserve">Suministro de </w:t>
      </w:r>
      <w:r>
        <w:rPr>
          <w:rFonts w:ascii="Arial" w:eastAsia="Arial Unicode MS" w:hAnsi="Arial" w:cs="Arial"/>
          <w:lang w:val="es-MX"/>
        </w:rPr>
        <w:t xml:space="preserve">dos </w:t>
      </w:r>
      <w:r w:rsidRPr="00E12162">
        <w:rPr>
          <w:rFonts w:ascii="Arial" w:eastAsia="Arial Unicode MS" w:hAnsi="Arial" w:cs="Arial"/>
          <w:lang w:val="es-MX"/>
        </w:rPr>
        <w:t>buje</w:t>
      </w:r>
      <w:r>
        <w:rPr>
          <w:rFonts w:ascii="Arial" w:eastAsia="Arial Unicode MS" w:hAnsi="Arial" w:cs="Arial"/>
          <w:lang w:val="es-MX"/>
        </w:rPr>
        <w:t>s</w:t>
      </w:r>
      <w:r w:rsidRPr="00E12162">
        <w:rPr>
          <w:rFonts w:ascii="Arial" w:eastAsia="Arial Unicode MS" w:hAnsi="Arial" w:cs="Arial"/>
          <w:lang w:val="es-MX"/>
        </w:rPr>
        <w:t xml:space="preserve"> de bronce con vulcanizado interno</w:t>
      </w:r>
      <w:r>
        <w:rPr>
          <w:rFonts w:ascii="Arial" w:eastAsia="Arial Unicode MS" w:hAnsi="Arial" w:cs="Arial"/>
          <w:lang w:val="es-MX"/>
        </w:rPr>
        <w:t>.</w:t>
      </w:r>
    </w:p>
    <w:p w:rsidR="00E12162" w:rsidRPr="00537CF3" w:rsidRDefault="00537CF3" w:rsidP="00E12162">
      <w:pPr>
        <w:widowControl w:val="0"/>
        <w:autoSpaceDE w:val="0"/>
        <w:autoSpaceDN w:val="0"/>
        <w:adjustRightInd w:val="0"/>
        <w:spacing w:before="100" w:after="100" w:line="360" w:lineRule="auto"/>
        <w:rPr>
          <w:rFonts w:ascii="Arial" w:eastAsia="Arial Unicode MS" w:hAnsi="Arial" w:cs="Arial"/>
          <w:b/>
          <w:u w:val="single"/>
          <w:lang w:val="es-MX"/>
        </w:rPr>
      </w:pPr>
      <w:r w:rsidRPr="00537CF3">
        <w:rPr>
          <w:b/>
          <w:u w:val="single"/>
        </w:rPr>
        <w:t>El oferente indicar</w:t>
      </w:r>
      <w:r>
        <w:rPr>
          <w:b/>
          <w:u w:val="single"/>
        </w:rPr>
        <w:t>a</w:t>
      </w:r>
      <w:r w:rsidRPr="00537CF3">
        <w:rPr>
          <w:b/>
          <w:u w:val="single"/>
        </w:rPr>
        <w:t xml:space="preserve"> para cada Ítem el periodo de garantía y las condiciones de la misma. </w:t>
      </w:r>
    </w:p>
    <w:p w:rsidR="00E12162" w:rsidRPr="00E12162" w:rsidRDefault="00E12162" w:rsidP="00E12162">
      <w:pPr>
        <w:widowControl w:val="0"/>
        <w:autoSpaceDE w:val="0"/>
        <w:autoSpaceDN w:val="0"/>
        <w:adjustRightInd w:val="0"/>
        <w:spacing w:before="100" w:after="100" w:line="360" w:lineRule="auto"/>
        <w:rPr>
          <w:rFonts w:ascii="Arial" w:eastAsia="Arial Unicode MS" w:hAnsi="Arial" w:cs="Arial"/>
          <w:lang w:val="es-MX"/>
        </w:rPr>
      </w:pPr>
    </w:p>
    <w:p w:rsidR="0058057E" w:rsidRDefault="0058057E" w:rsidP="00B3534A">
      <w:pPr>
        <w:pStyle w:val="Prrafodelista"/>
        <w:widowControl w:val="0"/>
        <w:autoSpaceDE w:val="0"/>
        <w:autoSpaceDN w:val="0"/>
        <w:adjustRightInd w:val="0"/>
        <w:spacing w:before="100" w:after="100" w:line="360" w:lineRule="auto"/>
        <w:ind w:left="405"/>
        <w:jc w:val="center"/>
        <w:rPr>
          <w:rFonts w:ascii="Arial" w:hAnsi="Arial" w:cs="Arial"/>
          <w:b/>
          <w:bCs/>
          <w:sz w:val="21"/>
          <w:szCs w:val="21"/>
        </w:rPr>
      </w:pPr>
    </w:p>
    <w:p w:rsidR="006C2DE2" w:rsidRPr="00EF7C06" w:rsidRDefault="006C2DE2" w:rsidP="00EF7C06">
      <w:pPr>
        <w:pStyle w:val="Prrafodelista"/>
        <w:widowControl w:val="0"/>
        <w:numPr>
          <w:ilvl w:val="0"/>
          <w:numId w:val="3"/>
        </w:numPr>
        <w:autoSpaceDE w:val="0"/>
        <w:autoSpaceDN w:val="0"/>
        <w:adjustRightInd w:val="0"/>
        <w:spacing w:before="100" w:after="100" w:line="360" w:lineRule="auto"/>
        <w:rPr>
          <w:rFonts w:ascii="Arial" w:hAnsi="Arial" w:cs="Arial"/>
          <w:b/>
          <w:bCs/>
          <w:sz w:val="21"/>
          <w:szCs w:val="21"/>
        </w:rPr>
      </w:pPr>
      <w:r w:rsidRPr="00EF7C06">
        <w:rPr>
          <w:rFonts w:ascii="Arial" w:hAnsi="Arial" w:cs="Arial"/>
          <w:b/>
          <w:bCs/>
          <w:sz w:val="21"/>
          <w:szCs w:val="21"/>
        </w:rPr>
        <w:t>EVALUACIÓN DE LAS OFERTAS</w:t>
      </w:r>
    </w:p>
    <w:p w:rsidR="006C2DE2" w:rsidRDefault="006C2DE2" w:rsidP="006C2DE2">
      <w:pPr>
        <w:widowControl w:val="0"/>
        <w:autoSpaceDE w:val="0"/>
        <w:autoSpaceDN w:val="0"/>
        <w:adjustRightInd w:val="0"/>
        <w:spacing w:before="100" w:after="100" w:line="360" w:lineRule="auto"/>
        <w:jc w:val="both"/>
        <w:rPr>
          <w:rFonts w:ascii="Arial" w:hAnsi="Arial" w:cs="Arial"/>
          <w:sz w:val="21"/>
          <w:szCs w:val="21"/>
        </w:rPr>
      </w:pPr>
      <w:r w:rsidRPr="001132D5">
        <w:rPr>
          <w:rFonts w:ascii="Arial" w:hAnsi="Arial" w:cs="Arial"/>
          <w:b/>
          <w:bCs/>
          <w:sz w:val="21"/>
          <w:szCs w:val="21"/>
        </w:rPr>
        <w:t>2.1</w:t>
      </w:r>
      <w:r w:rsidRPr="001132D5">
        <w:rPr>
          <w:rFonts w:ascii="Arial" w:hAnsi="Arial" w:cs="Arial"/>
          <w:sz w:val="21"/>
          <w:szCs w:val="21"/>
        </w:rPr>
        <w:t xml:space="preserve"> </w:t>
      </w:r>
      <w:r>
        <w:rPr>
          <w:rFonts w:ascii="Arial" w:hAnsi="Arial" w:cs="Arial"/>
          <w:sz w:val="21"/>
          <w:szCs w:val="21"/>
        </w:rPr>
        <w:t xml:space="preserve">Los factores que se tomarán en cuenta para ponderar los ítems de las ofertas presentadas en la presente </w:t>
      </w:r>
      <w:r w:rsidR="00ED0724">
        <w:rPr>
          <w:rFonts w:ascii="Arial" w:hAnsi="Arial" w:cs="Arial"/>
          <w:sz w:val="21"/>
          <w:szCs w:val="21"/>
        </w:rPr>
        <w:t xml:space="preserve">compra </w:t>
      </w:r>
      <w:r>
        <w:rPr>
          <w:rFonts w:ascii="Arial" w:hAnsi="Arial" w:cs="Arial"/>
          <w:sz w:val="21"/>
          <w:szCs w:val="21"/>
        </w:rPr>
        <w:t>serán:</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6"/>
        <w:gridCol w:w="4245"/>
      </w:tblGrid>
      <w:tr w:rsidR="006C2DE2" w:rsidTr="00451F05">
        <w:trPr>
          <w:trHeight w:val="294"/>
        </w:trPr>
        <w:tc>
          <w:tcPr>
            <w:tcW w:w="4246" w:type="dxa"/>
          </w:tcPr>
          <w:p w:rsidR="006C2DE2" w:rsidRDefault="006C2DE2" w:rsidP="00451F05">
            <w:pPr>
              <w:widowControl w:val="0"/>
              <w:autoSpaceDE w:val="0"/>
              <w:autoSpaceDN w:val="0"/>
              <w:adjustRightInd w:val="0"/>
              <w:spacing w:before="100" w:after="100" w:line="360" w:lineRule="auto"/>
              <w:ind w:left="-83"/>
              <w:jc w:val="both"/>
              <w:rPr>
                <w:rFonts w:ascii="Arial" w:hAnsi="Arial" w:cs="Arial"/>
                <w:sz w:val="21"/>
                <w:szCs w:val="21"/>
              </w:rPr>
            </w:pPr>
          </w:p>
        </w:tc>
        <w:tc>
          <w:tcPr>
            <w:tcW w:w="4245" w:type="dxa"/>
          </w:tcPr>
          <w:p w:rsidR="006C2DE2" w:rsidRDefault="000C5055" w:rsidP="00451F05">
            <w:pPr>
              <w:widowControl w:val="0"/>
              <w:autoSpaceDE w:val="0"/>
              <w:autoSpaceDN w:val="0"/>
              <w:adjustRightInd w:val="0"/>
              <w:spacing w:before="100" w:after="100" w:line="360" w:lineRule="auto"/>
              <w:ind w:left="-83"/>
              <w:jc w:val="both"/>
              <w:rPr>
                <w:rFonts w:ascii="Arial" w:hAnsi="Arial" w:cs="Arial"/>
                <w:sz w:val="21"/>
                <w:szCs w:val="21"/>
              </w:rPr>
            </w:pPr>
            <w:r>
              <w:rPr>
                <w:rFonts w:ascii="Arial" w:hAnsi="Arial" w:cs="Arial"/>
                <w:sz w:val="21"/>
                <w:szCs w:val="21"/>
              </w:rPr>
              <w:t xml:space="preserve">      </w:t>
            </w:r>
            <w:r w:rsidR="006C2DE2">
              <w:rPr>
                <w:rFonts w:ascii="Arial" w:hAnsi="Arial" w:cs="Arial"/>
                <w:sz w:val="21"/>
                <w:szCs w:val="21"/>
              </w:rPr>
              <w:t>PUNTOS</w:t>
            </w:r>
          </w:p>
        </w:tc>
      </w:tr>
      <w:tr w:rsidR="006C2DE2" w:rsidTr="00451F05">
        <w:trPr>
          <w:trHeight w:val="331"/>
        </w:trPr>
        <w:tc>
          <w:tcPr>
            <w:tcW w:w="4246" w:type="dxa"/>
          </w:tcPr>
          <w:p w:rsidR="006C2DE2" w:rsidRPr="00B149B7" w:rsidRDefault="006C2DE2" w:rsidP="00451F05">
            <w:pPr>
              <w:pStyle w:val="Prrafodelista"/>
              <w:widowControl w:val="0"/>
              <w:numPr>
                <w:ilvl w:val="0"/>
                <w:numId w:val="1"/>
              </w:numPr>
              <w:autoSpaceDE w:val="0"/>
              <w:autoSpaceDN w:val="0"/>
              <w:adjustRightInd w:val="0"/>
              <w:spacing w:before="100" w:after="100" w:line="360" w:lineRule="auto"/>
              <w:jc w:val="both"/>
              <w:rPr>
                <w:rFonts w:ascii="Arial" w:hAnsi="Arial" w:cs="Arial"/>
                <w:b/>
                <w:sz w:val="21"/>
                <w:szCs w:val="21"/>
              </w:rPr>
            </w:pPr>
            <w:r>
              <w:rPr>
                <w:rFonts w:ascii="Arial" w:hAnsi="Arial" w:cs="Arial"/>
                <w:b/>
                <w:sz w:val="21"/>
                <w:szCs w:val="21"/>
              </w:rPr>
              <w:t>Precio</w:t>
            </w:r>
          </w:p>
        </w:tc>
        <w:tc>
          <w:tcPr>
            <w:tcW w:w="4245" w:type="dxa"/>
          </w:tcPr>
          <w:p w:rsidR="006C2DE2" w:rsidRDefault="00EE0200" w:rsidP="00451F05">
            <w:pPr>
              <w:widowControl w:val="0"/>
              <w:autoSpaceDE w:val="0"/>
              <w:autoSpaceDN w:val="0"/>
              <w:adjustRightInd w:val="0"/>
              <w:spacing w:before="100" w:after="100" w:line="360" w:lineRule="auto"/>
              <w:jc w:val="both"/>
              <w:rPr>
                <w:rFonts w:ascii="Arial" w:hAnsi="Arial" w:cs="Arial"/>
                <w:b/>
                <w:sz w:val="21"/>
                <w:szCs w:val="21"/>
              </w:rPr>
            </w:pPr>
            <w:r>
              <w:rPr>
                <w:rFonts w:ascii="Arial" w:hAnsi="Arial" w:cs="Arial"/>
                <w:b/>
                <w:sz w:val="21"/>
                <w:szCs w:val="21"/>
              </w:rPr>
              <w:t>70</w:t>
            </w:r>
          </w:p>
        </w:tc>
      </w:tr>
      <w:tr w:rsidR="006C2DE2" w:rsidTr="00451F05">
        <w:trPr>
          <w:trHeight w:val="672"/>
        </w:trPr>
        <w:tc>
          <w:tcPr>
            <w:tcW w:w="4246" w:type="dxa"/>
          </w:tcPr>
          <w:p w:rsidR="006C2DE2" w:rsidRPr="00B149B7" w:rsidRDefault="006C2DE2" w:rsidP="00451F05">
            <w:pPr>
              <w:pStyle w:val="Prrafodelista"/>
              <w:widowControl w:val="0"/>
              <w:numPr>
                <w:ilvl w:val="0"/>
                <w:numId w:val="1"/>
              </w:numPr>
              <w:autoSpaceDE w:val="0"/>
              <w:autoSpaceDN w:val="0"/>
              <w:adjustRightInd w:val="0"/>
              <w:spacing w:before="100" w:after="100" w:line="360" w:lineRule="auto"/>
              <w:jc w:val="both"/>
              <w:rPr>
                <w:rFonts w:ascii="Arial" w:hAnsi="Arial" w:cs="Arial"/>
                <w:b/>
                <w:sz w:val="21"/>
                <w:szCs w:val="21"/>
              </w:rPr>
            </w:pPr>
            <w:r>
              <w:rPr>
                <w:rFonts w:ascii="Arial" w:hAnsi="Arial" w:cs="Arial"/>
                <w:b/>
                <w:sz w:val="21"/>
                <w:szCs w:val="21"/>
              </w:rPr>
              <w:t>Plazo de entrega</w:t>
            </w:r>
          </w:p>
        </w:tc>
        <w:tc>
          <w:tcPr>
            <w:tcW w:w="4245" w:type="dxa"/>
          </w:tcPr>
          <w:p w:rsidR="006C2DE2" w:rsidRDefault="00833BEF" w:rsidP="00451F05">
            <w:pPr>
              <w:widowControl w:val="0"/>
              <w:autoSpaceDE w:val="0"/>
              <w:autoSpaceDN w:val="0"/>
              <w:adjustRightInd w:val="0"/>
              <w:spacing w:before="100" w:after="100" w:line="360" w:lineRule="auto"/>
              <w:jc w:val="both"/>
              <w:rPr>
                <w:rFonts w:ascii="Arial" w:hAnsi="Arial" w:cs="Arial"/>
                <w:b/>
                <w:sz w:val="21"/>
                <w:szCs w:val="21"/>
              </w:rPr>
            </w:pPr>
            <w:r>
              <w:rPr>
                <w:rFonts w:ascii="Arial" w:hAnsi="Arial" w:cs="Arial"/>
                <w:b/>
                <w:sz w:val="21"/>
                <w:szCs w:val="21"/>
              </w:rPr>
              <w:t>30</w:t>
            </w:r>
          </w:p>
        </w:tc>
      </w:tr>
    </w:tbl>
    <w:p w:rsidR="00ED0724" w:rsidRDefault="00ED0724" w:rsidP="006C2DE2">
      <w:pPr>
        <w:widowControl w:val="0"/>
        <w:autoSpaceDE w:val="0"/>
        <w:autoSpaceDN w:val="0"/>
        <w:adjustRightInd w:val="0"/>
        <w:spacing w:before="100" w:after="100" w:line="360" w:lineRule="auto"/>
        <w:jc w:val="both"/>
        <w:rPr>
          <w:rFonts w:ascii="Arial" w:hAnsi="Arial" w:cs="Arial"/>
          <w:b/>
          <w:sz w:val="21"/>
          <w:szCs w:val="21"/>
        </w:rPr>
      </w:pPr>
    </w:p>
    <w:p w:rsidR="006C2DE2" w:rsidRDefault="006C2DE2" w:rsidP="006C2DE2">
      <w:pPr>
        <w:widowControl w:val="0"/>
        <w:autoSpaceDE w:val="0"/>
        <w:autoSpaceDN w:val="0"/>
        <w:adjustRightInd w:val="0"/>
        <w:spacing w:before="100" w:after="100" w:line="360" w:lineRule="auto"/>
        <w:jc w:val="both"/>
        <w:rPr>
          <w:rFonts w:ascii="Arial" w:hAnsi="Arial" w:cs="Arial"/>
          <w:b/>
          <w:sz w:val="21"/>
          <w:szCs w:val="21"/>
        </w:rPr>
      </w:pPr>
      <w:r>
        <w:rPr>
          <w:rFonts w:ascii="Arial" w:hAnsi="Arial" w:cs="Arial"/>
          <w:b/>
          <w:sz w:val="21"/>
          <w:szCs w:val="21"/>
        </w:rPr>
        <w:t>Ponderación en cada factor:</w:t>
      </w:r>
    </w:p>
    <w:p w:rsidR="006C2DE2" w:rsidRDefault="006C2DE2" w:rsidP="006C2DE2">
      <w:pPr>
        <w:pStyle w:val="Prrafodelista"/>
        <w:widowControl w:val="0"/>
        <w:numPr>
          <w:ilvl w:val="0"/>
          <w:numId w:val="2"/>
        </w:numPr>
        <w:autoSpaceDE w:val="0"/>
        <w:autoSpaceDN w:val="0"/>
        <w:adjustRightInd w:val="0"/>
        <w:spacing w:before="100" w:after="100" w:line="360" w:lineRule="auto"/>
        <w:jc w:val="both"/>
        <w:rPr>
          <w:rFonts w:ascii="Arial" w:hAnsi="Arial" w:cs="Arial"/>
          <w:sz w:val="21"/>
          <w:szCs w:val="21"/>
        </w:rPr>
      </w:pPr>
      <w:r w:rsidRPr="00B149B7">
        <w:rPr>
          <w:rFonts w:ascii="Arial" w:hAnsi="Arial" w:cs="Arial"/>
          <w:sz w:val="21"/>
          <w:szCs w:val="21"/>
        </w:rPr>
        <w:t xml:space="preserve">El menor precio cotizado, recibirá el máximo de </w:t>
      </w:r>
      <w:r>
        <w:rPr>
          <w:rFonts w:ascii="Arial" w:hAnsi="Arial" w:cs="Arial"/>
          <w:sz w:val="21"/>
          <w:szCs w:val="21"/>
        </w:rPr>
        <w:t xml:space="preserve">puntos para este factor, o sea </w:t>
      </w:r>
      <w:r w:rsidR="00B23183">
        <w:rPr>
          <w:rFonts w:ascii="Arial" w:hAnsi="Arial" w:cs="Arial"/>
          <w:sz w:val="21"/>
          <w:szCs w:val="21"/>
        </w:rPr>
        <w:t>70</w:t>
      </w:r>
      <w:r w:rsidRPr="00B149B7">
        <w:rPr>
          <w:rFonts w:ascii="Arial" w:hAnsi="Arial" w:cs="Arial"/>
          <w:sz w:val="21"/>
          <w:szCs w:val="21"/>
        </w:rPr>
        <w:t xml:space="preserve"> ptos. Los demás precios cotizados se prorratearan a partir de este valor.</w:t>
      </w:r>
    </w:p>
    <w:p w:rsidR="00451521" w:rsidRDefault="006C2DE2" w:rsidP="00451521">
      <w:pPr>
        <w:pStyle w:val="Prrafodelista"/>
        <w:widowControl w:val="0"/>
        <w:numPr>
          <w:ilvl w:val="0"/>
          <w:numId w:val="2"/>
        </w:numPr>
        <w:autoSpaceDE w:val="0"/>
        <w:autoSpaceDN w:val="0"/>
        <w:adjustRightInd w:val="0"/>
        <w:spacing w:before="100" w:after="100" w:line="360" w:lineRule="auto"/>
        <w:jc w:val="both"/>
        <w:rPr>
          <w:rFonts w:ascii="Arial" w:hAnsi="Arial" w:cs="Arial"/>
          <w:sz w:val="21"/>
          <w:szCs w:val="21"/>
        </w:rPr>
      </w:pPr>
      <w:r w:rsidRPr="00390D12">
        <w:rPr>
          <w:rFonts w:ascii="Arial" w:hAnsi="Arial" w:cs="Arial"/>
          <w:sz w:val="21"/>
          <w:szCs w:val="21"/>
        </w:rPr>
        <w:t xml:space="preserve"> </w:t>
      </w:r>
      <w:r>
        <w:rPr>
          <w:rFonts w:ascii="Arial" w:hAnsi="Arial" w:cs="Arial"/>
          <w:sz w:val="21"/>
          <w:szCs w:val="21"/>
        </w:rPr>
        <w:t xml:space="preserve">La/s empresa/s que presente/n el menor plazo de entrega, recibirá el máximo de puntos para este factor, o sea </w:t>
      </w:r>
      <w:r w:rsidR="00833BEF">
        <w:rPr>
          <w:rFonts w:ascii="Arial" w:hAnsi="Arial" w:cs="Arial"/>
          <w:sz w:val="21"/>
          <w:szCs w:val="21"/>
        </w:rPr>
        <w:t>30</w:t>
      </w:r>
      <w:r>
        <w:rPr>
          <w:rFonts w:ascii="Arial" w:hAnsi="Arial" w:cs="Arial"/>
          <w:sz w:val="21"/>
          <w:szCs w:val="21"/>
        </w:rPr>
        <w:t xml:space="preserve"> ptos. Los demás plazos de entrega se prorratearan a partir del valor antes indicado. Los plazos deberán establecerse en días calendario contándose a partir de recibida la orden de compra y hasta la efectiva entrega en Ofici</w:t>
      </w:r>
      <w:r w:rsidR="00D20CF9">
        <w:rPr>
          <w:rFonts w:ascii="Arial" w:hAnsi="Arial" w:cs="Arial"/>
          <w:sz w:val="21"/>
          <w:szCs w:val="21"/>
        </w:rPr>
        <w:t>na Central</w:t>
      </w:r>
      <w:r w:rsidR="00451521">
        <w:rPr>
          <w:rFonts w:ascii="Arial" w:hAnsi="Arial" w:cs="Arial"/>
          <w:sz w:val="21"/>
          <w:szCs w:val="21"/>
        </w:rPr>
        <w:t>.</w:t>
      </w:r>
    </w:p>
    <w:p w:rsidR="00451521" w:rsidRPr="00451521" w:rsidRDefault="00451521" w:rsidP="00451521">
      <w:pPr>
        <w:widowControl w:val="0"/>
        <w:autoSpaceDE w:val="0"/>
        <w:autoSpaceDN w:val="0"/>
        <w:adjustRightInd w:val="0"/>
        <w:spacing w:before="100" w:after="100" w:line="360" w:lineRule="auto"/>
        <w:jc w:val="both"/>
        <w:rPr>
          <w:rFonts w:ascii="Arial" w:hAnsi="Arial" w:cs="Arial"/>
          <w:sz w:val="21"/>
          <w:szCs w:val="21"/>
        </w:rPr>
      </w:pPr>
    </w:p>
    <w:p w:rsidR="00D9531B" w:rsidRDefault="00B41242" w:rsidP="00B3534A">
      <w:pPr>
        <w:widowControl w:val="0"/>
        <w:autoSpaceDE w:val="0"/>
        <w:autoSpaceDN w:val="0"/>
        <w:adjustRightInd w:val="0"/>
        <w:spacing w:before="100" w:after="100" w:line="360" w:lineRule="auto"/>
        <w:rPr>
          <w:rFonts w:ascii="Arial" w:hAnsi="Arial" w:cs="Arial"/>
          <w:b/>
        </w:rPr>
      </w:pPr>
      <w:r>
        <w:rPr>
          <w:rFonts w:ascii="Arial" w:hAnsi="Arial" w:cs="Arial"/>
          <w:b/>
        </w:rPr>
        <w:t>3</w:t>
      </w:r>
      <w:r w:rsidR="00D9531B">
        <w:rPr>
          <w:rFonts w:ascii="Arial" w:hAnsi="Arial" w:cs="Arial"/>
          <w:b/>
        </w:rPr>
        <w:t xml:space="preserve">. </w:t>
      </w:r>
      <w:r w:rsidR="00D9531B" w:rsidRPr="00D9531B">
        <w:rPr>
          <w:rFonts w:ascii="Arial" w:hAnsi="Arial" w:cs="Arial"/>
          <w:b/>
        </w:rPr>
        <w:t>PRESENTACION Y APERTURA DE OFERTAS</w:t>
      </w:r>
    </w:p>
    <w:p w:rsidR="00D9531B" w:rsidRPr="00B3534A" w:rsidRDefault="00B41242" w:rsidP="00B3534A">
      <w:pPr>
        <w:widowControl w:val="0"/>
        <w:autoSpaceDE w:val="0"/>
        <w:autoSpaceDN w:val="0"/>
        <w:adjustRightInd w:val="0"/>
        <w:spacing w:before="100" w:after="100" w:line="360" w:lineRule="auto"/>
        <w:rPr>
          <w:rFonts w:ascii="Arial" w:hAnsi="Arial" w:cs="Arial"/>
          <w:sz w:val="21"/>
          <w:szCs w:val="21"/>
        </w:rPr>
      </w:pPr>
      <w:r>
        <w:rPr>
          <w:rFonts w:ascii="Arial" w:hAnsi="Arial" w:cs="Arial"/>
          <w:b/>
          <w:sz w:val="21"/>
          <w:szCs w:val="21"/>
        </w:rPr>
        <w:t>3</w:t>
      </w:r>
      <w:r w:rsidR="00D9531B" w:rsidRPr="000C5055">
        <w:rPr>
          <w:rFonts w:ascii="Arial" w:hAnsi="Arial" w:cs="Arial"/>
          <w:b/>
          <w:sz w:val="21"/>
          <w:szCs w:val="21"/>
        </w:rPr>
        <w:t>.1</w:t>
      </w:r>
      <w:r w:rsidR="00D9531B" w:rsidRPr="00B3534A">
        <w:rPr>
          <w:rFonts w:ascii="Arial" w:hAnsi="Arial" w:cs="Arial"/>
          <w:sz w:val="21"/>
          <w:szCs w:val="21"/>
        </w:rPr>
        <w:t xml:space="preserve"> Las propuestas serán recibidas únicamente en línea. Los oferentes deberán ingresar sus ofertas en el sitio web: </w:t>
      </w:r>
      <w:hyperlink r:id="rId9" w:history="1">
        <w:r w:rsidR="00D9531B" w:rsidRPr="00B3534A">
          <w:rPr>
            <w:rStyle w:val="Hipervnculo"/>
            <w:rFonts w:ascii="Arial" w:hAnsi="Arial" w:cs="Arial"/>
            <w:sz w:val="21"/>
            <w:szCs w:val="21"/>
          </w:rPr>
          <w:t>www.comprasestatales.gub.uy</w:t>
        </w:r>
      </w:hyperlink>
      <w:r w:rsidR="00D9531B" w:rsidRPr="00B3534A">
        <w:rPr>
          <w:rFonts w:ascii="Arial" w:hAnsi="Arial" w:cs="Arial"/>
          <w:sz w:val="21"/>
          <w:szCs w:val="21"/>
        </w:rPr>
        <w:t xml:space="preserve">. No se recibirán ofertas por otra vía. La documentación electrónica adjunta se ingresará en archivos formato </w:t>
      </w:r>
      <w:r w:rsidR="0033090D" w:rsidRPr="00B3534A">
        <w:rPr>
          <w:rFonts w:ascii="Arial" w:hAnsi="Arial" w:cs="Arial"/>
          <w:sz w:val="21"/>
          <w:szCs w:val="21"/>
        </w:rPr>
        <w:t>PDF, DOC</w:t>
      </w:r>
      <w:r w:rsidR="00D9531B" w:rsidRPr="00B3534A">
        <w:rPr>
          <w:rFonts w:ascii="Arial" w:hAnsi="Arial" w:cs="Arial"/>
          <w:sz w:val="21"/>
          <w:szCs w:val="21"/>
        </w:rPr>
        <w:t xml:space="preserve">, sin contraseña ni bloqueo para su impresión o copiado. Cuando el oferente deba agregar un documento o certificado cuyo original solo exista en soporte papel, deberá escanearlo y subir con el resto de su oferta. En caso de resultar adjudicatario, deberá exigir el documento o certificado original, conforme a lo establecido en el TOCAF </w:t>
      </w:r>
    </w:p>
    <w:p w:rsidR="00D9531B" w:rsidRPr="00B3534A" w:rsidRDefault="00B41242" w:rsidP="00B3534A">
      <w:pPr>
        <w:widowControl w:val="0"/>
        <w:autoSpaceDE w:val="0"/>
        <w:autoSpaceDN w:val="0"/>
        <w:adjustRightInd w:val="0"/>
        <w:spacing w:before="100" w:after="100" w:line="360" w:lineRule="auto"/>
        <w:rPr>
          <w:rFonts w:ascii="Arial" w:hAnsi="Arial" w:cs="Arial"/>
          <w:sz w:val="21"/>
          <w:szCs w:val="21"/>
        </w:rPr>
      </w:pPr>
      <w:r>
        <w:rPr>
          <w:rFonts w:ascii="Arial" w:hAnsi="Arial" w:cs="Arial"/>
          <w:b/>
          <w:sz w:val="21"/>
          <w:szCs w:val="21"/>
        </w:rPr>
        <w:t>3</w:t>
      </w:r>
      <w:r w:rsidR="00B3534A" w:rsidRPr="000C5055">
        <w:rPr>
          <w:rFonts w:ascii="Arial" w:hAnsi="Arial" w:cs="Arial"/>
          <w:b/>
          <w:sz w:val="21"/>
          <w:szCs w:val="21"/>
        </w:rPr>
        <w:t>.2</w:t>
      </w:r>
      <w:r w:rsidR="00D9531B" w:rsidRPr="000C5055">
        <w:rPr>
          <w:rFonts w:ascii="Arial" w:hAnsi="Arial" w:cs="Arial"/>
          <w:b/>
          <w:sz w:val="21"/>
          <w:szCs w:val="21"/>
        </w:rPr>
        <w:t>.</w:t>
      </w:r>
      <w:r w:rsidR="00D9531B" w:rsidRPr="00B3534A">
        <w:rPr>
          <w:rFonts w:ascii="Arial" w:hAnsi="Arial" w:cs="Arial"/>
          <w:sz w:val="21"/>
          <w:szCs w:val="21"/>
        </w:rPr>
        <w:t xml:space="preserve"> En la fecha y hora indicada se efectuará la ape</w:t>
      </w:r>
      <w:r w:rsidR="00D059C5" w:rsidRPr="00B3534A">
        <w:rPr>
          <w:rFonts w:ascii="Arial" w:hAnsi="Arial" w:cs="Arial"/>
          <w:sz w:val="21"/>
          <w:szCs w:val="21"/>
        </w:rPr>
        <w:t>r</w:t>
      </w:r>
      <w:r w:rsidR="00D9531B" w:rsidRPr="00B3534A">
        <w:rPr>
          <w:rFonts w:ascii="Arial" w:hAnsi="Arial" w:cs="Arial"/>
          <w:sz w:val="21"/>
          <w:szCs w:val="21"/>
        </w:rPr>
        <w:t xml:space="preserve">tura de ofertas automática y el acta de apertura será publicada </w:t>
      </w:r>
      <w:r w:rsidR="00D059C5" w:rsidRPr="00B3534A">
        <w:rPr>
          <w:rFonts w:ascii="Arial" w:hAnsi="Arial" w:cs="Arial"/>
          <w:sz w:val="21"/>
          <w:szCs w:val="21"/>
        </w:rPr>
        <w:t xml:space="preserve">automáticamente en el sitio web: </w:t>
      </w:r>
      <w:hyperlink r:id="rId10" w:history="1">
        <w:r w:rsidR="00D059C5" w:rsidRPr="00B3534A">
          <w:rPr>
            <w:rStyle w:val="Hipervnculo"/>
            <w:rFonts w:ascii="Arial" w:hAnsi="Arial" w:cs="Arial"/>
            <w:sz w:val="21"/>
            <w:szCs w:val="21"/>
          </w:rPr>
          <w:t>www.comprasestatales.gub.uy</w:t>
        </w:r>
      </w:hyperlink>
      <w:r w:rsidR="00D059C5" w:rsidRPr="00B3534A">
        <w:rPr>
          <w:rFonts w:ascii="Arial" w:hAnsi="Arial" w:cs="Arial"/>
          <w:sz w:val="21"/>
          <w:szCs w:val="21"/>
        </w:rPr>
        <w:t>. Simultáneamente se remitirá a la dirección electrónica previamente registrada por cada oferente en el RUPE</w:t>
      </w:r>
    </w:p>
    <w:p w:rsidR="00B3534A" w:rsidRDefault="00B3534A" w:rsidP="006C2DE2">
      <w:pPr>
        <w:widowControl w:val="0"/>
        <w:autoSpaceDE w:val="0"/>
        <w:autoSpaceDN w:val="0"/>
        <w:adjustRightInd w:val="0"/>
        <w:spacing w:before="100" w:after="100" w:line="360" w:lineRule="auto"/>
        <w:jc w:val="both"/>
        <w:rPr>
          <w:rFonts w:ascii="Arial" w:hAnsi="Arial" w:cs="Arial"/>
          <w:b/>
        </w:rPr>
      </w:pPr>
    </w:p>
    <w:p w:rsidR="0098049D" w:rsidRDefault="0098049D" w:rsidP="006C2DE2">
      <w:pPr>
        <w:widowControl w:val="0"/>
        <w:autoSpaceDE w:val="0"/>
        <w:autoSpaceDN w:val="0"/>
        <w:adjustRightInd w:val="0"/>
        <w:spacing w:before="100" w:after="100" w:line="360" w:lineRule="auto"/>
        <w:jc w:val="both"/>
        <w:rPr>
          <w:rFonts w:ascii="Arial" w:hAnsi="Arial" w:cs="Arial"/>
          <w:b/>
        </w:rPr>
      </w:pPr>
    </w:p>
    <w:p w:rsidR="006C2DE2" w:rsidRDefault="00B41242" w:rsidP="006C2DE2">
      <w:pPr>
        <w:widowControl w:val="0"/>
        <w:autoSpaceDE w:val="0"/>
        <w:autoSpaceDN w:val="0"/>
        <w:adjustRightInd w:val="0"/>
        <w:spacing w:before="100" w:after="100" w:line="360" w:lineRule="auto"/>
        <w:jc w:val="both"/>
        <w:rPr>
          <w:rFonts w:ascii="Arial" w:hAnsi="Arial" w:cs="Arial"/>
          <w:b/>
        </w:rPr>
      </w:pPr>
      <w:r>
        <w:rPr>
          <w:rFonts w:ascii="Arial" w:hAnsi="Arial" w:cs="Arial"/>
          <w:b/>
        </w:rPr>
        <w:lastRenderedPageBreak/>
        <w:t>4</w:t>
      </w:r>
      <w:r w:rsidR="006C2DE2" w:rsidRPr="00452547">
        <w:rPr>
          <w:rFonts w:ascii="Arial" w:hAnsi="Arial" w:cs="Arial"/>
          <w:b/>
        </w:rPr>
        <w:t>. COTIZACION DE LA PROPUESTA</w:t>
      </w:r>
    </w:p>
    <w:p w:rsidR="006C2DE2" w:rsidRDefault="006C2DE2" w:rsidP="006C2DE2">
      <w:pPr>
        <w:widowControl w:val="0"/>
        <w:autoSpaceDE w:val="0"/>
        <w:autoSpaceDN w:val="0"/>
        <w:adjustRightInd w:val="0"/>
        <w:spacing w:before="100" w:after="100" w:line="360" w:lineRule="auto"/>
        <w:jc w:val="both"/>
        <w:rPr>
          <w:rFonts w:ascii="Arial" w:hAnsi="Arial" w:cs="Arial"/>
        </w:rPr>
      </w:pPr>
      <w:r w:rsidRPr="007701E6">
        <w:rPr>
          <w:rFonts w:ascii="Arial" w:hAnsi="Arial" w:cs="Arial"/>
        </w:rPr>
        <w:t>Las ofertas serán por precios unitari</w:t>
      </w:r>
      <w:r w:rsidR="00AB1E4E">
        <w:rPr>
          <w:rFonts w:ascii="Arial" w:hAnsi="Arial" w:cs="Arial"/>
        </w:rPr>
        <w:t>os y totales, en Pesos Uruguayos</w:t>
      </w:r>
      <w:r w:rsidR="00B3534A">
        <w:rPr>
          <w:rFonts w:ascii="Arial" w:hAnsi="Arial" w:cs="Arial"/>
        </w:rPr>
        <w:t>,</w:t>
      </w:r>
      <w:r w:rsidRPr="007701E6">
        <w:rPr>
          <w:rFonts w:ascii="Arial" w:hAnsi="Arial" w:cs="Arial"/>
        </w:rPr>
        <w:t xml:space="preserve"> discriminando el IVA, el que será considerado en el precio a efectos de la comparación </w:t>
      </w:r>
      <w:r>
        <w:rPr>
          <w:rFonts w:ascii="Arial" w:hAnsi="Arial" w:cs="Arial"/>
        </w:rPr>
        <w:t>de ofertas</w:t>
      </w:r>
      <w:r w:rsidR="00CC11CC">
        <w:rPr>
          <w:rFonts w:ascii="Arial" w:hAnsi="Arial" w:cs="Arial"/>
        </w:rPr>
        <w:t xml:space="preserve">. </w:t>
      </w:r>
      <w:r>
        <w:rPr>
          <w:rFonts w:ascii="Arial" w:hAnsi="Arial" w:cs="Arial"/>
        </w:rPr>
        <w:t xml:space="preserve">Si la mercadería </w:t>
      </w:r>
      <w:r w:rsidR="00CC11CC">
        <w:rPr>
          <w:rFonts w:ascii="Arial" w:hAnsi="Arial" w:cs="Arial"/>
        </w:rPr>
        <w:t>se encuentra</w:t>
      </w:r>
      <w:r>
        <w:rPr>
          <w:rFonts w:ascii="Arial" w:hAnsi="Arial" w:cs="Arial"/>
        </w:rPr>
        <w:t xml:space="preserve"> exenta</w:t>
      </w:r>
      <w:r w:rsidR="00CC11CC">
        <w:rPr>
          <w:rFonts w:ascii="Arial" w:hAnsi="Arial" w:cs="Arial"/>
        </w:rPr>
        <w:t xml:space="preserve"> de impuestos se especificarán los motivos en la oferta. -</w:t>
      </w:r>
    </w:p>
    <w:p w:rsidR="006C2DE2" w:rsidRPr="007701E6" w:rsidRDefault="006C2DE2" w:rsidP="006C2DE2">
      <w:pPr>
        <w:widowControl w:val="0"/>
        <w:autoSpaceDE w:val="0"/>
        <w:autoSpaceDN w:val="0"/>
        <w:adjustRightInd w:val="0"/>
        <w:spacing w:before="100" w:after="100" w:line="360" w:lineRule="auto"/>
        <w:jc w:val="both"/>
        <w:rPr>
          <w:rFonts w:ascii="Arial" w:hAnsi="Arial" w:cs="Arial"/>
        </w:rPr>
      </w:pPr>
      <w:r>
        <w:rPr>
          <w:rFonts w:ascii="Arial" w:hAnsi="Arial" w:cs="Arial"/>
        </w:rPr>
        <w:t>Los precios cotizados deberán incluir todos los gastos: a) el depósito de la mercadería o suministro, b) la entrega de la mercadería hasta el lugar donde se establece el Pliego, c) ambos serán de cuenta del contratista hasta la fecha y lugar de entrega establecida en el Pliego de Condiciones Particulares</w:t>
      </w:r>
    </w:p>
    <w:p w:rsidR="003463D8" w:rsidRDefault="003463D8" w:rsidP="006C2DE2">
      <w:pPr>
        <w:widowControl w:val="0"/>
        <w:autoSpaceDE w:val="0"/>
        <w:autoSpaceDN w:val="0"/>
        <w:adjustRightInd w:val="0"/>
        <w:spacing w:before="100" w:after="100" w:line="360" w:lineRule="auto"/>
        <w:jc w:val="both"/>
        <w:rPr>
          <w:rFonts w:ascii="Arial" w:hAnsi="Arial" w:cs="Arial"/>
          <w:b/>
          <w:bCs/>
        </w:rPr>
      </w:pPr>
    </w:p>
    <w:p w:rsidR="003463D8" w:rsidRDefault="00B41242" w:rsidP="006C2DE2">
      <w:pPr>
        <w:widowControl w:val="0"/>
        <w:autoSpaceDE w:val="0"/>
        <w:autoSpaceDN w:val="0"/>
        <w:adjustRightInd w:val="0"/>
        <w:spacing w:before="100" w:after="100" w:line="360" w:lineRule="auto"/>
        <w:jc w:val="both"/>
        <w:rPr>
          <w:rFonts w:ascii="Arial" w:hAnsi="Arial" w:cs="Arial"/>
          <w:b/>
          <w:bCs/>
        </w:rPr>
      </w:pPr>
      <w:r>
        <w:rPr>
          <w:rFonts w:ascii="Arial" w:hAnsi="Arial" w:cs="Arial"/>
          <w:b/>
          <w:bCs/>
        </w:rPr>
        <w:t>5</w:t>
      </w:r>
      <w:r w:rsidR="003463D8">
        <w:rPr>
          <w:rFonts w:ascii="Arial" w:hAnsi="Arial" w:cs="Arial"/>
          <w:b/>
          <w:bCs/>
        </w:rPr>
        <w:t xml:space="preserve">. ADJUDICACIÓN </w:t>
      </w:r>
    </w:p>
    <w:p w:rsidR="003463D8" w:rsidRDefault="003463D8" w:rsidP="006C2DE2">
      <w:pPr>
        <w:widowControl w:val="0"/>
        <w:autoSpaceDE w:val="0"/>
        <w:autoSpaceDN w:val="0"/>
        <w:adjustRightInd w:val="0"/>
        <w:spacing w:before="100" w:after="100" w:line="360" w:lineRule="auto"/>
        <w:jc w:val="both"/>
        <w:rPr>
          <w:rFonts w:ascii="Arial" w:hAnsi="Arial" w:cs="Arial"/>
          <w:bCs/>
        </w:rPr>
      </w:pPr>
      <w:r>
        <w:rPr>
          <w:rFonts w:ascii="Arial" w:hAnsi="Arial" w:cs="Arial"/>
          <w:bCs/>
        </w:rPr>
        <w:t>La Administración se reserva el derecho de adjudicar el presente concurso de precios a la o las ofertas que considere más convenientes para sus intereses y a las necesidades de la Administración, aunque no sea la de menor precio y también de declararla desierta o rechazar a su exclusivo juicio, la totalidad de las ofertas sin derecho a reclamo alguno por parte de los oferentes. Al oferente que resulte seleccionado como eventual adjudicatario y no hubiese adquirido el estado “ACTIVO” en RUPE, se le otorgará un plazo de 2 días hábiles, a fin de que adquiera dicho estado, bajo apercibimiento de adjudicar este llamado al siguiente mejor oferente en caso de no cumplir este requerimiento en el plazo mencionado.</w:t>
      </w:r>
    </w:p>
    <w:p w:rsidR="003463D8" w:rsidRDefault="003463D8" w:rsidP="006C2DE2">
      <w:pPr>
        <w:widowControl w:val="0"/>
        <w:autoSpaceDE w:val="0"/>
        <w:autoSpaceDN w:val="0"/>
        <w:adjustRightInd w:val="0"/>
        <w:spacing w:before="100" w:after="100" w:line="360" w:lineRule="auto"/>
        <w:jc w:val="both"/>
        <w:rPr>
          <w:rFonts w:ascii="Arial" w:hAnsi="Arial" w:cs="Arial"/>
          <w:bCs/>
        </w:rPr>
      </w:pPr>
      <w:r>
        <w:rPr>
          <w:rFonts w:ascii="Arial" w:hAnsi="Arial" w:cs="Arial"/>
          <w:bCs/>
        </w:rPr>
        <w:t>La Administración está facultada para:</w:t>
      </w:r>
    </w:p>
    <w:p w:rsidR="003463D8" w:rsidRPr="003463D8" w:rsidRDefault="003463D8" w:rsidP="003463D8">
      <w:pPr>
        <w:pStyle w:val="Prrafodelista"/>
        <w:widowControl w:val="0"/>
        <w:numPr>
          <w:ilvl w:val="0"/>
          <w:numId w:val="9"/>
        </w:numPr>
        <w:autoSpaceDE w:val="0"/>
        <w:autoSpaceDN w:val="0"/>
        <w:adjustRightInd w:val="0"/>
        <w:spacing w:before="100" w:after="100" w:line="360" w:lineRule="auto"/>
        <w:jc w:val="both"/>
        <w:rPr>
          <w:rFonts w:ascii="Arial" w:hAnsi="Arial" w:cs="Arial"/>
          <w:bCs/>
        </w:rPr>
      </w:pPr>
      <w:r w:rsidRPr="003463D8">
        <w:rPr>
          <w:rFonts w:ascii="Arial" w:hAnsi="Arial" w:cs="Arial"/>
          <w:bCs/>
        </w:rPr>
        <w:t>Adjudicar el concurso de precios proponente que a su sólo juicio reúna las mejores condiciones.</w:t>
      </w:r>
    </w:p>
    <w:p w:rsidR="003463D8" w:rsidRDefault="003463D8" w:rsidP="003463D8">
      <w:pPr>
        <w:pStyle w:val="Prrafodelista"/>
        <w:widowControl w:val="0"/>
        <w:numPr>
          <w:ilvl w:val="0"/>
          <w:numId w:val="9"/>
        </w:numPr>
        <w:autoSpaceDE w:val="0"/>
        <w:autoSpaceDN w:val="0"/>
        <w:adjustRightInd w:val="0"/>
        <w:spacing w:before="100" w:after="100" w:line="360" w:lineRule="auto"/>
        <w:jc w:val="both"/>
        <w:rPr>
          <w:rFonts w:ascii="Arial" w:hAnsi="Arial" w:cs="Arial"/>
          <w:bCs/>
        </w:rPr>
      </w:pPr>
      <w:r>
        <w:rPr>
          <w:rFonts w:ascii="Arial" w:hAnsi="Arial" w:cs="Arial"/>
          <w:bCs/>
        </w:rPr>
        <w:t>No adjudicar el suministro; declararla desierta y/o dejar sin efecto el presente concurso de precios, aún en caso de que se presente un solo oferente.</w:t>
      </w:r>
    </w:p>
    <w:p w:rsidR="003463D8" w:rsidRDefault="003463D8" w:rsidP="003463D8">
      <w:pPr>
        <w:pStyle w:val="Prrafodelista"/>
        <w:widowControl w:val="0"/>
        <w:numPr>
          <w:ilvl w:val="0"/>
          <w:numId w:val="9"/>
        </w:numPr>
        <w:autoSpaceDE w:val="0"/>
        <w:autoSpaceDN w:val="0"/>
        <w:adjustRightInd w:val="0"/>
        <w:spacing w:before="100" w:after="100" w:line="360" w:lineRule="auto"/>
        <w:jc w:val="both"/>
        <w:rPr>
          <w:rFonts w:ascii="Arial" w:hAnsi="Arial" w:cs="Arial"/>
          <w:bCs/>
        </w:rPr>
      </w:pPr>
      <w:r>
        <w:rPr>
          <w:rFonts w:ascii="Arial" w:hAnsi="Arial" w:cs="Arial"/>
          <w:bCs/>
        </w:rPr>
        <w:t>Dividir la adjudicación entre varios proponentes, salvo que por razones fundadas la adjudicación deba efectuarse a un único oferente.</w:t>
      </w:r>
    </w:p>
    <w:p w:rsidR="003463D8" w:rsidRDefault="003463D8" w:rsidP="003463D8">
      <w:pPr>
        <w:pStyle w:val="Prrafodelista"/>
        <w:widowControl w:val="0"/>
        <w:numPr>
          <w:ilvl w:val="0"/>
          <w:numId w:val="9"/>
        </w:numPr>
        <w:autoSpaceDE w:val="0"/>
        <w:autoSpaceDN w:val="0"/>
        <w:adjustRightInd w:val="0"/>
        <w:spacing w:before="100" w:after="100" w:line="360" w:lineRule="auto"/>
        <w:jc w:val="both"/>
        <w:rPr>
          <w:rFonts w:ascii="Arial" w:hAnsi="Arial" w:cs="Arial"/>
          <w:bCs/>
        </w:rPr>
      </w:pPr>
      <w:r>
        <w:rPr>
          <w:rFonts w:ascii="Arial" w:hAnsi="Arial" w:cs="Arial"/>
          <w:bCs/>
        </w:rPr>
        <w:t>Aumentar o disminuir razonablemente las cantidades solicitadas.</w:t>
      </w:r>
    </w:p>
    <w:p w:rsidR="00451521" w:rsidRDefault="003463D8" w:rsidP="002B1A9D">
      <w:pPr>
        <w:widowControl w:val="0"/>
        <w:autoSpaceDE w:val="0"/>
        <w:autoSpaceDN w:val="0"/>
        <w:adjustRightInd w:val="0"/>
        <w:spacing w:before="100" w:after="100" w:line="360" w:lineRule="auto"/>
        <w:ind w:left="360"/>
        <w:jc w:val="both"/>
        <w:rPr>
          <w:rFonts w:ascii="Arial" w:hAnsi="Arial" w:cs="Arial"/>
          <w:bCs/>
        </w:rPr>
      </w:pPr>
      <w:r>
        <w:rPr>
          <w:rFonts w:ascii="Arial" w:hAnsi="Arial" w:cs="Arial"/>
          <w:bCs/>
        </w:rPr>
        <w:t>Entablar negociaciones paralelas con los oferentes conforme al Art. 66 del T.O.C.A.F. Inciso 13.-</w:t>
      </w:r>
    </w:p>
    <w:p w:rsidR="00C66460" w:rsidRDefault="00C66460" w:rsidP="00C66460">
      <w:pPr>
        <w:widowControl w:val="0"/>
        <w:autoSpaceDE w:val="0"/>
        <w:autoSpaceDN w:val="0"/>
        <w:adjustRightInd w:val="0"/>
        <w:spacing w:before="100" w:after="100" w:line="360" w:lineRule="auto"/>
        <w:jc w:val="both"/>
        <w:rPr>
          <w:rFonts w:ascii="Arial" w:hAnsi="Arial" w:cs="Arial"/>
          <w:bCs/>
        </w:rPr>
      </w:pPr>
    </w:p>
    <w:p w:rsidR="00C66460" w:rsidRPr="003463D8" w:rsidRDefault="00C66460" w:rsidP="00C66460">
      <w:pPr>
        <w:widowControl w:val="0"/>
        <w:autoSpaceDE w:val="0"/>
        <w:autoSpaceDN w:val="0"/>
        <w:adjustRightInd w:val="0"/>
        <w:spacing w:before="100" w:after="100" w:line="360" w:lineRule="auto"/>
        <w:jc w:val="both"/>
        <w:rPr>
          <w:rFonts w:ascii="Arial" w:hAnsi="Arial" w:cs="Arial"/>
          <w:bCs/>
        </w:rPr>
      </w:pPr>
    </w:p>
    <w:p w:rsidR="006C2DE2" w:rsidRDefault="00B41242" w:rsidP="006C2DE2">
      <w:pPr>
        <w:widowControl w:val="0"/>
        <w:autoSpaceDE w:val="0"/>
        <w:autoSpaceDN w:val="0"/>
        <w:adjustRightInd w:val="0"/>
        <w:spacing w:before="100" w:after="100" w:line="360" w:lineRule="auto"/>
        <w:jc w:val="both"/>
        <w:rPr>
          <w:rFonts w:ascii="Arial" w:hAnsi="Arial" w:cs="Arial"/>
          <w:b/>
          <w:bCs/>
        </w:rPr>
      </w:pPr>
      <w:r>
        <w:rPr>
          <w:rFonts w:ascii="Arial" w:hAnsi="Arial" w:cs="Arial"/>
          <w:b/>
          <w:bCs/>
        </w:rPr>
        <w:lastRenderedPageBreak/>
        <w:t>6</w:t>
      </w:r>
      <w:r w:rsidR="00D059C5">
        <w:rPr>
          <w:rFonts w:ascii="Arial" w:hAnsi="Arial" w:cs="Arial"/>
          <w:b/>
          <w:bCs/>
        </w:rPr>
        <w:t xml:space="preserve">. </w:t>
      </w:r>
      <w:r w:rsidR="006C2DE2">
        <w:rPr>
          <w:rFonts w:ascii="Arial" w:hAnsi="Arial" w:cs="Arial"/>
          <w:b/>
          <w:bCs/>
        </w:rPr>
        <w:t xml:space="preserve"> FORMA DE PAGO</w:t>
      </w:r>
    </w:p>
    <w:p w:rsidR="006C2DE2" w:rsidRDefault="00B41242" w:rsidP="006C2DE2">
      <w:pPr>
        <w:widowControl w:val="0"/>
        <w:autoSpaceDE w:val="0"/>
        <w:autoSpaceDN w:val="0"/>
        <w:adjustRightInd w:val="0"/>
        <w:spacing w:before="100" w:after="100" w:line="360" w:lineRule="auto"/>
        <w:jc w:val="both"/>
        <w:rPr>
          <w:rFonts w:ascii="Arial" w:hAnsi="Arial" w:cs="Arial"/>
        </w:rPr>
      </w:pPr>
      <w:r>
        <w:rPr>
          <w:rFonts w:ascii="Arial" w:hAnsi="Arial" w:cs="Arial"/>
          <w:b/>
        </w:rPr>
        <w:t>6</w:t>
      </w:r>
      <w:r w:rsidR="006C2DE2" w:rsidRPr="000C5055">
        <w:rPr>
          <w:rFonts w:ascii="Arial" w:hAnsi="Arial" w:cs="Arial"/>
          <w:b/>
        </w:rPr>
        <w:t>.1</w:t>
      </w:r>
      <w:r w:rsidR="006C2DE2">
        <w:rPr>
          <w:rFonts w:ascii="Arial" w:hAnsi="Arial" w:cs="Arial"/>
        </w:rPr>
        <w:t xml:space="preserve"> El valor de la contratación se abonará al adjudicatario por el Sistema Integrado de </w:t>
      </w:r>
      <w:r w:rsidR="002434F2">
        <w:rPr>
          <w:rFonts w:ascii="Arial" w:hAnsi="Arial" w:cs="Arial"/>
        </w:rPr>
        <w:t>i</w:t>
      </w:r>
      <w:r w:rsidR="006C2DE2">
        <w:rPr>
          <w:rFonts w:ascii="Arial" w:hAnsi="Arial" w:cs="Arial"/>
        </w:rPr>
        <w:t>nformación Financiera de la Contaduría General de la Nación (S.I.I.F. de C.G.N.) en moneda nacional una vez presentada y conformada la factura en la oficina que corresponda y siempre que se haya comprobado que el suministro se ha efectuado en perfectas condiciones, de todo lo cual se cerciorará la Administración.</w:t>
      </w:r>
    </w:p>
    <w:p w:rsidR="006C2DE2" w:rsidRDefault="00B41242" w:rsidP="006C2DE2">
      <w:pPr>
        <w:widowControl w:val="0"/>
        <w:autoSpaceDE w:val="0"/>
        <w:autoSpaceDN w:val="0"/>
        <w:adjustRightInd w:val="0"/>
        <w:spacing w:before="100" w:after="100" w:line="360" w:lineRule="auto"/>
        <w:jc w:val="both"/>
        <w:rPr>
          <w:rFonts w:ascii="Arial" w:hAnsi="Arial" w:cs="Arial"/>
        </w:rPr>
      </w:pPr>
      <w:r>
        <w:rPr>
          <w:rFonts w:ascii="Arial" w:hAnsi="Arial" w:cs="Arial"/>
          <w:b/>
          <w:bCs/>
        </w:rPr>
        <w:t>6</w:t>
      </w:r>
      <w:r w:rsidR="006C2DE2">
        <w:rPr>
          <w:rFonts w:ascii="Arial" w:hAnsi="Arial" w:cs="Arial"/>
          <w:b/>
          <w:bCs/>
        </w:rPr>
        <w:t>.2</w:t>
      </w:r>
      <w:r w:rsidR="006C2DE2">
        <w:rPr>
          <w:rFonts w:ascii="Arial" w:hAnsi="Arial" w:cs="Arial"/>
        </w:rPr>
        <w:t xml:space="preserve"> De acuerdo con lo que dispone el decreto 319/006 de 11 de setiembre de </w:t>
      </w:r>
      <w:proofErr w:type="gramStart"/>
      <w:r w:rsidR="006C2DE2">
        <w:rPr>
          <w:rFonts w:ascii="Arial" w:hAnsi="Arial" w:cs="Arial"/>
        </w:rPr>
        <w:t>2006,  la</w:t>
      </w:r>
      <w:proofErr w:type="gramEnd"/>
      <w:r w:rsidR="006C2DE2">
        <w:rPr>
          <w:rFonts w:ascii="Arial" w:hAnsi="Arial" w:cs="Arial"/>
        </w:rPr>
        <w:t xml:space="preserve"> Administración retendrá del monto a abonar, el 60% del Impuesto al Valor Agregado. </w:t>
      </w:r>
    </w:p>
    <w:p w:rsidR="000C5055" w:rsidRDefault="000C5055" w:rsidP="006C2DE2">
      <w:pPr>
        <w:widowControl w:val="0"/>
        <w:autoSpaceDE w:val="0"/>
        <w:autoSpaceDN w:val="0"/>
        <w:adjustRightInd w:val="0"/>
        <w:spacing w:before="100" w:after="100" w:line="360" w:lineRule="auto"/>
        <w:jc w:val="both"/>
        <w:rPr>
          <w:rFonts w:ascii="Arial" w:hAnsi="Arial" w:cs="Arial"/>
          <w:b/>
        </w:rPr>
      </w:pPr>
    </w:p>
    <w:p w:rsidR="006C2DE2" w:rsidRDefault="00B41242" w:rsidP="006C2DE2">
      <w:pPr>
        <w:widowControl w:val="0"/>
        <w:autoSpaceDE w:val="0"/>
        <w:autoSpaceDN w:val="0"/>
        <w:adjustRightInd w:val="0"/>
        <w:spacing w:before="100" w:after="100" w:line="360" w:lineRule="auto"/>
        <w:jc w:val="both"/>
        <w:rPr>
          <w:rFonts w:ascii="Arial" w:hAnsi="Arial" w:cs="Arial"/>
        </w:rPr>
      </w:pPr>
      <w:r>
        <w:rPr>
          <w:rFonts w:ascii="Arial" w:hAnsi="Arial" w:cs="Arial"/>
          <w:b/>
        </w:rPr>
        <w:t>7</w:t>
      </w:r>
      <w:r w:rsidR="006C2DE2" w:rsidRPr="002949AA">
        <w:rPr>
          <w:rFonts w:ascii="Arial" w:hAnsi="Arial" w:cs="Arial"/>
          <w:b/>
        </w:rPr>
        <w:t>.</w:t>
      </w:r>
      <w:r w:rsidR="006C2DE2">
        <w:rPr>
          <w:rFonts w:ascii="Arial" w:hAnsi="Arial" w:cs="Arial"/>
          <w:b/>
        </w:rPr>
        <w:t xml:space="preserve">  PLAZO Y LUGAR DE ENTREGA</w:t>
      </w:r>
    </w:p>
    <w:p w:rsidR="00A62BC4" w:rsidRDefault="00CC11CC" w:rsidP="00A62BC4">
      <w:pPr>
        <w:widowControl w:val="0"/>
        <w:autoSpaceDE w:val="0"/>
        <w:autoSpaceDN w:val="0"/>
        <w:adjustRightInd w:val="0"/>
        <w:spacing w:line="360" w:lineRule="auto"/>
        <w:jc w:val="both"/>
        <w:rPr>
          <w:rFonts w:ascii="Arial" w:hAnsi="Arial" w:cs="Arial"/>
        </w:rPr>
      </w:pPr>
      <w:r>
        <w:rPr>
          <w:rFonts w:ascii="Arial" w:hAnsi="Arial" w:cs="Arial"/>
        </w:rPr>
        <w:t>L</w:t>
      </w:r>
      <w:r w:rsidR="00A62BC4" w:rsidRPr="001D2B9E">
        <w:rPr>
          <w:rFonts w:ascii="Arial" w:hAnsi="Arial" w:cs="Arial"/>
        </w:rPr>
        <w:t xml:space="preserve">a entrega de </w:t>
      </w:r>
      <w:r>
        <w:rPr>
          <w:rFonts w:ascii="Arial" w:hAnsi="Arial" w:cs="Arial"/>
        </w:rPr>
        <w:t xml:space="preserve">las hélices y los bujes </w:t>
      </w:r>
      <w:r w:rsidR="00A62BC4" w:rsidRPr="001D2B9E">
        <w:rPr>
          <w:rFonts w:ascii="Arial" w:hAnsi="Arial" w:cs="Arial"/>
        </w:rPr>
        <w:t xml:space="preserve">se realizará en Oficina Central Rincón 575 / piso </w:t>
      </w:r>
      <w:r>
        <w:rPr>
          <w:rFonts w:ascii="Arial" w:hAnsi="Arial" w:cs="Arial"/>
        </w:rPr>
        <w:t xml:space="preserve">1, coordinado previamente al teléfono 290157933 </w:t>
      </w:r>
      <w:proofErr w:type="spellStart"/>
      <w:r>
        <w:rPr>
          <w:rFonts w:ascii="Arial" w:hAnsi="Arial" w:cs="Arial"/>
        </w:rPr>
        <w:t>Int</w:t>
      </w:r>
      <w:proofErr w:type="spellEnd"/>
      <w:r>
        <w:rPr>
          <w:rFonts w:ascii="Arial" w:hAnsi="Arial" w:cs="Arial"/>
        </w:rPr>
        <w:t xml:space="preserve"> 2016 con el Arq. Mauro Toledo</w:t>
      </w:r>
      <w:r w:rsidR="00A62BC4" w:rsidRPr="001D2B9E">
        <w:rPr>
          <w:rFonts w:ascii="Arial" w:hAnsi="Arial" w:cs="Arial"/>
        </w:rPr>
        <w:t>.</w:t>
      </w:r>
    </w:p>
    <w:p w:rsidR="00CC11CC" w:rsidRPr="001D2B9E" w:rsidRDefault="002B1A9D" w:rsidP="00A62BC4">
      <w:pPr>
        <w:widowControl w:val="0"/>
        <w:autoSpaceDE w:val="0"/>
        <w:autoSpaceDN w:val="0"/>
        <w:adjustRightInd w:val="0"/>
        <w:spacing w:line="360" w:lineRule="auto"/>
        <w:jc w:val="both"/>
        <w:rPr>
          <w:rFonts w:ascii="Arial" w:hAnsi="Arial" w:cs="Arial"/>
        </w:rPr>
      </w:pPr>
      <w:r>
        <w:rPr>
          <w:rFonts w:ascii="Arial" w:hAnsi="Arial" w:cs="Arial"/>
        </w:rPr>
        <w:t xml:space="preserve">En referencia al eje la DNH lo retirar </w:t>
      </w:r>
      <w:r w:rsidR="00CC11CC">
        <w:rPr>
          <w:rFonts w:ascii="Arial" w:hAnsi="Arial" w:cs="Arial"/>
        </w:rPr>
        <w:t xml:space="preserve">en </w:t>
      </w:r>
      <w:r>
        <w:rPr>
          <w:rFonts w:ascii="Arial" w:hAnsi="Arial" w:cs="Arial"/>
        </w:rPr>
        <w:t xml:space="preserve">el lugar indicado por el oferente, el que deberá estar condicionado para su correcto traslado, protegiendo por una caja de madera adecuada que evite golpes y torceduras.   </w:t>
      </w:r>
    </w:p>
    <w:p w:rsidR="00A62BC4" w:rsidRDefault="00A62BC4" w:rsidP="00B359D3">
      <w:pPr>
        <w:rPr>
          <w:sz w:val="24"/>
          <w:szCs w:val="24"/>
        </w:rPr>
      </w:pPr>
    </w:p>
    <w:p w:rsidR="009670A4" w:rsidRDefault="00B41242" w:rsidP="005F5811">
      <w:pPr>
        <w:spacing w:line="360" w:lineRule="auto"/>
        <w:rPr>
          <w:rFonts w:ascii="Arial" w:hAnsi="Arial" w:cs="Arial"/>
          <w:b/>
        </w:rPr>
      </w:pPr>
      <w:r>
        <w:rPr>
          <w:rFonts w:ascii="Arial" w:hAnsi="Arial" w:cs="Arial"/>
          <w:b/>
        </w:rPr>
        <w:t>8</w:t>
      </w:r>
      <w:r w:rsidR="005F5811">
        <w:rPr>
          <w:rFonts w:ascii="Arial" w:hAnsi="Arial" w:cs="Arial"/>
          <w:b/>
        </w:rPr>
        <w:t>.- NORMATIVA APLICABLE</w:t>
      </w:r>
    </w:p>
    <w:p w:rsidR="005F5811" w:rsidRDefault="005F5811" w:rsidP="005F5811">
      <w:pPr>
        <w:spacing w:line="360" w:lineRule="auto"/>
        <w:rPr>
          <w:rFonts w:ascii="Arial" w:hAnsi="Arial" w:cs="Arial"/>
        </w:rPr>
      </w:pPr>
      <w:r>
        <w:rPr>
          <w:rFonts w:ascii="Arial" w:hAnsi="Arial" w:cs="Arial"/>
        </w:rPr>
        <w:t>Esta contratación se enmarca, en lo aplicable, en lo dispuesto por las siguientes normas enumeradas con carácter no taxativo:</w:t>
      </w:r>
    </w:p>
    <w:p w:rsidR="005F5811" w:rsidRDefault="005F5811" w:rsidP="005F5811">
      <w:pPr>
        <w:pStyle w:val="Prrafodelista"/>
        <w:numPr>
          <w:ilvl w:val="0"/>
          <w:numId w:val="10"/>
        </w:numPr>
        <w:spacing w:line="360" w:lineRule="auto"/>
        <w:rPr>
          <w:rFonts w:ascii="Arial" w:hAnsi="Arial" w:cs="Arial"/>
        </w:rPr>
      </w:pPr>
      <w:r>
        <w:rPr>
          <w:rFonts w:ascii="Arial" w:hAnsi="Arial" w:cs="Arial"/>
        </w:rPr>
        <w:t>T.O.C.A.F. (Texto Ordenado de Contabilidad y Administración Financiera), aprobado por</w:t>
      </w:r>
      <w:r w:rsidR="00B14392">
        <w:rPr>
          <w:rFonts w:ascii="Arial" w:hAnsi="Arial" w:cs="Arial"/>
        </w:rPr>
        <w:t xml:space="preserve"> el Decreto 150/12 de 11 de mayo de 2012 y sus modificaciones aprobadas por Ley N° 19.889 de 9 de julio de 2020.-</w:t>
      </w:r>
    </w:p>
    <w:p w:rsidR="00B14392" w:rsidRDefault="00B14392" w:rsidP="005F5811">
      <w:pPr>
        <w:pStyle w:val="Prrafodelista"/>
        <w:numPr>
          <w:ilvl w:val="0"/>
          <w:numId w:val="10"/>
        </w:numPr>
        <w:spacing w:line="360" w:lineRule="auto"/>
        <w:rPr>
          <w:rFonts w:ascii="Arial" w:hAnsi="Arial" w:cs="Arial"/>
        </w:rPr>
      </w:pPr>
      <w:r>
        <w:rPr>
          <w:rFonts w:ascii="Arial" w:hAnsi="Arial" w:cs="Arial"/>
        </w:rPr>
        <w:t>Decreto 155/13 de 21 de mayo de 2013, Registro Único de Proveedores del Estado (RUPE).-</w:t>
      </w:r>
    </w:p>
    <w:p w:rsidR="00B14392" w:rsidRDefault="00B14392" w:rsidP="005F5811">
      <w:pPr>
        <w:pStyle w:val="Prrafodelista"/>
        <w:numPr>
          <w:ilvl w:val="0"/>
          <w:numId w:val="10"/>
        </w:numPr>
        <w:spacing w:line="360" w:lineRule="auto"/>
        <w:rPr>
          <w:rFonts w:ascii="Arial" w:hAnsi="Arial" w:cs="Arial"/>
        </w:rPr>
      </w:pPr>
      <w:r>
        <w:rPr>
          <w:rFonts w:ascii="Arial" w:hAnsi="Arial" w:cs="Arial"/>
        </w:rPr>
        <w:t>Decreto 131/14 de 19 de mayo de 2014 Pliego único de bases y condiciones generales para los contratos de suministros y servicios no personales.-</w:t>
      </w:r>
    </w:p>
    <w:p w:rsidR="00B14392" w:rsidRDefault="00B14392" w:rsidP="00B14392">
      <w:pPr>
        <w:pStyle w:val="Prrafodelista"/>
        <w:numPr>
          <w:ilvl w:val="0"/>
          <w:numId w:val="10"/>
        </w:numPr>
        <w:spacing w:line="360" w:lineRule="auto"/>
        <w:rPr>
          <w:rFonts w:ascii="Arial" w:hAnsi="Arial" w:cs="Arial"/>
        </w:rPr>
      </w:pPr>
      <w:r>
        <w:rPr>
          <w:rFonts w:ascii="Arial" w:hAnsi="Arial" w:cs="Arial"/>
        </w:rPr>
        <w:t>Comunicados, enmiendas o aclaraciones efectuadas por la Administración relativas al llamado.-</w:t>
      </w:r>
    </w:p>
    <w:p w:rsidR="00B14392" w:rsidRDefault="00B14392" w:rsidP="00B14392">
      <w:pPr>
        <w:pStyle w:val="Prrafodelista"/>
        <w:numPr>
          <w:ilvl w:val="0"/>
          <w:numId w:val="10"/>
        </w:numPr>
        <w:spacing w:line="360" w:lineRule="auto"/>
        <w:rPr>
          <w:rFonts w:ascii="Arial" w:hAnsi="Arial" w:cs="Arial"/>
        </w:rPr>
      </w:pPr>
      <w:r>
        <w:rPr>
          <w:rFonts w:ascii="Arial" w:hAnsi="Arial" w:cs="Arial"/>
        </w:rPr>
        <w:t>La propuesta formulada por el oferente.-</w:t>
      </w:r>
    </w:p>
    <w:p w:rsidR="00B14392" w:rsidRDefault="00B14392" w:rsidP="00B14392">
      <w:pPr>
        <w:pStyle w:val="Prrafodelista"/>
        <w:numPr>
          <w:ilvl w:val="0"/>
          <w:numId w:val="10"/>
        </w:numPr>
        <w:spacing w:line="360" w:lineRule="auto"/>
        <w:rPr>
          <w:rFonts w:ascii="Arial" w:hAnsi="Arial" w:cs="Arial"/>
        </w:rPr>
      </w:pPr>
      <w:r>
        <w:rPr>
          <w:rFonts w:ascii="Arial" w:hAnsi="Arial" w:cs="Arial"/>
        </w:rPr>
        <w:t>El presente Pliego de Condiciones y en general las leyes, decretos y resoluciones vigentes a la fecha de apertura de la licitación.-</w:t>
      </w:r>
    </w:p>
    <w:p w:rsidR="00B14392" w:rsidRDefault="00B41242" w:rsidP="00B14392">
      <w:pPr>
        <w:widowControl w:val="0"/>
        <w:autoSpaceDE w:val="0"/>
        <w:autoSpaceDN w:val="0"/>
        <w:adjustRightInd w:val="0"/>
        <w:spacing w:after="0" w:line="360" w:lineRule="auto"/>
        <w:jc w:val="both"/>
        <w:rPr>
          <w:rFonts w:ascii="Arial" w:hAnsi="Arial" w:cs="Arial"/>
          <w:b/>
          <w:bCs/>
          <w:sz w:val="21"/>
          <w:szCs w:val="21"/>
        </w:rPr>
      </w:pPr>
      <w:r>
        <w:rPr>
          <w:rFonts w:ascii="Arial" w:hAnsi="Arial" w:cs="Arial"/>
          <w:b/>
          <w:bCs/>
          <w:sz w:val="21"/>
          <w:szCs w:val="21"/>
        </w:rPr>
        <w:lastRenderedPageBreak/>
        <w:t>9</w:t>
      </w:r>
      <w:r w:rsidR="00B14392">
        <w:rPr>
          <w:rFonts w:ascii="Arial" w:hAnsi="Arial" w:cs="Arial"/>
          <w:b/>
          <w:bCs/>
          <w:sz w:val="21"/>
          <w:szCs w:val="21"/>
        </w:rPr>
        <w:t xml:space="preserve">.- </w:t>
      </w:r>
      <w:r w:rsidR="00B14392" w:rsidRPr="002434F2">
        <w:rPr>
          <w:rFonts w:ascii="Arial" w:hAnsi="Arial" w:cs="Arial"/>
          <w:b/>
          <w:bCs/>
          <w:sz w:val="21"/>
          <w:szCs w:val="21"/>
        </w:rPr>
        <w:t>CONSULTAS Y PLAZOS</w:t>
      </w:r>
    </w:p>
    <w:p w:rsidR="00B14392" w:rsidRDefault="00B41242"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b/>
          <w:bCs/>
          <w:sz w:val="21"/>
          <w:szCs w:val="21"/>
        </w:rPr>
        <w:t>9</w:t>
      </w:r>
      <w:r w:rsidR="00B14392">
        <w:rPr>
          <w:rFonts w:ascii="Arial" w:hAnsi="Arial" w:cs="Arial"/>
          <w:b/>
          <w:bCs/>
          <w:sz w:val="21"/>
          <w:szCs w:val="21"/>
        </w:rPr>
        <w:t xml:space="preserve">.1- </w:t>
      </w:r>
      <w:r w:rsidR="00B14392">
        <w:rPr>
          <w:rFonts w:ascii="Arial" w:hAnsi="Arial" w:cs="Arial"/>
          <w:sz w:val="21"/>
          <w:szCs w:val="21"/>
        </w:rPr>
        <w:t>Todas las comunicaciones y consultas referidas al presente llamado deberán</w:t>
      </w:r>
      <w:r w:rsidR="009F6F0D">
        <w:rPr>
          <w:rFonts w:ascii="Arial" w:hAnsi="Arial" w:cs="Arial"/>
          <w:sz w:val="21"/>
          <w:szCs w:val="21"/>
        </w:rPr>
        <w:t xml:space="preserve"> realizarse </w:t>
      </w:r>
      <w:r w:rsidR="00B14392">
        <w:rPr>
          <w:rFonts w:ascii="Arial" w:hAnsi="Arial" w:cs="Arial"/>
          <w:sz w:val="21"/>
          <w:szCs w:val="21"/>
        </w:rPr>
        <w:t xml:space="preserve">  o al mail </w:t>
      </w:r>
      <w:hyperlink r:id="rId11" w:history="1">
        <w:r w:rsidR="00B14392" w:rsidRPr="001743D0">
          <w:rPr>
            <w:rStyle w:val="Hipervnculo"/>
            <w:rFonts w:ascii="Arial" w:hAnsi="Arial" w:cs="Arial"/>
            <w:sz w:val="21"/>
            <w:szCs w:val="21"/>
          </w:rPr>
          <w:t>dnh.licitaciones@mtop.gub.uy.-</w:t>
        </w:r>
      </w:hyperlink>
    </w:p>
    <w:p w:rsidR="00B14392" w:rsidRPr="002434F2" w:rsidRDefault="00B41242"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b/>
          <w:sz w:val="21"/>
          <w:szCs w:val="21"/>
        </w:rPr>
        <w:t>9</w:t>
      </w:r>
      <w:r w:rsidR="00B14392">
        <w:rPr>
          <w:rFonts w:ascii="Arial" w:hAnsi="Arial" w:cs="Arial"/>
          <w:b/>
          <w:sz w:val="21"/>
          <w:szCs w:val="21"/>
        </w:rPr>
        <w:t xml:space="preserve">.2- CONSULTAS- </w:t>
      </w:r>
      <w:r w:rsidR="00B14392">
        <w:rPr>
          <w:rFonts w:ascii="Arial" w:hAnsi="Arial" w:cs="Arial"/>
          <w:sz w:val="21"/>
          <w:szCs w:val="21"/>
        </w:rPr>
        <w:t xml:space="preserve"> </w:t>
      </w:r>
      <w:r w:rsidR="00B14392" w:rsidRPr="002434F2">
        <w:rPr>
          <w:rFonts w:ascii="Arial" w:hAnsi="Arial" w:cs="Arial"/>
          <w:sz w:val="21"/>
          <w:szCs w:val="21"/>
        </w:rPr>
        <w:t>Los eventuales oferentes p</w:t>
      </w:r>
      <w:r w:rsidR="00B14392">
        <w:rPr>
          <w:rFonts w:ascii="Arial" w:hAnsi="Arial" w:cs="Arial"/>
          <w:sz w:val="21"/>
          <w:szCs w:val="21"/>
        </w:rPr>
        <w:t>odrán solicitar a la D.N.H., por cualquiera de los medios mencionados precedentemente, prórroga</w:t>
      </w:r>
      <w:r w:rsidR="00B14392" w:rsidRPr="002434F2">
        <w:rPr>
          <w:rFonts w:ascii="Arial" w:hAnsi="Arial" w:cs="Arial"/>
          <w:sz w:val="21"/>
          <w:szCs w:val="21"/>
        </w:rPr>
        <w:t xml:space="preserve"> de apertura de</w:t>
      </w:r>
      <w:r w:rsidR="00B14392">
        <w:rPr>
          <w:rFonts w:ascii="Arial" w:hAnsi="Arial" w:cs="Arial"/>
          <w:sz w:val="21"/>
          <w:szCs w:val="21"/>
        </w:rPr>
        <w:t xml:space="preserve"> la licitación</w:t>
      </w:r>
      <w:r w:rsidR="00B14392" w:rsidRPr="002434F2">
        <w:rPr>
          <w:rFonts w:ascii="Arial" w:hAnsi="Arial" w:cs="Arial"/>
          <w:sz w:val="21"/>
          <w:szCs w:val="21"/>
        </w:rPr>
        <w:t xml:space="preserve">, aclaraciones o consultas específicas presentadas hasta </w:t>
      </w:r>
      <w:r w:rsidR="009F6F0D">
        <w:rPr>
          <w:rFonts w:ascii="Arial" w:hAnsi="Arial" w:cs="Arial"/>
          <w:sz w:val="21"/>
          <w:szCs w:val="21"/>
        </w:rPr>
        <w:t>3</w:t>
      </w:r>
      <w:r w:rsidR="00B14392" w:rsidRPr="002434F2">
        <w:rPr>
          <w:rFonts w:ascii="Arial" w:hAnsi="Arial" w:cs="Arial"/>
          <w:sz w:val="21"/>
          <w:szCs w:val="21"/>
        </w:rPr>
        <w:t xml:space="preserve"> días</w:t>
      </w:r>
      <w:r w:rsidR="009F6F0D">
        <w:rPr>
          <w:rFonts w:ascii="Arial" w:hAnsi="Arial" w:cs="Arial"/>
          <w:sz w:val="21"/>
          <w:szCs w:val="21"/>
        </w:rPr>
        <w:t xml:space="preserve"> hábiles </w:t>
      </w:r>
      <w:r w:rsidR="00B14392" w:rsidRPr="002434F2">
        <w:rPr>
          <w:rFonts w:ascii="Arial" w:hAnsi="Arial" w:cs="Arial"/>
          <w:sz w:val="21"/>
          <w:szCs w:val="21"/>
        </w:rPr>
        <w:t xml:space="preserve"> antes de la fecha establecida para el acto de apertura de las ofertas. Vencido dicho término, la Administración no estará obligada a proporcionar datos aclaratorios.</w:t>
      </w:r>
    </w:p>
    <w:p w:rsidR="00B14392" w:rsidRPr="002434F2" w:rsidRDefault="00B14392" w:rsidP="00B14392">
      <w:pPr>
        <w:widowControl w:val="0"/>
        <w:autoSpaceDE w:val="0"/>
        <w:autoSpaceDN w:val="0"/>
        <w:adjustRightInd w:val="0"/>
        <w:spacing w:after="0" w:line="360" w:lineRule="auto"/>
        <w:jc w:val="both"/>
        <w:rPr>
          <w:rFonts w:ascii="Arial" w:hAnsi="Arial" w:cs="Arial"/>
          <w:sz w:val="21"/>
          <w:szCs w:val="21"/>
        </w:rPr>
      </w:pPr>
      <w:r w:rsidRPr="002434F2">
        <w:rPr>
          <w:rFonts w:ascii="Arial" w:hAnsi="Arial" w:cs="Arial"/>
          <w:sz w:val="21"/>
          <w:szCs w:val="21"/>
        </w:rPr>
        <w:t>La Administración se reserva el derecho de atender la solicitud de prórroga, desestimarla o conceder un plazo distinto al solicitado.</w:t>
      </w:r>
    </w:p>
    <w:p w:rsidR="00B14392" w:rsidRPr="002434F2" w:rsidRDefault="00B14392" w:rsidP="00B14392">
      <w:pPr>
        <w:widowControl w:val="0"/>
        <w:autoSpaceDE w:val="0"/>
        <w:autoSpaceDN w:val="0"/>
        <w:adjustRightInd w:val="0"/>
        <w:spacing w:after="0" w:line="360" w:lineRule="auto"/>
        <w:jc w:val="both"/>
        <w:rPr>
          <w:rFonts w:ascii="Arial" w:hAnsi="Arial" w:cs="Arial"/>
          <w:sz w:val="21"/>
          <w:szCs w:val="21"/>
          <w:u w:val="single"/>
        </w:rPr>
      </w:pPr>
      <w:r w:rsidRPr="002434F2">
        <w:rPr>
          <w:rFonts w:ascii="Arial" w:hAnsi="Arial" w:cs="Arial"/>
          <w:sz w:val="21"/>
          <w:szCs w:val="21"/>
        </w:rPr>
        <w:t xml:space="preserve">La Administración comunicará la respuesta a la solicitud de prórroga o aclaración, así como cualquier información ampliatoria que estime necesario realizar, a través de </w:t>
      </w:r>
      <w:r w:rsidR="00257901">
        <w:rPr>
          <w:rFonts w:ascii="Arial" w:hAnsi="Arial" w:cs="Arial"/>
          <w:sz w:val="21"/>
          <w:szCs w:val="21"/>
        </w:rPr>
        <w:t>la página web www.comprasestatales.gub.uy.-</w:t>
      </w:r>
    </w:p>
    <w:p w:rsidR="00B14392" w:rsidRPr="002434F2" w:rsidRDefault="00B14392" w:rsidP="00B14392">
      <w:pPr>
        <w:widowControl w:val="0"/>
        <w:autoSpaceDE w:val="0"/>
        <w:autoSpaceDN w:val="0"/>
        <w:adjustRightInd w:val="0"/>
        <w:spacing w:after="0" w:line="360" w:lineRule="auto"/>
        <w:jc w:val="both"/>
        <w:rPr>
          <w:rFonts w:ascii="Arial" w:hAnsi="Arial" w:cs="Arial"/>
          <w:sz w:val="21"/>
          <w:szCs w:val="21"/>
        </w:rPr>
      </w:pPr>
    </w:p>
    <w:p w:rsidR="00B14392" w:rsidRPr="00B41242" w:rsidRDefault="00B41242" w:rsidP="00B41242">
      <w:pPr>
        <w:widowControl w:val="0"/>
        <w:autoSpaceDE w:val="0"/>
        <w:autoSpaceDN w:val="0"/>
        <w:adjustRightInd w:val="0"/>
        <w:spacing w:after="0" w:line="360" w:lineRule="auto"/>
        <w:jc w:val="both"/>
        <w:rPr>
          <w:rFonts w:ascii="Arial" w:hAnsi="Arial" w:cs="Arial"/>
          <w:sz w:val="21"/>
          <w:szCs w:val="21"/>
        </w:rPr>
      </w:pPr>
      <w:r>
        <w:rPr>
          <w:rFonts w:ascii="Arial" w:hAnsi="Arial" w:cs="Arial"/>
          <w:b/>
          <w:bCs/>
          <w:sz w:val="21"/>
          <w:szCs w:val="21"/>
        </w:rPr>
        <w:t>9.3-</w:t>
      </w:r>
      <w:r w:rsidR="00B14392" w:rsidRPr="00B41242">
        <w:rPr>
          <w:rFonts w:ascii="Arial" w:hAnsi="Arial" w:cs="Arial"/>
          <w:b/>
          <w:bCs/>
          <w:sz w:val="21"/>
          <w:szCs w:val="21"/>
        </w:rPr>
        <w:t>Plazos</w:t>
      </w:r>
      <w:r w:rsidR="00B14392" w:rsidRPr="00B41242">
        <w:rPr>
          <w:rFonts w:ascii="Arial" w:hAnsi="Arial" w:cs="Arial"/>
          <w:sz w:val="21"/>
          <w:szCs w:val="21"/>
        </w:rPr>
        <w:t xml:space="preserve">. Los plazos establecidos en este Pliego se computan en días hábiles, salvo que </w:t>
      </w:r>
    </w:p>
    <w:p w:rsidR="00B14392" w:rsidRPr="002434F2" w:rsidRDefault="00B14392" w:rsidP="00B14392">
      <w:pPr>
        <w:widowControl w:val="0"/>
        <w:autoSpaceDE w:val="0"/>
        <w:autoSpaceDN w:val="0"/>
        <w:adjustRightInd w:val="0"/>
        <w:spacing w:after="0" w:line="360" w:lineRule="auto"/>
        <w:jc w:val="both"/>
        <w:rPr>
          <w:rFonts w:ascii="Arial" w:hAnsi="Arial" w:cs="Arial"/>
          <w:sz w:val="21"/>
          <w:szCs w:val="21"/>
        </w:rPr>
      </w:pPr>
      <w:r w:rsidRPr="002434F2">
        <w:rPr>
          <w:rFonts w:ascii="Arial" w:hAnsi="Arial" w:cs="Arial"/>
          <w:sz w:val="21"/>
          <w:szCs w:val="21"/>
        </w:rPr>
        <w:t>expresamente se establezca otro criterio.</w:t>
      </w:r>
    </w:p>
    <w:p w:rsidR="00B14392" w:rsidRPr="002434F2" w:rsidRDefault="00B14392" w:rsidP="00B14392">
      <w:pPr>
        <w:widowControl w:val="0"/>
        <w:autoSpaceDE w:val="0"/>
        <w:autoSpaceDN w:val="0"/>
        <w:adjustRightInd w:val="0"/>
        <w:spacing w:after="0" w:line="360" w:lineRule="auto"/>
        <w:jc w:val="both"/>
        <w:rPr>
          <w:rFonts w:ascii="Arial" w:hAnsi="Arial" w:cs="Arial"/>
          <w:sz w:val="21"/>
          <w:szCs w:val="21"/>
        </w:rPr>
      </w:pPr>
      <w:r w:rsidRPr="002434F2">
        <w:rPr>
          <w:rFonts w:ascii="Arial" w:hAnsi="Arial" w:cs="Arial"/>
          <w:sz w:val="21"/>
          <w:szCs w:val="21"/>
        </w:rPr>
        <w:t xml:space="preserve">Se entenderá por días hábiles aquellos en que funciona la oficina central de la Dirección Nacional de Hidrografía (Montevideo). Son horas hábiles las correspondientes al horario fijado para el funcionamiento de dicha oficina. </w:t>
      </w:r>
    </w:p>
    <w:p w:rsidR="00B14392" w:rsidRPr="002434F2" w:rsidRDefault="00B14392" w:rsidP="00B14392">
      <w:pPr>
        <w:widowControl w:val="0"/>
        <w:autoSpaceDE w:val="0"/>
        <w:autoSpaceDN w:val="0"/>
        <w:adjustRightInd w:val="0"/>
        <w:spacing w:after="0" w:line="360" w:lineRule="auto"/>
        <w:jc w:val="both"/>
        <w:rPr>
          <w:rFonts w:ascii="Arial" w:hAnsi="Arial" w:cs="Arial"/>
          <w:sz w:val="21"/>
          <w:szCs w:val="21"/>
        </w:rPr>
      </w:pPr>
      <w:r w:rsidRPr="002434F2">
        <w:rPr>
          <w:rFonts w:ascii="Arial" w:hAnsi="Arial" w:cs="Arial"/>
          <w:sz w:val="21"/>
          <w:szCs w:val="21"/>
        </w:rPr>
        <w:t>Las fechas señaladas para realizar actos o hechos, y las fechas de vencimiento de los plazos, que resultaren inhábiles, se prorrogarán automáticamente hasta el día hábil inmediato siguiente.</w:t>
      </w:r>
    </w:p>
    <w:p w:rsidR="00B14392" w:rsidRDefault="00B14392" w:rsidP="00B14392">
      <w:pPr>
        <w:widowControl w:val="0"/>
        <w:autoSpaceDE w:val="0"/>
        <w:autoSpaceDN w:val="0"/>
        <w:adjustRightInd w:val="0"/>
        <w:spacing w:after="0" w:line="360" w:lineRule="auto"/>
        <w:jc w:val="both"/>
        <w:rPr>
          <w:rFonts w:ascii="Arial" w:hAnsi="Arial" w:cs="Arial"/>
          <w:sz w:val="21"/>
          <w:szCs w:val="21"/>
        </w:rPr>
      </w:pPr>
      <w:r w:rsidRPr="002434F2">
        <w:rPr>
          <w:rFonts w:ascii="Arial" w:hAnsi="Arial" w:cs="Arial"/>
          <w:sz w:val="21"/>
          <w:szCs w:val="21"/>
        </w:rPr>
        <w:t>Los plazos se computan a partir del día siguiente al del acto o hecho que determina el decurso del plazo.</w:t>
      </w:r>
    </w:p>
    <w:p w:rsidR="00257901" w:rsidRDefault="00257901" w:rsidP="00B14392">
      <w:pPr>
        <w:widowControl w:val="0"/>
        <w:autoSpaceDE w:val="0"/>
        <w:autoSpaceDN w:val="0"/>
        <w:adjustRightInd w:val="0"/>
        <w:spacing w:after="0" w:line="360" w:lineRule="auto"/>
        <w:jc w:val="both"/>
        <w:rPr>
          <w:rFonts w:ascii="Arial" w:hAnsi="Arial" w:cs="Arial"/>
          <w:sz w:val="21"/>
          <w:szCs w:val="21"/>
        </w:rPr>
      </w:pPr>
    </w:p>
    <w:p w:rsidR="00257901" w:rsidRDefault="00B41242" w:rsidP="00B14392">
      <w:pPr>
        <w:widowControl w:val="0"/>
        <w:autoSpaceDE w:val="0"/>
        <w:autoSpaceDN w:val="0"/>
        <w:adjustRightInd w:val="0"/>
        <w:spacing w:after="0" w:line="360" w:lineRule="auto"/>
        <w:jc w:val="both"/>
        <w:rPr>
          <w:rFonts w:ascii="Arial" w:hAnsi="Arial" w:cs="Arial"/>
          <w:b/>
          <w:sz w:val="21"/>
          <w:szCs w:val="21"/>
        </w:rPr>
      </w:pPr>
      <w:r>
        <w:rPr>
          <w:rFonts w:ascii="Arial" w:hAnsi="Arial" w:cs="Arial"/>
          <w:b/>
          <w:sz w:val="21"/>
          <w:szCs w:val="21"/>
        </w:rPr>
        <w:t>10</w:t>
      </w:r>
      <w:r w:rsidR="00257901">
        <w:rPr>
          <w:rFonts w:ascii="Arial" w:hAnsi="Arial" w:cs="Arial"/>
          <w:b/>
          <w:sz w:val="21"/>
          <w:szCs w:val="21"/>
        </w:rPr>
        <w:t>- FORMULARIO DE IDENTIFICACIÓN DEL OFERENTE</w:t>
      </w:r>
    </w:p>
    <w:p w:rsidR="008F3ADE" w:rsidRDefault="00257901" w:rsidP="008F3ADE">
      <w:pPr>
        <w:widowControl w:val="0"/>
        <w:autoSpaceDE w:val="0"/>
        <w:autoSpaceDN w:val="0"/>
        <w:adjustRightInd w:val="0"/>
        <w:spacing w:after="0" w:line="360" w:lineRule="auto"/>
        <w:jc w:val="both"/>
        <w:rPr>
          <w:rFonts w:ascii="Arial" w:hAnsi="Arial" w:cs="Arial"/>
          <w:sz w:val="21"/>
          <w:szCs w:val="21"/>
        </w:rPr>
      </w:pPr>
      <w:r w:rsidRPr="0098049D">
        <w:rPr>
          <w:rFonts w:ascii="Arial" w:hAnsi="Arial" w:cs="Arial"/>
          <w:sz w:val="21"/>
          <w:szCs w:val="21"/>
          <w:u w:val="single"/>
        </w:rPr>
        <w:t>El formulario de identificación del oferente debe estar firmado por el titular o representante con facultades suficientes para este acto (Anexo I).</w:t>
      </w:r>
      <w:r>
        <w:rPr>
          <w:rFonts w:ascii="Arial" w:hAnsi="Arial" w:cs="Arial"/>
          <w:sz w:val="21"/>
          <w:szCs w:val="21"/>
        </w:rPr>
        <w:t xml:space="preserve"> En tal caso, la representación debe estar debidamente respaldada en el Registro Único de Proveedores del Estado (RUPE) con los datos de representantes y documentación de poderes ingresados al m</w:t>
      </w:r>
      <w:r w:rsidR="008F3ADE">
        <w:rPr>
          <w:rFonts w:ascii="Arial" w:hAnsi="Arial" w:cs="Arial"/>
          <w:sz w:val="21"/>
          <w:szCs w:val="21"/>
        </w:rPr>
        <w:t>enos verificados en el sistema.</w:t>
      </w:r>
    </w:p>
    <w:p w:rsidR="002B1A9D" w:rsidRDefault="002B1A9D" w:rsidP="008F3ADE">
      <w:pPr>
        <w:widowControl w:val="0"/>
        <w:autoSpaceDE w:val="0"/>
        <w:autoSpaceDN w:val="0"/>
        <w:adjustRightInd w:val="0"/>
        <w:spacing w:after="0" w:line="360" w:lineRule="auto"/>
        <w:jc w:val="both"/>
        <w:rPr>
          <w:rFonts w:ascii="Arial" w:hAnsi="Arial" w:cs="Arial"/>
          <w:b/>
          <w:sz w:val="21"/>
          <w:szCs w:val="21"/>
        </w:rPr>
      </w:pPr>
    </w:p>
    <w:p w:rsidR="00257901" w:rsidRPr="008F3ADE" w:rsidRDefault="00B41242" w:rsidP="008F3ADE">
      <w:pPr>
        <w:widowControl w:val="0"/>
        <w:autoSpaceDE w:val="0"/>
        <w:autoSpaceDN w:val="0"/>
        <w:adjustRightInd w:val="0"/>
        <w:spacing w:after="0" w:line="360" w:lineRule="auto"/>
        <w:jc w:val="both"/>
        <w:rPr>
          <w:rFonts w:ascii="Arial" w:hAnsi="Arial" w:cs="Arial"/>
          <w:b/>
          <w:sz w:val="21"/>
          <w:szCs w:val="21"/>
        </w:rPr>
      </w:pPr>
      <w:r>
        <w:rPr>
          <w:rFonts w:ascii="Arial" w:hAnsi="Arial" w:cs="Arial"/>
          <w:b/>
          <w:sz w:val="21"/>
          <w:szCs w:val="21"/>
        </w:rPr>
        <w:t>11</w:t>
      </w:r>
      <w:r w:rsidR="008F3ADE">
        <w:rPr>
          <w:rFonts w:ascii="Arial" w:hAnsi="Arial" w:cs="Arial"/>
          <w:b/>
          <w:sz w:val="21"/>
          <w:szCs w:val="21"/>
        </w:rPr>
        <w:t xml:space="preserve"> - </w:t>
      </w:r>
      <w:r w:rsidR="00257901" w:rsidRPr="008F3ADE">
        <w:rPr>
          <w:rFonts w:ascii="Arial" w:hAnsi="Arial" w:cs="Arial"/>
          <w:b/>
          <w:sz w:val="21"/>
          <w:szCs w:val="21"/>
        </w:rPr>
        <w:t>CONTRATO</w:t>
      </w:r>
    </w:p>
    <w:p w:rsidR="00257901" w:rsidRDefault="00257901"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sz w:val="21"/>
          <w:szCs w:val="21"/>
        </w:rPr>
        <w:t>La notificación de la resolución de adjudicación a la firma adjudicataria, constituirá a todos los efectos legales el contrato correspondi</w:t>
      </w:r>
      <w:bookmarkStart w:id="1" w:name="_GoBack"/>
      <w:bookmarkEnd w:id="1"/>
      <w:r>
        <w:rPr>
          <w:rFonts w:ascii="Arial" w:hAnsi="Arial" w:cs="Arial"/>
          <w:sz w:val="21"/>
          <w:szCs w:val="21"/>
        </w:rPr>
        <w:t xml:space="preserve">ente al que se refieren las disposiciones de este Pliego, siendo las obligaciones y derechos del contratista las que surgen de las normas jurídicas </w:t>
      </w:r>
      <w:r w:rsidR="008F3ADE">
        <w:rPr>
          <w:rFonts w:ascii="Arial" w:hAnsi="Arial" w:cs="Arial"/>
          <w:sz w:val="21"/>
          <w:szCs w:val="21"/>
        </w:rPr>
        <w:t>aplicables, los Pliegos y su oferta.</w:t>
      </w:r>
    </w:p>
    <w:p w:rsidR="00993BB7" w:rsidRDefault="00993BB7" w:rsidP="00B14392">
      <w:pPr>
        <w:widowControl w:val="0"/>
        <w:autoSpaceDE w:val="0"/>
        <w:autoSpaceDN w:val="0"/>
        <w:adjustRightInd w:val="0"/>
        <w:spacing w:after="0" w:line="360" w:lineRule="auto"/>
        <w:jc w:val="both"/>
        <w:rPr>
          <w:rFonts w:ascii="Arial" w:hAnsi="Arial" w:cs="Arial"/>
          <w:b/>
          <w:sz w:val="21"/>
          <w:szCs w:val="21"/>
        </w:rPr>
      </w:pPr>
    </w:p>
    <w:p w:rsidR="008F3ADE" w:rsidRDefault="00B41242" w:rsidP="00B14392">
      <w:pPr>
        <w:widowControl w:val="0"/>
        <w:autoSpaceDE w:val="0"/>
        <w:autoSpaceDN w:val="0"/>
        <w:adjustRightInd w:val="0"/>
        <w:spacing w:after="0" w:line="360" w:lineRule="auto"/>
        <w:jc w:val="both"/>
        <w:rPr>
          <w:rFonts w:ascii="Arial" w:hAnsi="Arial" w:cs="Arial"/>
          <w:b/>
          <w:sz w:val="21"/>
          <w:szCs w:val="21"/>
        </w:rPr>
      </w:pPr>
      <w:r>
        <w:rPr>
          <w:rFonts w:ascii="Arial" w:hAnsi="Arial" w:cs="Arial"/>
          <w:b/>
          <w:sz w:val="21"/>
          <w:szCs w:val="21"/>
        </w:rPr>
        <w:lastRenderedPageBreak/>
        <w:t>12</w:t>
      </w:r>
      <w:r w:rsidR="008F3ADE">
        <w:rPr>
          <w:rFonts w:ascii="Arial" w:hAnsi="Arial" w:cs="Arial"/>
          <w:b/>
          <w:sz w:val="21"/>
          <w:szCs w:val="21"/>
        </w:rPr>
        <w:t xml:space="preserve"> – INCUMPLIMIENTOS</w:t>
      </w:r>
    </w:p>
    <w:p w:rsidR="008F3ADE" w:rsidRDefault="00B41242"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b/>
          <w:sz w:val="21"/>
          <w:szCs w:val="21"/>
        </w:rPr>
        <w:t>12</w:t>
      </w:r>
      <w:r w:rsidR="008F3ADE">
        <w:rPr>
          <w:rFonts w:ascii="Arial" w:hAnsi="Arial" w:cs="Arial"/>
          <w:b/>
          <w:sz w:val="21"/>
          <w:szCs w:val="21"/>
        </w:rPr>
        <w:t xml:space="preserve">.1- </w:t>
      </w:r>
      <w:r w:rsidR="008F3ADE">
        <w:rPr>
          <w:rFonts w:ascii="Arial" w:hAnsi="Arial" w:cs="Arial"/>
          <w:sz w:val="21"/>
          <w:szCs w:val="21"/>
        </w:rPr>
        <w:t xml:space="preserve"> La falta de cumplimiento de cualquiera de las obligaciones asumidas por el/los oferentes y/o adjudicatario/os, podrá dar mérito a que la Administración disponga o proponga, según el caso, la aplicación de las siguientes sanciones, no siendo las mismas excluyentes y pudiendo aplicarse en forma conjunta.</w:t>
      </w:r>
    </w:p>
    <w:p w:rsidR="008F3ADE" w:rsidRDefault="008F3ADE"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sz w:val="21"/>
          <w:szCs w:val="21"/>
        </w:rPr>
        <w:t>a) Una amonestación por escrito.</w:t>
      </w:r>
    </w:p>
    <w:p w:rsidR="008F3ADE" w:rsidRDefault="008F3ADE"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sz w:val="21"/>
          <w:szCs w:val="21"/>
        </w:rPr>
        <w:t>b) Multas: 1) En el caso de incumplimiento de la entrega o calidad de los suministros una multa de hasta el 50% (cincuenta por ciento) del monto adjudicado. 2) En caso de atraso en la entrega de la mercadería una multa equivalente al 3% (tres por ciento) por cada 30 (treinta) días calendario de atraso, o proporcional a este plazo, calculada sobre el saldo actualizado del suministro en la fecha que debía ser entregado, limitando la misma a un máximo del 15% (quince por ciento) del importe total de la adquisición actualizado a la fecha de la misma.</w:t>
      </w:r>
    </w:p>
    <w:p w:rsidR="008F3ADE" w:rsidRDefault="008F3ADE"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sz w:val="21"/>
          <w:szCs w:val="21"/>
        </w:rPr>
        <w:t>Las multas se harán efectivas sobre las facturas pendientes de pago.</w:t>
      </w:r>
    </w:p>
    <w:p w:rsidR="008F3ADE" w:rsidRDefault="004F68AD"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b/>
          <w:sz w:val="21"/>
          <w:szCs w:val="21"/>
        </w:rPr>
        <w:t>12</w:t>
      </w:r>
      <w:r w:rsidR="008F3ADE">
        <w:rPr>
          <w:rFonts w:ascii="Arial" w:hAnsi="Arial" w:cs="Arial"/>
          <w:b/>
          <w:sz w:val="21"/>
          <w:szCs w:val="21"/>
        </w:rPr>
        <w:t xml:space="preserve">.2- </w:t>
      </w:r>
      <w:r w:rsidR="008F3ADE">
        <w:rPr>
          <w:rFonts w:ascii="Arial" w:hAnsi="Arial" w:cs="Arial"/>
          <w:sz w:val="21"/>
          <w:szCs w:val="21"/>
        </w:rPr>
        <w:t>Las sanciones serán comunicadas al RUPE de acuerdo al art. 18 y siguientes del Decreto 155/13.</w:t>
      </w:r>
    </w:p>
    <w:p w:rsidR="008F3ADE" w:rsidRDefault="004F68AD"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b/>
          <w:sz w:val="21"/>
          <w:szCs w:val="21"/>
        </w:rPr>
        <w:t>12</w:t>
      </w:r>
      <w:r w:rsidR="008F3ADE">
        <w:rPr>
          <w:rFonts w:ascii="Arial" w:hAnsi="Arial" w:cs="Arial"/>
          <w:b/>
          <w:sz w:val="21"/>
          <w:szCs w:val="21"/>
        </w:rPr>
        <w:t xml:space="preserve">.3- </w:t>
      </w:r>
      <w:r w:rsidR="008F3ADE">
        <w:rPr>
          <w:rFonts w:ascii="Arial" w:hAnsi="Arial" w:cs="Arial"/>
          <w:sz w:val="21"/>
          <w:szCs w:val="21"/>
        </w:rPr>
        <w:t xml:space="preserve"> Las resoluciones que dispongan rescisión de los contratos o el cobro de multas a deducirse de las garantías, se notificarán a la empresa aseguradora y dispondrán la intimación de pago y cumplimiento, en su caso, al adjudicatario.</w:t>
      </w:r>
    </w:p>
    <w:p w:rsidR="00B53970" w:rsidRDefault="00B53970" w:rsidP="00B14392">
      <w:pPr>
        <w:widowControl w:val="0"/>
        <w:autoSpaceDE w:val="0"/>
        <w:autoSpaceDN w:val="0"/>
        <w:adjustRightInd w:val="0"/>
        <w:spacing w:after="0" w:line="360" w:lineRule="auto"/>
        <w:jc w:val="both"/>
        <w:rPr>
          <w:rFonts w:ascii="Arial" w:hAnsi="Arial" w:cs="Arial"/>
          <w:sz w:val="21"/>
          <w:szCs w:val="21"/>
        </w:rPr>
      </w:pPr>
    </w:p>
    <w:p w:rsidR="008F3ADE" w:rsidRDefault="004F68AD" w:rsidP="00B14392">
      <w:pPr>
        <w:widowControl w:val="0"/>
        <w:autoSpaceDE w:val="0"/>
        <w:autoSpaceDN w:val="0"/>
        <w:adjustRightInd w:val="0"/>
        <w:spacing w:after="0" w:line="360" w:lineRule="auto"/>
        <w:jc w:val="both"/>
        <w:rPr>
          <w:rFonts w:ascii="Arial" w:hAnsi="Arial" w:cs="Arial"/>
          <w:b/>
          <w:sz w:val="21"/>
          <w:szCs w:val="21"/>
        </w:rPr>
      </w:pPr>
      <w:r>
        <w:rPr>
          <w:rFonts w:ascii="Arial" w:hAnsi="Arial" w:cs="Arial"/>
          <w:b/>
          <w:sz w:val="21"/>
          <w:szCs w:val="21"/>
        </w:rPr>
        <w:t>13</w:t>
      </w:r>
      <w:r w:rsidR="008F3ADE">
        <w:rPr>
          <w:rFonts w:ascii="Arial" w:hAnsi="Arial" w:cs="Arial"/>
          <w:b/>
          <w:sz w:val="21"/>
          <w:szCs w:val="21"/>
        </w:rPr>
        <w:t>- NOTIFICACIONES</w:t>
      </w:r>
    </w:p>
    <w:p w:rsidR="008F3ADE" w:rsidRPr="008F3ADE" w:rsidRDefault="008F3ADE" w:rsidP="00B14392">
      <w:pPr>
        <w:widowControl w:val="0"/>
        <w:autoSpaceDE w:val="0"/>
        <w:autoSpaceDN w:val="0"/>
        <w:adjustRightInd w:val="0"/>
        <w:spacing w:after="0" w:line="360" w:lineRule="auto"/>
        <w:jc w:val="both"/>
        <w:rPr>
          <w:rFonts w:ascii="Arial" w:hAnsi="Arial" w:cs="Arial"/>
          <w:sz w:val="21"/>
          <w:szCs w:val="21"/>
        </w:rPr>
      </w:pPr>
      <w:r>
        <w:rPr>
          <w:rFonts w:ascii="Arial" w:hAnsi="Arial" w:cs="Arial"/>
          <w:sz w:val="21"/>
          <w:szCs w:val="21"/>
        </w:rPr>
        <w:t>Toda notificación o comunicación que la Administración deba realizar en el marco del presente llamado se realizará por cualquier medio fehaciente. En particular, se acepta como válida toda notificación o comunicación realizada al correo electrónico constituido por cada oferente en el Formulario de Identificación del Oferente (Anexo I), el que se deberá presentar de acuerdo al formulario adjunto en el presente Pliego de Condiciones Particulares.</w:t>
      </w:r>
    </w:p>
    <w:p w:rsidR="008F3ADE" w:rsidRPr="008F3ADE" w:rsidRDefault="008F3ADE" w:rsidP="00B14392">
      <w:pPr>
        <w:widowControl w:val="0"/>
        <w:autoSpaceDE w:val="0"/>
        <w:autoSpaceDN w:val="0"/>
        <w:adjustRightInd w:val="0"/>
        <w:spacing w:after="0" w:line="360" w:lineRule="auto"/>
        <w:jc w:val="both"/>
        <w:rPr>
          <w:rFonts w:ascii="Arial" w:hAnsi="Arial" w:cs="Arial"/>
          <w:b/>
          <w:sz w:val="21"/>
          <w:szCs w:val="21"/>
        </w:rPr>
      </w:pPr>
    </w:p>
    <w:p w:rsidR="00B14392" w:rsidRDefault="00B14392" w:rsidP="00B14392">
      <w:pPr>
        <w:widowControl w:val="0"/>
        <w:autoSpaceDE w:val="0"/>
        <w:autoSpaceDN w:val="0"/>
        <w:adjustRightInd w:val="0"/>
        <w:spacing w:before="100" w:after="100" w:line="360" w:lineRule="auto"/>
        <w:rPr>
          <w:rFonts w:ascii="Arial" w:hAnsi="Arial" w:cs="Arial"/>
          <w:b/>
        </w:rPr>
      </w:pPr>
      <w:r>
        <w:rPr>
          <w:rFonts w:ascii="Arial" w:hAnsi="Arial" w:cs="Arial"/>
          <w:b/>
        </w:rPr>
        <w:t xml:space="preserve"> </w:t>
      </w:r>
    </w:p>
    <w:bookmarkStart w:id="2" w:name="_MON_1748943976"/>
    <w:bookmarkEnd w:id="2"/>
    <w:p w:rsidR="00B14392" w:rsidRPr="00B14392" w:rsidRDefault="00842C19" w:rsidP="00B14392">
      <w:pPr>
        <w:spacing w:line="360" w:lineRule="auto"/>
        <w:rPr>
          <w:rFonts w:ascii="Arial" w:hAnsi="Arial" w:cs="Arial"/>
        </w:rPr>
      </w:pPr>
      <w:r w:rsidRPr="00FF4C41">
        <w:rPr>
          <w:rFonts w:ascii="Arial" w:hAnsi="Arial" w:cs="Arial"/>
        </w:rPr>
        <w:object w:dxaOrig="9011" w:dyaOrig="14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700.2pt" o:ole="">
            <v:imagedata r:id="rId12" o:title=""/>
          </v:shape>
          <o:OLEObject Type="Embed" ProgID="Word.Document.8" ShapeID="_x0000_i1025" DrawAspect="Content" ObjectID="_1762925941" r:id="rId13">
            <o:FieldCodes>\s</o:FieldCodes>
          </o:OLEObject>
        </w:object>
      </w:r>
    </w:p>
    <w:sectPr w:rsidR="00B14392" w:rsidRPr="00B14392" w:rsidSect="000C5055">
      <w:footerReference w:type="default" r:id="rId14"/>
      <w:pgSz w:w="12240" w:h="15840" w:code="1"/>
      <w:pgMar w:top="1417" w:right="1701" w:bottom="1417" w:left="1701"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C4E" w:rsidRDefault="00EF1C4E" w:rsidP="00E717B6">
      <w:pPr>
        <w:spacing w:after="0" w:line="240" w:lineRule="auto"/>
      </w:pPr>
      <w:r>
        <w:separator/>
      </w:r>
    </w:p>
  </w:endnote>
  <w:endnote w:type="continuationSeparator" w:id="0">
    <w:p w:rsidR="00EF1C4E" w:rsidRDefault="00EF1C4E" w:rsidP="00E7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Aquawax Light">
    <w:altName w:val="Corbe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9D8" w:rsidRPr="001C69D8" w:rsidRDefault="004D6644" w:rsidP="001C69D8">
    <w:pPr>
      <w:pStyle w:val="Piedepgina"/>
      <w:jc w:val="center"/>
      <w:rPr>
        <w:rFonts w:ascii="Aquawax Light" w:hAnsi="Aquawax Light"/>
        <w:color w:val="2F5496" w:themeColor="accent5" w:themeShade="BF"/>
        <w:sz w:val="20"/>
        <w:szCs w:val="20"/>
      </w:rPr>
    </w:pPr>
    <w:r>
      <w:rPr>
        <w:rFonts w:ascii="Aquawax Light" w:hAnsi="Aquawax Light"/>
        <w:color w:val="2F5496" w:themeColor="accent5" w:themeShade="BF"/>
        <w:sz w:val="20"/>
        <w:szCs w:val="20"/>
      </w:rPr>
      <w:t>www.</w:t>
    </w:r>
    <w:r w:rsidR="00BB42C7">
      <w:rPr>
        <w:rFonts w:ascii="Aquawax Light" w:hAnsi="Aquawax Light"/>
        <w:color w:val="2F5496" w:themeColor="accent5" w:themeShade="BF"/>
        <w:sz w:val="20"/>
        <w:szCs w:val="20"/>
      </w:rPr>
      <w:t>mtop.gub.uy</w:t>
    </w:r>
    <w:r w:rsidR="001C69D8" w:rsidRPr="001C69D8">
      <w:rPr>
        <w:rFonts w:ascii="Aquawax Light" w:hAnsi="Aquawax Light"/>
        <w:color w:val="2F5496" w:themeColor="accent5" w:themeShade="BF"/>
        <w:sz w:val="20"/>
        <w:szCs w:val="20"/>
      </w:rPr>
      <w:t xml:space="preserve"> Tel. (+5982) </w:t>
    </w:r>
    <w:r w:rsidR="00BB42C7">
      <w:rPr>
        <w:rFonts w:ascii="Aquawax Light" w:hAnsi="Aquawax Light"/>
        <w:color w:val="2F5496" w:themeColor="accent5" w:themeShade="BF"/>
        <w:sz w:val="20"/>
        <w:szCs w:val="20"/>
      </w:rPr>
      <w:t>915</w:t>
    </w:r>
    <w:r w:rsidR="001C69D8" w:rsidRPr="001C69D8">
      <w:rPr>
        <w:rFonts w:ascii="Aquawax Light" w:hAnsi="Aquawax Light"/>
        <w:color w:val="2F5496" w:themeColor="accent5" w:themeShade="BF"/>
        <w:sz w:val="20"/>
        <w:szCs w:val="20"/>
      </w:rPr>
      <w:t xml:space="preserve"> </w:t>
    </w:r>
    <w:r w:rsidR="00BB42C7">
      <w:rPr>
        <w:rFonts w:ascii="Aquawax Light" w:hAnsi="Aquawax Light"/>
        <w:color w:val="2F5496" w:themeColor="accent5" w:themeShade="BF"/>
        <w:sz w:val="20"/>
        <w:szCs w:val="20"/>
      </w:rPr>
      <w:t>7933</w:t>
    </w:r>
  </w:p>
  <w:p w:rsidR="001C69D8" w:rsidRPr="001C69D8" w:rsidRDefault="00BB42C7" w:rsidP="001C69D8">
    <w:pPr>
      <w:pStyle w:val="Piedepgina"/>
      <w:jc w:val="center"/>
      <w:rPr>
        <w:sz w:val="20"/>
        <w:szCs w:val="20"/>
      </w:rPr>
    </w:pPr>
    <w:r>
      <w:rPr>
        <w:rFonts w:ascii="Aquawax Light" w:hAnsi="Aquawax Light"/>
        <w:color w:val="2F5496" w:themeColor="accent5" w:themeShade="BF"/>
        <w:sz w:val="20"/>
        <w:szCs w:val="20"/>
      </w:rPr>
      <w:t xml:space="preserve">Rincón </w:t>
    </w:r>
    <w:r w:rsidR="001D08C1">
      <w:rPr>
        <w:rFonts w:ascii="Aquawax Light" w:hAnsi="Aquawax Light"/>
        <w:color w:val="2F5496" w:themeColor="accent5" w:themeShade="BF"/>
        <w:sz w:val="20"/>
        <w:szCs w:val="20"/>
      </w:rPr>
      <w:t>575</w:t>
    </w:r>
    <w:r w:rsidR="001C69D8" w:rsidRPr="001C69D8">
      <w:rPr>
        <w:rFonts w:ascii="Aquawax Light" w:hAnsi="Aquawax Light"/>
        <w:color w:val="2F5496" w:themeColor="accent5" w:themeShade="BF"/>
        <w:sz w:val="20"/>
        <w:szCs w:val="20"/>
      </w:rPr>
      <w:t>, Montevideo - Uruguay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C4E" w:rsidRDefault="00EF1C4E" w:rsidP="00E717B6">
      <w:pPr>
        <w:spacing w:after="0" w:line="240" w:lineRule="auto"/>
      </w:pPr>
      <w:r>
        <w:separator/>
      </w:r>
    </w:p>
  </w:footnote>
  <w:footnote w:type="continuationSeparator" w:id="0">
    <w:p w:rsidR="00EF1C4E" w:rsidRDefault="00EF1C4E" w:rsidP="00E71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1E5E"/>
    <w:multiLevelType w:val="multilevel"/>
    <w:tmpl w:val="4A4483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B61CAE"/>
    <w:multiLevelType w:val="hybridMultilevel"/>
    <w:tmpl w:val="7EF60D3C"/>
    <w:lvl w:ilvl="0" w:tplc="10C0EF78">
      <w:start w:val="1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1B1D54D3"/>
    <w:multiLevelType w:val="multilevel"/>
    <w:tmpl w:val="F988579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15E47D4"/>
    <w:multiLevelType w:val="multilevel"/>
    <w:tmpl w:val="B184C21A"/>
    <w:lvl w:ilvl="0">
      <w:start w:val="11"/>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8FB65CA"/>
    <w:multiLevelType w:val="multilevel"/>
    <w:tmpl w:val="CA7EF79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ascii="Arial" w:hAnsi="Arial" w:cs="Arial" w:hint="default"/>
        <w:b/>
        <w:bCs/>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F0E5CD9"/>
    <w:multiLevelType w:val="hybridMultilevel"/>
    <w:tmpl w:val="8E8CF80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9F0F03"/>
    <w:multiLevelType w:val="hybridMultilevel"/>
    <w:tmpl w:val="4A700A3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38C3037"/>
    <w:multiLevelType w:val="hybridMultilevel"/>
    <w:tmpl w:val="157EDD7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36680294"/>
    <w:multiLevelType w:val="hybridMultilevel"/>
    <w:tmpl w:val="DA160F1C"/>
    <w:lvl w:ilvl="0" w:tplc="BFDE39E8">
      <w:start w:val="1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15:restartNumberingAfterBreak="0">
    <w:nsid w:val="37CF478C"/>
    <w:multiLevelType w:val="hybridMultilevel"/>
    <w:tmpl w:val="135AC846"/>
    <w:lvl w:ilvl="0" w:tplc="DA127FEA">
      <w:start w:val="1"/>
      <w:numFmt w:val="decimal"/>
      <w:lvlText w:val="%1."/>
      <w:lvlJc w:val="left"/>
      <w:pPr>
        <w:ind w:left="720" w:hanging="360"/>
      </w:pPr>
      <w:rPr>
        <w:rFonts w:ascii="Arial" w:eastAsia="Calibri" w:hAnsi="Arial" w:cs="Arial"/>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38B651FE"/>
    <w:multiLevelType w:val="hybridMultilevel"/>
    <w:tmpl w:val="8292C42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9013D6"/>
    <w:multiLevelType w:val="hybridMultilevel"/>
    <w:tmpl w:val="97F2873C"/>
    <w:lvl w:ilvl="0" w:tplc="13D07D84">
      <w:start w:val="13"/>
      <w:numFmt w:val="decimal"/>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15:restartNumberingAfterBreak="0">
    <w:nsid w:val="4AB669DC"/>
    <w:multiLevelType w:val="multilevel"/>
    <w:tmpl w:val="D74AB8DE"/>
    <w:lvl w:ilvl="0">
      <w:start w:val="11"/>
      <w:numFmt w:val="decimal"/>
      <w:lvlText w:val="%1."/>
      <w:lvlJc w:val="left"/>
      <w:pPr>
        <w:ind w:left="495" w:hanging="49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F2C11C2"/>
    <w:multiLevelType w:val="multilevel"/>
    <w:tmpl w:val="6CD824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56B11CB"/>
    <w:multiLevelType w:val="hybridMultilevel"/>
    <w:tmpl w:val="9C588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B8625B7"/>
    <w:multiLevelType w:val="hybridMultilevel"/>
    <w:tmpl w:val="CD805B90"/>
    <w:lvl w:ilvl="0" w:tplc="65083BEA">
      <w:start w:val="13"/>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6"/>
  </w:num>
  <w:num w:numId="5">
    <w:abstractNumId w:val="14"/>
  </w:num>
  <w:num w:numId="6">
    <w:abstractNumId w:val="5"/>
  </w:num>
  <w:num w:numId="7">
    <w:abstractNumId w:val="4"/>
  </w:num>
  <w:num w:numId="8">
    <w:abstractNumId w:val="2"/>
  </w:num>
  <w:num w:numId="9">
    <w:abstractNumId w:val="9"/>
  </w:num>
  <w:num w:numId="10">
    <w:abstractNumId w:val="7"/>
  </w:num>
  <w:num w:numId="11">
    <w:abstractNumId w:val="3"/>
  </w:num>
  <w:num w:numId="12">
    <w:abstractNumId w:val="12"/>
  </w:num>
  <w:num w:numId="13">
    <w:abstractNumId w:val="1"/>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A2"/>
    <w:rsid w:val="00015FCD"/>
    <w:rsid w:val="00040066"/>
    <w:rsid w:val="00087A61"/>
    <w:rsid w:val="000A6460"/>
    <w:rsid w:val="000B10BF"/>
    <w:rsid w:val="000C5055"/>
    <w:rsid w:val="00146F57"/>
    <w:rsid w:val="0014794C"/>
    <w:rsid w:val="00170ADB"/>
    <w:rsid w:val="001905C2"/>
    <w:rsid w:val="00194BD3"/>
    <w:rsid w:val="001B3EA2"/>
    <w:rsid w:val="001C69D8"/>
    <w:rsid w:val="001D08C1"/>
    <w:rsid w:val="002010B0"/>
    <w:rsid w:val="00214064"/>
    <w:rsid w:val="002434F2"/>
    <w:rsid w:val="00257901"/>
    <w:rsid w:val="00290245"/>
    <w:rsid w:val="002935AD"/>
    <w:rsid w:val="002B1A9D"/>
    <w:rsid w:val="002C0E7D"/>
    <w:rsid w:val="002C5733"/>
    <w:rsid w:val="002F1B1C"/>
    <w:rsid w:val="0031334A"/>
    <w:rsid w:val="0033090D"/>
    <w:rsid w:val="003463D8"/>
    <w:rsid w:val="00350AF1"/>
    <w:rsid w:val="003568CC"/>
    <w:rsid w:val="00356987"/>
    <w:rsid w:val="003851AF"/>
    <w:rsid w:val="00395808"/>
    <w:rsid w:val="003E02AD"/>
    <w:rsid w:val="003F095F"/>
    <w:rsid w:val="00435C09"/>
    <w:rsid w:val="00451521"/>
    <w:rsid w:val="004A7DFD"/>
    <w:rsid w:val="004C1047"/>
    <w:rsid w:val="004D6644"/>
    <w:rsid w:val="004F68AD"/>
    <w:rsid w:val="0053504F"/>
    <w:rsid w:val="00537CF3"/>
    <w:rsid w:val="00555FCE"/>
    <w:rsid w:val="00577D33"/>
    <w:rsid w:val="0058057E"/>
    <w:rsid w:val="005C1791"/>
    <w:rsid w:val="005C324C"/>
    <w:rsid w:val="005F5811"/>
    <w:rsid w:val="006745E4"/>
    <w:rsid w:val="006753E7"/>
    <w:rsid w:val="006A716F"/>
    <w:rsid w:val="006B54B4"/>
    <w:rsid w:val="006C1214"/>
    <w:rsid w:val="006C2DE2"/>
    <w:rsid w:val="00703F17"/>
    <w:rsid w:val="00713BD9"/>
    <w:rsid w:val="00716E7A"/>
    <w:rsid w:val="00725CF3"/>
    <w:rsid w:val="00726FB6"/>
    <w:rsid w:val="007455E1"/>
    <w:rsid w:val="00756965"/>
    <w:rsid w:val="007815AD"/>
    <w:rsid w:val="00797A47"/>
    <w:rsid w:val="007D3DEC"/>
    <w:rsid w:val="007F5D2A"/>
    <w:rsid w:val="008076B1"/>
    <w:rsid w:val="0082779A"/>
    <w:rsid w:val="00833BEF"/>
    <w:rsid w:val="00842602"/>
    <w:rsid w:val="00842C19"/>
    <w:rsid w:val="00853EDF"/>
    <w:rsid w:val="008602DA"/>
    <w:rsid w:val="00861294"/>
    <w:rsid w:val="008B1178"/>
    <w:rsid w:val="008C68DF"/>
    <w:rsid w:val="008E179D"/>
    <w:rsid w:val="008E50A8"/>
    <w:rsid w:val="008E58C8"/>
    <w:rsid w:val="008E6491"/>
    <w:rsid w:val="008F3ADE"/>
    <w:rsid w:val="0092004E"/>
    <w:rsid w:val="0096479D"/>
    <w:rsid w:val="009670A4"/>
    <w:rsid w:val="00980263"/>
    <w:rsid w:val="0098049D"/>
    <w:rsid w:val="00981CC7"/>
    <w:rsid w:val="00984072"/>
    <w:rsid w:val="00990525"/>
    <w:rsid w:val="00992FAE"/>
    <w:rsid w:val="00993BB7"/>
    <w:rsid w:val="009942F4"/>
    <w:rsid w:val="009A5280"/>
    <w:rsid w:val="009C0CA2"/>
    <w:rsid w:val="009F6F0D"/>
    <w:rsid w:val="00A23C39"/>
    <w:rsid w:val="00A34372"/>
    <w:rsid w:val="00A35E9B"/>
    <w:rsid w:val="00A62BC4"/>
    <w:rsid w:val="00AB1E4E"/>
    <w:rsid w:val="00AB30A1"/>
    <w:rsid w:val="00AE4875"/>
    <w:rsid w:val="00B00BAB"/>
    <w:rsid w:val="00B14392"/>
    <w:rsid w:val="00B23183"/>
    <w:rsid w:val="00B3534A"/>
    <w:rsid w:val="00B359D3"/>
    <w:rsid w:val="00B41242"/>
    <w:rsid w:val="00B53970"/>
    <w:rsid w:val="00BB42C7"/>
    <w:rsid w:val="00BE7464"/>
    <w:rsid w:val="00C15F2A"/>
    <w:rsid w:val="00C25C70"/>
    <w:rsid w:val="00C2696B"/>
    <w:rsid w:val="00C42686"/>
    <w:rsid w:val="00C66027"/>
    <w:rsid w:val="00C66460"/>
    <w:rsid w:val="00C838E0"/>
    <w:rsid w:val="00C8500F"/>
    <w:rsid w:val="00CA4A7C"/>
    <w:rsid w:val="00CB34C3"/>
    <w:rsid w:val="00CC11CC"/>
    <w:rsid w:val="00CC538E"/>
    <w:rsid w:val="00CD12FC"/>
    <w:rsid w:val="00D059C5"/>
    <w:rsid w:val="00D20CF9"/>
    <w:rsid w:val="00D7236F"/>
    <w:rsid w:val="00D90A32"/>
    <w:rsid w:val="00D9531B"/>
    <w:rsid w:val="00DA07BB"/>
    <w:rsid w:val="00DA3455"/>
    <w:rsid w:val="00DB65E4"/>
    <w:rsid w:val="00DB7DE8"/>
    <w:rsid w:val="00E12162"/>
    <w:rsid w:val="00E1286B"/>
    <w:rsid w:val="00E166FD"/>
    <w:rsid w:val="00E67634"/>
    <w:rsid w:val="00E717B6"/>
    <w:rsid w:val="00E746FF"/>
    <w:rsid w:val="00EA1B39"/>
    <w:rsid w:val="00EC601D"/>
    <w:rsid w:val="00ED0724"/>
    <w:rsid w:val="00EE0200"/>
    <w:rsid w:val="00EF1C4E"/>
    <w:rsid w:val="00EF7C06"/>
    <w:rsid w:val="00F05F0B"/>
    <w:rsid w:val="00F13F97"/>
    <w:rsid w:val="00F15121"/>
    <w:rsid w:val="00F24EB5"/>
    <w:rsid w:val="00F425CB"/>
    <w:rsid w:val="00F44ED3"/>
    <w:rsid w:val="00F518B3"/>
    <w:rsid w:val="00F745D2"/>
    <w:rsid w:val="00F90FC7"/>
    <w:rsid w:val="00FA0EB5"/>
    <w:rsid w:val="00FA4953"/>
    <w:rsid w:val="00FA687D"/>
    <w:rsid w:val="00FB3475"/>
    <w:rsid w:val="00FB3922"/>
    <w:rsid w:val="00FB5CB0"/>
    <w:rsid w:val="00FF6C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7948C"/>
  <w15:chartTrackingRefBased/>
  <w15:docId w15:val="{886B68D6-9B12-4C1D-B1A3-30EBDC1F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17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B6"/>
  </w:style>
  <w:style w:type="paragraph" w:styleId="Piedepgina">
    <w:name w:val="footer"/>
    <w:basedOn w:val="Normal"/>
    <w:link w:val="PiedepginaCar"/>
    <w:uiPriority w:val="99"/>
    <w:unhideWhenUsed/>
    <w:rsid w:val="00E717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17B6"/>
  </w:style>
  <w:style w:type="paragraph" w:styleId="NormalWeb">
    <w:name w:val="Normal (Web)"/>
    <w:basedOn w:val="Normal"/>
    <w:uiPriority w:val="99"/>
    <w:unhideWhenUsed/>
    <w:rsid w:val="00FA687D"/>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A23C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3C39"/>
    <w:rPr>
      <w:rFonts w:ascii="Segoe UI" w:hAnsi="Segoe UI" w:cs="Segoe UI"/>
      <w:sz w:val="18"/>
      <w:szCs w:val="18"/>
      <w:lang w:val="es-ES" w:eastAsia="en-US"/>
    </w:rPr>
  </w:style>
  <w:style w:type="paragraph" w:styleId="Prrafodelista">
    <w:name w:val="List Paragraph"/>
    <w:basedOn w:val="Normal"/>
    <w:uiPriority w:val="34"/>
    <w:qFormat/>
    <w:rsid w:val="006C2DE2"/>
    <w:pPr>
      <w:ind w:left="720"/>
      <w:contextualSpacing/>
    </w:pPr>
    <w:rPr>
      <w:rFonts w:eastAsia="Times New Roman" w:cs="Calibri"/>
      <w:lang w:val="es-UY" w:eastAsia="es-UY"/>
    </w:rPr>
  </w:style>
  <w:style w:type="character" w:styleId="Hipervnculo">
    <w:name w:val="Hyperlink"/>
    <w:basedOn w:val="Fuentedeprrafopredeter"/>
    <w:uiPriority w:val="99"/>
    <w:unhideWhenUsed/>
    <w:rsid w:val="00D9531B"/>
    <w:rPr>
      <w:color w:val="0563C1" w:themeColor="hyperlink"/>
      <w:u w:val="single"/>
    </w:rPr>
  </w:style>
  <w:style w:type="table" w:styleId="Tablaconcuadrcula">
    <w:name w:val="Table Grid"/>
    <w:basedOn w:val="Tablanormal"/>
    <w:uiPriority w:val="39"/>
    <w:rsid w:val="0053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533704">
      <w:bodyDiv w:val="1"/>
      <w:marLeft w:val="0"/>
      <w:marRight w:val="0"/>
      <w:marTop w:val="0"/>
      <w:marBottom w:val="0"/>
      <w:divBdr>
        <w:top w:val="none" w:sz="0" w:space="0" w:color="auto"/>
        <w:left w:val="none" w:sz="0" w:space="0" w:color="auto"/>
        <w:bottom w:val="none" w:sz="0" w:space="0" w:color="auto"/>
        <w:right w:val="none" w:sz="0" w:space="0" w:color="auto"/>
      </w:divBdr>
    </w:div>
    <w:div w:id="1008681861">
      <w:bodyDiv w:val="1"/>
      <w:marLeft w:val="0"/>
      <w:marRight w:val="0"/>
      <w:marTop w:val="0"/>
      <w:marBottom w:val="0"/>
      <w:divBdr>
        <w:top w:val="none" w:sz="0" w:space="0" w:color="auto"/>
        <w:left w:val="none" w:sz="0" w:space="0" w:color="auto"/>
        <w:bottom w:val="none" w:sz="0" w:space="0" w:color="auto"/>
        <w:right w:val="none" w:sz="0" w:space="0" w:color="auto"/>
      </w:divBdr>
    </w:div>
    <w:div w:id="1068264345">
      <w:bodyDiv w:val="1"/>
      <w:marLeft w:val="0"/>
      <w:marRight w:val="0"/>
      <w:marTop w:val="0"/>
      <w:marBottom w:val="0"/>
      <w:divBdr>
        <w:top w:val="none" w:sz="0" w:space="0" w:color="auto"/>
        <w:left w:val="none" w:sz="0" w:space="0" w:color="auto"/>
        <w:bottom w:val="none" w:sz="0" w:space="0" w:color="auto"/>
        <w:right w:val="none" w:sz="0" w:space="0" w:color="auto"/>
      </w:divBdr>
    </w:div>
    <w:div w:id="1225721833">
      <w:bodyDiv w:val="1"/>
      <w:marLeft w:val="0"/>
      <w:marRight w:val="0"/>
      <w:marTop w:val="0"/>
      <w:marBottom w:val="0"/>
      <w:divBdr>
        <w:top w:val="none" w:sz="0" w:space="0" w:color="auto"/>
        <w:left w:val="none" w:sz="0" w:space="0" w:color="auto"/>
        <w:bottom w:val="none" w:sz="0" w:space="0" w:color="auto"/>
        <w:right w:val="none" w:sz="0" w:space="0" w:color="auto"/>
      </w:divBdr>
    </w:div>
    <w:div w:id="12301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Word_97_-_2003_Document.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nh.licitaciones@mtop.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468599\AppData\Local\Microsoft\Windows\INetCache\IE\XDLZEI98\Hoja%20membretada%20MTOP-%20Direcciones-%202020%20-%20Plantilla%20Word%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2916-C53E-4C2E-B433-C4A8479A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MTOP- Direcciones- 2020 - Plantilla Word .dotx</Template>
  <TotalTime>149</TotalTime>
  <Pages>7</Pages>
  <Words>1707</Words>
  <Characters>9390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DURAN</dc:creator>
  <cp:keywords/>
  <dc:description/>
  <cp:lastModifiedBy>MAURO TOLEDO</cp:lastModifiedBy>
  <cp:revision>6</cp:revision>
  <cp:lastPrinted>2023-12-01T11:51:00Z</cp:lastPrinted>
  <dcterms:created xsi:type="dcterms:W3CDTF">2023-11-29T14:31:00Z</dcterms:created>
  <dcterms:modified xsi:type="dcterms:W3CDTF">2023-12-01T11:53:00Z</dcterms:modified>
</cp:coreProperties>
</file>