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FA" w:rsidRDefault="00B63C1C">
      <w:pPr>
        <w:tabs>
          <w:tab w:val="left" w:pos="2295"/>
          <w:tab w:val="center" w:pos="4252"/>
        </w:tabs>
        <w:jc w:val="center"/>
        <w:rPr>
          <w:rFonts w:ascii="Bookman Old Style" w:hAnsi="Bookman Old Style" w:cs="Times New Roman"/>
          <w:b/>
        </w:rPr>
      </w:pPr>
      <w:r>
        <w:rPr>
          <w:rFonts w:ascii="Bookman Old Style" w:hAnsi="Bookman Old Style" w:cs="Times New Roman"/>
          <w:b/>
        </w:rPr>
        <w:t>PODER JUDICIAL</w:t>
      </w:r>
    </w:p>
    <w:p w:rsidR="00A83CFA" w:rsidRDefault="00B63C1C">
      <w:pPr>
        <w:jc w:val="center"/>
        <w:rPr>
          <w:rFonts w:ascii="Bookman Old Style" w:hAnsi="Bookman Old Style" w:cs="Times New Roman"/>
          <w:b/>
        </w:rPr>
      </w:pPr>
      <w:r>
        <w:rPr>
          <w:rFonts w:ascii="Bookman Old Style" w:hAnsi="Bookman Old Style" w:cs="Times New Roman"/>
          <w:b/>
        </w:rPr>
        <w:t>DEPARTAMENTO DE ADQUISICIONES</w:t>
      </w:r>
    </w:p>
    <w:p w:rsidR="00A83CFA" w:rsidRDefault="00B63C1C">
      <w:pPr>
        <w:jc w:val="center"/>
        <w:rPr>
          <w:rFonts w:ascii="Bookman Old Style" w:hAnsi="Bookman Old Style" w:cs="Times New Roman"/>
          <w:b/>
          <w:u w:val="single"/>
        </w:rPr>
      </w:pPr>
      <w:r>
        <w:rPr>
          <w:rFonts w:ascii="Bookman Old Style" w:hAnsi="Bookman Old Style" w:cs="Times New Roman"/>
          <w:b/>
        </w:rPr>
        <w:t>LICITACIÓN ABREVIADA N°</w:t>
      </w:r>
      <w:r>
        <w:rPr>
          <w:rFonts w:ascii="Bookman Old Style" w:hAnsi="Bookman Old Style" w:cs="Times New Roman"/>
          <w:b/>
          <w:u w:val="single"/>
        </w:rPr>
        <w:t xml:space="preserve">  </w:t>
      </w:r>
      <w:r w:rsidR="00113E62">
        <w:rPr>
          <w:rFonts w:ascii="Bookman Old Style" w:hAnsi="Bookman Old Style" w:cs="Times New Roman"/>
          <w:b/>
          <w:u w:val="single"/>
        </w:rPr>
        <w:t>13</w:t>
      </w:r>
      <w:r w:rsidR="00503EB1">
        <w:rPr>
          <w:rFonts w:ascii="Bookman Old Style" w:hAnsi="Bookman Old Style" w:cs="Times New Roman"/>
          <w:b/>
          <w:u w:val="single"/>
        </w:rPr>
        <w:t>/2023</w:t>
      </w:r>
    </w:p>
    <w:p w:rsidR="00A83CFA" w:rsidRDefault="00B63C1C">
      <w:pPr>
        <w:jc w:val="center"/>
        <w:rPr>
          <w:rFonts w:ascii="Bookman Old Style" w:hAnsi="Bookman Old Style" w:cs="Times New Roman"/>
          <w:b/>
        </w:rPr>
      </w:pPr>
      <w:r>
        <w:rPr>
          <w:rFonts w:ascii="Bookman Old Style" w:hAnsi="Bookman Old Style" w:cs="Times New Roman"/>
          <w:b/>
        </w:rPr>
        <w:t>Inciso 16</w:t>
      </w:r>
    </w:p>
    <w:p w:rsidR="00A83CFA" w:rsidRDefault="00A83CFA">
      <w:pPr>
        <w:jc w:val="center"/>
        <w:rPr>
          <w:rFonts w:ascii="Bookman Old Style" w:hAnsi="Bookman Old Style" w:cs="Times New Roman"/>
          <w:b/>
        </w:rPr>
      </w:pPr>
    </w:p>
    <w:p w:rsidR="00A83CFA" w:rsidRDefault="00B63C1C">
      <w:pPr>
        <w:rPr>
          <w:rFonts w:ascii="Bookman Old Style" w:hAnsi="Bookman Old Style" w:cs="Times New Roman"/>
          <w:b/>
        </w:rPr>
      </w:pPr>
      <w:r>
        <w:rPr>
          <w:rFonts w:ascii="Bookman Old Style" w:hAnsi="Bookman Old Style" w:cs="Times New Roman"/>
          <w:b/>
        </w:rPr>
        <w:t xml:space="preserve">Costo del Pliego: SIN COSTO </w:t>
      </w:r>
    </w:p>
    <w:p w:rsidR="00A83CFA" w:rsidRDefault="00A83CFA">
      <w:pPr>
        <w:rPr>
          <w:rFonts w:ascii="Bookman Old Style" w:hAnsi="Bookman Old Style" w:cs="Times New Roman"/>
          <w:b/>
        </w:rPr>
      </w:pPr>
    </w:p>
    <w:p w:rsidR="00A83CFA" w:rsidRDefault="00B63C1C">
      <w:pPr>
        <w:ind w:firstLine="709"/>
        <w:rPr>
          <w:rFonts w:ascii="Bookman Old Style" w:hAnsi="Bookman Old Style" w:cs="Times New Roman"/>
        </w:rPr>
      </w:pPr>
      <w:r>
        <w:rPr>
          <w:rFonts w:ascii="Bookman Old Style" w:hAnsi="Bookman Old Style" w:cs="Times New Roman"/>
        </w:rPr>
        <w:t xml:space="preserve">El presente llamado se regirá por lo establecido en  las siguientes disposiciones: </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T.O.C.A.F. aprobado por Decreto N° 150/012 de 11 de mayo de 2012,</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Decreto Nº 155/013,</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Acordada Nº 7400 de 27 de junio de 2000,</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Decreto Nº 131/2014: Pliego Único de Bases y Condiciones Generales para Contratos de Suministros y Servicios No Personales,</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Ley Nº 19.889 de 9 de julio de 2020.</w:t>
      </w:r>
    </w:p>
    <w:p w:rsidR="00A83CFA" w:rsidRDefault="00B63C1C">
      <w:pPr>
        <w:pStyle w:val="Prrafodelista"/>
        <w:numPr>
          <w:ilvl w:val="0"/>
          <w:numId w:val="1"/>
        </w:numPr>
        <w:rPr>
          <w:rFonts w:ascii="Bookman Old Style" w:hAnsi="Bookman Old Style" w:cs="Times New Roman"/>
        </w:rPr>
      </w:pPr>
      <w:r>
        <w:rPr>
          <w:rFonts w:ascii="Bookman Old Style" w:hAnsi="Bookman Old Style" w:cs="Times New Roman"/>
        </w:rPr>
        <w:t>Leyes, decretos y resoluciones vigentes a la fecha de aperturas de la licitación, en tanto fueren aplicables.</w:t>
      </w:r>
    </w:p>
    <w:p w:rsidR="00A83CFA" w:rsidRDefault="00A83CFA">
      <w:pPr>
        <w:ind w:left="360" w:firstLine="0"/>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 xml:space="preserve">Art. 1.- OBJETO DEL CONTRATO Y CARACTERISTICAS ESPECIALES. </w:t>
      </w:r>
    </w:p>
    <w:p w:rsidR="00A83CFA" w:rsidRDefault="00B63C1C">
      <w:pPr>
        <w:ind w:firstLine="709"/>
        <w:rPr>
          <w:rFonts w:ascii="Bookman Old Style" w:hAnsi="Bookman Old Style" w:cs="Times New Roman"/>
          <w:b/>
          <w:bCs/>
          <w:u w:val="single"/>
        </w:rPr>
      </w:pPr>
      <w:r>
        <w:rPr>
          <w:rFonts w:ascii="Bookman Old Style" w:hAnsi="Bookman Old Style" w:cs="Times New Roman"/>
          <w:bCs/>
        </w:rPr>
        <w:t>Contratación de</w:t>
      </w:r>
      <w:r>
        <w:rPr>
          <w:rFonts w:ascii="Bookman Old Style" w:hAnsi="Bookman Old Style" w:cs="Times New Roman"/>
          <w:b/>
          <w:bCs/>
        </w:rPr>
        <w:t xml:space="preserve"> </w:t>
      </w:r>
      <w:r>
        <w:rPr>
          <w:rFonts w:ascii="Bookman Old Style" w:hAnsi="Bookman Old Style" w:cs="Times New Roman"/>
          <w:b/>
          <w:bCs/>
          <w:u w:val="single"/>
        </w:rPr>
        <w:t>Servicios de mantenimiento preventivo y correctivo bimensual  de equipos de laboratorio</w:t>
      </w:r>
      <w:r>
        <w:rPr>
          <w:rFonts w:ascii="Bookman Old Style" w:hAnsi="Bookman Old Style" w:cs="Times New Roman"/>
          <w:b/>
          <w:bCs/>
        </w:rPr>
        <w:t xml:space="preserve"> para el Departamento Laboratorio de Química y Toxicología</w:t>
      </w:r>
      <w:r>
        <w:rPr>
          <w:rFonts w:ascii="Bookman Old Style" w:hAnsi="Bookman Old Style" w:cs="Times New Roman"/>
          <w:bCs/>
        </w:rPr>
        <w:t xml:space="preserve"> del Instituto Técnico Forense del Poder Judicial, sito en Carlos Gardel 1220 en la ciudad de Montevideo </w:t>
      </w:r>
      <w:r>
        <w:rPr>
          <w:rFonts w:ascii="Bookman Old Style" w:hAnsi="Bookman Old Style" w:cs="Times New Roman"/>
          <w:b/>
          <w:bCs/>
          <w:u w:val="single"/>
        </w:rPr>
        <w:t>de acuerdo al siguiente detalle:</w:t>
      </w:r>
    </w:p>
    <w:p w:rsidR="00A83CFA" w:rsidRDefault="00A83CFA">
      <w:pPr>
        <w:ind w:firstLine="709"/>
        <w:rPr>
          <w:rFonts w:ascii="Bookman Old Style" w:hAnsi="Bookman Old Style" w:cs="Times New Roman"/>
          <w:b/>
          <w:bCs/>
          <w:u w:val="single"/>
        </w:rPr>
      </w:pP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1:</w:t>
      </w:r>
      <w:r>
        <w:rPr>
          <w:rFonts w:ascii="Bookman Old Style" w:hAnsi="Bookman Old Style"/>
          <w:b/>
          <w:bCs/>
          <w:sz w:val="22"/>
          <w:szCs w:val="22"/>
          <w:lang w:val="es-UY"/>
        </w:rPr>
        <w:t xml:space="preserve"> 1 GC, marca AGILENT, modelo 7890A con dos </w:t>
      </w:r>
      <w:proofErr w:type="spellStart"/>
      <w:r>
        <w:rPr>
          <w:rFonts w:ascii="Bookman Old Style" w:hAnsi="Bookman Old Style"/>
          <w:b/>
          <w:bCs/>
          <w:sz w:val="22"/>
          <w:szCs w:val="22"/>
          <w:lang w:val="es-UY"/>
        </w:rPr>
        <w:t>automuestradores</w:t>
      </w:r>
      <w:proofErr w:type="spellEnd"/>
      <w:r>
        <w:rPr>
          <w:rFonts w:ascii="Bookman Old Style" w:hAnsi="Bookman Old Style"/>
          <w:b/>
          <w:bCs/>
          <w:sz w:val="22"/>
          <w:szCs w:val="22"/>
          <w:lang w:val="es-UY"/>
        </w:rPr>
        <w:t xml:space="preserve">, dos puertos de inyección S/S y detectores </w:t>
      </w:r>
      <w:proofErr w:type="spellStart"/>
      <w:r>
        <w:rPr>
          <w:rFonts w:ascii="Bookman Old Style" w:hAnsi="Bookman Old Style"/>
          <w:b/>
          <w:bCs/>
          <w:sz w:val="22"/>
          <w:szCs w:val="22"/>
          <w:lang w:val="es-UY"/>
        </w:rPr>
        <w:t>mECD</w:t>
      </w:r>
      <w:proofErr w:type="spellEnd"/>
      <w:r>
        <w:rPr>
          <w:rFonts w:ascii="Bookman Old Style" w:hAnsi="Bookman Old Style"/>
          <w:b/>
          <w:bCs/>
          <w:sz w:val="22"/>
          <w:szCs w:val="22"/>
          <w:lang w:val="es-UY"/>
        </w:rPr>
        <w:t xml:space="preserve"> y NPD, software </w:t>
      </w:r>
      <w:proofErr w:type="spellStart"/>
      <w:r>
        <w:rPr>
          <w:rFonts w:ascii="Bookman Old Style" w:hAnsi="Bookman Old Style"/>
          <w:b/>
          <w:bCs/>
          <w:sz w:val="22"/>
          <w:szCs w:val="22"/>
          <w:lang w:val="es-UY"/>
        </w:rPr>
        <w:t>OpenLab</w:t>
      </w:r>
      <w:proofErr w:type="spellEnd"/>
      <w:r>
        <w:rPr>
          <w:rFonts w:ascii="Bookman Old Style" w:hAnsi="Bookman Old Style"/>
          <w:b/>
          <w:bCs/>
          <w:sz w:val="22"/>
          <w:szCs w:val="22"/>
          <w:lang w:val="es-UY"/>
        </w:rPr>
        <w:t xml:space="preserve"> </w:t>
      </w:r>
      <w:proofErr w:type="spellStart"/>
      <w:r>
        <w:rPr>
          <w:rFonts w:ascii="Bookman Old Style" w:hAnsi="Bookman Old Style"/>
          <w:b/>
          <w:bCs/>
          <w:sz w:val="22"/>
          <w:szCs w:val="22"/>
          <w:lang w:val="es-UY"/>
        </w:rPr>
        <w:t>ChemStation</w:t>
      </w:r>
      <w:proofErr w:type="spellEnd"/>
      <w:r>
        <w:rPr>
          <w:rFonts w:ascii="Bookman Old Style" w:hAnsi="Bookman Old Style"/>
          <w:b/>
          <w:bCs/>
          <w:sz w:val="22"/>
          <w:szCs w:val="22"/>
          <w:lang w:val="es-UY"/>
        </w:rPr>
        <w:t>, PC, Monitor e Impresora.</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2:</w:t>
      </w:r>
      <w:r>
        <w:rPr>
          <w:rFonts w:ascii="Bookman Old Style" w:hAnsi="Bookman Old Style"/>
          <w:b/>
          <w:bCs/>
          <w:sz w:val="22"/>
          <w:szCs w:val="22"/>
          <w:lang w:val="es-UY"/>
        </w:rPr>
        <w:t xml:space="preserve"> 1 HPLC, marca AGILENT, modelo 1200 con detector DAD, software </w:t>
      </w:r>
      <w:proofErr w:type="spellStart"/>
      <w:r>
        <w:rPr>
          <w:rFonts w:ascii="Bookman Old Style" w:hAnsi="Bookman Old Style"/>
          <w:b/>
          <w:bCs/>
          <w:sz w:val="22"/>
          <w:szCs w:val="22"/>
          <w:lang w:val="es-UY"/>
        </w:rPr>
        <w:t>OpenLab</w:t>
      </w:r>
      <w:proofErr w:type="spellEnd"/>
      <w:r>
        <w:rPr>
          <w:rFonts w:ascii="Bookman Old Style" w:hAnsi="Bookman Old Style"/>
          <w:b/>
          <w:bCs/>
          <w:sz w:val="22"/>
          <w:szCs w:val="22"/>
          <w:lang w:val="es-UY"/>
        </w:rPr>
        <w:t xml:space="preserve"> </w:t>
      </w:r>
      <w:proofErr w:type="spellStart"/>
      <w:r>
        <w:rPr>
          <w:rFonts w:ascii="Bookman Old Style" w:hAnsi="Bookman Old Style"/>
          <w:b/>
          <w:bCs/>
          <w:sz w:val="22"/>
          <w:szCs w:val="22"/>
          <w:lang w:val="es-UY"/>
        </w:rPr>
        <w:t>ChemStation</w:t>
      </w:r>
      <w:proofErr w:type="spellEnd"/>
      <w:r>
        <w:rPr>
          <w:rFonts w:ascii="Bookman Old Style" w:hAnsi="Bookman Old Style"/>
          <w:b/>
          <w:bCs/>
          <w:sz w:val="22"/>
          <w:szCs w:val="22"/>
          <w:lang w:val="es-UY"/>
        </w:rPr>
        <w:t>, PC, Monitor e Impresora.</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3:</w:t>
      </w:r>
      <w:r>
        <w:rPr>
          <w:rFonts w:ascii="Bookman Old Style" w:hAnsi="Bookman Old Style"/>
          <w:b/>
          <w:bCs/>
          <w:sz w:val="22"/>
          <w:szCs w:val="22"/>
          <w:lang w:val="es-UY"/>
        </w:rPr>
        <w:t xml:space="preserve"> 1 Campana de polvos, marca LABCONCO</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4:</w:t>
      </w:r>
      <w:r>
        <w:rPr>
          <w:rFonts w:ascii="Bookman Old Style" w:hAnsi="Bookman Old Style"/>
          <w:b/>
          <w:bCs/>
          <w:sz w:val="22"/>
          <w:szCs w:val="22"/>
          <w:lang w:val="es-UY"/>
        </w:rPr>
        <w:t xml:space="preserve"> 2 Centrífugas, marca EPPENDORF, modelo 5702 con rotor A-4-38.</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5:</w:t>
      </w:r>
      <w:r>
        <w:rPr>
          <w:rFonts w:ascii="Bookman Old Style" w:hAnsi="Bookman Old Style"/>
          <w:b/>
          <w:bCs/>
          <w:sz w:val="22"/>
          <w:szCs w:val="22"/>
          <w:lang w:val="es-UY"/>
        </w:rPr>
        <w:t xml:space="preserve"> 1 Ultracentrífuga, marca EPPENDORF, modelo Mini Spin.</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6:</w:t>
      </w:r>
      <w:r>
        <w:rPr>
          <w:rFonts w:ascii="Bookman Old Style" w:hAnsi="Bookman Old Style"/>
          <w:b/>
          <w:bCs/>
          <w:sz w:val="22"/>
          <w:szCs w:val="22"/>
          <w:lang w:val="es-UY"/>
        </w:rPr>
        <w:t xml:space="preserve"> 1 Generador de hidrógeno, marca PARKER BALSTON, modelo H2PEM-165.</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t>Ítem 7:</w:t>
      </w:r>
      <w:r>
        <w:rPr>
          <w:rFonts w:ascii="Bookman Old Style" w:hAnsi="Bookman Old Style"/>
          <w:b/>
          <w:bCs/>
          <w:sz w:val="22"/>
          <w:szCs w:val="22"/>
          <w:lang w:val="es-UY"/>
        </w:rPr>
        <w:t xml:space="preserve"> 1 GC, marca AGILENT, modelo 7890B con MSD AGILENT Modelo 5977B, con </w:t>
      </w:r>
      <w:proofErr w:type="spellStart"/>
      <w:r>
        <w:rPr>
          <w:rFonts w:ascii="Bookman Old Style" w:hAnsi="Bookman Old Style"/>
          <w:b/>
          <w:bCs/>
          <w:sz w:val="22"/>
          <w:szCs w:val="22"/>
          <w:lang w:val="es-UY"/>
        </w:rPr>
        <w:t>automuestreador</w:t>
      </w:r>
      <w:proofErr w:type="spellEnd"/>
      <w:r>
        <w:rPr>
          <w:rFonts w:ascii="Bookman Old Style" w:hAnsi="Bookman Old Style"/>
          <w:b/>
          <w:bCs/>
          <w:sz w:val="22"/>
          <w:szCs w:val="22"/>
          <w:lang w:val="es-UY"/>
        </w:rPr>
        <w:t xml:space="preserve">, bomba de vacío, Software </w:t>
      </w:r>
      <w:proofErr w:type="spellStart"/>
      <w:r>
        <w:rPr>
          <w:rFonts w:ascii="Bookman Old Style" w:hAnsi="Bookman Old Style"/>
          <w:b/>
          <w:bCs/>
          <w:sz w:val="22"/>
          <w:szCs w:val="22"/>
          <w:lang w:val="es-UY"/>
        </w:rPr>
        <w:t>MasHunter</w:t>
      </w:r>
      <w:proofErr w:type="spellEnd"/>
      <w:r>
        <w:rPr>
          <w:rFonts w:ascii="Bookman Old Style" w:hAnsi="Bookman Old Style"/>
          <w:b/>
          <w:bCs/>
          <w:sz w:val="22"/>
          <w:szCs w:val="22"/>
          <w:lang w:val="es-UY"/>
        </w:rPr>
        <w:t>, PC, Monitor e Impresora.</w:t>
      </w:r>
    </w:p>
    <w:p w:rsidR="00A83CFA" w:rsidRDefault="00B63C1C">
      <w:pPr>
        <w:pStyle w:val="Textoindependiente22"/>
        <w:numPr>
          <w:ilvl w:val="0"/>
          <w:numId w:val="5"/>
        </w:numPr>
        <w:spacing w:line="276" w:lineRule="auto"/>
        <w:rPr>
          <w:rFonts w:ascii="Bookman Old Style" w:hAnsi="Bookman Old Style"/>
          <w:b/>
          <w:bCs/>
          <w:sz w:val="22"/>
          <w:szCs w:val="22"/>
          <w:lang w:val="es-UY"/>
        </w:rPr>
      </w:pPr>
      <w:r>
        <w:rPr>
          <w:rFonts w:ascii="Bookman Old Style" w:hAnsi="Bookman Old Style"/>
          <w:b/>
          <w:bCs/>
          <w:sz w:val="22"/>
          <w:szCs w:val="22"/>
          <w:u w:val="single"/>
          <w:lang w:val="es-UY"/>
        </w:rPr>
        <w:lastRenderedPageBreak/>
        <w:t>Ítem 8:</w:t>
      </w:r>
      <w:r>
        <w:rPr>
          <w:rFonts w:ascii="Bookman Old Style" w:hAnsi="Bookman Old Style"/>
          <w:b/>
          <w:bCs/>
          <w:sz w:val="22"/>
          <w:szCs w:val="22"/>
          <w:lang w:val="es-UY"/>
        </w:rPr>
        <w:t xml:space="preserve"> 1 UPS, marca KEHUA.</w:t>
      </w:r>
    </w:p>
    <w:p w:rsidR="00A83CFA" w:rsidRDefault="00B63C1C">
      <w:pPr>
        <w:pStyle w:val="Textoindependiente22"/>
        <w:spacing w:line="276" w:lineRule="auto"/>
        <w:ind w:firstLine="709"/>
        <w:rPr>
          <w:rFonts w:ascii="Bookman Old Style" w:hAnsi="Bookman Old Style"/>
          <w:bCs/>
          <w:sz w:val="22"/>
          <w:szCs w:val="22"/>
          <w:lang w:val="es-UY"/>
        </w:rPr>
      </w:pPr>
      <w:r>
        <w:rPr>
          <w:rFonts w:ascii="Bookman Old Style" w:hAnsi="Bookman Old Style"/>
          <w:b/>
          <w:bCs/>
          <w:sz w:val="22"/>
          <w:szCs w:val="22"/>
          <w:u w:val="single"/>
          <w:lang w:val="es-UY"/>
        </w:rPr>
        <w:t>Características y condiciones</w:t>
      </w:r>
      <w:r>
        <w:rPr>
          <w:rFonts w:ascii="Bookman Old Style" w:hAnsi="Bookman Old Style" w:cs="Calibri"/>
          <w:bCs/>
          <w:sz w:val="22"/>
          <w:szCs w:val="22"/>
          <w:u w:val="single"/>
          <w:lang w:val="es-UY" w:eastAsia="en-US"/>
        </w:rPr>
        <w:t xml:space="preserve"> </w:t>
      </w:r>
      <w:r>
        <w:rPr>
          <w:rFonts w:ascii="Bookman Old Style" w:hAnsi="Bookman Old Style"/>
          <w:b/>
          <w:bCs/>
          <w:sz w:val="22"/>
          <w:szCs w:val="22"/>
          <w:u w:val="single"/>
          <w:lang w:val="es-UY"/>
        </w:rPr>
        <w:t>del servicio.</w:t>
      </w:r>
      <w:r>
        <w:rPr>
          <w:rFonts w:ascii="Bookman Old Style" w:hAnsi="Bookman Old Style"/>
          <w:bCs/>
          <w:sz w:val="22"/>
          <w:szCs w:val="22"/>
          <w:lang w:val="es-UY"/>
        </w:rPr>
        <w:t xml:space="preserve"> La</w:t>
      </w:r>
      <w:r>
        <w:rPr>
          <w:rFonts w:ascii="Bookman Old Style" w:hAnsi="Bookman Old Style"/>
          <w:bCs/>
          <w:sz w:val="22"/>
          <w:szCs w:val="22"/>
          <w:lang w:eastAsia="es-UY"/>
        </w:rPr>
        <w:t xml:space="preserve"> presentación a la convocatoria implica la aceptación de las mismas por parte del oferente</w:t>
      </w:r>
      <w:r>
        <w:rPr>
          <w:rFonts w:ascii="Bookman Old Style" w:hAnsi="Bookman Old Style"/>
          <w:bCs/>
          <w:sz w:val="22"/>
          <w:szCs w:val="22"/>
          <w:lang w:val="es-UY"/>
        </w:rPr>
        <w:t xml:space="preserve">: </w:t>
      </w:r>
    </w:p>
    <w:p w:rsidR="00A83CFA" w:rsidRDefault="00B63C1C">
      <w:pPr>
        <w:pStyle w:val="Textoindependiente22"/>
        <w:numPr>
          <w:ilvl w:val="0"/>
          <w:numId w:val="3"/>
        </w:numPr>
        <w:spacing w:line="276" w:lineRule="auto"/>
        <w:rPr>
          <w:rFonts w:ascii="Bookman Old Style" w:hAnsi="Bookman Old Style"/>
          <w:b/>
          <w:bCs/>
          <w:sz w:val="22"/>
          <w:szCs w:val="22"/>
          <w:lang w:val="es-UY"/>
        </w:rPr>
      </w:pPr>
      <w:r>
        <w:rPr>
          <w:rFonts w:ascii="Bookman Old Style" w:hAnsi="Bookman Old Style"/>
          <w:b/>
          <w:bCs/>
          <w:sz w:val="22"/>
          <w:szCs w:val="22"/>
          <w:lang w:val="es-UY"/>
        </w:rPr>
        <w:t>Frecuencia del servicio: Bimensual.</w:t>
      </w:r>
    </w:p>
    <w:p w:rsidR="00A83CFA" w:rsidRDefault="00B63C1C">
      <w:pPr>
        <w:pStyle w:val="Textoindependiente22"/>
        <w:numPr>
          <w:ilvl w:val="0"/>
          <w:numId w:val="3"/>
        </w:numPr>
        <w:spacing w:after="0" w:line="276" w:lineRule="auto"/>
        <w:rPr>
          <w:rFonts w:ascii="Bookman Old Style" w:hAnsi="Bookman Old Style"/>
          <w:b/>
          <w:bCs/>
          <w:sz w:val="22"/>
          <w:szCs w:val="22"/>
          <w:lang w:val="es-UY"/>
        </w:rPr>
      </w:pPr>
      <w:r>
        <w:rPr>
          <w:rFonts w:ascii="Bookman Old Style" w:hAnsi="Bookman Old Style"/>
          <w:b/>
          <w:bCs/>
          <w:sz w:val="22"/>
          <w:szCs w:val="22"/>
          <w:lang w:val="es-UY"/>
        </w:rPr>
        <w:t xml:space="preserve">Tareas comprendidas: </w:t>
      </w:r>
    </w:p>
    <w:p w:rsidR="00A83CFA" w:rsidRDefault="00B63C1C">
      <w:pPr>
        <w:pStyle w:val="Textoindependiente22"/>
        <w:numPr>
          <w:ilvl w:val="0"/>
          <w:numId w:val="4"/>
        </w:numPr>
        <w:spacing w:after="0" w:line="276" w:lineRule="auto"/>
        <w:rPr>
          <w:rFonts w:ascii="Bookman Old Style" w:hAnsi="Bookman Old Style"/>
          <w:bCs/>
          <w:sz w:val="22"/>
          <w:szCs w:val="22"/>
        </w:rPr>
      </w:pPr>
      <w:r>
        <w:rPr>
          <w:rFonts w:ascii="Bookman Old Style" w:hAnsi="Bookman Old Style"/>
          <w:bCs/>
          <w:sz w:val="22"/>
          <w:szCs w:val="22"/>
        </w:rPr>
        <w:t>Mantenimiento preventivo y correctivo: Visita bimensual a los efectos de chequeos y reparaciones menores oportunas, a fin de que los equipos se encuentren en una condición de funcionamiento óptima y siguiendo las recomendaciones y procedimientos establecidos por los fabricantes. Luego de cada visita, se realizará un informe detallado de lo que se ha realizado, las recomendaciones u observacion</w:t>
      </w:r>
      <w:r w:rsidR="00503EB1">
        <w:rPr>
          <w:rFonts w:ascii="Bookman Old Style" w:hAnsi="Bookman Old Style"/>
          <w:bCs/>
          <w:sz w:val="22"/>
          <w:szCs w:val="22"/>
        </w:rPr>
        <w:t xml:space="preserve">es, etc. Comprenderá, asimismo, todo el mantenimiento correctivo y </w:t>
      </w:r>
      <w:r>
        <w:rPr>
          <w:rFonts w:ascii="Bookman Old Style" w:hAnsi="Bookman Old Style"/>
          <w:bCs/>
          <w:sz w:val="22"/>
          <w:szCs w:val="22"/>
        </w:rPr>
        <w:t xml:space="preserve">asistencia técnica </w:t>
      </w:r>
      <w:r w:rsidR="00503EB1">
        <w:rPr>
          <w:rFonts w:ascii="Bookman Old Style" w:hAnsi="Bookman Old Style"/>
          <w:bCs/>
          <w:sz w:val="22"/>
          <w:szCs w:val="22"/>
        </w:rPr>
        <w:t xml:space="preserve"> requeridos por el </w:t>
      </w:r>
      <w:r>
        <w:rPr>
          <w:rFonts w:ascii="Bookman Old Style" w:hAnsi="Bookman Old Style"/>
          <w:bCs/>
          <w:sz w:val="22"/>
          <w:szCs w:val="22"/>
        </w:rPr>
        <w:t xml:space="preserve"> personal del Laboratorio en un plazo no mayor a 24 horas.</w:t>
      </w:r>
    </w:p>
    <w:p w:rsidR="00A83CFA" w:rsidRDefault="00B63C1C">
      <w:pPr>
        <w:pStyle w:val="Textoindependiente22"/>
        <w:numPr>
          <w:ilvl w:val="0"/>
          <w:numId w:val="4"/>
        </w:numPr>
        <w:spacing w:after="0" w:line="276" w:lineRule="auto"/>
        <w:rPr>
          <w:rFonts w:ascii="Bookman Old Style" w:hAnsi="Bookman Old Style"/>
          <w:bCs/>
          <w:sz w:val="22"/>
          <w:szCs w:val="22"/>
        </w:rPr>
      </w:pPr>
      <w:r>
        <w:rPr>
          <w:rFonts w:ascii="Bookman Old Style" w:hAnsi="Bookman Old Style"/>
          <w:bCs/>
          <w:sz w:val="22"/>
          <w:szCs w:val="22"/>
        </w:rPr>
        <w:t xml:space="preserve">Mantenimiento preventivo anual: que comprenderá la realización de un mantenimiento anual exhaustivo de todos los equipos objetos del presente llamado, y luego cada visita, se realizará un informe detallado de lo que se ha realizado, las recomendaciones u observaciones, </w:t>
      </w:r>
      <w:r w:rsidR="00113E62">
        <w:rPr>
          <w:rFonts w:ascii="Bookman Old Style" w:hAnsi="Bookman Old Style"/>
          <w:bCs/>
          <w:sz w:val="22"/>
          <w:szCs w:val="22"/>
        </w:rPr>
        <w:t xml:space="preserve">etc. </w:t>
      </w:r>
      <w:r>
        <w:rPr>
          <w:rFonts w:ascii="Bookman Old Style" w:hAnsi="Bookman Old Style"/>
          <w:bCs/>
          <w:sz w:val="22"/>
          <w:szCs w:val="22"/>
        </w:rPr>
        <w:t xml:space="preserve">Dicho servicio anual deberá estar incluido </w:t>
      </w:r>
      <w:r w:rsidRPr="00113E62">
        <w:rPr>
          <w:rFonts w:ascii="Bookman Old Style" w:hAnsi="Bookman Old Style"/>
          <w:bCs/>
          <w:sz w:val="22"/>
          <w:szCs w:val="22"/>
        </w:rPr>
        <w:t xml:space="preserve">en la cotización, </w:t>
      </w:r>
      <w:r w:rsidRPr="00113E62">
        <w:rPr>
          <w:rFonts w:ascii="Bookman Old Style" w:hAnsi="Bookman Old Style"/>
          <w:b/>
          <w:bCs/>
          <w:sz w:val="22"/>
          <w:szCs w:val="22"/>
        </w:rPr>
        <w:t>no admitiéndose cotización adicional alguna</w:t>
      </w:r>
      <w:r w:rsidRPr="00113E62">
        <w:rPr>
          <w:rFonts w:ascii="Bookman Old Style" w:hAnsi="Bookman Old Style"/>
          <w:bCs/>
          <w:sz w:val="22"/>
          <w:szCs w:val="22"/>
        </w:rPr>
        <w:t xml:space="preserve"> a los servicios</w:t>
      </w:r>
      <w:r>
        <w:rPr>
          <w:rFonts w:ascii="Bookman Old Style" w:hAnsi="Bookman Old Style"/>
          <w:bCs/>
          <w:sz w:val="22"/>
          <w:szCs w:val="22"/>
        </w:rPr>
        <w:t xml:space="preserve"> mensuales cotizados.</w:t>
      </w:r>
    </w:p>
    <w:p w:rsidR="00A83CFA" w:rsidRDefault="00B63C1C">
      <w:pPr>
        <w:pStyle w:val="Prrafodelista"/>
        <w:numPr>
          <w:ilvl w:val="0"/>
          <w:numId w:val="4"/>
        </w:numPr>
        <w:spacing w:after="240"/>
        <w:rPr>
          <w:rFonts w:ascii="Bookman Old Style" w:eastAsia="Arial" w:hAnsi="Bookman Old Style" w:cs="Times New Roman"/>
          <w:b/>
          <w:bCs/>
          <w:lang w:eastAsia="zh-CN"/>
        </w:rPr>
      </w:pPr>
      <w:r>
        <w:rPr>
          <w:rFonts w:ascii="Bookman Old Style" w:eastAsia="Arial" w:hAnsi="Bookman Old Style" w:cs="Times New Roman"/>
          <w:b/>
          <w:bCs/>
          <w:lang w:eastAsia="zh-CN"/>
        </w:rPr>
        <w:t xml:space="preserve">Limpieza de la fuente de iones de los equipos que lo requieran y que se encuentren comprendidos en el presente procedimiento. </w:t>
      </w:r>
    </w:p>
    <w:p w:rsidR="00A83CFA" w:rsidRDefault="00B63C1C">
      <w:pPr>
        <w:pStyle w:val="Textoindependiente22"/>
        <w:numPr>
          <w:ilvl w:val="0"/>
          <w:numId w:val="3"/>
        </w:numPr>
        <w:spacing w:after="0" w:line="276" w:lineRule="auto"/>
        <w:rPr>
          <w:rFonts w:ascii="Bookman Old Style" w:hAnsi="Bookman Old Style"/>
          <w:b/>
          <w:bCs/>
          <w:sz w:val="22"/>
          <w:szCs w:val="22"/>
          <w:lang w:val="es-UY"/>
        </w:rPr>
      </w:pPr>
      <w:r>
        <w:rPr>
          <w:rFonts w:ascii="Bookman Old Style" w:hAnsi="Bookman Old Style"/>
          <w:b/>
          <w:bCs/>
          <w:sz w:val="22"/>
          <w:szCs w:val="22"/>
          <w:lang w:val="es-UY"/>
        </w:rPr>
        <w:t>Condiciones:</w:t>
      </w:r>
    </w:p>
    <w:p w:rsidR="00A83CFA" w:rsidRDefault="00B63C1C">
      <w:pPr>
        <w:pStyle w:val="Textoindependiente22"/>
        <w:numPr>
          <w:ilvl w:val="0"/>
          <w:numId w:val="8"/>
        </w:numPr>
        <w:spacing w:after="0" w:line="276" w:lineRule="auto"/>
        <w:ind w:left="709"/>
        <w:rPr>
          <w:rFonts w:ascii="Bookman Old Style" w:hAnsi="Bookman Old Style" w:cs="Calibri"/>
          <w:bCs/>
          <w:sz w:val="22"/>
          <w:szCs w:val="22"/>
          <w:lang w:val="es-UY" w:eastAsia="en-US"/>
        </w:rPr>
      </w:pPr>
      <w:r>
        <w:rPr>
          <w:rFonts w:ascii="Bookman Old Style" w:hAnsi="Bookman Old Style" w:cs="Calibri"/>
          <w:bCs/>
          <w:sz w:val="22"/>
          <w:szCs w:val="22"/>
          <w:lang w:val="es-UY" w:eastAsia="en-US"/>
        </w:rPr>
        <w:t>El oferente deberá suministrar los repuestos para realizar las reparaciones que sean detectadas. Los mismos serán cotizados en su oportunidad y no están incluidos en el presente contrato.</w:t>
      </w:r>
    </w:p>
    <w:p w:rsidR="00A83CFA" w:rsidRDefault="00B63C1C">
      <w:pPr>
        <w:pStyle w:val="Prrafodelista"/>
        <w:numPr>
          <w:ilvl w:val="0"/>
          <w:numId w:val="4"/>
        </w:numPr>
        <w:rPr>
          <w:rFonts w:ascii="Bookman Old Style" w:hAnsi="Bookman Old Style" w:cs="Times New Roman"/>
          <w:bCs/>
        </w:rPr>
      </w:pPr>
      <w:r>
        <w:rPr>
          <w:rFonts w:ascii="Bookman Old Style" w:hAnsi="Bookman Old Style" w:cs="Times New Roman"/>
          <w:bCs/>
        </w:rPr>
        <w:t xml:space="preserve">El </w:t>
      </w:r>
      <w:r>
        <w:rPr>
          <w:rFonts w:ascii="Bookman Old Style" w:hAnsi="Bookman Old Style" w:cs="Times New Roman"/>
          <w:b/>
          <w:bCs/>
        </w:rPr>
        <w:t>personal deberá contar con capacidad y formación</w:t>
      </w:r>
      <w:r>
        <w:rPr>
          <w:rFonts w:ascii="Bookman Old Style" w:hAnsi="Bookman Old Style" w:cs="Times New Roman"/>
          <w:bCs/>
        </w:rPr>
        <w:t xml:space="preserve"> suficiente para el cumplimiento de las tareas propuestas.</w:t>
      </w:r>
    </w:p>
    <w:p w:rsidR="00A83CFA" w:rsidRDefault="00B63C1C">
      <w:pPr>
        <w:pStyle w:val="Prrafodelista"/>
        <w:numPr>
          <w:ilvl w:val="0"/>
          <w:numId w:val="4"/>
        </w:numPr>
        <w:tabs>
          <w:tab w:val="left" w:pos="3119"/>
        </w:tabs>
        <w:spacing w:after="240"/>
        <w:rPr>
          <w:rFonts w:ascii="Bookman Old Style" w:hAnsi="Bookman Old Style" w:cs="Times New Roman"/>
          <w:lang w:eastAsia="es-UY"/>
        </w:rPr>
      </w:pPr>
      <w:r>
        <w:rPr>
          <w:rFonts w:ascii="Bookman Old Style" w:hAnsi="Bookman Old Style" w:cs="Times New Roman"/>
          <w:b/>
          <w:bCs/>
          <w:lang w:eastAsia="es-UY"/>
        </w:rPr>
        <w:t>La empresa d</w:t>
      </w:r>
      <w:r>
        <w:rPr>
          <w:rFonts w:ascii="Bookman Old Style" w:hAnsi="Bookman Old Style" w:cs="Times New Roman"/>
          <w:b/>
          <w:lang w:eastAsia="es-UY"/>
        </w:rPr>
        <w:t>eberá proporcionar a su personal</w:t>
      </w:r>
      <w:r>
        <w:rPr>
          <w:rFonts w:ascii="Bookman Old Style" w:hAnsi="Bookman Old Style" w:cs="Times New Roman"/>
          <w:lang w:eastAsia="es-UY"/>
        </w:rPr>
        <w:t xml:space="preserve"> todos los requerimientos, exigencias y condiciones establecidas en leyes, decretos, laudos, convenios colectivos, etc. para el cumplimiento de la tarea, así como contar con seguro de accidentes de trabajo y asumir las  cargas por los aportes fiscales y de seguridad social.</w:t>
      </w:r>
    </w:p>
    <w:p w:rsidR="00A83CFA" w:rsidRDefault="00B63C1C">
      <w:pPr>
        <w:pStyle w:val="Prrafodelista"/>
        <w:numPr>
          <w:ilvl w:val="0"/>
          <w:numId w:val="3"/>
        </w:numPr>
        <w:rPr>
          <w:rFonts w:ascii="Bookman Old Style" w:hAnsi="Bookman Old Style" w:cs="Times New Roman"/>
          <w:b/>
        </w:rPr>
      </w:pPr>
      <w:r>
        <w:rPr>
          <w:rFonts w:ascii="Bookman Old Style" w:hAnsi="Bookman Old Style" w:cs="Times New Roman"/>
        </w:rPr>
        <w:t xml:space="preserve">A fin de constatar in situ los equipos a los cuales se debe prestar el servicio, los oferentes </w:t>
      </w:r>
      <w:r>
        <w:rPr>
          <w:rFonts w:ascii="Bookman Old Style" w:hAnsi="Bookman Old Style" w:cs="Times New Roman"/>
          <w:b/>
        </w:rPr>
        <w:t xml:space="preserve">podrán </w:t>
      </w:r>
      <w:r w:rsidRPr="00113E62">
        <w:rPr>
          <w:rFonts w:ascii="Bookman Old Style" w:hAnsi="Bookman Old Style" w:cs="Times New Roman"/>
          <w:b/>
        </w:rPr>
        <w:t xml:space="preserve">realizar una </w:t>
      </w:r>
      <w:r w:rsidRPr="00113E62">
        <w:rPr>
          <w:rFonts w:ascii="Bookman Old Style" w:hAnsi="Bookman Old Style" w:cs="Times New Roman"/>
          <w:b/>
          <w:u w:val="single"/>
        </w:rPr>
        <w:t>visita opcional</w:t>
      </w:r>
      <w:r w:rsidRPr="00113E62">
        <w:rPr>
          <w:rFonts w:ascii="Bookman Old Style" w:hAnsi="Bookman Old Style" w:cs="Times New Roman"/>
        </w:rPr>
        <w:t xml:space="preserve"> a las instalaciones objeto de este llamado, la que se realizará</w:t>
      </w:r>
      <w:r w:rsidR="00113E62">
        <w:rPr>
          <w:rFonts w:ascii="Bookman Old Style" w:hAnsi="Bookman Old Style" w:cs="Times New Roman"/>
        </w:rPr>
        <w:t xml:space="preserve"> </w:t>
      </w:r>
      <w:r w:rsidR="00113E62" w:rsidRPr="00113E62">
        <w:rPr>
          <w:rFonts w:ascii="Bookman Old Style" w:hAnsi="Bookman Old Style" w:cs="Times New Roman"/>
          <w:b/>
        </w:rPr>
        <w:t>el día 25 de MAYO 2023 a la hora 14:00</w:t>
      </w:r>
      <w:r w:rsidR="00113E62">
        <w:rPr>
          <w:rFonts w:ascii="Bookman Old Style" w:hAnsi="Bookman Old Style" w:cs="Times New Roman"/>
        </w:rPr>
        <w:t>, en</w:t>
      </w:r>
      <w:r w:rsidRPr="00113E62">
        <w:rPr>
          <w:rFonts w:ascii="Bookman Old Style" w:hAnsi="Bookman Old Style" w:cs="Times New Roman"/>
          <w:b/>
          <w:color w:val="0D0D0D" w:themeColor="text1" w:themeTint="F2"/>
        </w:rPr>
        <w:t xml:space="preserve"> </w:t>
      </w:r>
      <w:r w:rsidRPr="00113E62">
        <w:rPr>
          <w:rFonts w:ascii="Bookman Old Style" w:hAnsi="Bookman Old Style" w:cs="Times New Roman"/>
          <w:bCs/>
        </w:rPr>
        <w:t>Carlos</w:t>
      </w:r>
      <w:r>
        <w:rPr>
          <w:rFonts w:ascii="Bookman Old Style" w:hAnsi="Bookman Old Style" w:cs="Times New Roman"/>
          <w:bCs/>
        </w:rPr>
        <w:t xml:space="preserve"> Gardel 1220 </w:t>
      </w:r>
      <w:r>
        <w:rPr>
          <w:rFonts w:ascii="Verdana" w:hAnsi="Verdana" w:cs="Verdana"/>
          <w:sz w:val="20"/>
          <w:szCs w:val="20"/>
        </w:rPr>
        <w:t>Pisos 3º y 4º.</w:t>
      </w:r>
      <w:r>
        <w:rPr>
          <w:rFonts w:ascii="Bookman Old Style" w:hAnsi="Bookman Old Style" w:cs="Times New Roman"/>
          <w:b/>
        </w:rPr>
        <w:t xml:space="preserve"> </w:t>
      </w:r>
    </w:p>
    <w:p w:rsidR="00A83CFA" w:rsidRDefault="00B63C1C">
      <w:pPr>
        <w:pStyle w:val="Textoindependiente22"/>
        <w:numPr>
          <w:ilvl w:val="0"/>
          <w:numId w:val="3"/>
        </w:numPr>
        <w:spacing w:after="0" w:line="276" w:lineRule="auto"/>
        <w:rPr>
          <w:rFonts w:ascii="Bookman Old Style" w:hAnsi="Bookman Old Style"/>
          <w:sz w:val="22"/>
          <w:szCs w:val="22"/>
        </w:rPr>
      </w:pPr>
      <w:r>
        <w:rPr>
          <w:rFonts w:ascii="Bookman Old Style" w:hAnsi="Bookman Old Style"/>
          <w:b/>
          <w:sz w:val="22"/>
          <w:szCs w:val="22"/>
        </w:rPr>
        <w:t xml:space="preserve">Mensualmente </w:t>
      </w:r>
      <w:r>
        <w:rPr>
          <w:rFonts w:ascii="Bookman Old Style" w:hAnsi="Bookman Old Style"/>
          <w:sz w:val="22"/>
          <w:szCs w:val="22"/>
        </w:rPr>
        <w:t xml:space="preserve">la empresa </w:t>
      </w:r>
      <w:r>
        <w:rPr>
          <w:rFonts w:ascii="Bookman Old Style" w:hAnsi="Bookman Old Style"/>
          <w:b/>
          <w:sz w:val="22"/>
          <w:szCs w:val="22"/>
        </w:rPr>
        <w:t>adjudicataria</w:t>
      </w:r>
      <w:r>
        <w:rPr>
          <w:rFonts w:ascii="Bookman Old Style" w:hAnsi="Bookman Old Style"/>
          <w:sz w:val="22"/>
          <w:szCs w:val="22"/>
        </w:rPr>
        <w:t xml:space="preserve"> deberá </w:t>
      </w:r>
      <w:r>
        <w:rPr>
          <w:rFonts w:ascii="Bookman Old Style" w:hAnsi="Bookman Old Style"/>
          <w:b/>
          <w:sz w:val="22"/>
          <w:szCs w:val="22"/>
        </w:rPr>
        <w:t>presentar</w:t>
      </w:r>
      <w:r>
        <w:rPr>
          <w:rFonts w:ascii="Bookman Old Style" w:hAnsi="Bookman Old Style"/>
          <w:sz w:val="22"/>
          <w:szCs w:val="22"/>
        </w:rPr>
        <w:t xml:space="preserve"> ante el Departamento de Inventarios del Poder Judicial la </w:t>
      </w:r>
      <w:r>
        <w:rPr>
          <w:rFonts w:ascii="Bookman Old Style" w:hAnsi="Bookman Old Style"/>
          <w:b/>
          <w:sz w:val="22"/>
          <w:szCs w:val="22"/>
        </w:rPr>
        <w:t>información que le será requerida para el cumplimiento del art 4 de la ley 18.251</w:t>
      </w:r>
      <w:r>
        <w:rPr>
          <w:rFonts w:ascii="Bookman Old Style" w:hAnsi="Bookman Old Style"/>
          <w:sz w:val="22"/>
          <w:szCs w:val="22"/>
        </w:rPr>
        <w:t>. El incumplimiento de dicha obligación, de la manera que se establecerá en el contrato, será causal de rescisión del mismo. En los referidos controles se verificará el cumplimiento del laudo correspondiente a cada categoría de empleado.</w:t>
      </w:r>
    </w:p>
    <w:p w:rsidR="00A83CFA" w:rsidRDefault="00B63C1C">
      <w:pPr>
        <w:pStyle w:val="Textoindependiente22"/>
        <w:numPr>
          <w:ilvl w:val="0"/>
          <w:numId w:val="3"/>
        </w:numPr>
        <w:spacing w:after="0" w:line="276" w:lineRule="auto"/>
        <w:rPr>
          <w:rFonts w:ascii="Bookman Old Style" w:eastAsia="Times New Roman" w:hAnsi="Bookman Old Style"/>
          <w:bCs/>
          <w:color w:val="00000A"/>
          <w:lang w:eastAsia="ar-SA"/>
        </w:rPr>
      </w:pPr>
      <w:r>
        <w:rPr>
          <w:rFonts w:ascii="Bookman Old Style" w:hAnsi="Bookman Old Style"/>
          <w:sz w:val="22"/>
          <w:szCs w:val="22"/>
        </w:rPr>
        <w:t xml:space="preserve">La empresa adjudicataria suscribirá oportunamente contrato </w:t>
      </w:r>
      <w:r>
        <w:rPr>
          <w:rFonts w:ascii="Bookman Old Style" w:eastAsia="Times New Roman" w:hAnsi="Bookman Old Style"/>
          <w:bCs/>
          <w:color w:val="00000A"/>
          <w:lang w:eastAsia="ar-SA"/>
        </w:rPr>
        <w:t>Servicios Notariales de División Jurídico Notarial del Poder Judicial.</w:t>
      </w:r>
      <w:bookmarkStart w:id="0" w:name="_GoBack"/>
      <w:r>
        <w:rPr>
          <w:rFonts w:ascii="Bookman Old Style" w:eastAsia="Times New Roman" w:hAnsi="Bookman Old Style"/>
          <w:bCs/>
          <w:color w:val="00000A"/>
          <w:lang w:eastAsia="ar-SA"/>
        </w:rPr>
        <w:t xml:space="preserve"> </w:t>
      </w:r>
      <w:bookmarkEnd w:id="0"/>
    </w:p>
    <w:p w:rsidR="00A83CFA" w:rsidRDefault="00A83CFA">
      <w:pPr>
        <w:pStyle w:val="Textoindependiente22"/>
        <w:spacing w:after="0" w:line="276" w:lineRule="auto"/>
        <w:ind w:left="1429" w:firstLine="0"/>
        <w:rPr>
          <w:rFonts w:ascii="Bookman Old Style" w:eastAsia="Times New Roman" w:hAnsi="Bookman Old Style"/>
          <w:bCs/>
          <w:color w:val="00000A"/>
          <w:lang w:eastAsia="ar-SA"/>
        </w:rPr>
      </w:pPr>
    </w:p>
    <w:p w:rsidR="00A83CFA" w:rsidRDefault="00B63C1C">
      <w:pPr>
        <w:pStyle w:val="Textoindependiente22"/>
        <w:spacing w:after="0" w:line="276" w:lineRule="auto"/>
        <w:ind w:left="720" w:firstLine="0"/>
        <w:rPr>
          <w:rFonts w:ascii="Bookman Old Style" w:hAnsi="Bookman Old Style"/>
          <w:b/>
          <w:sz w:val="22"/>
          <w:szCs w:val="22"/>
        </w:rPr>
      </w:pPr>
      <w:r>
        <w:rPr>
          <w:rFonts w:ascii="Bookman Old Style" w:hAnsi="Bookman Old Style"/>
          <w:b/>
          <w:sz w:val="22"/>
          <w:szCs w:val="22"/>
        </w:rPr>
        <w:t>Art. 2.- COMUNICACIONES.</w:t>
      </w:r>
    </w:p>
    <w:p w:rsidR="00A83CFA" w:rsidRDefault="00B63C1C">
      <w:pPr>
        <w:pStyle w:val="NormalWeb"/>
        <w:spacing w:before="0" w:after="0"/>
        <w:ind w:firstLine="709"/>
        <w:rPr>
          <w:rFonts w:ascii="Bookman Old Style" w:hAnsi="Bookman Old Style"/>
          <w:sz w:val="22"/>
          <w:szCs w:val="22"/>
        </w:rPr>
      </w:pPr>
      <w:r>
        <w:rPr>
          <w:rFonts w:ascii="Bookman Old Style" w:hAnsi="Bookman Old Style"/>
          <w:sz w:val="22"/>
          <w:szCs w:val="22"/>
        </w:rPr>
        <w:t xml:space="preserve">Todas las comunicaciones referidas al presente llamado </w:t>
      </w:r>
      <w:r>
        <w:rPr>
          <w:rFonts w:ascii="Bookman Old Style" w:hAnsi="Bookman Old Style"/>
          <w:b/>
          <w:sz w:val="22"/>
          <w:szCs w:val="22"/>
        </w:rPr>
        <w:t>deberán dirigirse al Departamento de Adquisiciones</w:t>
      </w:r>
      <w:r>
        <w:rPr>
          <w:rFonts w:ascii="Bookman Old Style" w:hAnsi="Bookman Old Style"/>
          <w:sz w:val="22"/>
          <w:szCs w:val="22"/>
        </w:rPr>
        <w:t xml:space="preserve"> del Poder Judicial: </w:t>
      </w:r>
    </w:p>
    <w:p w:rsidR="00A83CFA" w:rsidRDefault="00B63C1C">
      <w:pPr>
        <w:pStyle w:val="Cuerpodetexto"/>
        <w:spacing w:line="276" w:lineRule="auto"/>
        <w:ind w:firstLine="709"/>
        <w:rPr>
          <w:rFonts w:ascii="Bookman Old Style" w:hAnsi="Bookman Old Style" w:cs="Times New Roman"/>
          <w:sz w:val="22"/>
          <w:szCs w:val="22"/>
          <w:lang w:val="es-UY"/>
        </w:rPr>
      </w:pPr>
      <w:r>
        <w:rPr>
          <w:rFonts w:ascii="Bookman Old Style" w:hAnsi="Bookman Old Style" w:cs="Times New Roman"/>
          <w:sz w:val="22"/>
          <w:szCs w:val="22"/>
          <w:u w:val="single"/>
          <w:lang w:val="es-UY"/>
        </w:rPr>
        <w:t>Dirección</w:t>
      </w:r>
      <w:r>
        <w:rPr>
          <w:rFonts w:ascii="Bookman Old Style" w:hAnsi="Bookman Old Style" w:cs="Times New Roman"/>
          <w:sz w:val="22"/>
          <w:szCs w:val="22"/>
          <w:lang w:val="es-UY"/>
        </w:rPr>
        <w:t>: Soriano 1210, Montevideo.</w:t>
      </w:r>
    </w:p>
    <w:p w:rsidR="00A83CFA" w:rsidRDefault="00B63C1C">
      <w:pPr>
        <w:pStyle w:val="Cuerpodetexto"/>
        <w:spacing w:line="276" w:lineRule="auto"/>
        <w:ind w:firstLine="709"/>
        <w:rPr>
          <w:rFonts w:ascii="Bookman Old Style" w:hAnsi="Bookman Old Style" w:cs="Times New Roman"/>
          <w:sz w:val="22"/>
          <w:szCs w:val="22"/>
          <w:lang w:val="es-UY"/>
        </w:rPr>
      </w:pPr>
      <w:r>
        <w:rPr>
          <w:rFonts w:ascii="Bookman Old Style" w:hAnsi="Bookman Old Style" w:cs="Times New Roman"/>
          <w:sz w:val="22"/>
          <w:szCs w:val="22"/>
          <w:u w:val="single"/>
          <w:lang w:val="es-UY"/>
        </w:rPr>
        <w:t>Horario de atención</w:t>
      </w:r>
      <w:r>
        <w:rPr>
          <w:rFonts w:ascii="Bookman Old Style" w:hAnsi="Bookman Old Style" w:cs="Times New Roman"/>
          <w:sz w:val="22"/>
          <w:szCs w:val="22"/>
          <w:lang w:val="es-UY"/>
        </w:rPr>
        <w:t xml:space="preserve">: 13:00 a 18:00 </w:t>
      </w:r>
      <w:proofErr w:type="spellStart"/>
      <w:r>
        <w:rPr>
          <w:rFonts w:ascii="Bookman Old Style" w:hAnsi="Bookman Old Style" w:cs="Times New Roman"/>
          <w:sz w:val="22"/>
          <w:szCs w:val="22"/>
          <w:lang w:val="es-UY"/>
        </w:rPr>
        <w:t>hrs</w:t>
      </w:r>
      <w:proofErr w:type="spellEnd"/>
      <w:r>
        <w:rPr>
          <w:rFonts w:ascii="Bookman Old Style" w:hAnsi="Bookman Old Style" w:cs="Times New Roman"/>
          <w:sz w:val="22"/>
          <w:szCs w:val="22"/>
          <w:lang w:val="es-UY"/>
        </w:rPr>
        <w:t>.</w:t>
      </w:r>
    </w:p>
    <w:p w:rsidR="00A83CFA" w:rsidRDefault="00B63C1C">
      <w:pPr>
        <w:pStyle w:val="Cuerpodetexto"/>
        <w:spacing w:line="276" w:lineRule="auto"/>
        <w:ind w:firstLine="709"/>
        <w:rPr>
          <w:rFonts w:ascii="Bookman Old Style" w:hAnsi="Bookman Old Style" w:cs="Times New Roman"/>
          <w:sz w:val="22"/>
          <w:szCs w:val="22"/>
          <w:lang w:val="es-UY"/>
        </w:rPr>
      </w:pPr>
      <w:r>
        <w:rPr>
          <w:rFonts w:ascii="Bookman Old Style" w:hAnsi="Bookman Old Style" w:cs="Times New Roman"/>
          <w:sz w:val="22"/>
          <w:szCs w:val="22"/>
          <w:u w:val="single"/>
          <w:lang w:val="es-UY"/>
        </w:rPr>
        <w:t>Teléfonos</w:t>
      </w:r>
      <w:r>
        <w:rPr>
          <w:rFonts w:ascii="Bookman Old Style" w:hAnsi="Bookman Old Style" w:cs="Times New Roman"/>
          <w:sz w:val="22"/>
          <w:szCs w:val="22"/>
          <w:lang w:val="es-UY"/>
        </w:rPr>
        <w:t xml:space="preserve">: 1907 </w:t>
      </w:r>
      <w:proofErr w:type="spellStart"/>
      <w:r>
        <w:rPr>
          <w:rFonts w:ascii="Bookman Old Style" w:hAnsi="Bookman Old Style" w:cs="Times New Roman"/>
          <w:sz w:val="22"/>
          <w:szCs w:val="22"/>
          <w:lang w:val="es-UY"/>
        </w:rPr>
        <w:t>Int</w:t>
      </w:r>
      <w:proofErr w:type="spellEnd"/>
      <w:r>
        <w:rPr>
          <w:rFonts w:ascii="Bookman Old Style" w:hAnsi="Bookman Old Style" w:cs="Times New Roman"/>
          <w:sz w:val="22"/>
          <w:szCs w:val="22"/>
          <w:lang w:val="es-UY"/>
        </w:rPr>
        <w:t xml:space="preserve">. 4554 </w:t>
      </w:r>
    </w:p>
    <w:p w:rsidR="00A83CFA" w:rsidRDefault="00B63C1C">
      <w:pPr>
        <w:pStyle w:val="Cuerpodetexto"/>
        <w:spacing w:line="276" w:lineRule="auto"/>
        <w:ind w:firstLine="709"/>
        <w:rPr>
          <w:rStyle w:val="EnlacedeInternet"/>
          <w:rFonts w:ascii="Bookman Old Style" w:hAnsi="Bookman Old Style" w:cs="Times New Roman"/>
          <w:sz w:val="22"/>
          <w:szCs w:val="22"/>
          <w:lang w:val="es-UY"/>
        </w:rPr>
      </w:pPr>
      <w:r>
        <w:rPr>
          <w:rFonts w:ascii="Bookman Old Style" w:hAnsi="Bookman Old Style" w:cs="Times New Roman"/>
          <w:sz w:val="22"/>
          <w:szCs w:val="22"/>
          <w:u w:val="single"/>
          <w:lang w:val="es-UY"/>
        </w:rPr>
        <w:t>Correo Electrónico</w:t>
      </w:r>
      <w:r>
        <w:rPr>
          <w:rFonts w:ascii="Bookman Old Style" w:hAnsi="Bookman Old Style" w:cs="Times New Roman"/>
          <w:sz w:val="22"/>
          <w:szCs w:val="22"/>
          <w:lang w:val="es-UY"/>
        </w:rPr>
        <w:t xml:space="preserve">: </w:t>
      </w:r>
      <w:hyperlink r:id="rId7">
        <w:r>
          <w:rPr>
            <w:rStyle w:val="EnlacedeInternet"/>
            <w:rFonts w:ascii="Bookman Old Style" w:hAnsi="Bookman Old Style" w:cs="Times New Roman"/>
            <w:sz w:val="22"/>
            <w:szCs w:val="22"/>
          </w:rPr>
          <w:t>adquisiciones@poderjudicial.gub.u</w:t>
        </w:r>
        <w:r>
          <w:rPr>
            <w:rStyle w:val="EnlacedeInternet"/>
            <w:rFonts w:ascii="Bookman Old Style" w:hAnsi="Bookman Old Style" w:cs="Times New Roman"/>
            <w:sz w:val="22"/>
            <w:szCs w:val="22"/>
            <w:lang w:val="es-UY"/>
          </w:rPr>
          <w:t>y</w:t>
        </w:r>
      </w:hyperlink>
    </w:p>
    <w:p w:rsidR="00A83CFA" w:rsidRDefault="00A83CFA">
      <w:pPr>
        <w:pStyle w:val="Standarduser"/>
        <w:ind w:firstLine="709"/>
        <w:rPr>
          <w:rFonts w:cs="Times New Roman"/>
          <w:sz w:val="22"/>
          <w:szCs w:val="22"/>
        </w:rPr>
      </w:pPr>
    </w:p>
    <w:p w:rsidR="00A83CFA" w:rsidRDefault="00B63C1C">
      <w:pPr>
        <w:pStyle w:val="Encabezado1"/>
        <w:numPr>
          <w:ilvl w:val="0"/>
          <w:numId w:val="2"/>
        </w:numPr>
        <w:spacing w:line="276" w:lineRule="auto"/>
        <w:rPr>
          <w:rFonts w:ascii="Bookman Old Style" w:hAnsi="Bookman Old Style" w:cs="Times New Roman"/>
          <w:sz w:val="22"/>
          <w:szCs w:val="22"/>
          <w:lang w:val="es-UY"/>
        </w:rPr>
      </w:pPr>
      <w:r>
        <w:rPr>
          <w:rFonts w:ascii="Bookman Old Style" w:hAnsi="Bookman Old Style" w:cs="Times New Roman"/>
          <w:sz w:val="22"/>
          <w:szCs w:val="22"/>
          <w:lang w:val="es-UY"/>
        </w:rPr>
        <w:t>Art. 3.- ACLARACIONES Y CONSULTAS.</w:t>
      </w:r>
    </w:p>
    <w:p w:rsidR="00A83CFA" w:rsidRDefault="00B63C1C">
      <w:pPr>
        <w:ind w:firstLine="709"/>
        <w:rPr>
          <w:rFonts w:ascii="Bookman Old Style" w:hAnsi="Bookman Old Style" w:cs="Times New Roman"/>
        </w:rPr>
      </w:pPr>
      <w:r>
        <w:rPr>
          <w:rFonts w:ascii="Bookman Old Style" w:hAnsi="Bookman Old Style" w:cs="Times New Roman"/>
        </w:rPr>
        <w:t xml:space="preserve">Cualquier oferente podrá solicitar al Departamento de Adquisiciones, por cualquiera de los medios mencionados en el artículo precedente, </w:t>
      </w:r>
      <w:r>
        <w:rPr>
          <w:rFonts w:ascii="Bookman Old Style" w:hAnsi="Bookman Old Style" w:cs="Times New Roman"/>
          <w:b/>
        </w:rPr>
        <w:t>aclaraciones o consultas específicas</w:t>
      </w:r>
      <w:r>
        <w:rPr>
          <w:rFonts w:ascii="Bookman Old Style" w:hAnsi="Bookman Old Style" w:cs="Times New Roman"/>
        </w:rPr>
        <w:t xml:space="preserve">, dirigida hasta </w:t>
      </w:r>
      <w:r>
        <w:rPr>
          <w:rFonts w:ascii="Bookman Old Style" w:hAnsi="Bookman Old Style" w:cs="Times New Roman"/>
          <w:b/>
        </w:rPr>
        <w:t>2 días antes de la fecha establecida para el acto de apertura de las ofertas</w:t>
      </w:r>
      <w:r>
        <w:rPr>
          <w:rFonts w:ascii="Bookman Old Style" w:hAnsi="Bookman Old Style" w:cs="Times New Roman"/>
        </w:rPr>
        <w:t xml:space="preserve">. Vencido dicho término, la Administración no estará obligada a proporcionar datos aclaratorios. </w:t>
      </w:r>
    </w:p>
    <w:p w:rsidR="00A83CFA" w:rsidRDefault="00B63C1C">
      <w:pPr>
        <w:ind w:firstLine="709"/>
        <w:rPr>
          <w:rFonts w:ascii="Bookman Old Style" w:hAnsi="Bookman Old Style" w:cs="Times New Roman"/>
        </w:rPr>
      </w:pPr>
      <w:r>
        <w:rPr>
          <w:rFonts w:ascii="Bookman Old Style" w:hAnsi="Bookman Old Style" w:cs="Times New Roman"/>
        </w:rPr>
        <w:t>Las consultas serán contestadas por el Departamento de Adquisiciones, en el plazo máximo de 48 horas a partir de su recepción.</w:t>
      </w:r>
    </w:p>
    <w:p w:rsidR="00A83CFA" w:rsidRDefault="00B63C1C">
      <w:pPr>
        <w:pStyle w:val="Standarduser"/>
        <w:ind w:firstLine="709"/>
        <w:rPr>
          <w:rFonts w:cs="Times New Roman"/>
          <w:sz w:val="22"/>
          <w:szCs w:val="22"/>
        </w:rPr>
      </w:pPr>
      <w:r>
        <w:rPr>
          <w:rFonts w:cs="Times New Roman"/>
          <w:b/>
          <w:sz w:val="22"/>
          <w:szCs w:val="22"/>
        </w:rPr>
        <w:t>Las respuestas</w:t>
      </w:r>
      <w:r>
        <w:rPr>
          <w:rFonts w:cs="Times New Roman"/>
          <w:sz w:val="22"/>
          <w:szCs w:val="22"/>
        </w:rPr>
        <w:t xml:space="preserve"> a los oferentes que impliquen aclaraciones y/o modificaciones al pliego, serán evacuadas a través del </w:t>
      </w:r>
      <w:r>
        <w:rPr>
          <w:rFonts w:cs="Times New Roman"/>
          <w:b/>
          <w:sz w:val="22"/>
          <w:szCs w:val="22"/>
        </w:rPr>
        <w:t>Sistema de Compras Estatales</w:t>
      </w:r>
      <w:r>
        <w:rPr>
          <w:rFonts w:cs="Times New Roman"/>
          <w:sz w:val="22"/>
          <w:szCs w:val="22"/>
        </w:rPr>
        <w:t xml:space="preserve"> (SICE/Aclaraciones) y publicadas en el sitio web de compras estatales.</w:t>
      </w:r>
    </w:p>
    <w:p w:rsidR="00A83CFA" w:rsidRDefault="00A83CFA">
      <w:pPr>
        <w:rPr>
          <w:rFonts w:ascii="Bookman Old Style"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4.- MONEDA Y FORMA DE COTIZACION.</w:t>
      </w:r>
    </w:p>
    <w:p w:rsidR="00A83CFA" w:rsidRDefault="00B63C1C">
      <w:pPr>
        <w:ind w:firstLine="708"/>
        <w:rPr>
          <w:rFonts w:ascii="Bookman Old Style" w:hAnsi="Bookman Old Style" w:cs="Times New Roman"/>
        </w:rPr>
      </w:pPr>
      <w:r>
        <w:rPr>
          <w:rFonts w:ascii="Bookman Old Style" w:hAnsi="Bookman Old Style" w:cs="Times New Roman"/>
          <w:b/>
        </w:rPr>
        <w:t>Precio de plaza en moneda nacional</w:t>
      </w:r>
      <w:r>
        <w:rPr>
          <w:rFonts w:ascii="Bookman Old Style" w:hAnsi="Bookman Old Style" w:cs="Times New Roman"/>
        </w:rPr>
        <w:t xml:space="preserve">. </w:t>
      </w:r>
    </w:p>
    <w:p w:rsidR="00A83CFA" w:rsidRDefault="00B63C1C">
      <w:pPr>
        <w:ind w:left="360" w:firstLine="348"/>
        <w:rPr>
          <w:rFonts w:ascii="Bookman Old Style" w:hAnsi="Bookman Old Style" w:cs="Times New Roman"/>
          <w:b/>
        </w:rPr>
      </w:pPr>
      <w:r>
        <w:rPr>
          <w:rFonts w:ascii="Bookman Old Style" w:hAnsi="Bookman Old Style" w:cs="Times New Roman"/>
        </w:rPr>
        <w:t xml:space="preserve">Se deberá cotizar </w:t>
      </w:r>
      <w:r>
        <w:rPr>
          <w:rFonts w:ascii="Bookman Old Style" w:hAnsi="Bookman Old Style" w:cs="Times New Roman"/>
          <w:b/>
          <w:u w:val="single"/>
        </w:rPr>
        <w:t>precio mensual por el servicio de mantenimiento preventivo y correctivo de todos los equipos comprendidos</w:t>
      </w:r>
      <w:r>
        <w:rPr>
          <w:rFonts w:ascii="Bookman Old Style" w:hAnsi="Bookman Old Style" w:cs="Times New Roman"/>
          <w:b/>
        </w:rPr>
        <w:t>, indicando, asimismo, el precio por cada ítem objeto del llamado (equipos).</w:t>
      </w:r>
    </w:p>
    <w:p w:rsidR="00A83CFA" w:rsidRDefault="00A83CFA">
      <w:pPr>
        <w:ind w:left="360" w:firstLine="348"/>
        <w:rPr>
          <w:rFonts w:ascii="Bookman Old Style" w:hAnsi="Bookman Old Style" w:cs="Times New Roman"/>
        </w:rPr>
      </w:pPr>
    </w:p>
    <w:p w:rsidR="00A83CFA" w:rsidRDefault="00B63C1C">
      <w:pPr>
        <w:ind w:firstLine="0"/>
        <w:rPr>
          <w:rFonts w:ascii="Bookman Old Style" w:hAnsi="Bookman Old Style" w:cs="Times New Roman"/>
        </w:rPr>
      </w:pPr>
      <w:r>
        <w:rPr>
          <w:rFonts w:ascii="Bookman Old Style" w:hAnsi="Bookman Old Style" w:cs="Times New Roman"/>
          <w:b/>
        </w:rPr>
        <w:t>Art. 5.- PRESENTACIÓN DE LAS OFERTAS</w:t>
      </w:r>
      <w:r>
        <w:rPr>
          <w:rFonts w:ascii="Bookman Old Style" w:hAnsi="Bookman Old Style" w:cs="Times New Roman"/>
        </w:rPr>
        <w:t>.</w:t>
      </w:r>
    </w:p>
    <w:p w:rsidR="00A83CFA" w:rsidRDefault="00B63C1C">
      <w:pPr>
        <w:ind w:firstLine="708"/>
        <w:rPr>
          <w:rFonts w:ascii="Bookman Old Style" w:eastAsia="Calibri" w:hAnsi="Bookman Old Style" w:cs="Times New Roman"/>
          <w:lang w:val="es-ES" w:eastAsia="zh-CN"/>
        </w:rPr>
      </w:pPr>
      <w:r>
        <w:rPr>
          <w:rFonts w:ascii="Bookman Old Style" w:eastAsia="Calibri" w:hAnsi="Bookman Old Style" w:cs="Times New Roman"/>
          <w:lang w:val="es-ES" w:eastAsia="es-ES"/>
        </w:rPr>
        <w:t xml:space="preserve">Las ofertas deberán presentarse en el </w:t>
      </w:r>
      <w:r>
        <w:rPr>
          <w:rFonts w:ascii="Bookman Old Style" w:eastAsia="Calibri" w:hAnsi="Bookman Old Style" w:cs="Times New Roman"/>
          <w:b/>
          <w:lang w:val="es-ES" w:eastAsia="es-ES"/>
        </w:rPr>
        <w:t>Dpto. de Adquisiciones</w:t>
      </w:r>
      <w:r>
        <w:rPr>
          <w:rFonts w:ascii="Bookman Old Style" w:eastAsia="Calibri" w:hAnsi="Bookman Old Style" w:cs="Times New Roman"/>
          <w:lang w:val="es-ES" w:eastAsia="es-ES"/>
        </w:rPr>
        <w:t xml:space="preserve"> (art. 2) </w:t>
      </w:r>
      <w:r>
        <w:rPr>
          <w:rFonts w:ascii="Bookman Old Style" w:eastAsia="Calibri" w:hAnsi="Bookman Old Style" w:cs="Times New Roman"/>
          <w:b/>
          <w:lang w:val="es-ES" w:eastAsia="es-ES"/>
        </w:rPr>
        <w:t xml:space="preserve">por alguno </w:t>
      </w:r>
      <w:r>
        <w:rPr>
          <w:rFonts w:ascii="Bookman Old Style" w:eastAsia="Calibri" w:hAnsi="Bookman Old Style" w:cs="Times New Roman"/>
          <w:b/>
          <w:lang w:val="es-ES" w:eastAsia="zh-CN"/>
        </w:rPr>
        <w:t>por alguno de los siguientes medios</w:t>
      </w:r>
      <w:r>
        <w:rPr>
          <w:rFonts w:ascii="Bookman Old Style" w:eastAsia="Calibri" w:hAnsi="Bookman Old Style" w:cs="Times New Roman"/>
          <w:lang w:val="es-ES" w:eastAsia="zh-CN"/>
        </w:rPr>
        <w:t xml:space="preserve">: </w:t>
      </w:r>
    </w:p>
    <w:p w:rsidR="00A83CFA" w:rsidRDefault="00B63C1C">
      <w:pPr>
        <w:pStyle w:val="Prrafodelista"/>
        <w:numPr>
          <w:ilvl w:val="0"/>
          <w:numId w:val="6"/>
        </w:numPr>
        <w:rPr>
          <w:rFonts w:ascii="Bookman Old Style" w:eastAsia="Calibri" w:hAnsi="Bookman Old Style" w:cs="Times New Roman"/>
          <w:lang w:val="es-ES" w:eastAsia="zh-CN"/>
        </w:rPr>
      </w:pPr>
      <w:r>
        <w:rPr>
          <w:rFonts w:ascii="Bookman Old Style" w:eastAsia="Calibri" w:hAnsi="Bookman Old Style" w:cs="Times New Roman"/>
          <w:lang w:val="es-ES" w:eastAsia="zh-CN"/>
        </w:rPr>
        <w:t xml:space="preserve">correo electrónico, </w:t>
      </w:r>
    </w:p>
    <w:p w:rsidR="00A83CFA" w:rsidRDefault="00B63C1C">
      <w:pPr>
        <w:pStyle w:val="Prrafodelista"/>
        <w:numPr>
          <w:ilvl w:val="0"/>
          <w:numId w:val="6"/>
        </w:numPr>
        <w:rPr>
          <w:rFonts w:ascii="Bookman Old Style" w:eastAsia="Calibri" w:hAnsi="Bookman Old Style" w:cs="Times New Roman"/>
          <w:lang w:val="es-ES" w:eastAsia="zh-CN"/>
        </w:rPr>
      </w:pPr>
      <w:r>
        <w:rPr>
          <w:rFonts w:ascii="Bookman Old Style" w:eastAsia="Calibri" w:hAnsi="Bookman Old Style" w:cs="Times New Roman"/>
          <w:lang w:val="es-ES" w:eastAsia="zh-CN"/>
        </w:rPr>
        <w:t xml:space="preserve">en línea en el sistema SICE (art. 63 inc. 5 del TOCAF). </w:t>
      </w:r>
    </w:p>
    <w:p w:rsidR="00A83CFA" w:rsidRDefault="00B63C1C">
      <w:pPr>
        <w:ind w:left="709" w:firstLine="708"/>
        <w:rPr>
          <w:rFonts w:ascii="Bookman Old Style" w:eastAsia="Calibri" w:hAnsi="Bookman Old Style" w:cs="Times New Roman"/>
          <w:lang w:val="es-ES" w:eastAsia="zh-CN"/>
        </w:rPr>
      </w:pPr>
      <w:r>
        <w:rPr>
          <w:rFonts w:ascii="Bookman Old Style" w:eastAsia="Calibri" w:hAnsi="Bookman Old Style" w:cs="Times New Roman"/>
          <w:lang w:val="es-ES" w:eastAsia="zh-CN"/>
        </w:rPr>
        <w:t xml:space="preserve">Se exhorta a </w:t>
      </w:r>
      <w:r>
        <w:rPr>
          <w:rFonts w:ascii="Bookman Old Style" w:eastAsia="Calibri" w:hAnsi="Bookman Old Style" w:cs="Times New Roman"/>
          <w:b/>
          <w:lang w:val="es-ES" w:eastAsia="zh-CN"/>
        </w:rPr>
        <w:t>utilizar un único medio</w:t>
      </w:r>
      <w:r>
        <w:rPr>
          <w:rFonts w:ascii="Bookman Old Style" w:eastAsia="Calibri" w:hAnsi="Bookman Old Style" w:cs="Times New Roman"/>
          <w:lang w:val="es-ES" w:eastAsia="zh-CN"/>
        </w:rPr>
        <w:t xml:space="preserve"> de los ofrecidos. En caso de que el oferente presente su oferta a través del SICE y no coincidiera el archivo adjunto con la cotización en línea, se le dará validez al adjunto</w:t>
      </w:r>
    </w:p>
    <w:p w:rsidR="00A83CFA" w:rsidRDefault="00B63C1C">
      <w:pPr>
        <w:ind w:firstLine="709"/>
        <w:rPr>
          <w:rFonts w:ascii="Bookman Old Style" w:eastAsia="Calibri" w:hAnsi="Bookman Old Style" w:cs="Times New Roman"/>
          <w:lang w:eastAsia="zh-CN"/>
        </w:rPr>
      </w:pPr>
      <w:r>
        <w:rPr>
          <w:rFonts w:ascii="Bookman Old Style" w:eastAsia="Calibri" w:hAnsi="Bookman Old Style" w:cs="Times New Roman"/>
          <w:lang w:eastAsia="zh-CN"/>
        </w:rPr>
        <w:lastRenderedPageBreak/>
        <w:t xml:space="preserve">En caso de cotizarse por </w:t>
      </w:r>
      <w:r>
        <w:rPr>
          <w:rFonts w:ascii="Bookman Old Style" w:eastAsia="Calibri" w:hAnsi="Bookman Old Style" w:cs="Times New Roman"/>
          <w:u w:val="single"/>
          <w:lang w:eastAsia="zh-CN"/>
        </w:rPr>
        <w:t>correo electrónico</w:t>
      </w:r>
      <w:r>
        <w:rPr>
          <w:rFonts w:ascii="Bookman Old Style" w:eastAsia="Calibri" w:hAnsi="Bookman Old Style" w:cs="Times New Roman"/>
          <w:lang w:eastAsia="zh-CN"/>
        </w:rPr>
        <w:t xml:space="preserve"> o </w:t>
      </w:r>
      <w:r>
        <w:rPr>
          <w:rFonts w:ascii="Bookman Old Style" w:eastAsia="Calibri" w:hAnsi="Bookman Old Style" w:cs="Times New Roman"/>
          <w:u w:val="single"/>
          <w:lang w:eastAsia="zh-CN"/>
        </w:rPr>
        <w:t>en línea SICE,</w:t>
      </w:r>
      <w:r>
        <w:rPr>
          <w:rFonts w:ascii="Bookman Old Style" w:eastAsia="Calibri" w:hAnsi="Bookman Old Style" w:cs="Times New Roman"/>
          <w:lang w:eastAsia="zh-CN"/>
        </w:rPr>
        <w:t xml:space="preserve"> deberá </w:t>
      </w:r>
      <w:r>
        <w:rPr>
          <w:rFonts w:ascii="Bookman Old Style" w:eastAsia="Calibri" w:hAnsi="Bookman Old Style" w:cs="Times New Roman"/>
          <w:b/>
          <w:lang w:eastAsia="zh-CN"/>
        </w:rPr>
        <w:t>adjuntarse archivo con la oferta económica escaneada</w:t>
      </w:r>
      <w:r>
        <w:rPr>
          <w:rFonts w:ascii="Bookman Old Style" w:eastAsia="Calibri" w:hAnsi="Bookman Old Style" w:cs="Times New Roman"/>
          <w:lang w:eastAsia="zh-CN"/>
        </w:rPr>
        <w:t xml:space="preserve">, firmada por representante validado en el Registro Único de Proveedores del Estado (RUPE), en caso de encontrarse pendiente la validación de la firma se le otorgará un plazo de dos días hábiles a ese efecto. </w:t>
      </w:r>
    </w:p>
    <w:p w:rsidR="00A83CFA" w:rsidRDefault="00B63C1C">
      <w:pPr>
        <w:ind w:firstLine="709"/>
        <w:rPr>
          <w:rFonts w:ascii="Bookman Old Style" w:eastAsia="Calibri" w:hAnsi="Bookman Old Style" w:cs="Times New Roman"/>
          <w:lang w:eastAsia="zh-CN"/>
        </w:rPr>
      </w:pPr>
      <w:r>
        <w:rPr>
          <w:rFonts w:ascii="Bookman Old Style" w:eastAsia="Calibri" w:hAnsi="Bookman Old Style" w:cs="Times New Roman"/>
          <w:lang w:eastAsia="zh-CN"/>
        </w:rPr>
        <w:t>Se exhorta a no incorporar documentación que no fuera solicitada. A vía de ejemplo, referencias personales, antecedentes, etc.</w:t>
      </w:r>
    </w:p>
    <w:p w:rsidR="00A83CFA" w:rsidRDefault="00B63C1C">
      <w:pPr>
        <w:ind w:firstLine="709"/>
        <w:rPr>
          <w:rFonts w:ascii="Bookman Old Style" w:eastAsia="Calibri" w:hAnsi="Bookman Old Style" w:cs="Times New Roman"/>
          <w:b/>
          <w:lang w:eastAsia="zh-CN"/>
        </w:rPr>
      </w:pPr>
      <w:r>
        <w:rPr>
          <w:rFonts w:ascii="Bookman Old Style" w:eastAsia="Calibri" w:hAnsi="Bookman Old Style" w:cs="Times New Roman"/>
          <w:b/>
          <w:lang w:eastAsia="zh-CN"/>
        </w:rPr>
        <w:t xml:space="preserve">La empresa debe encontrarse en estado “activo” en RUPE. </w:t>
      </w:r>
    </w:p>
    <w:p w:rsidR="00A83CFA" w:rsidRDefault="00B63C1C">
      <w:pPr>
        <w:ind w:firstLine="709"/>
        <w:rPr>
          <w:rFonts w:ascii="Bookman Old Style" w:eastAsia="Times New Roman" w:hAnsi="Bookman Old Style" w:cs="Times New Roman"/>
          <w:lang w:val="es-ES" w:eastAsia="es-ES"/>
        </w:rPr>
      </w:pPr>
      <w:r>
        <w:rPr>
          <w:rFonts w:ascii="Bookman Old Style" w:eastAsia="Times New Roman" w:hAnsi="Bookman Old Style" w:cs="Times New Roman"/>
          <w:lang w:val="es-ES" w:eastAsia="es-ES"/>
        </w:rPr>
        <w:t xml:space="preserve">Los precios cotizados deberán </w:t>
      </w:r>
      <w:r>
        <w:rPr>
          <w:rFonts w:ascii="Bookman Old Style" w:eastAsia="Times New Roman" w:hAnsi="Bookman Old Style" w:cs="Times New Roman"/>
          <w:b/>
          <w:lang w:val="es-ES" w:eastAsia="es-ES"/>
        </w:rPr>
        <w:t>indicar todos los tributos</w:t>
      </w:r>
      <w:r>
        <w:rPr>
          <w:rFonts w:ascii="Bookman Old Style" w:eastAsia="Times New Roman" w:hAnsi="Bookman Old Style" w:cs="Times New Roman"/>
          <w:lang w:val="es-ES" w:eastAsia="es-ES"/>
        </w:rPr>
        <w:t xml:space="preserve"> que correspondan al oferente y su porcentaje, </w:t>
      </w:r>
      <w:r>
        <w:rPr>
          <w:rFonts w:ascii="Bookman Old Style" w:eastAsia="Times New Roman" w:hAnsi="Bookman Old Style" w:cs="Times New Roman"/>
          <w:b/>
          <w:bCs/>
          <w:lang w:val="es-ES" w:eastAsia="es-ES"/>
        </w:rPr>
        <w:t>especialmente el I.V.A., en forma clara y precisa, manifestando si los referidos tributos están o no incluidos en los precios</w:t>
      </w:r>
      <w:r>
        <w:rPr>
          <w:rFonts w:ascii="Bookman Old Style" w:eastAsia="Times New Roman" w:hAnsi="Bookman Old Style" w:cs="Times New Roman"/>
          <w:lang w:val="es-ES" w:eastAsia="es-ES"/>
        </w:rPr>
        <w:t>. En caso de no establecerse esta circunstancia, se considerará que los precios son con todos los tributos incluidos.</w:t>
      </w:r>
    </w:p>
    <w:p w:rsidR="00A83CFA" w:rsidRDefault="00A83CFA">
      <w:pPr>
        <w:ind w:firstLine="0"/>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Art. 6.- LUGAR, FECHA Y HORA APERTURA</w:t>
      </w:r>
    </w:p>
    <w:p w:rsidR="00A83CFA" w:rsidRDefault="00B63C1C">
      <w:pPr>
        <w:pStyle w:val="Prrafodelista"/>
        <w:numPr>
          <w:ilvl w:val="0"/>
          <w:numId w:val="7"/>
        </w:numPr>
        <w:rPr>
          <w:rFonts w:ascii="Bookman Old Style" w:hAnsi="Bookman Old Style" w:cs="Times New Roman"/>
          <w:b/>
        </w:rPr>
      </w:pPr>
      <w:r>
        <w:rPr>
          <w:rFonts w:ascii="Bookman Old Style" w:hAnsi="Bookman Old Style" w:cs="Times New Roman"/>
          <w:u w:val="single"/>
        </w:rPr>
        <w:t>Fecha:</w:t>
      </w:r>
      <w:r>
        <w:rPr>
          <w:rFonts w:ascii="Bookman Old Style" w:hAnsi="Bookman Old Style" w:cs="Times New Roman"/>
        </w:rPr>
        <w:t xml:space="preserve"> </w:t>
      </w:r>
      <w:r w:rsidR="00113E62">
        <w:rPr>
          <w:rFonts w:ascii="Bookman Old Style" w:hAnsi="Bookman Old Style" w:cs="Times New Roman"/>
          <w:b/>
        </w:rPr>
        <w:t>7 de JUNIO de 2023</w:t>
      </w:r>
      <w:r>
        <w:rPr>
          <w:rFonts w:ascii="Bookman Old Style" w:hAnsi="Bookman Old Style" w:cs="Times New Roman"/>
          <w:b/>
        </w:rPr>
        <w:t>.</w:t>
      </w:r>
    </w:p>
    <w:p w:rsidR="00A83CFA" w:rsidRDefault="00B63C1C">
      <w:pPr>
        <w:pStyle w:val="Prrafodelista"/>
        <w:numPr>
          <w:ilvl w:val="0"/>
          <w:numId w:val="7"/>
        </w:numPr>
        <w:rPr>
          <w:rFonts w:ascii="Bookman Old Style" w:hAnsi="Bookman Old Style" w:cs="Times New Roman"/>
          <w:b/>
        </w:rPr>
      </w:pPr>
      <w:r>
        <w:rPr>
          <w:rFonts w:ascii="Bookman Old Style" w:hAnsi="Bookman Old Style" w:cs="Times New Roman"/>
          <w:u w:val="single"/>
        </w:rPr>
        <w:t>Hora:</w:t>
      </w:r>
      <w:r>
        <w:rPr>
          <w:rFonts w:ascii="Bookman Old Style" w:hAnsi="Bookman Old Style" w:cs="Times New Roman"/>
        </w:rPr>
        <w:t xml:space="preserve"> </w:t>
      </w:r>
      <w:r>
        <w:rPr>
          <w:rFonts w:ascii="Bookman Old Style" w:hAnsi="Bookman Old Style" w:cs="Times New Roman"/>
          <w:b/>
        </w:rPr>
        <w:t>15:00 horas.</w:t>
      </w:r>
    </w:p>
    <w:p w:rsidR="00A83CFA" w:rsidRDefault="00B63C1C">
      <w:pPr>
        <w:pStyle w:val="Prrafodelista"/>
        <w:numPr>
          <w:ilvl w:val="0"/>
          <w:numId w:val="7"/>
        </w:numPr>
        <w:rPr>
          <w:rFonts w:ascii="Bookman Old Style" w:hAnsi="Bookman Old Style" w:cs="Times New Roman"/>
          <w:b/>
        </w:rPr>
      </w:pPr>
      <w:r>
        <w:rPr>
          <w:rFonts w:ascii="Bookman Old Style" w:hAnsi="Bookman Old Style" w:cs="Times New Roman"/>
          <w:u w:val="single"/>
        </w:rPr>
        <w:t>Lugar:</w:t>
      </w:r>
      <w:r>
        <w:rPr>
          <w:rFonts w:ascii="Bookman Old Style" w:hAnsi="Bookman Old Style" w:cs="Times New Roman"/>
        </w:rPr>
        <w:t xml:space="preserve"> </w:t>
      </w:r>
      <w:r>
        <w:rPr>
          <w:rFonts w:ascii="Bookman Old Style" w:hAnsi="Bookman Old Style" w:cs="Times New Roman"/>
          <w:b/>
        </w:rPr>
        <w:t>Departamento de Adquisiciones.</w:t>
      </w:r>
    </w:p>
    <w:p w:rsidR="00A83CFA" w:rsidRDefault="00A83CFA">
      <w:pPr>
        <w:rPr>
          <w:rFonts w:ascii="Bookman Old Style" w:hAnsi="Bookman Old Style" w:cs="Times New Roman"/>
          <w:b/>
          <w:u w:val="single"/>
        </w:rPr>
      </w:pPr>
    </w:p>
    <w:p w:rsidR="00A83CFA" w:rsidRDefault="00A83CFA">
      <w:pPr>
        <w:ind w:firstLine="0"/>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Art. 7.- APERTURA DE OFERTAS.</w:t>
      </w:r>
    </w:p>
    <w:p w:rsidR="00A83CFA" w:rsidRDefault="00B63C1C">
      <w:pPr>
        <w:ind w:firstLine="709"/>
        <w:rPr>
          <w:rFonts w:ascii="Bookman Old Style" w:hAnsi="Bookman Old Style" w:cs="Times New Roman"/>
        </w:rPr>
      </w:pPr>
      <w:r>
        <w:rPr>
          <w:rFonts w:ascii="Bookman Old Style" w:hAnsi="Bookman Old Style" w:cs="Times New Roma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A83CFA" w:rsidRDefault="00B63C1C">
      <w:pPr>
        <w:ind w:firstLine="709"/>
        <w:rPr>
          <w:rFonts w:ascii="Bookman Old Style" w:hAnsi="Bookman Old Style" w:cs="Times New Roman"/>
        </w:rPr>
      </w:pPr>
      <w:r>
        <w:rPr>
          <w:rFonts w:ascii="Bookman Old Style" w:hAnsi="Bookman Old Style" w:cs="Times New Roma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A83CFA" w:rsidRDefault="00B63C1C">
      <w:pPr>
        <w:ind w:firstLine="709"/>
        <w:rPr>
          <w:rFonts w:ascii="Bookman Old Style" w:hAnsi="Bookman Old Style" w:cs="Times New Roman"/>
        </w:rPr>
      </w:pPr>
      <w:r>
        <w:rPr>
          <w:rFonts w:ascii="Bookman Old Style" w:hAnsi="Bookman Old Style" w:cs="Times New Roman"/>
        </w:rPr>
        <w:t xml:space="preserve">Se deja constancia que en el presente procedimiento no se utiliza la modalidad de apertura electrónica. </w:t>
      </w:r>
    </w:p>
    <w:p w:rsidR="00A83CFA" w:rsidRDefault="00A83CFA">
      <w:pPr>
        <w:ind w:firstLine="0"/>
        <w:rPr>
          <w:rFonts w:ascii="Bookman Old Style" w:eastAsia="Calibri"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8.- PLAZO DE MANTENIMIENTO DE OFERTA Y DE PRECIO.</w:t>
      </w:r>
    </w:p>
    <w:p w:rsidR="00A83CFA" w:rsidRDefault="00B63C1C">
      <w:pPr>
        <w:ind w:firstLine="709"/>
        <w:rPr>
          <w:rFonts w:ascii="Bookman Old Style" w:hAnsi="Bookman Old Style" w:cs="Times New Roman"/>
        </w:rPr>
      </w:pPr>
      <w:r>
        <w:rPr>
          <w:rFonts w:ascii="Bookman Old Style" w:hAnsi="Bookman Old Style" w:cs="Times New Roman"/>
          <w:b/>
        </w:rPr>
        <w:t>No inferior a 120 días</w:t>
      </w:r>
      <w:r>
        <w:rPr>
          <w:rFonts w:ascii="Bookman Old Style" w:hAnsi="Bookman Old Style" w:cs="Times New Roman"/>
        </w:rPr>
        <w:t>, salvo que la Administración, se expida con anterioridad al vencimiento de dicho plazo. Se entiende por tal el lapso durante el cual la empresa se obliga a mantener las condiciones de su oferta y el precio establecido en la misma, no aplicándose ajuste alguno.</w:t>
      </w:r>
    </w:p>
    <w:p w:rsidR="00A83CFA" w:rsidRDefault="00A83CFA">
      <w:pPr>
        <w:ind w:firstLine="0"/>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Art. 9.- PLAZO.</w:t>
      </w:r>
    </w:p>
    <w:p w:rsidR="00A83CFA" w:rsidRDefault="00B63C1C">
      <w:pPr>
        <w:rPr>
          <w:rFonts w:ascii="Bookman Old Style" w:eastAsia="Bookman Old Style" w:hAnsi="Bookman Old Style" w:cs="Times New Roman"/>
          <w:color w:val="00000A"/>
          <w:lang w:eastAsia="es-ES" w:bidi="es-ES"/>
        </w:rPr>
      </w:pPr>
      <w:r>
        <w:rPr>
          <w:rFonts w:ascii="Bookman Old Style" w:eastAsia="Bookman Old Style" w:hAnsi="Bookman Old Style" w:cs="Times New Roman"/>
          <w:color w:val="00000A"/>
          <w:lang w:eastAsia="es-ES" w:bidi="es-ES"/>
        </w:rPr>
        <w:t xml:space="preserve">El plazo del contrato será </w:t>
      </w:r>
      <w:r>
        <w:rPr>
          <w:rFonts w:ascii="Bookman Old Style" w:eastAsia="Bookman Old Style" w:hAnsi="Bookman Old Style" w:cs="Times New Roman"/>
          <w:b/>
          <w:color w:val="00000A"/>
          <w:lang w:eastAsia="es-ES" w:bidi="es-ES"/>
        </w:rPr>
        <w:t>desde el 1º de enero de 2024 o transcurrido este desde la su notificación de la resolución de adjudicación, hasta el 31 de diciembre de 2024</w:t>
      </w:r>
      <w:r>
        <w:rPr>
          <w:rFonts w:ascii="Bookman Old Style" w:eastAsia="Bookman Old Style" w:hAnsi="Bookman Old Style"/>
          <w:b/>
          <w:lang w:eastAsia="es-ES" w:bidi="es-ES"/>
        </w:rPr>
        <w:t>, prorrogable automáticamente por hasta un periodo anual y consecutivo</w:t>
      </w:r>
      <w:r>
        <w:rPr>
          <w:rFonts w:ascii="Bookman Old Style" w:eastAsia="Bookman Old Style" w:hAnsi="Bookman Old Style" w:cs="Times New Roman"/>
          <w:color w:val="00000A"/>
          <w:lang w:eastAsia="es-ES" w:bidi="es-ES"/>
        </w:rPr>
        <w:t xml:space="preserve"> (2025).</w:t>
      </w:r>
    </w:p>
    <w:p w:rsidR="00A83CFA" w:rsidRDefault="00B63C1C">
      <w:pPr>
        <w:pStyle w:val="Default"/>
        <w:ind w:firstLine="708"/>
        <w:rPr>
          <w:rFonts w:ascii="Bookman Old Style" w:hAnsi="Bookman Old Style"/>
          <w:sz w:val="22"/>
          <w:szCs w:val="22"/>
        </w:rPr>
      </w:pPr>
      <w:r>
        <w:rPr>
          <w:rFonts w:ascii="Bookman Old Style" w:hAnsi="Bookman Old Style"/>
          <w:bCs/>
          <w:sz w:val="22"/>
          <w:szCs w:val="22"/>
        </w:rPr>
        <w:t>Las prórrogas serán automáticas por hasta el período establecido en el presente artículo, a partir</w:t>
      </w:r>
      <w:r>
        <w:rPr>
          <w:rFonts w:ascii="Bookman Old Style" w:hAnsi="Bookman Old Style"/>
          <w:b/>
          <w:bCs/>
          <w:sz w:val="22"/>
          <w:szCs w:val="22"/>
        </w:rPr>
        <w:t xml:space="preserve"> </w:t>
      </w:r>
      <w:r>
        <w:rPr>
          <w:rFonts w:ascii="Bookman Old Style" w:hAnsi="Bookman Old Style"/>
          <w:sz w:val="22"/>
          <w:szCs w:val="22"/>
        </w:rPr>
        <w:t xml:space="preserve">de su vencimiento inicial o sus prórrogas en su caso, si las partes no lo denuncian mediante </w:t>
      </w:r>
      <w:r>
        <w:rPr>
          <w:rFonts w:ascii="Bookman Old Style" w:hAnsi="Bookman Old Style"/>
          <w:b/>
          <w:sz w:val="22"/>
          <w:szCs w:val="22"/>
        </w:rPr>
        <w:t>telegrama colacionado 60 días antes</w:t>
      </w:r>
      <w:r>
        <w:rPr>
          <w:rFonts w:ascii="Bookman Old Style" w:hAnsi="Bookman Old Style"/>
          <w:sz w:val="22"/>
          <w:szCs w:val="22"/>
        </w:rPr>
        <w:t xml:space="preserve"> de la fecha de los vencimientos respectivos. </w:t>
      </w:r>
    </w:p>
    <w:p w:rsidR="00A83CFA" w:rsidRDefault="00B63C1C">
      <w:pPr>
        <w:ind w:firstLine="709"/>
        <w:rPr>
          <w:rFonts w:ascii="Bookman Old Style" w:hAnsi="Bookman Old Style" w:cs="Times New Roman"/>
        </w:rPr>
      </w:pPr>
      <w:r>
        <w:rPr>
          <w:rFonts w:ascii="Bookman Old Style" w:hAnsi="Bookman Old Style" w:cs="Times New Roman"/>
        </w:rPr>
        <w:t xml:space="preserve">Sin perjuicio de lo establecido en el inciso anterior, el </w:t>
      </w:r>
      <w:r>
        <w:rPr>
          <w:rFonts w:ascii="Bookman Old Style" w:hAnsi="Bookman Old Style" w:cs="Times New Roman"/>
          <w:b/>
        </w:rPr>
        <w:t>Poder Judicial podrá en cualquier momento y sin expresión de causa, rescindir unilateralmente el contrato</w:t>
      </w:r>
      <w:r>
        <w:rPr>
          <w:rFonts w:ascii="Bookman Old Style" w:hAnsi="Bookman Old Style" w:cs="Times New Roman"/>
        </w:rPr>
        <w:t xml:space="preserve"> oportunamente suscrito, en forma total o parcial, con un </w:t>
      </w:r>
      <w:r>
        <w:rPr>
          <w:rFonts w:ascii="Bookman Old Style" w:hAnsi="Bookman Old Style" w:cs="Times New Roman"/>
          <w:b/>
        </w:rPr>
        <w:t>preaviso no inferior a 72 horas</w:t>
      </w:r>
      <w:r>
        <w:rPr>
          <w:rFonts w:ascii="Bookman Old Style" w:hAnsi="Bookman Old Style" w:cs="Times New Roman"/>
        </w:rPr>
        <w:t>, por telegrama colacionado u otro medio auténtico.</w:t>
      </w:r>
    </w:p>
    <w:p w:rsidR="00A83CFA" w:rsidRDefault="00A83CFA">
      <w:pPr>
        <w:ind w:firstLine="709"/>
        <w:rPr>
          <w:rFonts w:ascii="Bookman Old Style" w:eastAsia="Bookman Old Style" w:hAnsi="Bookman Old Style" w:cs="Times New Roman"/>
          <w:color w:val="00000A"/>
          <w:lang w:eastAsia="es-ES" w:bidi="es-ES"/>
        </w:rPr>
      </w:pPr>
    </w:p>
    <w:p w:rsidR="00A83CFA" w:rsidRDefault="00B63C1C">
      <w:pPr>
        <w:pStyle w:val="Default"/>
        <w:ind w:firstLine="0"/>
        <w:rPr>
          <w:rFonts w:ascii="Bookman Old Style" w:hAnsi="Bookman Old Style"/>
          <w:b/>
          <w:sz w:val="22"/>
          <w:szCs w:val="22"/>
        </w:rPr>
      </w:pPr>
      <w:r>
        <w:rPr>
          <w:rFonts w:ascii="Bookman Old Style" w:hAnsi="Bookman Old Style"/>
          <w:b/>
          <w:bCs/>
          <w:sz w:val="22"/>
          <w:szCs w:val="22"/>
        </w:rPr>
        <w:t>Art. 10</w:t>
      </w:r>
      <w:r>
        <w:rPr>
          <w:rFonts w:ascii="Bookman Old Style" w:hAnsi="Bookman Old Style"/>
          <w:b/>
          <w:sz w:val="22"/>
          <w:szCs w:val="22"/>
        </w:rPr>
        <w:t>.- NOTIFICACIÓN DE RESOLUCIÓN.</w:t>
      </w:r>
    </w:p>
    <w:p w:rsidR="00A83CFA" w:rsidRDefault="00B63C1C">
      <w:pPr>
        <w:ind w:firstLine="709"/>
        <w:rPr>
          <w:rFonts w:ascii="Bookman Old Style" w:hAnsi="Bookman Old Style" w:cs="Times New Roman"/>
          <w:b/>
        </w:rPr>
      </w:pPr>
      <w:r>
        <w:rPr>
          <w:rFonts w:ascii="Bookman Old Style" w:eastAsia="Times New Roman" w:hAnsi="Bookman Old Style" w:cs="Times New Roman"/>
          <w:bCs/>
          <w:color w:val="00000A"/>
          <w:lang w:eastAsia="ar-SA"/>
        </w:rPr>
        <w:t xml:space="preserve">Una vez dictada la </w:t>
      </w:r>
      <w:r>
        <w:rPr>
          <w:rFonts w:ascii="Bookman Old Style" w:eastAsia="Times New Roman" w:hAnsi="Bookman Old Style" w:cs="Times New Roman"/>
          <w:b/>
          <w:bCs/>
          <w:color w:val="00000A"/>
          <w:lang w:eastAsia="ar-SA"/>
        </w:rPr>
        <w:t>resolución de adjudicación</w:t>
      </w:r>
      <w:r>
        <w:rPr>
          <w:rFonts w:ascii="Bookman Old Style" w:eastAsia="Times New Roman" w:hAnsi="Bookman Old Style" w:cs="Times New Roman"/>
          <w:bCs/>
          <w:color w:val="00000A"/>
          <w:lang w:eastAsia="ar-SA"/>
        </w:rPr>
        <w:t xml:space="preserve"> e intervenida por el Tribunal de Cuentas de la República será notificada a la empresa y </w:t>
      </w:r>
      <w:r>
        <w:rPr>
          <w:rFonts w:ascii="Bookman Old Style" w:hAnsi="Bookman Old Style" w:cs="Times New Roman"/>
          <w:b/>
        </w:rPr>
        <w:t>constituirá a todos los efectos legales el perfeccionamiento del contrato correspondiente</w:t>
      </w:r>
      <w:r>
        <w:rPr>
          <w:rFonts w:ascii="Bookman Old Style" w:hAnsi="Bookman Old Style" w:cs="Times New Roman"/>
        </w:rPr>
        <w:t>, siendo las obligaciones y derechos del contratista las que surgen de las normas jurídicas aplicables, los Pliegos y su oferta</w:t>
      </w:r>
      <w:r>
        <w:rPr>
          <w:rFonts w:ascii="Bookman Old Style" w:hAnsi="Bookman Old Style" w:cs="Times New Roman"/>
          <w:b/>
        </w:rPr>
        <w:t>.</w:t>
      </w:r>
    </w:p>
    <w:p w:rsidR="00A83CFA" w:rsidRDefault="00B63C1C">
      <w:pPr>
        <w:ind w:firstLine="709"/>
        <w:rPr>
          <w:rFonts w:ascii="Bookman Old Style" w:eastAsia="Times New Roman" w:hAnsi="Bookman Old Style" w:cs="Times New Roman"/>
          <w:bCs/>
          <w:color w:val="00000A"/>
          <w:lang w:eastAsia="ar-SA"/>
        </w:rPr>
      </w:pPr>
      <w:r>
        <w:rPr>
          <w:rFonts w:ascii="Bookman Old Style" w:eastAsia="Times New Roman" w:hAnsi="Bookman Old Style" w:cs="Times New Roman"/>
          <w:bCs/>
          <w:color w:val="00000A"/>
          <w:lang w:eastAsia="ar-SA"/>
        </w:rPr>
        <w:t xml:space="preserve">Sin perjuicio de lo expresado anteriormente, </w:t>
      </w:r>
      <w:r>
        <w:rPr>
          <w:rFonts w:ascii="Bookman Old Style" w:eastAsia="Times New Roman" w:hAnsi="Bookman Old Style" w:cs="Times New Roman"/>
          <w:b/>
          <w:bCs/>
          <w:color w:val="00000A"/>
          <w:lang w:eastAsia="ar-SA"/>
        </w:rPr>
        <w:t>podrá requerirse por parte de la Administración la suscripción del contrato ante los Servicios Notariales de División Jurídico Notarial del Poder Judicial</w:t>
      </w:r>
      <w:r>
        <w:rPr>
          <w:rFonts w:ascii="Bookman Old Style" w:eastAsia="Times New Roman" w:hAnsi="Bookman Old Style" w:cs="Times New Roman"/>
          <w:bCs/>
          <w:color w:val="00000A"/>
          <w:lang w:eastAsia="ar-SA"/>
        </w:rPr>
        <w:t xml:space="preserve">. </w:t>
      </w:r>
    </w:p>
    <w:p w:rsidR="00A83CFA" w:rsidRDefault="00A83CFA">
      <w:pPr>
        <w:ind w:firstLine="0"/>
        <w:rPr>
          <w:rFonts w:ascii="Bookman Old Style" w:eastAsia="Times New Roman" w:hAnsi="Bookman Old Style" w:cs="Times New Roman"/>
          <w:bCs/>
          <w:color w:val="00000A"/>
          <w:lang w:eastAsia="ar-SA"/>
        </w:rPr>
      </w:pPr>
    </w:p>
    <w:p w:rsidR="00A83CFA" w:rsidRDefault="00B63C1C">
      <w:pPr>
        <w:ind w:firstLine="0"/>
        <w:rPr>
          <w:rFonts w:ascii="Bookman Old Style" w:hAnsi="Bookman Old Style" w:cs="Times New Roman"/>
        </w:rPr>
      </w:pPr>
      <w:r>
        <w:rPr>
          <w:rFonts w:ascii="Bookman Old Style" w:hAnsi="Bookman Old Style" w:cs="Times New Roman"/>
          <w:b/>
        </w:rPr>
        <w:t>Art. 11.- CÓMPUTO DE PLAZOS</w:t>
      </w:r>
      <w:r>
        <w:rPr>
          <w:rFonts w:ascii="Bookman Old Style" w:hAnsi="Bookman Old Style" w:cs="Times New Roman"/>
        </w:rPr>
        <w:t>.</w:t>
      </w:r>
    </w:p>
    <w:p w:rsidR="00A83CFA" w:rsidRDefault="00B63C1C">
      <w:pPr>
        <w:ind w:firstLine="708"/>
        <w:rPr>
          <w:rFonts w:ascii="Bookman Old Style" w:hAnsi="Bookman Old Style" w:cs="Times New Roman"/>
        </w:rPr>
      </w:pPr>
      <w:r>
        <w:rPr>
          <w:rFonts w:ascii="Bookman Old Style" w:hAnsi="Bookman Old Style" w:cs="Times New Roman"/>
        </w:rPr>
        <w:t xml:space="preserve">Todos los plazos serán computados en </w:t>
      </w:r>
      <w:r>
        <w:rPr>
          <w:rFonts w:ascii="Bookman Old Style" w:hAnsi="Bookman Old Style" w:cs="Times New Roman"/>
          <w:b/>
        </w:rPr>
        <w:t>días hábiles</w:t>
      </w:r>
      <w:r>
        <w:rPr>
          <w:rFonts w:ascii="Bookman Old Style" w:hAnsi="Bookman Old Style" w:cs="Times New Roman"/>
        </w:rPr>
        <w:t>, salvo especificación en contrario.</w:t>
      </w:r>
    </w:p>
    <w:p w:rsidR="00A83CFA" w:rsidRDefault="00A83CFA">
      <w:pPr>
        <w:ind w:firstLine="0"/>
        <w:rPr>
          <w:rFonts w:ascii="Bookman Old Style"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12.- FORMA DE PAGO.</w:t>
      </w:r>
    </w:p>
    <w:p w:rsidR="00A83CFA" w:rsidRDefault="00B63C1C">
      <w:pPr>
        <w:ind w:firstLine="708"/>
        <w:rPr>
          <w:rFonts w:ascii="Bookman Old Style" w:hAnsi="Bookman Old Style" w:cs="Times New Roman"/>
        </w:rPr>
      </w:pPr>
      <w:r>
        <w:rPr>
          <w:rFonts w:ascii="Bookman Old Style" w:hAnsi="Bookman Old Style" w:cs="Times New Roman"/>
        </w:rPr>
        <w:t xml:space="preserve">La propuesta deberá considerar un plazo mínimo de </w:t>
      </w:r>
      <w:r>
        <w:rPr>
          <w:rFonts w:ascii="Bookman Old Style" w:hAnsi="Bookman Old Style" w:cs="Times New Roman"/>
          <w:b/>
        </w:rPr>
        <w:t>crédito de 60 días</w:t>
      </w:r>
      <w:r>
        <w:rPr>
          <w:rFonts w:ascii="Bookman Old Style" w:hAnsi="Bookman Old Style" w:cs="Times New Roman"/>
        </w:rPr>
        <w:t>, luego de haberse presentado la factura debidamente conformada en el Departamento de Gastos de División Planificación y Ejecución Presupuestal.</w:t>
      </w:r>
    </w:p>
    <w:p w:rsidR="00A83CFA" w:rsidRDefault="00A83CFA">
      <w:pPr>
        <w:ind w:firstLine="708"/>
        <w:rPr>
          <w:rFonts w:ascii="Bookman Old Style"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13.- AJUSTE DE PRECIOS.</w:t>
      </w:r>
    </w:p>
    <w:p w:rsidR="00A83CFA" w:rsidRDefault="00B63C1C">
      <w:pPr>
        <w:ind w:firstLine="709"/>
        <w:rPr>
          <w:rFonts w:ascii="Bookman Old Style" w:hAnsi="Bookman Old Style" w:cs="Times New Roman"/>
        </w:rPr>
      </w:pPr>
      <w:r>
        <w:rPr>
          <w:rFonts w:ascii="Bookman Old Style" w:hAnsi="Bookman Old Style" w:cs="Times New Roman"/>
        </w:rPr>
        <w:t xml:space="preserve">El precio del contrato se mantendrá firme por el plazo contratado y en caso de hacer uso de la opción de prórrogas establecidas en el art. 9 del presente Pliego se </w:t>
      </w:r>
      <w:r>
        <w:rPr>
          <w:rFonts w:ascii="Bookman Old Style" w:hAnsi="Bookman Old Style" w:cs="Times New Roman"/>
          <w:b/>
        </w:rPr>
        <w:t>reajustará anualmente por la variación del Índice de Precios al Consumos (IPC)</w:t>
      </w:r>
      <w:r>
        <w:rPr>
          <w:rFonts w:ascii="Bookman Old Style" w:hAnsi="Bookman Old Style" w:cs="Times New Roman"/>
        </w:rPr>
        <w:t xml:space="preserve"> el primero de enero de cada año, el primer reajuste operará con posterioridad al año de entrada en vigencia del contrato, esto es, el 1/1/2025.</w:t>
      </w:r>
    </w:p>
    <w:p w:rsidR="00A83CFA" w:rsidRDefault="00A83CFA">
      <w:pPr>
        <w:ind w:firstLine="0"/>
        <w:rPr>
          <w:rFonts w:ascii="Bookman Old Style"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14.- ESTUDIO DE LAS OFERTAS.</w:t>
      </w:r>
    </w:p>
    <w:p w:rsidR="00A83CFA" w:rsidRDefault="00B63C1C">
      <w:pPr>
        <w:ind w:firstLine="709"/>
        <w:rPr>
          <w:rFonts w:ascii="Bookman Old Style" w:hAnsi="Bookman Old Style" w:cs="Times New Roman"/>
          <w:b/>
          <w:bCs/>
        </w:rPr>
      </w:pPr>
      <w:r>
        <w:rPr>
          <w:rFonts w:ascii="Bookman Old Style" w:hAnsi="Bookman Old Style" w:cs="Times New Roman"/>
        </w:rPr>
        <w:t>Para el presente procedimiento de compra,</w:t>
      </w:r>
      <w:r>
        <w:rPr>
          <w:rFonts w:ascii="Bookman Old Style" w:hAnsi="Bookman Old Style" w:cs="Times New Roman"/>
          <w:b/>
          <w:bCs/>
        </w:rPr>
        <w:t xml:space="preserve"> habiendo cumplido con los requisitos exigidos en el  presente pliego, </w:t>
      </w:r>
      <w:r>
        <w:rPr>
          <w:rFonts w:ascii="Bookman Old Style" w:hAnsi="Bookman Old Style" w:cs="Times New Roman"/>
          <w:b/>
          <w:bCs/>
          <w:u w:val="single"/>
        </w:rPr>
        <w:t>se ponderará 100 % por factor precio</w:t>
      </w:r>
      <w:r>
        <w:rPr>
          <w:rFonts w:ascii="Bookman Old Style" w:hAnsi="Bookman Old Style" w:cs="Times New Roman"/>
          <w:b/>
          <w:bCs/>
        </w:rPr>
        <w:t>.</w:t>
      </w:r>
    </w:p>
    <w:p w:rsidR="00A83CFA" w:rsidRDefault="00A83CFA">
      <w:pPr>
        <w:ind w:firstLine="0"/>
        <w:rPr>
          <w:rFonts w:ascii="Bookman Old Style" w:hAnsi="Bookman Old Style" w:cs="Times New Roman"/>
          <w:b/>
          <w:bCs/>
        </w:rPr>
      </w:pPr>
    </w:p>
    <w:p w:rsidR="00A83CFA" w:rsidRDefault="00B63C1C">
      <w:pPr>
        <w:ind w:firstLine="0"/>
        <w:rPr>
          <w:rFonts w:ascii="Bookman Old Style" w:hAnsi="Bookman Old Style" w:cs="Times New Roman"/>
        </w:rPr>
      </w:pPr>
      <w:r>
        <w:rPr>
          <w:rFonts w:ascii="Bookman Old Style" w:hAnsi="Bookman Old Style" w:cs="Times New Roman"/>
          <w:b/>
        </w:rPr>
        <w:t>Art. 15.- ADJUDICACION</w:t>
      </w:r>
      <w:r>
        <w:rPr>
          <w:rFonts w:ascii="Bookman Old Style" w:hAnsi="Bookman Old Style" w:cs="Times New Roman"/>
        </w:rPr>
        <w:t>.</w:t>
      </w:r>
    </w:p>
    <w:p w:rsidR="00A83CFA" w:rsidRDefault="00B63C1C">
      <w:pPr>
        <w:ind w:firstLine="709"/>
        <w:rPr>
          <w:rFonts w:ascii="Bookman Old Style" w:hAnsi="Bookman Old Style" w:cs="Times New Roman"/>
          <w:b/>
        </w:rPr>
      </w:pPr>
      <w:r>
        <w:rPr>
          <w:rFonts w:ascii="Bookman Old Style" w:hAnsi="Bookman Old Style" w:cs="Times New Roman"/>
        </w:rPr>
        <w:t xml:space="preserve">El servicio </w:t>
      </w:r>
      <w:r>
        <w:rPr>
          <w:rFonts w:ascii="Bookman Old Style" w:hAnsi="Bookman Old Style" w:cs="Times New Roman"/>
          <w:b/>
        </w:rPr>
        <w:t>se adjudicará a un único oferente.</w:t>
      </w:r>
    </w:p>
    <w:p w:rsidR="00A83CFA" w:rsidRDefault="00B63C1C">
      <w:pPr>
        <w:ind w:firstLine="709"/>
        <w:rPr>
          <w:rFonts w:ascii="Bookman Old Style" w:hAnsi="Bookman Old Style" w:cs="Times New Roman"/>
        </w:rPr>
      </w:pPr>
      <w:r>
        <w:rPr>
          <w:rFonts w:ascii="Bookman Old Style" w:hAnsi="Bookman Old Style" w:cs="Times New Roman"/>
        </w:rPr>
        <w:t>El Poder Judicial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rsidR="00A83CFA" w:rsidRDefault="00B63C1C">
      <w:pPr>
        <w:ind w:firstLine="709"/>
        <w:rPr>
          <w:rFonts w:ascii="Bookman Old Style" w:hAnsi="Bookman Old Style" w:cs="Times New Roman"/>
        </w:rPr>
      </w:pPr>
      <w:r>
        <w:rPr>
          <w:rFonts w:ascii="Bookman Old Style" w:hAnsi="Bookman Old Style" w:cs="Times New Roman"/>
        </w:rPr>
        <w:t>Asimismo, se rechazarán las propuestas que contengan reservas o formulen objeciones al presente Pliego y/o contengan cláusulas abusivas o que no presenten información suficiente o cuyo contenido sea contradictorio.</w:t>
      </w:r>
    </w:p>
    <w:p w:rsidR="00A83CFA" w:rsidRDefault="00A83CFA">
      <w:pPr>
        <w:ind w:firstLine="0"/>
        <w:rPr>
          <w:rFonts w:ascii="Bookman Old Style" w:hAnsi="Bookman Old Style" w:cs="Times New Roman"/>
        </w:rPr>
      </w:pPr>
    </w:p>
    <w:p w:rsidR="00A83CFA" w:rsidRDefault="00B63C1C">
      <w:pPr>
        <w:ind w:firstLine="0"/>
        <w:rPr>
          <w:rFonts w:ascii="Bookman Old Style" w:hAnsi="Bookman Old Style" w:cs="Times New Roman"/>
          <w:b/>
        </w:rPr>
      </w:pPr>
      <w:r>
        <w:rPr>
          <w:rFonts w:ascii="Bookman Old Style" w:hAnsi="Bookman Old Style" w:cs="Times New Roman"/>
          <w:b/>
        </w:rPr>
        <w:t>Art. 16.- VALOR DE LA INFORMACIÓN TÉCNICA PRESENTADA.</w:t>
      </w:r>
    </w:p>
    <w:p w:rsidR="00A83CFA" w:rsidRDefault="00B63C1C">
      <w:pPr>
        <w:ind w:firstLine="709"/>
        <w:rPr>
          <w:rFonts w:ascii="Bookman Old Style" w:hAnsi="Bookman Old Style" w:cs="Times New Roman"/>
        </w:rPr>
      </w:pPr>
      <w:r>
        <w:rPr>
          <w:rFonts w:ascii="Bookman Old Style" w:hAnsi="Bookman Old Style" w:cs="Times New Roman"/>
          <w:b/>
        </w:rPr>
        <w:t>Todos los datos indicados por el proponente</w:t>
      </w:r>
      <w:r>
        <w:rPr>
          <w:rFonts w:ascii="Bookman Old Style" w:hAnsi="Bookman Old Style" w:cs="Times New Roman"/>
        </w:rPr>
        <w:t xml:space="preserve"> referidos a los elementos </w:t>
      </w:r>
      <w:r>
        <w:rPr>
          <w:rFonts w:ascii="Bookman Old Style" w:hAnsi="Bookman Old Style" w:cs="Times New Roman"/>
          <w:b/>
        </w:rPr>
        <w:t>contenidos en la oferta tendrán</w:t>
      </w:r>
      <w:r>
        <w:rPr>
          <w:rFonts w:ascii="Bookman Old Style" w:hAnsi="Bookman Old Style" w:cs="Times New Roman"/>
        </w:rPr>
        <w:t xml:space="preserve"> </w:t>
      </w:r>
      <w:r>
        <w:rPr>
          <w:rFonts w:ascii="Bookman Old Style" w:hAnsi="Bookman Old Style" w:cs="Times New Roman"/>
          <w:b/>
        </w:rPr>
        <w:t>carácter de compromiso</w:t>
      </w:r>
      <w:r>
        <w:rPr>
          <w:rFonts w:ascii="Bookman Old Style" w:hAnsi="Bookman Old Style" w:cs="Times New Roman"/>
        </w:rPr>
        <w:t>. Si se verifica que no responden estrictamente a lo establecido en la propuesta, la Administración podrá rechazarlos de plano, rescindiendo el contrato respectivo, sin que ello dé lugar a reclamación de clase alguna.</w:t>
      </w:r>
    </w:p>
    <w:p w:rsidR="00A83CFA" w:rsidRDefault="00A83CFA">
      <w:pPr>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Art. 17.- RECEPCIÓN.</w:t>
      </w:r>
    </w:p>
    <w:p w:rsidR="00A83CFA" w:rsidRDefault="00B63C1C">
      <w:pPr>
        <w:ind w:firstLine="709"/>
        <w:rPr>
          <w:rFonts w:ascii="Bookman Old Style" w:hAnsi="Bookman Old Style" w:cs="Times New Roman"/>
        </w:rPr>
      </w:pPr>
      <w:r>
        <w:rPr>
          <w:rFonts w:ascii="Bookman Old Style" w:hAnsi="Bookman Old Style" w:cs="Times New Roman"/>
        </w:rPr>
        <w:t xml:space="preserve">El cumplimiento del servicio contratado será controlado por personal del Poder Judicial. Las </w:t>
      </w:r>
      <w:r>
        <w:rPr>
          <w:rFonts w:ascii="Bookman Old Style" w:hAnsi="Bookman Old Style" w:cs="Times New Roman"/>
          <w:b/>
        </w:rPr>
        <w:t>empresas adjudicatarias serán responsables de obtener</w:t>
      </w:r>
      <w:r>
        <w:rPr>
          <w:rFonts w:ascii="Bookman Old Style" w:hAnsi="Bookman Old Style" w:cs="Times New Roman"/>
        </w:rPr>
        <w:t xml:space="preserve"> de la sede donde presten el servicio contratado, </w:t>
      </w:r>
      <w:r>
        <w:rPr>
          <w:rFonts w:ascii="Bookman Old Style" w:hAnsi="Bookman Old Style" w:cs="Times New Roman"/>
          <w:b/>
        </w:rPr>
        <w:t>la conformidad</w:t>
      </w:r>
      <w:r>
        <w:rPr>
          <w:rFonts w:ascii="Bookman Old Style" w:hAnsi="Bookman Old Style" w:cs="Times New Roman"/>
        </w:rPr>
        <w:t xml:space="preserve"> del mismo mediante la firma del jerarca, con aclaración y sello, en la factura o en remito adjunto. </w:t>
      </w:r>
    </w:p>
    <w:p w:rsidR="00A83CFA" w:rsidRDefault="00B63C1C">
      <w:pPr>
        <w:ind w:firstLine="709"/>
        <w:rPr>
          <w:rFonts w:ascii="Bookman Old Style" w:hAnsi="Bookman Old Style" w:cs="Times New Roman"/>
        </w:rPr>
      </w:pPr>
      <w:r>
        <w:rPr>
          <w:rFonts w:ascii="Bookman Old Style" w:hAnsi="Bookman Old Style" w:cs="Times New Roman"/>
        </w:rPr>
        <w:t>No se tramitarán por parte del Departamento de Gastos, las facturas de servicios que no se encuentren debidamente conformados.</w:t>
      </w:r>
    </w:p>
    <w:p w:rsidR="00A83CFA" w:rsidRDefault="00A83CFA">
      <w:pPr>
        <w:ind w:firstLine="0"/>
        <w:rPr>
          <w:rFonts w:ascii="Bookman Old Style" w:hAnsi="Bookman Old Style" w:cs="Times New Roman"/>
          <w:b/>
        </w:rPr>
      </w:pPr>
    </w:p>
    <w:p w:rsidR="00A83CFA" w:rsidRDefault="00B63C1C">
      <w:pPr>
        <w:ind w:firstLine="0"/>
        <w:rPr>
          <w:rFonts w:ascii="Bookman Old Style" w:hAnsi="Bookman Old Style" w:cs="Times New Roman"/>
          <w:b/>
        </w:rPr>
      </w:pPr>
      <w:r>
        <w:rPr>
          <w:rFonts w:ascii="Bookman Old Style" w:hAnsi="Bookman Old Style" w:cs="Times New Roman"/>
          <w:b/>
        </w:rPr>
        <w:t>Art. 18.- CESIÓN DE CRÉDITO</w:t>
      </w:r>
    </w:p>
    <w:p w:rsidR="00A83CFA" w:rsidRDefault="00B63C1C">
      <w:pPr>
        <w:ind w:firstLine="709"/>
        <w:rPr>
          <w:rFonts w:ascii="Bookman Old Style" w:hAnsi="Bookman Old Style" w:cs="Times New Roman"/>
        </w:rPr>
      </w:pPr>
      <w:r>
        <w:rPr>
          <w:rFonts w:ascii="Bookman Old Style" w:hAnsi="Bookman Old Style" w:cs="Times New Roman"/>
        </w:rPr>
        <w:t xml:space="preserve">Cuando se configure una cesión de créditos, la </w:t>
      </w:r>
      <w:r>
        <w:rPr>
          <w:rFonts w:ascii="Bookman Old Style" w:hAnsi="Bookman Old Style" w:cs="Times New Roman"/>
          <w:b/>
        </w:rPr>
        <w:t>existencia y cobro de los créditos dependerá y se podrá hacer efectiva, en la forma y en la medida que sean exigibles según el Pliego y por el cumplimiento del suministro</w:t>
      </w:r>
      <w:r>
        <w:rPr>
          <w:rFonts w:ascii="Bookman Old Style" w:hAnsi="Bookman Old Style" w:cs="Times New Roman"/>
        </w:rPr>
        <w:t>.</w:t>
      </w:r>
    </w:p>
    <w:p w:rsidR="00A83CFA" w:rsidRDefault="00A83CFA">
      <w:pPr>
        <w:rPr>
          <w:rFonts w:ascii="Bookman Old Style" w:hAnsi="Bookman Old Style" w:cs="Times New Roman"/>
        </w:rPr>
      </w:pPr>
    </w:p>
    <w:p w:rsidR="00A83CFA" w:rsidRDefault="00B63C1C">
      <w:pPr>
        <w:pStyle w:val="Ttulo11"/>
        <w:spacing w:line="276" w:lineRule="auto"/>
        <w:ind w:firstLine="0"/>
        <w:rPr>
          <w:rFonts w:ascii="Bookman Old Style" w:eastAsia="Bookman Old Style" w:hAnsi="Bookman Old Style" w:cs="Times New Roman"/>
          <w:sz w:val="22"/>
          <w:szCs w:val="22"/>
        </w:rPr>
      </w:pPr>
      <w:r>
        <w:rPr>
          <w:rFonts w:ascii="Bookman Old Style" w:eastAsia="Bookman Old Style" w:hAnsi="Bookman Old Style" w:cs="Times New Roman"/>
          <w:sz w:val="22"/>
          <w:szCs w:val="22"/>
        </w:rPr>
        <w:t>Art. 19.- EXENCIÓN DE RESPONSABILIDAD</w:t>
      </w:r>
    </w:p>
    <w:p w:rsidR="00A83CFA" w:rsidRDefault="00B63C1C">
      <w:pPr>
        <w:ind w:firstLine="709"/>
        <w:rPr>
          <w:rFonts w:ascii="Bookman Old Style" w:hAnsi="Bookman Old Style" w:cs="Times New Roman"/>
        </w:rPr>
      </w:pPr>
      <w:r>
        <w:rPr>
          <w:rFonts w:ascii="Bookman Old Style" w:hAnsi="Bookman Old Style" w:cs="Times New Roman"/>
        </w:rPr>
        <w:t xml:space="preserve">La Administración podrá </w:t>
      </w:r>
      <w:r>
        <w:rPr>
          <w:rFonts w:ascii="Bookman Old Style" w:hAnsi="Bookman Old Style" w:cs="Times New Roman"/>
          <w:b/>
        </w:rPr>
        <w:t>desistir del llamado en cualquier etapa de su realización o podrá desestimar todas las ofertas</w:t>
      </w:r>
      <w:r>
        <w:rPr>
          <w:rFonts w:ascii="Bookman Old Style" w:hAnsi="Bookman Old Style" w:cs="Times New Roman"/>
        </w:rPr>
        <w:t>. Ninguna de estas decisiones generará derecho alguno de los participantes a reclamar por gastos, honorarios o indemnizaciones por daños y perjuicios.</w:t>
      </w:r>
    </w:p>
    <w:p w:rsidR="00A83CFA" w:rsidRDefault="00A83CFA">
      <w:pPr>
        <w:tabs>
          <w:tab w:val="left" w:pos="709"/>
        </w:tabs>
        <w:ind w:firstLine="0"/>
        <w:rPr>
          <w:rFonts w:ascii="Bookman Old Style" w:hAnsi="Bookman Old Style" w:cs="Times New Roman"/>
          <w:b/>
        </w:rPr>
      </w:pPr>
    </w:p>
    <w:p w:rsidR="00A83CFA" w:rsidRDefault="00B63C1C">
      <w:pPr>
        <w:tabs>
          <w:tab w:val="left" w:pos="709"/>
        </w:tabs>
        <w:ind w:firstLine="0"/>
        <w:rPr>
          <w:rFonts w:ascii="Bookman Old Style" w:hAnsi="Bookman Old Style" w:cs="Times New Roman"/>
          <w:b/>
        </w:rPr>
      </w:pPr>
      <w:r>
        <w:rPr>
          <w:rFonts w:ascii="Bookman Old Style" w:hAnsi="Bookman Old Style" w:cs="Times New Roman"/>
          <w:b/>
        </w:rPr>
        <w:t>Art.  20.- DECLARACIÓN.</w:t>
      </w:r>
    </w:p>
    <w:p w:rsidR="00A83CFA" w:rsidRDefault="00B63C1C">
      <w:pPr>
        <w:tabs>
          <w:tab w:val="left" w:pos="709"/>
        </w:tabs>
        <w:ind w:firstLine="709"/>
        <w:rPr>
          <w:rFonts w:ascii="Bookman Old Style" w:hAnsi="Bookman Old Style" w:cs="Times New Roman"/>
        </w:rPr>
      </w:pPr>
      <w:r>
        <w:rPr>
          <w:rFonts w:ascii="Bookman Old Style" w:hAnsi="Bookman Old Style" w:cs="Times New Roman"/>
        </w:rPr>
        <w:t xml:space="preserve">La sola presentación de cotización se considerará como declaración de la empresa oferente de encontrarse </w:t>
      </w:r>
      <w:r>
        <w:rPr>
          <w:rFonts w:ascii="Bookman Old Style" w:hAnsi="Bookman Old Style" w:cs="Times New Roman"/>
          <w:b/>
        </w:rPr>
        <w:t>en condiciones legales de contratar con el Estado</w:t>
      </w:r>
      <w:r>
        <w:rPr>
          <w:rFonts w:ascii="Bookman Old Style" w:hAnsi="Bookman Old Style" w:cs="Times New Roman"/>
        </w:rPr>
        <w:t xml:space="preserve"> (art. 46 del TOCAF) y aceptar todas las condiciones establecidas en la convocatoria.</w:t>
      </w:r>
    </w:p>
    <w:p w:rsidR="00A83CFA" w:rsidRDefault="00A83CFA">
      <w:pPr>
        <w:tabs>
          <w:tab w:val="left" w:pos="709"/>
        </w:tabs>
        <w:rPr>
          <w:rFonts w:ascii="Bookman Old Style" w:hAnsi="Bookman Old Style" w:cs="Times New Roman"/>
        </w:rPr>
      </w:pPr>
    </w:p>
    <w:p w:rsidR="00A83CFA" w:rsidRDefault="00B63C1C">
      <w:pPr>
        <w:pStyle w:val="Ttulo11"/>
        <w:spacing w:line="276" w:lineRule="auto"/>
        <w:ind w:firstLine="0"/>
        <w:rPr>
          <w:rFonts w:ascii="Bookman Old Style" w:eastAsia="Bookman Old Style" w:hAnsi="Bookman Old Style" w:cs="Times New Roman"/>
          <w:sz w:val="22"/>
          <w:szCs w:val="22"/>
        </w:rPr>
      </w:pPr>
      <w:r>
        <w:rPr>
          <w:rFonts w:ascii="Bookman Old Style" w:eastAsia="Bookman Old Style" w:hAnsi="Bookman Old Style" w:cs="Times New Roman"/>
          <w:sz w:val="22"/>
          <w:szCs w:val="22"/>
        </w:rPr>
        <w:t>Art. 21.- INTERPRETACIÓN</w:t>
      </w:r>
    </w:p>
    <w:p w:rsidR="00A83CFA" w:rsidRDefault="00B63C1C">
      <w:pPr>
        <w:pStyle w:val="Cuerpodetexto"/>
        <w:spacing w:line="276" w:lineRule="auto"/>
        <w:ind w:firstLine="709"/>
        <w:rPr>
          <w:rFonts w:ascii="Bookman Old Style" w:eastAsia="Bookman Old Style" w:hAnsi="Bookman Old Style" w:cs="Times New Roman"/>
          <w:sz w:val="22"/>
          <w:szCs w:val="22"/>
        </w:rPr>
      </w:pPr>
      <w:r>
        <w:rPr>
          <w:rFonts w:ascii="Bookman Old Style" w:eastAsia="Bookman Old Style" w:hAnsi="Bookman Old Style" w:cs="Times New Roman"/>
          <w:sz w:val="22"/>
          <w:szCs w:val="22"/>
        </w:rPr>
        <w:t xml:space="preserve">Toda cláusula imprecisa, ambigua, contradictoria u oscura a criterio de la Administración, </w:t>
      </w:r>
      <w:r>
        <w:rPr>
          <w:rFonts w:ascii="Bookman Old Style" w:eastAsia="Bookman Old Style" w:hAnsi="Bookman Old Style" w:cs="Times New Roman"/>
          <w:b/>
          <w:sz w:val="22"/>
          <w:szCs w:val="22"/>
        </w:rPr>
        <w:t>se interpretará en el sentido más favorable a ésta</w:t>
      </w:r>
      <w:r>
        <w:rPr>
          <w:rFonts w:ascii="Bookman Old Style" w:eastAsia="Bookman Old Style" w:hAnsi="Bookman Old Style" w:cs="Times New Roman"/>
          <w:sz w:val="22"/>
          <w:szCs w:val="22"/>
        </w:rPr>
        <w:t>.</w:t>
      </w:r>
    </w:p>
    <w:p w:rsidR="00A83CFA" w:rsidRDefault="00A83CFA">
      <w:pPr>
        <w:pStyle w:val="NormalWeb"/>
        <w:spacing w:before="0" w:after="0"/>
        <w:ind w:firstLine="0"/>
      </w:pPr>
    </w:p>
    <w:sectPr w:rsidR="00A83CFA">
      <w:footerReference w:type="default" r:id="rId8"/>
      <w:pgSz w:w="11906" w:h="16838"/>
      <w:pgMar w:top="1440" w:right="1080" w:bottom="1440" w:left="108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1C" w:rsidRDefault="00B63C1C">
      <w:pPr>
        <w:spacing w:after="0" w:line="240" w:lineRule="auto"/>
      </w:pPr>
      <w:r>
        <w:separator/>
      </w:r>
    </w:p>
  </w:endnote>
  <w:endnote w:type="continuationSeparator" w:id="0">
    <w:p w:rsidR="00B63C1C" w:rsidRDefault="00B6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Devanagari">
    <w:altName w:val="Arial"/>
    <w:charset w:val="01"/>
    <w:family w:val="swiss"/>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A" w:rsidRDefault="00B63C1C">
    <w:pPr>
      <w:pStyle w:val="Piedepgina"/>
      <w:jc w:val="right"/>
    </w:pPr>
    <w:r>
      <w:fldChar w:fldCharType="begin"/>
    </w:r>
    <w:r>
      <w:instrText>PAGE</w:instrText>
    </w:r>
    <w:r>
      <w:fldChar w:fldCharType="separate"/>
    </w:r>
    <w:r w:rsidR="00113E62">
      <w:rPr>
        <w:noProof/>
      </w:rPr>
      <w:t>7</w:t>
    </w:r>
    <w:r>
      <w:fldChar w:fldCharType="end"/>
    </w:r>
  </w:p>
  <w:p w:rsidR="00A83CFA" w:rsidRDefault="00A83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1C" w:rsidRDefault="00B63C1C">
      <w:pPr>
        <w:spacing w:after="0" w:line="240" w:lineRule="auto"/>
      </w:pPr>
      <w:r>
        <w:separator/>
      </w:r>
    </w:p>
  </w:footnote>
  <w:footnote w:type="continuationSeparator" w:id="0">
    <w:p w:rsidR="00B63C1C" w:rsidRDefault="00B6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C7CF2"/>
    <w:multiLevelType w:val="multilevel"/>
    <w:tmpl w:val="6A329F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DE59EC"/>
    <w:multiLevelType w:val="multilevel"/>
    <w:tmpl w:val="05BC631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394FE3"/>
    <w:multiLevelType w:val="multilevel"/>
    <w:tmpl w:val="0DF263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9C2279"/>
    <w:multiLevelType w:val="multilevel"/>
    <w:tmpl w:val="7CCE503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A9E5A66"/>
    <w:multiLevelType w:val="multilevel"/>
    <w:tmpl w:val="881043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B443FEC"/>
    <w:multiLevelType w:val="multilevel"/>
    <w:tmpl w:val="FA041BF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603D57C3"/>
    <w:multiLevelType w:val="multilevel"/>
    <w:tmpl w:val="14382D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35B5FDD"/>
    <w:multiLevelType w:val="multilevel"/>
    <w:tmpl w:val="B380A6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0EC5327"/>
    <w:multiLevelType w:val="multilevel"/>
    <w:tmpl w:val="6C0468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8"/>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FA"/>
    <w:rsid w:val="00113E62"/>
    <w:rsid w:val="00503EB1"/>
    <w:rsid w:val="00A83CFA"/>
    <w:rsid w:val="00B63C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9561D-10E9-4237-8483-D6ACD02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firstLine="1418"/>
      <w:jc w:val="both"/>
    </w:pPr>
    <w:rPr>
      <w:rFonts w:ascii="Calibri" w:eastAsia="Droid Sans Fallback"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spacing w:line="240" w:lineRule="exact"/>
      <w:ind w:left="720" w:hanging="360"/>
    </w:pPr>
    <w:rPr>
      <w:rFonts w:ascii="Courier" w:eastAsia="Times New Roman" w:hAnsi="Courier" w:cs="Courier"/>
      <w:b/>
      <w:bCs/>
      <w:sz w:val="24"/>
      <w:szCs w:val="24"/>
      <w:lang w:val="es-ES" w:eastAsia="zh-CN"/>
    </w:rPr>
  </w:style>
  <w:style w:type="paragraph" w:customStyle="1" w:styleId="Encabezado3">
    <w:name w:val="Encabezado 3"/>
    <w:basedOn w:val="Normal"/>
    <w:pPr>
      <w:keepNext/>
      <w:keepLines/>
      <w:spacing w:before="40" w:after="0"/>
    </w:pPr>
    <w:rPr>
      <w:rFonts w:ascii="Cambria" w:hAnsi="Cambria"/>
      <w:color w:val="243F60"/>
      <w:sz w:val="24"/>
      <w:szCs w:val="24"/>
    </w:rPr>
  </w:style>
  <w:style w:type="paragraph" w:customStyle="1" w:styleId="Encabezado4">
    <w:name w:val="Encabezado 4"/>
    <w:basedOn w:val="Normal"/>
    <w:pPr>
      <w:keepNext/>
      <w:keepLines/>
      <w:spacing w:before="40" w:after="0"/>
    </w:pPr>
    <w:rPr>
      <w:rFonts w:ascii="Cambria" w:hAnsi="Cambria"/>
      <w:i/>
      <w:iCs/>
      <w:color w:val="365F91"/>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Ttulo1Car">
    <w:name w:val="Título 1 Car"/>
    <w:basedOn w:val="Fuentedeprrafopredeter"/>
    <w:rPr>
      <w:rFonts w:ascii="Courier" w:eastAsia="Times New Roman" w:hAnsi="Courier" w:cs="Courier"/>
      <w:b/>
      <w:bCs/>
      <w:sz w:val="24"/>
      <w:szCs w:val="24"/>
      <w:lang w:val="es-ES" w:eastAsia="zh-CN"/>
    </w:rPr>
  </w:style>
  <w:style w:type="character" w:customStyle="1" w:styleId="EnlacedeInternet">
    <w:name w:val="Enlace de Internet"/>
    <w:rPr>
      <w:color w:val="0000FF"/>
      <w:u w:val="single"/>
    </w:rPr>
  </w:style>
  <w:style w:type="character" w:customStyle="1" w:styleId="TextoindependienteCar">
    <w:name w:val="Texto independiente Car"/>
    <w:basedOn w:val="Fuentedeprrafopredeter"/>
    <w:rPr>
      <w:rFonts w:ascii="Courier" w:eastAsia="Times New Roman" w:hAnsi="Courier" w:cs="Courier"/>
      <w:sz w:val="24"/>
      <w:szCs w:val="24"/>
      <w:lang w:val="es-ES" w:eastAsia="zh-CN"/>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tulo3Car">
    <w:name w:val="Título 3 Car"/>
    <w:basedOn w:val="Fuentedeprrafopredeter"/>
    <w:rPr>
      <w:rFonts w:ascii="Cambria" w:hAnsi="Cambria"/>
      <w:color w:val="243F60"/>
      <w:sz w:val="24"/>
      <w:szCs w:val="24"/>
    </w:rPr>
  </w:style>
  <w:style w:type="character" w:customStyle="1" w:styleId="Ttulo4Car">
    <w:name w:val="Título 4 Car"/>
    <w:basedOn w:val="Fuentedeprrafopredeter"/>
    <w:rPr>
      <w:rFonts w:ascii="Cambria" w:hAnsi="Cambria"/>
      <w:i/>
      <w:iCs/>
      <w:color w:val="365F91"/>
    </w:rPr>
  </w:style>
  <w:style w:type="character" w:customStyle="1" w:styleId="Fuentedeprrafopredeter2">
    <w:name w:val="Fuente de párrafo predeter.2"/>
  </w:style>
  <w:style w:type="character" w:customStyle="1" w:styleId="SubttuloCar">
    <w:name w:val="Subtítulo Car"/>
    <w:basedOn w:val="Fuentedeprrafopredeter"/>
    <w:rPr>
      <w:color w:val="5A5A5A"/>
      <w:spacing w:val="15"/>
    </w:rPr>
  </w:style>
  <w:style w:type="character" w:customStyle="1" w:styleId="ListLabel1">
    <w:name w:val="ListLabel 1"/>
    <w:rPr>
      <w:rFonts w:cs="Courier New"/>
    </w:rPr>
  </w:style>
  <w:style w:type="character" w:customStyle="1" w:styleId="ListLabel2">
    <w:name w:val="ListLabel 2"/>
    <w:rPr>
      <w:rFonts w:cs="Times New Roman"/>
      <w:b/>
      <w:sz w:val="24"/>
      <w:szCs w:val="24"/>
      <w:lang w:val="es-UY"/>
    </w:rPr>
  </w:style>
  <w:style w:type="paragraph" w:styleId="Encabezado">
    <w:name w:val="header"/>
    <w:basedOn w:val="Normal"/>
    <w:next w:val="Cuerpodetexto"/>
    <w:pPr>
      <w:keepNext/>
      <w:spacing w:before="240" w:after="120"/>
    </w:pPr>
    <w:rPr>
      <w:rFonts w:ascii="Arial" w:hAnsi="Arial" w:cs="Droid Sans Devanagari"/>
      <w:sz w:val="28"/>
      <w:szCs w:val="28"/>
    </w:rPr>
  </w:style>
  <w:style w:type="paragraph" w:customStyle="1" w:styleId="Cuerpodetexto">
    <w:name w:val="Cuerpo de texto"/>
    <w:basedOn w:val="Normal"/>
    <w:pPr>
      <w:spacing w:line="240" w:lineRule="exact"/>
    </w:pPr>
    <w:rPr>
      <w:rFonts w:ascii="Courier" w:eastAsia="Times New Roman" w:hAnsi="Courier" w:cs="Courier"/>
      <w:sz w:val="24"/>
      <w:szCs w:val="24"/>
      <w:lang w:val="es-ES" w:eastAsia="zh-CN"/>
    </w:r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sz w:val="24"/>
      <w:szCs w:val="24"/>
    </w:rPr>
  </w:style>
  <w:style w:type="paragraph" w:customStyle="1" w:styleId="ndice">
    <w:name w:val="Índice"/>
    <w:basedOn w:val="Normal"/>
    <w:pPr>
      <w:suppressLineNumbers/>
    </w:pPr>
    <w:rPr>
      <w:rFonts w:cs="Droid Sans Devanagari"/>
    </w:rPr>
  </w:style>
  <w:style w:type="paragraph" w:styleId="Prrafodelista">
    <w:name w:val="List Paragraph"/>
    <w:basedOn w:val="Normal"/>
    <w:pPr>
      <w:spacing w:after="0"/>
      <w:ind w:left="720"/>
      <w:contextualSpacing/>
    </w:pPr>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280" w:after="119"/>
    </w:pPr>
    <w:rPr>
      <w:rFonts w:ascii="Times New Roman" w:eastAsia="Times New Roman" w:hAnsi="Times New Roman" w:cs="Times New Roman"/>
      <w:sz w:val="24"/>
      <w:szCs w:val="24"/>
      <w:lang w:eastAsia="zh-CN"/>
    </w:rPr>
  </w:style>
  <w:style w:type="paragraph" w:customStyle="1" w:styleId="Standarduser">
    <w:name w:val="Standard (user)"/>
    <w:pPr>
      <w:widowControl w:val="0"/>
      <w:suppressAutoHyphens/>
      <w:ind w:firstLine="1418"/>
      <w:jc w:val="both"/>
      <w:textAlignment w:val="baseline"/>
    </w:pPr>
    <w:rPr>
      <w:rFonts w:ascii="Bookman Old Style" w:eastAsia="Bookman Old Style" w:hAnsi="Bookman Old Style" w:cs="Bookman Old Style"/>
      <w:sz w:val="24"/>
      <w:szCs w:val="24"/>
      <w:lang w:val="es-ES" w:eastAsia="zh-CN" w:bidi="hi-IN"/>
    </w:rPr>
  </w:style>
  <w:style w:type="paragraph" w:customStyle="1" w:styleId="Ttulo11">
    <w:name w:val="Título 11"/>
    <w:basedOn w:val="Normal"/>
    <w:pPr>
      <w:keepNext/>
      <w:widowControl w:val="0"/>
      <w:spacing w:line="240" w:lineRule="exact"/>
    </w:pPr>
    <w:rPr>
      <w:rFonts w:ascii="Courier" w:eastAsia="Courier" w:hAnsi="Courier" w:cs="Courier"/>
      <w:b/>
      <w:bCs/>
      <w:sz w:val="24"/>
      <w:szCs w:val="24"/>
      <w:lang w:val="es-ES" w:eastAsia="es-ES" w:bidi="es-ES"/>
    </w:rPr>
  </w:style>
  <w:style w:type="paragraph" w:customStyle="1" w:styleId="Textoindependiente21">
    <w:name w:val="Texto independiente 21"/>
    <w:basedOn w:val="Normal"/>
    <w:pPr>
      <w:widowControl w:val="0"/>
      <w:spacing w:line="260" w:lineRule="exact"/>
    </w:pPr>
    <w:rPr>
      <w:rFonts w:ascii="Times New Roman" w:hAnsi="Times New Roman" w:cs="Droid Sans Devanagari"/>
      <w:szCs w:val="24"/>
      <w:lang w:val="es-ES" w:eastAsia="zh-CN" w:bidi="hi-IN"/>
    </w:rPr>
  </w:style>
  <w:style w:type="paragraph" w:styleId="Textocomentario">
    <w:name w:val="annotation text"/>
    <w:basedOn w:val="Normal"/>
    <w:rPr>
      <w:sz w:val="20"/>
      <w:szCs w:val="20"/>
    </w:rPr>
  </w:style>
  <w:style w:type="paragraph" w:styleId="Asuntodelcomentario">
    <w:name w:val="annotation subject"/>
    <w:basedOn w:val="Textocomentario"/>
    <w:rPr>
      <w:b/>
      <w:bCs/>
    </w:rPr>
  </w:style>
  <w:style w:type="paragraph" w:customStyle="1" w:styleId="Normal1">
    <w:name w:val="Normal1"/>
    <w:pPr>
      <w:suppressAutoHyphens/>
      <w:spacing w:line="100" w:lineRule="atLeast"/>
      <w:ind w:firstLine="1418"/>
      <w:jc w:val="both"/>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pPr>
      <w:spacing w:after="120" w:line="480" w:lineRule="auto"/>
    </w:pPr>
    <w:rPr>
      <w:rFonts w:ascii="Times New Roman" w:eastAsia="Arial" w:hAnsi="Times New Roman" w:cs="Times New Roman"/>
      <w:sz w:val="24"/>
      <w:szCs w:val="20"/>
      <w:lang w:val="es-ES" w:eastAsia="zh-CN"/>
    </w:rPr>
  </w:style>
  <w:style w:type="paragraph" w:customStyle="1" w:styleId="Encabezado10">
    <w:name w:val="Encabezado1"/>
    <w:basedOn w:val="Normal"/>
    <w:pPr>
      <w:spacing w:line="260" w:lineRule="exact"/>
      <w:jc w:val="center"/>
    </w:pPr>
    <w:rPr>
      <w:rFonts w:ascii="Bookman Old Style" w:eastAsia="Times New Roman" w:hAnsi="Bookman Old Style" w:cs="Bookman Old Style"/>
      <w:b/>
      <w:bCs/>
      <w:lang w:val="es-ES" w:eastAsia="zh-CN"/>
    </w:rPr>
  </w:style>
  <w:style w:type="paragraph" w:customStyle="1" w:styleId="Default">
    <w:name w:val="Default"/>
    <w:pPr>
      <w:suppressAutoHyphens/>
      <w:ind w:firstLine="1418"/>
      <w:jc w:val="both"/>
    </w:pPr>
    <w:rPr>
      <w:rFonts w:ascii="Times New Roman" w:eastAsia="Calibri" w:hAnsi="Times New Roman" w:cs="Times New Roman"/>
      <w:color w:val="000000"/>
      <w:sz w:val="24"/>
      <w:szCs w:val="24"/>
      <w:lang w:eastAsia="zh-CN"/>
    </w:rPr>
  </w:style>
  <w:style w:type="paragraph" w:styleId="Subttulo">
    <w:name w:val="Subtitle"/>
    <w:basedOn w:val="Normal"/>
    <w:pPr>
      <w:spacing w:after="160"/>
      <w:jc w:val="left"/>
    </w:pPr>
    <w:rPr>
      <w:color w:val="5A5A5A"/>
      <w:spacing w:val="15"/>
    </w:rPr>
  </w:style>
  <w:style w:type="paragraph" w:customStyle="1" w:styleId="Encabezado2">
    <w:name w:val="Encabezado2"/>
    <w:basedOn w:val="Normal"/>
    <w:pPr>
      <w:jc w:val="center"/>
    </w:pPr>
    <w:rPr>
      <w:rFonts w:ascii="Bookman Old Style" w:eastAsia="Times New Roman" w:hAnsi="Bookman Old Style" w:cs="Bookman Old Style"/>
      <w:b/>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2041</Words>
  <Characters>11231</Characters>
  <Application>Microsoft Office Word</Application>
  <DocSecurity>4</DocSecurity>
  <Lines>93</Lines>
  <Paragraphs>26</Paragraphs>
  <ScaleCrop>false</ScaleCrop>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vbarbosa</cp:lastModifiedBy>
  <cp:revision>2</cp:revision>
  <cp:lastPrinted>2015-05-07T01:31:00Z</cp:lastPrinted>
  <dcterms:created xsi:type="dcterms:W3CDTF">2023-05-04T20:25:00Z</dcterms:created>
  <dcterms:modified xsi:type="dcterms:W3CDTF">2023-05-04T20:25:00Z</dcterms:modified>
</cp:coreProperties>
</file>