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3B020A">
        <w:rPr>
          <w:rFonts w:ascii="Arial Narrow" w:hAnsi="Arial Narrow" w:cs="Arial Narrow"/>
          <w:b/>
          <w:bCs/>
          <w:spacing w:val="-3"/>
          <w:sz w:val="28"/>
          <w:szCs w:val="28"/>
        </w:rPr>
        <w:t>8819</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5  de </w:t>
      </w:r>
      <w:r w:rsidR="003B020A">
        <w:rPr>
          <w:rFonts w:ascii="Arial Narrow" w:hAnsi="Arial Narrow" w:cs="Arial Narrow"/>
          <w:b/>
          <w:spacing w:val="-3"/>
          <w:sz w:val="28"/>
          <w:szCs w:val="28"/>
        </w:rPr>
        <w:t xml:space="preserve">DICIEMBRE </w:t>
      </w:r>
      <w:r w:rsidR="00053273">
        <w:rPr>
          <w:rFonts w:ascii="Arial Narrow" w:hAnsi="Arial Narrow" w:cs="Arial Narrow"/>
          <w:b/>
          <w:spacing w:val="-3"/>
          <w:sz w:val="28"/>
          <w:szCs w:val="28"/>
        </w:rPr>
        <w:t xml:space="preserve"> 2022</w:t>
      </w:r>
    </w:p>
    <w:p w:rsidR="00C8644B" w:rsidRDefault="00C8644B">
      <w:pPr>
        <w:jc w:val="center"/>
        <w:rPr>
          <w:rFonts w:ascii="Arial Narrow" w:hAnsi="Arial Narrow" w:cs="Arial Narrow"/>
          <w:b/>
          <w:spacing w:val="-3"/>
          <w:sz w:val="28"/>
          <w:szCs w:val="28"/>
        </w:rPr>
      </w:pPr>
      <w:r>
        <w:rPr>
          <w:rFonts w:ascii="Arial Narrow" w:hAnsi="Arial Narrow" w:cs="Arial Narrow"/>
          <w:b/>
          <w:spacing w:val="-3"/>
          <w:sz w:val="28"/>
          <w:szCs w:val="28"/>
        </w:rPr>
        <w:t xml:space="preserve">Hora: </w:t>
      </w:r>
      <w:r w:rsidR="003B020A">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AB438B" w:rsidRDefault="00AB438B" w:rsidP="00AB438B">
      <w:pPr>
        <w:ind w:left="1418" w:firstLine="709"/>
      </w:pPr>
      <w:r>
        <w:t xml:space="preserve">SERVICIO MANTENIMIENTO INTEGRAL, TECNICO PREVENTIVO Y CORRECTIVO CON MONITOREO Y RESPUESTA DE ALARMA </w:t>
      </w:r>
    </w:p>
    <w:p w:rsidR="00AB438B" w:rsidRDefault="00AB438B" w:rsidP="00AB438B">
      <w:pPr>
        <w:ind w:left="1418" w:firstLine="709"/>
        <w:rPr>
          <w:rFonts w:ascii="Arial Narrow" w:hAnsi="Arial Narrow" w:cs="Arial Narrow"/>
          <w:b/>
          <w:spacing w:val="-3"/>
          <w:sz w:val="28"/>
          <w:szCs w:val="28"/>
        </w:rPr>
      </w:pPr>
    </w:p>
    <w:p w:rsidR="00AB438B" w:rsidRDefault="00AB438B" w:rsidP="00AB438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3B020A" w:rsidRDefault="003B020A" w:rsidP="00AB438B">
      <w:pPr>
        <w:spacing w:before="120" w:after="120"/>
        <w:jc w:val="center"/>
        <w:rPr>
          <w:rFonts w:ascii="Arial Narrow" w:hAnsi="Arial Narrow" w:cs="Arial Narrow"/>
          <w:b/>
          <w:sz w:val="28"/>
          <w:szCs w:val="28"/>
          <w:u w:val="single"/>
        </w:rPr>
      </w:pPr>
    </w:p>
    <w:p w:rsidR="003B020A" w:rsidRDefault="003B020A" w:rsidP="00AB438B">
      <w:pPr>
        <w:spacing w:before="120" w:after="120"/>
        <w:jc w:val="center"/>
        <w:rPr>
          <w:rFonts w:ascii="Arial Narrow" w:hAnsi="Arial Narrow" w:cs="Arial Narrow"/>
          <w:b/>
          <w:sz w:val="28"/>
          <w:szCs w:val="28"/>
          <w:u w:val="single"/>
        </w:rPr>
      </w:pPr>
    </w:p>
    <w:p w:rsidR="003B020A" w:rsidRDefault="003B020A"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rPr>
          <w:rFonts w:ascii="Arial Narrow" w:hAnsi="Arial Narrow" w:cs="Arial Narrow"/>
          <w:b/>
          <w:sz w:val="28"/>
          <w:szCs w:val="28"/>
          <w:u w:val="single"/>
        </w:rPr>
      </w:pPr>
    </w:p>
    <w:p w:rsidR="00AB438B" w:rsidRDefault="00AB438B" w:rsidP="00AB438B">
      <w:pPr>
        <w:spacing w:before="120" w:after="120"/>
        <w:jc w:val="center"/>
      </w:pPr>
      <w:r>
        <w:rPr>
          <w:rFonts w:ascii="Arial Narrow" w:hAnsi="Arial Narrow" w:cs="Arial Narrow"/>
          <w:b/>
          <w:sz w:val="28"/>
          <w:szCs w:val="28"/>
          <w:u w:val="single"/>
        </w:rPr>
        <w:t>PARTE I - ESPECIFICACIONES GENERALES</w:t>
      </w:r>
    </w:p>
    <w:p w:rsidR="00AB438B" w:rsidRDefault="00AB438B" w:rsidP="00AB438B">
      <w:pPr>
        <w:jc w:val="center"/>
        <w:rPr>
          <w:rFonts w:ascii="Arial Narrow" w:hAnsi="Arial Narrow" w:cs="Arial Narrow"/>
          <w:b/>
          <w:spacing w:val="-3"/>
          <w:sz w:val="28"/>
          <w:szCs w:val="28"/>
          <w:u w:val="single"/>
        </w:rPr>
      </w:pPr>
    </w:p>
    <w:p w:rsidR="00AB438B" w:rsidRDefault="00AB438B" w:rsidP="00AB438B">
      <w:pPr>
        <w:pStyle w:val="Ttulo10"/>
        <w:ind w:left="1418"/>
        <w:rPr>
          <w:rFonts w:ascii="Arial Narrow" w:eastAsia="Batang" w:hAnsi="Arial Narrow" w:cs="Arial Narrow"/>
          <w:i/>
          <w:color w:val="FF0000"/>
          <w:spacing w:val="-3"/>
          <w:sz w:val="28"/>
          <w:szCs w:val="28"/>
        </w:rPr>
      </w:pPr>
    </w:p>
    <w:p w:rsidR="00AB438B" w:rsidRDefault="00AB438B" w:rsidP="00AB438B">
      <w:pPr>
        <w:numPr>
          <w:ilvl w:val="0"/>
          <w:numId w:val="8"/>
        </w:numPr>
        <w:tabs>
          <w:tab w:val="left" w:pos="284"/>
          <w:tab w:val="left" w:pos="1560"/>
        </w:tabs>
        <w:jc w:val="both"/>
        <w:rPr>
          <w:rFonts w:ascii="Arial Narrow" w:eastAsia="Batang" w:hAnsi="Arial Narrow" w:cs="Arial Narrow"/>
          <w:b/>
          <w:bCs/>
          <w:i/>
          <w:iCs/>
          <w:sz w:val="28"/>
          <w:szCs w:val="28"/>
          <w:u w:val="single"/>
          <w:lang w:val="pt-BR"/>
        </w:rPr>
      </w:pPr>
      <w:r>
        <w:rPr>
          <w:rFonts w:ascii="Arial Narrow" w:eastAsia="Batang" w:hAnsi="Arial Narrow" w:cs="Arial Narrow"/>
          <w:b/>
          <w:bCs/>
          <w:i/>
          <w:iCs/>
          <w:sz w:val="28"/>
          <w:szCs w:val="28"/>
          <w:u w:val="single"/>
          <w:lang w:val="pt-BR"/>
        </w:rPr>
        <w:t xml:space="preserve">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AB438B" w:rsidRDefault="00AB438B" w:rsidP="00AB438B">
      <w:pPr>
        <w:ind w:left="426"/>
        <w:jc w:val="both"/>
        <w:rPr>
          <w:b/>
          <w:bCs/>
        </w:rPr>
      </w:pPr>
    </w:p>
    <w:p w:rsidR="00AB438B" w:rsidRDefault="00AB438B" w:rsidP="00AB438B">
      <w:pPr>
        <w:pStyle w:val="Prrafodelista"/>
        <w:numPr>
          <w:ilvl w:val="0"/>
          <w:numId w:val="9"/>
        </w:numPr>
        <w:jc w:val="both"/>
      </w:pPr>
      <w:r>
        <w:t xml:space="preserve">Mantenimiento integral técnico, preventivo y correctivo de software y hardware de los equipos e instalaciones tales como Central de alarmas contra intrusos, video cámaras CCTV, control de acceso de Ituzaingó 1467, 1474 (1er. y 3er. piso), Treinta y Tres 1387, Cerrito 428 y Marcelino Sosa 2069. </w:t>
      </w:r>
    </w:p>
    <w:p w:rsidR="00AB438B" w:rsidRDefault="00AB438B" w:rsidP="00AB438B">
      <w:pPr>
        <w:pStyle w:val="Prrafodelista"/>
        <w:numPr>
          <w:ilvl w:val="0"/>
          <w:numId w:val="9"/>
        </w:numPr>
        <w:jc w:val="both"/>
      </w:pPr>
      <w:r>
        <w:t>Mantenimiento integral (preventivo y correctivo) de sistema de seguridad contra incendios: detección temprana de humo - Central de incendio (GAMEWEKK HONEYWELL), sistema de audio para evacuación, luces de emergencia de Ituzaingó 1467 y Marcelino Sosa 2069.</w:t>
      </w:r>
    </w:p>
    <w:p w:rsidR="00AB438B" w:rsidRDefault="00AB438B" w:rsidP="00AB438B">
      <w:pPr>
        <w:jc w:val="both"/>
      </w:pPr>
    </w:p>
    <w:p w:rsidR="00AB438B" w:rsidRDefault="00AB438B" w:rsidP="00AB438B">
      <w:pPr>
        <w:jc w:val="both"/>
      </w:pPr>
      <w:r>
        <w:t xml:space="preserve">Por consultas del Servicio comunicarse con Vigilancia al </w:t>
      </w:r>
      <w:proofErr w:type="spellStart"/>
      <w:r>
        <w:t>tel</w:t>
      </w:r>
      <w:proofErr w:type="spellEnd"/>
      <w:r>
        <w:t xml:space="preserve"> 1924 3177 o 3277 de </w:t>
      </w:r>
      <w:proofErr w:type="spellStart"/>
      <w:r>
        <w:t>lun</w:t>
      </w:r>
      <w:proofErr w:type="spellEnd"/>
      <w:r>
        <w:t xml:space="preserve"> a </w:t>
      </w:r>
      <w:proofErr w:type="spellStart"/>
      <w:r>
        <w:t>vie</w:t>
      </w:r>
      <w:proofErr w:type="spellEnd"/>
      <w:r>
        <w:t xml:space="preserve"> de 10:00 a 15:30 hs.</w:t>
      </w:r>
    </w:p>
    <w:p w:rsidR="00C8644B" w:rsidRDefault="00C8644B">
      <w:pPr>
        <w:jc w:val="center"/>
        <w:rPr>
          <w:rFonts w:ascii="Arial Narrow" w:hAnsi="Arial Narrow" w:cs="Arial Narrow"/>
          <w:b/>
          <w:bCs/>
          <w:i/>
          <w:iCs/>
          <w:sz w:val="28"/>
          <w:szCs w:val="28"/>
          <w:lang w:val="es-ES_tradnl"/>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lastRenderedPageBreak/>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lastRenderedPageBreak/>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lastRenderedPageBreak/>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2101A2">
    <w:pPr>
      <w:pStyle w:val="Piedepgina"/>
      <w:tabs>
        <w:tab w:val="right" w:pos="8222"/>
      </w:tabs>
      <w:ind w:right="360"/>
      <w:rPr>
        <w:color w:val="808080"/>
        <w:sz w:val="18"/>
        <w:szCs w:val="18"/>
      </w:rPr>
    </w:pPr>
    <w:r w:rsidRPr="002101A2">
      <w:pict>
        <v:shapetype id="_x0000_t202" coordsize="21600,21600" o:spt="202" path="m,l,21600r21600,l21600,xe">
          <v:stroke joinstyle="miter"/>
          <v:path gradientshapeok="t" o:connecttype="rect"/>
        </v:shapetype>
        <v:shape id="_x0000_s1025" type="#_x0000_t202" style="position:absolute;margin-left:386.05pt;margin-top:.05pt;width:6.7pt;height:13.75pt;z-index:251657728;mso-wrap-distance-left:0;mso-wrap-distance-right:0;mso-position-horizontal:right;mso-position-horizontal-relative:page" stroked="f">
          <v:fill opacity="0" color2="black"/>
          <v:textbox inset="0,0,0,0">
            <w:txbxContent>
              <w:p w:rsidR="00F61F46" w:rsidRDefault="002101A2">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3B020A">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35C46F36"/>
    <w:multiLevelType w:val="hybridMultilevel"/>
    <w:tmpl w:val="C9C40A0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CC01B4"/>
    <w:multiLevelType w:val="hybridMultilevel"/>
    <w:tmpl w:val="0D4EBD7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206673"/>
    <w:rsid w:val="002101A2"/>
    <w:rsid w:val="00291425"/>
    <w:rsid w:val="002E0FED"/>
    <w:rsid w:val="00306364"/>
    <w:rsid w:val="00326ED3"/>
    <w:rsid w:val="0034601D"/>
    <w:rsid w:val="00397C3A"/>
    <w:rsid w:val="003B020A"/>
    <w:rsid w:val="003F3578"/>
    <w:rsid w:val="00405A91"/>
    <w:rsid w:val="0047363C"/>
    <w:rsid w:val="004E1289"/>
    <w:rsid w:val="00574A78"/>
    <w:rsid w:val="00587FC4"/>
    <w:rsid w:val="005A420D"/>
    <w:rsid w:val="00605485"/>
    <w:rsid w:val="00645AC4"/>
    <w:rsid w:val="006A05C8"/>
    <w:rsid w:val="007F6137"/>
    <w:rsid w:val="008039E3"/>
    <w:rsid w:val="008862EF"/>
    <w:rsid w:val="009826F1"/>
    <w:rsid w:val="009A12B0"/>
    <w:rsid w:val="00A037A5"/>
    <w:rsid w:val="00AA3436"/>
    <w:rsid w:val="00AB438B"/>
    <w:rsid w:val="00B14AAC"/>
    <w:rsid w:val="00B3700F"/>
    <w:rsid w:val="00BA69EC"/>
    <w:rsid w:val="00BB2F75"/>
    <w:rsid w:val="00BF05CD"/>
    <w:rsid w:val="00C8644B"/>
    <w:rsid w:val="00CB0468"/>
    <w:rsid w:val="00CF0534"/>
    <w:rsid w:val="00D93C0A"/>
    <w:rsid w:val="00DE2E6D"/>
    <w:rsid w:val="00E341B5"/>
    <w:rsid w:val="00E47ABF"/>
    <w:rsid w:val="00EA1CFB"/>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uiPriority w:val="34"/>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1027104647">
      <w:bodyDiv w:val="1"/>
      <w:marLeft w:val="0"/>
      <w:marRight w:val="0"/>
      <w:marTop w:val="0"/>
      <w:marBottom w:val="0"/>
      <w:divBdr>
        <w:top w:val="none" w:sz="0" w:space="0" w:color="auto"/>
        <w:left w:val="none" w:sz="0" w:space="0" w:color="auto"/>
        <w:bottom w:val="none" w:sz="0" w:space="0" w:color="auto"/>
        <w:right w:val="none" w:sz="0" w:space="0" w:color="auto"/>
      </w:divBdr>
    </w:div>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3395</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22026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3</cp:revision>
  <cp:lastPrinted>2022-08-12T14:31:00Z</cp:lastPrinted>
  <dcterms:created xsi:type="dcterms:W3CDTF">2022-11-25T17:42:00Z</dcterms:created>
  <dcterms:modified xsi:type="dcterms:W3CDTF">2022-11-25T17:44:00Z</dcterms:modified>
</cp:coreProperties>
</file>