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8FD" w:rsidRDefault="005658FD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52"/>
        <w:gridCol w:w="1526"/>
        <w:gridCol w:w="1260"/>
        <w:gridCol w:w="2206"/>
      </w:tblGrid>
      <w:tr w:rsidR="005658FD">
        <w:trPr>
          <w:trHeight w:val="619"/>
        </w:trPr>
        <w:tc>
          <w:tcPr>
            <w:tcW w:w="3652" w:type="dxa"/>
            <w:vAlign w:val="center"/>
          </w:tcPr>
          <w:p w:rsidR="005658FD" w:rsidRDefault="00E057FD">
            <w:pPr>
              <w:spacing w:after="0" w:line="240" w:lineRule="auto"/>
              <w:rPr>
                <w:b/>
              </w:rPr>
            </w:pPr>
            <w:bookmarkStart w:id="0" w:name="_GoBack"/>
            <w:r>
              <w:rPr>
                <w:b/>
              </w:rPr>
              <w:t>Tipo y número de procedimiento</w:t>
            </w:r>
          </w:p>
        </w:tc>
        <w:tc>
          <w:tcPr>
            <w:tcW w:w="4992" w:type="dxa"/>
            <w:gridSpan w:val="3"/>
            <w:vAlign w:val="center"/>
          </w:tcPr>
          <w:p w:rsidR="005658FD" w:rsidRDefault="00E057F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Compra Directa Ampliada </w:t>
            </w:r>
            <w:r>
              <w:rPr>
                <w:b/>
                <w:lang w:val="es-UY"/>
              </w:rPr>
              <w:t>31</w:t>
            </w:r>
            <w:r>
              <w:rPr>
                <w:b/>
              </w:rPr>
              <w:t xml:space="preserve">/2021 </w:t>
            </w:r>
          </w:p>
        </w:tc>
      </w:tr>
      <w:bookmarkEnd w:id="0"/>
      <w:tr w:rsidR="005658FD">
        <w:trPr>
          <w:trHeight w:val="619"/>
        </w:trPr>
        <w:tc>
          <w:tcPr>
            <w:tcW w:w="3652" w:type="dxa"/>
            <w:vAlign w:val="center"/>
          </w:tcPr>
          <w:p w:rsidR="005658FD" w:rsidRDefault="00E057F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Objeto del Llamado</w:t>
            </w:r>
          </w:p>
        </w:tc>
        <w:tc>
          <w:tcPr>
            <w:tcW w:w="4992" w:type="dxa"/>
            <w:gridSpan w:val="3"/>
            <w:vAlign w:val="center"/>
          </w:tcPr>
          <w:p w:rsidR="005658FD" w:rsidRDefault="00E057FD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  <w:lang w:val="es-UY"/>
              </w:rPr>
              <w:t>Dataloggers</w:t>
            </w:r>
            <w:proofErr w:type="spellEnd"/>
            <w:r>
              <w:rPr>
                <w:b/>
              </w:rPr>
              <w:t xml:space="preserve"> para el plan de vacunación COVID 19 del Ministerio de Salud Pública</w:t>
            </w:r>
          </w:p>
        </w:tc>
      </w:tr>
      <w:tr w:rsidR="005658FD">
        <w:trPr>
          <w:trHeight w:val="619"/>
        </w:trPr>
        <w:tc>
          <w:tcPr>
            <w:tcW w:w="3652" w:type="dxa"/>
            <w:vAlign w:val="center"/>
          </w:tcPr>
          <w:p w:rsidR="005658FD" w:rsidRDefault="00E057F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Organismo contratante</w:t>
            </w:r>
          </w:p>
        </w:tc>
        <w:tc>
          <w:tcPr>
            <w:tcW w:w="4992" w:type="dxa"/>
            <w:gridSpan w:val="3"/>
            <w:vAlign w:val="center"/>
          </w:tcPr>
          <w:p w:rsidR="005658FD" w:rsidRDefault="00E057FD">
            <w:pPr>
              <w:spacing w:after="0" w:line="240" w:lineRule="auto"/>
            </w:pPr>
            <w:r>
              <w:t xml:space="preserve">Unidad Centralizada de Adquisiciones </w:t>
            </w:r>
          </w:p>
        </w:tc>
      </w:tr>
      <w:tr w:rsidR="005658FD">
        <w:trPr>
          <w:trHeight w:val="239"/>
        </w:trPr>
        <w:tc>
          <w:tcPr>
            <w:tcW w:w="3652" w:type="dxa"/>
            <w:vAlign w:val="center"/>
          </w:tcPr>
          <w:p w:rsidR="005658FD" w:rsidRDefault="005658FD">
            <w:pPr>
              <w:spacing w:after="0" w:line="240" w:lineRule="auto"/>
              <w:rPr>
                <w:b/>
              </w:rPr>
            </w:pPr>
          </w:p>
        </w:tc>
        <w:tc>
          <w:tcPr>
            <w:tcW w:w="4992" w:type="dxa"/>
            <w:gridSpan w:val="3"/>
            <w:vAlign w:val="center"/>
          </w:tcPr>
          <w:p w:rsidR="005658FD" w:rsidRDefault="005658FD">
            <w:pPr>
              <w:spacing w:after="0" w:line="240" w:lineRule="auto"/>
            </w:pPr>
          </w:p>
        </w:tc>
      </w:tr>
      <w:tr w:rsidR="005658FD">
        <w:trPr>
          <w:trHeight w:val="681"/>
        </w:trPr>
        <w:tc>
          <w:tcPr>
            <w:tcW w:w="3652" w:type="dxa"/>
            <w:vAlign w:val="center"/>
          </w:tcPr>
          <w:p w:rsidR="005658FD" w:rsidRDefault="00E057F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Apertura electrónica</w:t>
            </w:r>
          </w:p>
        </w:tc>
        <w:tc>
          <w:tcPr>
            <w:tcW w:w="1526" w:type="dxa"/>
            <w:vAlign w:val="center"/>
          </w:tcPr>
          <w:p w:rsidR="005658FD" w:rsidRDefault="00E057FD">
            <w:pPr>
              <w:spacing w:after="0" w:line="240" w:lineRule="auto"/>
            </w:pPr>
            <w:r>
              <w:rPr>
                <w:lang w:val="es-UY"/>
              </w:rPr>
              <w:t>14</w:t>
            </w:r>
            <w:r>
              <w:t>/0</w:t>
            </w:r>
            <w:r>
              <w:rPr>
                <w:lang w:val="es-UY"/>
              </w:rPr>
              <w:t>4</w:t>
            </w:r>
            <w:r>
              <w:t>/2021</w:t>
            </w:r>
          </w:p>
        </w:tc>
        <w:tc>
          <w:tcPr>
            <w:tcW w:w="1260" w:type="dxa"/>
            <w:vAlign w:val="center"/>
          </w:tcPr>
          <w:p w:rsidR="005658FD" w:rsidRDefault="00E057FD">
            <w:pPr>
              <w:spacing w:after="0" w:line="240" w:lineRule="auto"/>
            </w:pPr>
            <w:r>
              <w:t>Hora: 11</w:t>
            </w:r>
          </w:p>
        </w:tc>
        <w:tc>
          <w:tcPr>
            <w:tcW w:w="2206" w:type="dxa"/>
            <w:vAlign w:val="center"/>
          </w:tcPr>
          <w:p w:rsidR="005658FD" w:rsidRDefault="00E057FD">
            <w:pPr>
              <w:spacing w:after="0" w:line="240" w:lineRule="auto"/>
            </w:pPr>
            <w:r>
              <w:t xml:space="preserve">Forma: </w:t>
            </w:r>
            <w:r>
              <w:rPr>
                <w:lang w:val="es-UY"/>
              </w:rPr>
              <w:t>cotización</w:t>
            </w:r>
            <w:r>
              <w:t xml:space="preserve"> en línea</w:t>
            </w:r>
            <w:r>
              <w:rPr>
                <w:lang w:val="es-UY"/>
              </w:rPr>
              <w:t xml:space="preserve">, página Compras Estatales </w:t>
            </w:r>
            <w:r>
              <w:t xml:space="preserve"> </w:t>
            </w:r>
          </w:p>
        </w:tc>
      </w:tr>
    </w:tbl>
    <w:p w:rsidR="005658FD" w:rsidRDefault="005658FD"/>
    <w:p w:rsidR="005658FD" w:rsidRDefault="00E057FD">
      <w:pPr>
        <w:rPr>
          <w:b/>
        </w:rPr>
      </w:pPr>
      <w:r>
        <w:rPr>
          <w:b/>
        </w:rPr>
        <w:t>Objeto de compra.</w:t>
      </w:r>
    </w:p>
    <w:tbl>
      <w:tblPr>
        <w:tblW w:w="871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31"/>
        <w:gridCol w:w="889"/>
        <w:gridCol w:w="4096"/>
      </w:tblGrid>
      <w:tr w:rsidR="005658FD">
        <w:trPr>
          <w:gridAfter w:val="1"/>
          <w:wAfter w:w="4096" w:type="dxa"/>
          <w:trHeight w:val="225"/>
        </w:trPr>
        <w:tc>
          <w:tcPr>
            <w:tcW w:w="3731" w:type="dxa"/>
          </w:tcPr>
          <w:p w:rsidR="005658FD" w:rsidRDefault="00E057FD">
            <w:pPr>
              <w:rPr>
                <w:b/>
              </w:rPr>
            </w:pPr>
            <w:r>
              <w:rPr>
                <w:b/>
              </w:rPr>
              <w:t>Nº de ítem</w:t>
            </w:r>
          </w:p>
        </w:tc>
        <w:tc>
          <w:tcPr>
            <w:tcW w:w="889" w:type="dxa"/>
            <w:shd w:val="clear" w:color="auto" w:fill="auto"/>
          </w:tcPr>
          <w:p w:rsidR="005658FD" w:rsidRDefault="00E057F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5658FD">
        <w:trPr>
          <w:trHeight w:val="495"/>
        </w:trPr>
        <w:tc>
          <w:tcPr>
            <w:tcW w:w="4620" w:type="dxa"/>
            <w:gridSpan w:val="2"/>
          </w:tcPr>
          <w:p w:rsidR="005658FD" w:rsidRDefault="00E057FD">
            <w:pPr>
              <w:tabs>
                <w:tab w:val="left" w:pos="2220"/>
              </w:tabs>
              <w:rPr>
                <w:b/>
              </w:rPr>
            </w:pPr>
            <w:r>
              <w:rPr>
                <w:b/>
                <w:lang w:eastAsia="es-ES"/>
              </w:rPr>
              <w:t xml:space="preserve">DATALOGGERS con </w:t>
            </w:r>
            <w:proofErr w:type="spellStart"/>
            <w:r>
              <w:rPr>
                <w:b/>
                <w:lang w:eastAsia="es-ES"/>
              </w:rPr>
              <w:t>display</w:t>
            </w:r>
            <w:proofErr w:type="spellEnd"/>
            <w:r>
              <w:rPr>
                <w:b/>
                <w:lang w:val="es-UY" w:eastAsia="es-ES"/>
              </w:rPr>
              <w:t xml:space="preserve"> calibrados </w:t>
            </w:r>
            <w:r>
              <w:rPr>
                <w:b/>
                <w:lang w:eastAsia="es-ES"/>
              </w:rPr>
              <w:t>y sin sensor externo</w:t>
            </w:r>
          </w:p>
        </w:tc>
        <w:tc>
          <w:tcPr>
            <w:tcW w:w="4096" w:type="dxa"/>
            <w:shd w:val="clear" w:color="auto" w:fill="auto"/>
          </w:tcPr>
          <w:p w:rsidR="005658FD" w:rsidRDefault="00E057FD">
            <w:pPr>
              <w:rPr>
                <w:b/>
              </w:rPr>
            </w:pPr>
            <w:r>
              <w:rPr>
                <w:b/>
              </w:rPr>
              <w:t xml:space="preserve">Cantidad: </w:t>
            </w:r>
            <w:r>
              <w:rPr>
                <w:b/>
                <w:lang w:val="es-UY"/>
              </w:rPr>
              <w:t>8</w:t>
            </w:r>
            <w:r>
              <w:rPr>
                <w:b/>
              </w:rPr>
              <w:t>0 (</w:t>
            </w:r>
            <w:r>
              <w:rPr>
                <w:b/>
                <w:lang w:val="es-UY"/>
              </w:rPr>
              <w:t>ochenta</w:t>
            </w:r>
            <w:r>
              <w:rPr>
                <w:b/>
              </w:rPr>
              <w:t>)</w:t>
            </w:r>
          </w:p>
        </w:tc>
      </w:tr>
      <w:tr w:rsidR="005658FD">
        <w:trPr>
          <w:trHeight w:val="1485"/>
        </w:trPr>
        <w:tc>
          <w:tcPr>
            <w:tcW w:w="8716" w:type="dxa"/>
            <w:gridSpan w:val="3"/>
          </w:tcPr>
          <w:p w:rsidR="005658FD" w:rsidRDefault="00E057FD">
            <w:pPr>
              <w:spacing w:line="360" w:lineRule="auto"/>
              <w:ind w:right="-1"/>
              <w:jc w:val="both"/>
            </w:pPr>
            <w:r>
              <w:t xml:space="preserve">Especificaciones técnicas: </w:t>
            </w:r>
          </w:p>
          <w:p w:rsidR="005658FD" w:rsidRDefault="00E057FD">
            <w:pPr>
              <w:spacing w:line="360" w:lineRule="auto"/>
              <w:ind w:right="-1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2° C a 8°C. Múltiples calibrados Con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display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y sin sensor externo para conservadora. Deben estar calibrados acorde a normas ISO/IEC, se deberá entregar certificado de calibración. Rango de medición de -30°c a +70°c. Error o incertidumbre en el rango medio: +/-0,5°c- 16.000 puntos de lectura- </w:t>
            </w:r>
            <w:r>
              <w:rPr>
                <w:rFonts w:eastAsia="Times New Roman"/>
                <w:sz w:val="24"/>
                <w:szCs w:val="24"/>
              </w:rPr>
              <w:t xml:space="preserve">Hasta 6 niveles de alarma en base a tiempo, temperatura, grados minutos, MKT.  Cálculo automático de la MKT (temperatura cinética media)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Display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de LCD. Descarga automática de Certificado Individual NIST de 3 puntos (incorporado a su memoria) con desvío al</w:t>
            </w:r>
            <w:r>
              <w:rPr>
                <w:rFonts w:eastAsia="Times New Roman"/>
                <w:sz w:val="24"/>
                <w:szCs w:val="24"/>
              </w:rPr>
              <w:t xml:space="preserve"> patrón NIST en 3 puntos del rango medio. Archivo encriptado en cumplimiento de la 21 CRF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part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11 de la FDA. Cumplir con las regulaciones 2018 IATA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Dangerous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Goods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Regulations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59th Edición.</w:t>
            </w:r>
          </w:p>
          <w:p w:rsidR="005658FD" w:rsidRDefault="005658FD">
            <w:pPr>
              <w:ind w:left="72"/>
            </w:pPr>
          </w:p>
        </w:tc>
      </w:tr>
    </w:tbl>
    <w:p w:rsidR="005658FD" w:rsidRDefault="005658FD">
      <w:pPr>
        <w:tabs>
          <w:tab w:val="left" w:pos="2220"/>
        </w:tabs>
        <w:rPr>
          <w:b/>
        </w:rPr>
      </w:pPr>
    </w:p>
    <w:p w:rsidR="005658FD" w:rsidRDefault="005658FD">
      <w:pPr>
        <w:tabs>
          <w:tab w:val="left" w:pos="2220"/>
        </w:tabs>
        <w:rPr>
          <w:b/>
        </w:rPr>
      </w:pPr>
    </w:p>
    <w:tbl>
      <w:tblPr>
        <w:tblW w:w="860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68"/>
        <w:gridCol w:w="5141"/>
      </w:tblGrid>
      <w:tr w:rsidR="005658FD">
        <w:trPr>
          <w:gridAfter w:val="1"/>
          <w:wAfter w:w="5141" w:type="dxa"/>
          <w:trHeight w:val="158"/>
        </w:trPr>
        <w:tc>
          <w:tcPr>
            <w:tcW w:w="3468" w:type="dxa"/>
          </w:tcPr>
          <w:p w:rsidR="005658FD" w:rsidRDefault="00E057FD">
            <w:pPr>
              <w:tabs>
                <w:tab w:val="left" w:pos="2220"/>
              </w:tabs>
              <w:rPr>
                <w:b/>
              </w:rPr>
            </w:pPr>
            <w:r>
              <w:rPr>
                <w:b/>
              </w:rPr>
              <w:lastRenderedPageBreak/>
              <w:t>Presentación de la oferta</w:t>
            </w:r>
          </w:p>
        </w:tc>
      </w:tr>
      <w:tr w:rsidR="005658FD">
        <w:trPr>
          <w:trHeight w:val="1502"/>
        </w:trPr>
        <w:tc>
          <w:tcPr>
            <w:tcW w:w="8609" w:type="dxa"/>
            <w:gridSpan w:val="2"/>
            <w:vAlign w:val="center"/>
          </w:tcPr>
          <w:p w:rsidR="005658FD" w:rsidRDefault="00E057FD">
            <w:pPr>
              <w:ind w:left="72"/>
            </w:pPr>
            <w:r>
              <w:t xml:space="preserve">Las propuestas serán recibidas únicamente en línea. Los oferentes deberán ingresar sus ofertas (económica y técnicas completas) en el sitio web </w:t>
            </w:r>
            <w:hyperlink r:id="rId8" w:history="1">
              <w:r>
                <w:rPr>
                  <w:rStyle w:val="Hipervnculo"/>
                </w:rPr>
                <w:t>www.comprasestatales.gub.uy</w:t>
              </w:r>
            </w:hyperlink>
            <w:r>
              <w:t>.       No se recibirán ofertas po</w:t>
            </w:r>
            <w:r>
              <w:t xml:space="preserve">r otra vía. </w:t>
            </w:r>
          </w:p>
          <w:p w:rsidR="005658FD" w:rsidRDefault="00E057FD">
            <w:pPr>
              <w:ind w:left="72"/>
              <w:jc w:val="both"/>
            </w:pPr>
            <w:r>
              <w:t>A efectos de la presentación de ofertas, el oferente deberá estar registrado en el Registro Único de Proveedores del Estado (RUPE), conforme a lo dispuesto por los artículos 46 y 76 del Texto Ordenado de la Contabilidad y Administración Financ</w:t>
            </w:r>
            <w:r>
              <w:t xml:space="preserve">iera del Estado y el Decreto del Poder Ejecutivo N° 155/013 de 21 de mayo de 2013. </w:t>
            </w:r>
          </w:p>
          <w:p w:rsidR="005658FD" w:rsidRDefault="00E057FD">
            <w:pPr>
              <w:ind w:left="72"/>
              <w:jc w:val="both"/>
            </w:pPr>
            <w:r>
              <w:t xml:space="preserve">La oferta deberá ser firmada por representante legal de la empresa registrado en RUPE, indicando número de RUT, razón social y plazo de entrega. </w:t>
            </w:r>
          </w:p>
          <w:p w:rsidR="005658FD" w:rsidRDefault="00E057FD">
            <w:pPr>
              <w:ind w:left="72"/>
              <w:jc w:val="both"/>
            </w:pPr>
            <w:r>
              <w:t>Se solicita plazo de mante</w:t>
            </w:r>
            <w:r>
              <w:t>nimiento de oferta de 30 días.</w:t>
            </w:r>
          </w:p>
        </w:tc>
      </w:tr>
    </w:tbl>
    <w:p w:rsidR="005658FD" w:rsidRDefault="005658FD"/>
    <w:tbl>
      <w:tblPr>
        <w:tblW w:w="8685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98"/>
        <w:gridCol w:w="5187"/>
      </w:tblGrid>
      <w:tr w:rsidR="005658FD">
        <w:trPr>
          <w:gridAfter w:val="1"/>
          <w:wAfter w:w="5187" w:type="dxa"/>
          <w:trHeight w:val="525"/>
        </w:trPr>
        <w:tc>
          <w:tcPr>
            <w:tcW w:w="3498" w:type="dxa"/>
          </w:tcPr>
          <w:p w:rsidR="005658FD" w:rsidRDefault="00E057FD">
            <w:pPr>
              <w:tabs>
                <w:tab w:val="left" w:pos="2220"/>
              </w:tabs>
              <w:rPr>
                <w:b/>
              </w:rPr>
            </w:pPr>
            <w:r>
              <w:rPr>
                <w:b/>
              </w:rPr>
              <w:t>Condiciones de entrega</w:t>
            </w:r>
          </w:p>
        </w:tc>
      </w:tr>
      <w:tr w:rsidR="005658FD">
        <w:trPr>
          <w:trHeight w:val="1680"/>
        </w:trPr>
        <w:tc>
          <w:tcPr>
            <w:tcW w:w="8685" w:type="dxa"/>
            <w:gridSpan w:val="2"/>
          </w:tcPr>
          <w:p w:rsidR="005658FD" w:rsidRDefault="00E057FD">
            <w:r>
              <w:t xml:space="preserve">Lugar: los insumos deberán entregarse en el lugar que determine la orden de compra emitida por el Ministerio de Salud Pública. </w:t>
            </w:r>
          </w:p>
          <w:p w:rsidR="005658FD" w:rsidRDefault="00E057FD">
            <w:r>
              <w:t xml:space="preserve">Plazo: El plazo para la entrega de los bienes será de 5 (cinco) días </w:t>
            </w:r>
            <w:r>
              <w:t>hábiles como máximo a partir de emitida la orden de compra por el organismo solicitante.</w:t>
            </w:r>
          </w:p>
        </w:tc>
      </w:tr>
    </w:tbl>
    <w:p w:rsidR="005658FD" w:rsidRDefault="005658FD"/>
    <w:tbl>
      <w:tblPr>
        <w:tblW w:w="8715" w:type="dxa"/>
        <w:tblInd w:w="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10"/>
        <w:gridCol w:w="5205"/>
      </w:tblGrid>
      <w:tr w:rsidR="005658FD">
        <w:trPr>
          <w:gridAfter w:val="1"/>
          <w:wAfter w:w="5205" w:type="dxa"/>
          <w:trHeight w:val="487"/>
        </w:trPr>
        <w:tc>
          <w:tcPr>
            <w:tcW w:w="3510" w:type="dxa"/>
          </w:tcPr>
          <w:p w:rsidR="005658FD" w:rsidRDefault="00E057FD">
            <w:pPr>
              <w:tabs>
                <w:tab w:val="left" w:pos="2220"/>
              </w:tabs>
              <w:rPr>
                <w:b/>
              </w:rPr>
            </w:pPr>
            <w:r>
              <w:rPr>
                <w:b/>
              </w:rPr>
              <w:t>Forma de cotización</w:t>
            </w:r>
          </w:p>
        </w:tc>
      </w:tr>
      <w:tr w:rsidR="005658FD">
        <w:trPr>
          <w:trHeight w:val="2190"/>
        </w:trPr>
        <w:tc>
          <w:tcPr>
            <w:tcW w:w="8715" w:type="dxa"/>
            <w:gridSpan w:val="2"/>
          </w:tcPr>
          <w:p w:rsidR="005658FD" w:rsidRDefault="00E057FD">
            <w:r>
              <w:t xml:space="preserve">Sólo se aceptarán cotizaciones en condiciones plaza. </w:t>
            </w:r>
          </w:p>
          <w:p w:rsidR="005658FD" w:rsidRDefault="00E057FD">
            <w:r>
              <w:t>Los precios deben cotizarse en</w:t>
            </w:r>
            <w:r>
              <w:rPr>
                <w:lang w:val="es-UY"/>
              </w:rPr>
              <w:t xml:space="preserve"> </w:t>
            </w:r>
            <w:r>
              <w:t>USD. (</w:t>
            </w:r>
            <w:proofErr w:type="gramStart"/>
            <w:r>
              <w:t>dólares</w:t>
            </w:r>
            <w:proofErr w:type="gramEnd"/>
            <w:r>
              <w:t xml:space="preserve"> americanos), </w:t>
            </w:r>
            <w:r>
              <w:rPr>
                <w:lang w:val="es-UY"/>
              </w:rPr>
              <w:t>e</w:t>
            </w:r>
            <w:r>
              <w:t xml:space="preserve">l dólar al que se hace referencia es al dólar billete del Banco Central del Uruguay. </w:t>
            </w:r>
          </w:p>
          <w:p w:rsidR="005658FD" w:rsidRDefault="00E057FD">
            <w:pPr>
              <w:jc w:val="both"/>
            </w:pPr>
            <w:r>
              <w:t>Se deberán cotizar precios unitarios, desglosando impuestos. Cuando el oferente no deje constancia expresa al respecto, se considerarán dichos impuestos incluidos en el p</w:t>
            </w:r>
            <w:r>
              <w:t>recio cotizado. Asimismo, se deben incluir todos los gastos que cubran la entrega del bien (flete, descarga).</w:t>
            </w:r>
          </w:p>
          <w:p w:rsidR="005658FD" w:rsidRDefault="00E057FD">
            <w:r>
              <w:t>Los precios cotizados serán firmes.</w:t>
            </w:r>
          </w:p>
        </w:tc>
      </w:tr>
    </w:tbl>
    <w:p w:rsidR="005658FD" w:rsidRDefault="005658FD"/>
    <w:sectPr w:rsidR="005658FD">
      <w:headerReference w:type="default" r:id="rId9"/>
      <w:pgSz w:w="11906" w:h="16838"/>
      <w:pgMar w:top="281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57FD" w:rsidRDefault="00E057FD">
      <w:pPr>
        <w:spacing w:line="240" w:lineRule="auto"/>
      </w:pPr>
      <w:r>
        <w:separator/>
      </w:r>
    </w:p>
  </w:endnote>
  <w:endnote w:type="continuationSeparator" w:id="0">
    <w:p w:rsidR="00E057FD" w:rsidRDefault="00E057F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57FD" w:rsidRDefault="00E057FD">
      <w:pPr>
        <w:spacing w:after="0" w:line="240" w:lineRule="auto"/>
      </w:pPr>
      <w:r>
        <w:separator/>
      </w:r>
    </w:p>
  </w:footnote>
  <w:footnote w:type="continuationSeparator" w:id="0">
    <w:p w:rsidR="00E057FD" w:rsidRDefault="00E057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8FD" w:rsidRDefault="00E057FD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9264" behindDoc="1" locked="0" layoutInCell="1" allowOverlap="0">
          <wp:simplePos x="0" y="0"/>
          <wp:positionH relativeFrom="page">
            <wp:posOffset>2684780</wp:posOffset>
          </wp:positionH>
          <wp:positionV relativeFrom="page">
            <wp:posOffset>563880</wp:posOffset>
          </wp:positionV>
          <wp:extent cx="2105660" cy="1065530"/>
          <wp:effectExtent l="0" t="0" r="8890" b="1270"/>
          <wp:wrapSquare wrapText="bothSides"/>
          <wp:docPr id="25" name="Imagen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Imagen 2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5660" cy="1065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178"/>
    <w:rsid w:val="0008530B"/>
    <w:rsid w:val="001C54BD"/>
    <w:rsid w:val="001E5747"/>
    <w:rsid w:val="0021616E"/>
    <w:rsid w:val="00362096"/>
    <w:rsid w:val="00371F29"/>
    <w:rsid w:val="003948C9"/>
    <w:rsid w:val="003B7DF4"/>
    <w:rsid w:val="00525292"/>
    <w:rsid w:val="00537F4D"/>
    <w:rsid w:val="005658FD"/>
    <w:rsid w:val="00586124"/>
    <w:rsid w:val="005E3AFE"/>
    <w:rsid w:val="00605D11"/>
    <w:rsid w:val="00650BAC"/>
    <w:rsid w:val="00687FB7"/>
    <w:rsid w:val="006B06FB"/>
    <w:rsid w:val="007F33DF"/>
    <w:rsid w:val="008D627E"/>
    <w:rsid w:val="00924230"/>
    <w:rsid w:val="00A31A19"/>
    <w:rsid w:val="00A366FD"/>
    <w:rsid w:val="00A73D8F"/>
    <w:rsid w:val="00AA7513"/>
    <w:rsid w:val="00B42278"/>
    <w:rsid w:val="00B50ECE"/>
    <w:rsid w:val="00BB7075"/>
    <w:rsid w:val="00C06254"/>
    <w:rsid w:val="00C303E1"/>
    <w:rsid w:val="00C77109"/>
    <w:rsid w:val="00CC3A1E"/>
    <w:rsid w:val="00CD0847"/>
    <w:rsid w:val="00D31F91"/>
    <w:rsid w:val="00D9734C"/>
    <w:rsid w:val="00DA6348"/>
    <w:rsid w:val="00DF7F76"/>
    <w:rsid w:val="00E057FD"/>
    <w:rsid w:val="00EB20D8"/>
    <w:rsid w:val="00EE2178"/>
    <w:rsid w:val="00F5027B"/>
    <w:rsid w:val="00FA69C8"/>
    <w:rsid w:val="00FB316C"/>
    <w:rsid w:val="00FC7C86"/>
    <w:rsid w:val="00FE0C17"/>
    <w:rsid w:val="434C0B17"/>
    <w:rsid w:val="70771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qFormat/>
    <w:pPr>
      <w:tabs>
        <w:tab w:val="center" w:pos="4252"/>
        <w:tab w:val="right" w:pos="8504"/>
      </w:tabs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qFormat/>
    <w:pPr>
      <w:tabs>
        <w:tab w:val="center" w:pos="4252"/>
        <w:tab w:val="right" w:pos="8504"/>
      </w:tabs>
      <w:spacing w:after="0" w:line="240" w:lineRule="auto"/>
    </w:pPr>
  </w:style>
  <w:style w:type="table" w:styleId="Tablaconcuadrcula">
    <w:name w:val="Table Grid"/>
    <w:basedOn w:val="Tablanormal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cabezadoCar">
    <w:name w:val="Encabezado Car"/>
    <w:basedOn w:val="Fuentedeprrafopredeter"/>
    <w:link w:val="Encabezado"/>
    <w:uiPriority w:val="99"/>
  </w:style>
  <w:style w:type="character" w:customStyle="1" w:styleId="PiedepginaCar">
    <w:name w:val="Pie de página Car"/>
    <w:basedOn w:val="Fuentedeprrafopredeter"/>
    <w:link w:val="Piedepgina"/>
    <w:uiPriority w:val="99"/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qFormat/>
    <w:pPr>
      <w:tabs>
        <w:tab w:val="center" w:pos="4252"/>
        <w:tab w:val="right" w:pos="8504"/>
      </w:tabs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qFormat/>
    <w:pPr>
      <w:tabs>
        <w:tab w:val="center" w:pos="4252"/>
        <w:tab w:val="right" w:pos="8504"/>
      </w:tabs>
      <w:spacing w:after="0" w:line="240" w:lineRule="auto"/>
    </w:pPr>
  </w:style>
  <w:style w:type="table" w:styleId="Tablaconcuadrcula">
    <w:name w:val="Table Grid"/>
    <w:basedOn w:val="Tablanormal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cabezadoCar">
    <w:name w:val="Encabezado Car"/>
    <w:basedOn w:val="Fuentedeprrafopredeter"/>
    <w:link w:val="Encabezado"/>
    <w:uiPriority w:val="99"/>
  </w:style>
  <w:style w:type="character" w:customStyle="1" w:styleId="PiedepginaCar">
    <w:name w:val="Pie de página Car"/>
    <w:basedOn w:val="Fuentedeprrafopredeter"/>
    <w:link w:val="Piedepgina"/>
    <w:uiPriority w:val="99"/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prasestatales.gub.uy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noelia.dasouza</dc:creator>
  <cp:lastModifiedBy>eleonora.britos</cp:lastModifiedBy>
  <cp:revision>2</cp:revision>
  <cp:lastPrinted>2021-02-03T17:39:00Z</cp:lastPrinted>
  <dcterms:created xsi:type="dcterms:W3CDTF">2021-04-09T21:37:00Z</dcterms:created>
  <dcterms:modified xsi:type="dcterms:W3CDTF">2021-04-09T21:37:00Z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3082-11.2.0.10101</vt:lpwstr>
  </property>
</Properties>
</file>