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186" w:rsidRDefault="000A1F29">
      <w:pPr>
        <w:spacing w:line="276" w:lineRule="auto"/>
        <w:jc w:val="center"/>
      </w:pPr>
      <w:r>
        <w:rPr>
          <w:noProof/>
          <w:lang w:val="en-US"/>
        </w:rPr>
        <w:drawing>
          <wp:anchor distT="0" distB="0" distL="0" distR="0" simplePos="0" relativeHeight="2" behindDoc="0" locked="0" layoutInCell="1" allowOverlap="1">
            <wp:simplePos x="0" y="0"/>
            <wp:positionH relativeFrom="column">
              <wp:posOffset>-22860</wp:posOffset>
            </wp:positionH>
            <wp:positionV relativeFrom="paragraph">
              <wp:posOffset>242570</wp:posOffset>
            </wp:positionV>
            <wp:extent cx="97155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6"/>
                    <a:srcRect l="-285" t="-235" r="-285" b="-235"/>
                    <a:stretch>
                      <a:fillRect/>
                    </a:stretch>
                  </pic:blipFill>
                  <pic:spPr bwMode="auto">
                    <a:xfrm>
                      <a:off x="0" y="0"/>
                      <a:ext cx="971550" cy="1181100"/>
                    </a:xfrm>
                    <a:prstGeom prst="rect">
                      <a:avLst/>
                    </a:prstGeom>
                  </pic:spPr>
                </pic:pic>
              </a:graphicData>
            </a:graphic>
          </wp:anchor>
        </w:drawing>
      </w:r>
    </w:p>
    <w:p w:rsidR="00FE7186" w:rsidRDefault="000A1F29">
      <w:pPr>
        <w:spacing w:line="276" w:lineRule="auto"/>
        <w:jc w:val="right"/>
        <w:rPr>
          <w:rFonts w:ascii="Times New Roman" w:hAnsi="Times New Roman" w:cs="Times New Roman"/>
          <w:sz w:val="18"/>
          <w:szCs w:val="18"/>
        </w:rPr>
      </w:pPr>
      <w:r>
        <w:rPr>
          <w:noProof/>
          <w:lang w:val="en-US"/>
        </w:rPr>
        <w:drawing>
          <wp:inline distT="0" distB="0" distL="0" distR="0">
            <wp:extent cx="1532255" cy="1014730"/>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7"/>
                    <a:stretch>
                      <a:fillRect/>
                    </a:stretch>
                  </pic:blipFill>
                  <pic:spPr bwMode="auto">
                    <a:xfrm>
                      <a:off x="0" y="0"/>
                      <a:ext cx="1532255" cy="1014730"/>
                    </a:xfrm>
                    <a:prstGeom prst="rect">
                      <a:avLst/>
                    </a:prstGeom>
                  </pic:spPr>
                </pic:pic>
              </a:graphicData>
            </a:graphic>
          </wp:inline>
        </w:drawing>
      </w:r>
    </w:p>
    <w:p w:rsidR="00FE7186" w:rsidRDefault="000A1F29">
      <w:pPr>
        <w:spacing w:line="276" w:lineRule="auto"/>
        <w:ind w:left="2124"/>
        <w:rPr>
          <w:rFonts w:ascii="Times New Roman" w:hAnsi="Times New Roman" w:cs="Times New Roman"/>
        </w:rPr>
      </w:pPr>
      <w:r>
        <w:rPr>
          <w:rFonts w:ascii="Times New Roman" w:hAnsi="Times New Roman" w:cs="Times New Roman"/>
          <w:i/>
          <w:sz w:val="36"/>
          <w:szCs w:val="18"/>
          <w:lang w:eastAsia="es-UY"/>
        </w:rPr>
        <w:t>República Oriental del Uruguay</w:t>
      </w:r>
    </w:p>
    <w:p w:rsidR="00FE7186" w:rsidRDefault="000A1F29">
      <w:pPr>
        <w:spacing w:line="276" w:lineRule="auto"/>
        <w:ind w:left="2832"/>
        <w:rPr>
          <w:rFonts w:ascii="Times New Roman" w:hAnsi="Times New Roman" w:cs="Times New Roman"/>
        </w:rPr>
      </w:pPr>
      <w:r>
        <w:rPr>
          <w:rFonts w:ascii="Times New Roman" w:hAnsi="Times New Roman" w:cs="Times New Roman"/>
          <w:i/>
          <w:sz w:val="36"/>
          <w:szCs w:val="18"/>
          <w:lang w:eastAsia="es-UY"/>
        </w:rPr>
        <w:t>Armada Nacional</w:t>
      </w:r>
    </w:p>
    <w:p w:rsidR="00FE7186" w:rsidRDefault="00FE7186">
      <w:pPr>
        <w:spacing w:line="276" w:lineRule="auto"/>
        <w:jc w:val="center"/>
        <w:rPr>
          <w:rFonts w:ascii="Times New Roman" w:hAnsi="Times New Roman" w:cs="Times New Roman"/>
          <w:i/>
          <w:sz w:val="36"/>
          <w:szCs w:val="18"/>
          <w:lang w:eastAsia="es-UY"/>
        </w:rPr>
      </w:pPr>
    </w:p>
    <w:p w:rsidR="00FE7186" w:rsidRDefault="000A1F29">
      <w:pPr>
        <w:spacing w:line="276" w:lineRule="auto"/>
        <w:rPr>
          <w:rFonts w:ascii="Times New Roman" w:hAnsi="Times New Roman" w:cs="Times New Roman"/>
        </w:rPr>
      </w:pPr>
      <w:r>
        <w:rPr>
          <w:rFonts w:ascii="Times New Roman" w:hAnsi="Times New Roman" w:cs="Times New Roman"/>
        </w:rPr>
        <w:t xml:space="preserve">1. OBJETO DE LA CONTRATACIÓN. </w:t>
      </w:r>
    </w:p>
    <w:tbl>
      <w:tblPr>
        <w:tblW w:w="10930" w:type="dxa"/>
        <w:tblInd w:w="-15"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410"/>
        <w:gridCol w:w="802"/>
        <w:gridCol w:w="2204"/>
        <w:gridCol w:w="6379"/>
        <w:gridCol w:w="1135"/>
      </w:tblGrid>
      <w:tr w:rsidR="00FE7186">
        <w:trPr>
          <w:trHeight w:val="592"/>
        </w:trPr>
        <w:tc>
          <w:tcPr>
            <w:tcW w:w="410"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FE7186" w:rsidRDefault="000A1F29">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Ítem</w:t>
            </w:r>
          </w:p>
        </w:tc>
        <w:tc>
          <w:tcPr>
            <w:tcW w:w="802"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FE7186" w:rsidRDefault="000A1F29">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SICE</w:t>
            </w:r>
          </w:p>
        </w:tc>
        <w:tc>
          <w:tcPr>
            <w:tcW w:w="2204"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FE7186" w:rsidRDefault="000A1F29">
            <w:pPr>
              <w:spacing w:after="0" w:line="240" w:lineRule="auto"/>
              <w:jc w:val="center"/>
            </w:pPr>
            <w:r>
              <w:rPr>
                <w:rFonts w:ascii="Arial Narrow" w:eastAsia="Times New Roman" w:hAnsi="Arial Narrow" w:cs="Times New Roman"/>
                <w:b/>
                <w:bCs/>
                <w:color w:val="000000"/>
                <w:sz w:val="20"/>
                <w:szCs w:val="20"/>
                <w:lang w:eastAsia="es-ES"/>
              </w:rPr>
              <w:t>ARTICULO</w:t>
            </w:r>
          </w:p>
        </w:tc>
        <w:tc>
          <w:tcPr>
            <w:tcW w:w="6379"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FE7186" w:rsidRDefault="000A1F29">
            <w:pPr>
              <w:spacing w:after="0" w:line="240" w:lineRule="auto"/>
              <w:jc w:val="center"/>
            </w:pPr>
            <w:r>
              <w:rPr>
                <w:rFonts w:ascii="Arial Narrow" w:eastAsia="Times New Roman" w:hAnsi="Arial Narrow" w:cs="Times New Roman"/>
                <w:b/>
                <w:bCs/>
                <w:color w:val="000000"/>
                <w:sz w:val="20"/>
                <w:szCs w:val="20"/>
                <w:lang w:eastAsia="es-ES"/>
              </w:rPr>
              <w:t>DESCRIPCION</w:t>
            </w:r>
          </w:p>
        </w:tc>
        <w:tc>
          <w:tcPr>
            <w:tcW w:w="1135"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FE7186" w:rsidRDefault="000A1F29">
            <w:pPr>
              <w:spacing w:after="0" w:line="240" w:lineRule="auto"/>
              <w:jc w:val="center"/>
              <w:rPr>
                <w:rFonts w:eastAsia="Times New Roman" w:cs="Times New Roman"/>
                <w:sz w:val="20"/>
                <w:szCs w:val="20"/>
                <w:lang w:eastAsia="es-ES"/>
              </w:rPr>
            </w:pPr>
            <w:r>
              <w:rPr>
                <w:rFonts w:ascii="Arial Narrow" w:eastAsia="Times New Roman" w:hAnsi="Arial Narrow" w:cs="Times New Roman"/>
                <w:b/>
                <w:bCs/>
                <w:color w:val="000000"/>
                <w:sz w:val="20"/>
                <w:szCs w:val="20"/>
                <w:lang w:eastAsia="es-ES"/>
              </w:rPr>
              <w:t>CANTIDAD.</w:t>
            </w:r>
          </w:p>
        </w:tc>
      </w:tr>
      <w:tr w:rsidR="00FE7186">
        <w:trPr>
          <w:trHeight w:val="567"/>
        </w:trPr>
        <w:tc>
          <w:tcPr>
            <w:tcW w:w="410" w:type="dxa"/>
            <w:tcBorders>
              <w:top w:val="single" w:sz="12" w:space="0" w:color="000001"/>
              <w:left w:val="single" w:sz="6" w:space="0" w:color="000001"/>
              <w:bottom w:val="single" w:sz="6" w:space="0" w:color="000001"/>
              <w:right w:val="single" w:sz="6" w:space="0" w:color="000001"/>
            </w:tcBorders>
            <w:shd w:val="clear" w:color="auto" w:fill="auto"/>
            <w:vAlign w:val="center"/>
          </w:tcPr>
          <w:p w:rsidR="00FE7186" w:rsidRDefault="000A1F29">
            <w:pPr>
              <w:spacing w:after="0" w:line="240" w:lineRule="auto"/>
              <w:jc w:val="center"/>
              <w:rPr>
                <w:rFonts w:asciiTheme="minorHAnsi" w:eastAsia="Times New Roman" w:hAnsiTheme="minorHAnsi" w:cstheme="minorHAnsi"/>
                <w:lang w:eastAsia="es-ES"/>
              </w:rPr>
            </w:pPr>
            <w:r>
              <w:rPr>
                <w:rFonts w:eastAsia="Times New Roman" w:cstheme="minorHAnsi"/>
                <w:lang w:eastAsia="es-ES"/>
              </w:rPr>
              <w:t>1</w:t>
            </w:r>
          </w:p>
        </w:tc>
        <w:tc>
          <w:tcPr>
            <w:tcW w:w="802" w:type="dxa"/>
            <w:tcBorders>
              <w:top w:val="single" w:sz="12" w:space="0" w:color="000001"/>
              <w:left w:val="single" w:sz="6" w:space="0" w:color="000001"/>
              <w:bottom w:val="single" w:sz="6" w:space="0" w:color="000001"/>
              <w:right w:val="single" w:sz="6" w:space="0" w:color="000001"/>
            </w:tcBorders>
            <w:shd w:val="clear" w:color="auto" w:fill="auto"/>
            <w:vAlign w:val="center"/>
          </w:tcPr>
          <w:p w:rsidR="00FE7186" w:rsidRDefault="000A1F29">
            <w:pPr>
              <w:spacing w:after="0" w:line="240" w:lineRule="auto"/>
              <w:jc w:val="center"/>
            </w:pPr>
            <w:r>
              <w:rPr>
                <w:rFonts w:eastAsia="Times New Roman" w:cstheme="minorHAnsi"/>
                <w:color w:val="000000"/>
                <w:lang w:eastAsia="es-ES"/>
              </w:rPr>
              <w:t>67599</w:t>
            </w:r>
          </w:p>
        </w:tc>
        <w:tc>
          <w:tcPr>
            <w:tcW w:w="2204" w:type="dxa"/>
            <w:tcBorders>
              <w:top w:val="single" w:sz="12" w:space="0" w:color="000001"/>
              <w:left w:val="single" w:sz="6" w:space="0" w:color="000001"/>
              <w:bottom w:val="single" w:sz="6" w:space="0" w:color="000001"/>
              <w:right w:val="single" w:sz="6" w:space="0" w:color="000001"/>
            </w:tcBorders>
            <w:shd w:val="clear" w:color="auto" w:fill="FFFFFF" w:themeFill="background1"/>
            <w:vAlign w:val="center"/>
          </w:tcPr>
          <w:p w:rsidR="00FE7186" w:rsidRDefault="000A1F29">
            <w:pPr>
              <w:spacing w:after="0" w:line="240" w:lineRule="auto"/>
              <w:jc w:val="center"/>
              <w:rPr>
                <w:rFonts w:asciiTheme="minorHAnsi" w:hAnsiTheme="minorHAnsi" w:cstheme="minorHAnsi"/>
              </w:rPr>
            </w:pPr>
            <w:r>
              <w:rPr>
                <w:rFonts w:eastAsia="Times New Roman" w:cstheme="minorHAnsi"/>
                <w:color w:val="000000"/>
                <w:lang w:eastAsia="es-ES"/>
              </w:rPr>
              <w:t>DISPENSADOR DE AGUA PARA TERMOS</w:t>
            </w:r>
          </w:p>
        </w:tc>
        <w:tc>
          <w:tcPr>
            <w:tcW w:w="6379" w:type="dxa"/>
            <w:tcBorders>
              <w:top w:val="single" w:sz="12" w:space="0" w:color="000001"/>
              <w:left w:val="single" w:sz="6" w:space="0" w:color="000001"/>
              <w:bottom w:val="single" w:sz="6" w:space="0" w:color="000001"/>
              <w:right w:val="single" w:sz="6" w:space="0" w:color="000001"/>
            </w:tcBorders>
            <w:shd w:val="clear" w:color="auto" w:fill="auto"/>
            <w:vAlign w:val="center"/>
          </w:tcPr>
          <w:p w:rsidR="00FE7186" w:rsidRDefault="000A1F29">
            <w:pPr>
              <w:pStyle w:val="Prrafodelista"/>
              <w:numPr>
                <w:ilvl w:val="0"/>
                <w:numId w:val="2"/>
              </w:numPr>
              <w:spacing w:after="0" w:line="240" w:lineRule="auto"/>
              <w:rPr>
                <w:rFonts w:asciiTheme="minorHAnsi" w:hAnsiTheme="minorHAnsi" w:cstheme="minorHAnsi"/>
              </w:rPr>
            </w:pPr>
            <w:r>
              <w:rPr>
                <w:rFonts w:cstheme="minorHAnsi"/>
              </w:rPr>
              <w:t xml:space="preserve">Construido todo en acero </w:t>
            </w:r>
            <w:proofErr w:type="spellStart"/>
            <w:r>
              <w:rPr>
                <w:rFonts w:cstheme="minorHAnsi"/>
              </w:rPr>
              <w:t>inox</w:t>
            </w:r>
            <w:proofErr w:type="spellEnd"/>
            <w:r>
              <w:rPr>
                <w:rFonts w:cstheme="minorHAnsi"/>
              </w:rPr>
              <w:t>.</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Con instalación.</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Rapidez de respuesta para brindar agua caliente en forma casi continua (con pequeños intervalos)</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Medidas aproximadas: 42 (frente) 42 (profundidad) x 130 (alto) con base</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 xml:space="preserve">Con filtro de agua recambiable </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Con luz indicadora para dar una idea de temperatura</w:t>
            </w:r>
          </w:p>
          <w:p w:rsidR="00FE7186" w:rsidRDefault="000A1F29">
            <w:pPr>
              <w:pStyle w:val="Prrafodelista"/>
              <w:numPr>
                <w:ilvl w:val="0"/>
                <w:numId w:val="2"/>
              </w:numPr>
              <w:spacing w:after="0" w:line="240" w:lineRule="auto"/>
              <w:rPr>
                <w:rFonts w:asciiTheme="minorHAnsi" w:hAnsiTheme="minorHAnsi" w:cstheme="minorHAnsi"/>
              </w:rPr>
            </w:pPr>
            <w:r>
              <w:rPr>
                <w:rFonts w:cstheme="minorHAnsi"/>
              </w:rPr>
              <w:t>Con capacidad de erogar 5 termos seguidos (uno tras otro, sin intervalo) antes de encender la luz.</w:t>
            </w:r>
          </w:p>
        </w:tc>
        <w:tc>
          <w:tcPr>
            <w:tcW w:w="1135" w:type="dxa"/>
            <w:tcBorders>
              <w:top w:val="single" w:sz="12" w:space="0" w:color="000001"/>
              <w:left w:val="single" w:sz="6" w:space="0" w:color="000001"/>
              <w:bottom w:val="single" w:sz="6" w:space="0" w:color="000001"/>
              <w:right w:val="single" w:sz="6" w:space="0" w:color="000001"/>
            </w:tcBorders>
            <w:shd w:val="clear" w:color="auto" w:fill="auto"/>
            <w:vAlign w:val="center"/>
          </w:tcPr>
          <w:p w:rsidR="00FE7186" w:rsidRDefault="000A1F29">
            <w:pPr>
              <w:spacing w:after="0" w:line="240" w:lineRule="auto"/>
              <w:jc w:val="center"/>
              <w:rPr>
                <w:rFonts w:asciiTheme="minorHAnsi" w:hAnsiTheme="minorHAnsi" w:cstheme="minorHAnsi"/>
              </w:rPr>
            </w:pPr>
            <w:r>
              <w:rPr>
                <w:rFonts w:eastAsia="Times New Roman" w:cstheme="minorHAnsi"/>
                <w:color w:val="000000"/>
                <w:lang w:eastAsia="es-ES"/>
              </w:rPr>
              <w:t>1</w:t>
            </w:r>
          </w:p>
        </w:tc>
      </w:tr>
    </w:tbl>
    <w:p w:rsidR="00FE7186" w:rsidRDefault="00FE7186">
      <w:pPr>
        <w:spacing w:line="276" w:lineRule="auto"/>
        <w:jc w:val="both"/>
        <w:rPr>
          <w:rFonts w:ascii="Times New Roman" w:hAnsi="Times New Roman" w:cs="Times New Roman"/>
        </w:rPr>
      </w:pPr>
    </w:p>
    <w:p w:rsidR="00FE7186" w:rsidRDefault="000A1F29">
      <w:pPr>
        <w:spacing w:line="276" w:lineRule="auto"/>
        <w:jc w:val="both"/>
        <w:rPr>
          <w:rFonts w:ascii="Times New Roman" w:hAnsi="Times New Roman" w:cs="Times New Roman"/>
        </w:rPr>
      </w:pPr>
      <w:r>
        <w:rPr>
          <w:rFonts w:ascii="Times New Roman" w:hAnsi="Times New Roman" w:cs="Times New Roman"/>
        </w:rPr>
        <w:t>2. La apertura de ofertas será exclusivamente electrónica, y los proveedores que deseen ofertar, deberán estar en estado ACTIVO en el RUPE.</w:t>
      </w:r>
    </w:p>
    <w:p w:rsidR="00FE7186" w:rsidRDefault="000A1F29">
      <w:pPr>
        <w:widowControl w:val="0"/>
        <w:tabs>
          <w:tab w:val="left" w:pos="426"/>
        </w:tabs>
        <w:suppressAutoHyphens/>
        <w:spacing w:after="0" w:line="276" w:lineRule="auto"/>
        <w:jc w:val="both"/>
      </w:pPr>
      <w:r>
        <w:rPr>
          <w:rFonts w:ascii="Times New Roman" w:hAnsi="Times New Roman" w:cs="Times New Roman"/>
        </w:rPr>
        <w:t xml:space="preserve">3. Las propuestas deberán ser ingresadas directamente por el proveedor, </w:t>
      </w:r>
      <w:r>
        <w:rPr>
          <w:rFonts w:ascii="Times New Roman" w:eastAsia="Times New Roman" w:hAnsi="Times New Roman" w:cs="Times New Roman"/>
        </w:rPr>
        <w:t xml:space="preserve">mediante el ingreso de las mismas en el sitio 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FE7186" w:rsidRDefault="000A1F29">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FE7186" w:rsidRDefault="000A1F29">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 xml:space="preserve">deberán </w:t>
      </w:r>
      <w:r>
        <w:rPr>
          <w:rFonts w:ascii="Times New Roman" w:hAnsi="Times New Roman" w:cs="Times New Roman"/>
        </w:rPr>
        <w:t>ser visibles tanto para la Administración como para los demás oferentes a fin de garantizar la transparencia en el procedimiento.</w:t>
      </w:r>
    </w:p>
    <w:p w:rsidR="00FE7186" w:rsidRDefault="000A1F29">
      <w:pPr>
        <w:spacing w:line="276" w:lineRule="auto"/>
        <w:jc w:val="both"/>
      </w:pPr>
      <w:r>
        <w:rPr>
          <w:rFonts w:ascii="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FE7186" w:rsidRDefault="000A1F29">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en línea y el archivo adjunto a la oferta, se tomara como valido lo ofertado en línea</w:t>
      </w:r>
      <w:r>
        <w:rPr>
          <w:rFonts w:ascii="Times New Roman" w:hAnsi="Times New Roman" w:cs="Times New Roman"/>
          <w:highlight w:val="white"/>
        </w:rPr>
        <w:t>.</w:t>
      </w:r>
    </w:p>
    <w:p w:rsidR="00FE7186" w:rsidRDefault="000A1F29">
      <w:pPr>
        <w:tabs>
          <w:tab w:val="left" w:pos="142"/>
        </w:tabs>
        <w:spacing w:line="276" w:lineRule="auto"/>
        <w:jc w:val="both"/>
        <w:rPr>
          <w:rFonts w:ascii="Times New Roman" w:hAnsi="Times New Roman" w:cs="Times New Roman"/>
        </w:rPr>
      </w:pPr>
      <w:r>
        <w:rPr>
          <w:rFonts w:ascii="Times New Roman" w:hAnsi="Times New Roman" w:cs="Times New Roman"/>
          <w:highlight w:val="white"/>
        </w:rPr>
        <w:t xml:space="preserve">4. No se tomarán en cuenta las propuestas no </w:t>
      </w:r>
      <w:r>
        <w:rPr>
          <w:rFonts w:ascii="Times New Roman" w:hAnsi="Times New Roman" w:cs="Times New Roman"/>
        </w:rPr>
        <w:t xml:space="preserve">ingresadas por el proveedor en el Sistema de Compras Estatales.  </w:t>
      </w:r>
    </w:p>
    <w:p w:rsidR="00FE7186" w:rsidRDefault="000A1F29">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rsidR="00FE7186" w:rsidRDefault="000A1F29">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LUEGO DEL INGRESO DE LA OFERTA, NO PODRÁN ADUCIRSE DESCONOCIMIENTOS SOBRE EL PROCEDIMIENTO QUE DEBÍA SEGUIRSE.</w:t>
      </w:r>
    </w:p>
    <w:p w:rsidR="00FE7186" w:rsidRDefault="000A1F29">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por parte del oferente y obligándose al cumplimiento de los mismos.</w:t>
      </w:r>
    </w:p>
    <w:p w:rsidR="00FE7186" w:rsidRDefault="000A1F29">
      <w:pPr>
        <w:spacing w:line="276" w:lineRule="auto"/>
        <w:jc w:val="both"/>
      </w:pPr>
      <w:r>
        <w:rPr>
          <w:rFonts w:ascii="Times New Roman" w:hAnsi="Times New Roman" w:cs="Times New Roman"/>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FE7186" w:rsidRDefault="000A1F29">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FE7186" w:rsidRDefault="000A1F29">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FE7186" w:rsidRDefault="000A1F29">
      <w:pPr>
        <w:spacing w:line="276" w:lineRule="auto"/>
        <w:jc w:val="both"/>
      </w:pPr>
      <w:r>
        <w:rPr>
          <w:rFonts w:ascii="Times New Roman" w:hAnsi="Times New Roman" w:cs="Times New Roman"/>
        </w:rPr>
        <w:t xml:space="preserve">6. No serán tenidas en cuenta las ofertas que sean recibidas por otros medios. </w:t>
      </w:r>
    </w:p>
    <w:p w:rsidR="00FE7186" w:rsidRDefault="000A1F29">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FE7186" w:rsidRDefault="000A1F29">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FE7186" w:rsidRDefault="000A1F29">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FE7186" w:rsidRDefault="000A1F29">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FE7186" w:rsidRDefault="00FE7186">
      <w:pPr>
        <w:spacing w:line="276" w:lineRule="auto"/>
        <w:jc w:val="both"/>
        <w:rPr>
          <w:rFonts w:ascii="Times New Roman" w:hAnsi="Times New Roman" w:cs="Times New Roman"/>
        </w:rPr>
      </w:pPr>
    </w:p>
    <w:p w:rsidR="00FE7186" w:rsidRDefault="000A1F29">
      <w:pPr>
        <w:spacing w:line="276" w:lineRule="auto"/>
        <w:jc w:val="both"/>
      </w:pPr>
      <w:r>
        <w:rPr>
          <w:rFonts w:ascii="Times New Roman" w:hAnsi="Times New Roman" w:cs="Times New Roman"/>
        </w:rPr>
        <w:t xml:space="preserve">7. Abierto el acto de apertura no podrá introducirse modificación alguna en las propuestas. </w:t>
      </w:r>
    </w:p>
    <w:p w:rsidR="00FE7186" w:rsidRDefault="000A1F29">
      <w:pPr>
        <w:spacing w:line="276" w:lineRule="auto"/>
        <w:jc w:val="both"/>
        <w:rPr>
          <w:rFonts w:ascii="Times New Roman" w:hAnsi="Times New Roman" w:cs="Times New Roman"/>
          <w:b/>
          <w:color w:val="000000" w:themeColor="text1"/>
        </w:rPr>
      </w:pPr>
      <w:r>
        <w:rPr>
          <w:rFonts w:ascii="Times New Roman" w:hAnsi="Times New Roman" w:cs="Times New Roman"/>
        </w:rPr>
        <w:t>8. Las consultas sobre especificaciones técnicas se harán al</w:t>
      </w:r>
      <w:bookmarkStart w:id="0" w:name="__DdeLink__797_1849706504"/>
      <w:r>
        <w:rPr>
          <w:rFonts w:ascii="Times New Roman" w:hAnsi="Times New Roman" w:cs="Times New Roman"/>
        </w:rPr>
        <w:t xml:space="preserve"> </w:t>
      </w:r>
      <w:r>
        <w:rPr>
          <w:rFonts w:ascii="Times New Roman" w:hAnsi="Times New Roman" w:cs="Times New Roman"/>
          <w:b/>
          <w:color w:val="000000"/>
          <w:highlight w:val="white"/>
        </w:rPr>
        <w:t>Sr.</w:t>
      </w:r>
      <w:r>
        <w:rPr>
          <w:rFonts w:ascii="Times New Roman" w:hAnsi="Times New Roman" w:cs="Times New Roman"/>
          <w:b/>
          <w:color w:val="000000"/>
        </w:rPr>
        <w:t xml:space="preserve"> CF (CG) Martin PEREYRA al </w:t>
      </w:r>
      <w:bookmarkEnd w:id="0"/>
      <w:proofErr w:type="spellStart"/>
      <w:r>
        <w:rPr>
          <w:rFonts w:ascii="Times New Roman" w:hAnsi="Times New Roman" w:cs="Times New Roman"/>
          <w:b/>
          <w:color w:val="000000"/>
        </w:rPr>
        <w:t>cel</w:t>
      </w:r>
      <w:proofErr w:type="spellEnd"/>
      <w:r>
        <w:rPr>
          <w:rFonts w:ascii="Times New Roman" w:hAnsi="Times New Roman" w:cs="Times New Roman"/>
          <w:b/>
          <w:color w:val="000000"/>
        </w:rPr>
        <w:t xml:space="preserve">: 091 016 </w:t>
      </w:r>
      <w:r w:rsidR="007275B0">
        <w:rPr>
          <w:rFonts w:ascii="Times New Roman" w:hAnsi="Times New Roman" w:cs="Times New Roman"/>
          <w:b/>
          <w:color w:val="000000"/>
        </w:rPr>
        <w:t>754</w:t>
      </w:r>
      <w:bookmarkStart w:id="1" w:name="_GoBack"/>
      <w:bookmarkEnd w:id="1"/>
    </w:p>
    <w:p w:rsidR="00FE7186" w:rsidRDefault="000A1F29">
      <w:pPr>
        <w:spacing w:line="276" w:lineRule="auto"/>
        <w:jc w:val="both"/>
      </w:pPr>
      <w:r>
        <w:rPr>
          <w:rFonts w:ascii="Times New Roman" w:eastAsia="Times New Roman" w:hAnsi="Times New Roman" w:cs="Times New Roman"/>
          <w:color w:val="000000"/>
        </w:rPr>
        <w:t>9.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FE7186" w:rsidRDefault="000A1F29">
      <w:pPr>
        <w:spacing w:line="276" w:lineRule="auto"/>
        <w:jc w:val="both"/>
      </w:pPr>
      <w:r>
        <w:rPr>
          <w:rFonts w:ascii="Times New Roman" w:hAnsi="Times New Roman" w:cs="Times New Roman"/>
        </w:rPr>
        <w:t>10.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w:t>
      </w:r>
    </w:p>
    <w:p w:rsidR="00FE7186" w:rsidRDefault="000A1F29">
      <w:pPr>
        <w:spacing w:line="276" w:lineRule="auto"/>
        <w:jc w:val="both"/>
        <w:rPr>
          <w:rFonts w:ascii="Times New Roman" w:hAnsi="Times New Roman" w:cs="Times New Roman"/>
        </w:rPr>
      </w:pPr>
      <w:r>
        <w:rPr>
          <w:rFonts w:ascii="Times New Roman" w:hAnsi="Times New Roman" w:cs="Times New Roman"/>
        </w:rPr>
        <w:t xml:space="preserve">Toda la información referente a la representación deberá surgir del RUPE. </w:t>
      </w:r>
    </w:p>
    <w:p w:rsidR="00FE7186" w:rsidRDefault="000A1F29">
      <w:pPr>
        <w:spacing w:line="276" w:lineRule="auto"/>
        <w:jc w:val="both"/>
      </w:pPr>
      <w:r>
        <w:rPr>
          <w:rFonts w:ascii="Times New Roman" w:hAnsi="Times New Roman" w:cs="Times New Roman"/>
          <w:bCs/>
        </w:rPr>
        <w:t>11</w:t>
      </w:r>
      <w:r>
        <w:rPr>
          <w:rFonts w:ascii="Times New Roman" w:hAnsi="Times New Roman" w:cs="Times New Roman"/>
          <w:b/>
          <w:bCs/>
        </w:rPr>
        <w:t xml:space="preserve">. </w:t>
      </w:r>
      <w:r>
        <w:rPr>
          <w:rFonts w:ascii="Times New Roman" w:hAnsi="Times New Roman" w:cs="Times New Roman"/>
        </w:rPr>
        <w:t xml:space="preserve">Se deberá cotizar bajo la modalidad </w:t>
      </w:r>
      <w:r>
        <w:rPr>
          <w:rFonts w:ascii="Times New Roman" w:hAnsi="Times New Roman" w:cs="Times New Roman"/>
          <w:b/>
          <w:bCs/>
          <w:color w:val="000000"/>
        </w:rPr>
        <w:t>precio plaza/CIF Montevideo/otra.</w:t>
      </w:r>
    </w:p>
    <w:p w:rsidR="00FE7186" w:rsidRDefault="000A1F29">
      <w:pPr>
        <w:spacing w:line="276" w:lineRule="auto"/>
        <w:jc w:val="both"/>
      </w:pPr>
      <w:r>
        <w:rPr>
          <w:rFonts w:ascii="Times New Roman" w:hAnsi="Times New Roman" w:cs="Times New Roman"/>
          <w:b/>
          <w:bCs/>
        </w:rPr>
        <w:t>- SÓLO MERCADERÍA PARA BUQUES/AERONAVES:</w:t>
      </w:r>
    </w:p>
    <w:p w:rsidR="00FE7186" w:rsidRDefault="000A1F29">
      <w:pPr>
        <w:spacing w:line="276" w:lineRule="auto"/>
        <w:jc w:val="both"/>
      </w:pPr>
      <w:r>
        <w:rPr>
          <w:rFonts w:ascii="Times New Roman" w:hAnsi="Times New Roman" w:cs="Times New Roman"/>
          <w:b/>
          <w:bCs/>
        </w:rPr>
        <w:t>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FE7186" w:rsidRDefault="000A1F29">
      <w:pPr>
        <w:spacing w:line="276" w:lineRule="auto"/>
        <w:jc w:val="both"/>
      </w:pPr>
      <w:r>
        <w:rPr>
          <w:rFonts w:ascii="Times New Roman" w:hAnsi="Times New Roman" w:cs="Times New Roman"/>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FE7186" w:rsidRDefault="000A1F29">
      <w:pPr>
        <w:spacing w:line="276" w:lineRule="auto"/>
        <w:jc w:val="both"/>
      </w:pPr>
      <w:r>
        <w:rPr>
          <w:rFonts w:ascii="Times New Roman" w:hAnsi="Times New Roman" w:cs="Times New Roman"/>
        </w:rPr>
        <w:t xml:space="preserve">13. El plazo de </w:t>
      </w:r>
      <w:r>
        <w:rPr>
          <w:rFonts w:ascii="Times New Roman" w:hAnsi="Times New Roman" w:cs="Times New Roman"/>
          <w:b/>
        </w:rPr>
        <w:t xml:space="preserve">mantenimiento de oferta no podrá ser inferior a </w:t>
      </w:r>
      <w:r>
        <w:rPr>
          <w:rFonts w:ascii="Times New Roman" w:hAnsi="Times New Roman" w:cs="Times New Roman"/>
          <w:b/>
          <w:highlight w:val="white"/>
        </w:rPr>
        <w:t xml:space="preserve">60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FE7186" w:rsidRDefault="000A1F29">
      <w:pPr>
        <w:spacing w:line="276" w:lineRule="auto"/>
        <w:jc w:val="both"/>
        <w:rPr>
          <w:rFonts w:ascii="Times New Roman" w:hAnsi="Times New Roman" w:cs="Times New Roman"/>
        </w:rPr>
      </w:pPr>
      <w:r>
        <w:rPr>
          <w:rFonts w:ascii="Times New Roman" w:hAnsi="Times New Roman" w:cs="Times New Roman"/>
        </w:rPr>
        <w:lastRenderedPageBreak/>
        <w:t xml:space="preserve">En caso de omisión se deberá entender que el plazo durante el cual se mantienen las ofertas y los precios será el mínimo exigido. </w:t>
      </w:r>
    </w:p>
    <w:p w:rsidR="00FE7186" w:rsidRDefault="000A1F29">
      <w:pPr>
        <w:spacing w:line="276" w:lineRule="auto"/>
        <w:jc w:val="both"/>
        <w:rPr>
          <w:rFonts w:ascii="Times New Roman" w:hAnsi="Times New Roman" w:cs="Times New Roman"/>
        </w:rPr>
      </w:pPr>
      <w:r>
        <w:rPr>
          <w:rFonts w:ascii="Times New Roman" w:hAnsi="Times New Roman" w:cs="Times New Roman"/>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FE7186" w:rsidRDefault="000A1F29">
      <w:pPr>
        <w:spacing w:line="276" w:lineRule="auto"/>
        <w:jc w:val="both"/>
      </w:pPr>
      <w:r>
        <w:rPr>
          <w:rFonts w:ascii="Times New Roman" w:hAnsi="Times New Roman" w:cs="Times New Roman"/>
        </w:rPr>
        <w:t>14. La forma de pago será mediant</w:t>
      </w:r>
      <w:r>
        <w:rPr>
          <w:rFonts w:ascii="Times New Roman" w:hAnsi="Times New Roman" w:cs="Times New Roman"/>
          <w:highlight w:val="white"/>
        </w:rPr>
        <w:t xml:space="preserve">e </w:t>
      </w:r>
      <w:r>
        <w:rPr>
          <w:rFonts w:ascii="Times New Roman" w:hAnsi="Times New Roman" w:cs="Times New Roman"/>
          <w:b/>
          <w:color w:val="000000"/>
          <w:highlight w:val="white"/>
        </w:rPr>
        <w:t>CREDITO SIIF</w:t>
      </w:r>
      <w:r>
        <w:rPr>
          <w:rFonts w:ascii="Times New Roman" w:hAnsi="Times New Roman" w:cs="Times New Roman"/>
          <w:b/>
          <w:color w:val="000000"/>
        </w:rPr>
        <w:t>/ APERTURA DE CARTA DE CRÉDITO</w:t>
      </w:r>
      <w:r>
        <w:t>.</w:t>
      </w:r>
    </w:p>
    <w:p w:rsidR="00FE7186" w:rsidRDefault="000A1F29">
      <w:pPr>
        <w:spacing w:line="276" w:lineRule="auto"/>
        <w:jc w:val="both"/>
      </w:pPr>
      <w:r>
        <w:rPr>
          <w:rFonts w:ascii="Times New Roman" w:hAnsi="Times New Roman" w:cs="Times New Roman"/>
        </w:rPr>
        <w:t xml:space="preserve">15. El </w:t>
      </w:r>
      <w:r>
        <w:rPr>
          <w:rFonts w:ascii="Times New Roman" w:hAnsi="Times New Roman" w:cs="Times New Roman"/>
          <w:color w:val="000000"/>
        </w:rPr>
        <w:t xml:space="preserve">plazo de </w:t>
      </w:r>
      <w:r>
        <w:rPr>
          <w:rFonts w:ascii="Times New Roman" w:hAnsi="Times New Roman" w:cs="Times New Roman"/>
          <w:b/>
          <w:color w:val="000000"/>
        </w:rPr>
        <w:t>entrega será 30 días</w:t>
      </w:r>
      <w:r>
        <w:rPr>
          <w:rFonts w:ascii="Times New Roman" w:hAnsi="Times New Roman" w:cs="Times New Roman"/>
          <w:color w:val="000000"/>
        </w:rPr>
        <w:t xml:space="preserve"> contados desde el día siguiente hábil en que se hizo efectiva la entrega de la </w:t>
      </w:r>
      <w:r>
        <w:rPr>
          <w:rFonts w:ascii="Times New Roman" w:hAnsi="Times New Roman" w:cs="Times New Roman"/>
          <w:b/>
          <w:sz w:val="24"/>
          <w:szCs w:val="24"/>
        </w:rPr>
        <w:t>Constancia de Afectación de Crédito (Orden de Compra) / Apertura de la Carta de Crédito.</w:t>
      </w:r>
    </w:p>
    <w:p w:rsidR="00FE7186" w:rsidRDefault="000A1F29">
      <w:pPr>
        <w:spacing w:line="276" w:lineRule="auto"/>
        <w:jc w:val="both"/>
      </w:pPr>
      <w:r>
        <w:rPr>
          <w:rFonts w:ascii="Times New Roman" w:hAnsi="Times New Roman" w:cs="Times New Roman"/>
        </w:rPr>
        <w:t xml:space="preserve">16. La admisión inicial de una propuesta no será obstáculo para su invalidación posterior, si se constataren luego, defectos que violen los requisitos legales o aquellos esenciales contenidos. </w:t>
      </w:r>
    </w:p>
    <w:p w:rsidR="00FE7186" w:rsidRDefault="000A1F29">
      <w:pPr>
        <w:spacing w:line="276" w:lineRule="auto"/>
        <w:jc w:val="both"/>
      </w:pPr>
      <w:r>
        <w:rPr>
          <w:rFonts w:ascii="Times New Roman" w:hAnsi="Times New Roman" w:cs="Times New Roman"/>
        </w:rPr>
        <w:t>17. La Administración se reserva el derecho de evaluar las ofertas de forma global o no y de adjudicar total o parcialmente la oferta.</w:t>
      </w:r>
    </w:p>
    <w:p w:rsidR="00FE7186" w:rsidRDefault="000A1F29">
      <w:pPr>
        <w:spacing w:line="276" w:lineRule="auto"/>
        <w:jc w:val="both"/>
      </w:pPr>
      <w:r>
        <w:rPr>
          <w:rFonts w:ascii="Times New Roman" w:hAnsi="Times New Roman" w:cs="Times New Roman"/>
        </w:rPr>
        <w:t>18.-</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FE7186" w:rsidRDefault="000A1F29">
      <w:pPr>
        <w:spacing w:line="276" w:lineRule="auto"/>
        <w:jc w:val="both"/>
      </w:pPr>
      <w:r>
        <w:rPr>
          <w:rFonts w:ascii="Times New Roman" w:hAnsi="Times New Roman" w:cs="Times New Roman"/>
        </w:rPr>
        <w:t xml:space="preserve">19.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FE7186" w:rsidRDefault="000A1F29">
      <w:pPr>
        <w:spacing w:line="276" w:lineRule="auto"/>
        <w:jc w:val="both"/>
      </w:pPr>
      <w:r>
        <w:rPr>
          <w:rFonts w:ascii="Times New Roman" w:hAnsi="Times New Roman" w:cs="Times New Roman"/>
        </w:rPr>
        <w:t>20.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FE7186">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E4C"/>
    <w:multiLevelType w:val="multilevel"/>
    <w:tmpl w:val="05086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2AB41A7"/>
    <w:multiLevelType w:val="multilevel"/>
    <w:tmpl w:val="E24AEDE4"/>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6FF561BA"/>
    <w:multiLevelType w:val="multilevel"/>
    <w:tmpl w:val="BB3A48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E7186"/>
    <w:rsid w:val="000A1F29"/>
    <w:rsid w:val="007275B0"/>
    <w:rsid w:val="00FE7186"/>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9FA9"/>
  <w15:docId w15:val="{8C1583FF-F446-4EAF-946C-C8CE4929F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Pr>
      <w:rFonts w:ascii="Times New Roman" w:hAnsi="Times New Roman"/>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7964F-D8B2-4B3D-B068-DF6BC90FE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1207</Words>
  <Characters>6883</Characters>
  <Application>Microsoft Office Word</Application>
  <DocSecurity>0</DocSecurity>
  <Lines>57</Lines>
  <Paragraphs>16</Paragraphs>
  <ScaleCrop>false</ScaleCrop>
  <Company>Hewlett-Packard Company</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EMFLO</cp:lastModifiedBy>
  <cp:revision>5</cp:revision>
  <cp:lastPrinted>2019-08-22T09:46:00Z</cp:lastPrinted>
  <dcterms:created xsi:type="dcterms:W3CDTF">2019-07-23T12:36:00Z</dcterms:created>
  <dcterms:modified xsi:type="dcterms:W3CDTF">2019-09-04T13:44:00Z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