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2F" w:rsidRPr="001A732F" w:rsidRDefault="001A732F" w:rsidP="001A732F">
      <w:pPr>
        <w:spacing w:line="276" w:lineRule="auto"/>
        <w:jc w:val="center"/>
        <w:rPr>
          <w:rFonts w:ascii="Times New Roman" w:hAnsi="Times New Roman" w:cs="Times New Roman"/>
          <w:sz w:val="18"/>
          <w:szCs w:val="18"/>
        </w:rPr>
      </w:pPr>
      <w:r w:rsidRPr="001A732F">
        <w:rPr>
          <w:rFonts w:ascii="Times New Roman" w:hAnsi="Times New Roman" w:cs="Times New Roman"/>
          <w:noProof/>
          <w:lang w:eastAsia="es-UY"/>
        </w:rPr>
        <w:drawing>
          <wp:anchor distT="0" distB="0" distL="0" distR="0" simplePos="0" relativeHeight="251658240" behindDoc="0" locked="0" layoutInCell="1" allowOverlap="1">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anchor>
        </w:drawing>
      </w:r>
      <w:r w:rsidR="0040555D">
        <w:rPr>
          <w:rFonts w:ascii="Times New Roman" w:hAnsi="Times New Roman" w:cs="Times New Roman"/>
          <w:sz w:val="18"/>
          <w:szCs w:val="18"/>
        </w:rPr>
        <w:t xml:space="preserve">  </w:t>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eastAsia="es-UY"/>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1A732F">
      <w:pPr>
        <w:spacing w:line="276" w:lineRule="auto"/>
        <w:ind w:left="2124"/>
        <w:rPr>
          <w:rFonts w:ascii="Times New Roman" w:hAnsi="Times New Roman" w:cs="Times New Roman"/>
        </w:rPr>
      </w:pPr>
      <w:r w:rsidRPr="001A732F">
        <w:rPr>
          <w:rFonts w:ascii="Times New Roman" w:hAnsi="Times New Roman" w:cs="Times New Roman"/>
          <w:i/>
          <w:sz w:val="36"/>
          <w:szCs w:val="18"/>
          <w:lang w:eastAsia="es-UY"/>
        </w:rPr>
        <w:t xml:space="preserve"> República Oriental del Uruguay</w:t>
      </w:r>
    </w:p>
    <w:p w:rsidR="001A732F" w:rsidRPr="001A732F" w:rsidRDefault="001A732F" w:rsidP="001A732F">
      <w:pPr>
        <w:spacing w:line="276" w:lineRule="auto"/>
        <w:ind w:left="2832"/>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1. OBJETO DE LA CONTRATACIÓN. </w:t>
      </w:r>
    </w:p>
    <w:p w:rsidR="0040555D" w:rsidRPr="0040555D" w:rsidRDefault="0040555D" w:rsidP="001A732F">
      <w:pPr>
        <w:spacing w:line="276" w:lineRule="auto"/>
        <w:rPr>
          <w:rFonts w:ascii="Times New Roman" w:hAnsi="Times New Roman" w:cs="Times New Roman"/>
          <w:b/>
        </w:rPr>
      </w:pPr>
      <w:r w:rsidRPr="0040555D">
        <w:rPr>
          <w:rFonts w:ascii="Times New Roman" w:hAnsi="Times New Roman" w:cs="Times New Roman"/>
          <w:b/>
        </w:rPr>
        <w:t>“Adquisición de Escopetas para la Prefectura Nacional Naval.”</w:t>
      </w:r>
    </w:p>
    <w:p w:rsidR="0040555D" w:rsidRDefault="0040555D" w:rsidP="0040555D">
      <w:pPr>
        <w:tabs>
          <w:tab w:val="left" w:pos="-142"/>
        </w:tabs>
        <w:spacing w:line="276" w:lineRule="auto"/>
        <w:ind w:left="720"/>
        <w:rPr>
          <w:rStyle w:val="Fuentedeprrafopredeter1"/>
          <w:color w:val="000000"/>
        </w:rPr>
      </w:pPr>
    </w:p>
    <w:p w:rsidR="0040555D" w:rsidRDefault="0040555D" w:rsidP="0040555D">
      <w:pPr>
        <w:tabs>
          <w:tab w:val="left" w:pos="-142"/>
        </w:tabs>
        <w:spacing w:line="276" w:lineRule="auto"/>
        <w:ind w:left="720"/>
      </w:pPr>
      <w:r>
        <w:rPr>
          <w:rStyle w:val="Fuentedeprrafopredeter1"/>
          <w:color w:val="000000"/>
        </w:rPr>
        <w:tab/>
      </w:r>
      <w:r>
        <w:rPr>
          <w:rStyle w:val="Fuentedeprrafopredeter1"/>
          <w:color w:val="000000"/>
        </w:rPr>
        <w:tab/>
      </w:r>
      <w:r>
        <w:rPr>
          <w:rStyle w:val="Fuentedeprrafopredeter1"/>
          <w:color w:val="000000"/>
        </w:rPr>
        <w:tab/>
        <w:t>DESCRIPCIÓN DE LO SOLICITADO</w:t>
      </w:r>
    </w:p>
    <w:tbl>
      <w:tblPr>
        <w:tblW w:w="0" w:type="auto"/>
        <w:tblInd w:w="622" w:type="dxa"/>
        <w:tblLayout w:type="fixed"/>
        <w:tblCellMar>
          <w:top w:w="55" w:type="dxa"/>
          <w:left w:w="55" w:type="dxa"/>
          <w:bottom w:w="55" w:type="dxa"/>
          <w:right w:w="55" w:type="dxa"/>
        </w:tblCellMar>
        <w:tblLook w:val="0000" w:firstRow="0" w:lastRow="0" w:firstColumn="0" w:lastColumn="0" w:noHBand="0" w:noVBand="0"/>
      </w:tblPr>
      <w:tblGrid>
        <w:gridCol w:w="855"/>
        <w:gridCol w:w="1590"/>
        <w:gridCol w:w="5100"/>
        <w:gridCol w:w="1710"/>
      </w:tblGrid>
      <w:tr w:rsidR="0040555D" w:rsidRPr="00157F7E" w:rsidTr="00B14AAA">
        <w:trPr>
          <w:trHeight w:val="660"/>
        </w:trPr>
        <w:tc>
          <w:tcPr>
            <w:tcW w:w="855" w:type="dxa"/>
            <w:tcBorders>
              <w:top w:val="single" w:sz="4" w:space="0" w:color="000000"/>
              <w:left w:val="single" w:sz="4" w:space="0" w:color="000000"/>
              <w:bottom w:val="single" w:sz="4" w:space="0" w:color="000000"/>
            </w:tcBorders>
            <w:shd w:val="clear" w:color="auto" w:fill="BFBFBF"/>
            <w:vAlign w:val="center"/>
          </w:tcPr>
          <w:p w:rsidR="0040555D" w:rsidRPr="00EF0003" w:rsidRDefault="0040555D" w:rsidP="00B14AAA">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ITEM</w:t>
            </w:r>
          </w:p>
        </w:tc>
        <w:tc>
          <w:tcPr>
            <w:tcW w:w="1590" w:type="dxa"/>
            <w:tcBorders>
              <w:top w:val="single" w:sz="4" w:space="0" w:color="000000"/>
              <w:left w:val="single" w:sz="4" w:space="0" w:color="000000"/>
              <w:bottom w:val="single" w:sz="4" w:space="0" w:color="000000"/>
            </w:tcBorders>
            <w:shd w:val="clear" w:color="auto" w:fill="BFBFBF"/>
            <w:vAlign w:val="center"/>
          </w:tcPr>
          <w:p w:rsidR="0040555D" w:rsidRPr="00EF0003" w:rsidRDefault="0040555D" w:rsidP="00B14AAA">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CANTIDAD</w:t>
            </w:r>
          </w:p>
        </w:tc>
        <w:tc>
          <w:tcPr>
            <w:tcW w:w="5100" w:type="dxa"/>
            <w:tcBorders>
              <w:top w:val="single" w:sz="4" w:space="0" w:color="000000"/>
              <w:left w:val="single" w:sz="4" w:space="0" w:color="000000"/>
              <w:bottom w:val="single" w:sz="4" w:space="0" w:color="000000"/>
            </w:tcBorders>
            <w:shd w:val="clear" w:color="auto" w:fill="BFBFBF"/>
            <w:vAlign w:val="center"/>
          </w:tcPr>
          <w:p w:rsidR="0040555D" w:rsidRPr="00EF0003" w:rsidRDefault="0040555D" w:rsidP="00B14AAA">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DESCRIPCIÓN</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555D" w:rsidRPr="00EF0003" w:rsidRDefault="0040555D" w:rsidP="00B14AAA">
            <w:pPr>
              <w:tabs>
                <w:tab w:val="left" w:pos="-142"/>
              </w:tabs>
              <w:snapToGrid w:val="0"/>
              <w:spacing w:line="276" w:lineRule="auto"/>
              <w:jc w:val="center"/>
              <w:rPr>
                <w:rFonts w:eastAsia="Calibri"/>
                <w:b/>
                <w:color w:val="000000"/>
                <w:lang w:eastAsia="es-UY"/>
              </w:rPr>
            </w:pPr>
            <w:r w:rsidRPr="00EF0003">
              <w:rPr>
                <w:rFonts w:eastAsia="Calibri"/>
                <w:b/>
                <w:color w:val="000000"/>
                <w:lang w:eastAsia="es-UY"/>
              </w:rPr>
              <w:t>COD SICE</w:t>
            </w:r>
          </w:p>
        </w:tc>
      </w:tr>
      <w:tr w:rsidR="0040555D" w:rsidRPr="00EF0003" w:rsidTr="00B14AAA">
        <w:trPr>
          <w:trHeight w:val="202"/>
        </w:trPr>
        <w:tc>
          <w:tcPr>
            <w:tcW w:w="855" w:type="dxa"/>
            <w:tcBorders>
              <w:top w:val="single" w:sz="4" w:space="0" w:color="000000"/>
              <w:left w:val="single" w:sz="4" w:space="0" w:color="000000"/>
              <w:bottom w:val="single" w:sz="4" w:space="0" w:color="000000"/>
            </w:tcBorders>
            <w:shd w:val="clear" w:color="auto" w:fill="FFFFFF"/>
            <w:vAlign w:val="center"/>
          </w:tcPr>
          <w:p w:rsidR="0040555D" w:rsidRPr="00EF0003" w:rsidRDefault="0040555D" w:rsidP="00B14AAA">
            <w:pPr>
              <w:tabs>
                <w:tab w:val="left" w:pos="-142"/>
              </w:tabs>
              <w:snapToGrid w:val="0"/>
              <w:spacing w:line="276" w:lineRule="auto"/>
              <w:jc w:val="center"/>
            </w:pPr>
            <w:r w:rsidRPr="00EF0003">
              <w:rPr>
                <w:rFonts w:eastAsia="Calibri"/>
                <w:color w:val="000000"/>
                <w:lang w:eastAsia="es-UY"/>
              </w:rPr>
              <w:t>1</w:t>
            </w:r>
          </w:p>
        </w:tc>
        <w:tc>
          <w:tcPr>
            <w:tcW w:w="1590" w:type="dxa"/>
            <w:tcBorders>
              <w:top w:val="single" w:sz="4" w:space="0" w:color="000000"/>
              <w:left w:val="single" w:sz="4" w:space="0" w:color="000000"/>
              <w:bottom w:val="single" w:sz="4" w:space="0" w:color="000000"/>
            </w:tcBorders>
            <w:shd w:val="clear" w:color="auto" w:fill="FFFFFF"/>
            <w:vAlign w:val="center"/>
          </w:tcPr>
          <w:p w:rsidR="0040555D" w:rsidRPr="00EF0003" w:rsidRDefault="0040555D" w:rsidP="00B14AAA">
            <w:pPr>
              <w:tabs>
                <w:tab w:val="left" w:pos="-142"/>
              </w:tabs>
              <w:snapToGrid w:val="0"/>
              <w:spacing w:line="276" w:lineRule="auto"/>
              <w:jc w:val="center"/>
            </w:pPr>
            <w:r>
              <w:t>20</w:t>
            </w:r>
          </w:p>
        </w:tc>
        <w:tc>
          <w:tcPr>
            <w:tcW w:w="5100" w:type="dxa"/>
            <w:tcBorders>
              <w:top w:val="single" w:sz="4" w:space="0" w:color="000000"/>
              <w:left w:val="single" w:sz="4" w:space="0" w:color="000000"/>
              <w:bottom w:val="single" w:sz="4" w:space="0" w:color="000000"/>
            </w:tcBorders>
            <w:shd w:val="clear" w:color="auto" w:fill="FFFFFF"/>
            <w:vAlign w:val="center"/>
          </w:tcPr>
          <w:p w:rsidR="0040555D" w:rsidRPr="0040555D" w:rsidRDefault="0040555D" w:rsidP="00B14AAA">
            <w:pPr>
              <w:tabs>
                <w:tab w:val="left" w:pos="-142"/>
              </w:tabs>
              <w:snapToGrid w:val="0"/>
              <w:spacing w:line="276" w:lineRule="auto"/>
              <w:jc w:val="center"/>
              <w:rPr>
                <w:rFonts w:eastAsia="Calibri"/>
                <w:b/>
                <w:sz w:val="24"/>
                <w:szCs w:val="24"/>
                <w:lang w:eastAsia="es-UY"/>
              </w:rPr>
            </w:pPr>
            <w:r w:rsidRPr="0040555D">
              <w:rPr>
                <w:rFonts w:eastAsia="Calibri"/>
                <w:b/>
                <w:sz w:val="24"/>
                <w:szCs w:val="24"/>
                <w:lang w:eastAsia="es-UY"/>
              </w:rPr>
              <w:t>ESCOPETAS</w:t>
            </w:r>
          </w:p>
          <w:p w:rsidR="0040555D" w:rsidRPr="0040555D" w:rsidRDefault="0040555D" w:rsidP="0040555D">
            <w:pPr>
              <w:tabs>
                <w:tab w:val="left" w:pos="-142"/>
              </w:tabs>
              <w:snapToGrid w:val="0"/>
              <w:spacing w:line="276" w:lineRule="auto"/>
              <w:rPr>
                <w:rFonts w:eastAsia="Calibri"/>
                <w:sz w:val="24"/>
                <w:szCs w:val="24"/>
                <w:u w:val="single"/>
                <w:lang w:eastAsia="es-UY"/>
              </w:rPr>
            </w:pPr>
            <w:r w:rsidRPr="0040555D">
              <w:rPr>
                <w:rFonts w:eastAsia="Calibri"/>
                <w:sz w:val="24"/>
                <w:szCs w:val="24"/>
                <w:u w:val="single"/>
                <w:lang w:eastAsia="es-UY"/>
              </w:rPr>
              <w:t>Detalles:</w:t>
            </w:r>
          </w:p>
          <w:p w:rsidR="0040555D" w:rsidRPr="0040555D" w:rsidRDefault="0040555D" w:rsidP="0040555D">
            <w:pPr>
              <w:pStyle w:val="Prrafodelista"/>
              <w:numPr>
                <w:ilvl w:val="0"/>
                <w:numId w:val="4"/>
              </w:numPr>
              <w:tabs>
                <w:tab w:val="left" w:pos="-142"/>
              </w:tabs>
              <w:snapToGrid w:val="0"/>
              <w:spacing w:line="276" w:lineRule="auto"/>
            </w:pPr>
            <w:r>
              <w:rPr>
                <w:rFonts w:eastAsia="Calibri"/>
                <w:sz w:val="24"/>
                <w:szCs w:val="24"/>
                <w:lang w:eastAsia="es-UY"/>
              </w:rPr>
              <w:t>Calibre 12</w:t>
            </w:r>
          </w:p>
          <w:p w:rsidR="0040555D" w:rsidRPr="0040555D" w:rsidRDefault="0040555D" w:rsidP="0040555D">
            <w:pPr>
              <w:pStyle w:val="Prrafodelista"/>
              <w:numPr>
                <w:ilvl w:val="0"/>
                <w:numId w:val="4"/>
              </w:numPr>
              <w:tabs>
                <w:tab w:val="left" w:pos="-142"/>
              </w:tabs>
              <w:snapToGrid w:val="0"/>
              <w:spacing w:line="276" w:lineRule="auto"/>
            </w:pPr>
            <w:r>
              <w:rPr>
                <w:rFonts w:eastAsia="Calibri"/>
                <w:sz w:val="24"/>
                <w:szCs w:val="24"/>
                <w:lang w:eastAsia="es-UY"/>
              </w:rPr>
              <w:t>Longitud mínima de 14”</w:t>
            </w:r>
          </w:p>
          <w:p w:rsidR="0040555D" w:rsidRPr="0040555D" w:rsidRDefault="0040555D" w:rsidP="0040555D">
            <w:pPr>
              <w:pStyle w:val="Prrafodelista"/>
              <w:numPr>
                <w:ilvl w:val="0"/>
                <w:numId w:val="4"/>
              </w:numPr>
              <w:tabs>
                <w:tab w:val="left" w:pos="-142"/>
              </w:tabs>
              <w:snapToGrid w:val="0"/>
              <w:spacing w:line="276" w:lineRule="auto"/>
            </w:pPr>
            <w:r>
              <w:rPr>
                <w:rFonts w:eastAsia="Calibri"/>
                <w:sz w:val="24"/>
                <w:szCs w:val="24"/>
                <w:lang w:eastAsia="es-UY"/>
              </w:rPr>
              <w:t>Capacidad de carga 6 ronda o superior</w:t>
            </w:r>
          </w:p>
          <w:p w:rsidR="0040555D" w:rsidRPr="0040555D" w:rsidRDefault="0040555D" w:rsidP="0040555D">
            <w:pPr>
              <w:pStyle w:val="Prrafodelista"/>
              <w:numPr>
                <w:ilvl w:val="0"/>
                <w:numId w:val="4"/>
              </w:numPr>
              <w:tabs>
                <w:tab w:val="left" w:pos="-142"/>
              </w:tabs>
              <w:snapToGrid w:val="0"/>
              <w:spacing w:line="276" w:lineRule="auto"/>
            </w:pPr>
            <w:r>
              <w:rPr>
                <w:rFonts w:eastAsia="Calibri"/>
                <w:sz w:val="24"/>
                <w:szCs w:val="24"/>
                <w:lang w:eastAsia="es-UY"/>
              </w:rPr>
              <w:t>Sistema de carga de trombón</w:t>
            </w:r>
          </w:p>
          <w:p w:rsidR="0040555D" w:rsidRPr="0040555D" w:rsidRDefault="0040555D" w:rsidP="0040555D">
            <w:pPr>
              <w:pStyle w:val="Prrafodelista"/>
              <w:numPr>
                <w:ilvl w:val="0"/>
                <w:numId w:val="4"/>
              </w:numPr>
              <w:tabs>
                <w:tab w:val="left" w:pos="-142"/>
              </w:tabs>
              <w:snapToGrid w:val="0"/>
              <w:spacing w:line="276" w:lineRule="auto"/>
            </w:pPr>
            <w:r>
              <w:rPr>
                <w:rFonts w:eastAsia="Calibri"/>
                <w:sz w:val="24"/>
                <w:szCs w:val="24"/>
                <w:lang w:eastAsia="es-UY"/>
              </w:rPr>
              <w:t>Mira abierta</w:t>
            </w:r>
          </w:p>
          <w:p w:rsidR="0040555D" w:rsidRDefault="0040555D" w:rsidP="0040555D">
            <w:pPr>
              <w:pStyle w:val="Prrafodelista"/>
              <w:tabs>
                <w:tab w:val="left" w:pos="-142"/>
              </w:tabs>
              <w:snapToGrid w:val="0"/>
              <w:spacing w:line="276" w:lineRule="auto"/>
              <w:rPr>
                <w:rFonts w:eastAsia="Calibri"/>
                <w:sz w:val="24"/>
                <w:szCs w:val="24"/>
                <w:lang w:eastAsia="es-UY"/>
              </w:rPr>
            </w:pPr>
          </w:p>
          <w:p w:rsidR="0040555D" w:rsidRPr="0040555D" w:rsidRDefault="0040555D" w:rsidP="0040555D">
            <w:pPr>
              <w:tabs>
                <w:tab w:val="left" w:pos="-142"/>
              </w:tabs>
              <w:snapToGrid w:val="0"/>
              <w:spacing w:line="276" w:lineRule="auto"/>
              <w:rPr>
                <w:rFonts w:eastAsia="Calibri"/>
                <w:sz w:val="24"/>
                <w:szCs w:val="24"/>
                <w:u w:val="single"/>
                <w:lang w:eastAsia="es-UY"/>
              </w:rPr>
            </w:pPr>
            <w:r w:rsidRPr="0040555D">
              <w:rPr>
                <w:rFonts w:eastAsia="Calibri"/>
                <w:sz w:val="24"/>
                <w:szCs w:val="24"/>
                <w:u w:val="single"/>
                <w:lang w:eastAsia="es-UY"/>
              </w:rPr>
              <w:t>Material:</w:t>
            </w:r>
          </w:p>
          <w:p w:rsidR="0040555D" w:rsidRPr="00F57E68" w:rsidRDefault="0040555D" w:rsidP="0040555D">
            <w:pPr>
              <w:pStyle w:val="Prrafodelista"/>
              <w:numPr>
                <w:ilvl w:val="0"/>
                <w:numId w:val="6"/>
              </w:numPr>
              <w:tabs>
                <w:tab w:val="left" w:pos="-142"/>
              </w:tabs>
              <w:snapToGrid w:val="0"/>
              <w:spacing w:line="276" w:lineRule="auto"/>
            </w:pPr>
            <w:r>
              <w:rPr>
                <w:rFonts w:eastAsia="Calibri"/>
                <w:sz w:val="24"/>
                <w:szCs w:val="24"/>
                <w:lang w:eastAsia="es-UY"/>
              </w:rPr>
              <w:t xml:space="preserve">Metal y Polímeros </w:t>
            </w:r>
            <w:r w:rsidRPr="0040555D">
              <w:rPr>
                <w:rFonts w:eastAsia="Calibri"/>
                <w:b/>
                <w:sz w:val="24"/>
                <w:szCs w:val="24"/>
                <w:lang w:eastAsia="es-UY"/>
              </w:rPr>
              <w:t>(NO MADERA)</w:t>
            </w:r>
            <w:r w:rsidRPr="0040555D">
              <w:rPr>
                <w:rFonts w:eastAsia="Calibri"/>
                <w:sz w:val="24"/>
                <w:szCs w:val="24"/>
                <w:lang w:eastAsia="es-UY"/>
              </w:rPr>
              <w:br/>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55D" w:rsidRPr="00EF0003" w:rsidRDefault="0040555D" w:rsidP="00B14AAA">
            <w:pPr>
              <w:tabs>
                <w:tab w:val="left" w:pos="-142"/>
              </w:tabs>
              <w:snapToGrid w:val="0"/>
              <w:spacing w:line="276" w:lineRule="auto"/>
              <w:ind w:left="-567"/>
              <w:jc w:val="center"/>
            </w:pPr>
            <w:r>
              <w:t>32692</w:t>
            </w:r>
          </w:p>
        </w:tc>
      </w:tr>
    </w:tbl>
    <w:p w:rsidR="0040555D" w:rsidRPr="001A732F" w:rsidRDefault="0040555D" w:rsidP="001A732F">
      <w:pPr>
        <w:spacing w:line="276" w:lineRule="auto"/>
        <w:rPr>
          <w:rFonts w:ascii="Times New Roman" w:hAnsi="Times New Roman" w:cs="Times New Roman"/>
        </w:rPr>
      </w:pPr>
    </w:p>
    <w:p w:rsidR="00E96927" w:rsidRPr="001A732F" w:rsidRDefault="00AC6DC7" w:rsidP="00AC6DC7">
      <w:pPr>
        <w:tabs>
          <w:tab w:val="left" w:pos="-142"/>
        </w:tabs>
        <w:spacing w:line="276" w:lineRule="auto"/>
        <w:ind w:left="720"/>
        <w:rPr>
          <w:rFonts w:ascii="Times New Roman" w:hAnsi="Times New Roman" w:cs="Times New Roman"/>
        </w:rPr>
      </w:pPr>
      <w:r>
        <w:rPr>
          <w:rStyle w:val="Fuentedeprrafopredeter1"/>
          <w:color w:val="000000"/>
        </w:rPr>
        <w:tab/>
      </w:r>
      <w:r>
        <w:rPr>
          <w:rStyle w:val="Fuentedeprrafopredeter1"/>
          <w:color w:val="000000"/>
        </w:rPr>
        <w:tab/>
      </w:r>
      <w:r>
        <w:rPr>
          <w:rStyle w:val="Fuentedeprrafopredeter1"/>
          <w:color w:val="000000"/>
        </w:rPr>
        <w:tab/>
      </w:r>
      <w:r w:rsidR="00E96927" w:rsidRPr="00AC6DC7">
        <w:rPr>
          <w:rStyle w:val="Fuentedeprrafopredeter1"/>
          <w:color w:val="000000"/>
        </w:rPr>
        <w:t>CONDICIONES ESPECÍFICAS:</w:t>
      </w:r>
      <w:r w:rsidR="00E96927" w:rsidRPr="001A732F">
        <w:rPr>
          <w:rFonts w:ascii="Times New Roman" w:hAnsi="Times New Roman" w:cs="Times New Roman"/>
        </w:rPr>
        <w:t xml:space="preserve"> </w:t>
      </w:r>
    </w:p>
    <w:p w:rsidR="00E96927" w:rsidRPr="0040555D" w:rsidRDefault="0040555D" w:rsidP="0040555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cs="Times New Roman"/>
          <w:b/>
        </w:rPr>
      </w:pPr>
      <w:r w:rsidRPr="0040555D">
        <w:rPr>
          <w:rFonts w:ascii="Times New Roman" w:hAnsi="Times New Roman" w:cs="Times New Roman"/>
          <w:b/>
        </w:rPr>
        <w:t xml:space="preserve">En las ofertas </w:t>
      </w:r>
      <w:r w:rsidRPr="00D009CC">
        <w:rPr>
          <w:rFonts w:ascii="Times New Roman" w:hAnsi="Times New Roman" w:cs="Times New Roman"/>
          <w:b/>
          <w:u w:val="single"/>
        </w:rPr>
        <w:t>deberán</w:t>
      </w:r>
      <w:r w:rsidRPr="0040555D">
        <w:rPr>
          <w:rFonts w:ascii="Times New Roman" w:hAnsi="Times New Roman" w:cs="Times New Roman"/>
          <w:b/>
        </w:rPr>
        <w:t xml:space="preserve"> especificar garantía de los artículos ofertados, catálogo informativo y catálogo ilustrativo.</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2. La apertura de ofertas será exclusivamente electrónica, y los proveedores que deseen ofertar, deberán estar en estado ACTIVO en el RUPE. </w:t>
      </w:r>
    </w:p>
    <w:p w:rsidR="00E96927" w:rsidRPr="001A732F" w:rsidRDefault="001A732F" w:rsidP="00A91F53">
      <w:pPr>
        <w:widowControl w:val="0"/>
        <w:tabs>
          <w:tab w:val="left" w:pos="426"/>
        </w:tabs>
        <w:suppressAutoHyphens/>
        <w:spacing w:after="0" w:line="276" w:lineRule="auto"/>
        <w:jc w:val="both"/>
        <w:rPr>
          <w:rFonts w:ascii="Times New Roman" w:eastAsia="Times New Roman" w:hAnsi="Times New Roman" w:cs="Times New Roman"/>
          <w:color w:val="00000A"/>
        </w:rPr>
      </w:pPr>
      <w:r>
        <w:rPr>
          <w:rFonts w:ascii="Times New Roman" w:hAnsi="Times New Roman" w:cs="Times New Roman"/>
        </w:rPr>
        <w:t>3.</w:t>
      </w:r>
      <w:r w:rsidR="00E96927" w:rsidRPr="001A732F">
        <w:rPr>
          <w:rFonts w:ascii="Times New Roman" w:hAnsi="Times New Roman" w:cs="Times New Roman"/>
        </w:rPr>
        <w:t xml:space="preserve"> Las propuestas deberán ser ingresadas directamente por el proveedor, </w:t>
      </w:r>
      <w:r w:rsidR="00E96927" w:rsidRPr="001A732F">
        <w:rPr>
          <w:rFonts w:ascii="Times New Roman" w:eastAsia="Times New Roman" w:hAnsi="Times New Roman" w:cs="Times New Roman"/>
          <w:color w:val="00000A"/>
        </w:rPr>
        <w:t xml:space="preserve">mediante el ingreso de las mismas en el sitio web de Compras Estatales </w:t>
      </w:r>
      <w:hyperlink r:id="rId7" w:history="1">
        <w:r w:rsidR="00E96927" w:rsidRPr="001A732F">
          <w:rPr>
            <w:rStyle w:val="Hipervnculo"/>
            <w:rFonts w:ascii="Times New Roman" w:eastAsia="Times New Roman" w:hAnsi="Times New Roman" w:cs="Times New Roman"/>
            <w:lang w:val="es-ES" w:eastAsia="hi-IN" w:bidi="hi-IN"/>
          </w:rPr>
          <w:t>www.comprasestatales.gub.uy</w:t>
        </w:r>
      </w:hyperlink>
      <w:r w:rsidR="00E96927" w:rsidRPr="001A732F">
        <w:rPr>
          <w:rFonts w:ascii="Times New Roman" w:eastAsia="Times New Roman" w:hAnsi="Times New Roman" w:cs="Times New Roman"/>
          <w:color w:val="00000A"/>
        </w:rPr>
        <w:t xml:space="preserve">  (Por consultas al respecto deberán comunicarse al 2903 1111, Mesa de ayuda SICE de 10 a 17 hs.), o pueden consultar el Instructivo en la página web de Compras Estatales.</w:t>
      </w:r>
    </w:p>
    <w:p w:rsidR="00B1235D" w:rsidRPr="00094B61" w:rsidRDefault="00E96927" w:rsidP="00A91F53">
      <w:pPr>
        <w:spacing w:line="276" w:lineRule="auto"/>
        <w:jc w:val="both"/>
        <w:rPr>
          <w:rFonts w:ascii="Times New Roman" w:hAnsi="Times New Roman" w:cs="Times New Roman"/>
        </w:rPr>
      </w:pPr>
      <w:r w:rsidRPr="001A732F">
        <w:rPr>
          <w:rFonts w:ascii="Times New Roman" w:hAnsi="Times New Roman" w:cs="Times New Roman"/>
        </w:rPr>
        <w:lastRenderedPageBreak/>
        <w:t xml:space="preserve">En la oferta se </w:t>
      </w:r>
      <w:r w:rsidR="00B10759" w:rsidRPr="00A91F53">
        <w:rPr>
          <w:rFonts w:ascii="Times New Roman" w:hAnsi="Times New Roman" w:cs="Times New Roman"/>
          <w:highlight w:val="yellow"/>
        </w:rPr>
        <w:t>podrá</w:t>
      </w:r>
      <w:r w:rsidRPr="001A732F">
        <w:rPr>
          <w:rFonts w:ascii="Times New Roman" w:hAnsi="Times New Roman" w:cs="Times New Roman"/>
        </w:rPr>
        <w:t xml:space="preserve"> ingresar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 xml:space="preserve">ninguna de las exigencias esenciales y este deberá </w:t>
      </w:r>
      <w:r w:rsidR="00B1235D" w:rsidRPr="00094B61">
        <w:rPr>
          <w:rFonts w:ascii="Times New Roman" w:hAnsi="Times New Roman" w:cs="Times New Roman"/>
        </w:rPr>
        <w:t>ser claramen</w:t>
      </w:r>
      <w:r w:rsidR="00B10759" w:rsidRPr="00094B61">
        <w:rPr>
          <w:rFonts w:ascii="Times New Roman" w:hAnsi="Times New Roman" w:cs="Times New Roman"/>
        </w:rPr>
        <w:t>te redactado en idioma español, siendo tomado en cuenta para la evaluación de lo ofertado.</w:t>
      </w:r>
    </w:p>
    <w:p w:rsidR="00094B61" w:rsidRPr="00094B61" w:rsidRDefault="00094B61" w:rsidP="00094B61">
      <w:pPr>
        <w:spacing w:line="276" w:lineRule="auto"/>
        <w:jc w:val="both"/>
        <w:rPr>
          <w:rFonts w:ascii="Times New Roman" w:hAnsi="Times New Roman" w:cs="Times New Roman"/>
        </w:rPr>
      </w:pPr>
      <w:r w:rsidRPr="00094B61">
        <w:rPr>
          <w:rFonts w:ascii="Times New Roman" w:hAnsi="Times New Roman" w:cs="Times New Roman"/>
        </w:rPr>
        <w:t>Tanto la oferta  en la web como los archivos que se adjunten a esta</w:t>
      </w:r>
      <w:r>
        <w:rPr>
          <w:rFonts w:ascii="Times New Roman" w:hAnsi="Times New Roman" w:cs="Times New Roman"/>
        </w:rPr>
        <w:t xml:space="preserve"> </w:t>
      </w:r>
      <w:r w:rsidRPr="00094B61">
        <w:rPr>
          <w:rFonts w:ascii="Times New Roman" w:hAnsi="Times New Roman" w:cs="Times New Roman"/>
          <w:b/>
          <w:u w:val="single"/>
        </w:rPr>
        <w:t>deberán</w:t>
      </w:r>
      <w:r w:rsidRPr="00094B61">
        <w:rPr>
          <w:rFonts w:ascii="Times New Roman" w:hAnsi="Times New Roman" w:cs="Times New Roman"/>
        </w:rPr>
        <w:t xml:space="preserve"> ser visibles tanto para la Administración como para los demás oferentes a fin de garantizar la transparencia en el procedimiento.</w:t>
      </w:r>
    </w:p>
    <w:p w:rsidR="00094B61" w:rsidRPr="00FC4471" w:rsidRDefault="00094B61" w:rsidP="00094B61">
      <w:pPr>
        <w:spacing w:line="276" w:lineRule="auto"/>
        <w:jc w:val="both"/>
        <w:rPr>
          <w:rFonts w:ascii="Times New Roman" w:hAnsi="Times New Roman" w:cs="Times New Roman"/>
        </w:rPr>
      </w:pPr>
      <w:r w:rsidRPr="00094B61">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B10759" w:rsidRPr="001A732F" w:rsidRDefault="00B10759" w:rsidP="00A91F53">
      <w:pPr>
        <w:spacing w:line="276" w:lineRule="auto"/>
        <w:jc w:val="both"/>
        <w:rPr>
          <w:rFonts w:ascii="Times New Roman" w:hAnsi="Times New Roman" w:cs="Times New Roman"/>
        </w:rPr>
      </w:pPr>
      <w:r w:rsidRPr="00E91DA3">
        <w:rPr>
          <w:rFonts w:ascii="Times New Roman" w:hAnsi="Times New Roman" w:cs="Times New Roman"/>
          <w:b/>
        </w:rPr>
        <w:t>En caso de que se constaten discrepancias entre lo ofertado en línea y el archivo adjunto a la oferta, se tomara como valido lo ofertado en línea</w:t>
      </w:r>
      <w:r w:rsidRPr="00E91DA3">
        <w:rPr>
          <w:rFonts w:ascii="Times New Roman" w:hAnsi="Times New Roman" w:cs="Times New Roman"/>
        </w:rPr>
        <w:t>.</w:t>
      </w:r>
    </w:p>
    <w:p w:rsidR="00E96927" w:rsidRPr="001A732F" w:rsidRDefault="00E96927" w:rsidP="00A91F53">
      <w:pPr>
        <w:tabs>
          <w:tab w:val="left" w:pos="142"/>
        </w:tabs>
        <w:spacing w:line="276" w:lineRule="auto"/>
        <w:jc w:val="both"/>
        <w:rPr>
          <w:rFonts w:ascii="Times New Roman" w:hAnsi="Times New Roman" w:cs="Times New Roman"/>
        </w:rPr>
      </w:pPr>
      <w:r w:rsidRPr="001A732F">
        <w:rPr>
          <w:rFonts w:ascii="Times New Roman" w:hAnsi="Times New Roman" w:cs="Times New Roman"/>
        </w:rPr>
        <w:t xml:space="preserve">4. 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1235D" w:rsidRPr="001A732F" w:rsidRDefault="001A732F" w:rsidP="00A91F53">
      <w:pPr>
        <w:spacing w:line="276" w:lineRule="auto"/>
        <w:jc w:val="both"/>
        <w:rPr>
          <w:rFonts w:ascii="Times New Roman" w:hAnsi="Times New Roman" w:cs="Times New Roman"/>
        </w:rPr>
      </w:pPr>
      <w:r>
        <w:rPr>
          <w:rFonts w:ascii="Times New Roman" w:hAnsi="Times New Roman" w:cs="Times New Roman"/>
        </w:rPr>
        <w:t xml:space="preserve">6. </w:t>
      </w:r>
      <w:r w:rsidR="00B1235D" w:rsidRPr="001A732F">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hallan aclarado oportunamente</w:t>
      </w:r>
      <w:r w:rsidRPr="001A732F">
        <w:rPr>
          <w:rFonts w:ascii="Times New Roman" w:hAnsi="Times New Roman" w:cs="Times New Roman"/>
        </w:rPr>
        <w:t xml:space="preserve">. -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5. 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1A732F" w:rsidRDefault="001A732F" w:rsidP="00A91F53">
      <w:pPr>
        <w:spacing w:line="276" w:lineRule="auto"/>
        <w:jc w:val="both"/>
        <w:rPr>
          <w:rFonts w:ascii="Times New Roman" w:hAnsi="Times New Roman" w:cs="Times New Roman"/>
        </w:rPr>
      </w:pP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6. Abierto el acto de apertura no podrá introducirse modificación alguna en las propuestas. </w:t>
      </w:r>
    </w:p>
    <w:p w:rsidR="00E96927" w:rsidRPr="0002029D" w:rsidRDefault="001A732F" w:rsidP="00A91F53">
      <w:pPr>
        <w:spacing w:line="276" w:lineRule="auto"/>
        <w:jc w:val="both"/>
        <w:rPr>
          <w:rFonts w:ascii="Times New Roman" w:hAnsi="Times New Roman" w:cs="Times New Roman"/>
          <w:b/>
        </w:rPr>
      </w:pPr>
      <w:r>
        <w:rPr>
          <w:rFonts w:ascii="Times New Roman" w:hAnsi="Times New Roman" w:cs="Times New Roman"/>
        </w:rPr>
        <w:t>7</w:t>
      </w:r>
      <w:r w:rsidR="00E96927" w:rsidRPr="001A732F">
        <w:rPr>
          <w:rFonts w:ascii="Times New Roman" w:hAnsi="Times New Roman" w:cs="Times New Roman"/>
        </w:rPr>
        <w:t xml:space="preserve">. Las consultas sobre especificaciones técnicas se harán al </w:t>
      </w:r>
      <w:r w:rsidR="00E96927" w:rsidRPr="0002029D">
        <w:rPr>
          <w:rFonts w:ascii="Times New Roman" w:hAnsi="Times New Roman" w:cs="Times New Roman"/>
          <w:b/>
        </w:rPr>
        <w:t xml:space="preserve">Sr. </w:t>
      </w:r>
      <w:r w:rsidR="00D009CC" w:rsidRPr="0002029D">
        <w:rPr>
          <w:rFonts w:ascii="Times New Roman" w:hAnsi="Times New Roman" w:cs="Times New Roman"/>
          <w:b/>
        </w:rPr>
        <w:t>TN (CG) Pablo HAURET</w:t>
      </w:r>
      <w:r w:rsidR="00E96927" w:rsidRPr="0002029D">
        <w:rPr>
          <w:rFonts w:ascii="Times New Roman" w:hAnsi="Times New Roman" w:cs="Times New Roman"/>
          <w:b/>
        </w:rPr>
        <w:t xml:space="preserve">, al Cel.: </w:t>
      </w:r>
      <w:r w:rsidR="00D009CC" w:rsidRPr="0002029D">
        <w:rPr>
          <w:rFonts w:ascii="Times New Roman" w:hAnsi="Times New Roman" w:cs="Times New Roman"/>
          <w:b/>
        </w:rPr>
        <w:t>091 016 331</w:t>
      </w:r>
      <w:r w:rsidR="00E96927" w:rsidRPr="0002029D">
        <w:rPr>
          <w:rFonts w:ascii="Times New Roman" w:hAnsi="Times New Roman" w:cs="Times New Roman"/>
          <w:b/>
        </w:rPr>
        <w:t>.</w:t>
      </w:r>
    </w:p>
    <w:p w:rsidR="001A732F" w:rsidRPr="0002029D" w:rsidRDefault="001A732F" w:rsidP="00A91F53">
      <w:pPr>
        <w:spacing w:line="276" w:lineRule="auto"/>
        <w:jc w:val="both"/>
        <w:rPr>
          <w:rFonts w:ascii="Times New Roman" w:hAnsi="Times New Roman" w:cs="Times New Roman"/>
          <w:b/>
        </w:rPr>
      </w:pPr>
      <w:r w:rsidRPr="0002029D">
        <w:rPr>
          <w:rFonts w:ascii="Times New Roman" w:eastAsia="Times New Roman" w:hAnsi="Times New Roman" w:cs="Times New Roman"/>
        </w:rPr>
        <w:t>8. Especificaciones relativas a la forma o al pago</w:t>
      </w:r>
      <w:r w:rsidRPr="0002029D">
        <w:rPr>
          <w:rFonts w:ascii="Times New Roman" w:hAnsi="Times New Roman" w:cs="Times New Roman"/>
        </w:rPr>
        <w:t xml:space="preserve"> se harán al </w:t>
      </w:r>
      <w:r w:rsidR="00D009CC" w:rsidRPr="0002029D">
        <w:rPr>
          <w:rFonts w:ascii="Times New Roman" w:hAnsi="Times New Roman" w:cs="Times New Roman"/>
          <w:b/>
        </w:rPr>
        <w:t>Sr. TN (CG) Pablo HAURET, al Cel.: 091 016 331.</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9. 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1A732F">
        <w:rPr>
          <w:rFonts w:ascii="Times New Roman" w:hAnsi="Times New Roman" w:cs="Times New Roman"/>
        </w:rPr>
        <w:t xml:space="preserve"> tendrá las </w:t>
      </w:r>
      <w:r w:rsidRPr="001A732F">
        <w:rPr>
          <w:rFonts w:ascii="Times New Roman" w:hAnsi="Times New Roman" w:cs="Times New Roman"/>
        </w:rPr>
        <w:t xml:space="preserve">mismas </w:t>
      </w:r>
      <w:r w:rsidR="00B1235D" w:rsidRPr="001A732F">
        <w:rPr>
          <w:rFonts w:ascii="Times New Roman" w:hAnsi="Times New Roman" w:cs="Times New Roman"/>
        </w:rPr>
        <w:t>r</w:t>
      </w:r>
      <w:r w:rsidRPr="001A732F">
        <w:rPr>
          <w:rFonts w:ascii="Times New Roman" w:hAnsi="Times New Roman" w:cs="Times New Roman"/>
        </w:rPr>
        <w:t xml:space="preserve">esponsabilidades que sus representados.-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Toda la información referente a la representación deberá surgir del RUPE. </w:t>
      </w:r>
    </w:p>
    <w:p w:rsidR="00E96927" w:rsidRPr="00D009CC" w:rsidRDefault="001A732F" w:rsidP="00A91F53">
      <w:pPr>
        <w:spacing w:line="276" w:lineRule="auto"/>
        <w:jc w:val="both"/>
        <w:rPr>
          <w:rFonts w:ascii="Times New Roman" w:hAnsi="Times New Roman" w:cs="Times New Roman"/>
        </w:rPr>
      </w:pPr>
      <w:r>
        <w:rPr>
          <w:rFonts w:ascii="Times New Roman" w:hAnsi="Times New Roman" w:cs="Times New Roman"/>
        </w:rPr>
        <w:lastRenderedPageBreak/>
        <w:t>10</w:t>
      </w:r>
      <w:r w:rsidR="00E96927" w:rsidRPr="001A732F">
        <w:rPr>
          <w:rFonts w:ascii="Times New Roman" w:hAnsi="Times New Roman" w:cs="Times New Roman"/>
        </w:rPr>
        <w:t xml:space="preserve">. Se deberá cotizar bajo </w:t>
      </w:r>
      <w:r w:rsidR="00B1235D" w:rsidRPr="001A732F">
        <w:rPr>
          <w:rFonts w:ascii="Times New Roman" w:hAnsi="Times New Roman" w:cs="Times New Roman"/>
        </w:rPr>
        <w:t xml:space="preserve">la modalidad </w:t>
      </w:r>
      <w:r w:rsidR="00B1235D" w:rsidRPr="00D009CC">
        <w:rPr>
          <w:rFonts w:ascii="Times New Roman" w:hAnsi="Times New Roman" w:cs="Times New Roman"/>
          <w:b/>
        </w:rPr>
        <w:t>precio</w:t>
      </w:r>
      <w:r w:rsidR="00E96927" w:rsidRPr="00D009CC">
        <w:rPr>
          <w:rFonts w:ascii="Times New Roman" w:hAnsi="Times New Roman" w:cs="Times New Roman"/>
          <w:b/>
        </w:rPr>
        <w:t>plaza/CIF Montevideo/otra</w:t>
      </w:r>
      <w:r w:rsidR="00E96927" w:rsidRPr="00D009CC">
        <w:rPr>
          <w:rFonts w:ascii="Times New Roman" w:hAnsi="Times New Roman" w:cs="Times New Roman"/>
        </w:rPr>
        <w:t>.</w:t>
      </w:r>
    </w:p>
    <w:p w:rsidR="005E7AA0" w:rsidRPr="00D009CC" w:rsidRDefault="001A732F" w:rsidP="00A91F53">
      <w:pPr>
        <w:spacing w:line="276" w:lineRule="auto"/>
        <w:jc w:val="both"/>
        <w:rPr>
          <w:rFonts w:ascii="Times New Roman" w:hAnsi="Times New Roman" w:cs="Times New Roman"/>
          <w:b/>
        </w:rPr>
      </w:pPr>
      <w:r w:rsidRPr="00D009CC">
        <w:rPr>
          <w:rFonts w:ascii="Times New Roman" w:hAnsi="Times New Roman" w:cs="Times New Roman"/>
          <w:b/>
        </w:rPr>
        <w:t>SOLO</w:t>
      </w:r>
      <w:r w:rsidR="005E7AA0" w:rsidRPr="00D009CC">
        <w:rPr>
          <w:rFonts w:ascii="Times New Roman" w:hAnsi="Times New Roman" w:cs="Times New Roman"/>
          <w:b/>
        </w:rPr>
        <w:t xml:space="preserve"> MERCADERÍA PARA BUQUES</w:t>
      </w:r>
      <w:r w:rsidR="00A91F53" w:rsidRPr="00D009CC">
        <w:rPr>
          <w:rFonts w:ascii="Times New Roman" w:hAnsi="Times New Roman" w:cs="Times New Roman"/>
          <w:b/>
        </w:rPr>
        <w:t>/AERONAVES</w:t>
      </w:r>
      <w:r w:rsidR="005E7AA0" w:rsidRPr="00D009CC">
        <w:rPr>
          <w:rFonts w:ascii="Times New Roman" w:hAnsi="Times New Roman" w:cs="Times New Roman"/>
          <w:b/>
        </w:rPr>
        <w:t>:</w:t>
      </w:r>
    </w:p>
    <w:p w:rsidR="00B1235D" w:rsidRPr="00D009CC" w:rsidRDefault="00E96927" w:rsidP="00A91F53">
      <w:pPr>
        <w:spacing w:line="276" w:lineRule="auto"/>
        <w:jc w:val="both"/>
        <w:rPr>
          <w:rFonts w:ascii="Times New Roman" w:hAnsi="Times New Roman" w:cs="Times New Roman"/>
          <w:b/>
          <w:highlight w:val="yellow"/>
        </w:rPr>
      </w:pPr>
      <w:r w:rsidRPr="00D009CC">
        <w:rPr>
          <w:rFonts w:ascii="Times New Roman" w:hAnsi="Times New Roman" w:cs="Times New Roman"/>
          <w:b/>
        </w:rPr>
        <w:t>En caso de que se presenten proveedores marítimos con ofertas exentas de IVA (como mercadería de reembarco para consumo abordo/mercadería en tránsito) y ofertas de proveedores de plaza que coticen con</w:t>
      </w:r>
      <w:r w:rsidRPr="001A732F">
        <w:rPr>
          <w:rFonts w:ascii="Times New Roman" w:hAnsi="Times New Roman" w:cs="Times New Roman"/>
          <w:b/>
          <w:color w:val="FF0000"/>
          <w:highlight w:val="yellow"/>
        </w:rPr>
        <w:t xml:space="preserve"> </w:t>
      </w:r>
      <w:r w:rsidRPr="00D009CC">
        <w:rPr>
          <w:rFonts w:ascii="Times New Roman" w:hAnsi="Times New Roman" w:cs="Times New Roman"/>
          <w:b/>
        </w:rPr>
        <w:t>IVA incluido, a efectos del estudio comparativo se tomara el precio unitario total (con y sin IVA respectivamente). Ninguno de los dos regímen</w:t>
      </w:r>
      <w:r w:rsidR="00B1235D" w:rsidRPr="00D009CC">
        <w:rPr>
          <w:rFonts w:ascii="Times New Roman" w:hAnsi="Times New Roman" w:cs="Times New Roman"/>
          <w:b/>
        </w:rPr>
        <w:t>es impositivos será excluyente, pero en caso de que el precio sea el correspondiente a mercadería e</w:t>
      </w:r>
      <w:r w:rsidR="005E7AA0" w:rsidRPr="00D009CC">
        <w:rPr>
          <w:rFonts w:ascii="Times New Roman" w:hAnsi="Times New Roman" w:cs="Times New Roman"/>
          <w:b/>
        </w:rPr>
        <w:t xml:space="preserve">n </w:t>
      </w:r>
      <w:r w:rsidR="00A91F53" w:rsidRPr="00D009CC">
        <w:rPr>
          <w:rFonts w:ascii="Times New Roman" w:hAnsi="Times New Roman" w:cs="Times New Roman"/>
          <w:b/>
        </w:rPr>
        <w:t>tránsito</w:t>
      </w:r>
      <w:r w:rsidR="005E7AA0" w:rsidRPr="00D009CC">
        <w:rPr>
          <w:rFonts w:ascii="Times New Roman" w:hAnsi="Times New Roman" w:cs="Times New Roman"/>
          <w:b/>
        </w:rPr>
        <w:t xml:space="preserve">, este </w:t>
      </w:r>
      <w:r w:rsidR="00A91F53" w:rsidRPr="00D009CC">
        <w:rPr>
          <w:rFonts w:ascii="Times New Roman" w:hAnsi="Times New Roman" w:cs="Times New Roman"/>
          <w:b/>
        </w:rPr>
        <w:t>deberáincluir</w:t>
      </w:r>
      <w:r w:rsidR="005E7AA0" w:rsidRPr="00D009CC">
        <w:rPr>
          <w:rFonts w:ascii="Times New Roman" w:hAnsi="Times New Roman" w:cs="Times New Roman"/>
          <w:b/>
        </w:rPr>
        <w:t xml:space="preserve"> flete y todos los costos hasta su efectiva entrega abordo.</w:t>
      </w:r>
    </w:p>
    <w:p w:rsidR="00E96927" w:rsidRPr="001A732F" w:rsidRDefault="001A732F" w:rsidP="00A91F53">
      <w:pPr>
        <w:spacing w:line="276" w:lineRule="auto"/>
        <w:jc w:val="both"/>
        <w:rPr>
          <w:rFonts w:ascii="Times New Roman" w:hAnsi="Times New Roman" w:cs="Times New Roman"/>
        </w:rPr>
      </w:pPr>
      <w:r>
        <w:rPr>
          <w:rFonts w:ascii="Times New Roman" w:hAnsi="Times New Roman" w:cs="Times New Roman"/>
        </w:rPr>
        <w:t xml:space="preserve">11. </w:t>
      </w:r>
      <w:r w:rsidR="00E96927" w:rsidRPr="001A732F">
        <w:rPr>
          <w:rFonts w:ascii="Times New Roman" w:hAnsi="Times New Roman" w:cs="Times New Roman"/>
        </w:rPr>
        <w:t xml:space="preserve">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E96927" w:rsidRPr="001A732F" w:rsidRDefault="001A732F" w:rsidP="00A91F53">
      <w:pPr>
        <w:spacing w:line="276" w:lineRule="auto"/>
        <w:jc w:val="both"/>
        <w:rPr>
          <w:rFonts w:ascii="Times New Roman" w:hAnsi="Times New Roman" w:cs="Times New Roman"/>
        </w:rPr>
      </w:pPr>
      <w:r>
        <w:rPr>
          <w:rFonts w:ascii="Times New Roman" w:hAnsi="Times New Roman" w:cs="Times New Roman"/>
        </w:rPr>
        <w:t>12</w:t>
      </w:r>
      <w:r w:rsidR="00E96927" w:rsidRPr="001A732F">
        <w:rPr>
          <w:rFonts w:ascii="Times New Roman" w:hAnsi="Times New Roman" w:cs="Times New Roman"/>
        </w:rPr>
        <w:t>. El pla</w:t>
      </w:r>
      <w:r w:rsidR="00B1235D" w:rsidRPr="001A732F">
        <w:rPr>
          <w:rFonts w:ascii="Times New Roman" w:hAnsi="Times New Roman" w:cs="Times New Roman"/>
        </w:rPr>
        <w:t xml:space="preserve">zo de mantenimiento de oferta </w:t>
      </w:r>
      <w:r w:rsidR="00E96927" w:rsidRPr="001A732F">
        <w:rPr>
          <w:rFonts w:ascii="Times New Roman" w:hAnsi="Times New Roman" w:cs="Times New Roman"/>
        </w:rPr>
        <w:t xml:space="preserve">no podrá ser inferior </w:t>
      </w:r>
      <w:r w:rsidR="005D101D" w:rsidRPr="001A732F">
        <w:rPr>
          <w:rFonts w:ascii="Times New Roman" w:hAnsi="Times New Roman" w:cs="Times New Roman"/>
        </w:rPr>
        <w:t xml:space="preserve">a </w:t>
      </w:r>
      <w:r w:rsidR="00D009CC" w:rsidRPr="00D009CC">
        <w:rPr>
          <w:rFonts w:ascii="Times New Roman" w:hAnsi="Times New Roman" w:cs="Times New Roman"/>
          <w:b/>
        </w:rPr>
        <w:t>30</w:t>
      </w:r>
      <w:r w:rsidR="00E96927" w:rsidRPr="00D009CC">
        <w:rPr>
          <w:rFonts w:ascii="Times New Roman" w:hAnsi="Times New Roman" w:cs="Times New Roman"/>
          <w:b/>
        </w:rPr>
        <w:t xml:space="preserve"> días</w:t>
      </w:r>
      <w:r w:rsidR="00D009CC">
        <w:rPr>
          <w:rFonts w:ascii="Times New Roman" w:hAnsi="Times New Roman" w:cs="Times New Roman"/>
          <w:b/>
          <w:color w:val="FF0000"/>
        </w:rPr>
        <w:t xml:space="preserve"> </w:t>
      </w:r>
      <w:r w:rsidR="00E96927" w:rsidRPr="001A732F">
        <w:rPr>
          <w:rFonts w:ascii="Times New Roman" w:hAnsi="Times New Roman" w:cs="Times New Roman"/>
        </w:rPr>
        <w:t xml:space="preserve">corridos a contar a partir del día siguiente a la apertura de ofertas.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que desisten de ella. </w:t>
      </w:r>
    </w:p>
    <w:p w:rsidR="00E96927" w:rsidRPr="00C01F25" w:rsidRDefault="00E96927" w:rsidP="00A91F53">
      <w:pPr>
        <w:spacing w:line="276" w:lineRule="auto"/>
        <w:jc w:val="both"/>
        <w:rPr>
          <w:rFonts w:ascii="Times New Roman" w:hAnsi="Times New Roman" w:cs="Times New Roman"/>
        </w:rPr>
      </w:pPr>
      <w:r w:rsidRPr="001A732F">
        <w:rPr>
          <w:rFonts w:ascii="Times New Roman" w:hAnsi="Times New Roman" w:cs="Times New Roman"/>
        </w:rPr>
        <w:t>La sal</w:t>
      </w:r>
      <w:r w:rsidR="00B1235D" w:rsidRPr="001A732F">
        <w:rPr>
          <w:rFonts w:ascii="Times New Roman" w:hAnsi="Times New Roman" w:cs="Times New Roman"/>
        </w:rPr>
        <w:t xml:space="preserve">vedad a que se refiere al </w:t>
      </w:r>
      <w:r w:rsidR="005E7AA0" w:rsidRPr="001A732F">
        <w:rPr>
          <w:rFonts w:ascii="Times New Roman" w:hAnsi="Times New Roman" w:cs="Times New Roman"/>
        </w:rPr>
        <w:t>párrafo</w:t>
      </w:r>
      <w:r w:rsidRPr="001A732F">
        <w:rPr>
          <w:rFonts w:ascii="Times New Roman" w:hAnsi="Times New Roman" w:cs="Times New Roman"/>
        </w:rPr>
        <w:t xml:space="preserve"> anterior, será válida únicamente cuando no se le haya notificado la resolución de adjudicación. </w:t>
      </w:r>
    </w:p>
    <w:p w:rsidR="00E96927" w:rsidRPr="006A3A3B" w:rsidRDefault="001A732F" w:rsidP="00A91F53">
      <w:pPr>
        <w:spacing w:line="276" w:lineRule="auto"/>
        <w:jc w:val="both"/>
        <w:rPr>
          <w:rFonts w:ascii="Times New Roman" w:hAnsi="Times New Roman" w:cs="Times New Roman"/>
          <w:b/>
          <w:color w:val="FF0000"/>
        </w:rPr>
      </w:pPr>
      <w:r w:rsidRPr="00C01F25">
        <w:rPr>
          <w:rFonts w:ascii="Times New Roman" w:hAnsi="Times New Roman" w:cs="Times New Roman"/>
        </w:rPr>
        <w:t>13</w:t>
      </w:r>
      <w:r w:rsidR="00E96927" w:rsidRPr="00C01F25">
        <w:rPr>
          <w:rFonts w:ascii="Times New Roman" w:hAnsi="Times New Roman" w:cs="Times New Roman"/>
        </w:rPr>
        <w:t xml:space="preserve">. La forma de pago </w:t>
      </w:r>
      <w:r w:rsidR="00A91F53" w:rsidRPr="00C01F25">
        <w:rPr>
          <w:rFonts w:ascii="Times New Roman" w:hAnsi="Times New Roman" w:cs="Times New Roman"/>
        </w:rPr>
        <w:t>será</w:t>
      </w:r>
      <w:r w:rsidR="005E7AA0" w:rsidRPr="00C01F25">
        <w:rPr>
          <w:rFonts w:ascii="Times New Roman" w:hAnsi="Times New Roman" w:cs="Times New Roman"/>
        </w:rPr>
        <w:t xml:space="preserve"> mediante </w:t>
      </w:r>
      <w:r w:rsidR="005E7AA0" w:rsidRPr="00C01F25">
        <w:rPr>
          <w:rFonts w:ascii="Times New Roman" w:hAnsi="Times New Roman" w:cs="Times New Roman"/>
          <w:b/>
        </w:rPr>
        <w:t>CREDITO SIIF</w:t>
      </w:r>
      <w:r w:rsidR="006A3A3B" w:rsidRPr="00C01F25">
        <w:rPr>
          <w:rFonts w:ascii="Times New Roman" w:hAnsi="Times New Roman" w:cs="Times New Roman"/>
          <w:b/>
        </w:rPr>
        <w:t>/ APERTURA DE CARTA DE CREDITO</w:t>
      </w:r>
    </w:p>
    <w:p w:rsidR="00E96927" w:rsidRPr="00C01F25" w:rsidRDefault="00E96927" w:rsidP="00A91F53">
      <w:pPr>
        <w:spacing w:line="276" w:lineRule="auto"/>
        <w:jc w:val="both"/>
        <w:rPr>
          <w:rFonts w:ascii="Times New Roman" w:hAnsi="Times New Roman" w:cs="Times New Roman"/>
        </w:rPr>
      </w:pPr>
      <w:r w:rsidRPr="00C01F25">
        <w:rPr>
          <w:rFonts w:ascii="Times New Roman" w:hAnsi="Times New Roman" w:cs="Times New Roman"/>
        </w:rPr>
        <w:t>1</w:t>
      </w:r>
      <w:r w:rsidR="007C4A8F">
        <w:rPr>
          <w:rFonts w:ascii="Times New Roman" w:hAnsi="Times New Roman" w:cs="Times New Roman"/>
        </w:rPr>
        <w:t>4</w:t>
      </w:r>
      <w:r w:rsidRPr="00C01F25">
        <w:rPr>
          <w:rFonts w:ascii="Times New Roman" w:hAnsi="Times New Roman" w:cs="Times New Roman"/>
        </w:rPr>
        <w:t xml:space="preserve">. El plazo de </w:t>
      </w:r>
      <w:r w:rsidRPr="00C01F25">
        <w:rPr>
          <w:rFonts w:ascii="Times New Roman" w:hAnsi="Times New Roman" w:cs="Times New Roman"/>
          <w:b/>
        </w:rPr>
        <w:t xml:space="preserve">entrega/ejecución del servicio será de </w:t>
      </w:r>
      <w:r w:rsidR="007C4A8F">
        <w:rPr>
          <w:rFonts w:ascii="Times New Roman" w:hAnsi="Times New Roman" w:cs="Times New Roman"/>
          <w:b/>
        </w:rPr>
        <w:t>30</w:t>
      </w:r>
      <w:r w:rsidRPr="00C01F25">
        <w:rPr>
          <w:rFonts w:ascii="Times New Roman" w:hAnsi="Times New Roman" w:cs="Times New Roman"/>
          <w:b/>
        </w:rPr>
        <w:t xml:space="preserve"> día</w:t>
      </w:r>
      <w:r w:rsidR="007C4A8F">
        <w:rPr>
          <w:rFonts w:ascii="Times New Roman" w:hAnsi="Times New Roman" w:cs="Times New Roman"/>
          <w:b/>
        </w:rPr>
        <w:t xml:space="preserve">s </w:t>
      </w:r>
      <w:r w:rsidRPr="00C01F25">
        <w:rPr>
          <w:rFonts w:ascii="Times New Roman" w:hAnsi="Times New Roman" w:cs="Times New Roman"/>
        </w:rPr>
        <w:t xml:space="preserve">contados desde el día siguiente en que se hizo efectiva la entrega de la </w:t>
      </w:r>
      <w:r w:rsidRPr="00C01F25">
        <w:rPr>
          <w:rFonts w:ascii="Times New Roman" w:hAnsi="Times New Roman" w:cs="Times New Roman"/>
          <w:b/>
        </w:rPr>
        <w:t>Constancia de Afectación</w:t>
      </w:r>
      <w:r w:rsidR="006A3A3B" w:rsidRPr="00C01F25">
        <w:rPr>
          <w:rFonts w:ascii="Times New Roman" w:hAnsi="Times New Roman" w:cs="Times New Roman"/>
          <w:b/>
        </w:rPr>
        <w:t xml:space="preserve"> del Cr</w:t>
      </w:r>
      <w:r w:rsidR="00A91F53" w:rsidRPr="00C01F25">
        <w:rPr>
          <w:rFonts w:ascii="Times New Roman" w:hAnsi="Times New Roman" w:cs="Times New Roman"/>
          <w:b/>
        </w:rPr>
        <w:t xml:space="preserve">édito (Orden de Compra) / Apertura </w:t>
      </w:r>
      <w:r w:rsidR="006A3A3B" w:rsidRPr="00C01F25">
        <w:rPr>
          <w:rFonts w:ascii="Times New Roman" w:hAnsi="Times New Roman" w:cs="Times New Roman"/>
          <w:b/>
        </w:rPr>
        <w:t>de la Carta de Crédito</w:t>
      </w:r>
      <w:r w:rsidR="00A91F53" w:rsidRPr="00C01F25">
        <w:rPr>
          <w:rFonts w:ascii="Times New Roman" w:hAnsi="Times New Roman" w:cs="Times New Roman"/>
          <w:b/>
        </w:rPr>
        <w:t>.</w:t>
      </w:r>
    </w:p>
    <w:p w:rsidR="00E96927" w:rsidRPr="00C01F25" w:rsidRDefault="00E96927" w:rsidP="00A91F53">
      <w:pPr>
        <w:spacing w:line="276" w:lineRule="auto"/>
        <w:jc w:val="both"/>
        <w:rPr>
          <w:rFonts w:ascii="Times New Roman" w:hAnsi="Times New Roman" w:cs="Times New Roman"/>
        </w:rPr>
      </w:pPr>
      <w:r w:rsidRPr="00C01F25">
        <w:rPr>
          <w:rFonts w:ascii="Times New Roman" w:hAnsi="Times New Roman" w:cs="Times New Roman"/>
        </w:rPr>
        <w:t>1</w:t>
      </w:r>
      <w:r w:rsidR="007C4A8F">
        <w:rPr>
          <w:rFonts w:ascii="Times New Roman" w:hAnsi="Times New Roman" w:cs="Times New Roman"/>
        </w:rPr>
        <w:t>5</w:t>
      </w:r>
      <w:bookmarkStart w:id="0" w:name="_GoBack"/>
      <w:bookmarkEnd w:id="0"/>
      <w:r w:rsidRPr="00C01F25">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A3A3B" w:rsidRPr="00C01F25" w:rsidRDefault="00E96927" w:rsidP="00A91F53">
      <w:pPr>
        <w:spacing w:line="276" w:lineRule="auto"/>
        <w:jc w:val="both"/>
        <w:rPr>
          <w:rFonts w:ascii="Times New Roman" w:hAnsi="Times New Roman" w:cs="Times New Roman"/>
        </w:rPr>
      </w:pPr>
      <w:r w:rsidRPr="00C01F25">
        <w:rPr>
          <w:rFonts w:ascii="Times New Roman" w:hAnsi="Times New Roman" w:cs="Times New Roman"/>
        </w:rPr>
        <w:t>1</w:t>
      </w:r>
      <w:r w:rsidR="007C4A8F">
        <w:rPr>
          <w:rFonts w:ascii="Times New Roman" w:hAnsi="Times New Roman" w:cs="Times New Roman"/>
        </w:rPr>
        <w:t>6</w:t>
      </w:r>
      <w:r w:rsidRPr="00C01F25">
        <w:rPr>
          <w:rFonts w:ascii="Times New Roman" w:hAnsi="Times New Roman" w:cs="Times New Roman"/>
        </w:rPr>
        <w:t xml:space="preserve">. La Administración se reserva el derecho </w:t>
      </w:r>
      <w:r w:rsidR="006A3A3B" w:rsidRPr="00C01F25">
        <w:rPr>
          <w:rFonts w:ascii="Times New Roman" w:hAnsi="Times New Roman" w:cs="Times New Roman"/>
        </w:rPr>
        <w:t xml:space="preserve">de evaluar las ofertas de forma global o no y </w:t>
      </w:r>
      <w:r w:rsidRPr="00C01F25">
        <w:rPr>
          <w:rFonts w:ascii="Times New Roman" w:hAnsi="Times New Roman" w:cs="Times New Roman"/>
        </w:rPr>
        <w:t>de adjudicar t</w:t>
      </w:r>
      <w:r w:rsidR="006A3A3B" w:rsidRPr="00C01F25">
        <w:rPr>
          <w:rFonts w:ascii="Times New Roman" w:hAnsi="Times New Roman" w:cs="Times New Roman"/>
        </w:rPr>
        <w:t>otal o parcialmente la oferta.</w:t>
      </w:r>
    </w:p>
    <w:p w:rsidR="005E7AA0" w:rsidRPr="001A732F" w:rsidRDefault="001A732F" w:rsidP="00A91F53">
      <w:pPr>
        <w:spacing w:line="276" w:lineRule="auto"/>
        <w:jc w:val="both"/>
        <w:rPr>
          <w:rFonts w:ascii="Times New Roman" w:hAnsi="Times New Roman" w:cs="Times New Roman"/>
        </w:rPr>
      </w:pPr>
      <w:r w:rsidRPr="001A732F">
        <w:rPr>
          <w:rFonts w:ascii="Times New Roman" w:hAnsi="Times New Roman" w:cs="Times New Roman"/>
        </w:rPr>
        <w:t>1</w:t>
      </w:r>
      <w:r w:rsidR="007C4A8F">
        <w:rPr>
          <w:rFonts w:ascii="Times New Roman" w:hAnsi="Times New Roman" w:cs="Times New Roman"/>
        </w:rPr>
        <w:t>7</w:t>
      </w:r>
      <w:r>
        <w:rPr>
          <w:rFonts w:ascii="Times New Roman" w:hAnsi="Times New Roman" w:cs="Times New Roman"/>
        </w:rPr>
        <w:t>.</w:t>
      </w:r>
      <w:r w:rsidR="00BB35A0">
        <w:rPr>
          <w:rFonts w:ascii="Times New Roman" w:hAnsi="Times New Roman" w:cs="Times New Roman"/>
        </w:rPr>
        <w:t xml:space="preserve"> </w:t>
      </w:r>
      <w:r w:rsidR="005E7AA0" w:rsidRPr="001A732F">
        <w:rPr>
          <w:rFonts w:ascii="Times New Roman" w:eastAsia="Times New Roman" w:hAnsi="Times New Roman" w:cs="Times New Roman"/>
          <w:color w:val="00000A"/>
        </w:rPr>
        <w:t xml:space="preserve">La Armada se reserva la facultad de adjudicar aquellas propuestas </w:t>
      </w:r>
      <w:r w:rsidRPr="001A732F">
        <w:rPr>
          <w:rFonts w:ascii="Times New Roman" w:eastAsia="Times New Roman" w:hAnsi="Times New Roman" w:cs="Times New Roman"/>
          <w:color w:val="00000A"/>
        </w:rPr>
        <w:t>que,</w:t>
      </w:r>
      <w:r w:rsidR="005E7AA0" w:rsidRPr="001A732F">
        <w:rPr>
          <w:rFonts w:ascii="Times New Roman" w:eastAsia="Times New Roman" w:hAnsi="Times New Roman" w:cs="Times New Roman"/>
          <w:color w:val="00000A"/>
        </w:rPr>
        <w:t xml:space="preserve"> aun apartándose, no sensiblemente, de las características técnicas de lo especificado en este Pliego resulten evidentemente más convenientes para sus </w:t>
      </w:r>
      <w:r w:rsidRPr="001A732F">
        <w:rPr>
          <w:rFonts w:ascii="Times New Roman" w:eastAsia="Times New Roman" w:hAnsi="Times New Roman" w:cs="Times New Roman"/>
          <w:color w:val="00000A"/>
        </w:rPr>
        <w:t>intereses. -</w:t>
      </w:r>
    </w:p>
    <w:p w:rsidR="00E96927" w:rsidRPr="001A732F" w:rsidRDefault="007C4A8F" w:rsidP="00A91F53">
      <w:pPr>
        <w:spacing w:line="276" w:lineRule="auto"/>
        <w:jc w:val="both"/>
        <w:rPr>
          <w:rFonts w:ascii="Times New Roman" w:hAnsi="Times New Roman" w:cs="Times New Roman"/>
        </w:rPr>
      </w:pPr>
      <w:r>
        <w:rPr>
          <w:rFonts w:ascii="Times New Roman" w:hAnsi="Times New Roman" w:cs="Times New Roman"/>
        </w:rPr>
        <w:t>18</w:t>
      </w:r>
      <w:r w:rsidR="001A732F">
        <w:rPr>
          <w:rFonts w:ascii="Times New Roman" w:hAnsi="Times New Roman" w:cs="Times New Roman"/>
        </w:rPr>
        <w:t>.</w:t>
      </w:r>
      <w:r w:rsidR="00E96927" w:rsidRPr="001A732F">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157D06" w:rsidRPr="001A732F" w:rsidRDefault="007C4A8F" w:rsidP="00A91F53">
      <w:pPr>
        <w:spacing w:line="276" w:lineRule="auto"/>
        <w:jc w:val="both"/>
        <w:rPr>
          <w:rFonts w:ascii="Times New Roman" w:hAnsi="Times New Roman" w:cs="Times New Roman"/>
        </w:rPr>
      </w:pPr>
      <w:r>
        <w:rPr>
          <w:rFonts w:ascii="Times New Roman" w:hAnsi="Times New Roman" w:cs="Times New Roman"/>
        </w:rPr>
        <w:t>19</w:t>
      </w:r>
      <w:r w:rsidR="00BB35A0">
        <w:rPr>
          <w:rFonts w:ascii="Times New Roman" w:hAnsi="Times New Roman" w:cs="Times New Roman"/>
        </w:rPr>
        <w:t>.</w:t>
      </w:r>
      <w:r w:rsidR="00E96927" w:rsidRPr="001A732F">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157D06" w:rsidRPr="001A732F" w:rsidSect="001A73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15:restartNumberingAfterBreak="0">
    <w:nsid w:val="00000004"/>
    <w:multiLevelType w:val="singleLevel"/>
    <w:tmpl w:val="380A0017"/>
    <w:lvl w:ilvl="0">
      <w:start w:val="1"/>
      <w:numFmt w:val="lowerLetter"/>
      <w:lvlText w:val="%1)"/>
      <w:lvlJc w:val="left"/>
      <w:pPr>
        <w:ind w:left="1242" w:hanging="360"/>
      </w:pPr>
    </w:lvl>
  </w:abstractNum>
  <w:abstractNum w:abstractNumId="2" w15:restartNumberingAfterBreak="0">
    <w:nsid w:val="2213712F"/>
    <w:multiLevelType w:val="hybridMultilevel"/>
    <w:tmpl w:val="EEB09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EA612E"/>
    <w:multiLevelType w:val="hybridMultilevel"/>
    <w:tmpl w:val="E496D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CD0F5B"/>
    <w:multiLevelType w:val="hybridMultilevel"/>
    <w:tmpl w:val="8D789D64"/>
    <w:lvl w:ilvl="0" w:tplc="6C661D2C">
      <w:start w:val="14"/>
      <w:numFmt w:val="decimal"/>
      <w:lvlText w:val="%1."/>
      <w:lvlJc w:val="left"/>
      <w:pPr>
        <w:ind w:left="360" w:hanging="360"/>
      </w:pPr>
      <w:rPr>
        <w:rFonts w:asciiTheme="minorHAnsi" w:eastAsiaTheme="minorHAnsi" w:hAnsiTheme="minorHAnsi" w:cstheme="minorBidi" w:hint="default"/>
        <w:b w:val="0"/>
        <w:color w:val="auto"/>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15:restartNumberingAfterBreak="0">
    <w:nsid w:val="6D6F7E43"/>
    <w:multiLevelType w:val="hybridMultilevel"/>
    <w:tmpl w:val="5ACA67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27"/>
    <w:rsid w:val="0002029D"/>
    <w:rsid w:val="00041C6A"/>
    <w:rsid w:val="00094B61"/>
    <w:rsid w:val="001217D9"/>
    <w:rsid w:val="00157D06"/>
    <w:rsid w:val="001A732F"/>
    <w:rsid w:val="00254945"/>
    <w:rsid w:val="00393566"/>
    <w:rsid w:val="0040555D"/>
    <w:rsid w:val="00546F7C"/>
    <w:rsid w:val="00552F6B"/>
    <w:rsid w:val="005C7B54"/>
    <w:rsid w:val="005D101D"/>
    <w:rsid w:val="005E7AA0"/>
    <w:rsid w:val="006A3A3B"/>
    <w:rsid w:val="007C4A8F"/>
    <w:rsid w:val="00874091"/>
    <w:rsid w:val="00A91F53"/>
    <w:rsid w:val="00AC6DC7"/>
    <w:rsid w:val="00B10759"/>
    <w:rsid w:val="00B1235D"/>
    <w:rsid w:val="00BB35A0"/>
    <w:rsid w:val="00C01F25"/>
    <w:rsid w:val="00C81165"/>
    <w:rsid w:val="00D009CC"/>
    <w:rsid w:val="00D214BA"/>
    <w:rsid w:val="00D95745"/>
    <w:rsid w:val="00E91DA3"/>
    <w:rsid w:val="00E96927"/>
    <w:rsid w:val="00F416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1A8A1-1A4B-49D3-8559-933B3B4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2019-08-09T14:41:00Z</cp:lastPrinted>
  <dcterms:created xsi:type="dcterms:W3CDTF">2019-08-12T15:24:00Z</dcterms:created>
  <dcterms:modified xsi:type="dcterms:W3CDTF">2019-08-12T15:24:00Z</dcterms:modified>
</cp:coreProperties>
</file>