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DA" w:rsidRDefault="009E4461">
      <w:pPr>
        <w:spacing w:line="276" w:lineRule="auto"/>
        <w:jc w:val="center"/>
      </w:pPr>
      <w:r>
        <w:rPr>
          <w:noProof/>
          <w:lang w:val="es-ES" w:eastAsia="es-ES"/>
        </w:rPr>
        <w:drawing>
          <wp:anchor distT="0" distB="0" distL="0" distR="0" simplePos="0" relativeHeight="2" behindDoc="1" locked="0" layoutInCell="1" allowOverlap="1">
            <wp:simplePos x="0" y="0"/>
            <wp:positionH relativeFrom="column">
              <wp:posOffset>2606040</wp:posOffset>
            </wp:positionH>
            <wp:positionV relativeFrom="paragraph">
              <wp:posOffset>156845</wp:posOffset>
            </wp:positionV>
            <wp:extent cx="971550" cy="11811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7F19DA" w:rsidRDefault="009E4461">
      <w:pPr>
        <w:spacing w:line="276" w:lineRule="auto"/>
        <w:jc w:val="right"/>
        <w:rPr>
          <w:rFonts w:ascii="Times New Roman" w:hAnsi="Times New Roman" w:cs="Times New Roman"/>
          <w:sz w:val="18"/>
          <w:szCs w:val="18"/>
        </w:rPr>
      </w:pPr>
      <w:r>
        <w:rPr>
          <w:noProof/>
          <w:lang w:val="es-ES" w:eastAsia="es-ES"/>
        </w:rPr>
        <w:drawing>
          <wp:inline distT="0" distB="0" distL="0" distR="0">
            <wp:extent cx="1771015" cy="760730"/>
            <wp:effectExtent l="0" t="0" r="0" b="0"/>
            <wp:docPr id="2"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uccar22\AppData\Local\Temp\LOGO ARMADA EN JPG.jpg"/>
                    <pic:cNvPicPr>
                      <a:picLocks noChangeAspect="1" noChangeArrowheads="1"/>
                    </pic:cNvPicPr>
                  </pic:nvPicPr>
                  <pic:blipFill>
                    <a:blip r:embed="rId8"/>
                    <a:stretch>
                      <a:fillRect/>
                    </a:stretch>
                  </pic:blipFill>
                  <pic:spPr bwMode="auto">
                    <a:xfrm>
                      <a:off x="0" y="0"/>
                      <a:ext cx="1771015" cy="760730"/>
                    </a:xfrm>
                    <a:prstGeom prst="rect">
                      <a:avLst/>
                    </a:prstGeom>
                  </pic:spPr>
                </pic:pic>
              </a:graphicData>
            </a:graphic>
          </wp:inline>
        </w:drawing>
      </w:r>
    </w:p>
    <w:p w:rsidR="007F19DA" w:rsidRDefault="007F19DA">
      <w:pPr>
        <w:spacing w:line="276" w:lineRule="auto"/>
        <w:ind w:left="2124"/>
        <w:rPr>
          <w:rFonts w:ascii="Times New Roman" w:hAnsi="Times New Roman" w:cs="Times New Roman"/>
          <w:i/>
          <w:sz w:val="36"/>
          <w:szCs w:val="18"/>
          <w:lang w:eastAsia="es-UY"/>
        </w:rPr>
      </w:pPr>
    </w:p>
    <w:p w:rsidR="007F19DA" w:rsidRDefault="009E4461">
      <w:pPr>
        <w:spacing w:line="276" w:lineRule="auto"/>
        <w:ind w:left="2124"/>
      </w:pPr>
      <w:r>
        <w:rPr>
          <w:rFonts w:ascii="Times New Roman" w:hAnsi="Times New Roman" w:cs="Times New Roman"/>
          <w:i/>
          <w:sz w:val="36"/>
          <w:szCs w:val="36"/>
          <w:lang w:eastAsia="es-UY"/>
        </w:rPr>
        <w:t>República Oriental del Uruguay</w:t>
      </w:r>
    </w:p>
    <w:p w:rsidR="007F19DA" w:rsidRDefault="009E4461">
      <w:pPr>
        <w:spacing w:line="276" w:lineRule="auto"/>
        <w:ind w:left="2832"/>
        <w:rPr>
          <w:sz w:val="36"/>
          <w:szCs w:val="36"/>
        </w:rPr>
      </w:pPr>
      <w:r>
        <w:rPr>
          <w:rFonts w:ascii="Times New Roman" w:hAnsi="Times New Roman" w:cs="Times New Roman"/>
          <w:i/>
          <w:sz w:val="36"/>
          <w:szCs w:val="36"/>
          <w:lang w:eastAsia="es-UY"/>
        </w:rPr>
        <w:t xml:space="preserve">         Armada Nacional</w:t>
      </w:r>
    </w:p>
    <w:p w:rsidR="007F19DA" w:rsidRDefault="009E4461">
      <w:pPr>
        <w:spacing w:line="276" w:lineRule="auto"/>
      </w:pPr>
      <w:r>
        <w:rPr>
          <w:rFonts w:ascii="Times New Roman" w:hAnsi="Times New Roman" w:cs="Times New Roman"/>
          <w:b/>
          <w:bCs/>
        </w:rPr>
        <w:t>1.</w:t>
      </w:r>
      <w:r>
        <w:rPr>
          <w:rFonts w:ascii="Times New Roman" w:hAnsi="Times New Roman" w:cs="Times New Roman"/>
        </w:rPr>
        <w:t xml:space="preserve"> OBJETO DE LA CONTRATACIÓN: </w:t>
      </w:r>
    </w:p>
    <w:tbl>
      <w:tblPr>
        <w:tblW w:w="10800" w:type="dxa"/>
        <w:tblInd w:w="-44"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683"/>
        <w:gridCol w:w="692"/>
        <w:gridCol w:w="1235"/>
        <w:gridCol w:w="6469"/>
        <w:gridCol w:w="1721"/>
      </w:tblGrid>
      <w:tr w:rsidR="007F19DA">
        <w:trPr>
          <w:trHeight w:val="345"/>
        </w:trPr>
        <w:tc>
          <w:tcPr>
            <w:tcW w:w="683" w:type="dxa"/>
            <w:tcBorders>
              <w:top w:val="single" w:sz="12" w:space="0" w:color="000001"/>
              <w:left w:val="single" w:sz="12" w:space="0" w:color="000001"/>
              <w:bottom w:val="single" w:sz="12" w:space="0" w:color="000001"/>
              <w:right w:val="single" w:sz="6" w:space="0" w:color="000001"/>
            </w:tcBorders>
            <w:shd w:val="clear" w:color="auto" w:fill="auto"/>
            <w:tcMar>
              <w:left w:w="-15" w:type="dxa"/>
            </w:tcMar>
            <w:vAlign w:val="center"/>
          </w:tcPr>
          <w:p w:rsidR="007F19DA" w:rsidRDefault="009E4461">
            <w:pPr>
              <w:spacing w:after="0" w:line="240" w:lineRule="auto"/>
              <w:jc w:val="center"/>
              <w:rPr>
                <w:rFonts w:ascii="Times New Roman" w:hAnsi="Times New Roman"/>
                <w:sz w:val="24"/>
                <w:szCs w:val="24"/>
              </w:rPr>
            </w:pPr>
            <w:r>
              <w:rPr>
                <w:rFonts w:ascii="Times New Roman" w:eastAsia="Times New Roman" w:hAnsi="Times New Roman" w:cs="Times New Roman"/>
                <w:b/>
                <w:bCs/>
                <w:color w:val="000000"/>
                <w:sz w:val="20"/>
                <w:szCs w:val="20"/>
                <w:lang w:eastAsia="es-ES"/>
              </w:rPr>
              <w:t>ÍTEM</w:t>
            </w:r>
          </w:p>
        </w:tc>
        <w:tc>
          <w:tcPr>
            <w:tcW w:w="692" w:type="dxa"/>
            <w:tcBorders>
              <w:top w:val="single" w:sz="12" w:space="0" w:color="000001"/>
              <w:left w:val="single" w:sz="6" w:space="0" w:color="000001"/>
              <w:bottom w:val="single" w:sz="12" w:space="0" w:color="000001"/>
            </w:tcBorders>
            <w:shd w:val="clear" w:color="auto" w:fill="auto"/>
            <w:tcMar>
              <w:left w:w="-7" w:type="dxa"/>
            </w:tcMar>
            <w:vAlign w:val="center"/>
          </w:tcPr>
          <w:p w:rsidR="007F19DA" w:rsidRDefault="009E4461">
            <w:pPr>
              <w:spacing w:after="0" w:line="240" w:lineRule="auto"/>
              <w:jc w:val="center"/>
              <w:rPr>
                <w:rFonts w:eastAsia="Times New Roman" w:cs="Times New Roman"/>
                <w:sz w:val="20"/>
                <w:szCs w:val="20"/>
                <w:lang w:eastAsia="es-ES"/>
              </w:rPr>
            </w:pPr>
            <w:r>
              <w:rPr>
                <w:rFonts w:ascii="Times New Roman" w:eastAsia="Times New Roman" w:hAnsi="Times New Roman" w:cs="Times New Roman"/>
                <w:b/>
                <w:bCs/>
                <w:color w:val="000000"/>
                <w:sz w:val="20"/>
                <w:szCs w:val="20"/>
                <w:lang w:eastAsia="es-ES"/>
              </w:rPr>
              <w:t>CÓD. SICE</w:t>
            </w:r>
          </w:p>
        </w:tc>
        <w:tc>
          <w:tcPr>
            <w:tcW w:w="1235"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7F19DA" w:rsidRDefault="009E4461">
            <w:pPr>
              <w:spacing w:after="0" w:line="240" w:lineRule="auto"/>
              <w:jc w:val="center"/>
              <w:rPr>
                <w:rFonts w:ascii="Times New Roman" w:hAnsi="Times New Roman"/>
                <w:b/>
                <w:bCs/>
                <w:sz w:val="20"/>
                <w:szCs w:val="20"/>
              </w:rPr>
            </w:pPr>
            <w:r>
              <w:rPr>
                <w:rFonts w:ascii="Times New Roman" w:hAnsi="Times New Roman"/>
                <w:b/>
                <w:bCs/>
                <w:sz w:val="20"/>
                <w:szCs w:val="20"/>
              </w:rPr>
              <w:t>ARTICULO</w:t>
            </w:r>
          </w:p>
        </w:tc>
        <w:tc>
          <w:tcPr>
            <w:tcW w:w="6469"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7F19DA" w:rsidRDefault="009E4461">
            <w:pPr>
              <w:spacing w:after="0" w:line="240" w:lineRule="auto"/>
              <w:jc w:val="center"/>
              <w:rPr>
                <w:rFonts w:ascii="Times New Roman" w:hAnsi="Times New Roman"/>
                <w:sz w:val="20"/>
                <w:szCs w:val="20"/>
              </w:rPr>
            </w:pPr>
            <w:r>
              <w:rPr>
                <w:rFonts w:ascii="Times New Roman" w:eastAsia="Times New Roman" w:hAnsi="Times New Roman" w:cs="Times New Roman"/>
                <w:b/>
                <w:bCs/>
                <w:color w:val="000000"/>
                <w:sz w:val="20"/>
                <w:szCs w:val="20"/>
                <w:lang w:eastAsia="es-ES"/>
              </w:rPr>
              <w:t>DESCRIPCIÓN</w:t>
            </w:r>
          </w:p>
        </w:tc>
        <w:tc>
          <w:tcPr>
            <w:tcW w:w="1721"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7F19DA" w:rsidRDefault="009E4461">
            <w:pPr>
              <w:spacing w:after="0" w:line="240" w:lineRule="auto"/>
              <w:jc w:val="center"/>
              <w:rPr>
                <w:rFonts w:ascii="Times New Roman" w:hAnsi="Times New Roman"/>
                <w:sz w:val="20"/>
                <w:szCs w:val="20"/>
              </w:rPr>
            </w:pPr>
            <w:r>
              <w:rPr>
                <w:rFonts w:ascii="Times New Roman" w:eastAsia="Times New Roman" w:hAnsi="Times New Roman" w:cs="Times New Roman"/>
                <w:b/>
                <w:bCs/>
                <w:color w:val="000000"/>
                <w:sz w:val="20"/>
                <w:szCs w:val="20"/>
                <w:lang w:eastAsia="es-ES"/>
              </w:rPr>
              <w:t>CANTIDAD</w:t>
            </w:r>
          </w:p>
        </w:tc>
      </w:tr>
      <w:tr w:rsidR="007F19DA">
        <w:trPr>
          <w:trHeight w:val="330"/>
        </w:trPr>
        <w:tc>
          <w:tcPr>
            <w:tcW w:w="683"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7F19DA" w:rsidRDefault="009E4461">
            <w:pPr>
              <w:spacing w:after="0" w:line="240" w:lineRule="auto"/>
              <w:jc w:val="center"/>
              <w:rPr>
                <w:rFonts w:ascii="Times New Roman" w:hAnsi="Times New Roman" w:cs="Times New Roman"/>
              </w:rPr>
            </w:pPr>
            <w:r>
              <w:rPr>
                <w:rFonts w:ascii="Times New Roman" w:hAnsi="Times New Roman" w:cs="Times New Roman"/>
              </w:rPr>
              <w:t>1</w:t>
            </w:r>
          </w:p>
        </w:tc>
        <w:tc>
          <w:tcPr>
            <w:tcW w:w="692" w:type="dxa"/>
            <w:tcBorders>
              <w:top w:val="single" w:sz="12" w:space="0" w:color="000001"/>
              <w:left w:val="single" w:sz="6" w:space="0" w:color="000001"/>
              <w:bottom w:val="single" w:sz="12" w:space="0" w:color="000001"/>
            </w:tcBorders>
            <w:shd w:val="clear" w:color="auto" w:fill="auto"/>
            <w:vAlign w:val="center"/>
          </w:tcPr>
          <w:p w:rsidR="007F19DA" w:rsidRDefault="009E4461">
            <w:pPr>
              <w:spacing w:after="0" w:line="240" w:lineRule="auto"/>
              <w:jc w:val="center"/>
              <w:rPr>
                <w:rFonts w:ascii="Times New Roman" w:hAnsi="Times New Roman" w:cs="Times New Roman"/>
              </w:rPr>
            </w:pPr>
            <w:r>
              <w:rPr>
                <w:rFonts w:ascii="Times New Roman" w:hAnsi="Times New Roman" w:cs="Times New Roman"/>
              </w:rPr>
              <w:t>13953</w:t>
            </w:r>
          </w:p>
        </w:tc>
        <w:tc>
          <w:tcPr>
            <w:tcW w:w="1235"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7F19DA" w:rsidRDefault="009E4461">
            <w:pPr>
              <w:spacing w:after="0" w:line="240" w:lineRule="auto"/>
              <w:jc w:val="center"/>
            </w:pPr>
            <w:r>
              <w:t>Ración  de combate</w:t>
            </w:r>
          </w:p>
        </w:tc>
        <w:tc>
          <w:tcPr>
            <w:tcW w:w="6469" w:type="dxa"/>
            <w:tcBorders>
              <w:top w:val="single" w:sz="12" w:space="0" w:color="000001"/>
              <w:left w:val="single" w:sz="6" w:space="0" w:color="000001"/>
              <w:bottom w:val="single" w:sz="12" w:space="0" w:color="000001"/>
              <w:right w:val="single" w:sz="6" w:space="0" w:color="000001"/>
            </w:tcBorders>
            <w:shd w:val="clear" w:color="auto" w:fill="FFFFFF" w:themeFill="background1"/>
            <w:vAlign w:val="center"/>
          </w:tcPr>
          <w:p w:rsidR="007F19DA" w:rsidRDefault="009E4461">
            <w:pPr>
              <w:pStyle w:val="WW-Predeterminado"/>
            </w:pPr>
            <w:r>
              <w:rPr>
                <w:rFonts w:ascii="Arial" w:eastAsia="Arial" w:hAnsi="Arial" w:cs="Arial"/>
                <w:bCs/>
                <w:sz w:val="22"/>
                <w:szCs w:val="22"/>
              </w:rPr>
              <w:t xml:space="preserve">Raciones alimenticias individuales de supervivencia para uso militar, con fecha de vencimiento no menor de 5 años. </w:t>
            </w:r>
          </w:p>
          <w:p w:rsidR="007F19DA" w:rsidRDefault="009E4461">
            <w:pPr>
              <w:pStyle w:val="WW-Predeterminado"/>
            </w:pPr>
            <w:r>
              <w:rPr>
                <w:rFonts w:ascii="Arial" w:eastAsia="Arial" w:hAnsi="Arial" w:cs="Arial"/>
                <w:bCs/>
                <w:sz w:val="22"/>
                <w:szCs w:val="22"/>
              </w:rPr>
              <w:t>La ración deberá ser la más adecuada según el balance alimenticio compuesto por sus nutrientes, con un valor energético superior a las 2.000</w:t>
            </w:r>
            <w:r>
              <w:rPr>
                <w:rFonts w:ascii="Arial" w:eastAsia="Arial" w:hAnsi="Arial" w:cs="Arial"/>
                <w:bCs/>
                <w:sz w:val="22"/>
                <w:szCs w:val="22"/>
              </w:rPr>
              <w:t xml:space="preserve"> kcal.</w:t>
            </w:r>
          </w:p>
          <w:p w:rsidR="007F19DA" w:rsidRDefault="009E4461">
            <w:pPr>
              <w:pStyle w:val="WW-Predeterminado"/>
              <w:rPr>
                <w:rFonts w:ascii="Arial" w:eastAsia="Arial" w:hAnsi="Arial" w:cs="Arial"/>
                <w:bCs/>
                <w:sz w:val="22"/>
                <w:szCs w:val="22"/>
              </w:rPr>
            </w:pPr>
            <w:r>
              <w:rPr>
                <w:rFonts w:ascii="Arial" w:eastAsia="Arial" w:hAnsi="Arial" w:cs="Arial"/>
                <w:bCs/>
                <w:sz w:val="22"/>
                <w:szCs w:val="22"/>
              </w:rPr>
              <w:t>El pack debe contener los alimentos necesarios para un individuo durante 12 horas, el cual deberá estar compuesto por:</w:t>
            </w:r>
          </w:p>
          <w:p w:rsidR="007F19DA" w:rsidRDefault="009E4461">
            <w:pPr>
              <w:pStyle w:val="WW-Predeterminado"/>
              <w:numPr>
                <w:ilvl w:val="0"/>
                <w:numId w:val="2"/>
              </w:numPr>
              <w:rPr>
                <w:rFonts w:ascii="Arial" w:eastAsia="Arial" w:hAnsi="Arial" w:cs="Arial"/>
                <w:bCs/>
                <w:sz w:val="22"/>
                <w:szCs w:val="22"/>
              </w:rPr>
            </w:pPr>
            <w:r>
              <w:rPr>
                <w:rFonts w:ascii="Arial" w:eastAsia="Arial" w:hAnsi="Arial" w:cs="Arial"/>
                <w:bCs/>
                <w:sz w:val="22"/>
                <w:szCs w:val="22"/>
              </w:rPr>
              <w:t>Una comida principal.</w:t>
            </w:r>
          </w:p>
          <w:p w:rsidR="007F19DA" w:rsidRDefault="009E4461">
            <w:pPr>
              <w:pStyle w:val="WW-Predeterminado"/>
              <w:numPr>
                <w:ilvl w:val="0"/>
                <w:numId w:val="2"/>
              </w:numPr>
              <w:rPr>
                <w:rFonts w:ascii="Arial" w:eastAsia="Arial" w:hAnsi="Arial" w:cs="Arial"/>
                <w:bCs/>
                <w:sz w:val="22"/>
                <w:szCs w:val="22"/>
              </w:rPr>
            </w:pPr>
            <w:r>
              <w:rPr>
                <w:rFonts w:ascii="Arial" w:eastAsia="Arial" w:hAnsi="Arial" w:cs="Arial"/>
                <w:bCs/>
                <w:sz w:val="22"/>
                <w:szCs w:val="22"/>
              </w:rPr>
              <w:t xml:space="preserve">Postre. </w:t>
            </w:r>
          </w:p>
          <w:p w:rsidR="007F19DA" w:rsidRDefault="009E4461">
            <w:pPr>
              <w:pStyle w:val="WW-Predeterminado"/>
              <w:numPr>
                <w:ilvl w:val="0"/>
                <w:numId w:val="2"/>
              </w:numPr>
              <w:rPr>
                <w:rFonts w:ascii="Arial" w:eastAsia="Arial" w:hAnsi="Arial" w:cs="Arial"/>
                <w:bCs/>
                <w:sz w:val="22"/>
                <w:szCs w:val="22"/>
              </w:rPr>
            </w:pPr>
            <w:r>
              <w:rPr>
                <w:rFonts w:ascii="Arial" w:eastAsia="Arial" w:hAnsi="Arial" w:cs="Arial"/>
                <w:bCs/>
                <w:sz w:val="22"/>
                <w:szCs w:val="22"/>
              </w:rPr>
              <w:t>Infusión de café y leche con la capacidad de la incorporación del azúcar.</w:t>
            </w:r>
          </w:p>
          <w:p w:rsidR="007F19DA" w:rsidRDefault="009E4461">
            <w:pPr>
              <w:pStyle w:val="WW-Predeterminado"/>
              <w:numPr>
                <w:ilvl w:val="0"/>
                <w:numId w:val="2"/>
              </w:numPr>
              <w:rPr>
                <w:rFonts w:ascii="Arial" w:eastAsia="Arial" w:hAnsi="Arial" w:cs="Arial"/>
                <w:bCs/>
                <w:sz w:val="22"/>
                <w:szCs w:val="22"/>
              </w:rPr>
            </w:pPr>
            <w:r>
              <w:rPr>
                <w:rFonts w:ascii="Arial" w:eastAsia="Arial" w:hAnsi="Arial" w:cs="Arial"/>
                <w:bCs/>
                <w:sz w:val="22"/>
                <w:szCs w:val="22"/>
              </w:rPr>
              <w:t xml:space="preserve">Pan o galleta con </w:t>
            </w:r>
            <w:r>
              <w:rPr>
                <w:rFonts w:ascii="Arial" w:eastAsia="Arial" w:hAnsi="Arial" w:cs="Arial"/>
                <w:bCs/>
                <w:sz w:val="22"/>
                <w:szCs w:val="22"/>
              </w:rPr>
              <w:t>mermelada.</w:t>
            </w:r>
          </w:p>
          <w:p w:rsidR="007F19DA" w:rsidRDefault="009E4461">
            <w:pPr>
              <w:pStyle w:val="WW-Predeterminado"/>
              <w:numPr>
                <w:ilvl w:val="0"/>
                <w:numId w:val="2"/>
              </w:numPr>
            </w:pPr>
            <w:r>
              <w:rPr>
                <w:rFonts w:ascii="Arial" w:eastAsia="Arial" w:hAnsi="Arial" w:cs="Arial"/>
                <w:bCs/>
                <w:sz w:val="22"/>
                <w:szCs w:val="22"/>
              </w:rPr>
              <w:t>Jugo para preparar que además trate el agua utilizada.</w:t>
            </w:r>
          </w:p>
          <w:p w:rsidR="007F19DA" w:rsidRDefault="009E4461">
            <w:pPr>
              <w:pStyle w:val="WW-Predeterminado"/>
              <w:numPr>
                <w:ilvl w:val="0"/>
                <w:numId w:val="2"/>
              </w:numPr>
            </w:pPr>
            <w:r>
              <w:rPr>
                <w:rFonts w:ascii="Arial" w:eastAsia="Arial" w:hAnsi="Arial" w:cs="Arial"/>
                <w:bCs/>
                <w:sz w:val="22"/>
                <w:szCs w:val="22"/>
              </w:rPr>
              <w:t>Cubiertos descartables.</w:t>
            </w:r>
          </w:p>
          <w:p w:rsidR="007F19DA" w:rsidRDefault="009E4461">
            <w:pPr>
              <w:pStyle w:val="WW-Predeterminado"/>
              <w:numPr>
                <w:ilvl w:val="0"/>
                <w:numId w:val="2"/>
              </w:numPr>
              <w:rPr>
                <w:rFonts w:ascii="Arial" w:eastAsia="Arial" w:hAnsi="Arial" w:cs="Arial"/>
                <w:bCs/>
                <w:sz w:val="22"/>
                <w:szCs w:val="22"/>
              </w:rPr>
            </w:pPr>
            <w:r>
              <w:rPr>
                <w:rFonts w:ascii="Arial" w:eastAsia="Arial" w:hAnsi="Arial" w:cs="Arial"/>
                <w:bCs/>
                <w:sz w:val="22"/>
                <w:szCs w:val="22"/>
              </w:rPr>
              <w:t>Material para la higienización.</w:t>
            </w:r>
          </w:p>
          <w:p w:rsidR="007F19DA" w:rsidRDefault="009E4461">
            <w:pPr>
              <w:pStyle w:val="WW-Predeterminado"/>
              <w:numPr>
                <w:ilvl w:val="0"/>
                <w:numId w:val="2"/>
              </w:numPr>
            </w:pPr>
            <w:r>
              <w:rPr>
                <w:rFonts w:ascii="Arial" w:eastAsia="Arial" w:hAnsi="Arial" w:cs="Arial"/>
                <w:bCs/>
                <w:sz w:val="22"/>
                <w:szCs w:val="22"/>
              </w:rPr>
              <w:t>Calentador de reacción química al contacto con agua, de forma que se produzca un desprendimiento de calor a los efectos de calentar el</w:t>
            </w:r>
            <w:r>
              <w:rPr>
                <w:rFonts w:ascii="Arial" w:eastAsia="Arial" w:hAnsi="Arial" w:cs="Arial"/>
                <w:bCs/>
                <w:sz w:val="22"/>
                <w:szCs w:val="22"/>
              </w:rPr>
              <w:t xml:space="preserve"> plato principal sin la necesidad, de realizar fuego. </w:t>
            </w:r>
          </w:p>
          <w:p w:rsidR="007F19DA" w:rsidRDefault="007F19DA">
            <w:pPr>
              <w:pStyle w:val="WW-Predeterminado"/>
              <w:rPr>
                <w:rFonts w:ascii="Arial" w:eastAsia="Arial" w:hAnsi="Arial" w:cs="Arial"/>
                <w:bCs/>
                <w:sz w:val="22"/>
                <w:szCs w:val="22"/>
              </w:rPr>
            </w:pPr>
          </w:p>
          <w:p w:rsidR="007F19DA" w:rsidRDefault="009E4461">
            <w:pPr>
              <w:pStyle w:val="WW-Predeterminado"/>
            </w:pPr>
            <w:r>
              <w:rPr>
                <w:rFonts w:ascii="Arial" w:eastAsia="Arial" w:hAnsi="Arial" w:cs="Arial"/>
                <w:bCs/>
                <w:sz w:val="22"/>
                <w:szCs w:val="22"/>
              </w:rPr>
              <w:t>Los alimentos deben ser disecados y envasados al vacío de forma de disminuir su peso y aumentar su tiempo de conservación. Con estas cualidades permite al Infante cargar mayor cantidad de pack, aument</w:t>
            </w:r>
            <w:r>
              <w:rPr>
                <w:rFonts w:ascii="Arial" w:eastAsia="Arial" w:hAnsi="Arial" w:cs="Arial"/>
                <w:bCs/>
                <w:sz w:val="22"/>
                <w:szCs w:val="22"/>
              </w:rPr>
              <w:t>ando así su autonomía de racionamiento en el terreno.</w:t>
            </w:r>
          </w:p>
          <w:p w:rsidR="007F19DA" w:rsidRDefault="009E4461">
            <w:pPr>
              <w:pStyle w:val="WW-Predeterminado"/>
              <w:rPr>
                <w:rFonts w:ascii="Arial" w:eastAsia="Arial" w:hAnsi="Arial" w:cs="Arial"/>
                <w:bCs/>
                <w:sz w:val="22"/>
                <w:szCs w:val="22"/>
              </w:rPr>
            </w:pPr>
            <w:r>
              <w:rPr>
                <w:rFonts w:ascii="Arial" w:eastAsia="Arial" w:hAnsi="Arial" w:cs="Arial"/>
                <w:bCs/>
                <w:sz w:val="22"/>
                <w:szCs w:val="22"/>
              </w:rPr>
              <w:t xml:space="preserve">Su peso aproximado debe rondar en los 500 </w:t>
            </w:r>
            <w:proofErr w:type="spellStart"/>
            <w:r>
              <w:rPr>
                <w:rFonts w:ascii="Arial" w:eastAsia="Arial" w:hAnsi="Arial" w:cs="Arial"/>
                <w:bCs/>
                <w:sz w:val="22"/>
                <w:szCs w:val="22"/>
              </w:rPr>
              <w:t>grs</w:t>
            </w:r>
            <w:proofErr w:type="spellEnd"/>
            <w:r>
              <w:rPr>
                <w:rFonts w:ascii="Arial" w:eastAsia="Arial" w:hAnsi="Arial" w:cs="Arial"/>
                <w:bCs/>
                <w:sz w:val="22"/>
                <w:szCs w:val="22"/>
              </w:rPr>
              <w:t>.</w:t>
            </w:r>
          </w:p>
          <w:p w:rsidR="007F19DA" w:rsidRDefault="009E4461">
            <w:pPr>
              <w:pStyle w:val="WW-Predeterminado"/>
              <w:spacing w:line="240" w:lineRule="auto"/>
              <w:rPr>
                <w:rFonts w:ascii="Arial" w:eastAsia="Arial" w:hAnsi="Arial" w:cs="Arial"/>
                <w:bCs/>
                <w:sz w:val="22"/>
                <w:szCs w:val="22"/>
              </w:rPr>
            </w:pPr>
            <w:r>
              <w:rPr>
                <w:rFonts w:ascii="Arial" w:eastAsia="Arial" w:hAnsi="Arial" w:cs="Arial"/>
                <w:bCs/>
                <w:sz w:val="22"/>
                <w:szCs w:val="22"/>
              </w:rPr>
              <w:t>Serán dos paquetes por persona por día.</w:t>
            </w:r>
          </w:p>
          <w:p w:rsidR="007F19DA" w:rsidRDefault="009E4461">
            <w:pPr>
              <w:pStyle w:val="WW-Predeterminado"/>
              <w:spacing w:line="240" w:lineRule="auto"/>
              <w:rPr>
                <w:rFonts w:ascii="Arial" w:eastAsia="Arial" w:hAnsi="Arial" w:cs="Arial"/>
                <w:bCs/>
                <w:sz w:val="22"/>
                <w:szCs w:val="22"/>
              </w:rPr>
            </w:pPr>
            <w:r>
              <w:rPr>
                <w:rFonts w:ascii="Arial" w:eastAsia="Arial" w:hAnsi="Arial" w:cs="Arial"/>
                <w:bCs/>
                <w:noProof/>
                <w:sz w:val="22"/>
                <w:szCs w:val="22"/>
                <w:lang w:eastAsia="es-ES" w:bidi="ar-SA"/>
              </w:rPr>
              <w:drawing>
                <wp:inline distT="0" distB="0" distL="0" distR="0">
                  <wp:extent cx="1456055" cy="1060450"/>
                  <wp:effectExtent l="0" t="0" r="0" b="0"/>
                  <wp:docPr id="3"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pic:cNvPicPr>
                            <a:picLocks noChangeAspect="1" noChangeArrowheads="1"/>
                          </pic:cNvPicPr>
                        </pic:nvPicPr>
                        <pic:blipFill>
                          <a:blip r:embed="rId9"/>
                          <a:stretch>
                            <a:fillRect/>
                          </a:stretch>
                        </pic:blipFill>
                        <pic:spPr bwMode="auto">
                          <a:xfrm>
                            <a:off x="0" y="0"/>
                            <a:ext cx="1456055" cy="1060450"/>
                          </a:xfrm>
                          <a:prstGeom prst="rect">
                            <a:avLst/>
                          </a:prstGeom>
                        </pic:spPr>
                      </pic:pic>
                    </a:graphicData>
                  </a:graphic>
                </wp:inline>
              </w:drawing>
            </w:r>
            <w:r>
              <w:rPr>
                <w:rFonts w:ascii="Arial" w:eastAsia="Arial" w:hAnsi="Arial" w:cs="Arial"/>
                <w:bCs/>
                <w:noProof/>
                <w:sz w:val="22"/>
                <w:szCs w:val="22"/>
                <w:lang w:eastAsia="es-ES" w:bidi="ar-SA"/>
              </w:rPr>
              <w:drawing>
                <wp:inline distT="0" distB="0" distL="0" distR="0">
                  <wp:extent cx="1332865" cy="1038860"/>
                  <wp:effectExtent l="0" t="0" r="0" b="0"/>
                  <wp:docPr id="4"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pic:cNvPicPr>
                            <a:picLocks noChangeAspect="1" noChangeArrowheads="1"/>
                          </pic:cNvPicPr>
                        </pic:nvPicPr>
                        <pic:blipFill>
                          <a:blip r:embed="rId10"/>
                          <a:stretch>
                            <a:fillRect/>
                          </a:stretch>
                        </pic:blipFill>
                        <pic:spPr bwMode="auto">
                          <a:xfrm>
                            <a:off x="0" y="0"/>
                            <a:ext cx="1332865" cy="1038860"/>
                          </a:xfrm>
                          <a:prstGeom prst="rect">
                            <a:avLst/>
                          </a:prstGeom>
                        </pic:spPr>
                      </pic:pic>
                    </a:graphicData>
                  </a:graphic>
                </wp:inline>
              </w:drawing>
            </w:r>
            <w:r>
              <w:rPr>
                <w:rFonts w:ascii="Arial" w:eastAsia="Arial" w:hAnsi="Arial" w:cs="Arial"/>
                <w:bCs/>
                <w:noProof/>
                <w:sz w:val="22"/>
                <w:szCs w:val="22"/>
                <w:lang w:eastAsia="es-ES" w:bidi="ar-SA"/>
              </w:rPr>
              <w:drawing>
                <wp:inline distT="0" distB="0" distL="0" distR="0">
                  <wp:extent cx="1301115" cy="1057910"/>
                  <wp:effectExtent l="0" t="0" r="0" b="0"/>
                  <wp:docPr id="5"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pic:cNvPicPr>
                            <a:picLocks noChangeAspect="1" noChangeArrowheads="1"/>
                          </pic:cNvPicPr>
                        </pic:nvPicPr>
                        <pic:blipFill>
                          <a:blip r:embed="rId11"/>
                          <a:stretch>
                            <a:fillRect/>
                          </a:stretch>
                        </pic:blipFill>
                        <pic:spPr bwMode="auto">
                          <a:xfrm>
                            <a:off x="0" y="0"/>
                            <a:ext cx="1301115" cy="1057910"/>
                          </a:xfrm>
                          <a:prstGeom prst="rect">
                            <a:avLst/>
                          </a:prstGeom>
                        </pic:spPr>
                      </pic:pic>
                    </a:graphicData>
                  </a:graphic>
                </wp:inline>
              </w:drawing>
            </w:r>
          </w:p>
          <w:p w:rsidR="007F19DA" w:rsidRDefault="007F19DA">
            <w:pPr>
              <w:pStyle w:val="WW-Predeterminado"/>
              <w:spacing w:line="240" w:lineRule="auto"/>
              <w:jc w:val="center"/>
              <w:rPr>
                <w:rFonts w:ascii="Arial" w:eastAsia="Arial" w:hAnsi="Arial" w:cs="Arial"/>
                <w:bCs/>
                <w:sz w:val="22"/>
                <w:szCs w:val="22"/>
              </w:rPr>
            </w:pPr>
          </w:p>
        </w:tc>
        <w:tc>
          <w:tcPr>
            <w:tcW w:w="1721"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7F19DA" w:rsidRDefault="009E4461">
            <w:pPr>
              <w:spacing w:after="0" w:line="240" w:lineRule="auto"/>
              <w:jc w:val="center"/>
              <w:rPr>
                <w:rFonts w:ascii="Times New Roman" w:hAnsi="Times New Roman" w:cs="Times New Roman"/>
              </w:rPr>
            </w:pPr>
            <w:r>
              <w:rPr>
                <w:rFonts w:ascii="Times New Roman" w:hAnsi="Times New Roman" w:cs="Times New Roman"/>
              </w:rPr>
              <w:t>1.500</w:t>
            </w:r>
          </w:p>
        </w:tc>
      </w:tr>
    </w:tbl>
    <w:p w:rsidR="007F19DA" w:rsidRDefault="007F19DA">
      <w:pPr>
        <w:spacing w:line="276" w:lineRule="auto"/>
        <w:jc w:val="both"/>
        <w:rPr>
          <w:sz w:val="24"/>
          <w:szCs w:val="24"/>
        </w:rPr>
      </w:pPr>
    </w:p>
    <w:p w:rsidR="007F19DA" w:rsidRDefault="009E4461">
      <w:pPr>
        <w:spacing w:line="276" w:lineRule="auto"/>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7F19DA" w:rsidRDefault="009E4461">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t>
      </w:r>
      <w:r>
        <w:rPr>
          <w:rFonts w:ascii="Times New Roman" w:eastAsia="Times New Roman" w:hAnsi="Times New Roman" w:cs="Times New Roman"/>
        </w:rPr>
        <w:t xml:space="preserve">web de Compras Estatales </w:t>
      </w:r>
      <w:hyperlink r:id="rId12">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w:t>
      </w:r>
      <w:r>
        <w:rPr>
          <w:rFonts w:ascii="Times New Roman" w:eastAsia="Times New Roman" w:hAnsi="Times New Roman" w:cs="Times New Roman"/>
        </w:rPr>
        <w:lastRenderedPageBreak/>
        <w:t xml:space="preserve">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7F19DA" w:rsidRDefault="009E4461">
      <w:pPr>
        <w:spacing w:line="276" w:lineRule="auto"/>
        <w:jc w:val="both"/>
      </w:pPr>
      <w:r>
        <w:rPr>
          <w:rFonts w:ascii="Times New Roman" w:hAnsi="Times New Roman" w:cs="Times New Roman"/>
          <w:highlight w:val="white"/>
        </w:rPr>
        <w:t xml:space="preserve">En la oferta se </w:t>
      </w:r>
      <w:r>
        <w:rPr>
          <w:rFonts w:ascii="Times New Roman" w:hAnsi="Times New Roman" w:cs="Times New Roman"/>
          <w:b/>
          <w:bCs/>
          <w:sz w:val="28"/>
          <w:szCs w:val="28"/>
          <w:highlight w:val="white"/>
          <w:u w:val="single"/>
        </w:rPr>
        <w:t xml:space="preserve">podrá </w:t>
      </w:r>
      <w:r>
        <w:rPr>
          <w:rFonts w:ascii="Times New Roman" w:hAnsi="Times New Roman" w:cs="Times New Roman"/>
          <w:highlight w:val="white"/>
        </w:rPr>
        <w:t>ingresar un archivo adjunto detallando variantes o especificac</w:t>
      </w:r>
      <w:r>
        <w:rPr>
          <w:rFonts w:ascii="Times New Roman" w:hAnsi="Times New Roman" w:cs="Times New Roman"/>
          <w:highlight w:val="white"/>
        </w:rPr>
        <w:t>iones particulares de los artículos ofertados, o con cualquier otra información complementaria,</w:t>
      </w:r>
      <w:r>
        <w:rPr>
          <w:rFonts w:ascii="Times New Roman" w:hAnsi="Times New Roman" w:cs="Times New Roman"/>
        </w:rPr>
        <w:t xml:space="preserve"> pero sin omitir ninguna de las exigencias esenciales y este deberá ser claramente redactado en idioma español, siendo tomado en cuenta para la evaluación de lo </w:t>
      </w:r>
      <w:r>
        <w:rPr>
          <w:rFonts w:ascii="Times New Roman" w:hAnsi="Times New Roman" w:cs="Times New Roman"/>
        </w:rPr>
        <w:t>ofertado. Dicho archivo deberá ser visible tanto para la administración como para los demás oferentes.</w:t>
      </w:r>
    </w:p>
    <w:p w:rsidR="007F19DA" w:rsidRDefault="009E4461">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7F19DA" w:rsidRDefault="009E4461">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4.</w:t>
      </w:r>
      <w:r>
        <w:rPr>
          <w:rFonts w:ascii="Times New Roman" w:hAnsi="Times New Roman" w:cs="Times New Roman"/>
          <w:highlight w:val="white"/>
        </w:rPr>
        <w:t xml:space="preserve"> No </w:t>
      </w:r>
      <w:r>
        <w:rPr>
          <w:rFonts w:ascii="Times New Roman" w:hAnsi="Times New Roman" w:cs="Times New Roman"/>
          <w:highlight w:val="white"/>
        </w:rPr>
        <w:t xml:space="preserve">se tomarán en cuenta las propuestas no </w:t>
      </w:r>
      <w:r>
        <w:rPr>
          <w:rFonts w:ascii="Times New Roman" w:hAnsi="Times New Roman" w:cs="Times New Roman"/>
        </w:rPr>
        <w:t xml:space="preserve">ingresadas por el proveedor en el Sistema de Compras Estatales.  </w:t>
      </w:r>
    </w:p>
    <w:p w:rsidR="007F19DA" w:rsidRDefault="009E446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w:t>
      </w:r>
      <w:r>
        <w:rPr>
          <w:rFonts w:ascii="Times New Roman" w:eastAsia="Times New Roman" w:hAnsi="Times New Roman" w:cs="Times New Roman"/>
        </w:rPr>
        <w:t xml:space="preserve"> propuestas, con videos explicativos y prácticos sobre las actividades a llevar a cabo por el oferente para presentar una OFERTA VALIDA.</w:t>
      </w:r>
    </w:p>
    <w:p w:rsidR="007F19DA" w:rsidRDefault="009E446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7F19DA" w:rsidRDefault="009E446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w:t>
      </w:r>
      <w:r>
        <w:rPr>
          <w:rFonts w:ascii="Times New Roman" w:eastAsia="Times New Roman" w:hAnsi="Times New Roman" w:cs="Times New Roman"/>
        </w:rPr>
        <w:t>cia de información referida al cumplimiento de un requerimiento podrá ser considerada como “cumple dicho requerimiento”, no dando lugar a reclamación alguna por parte del oferente y obligándose al cumplimiento de los mismos.</w:t>
      </w:r>
    </w:p>
    <w:p w:rsidR="007F19DA" w:rsidRDefault="009E4461">
      <w:pPr>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w:t>
      </w:r>
      <w:r>
        <w:rPr>
          <w:rFonts w:ascii="Times New Roman" w:hAnsi="Times New Roman" w:cs="Times New Roman"/>
        </w:rPr>
        <w:t>ormente plantee el adjudicatario serán consideradas como el resultado de su imprevisión, aplicándose en este caso las sanciones que correspondieren, ya sea por demora o defectos en la provisión u otra causa. No servirá alegar como excusa o derecho alguno b</w:t>
      </w:r>
      <w:r>
        <w:rPr>
          <w:rFonts w:ascii="Times New Roman" w:hAnsi="Times New Roman" w:cs="Times New Roman"/>
        </w:rPr>
        <w:t xml:space="preserve">asado en cálculos erróneos u omisiones en la oferta. </w:t>
      </w:r>
    </w:p>
    <w:p w:rsidR="007F19DA" w:rsidRDefault="009E4461">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7F19DA" w:rsidRDefault="009E4461">
      <w:pPr>
        <w:spacing w:line="276" w:lineRule="auto"/>
        <w:jc w:val="both"/>
        <w:rPr>
          <w:rFonts w:ascii="Times New Roman" w:hAnsi="Times New Roman" w:cs="Times New Roman"/>
        </w:rPr>
      </w:pPr>
      <w:r>
        <w:rPr>
          <w:rFonts w:ascii="Times New Roman" w:hAnsi="Times New Roman" w:cs="Times New Roman"/>
        </w:rPr>
        <w:t>Las propuestas no podrán estar condicionadas a su confirmación por el oferente, o por un tercero</w:t>
      </w:r>
      <w:r>
        <w:rPr>
          <w:rFonts w:ascii="Times New Roman" w:hAnsi="Times New Roman" w:cs="Times New Roman"/>
        </w:rPr>
        <w:t xml:space="preserve">, ni estar supeditadas a otros factores que no sean los previstos en estas bases y/o los que no se hayan aclarado oportunamente. - </w:t>
      </w:r>
    </w:p>
    <w:p w:rsidR="007F19DA" w:rsidRDefault="009E4461">
      <w:pPr>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7F19DA" w:rsidRDefault="009E446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w:t>
      </w:r>
      <w:r>
        <w:rPr>
          <w:rFonts w:ascii="Times New Roman" w:eastAsia="Times New Roman" w:hAnsi="Times New Roman" w:cs="Times New Roman"/>
        </w:rPr>
        <w:t>a, el oferente debe tener en cuenta que:</w:t>
      </w:r>
    </w:p>
    <w:p w:rsidR="007F19DA" w:rsidRDefault="009E4461">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w:t>
      </w:r>
      <w:r>
        <w:rPr>
          <w:rFonts w:ascii="Times New Roman" w:eastAsia="Times New Roman" w:hAnsi="Times New Roman" w:cs="Times New Roman"/>
        </w:rPr>
        <w:t>itada multiplicación un precio total con impuestos diferente al que se pretende ofertar, de no contemplarse la correlación de columnas indicadas.</w:t>
      </w:r>
    </w:p>
    <w:p w:rsidR="007F19DA" w:rsidRDefault="009E4461">
      <w:pPr>
        <w:widowControl w:val="0"/>
        <w:numPr>
          <w:ilvl w:val="0"/>
          <w:numId w:val="1"/>
        </w:numPr>
        <w:tabs>
          <w:tab w:val="left" w:pos="142"/>
          <w:tab w:val="left" w:pos="567"/>
        </w:tabs>
        <w:suppressAutoHyphens/>
        <w:spacing w:after="0" w:line="276" w:lineRule="auto"/>
        <w:ind w:left="709"/>
        <w:jc w:val="both"/>
      </w:pPr>
      <w:r>
        <w:rPr>
          <w:rFonts w:ascii="Times New Roman" w:eastAsia="Times New Roman" w:hAnsi="Times New Roman" w:cs="Times New Roman"/>
        </w:rPr>
        <w:t>Para ello debe tenerse en cuenta que “Precio Unitario s/Imp.”, debe guardar relación con “Unidad” de la cantid</w:t>
      </w:r>
      <w:r>
        <w:rPr>
          <w:rFonts w:ascii="Times New Roman" w:eastAsia="Times New Roman" w:hAnsi="Times New Roman" w:cs="Times New Roman"/>
        </w:rPr>
        <w:t>ad del pedido.</w:t>
      </w:r>
    </w:p>
    <w:p w:rsidR="007F19DA" w:rsidRDefault="009E4461">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7F19DA" w:rsidRDefault="007F19DA">
      <w:pPr>
        <w:spacing w:line="276" w:lineRule="auto"/>
        <w:jc w:val="both"/>
        <w:rPr>
          <w:rFonts w:ascii="Times New Roman" w:hAnsi="Times New Roman" w:cs="Times New Roman"/>
        </w:rPr>
      </w:pPr>
    </w:p>
    <w:p w:rsidR="007F19DA" w:rsidRDefault="009E4461">
      <w:pPr>
        <w:spacing w:line="276" w:lineRule="auto"/>
        <w:jc w:val="both"/>
      </w:pPr>
      <w:r>
        <w:rPr>
          <w:rFonts w:ascii="Times New Roman" w:hAnsi="Times New Roman" w:cs="Times New Roman"/>
          <w:b/>
          <w:bCs/>
        </w:rPr>
        <w:t xml:space="preserve">7. </w:t>
      </w:r>
      <w:r>
        <w:rPr>
          <w:rFonts w:ascii="Times New Roman" w:hAnsi="Times New Roman" w:cs="Times New Roman"/>
        </w:rPr>
        <w:t>Abierto el acto de apertura no podrá introdu</w:t>
      </w:r>
      <w:r>
        <w:rPr>
          <w:rFonts w:ascii="Times New Roman" w:hAnsi="Times New Roman" w:cs="Times New Roman"/>
        </w:rPr>
        <w:t xml:space="preserve">cirse modificación alguna en las propuestas. </w:t>
      </w:r>
    </w:p>
    <w:p w:rsidR="007F19DA" w:rsidRDefault="009E4461">
      <w:pPr>
        <w:spacing w:line="276" w:lineRule="auto"/>
        <w:jc w:val="both"/>
      </w:pPr>
      <w:r>
        <w:rPr>
          <w:rFonts w:ascii="Times New Roman" w:hAnsi="Times New Roman" w:cs="Times New Roman"/>
          <w:b/>
          <w:bCs/>
        </w:rPr>
        <w:t xml:space="preserve">8. </w:t>
      </w:r>
      <w:r>
        <w:rPr>
          <w:rFonts w:ascii="Times New Roman" w:hAnsi="Times New Roman" w:cs="Times New Roman"/>
        </w:rPr>
        <w:t>Las consultas sobre especificaciones técnicas se harán al</w:t>
      </w:r>
      <w:bookmarkStart w:id="0" w:name="__DdeLink__797_1849706504"/>
      <w:r>
        <w:rPr>
          <w:rFonts w:ascii="Times New Roman" w:hAnsi="Times New Roman" w:cs="Times New Roman"/>
        </w:rPr>
        <w:t xml:space="preserve"> </w:t>
      </w:r>
      <w:r>
        <w:rPr>
          <w:rFonts w:ascii="Times New Roman" w:hAnsi="Times New Roman" w:cs="Times New Roman"/>
          <w:b/>
        </w:rPr>
        <w:t>Señor TN Paul MONTIEL</w:t>
      </w:r>
      <w:r>
        <w:rPr>
          <w:rFonts w:ascii="Times New Roman" w:hAnsi="Times New Roman" w:cs="Times New Roman"/>
          <w:b/>
          <w:color w:val="000000"/>
          <w:highlight w:val="white"/>
        </w:rPr>
        <w:t xml:space="preserve"> al </w:t>
      </w:r>
      <w:r>
        <w:rPr>
          <w:rFonts w:ascii="Times New Roman" w:hAnsi="Times New Roman" w:cs="Times New Roman"/>
          <w:b/>
          <w:bCs/>
          <w:highlight w:val="white"/>
        </w:rPr>
        <w:t>Cel.</w:t>
      </w:r>
      <w:bookmarkEnd w:id="0"/>
      <w:r>
        <w:rPr>
          <w:rFonts w:ascii="Times New Roman" w:hAnsi="Times New Roman" w:cs="Times New Roman"/>
          <w:b/>
          <w:bCs/>
          <w:highlight w:val="white"/>
        </w:rPr>
        <w:t>091016124</w:t>
      </w:r>
    </w:p>
    <w:p w:rsidR="007F19DA" w:rsidRDefault="007F19DA">
      <w:pPr>
        <w:widowControl w:val="0"/>
        <w:tabs>
          <w:tab w:val="left" w:pos="426"/>
        </w:tabs>
        <w:suppressAutoHyphens/>
        <w:spacing w:after="0" w:line="276" w:lineRule="auto"/>
        <w:jc w:val="both"/>
      </w:pPr>
    </w:p>
    <w:p w:rsidR="007F19DA" w:rsidRDefault="009E4461">
      <w:pPr>
        <w:spacing w:line="276" w:lineRule="auto"/>
        <w:jc w:val="both"/>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Especificaciones relativas a la forma o al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 - N4 al teléfono 2915.55.00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r>
        <w:rPr>
          <w:rFonts w:ascii="Times New Roman" w:hAnsi="Times New Roman" w:cs="Times New Roman"/>
          <w:b/>
          <w:color w:val="000000"/>
          <w:highlight w:val="white"/>
        </w:rPr>
        <w:t>.</w:t>
      </w:r>
    </w:p>
    <w:p w:rsidR="007F19DA" w:rsidRDefault="009E4461">
      <w:pPr>
        <w:spacing w:line="276" w:lineRule="auto"/>
        <w:jc w:val="both"/>
      </w:pPr>
      <w:r>
        <w:rPr>
          <w:rFonts w:ascii="Times New Roman" w:hAnsi="Times New Roman" w:cs="Times New Roman"/>
          <w:b/>
          <w:bCs/>
        </w:rPr>
        <w:t>10.</w:t>
      </w:r>
      <w:r>
        <w:rPr>
          <w:rFonts w:ascii="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w:t>
      </w:r>
      <w:r>
        <w:rPr>
          <w:rFonts w:ascii="Times New Roman" w:hAnsi="Times New Roman" w:cs="Times New Roman"/>
        </w:rPr>
        <w:t>cal, quien tendrá las mismas responsabilidades que sus representados.-</w:t>
      </w:r>
    </w:p>
    <w:p w:rsidR="007F19DA" w:rsidRDefault="009E4461">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7F19DA" w:rsidRDefault="009E4461">
      <w:pPr>
        <w:spacing w:line="276" w:lineRule="auto"/>
        <w:jc w:val="both"/>
      </w:pPr>
      <w:r>
        <w:rPr>
          <w:rFonts w:ascii="Times New Roman" w:hAnsi="Times New Roman" w:cs="Times New Roman"/>
          <w:b/>
          <w:bCs/>
        </w:rPr>
        <w:t>11. Se deberá cotizar bajo la modalidad precio plaza pesos uruguayos/dó</w:t>
      </w:r>
      <w:bookmarkStart w:id="1" w:name="_GoBack"/>
      <w:bookmarkEnd w:id="1"/>
      <w:r>
        <w:rPr>
          <w:rFonts w:ascii="Times New Roman" w:hAnsi="Times New Roman" w:cs="Times New Roman"/>
          <w:b/>
          <w:bCs/>
        </w:rPr>
        <w:t>lar</w:t>
      </w:r>
      <w:r>
        <w:rPr>
          <w:rFonts w:ascii="Times New Roman" w:hAnsi="Times New Roman" w:cs="Times New Roman"/>
          <w:b/>
          <w:bCs/>
        </w:rPr>
        <w:t xml:space="preserve"> pizarra vendedor.</w:t>
      </w:r>
    </w:p>
    <w:p w:rsidR="007F19DA" w:rsidRDefault="007F19DA">
      <w:pPr>
        <w:spacing w:line="276" w:lineRule="auto"/>
        <w:jc w:val="both"/>
        <w:rPr>
          <w:b/>
          <w:bCs/>
        </w:rPr>
      </w:pPr>
    </w:p>
    <w:p w:rsidR="007F19DA" w:rsidRDefault="009E4461">
      <w:pPr>
        <w:spacing w:line="276" w:lineRule="auto"/>
        <w:jc w:val="both"/>
      </w:pPr>
      <w:r>
        <w:rPr>
          <w:rFonts w:ascii="Times New Roman" w:hAnsi="Times New Roman" w:cs="Times New Roman"/>
          <w:b/>
          <w:bCs/>
        </w:rPr>
        <w:t>12.</w:t>
      </w:r>
      <w:r>
        <w:rPr>
          <w:rFonts w:ascii="Times New Roman" w:hAnsi="Times New Roman" w:cs="Times New Roman"/>
        </w:rPr>
        <w:t xml:space="preserve"> El precio </w:t>
      </w:r>
      <w:r>
        <w:rPr>
          <w:rFonts w:ascii="Times New Roman" w:hAnsi="Times New Roman" w:cs="Times New Roman"/>
        </w:rPr>
        <w:t>que se cotice deberá ser invariable hasta el pago efectivo de lo adjudicado. No se aceptarán fórmulas paramétricas de actualización de precios en las ofertas. Los oferentes deberán tener presente que no se efectuarán pagos adelantados. Se desecharán las of</w:t>
      </w:r>
      <w:r>
        <w:rPr>
          <w:rFonts w:ascii="Times New Roman" w:hAnsi="Times New Roman" w:cs="Times New Roman"/>
        </w:rPr>
        <w:t xml:space="preserve">ertas que incluyan intereses por mora en los pagos que efectúe la Administración. Se deberá cotizar precio unitario, costo total del ítem y costo total de la propuesta. </w:t>
      </w:r>
    </w:p>
    <w:p w:rsidR="007F19DA" w:rsidRDefault="009E4461">
      <w:pPr>
        <w:spacing w:line="276" w:lineRule="auto"/>
        <w:jc w:val="both"/>
      </w:pPr>
      <w:r>
        <w:rPr>
          <w:rFonts w:ascii="Times New Roman" w:hAnsi="Times New Roman" w:cs="Times New Roman"/>
          <w:b/>
          <w:bCs/>
        </w:rPr>
        <w:t xml:space="preserve">13. </w:t>
      </w:r>
      <w:r>
        <w:rPr>
          <w:rFonts w:ascii="Times New Roman" w:hAnsi="Times New Roman" w:cs="Times New Roman"/>
        </w:rPr>
        <w:t xml:space="preserve">El plazo de mantenimiento de oferta no podrá ser inferior a </w:t>
      </w:r>
      <w:r>
        <w:rPr>
          <w:rFonts w:ascii="Times New Roman" w:hAnsi="Times New Roman" w:cs="Times New Roman"/>
          <w:b/>
          <w:highlight w:val="white"/>
        </w:rPr>
        <w:t xml:space="preserve">90 </w:t>
      </w:r>
      <w:r>
        <w:rPr>
          <w:rFonts w:ascii="Times New Roman" w:hAnsi="Times New Roman" w:cs="Times New Roman"/>
          <w:b/>
          <w:color w:val="000000"/>
          <w:highlight w:val="white"/>
        </w:rPr>
        <w:t>días</w:t>
      </w:r>
      <w:r>
        <w:rPr>
          <w:rFonts w:ascii="Times New Roman" w:hAnsi="Times New Roman" w:cs="Times New Roman"/>
          <w:b/>
          <w:color w:val="000000"/>
        </w:rPr>
        <w:t xml:space="preserve"> </w:t>
      </w:r>
      <w:r>
        <w:rPr>
          <w:rFonts w:ascii="Times New Roman" w:hAnsi="Times New Roman" w:cs="Times New Roman"/>
        </w:rPr>
        <w:t>corridos a con</w:t>
      </w:r>
      <w:r>
        <w:rPr>
          <w:rFonts w:ascii="Times New Roman" w:hAnsi="Times New Roman" w:cs="Times New Roman"/>
        </w:rPr>
        <w:t xml:space="preserve">tar a partir del día siguiente a la apertura de ofertas. </w:t>
      </w:r>
    </w:p>
    <w:p w:rsidR="007F19DA" w:rsidRDefault="009E4461">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7F19DA" w:rsidRDefault="009E4461">
      <w:pPr>
        <w:spacing w:line="276" w:lineRule="auto"/>
        <w:jc w:val="both"/>
        <w:rPr>
          <w:rFonts w:ascii="Times New Roman" w:hAnsi="Times New Roman" w:cs="Times New Roman"/>
        </w:rPr>
      </w:pPr>
      <w:r>
        <w:rPr>
          <w:rFonts w:ascii="Times New Roman" w:hAnsi="Times New Roman" w:cs="Times New Roman"/>
        </w:rPr>
        <w:t>Vencido el plazo de mantenimiento de oferta establecido, si aún no ha sido adjudicada la contratación, los proponentes quedarán obligados al mantenimiento de sus ofertas, salvo que comuniquen por escrito a la Unidad Centralizada de Compras de la Armada (UC</w:t>
      </w:r>
      <w:r>
        <w:rPr>
          <w:rFonts w:ascii="Times New Roman" w:hAnsi="Times New Roman" w:cs="Times New Roman"/>
        </w:rPr>
        <w:t xml:space="preserve">CAR), que desisten de ella. </w:t>
      </w:r>
    </w:p>
    <w:p w:rsidR="007F19DA" w:rsidRDefault="009E4461">
      <w:pPr>
        <w:spacing w:line="276" w:lineRule="auto"/>
        <w:jc w:val="both"/>
      </w:pPr>
      <w:r>
        <w:rPr>
          <w:rFonts w:ascii="Times New Roman" w:hAnsi="Times New Roman" w:cs="Times New Roman"/>
          <w:b/>
          <w:bCs/>
        </w:rPr>
        <w:t>15.</w:t>
      </w:r>
      <w:r>
        <w:rPr>
          <w:rFonts w:ascii="Times New Roman" w:hAnsi="Times New Roman" w:cs="Times New Roman"/>
        </w:rPr>
        <w:t xml:space="preserve"> La forma de pago será mediant</w:t>
      </w:r>
      <w:r>
        <w:rPr>
          <w:rFonts w:ascii="Times New Roman" w:hAnsi="Times New Roman" w:cs="Times New Roman"/>
          <w:highlight w:val="white"/>
        </w:rPr>
        <w:t xml:space="preserve">e </w:t>
      </w:r>
      <w:r>
        <w:rPr>
          <w:rFonts w:ascii="Times New Roman" w:hAnsi="Times New Roman" w:cs="Times New Roman"/>
          <w:color w:val="000000"/>
          <w:highlight w:val="white"/>
        </w:rPr>
        <w:t>CREDITO SIIF</w:t>
      </w:r>
    </w:p>
    <w:p w:rsidR="007F19DA" w:rsidRDefault="007F19DA">
      <w:pPr>
        <w:widowControl w:val="0"/>
        <w:tabs>
          <w:tab w:val="left" w:pos="426"/>
        </w:tabs>
        <w:suppressAutoHyphens/>
        <w:spacing w:after="0" w:line="276" w:lineRule="auto"/>
        <w:jc w:val="both"/>
        <w:rPr>
          <w:rFonts w:ascii="Times New Roman" w:eastAsia="Times New Roman" w:hAnsi="Times New Roman" w:cs="Times New Roman"/>
          <w:b/>
          <w:color w:val="000000"/>
        </w:rPr>
      </w:pPr>
    </w:p>
    <w:p w:rsidR="007F19DA" w:rsidRDefault="009E4461">
      <w:pPr>
        <w:spacing w:line="276" w:lineRule="auto"/>
        <w:jc w:val="both"/>
      </w:pPr>
      <w:r>
        <w:rPr>
          <w:rFonts w:ascii="Times New Roman" w:hAnsi="Times New Roman" w:cs="Times New Roman"/>
          <w:b/>
          <w:bCs/>
        </w:rPr>
        <w:t>16.</w:t>
      </w:r>
      <w:r>
        <w:rPr>
          <w:rFonts w:ascii="Times New Roman" w:hAnsi="Times New Roman" w:cs="Times New Roman"/>
        </w:rPr>
        <w:t xml:space="preserve"> El </w:t>
      </w:r>
      <w:r>
        <w:rPr>
          <w:rFonts w:ascii="Times New Roman" w:hAnsi="Times New Roman" w:cs="Times New Roman"/>
          <w:color w:val="000000"/>
          <w:highlight w:val="white"/>
        </w:rPr>
        <w:t xml:space="preserve">plazo para  </w:t>
      </w:r>
      <w:r>
        <w:rPr>
          <w:rFonts w:ascii="Times New Roman" w:hAnsi="Times New Roman" w:cs="Times New Roman"/>
          <w:b/>
          <w:color w:val="000000"/>
          <w:highlight w:val="white"/>
        </w:rPr>
        <w:t>la entrega deberá ser  90 días</w:t>
      </w:r>
      <w:r>
        <w:rPr>
          <w:rFonts w:ascii="Times New Roman" w:hAnsi="Times New Roman" w:cs="Times New Roman"/>
          <w:color w:val="000000"/>
          <w:highlight w:val="white"/>
        </w:rPr>
        <w:t xml:space="preserve"> contados desde el día siguiente en que se hizo efectiva la entrega de la </w:t>
      </w:r>
      <w:r>
        <w:rPr>
          <w:rFonts w:ascii="Times New Roman" w:hAnsi="Times New Roman" w:cs="Times New Roman"/>
          <w:b/>
          <w:color w:val="000000"/>
          <w:highlight w:val="white"/>
        </w:rPr>
        <w:t>Constancia de Afectación de Crédito (Orden de Compra).</w:t>
      </w:r>
    </w:p>
    <w:p w:rsidR="007F19DA" w:rsidRDefault="009E4461">
      <w:pPr>
        <w:spacing w:line="276" w:lineRule="auto"/>
        <w:jc w:val="both"/>
      </w:pPr>
      <w:r>
        <w:rPr>
          <w:rFonts w:ascii="Times New Roman" w:hAnsi="Times New Roman" w:cs="Times New Roman"/>
          <w:b/>
          <w:bCs/>
        </w:rPr>
        <w:t>17.</w:t>
      </w:r>
      <w:r>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7F19DA" w:rsidRDefault="009E4461">
      <w:pPr>
        <w:spacing w:line="276" w:lineRule="auto"/>
        <w:jc w:val="both"/>
      </w:pPr>
      <w:r>
        <w:rPr>
          <w:rFonts w:ascii="Times New Roman" w:hAnsi="Times New Roman" w:cs="Times New Roman"/>
          <w:b/>
          <w:bCs/>
        </w:rPr>
        <w:t>18.</w:t>
      </w:r>
      <w:r>
        <w:rPr>
          <w:rFonts w:ascii="Times New Roman" w:hAnsi="Times New Roman" w:cs="Times New Roman"/>
        </w:rPr>
        <w:t xml:space="preserve"> La Administración se reserva el derecho de evaluar las ofe</w:t>
      </w:r>
      <w:r>
        <w:rPr>
          <w:rFonts w:ascii="Times New Roman" w:hAnsi="Times New Roman" w:cs="Times New Roman"/>
        </w:rPr>
        <w:t>rtas de forma global o no y de adjudicar total o parcialmente la oferta.</w:t>
      </w:r>
    </w:p>
    <w:p w:rsidR="007F19DA" w:rsidRDefault="009E4461">
      <w:pPr>
        <w:spacing w:line="276" w:lineRule="auto"/>
        <w:jc w:val="both"/>
      </w:pPr>
      <w:r>
        <w:rPr>
          <w:rFonts w:ascii="Times New Roman" w:hAnsi="Times New Roman" w:cs="Times New Roman"/>
          <w:b/>
          <w:bCs/>
        </w:rPr>
        <w:t>19</w:t>
      </w:r>
      <w:proofErr w:type="gramStart"/>
      <w:r>
        <w:rPr>
          <w:rFonts w:ascii="Times New Roman" w:hAnsi="Times New Roman" w:cs="Times New Roman"/>
          <w:b/>
          <w:bCs/>
        </w:rPr>
        <w:t>.</w:t>
      </w:r>
      <w:r>
        <w:rPr>
          <w:rFonts w:ascii="Times New Roman" w:eastAsia="Times New Roman" w:hAnsi="Times New Roman" w:cs="Times New Roman"/>
        </w:rPr>
        <w:t>La</w:t>
      </w:r>
      <w:proofErr w:type="gramEnd"/>
      <w:r>
        <w:rPr>
          <w:rFonts w:ascii="Times New Roman" w:eastAsia="Times New Roman" w:hAnsi="Times New Roman" w:cs="Times New Roman"/>
        </w:rPr>
        <w:t xml:space="preserve"> Armada se reserva la facultad de adjudicar aquellas propuestas que, aun apartándose, no sensiblemente, de las características técnicas de lo especificado en este Pliego resulten</w:t>
      </w:r>
      <w:r>
        <w:rPr>
          <w:rFonts w:ascii="Times New Roman" w:eastAsia="Times New Roman" w:hAnsi="Times New Roman" w:cs="Times New Roman"/>
        </w:rPr>
        <w:t xml:space="preserve"> evidentemente más convenientes para sus intereses. -</w:t>
      </w:r>
    </w:p>
    <w:p w:rsidR="007F19DA" w:rsidRDefault="009E4461">
      <w:pPr>
        <w:spacing w:line="276" w:lineRule="auto"/>
        <w:jc w:val="both"/>
      </w:pPr>
      <w:r>
        <w:rPr>
          <w:rFonts w:ascii="Times New Roman" w:hAnsi="Times New Roman" w:cs="Times New Roman"/>
          <w:b/>
          <w:bCs/>
        </w:rPr>
        <w:t>20.</w:t>
      </w:r>
      <w:r>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w:t>
      </w:r>
      <w:r>
        <w:rPr>
          <w:rFonts w:ascii="Times New Roman" w:hAnsi="Times New Roman" w:cs="Times New Roman"/>
        </w:rPr>
        <w:t xml:space="preserve">mine; c) Eliminación de la empresa o entidad como proveedora de la Unidad ejecutora o del Inciso. </w:t>
      </w:r>
    </w:p>
    <w:p w:rsidR="007F19DA" w:rsidRDefault="009E4461">
      <w:pPr>
        <w:spacing w:line="276" w:lineRule="auto"/>
        <w:jc w:val="both"/>
      </w:pPr>
      <w:r>
        <w:rPr>
          <w:rFonts w:ascii="Times New Roman" w:hAnsi="Times New Roman" w:cs="Times New Roman"/>
          <w:b/>
          <w:bCs/>
        </w:rPr>
        <w:t>21.</w:t>
      </w:r>
      <w:r>
        <w:rPr>
          <w:rFonts w:ascii="Times New Roman" w:hAnsi="Times New Roman" w:cs="Times New Roman"/>
        </w:rPr>
        <w:t xml:space="preserve"> La Administración podrá desistir del llamado en cualquier etapa de su realización, o podrá desestimar todas las ofertas. Ninguna de estas decisiones gene</w:t>
      </w:r>
      <w:r>
        <w:rPr>
          <w:rFonts w:ascii="Times New Roman" w:hAnsi="Times New Roman" w:cs="Times New Roman"/>
        </w:rPr>
        <w:t>rará derecho alguno de los participantes a reclamar por gastos, honorarios o indemnizaciones por daños y perjuicios.</w:t>
      </w:r>
    </w:p>
    <w:sectPr w:rsidR="007F19DA">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4E6"/>
    <w:multiLevelType w:val="multilevel"/>
    <w:tmpl w:val="9132CF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C076ED"/>
    <w:multiLevelType w:val="multilevel"/>
    <w:tmpl w:val="49661C1E"/>
    <w:lvl w:ilvl="0">
      <w:start w:val="875"/>
      <w:numFmt w:val="bullet"/>
      <w:lvlText w:val="-"/>
      <w:lvlJc w:val="left"/>
      <w:pPr>
        <w:ind w:left="720" w:hanging="360"/>
      </w:pPr>
      <w:rPr>
        <w:rFonts w:ascii="Arial" w:hAnsi="Arial" w:cs="Aria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644BCB"/>
    <w:multiLevelType w:val="multilevel"/>
    <w:tmpl w:val="D190FF8E"/>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DA"/>
    <w:rsid w:val="007F19DA"/>
    <w:rsid w:val="009E4461"/>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EC"/>
    <w:pPr>
      <w:spacing w:after="160" w:line="259"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4A255D"/>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Vietas">
    <w:name w:val="Viñetas"/>
    <w:qFormat/>
    <w:rsid w:val="00C7246A"/>
    <w:rPr>
      <w:rFonts w:ascii="OpenSymbol" w:eastAsia="OpenSymbol" w:hAnsi="OpenSymbol" w:cs="OpenSymbol"/>
    </w:rPr>
  </w:style>
  <w:style w:type="character" w:customStyle="1" w:styleId="ListLabel8">
    <w:name w:val="ListLabel 8"/>
    <w:qFormat/>
    <w:rsid w:val="00C7246A"/>
    <w:rPr>
      <w:rFonts w:cs="OpenSymbol"/>
    </w:rPr>
  </w:style>
  <w:style w:type="character" w:customStyle="1" w:styleId="ListLabel9">
    <w:name w:val="ListLabel 9"/>
    <w:qFormat/>
    <w:rsid w:val="00C7246A"/>
    <w:rPr>
      <w:rFonts w:cs="OpenSymbol"/>
    </w:rPr>
  </w:style>
  <w:style w:type="character" w:customStyle="1" w:styleId="ListLabel10">
    <w:name w:val="ListLabel 10"/>
    <w:qFormat/>
    <w:rsid w:val="00C7246A"/>
    <w:rPr>
      <w:rFonts w:cs="OpenSymbol"/>
    </w:rPr>
  </w:style>
  <w:style w:type="character" w:customStyle="1" w:styleId="ListLabel11">
    <w:name w:val="ListLabel 11"/>
    <w:qFormat/>
    <w:rsid w:val="00C7246A"/>
    <w:rPr>
      <w:rFonts w:cs="OpenSymbol"/>
    </w:rPr>
  </w:style>
  <w:style w:type="character" w:customStyle="1" w:styleId="ListLabel12">
    <w:name w:val="ListLabel 12"/>
    <w:qFormat/>
    <w:rsid w:val="00C7246A"/>
    <w:rPr>
      <w:rFonts w:cs="OpenSymbol"/>
    </w:rPr>
  </w:style>
  <w:style w:type="character" w:customStyle="1" w:styleId="ListLabel13">
    <w:name w:val="ListLabel 13"/>
    <w:qFormat/>
    <w:rsid w:val="00C7246A"/>
    <w:rPr>
      <w:rFonts w:cs="OpenSymbol"/>
    </w:rPr>
  </w:style>
  <w:style w:type="character" w:customStyle="1" w:styleId="ListLabel14">
    <w:name w:val="ListLabel 14"/>
    <w:qFormat/>
    <w:rsid w:val="00C7246A"/>
    <w:rPr>
      <w:rFonts w:cs="OpenSymbol"/>
    </w:rPr>
  </w:style>
  <w:style w:type="character" w:customStyle="1" w:styleId="ListLabel15">
    <w:name w:val="ListLabel 15"/>
    <w:qFormat/>
    <w:rsid w:val="00C7246A"/>
    <w:rPr>
      <w:rFonts w:cs="OpenSymbol"/>
    </w:rPr>
  </w:style>
  <w:style w:type="character" w:customStyle="1" w:styleId="ListLabel16">
    <w:name w:val="ListLabel 16"/>
    <w:qFormat/>
    <w:rsid w:val="00C7246A"/>
    <w:rPr>
      <w:rFonts w:cs="OpenSymbol"/>
    </w:rPr>
  </w:style>
  <w:style w:type="character" w:customStyle="1" w:styleId="ListLabel17">
    <w:name w:val="ListLabel 17"/>
    <w:qFormat/>
    <w:rsid w:val="00C7246A"/>
    <w:rPr>
      <w:rFonts w:cs="OpenSymbol"/>
    </w:rPr>
  </w:style>
  <w:style w:type="character" w:customStyle="1" w:styleId="ListLabel18">
    <w:name w:val="ListLabel 18"/>
    <w:qFormat/>
    <w:rsid w:val="00C7246A"/>
    <w:rPr>
      <w:rFonts w:cs="OpenSymbol"/>
    </w:rPr>
  </w:style>
  <w:style w:type="character" w:customStyle="1" w:styleId="ListLabel19">
    <w:name w:val="ListLabel 19"/>
    <w:qFormat/>
    <w:rsid w:val="00C7246A"/>
    <w:rPr>
      <w:rFonts w:cs="OpenSymbol"/>
    </w:rPr>
  </w:style>
  <w:style w:type="character" w:customStyle="1" w:styleId="ListLabel20">
    <w:name w:val="ListLabel 20"/>
    <w:qFormat/>
    <w:rsid w:val="00C7246A"/>
    <w:rPr>
      <w:rFonts w:cs="OpenSymbol"/>
    </w:rPr>
  </w:style>
  <w:style w:type="character" w:customStyle="1" w:styleId="ListLabel21">
    <w:name w:val="ListLabel 21"/>
    <w:qFormat/>
    <w:rsid w:val="00C7246A"/>
    <w:rPr>
      <w:rFonts w:cs="OpenSymbol"/>
    </w:rPr>
  </w:style>
  <w:style w:type="character" w:customStyle="1" w:styleId="ListLabel22">
    <w:name w:val="ListLabel 22"/>
    <w:qFormat/>
    <w:rsid w:val="00C7246A"/>
    <w:rPr>
      <w:rFonts w:cs="OpenSymbol"/>
    </w:rPr>
  </w:style>
  <w:style w:type="character" w:customStyle="1" w:styleId="ListLabel23">
    <w:name w:val="ListLabel 23"/>
    <w:qFormat/>
    <w:rsid w:val="00C7246A"/>
    <w:rPr>
      <w:rFonts w:cs="OpenSymbol"/>
    </w:rPr>
  </w:style>
  <w:style w:type="character" w:customStyle="1" w:styleId="ListLabel24">
    <w:name w:val="ListLabel 24"/>
    <w:qFormat/>
    <w:rsid w:val="00C7246A"/>
    <w:rPr>
      <w:rFonts w:cs="OpenSymbol"/>
    </w:rPr>
  </w:style>
  <w:style w:type="character" w:customStyle="1" w:styleId="ListLabel25">
    <w:name w:val="ListLabel 25"/>
    <w:qFormat/>
    <w:rsid w:val="00C7246A"/>
    <w:rPr>
      <w:rFonts w:cs="OpenSymbol"/>
    </w:rPr>
  </w:style>
  <w:style w:type="character" w:customStyle="1" w:styleId="WW8Num5z0">
    <w:name w:val="WW8Num5z0"/>
    <w:qFormat/>
    <w:rPr>
      <w:rFonts w:ascii="Arial" w:eastAsia="Arial" w:hAnsi="Arial" w:cs="Arial"/>
      <w:sz w:val="22"/>
      <w:szCs w:val="22"/>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Epgrafe">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WW-Predeterminado">
    <w:name w:val="WW-Predeterminado"/>
    <w:qFormat/>
    <w:pPr>
      <w:tabs>
        <w:tab w:val="left" w:pos="708"/>
      </w:tabs>
      <w:suppressAutoHyphens/>
      <w:spacing w:line="100" w:lineRule="atLeast"/>
    </w:pPr>
    <w:rPr>
      <w:rFonts w:ascii="Times New Roman" w:eastAsia="Times New Roman" w:hAnsi="Times New Roman" w:cs="Times New Roman"/>
      <w:szCs w:val="20"/>
      <w:lang w:val="es-ES" w:eastAsia="zh-CN" w:bidi="hi-IN"/>
    </w:rPr>
  </w:style>
  <w:style w:type="numbering" w:customStyle="1" w:styleId="WW8Num5">
    <w:name w:val="WW8Num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EC"/>
    <w:pPr>
      <w:spacing w:after="160" w:line="259"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4A255D"/>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Vietas">
    <w:name w:val="Viñetas"/>
    <w:qFormat/>
    <w:rsid w:val="00C7246A"/>
    <w:rPr>
      <w:rFonts w:ascii="OpenSymbol" w:eastAsia="OpenSymbol" w:hAnsi="OpenSymbol" w:cs="OpenSymbol"/>
    </w:rPr>
  </w:style>
  <w:style w:type="character" w:customStyle="1" w:styleId="ListLabel8">
    <w:name w:val="ListLabel 8"/>
    <w:qFormat/>
    <w:rsid w:val="00C7246A"/>
    <w:rPr>
      <w:rFonts w:cs="OpenSymbol"/>
    </w:rPr>
  </w:style>
  <w:style w:type="character" w:customStyle="1" w:styleId="ListLabel9">
    <w:name w:val="ListLabel 9"/>
    <w:qFormat/>
    <w:rsid w:val="00C7246A"/>
    <w:rPr>
      <w:rFonts w:cs="OpenSymbol"/>
    </w:rPr>
  </w:style>
  <w:style w:type="character" w:customStyle="1" w:styleId="ListLabel10">
    <w:name w:val="ListLabel 10"/>
    <w:qFormat/>
    <w:rsid w:val="00C7246A"/>
    <w:rPr>
      <w:rFonts w:cs="OpenSymbol"/>
    </w:rPr>
  </w:style>
  <w:style w:type="character" w:customStyle="1" w:styleId="ListLabel11">
    <w:name w:val="ListLabel 11"/>
    <w:qFormat/>
    <w:rsid w:val="00C7246A"/>
    <w:rPr>
      <w:rFonts w:cs="OpenSymbol"/>
    </w:rPr>
  </w:style>
  <w:style w:type="character" w:customStyle="1" w:styleId="ListLabel12">
    <w:name w:val="ListLabel 12"/>
    <w:qFormat/>
    <w:rsid w:val="00C7246A"/>
    <w:rPr>
      <w:rFonts w:cs="OpenSymbol"/>
    </w:rPr>
  </w:style>
  <w:style w:type="character" w:customStyle="1" w:styleId="ListLabel13">
    <w:name w:val="ListLabel 13"/>
    <w:qFormat/>
    <w:rsid w:val="00C7246A"/>
    <w:rPr>
      <w:rFonts w:cs="OpenSymbol"/>
    </w:rPr>
  </w:style>
  <w:style w:type="character" w:customStyle="1" w:styleId="ListLabel14">
    <w:name w:val="ListLabel 14"/>
    <w:qFormat/>
    <w:rsid w:val="00C7246A"/>
    <w:rPr>
      <w:rFonts w:cs="OpenSymbol"/>
    </w:rPr>
  </w:style>
  <w:style w:type="character" w:customStyle="1" w:styleId="ListLabel15">
    <w:name w:val="ListLabel 15"/>
    <w:qFormat/>
    <w:rsid w:val="00C7246A"/>
    <w:rPr>
      <w:rFonts w:cs="OpenSymbol"/>
    </w:rPr>
  </w:style>
  <w:style w:type="character" w:customStyle="1" w:styleId="ListLabel16">
    <w:name w:val="ListLabel 16"/>
    <w:qFormat/>
    <w:rsid w:val="00C7246A"/>
    <w:rPr>
      <w:rFonts w:cs="OpenSymbol"/>
    </w:rPr>
  </w:style>
  <w:style w:type="character" w:customStyle="1" w:styleId="ListLabel17">
    <w:name w:val="ListLabel 17"/>
    <w:qFormat/>
    <w:rsid w:val="00C7246A"/>
    <w:rPr>
      <w:rFonts w:cs="OpenSymbol"/>
    </w:rPr>
  </w:style>
  <w:style w:type="character" w:customStyle="1" w:styleId="ListLabel18">
    <w:name w:val="ListLabel 18"/>
    <w:qFormat/>
    <w:rsid w:val="00C7246A"/>
    <w:rPr>
      <w:rFonts w:cs="OpenSymbol"/>
    </w:rPr>
  </w:style>
  <w:style w:type="character" w:customStyle="1" w:styleId="ListLabel19">
    <w:name w:val="ListLabel 19"/>
    <w:qFormat/>
    <w:rsid w:val="00C7246A"/>
    <w:rPr>
      <w:rFonts w:cs="OpenSymbol"/>
    </w:rPr>
  </w:style>
  <w:style w:type="character" w:customStyle="1" w:styleId="ListLabel20">
    <w:name w:val="ListLabel 20"/>
    <w:qFormat/>
    <w:rsid w:val="00C7246A"/>
    <w:rPr>
      <w:rFonts w:cs="OpenSymbol"/>
    </w:rPr>
  </w:style>
  <w:style w:type="character" w:customStyle="1" w:styleId="ListLabel21">
    <w:name w:val="ListLabel 21"/>
    <w:qFormat/>
    <w:rsid w:val="00C7246A"/>
    <w:rPr>
      <w:rFonts w:cs="OpenSymbol"/>
    </w:rPr>
  </w:style>
  <w:style w:type="character" w:customStyle="1" w:styleId="ListLabel22">
    <w:name w:val="ListLabel 22"/>
    <w:qFormat/>
    <w:rsid w:val="00C7246A"/>
    <w:rPr>
      <w:rFonts w:cs="OpenSymbol"/>
    </w:rPr>
  </w:style>
  <w:style w:type="character" w:customStyle="1" w:styleId="ListLabel23">
    <w:name w:val="ListLabel 23"/>
    <w:qFormat/>
    <w:rsid w:val="00C7246A"/>
    <w:rPr>
      <w:rFonts w:cs="OpenSymbol"/>
    </w:rPr>
  </w:style>
  <w:style w:type="character" w:customStyle="1" w:styleId="ListLabel24">
    <w:name w:val="ListLabel 24"/>
    <w:qFormat/>
    <w:rsid w:val="00C7246A"/>
    <w:rPr>
      <w:rFonts w:cs="OpenSymbol"/>
    </w:rPr>
  </w:style>
  <w:style w:type="character" w:customStyle="1" w:styleId="ListLabel25">
    <w:name w:val="ListLabel 25"/>
    <w:qFormat/>
    <w:rsid w:val="00C7246A"/>
    <w:rPr>
      <w:rFonts w:cs="OpenSymbol"/>
    </w:rPr>
  </w:style>
  <w:style w:type="character" w:customStyle="1" w:styleId="WW8Num5z0">
    <w:name w:val="WW8Num5z0"/>
    <w:qFormat/>
    <w:rPr>
      <w:rFonts w:ascii="Arial" w:eastAsia="Arial" w:hAnsi="Arial" w:cs="Arial"/>
      <w:sz w:val="22"/>
      <w:szCs w:val="22"/>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Epgrafe">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WW-Predeterminado">
    <w:name w:val="WW-Predeterminado"/>
    <w:qFormat/>
    <w:pPr>
      <w:tabs>
        <w:tab w:val="left" w:pos="708"/>
      </w:tabs>
      <w:suppressAutoHyphens/>
      <w:spacing w:line="100" w:lineRule="atLeast"/>
    </w:pPr>
    <w:rPr>
      <w:rFonts w:ascii="Times New Roman" w:eastAsia="Times New Roman" w:hAnsi="Times New Roman" w:cs="Times New Roman"/>
      <w:szCs w:val="20"/>
      <w:lang w:val="es-ES" w:eastAsia="zh-CN" w:bidi="hi-IN"/>
    </w:r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F371-67BB-4589-94F5-99CFD6C4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serap_sice02</cp:lastModifiedBy>
  <cp:revision>2</cp:revision>
  <cp:lastPrinted>2019-07-12T10:37:00Z</cp:lastPrinted>
  <dcterms:created xsi:type="dcterms:W3CDTF">2019-07-12T15:53:00Z</dcterms:created>
  <dcterms:modified xsi:type="dcterms:W3CDTF">2019-07-12T15:53:00Z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