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pPr>
      <w:r>
        <w:rPr/>
        <w:drawing>
          <wp:anchor behindDoc="1" distT="0" distB="0" distL="0" distR="0" simplePos="0" locked="0" layoutInCell="1" allowOverlap="1" relativeHeight="2">
            <wp:simplePos x="0" y="0"/>
            <wp:positionH relativeFrom="column">
              <wp:posOffset>2663190</wp:posOffset>
            </wp:positionH>
            <wp:positionV relativeFrom="paragraph">
              <wp:posOffset>156845</wp:posOffset>
            </wp:positionV>
            <wp:extent cx="971550" cy="1181100"/>
            <wp:effectExtent l="0" t="0" r="0" b="0"/>
            <wp:wrapNone/>
            <wp:docPr id="1"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
                    <pic:cNvPicPr>
                      <a:picLocks noChangeAspect="1" noChangeArrowheads="1"/>
                    </pic:cNvPicPr>
                  </pic:nvPicPr>
                  <pic:blipFill>
                    <a:blip r:embed="rId2"/>
                    <a:srcRect l="-285" t="-235" r="-285" b="-235"/>
                    <a:stretch>
                      <a:fillRect/>
                    </a:stretch>
                  </pic:blipFill>
                  <pic:spPr bwMode="auto">
                    <a:xfrm>
                      <a:off x="0" y="0"/>
                      <a:ext cx="971550" cy="1181100"/>
                    </a:xfrm>
                    <a:prstGeom prst="rect">
                      <a:avLst/>
                    </a:prstGeom>
                  </pic:spPr>
                </pic:pic>
              </a:graphicData>
            </a:graphic>
          </wp:anchor>
        </w:drawing>
      </w:r>
    </w:p>
    <w:p>
      <w:pPr>
        <w:pStyle w:val="Normal"/>
        <w:spacing w:lineRule="auto" w:line="276"/>
        <w:jc w:val="right"/>
        <w:rPr>
          <w:rFonts w:ascii="Times New Roman" w:hAnsi="Times New Roman" w:cs="Times New Roman"/>
          <w:sz w:val="18"/>
          <w:szCs w:val="18"/>
        </w:rPr>
      </w:pPr>
      <w:r>
        <w:rPr/>
        <w:drawing>
          <wp:inline distT="0" distB="0" distL="0" distR="0">
            <wp:extent cx="1342390" cy="636905"/>
            <wp:effectExtent l="0" t="0" r="0" b="0"/>
            <wp:docPr id="2" name="Imagen 5" descr="C:\Users\uccar22\AppData\Local\Temp\LOGO ARMADA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descr="C:\Users\uccar22\AppData\Local\Temp\LOGO ARMADA EN JPG.jpg"/>
                    <pic:cNvPicPr>
                      <a:picLocks noChangeAspect="1" noChangeArrowheads="1"/>
                    </pic:cNvPicPr>
                  </pic:nvPicPr>
                  <pic:blipFill>
                    <a:blip r:embed="rId3"/>
                    <a:stretch>
                      <a:fillRect/>
                    </a:stretch>
                  </pic:blipFill>
                  <pic:spPr bwMode="auto">
                    <a:xfrm>
                      <a:off x="0" y="0"/>
                      <a:ext cx="1342390" cy="636905"/>
                    </a:xfrm>
                    <a:prstGeom prst="rect">
                      <a:avLst/>
                    </a:prstGeom>
                  </pic:spPr>
                </pic:pic>
              </a:graphicData>
            </a:graphic>
          </wp:inline>
        </w:drawing>
      </w:r>
    </w:p>
    <w:p>
      <w:pPr>
        <w:pStyle w:val="Normal"/>
        <w:spacing w:lineRule="auto" w:line="276"/>
        <w:ind w:left="2124" w:hanging="0"/>
        <w:rPr/>
      </w:pPr>
      <w:r>
        <w:rPr/>
      </w:r>
    </w:p>
    <w:p>
      <w:pPr>
        <w:pStyle w:val="Normal"/>
        <w:spacing w:lineRule="auto" w:line="276"/>
        <w:ind w:left="2124" w:hanging="0"/>
        <w:rPr/>
      </w:pPr>
      <w:r>
        <w:rPr>
          <w:rFonts w:cs="Times New Roman" w:ascii="Times New Roman" w:hAnsi="Times New Roman"/>
          <w:i/>
          <w:sz w:val="36"/>
          <w:szCs w:val="18"/>
          <w:lang w:eastAsia="es-UY"/>
        </w:rPr>
        <w:t>República Oriental del Uruguay</w:t>
      </w:r>
    </w:p>
    <w:p>
      <w:pPr>
        <w:pStyle w:val="Normal"/>
        <w:spacing w:lineRule="auto" w:line="276"/>
        <w:ind w:left="2832" w:hanging="0"/>
        <w:rPr/>
      </w:pPr>
      <w:r>
        <w:rPr>
          <w:rFonts w:cs="Times New Roman" w:ascii="Times New Roman" w:hAnsi="Times New Roman"/>
          <w:i/>
          <w:sz w:val="36"/>
          <w:szCs w:val="18"/>
          <w:lang w:eastAsia="es-UY"/>
        </w:rPr>
        <w:t>Armada Nacional</w:t>
      </w:r>
    </w:p>
    <w:p>
      <w:pPr>
        <w:pStyle w:val="Normal"/>
        <w:spacing w:lineRule="auto" w:line="276"/>
        <w:jc w:val="center"/>
        <w:rPr>
          <w:rFonts w:ascii="Times New Roman" w:hAnsi="Times New Roman" w:cs="Times New Roman"/>
          <w:i/>
          <w:i/>
          <w:sz w:val="36"/>
          <w:szCs w:val="18"/>
          <w:lang w:eastAsia="es-UY"/>
        </w:rPr>
      </w:pPr>
      <w:r>
        <w:rPr>
          <w:rFonts w:cs="Times New Roman" w:ascii="Times New Roman" w:hAnsi="Times New Roman"/>
          <w:i/>
          <w:sz w:val="36"/>
          <w:szCs w:val="18"/>
          <w:lang w:eastAsia="es-UY"/>
        </w:rPr>
      </w:r>
    </w:p>
    <w:p>
      <w:pPr>
        <w:pStyle w:val="Normal"/>
        <w:spacing w:lineRule="auto" w:line="276"/>
        <w:rPr/>
      </w:pPr>
      <w:r>
        <w:rPr>
          <w:rFonts w:cs="Times New Roman" w:ascii="Times New Roman" w:hAnsi="Times New Roman"/>
          <w:sz w:val="24"/>
          <w:szCs w:val="24"/>
        </w:rPr>
        <w:t>1. OBJETO DE LA CONTRATACIÓN:</w:t>
      </w:r>
    </w:p>
    <w:tbl>
      <w:tblPr>
        <w:tblW w:w="10095" w:type="dxa"/>
        <w:jc w:val="left"/>
        <w:tblInd w:w="75" w:type="dxa"/>
        <w:tblBorders>
          <w:top w:val="single" w:sz="12" w:space="0" w:color="000001"/>
          <w:left w:val="single" w:sz="12" w:space="0" w:color="000001"/>
          <w:bottom w:val="single" w:sz="12" w:space="0" w:color="000001"/>
          <w:right w:val="single" w:sz="6" w:space="0" w:color="000001"/>
          <w:insideH w:val="single" w:sz="12" w:space="0" w:color="000001"/>
          <w:insideV w:val="single" w:sz="6" w:space="0" w:color="000001"/>
        </w:tblBorders>
        <w:tblCellMar>
          <w:top w:w="15" w:type="dxa"/>
          <w:left w:w="-15" w:type="dxa"/>
          <w:bottom w:w="15" w:type="dxa"/>
          <w:right w:w="15" w:type="dxa"/>
        </w:tblCellMar>
        <w:tblLook w:firstRow="1" w:noVBand="1" w:lastRow="0" w:firstColumn="1" w:lastColumn="0" w:noHBand="0" w:val="04a0"/>
      </w:tblPr>
      <w:tblGrid>
        <w:gridCol w:w="794"/>
        <w:gridCol w:w="675"/>
        <w:gridCol w:w="2670"/>
        <w:gridCol w:w="4702"/>
        <w:gridCol w:w="1254"/>
      </w:tblGrid>
      <w:tr>
        <w:trPr>
          <w:trHeight w:val="345" w:hRule="atLeast"/>
        </w:trPr>
        <w:tc>
          <w:tcPr>
            <w:tcW w:w="794" w:type="dxa"/>
            <w:tcBorders>
              <w:top w:val="single" w:sz="12" w:space="0" w:color="000001"/>
              <w:left w:val="single" w:sz="12" w:space="0" w:color="000001"/>
              <w:bottom w:val="single" w:sz="12" w:space="0" w:color="000001"/>
              <w:right w:val="single" w:sz="6" w:space="0" w:color="000001"/>
              <w:insideH w:val="single" w:sz="12" w:space="0" w:color="000001"/>
              <w:insideV w:val="single" w:sz="6" w:space="0" w:color="000001"/>
            </w:tcBorders>
            <w:shd w:color="auto" w:fill="auto" w:val="clear"/>
            <w:tcMar>
              <w:left w:w="-15" w:type="dxa"/>
            </w:tcMar>
            <w:vAlign w:val="center"/>
          </w:tcPr>
          <w:p>
            <w:pPr>
              <w:pStyle w:val="Normal"/>
              <w:spacing w:lineRule="auto" w:line="240" w:before="0" w:after="0"/>
              <w:jc w:val="center"/>
              <w:rPr>
                <w:rFonts w:ascii="Times New Roman" w:hAnsi="Times New Roman"/>
                <w:sz w:val="24"/>
                <w:szCs w:val="24"/>
              </w:rPr>
            </w:pPr>
            <w:r>
              <w:rPr>
                <w:rFonts w:eastAsia="Times New Roman" w:cs="Times New Roman" w:ascii="Times New Roman" w:hAnsi="Times New Roman"/>
                <w:b/>
                <w:bCs/>
                <w:color w:val="000000"/>
                <w:lang w:eastAsia="es-ES"/>
              </w:rPr>
              <w:t>ÍTEM</w:t>
            </w:r>
          </w:p>
        </w:tc>
        <w:tc>
          <w:tcPr>
            <w:tcW w:w="675"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color="auto" w:fill="auto" w:val="clear"/>
            <w:tcMar>
              <w:left w:w="-7" w:type="dxa"/>
            </w:tcMar>
            <w:vAlign w:val="center"/>
          </w:tcPr>
          <w:p>
            <w:pPr>
              <w:pStyle w:val="Normal"/>
              <w:spacing w:lineRule="auto" w:line="240" w:before="0" w:after="0"/>
              <w:jc w:val="center"/>
              <w:rPr>
                <w:rFonts w:eastAsia="Times New Roman" w:cs="Times New Roman"/>
                <w:sz w:val="20"/>
                <w:szCs w:val="20"/>
                <w:lang w:eastAsia="es-ES"/>
              </w:rPr>
            </w:pPr>
            <w:r>
              <w:rPr>
                <w:rFonts w:eastAsia="Times New Roman" w:cs="Times New Roman" w:ascii="Times New Roman" w:hAnsi="Times New Roman"/>
                <w:b/>
                <w:bCs/>
                <w:color w:val="000000"/>
                <w:lang w:eastAsia="es-ES"/>
              </w:rPr>
              <w:t>CÓD. SICE</w:t>
            </w:r>
          </w:p>
        </w:tc>
        <w:tc>
          <w:tcPr>
            <w:tcW w:w="2670"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color="auto" w:fill="auto" w:val="clear"/>
            <w:tcMar>
              <w:left w:w="-7" w:type="dxa"/>
            </w:tcMar>
            <w:vAlign w:val="center"/>
          </w:tcPr>
          <w:p>
            <w:pPr>
              <w:pStyle w:val="Normal"/>
              <w:spacing w:lineRule="auto" w:line="240" w:before="0" w:after="0"/>
              <w:jc w:val="center"/>
              <w:rPr>
                <w:rFonts w:ascii="Times New Roman" w:hAnsi="Times New Roman"/>
                <w:b/>
                <w:b/>
                <w:bCs/>
              </w:rPr>
            </w:pPr>
            <w:r>
              <w:rPr>
                <w:rFonts w:eastAsia="Times New Roman" w:cs="Times New Roman" w:ascii="Times New Roman" w:hAnsi="Times New Roman"/>
                <w:b/>
                <w:bCs/>
                <w:color w:val="000000"/>
                <w:lang w:eastAsia="es-ES"/>
              </w:rPr>
              <w:t>ARTÍCULO</w:t>
            </w:r>
          </w:p>
        </w:tc>
        <w:tc>
          <w:tcPr>
            <w:tcW w:w="4702"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color="auto" w:fill="auto" w:val="clear"/>
            <w:tcMar>
              <w:left w:w="-7" w:type="dxa"/>
            </w:tcMar>
            <w:vAlign w:val="center"/>
          </w:tcPr>
          <w:p>
            <w:pPr>
              <w:pStyle w:val="Normal"/>
              <w:spacing w:lineRule="auto" w:line="240" w:before="0" w:after="0"/>
              <w:jc w:val="center"/>
              <w:rPr>
                <w:rFonts w:ascii="Times New Roman" w:hAnsi="Times New Roman"/>
                <w:b/>
                <w:b/>
                <w:bCs/>
              </w:rPr>
            </w:pPr>
            <w:r>
              <w:rPr>
                <w:rFonts w:ascii="Times New Roman" w:hAnsi="Times New Roman"/>
                <w:b/>
                <w:bCs/>
              </w:rPr>
              <w:t>DESCRIPCIÓN</w:t>
            </w:r>
          </w:p>
        </w:tc>
        <w:tc>
          <w:tcPr>
            <w:tcW w:w="1254"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color="auto" w:fill="auto" w:val="clear"/>
            <w:tcMar>
              <w:left w:w="-7" w:type="dxa"/>
            </w:tcMar>
            <w:vAlign w:val="center"/>
          </w:tcPr>
          <w:p>
            <w:pPr>
              <w:pStyle w:val="Normal"/>
              <w:spacing w:lineRule="auto" w:line="240" w:before="0" w:after="0"/>
              <w:jc w:val="center"/>
              <w:rPr>
                <w:rFonts w:ascii="Times New Roman" w:hAnsi="Times New Roman"/>
                <w:b/>
                <w:b/>
                <w:bCs/>
              </w:rPr>
            </w:pPr>
            <w:r>
              <w:rPr>
                <w:rFonts w:eastAsia="Times New Roman" w:cs="Times New Roman" w:ascii="Times New Roman" w:hAnsi="Times New Roman"/>
                <w:b/>
                <w:bCs/>
                <w:color w:val="000000"/>
                <w:lang w:eastAsia="es-ES"/>
              </w:rPr>
              <w:t>CANTIDAD</w:t>
            </w:r>
          </w:p>
        </w:tc>
      </w:tr>
      <w:tr>
        <w:trPr>
          <w:trHeight w:val="330" w:hRule="atLeast"/>
        </w:trPr>
        <w:tc>
          <w:tcPr>
            <w:tcW w:w="794"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color="auto" w:fill="auto" w:val="clear"/>
            <w:vAlign w:val="center"/>
          </w:tcPr>
          <w:p>
            <w:pPr>
              <w:pStyle w:val="Normal"/>
              <w:spacing w:lineRule="auto" w:line="240" w:before="0" w:after="0"/>
              <w:jc w:val="center"/>
              <w:rPr>
                <w:rFonts w:ascii="Times New Roman" w:hAnsi="Times New Roman"/>
              </w:rPr>
            </w:pPr>
            <w:r>
              <w:rPr>
                <w:rFonts w:cs="Times New Roman" w:ascii="Times New Roman" w:hAnsi="Times New Roman"/>
              </w:rPr>
              <w:t>1</w:t>
            </w:r>
          </w:p>
        </w:tc>
        <w:tc>
          <w:tcPr>
            <w:tcW w:w="675"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color="auto"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8063</w:t>
            </w:r>
          </w:p>
        </w:tc>
        <w:tc>
          <w:tcPr>
            <w:tcW w:w="2670"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color="auto" w:fill="FFFFFF" w:themeFill="background1" w:val="clear"/>
            <w:vAlign w:val="center"/>
          </w:tcPr>
          <w:p>
            <w:pPr>
              <w:pStyle w:val="ListParagraph"/>
              <w:spacing w:lineRule="auto" w:line="240" w:before="0" w:after="0"/>
              <w:ind w:left="0" w:right="88" w:hanging="0"/>
              <w:jc w:val="center"/>
              <w:rPr>
                <w:rFonts w:ascii="Times New Roman" w:hAnsi="Times New Roman"/>
              </w:rPr>
            </w:pPr>
            <w:r>
              <w:rPr>
                <w:rFonts w:ascii="Times New Roman" w:hAnsi="Times New Roman"/>
              </w:rPr>
              <w:t>RESISTENCIA BLINDADA PARA SISTEMA DE PRECALENTADO DE AGUA DE MOTORES PRINCIPALES</w:t>
            </w:r>
          </w:p>
        </w:tc>
        <w:tc>
          <w:tcPr>
            <w:tcW w:w="4702"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color="auto" w:fill="auto" w:val="clear"/>
            <w:vAlign w:val="center"/>
          </w:tcPr>
          <w:p>
            <w:pPr>
              <w:pStyle w:val="Normal"/>
              <w:spacing w:lineRule="auto" w:line="240" w:before="0" w:after="0"/>
              <w:jc w:val="center"/>
              <w:rPr>
                <w:rFonts w:ascii="Times New Roman" w:hAnsi="Times New Roman"/>
              </w:rPr>
            </w:pPr>
            <w:r>
              <w:rPr>
                <w:rFonts w:ascii="Times New Roman" w:hAnsi="Times New Roman"/>
              </w:rPr>
              <w:t>FORMATO “U” – LARGO 300 MM – 2KW, 230 VOLTS – CON BULBO PARA TERMOSTATO – BASE ROSCADA HEXAGONAL CON ROSCA DE 1 ¼” BSP, LARGO DE ROSCA 10 MM CON ORING PARA SELLADO CON CARCAZA DEL TERMOTANQUE – BORNES DE CONEXIÓN ROSCADOS CON TUERCA Y ARANDELA.</w:t>
            </w:r>
          </w:p>
        </w:tc>
        <w:tc>
          <w:tcPr>
            <w:tcW w:w="1254"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color="auto"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10</w:t>
            </w:r>
          </w:p>
        </w:tc>
      </w:tr>
      <w:tr>
        <w:trPr>
          <w:trHeight w:val="330" w:hRule="atLeast"/>
        </w:trPr>
        <w:tc>
          <w:tcPr>
            <w:tcW w:w="794"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color="auto"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2</w:t>
            </w:r>
          </w:p>
        </w:tc>
        <w:tc>
          <w:tcPr>
            <w:tcW w:w="675"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color="auto"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8063</w:t>
            </w:r>
          </w:p>
        </w:tc>
        <w:tc>
          <w:tcPr>
            <w:tcW w:w="2670"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color="auto" w:fill="FFFFFF" w:themeFill="background1" w:val="clear"/>
            <w:vAlign w:val="center"/>
          </w:tcPr>
          <w:p>
            <w:pPr>
              <w:pStyle w:val="ListParagraph"/>
              <w:spacing w:lineRule="auto" w:line="240" w:before="0" w:after="0"/>
              <w:ind w:left="0" w:right="88" w:firstLine="9"/>
              <w:jc w:val="center"/>
              <w:rPr>
                <w:rFonts w:ascii="Times New Roman" w:hAnsi="Times New Roman"/>
              </w:rPr>
            </w:pPr>
            <w:r>
              <w:rPr>
                <w:rFonts w:ascii="Times New Roman" w:hAnsi="Times New Roman"/>
              </w:rPr>
              <w:t>RESISTENCIA BLINDADA CON TERMOSTATO PARA SISTEMA DE PRECALENTADO DE AGUA MOTORES PRINCIPALES</w:t>
            </w:r>
          </w:p>
        </w:tc>
        <w:tc>
          <w:tcPr>
            <w:tcW w:w="4702"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color="auto" w:fill="auto" w:val="clear"/>
            <w:vAlign w:val="center"/>
          </w:tcPr>
          <w:p>
            <w:pPr>
              <w:pStyle w:val="ListParagraph"/>
              <w:spacing w:lineRule="auto" w:line="240" w:before="0" w:after="0"/>
              <w:ind w:left="16" w:hanging="0"/>
              <w:jc w:val="center"/>
              <w:rPr>
                <w:rFonts w:ascii="Times New Roman" w:hAnsi="Times New Roman"/>
              </w:rPr>
            </w:pPr>
            <w:r>
              <w:rPr>
                <w:rFonts w:ascii="Times New Roman" w:hAnsi="Times New Roman"/>
              </w:rPr>
              <w:t>FORMATO “U” – LARGO 300 MM – 2KW, 230 VOLTS – CON BULBO PARA TERMOSTATO – TERMOSTATO COMPATIBLE CON BULBO, REGULABLE DE 30 A 150ºC, CON CONTACTO NC. BASE ROSCADA HEXAGONAL CON ROSCA 1 ¼” BSP, LARGO DE ROSCA 10 MM – CON ORING PARA SELLADO CON CARCAZA DEL TEMOTANQUE – BORNES DE CONEXIÓN ROSCADOS CON TUERCA Y ARANDELA.</w:t>
            </w:r>
          </w:p>
        </w:tc>
        <w:tc>
          <w:tcPr>
            <w:tcW w:w="1254"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color="auto" w:fill="auto" w:val="clear"/>
            <w:vAlign w:val="center"/>
          </w:tcPr>
          <w:p>
            <w:pPr>
              <w:pStyle w:val="Normal"/>
              <w:spacing w:lineRule="auto" w:line="240" w:before="0" w:after="0"/>
              <w:jc w:val="center"/>
              <w:rPr>
                <w:rFonts w:cs="Times New Roman"/>
              </w:rPr>
            </w:pPr>
            <w:r>
              <w:rPr>
                <w:rFonts w:cs="Times New Roman"/>
              </w:rPr>
              <w:t>4</w:t>
            </w:r>
          </w:p>
        </w:tc>
      </w:tr>
      <w:tr>
        <w:trPr>
          <w:trHeight w:val="330" w:hRule="atLeast"/>
        </w:trPr>
        <w:tc>
          <w:tcPr>
            <w:tcW w:w="794"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color="auto"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3</w:t>
            </w:r>
          </w:p>
        </w:tc>
        <w:tc>
          <w:tcPr>
            <w:tcW w:w="675"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color="auto"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8063</w:t>
            </w:r>
          </w:p>
        </w:tc>
        <w:tc>
          <w:tcPr>
            <w:tcW w:w="2670"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color="auto" w:fill="FFFFFF" w:themeFill="background1" w:val="clear"/>
            <w:vAlign w:val="center"/>
          </w:tcPr>
          <w:p>
            <w:pPr>
              <w:pStyle w:val="ListParagraph"/>
              <w:spacing w:lineRule="auto" w:line="240" w:before="0" w:after="0"/>
              <w:ind w:left="9" w:right="88" w:hanging="9"/>
              <w:jc w:val="center"/>
              <w:rPr/>
            </w:pPr>
            <w:r>
              <w:rPr>
                <w:rFonts w:ascii="Times New Roman" w:hAnsi="Times New Roman"/>
              </w:rPr>
              <w:t>RESISTENCIA  PARA PLANCHAS DE COCINA</w:t>
            </w:r>
          </w:p>
        </w:tc>
        <w:tc>
          <w:tcPr>
            <w:tcW w:w="4702"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color="auto" w:fill="auto" w:val="clear"/>
            <w:vAlign w:val="center"/>
          </w:tcPr>
          <w:p>
            <w:pPr>
              <w:pStyle w:val="ListParagraph"/>
              <w:spacing w:lineRule="auto" w:line="240" w:before="0" w:after="0"/>
              <w:ind w:left="16" w:hanging="0"/>
              <w:jc w:val="center"/>
              <w:rPr>
                <w:rFonts w:ascii="Times New Roman" w:hAnsi="Times New Roman"/>
              </w:rPr>
            </w:pPr>
            <w:r>
              <w:rPr>
                <w:rFonts w:ascii="Times New Roman" w:hAnsi="Times New Roman"/>
              </w:rPr>
              <w:t>2.5KW – 230 VOLTS – ALAMBRE 0.60 MM CR – NI 80-20 – DIAMETRO EXTERNO 6,7 MM – DIAMETRO INTERNO 5,5 MM – CONECTORES TORNEADOS (LARGO 250 MM).</w:t>
            </w:r>
          </w:p>
        </w:tc>
        <w:tc>
          <w:tcPr>
            <w:tcW w:w="1254"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color="auto" w:fill="auto" w:val="clear"/>
            <w:vAlign w:val="center"/>
          </w:tcPr>
          <w:p>
            <w:pPr>
              <w:pStyle w:val="Normal"/>
              <w:spacing w:lineRule="auto" w:line="240" w:before="0" w:after="0"/>
              <w:jc w:val="center"/>
              <w:rPr>
                <w:rFonts w:cs="Times New Roman"/>
              </w:rPr>
            </w:pPr>
            <w:r>
              <w:rPr>
                <w:rFonts w:cs="Times New Roman"/>
              </w:rPr>
              <w:t>15</w:t>
            </w:r>
          </w:p>
        </w:tc>
      </w:tr>
      <w:tr>
        <w:trPr>
          <w:trHeight w:val="330" w:hRule="atLeast"/>
        </w:trPr>
        <w:tc>
          <w:tcPr>
            <w:tcW w:w="794"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color="auto"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4</w:t>
            </w:r>
          </w:p>
        </w:tc>
        <w:tc>
          <w:tcPr>
            <w:tcW w:w="675"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color="auto"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8063</w:t>
            </w:r>
          </w:p>
        </w:tc>
        <w:tc>
          <w:tcPr>
            <w:tcW w:w="2670"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color="auto" w:fill="FFFFFF" w:themeFill="background1" w:val="clear"/>
            <w:vAlign w:val="center"/>
          </w:tcPr>
          <w:p>
            <w:pPr>
              <w:pStyle w:val="ListParagraph"/>
              <w:spacing w:lineRule="auto" w:line="240" w:before="0" w:after="0"/>
              <w:ind w:left="9" w:right="88" w:hanging="9"/>
              <w:jc w:val="center"/>
              <w:rPr>
                <w:rFonts w:ascii="Times New Roman" w:hAnsi="Times New Roman"/>
              </w:rPr>
            </w:pPr>
            <w:r>
              <w:rPr>
                <w:rFonts w:ascii="Times New Roman" w:hAnsi="Times New Roman"/>
              </w:rPr>
              <w:t>RESISTENCIA BLINDADA PARA HORNO</w:t>
            </w:r>
          </w:p>
        </w:tc>
        <w:tc>
          <w:tcPr>
            <w:tcW w:w="4702"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color="auto" w:fill="auto" w:val="clear"/>
            <w:vAlign w:val="center"/>
          </w:tcPr>
          <w:p>
            <w:pPr>
              <w:pStyle w:val="ListParagraph"/>
              <w:spacing w:lineRule="auto" w:line="240" w:before="0" w:after="0"/>
              <w:ind w:left="16" w:hanging="0"/>
              <w:jc w:val="center"/>
              <w:rPr>
                <w:rFonts w:ascii="Times New Roman" w:hAnsi="Times New Roman"/>
              </w:rPr>
            </w:pPr>
            <w:r>
              <w:rPr>
                <w:rFonts w:ascii="Times New Roman" w:hAnsi="Times New Roman"/>
              </w:rPr>
              <w:t xml:space="preserve">PLANA, DE ACERO INOXIDABLE, LARGO 710 MM, ANCHO 65 MM, DOS POLOS MÁS NEUTRO, SALIDA CON ESPARRAGOS CON TUERCA Y ARANDELA </w:t>
            </w:r>
          </w:p>
        </w:tc>
        <w:tc>
          <w:tcPr>
            <w:tcW w:w="1254"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color="auto" w:fill="auto" w:val="clear"/>
            <w:vAlign w:val="center"/>
          </w:tcPr>
          <w:p>
            <w:pPr>
              <w:pStyle w:val="Normal"/>
              <w:spacing w:lineRule="auto" w:line="240" w:before="0" w:after="0"/>
              <w:jc w:val="center"/>
              <w:rPr>
                <w:rFonts w:cs="Times New Roman"/>
              </w:rPr>
            </w:pPr>
            <w:r>
              <w:rPr>
                <w:rFonts w:cs="Times New Roman"/>
              </w:rPr>
              <w:t>4</w:t>
            </w:r>
          </w:p>
        </w:tc>
      </w:tr>
      <w:tr>
        <w:trPr>
          <w:trHeight w:val="330" w:hRule="atLeast"/>
        </w:trPr>
        <w:tc>
          <w:tcPr>
            <w:tcW w:w="794"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color="auto"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5</w:t>
            </w:r>
          </w:p>
        </w:tc>
        <w:tc>
          <w:tcPr>
            <w:tcW w:w="675"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color="auto"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8063</w:t>
            </w:r>
          </w:p>
        </w:tc>
        <w:tc>
          <w:tcPr>
            <w:tcW w:w="2670"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color="auto" w:fill="FFFFFF" w:themeFill="background1" w:val="clear"/>
            <w:vAlign w:val="center"/>
          </w:tcPr>
          <w:p>
            <w:pPr>
              <w:pStyle w:val="ListParagraph"/>
              <w:spacing w:lineRule="auto" w:line="240" w:before="0" w:after="0"/>
              <w:ind w:left="9" w:right="88" w:hanging="9"/>
              <w:jc w:val="center"/>
              <w:rPr>
                <w:rFonts w:ascii="Times New Roman" w:hAnsi="Times New Roman"/>
              </w:rPr>
            </w:pPr>
            <w:r>
              <w:rPr>
                <w:rFonts w:ascii="Times New Roman" w:hAnsi="Times New Roman"/>
              </w:rPr>
              <w:t>RESISTENCIA  PARA CALEFÓN  80 LTS</w:t>
            </w:r>
          </w:p>
        </w:tc>
        <w:tc>
          <w:tcPr>
            <w:tcW w:w="4702"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color="auto" w:fill="auto" w:val="clear"/>
            <w:vAlign w:val="center"/>
          </w:tcPr>
          <w:p>
            <w:pPr>
              <w:pStyle w:val="ListParagraph"/>
              <w:spacing w:lineRule="auto" w:line="240" w:before="0" w:after="0"/>
              <w:ind w:left="16" w:hanging="0"/>
              <w:jc w:val="center"/>
              <w:rPr>
                <w:rFonts w:ascii="Times New Roman" w:hAnsi="Times New Roman"/>
              </w:rPr>
            </w:pPr>
            <w:r>
              <w:rPr>
                <w:rFonts w:ascii="Times New Roman" w:hAnsi="Times New Roman"/>
              </w:rPr>
              <w:t>4 PIEDRAS, CON DADO CERAMICO, 1 KW 230</w:t>
            </w:r>
          </w:p>
        </w:tc>
        <w:tc>
          <w:tcPr>
            <w:tcW w:w="1254"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color="auto" w:fill="auto" w:val="clear"/>
            <w:vAlign w:val="center"/>
          </w:tcPr>
          <w:p>
            <w:pPr>
              <w:pStyle w:val="Normal"/>
              <w:spacing w:lineRule="auto" w:line="240" w:before="0" w:after="0"/>
              <w:jc w:val="center"/>
              <w:rPr>
                <w:rFonts w:cs="Times New Roman"/>
              </w:rPr>
            </w:pPr>
            <w:r>
              <w:rPr>
                <w:rFonts w:cs="Times New Roman"/>
              </w:rPr>
              <w:t>4</w:t>
            </w:r>
          </w:p>
        </w:tc>
      </w:tr>
      <w:tr>
        <w:trPr>
          <w:trHeight w:val="330" w:hRule="atLeast"/>
        </w:trPr>
        <w:tc>
          <w:tcPr>
            <w:tcW w:w="794"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color="auto"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6</w:t>
            </w:r>
          </w:p>
        </w:tc>
        <w:tc>
          <w:tcPr>
            <w:tcW w:w="675"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color="auto"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8063</w:t>
            </w:r>
          </w:p>
        </w:tc>
        <w:tc>
          <w:tcPr>
            <w:tcW w:w="2670"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color="auto" w:fill="FFFFFF" w:themeFill="background1" w:val="clear"/>
            <w:vAlign w:val="center"/>
          </w:tcPr>
          <w:p>
            <w:pPr>
              <w:pStyle w:val="ListParagraph"/>
              <w:spacing w:lineRule="auto" w:line="240" w:before="0" w:after="0"/>
              <w:ind w:left="9" w:right="88" w:hanging="9"/>
              <w:jc w:val="center"/>
              <w:rPr>
                <w:rFonts w:ascii="Times New Roman" w:hAnsi="Times New Roman"/>
              </w:rPr>
            </w:pPr>
            <w:r>
              <w:rPr>
                <w:rFonts w:ascii="Times New Roman" w:hAnsi="Times New Roman"/>
              </w:rPr>
              <w:t>RESISTENCIA BLINDADA PARA CALEFÓN 100 LTS</w:t>
            </w:r>
          </w:p>
        </w:tc>
        <w:tc>
          <w:tcPr>
            <w:tcW w:w="4702"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color="auto" w:fill="auto" w:val="clear"/>
            <w:vAlign w:val="center"/>
          </w:tcPr>
          <w:p>
            <w:pPr>
              <w:pStyle w:val="ListParagraph"/>
              <w:spacing w:lineRule="auto" w:line="240" w:before="0" w:after="0"/>
              <w:ind w:left="16" w:hanging="0"/>
              <w:jc w:val="center"/>
              <w:rPr>
                <w:rFonts w:ascii="Times New Roman" w:hAnsi="Times New Roman"/>
              </w:rPr>
            </w:pPr>
            <w:r>
              <w:rPr>
                <w:rFonts w:ascii="Times New Roman" w:hAnsi="Times New Roman"/>
              </w:rPr>
              <w:t>TIPO LAZO BLINDADA, CON TAPONES TORNEADOS DE BRONCE CON TUERCA DE DIÁMETRO 20 MM – 2.4 KW – 230 VOLTS – DISTANCIA ENTRE CENTROS DE ESPARRAGOS 80 MM</w:t>
            </w:r>
          </w:p>
        </w:tc>
        <w:tc>
          <w:tcPr>
            <w:tcW w:w="1254" w:type="dxa"/>
            <w:tcBorders>
              <w:top w:val="single" w:sz="12" w:space="0" w:color="000001"/>
              <w:left w:val="single" w:sz="6" w:space="0" w:color="000001"/>
              <w:bottom w:val="single" w:sz="12" w:space="0" w:color="000001"/>
              <w:right w:val="single" w:sz="6" w:space="0" w:color="000001"/>
              <w:insideH w:val="single" w:sz="12" w:space="0" w:color="000001"/>
              <w:insideV w:val="single" w:sz="6" w:space="0" w:color="000001"/>
            </w:tcBorders>
            <w:shd w:color="auto" w:fill="auto" w:val="clear"/>
            <w:vAlign w:val="center"/>
          </w:tcPr>
          <w:p>
            <w:pPr>
              <w:pStyle w:val="Normal"/>
              <w:spacing w:lineRule="auto" w:line="240" w:before="0" w:after="0"/>
              <w:jc w:val="center"/>
              <w:rPr>
                <w:rFonts w:cs="Times New Roman"/>
              </w:rPr>
            </w:pPr>
            <w:r>
              <w:rPr>
                <w:rFonts w:cs="Times New Roman"/>
              </w:rPr>
              <w:t>5</w:t>
            </w:r>
          </w:p>
        </w:tc>
      </w:tr>
    </w:tbl>
    <w:p>
      <w:pPr>
        <w:pStyle w:val="Normal"/>
        <w:spacing w:lineRule="auto" w:line="276"/>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jc w:val="both"/>
        <w:rPr>
          <w:rFonts w:ascii="Times New Roman" w:hAnsi="Times New Roman" w:cs="Times New Roman"/>
        </w:rPr>
      </w:pPr>
      <w:r>
        <w:rPr>
          <w:rFonts w:cs="Times New Roman" w:ascii="Times New Roman" w:hAnsi="Times New Roman"/>
        </w:rPr>
        <w:t>2. La apertura de ofertas será exclusivamente electrónica, y los proveedores que deseen ofertar, deberán estar en estado ACTIVO en el RUPE.</w:t>
      </w:r>
    </w:p>
    <w:p>
      <w:pPr>
        <w:pStyle w:val="Normal"/>
        <w:widowControl w:val="false"/>
        <w:tabs>
          <w:tab w:val="left" w:pos="426" w:leader="none"/>
        </w:tabs>
        <w:suppressAutoHyphens w:val="true"/>
        <w:spacing w:lineRule="auto" w:line="276" w:before="0" w:after="0"/>
        <w:jc w:val="both"/>
        <w:rPr/>
      </w:pPr>
      <w:r>
        <w:rPr>
          <w:rFonts w:cs="Times New Roman" w:ascii="Times New Roman" w:hAnsi="Times New Roman"/>
        </w:rPr>
        <w:t xml:space="preserve">3. Las propuestas deberán ser ingresadas directamente por el proveedor, </w:t>
      </w:r>
      <w:r>
        <w:rPr>
          <w:rFonts w:eastAsia="Times New Roman" w:cs="Times New Roman" w:ascii="Times New Roman" w:hAnsi="Times New Roman"/>
        </w:rPr>
        <w:t xml:space="preserve">mediante el ingreso de las mismas en el sitio web de Compras Estatales </w:t>
      </w:r>
      <w:hyperlink r:id="rId4">
        <w:r>
          <w:rPr>
            <w:rStyle w:val="EnlacedeInternet"/>
            <w:rFonts w:eastAsia="Times New Roman" w:cs="Times New Roman" w:ascii="Times New Roman" w:hAnsi="Times New Roman"/>
            <w:lang w:val="es-ES" w:eastAsia="hi-IN" w:bidi="hi-IN"/>
          </w:rPr>
          <w:t>www.comprasestatales.gub.uy</w:t>
        </w:r>
      </w:hyperlink>
      <w:r>
        <w:rPr>
          <w:rFonts w:eastAsia="Times New Roman" w:cs="Times New Roman" w:ascii="Times New Roman" w:hAnsi="Times New Roman"/>
        </w:rPr>
        <w:t xml:space="preserve">  (Por consultas al respecto deberán comunicarse al 2903 1111, Mesa de ayuda SICE de 10 a 17 hs.), o pueden consultar el Instructivo en la página web de Compras Estatales.</w:t>
      </w:r>
    </w:p>
    <w:p>
      <w:pPr>
        <w:pStyle w:val="Normal"/>
        <w:spacing w:lineRule="auto" w:line="276"/>
        <w:jc w:val="both"/>
        <w:rPr/>
      </w:pPr>
      <w:r>
        <w:rPr>
          <w:rFonts w:cs="Times New Roman" w:ascii="Times New Roman" w:hAnsi="Times New Roman"/>
        </w:rPr>
        <w:t>En la oferta podrá ingresar un archivo adjunto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 Dicho archivo deberá ser visible tanto para la administración como para los demás oferentes.</w:t>
      </w:r>
    </w:p>
    <w:p>
      <w:pPr>
        <w:pStyle w:val="Normal"/>
        <w:spacing w:lineRule="auto" w:line="276"/>
        <w:jc w:val="both"/>
        <w:rPr>
          <w:rFonts w:ascii="Times New Roman" w:hAnsi="Times New Roman" w:cs="Times New Roman"/>
        </w:rPr>
      </w:pPr>
      <w:r>
        <w:rPr>
          <w:rFonts w:cs="Times New Roman" w:ascii="Times New Roman" w:hAnsi="Times New Roman"/>
          <w:b/>
          <w:highlight w:val="white"/>
        </w:rPr>
        <w:t>En caso de que se constaten discrepancias entre lo ofertado en línea y el archivo adjunto a la oferta, se tomara como valido lo ofertado en línea</w:t>
      </w:r>
      <w:r>
        <w:rPr>
          <w:rFonts w:cs="Times New Roman" w:ascii="Times New Roman" w:hAnsi="Times New Roman"/>
          <w:highlight w:val="white"/>
        </w:rPr>
        <w:t>.</w:t>
      </w:r>
    </w:p>
    <w:p>
      <w:pPr>
        <w:pStyle w:val="Normal"/>
        <w:tabs>
          <w:tab w:val="left" w:pos="142" w:leader="none"/>
        </w:tabs>
        <w:spacing w:lineRule="auto" w:line="276"/>
        <w:jc w:val="both"/>
        <w:rPr>
          <w:rFonts w:ascii="Times New Roman" w:hAnsi="Times New Roman" w:cs="Times New Roman"/>
        </w:rPr>
      </w:pPr>
      <w:r>
        <w:rPr>
          <w:rFonts w:cs="Times New Roman" w:ascii="Times New Roman" w:hAnsi="Times New Roman"/>
          <w:highlight w:val="white"/>
        </w:rPr>
        <w:t xml:space="preserve">4. No se tomarán en cuenta las propuestas no </w:t>
      </w:r>
      <w:r>
        <w:rPr>
          <w:rFonts w:cs="Times New Roman" w:ascii="Times New Roman" w:hAnsi="Times New Roman"/>
        </w:rPr>
        <w:t xml:space="preserve">ingresadas por el proveedor en el Sistema de Compras Estatales.  </w:t>
      </w:r>
    </w:p>
    <w:p>
      <w:pPr>
        <w:pStyle w:val="Normal"/>
        <w:tabs>
          <w:tab w:val="left" w:pos="142" w:leader="none"/>
        </w:tabs>
        <w:spacing w:lineRule="auto" w:line="276"/>
        <w:jc w:val="both"/>
        <w:rPr>
          <w:rFonts w:ascii="Times New Roman" w:hAnsi="Times New Roman" w:eastAsia="Times New Roman" w:cs="Times New Roman"/>
        </w:rPr>
      </w:pPr>
      <w:r>
        <w:rPr>
          <w:rFonts w:eastAsia="Times New Roman" w:cs="Times New Roman" w:ascii="Times New Roman" w:hAnsi="Times New Roman"/>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VALIDA.</w:t>
      </w:r>
    </w:p>
    <w:p>
      <w:pPr>
        <w:pStyle w:val="Normal"/>
        <w:tabs>
          <w:tab w:val="left" w:pos="142" w:leader="none"/>
        </w:tabs>
        <w:spacing w:lineRule="auto" w:line="276"/>
        <w:jc w:val="both"/>
        <w:rPr>
          <w:rFonts w:ascii="Times New Roman" w:hAnsi="Times New Roman" w:eastAsia="Times New Roman" w:cs="Times New Roman"/>
        </w:rPr>
      </w:pPr>
      <w:r>
        <w:rPr>
          <w:rFonts w:eastAsia="Times New Roman" w:cs="Times New Roman" w:ascii="Times New Roman" w:hAnsi="Times New Roman"/>
        </w:rPr>
        <w:t>LUEGO DEL INGRESO DE LA OFERTA, NO PODRÁN ADUCIRSE DESCONOCIMIENTOS SOBRE EL PROCEDIMIENTO QUE DEBÍA SEGUIRSE.</w:t>
      </w:r>
    </w:p>
    <w:p>
      <w:pPr>
        <w:pStyle w:val="Normal"/>
        <w:tabs>
          <w:tab w:val="left" w:pos="142" w:leader="none"/>
        </w:tabs>
        <w:spacing w:lineRule="auto" w:line="276"/>
        <w:jc w:val="both"/>
        <w:rPr>
          <w:rFonts w:ascii="Times New Roman" w:hAnsi="Times New Roman" w:eastAsia="Times New Roman" w:cs="Times New Roman"/>
        </w:rPr>
      </w:pPr>
      <w:r>
        <w:rPr>
          <w:rFonts w:eastAsia="Times New Roman" w:cs="Times New Roman" w:ascii="Times New Roman" w:hAnsi="Times New Roman"/>
        </w:rPr>
        <w:t>La ausencia de información referida al cumplimiento de un requerimiento podrá ser considerada como “cumple dicho requerimiento”, no dando lugar a reclamación alguna por parte del oferente y obligándose al cumplimiento de los mismos.</w:t>
      </w:r>
    </w:p>
    <w:p>
      <w:pPr>
        <w:pStyle w:val="Normal"/>
        <w:spacing w:lineRule="auto" w:line="276"/>
        <w:jc w:val="both"/>
        <w:rPr/>
      </w:pPr>
      <w:r>
        <w:rPr>
          <w:rFonts w:cs="Times New Roman" w:ascii="Times New Roman" w:hAnsi="Times New Roman"/>
        </w:rPr>
        <w:t xml:space="preserve">5.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pPr>
        <w:pStyle w:val="Normal"/>
        <w:spacing w:lineRule="auto" w:line="276"/>
        <w:jc w:val="both"/>
        <w:rPr>
          <w:rFonts w:ascii="Times New Roman" w:hAnsi="Times New Roman" w:cs="Times New Roman"/>
        </w:rPr>
      </w:pPr>
      <w:r>
        <w:rPr>
          <w:rFonts w:cs="Times New Roman" w:ascii="Times New Roman" w:hAnsi="Times New Roman"/>
        </w:rPr>
        <w:t xml:space="preserve">La presentación de las propuestas implica el compromiso liso y llano de la ejecución de la contratación. </w:t>
      </w:r>
    </w:p>
    <w:p>
      <w:pPr>
        <w:pStyle w:val="Normal"/>
        <w:spacing w:lineRule="auto" w:line="276"/>
        <w:jc w:val="both"/>
        <w:rPr>
          <w:rFonts w:ascii="Times New Roman" w:hAnsi="Times New Roman" w:cs="Times New Roman"/>
        </w:rPr>
      </w:pPr>
      <w:r>
        <w:rPr>
          <w:rFonts w:cs="Times New Roman" w:ascii="Times New Roman" w:hAnsi="Times New Roman"/>
        </w:rPr>
        <w:t xml:space="preserve">Las propuestas no podrán estar condicionadas a su confirmación por el oferente, o por un tercero, ni estar supeditadas a otros factores que no sean los previstos en estas bases y/o los que no se hayan aclarado oportunamente. - </w:t>
      </w:r>
    </w:p>
    <w:p>
      <w:pPr>
        <w:pStyle w:val="Normal"/>
        <w:spacing w:lineRule="auto" w:line="276"/>
        <w:jc w:val="both"/>
        <w:rPr/>
      </w:pPr>
      <w:r>
        <w:rPr>
          <w:rFonts w:cs="Times New Roman" w:ascii="Times New Roman" w:hAnsi="Times New Roman"/>
        </w:rPr>
        <w:t xml:space="preserve">6. No serán tenidas en cuenta las ofertas que sean recibidas por otros medios. </w:t>
      </w:r>
    </w:p>
    <w:p>
      <w:pPr>
        <w:pStyle w:val="Normal"/>
        <w:tabs>
          <w:tab w:val="left" w:pos="142" w:leader="none"/>
        </w:tabs>
        <w:spacing w:lineRule="auto" w:line="276"/>
        <w:jc w:val="both"/>
        <w:rPr>
          <w:rFonts w:ascii="Times New Roman" w:hAnsi="Times New Roman" w:eastAsia="Times New Roman" w:cs="Times New Roman"/>
        </w:rPr>
      </w:pPr>
      <w:r>
        <w:rPr>
          <w:rFonts w:eastAsia="Times New Roman" w:cs="Times New Roman" w:ascii="Times New Roman" w:hAnsi="Times New Roman"/>
        </w:rPr>
        <w:t>Al momento de realizar su cotización en línea, el oferente debe tener en cuenta que:</w:t>
      </w:r>
    </w:p>
    <w:p>
      <w:pPr>
        <w:pStyle w:val="Normal"/>
        <w:widowControl w:val="false"/>
        <w:numPr>
          <w:ilvl w:val="0"/>
          <w:numId w:val="1"/>
        </w:numPr>
        <w:tabs>
          <w:tab w:val="left" w:pos="142" w:leader="none"/>
          <w:tab w:val="left" w:pos="567" w:leader="none"/>
        </w:tabs>
        <w:suppressAutoHyphens w:val="true"/>
        <w:spacing w:lineRule="auto" w:line="276" w:before="0" w:after="0"/>
        <w:ind w:left="709" w:hanging="360"/>
        <w:jc w:val="both"/>
        <w:rPr>
          <w:rFonts w:ascii="Times New Roman" w:hAnsi="Times New Roman" w:eastAsia="Times New Roman" w:cs="Times New Roman"/>
        </w:rPr>
      </w:pPr>
      <w:r>
        <w:rPr>
          <w:rFonts w:eastAsia="Times New Roman" w:cs="Times New Roman" w:ascii="Times New Roman" w:hAnsi="Times New Roman"/>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pPr>
        <w:pStyle w:val="Normal"/>
        <w:widowControl w:val="false"/>
        <w:numPr>
          <w:ilvl w:val="0"/>
          <w:numId w:val="1"/>
        </w:numPr>
        <w:tabs>
          <w:tab w:val="left" w:pos="142" w:leader="none"/>
          <w:tab w:val="left" w:pos="567" w:leader="none"/>
        </w:tabs>
        <w:suppressAutoHyphens w:val="true"/>
        <w:spacing w:lineRule="auto" w:line="276" w:before="0" w:after="0"/>
        <w:ind w:left="709" w:hanging="360"/>
        <w:jc w:val="both"/>
        <w:rPr/>
      </w:pPr>
      <w:r>
        <w:rPr>
          <w:rFonts w:eastAsia="Times New Roman" w:cs="Times New Roman" w:ascii="Times New Roman" w:hAnsi="Times New Roman"/>
        </w:rPr>
        <w:t>Para ello debe tenerse en cuenta que “Precio Unitario s/Imp.”, debe guardar relación con “Unidad” de la cantidad del pedido.</w:t>
      </w:r>
    </w:p>
    <w:p>
      <w:pPr>
        <w:pStyle w:val="Normal"/>
        <w:widowControl w:val="false"/>
        <w:numPr>
          <w:ilvl w:val="0"/>
          <w:numId w:val="1"/>
        </w:numPr>
        <w:tabs>
          <w:tab w:val="left" w:pos="142" w:leader="none"/>
          <w:tab w:val="left" w:pos="567" w:leader="none"/>
        </w:tabs>
        <w:suppressAutoHyphens w:val="true"/>
        <w:spacing w:lineRule="auto" w:line="276" w:before="0" w:after="0"/>
        <w:ind w:left="709" w:hanging="360"/>
        <w:jc w:val="both"/>
        <w:rPr>
          <w:rFonts w:ascii="Times New Roman" w:hAnsi="Times New Roman" w:eastAsia="Times New Roman" w:cs="Times New Roman"/>
          <w:b/>
          <w:b/>
        </w:rPr>
      </w:pPr>
      <w:r>
        <w:rPr>
          <w:rFonts w:eastAsia="Times New Roman" w:cs="Times New Roman" w:ascii="Times New Roman" w:hAnsi="Times New Roman"/>
        </w:rPr>
        <w:t>Antes de finalizar la cotización en línea VERIFICAR que el “Precio total c/Imp.”, resultante de la multiplicación automática del sistema, coincide con la oferta económica que quiere presentar.</w:t>
      </w:r>
    </w:p>
    <w:p>
      <w:pPr>
        <w:pStyle w:val="Normal"/>
        <w:spacing w:lineRule="auto" w:line="276"/>
        <w:jc w:val="both"/>
        <w:rPr>
          <w:rFonts w:ascii="Times New Roman" w:hAnsi="Times New Roman" w:cs="Times New Roman"/>
        </w:rPr>
      </w:pPr>
      <w:r>
        <w:rPr>
          <w:rFonts w:cs="Times New Roman" w:ascii="Times New Roman" w:hAnsi="Times New Roman"/>
        </w:rPr>
      </w:r>
    </w:p>
    <w:p>
      <w:pPr>
        <w:pStyle w:val="Normal"/>
        <w:spacing w:lineRule="auto" w:line="276"/>
        <w:jc w:val="both"/>
        <w:rPr/>
      </w:pPr>
      <w:r>
        <w:rPr>
          <w:rFonts w:cs="Times New Roman" w:ascii="Times New Roman" w:hAnsi="Times New Roman"/>
        </w:rPr>
        <w:t xml:space="preserve">7. Abierto el acto de apertura no podrá introducirse modificación alguna en las propuestas. </w:t>
      </w:r>
    </w:p>
    <w:p>
      <w:pPr>
        <w:pStyle w:val="Normal"/>
        <w:spacing w:lineRule="auto" w:line="276"/>
        <w:jc w:val="both"/>
        <w:rPr/>
      </w:pPr>
      <w:r>
        <w:rPr>
          <w:rFonts w:cs="Times New Roman" w:ascii="Times New Roman" w:hAnsi="Times New Roman"/>
        </w:rPr>
        <w:t>8. Las consultas sobre especificaciones técnicas se harán al</w:t>
      </w:r>
      <w:bookmarkStart w:id="0" w:name="__DdeLink__797_1849706504"/>
      <w:r>
        <w:rPr>
          <w:rFonts w:cs="Times New Roman" w:ascii="Times New Roman" w:hAnsi="Times New Roman"/>
        </w:rPr>
        <w:t xml:space="preserve"> </w:t>
      </w:r>
      <w:r>
        <w:rPr>
          <w:rFonts w:cs="Times New Roman" w:ascii="Times New Roman" w:hAnsi="Times New Roman"/>
          <w:b/>
          <w:color w:val="000000"/>
          <w:highlight w:val="white"/>
        </w:rPr>
        <w:t>Señor José DA ROSA al cel. 099 678 730 y al             094 605 25</w:t>
      </w:r>
      <w:bookmarkEnd w:id="0"/>
      <w:r>
        <w:rPr>
          <w:rFonts w:cs="Times New Roman" w:ascii="Times New Roman" w:hAnsi="Times New Roman"/>
          <w:b/>
          <w:color w:val="000000"/>
          <w:highlight w:val="white"/>
        </w:rPr>
        <w:t>1 de lunes a v</w:t>
      </w:r>
      <w:r>
        <w:rPr>
          <w:rFonts w:cs="Times New Roman" w:ascii="Times New Roman" w:hAnsi="Times New Roman"/>
          <w:b/>
          <w:bCs/>
          <w:highlight w:val="white"/>
        </w:rPr>
        <w:t>iernes de 08 a 13 hs.</w:t>
      </w:r>
    </w:p>
    <w:p>
      <w:pPr>
        <w:pStyle w:val="Normal"/>
        <w:widowControl w:val="false"/>
        <w:tabs>
          <w:tab w:val="left" w:pos="426" w:leader="none"/>
        </w:tabs>
        <w:suppressAutoHyphens w:val="true"/>
        <w:spacing w:lineRule="auto" w:line="276" w:before="0" w:after="0"/>
        <w:jc w:val="both"/>
        <w:rPr/>
      </w:pPr>
      <w:r>
        <w:rPr>
          <w:rStyle w:val="Fuentedeprrafopredeter1"/>
          <w:rFonts w:cs="Times New Roman" w:ascii="Times New Roman" w:hAnsi="Times New Roman"/>
          <w:color w:val="000000"/>
        </w:rPr>
        <w:t xml:space="preserve">9. </w:t>
      </w:r>
      <w:r>
        <w:rPr>
          <w:rFonts w:cs="Times New Roman" w:ascii="Times New Roman" w:hAnsi="Times New Roman"/>
          <w:b/>
          <w:color w:val="000000"/>
          <w:u w:val="single"/>
        </w:rPr>
        <w:t>En la oferta se solicita especificar garantías.</w:t>
      </w:r>
    </w:p>
    <w:p>
      <w:pPr>
        <w:pStyle w:val="Normal"/>
        <w:widowControl w:val="false"/>
        <w:tabs>
          <w:tab w:val="left" w:pos="426" w:leader="none"/>
        </w:tabs>
        <w:suppressAutoHyphens w:val="true"/>
        <w:spacing w:lineRule="auto" w:line="276" w:before="0" w:after="0"/>
        <w:jc w:val="both"/>
        <w:rPr>
          <w:rFonts w:ascii="Times New Roman" w:hAnsi="Times New Roman" w:eastAsia="Times New Roman" w:cs="Times New Roman"/>
          <w:b/>
          <w:b/>
          <w:color w:val="000000"/>
          <w:u w:val="single"/>
        </w:rPr>
      </w:pPr>
      <w:r>
        <w:rPr>
          <w:rFonts w:eastAsia="Times New Roman" w:cs="Times New Roman" w:ascii="Times New Roman" w:hAnsi="Times New Roman"/>
          <w:b/>
          <w:color w:val="000000"/>
          <w:u w:val="single"/>
        </w:rPr>
      </w:r>
    </w:p>
    <w:p>
      <w:pPr>
        <w:pStyle w:val="Normal"/>
        <w:spacing w:lineRule="auto" w:line="276"/>
        <w:jc w:val="both"/>
        <w:rPr/>
      </w:pPr>
      <w:r>
        <w:rPr>
          <w:rFonts w:eastAsia="Times New Roman" w:cs="Times New Roman" w:ascii="Times New Roman" w:hAnsi="Times New Roman"/>
          <w:color w:val="000000"/>
        </w:rPr>
        <w:t>10. Especificaciones relativas a la forma o al pago</w:t>
      </w:r>
      <w:r>
        <w:rPr>
          <w:rFonts w:cs="Times New Roman" w:ascii="Times New Roman" w:hAnsi="Times New Roman"/>
        </w:rPr>
        <w:t xml:space="preserve"> se harán a la Unid</w:t>
      </w:r>
      <w:r>
        <w:rPr>
          <w:rFonts w:cs="Times New Roman" w:ascii="Times New Roman" w:hAnsi="Times New Roman"/>
          <w:color w:val="000000"/>
          <w:highlight w:val="white"/>
        </w:rPr>
        <w:t xml:space="preserve">ad </w:t>
      </w:r>
      <w:r>
        <w:rPr>
          <w:rFonts w:cs="Times New Roman" w:ascii="Times New Roman" w:hAnsi="Times New Roman"/>
          <w:b/>
          <w:bCs/>
          <w:color w:val="000000"/>
          <w:highlight w:val="white"/>
        </w:rPr>
        <w:t>EMFLO - N4 al teléfono 2915.55.00 int. 203</w:t>
      </w:r>
      <w:r>
        <w:rPr>
          <w:rFonts w:cs="Times New Roman" w:ascii="Times New Roman" w:hAnsi="Times New Roman"/>
          <w:b/>
          <w:color w:val="000000"/>
          <w:highlight w:val="white"/>
        </w:rPr>
        <w:t>.</w:t>
      </w:r>
    </w:p>
    <w:p>
      <w:pPr>
        <w:pStyle w:val="Normal"/>
        <w:spacing w:lineRule="auto" w:line="276"/>
        <w:jc w:val="both"/>
        <w:rPr/>
      </w:pPr>
      <w:r>
        <w:rPr>
          <w:rFonts w:cs="Times New Roman" w:ascii="Times New Roman" w:hAnsi="Times New Roman"/>
        </w:rPr>
        <w:t xml:space="preserve">11. No podrán contratar con la Administración las personas establecidas en el artículo 46 del TOCAF. -  Las firmas extranjeras que no tengan casa comercial establecida dentro del territorio nacional deberán actuar por medio de un representante local, quien tendrá las mismas responsabilidades que sus representados. -  </w:t>
      </w:r>
    </w:p>
    <w:p>
      <w:pPr>
        <w:pStyle w:val="Normal"/>
        <w:spacing w:lineRule="auto" w:line="276"/>
        <w:jc w:val="both"/>
        <w:rPr>
          <w:rFonts w:ascii="Times New Roman" w:hAnsi="Times New Roman" w:cs="Times New Roman"/>
        </w:rPr>
      </w:pPr>
      <w:r>
        <w:rPr>
          <w:rFonts w:cs="Times New Roman" w:ascii="Times New Roman" w:hAnsi="Times New Roman"/>
        </w:rPr>
        <w:t xml:space="preserve">Toda la información referente a la representación deberá surgir del RUPE. </w:t>
      </w:r>
    </w:p>
    <w:p>
      <w:pPr>
        <w:pStyle w:val="Normal"/>
        <w:spacing w:lineRule="auto" w:line="276"/>
        <w:jc w:val="both"/>
        <w:rPr/>
      </w:pPr>
      <w:r>
        <w:rPr>
          <w:rFonts w:cs="Times New Roman" w:ascii="Times New Roman" w:hAnsi="Times New Roman"/>
        </w:rPr>
        <w:t>12.</w:t>
      </w:r>
      <w:r>
        <w:rPr>
          <w:rFonts w:cs="Times New Roman" w:ascii="Times New Roman" w:hAnsi="Times New Roman"/>
          <w:b/>
          <w:bCs/>
        </w:rPr>
        <w:t xml:space="preserve"> Se deberá cotizar bajo la modalidad precio plaza </w:t>
      </w:r>
      <w:r>
        <w:rPr>
          <w:rFonts w:cs="Times New Roman" w:ascii="Times New Roman" w:hAnsi="Times New Roman"/>
          <w:b/>
          <w:bCs/>
          <w:color w:val="000000"/>
        </w:rPr>
        <w:t>(pesos uruguayos/dólar pizarra vendedor).</w:t>
      </w:r>
    </w:p>
    <w:p>
      <w:pPr>
        <w:pStyle w:val="Normal"/>
        <w:spacing w:lineRule="auto" w:line="276"/>
        <w:jc w:val="both"/>
        <w:rPr>
          <w:b/>
          <w:b/>
          <w:bCs/>
        </w:rPr>
      </w:pPr>
      <w:r>
        <w:rPr>
          <w:rFonts w:cs="Times New Roman" w:ascii="Times New Roman" w:hAnsi="Times New Roman"/>
          <w:b/>
          <w:bCs/>
        </w:rPr>
        <w:t>- SOLO MERCADERÍA PARA BUQUES:</w:t>
      </w:r>
    </w:p>
    <w:p>
      <w:pPr>
        <w:pStyle w:val="Normal"/>
        <w:spacing w:lineRule="auto" w:line="276"/>
        <w:jc w:val="both"/>
        <w:rPr/>
      </w:pPr>
      <w:r>
        <w:rPr>
          <w:rFonts w:cs="Times New Roman" w:ascii="Times New Roman" w:hAnsi="Times New Roman"/>
          <w:b/>
          <w:bCs/>
        </w:rPr>
        <w:t>En caso de que se presenten proveedores marítimos con ofertas exentas de IVA (como mercadería de reembarco para consumo abordo/mercadería en tránsito) y ofertas de proveedores de plaza que coticen con IVA incluido, a efectos del estudio comparativo se tomara el precio unitario total (con y sin IVA respectivamente). Ninguno de los dos regímenes impositivos será excluyente, pero en caso de que el precio sea el correspondiente a mercadería en tránsito, este deberá incluir flete y todos los costos hasta su efectiva entrega abordo.</w:t>
      </w:r>
    </w:p>
    <w:p>
      <w:pPr>
        <w:pStyle w:val="Normal"/>
        <w:spacing w:lineRule="auto" w:line="276"/>
        <w:jc w:val="both"/>
        <w:rPr/>
      </w:pPr>
      <w:r>
        <w:rPr>
          <w:rFonts w:cs="Times New Roman" w:ascii="Times New Roman" w:hAnsi="Times New Roman"/>
        </w:rPr>
        <w:t xml:space="preserve">13.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pPr>
        <w:pStyle w:val="Normal"/>
        <w:spacing w:lineRule="auto" w:line="276"/>
        <w:jc w:val="both"/>
        <w:rPr/>
      </w:pPr>
      <w:r>
        <w:rPr>
          <w:rFonts w:cs="Times New Roman" w:ascii="Times New Roman" w:hAnsi="Times New Roman"/>
        </w:rPr>
        <w:t xml:space="preserve">14. El plazo de mantenimiento de oferta no podrá ser inferior a </w:t>
      </w:r>
      <w:r>
        <w:rPr>
          <w:rFonts w:cs="Times New Roman" w:ascii="Times New Roman" w:hAnsi="Times New Roman"/>
          <w:b/>
          <w:highlight w:val="white"/>
        </w:rPr>
        <w:t xml:space="preserve">60 </w:t>
      </w:r>
      <w:r>
        <w:rPr>
          <w:rFonts w:cs="Times New Roman" w:ascii="Times New Roman" w:hAnsi="Times New Roman"/>
          <w:b/>
          <w:color w:val="000000"/>
          <w:highlight w:val="white"/>
        </w:rPr>
        <w:t>días</w:t>
      </w:r>
      <w:r>
        <w:rPr>
          <w:rFonts w:cs="Times New Roman" w:ascii="Times New Roman" w:hAnsi="Times New Roman"/>
          <w:b/>
          <w:color w:val="000000"/>
        </w:rPr>
        <w:t xml:space="preserve"> </w:t>
      </w:r>
      <w:r>
        <w:rPr>
          <w:rFonts w:cs="Times New Roman" w:ascii="Times New Roman" w:hAnsi="Times New Roman"/>
        </w:rPr>
        <w:t xml:space="preserve">corridos a contar a partir del día siguiente a la apertura de ofertas. </w:t>
      </w:r>
    </w:p>
    <w:p>
      <w:pPr>
        <w:pStyle w:val="Normal"/>
        <w:spacing w:lineRule="auto" w:line="276"/>
        <w:jc w:val="both"/>
        <w:rPr>
          <w:rFonts w:ascii="Times New Roman" w:hAnsi="Times New Roman" w:cs="Times New Roman"/>
        </w:rPr>
      </w:pPr>
      <w:r>
        <w:rPr>
          <w:rFonts w:cs="Times New Roman" w:ascii="Times New Roman" w:hAnsi="Times New Roman"/>
        </w:rPr>
        <w:t xml:space="preserve">En caso de omisión se deberá entender que el plazo durante el cual se mantienen las ofertas y los precios será el mínimo exigido. </w:t>
      </w:r>
    </w:p>
    <w:p>
      <w:pPr>
        <w:pStyle w:val="Normal"/>
        <w:spacing w:lineRule="auto" w:line="276"/>
        <w:jc w:val="both"/>
        <w:rPr>
          <w:rFonts w:ascii="Times New Roman" w:hAnsi="Times New Roman" w:cs="Times New Roman"/>
        </w:rPr>
      </w:pPr>
      <w:r>
        <w:rPr>
          <w:rFonts w:cs="Times New Roman" w:ascii="Times New Roman" w:hAnsi="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pPr>
        <w:pStyle w:val="Normal"/>
        <w:spacing w:lineRule="auto" w:line="276"/>
        <w:jc w:val="both"/>
        <w:rPr/>
      </w:pPr>
      <w:r>
        <w:rPr>
          <w:rFonts w:cs="Times New Roman" w:ascii="Times New Roman" w:hAnsi="Times New Roman"/>
        </w:rPr>
        <w:t>15. La forma de pago será mediant</w:t>
      </w:r>
      <w:r>
        <w:rPr>
          <w:rFonts w:cs="Times New Roman" w:ascii="Times New Roman" w:hAnsi="Times New Roman"/>
          <w:highlight w:val="white"/>
        </w:rPr>
        <w:t xml:space="preserve">e </w:t>
      </w:r>
      <w:r>
        <w:rPr>
          <w:rFonts w:cs="Times New Roman" w:ascii="Times New Roman" w:hAnsi="Times New Roman"/>
          <w:color w:val="000000"/>
          <w:highlight w:val="white"/>
        </w:rPr>
        <w:t>CRÉDITO SIIF</w:t>
      </w:r>
    </w:p>
    <w:p>
      <w:pPr>
        <w:pStyle w:val="Normal"/>
        <w:spacing w:lineRule="auto" w:line="276"/>
        <w:jc w:val="both"/>
        <w:rPr/>
      </w:pPr>
      <w:r>
        <w:rPr>
          <w:rFonts w:cs="Times New Roman" w:ascii="Times New Roman" w:hAnsi="Times New Roman"/>
        </w:rPr>
        <w:t xml:space="preserve">16. El </w:t>
      </w:r>
      <w:r>
        <w:rPr>
          <w:rFonts w:cs="Times New Roman" w:ascii="Times New Roman" w:hAnsi="Times New Roman"/>
          <w:color w:val="000000"/>
          <w:highlight w:val="white"/>
        </w:rPr>
        <w:t xml:space="preserve">plazo </w:t>
      </w:r>
      <w:r>
        <w:rPr>
          <w:rFonts w:cs="Times New Roman" w:ascii="Times New Roman" w:hAnsi="Times New Roman"/>
          <w:b/>
          <w:color w:val="000000"/>
          <w:highlight w:val="white"/>
        </w:rPr>
        <w:t xml:space="preserve">de entrega será 7 días </w:t>
      </w:r>
      <w:r>
        <w:rPr>
          <w:rFonts w:cs="Times New Roman" w:ascii="Times New Roman" w:hAnsi="Times New Roman"/>
          <w:color w:val="000000"/>
          <w:highlight w:val="white"/>
        </w:rPr>
        <w:t xml:space="preserve">desde el día siguiente hábil en que se hizo efectiva la entrega de la </w:t>
      </w:r>
      <w:r>
        <w:rPr>
          <w:rFonts w:cs="Times New Roman" w:ascii="Times New Roman" w:hAnsi="Times New Roman"/>
          <w:b/>
          <w:color w:val="000000"/>
          <w:highlight w:val="white"/>
        </w:rPr>
        <w:t>Constancia de Afectación de Crédito (Orden de Compra).</w:t>
      </w:r>
    </w:p>
    <w:p>
      <w:pPr>
        <w:pStyle w:val="Normal"/>
        <w:spacing w:lineRule="auto" w:line="276"/>
        <w:jc w:val="both"/>
        <w:rPr/>
      </w:pPr>
      <w:r>
        <w:rPr>
          <w:rFonts w:cs="Times New Roman" w:ascii="Times New Roman" w:hAnsi="Times New Roman"/>
        </w:rPr>
        <w:t xml:space="preserve">17. La admisión inicial de una propuesta no será obstáculo para su invalidación posterior, si se constataren luego, defectos que violen los requisitos legales o aquellos esenciales contenidos. </w:t>
      </w:r>
    </w:p>
    <w:p>
      <w:pPr>
        <w:pStyle w:val="Normal"/>
        <w:spacing w:lineRule="auto" w:line="276"/>
        <w:jc w:val="both"/>
        <w:rPr/>
      </w:pPr>
      <w:r>
        <w:rPr>
          <w:rFonts w:cs="Times New Roman" w:ascii="Times New Roman" w:hAnsi="Times New Roman"/>
        </w:rPr>
        <w:t>18. La Administración se reserva el derecho de evaluar las ofertas de forma global o no y de adjudicar total o parcialmente la oferta.</w:t>
      </w:r>
    </w:p>
    <w:p>
      <w:pPr>
        <w:pStyle w:val="Normal"/>
        <w:spacing w:lineRule="auto" w:line="276"/>
        <w:jc w:val="both"/>
        <w:rPr/>
      </w:pPr>
      <w:r>
        <w:rPr>
          <w:rFonts w:cs="Times New Roman" w:ascii="Times New Roman" w:hAnsi="Times New Roman"/>
        </w:rPr>
        <w:t xml:space="preserve">19. </w:t>
      </w:r>
      <w:r>
        <w:rPr>
          <w:rFonts w:eastAsia="Times New Roman" w:cs="Times New Roman" w:ascii="Times New Roman" w:hAnsi="Times New Roman"/>
        </w:rPr>
        <w:t>La Armada se reserva la facultad de adjudicar aquellas propuestas que, aun apartándose, no sensiblemente, de las características técnicas de lo especificado en este Pliego resulten evidentemente más convenientes para sus intereses. -</w:t>
      </w:r>
    </w:p>
    <w:p>
      <w:pPr>
        <w:pStyle w:val="Normal"/>
        <w:spacing w:lineRule="auto" w:line="276"/>
        <w:jc w:val="both"/>
        <w:rPr/>
      </w:pPr>
      <w:r>
        <w:rPr>
          <w:rFonts w:cs="Times New Roman" w:ascii="Times New Roman" w:hAnsi="Times New Roman"/>
        </w:rPr>
        <w:t xml:space="preserve">20.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pPr>
        <w:pStyle w:val="Normal"/>
        <w:spacing w:lineRule="auto" w:line="276" w:before="0" w:after="160"/>
        <w:jc w:val="both"/>
        <w:rPr/>
      </w:pPr>
      <w:r>
        <w:rPr>
          <w:rFonts w:cs="Times New Roman" w:ascii="Times New Roman" w:hAnsi="Times New Roman"/>
        </w:rPr>
        <w:t>21.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type w:val="nextPage"/>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24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es-UY"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UY"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807ec"/>
    <w:pPr>
      <w:widowControl/>
      <w:bidi w:val="0"/>
      <w:spacing w:lineRule="auto" w:line="259" w:before="0" w:after="160"/>
      <w:jc w:val="left"/>
    </w:pPr>
    <w:rPr>
      <w:rFonts w:ascii="Calibri" w:hAnsi="Calibri" w:eastAsia="Calibri" w:cs=""/>
      <w:color w:val="00000A"/>
      <w:sz w:val="22"/>
      <w:szCs w:val="22"/>
      <w:lang w:val="es-UY" w:eastAsia="en-US" w:bidi="ar-SA"/>
    </w:rPr>
  </w:style>
  <w:style w:type="character" w:styleId="DefaultParagraphFont" w:default="1">
    <w:name w:val="Default Paragraph Font"/>
    <w:uiPriority w:val="1"/>
    <w:semiHidden/>
    <w:unhideWhenUsed/>
    <w:qFormat/>
    <w:rPr/>
  </w:style>
  <w:style w:type="character" w:styleId="EnlacedeInternet" w:customStyle="1">
    <w:name w:val="Enlace de Internet"/>
    <w:basedOn w:val="DefaultParagraphFont"/>
    <w:unhideWhenUsed/>
    <w:rsid w:val="00f93c22"/>
    <w:rPr>
      <w:color w:val="0563C1" w:themeColor="hyperlink"/>
      <w:u w:val="single"/>
    </w:rPr>
  </w:style>
  <w:style w:type="character" w:styleId="Fuentedeprrafopredeter1" w:customStyle="1">
    <w:name w:val="Fuente de párrafo predeter.1"/>
    <w:qFormat/>
    <w:rsid w:val="001a732f"/>
    <w:rPr/>
  </w:style>
  <w:style w:type="character" w:styleId="TextodegloboCar" w:customStyle="1">
    <w:name w:val="Texto de globo Car"/>
    <w:basedOn w:val="DefaultParagraphFont"/>
    <w:link w:val="Textodeglobo"/>
    <w:uiPriority w:val="99"/>
    <w:semiHidden/>
    <w:qFormat/>
    <w:rsid w:val="001a732f"/>
    <w:rPr>
      <w:rFonts w:ascii="Segoe UI" w:hAnsi="Segoe UI" w:cs="Segoe UI"/>
      <w:sz w:val="18"/>
      <w:szCs w:val="18"/>
    </w:rPr>
  </w:style>
  <w:style w:type="character" w:styleId="ListLabel1" w:customStyle="1">
    <w:name w:val="ListLabel 1"/>
    <w:qFormat/>
    <w:rsid w:val="007807ec"/>
    <w:rPr>
      <w:rFonts w:cs="Times New Roman"/>
    </w:rPr>
  </w:style>
  <w:style w:type="character" w:styleId="ListLabel2" w:customStyle="1">
    <w:name w:val="ListLabel 2"/>
    <w:qFormat/>
    <w:rsid w:val="007807ec"/>
    <w:rPr>
      <w:rFonts w:ascii="Times New Roman" w:hAnsi="Times New Roman" w:eastAsia="Calibri"/>
      <w:b/>
      <w:color w:val="FF0000"/>
    </w:rPr>
  </w:style>
  <w:style w:type="character" w:styleId="ListLabel3" w:customStyle="1">
    <w:name w:val="ListLabel 3"/>
    <w:qFormat/>
    <w:rsid w:val="007807ec"/>
    <w:rPr>
      <w:rFonts w:ascii="Times New Roman" w:hAnsi="Times New Roman" w:eastAsia="Calibri"/>
      <w:b/>
      <w:color w:val="FF0000"/>
    </w:rPr>
  </w:style>
  <w:style w:type="character" w:styleId="ListLabel4" w:customStyle="1">
    <w:name w:val="ListLabel 4"/>
    <w:qFormat/>
    <w:rsid w:val="007807ec"/>
    <w:rPr>
      <w:rFonts w:ascii="Times New Roman" w:hAnsi="Times New Roman" w:eastAsia="Calibri"/>
      <w:b/>
      <w:color w:val="000000"/>
    </w:rPr>
  </w:style>
  <w:style w:type="character" w:styleId="ListLabel5" w:customStyle="1">
    <w:name w:val="ListLabel 5"/>
    <w:qFormat/>
    <w:rsid w:val="007807ec"/>
    <w:rPr>
      <w:rFonts w:ascii="Times New Roman" w:hAnsi="Times New Roman" w:eastAsia="Calibri"/>
      <w:b/>
      <w:color w:val="000000"/>
    </w:rPr>
  </w:style>
  <w:style w:type="character" w:styleId="ListLabel6" w:customStyle="1">
    <w:name w:val="ListLabel 6"/>
    <w:qFormat/>
    <w:rsid w:val="007807ec"/>
    <w:rPr>
      <w:rFonts w:eastAsia="Calibri"/>
      <w:b/>
      <w:color w:val="000000"/>
    </w:rPr>
  </w:style>
  <w:style w:type="character" w:styleId="ListLabel7" w:customStyle="1">
    <w:name w:val="ListLabel 7"/>
    <w:qFormat/>
    <w:rsid w:val="007807ec"/>
    <w:rPr>
      <w:rFonts w:eastAsia="Calibri"/>
      <w:b/>
      <w:color w:val="000000"/>
    </w:rPr>
  </w:style>
  <w:style w:type="character" w:styleId="Vietas" w:customStyle="1">
    <w:name w:val="Viñetas"/>
    <w:qFormat/>
    <w:rsid w:val="00ca12b8"/>
    <w:rPr>
      <w:rFonts w:ascii="OpenSymbol" w:hAnsi="OpenSymbol" w:eastAsia="OpenSymbol" w:cs="OpenSymbol"/>
    </w:rPr>
  </w:style>
  <w:style w:type="character" w:styleId="ListLabel8" w:customStyle="1">
    <w:name w:val="ListLabel 8"/>
    <w:qFormat/>
    <w:rsid w:val="00ca12b8"/>
    <w:rPr>
      <w:rFonts w:cs="OpenSymbol"/>
    </w:rPr>
  </w:style>
  <w:style w:type="character" w:styleId="ListLabel9" w:customStyle="1">
    <w:name w:val="ListLabel 9"/>
    <w:qFormat/>
    <w:rsid w:val="00ca12b8"/>
    <w:rPr>
      <w:rFonts w:cs="OpenSymbol"/>
    </w:rPr>
  </w:style>
  <w:style w:type="character" w:styleId="ListLabel10" w:customStyle="1">
    <w:name w:val="ListLabel 10"/>
    <w:qFormat/>
    <w:rsid w:val="00ca12b8"/>
    <w:rPr>
      <w:rFonts w:cs="OpenSymbol"/>
    </w:rPr>
  </w:style>
  <w:style w:type="character" w:styleId="ListLabel11" w:customStyle="1">
    <w:name w:val="ListLabel 11"/>
    <w:qFormat/>
    <w:rsid w:val="00ca12b8"/>
    <w:rPr>
      <w:rFonts w:cs="OpenSymbol"/>
    </w:rPr>
  </w:style>
  <w:style w:type="character" w:styleId="ListLabel12" w:customStyle="1">
    <w:name w:val="ListLabel 12"/>
    <w:qFormat/>
    <w:rsid w:val="00ca12b8"/>
    <w:rPr>
      <w:rFonts w:cs="OpenSymbol"/>
    </w:rPr>
  </w:style>
  <w:style w:type="character" w:styleId="ListLabel13" w:customStyle="1">
    <w:name w:val="ListLabel 13"/>
    <w:qFormat/>
    <w:rsid w:val="00ca12b8"/>
    <w:rPr>
      <w:rFonts w:cs="OpenSymbol"/>
    </w:rPr>
  </w:style>
  <w:style w:type="character" w:styleId="ListLabel14" w:customStyle="1">
    <w:name w:val="ListLabel 14"/>
    <w:qFormat/>
    <w:rsid w:val="00ca12b8"/>
    <w:rPr>
      <w:rFonts w:cs="OpenSymbol"/>
    </w:rPr>
  </w:style>
  <w:style w:type="character" w:styleId="ListLabel15" w:customStyle="1">
    <w:name w:val="ListLabel 15"/>
    <w:qFormat/>
    <w:rsid w:val="00ca12b8"/>
    <w:rPr>
      <w:rFonts w:cs="OpenSymbol"/>
    </w:rPr>
  </w:style>
  <w:style w:type="character" w:styleId="ListLabel16" w:customStyle="1">
    <w:name w:val="ListLabel 16"/>
    <w:qFormat/>
    <w:rsid w:val="00ca12b8"/>
    <w:rPr>
      <w:rFonts w:cs="OpenSymbol"/>
    </w:rPr>
  </w:style>
  <w:style w:type="character" w:styleId="ListLabel17" w:customStyle="1">
    <w:name w:val="ListLabel 17"/>
    <w:qFormat/>
    <w:rsid w:val="00ca12b8"/>
    <w:rPr>
      <w:rFonts w:cs="OpenSymbol"/>
    </w:rPr>
  </w:style>
  <w:style w:type="character" w:styleId="ListLabel18" w:customStyle="1">
    <w:name w:val="ListLabel 18"/>
    <w:qFormat/>
    <w:rsid w:val="00ca12b8"/>
    <w:rPr>
      <w:rFonts w:cs="OpenSymbol"/>
    </w:rPr>
  </w:style>
  <w:style w:type="character" w:styleId="ListLabel19" w:customStyle="1">
    <w:name w:val="ListLabel 19"/>
    <w:qFormat/>
    <w:rsid w:val="00ca12b8"/>
    <w:rPr>
      <w:rFonts w:cs="OpenSymbol"/>
    </w:rPr>
  </w:style>
  <w:style w:type="character" w:styleId="ListLabel20" w:customStyle="1">
    <w:name w:val="ListLabel 20"/>
    <w:qFormat/>
    <w:rsid w:val="00ca12b8"/>
    <w:rPr>
      <w:rFonts w:cs="OpenSymbol"/>
    </w:rPr>
  </w:style>
  <w:style w:type="character" w:styleId="ListLabel21" w:customStyle="1">
    <w:name w:val="ListLabel 21"/>
    <w:qFormat/>
    <w:rsid w:val="00ca12b8"/>
    <w:rPr>
      <w:rFonts w:cs="OpenSymbol"/>
    </w:rPr>
  </w:style>
  <w:style w:type="character" w:styleId="ListLabel22" w:customStyle="1">
    <w:name w:val="ListLabel 22"/>
    <w:qFormat/>
    <w:rsid w:val="00ca12b8"/>
    <w:rPr>
      <w:rFonts w:cs="OpenSymbol"/>
    </w:rPr>
  </w:style>
  <w:style w:type="character" w:styleId="ListLabel23" w:customStyle="1">
    <w:name w:val="ListLabel 23"/>
    <w:qFormat/>
    <w:rsid w:val="00ca12b8"/>
    <w:rPr>
      <w:rFonts w:cs="OpenSymbol"/>
    </w:rPr>
  </w:style>
  <w:style w:type="character" w:styleId="ListLabel24" w:customStyle="1">
    <w:name w:val="ListLabel 24"/>
    <w:qFormat/>
    <w:rsid w:val="00ca12b8"/>
    <w:rPr>
      <w:rFonts w:cs="OpenSymbol"/>
    </w:rPr>
  </w:style>
  <w:style w:type="character" w:styleId="ListLabel25" w:customStyle="1">
    <w:name w:val="ListLabel 25"/>
    <w:qFormat/>
    <w:rsid w:val="00ca12b8"/>
    <w:rPr>
      <w:rFonts w:cs="OpenSymbol"/>
    </w:rPr>
  </w:style>
  <w:style w:type="character" w:styleId="ListLabel26" w:customStyle="1">
    <w:name w:val="ListLabel 26"/>
    <w:qFormat/>
    <w:rsid w:val="00ca12b8"/>
    <w:rPr>
      <w:rFonts w:cs="Courier New"/>
    </w:rPr>
  </w:style>
  <w:style w:type="character" w:styleId="ListLabel27" w:customStyle="1">
    <w:name w:val="ListLabel 27"/>
    <w:qFormat/>
    <w:rsid w:val="00ca12b8"/>
    <w:rPr>
      <w:rFonts w:cs="Courier New"/>
    </w:rPr>
  </w:style>
  <w:style w:type="character" w:styleId="ListLabel28" w:customStyle="1">
    <w:name w:val="ListLabel 28"/>
    <w:qFormat/>
    <w:rsid w:val="00ca12b8"/>
    <w:rPr>
      <w:rFonts w:cs="Courier New"/>
    </w:rPr>
  </w:style>
  <w:style w:type="character" w:styleId="ListLabel29" w:customStyle="1">
    <w:name w:val="ListLabel 29"/>
    <w:qFormat/>
    <w:rsid w:val="00664833"/>
    <w:rPr>
      <w:rFonts w:cs="Symbol"/>
    </w:rPr>
  </w:style>
  <w:style w:type="character" w:styleId="ListLabel30" w:customStyle="1">
    <w:name w:val="ListLabel 30"/>
    <w:qFormat/>
    <w:rsid w:val="00664833"/>
    <w:rPr>
      <w:rFonts w:cs="Courier New"/>
    </w:rPr>
  </w:style>
  <w:style w:type="character" w:styleId="ListLabel31" w:customStyle="1">
    <w:name w:val="ListLabel 31"/>
    <w:qFormat/>
    <w:rsid w:val="00664833"/>
    <w:rPr>
      <w:rFonts w:cs="Wingdings"/>
    </w:rPr>
  </w:style>
  <w:style w:type="character" w:styleId="ListLabel32" w:customStyle="1">
    <w:name w:val="ListLabel 32"/>
    <w:qFormat/>
    <w:rsid w:val="00664833"/>
    <w:rPr>
      <w:rFonts w:cs="Symbol"/>
    </w:rPr>
  </w:style>
  <w:style w:type="character" w:styleId="ListLabel33" w:customStyle="1">
    <w:name w:val="ListLabel 33"/>
    <w:qFormat/>
    <w:rsid w:val="00664833"/>
    <w:rPr>
      <w:rFonts w:cs="Courier New"/>
    </w:rPr>
  </w:style>
  <w:style w:type="character" w:styleId="ListLabel34" w:customStyle="1">
    <w:name w:val="ListLabel 34"/>
    <w:qFormat/>
    <w:rsid w:val="00664833"/>
    <w:rPr>
      <w:rFonts w:cs="Wingdings"/>
    </w:rPr>
  </w:style>
  <w:style w:type="character" w:styleId="ListLabel35" w:customStyle="1">
    <w:name w:val="ListLabel 35"/>
    <w:qFormat/>
    <w:rsid w:val="00664833"/>
    <w:rPr>
      <w:rFonts w:cs="Symbol"/>
    </w:rPr>
  </w:style>
  <w:style w:type="character" w:styleId="ListLabel36" w:customStyle="1">
    <w:name w:val="ListLabel 36"/>
    <w:qFormat/>
    <w:rsid w:val="00664833"/>
    <w:rPr>
      <w:rFonts w:cs="Courier New"/>
    </w:rPr>
  </w:style>
  <w:style w:type="character" w:styleId="ListLabel37" w:customStyle="1">
    <w:name w:val="ListLabel 37"/>
    <w:qFormat/>
    <w:rsid w:val="00664833"/>
    <w:rPr>
      <w:rFonts w:cs="Wingdings"/>
    </w:rPr>
  </w:style>
  <w:style w:type="character" w:styleId="ListLabel38" w:customStyle="1">
    <w:name w:val="ListLabel 38"/>
    <w:qFormat/>
    <w:rsid w:val="00501d06"/>
    <w:rPr>
      <w:rFonts w:cs="Courier New"/>
    </w:rPr>
  </w:style>
  <w:style w:type="character" w:styleId="ListLabel39" w:customStyle="1">
    <w:name w:val="ListLabel 39"/>
    <w:qFormat/>
    <w:rsid w:val="00501d06"/>
    <w:rPr>
      <w:rFonts w:cs="Courier New"/>
    </w:rPr>
  </w:style>
  <w:style w:type="character" w:styleId="ListLabel40" w:customStyle="1">
    <w:name w:val="ListLabel 40"/>
    <w:qFormat/>
    <w:rsid w:val="00501d06"/>
    <w:rPr>
      <w:rFonts w:cs="Courier New"/>
    </w:rPr>
  </w:style>
  <w:style w:type="paragraph" w:styleId="Ttulo">
    <w:name w:val="Títul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rsid w:val="007807ec"/>
    <w:pPr>
      <w:spacing w:lineRule="auto" w:line="288" w:before="0" w:after="140"/>
    </w:pPr>
    <w:rPr/>
  </w:style>
  <w:style w:type="paragraph" w:styleId="Lista">
    <w:name w:val="List"/>
    <w:basedOn w:val="Cuerpodetexto"/>
    <w:rsid w:val="007807ec"/>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customStyle="1">
    <w:name w:val="Índice"/>
    <w:basedOn w:val="Normal"/>
    <w:qFormat/>
    <w:rsid w:val="007807ec"/>
    <w:pPr>
      <w:suppressLineNumbers/>
    </w:pPr>
    <w:rPr>
      <w:rFonts w:cs="Mangal"/>
    </w:rPr>
  </w:style>
  <w:style w:type="paragraph" w:styleId="Titular">
    <w:name w:val="Title"/>
    <w:basedOn w:val="Normal"/>
    <w:qFormat/>
    <w:rsid w:val="007807ec"/>
    <w:pPr>
      <w:keepNext/>
      <w:spacing w:before="240" w:after="120"/>
    </w:pPr>
    <w:rPr>
      <w:rFonts w:ascii="Liberation Sans" w:hAnsi="Liberation Sans" w:eastAsia="Microsoft YaHei" w:cs="Mangal"/>
      <w:sz w:val="28"/>
      <w:szCs w:val="28"/>
    </w:rPr>
  </w:style>
  <w:style w:type="paragraph" w:styleId="Descripcin1" w:customStyle="1">
    <w:name w:val="Descripción1"/>
    <w:basedOn w:val="Normal"/>
    <w:qFormat/>
    <w:rsid w:val="007807ec"/>
    <w:pPr>
      <w:suppressLineNumbers/>
      <w:spacing w:before="120" w:after="120"/>
    </w:pPr>
    <w:rPr>
      <w:rFonts w:cs="Mangal"/>
      <w:i/>
      <w:iCs/>
      <w:sz w:val="24"/>
      <w:szCs w:val="24"/>
    </w:rPr>
  </w:style>
  <w:style w:type="paragraph" w:styleId="Caption">
    <w:name w:val="caption"/>
    <w:basedOn w:val="Normal"/>
    <w:qFormat/>
    <w:rsid w:val="007807ec"/>
    <w:pPr>
      <w:suppressLineNumbers/>
      <w:spacing w:before="120" w:after="120"/>
    </w:pPr>
    <w:rPr>
      <w:rFonts w:cs="Mangal"/>
      <w:i/>
      <w:iCs/>
      <w:sz w:val="24"/>
      <w:szCs w:val="24"/>
    </w:rPr>
  </w:style>
  <w:style w:type="paragraph" w:styleId="ListParagraph">
    <w:name w:val="List Paragraph"/>
    <w:basedOn w:val="Normal"/>
    <w:uiPriority w:val="34"/>
    <w:qFormat/>
    <w:rsid w:val="001a732f"/>
    <w:pPr>
      <w:spacing w:before="0" w:after="160"/>
      <w:ind w:left="720" w:hanging="0"/>
      <w:contextualSpacing/>
    </w:pPr>
    <w:rPr/>
  </w:style>
  <w:style w:type="paragraph" w:styleId="BalloonText">
    <w:name w:val="Balloon Text"/>
    <w:basedOn w:val="Normal"/>
    <w:link w:val="TextodegloboCar"/>
    <w:uiPriority w:val="99"/>
    <w:semiHidden/>
    <w:unhideWhenUsed/>
    <w:qFormat/>
    <w:rsid w:val="001a732f"/>
    <w:pPr>
      <w:spacing w:lineRule="auto" w:line="240" w:before="0" w:after="0"/>
    </w:pPr>
    <w:rPr>
      <w:rFonts w:ascii="Segoe UI" w:hAnsi="Segoe UI" w:cs="Segoe UI"/>
      <w:sz w:val="18"/>
      <w:szCs w:val="18"/>
    </w:rPr>
  </w:style>
  <w:style w:type="paragraph" w:styleId="Contenidodelatabla" w:customStyle="1">
    <w:name w:val="Contenido de la tabla"/>
    <w:basedOn w:val="Normal"/>
    <w:qFormat/>
    <w:rsid w:val="007807ec"/>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www.comprasestatales.gub.uy/"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Application>LibreOffice/5.2.3.3$Windows_x86 LibreOffice_project/d54a8868f08a7b39642414cf2c8ef2f228f780cf</Application>
  <Pages>3</Pages>
  <Words>1394</Words>
  <Characters>7233</Characters>
  <CharactersWithSpaces>8602</CharactersWithSpaces>
  <Paragraphs>75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2019-07-03T16:29:00Z</dcterms:created>
  <dc:creator>uccar22</dc:creator>
  <dc:description/>
  <dc:language>es-UY</dc:language>
  <cp:lastModifiedBy/>
  <cp:lastPrinted>2019-07-10T14:10:00Z</cp:lastPrinted>
  <dcterms:modified xsi:type="dcterms:W3CDTF">2019-07-12T08:48:28Z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