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pPr>
      <w:r>
        <w:rPr>
          <w:rFonts w:ascii="Times New Roman" w:cs="Times New Roman" w:hAnsi="Times New Roman"/>
        </w:rPr>
        <w:t>Formato de condiciones particulares para Compra Directa</w:t>
      </w:r>
      <w:r>
        <w:rPr>
          <w:rFonts w:ascii="Times New Roman" w:cs="Times New Roman" w:hAnsi="Times New Roman"/>
          <w:sz w:val="18"/>
          <w:szCs w:val="18"/>
        </w:rPr>
        <w:t xml:space="preserve">      </w:t>
        <w:drawing>
          <wp:anchor allowOverlap="1" behindDoc="0" distB="0" distL="0" distR="0" distT="0" layoutInCell="1" locked="0" relativeHeight="0" simplePos="0">
            <wp:simplePos x="0" y="0"/>
            <wp:positionH relativeFrom="character">
              <wp:posOffset>5026660</wp:posOffset>
            </wp:positionH>
            <wp:positionV relativeFrom="line">
              <wp:posOffset>23495</wp:posOffset>
            </wp:positionV>
            <wp:extent cx="974725" cy="118491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974725" cy="1184910"/>
                    </a:xfrm>
                    <a:prstGeom prst="rect">
                      <a:avLst/>
                    </a:prstGeom>
                    <a:noFill/>
                    <a:ln w="9525">
                      <a:noFill/>
                      <a:miter lim="800000"/>
                      <a:headEnd/>
                      <a:tailEnd/>
                    </a:ln>
                  </pic:spPr>
                </pic:pic>
              </a:graphicData>
            </a:graphic>
          </wp:anchor>
        </w:drawing>
      </w:r>
    </w:p>
    <w:p>
      <w:pPr>
        <w:pStyle w:val="style0"/>
        <w:spacing w:line="276" w:lineRule="auto"/>
        <w:jc w:val="right"/>
      </w:pPr>
      <w:r>
        <w:rPr/>
      </w:r>
    </w:p>
    <w:p>
      <w:pPr>
        <w:pStyle w:val="style0"/>
        <w:spacing w:line="276" w:lineRule="auto"/>
        <w:ind w:hanging="0" w:left="2124" w:right="0"/>
      </w:pPr>
      <w:r>
        <w:rPr>
          <w:rFonts w:ascii="Times New Roman" w:cs="Times New Roman" w:hAnsi="Times New Roman"/>
          <w:i/>
          <w:sz w:val="36"/>
          <w:szCs w:val="18"/>
          <w:lang w:eastAsia="es-UY"/>
        </w:rPr>
        <w:t xml:space="preserve"> </w:t>
      </w:r>
      <w:r>
        <w:rPr>
          <w:rFonts w:ascii="Times New Roman" w:cs="Times New Roman" w:hAnsi="Times New Roman"/>
          <w:i/>
          <w:sz w:val="36"/>
          <w:szCs w:val="18"/>
          <w:lang w:eastAsia="es-UY"/>
        </w:rPr>
        <w:t>República Oriental del Uruguay</w:t>
      </w:r>
    </w:p>
    <w:p>
      <w:pPr>
        <w:pStyle w:val="style0"/>
        <w:spacing w:line="276" w:lineRule="auto"/>
        <w:ind w:hanging="0" w:left="2832" w:right="0"/>
      </w:pPr>
      <w:r>
        <w:rPr>
          <w:rFonts w:ascii="Times New Roman" w:cs="Times New Roman" w:hAnsi="Times New Roman"/>
          <w:i/>
          <w:sz w:val="36"/>
          <w:szCs w:val="18"/>
          <w:lang w:eastAsia="es-UY"/>
        </w:rPr>
        <w:t>Armada Nacional</w:t>
      </w:r>
    </w:p>
    <w:p>
      <w:pPr>
        <w:pStyle w:val="style0"/>
        <w:spacing w:line="276" w:lineRule="auto"/>
        <w:jc w:val="center"/>
      </w:pPr>
      <w:r>
        <w:rPr/>
      </w:r>
    </w:p>
    <w:p>
      <w:pPr>
        <w:pStyle w:val="style0"/>
        <w:spacing w:line="276" w:lineRule="auto"/>
      </w:pPr>
      <w:r>
        <w:rPr>
          <w:rFonts w:ascii="Times New Roman" w:cs="Times New Roman" w:hAnsi="Times New Roman"/>
        </w:rPr>
        <w:t xml:space="preserve"> </w:t>
      </w:r>
      <w:r>
        <w:rPr>
          <w:rFonts w:ascii="Times New Roman" w:cs="Times New Roman" w:hAnsi="Times New Roman"/>
          <w:b/>
          <w:bCs/>
        </w:rPr>
        <w:t>1</w:t>
      </w:r>
      <w:r>
        <w:rPr>
          <w:rFonts w:ascii="Times New Roman" w:cs="Times New Roman" w:hAnsi="Times New Roman"/>
        </w:rPr>
        <w:t xml:space="preserve">. OBJETO DE LA CONTRATACIÓN: </w:t>
      </w:r>
      <w:bookmarkStart w:id="0" w:name="__DdeLink__123_221625729"/>
      <w:bookmarkStart w:id="1" w:name="__DdeLink__438_1389438015"/>
      <w:bookmarkEnd w:id="1"/>
      <w:r>
        <w:rPr>
          <w:rFonts w:ascii="Times New Roman" w:cs="Times New Roman" w:hAnsi="Times New Roman"/>
          <w:b/>
          <w:bCs/>
          <w:u w:val="single"/>
        </w:rPr>
        <w:t>ADQUISICION DE HASTA 22 METROS CÚBICOS DE HORMIGÓN TIPO C25</w:t>
      </w:r>
      <w:bookmarkEnd w:id="0"/>
      <w:r>
        <w:rPr>
          <w:rFonts w:ascii="Times New Roman" w:cs="Times New Roman" w:hAnsi="Times New Roman"/>
          <w:b/>
          <w:bCs/>
          <w:u w:val="single"/>
        </w:rPr>
        <w:t>.</w:t>
      </w:r>
    </w:p>
    <w:p>
      <w:pPr>
        <w:pStyle w:val="style0"/>
        <w:spacing w:line="276" w:lineRule="auto"/>
      </w:pPr>
      <w:r>
        <w:rPr>
          <w:rFonts w:ascii="Times New Roman" w:cs="Times New Roman" w:hAnsi="Times New Roman"/>
        </w:rPr>
        <w:t xml:space="preserve">DESCRIPCION DE LO SOLICITADO : </w:t>
      </w:r>
      <w:r>
        <w:rPr>
          <w:rFonts w:ascii="Times New Roman" w:cs="Times New Roman" w:hAnsi="Times New Roman"/>
          <w:b/>
          <w:bCs/>
        </w:rPr>
        <w:t>Item Nº 1</w:t>
      </w:r>
      <w:r>
        <w:rPr>
          <w:rFonts w:ascii="Times New Roman" w:cs="Times New Roman" w:hAnsi="Times New Roman"/>
        </w:rPr>
        <w:t xml:space="preserve"> – </w:t>
      </w:r>
      <w:r>
        <w:rPr>
          <w:rFonts w:ascii="Times New Roman" w:cs="Times New Roman" w:hAnsi="Times New Roman"/>
          <w:b/>
          <w:bCs/>
          <w:u w:val="none"/>
        </w:rPr>
        <w:t>HORMIGON PREMEZCLADO</w:t>
      </w:r>
      <w:r>
        <w:rPr>
          <w:rFonts w:ascii="Times New Roman" w:cs="Times New Roman" w:hAnsi="Times New Roman"/>
          <w:b/>
          <w:bCs/>
        </w:rPr>
        <w:t>. (codigo : 8152)</w:t>
      </w:r>
    </w:p>
    <w:p>
      <w:pPr>
        <w:pStyle w:val="style0"/>
        <w:spacing w:line="276" w:lineRule="auto"/>
        <w:jc w:val="both"/>
      </w:pPr>
      <w:r>
        <w:rPr>
          <w:rFonts w:ascii="Times New Roman" w:cs="Times New Roman" w:hAnsi="Times New Roman"/>
          <w:b/>
          <w:bCs/>
        </w:rPr>
        <w:t>2</w:t>
      </w:r>
      <w:r>
        <w:rPr>
          <w:rFonts w:ascii="Times New Roman" w:cs="Times New Roman" w:hAnsi="Times New Roman"/>
        </w:rPr>
        <w:t xml:space="preserve">. La apertura de ofertas será exclusivamente electrónica, y los proveedores que deseen ofertar, deberán estar en estado ACTIVO en el RUPE. </w:t>
      </w:r>
    </w:p>
    <w:p>
      <w:pPr>
        <w:pStyle w:val="style0"/>
        <w:widowControl w:val="false"/>
        <w:tabs>
          <w:tab w:leader="none" w:pos="426" w:val="left"/>
          <w:tab w:leader="none" w:pos="708" w:val="left"/>
        </w:tabs>
        <w:suppressAutoHyphens w:val="true"/>
        <w:spacing w:after="0" w:before="0" w:line="276" w:lineRule="auto"/>
        <w:jc w:val="both"/>
      </w:pPr>
      <w:r>
        <w:rPr>
          <w:rFonts w:ascii="Times New Roman" w:cs="Times New Roman" w:hAnsi="Times New Roman"/>
          <w:b/>
          <w:bCs/>
        </w:rPr>
        <w:t>3</w:t>
      </w:r>
      <w:r>
        <w:rPr>
          <w:rFonts w:ascii="Times New Roman" w:cs="Times New Roman" w:hAnsi="Times New Roman"/>
        </w:rPr>
        <w:t xml:space="preserve">. Las propuestas deberán ser ingresadas directamente por el proveedor, </w:t>
      </w:r>
      <w:r>
        <w:rPr>
          <w:rFonts w:ascii="Times New Roman" w:cs="Times New Roman" w:eastAsia="Times New Roman" w:hAnsi="Times New Roman"/>
          <w:color w:val="00000A"/>
        </w:rPr>
        <w:t xml:space="preserve">mediante el ingreso de las mismas en el sitio web de Compras Estatales </w:t>
      </w:r>
      <w:hyperlink r:id="rId3">
        <w:r>
          <w:rPr>
            <w:rStyle w:val="style16"/>
            <w:rStyle w:val="style16"/>
            <w:rFonts w:ascii="Times New Roman" w:cs="Times New Roman" w:eastAsia="Times New Roman" w:hAnsi="Times New Roman"/>
            <w:lang w:bidi="hi-IN" w:eastAsia="hi-IN" w:val="es-ES"/>
          </w:rPr>
          <w:t>www.comprasestatales.gub.uy</w:t>
        </w:r>
      </w:hyperlink>
      <w:r>
        <w:rPr>
          <w:rFonts w:ascii="Times New Roman" w:cs="Times New Roman" w:eastAsia="Times New Roman" w:hAnsi="Times New Roman"/>
          <w:color w:val="00000A"/>
        </w:rPr>
        <w:t xml:space="preserve">  (Por consultas al respecto deberán comunicarse al 2903 1111, Mesa de ayuda SICE de 10 a 17 hs.), o pueden consultar el Instructivo en la página web de Compras Estatales.</w:t>
      </w:r>
    </w:p>
    <w:p>
      <w:pPr>
        <w:pStyle w:val="style0"/>
        <w:spacing w:line="276" w:lineRule="auto"/>
        <w:jc w:val="both"/>
      </w:pPr>
      <w:r>
        <w:rPr>
          <w:rFonts w:ascii="Times New Roman" w:cs="Times New Roman" w:hAnsi="Times New Roman"/>
        </w:rPr>
        <w:t xml:space="preserve">En la oferta se </w:t>
      </w:r>
      <w:r>
        <w:rPr>
          <w:rFonts w:ascii="Times New Roman" w:cs="Times New Roman" w:hAnsi="Times New Roman"/>
          <w:shd w:fill="FFFFFF" w:val="clear"/>
        </w:rPr>
        <w:t>podrá</w:t>
      </w:r>
      <w:r>
        <w:rPr>
          <w:rFonts w:ascii="Times New Roman" w:cs="Times New Roman" w:hAnsi="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style0"/>
        <w:spacing w:line="276" w:lineRule="auto"/>
        <w:jc w:val="both"/>
      </w:pPr>
      <w:r>
        <w:rPr>
          <w:rFonts w:ascii="Times New Roman" w:cs="Times New Roman" w:hAnsi="Times New Roman"/>
          <w:b/>
          <w:bCs/>
          <w:shd w:fill="FFFFFF" w:val="clear"/>
        </w:rPr>
        <w:t>Tanto la oferta como los archivos adjuntos a la misma, deberan estar vigibles tanto para la administracion como para el resto de los oferentes.</w:t>
      </w:r>
      <w:r>
        <w:rPr>
          <w:rFonts w:ascii="Times New Roman" w:cs="Times New Roman" w:hAnsi="Times New Roman"/>
          <w:shd w:fill="FFFFFF" w:val="clear"/>
        </w:rPr>
        <w:t xml:space="preserve"> </w:t>
      </w:r>
    </w:p>
    <w:p>
      <w:pPr>
        <w:pStyle w:val="style0"/>
        <w:spacing w:line="276" w:lineRule="auto"/>
        <w:jc w:val="both"/>
      </w:pPr>
      <w:r>
        <w:rPr>
          <w:rFonts w:ascii="Times New Roman" w:cs="Times New Roman" w:hAnsi="Times New Roman"/>
          <w:b/>
          <w:shd w:fill="FFFFFF" w:val="clear"/>
        </w:rPr>
        <w:t>En caso de que se constaten discrepancias entre lo ofertado en línea y el archivo adjunto a la oferta, se tomara como valido lo ofertado en línea</w:t>
      </w:r>
      <w:r>
        <w:rPr>
          <w:rFonts w:ascii="Times New Roman" w:cs="Times New Roman" w:hAnsi="Times New Roman"/>
          <w:shd w:fill="FFFFFF" w:val="clear"/>
        </w:rPr>
        <w:t>.</w:t>
      </w:r>
    </w:p>
    <w:p>
      <w:pPr>
        <w:pStyle w:val="style0"/>
        <w:tabs>
          <w:tab w:leader="none" w:pos="142" w:val="left"/>
          <w:tab w:leader="none" w:pos="708" w:val="left"/>
        </w:tabs>
        <w:spacing w:line="276" w:lineRule="auto"/>
        <w:jc w:val="both"/>
      </w:pPr>
      <w:r>
        <w:rPr>
          <w:rFonts w:ascii="Times New Roman" w:cs="Times New Roman" w:hAnsi="Times New Roman"/>
          <w:b/>
          <w:bCs/>
        </w:rPr>
        <w:t>4</w:t>
      </w:r>
      <w:r>
        <w:rPr>
          <w:rFonts w:ascii="Times New Roman" w:cs="Times New Roman" w:hAnsi="Times New Roman"/>
        </w:rPr>
        <w:t xml:space="preserve">. No se tomarán en cuenta las propuestas no ingresadas por el proveedor en el Sistema de Compras Estatales.  </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LUEGO DEL INGRESO DE LA OFERTA, NO PODRÁN ADUCIRSE DESCONOCIMIENTOS SOBRE EL PROCEDIMIENTO QUE DEBÍA SEGUIRSE.</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pPr>
        <w:pStyle w:val="style0"/>
        <w:spacing w:line="276" w:lineRule="auto"/>
        <w:jc w:val="both"/>
      </w:pPr>
      <w:r>
        <w:rPr>
          <w:rFonts w:ascii="Times New Roman" w:cs="Times New Roman" w:hAnsi="Times New Roman"/>
          <w:b/>
          <w:bCs/>
        </w:rPr>
        <w:t>5</w:t>
      </w:r>
      <w:r>
        <w:rPr>
          <w:rFonts w:ascii="Times New Roman" w:cs="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style0"/>
        <w:spacing w:line="276" w:lineRule="auto"/>
        <w:jc w:val="both"/>
      </w:pPr>
      <w:r>
        <w:rPr>
          <w:rFonts w:ascii="Times New Roman" w:cs="Times New Roman" w:hAnsi="Times New Roman"/>
        </w:rPr>
        <w:t xml:space="preserve">La presentación de las propuestas implica el compromiso liso y llano de la ejecución de la contratación. </w:t>
      </w:r>
    </w:p>
    <w:p>
      <w:pPr>
        <w:pStyle w:val="style0"/>
        <w:spacing w:line="276" w:lineRule="auto"/>
        <w:jc w:val="both"/>
      </w:pPr>
      <w:r>
        <w:rPr>
          <w:rFonts w:ascii="Times New Roman" w:cs="Times New Roman" w:hAnsi="Times New Roman"/>
        </w:rPr>
        <w:t xml:space="preserve">Las propuestas no podrán estar condicionadas a su confirmación por el oferente, o por un tercero, ni estar supeditadas a otros factores que no sean los previstos en estas bases y/o los que no se hallan aclarado oportunamente. - </w:t>
      </w:r>
    </w:p>
    <w:p>
      <w:pPr>
        <w:pStyle w:val="style0"/>
        <w:spacing w:line="276" w:lineRule="auto"/>
        <w:jc w:val="both"/>
      </w:pPr>
      <w:r>
        <w:rPr>
          <w:rFonts w:ascii="Times New Roman" w:cs="Times New Roman" w:hAnsi="Times New Roman"/>
          <w:b/>
          <w:bCs/>
        </w:rPr>
        <w:t>6</w:t>
      </w:r>
      <w:r>
        <w:rPr>
          <w:rFonts w:ascii="Times New Roman" w:cs="Times New Roman" w:hAnsi="Times New Roman"/>
        </w:rPr>
        <w:t xml:space="preserve">. No serán tenidas en cuenta las ofertas que sean recibidas por otros medios. </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Al momento de realizar su cotización en línea, el oferente debe tener en cuenta que:</w:t>
      </w:r>
    </w:p>
    <w:p>
      <w:pPr>
        <w:pStyle w:val="style0"/>
        <w:widowControl w:val="false"/>
        <w:numPr>
          <w:ilvl w:val="0"/>
          <w:numId w:val="1"/>
        </w:numPr>
        <w:tabs>
          <w:tab w:leader="none" w:pos="1417" w:val="left"/>
          <w:tab w:leader="none" w:pos="2126" w:val="left"/>
          <w:tab w:leader="none" w:pos="2835" w:val="left"/>
          <w:tab w:leader="none" w:pos="3544" w:val="left"/>
          <w:tab w:leader="none" w:pos="4253" w:val="left"/>
          <w:tab w:leader="none" w:pos="4962" w:val="left"/>
          <w:tab w:leader="none" w:pos="5105" w:val="left"/>
          <w:tab w:leader="none" w:pos="5530" w:val="left"/>
        </w:tabs>
        <w:suppressAutoHyphens w:val="true"/>
        <w:spacing w:after="0" w:before="0" w:line="276" w:lineRule="auto"/>
        <w:ind w:hanging="0" w:left="709" w:right="0"/>
        <w:jc w:val="both"/>
      </w:pPr>
      <w:r>
        <w:rPr>
          <w:rFonts w:ascii="Times New Roman" w:cs="Times New Roman" w:eastAsia="Times New Roman" w:hAnsi="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style0"/>
        <w:widowControl w:val="false"/>
        <w:numPr>
          <w:ilvl w:val="0"/>
          <w:numId w:val="1"/>
        </w:numPr>
        <w:tabs>
          <w:tab w:leader="none" w:pos="1417" w:val="left"/>
          <w:tab w:leader="none" w:pos="2126" w:val="left"/>
          <w:tab w:leader="none" w:pos="2835" w:val="left"/>
          <w:tab w:leader="none" w:pos="3544" w:val="left"/>
          <w:tab w:leader="none" w:pos="4253" w:val="left"/>
          <w:tab w:leader="none" w:pos="4962" w:val="left"/>
          <w:tab w:leader="none" w:pos="5105" w:val="left"/>
          <w:tab w:leader="none" w:pos="5530" w:val="left"/>
        </w:tabs>
        <w:suppressAutoHyphens w:val="true"/>
        <w:spacing w:after="0" w:before="0" w:line="276" w:lineRule="auto"/>
        <w:ind w:hanging="0" w:left="709" w:right="0"/>
        <w:jc w:val="both"/>
      </w:pPr>
      <w:r>
        <w:rPr>
          <w:rFonts w:ascii="Times New Roman" w:cs="Times New Roman" w:eastAsia="Times New Roman" w:hAnsi="Times New Roman"/>
          <w:color w:val="00000A"/>
        </w:rPr>
        <w:t>Para ello debe tenerse en cuenta que “Precio Unitario s/ Imp.”, debe guardar relación con “Unidad” de la cantidad del pedido.</w:t>
      </w:r>
    </w:p>
    <w:p>
      <w:pPr>
        <w:pStyle w:val="style0"/>
        <w:widowControl w:val="false"/>
        <w:numPr>
          <w:ilvl w:val="0"/>
          <w:numId w:val="1"/>
        </w:numPr>
        <w:tabs>
          <w:tab w:leader="none" w:pos="1417" w:val="left"/>
          <w:tab w:leader="none" w:pos="2126" w:val="left"/>
          <w:tab w:leader="none" w:pos="2835" w:val="left"/>
          <w:tab w:leader="none" w:pos="3544" w:val="left"/>
          <w:tab w:leader="none" w:pos="4253" w:val="left"/>
          <w:tab w:leader="none" w:pos="4962" w:val="left"/>
          <w:tab w:leader="none" w:pos="5105" w:val="left"/>
          <w:tab w:leader="none" w:pos="5530" w:val="left"/>
        </w:tabs>
        <w:suppressAutoHyphens w:val="true"/>
        <w:spacing w:after="0" w:before="0" w:line="276" w:lineRule="auto"/>
        <w:ind w:hanging="0" w:left="709" w:right="0"/>
        <w:jc w:val="both"/>
      </w:pPr>
      <w:r>
        <w:rPr>
          <w:rFonts w:ascii="Times New Roman" w:cs="Times New Roman" w:eastAsia="Times New Roman" w:hAnsi="Times New Roman"/>
          <w:color w:val="00000A"/>
        </w:rPr>
        <w:t>Antes de finalizar la cotización en línea VERIFICAR que el “Precio total c/Imp.”, resultante de la multiplicación automática del sistema, coincide con la oferta económica que quiere presentar.</w:t>
      </w:r>
    </w:p>
    <w:p>
      <w:pPr>
        <w:pStyle w:val="style0"/>
        <w:spacing w:line="276" w:lineRule="auto"/>
        <w:jc w:val="both"/>
      </w:pPr>
      <w:r>
        <w:rPr/>
      </w:r>
    </w:p>
    <w:p>
      <w:pPr>
        <w:pStyle w:val="style0"/>
        <w:spacing w:line="276" w:lineRule="auto"/>
        <w:jc w:val="both"/>
      </w:pPr>
      <w:r>
        <w:rPr>
          <w:rFonts w:ascii="Times New Roman" w:cs="Times New Roman" w:hAnsi="Times New Roman"/>
          <w:b/>
          <w:bCs/>
        </w:rPr>
        <w:t>7</w:t>
      </w:r>
      <w:r>
        <w:rPr>
          <w:rFonts w:ascii="Times New Roman" w:cs="Times New Roman" w:hAnsi="Times New Roman"/>
        </w:rPr>
        <w:t xml:space="preserve">. Abierto el acto de apertura no podrá introducirse modificación alguna en las propuestas. </w:t>
      </w:r>
    </w:p>
    <w:p>
      <w:pPr>
        <w:pStyle w:val="style0"/>
        <w:spacing w:line="276" w:lineRule="auto"/>
        <w:jc w:val="both"/>
      </w:pPr>
      <w:r>
        <w:rPr>
          <w:rFonts w:ascii="Times New Roman" w:cs="Times New Roman" w:hAnsi="Times New Roman"/>
          <w:b/>
          <w:bCs/>
        </w:rPr>
        <w:t>8</w:t>
      </w:r>
      <w:r>
        <w:rPr>
          <w:rFonts w:ascii="Times New Roman" w:cs="Times New Roman" w:hAnsi="Times New Roman"/>
        </w:rPr>
        <w:t xml:space="preserve">. Las consultas sobre especificaciones técnicas se harán al </w:t>
      </w:r>
      <w:r>
        <w:rPr>
          <w:rFonts w:ascii="Times New Roman" w:cs="Times New Roman" w:hAnsi="Times New Roman"/>
          <w:b/>
          <w:color w:val="00000A"/>
          <w:shd w:fill="FFFFFF" w:val="clear"/>
        </w:rPr>
        <w:t>Sr. Alferez de Fragata (RN) Rodrigo BARREIRO , al Cel.: 099.678.026.</w:t>
      </w:r>
      <w:r>
        <w:rPr>
          <w:rFonts w:ascii="Times New Roman" w:cs="Times New Roman" w:hAnsi="Times New Roman"/>
          <w:b/>
          <w:color w:val="FF0000"/>
        </w:rPr>
        <w:t xml:space="preserve"> </w:t>
      </w:r>
    </w:p>
    <w:p>
      <w:pPr>
        <w:pStyle w:val="style0"/>
        <w:spacing w:line="276" w:lineRule="auto"/>
        <w:jc w:val="both"/>
      </w:pPr>
      <w:r>
        <w:rPr>
          <w:rFonts w:ascii="Times New Roman" w:cs="Times New Roman" w:hAnsi="Times New Roman"/>
          <w:b/>
          <w:bCs/>
        </w:rPr>
        <w:t>9.</w:t>
      </w:r>
      <w:r>
        <w:rPr>
          <w:rFonts w:ascii="Times New Roman" w:cs="Times New Roman" w:hAnsi="Times New Roman"/>
        </w:rPr>
        <w:t xml:space="preserve">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pStyle w:val="style0"/>
        <w:spacing w:line="276" w:lineRule="auto"/>
        <w:jc w:val="both"/>
      </w:pPr>
      <w:r>
        <w:rPr>
          <w:rFonts w:ascii="Times New Roman" w:cs="Times New Roman" w:hAnsi="Times New Roman"/>
        </w:rPr>
        <w:t xml:space="preserve">Toda la información referente a la representación deberá surgir del RUPE. </w:t>
      </w:r>
    </w:p>
    <w:p>
      <w:pPr>
        <w:pStyle w:val="style0"/>
        <w:spacing w:line="276" w:lineRule="auto"/>
        <w:jc w:val="both"/>
      </w:pPr>
      <w:r>
        <w:rPr>
          <w:rFonts w:ascii="Times New Roman" w:cs="Times New Roman" w:hAnsi="Times New Roman"/>
          <w:b/>
          <w:bCs/>
        </w:rPr>
        <w:t>10</w:t>
      </w:r>
      <w:r>
        <w:rPr>
          <w:rFonts w:ascii="Times New Roman" w:cs="Times New Roman" w:hAnsi="Times New Roman"/>
        </w:rPr>
        <w:t xml:space="preserve">. Se deberá cotizar bajo la modalidad </w:t>
      </w:r>
      <w:r>
        <w:rPr>
          <w:rFonts w:ascii="Times New Roman" w:cs="Times New Roman" w:hAnsi="Times New Roman"/>
          <w:b/>
          <w:color w:val="00000A"/>
          <w:shd w:fill="FFFFFF" w:val="clear"/>
        </w:rPr>
        <w:t>precio plaza</w:t>
      </w:r>
      <w:r>
        <w:rPr>
          <w:rFonts w:ascii="Times New Roman" w:cs="Times New Roman" w:hAnsi="Times New Roman"/>
          <w:color w:val="00000A"/>
          <w:shd w:fill="FFFFFF" w:val="clear"/>
        </w:rPr>
        <w:t>.</w:t>
      </w:r>
      <w:r>
        <w:rPr>
          <w:rFonts w:ascii="Times New Roman" w:cs="Times New Roman" w:hAnsi="Times New Roman"/>
        </w:rPr>
        <w:t xml:space="preserve"> </w:t>
      </w:r>
    </w:p>
    <w:p>
      <w:pPr>
        <w:pStyle w:val="style0"/>
        <w:spacing w:line="276" w:lineRule="auto"/>
        <w:jc w:val="both"/>
      </w:pPr>
      <w:r>
        <w:rPr>
          <w:rFonts w:ascii="Times New Roman" w:cs="Times New Roman" w:hAnsi="Times New Roman"/>
          <w:b/>
          <w:bCs/>
        </w:rPr>
        <w:t>11.</w:t>
      </w:r>
      <w:r>
        <w:rPr>
          <w:rFonts w:ascii="Times New Roman" w:cs="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style0"/>
        <w:spacing w:line="276" w:lineRule="auto"/>
        <w:jc w:val="both"/>
      </w:pPr>
      <w:r>
        <w:rPr>
          <w:rFonts w:ascii="Times New Roman" w:cs="Times New Roman" w:hAnsi="Times New Roman"/>
          <w:b/>
          <w:bCs/>
        </w:rPr>
        <w:t>12</w:t>
      </w:r>
      <w:r>
        <w:rPr>
          <w:rFonts w:ascii="Times New Roman" w:cs="Times New Roman" w:hAnsi="Times New Roman"/>
        </w:rPr>
        <w:t xml:space="preserve">. El plazo de mantenimiento de oferta no podrá ser inferior a  </w:t>
      </w:r>
      <w:r>
        <w:rPr>
          <w:rFonts w:ascii="Times New Roman" w:cs="Times New Roman" w:hAnsi="Times New Roman"/>
          <w:b/>
          <w:bCs/>
        </w:rPr>
        <w:t>9</w:t>
      </w:r>
      <w:r>
        <w:rPr>
          <w:rFonts w:ascii="Times New Roman" w:cs="Times New Roman" w:hAnsi="Times New Roman"/>
          <w:b/>
          <w:bCs/>
          <w:color w:val="00000A"/>
        </w:rPr>
        <w:t>0</w:t>
      </w:r>
      <w:r>
        <w:rPr>
          <w:rFonts w:ascii="Times New Roman" w:cs="Times New Roman" w:hAnsi="Times New Roman"/>
          <w:b/>
          <w:color w:val="00000A"/>
          <w:shd w:fill="FFFFFF" w:val="clear"/>
        </w:rPr>
        <w:t xml:space="preserve"> días</w:t>
      </w:r>
      <w:r>
        <w:rPr>
          <w:rFonts w:ascii="Times New Roman" w:cs="Times New Roman" w:hAnsi="Times New Roman"/>
          <w:color w:val="FF0000"/>
        </w:rPr>
        <w:t xml:space="preserve"> </w:t>
      </w:r>
      <w:r>
        <w:rPr>
          <w:rFonts w:ascii="Times New Roman" w:cs="Times New Roman" w:hAnsi="Times New Roman"/>
        </w:rPr>
        <w:t xml:space="preserve">corridos a contar a partir del día siguiente a la apertura de ofertas. </w:t>
      </w:r>
    </w:p>
    <w:p>
      <w:pPr>
        <w:pStyle w:val="style0"/>
        <w:spacing w:line="276" w:lineRule="auto"/>
        <w:jc w:val="both"/>
      </w:pPr>
      <w:r>
        <w:rPr>
          <w:rFonts w:ascii="Times New Roman" w:cs="Times New Roman" w:hAnsi="Times New Roman"/>
        </w:rPr>
        <w:t xml:space="preserve">En caso de omisión se deberá entender que el plazo durante el cual se mantienen las ofertas y los precios será el mínimo exigido. </w:t>
      </w:r>
    </w:p>
    <w:p>
      <w:pPr>
        <w:pStyle w:val="style0"/>
        <w:spacing w:line="276" w:lineRule="auto"/>
        <w:jc w:val="both"/>
      </w:pPr>
      <w:r>
        <w:rPr>
          <w:rFonts w:ascii="Times New Roman" w:cs="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style0"/>
        <w:spacing w:line="276" w:lineRule="auto"/>
        <w:jc w:val="both"/>
      </w:pPr>
      <w:r>
        <w:rPr>
          <w:rFonts w:ascii="Times New Roman" w:cs="Times New Roman" w:hAnsi="Times New Roman"/>
          <w:b/>
          <w:bCs/>
        </w:rPr>
        <w:t>13</w:t>
      </w:r>
      <w:r>
        <w:rPr>
          <w:rFonts w:ascii="Times New Roman" w:cs="Times New Roman" w:hAnsi="Times New Roman"/>
        </w:rPr>
        <w:t xml:space="preserve">. La forma de pago será mediante </w:t>
      </w:r>
      <w:r>
        <w:rPr>
          <w:rFonts w:ascii="Times New Roman" w:cs="Times New Roman" w:hAnsi="Times New Roman"/>
          <w:b/>
          <w:color w:val="00000A"/>
          <w:shd w:fill="FFFFFF" w:val="clear"/>
        </w:rPr>
        <w:t>CREDITO SIIF</w:t>
      </w:r>
    </w:p>
    <w:p>
      <w:pPr>
        <w:pStyle w:val="style0"/>
        <w:widowControl w:val="false"/>
        <w:tabs>
          <w:tab w:leader="none" w:pos="426" w:val="left"/>
          <w:tab w:leader="none" w:pos="708" w:val="left"/>
        </w:tabs>
        <w:suppressAutoHyphens w:val="true"/>
        <w:spacing w:after="0" w:before="0" w:line="276" w:lineRule="auto"/>
        <w:jc w:val="both"/>
      </w:pPr>
      <w:r>
        <w:rPr/>
      </w:r>
    </w:p>
    <w:p>
      <w:pPr>
        <w:pStyle w:val="style0"/>
        <w:spacing w:line="276" w:lineRule="auto"/>
        <w:jc w:val="both"/>
      </w:pPr>
      <w:r>
        <w:rPr>
          <w:rFonts w:ascii="Times New Roman" w:cs="Times New Roman" w:hAnsi="Times New Roman"/>
          <w:b/>
          <w:bCs/>
        </w:rPr>
        <w:t>14</w:t>
      </w:r>
      <w:r>
        <w:rPr>
          <w:rFonts w:ascii="Times New Roman" w:cs="Times New Roman" w:hAnsi="Times New Roman"/>
        </w:rPr>
        <w:t xml:space="preserve">. El plazo de </w:t>
      </w:r>
      <w:r>
        <w:rPr>
          <w:rFonts w:ascii="Times New Roman" w:cs="Times New Roman" w:hAnsi="Times New Roman"/>
          <w:b/>
          <w:color w:val="00000A"/>
          <w:shd w:fill="FFFFFF" w:val="clear"/>
        </w:rPr>
        <w:t>entrega será INMEDIATO,</w:t>
      </w:r>
      <w:r>
        <w:rPr>
          <w:rFonts w:ascii="Times New Roman" w:cs="Times New Roman" w:hAnsi="Times New Roman"/>
          <w:color w:val="FF0000"/>
        </w:rPr>
        <w:t xml:space="preserve"> </w:t>
      </w:r>
      <w:r>
        <w:rPr>
          <w:rFonts w:ascii="Times New Roman" w:cs="Times New Roman" w:hAnsi="Times New Roman"/>
        </w:rPr>
        <w:t xml:space="preserve">contados desde el día siguiente en que se hizo efectiva la entrega de la </w:t>
      </w:r>
      <w:r>
        <w:rPr>
          <w:rFonts w:ascii="Times New Roman" w:cs="Times New Roman" w:hAnsi="Times New Roman"/>
          <w:b/>
          <w:color w:val="00000A"/>
          <w:shd w:fill="FFFFFF" w:val="clear"/>
        </w:rPr>
        <w:t>Constancia de Afectación del Crédito (Orden de Compra) .</w:t>
      </w:r>
    </w:p>
    <w:p>
      <w:pPr>
        <w:pStyle w:val="style0"/>
        <w:spacing w:line="276" w:lineRule="auto"/>
        <w:jc w:val="both"/>
      </w:pPr>
      <w:r>
        <w:rPr>
          <w:rFonts w:ascii="Times New Roman" w:cs="Times New Roman" w:hAnsi="Times New Roman"/>
          <w:b/>
          <w:bCs/>
        </w:rPr>
        <w:t>15</w:t>
      </w:r>
      <w:r>
        <w:rPr>
          <w:rFonts w:ascii="Times New Roman" w:cs="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style0"/>
        <w:spacing w:line="276" w:lineRule="auto"/>
        <w:jc w:val="both"/>
      </w:pPr>
      <w:r>
        <w:rPr>
          <w:rFonts w:ascii="Times New Roman" w:cs="Times New Roman" w:hAnsi="Times New Roman"/>
          <w:b/>
          <w:bCs/>
        </w:rPr>
        <w:t>16</w:t>
      </w:r>
      <w:r>
        <w:rPr>
          <w:rFonts w:ascii="Times New Roman" w:cs="Times New Roman" w:hAnsi="Times New Roman"/>
        </w:rPr>
        <w:t>. La Administración se reserva el derecho de evaluar las ofertas de forma global o no y de adjudicar total o parcialmente la oferta.</w:t>
      </w:r>
    </w:p>
    <w:p>
      <w:pPr>
        <w:pStyle w:val="style0"/>
        <w:spacing w:line="276" w:lineRule="auto"/>
        <w:jc w:val="both"/>
      </w:pPr>
      <w:r>
        <w:rPr>
          <w:rFonts w:ascii="Times New Roman" w:cs="Times New Roman" w:hAnsi="Times New Roman"/>
          <w:b/>
          <w:bCs/>
        </w:rPr>
        <w:t>17</w:t>
      </w:r>
      <w:r>
        <w:rPr>
          <w:rFonts w:ascii="Times New Roman" w:cs="Times New Roman" w:hAnsi="Times New Roman"/>
        </w:rPr>
        <w:t>.-</w:t>
      </w:r>
      <w:bookmarkStart w:id="2" w:name="_GoBack"/>
      <w:bookmarkEnd w:id="2"/>
      <w:r>
        <w:rPr>
          <w:rFonts w:ascii="Times New Roman" w:cs="Times New Roman" w:eastAsia="Times New Roman" w:hAnsi="Times New Roman"/>
          <w:color w:val="00000A"/>
        </w:rPr>
        <w:t>La Armada se reserva la facultad de adjudicar aquellas propuestas que, aun apartándose, no sensiblemente, de las características técnicas de lo especificado en este Pliego resulten evidentemente más convenientes para sus intereses. -</w:t>
      </w:r>
    </w:p>
    <w:p>
      <w:pPr>
        <w:pStyle w:val="style0"/>
        <w:spacing w:line="276" w:lineRule="auto"/>
        <w:jc w:val="both"/>
      </w:pPr>
      <w:r>
        <w:rPr>
          <w:rFonts w:ascii="Times New Roman" w:cs="Times New Roman" w:hAnsi="Times New Roman"/>
          <w:b/>
          <w:bCs/>
        </w:rPr>
        <w:t>18</w:t>
      </w:r>
      <w:r>
        <w:rPr>
          <w:rFonts w:ascii="Times New Roman" w:cs="Times New Roman" w:hAnsi="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style0"/>
        <w:spacing w:after="160" w:before="0" w:line="276" w:lineRule="auto"/>
        <w:jc w:val="both"/>
      </w:pPr>
      <w:r>
        <w:rPr>
          <w:rFonts w:ascii="Times New Roman" w:cs="Times New Roman" w:hAnsi="Times New Roman"/>
          <w:b/>
          <w:bCs/>
        </w:rPr>
        <w:t>19.</w:t>
      </w:r>
      <w:r>
        <w:rPr>
          <w:rFonts w:ascii="Times New Roman" w:cs="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h="16838" w:w="11906"/>
      <w:pgMar w:bottom="720" w:footer="0" w:gutter="0" w:header="0" w:left="720" w:right="720" w:top="72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lowerLetter"/>
      <w:lvlText w:val="%1)"/>
      <w:lvlJc w:val="left"/>
      <w:pPr>
        <w:ind w:hanging="360" w:left="1242"/>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160" w:before="0" w:line="252" w:lineRule="auto"/>
    </w:pPr>
    <w:rPr>
      <w:rFonts w:ascii="Calibri" w:cs="" w:eastAsia="Lucida Sans Unicode" w:hAnsi="Calibri"/>
      <w:color w:val="00000A"/>
      <w:sz w:val="22"/>
      <w:szCs w:val="22"/>
      <w:lang w:bidi="ar-SA" w:eastAsia="en-US" w:val="es-UY"/>
    </w:rPr>
  </w:style>
  <w:style w:styleId="style15" w:type="character">
    <w:name w:val="Default Paragraph Font"/>
    <w:next w:val="style15"/>
    <w:rPr/>
  </w:style>
  <w:style w:styleId="style16" w:type="character">
    <w:name w:val="Enlace de Internet"/>
    <w:next w:val="style16"/>
    <w:rPr>
      <w:color w:val="000080"/>
      <w:u w:val="single"/>
      <w:lang w:bidi="es-ES" w:eastAsia="es-ES" w:val="es-ES"/>
    </w:rPr>
  </w:style>
  <w:style w:styleId="style17" w:type="character">
    <w:name w:val="Fuente de párrafo predeter.1"/>
    <w:next w:val="style17"/>
    <w:rPr/>
  </w:style>
  <w:style w:styleId="style18" w:type="character">
    <w:name w:val="Texto de globo Car"/>
    <w:basedOn w:val="style15"/>
    <w:next w:val="style18"/>
    <w:rPr>
      <w:rFonts w:ascii="Segoe UI" w:cs="Segoe UI" w:hAnsi="Segoe UI"/>
      <w:sz w:val="18"/>
      <w:szCs w:val="18"/>
    </w:rPr>
  </w:style>
  <w:style w:styleId="style19" w:type="character">
    <w:name w:val="ListLabel 1"/>
    <w:next w:val="style19"/>
    <w:rPr>
      <w:rFonts w:cs="Times New Roman"/>
    </w:rPr>
  </w:style>
  <w:style w:styleId="style20" w:type="character">
    <w:name w:val="ListLabel 2"/>
    <w:next w:val="style20"/>
    <w:rPr>
      <w:rFonts w:cs=""/>
      <w:color w:val="FF0000"/>
    </w:rPr>
  </w:style>
  <w:style w:styleId="style21" w:type="character">
    <w:name w:val="ListLabel 3"/>
    <w:next w:val="style21"/>
    <w:rPr>
      <w:color w:val="FF0000"/>
    </w:rPr>
  </w:style>
  <w:style w:styleId="style22" w:type="character">
    <w:name w:val="ListLabel 4"/>
    <w:next w:val="style22"/>
    <w:rPr>
      <w:color w:val="FF0000"/>
    </w:rPr>
  </w:style>
  <w:style w:styleId="style23" w:type="character">
    <w:name w:val="Viñetas"/>
    <w:next w:val="style23"/>
    <w:rPr>
      <w:rFonts w:ascii="OpenSymbol" w:cs="OpenSymbol" w:eastAsia="OpenSymbol" w:hAnsi="OpenSymbol"/>
    </w:rPr>
  </w:style>
  <w:style w:styleId="style24" w:type="character">
    <w:name w:val="ListLabel 5"/>
    <w:next w:val="style24"/>
    <w:rPr>
      <w:color w:val="FF0000"/>
    </w:rPr>
  </w:style>
  <w:style w:styleId="style25" w:type="character">
    <w:name w:val="ListLabel 6"/>
    <w:next w:val="style25"/>
    <w:rPr>
      <w:rFonts w:cs="Wingdings 2"/>
    </w:rPr>
  </w:style>
  <w:style w:styleId="style26" w:type="character">
    <w:name w:val="ListLabel 7"/>
    <w:next w:val="style26"/>
    <w:rPr>
      <w:rFonts w:cs="OpenSymbol"/>
    </w:rPr>
  </w:style>
  <w:style w:styleId="style27" w:type="character">
    <w:name w:val="ListLabel 8"/>
    <w:next w:val="style27"/>
    <w:rPr>
      <w:rFonts w:cs="Wingdings 2"/>
    </w:rPr>
  </w:style>
  <w:style w:styleId="style28" w:type="character">
    <w:name w:val="ListLabel 9"/>
    <w:next w:val="style28"/>
    <w:rPr>
      <w:rFonts w:cs="OpenSymbol"/>
    </w:rPr>
  </w:style>
  <w:style w:styleId="style29" w:type="character">
    <w:name w:val="ListLabel 10"/>
    <w:next w:val="style29"/>
    <w:rPr>
      <w:rFonts w:cs="Symbol"/>
    </w:rPr>
  </w:style>
  <w:style w:styleId="style30" w:type="character">
    <w:name w:val="ListLabel 11"/>
    <w:next w:val="style30"/>
    <w:rPr>
      <w:rFonts w:cs="Wingdings 2"/>
    </w:rPr>
  </w:style>
  <w:style w:styleId="style31" w:type="character">
    <w:name w:val="ListLabel 12"/>
    <w:next w:val="style31"/>
    <w:rPr>
      <w:rFonts w:cs="OpenSymbol"/>
    </w:rPr>
  </w:style>
  <w:style w:styleId="style32" w:type="character">
    <w:name w:val="ListLabel 13"/>
    <w:next w:val="style32"/>
    <w:rPr>
      <w:rFonts w:cs="Wingdings 2"/>
    </w:rPr>
  </w:style>
  <w:style w:styleId="style33" w:type="character">
    <w:name w:val="ListLabel 14"/>
    <w:next w:val="style33"/>
    <w:rPr>
      <w:rFonts w:cs="OpenSymbol"/>
    </w:rPr>
  </w:style>
  <w:style w:styleId="style34" w:type="paragraph">
    <w:name w:val="Encabezado"/>
    <w:basedOn w:val="style0"/>
    <w:next w:val="style35"/>
    <w:pPr>
      <w:keepNext/>
      <w:spacing w:after="120" w:before="240"/>
    </w:pPr>
    <w:rPr>
      <w:rFonts w:ascii="Arial" w:cs="Mangal" w:eastAsia="Lucida Sans Unicode" w:hAnsi="Arial"/>
      <w:sz w:val="28"/>
      <w:szCs w:val="28"/>
    </w:rPr>
  </w:style>
  <w:style w:styleId="style35" w:type="paragraph">
    <w:name w:val="Cuerpo de texto"/>
    <w:basedOn w:val="style0"/>
    <w:next w:val="style35"/>
    <w:pPr>
      <w:spacing w:after="120" w:before="0"/>
    </w:pPr>
    <w:rPr/>
  </w:style>
  <w:style w:styleId="style36" w:type="paragraph">
    <w:name w:val="Lista"/>
    <w:basedOn w:val="style35"/>
    <w:next w:val="style36"/>
    <w:pPr/>
    <w:rPr>
      <w:rFonts w:cs="Mangal"/>
    </w:rPr>
  </w:style>
  <w:style w:styleId="style37" w:type="paragraph">
    <w:name w:val="Etiqueta"/>
    <w:basedOn w:val="style0"/>
    <w:next w:val="style37"/>
    <w:pPr>
      <w:suppressLineNumbers/>
      <w:spacing w:after="120" w:before="120"/>
    </w:pPr>
    <w:rPr>
      <w:rFonts w:cs="Mangal"/>
      <w:i/>
      <w:iCs/>
      <w:sz w:val="24"/>
      <w:szCs w:val="24"/>
    </w:rPr>
  </w:style>
  <w:style w:styleId="style38" w:type="paragraph">
    <w:name w:val="Índice"/>
    <w:basedOn w:val="style0"/>
    <w:next w:val="style38"/>
    <w:pPr>
      <w:suppressLineNumbers/>
    </w:pPr>
    <w:rPr>
      <w:rFonts w:cs="Mangal"/>
    </w:rPr>
  </w:style>
  <w:style w:styleId="style39" w:type="paragraph">
    <w:name w:val="List Paragraph"/>
    <w:basedOn w:val="style0"/>
    <w:next w:val="style39"/>
    <w:pPr>
      <w:ind w:hanging="0" w:left="720" w:right="0"/>
    </w:pPr>
    <w:rPr/>
  </w:style>
  <w:style w:styleId="style40" w:type="paragraph">
    <w:name w:val="Balloon Text"/>
    <w:basedOn w:val="style0"/>
    <w:next w:val="style40"/>
    <w:pPr>
      <w:spacing w:after="0" w:before="0" w:line="100" w:lineRule="atLeast"/>
    </w:pPr>
    <w:rPr>
      <w:rFonts w:ascii="Segoe UI" w:cs="Segoe UI" w:hAnsi="Segoe UI"/>
      <w:sz w:val="18"/>
      <w:szCs w:val="18"/>
    </w:rPr>
  </w:style>
  <w:style w:styleId="style41" w:type="paragraph">
    <w:name w:val="Contenido de la tabla"/>
    <w:basedOn w:val="style0"/>
    <w:next w:val="style4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hyperlink" Target="http://www.comprasestatales.gub.uy/"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2019-03-28T14:17:00.00Z</dcterms:created>
  <dc:creator>uccar22</dc:creator>
  <cp:lastModifiedBy>serap_sice02</cp:lastModifiedBy>
  <cp:lastPrinted>2019-04-02T10:48:31.20Z</cp:lastPrinted>
  <dcterms:modified xsi:type="dcterms:W3CDTF">2019-03-28T15:13:00.00Z</dcterms:modified>
  <cp:revision>3</cp:revision>
</cp:coreProperties>
</file>