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314380">
        <w:rPr>
          <w:b/>
          <w:sz w:val="28"/>
          <w:szCs w:val="28"/>
        </w:rPr>
        <w:t xml:space="preserve">  </w:t>
      </w:r>
      <w:r w:rsidR="00CD59D1">
        <w:rPr>
          <w:b/>
          <w:sz w:val="28"/>
          <w:szCs w:val="28"/>
        </w:rPr>
        <w:t>112.2018</w:t>
      </w:r>
      <w:r w:rsidR="00314380">
        <w:rPr>
          <w:b/>
          <w:sz w:val="28"/>
          <w:szCs w:val="28"/>
        </w:rPr>
        <w:t xml:space="preserve">                                       </w:t>
      </w:r>
      <w:r w:rsidR="008E7D9D" w:rsidRPr="00AF3091">
        <w:rPr>
          <w:b/>
          <w:sz w:val="24"/>
          <w:szCs w:val="24"/>
        </w:rPr>
        <w:t>APERTURA ELECTRÓNICA</w:t>
      </w:r>
    </w:p>
    <w:p w:rsidR="009D6B18" w:rsidRDefault="009D6B18" w:rsidP="00314380">
      <w:pPr>
        <w:rPr>
          <w:b/>
        </w:rPr>
      </w:pPr>
    </w:p>
    <w:p w:rsidR="00314380" w:rsidRPr="00846D80" w:rsidRDefault="00314380" w:rsidP="00314380">
      <w:pPr>
        <w:rPr>
          <w:sz w:val="28"/>
          <w:szCs w:val="28"/>
        </w:rPr>
      </w:pPr>
      <w:r w:rsidRPr="008E7D9D">
        <w:rPr>
          <w:b/>
        </w:rPr>
        <w:t>FECHA  TOPE RECEPCION DE OFERTAS</w:t>
      </w:r>
      <w:r>
        <w:rPr>
          <w:b/>
        </w:rPr>
        <w:t xml:space="preserve">   </w:t>
      </w:r>
      <w:r w:rsidR="00CD59D1" w:rsidRPr="00CD59D1">
        <w:rPr>
          <w:b/>
          <w:sz w:val="28"/>
          <w:szCs w:val="28"/>
        </w:rPr>
        <w:t>14/12/2018</w:t>
      </w:r>
      <w:r>
        <w:rPr>
          <w:b/>
        </w:rPr>
        <w:t xml:space="preserve">                                    HORA</w:t>
      </w:r>
      <w:r w:rsidRPr="00846D80">
        <w:rPr>
          <w:b/>
          <w:sz w:val="28"/>
          <w:szCs w:val="28"/>
        </w:rPr>
        <w:t xml:space="preserve">:   </w:t>
      </w:r>
      <w:r w:rsidR="00CD59D1">
        <w:rPr>
          <w:b/>
          <w:sz w:val="28"/>
          <w:szCs w:val="28"/>
        </w:rPr>
        <w:t>1</w:t>
      </w:r>
      <w:r w:rsidR="006F4D16">
        <w:rPr>
          <w:b/>
          <w:sz w:val="28"/>
          <w:szCs w:val="28"/>
        </w:rPr>
        <w:t>5:0</w:t>
      </w:r>
      <w:bookmarkStart w:id="0" w:name="_GoBack"/>
      <w:bookmarkEnd w:id="0"/>
      <w:r w:rsidR="00CD59D1">
        <w:rPr>
          <w:b/>
          <w:sz w:val="28"/>
          <w:szCs w:val="28"/>
        </w:rPr>
        <w:t>0</w:t>
      </w:r>
    </w:p>
    <w:p w:rsidR="00542AAD" w:rsidRDefault="00542AAD" w:rsidP="008E7D9D">
      <w:pPr>
        <w:ind w:right="-1135"/>
        <w:rPr>
          <w:b/>
          <w:sz w:val="28"/>
          <w:szCs w:val="28"/>
        </w:rPr>
      </w:pPr>
    </w:p>
    <w:p w:rsidR="00CD59D1" w:rsidRDefault="00B0553F" w:rsidP="00B0553F">
      <w:pPr>
        <w:rPr>
          <w:rFonts w:ascii="Arial" w:hAnsi="Arial" w:cs="Arial"/>
          <w:sz w:val="28"/>
          <w:szCs w:val="28"/>
        </w:rPr>
      </w:pPr>
      <w:r w:rsidRPr="00B0553F">
        <w:rPr>
          <w:b/>
          <w:sz w:val="28"/>
          <w:szCs w:val="28"/>
        </w:rPr>
        <w:t>OBJETO DEL LLAMADO</w:t>
      </w:r>
      <w:r w:rsidRPr="006E7276">
        <w:rPr>
          <w:rFonts w:ascii="Arial" w:hAnsi="Arial" w:cs="Arial"/>
          <w:sz w:val="28"/>
          <w:szCs w:val="28"/>
        </w:rPr>
        <w:t xml:space="preserve">: </w:t>
      </w:r>
    </w:p>
    <w:p w:rsidR="006E7276" w:rsidRDefault="00846D80" w:rsidP="00B0553F">
      <w:pPr>
        <w:rPr>
          <w:rFonts w:ascii="Arial" w:hAnsi="Arial" w:cs="Arial"/>
          <w:sz w:val="28"/>
          <w:szCs w:val="28"/>
        </w:rPr>
      </w:pPr>
      <w:r w:rsidRPr="006E7276">
        <w:rPr>
          <w:rFonts w:ascii="Arial" w:hAnsi="Arial" w:cs="Arial"/>
          <w:sz w:val="28"/>
          <w:szCs w:val="28"/>
        </w:rPr>
        <w:t xml:space="preserve"> </w:t>
      </w:r>
      <w:r w:rsidR="00CD59D1">
        <w:rPr>
          <w:rFonts w:ascii="Arial" w:hAnsi="Arial" w:cs="Arial"/>
          <w:sz w:val="28"/>
          <w:szCs w:val="28"/>
        </w:rPr>
        <w:t>1 COMPRESOR</w:t>
      </w:r>
    </w:p>
    <w:p w:rsidR="00FA65F3" w:rsidRDefault="00846D80" w:rsidP="00CD59D1">
      <w:pPr>
        <w:spacing w:line="480" w:lineRule="auto"/>
        <w:rPr>
          <w:b/>
        </w:rPr>
      </w:pPr>
      <w:r w:rsidRPr="006E7276">
        <w:rPr>
          <w:rFonts w:ascii="Arial" w:hAnsi="Arial" w:cs="Arial"/>
          <w:sz w:val="28"/>
          <w:szCs w:val="28"/>
        </w:rPr>
        <w:t xml:space="preserve"> </w:t>
      </w:r>
      <w:r w:rsidR="00FA65F3" w:rsidRPr="008E7D9D">
        <w:rPr>
          <w:b/>
        </w:rPr>
        <w:t>2.  ESPECIFICACIONES TÉCNICAS</w:t>
      </w:r>
      <w:r w:rsidR="00866DFE">
        <w:rPr>
          <w:b/>
        </w:rPr>
        <w:t xml:space="preserve"> MÍNIMAS REQUERIDAS:</w:t>
      </w:r>
    </w:p>
    <w:p w:rsidR="00CD59D1" w:rsidRPr="00CD59D1" w:rsidRDefault="00CD59D1" w:rsidP="00CD59D1">
      <w:pPr>
        <w:spacing w:line="480" w:lineRule="auto"/>
        <w:rPr>
          <w:b/>
          <w:sz w:val="28"/>
          <w:szCs w:val="28"/>
        </w:rPr>
      </w:pPr>
      <w:r w:rsidRPr="00CD59D1">
        <w:rPr>
          <w:b/>
          <w:sz w:val="28"/>
          <w:szCs w:val="28"/>
        </w:rPr>
        <w:t>Capacidad 50 l</w:t>
      </w:r>
    </w:p>
    <w:p w:rsidR="00CD59D1" w:rsidRPr="00CD59D1" w:rsidRDefault="00CD59D1" w:rsidP="00CD59D1">
      <w:pPr>
        <w:spacing w:line="480" w:lineRule="auto"/>
        <w:rPr>
          <w:b/>
          <w:sz w:val="28"/>
          <w:szCs w:val="28"/>
        </w:rPr>
      </w:pPr>
      <w:r w:rsidRPr="00CD59D1">
        <w:rPr>
          <w:b/>
          <w:sz w:val="28"/>
          <w:szCs w:val="28"/>
        </w:rPr>
        <w:t>Motor 2HP</w:t>
      </w: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lastRenderedPageBreak/>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lastRenderedPageBreak/>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r w:rsidR="00866DFE">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t xml:space="preserve">Las ofertas serán evaluadas en forma primaria, respecto del cumplimiento de los requisitos formales y de admisibilidad </w:t>
      </w:r>
      <w:r w:rsidR="00866DFE">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866DFE" w:rsidRDefault="00866DFE" w:rsidP="00FA65F3"/>
    <w:p w:rsidR="00866DFE" w:rsidRDefault="00866DFE" w:rsidP="00FA65F3"/>
    <w:p w:rsidR="00FA65F3" w:rsidRPr="003253C7" w:rsidRDefault="00FA65F3" w:rsidP="00FA65F3">
      <w:pPr>
        <w:rPr>
          <w:b/>
        </w:rPr>
      </w:pPr>
      <w:r w:rsidRPr="003253C7">
        <w:rPr>
          <w:b/>
        </w:rPr>
        <w:lastRenderedPageBreak/>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866DFE" w:rsidRDefault="00866DFE" w:rsidP="00FA65F3"/>
    <w:p w:rsidR="00866DFE" w:rsidRDefault="00866DFE" w:rsidP="00FA65F3"/>
    <w:p w:rsidR="00FA65F3" w:rsidRPr="003253C7" w:rsidRDefault="00FA65F3" w:rsidP="00FA65F3">
      <w:pPr>
        <w:rPr>
          <w:b/>
        </w:rPr>
      </w:pPr>
      <w:r w:rsidRPr="003253C7">
        <w:rPr>
          <w:b/>
        </w:rPr>
        <w:lastRenderedPageBreak/>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Pr>
        <w:rPr>
          <w:b/>
        </w:rPr>
      </w:pPr>
      <w:r w:rsidRPr="006F27BE">
        <w:rPr>
          <w:b/>
        </w:rPr>
        <w:t>Lugar de entrega</w:t>
      </w:r>
      <w:proofErr w:type="gramStart"/>
      <w:r w:rsidRPr="006F27BE">
        <w:rPr>
          <w:b/>
        </w:rPr>
        <w:t>:</w:t>
      </w:r>
      <w:r w:rsidR="00CD59D1">
        <w:rPr>
          <w:b/>
        </w:rPr>
        <w:t xml:space="preserve"> </w:t>
      </w:r>
      <w:r w:rsidRPr="006F27BE">
        <w:rPr>
          <w:b/>
        </w:rPr>
        <w:t xml:space="preserve"> Soriano</w:t>
      </w:r>
      <w:proofErr w:type="gramEnd"/>
      <w:r w:rsidRPr="006F27BE">
        <w:rPr>
          <w:b/>
        </w:rPr>
        <w:t xml:space="preserve"> 802 PISO 5-Montevideo.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14380"/>
    <w:rsid w:val="003253C7"/>
    <w:rsid w:val="003B2BC4"/>
    <w:rsid w:val="003C2398"/>
    <w:rsid w:val="003F4622"/>
    <w:rsid w:val="004623D9"/>
    <w:rsid w:val="004A2296"/>
    <w:rsid w:val="00542AAD"/>
    <w:rsid w:val="00561E2C"/>
    <w:rsid w:val="006471AE"/>
    <w:rsid w:val="00676A38"/>
    <w:rsid w:val="006E7276"/>
    <w:rsid w:val="006F27BE"/>
    <w:rsid w:val="006F4D16"/>
    <w:rsid w:val="00745B15"/>
    <w:rsid w:val="007A4A8B"/>
    <w:rsid w:val="007A5BF6"/>
    <w:rsid w:val="00846D80"/>
    <w:rsid w:val="00866DFE"/>
    <w:rsid w:val="008E217C"/>
    <w:rsid w:val="008E7D9D"/>
    <w:rsid w:val="009901D0"/>
    <w:rsid w:val="009D6B18"/>
    <w:rsid w:val="00AF3091"/>
    <w:rsid w:val="00B0553F"/>
    <w:rsid w:val="00CD59D1"/>
    <w:rsid w:val="00D01D1E"/>
    <w:rsid w:val="00D343C4"/>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C9CF-6C4E-44EB-93F1-02E8B5F4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sataides</cp:lastModifiedBy>
  <cp:revision>3</cp:revision>
  <cp:lastPrinted>2018-12-04T16:03:00Z</cp:lastPrinted>
  <dcterms:created xsi:type="dcterms:W3CDTF">2018-12-12T14:40:00Z</dcterms:created>
  <dcterms:modified xsi:type="dcterms:W3CDTF">2018-12-12T16:41:00Z</dcterms:modified>
</cp:coreProperties>
</file>