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0CA" w:rsidRDefault="00064D88" w:rsidP="00CE00CA">
      <w:bookmarkStart w:id="0" w:name="_GoBack"/>
      <w:bookmarkEnd w:id="0"/>
      <w:r>
        <w:rPr>
          <w:noProof/>
          <w:lang w:eastAsia="es-UY"/>
        </w:rPr>
        <w:drawing>
          <wp:inline distT="0" distB="0" distL="0" distR="0" wp14:anchorId="0CD798B4" wp14:editId="4609E8C3">
            <wp:extent cx="1926336" cy="384048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C_lg_hoja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336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5AA" w:rsidRDefault="008C05AA">
      <w:pPr>
        <w:rPr>
          <w:b/>
          <w:sz w:val="28"/>
          <w:u w:val="single"/>
        </w:rPr>
      </w:pPr>
    </w:p>
    <w:p w:rsidR="00433A28" w:rsidRPr="00433A28" w:rsidRDefault="00360F03">
      <w:pPr>
        <w:rPr>
          <w:b/>
          <w:sz w:val="28"/>
          <w:u w:val="single"/>
        </w:rPr>
      </w:pPr>
      <w:r w:rsidRPr="00433A28">
        <w:rPr>
          <w:b/>
          <w:sz w:val="28"/>
          <w:u w:val="single"/>
        </w:rPr>
        <w:t>Información general</w:t>
      </w:r>
      <w:r>
        <w:rPr>
          <w:b/>
          <w:sz w:val="28"/>
          <w:u w:val="single"/>
        </w:rPr>
        <w:t>:</w:t>
      </w:r>
    </w:p>
    <w:p w:rsidR="00433A28" w:rsidRDefault="00433A28" w:rsidP="00433A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EAC organiza sus exposiciones en cuatro temporadas anuales que comprenden todos sus espacios expositivos, distribuidos en dos plantas, más intervenciones en espacios exteriores. </w:t>
      </w:r>
    </w:p>
    <w:p w:rsidR="00433A28" w:rsidRDefault="00433A28" w:rsidP="00433A2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Consultar planos en: </w:t>
      </w:r>
      <w:hyperlink r:id="rId7" w:history="1">
        <w:r>
          <w:rPr>
            <w:rStyle w:val="Hipervnculo"/>
            <w:rFonts w:ascii="Arial" w:hAnsi="Arial"/>
          </w:rPr>
          <w:t>http://www.eac.gub.uy/eac_files/eac_pdf/convocatorias/eac_planos_de_salas.pdf</w:t>
        </w:r>
      </w:hyperlink>
    </w:p>
    <w:p w:rsidR="00433A28" w:rsidRDefault="00433A28" w:rsidP="00433A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Lugar de prestación de servicios: </w:t>
      </w:r>
      <w:r>
        <w:rPr>
          <w:rFonts w:ascii="Arial" w:hAnsi="Arial" w:cs="Arial"/>
          <w:sz w:val="24"/>
          <w:szCs w:val="24"/>
        </w:rPr>
        <w:t>Arenal Grande 1930 esquina Miguelete</w:t>
      </w:r>
    </w:p>
    <w:p w:rsidR="00433A28" w:rsidRDefault="00433A28" w:rsidP="00433A2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Período de contratación: </w:t>
      </w:r>
      <w:r w:rsidRPr="00A2505E">
        <w:rPr>
          <w:rFonts w:ascii="Arial" w:hAnsi="Arial" w:cs="Arial"/>
          <w:sz w:val="24"/>
          <w:szCs w:val="24"/>
        </w:rPr>
        <w:t>2</w:t>
      </w:r>
      <w:r w:rsidR="00A2505E" w:rsidRPr="00A2505E">
        <w:rPr>
          <w:rFonts w:ascii="Arial" w:hAnsi="Arial" w:cs="Arial"/>
          <w:sz w:val="24"/>
          <w:szCs w:val="24"/>
        </w:rPr>
        <w:t>9</w:t>
      </w:r>
      <w:r w:rsidRPr="00A2505E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mayo</w:t>
      </w:r>
      <w:r w:rsidRPr="00F947E1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7</w:t>
      </w:r>
      <w:r w:rsidRPr="00F947E1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19 de noviembre 2</w:t>
      </w:r>
      <w:r w:rsidRPr="00F947E1">
        <w:rPr>
          <w:rFonts w:ascii="Arial" w:hAnsi="Arial" w:cs="Arial"/>
          <w:sz w:val="24"/>
          <w:szCs w:val="24"/>
        </w:rPr>
        <w:t>017</w:t>
      </w:r>
    </w:p>
    <w:p w:rsidR="00433A28" w:rsidRDefault="00433A28" w:rsidP="00433A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Contacto: </w:t>
      </w:r>
      <w:r>
        <w:rPr>
          <w:rFonts w:ascii="Arial" w:hAnsi="Arial" w:cs="Arial"/>
          <w:sz w:val="24"/>
          <w:szCs w:val="24"/>
        </w:rPr>
        <w:t xml:space="preserve">María Eugenia Vidal – </w:t>
      </w:r>
      <w:hyperlink r:id="rId8" w:history="1">
        <w:r>
          <w:rPr>
            <w:rStyle w:val="Hipervnculo"/>
            <w:rFonts w:ascii="Arial" w:hAnsi="Arial"/>
          </w:rPr>
          <w:t>mvidal@eac.gub.uy</w:t>
        </w:r>
      </w:hyperlink>
      <w:r>
        <w:rPr>
          <w:rFonts w:ascii="Arial" w:hAnsi="Arial" w:cs="Arial"/>
          <w:sz w:val="24"/>
          <w:szCs w:val="24"/>
        </w:rPr>
        <w:t xml:space="preserve"> / 29292066 – </w:t>
      </w:r>
      <w:proofErr w:type="spellStart"/>
      <w:r>
        <w:rPr>
          <w:rFonts w:ascii="Arial" w:hAnsi="Arial" w:cs="Arial"/>
          <w:sz w:val="24"/>
          <w:szCs w:val="24"/>
        </w:rPr>
        <w:t>int</w:t>
      </w:r>
      <w:proofErr w:type="spellEnd"/>
      <w:r>
        <w:rPr>
          <w:rFonts w:ascii="Arial" w:hAnsi="Arial" w:cs="Arial"/>
          <w:sz w:val="24"/>
          <w:szCs w:val="24"/>
        </w:rPr>
        <w:t>. 109</w:t>
      </w:r>
    </w:p>
    <w:p w:rsidR="00433A28" w:rsidRDefault="00433A28" w:rsidP="00433A2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Fechas de montaje de Temporadas:</w:t>
      </w:r>
    </w:p>
    <w:p w:rsidR="00433A28" w:rsidRDefault="00433A28" w:rsidP="00433A28">
      <w:pPr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Temporada 26. Inauguración 8 de junio 2017.</w:t>
      </w:r>
    </w:p>
    <w:p w:rsidR="00433A28" w:rsidRPr="00A2505E" w:rsidRDefault="00433A28" w:rsidP="00433A28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Montaje: a partir </w:t>
      </w:r>
      <w:r w:rsidRPr="00A2505E">
        <w:rPr>
          <w:rFonts w:ascii="Arial" w:hAnsi="Arial" w:cs="Arial"/>
          <w:sz w:val="24"/>
          <w:szCs w:val="24"/>
        </w:rPr>
        <w:t>del 29 de mayo</w:t>
      </w:r>
    </w:p>
    <w:p w:rsidR="00433A28" w:rsidRPr="00A2505E" w:rsidRDefault="00433A28" w:rsidP="00433A28">
      <w:pPr>
        <w:spacing w:after="0"/>
        <w:ind w:left="720"/>
        <w:rPr>
          <w:rFonts w:ascii="Arial" w:hAnsi="Arial" w:cs="Arial"/>
          <w:i/>
          <w:sz w:val="24"/>
          <w:szCs w:val="24"/>
        </w:rPr>
      </w:pPr>
      <w:r w:rsidRPr="00A2505E">
        <w:rPr>
          <w:rFonts w:ascii="Arial" w:hAnsi="Arial" w:cs="Arial"/>
          <w:i/>
          <w:sz w:val="24"/>
          <w:szCs w:val="24"/>
        </w:rPr>
        <w:t xml:space="preserve">Se requerirá una reunión previa </w:t>
      </w:r>
      <w:r w:rsidR="00AA51F1" w:rsidRPr="00A2505E">
        <w:rPr>
          <w:rFonts w:ascii="Arial" w:hAnsi="Arial" w:cs="Arial"/>
          <w:i/>
          <w:sz w:val="24"/>
          <w:szCs w:val="24"/>
        </w:rPr>
        <w:t xml:space="preserve">con no menos de 15 días hábiles de antelación, </w:t>
      </w:r>
      <w:r w:rsidRPr="00A2505E">
        <w:rPr>
          <w:rFonts w:ascii="Arial" w:hAnsi="Arial" w:cs="Arial"/>
          <w:i/>
          <w:sz w:val="24"/>
          <w:szCs w:val="24"/>
        </w:rPr>
        <w:t>para coordinación de producción y previsión de materiales.</w:t>
      </w:r>
    </w:p>
    <w:p w:rsidR="00433A28" w:rsidRPr="00A2505E" w:rsidRDefault="00433A28" w:rsidP="00433A28">
      <w:pPr>
        <w:spacing w:after="0"/>
        <w:ind w:left="720"/>
        <w:rPr>
          <w:rFonts w:ascii="Arial" w:hAnsi="Arial" w:cs="Arial"/>
          <w:i/>
          <w:sz w:val="24"/>
          <w:szCs w:val="24"/>
        </w:rPr>
      </w:pPr>
    </w:p>
    <w:p w:rsidR="00433A28" w:rsidRPr="00A2505E" w:rsidRDefault="00433A28" w:rsidP="00433A28">
      <w:pPr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A2505E">
        <w:rPr>
          <w:rFonts w:ascii="Arial" w:hAnsi="Arial" w:cs="Arial"/>
          <w:sz w:val="24"/>
          <w:szCs w:val="24"/>
        </w:rPr>
        <w:t>Temporada 27. Inauguración 7 de setiembre 2017.</w:t>
      </w:r>
    </w:p>
    <w:p w:rsidR="00433A28" w:rsidRPr="00A2505E" w:rsidRDefault="00433A28" w:rsidP="00433A28">
      <w:pPr>
        <w:spacing w:after="0"/>
        <w:ind w:left="720"/>
        <w:rPr>
          <w:rFonts w:ascii="Arial" w:hAnsi="Arial" w:cs="Arial"/>
          <w:sz w:val="24"/>
          <w:szCs w:val="24"/>
        </w:rPr>
      </w:pPr>
      <w:r w:rsidRPr="00A2505E">
        <w:rPr>
          <w:rFonts w:ascii="Arial" w:hAnsi="Arial" w:cs="Arial"/>
          <w:sz w:val="24"/>
          <w:szCs w:val="24"/>
        </w:rPr>
        <w:t>Montaje: a partir del 28 de agosto</w:t>
      </w:r>
    </w:p>
    <w:p w:rsidR="00433A28" w:rsidRDefault="00433A28" w:rsidP="00433A28">
      <w:pPr>
        <w:spacing w:after="0"/>
        <w:ind w:left="720"/>
        <w:rPr>
          <w:rFonts w:ascii="Arial" w:hAnsi="Arial" w:cs="Arial"/>
          <w:i/>
          <w:sz w:val="24"/>
          <w:szCs w:val="24"/>
        </w:rPr>
      </w:pPr>
      <w:r w:rsidRPr="00A2505E">
        <w:rPr>
          <w:rFonts w:ascii="Arial" w:hAnsi="Arial" w:cs="Arial"/>
          <w:i/>
          <w:sz w:val="24"/>
          <w:szCs w:val="24"/>
        </w:rPr>
        <w:t xml:space="preserve">Se requerirá una reunión previa </w:t>
      </w:r>
      <w:r w:rsidR="00AA51F1" w:rsidRPr="00A2505E">
        <w:rPr>
          <w:rFonts w:ascii="Arial" w:hAnsi="Arial" w:cs="Arial"/>
          <w:i/>
          <w:sz w:val="24"/>
          <w:szCs w:val="24"/>
        </w:rPr>
        <w:t xml:space="preserve">con no menos de 15 días hábiles de antelación, </w:t>
      </w:r>
      <w:r w:rsidRPr="00A2505E">
        <w:rPr>
          <w:rFonts w:ascii="Arial" w:hAnsi="Arial" w:cs="Arial"/>
          <w:i/>
          <w:sz w:val="24"/>
          <w:szCs w:val="24"/>
        </w:rPr>
        <w:t>para coordinación de producción y previsión de materiales.</w:t>
      </w:r>
    </w:p>
    <w:p w:rsidR="00433A28" w:rsidRDefault="00433A28" w:rsidP="00433A28">
      <w:pPr>
        <w:spacing w:after="0"/>
        <w:rPr>
          <w:rFonts w:ascii="Arial" w:hAnsi="Arial" w:cs="Arial"/>
          <w:b/>
          <w:sz w:val="24"/>
          <w:szCs w:val="24"/>
        </w:rPr>
      </w:pPr>
    </w:p>
    <w:p w:rsidR="00433A28" w:rsidRDefault="00433A28" w:rsidP="00433A2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Cantidad de personal estimado para cada montaje: </w:t>
      </w:r>
      <w:r>
        <w:rPr>
          <w:rFonts w:ascii="Arial" w:hAnsi="Arial" w:cs="Arial"/>
          <w:sz w:val="24"/>
          <w:szCs w:val="24"/>
        </w:rPr>
        <w:t>5</w:t>
      </w:r>
      <w:r w:rsidR="00360F03">
        <w:rPr>
          <w:rFonts w:ascii="Arial" w:hAnsi="Arial" w:cs="Arial"/>
          <w:sz w:val="24"/>
          <w:szCs w:val="24"/>
        </w:rPr>
        <w:t>- 6</w:t>
      </w:r>
      <w:r>
        <w:rPr>
          <w:rFonts w:ascii="Arial" w:hAnsi="Arial" w:cs="Arial"/>
          <w:sz w:val="24"/>
          <w:szCs w:val="24"/>
        </w:rPr>
        <w:t xml:space="preserve"> personas</w:t>
      </w:r>
    </w:p>
    <w:p w:rsidR="00433A28" w:rsidRDefault="00433A28" w:rsidP="00433A28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Comprende las distintas capacidades técnicas requeridas para cumplir con lo solicitado en la descripción del objeto del presente llamado (pintura, construcción en madera y/o yeso, montaje artístico en general)</w:t>
      </w:r>
    </w:p>
    <w:p w:rsidR="00433A28" w:rsidRDefault="00433A28" w:rsidP="00433A28">
      <w:pPr>
        <w:spacing w:after="0"/>
        <w:rPr>
          <w:rFonts w:ascii="Arial" w:hAnsi="Arial" w:cs="Arial"/>
          <w:b/>
          <w:sz w:val="24"/>
          <w:szCs w:val="24"/>
        </w:rPr>
      </w:pPr>
    </w:p>
    <w:p w:rsidR="00433A28" w:rsidRDefault="00433A28" w:rsidP="00433A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Cantidad de días estimados para cada desmontaje/montaje: </w:t>
      </w:r>
      <w:r>
        <w:rPr>
          <w:rFonts w:ascii="Arial" w:hAnsi="Arial" w:cs="Arial"/>
          <w:sz w:val="24"/>
          <w:szCs w:val="24"/>
        </w:rPr>
        <w:t>10 días</w:t>
      </w:r>
    </w:p>
    <w:p w:rsidR="00433A28" w:rsidRDefault="00433A28" w:rsidP="00433A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Carga horaria máxima estimada por día de montaje: </w:t>
      </w:r>
      <w:r>
        <w:rPr>
          <w:rFonts w:ascii="Arial" w:hAnsi="Arial" w:cs="Arial"/>
          <w:sz w:val="24"/>
          <w:szCs w:val="24"/>
        </w:rPr>
        <w:t>8 horas</w:t>
      </w:r>
    </w:p>
    <w:p w:rsidR="008C05AA" w:rsidRDefault="008C05AA">
      <w:pPr>
        <w:rPr>
          <w:b/>
          <w:sz w:val="28"/>
          <w:u w:val="single"/>
        </w:rPr>
      </w:pPr>
    </w:p>
    <w:p w:rsidR="008C05AA" w:rsidRPr="00360F03" w:rsidRDefault="008C05AA" w:rsidP="008C05AA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  <w:r>
        <w:rPr>
          <w:b/>
          <w:sz w:val="28"/>
          <w:u w:val="single"/>
        </w:rPr>
        <w:lastRenderedPageBreak/>
        <w:t>Se solicita:</w:t>
      </w:r>
    </w:p>
    <w:p w:rsidR="008C05AA" w:rsidRDefault="008C05AA" w:rsidP="008C05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proveedor deberá proveer todos los servicios inherentes a un montaje artístico, a saber:</w:t>
      </w:r>
    </w:p>
    <w:p w:rsidR="008C05AA" w:rsidRPr="00474CF3" w:rsidRDefault="00AC29E7" w:rsidP="008C05AA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74CF3">
        <w:rPr>
          <w:rFonts w:ascii="Arial" w:hAnsi="Arial" w:cs="Arial"/>
          <w:sz w:val="24"/>
          <w:szCs w:val="24"/>
        </w:rPr>
        <w:t>Desmontaje y m</w:t>
      </w:r>
      <w:r w:rsidR="008C05AA" w:rsidRPr="00474CF3">
        <w:rPr>
          <w:rFonts w:ascii="Arial" w:hAnsi="Arial" w:cs="Arial"/>
          <w:sz w:val="24"/>
          <w:szCs w:val="24"/>
        </w:rPr>
        <w:t>ontaje de obras de arte en salas de exposición y espacios exteriores</w:t>
      </w:r>
      <w:r w:rsidR="00A2505E" w:rsidRPr="00474CF3">
        <w:rPr>
          <w:rFonts w:ascii="Arial" w:hAnsi="Arial" w:cs="Arial"/>
          <w:sz w:val="24"/>
          <w:szCs w:val="24"/>
        </w:rPr>
        <w:t>, incluyendo tecnología según indicaciones que dará el personal idóneo del EAC.</w:t>
      </w:r>
    </w:p>
    <w:p w:rsidR="008C05AA" w:rsidRPr="00474CF3" w:rsidRDefault="008C05AA" w:rsidP="008C05AA">
      <w:pPr>
        <w:suppressAutoHyphens/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</w:p>
    <w:p w:rsidR="008C05AA" w:rsidRPr="00474CF3" w:rsidRDefault="008C05AA" w:rsidP="008C05AA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74CF3">
        <w:rPr>
          <w:rFonts w:ascii="Arial" w:hAnsi="Arial" w:cs="Arial"/>
          <w:sz w:val="24"/>
          <w:szCs w:val="24"/>
        </w:rPr>
        <w:t>Asesoría museográfica</w:t>
      </w:r>
      <w:r w:rsidR="00A2505E" w:rsidRPr="00474CF3">
        <w:rPr>
          <w:rFonts w:ascii="Arial" w:hAnsi="Arial" w:cs="Arial"/>
          <w:sz w:val="24"/>
          <w:szCs w:val="24"/>
        </w:rPr>
        <w:t xml:space="preserve"> e iluminación</w:t>
      </w:r>
      <w:r w:rsidRPr="00474CF3">
        <w:rPr>
          <w:rFonts w:ascii="Arial" w:hAnsi="Arial" w:cs="Arial"/>
          <w:sz w:val="24"/>
          <w:szCs w:val="24"/>
        </w:rPr>
        <w:t>.</w:t>
      </w:r>
    </w:p>
    <w:p w:rsidR="008C05AA" w:rsidRPr="002775F0" w:rsidRDefault="008C05AA" w:rsidP="008C05AA">
      <w:pPr>
        <w:suppressAutoHyphens/>
        <w:spacing w:after="0" w:line="240" w:lineRule="auto"/>
        <w:ind w:left="426"/>
        <w:jc w:val="both"/>
        <w:rPr>
          <w:rFonts w:ascii="Arial" w:hAnsi="Arial" w:cs="Arial"/>
          <w:sz w:val="16"/>
          <w:szCs w:val="24"/>
        </w:rPr>
      </w:pPr>
    </w:p>
    <w:p w:rsidR="008C05AA" w:rsidRDefault="008C05AA" w:rsidP="008C05AA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Pintura de salas/espacios y puesta a punto de paredes, techos y estructuras existentes.</w:t>
      </w:r>
    </w:p>
    <w:p w:rsidR="008C05AA" w:rsidRPr="002775F0" w:rsidRDefault="008C05AA" w:rsidP="008C05AA">
      <w:pPr>
        <w:suppressAutoHyphens/>
        <w:spacing w:after="0" w:line="240" w:lineRule="auto"/>
        <w:ind w:left="426"/>
        <w:jc w:val="both"/>
        <w:rPr>
          <w:rFonts w:ascii="Arial" w:hAnsi="Arial" w:cs="Arial"/>
          <w:sz w:val="16"/>
          <w:szCs w:val="24"/>
        </w:rPr>
      </w:pPr>
    </w:p>
    <w:p w:rsidR="008C05AA" w:rsidRPr="00A2505E" w:rsidRDefault="008C05AA" w:rsidP="008C05AA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Construcción de materiales museográficos (bases, estantes, plataformas, paneles, </w:t>
      </w:r>
      <w:r w:rsidRPr="00A2505E">
        <w:rPr>
          <w:rFonts w:ascii="Arial" w:hAnsi="Arial" w:cs="Arial"/>
          <w:sz w:val="24"/>
          <w:szCs w:val="24"/>
        </w:rPr>
        <w:t xml:space="preserve">vitrinas, </w:t>
      </w:r>
      <w:proofErr w:type="spellStart"/>
      <w:r w:rsidRPr="00A2505E">
        <w:rPr>
          <w:rFonts w:ascii="Arial" w:hAnsi="Arial" w:cs="Arial"/>
          <w:sz w:val="24"/>
          <w:szCs w:val="24"/>
        </w:rPr>
        <w:t>etc</w:t>
      </w:r>
      <w:proofErr w:type="spellEnd"/>
      <w:r w:rsidRPr="00A2505E">
        <w:rPr>
          <w:rFonts w:ascii="Arial" w:hAnsi="Arial" w:cs="Arial"/>
          <w:sz w:val="24"/>
          <w:szCs w:val="24"/>
        </w:rPr>
        <w:t xml:space="preserve">) en madera, vidrio, acrílico y/o yeso. </w:t>
      </w:r>
    </w:p>
    <w:p w:rsidR="008C05AA" w:rsidRPr="00A2505E" w:rsidRDefault="008C05AA" w:rsidP="008C05AA">
      <w:pPr>
        <w:numPr>
          <w:ilvl w:val="3"/>
          <w:numId w:val="1"/>
        </w:numPr>
        <w:suppressAutoHyphens/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A2505E">
        <w:rPr>
          <w:rFonts w:ascii="Arial" w:hAnsi="Arial" w:cs="Arial"/>
          <w:sz w:val="24"/>
          <w:szCs w:val="24"/>
        </w:rPr>
        <w:t>Tanto el material arriba mencionado como cualquier otro que pueda necesitarse (nylon burbuja, cartón corrugado, papel de embalar, cintas, artefactos lumínicos, lámparas</w:t>
      </w:r>
      <w:r>
        <w:rPr>
          <w:rFonts w:ascii="Arial" w:hAnsi="Arial" w:cs="Arial"/>
          <w:sz w:val="24"/>
          <w:szCs w:val="24"/>
        </w:rPr>
        <w:t xml:space="preserve"> de proyectores, cables, baterías, </w:t>
      </w:r>
      <w:r w:rsidRPr="00BD7B99">
        <w:rPr>
          <w:rFonts w:ascii="Arial" w:hAnsi="Arial" w:cs="Arial"/>
          <w:sz w:val="24"/>
          <w:szCs w:val="24"/>
        </w:rPr>
        <w:t>etc</w:t>
      </w:r>
      <w:r w:rsidR="00AC29E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) será proporcionado por la Dirección Nacional de Cultura. La empresa adjudicada deberá entregar, en tiempo y forma, la lista de materiales necesarios para cumplir </w:t>
      </w:r>
      <w:r w:rsidRPr="00A2505E">
        <w:rPr>
          <w:rFonts w:ascii="Arial" w:hAnsi="Arial" w:cs="Arial"/>
          <w:sz w:val="24"/>
          <w:szCs w:val="24"/>
        </w:rPr>
        <w:t xml:space="preserve">de la mejor forma </w:t>
      </w:r>
      <w:r w:rsidR="00AC29E7" w:rsidRPr="00A2505E">
        <w:rPr>
          <w:rFonts w:ascii="Arial" w:hAnsi="Arial" w:cs="Arial"/>
          <w:sz w:val="24"/>
          <w:szCs w:val="24"/>
        </w:rPr>
        <w:t xml:space="preserve">los trabajos según el diseño de </w:t>
      </w:r>
      <w:r w:rsidRPr="00A2505E">
        <w:rPr>
          <w:rFonts w:ascii="Arial" w:hAnsi="Arial" w:cs="Arial"/>
          <w:sz w:val="24"/>
          <w:szCs w:val="24"/>
        </w:rPr>
        <w:t>montaje</w:t>
      </w:r>
      <w:r w:rsidR="00AC29E7" w:rsidRPr="00A2505E">
        <w:rPr>
          <w:rFonts w:ascii="Arial" w:hAnsi="Arial" w:cs="Arial"/>
          <w:sz w:val="24"/>
          <w:szCs w:val="24"/>
        </w:rPr>
        <w:t xml:space="preserve"> propuesto por el EAC</w:t>
      </w:r>
      <w:r w:rsidRPr="00A2505E">
        <w:rPr>
          <w:rFonts w:ascii="Arial" w:hAnsi="Arial" w:cs="Arial"/>
          <w:sz w:val="24"/>
          <w:szCs w:val="24"/>
        </w:rPr>
        <w:t xml:space="preserve">. </w:t>
      </w:r>
    </w:p>
    <w:p w:rsidR="008C05AA" w:rsidRDefault="008C05AA" w:rsidP="008C05AA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A2505E">
        <w:rPr>
          <w:rFonts w:ascii="Arial" w:hAnsi="Arial" w:cs="Arial"/>
          <w:sz w:val="24"/>
          <w:szCs w:val="24"/>
        </w:rPr>
        <w:t>Dichos materiales  se obtendrán mediante procedimientos de compra, por lo que</w:t>
      </w:r>
      <w:r>
        <w:rPr>
          <w:rFonts w:ascii="Arial" w:hAnsi="Arial" w:cs="Arial"/>
          <w:sz w:val="24"/>
          <w:szCs w:val="24"/>
        </w:rPr>
        <w:t xml:space="preserve"> será necesario  contar con la lista de materiales al menos 20 días antes del inicio de cada montaje.</w:t>
      </w:r>
    </w:p>
    <w:p w:rsidR="008C05AA" w:rsidRPr="002775F0" w:rsidRDefault="008C05AA" w:rsidP="008C05AA">
      <w:pPr>
        <w:spacing w:after="0"/>
        <w:ind w:left="709"/>
        <w:jc w:val="both"/>
        <w:rPr>
          <w:rFonts w:ascii="Arial" w:hAnsi="Arial" w:cs="Arial"/>
          <w:sz w:val="16"/>
          <w:szCs w:val="24"/>
        </w:rPr>
      </w:pPr>
    </w:p>
    <w:p w:rsidR="008C05AA" w:rsidRDefault="008C05AA" w:rsidP="008C05AA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Ordenamiento y adecuado mantenimiento de almacenes / depósitos de obras de arte y espacios de trabajo.</w:t>
      </w:r>
    </w:p>
    <w:p w:rsidR="008C05AA" w:rsidRPr="002775F0" w:rsidRDefault="008C05AA" w:rsidP="008C05AA">
      <w:pPr>
        <w:suppressAutoHyphens/>
        <w:spacing w:after="0" w:line="240" w:lineRule="auto"/>
        <w:ind w:left="426"/>
        <w:jc w:val="both"/>
        <w:rPr>
          <w:rFonts w:ascii="Arial" w:hAnsi="Arial" w:cs="Arial"/>
          <w:sz w:val="16"/>
          <w:szCs w:val="24"/>
        </w:rPr>
      </w:pPr>
    </w:p>
    <w:p w:rsidR="008C05AA" w:rsidRDefault="008C05AA" w:rsidP="008C05AA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Embalajes y desembalajes de obras de arte.</w:t>
      </w:r>
    </w:p>
    <w:p w:rsidR="008C05AA" w:rsidRPr="00A2505E" w:rsidRDefault="008C05AA" w:rsidP="008C05AA">
      <w:pPr>
        <w:numPr>
          <w:ilvl w:val="3"/>
          <w:numId w:val="2"/>
        </w:numPr>
        <w:tabs>
          <w:tab w:val="left" w:pos="426"/>
        </w:tabs>
        <w:suppressAutoHyphens/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Estos procedimientos serán coordinarán previamente con </w:t>
      </w:r>
      <w:r w:rsidRPr="00A2505E">
        <w:rPr>
          <w:rFonts w:ascii="Arial" w:hAnsi="Arial" w:cs="Arial"/>
          <w:sz w:val="24"/>
          <w:szCs w:val="24"/>
        </w:rPr>
        <w:t xml:space="preserve">personal idóneo </w:t>
      </w:r>
      <w:r w:rsidR="00AC29E7" w:rsidRPr="00A2505E">
        <w:rPr>
          <w:rFonts w:ascii="Arial" w:hAnsi="Arial" w:cs="Arial"/>
          <w:sz w:val="24"/>
          <w:szCs w:val="24"/>
        </w:rPr>
        <w:t>del</w:t>
      </w:r>
      <w:r w:rsidRPr="00A2505E">
        <w:rPr>
          <w:rFonts w:ascii="Arial" w:hAnsi="Arial" w:cs="Arial"/>
          <w:sz w:val="24"/>
          <w:szCs w:val="24"/>
        </w:rPr>
        <w:t xml:space="preserve"> museo o con quien </w:t>
      </w:r>
      <w:r w:rsidR="00AC29E7" w:rsidRPr="00A2505E">
        <w:rPr>
          <w:rFonts w:ascii="Arial" w:hAnsi="Arial" w:cs="Arial"/>
          <w:sz w:val="24"/>
          <w:szCs w:val="24"/>
        </w:rPr>
        <w:t>éste</w:t>
      </w:r>
      <w:r w:rsidRPr="00A2505E">
        <w:rPr>
          <w:rFonts w:ascii="Arial" w:hAnsi="Arial" w:cs="Arial"/>
          <w:sz w:val="24"/>
          <w:szCs w:val="24"/>
        </w:rPr>
        <w:t xml:space="preserve"> indique.</w:t>
      </w:r>
    </w:p>
    <w:p w:rsidR="008C05AA" w:rsidRPr="002775F0" w:rsidRDefault="008C05AA" w:rsidP="008C05AA">
      <w:pPr>
        <w:tabs>
          <w:tab w:val="left" w:pos="426"/>
        </w:tabs>
        <w:suppressAutoHyphens/>
        <w:spacing w:after="0" w:line="240" w:lineRule="auto"/>
        <w:ind w:left="709"/>
        <w:jc w:val="both"/>
        <w:rPr>
          <w:rFonts w:ascii="Arial" w:hAnsi="Arial" w:cs="Arial"/>
          <w:sz w:val="16"/>
          <w:szCs w:val="24"/>
        </w:rPr>
      </w:pPr>
    </w:p>
    <w:p w:rsidR="008C05AA" w:rsidRDefault="008C05AA" w:rsidP="008C05AA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Cualquier otro trabajo relacionado con los anteriores</w:t>
      </w:r>
      <w:r w:rsidR="00A2505E">
        <w:rPr>
          <w:rFonts w:ascii="Arial" w:hAnsi="Arial" w:cs="Arial"/>
          <w:sz w:val="24"/>
          <w:szCs w:val="24"/>
        </w:rPr>
        <w:t xml:space="preserve">, a excepción de lo referente a </w:t>
      </w:r>
      <w:proofErr w:type="gramStart"/>
      <w:r w:rsidR="00A2505E">
        <w:rPr>
          <w:rFonts w:ascii="Arial" w:hAnsi="Arial" w:cs="Arial"/>
          <w:sz w:val="24"/>
          <w:szCs w:val="24"/>
        </w:rPr>
        <w:t>instalación eléctrica y cableados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8C05AA" w:rsidRDefault="008C05AA" w:rsidP="008C05AA">
      <w:pPr>
        <w:jc w:val="right"/>
      </w:pPr>
    </w:p>
    <w:p w:rsidR="008C05AA" w:rsidRPr="00360F03" w:rsidRDefault="008C05AA" w:rsidP="008C05AA">
      <w:pPr>
        <w:rPr>
          <w:b/>
          <w:sz w:val="28"/>
          <w:u w:val="single"/>
        </w:rPr>
      </w:pPr>
      <w:r w:rsidRPr="00360F03">
        <w:rPr>
          <w:b/>
          <w:sz w:val="28"/>
          <w:u w:val="single"/>
        </w:rPr>
        <w:t>Es imprescindible contemplar que:</w:t>
      </w:r>
    </w:p>
    <w:p w:rsidR="008C05AA" w:rsidRDefault="008C05AA" w:rsidP="008C05AA">
      <w:pPr>
        <w:pStyle w:val="NormalWeb"/>
        <w:numPr>
          <w:ilvl w:val="0"/>
          <w:numId w:val="3"/>
        </w:numPr>
        <w:spacing w:before="0" w:after="0"/>
        <w:ind w:left="426" w:hanging="426"/>
        <w:jc w:val="both"/>
        <w:rPr>
          <w:rFonts w:ascii="Arial" w:hAnsi="Arial" w:cs="Arial"/>
          <w:sz w:val="24"/>
          <w:szCs w:val="24"/>
          <w:lang w:val="es-UY"/>
        </w:rPr>
      </w:pPr>
      <w:r w:rsidRPr="002775F0">
        <w:rPr>
          <w:rFonts w:ascii="Arial" w:hAnsi="Arial" w:cs="Arial"/>
          <w:sz w:val="24"/>
          <w:szCs w:val="24"/>
          <w:lang w:val="es-UY"/>
        </w:rPr>
        <w:t>Se adjunten referencias de instituciones museísticas, galerías de arte y/o instituciones vinculadas a la cultura y las artes que demuestren fehacientemente la experiencia específica del oferente y su personal, con relación al objeto del llamado.</w:t>
      </w:r>
    </w:p>
    <w:p w:rsidR="008C05AA" w:rsidRPr="002775F0" w:rsidRDefault="008C05AA" w:rsidP="008C05AA">
      <w:pPr>
        <w:pStyle w:val="NormalWeb"/>
        <w:spacing w:before="0" w:after="0"/>
        <w:ind w:left="426"/>
        <w:jc w:val="both"/>
        <w:rPr>
          <w:rFonts w:ascii="Arial" w:hAnsi="Arial" w:cs="Arial"/>
          <w:sz w:val="16"/>
          <w:szCs w:val="24"/>
          <w:lang w:val="es-UY"/>
        </w:rPr>
      </w:pPr>
    </w:p>
    <w:p w:rsidR="008C05AA" w:rsidRDefault="008C05AA" w:rsidP="008C05AA">
      <w:pPr>
        <w:pStyle w:val="NormalWeb"/>
        <w:numPr>
          <w:ilvl w:val="0"/>
          <w:numId w:val="3"/>
        </w:numPr>
        <w:spacing w:before="0" w:after="0"/>
        <w:ind w:left="426" w:hanging="426"/>
        <w:jc w:val="both"/>
        <w:rPr>
          <w:rFonts w:ascii="Arial" w:hAnsi="Arial" w:cs="Arial"/>
          <w:sz w:val="24"/>
          <w:szCs w:val="24"/>
          <w:lang w:val="es-UY"/>
        </w:rPr>
      </w:pPr>
      <w:r w:rsidRPr="002775F0">
        <w:rPr>
          <w:rFonts w:ascii="Arial" w:hAnsi="Arial" w:cs="Arial"/>
          <w:sz w:val="24"/>
          <w:szCs w:val="24"/>
          <w:lang w:val="es-UY"/>
        </w:rPr>
        <w:t xml:space="preserve">En el desarrollo de las funciones de montaje, la empresa adjudicataria deberá asumir los estándares de manipulación de obras de arte y las condiciones de calidad, seguridad y control acordadas </w:t>
      </w:r>
      <w:r>
        <w:rPr>
          <w:rFonts w:ascii="Arial" w:hAnsi="Arial" w:cs="Arial"/>
          <w:sz w:val="24"/>
          <w:szCs w:val="24"/>
          <w:lang w:val="es-UY"/>
        </w:rPr>
        <w:t>con el EAC.</w:t>
      </w:r>
    </w:p>
    <w:p w:rsidR="008C05AA" w:rsidRPr="002775F0" w:rsidRDefault="008C05AA" w:rsidP="008C05AA">
      <w:pPr>
        <w:pStyle w:val="NormalWeb"/>
        <w:spacing w:before="0" w:after="0"/>
        <w:jc w:val="both"/>
        <w:rPr>
          <w:rFonts w:ascii="Arial" w:hAnsi="Arial" w:cs="Arial"/>
          <w:sz w:val="16"/>
          <w:szCs w:val="24"/>
          <w:lang w:val="es-UY"/>
        </w:rPr>
      </w:pPr>
    </w:p>
    <w:p w:rsidR="008C05AA" w:rsidRDefault="008C05AA" w:rsidP="008C05AA">
      <w:pPr>
        <w:pStyle w:val="NormalWeb"/>
        <w:numPr>
          <w:ilvl w:val="0"/>
          <w:numId w:val="3"/>
        </w:numPr>
        <w:spacing w:before="0" w:after="0"/>
        <w:ind w:left="426" w:hanging="426"/>
        <w:jc w:val="both"/>
        <w:rPr>
          <w:rFonts w:ascii="Arial" w:hAnsi="Arial" w:cs="Arial"/>
          <w:sz w:val="24"/>
          <w:szCs w:val="24"/>
          <w:lang w:val="es-UY"/>
        </w:rPr>
      </w:pPr>
      <w:r w:rsidRPr="002775F0">
        <w:rPr>
          <w:rFonts w:ascii="Arial" w:hAnsi="Arial" w:cs="Arial"/>
          <w:sz w:val="24"/>
          <w:szCs w:val="24"/>
          <w:lang w:val="es-UY"/>
        </w:rPr>
        <w:t>El adjudicatario designará un jefe de equipo, responsable de organizar el trabajo de común acuerdo con el referente que designe el EAC.</w:t>
      </w:r>
    </w:p>
    <w:p w:rsidR="008C05AA" w:rsidRPr="002775F0" w:rsidRDefault="008C05AA" w:rsidP="008C05AA">
      <w:pPr>
        <w:pStyle w:val="NormalWeb"/>
        <w:spacing w:before="0" w:after="0"/>
        <w:jc w:val="both"/>
        <w:rPr>
          <w:rFonts w:ascii="Arial" w:hAnsi="Arial" w:cs="Arial"/>
          <w:sz w:val="16"/>
          <w:szCs w:val="24"/>
          <w:lang w:val="es-UY"/>
        </w:rPr>
      </w:pPr>
    </w:p>
    <w:p w:rsidR="008C05AA" w:rsidRDefault="008C05AA" w:rsidP="008C05AA">
      <w:pPr>
        <w:pStyle w:val="NormalWeb"/>
        <w:numPr>
          <w:ilvl w:val="0"/>
          <w:numId w:val="3"/>
        </w:numPr>
        <w:spacing w:before="0" w:after="0"/>
        <w:ind w:left="426" w:hanging="426"/>
        <w:jc w:val="both"/>
        <w:rPr>
          <w:rFonts w:ascii="Arial" w:hAnsi="Arial" w:cs="Arial"/>
          <w:sz w:val="24"/>
          <w:szCs w:val="24"/>
          <w:lang w:val="es-UY"/>
        </w:rPr>
      </w:pPr>
      <w:r w:rsidRPr="002775F0">
        <w:rPr>
          <w:rFonts w:ascii="Arial" w:hAnsi="Arial" w:cs="Arial"/>
          <w:sz w:val="24"/>
          <w:szCs w:val="24"/>
          <w:lang w:val="es-UY"/>
        </w:rPr>
        <w:t xml:space="preserve">El adjudicatario queda obligado a disponer, para la realización de cada montaje, los recursos humanos necesarios, así como aquellas herramientas y útiles de trabajo requeridos para la prestación del servicio. </w:t>
      </w:r>
    </w:p>
    <w:p w:rsidR="008C05AA" w:rsidRPr="002775F0" w:rsidRDefault="008C05AA" w:rsidP="008C05AA">
      <w:pPr>
        <w:pStyle w:val="Prrafodelista"/>
        <w:spacing w:after="0"/>
        <w:rPr>
          <w:rFonts w:ascii="Arial" w:hAnsi="Arial" w:cs="Arial"/>
          <w:sz w:val="16"/>
          <w:szCs w:val="24"/>
          <w:lang w:val="es-UY"/>
        </w:rPr>
      </w:pPr>
    </w:p>
    <w:p w:rsidR="008C05AA" w:rsidRPr="002775F0" w:rsidRDefault="008C05AA" w:rsidP="008C05AA">
      <w:pPr>
        <w:pStyle w:val="NormalWeb"/>
        <w:numPr>
          <w:ilvl w:val="0"/>
          <w:numId w:val="3"/>
        </w:numPr>
        <w:spacing w:before="0" w:after="0"/>
        <w:ind w:left="426" w:hanging="426"/>
      </w:pPr>
      <w:r w:rsidRPr="002775F0">
        <w:rPr>
          <w:rFonts w:ascii="Arial" w:hAnsi="Arial" w:cs="Arial"/>
          <w:sz w:val="24"/>
          <w:szCs w:val="24"/>
          <w:lang w:val="es-UY"/>
        </w:rPr>
        <w:t xml:space="preserve">Visita Obligatoria: se deberá visitar el EAC con el fin de visualizar los trabajos a realizar y poder proyectar de forma más precisa la oferta. Dicha visita se coordinará a través de </w:t>
      </w:r>
      <w:hyperlink r:id="rId9" w:history="1">
        <w:r w:rsidRPr="002775F0">
          <w:rPr>
            <w:rStyle w:val="Hipervnculo"/>
            <w:rFonts w:ascii="Arial" w:hAnsi="Arial" w:cs="Arial"/>
            <w:sz w:val="24"/>
            <w:szCs w:val="24"/>
            <w:lang w:val="es-UY"/>
          </w:rPr>
          <w:t>mvidal@eac.gub.uy</w:t>
        </w:r>
      </w:hyperlink>
      <w:r w:rsidRPr="002775F0">
        <w:rPr>
          <w:rFonts w:ascii="Arial" w:hAnsi="Arial" w:cs="Arial"/>
          <w:sz w:val="24"/>
          <w:szCs w:val="24"/>
          <w:lang w:val="es-UY"/>
        </w:rPr>
        <w:t xml:space="preserve"> – 29292066 int.</w:t>
      </w:r>
      <w:r w:rsidR="00AC29E7">
        <w:rPr>
          <w:rFonts w:ascii="Arial" w:hAnsi="Arial" w:cs="Arial"/>
          <w:sz w:val="24"/>
          <w:szCs w:val="24"/>
          <w:lang w:val="es-UY"/>
        </w:rPr>
        <w:t>1</w:t>
      </w:r>
      <w:r w:rsidRPr="002775F0">
        <w:rPr>
          <w:rFonts w:ascii="Arial" w:hAnsi="Arial" w:cs="Arial"/>
          <w:sz w:val="24"/>
          <w:szCs w:val="24"/>
          <w:lang w:val="es-UY"/>
        </w:rPr>
        <w:t>09. Se entregará constancia, la cual deberá acompañar la oferta.</w:t>
      </w:r>
    </w:p>
    <w:p w:rsidR="008C05AA" w:rsidRPr="008C05AA" w:rsidRDefault="008C05AA">
      <w:pPr>
        <w:rPr>
          <w:b/>
          <w:sz w:val="28"/>
          <w:u w:val="single"/>
          <w:lang w:val="es-ES_tradnl"/>
        </w:rPr>
      </w:pPr>
    </w:p>
    <w:p w:rsidR="00A2505E" w:rsidRDefault="00A2505E" w:rsidP="00360F03">
      <w:pPr>
        <w:rPr>
          <w:b/>
          <w:sz w:val="28"/>
          <w:u w:val="single"/>
        </w:rPr>
      </w:pPr>
    </w:p>
    <w:p w:rsidR="00433A28" w:rsidRPr="00360F03" w:rsidRDefault="00433A28" w:rsidP="00360F03">
      <w:pPr>
        <w:rPr>
          <w:b/>
          <w:sz w:val="28"/>
          <w:u w:val="single"/>
        </w:rPr>
      </w:pPr>
      <w:r w:rsidRPr="00360F03">
        <w:rPr>
          <w:b/>
          <w:sz w:val="28"/>
          <w:u w:val="single"/>
        </w:rPr>
        <w:t>Mantenimiento:</w:t>
      </w:r>
    </w:p>
    <w:p w:rsidR="00433A28" w:rsidRDefault="00433A28" w:rsidP="00360F0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deberá contemplar la asistencia de mantenimiento de las exposiciones durante el transcurso de las </w:t>
      </w:r>
      <w:r w:rsidR="00360F03">
        <w:rPr>
          <w:rFonts w:ascii="Arial" w:hAnsi="Arial" w:cs="Arial"/>
          <w:sz w:val="24"/>
          <w:szCs w:val="24"/>
        </w:rPr>
        <w:t>dos</w:t>
      </w:r>
      <w:r>
        <w:rPr>
          <w:rFonts w:ascii="Arial" w:hAnsi="Arial" w:cs="Arial"/>
          <w:sz w:val="24"/>
          <w:szCs w:val="24"/>
        </w:rPr>
        <w:t xml:space="preserve"> temporadas arriba mencionadas. A modo de ejemplo, se estima como máximo que </w:t>
      </w:r>
      <w:r w:rsidR="00360F03">
        <w:rPr>
          <w:rFonts w:ascii="Arial" w:hAnsi="Arial" w:cs="Arial"/>
          <w:sz w:val="24"/>
          <w:szCs w:val="24"/>
        </w:rPr>
        <w:t>tres</w:t>
      </w:r>
      <w:r>
        <w:rPr>
          <w:rFonts w:ascii="Arial" w:hAnsi="Arial" w:cs="Arial"/>
          <w:sz w:val="24"/>
          <w:szCs w:val="24"/>
        </w:rPr>
        <w:t xml:space="preserve"> veces al mes puede requerirse asistencia para la solución de problemas </w:t>
      </w:r>
      <w:r w:rsidRPr="00A2505E">
        <w:rPr>
          <w:rFonts w:ascii="Arial" w:hAnsi="Arial" w:cs="Arial"/>
          <w:sz w:val="24"/>
          <w:szCs w:val="24"/>
        </w:rPr>
        <w:t xml:space="preserve">simples </w:t>
      </w:r>
      <w:r w:rsidR="00AC29E7" w:rsidRPr="00A2505E">
        <w:rPr>
          <w:rFonts w:ascii="Arial" w:hAnsi="Arial" w:cs="Arial"/>
          <w:sz w:val="24"/>
          <w:szCs w:val="24"/>
        </w:rPr>
        <w:t xml:space="preserve">tales </w:t>
      </w:r>
      <w:r w:rsidRPr="00A2505E">
        <w:rPr>
          <w:rFonts w:ascii="Arial" w:hAnsi="Arial" w:cs="Arial"/>
          <w:sz w:val="24"/>
          <w:szCs w:val="24"/>
        </w:rPr>
        <w:t>como reto</w:t>
      </w:r>
      <w:r w:rsidR="00360F03" w:rsidRPr="00A2505E">
        <w:rPr>
          <w:rFonts w:ascii="Arial" w:hAnsi="Arial" w:cs="Arial"/>
          <w:sz w:val="24"/>
          <w:szCs w:val="24"/>
        </w:rPr>
        <w:t>ques</w:t>
      </w:r>
      <w:r w:rsidR="00360F03">
        <w:rPr>
          <w:rFonts w:ascii="Arial" w:hAnsi="Arial" w:cs="Arial"/>
          <w:sz w:val="24"/>
          <w:szCs w:val="24"/>
        </w:rPr>
        <w:t xml:space="preserve"> de pintura o </w:t>
      </w:r>
      <w:r>
        <w:rPr>
          <w:rFonts w:ascii="Arial" w:hAnsi="Arial" w:cs="Arial"/>
          <w:sz w:val="24"/>
          <w:szCs w:val="24"/>
        </w:rPr>
        <w:t>defectos generados por el uso en los dispositivos propios de cada exposición.</w:t>
      </w:r>
    </w:p>
    <w:p w:rsidR="00A2505E" w:rsidRDefault="00A2505E" w:rsidP="00433A28">
      <w:pPr>
        <w:rPr>
          <w:rFonts w:ascii="Arial" w:hAnsi="Arial" w:cs="Arial"/>
          <w:sz w:val="24"/>
          <w:szCs w:val="24"/>
        </w:rPr>
      </w:pPr>
    </w:p>
    <w:p w:rsidR="00433A28" w:rsidRDefault="00433A28" w:rsidP="00433A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empresa tendrá la opción de desglosar el monto correspondiente a estas tareas de mantenimiento, presupuestándolo de forma mensual e independiente al costo de montaje de cada Temporada, o expresar que lo incluye dentro de su </w:t>
      </w:r>
      <w:r w:rsidR="00360F03">
        <w:rPr>
          <w:rFonts w:ascii="Arial" w:hAnsi="Arial" w:cs="Arial"/>
          <w:sz w:val="24"/>
          <w:szCs w:val="24"/>
        </w:rPr>
        <w:t xml:space="preserve">oferta general de montaje para </w:t>
      </w:r>
      <w:r>
        <w:rPr>
          <w:rFonts w:ascii="Arial" w:hAnsi="Arial" w:cs="Arial"/>
          <w:sz w:val="24"/>
          <w:szCs w:val="24"/>
        </w:rPr>
        <w:t xml:space="preserve">el período de contratación. </w:t>
      </w:r>
    </w:p>
    <w:p w:rsidR="008C05AA" w:rsidRDefault="008C05AA" w:rsidP="00433A28">
      <w:pPr>
        <w:rPr>
          <w:b/>
          <w:sz w:val="28"/>
          <w:u w:val="single"/>
        </w:rPr>
      </w:pPr>
    </w:p>
    <w:p w:rsidR="00433A28" w:rsidRPr="00360F03" w:rsidRDefault="00433A28" w:rsidP="00433A28">
      <w:pPr>
        <w:rPr>
          <w:b/>
          <w:sz w:val="28"/>
          <w:u w:val="single"/>
        </w:rPr>
      </w:pPr>
      <w:r w:rsidRPr="00360F03">
        <w:rPr>
          <w:b/>
          <w:sz w:val="28"/>
          <w:u w:val="single"/>
        </w:rPr>
        <w:t>Actividades adicionales (a modo de ejemplo)</w:t>
      </w:r>
    </w:p>
    <w:p w:rsidR="00433A28" w:rsidRDefault="00433A28" w:rsidP="00433A28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Vacaciones de Julio (julio)</w:t>
      </w:r>
    </w:p>
    <w:p w:rsidR="00433A28" w:rsidRDefault="00433A28" w:rsidP="00433A28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Día del futuro (setiembre)</w:t>
      </w:r>
    </w:p>
    <w:p w:rsidR="008C05AA" w:rsidRDefault="008C05AA" w:rsidP="00433A28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Talleres</w:t>
      </w:r>
    </w:p>
    <w:p w:rsidR="00433A28" w:rsidRDefault="00433A28" w:rsidP="00433A28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Jornadas de Patrimonio (octubre)</w:t>
      </w:r>
    </w:p>
    <w:p w:rsidR="00360F03" w:rsidRDefault="00360F03" w:rsidP="00433A28">
      <w:pPr>
        <w:rPr>
          <w:rFonts w:ascii="Arial" w:hAnsi="Arial" w:cs="Arial"/>
          <w:sz w:val="24"/>
          <w:szCs w:val="24"/>
        </w:rPr>
      </w:pPr>
    </w:p>
    <w:p w:rsidR="00433A28" w:rsidRDefault="00433A28" w:rsidP="00433A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Durante el año el EAC puede requerir de asistencia en los rubros objeto de este llamado, para actividades puntuales como las que se ejemplifican arriba. Se sugiere como parámetro </w:t>
      </w:r>
      <w:r w:rsidRPr="00474CF3">
        <w:rPr>
          <w:rFonts w:ascii="Arial" w:hAnsi="Arial" w:cs="Arial"/>
          <w:sz w:val="24"/>
          <w:szCs w:val="24"/>
        </w:rPr>
        <w:t xml:space="preserve">presupuestar </w:t>
      </w:r>
      <w:r w:rsidR="00A2505E" w:rsidRPr="00474CF3">
        <w:rPr>
          <w:rFonts w:ascii="Arial" w:hAnsi="Arial" w:cs="Arial"/>
          <w:sz w:val="24"/>
          <w:szCs w:val="24"/>
        </w:rPr>
        <w:t>en forma unitaria</w:t>
      </w:r>
      <w:r w:rsidRPr="00474CF3">
        <w:rPr>
          <w:rFonts w:ascii="Arial" w:hAnsi="Arial" w:cs="Arial"/>
          <w:sz w:val="24"/>
          <w:szCs w:val="24"/>
        </w:rPr>
        <w:t xml:space="preserve"> </w:t>
      </w:r>
      <w:r w:rsidR="00A2505E" w:rsidRPr="00474CF3">
        <w:rPr>
          <w:rFonts w:ascii="Arial" w:hAnsi="Arial" w:cs="Arial"/>
          <w:sz w:val="24"/>
          <w:szCs w:val="24"/>
        </w:rPr>
        <w:t>jornadas de trabajo de seis horas cada una, para dos personas</w:t>
      </w:r>
      <w:r w:rsidRPr="00474CF3">
        <w:rPr>
          <w:rFonts w:ascii="Arial" w:hAnsi="Arial" w:cs="Arial"/>
          <w:sz w:val="24"/>
          <w:szCs w:val="24"/>
        </w:rPr>
        <w:t xml:space="preserve">, </w:t>
      </w:r>
      <w:r w:rsidR="00B13459" w:rsidRPr="00474CF3">
        <w:rPr>
          <w:rFonts w:ascii="Arial" w:hAnsi="Arial" w:cs="Arial"/>
          <w:sz w:val="24"/>
          <w:szCs w:val="24"/>
        </w:rPr>
        <w:t>que una vez adjudicadas podrán ser distribuidas por el EAC</w:t>
      </w:r>
      <w:r w:rsidRPr="00474CF3">
        <w:rPr>
          <w:rFonts w:ascii="Arial" w:hAnsi="Arial" w:cs="Arial"/>
          <w:sz w:val="24"/>
          <w:szCs w:val="24"/>
        </w:rPr>
        <w:t xml:space="preserve"> en </w:t>
      </w:r>
      <w:r w:rsidR="00B13459" w:rsidRPr="00474CF3">
        <w:rPr>
          <w:rFonts w:ascii="Arial" w:hAnsi="Arial" w:cs="Arial"/>
          <w:sz w:val="24"/>
          <w:szCs w:val="24"/>
        </w:rPr>
        <w:t xml:space="preserve">cualquiera de </w:t>
      </w:r>
      <w:r w:rsidRPr="00474CF3">
        <w:rPr>
          <w:rFonts w:ascii="Arial" w:hAnsi="Arial" w:cs="Arial"/>
          <w:sz w:val="24"/>
          <w:szCs w:val="24"/>
        </w:rPr>
        <w:t>las actividades adicionales durante el período de contratación.</w:t>
      </w:r>
    </w:p>
    <w:p w:rsidR="002775F0" w:rsidRDefault="002775F0" w:rsidP="002775F0">
      <w:pPr>
        <w:pStyle w:val="NormalWeb"/>
        <w:spacing w:before="0" w:after="0"/>
        <w:jc w:val="both"/>
        <w:rPr>
          <w:rFonts w:ascii="Arial" w:hAnsi="Arial" w:cs="Arial"/>
          <w:b/>
          <w:sz w:val="24"/>
          <w:szCs w:val="24"/>
          <w:lang w:val="es-UY"/>
        </w:rPr>
      </w:pPr>
    </w:p>
    <w:p w:rsidR="002775F0" w:rsidRPr="002775F0" w:rsidRDefault="002775F0" w:rsidP="002775F0">
      <w:pPr>
        <w:pStyle w:val="NormalWeb"/>
        <w:spacing w:before="0" w:after="0"/>
        <w:jc w:val="both"/>
        <w:rPr>
          <w:rFonts w:ascii="Arial" w:hAnsi="Arial" w:cs="Arial"/>
          <w:b/>
          <w:sz w:val="24"/>
          <w:szCs w:val="24"/>
          <w:lang w:val="es-UY"/>
        </w:rPr>
      </w:pPr>
    </w:p>
    <w:p w:rsidR="00AA7F8A" w:rsidRDefault="00AA7F8A" w:rsidP="002775F0">
      <w:pPr>
        <w:pStyle w:val="NormalWeb"/>
        <w:spacing w:before="0" w:after="0"/>
        <w:ind w:left="426"/>
      </w:pPr>
      <w:r w:rsidRPr="00AA7F8A">
        <w:rPr>
          <w:noProof/>
          <w:lang w:val="es-UY" w:eastAsia="es-UY"/>
        </w:rPr>
        <w:drawing>
          <wp:anchor distT="0" distB="0" distL="114300" distR="114300" simplePos="0" relativeHeight="251659264" behindDoc="0" locked="0" layoutInCell="1" allowOverlap="1" wp14:anchorId="5BC6A83C" wp14:editId="6F30DF1C">
            <wp:simplePos x="0" y="0"/>
            <wp:positionH relativeFrom="margin">
              <wp:posOffset>152400</wp:posOffset>
            </wp:positionH>
            <wp:positionV relativeFrom="margin">
              <wp:posOffset>9116060</wp:posOffset>
            </wp:positionV>
            <wp:extent cx="2359025" cy="646430"/>
            <wp:effectExtent l="0" t="0" r="3175" b="127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C - pie hm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29" r="62085"/>
                    <a:stretch/>
                  </pic:blipFill>
                  <pic:spPr bwMode="auto">
                    <a:xfrm>
                      <a:off x="0" y="0"/>
                      <a:ext cx="2359025" cy="646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AA7F8A">
        <w:rPr>
          <w:noProof/>
          <w:lang w:val="es-UY" w:eastAsia="es-UY"/>
        </w:rPr>
        <w:drawing>
          <wp:anchor distT="0" distB="0" distL="114300" distR="114300" simplePos="0" relativeHeight="251660288" behindDoc="0" locked="0" layoutInCell="1" allowOverlap="1" wp14:anchorId="40EC2E42" wp14:editId="3FB761D5">
            <wp:simplePos x="0" y="0"/>
            <wp:positionH relativeFrom="margin">
              <wp:posOffset>5300980</wp:posOffset>
            </wp:positionH>
            <wp:positionV relativeFrom="margin">
              <wp:posOffset>9116060</wp:posOffset>
            </wp:positionV>
            <wp:extent cx="966470" cy="646430"/>
            <wp:effectExtent l="0" t="0" r="5080" b="1270"/>
            <wp:wrapSquare wrapText="bothSides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C - pie hm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125"/>
                    <a:stretch/>
                  </pic:blipFill>
                  <pic:spPr bwMode="auto">
                    <a:xfrm>
                      <a:off x="0" y="0"/>
                      <a:ext cx="966470" cy="646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AA7F8A" w:rsidSect="00064D8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0"/>
        </w:tabs>
        <w:ind w:left="13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58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309" w:hanging="180"/>
      </w:pPr>
    </w:lvl>
    <w:lvl w:ilvl="3">
      <w:start w:val="5"/>
      <w:numFmt w:val="bullet"/>
      <w:lvlText w:val="-"/>
      <w:lvlJc w:val="left"/>
      <w:pPr>
        <w:tabs>
          <w:tab w:val="num" w:pos="0"/>
        </w:tabs>
        <w:ind w:left="2029" w:hanging="360"/>
      </w:pPr>
      <w:rPr>
        <w:rFonts w:ascii="Arial" w:hAnsi="Arial" w:cs="Arial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74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4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1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90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29" w:hanging="180"/>
      </w:pPr>
    </w:lvl>
  </w:abstractNum>
  <w:abstractNum w:abstractNumId="1">
    <w:nsid w:val="00000006"/>
    <w:multiLevelType w:val="multilevel"/>
    <w:tmpl w:val="00000006"/>
    <w:name w:val="WW8Num8"/>
    <w:lvl w:ilvl="0">
      <w:start w:val="1"/>
      <w:numFmt w:val="lowerLetter"/>
      <w:lvlText w:val="%1."/>
      <w:lvlJc w:val="left"/>
      <w:pPr>
        <w:tabs>
          <w:tab w:val="num" w:pos="0"/>
        </w:tabs>
        <w:ind w:left="13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58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309" w:hanging="180"/>
      </w:pPr>
    </w:lvl>
    <w:lvl w:ilvl="3">
      <w:start w:val="5"/>
      <w:numFmt w:val="bullet"/>
      <w:lvlText w:val="-"/>
      <w:lvlJc w:val="left"/>
      <w:pPr>
        <w:tabs>
          <w:tab w:val="num" w:pos="0"/>
        </w:tabs>
        <w:ind w:left="2029" w:hanging="360"/>
      </w:pPr>
      <w:rPr>
        <w:rFonts w:ascii="Arial" w:hAnsi="Arial" w:cs="Arial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74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4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1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90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29" w:hanging="180"/>
      </w:pPr>
    </w:lvl>
  </w:abstractNum>
  <w:abstractNum w:abstractNumId="2">
    <w:nsid w:val="00000008"/>
    <w:multiLevelType w:val="singleLevel"/>
    <w:tmpl w:val="00000008"/>
    <w:name w:val="WW8Num11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  <w:u w:val="none"/>
      </w:rPr>
    </w:lvl>
  </w:abstractNum>
  <w:abstractNum w:abstractNumId="3">
    <w:nsid w:val="0000000A"/>
    <w:multiLevelType w:val="singleLevel"/>
    <w:tmpl w:val="0000000A"/>
    <w:name w:val="WW8Num18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D88"/>
    <w:rsid w:val="00064D88"/>
    <w:rsid w:val="00193EB8"/>
    <w:rsid w:val="001B7EC2"/>
    <w:rsid w:val="001C6162"/>
    <w:rsid w:val="002775F0"/>
    <w:rsid w:val="00360F03"/>
    <w:rsid w:val="003F52D8"/>
    <w:rsid w:val="00433A28"/>
    <w:rsid w:val="00474CF3"/>
    <w:rsid w:val="0066524C"/>
    <w:rsid w:val="007F55CC"/>
    <w:rsid w:val="008C05AA"/>
    <w:rsid w:val="00A04C7A"/>
    <w:rsid w:val="00A2505E"/>
    <w:rsid w:val="00AA51F1"/>
    <w:rsid w:val="00AA7F8A"/>
    <w:rsid w:val="00AC29E7"/>
    <w:rsid w:val="00B13459"/>
    <w:rsid w:val="00C2796E"/>
    <w:rsid w:val="00C34681"/>
    <w:rsid w:val="00CE00CA"/>
    <w:rsid w:val="00E11FD7"/>
    <w:rsid w:val="00F733C5"/>
    <w:rsid w:val="00FD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4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4D8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775F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Prrafodelista">
    <w:name w:val="List Paragraph"/>
    <w:basedOn w:val="Normal"/>
    <w:qFormat/>
    <w:rsid w:val="002775F0"/>
    <w:pPr>
      <w:ind w:left="720"/>
    </w:pPr>
    <w:rPr>
      <w:rFonts w:ascii="Calibri" w:eastAsia="Calibri" w:hAnsi="Calibri" w:cs="Times New Roman"/>
      <w:lang w:val="es-ES" w:eastAsia="ar-SA"/>
    </w:rPr>
  </w:style>
  <w:style w:type="character" w:styleId="Hipervnculo">
    <w:name w:val="Hyperlink"/>
    <w:basedOn w:val="Fuentedeprrafopredeter"/>
    <w:uiPriority w:val="99"/>
    <w:unhideWhenUsed/>
    <w:rsid w:val="002775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4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4D8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775F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Prrafodelista">
    <w:name w:val="List Paragraph"/>
    <w:basedOn w:val="Normal"/>
    <w:qFormat/>
    <w:rsid w:val="002775F0"/>
    <w:pPr>
      <w:ind w:left="720"/>
    </w:pPr>
    <w:rPr>
      <w:rFonts w:ascii="Calibri" w:eastAsia="Calibri" w:hAnsi="Calibri" w:cs="Times New Roman"/>
      <w:lang w:val="es-ES" w:eastAsia="ar-SA"/>
    </w:rPr>
  </w:style>
  <w:style w:type="character" w:styleId="Hipervnculo">
    <w:name w:val="Hyperlink"/>
    <w:basedOn w:val="Fuentedeprrafopredeter"/>
    <w:uiPriority w:val="99"/>
    <w:unhideWhenUsed/>
    <w:rsid w:val="002775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vidal@eac.gub.u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ac.gub.uy/eac_files/eac_pdf/convocatorias/eac_planos_de_sala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mvidal@eac.gub.u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H004</cp:lastModifiedBy>
  <cp:revision>2</cp:revision>
  <cp:lastPrinted>2013-02-05T21:24:00Z</cp:lastPrinted>
  <dcterms:created xsi:type="dcterms:W3CDTF">2017-05-03T17:01:00Z</dcterms:created>
  <dcterms:modified xsi:type="dcterms:W3CDTF">2017-05-03T17:01:00Z</dcterms:modified>
</cp:coreProperties>
</file>