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0431FC01"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C18FD">
              <w:rPr>
                <w:rFonts w:ascii="Verdana" w:hAnsi="Verdana"/>
                <w:b/>
                <w:lang w:val="es-ES"/>
              </w:rPr>
              <w:t xml:space="preserve"> </w:t>
            </w:r>
            <w:r w:rsidR="00817206">
              <w:rPr>
                <w:rFonts w:ascii="Verdana" w:hAnsi="Verdana"/>
                <w:b/>
                <w:lang w:val="es-ES"/>
              </w:rPr>
              <w:t>8</w:t>
            </w:r>
            <w:r w:rsidR="00D50B42">
              <w:rPr>
                <w:rFonts w:ascii="Verdana" w:hAnsi="Verdana"/>
                <w:b/>
                <w:lang w:val="es-ES"/>
              </w:rPr>
              <w:t>9</w:t>
            </w:r>
            <w:r w:rsidR="000D4159">
              <w:rPr>
                <w:rFonts w:ascii="Verdana" w:hAnsi="Verdana"/>
                <w:b/>
                <w:lang w:val="es-ES"/>
              </w:rPr>
              <w:t>/202</w:t>
            </w:r>
            <w:r w:rsidR="0096047E">
              <w:rPr>
                <w:rFonts w:ascii="Verdana" w:hAnsi="Verdana"/>
                <w:b/>
                <w:lang w:val="es-ES"/>
              </w:rPr>
              <w:t>4</w:t>
            </w:r>
            <w:r w:rsidR="00817206">
              <w:rPr>
                <w:rFonts w:ascii="Verdana" w:hAnsi="Verdana"/>
                <w:b/>
                <w:lang w:val="es-ES"/>
              </w:rPr>
              <w:t xml:space="preserve"> </w:t>
            </w:r>
          </w:p>
        </w:tc>
      </w:tr>
      <w:tr w:rsidR="00895B01" w:rsidRPr="00895B01" w14:paraId="17768DBF" w14:textId="77777777" w:rsidTr="00305753">
        <w:tc>
          <w:tcPr>
            <w:tcW w:w="10606" w:type="dxa"/>
          </w:tcPr>
          <w:p w14:paraId="1520695B" w14:textId="0E4D0FCA"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A12485">
              <w:rPr>
                <w:rFonts w:ascii="Verdana" w:hAnsi="Verdana"/>
                <w:color w:val="000000" w:themeColor="text1"/>
                <w:lang w:val="es-ES"/>
              </w:rPr>
              <w:t>2</w:t>
            </w:r>
            <w:r w:rsidR="00D50B42">
              <w:rPr>
                <w:rFonts w:ascii="Verdana" w:hAnsi="Verdana"/>
                <w:color w:val="000000" w:themeColor="text1"/>
                <w:lang w:val="es-ES"/>
              </w:rPr>
              <w:t>5</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13519082" w:rsidR="00895B01" w:rsidRPr="00A07CD4" w:rsidRDefault="00D50B42" w:rsidP="00A07CD4">
            <w:pPr>
              <w:spacing w:after="200" w:line="276" w:lineRule="auto"/>
              <w:ind w:left="881" w:right="863"/>
              <w:jc w:val="center"/>
              <w:rPr>
                <w:rFonts w:ascii="Verdana" w:hAnsi="Verdana"/>
                <w:b/>
              </w:rPr>
            </w:pPr>
            <w:r>
              <w:rPr>
                <w:rFonts w:ascii="Verdana" w:hAnsi="Verdana"/>
                <w:b/>
              </w:rPr>
              <w:t xml:space="preserve">CARRITO DE OFICINA 50X35, ALTURA 95 EN HIERRO Y MADERA </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24E8011D"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D50B42" w:rsidRPr="00D50B42">
              <w:rPr>
                <w:rFonts w:ascii="Verdana" w:hAnsi="Verdana"/>
                <w:b/>
                <w:bCs/>
                <w:color w:val="000000" w:themeColor="text1"/>
                <w:lang w:val="es-ES"/>
              </w:rPr>
              <w:t>6</w:t>
            </w:r>
            <w:r w:rsidR="00E10514" w:rsidRPr="007C480A">
              <w:rPr>
                <w:rFonts w:ascii="Verdana" w:hAnsi="Verdana"/>
                <w:b/>
                <w:bCs/>
                <w:color w:val="000000" w:themeColor="text1"/>
                <w:u w:val="single"/>
                <w:lang w:val="es-ES"/>
              </w:rPr>
              <w:t xml:space="preserve"> DE </w:t>
            </w:r>
            <w:r w:rsidR="009C68C2">
              <w:rPr>
                <w:rFonts w:ascii="Verdana" w:hAnsi="Verdana"/>
                <w:b/>
                <w:bCs/>
                <w:color w:val="000000" w:themeColor="text1"/>
                <w:u w:val="single"/>
                <w:lang w:val="es-ES"/>
              </w:rPr>
              <w:t>MAYO</w:t>
            </w:r>
            <w:r w:rsidR="00E10514" w:rsidRPr="007C480A">
              <w:rPr>
                <w:rFonts w:ascii="Verdana" w:hAnsi="Verdana"/>
                <w:b/>
                <w:bCs/>
                <w:color w:val="000000" w:themeColor="text1"/>
                <w:u w:val="single"/>
                <w:lang w:val="es-ES"/>
              </w:rPr>
              <w:t xml:space="preserve"> A LAS 1</w:t>
            </w:r>
            <w:r w:rsidR="007C480A">
              <w:rPr>
                <w:rFonts w:ascii="Verdana" w:hAnsi="Verdana"/>
                <w:b/>
                <w:bCs/>
                <w:color w:val="000000" w:themeColor="text1"/>
                <w:u w:val="single"/>
                <w:lang w:val="es-ES"/>
              </w:rPr>
              <w:t>0</w:t>
            </w:r>
            <w:r w:rsidR="00E10514" w:rsidRPr="007C480A">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27E0CB7F" w:rsidR="001908A2" w:rsidRDefault="001908A2" w:rsidP="004D2CBB">
            <w:pPr>
              <w:spacing w:before="100" w:after="100" w:line="192" w:lineRule="auto"/>
              <w:jc w:val="both"/>
              <w:rPr>
                <w:rFonts w:ascii="Verdana" w:hAnsi="Verdana"/>
                <w:lang w:val="es-ES"/>
              </w:rPr>
            </w:pPr>
          </w:p>
          <w:p w14:paraId="75EB9463" w14:textId="77777777" w:rsidR="00817206" w:rsidRDefault="00817206"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F3E5963" w14:textId="7D74D287" w:rsidR="001908A2" w:rsidRPr="00B22582" w:rsidRDefault="00E10514" w:rsidP="0047766A">
            <w:pPr>
              <w:ind w:left="1164" w:right="1147"/>
              <w:jc w:val="center"/>
              <w:rPr>
                <w:rFonts w:ascii="Verdana" w:eastAsia="Times New Roman" w:hAnsi="Verdana" w:cs="Times New Roman"/>
                <w:b/>
                <w:kern w:val="0"/>
                <w:lang w:val="es-ES" w:eastAsia="es-ES" w:bidi="ar-SA"/>
              </w:rPr>
            </w:pPr>
            <w:r w:rsidRPr="00B22582">
              <w:rPr>
                <w:rFonts w:ascii="Verdana" w:eastAsia="Times New Roman" w:hAnsi="Verdana" w:cs="Times New Roman"/>
                <w:b/>
                <w:kern w:val="0"/>
                <w:lang w:val="es-ES" w:eastAsia="es-ES" w:bidi="ar-SA"/>
              </w:rPr>
              <w:lastRenderedPageBreak/>
              <w:t>DETALLE DEL LLAMADO</w:t>
            </w: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5266E597" w14:textId="77777777" w:rsidR="00817206" w:rsidRDefault="00817206" w:rsidP="00E879D5">
            <w:pPr>
              <w:ind w:left="881" w:right="1147"/>
              <w:jc w:val="center"/>
              <w:rPr>
                <w:rFonts w:ascii="Verdana" w:eastAsia="Times New Roman" w:hAnsi="Verdana" w:cs="Times New Roman"/>
                <w:b/>
                <w:kern w:val="0"/>
                <w:sz w:val="22"/>
                <w:szCs w:val="22"/>
                <w:lang w:val="es-ES" w:eastAsia="es-ES" w:bidi="ar-SA"/>
              </w:rPr>
            </w:pPr>
          </w:p>
          <w:p w14:paraId="231D55B6" w14:textId="191193FC" w:rsidR="00E879D5" w:rsidRPr="00817206" w:rsidRDefault="00817206" w:rsidP="00E879D5">
            <w:pPr>
              <w:ind w:left="881" w:right="1147"/>
              <w:jc w:val="center"/>
              <w:rPr>
                <w:rFonts w:ascii="Verdana" w:eastAsia="Times New Roman" w:hAnsi="Verdana" w:cs="Times New Roman"/>
                <w:b/>
                <w:kern w:val="0"/>
                <w:sz w:val="22"/>
                <w:szCs w:val="22"/>
                <w:u w:val="single"/>
                <w:lang w:val="es-ES" w:eastAsia="es-ES" w:bidi="ar-SA"/>
              </w:rPr>
            </w:pPr>
            <w:r w:rsidRPr="00817206">
              <w:rPr>
                <w:rFonts w:ascii="Verdana" w:eastAsia="Times New Roman" w:hAnsi="Verdana" w:cs="Times New Roman"/>
                <w:b/>
                <w:kern w:val="0"/>
                <w:sz w:val="22"/>
                <w:szCs w:val="22"/>
                <w:u w:val="single"/>
                <w:lang w:val="es-ES" w:eastAsia="es-ES" w:bidi="ar-SA"/>
              </w:rPr>
              <w:t>FORMULARIOS AUTOCOPIANTES</w:t>
            </w:r>
          </w:p>
          <w:p w14:paraId="40C5148B" w14:textId="77777777" w:rsidR="00817206" w:rsidRDefault="00817206" w:rsidP="00817206">
            <w:pPr>
              <w:ind w:left="881" w:right="1147"/>
              <w:rPr>
                <w:rFonts w:ascii="Verdana" w:eastAsia="Times New Roman" w:hAnsi="Verdana" w:cs="Times New Roman"/>
                <w:b/>
                <w:kern w:val="0"/>
                <w:lang w:val="es-ES" w:eastAsia="es-ES" w:bidi="ar-SA"/>
              </w:rPr>
            </w:pPr>
          </w:p>
          <w:p w14:paraId="149C81E7" w14:textId="62722F6B" w:rsidR="00825765" w:rsidRPr="00817206" w:rsidRDefault="00D50B42" w:rsidP="00A12485">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Carro de </w:t>
            </w:r>
            <w:proofErr w:type="gramStart"/>
            <w:r>
              <w:rPr>
                <w:rFonts w:ascii="Verdana" w:eastAsia="Times New Roman" w:hAnsi="Verdana" w:cs="Times New Roman"/>
                <w:b/>
                <w:kern w:val="0"/>
                <w:lang w:val="es-ES" w:eastAsia="es-ES" w:bidi="ar-SA"/>
              </w:rPr>
              <w:t>oficina .medidas</w:t>
            </w:r>
            <w:proofErr w:type="gramEnd"/>
            <w:r>
              <w:rPr>
                <w:rFonts w:ascii="Verdana" w:eastAsia="Times New Roman" w:hAnsi="Verdana" w:cs="Times New Roman"/>
                <w:b/>
                <w:kern w:val="0"/>
                <w:lang w:val="es-ES" w:eastAsia="es-ES" w:bidi="ar-SA"/>
              </w:rPr>
              <w:t xml:space="preserve">: 50x35 , altura 95 en hierro y madera </w:t>
            </w: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1FC" w14:textId="4746DAE5" w:rsidR="00DB01DA" w:rsidRPr="00E879D5" w:rsidRDefault="00592FA0" w:rsidP="0041793C">
            <w:pPr>
              <w:rPr>
                <w:rFonts w:ascii="Verdana" w:eastAsia="Times New Roman" w:hAnsi="Verdana" w:cs="Times New Roman"/>
                <w:b/>
                <w:color w:val="000000" w:themeColor="text1"/>
                <w:kern w:val="0"/>
                <w:sz w:val="18"/>
                <w:szCs w:val="18"/>
                <w:lang w:val="es-ES" w:eastAsia="es-ES" w:bidi="ar-SA"/>
              </w:rPr>
            </w:pPr>
            <w:r w:rsidRPr="00592FA0">
              <w:rPr>
                <w:rFonts w:ascii="Verdana" w:eastAsia="Times New Roman" w:hAnsi="Verdana" w:cs="Times New Roman"/>
                <w:b/>
                <w:color w:val="000000" w:themeColor="text1"/>
                <w:kern w:val="0"/>
                <w:sz w:val="18"/>
                <w:szCs w:val="18"/>
                <w:lang w:val="es-ES" w:eastAsia="es-ES" w:bidi="ar-SA"/>
              </w:rPr>
              <w:t xml:space="preserve">Cód. Artículo </w:t>
            </w:r>
            <w:r w:rsidR="00D50B42">
              <w:rPr>
                <w:rFonts w:ascii="Verdana" w:eastAsia="Times New Roman" w:hAnsi="Verdana" w:cs="Times New Roman"/>
                <w:b/>
                <w:color w:val="000000" w:themeColor="text1"/>
                <w:kern w:val="0"/>
                <w:sz w:val="18"/>
                <w:szCs w:val="18"/>
                <w:lang w:val="es-ES" w:eastAsia="es-ES" w:bidi="ar-SA"/>
              </w:rPr>
              <w:t>5679</w:t>
            </w:r>
            <w:r w:rsidR="00A12485">
              <w:rPr>
                <w:rFonts w:ascii="Verdana" w:eastAsia="Times New Roman" w:hAnsi="Verdana" w:cs="Times New Roman"/>
                <w:b/>
                <w:color w:val="000000" w:themeColor="text1"/>
                <w:kern w:val="0"/>
                <w:sz w:val="18"/>
                <w:szCs w:val="18"/>
                <w:lang w:val="es-ES" w:eastAsia="es-ES" w:bidi="ar-SA"/>
              </w:rPr>
              <w:t xml:space="preserve"> -</w:t>
            </w:r>
            <w:r w:rsidR="00D50B42">
              <w:rPr>
                <w:rFonts w:ascii="Arial" w:hAnsi="Arial" w:cs="Arial"/>
                <w:color w:val="000000"/>
                <w:sz w:val="16"/>
                <w:szCs w:val="16"/>
                <w:shd w:val="clear" w:color="auto" w:fill="E9E9E9"/>
              </w:rPr>
              <w:t>CARRO DE METAL</w:t>
            </w:r>
          </w:p>
        </w:tc>
      </w:tr>
    </w:tbl>
    <w:p w14:paraId="1B4BA95B" w14:textId="42B8F2F9" w:rsidR="00A21D21" w:rsidRPr="00E879D5" w:rsidRDefault="00A21D21" w:rsidP="00A21D21">
      <w:pPr>
        <w:jc w:val="both"/>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1</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3EFC9C83" w14:textId="2C3D6608" w:rsidR="001E46B6" w:rsidRDefault="001E46B6"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D50B42">
              <w:rPr>
                <w:rFonts w:ascii="Verdana" w:hAnsi="Verdana"/>
                <w:color w:val="000000" w:themeColor="text1"/>
                <w:lang w:val="es-ES"/>
              </w:rPr>
              <w:t xml:space="preserve">Javier </w:t>
            </w:r>
            <w:proofErr w:type="spellStart"/>
            <w:r w:rsidR="00D50B42">
              <w:rPr>
                <w:rFonts w:ascii="Verdana" w:hAnsi="Verdana"/>
                <w:color w:val="000000" w:themeColor="text1"/>
                <w:lang w:val="es-ES"/>
              </w:rPr>
              <w:t>Pedrazzi</w:t>
            </w:r>
            <w:proofErr w:type="spellEnd"/>
            <w:r w:rsidR="00A12485">
              <w:rPr>
                <w:rFonts w:ascii="Verdana" w:hAnsi="Verdana"/>
                <w:color w:val="000000" w:themeColor="text1"/>
                <w:lang w:val="es-ES"/>
              </w:rPr>
              <w:t xml:space="preserve"> </w:t>
            </w:r>
          </w:p>
          <w:p w14:paraId="393F5DF7" w14:textId="0236B378" w:rsidR="00A12485" w:rsidRPr="00A12485" w:rsidRDefault="00D50B42" w:rsidP="00A12485">
            <w:pPr>
              <w:pStyle w:val="Prrafodelista"/>
              <w:numPr>
                <w:ilvl w:val="0"/>
                <w:numId w:val="38"/>
              </w:numPr>
              <w:ind w:left="2440"/>
              <w:rPr>
                <w:rFonts w:ascii="Verdana" w:hAnsi="Verdana"/>
                <w:color w:val="000000" w:themeColor="text1"/>
                <w:lang w:val="es-ES"/>
              </w:rPr>
            </w:pPr>
            <w:hyperlink r:id="rId11" w:history="1">
              <w:r w:rsidRPr="008C43D1">
                <w:rPr>
                  <w:rStyle w:val="Hipervnculo"/>
                  <w:rFonts w:ascii="Verdana" w:hAnsi="Verdana"/>
                  <w:lang w:val="es-ES"/>
                </w:rPr>
                <w:t>j</w:t>
              </w:r>
              <w:r w:rsidRPr="008C43D1">
                <w:rPr>
                  <w:rStyle w:val="Hipervnculo"/>
                  <w:rFonts w:ascii="Verdana" w:hAnsi="Verdana"/>
                </w:rPr>
                <w:t>avier.pedrazzi@ambiente.gub.uy</w:t>
              </w:r>
            </w:hyperlink>
            <w:r>
              <w:rPr>
                <w:rFonts w:ascii="Verdana" w:hAnsi="Verdana"/>
              </w:rPr>
              <w:t xml:space="preserve"> </w:t>
            </w:r>
          </w:p>
          <w:p w14:paraId="1E0E4970" w14:textId="24F6EB39" w:rsidR="00A07CD4" w:rsidRPr="00FA00AC" w:rsidRDefault="001E46B6" w:rsidP="00A12485">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F19C8" w:rsidRPr="001F19C8">
              <w:rPr>
                <w:rFonts w:ascii="Verdana" w:hAnsi="Verdana"/>
                <w:color w:val="000000" w:themeColor="text1"/>
                <w:lang w:val="es-ES"/>
              </w:rPr>
              <w:t>Tel.</w:t>
            </w:r>
            <w:r w:rsidR="00A07CD4">
              <w:rPr>
                <w:rFonts w:ascii="Verdana" w:hAnsi="Verdana"/>
                <w:color w:val="000000" w:themeColor="text1"/>
                <w:lang w:val="es-ES"/>
              </w:rPr>
              <w:t xml:space="preserve">: </w:t>
            </w:r>
            <w:r>
              <w:rPr>
                <w:rFonts w:ascii="Verdana" w:hAnsi="Verdana"/>
                <w:color w:val="000000" w:themeColor="text1"/>
                <w:lang w:val="es-ES"/>
              </w:rPr>
              <w:t xml:space="preserve">2917 33 80 Interno </w:t>
            </w:r>
            <w:r w:rsidR="00D50B42">
              <w:rPr>
                <w:rFonts w:ascii="Verdana" w:hAnsi="Verdana"/>
                <w:color w:val="000000" w:themeColor="text1"/>
                <w:lang w:val="es-ES"/>
              </w:rPr>
              <w:t>6110</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029AEF21"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CD46D9A" w14:textId="77777777" w:rsidR="0066319D" w:rsidRDefault="0066319D" w:rsidP="0066319D">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037E1A29"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9C68C2">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3"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7"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6"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8"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0" w15:restartNumberingAfterBreak="0">
    <w:nsid w:val="6E4A6AA0"/>
    <w:multiLevelType w:val="hybridMultilevel"/>
    <w:tmpl w:val="D32AAA58"/>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1"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2"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4"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5"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5"/>
  </w:num>
  <w:num w:numId="5">
    <w:abstractNumId w:val="31"/>
  </w:num>
  <w:num w:numId="6">
    <w:abstractNumId w:val="10"/>
  </w:num>
  <w:num w:numId="7">
    <w:abstractNumId w:val="9"/>
  </w:num>
  <w:num w:numId="8">
    <w:abstractNumId w:val="19"/>
  </w:num>
  <w:num w:numId="9">
    <w:abstractNumId w:val="11"/>
  </w:num>
  <w:num w:numId="10">
    <w:abstractNumId w:val="26"/>
  </w:num>
  <w:num w:numId="11">
    <w:abstractNumId w:val="15"/>
  </w:num>
  <w:num w:numId="12">
    <w:abstractNumId w:val="21"/>
  </w:num>
  <w:num w:numId="13">
    <w:abstractNumId w:val="45"/>
  </w:num>
  <w:num w:numId="14">
    <w:abstractNumId w:val="5"/>
  </w:num>
  <w:num w:numId="15">
    <w:abstractNumId w:val="27"/>
  </w:num>
  <w:num w:numId="16">
    <w:abstractNumId w:val="38"/>
  </w:num>
  <w:num w:numId="17">
    <w:abstractNumId w:val="24"/>
  </w:num>
  <w:num w:numId="18">
    <w:abstractNumId w:val="18"/>
  </w:num>
  <w:num w:numId="19">
    <w:abstractNumId w:val="0"/>
  </w:num>
  <w:num w:numId="20">
    <w:abstractNumId w:val="42"/>
  </w:num>
  <w:num w:numId="21">
    <w:abstractNumId w:val="12"/>
  </w:num>
  <w:num w:numId="22">
    <w:abstractNumId w:val="20"/>
  </w:num>
  <w:num w:numId="23">
    <w:abstractNumId w:val="7"/>
  </w:num>
  <w:num w:numId="24">
    <w:abstractNumId w:val="3"/>
  </w:num>
  <w:num w:numId="25">
    <w:abstractNumId w:val="1"/>
  </w:num>
  <w:num w:numId="26">
    <w:abstractNumId w:val="6"/>
  </w:num>
  <w:num w:numId="27">
    <w:abstractNumId w:val="36"/>
  </w:num>
  <w:num w:numId="28">
    <w:abstractNumId w:val="28"/>
  </w:num>
  <w:num w:numId="29">
    <w:abstractNumId w:val="29"/>
  </w:num>
  <w:num w:numId="30">
    <w:abstractNumId w:val="30"/>
  </w:num>
  <w:num w:numId="31">
    <w:abstractNumId w:val="2"/>
  </w:num>
  <w:num w:numId="32">
    <w:abstractNumId w:val="17"/>
  </w:num>
  <w:num w:numId="33">
    <w:abstractNumId w:val="16"/>
  </w:num>
  <w:num w:numId="34">
    <w:abstractNumId w:val="34"/>
  </w:num>
  <w:num w:numId="35">
    <w:abstractNumId w:val="39"/>
  </w:num>
  <w:num w:numId="36">
    <w:abstractNumId w:val="23"/>
  </w:num>
  <w:num w:numId="37">
    <w:abstractNumId w:val="43"/>
  </w:num>
  <w:num w:numId="38">
    <w:abstractNumId w:val="4"/>
  </w:num>
  <w:num w:numId="39">
    <w:abstractNumId w:val="22"/>
  </w:num>
  <w:num w:numId="40">
    <w:abstractNumId w:val="32"/>
  </w:num>
  <w:num w:numId="41">
    <w:abstractNumId w:val="37"/>
  </w:num>
  <w:num w:numId="42">
    <w:abstractNumId w:val="13"/>
  </w:num>
  <w:num w:numId="43">
    <w:abstractNumId w:val="35"/>
  </w:num>
  <w:num w:numId="44">
    <w:abstractNumId w:val="44"/>
  </w:num>
  <w:num w:numId="45">
    <w:abstractNumId w:val="41"/>
  </w:num>
  <w:num w:numId="46">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5F61"/>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319D"/>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076A"/>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206"/>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C68C2"/>
    <w:rsid w:val="009D43D6"/>
    <w:rsid w:val="009D4613"/>
    <w:rsid w:val="009E08EA"/>
    <w:rsid w:val="009E1F30"/>
    <w:rsid w:val="009F1604"/>
    <w:rsid w:val="00A016A7"/>
    <w:rsid w:val="00A03909"/>
    <w:rsid w:val="00A07CD4"/>
    <w:rsid w:val="00A1061C"/>
    <w:rsid w:val="00A11706"/>
    <w:rsid w:val="00A12485"/>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1B0A"/>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54489"/>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0B42"/>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3D44"/>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ier.pedrazzi@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Federico Cancro</cp:lastModifiedBy>
  <cp:revision>3</cp:revision>
  <cp:lastPrinted>2024-04-25T12:36:00Z</cp:lastPrinted>
  <dcterms:created xsi:type="dcterms:W3CDTF">2024-04-25T12:36:00Z</dcterms:created>
  <dcterms:modified xsi:type="dcterms:W3CDTF">2024-04-25T12:38:00Z</dcterms:modified>
</cp:coreProperties>
</file>