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445E" w:rsidRDefault="00155DF0">
      <w:pPr>
        <w:pStyle w:val="normal0"/>
        <w:shd w:val="clear" w:color="auto" w:fill="FFFFFF"/>
        <w:jc w:val="center"/>
        <w:rPr>
          <w:rFonts w:ascii="Courier New" w:eastAsia="Courier New" w:hAnsi="Courier New" w:cs="Courier New"/>
          <w:color w:val="111111"/>
          <w:sz w:val="24"/>
          <w:szCs w:val="24"/>
        </w:rPr>
      </w:pPr>
      <w:r>
        <w:rPr>
          <w:rFonts w:ascii="Courier New" w:eastAsia="Courier New" w:hAnsi="Courier New" w:cs="Courier New"/>
          <w:noProof/>
          <w:color w:val="111111"/>
          <w:sz w:val="24"/>
          <w:szCs w:val="24"/>
        </w:rPr>
        <w:drawing>
          <wp:anchor distT="0" distB="0" distL="114300" distR="114300" simplePos="0" relativeHeight="251659264" behindDoc="0" locked="0" layoutInCell="1" allowOverlap="1">
            <wp:simplePos x="0" y="0"/>
            <wp:positionH relativeFrom="column">
              <wp:posOffset>-716915</wp:posOffset>
            </wp:positionH>
            <wp:positionV relativeFrom="paragraph">
              <wp:posOffset>-473075</wp:posOffset>
            </wp:positionV>
            <wp:extent cx="7550150" cy="723265"/>
            <wp:effectExtent l="1905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50150" cy="723265"/>
                    </a:xfrm>
                    <a:prstGeom prst="rect">
                      <a:avLst/>
                    </a:prstGeom>
                    <a:ln/>
                  </pic:spPr>
                </pic:pic>
              </a:graphicData>
            </a:graphic>
          </wp:anchor>
        </w:drawing>
      </w:r>
    </w:p>
    <w:p w:rsidR="0004445E" w:rsidRDefault="000E7B7D">
      <w:pPr>
        <w:pStyle w:val="normal0"/>
        <w:spacing w:before="280" w:line="360" w:lineRule="auto"/>
        <w:jc w:val="center"/>
        <w:rPr>
          <w:b/>
          <w:u w:val="single"/>
        </w:rPr>
      </w:pPr>
      <w:r>
        <w:rPr>
          <w:b/>
          <w:u w:val="single"/>
        </w:rPr>
        <w:t>ANEXO I COMPRA DIRECTA</w:t>
      </w:r>
    </w:p>
    <w:p w:rsidR="0004445E" w:rsidRDefault="000E7B7D">
      <w:pPr>
        <w:pStyle w:val="normal0"/>
        <w:spacing w:line="360" w:lineRule="auto"/>
        <w:jc w:val="both"/>
      </w:pPr>
      <w:r>
        <w:t>Se informa que por la sola circunstancia de presentarse al presente procedimiento implica que el oferente conoce y acepta las condiciones y requerimientos establecidos en este Anexo.</w:t>
      </w:r>
    </w:p>
    <w:p w:rsidR="0004445E" w:rsidRDefault="000E7B7D">
      <w:pPr>
        <w:pStyle w:val="normal0"/>
        <w:spacing w:before="280" w:line="360" w:lineRule="auto"/>
        <w:jc w:val="both"/>
        <w:rPr>
          <w:b/>
        </w:rPr>
      </w:pPr>
      <w:r>
        <w:rPr>
          <w:b/>
        </w:rPr>
        <w:t xml:space="preserve">Requisitos técnicos: Se pretende comprar hasta: </w:t>
      </w:r>
    </w:p>
    <w:p w:rsidR="0004445E" w:rsidRDefault="000E7B7D">
      <w:pPr>
        <w:pStyle w:val="normal0"/>
        <w:spacing w:before="280" w:line="360" w:lineRule="auto"/>
        <w:jc w:val="both"/>
        <w:rPr>
          <w:b/>
          <w:u w:val="single"/>
        </w:rPr>
      </w:pPr>
      <w:r>
        <w:rPr>
          <w:b/>
          <w:u w:val="single"/>
        </w:rPr>
        <w:t>• 1 puerta de Aluminio</w:t>
      </w:r>
      <w:r w:rsidR="00540BA5">
        <w:t>:</w:t>
      </w:r>
      <w:r w:rsidRPr="00540BA5">
        <w:t xml:space="preserve"> </w:t>
      </w:r>
      <w:r w:rsidR="00540BA5">
        <w:t>M</w:t>
      </w:r>
      <w:r w:rsidRPr="00540BA5">
        <w:t>itad vidrio, con apertura externa izquierda, color anodizado. De dimensiones Ancho: 0,96 m por 2.09 m de altura. Tipo Aluminio Serie 20.</w:t>
      </w:r>
      <w:r>
        <w:rPr>
          <w:b/>
          <w:u w:val="single"/>
        </w:rPr>
        <w:br/>
        <w:t>• 1 puerta de Aluminio</w:t>
      </w:r>
      <w:r w:rsidR="00540BA5">
        <w:t>:</w:t>
      </w:r>
      <w:r w:rsidRPr="00540BA5">
        <w:t xml:space="preserve"> sin vidrio, con apertura externa izquierda, color anodizado. De dimensiones Ancho: 0,70 m por 2.00 m de altura. Tipo Aluminio Serie 20.</w:t>
      </w:r>
      <w:r>
        <w:rPr>
          <w:b/>
          <w:u w:val="single"/>
        </w:rPr>
        <w:br/>
        <w:t>• 1 puerta de Aluminio</w:t>
      </w:r>
      <w:r w:rsidR="00540BA5">
        <w:t>:</w:t>
      </w:r>
      <w:r w:rsidRPr="00540BA5">
        <w:t xml:space="preserve"> mitad vidrio, con apertura externa izquierda, color anodizado. De dimensiones Ancho: 0,80 m por 2.00 m de altura. Tipo Aluminio Serie 25.</w:t>
      </w:r>
      <w:r>
        <w:rPr>
          <w:b/>
          <w:u w:val="single"/>
        </w:rPr>
        <w:br/>
        <w:t>• 1 puerta semi blindada</w:t>
      </w:r>
      <w:r w:rsidR="00540BA5">
        <w:t>:</w:t>
      </w:r>
      <w:r w:rsidRPr="00540BA5">
        <w:t xml:space="preserve"> De dimensiones aproximadas de Ancho 0,80 m por 2.00 m de altura.</w:t>
      </w:r>
      <w:r w:rsidR="001A0A7A">
        <w:t xml:space="preserve"> Con puerta reja incorporada. Puerta reja en carilla de 12 mm aproximado.</w:t>
      </w:r>
    </w:p>
    <w:p w:rsidR="0004445E" w:rsidRDefault="0004445E">
      <w:pPr>
        <w:pStyle w:val="normal0"/>
        <w:spacing w:line="360" w:lineRule="auto"/>
        <w:jc w:val="both"/>
        <w:rPr>
          <w:sz w:val="21"/>
          <w:szCs w:val="21"/>
        </w:rPr>
      </w:pPr>
    </w:p>
    <w:p w:rsidR="0004445E" w:rsidRDefault="0004445E">
      <w:pPr>
        <w:pStyle w:val="normal0"/>
        <w:spacing w:line="288" w:lineRule="auto"/>
        <w:rPr>
          <w:rFonts w:ascii="Calibri" w:eastAsia="Calibri" w:hAnsi="Calibri" w:cs="Calibri"/>
        </w:rPr>
      </w:pPr>
    </w:p>
    <w:p w:rsidR="0004445E" w:rsidRDefault="000E7B7D">
      <w:pPr>
        <w:pStyle w:val="normal0"/>
        <w:spacing w:line="288" w:lineRule="auto"/>
        <w:jc w:val="both"/>
        <w:rPr>
          <w:b/>
        </w:rPr>
      </w:pPr>
      <w:r>
        <w:rPr>
          <w:b/>
        </w:rPr>
        <w:t xml:space="preserve">REQUERIMIENTOS: </w:t>
      </w:r>
    </w:p>
    <w:p w:rsidR="0004445E" w:rsidRDefault="0004445E">
      <w:pPr>
        <w:pStyle w:val="normal0"/>
        <w:spacing w:line="288" w:lineRule="auto"/>
        <w:jc w:val="both"/>
        <w:rPr>
          <w:b/>
        </w:rPr>
      </w:pPr>
    </w:p>
    <w:p w:rsidR="0004445E" w:rsidRDefault="000E7B7D">
      <w:pPr>
        <w:pStyle w:val="normal0"/>
        <w:numPr>
          <w:ilvl w:val="0"/>
          <w:numId w:val="2"/>
        </w:numPr>
        <w:spacing w:line="288" w:lineRule="auto"/>
        <w:jc w:val="both"/>
        <w:rPr>
          <w:b/>
        </w:rPr>
      </w:pPr>
      <w:r>
        <w:rPr>
          <w:b/>
          <w:u w:val="single"/>
        </w:rPr>
        <w:t>OFERTA</w:t>
      </w:r>
      <w:r>
        <w:t xml:space="preserve">: Deberá ser presentada </w:t>
      </w:r>
      <w:r w:rsidR="001A0A7A">
        <w:t>en nota membretada</w:t>
      </w:r>
      <w:r>
        <w:t xml:space="preserve"> y firmada, por el responsable de la empresa</w:t>
      </w:r>
      <w:r w:rsidR="001A0A7A">
        <w:t>, de acuerdo al ejemplo del ANEXO II</w:t>
      </w:r>
      <w:r>
        <w:t>.</w:t>
      </w:r>
    </w:p>
    <w:p w:rsidR="0004445E" w:rsidRDefault="000E7B7D">
      <w:pPr>
        <w:pStyle w:val="normal0"/>
        <w:numPr>
          <w:ilvl w:val="0"/>
          <w:numId w:val="2"/>
        </w:numPr>
        <w:spacing w:line="288" w:lineRule="auto"/>
        <w:jc w:val="both"/>
        <w:rPr>
          <w:b/>
        </w:rPr>
      </w:pPr>
      <w:r>
        <w:rPr>
          <w:b/>
          <w:u w:val="single"/>
        </w:rPr>
        <w:t>COTIZACIÓN</w:t>
      </w:r>
    </w:p>
    <w:p w:rsidR="0004445E" w:rsidRDefault="000E7B7D">
      <w:pPr>
        <w:pStyle w:val="normal0"/>
        <w:numPr>
          <w:ilvl w:val="0"/>
          <w:numId w:val="1"/>
        </w:numPr>
        <w:spacing w:line="288" w:lineRule="auto"/>
        <w:jc w:val="both"/>
      </w:pPr>
      <w:r>
        <w:t>El</w:t>
      </w:r>
      <w:r>
        <w:rPr>
          <w:color w:val="00000A"/>
        </w:rPr>
        <w:t xml:space="preserve"> precio se cotizará en valor unitario y total, en pesos uruguayos, con y sin impuestos. Asimismo la oferta deberá contener en forma clara y precisa,  el total de los ítems cotizados. En caso que los impuestos no surjan de la propuesta, se considerará que el precio cotizado incluye todos los impuestos.</w:t>
      </w:r>
    </w:p>
    <w:p w:rsidR="0004445E" w:rsidRDefault="000E7B7D">
      <w:pPr>
        <w:pStyle w:val="normal0"/>
        <w:numPr>
          <w:ilvl w:val="0"/>
          <w:numId w:val="1"/>
        </w:numPr>
        <w:spacing w:line="288" w:lineRule="auto"/>
        <w:jc w:val="both"/>
      </w:pPr>
      <w:r>
        <w:rPr>
          <w:color w:val="00000A"/>
        </w:rPr>
        <w:t>La cotización implica que el oferente realizará la adquisición solicitada en el párrafo arriba detallado, incluyendo en dicho precio todos los gastos que ello implique.</w:t>
      </w:r>
      <w:r>
        <w:t xml:space="preserve">  Para los ítems, el costo del flete debe estar incluido en el precio unitario de la adquisición.</w:t>
      </w:r>
    </w:p>
    <w:p w:rsidR="0004445E" w:rsidRDefault="000E7B7D">
      <w:pPr>
        <w:pStyle w:val="normal0"/>
        <w:numPr>
          <w:ilvl w:val="0"/>
          <w:numId w:val="1"/>
        </w:numPr>
        <w:spacing w:line="288" w:lineRule="auto"/>
        <w:jc w:val="both"/>
        <w:rPr>
          <w:color w:val="00000A"/>
        </w:rPr>
      </w:pPr>
      <w:r>
        <w:rPr>
          <w:color w:val="00000A"/>
        </w:rPr>
        <w:t xml:space="preserve">La propuesta técnica se podrá cotizar en línea de cotización y por archivo adjunto. La misma deberá ajustarse a los requisitos en el párrafo arriba detallado. </w:t>
      </w:r>
    </w:p>
    <w:p w:rsidR="0004445E" w:rsidRDefault="0004445E">
      <w:pPr>
        <w:pStyle w:val="normal0"/>
        <w:spacing w:line="288" w:lineRule="auto"/>
        <w:ind w:left="720"/>
        <w:jc w:val="both"/>
        <w:rPr>
          <w:rFonts w:ascii="Calibri" w:eastAsia="Calibri" w:hAnsi="Calibri" w:cs="Calibri"/>
        </w:rPr>
      </w:pPr>
    </w:p>
    <w:p w:rsidR="0004445E" w:rsidRDefault="000E7B7D">
      <w:pPr>
        <w:pStyle w:val="normal0"/>
        <w:numPr>
          <w:ilvl w:val="0"/>
          <w:numId w:val="4"/>
        </w:numPr>
        <w:spacing w:line="288" w:lineRule="auto"/>
        <w:rPr>
          <w:sz w:val="21"/>
          <w:szCs w:val="21"/>
        </w:rPr>
      </w:pPr>
      <w:r>
        <w:rPr>
          <w:b/>
          <w:u w:val="single"/>
        </w:rPr>
        <w:t>FORMA DE PAGO</w:t>
      </w:r>
      <w:r>
        <w:rPr>
          <w:b/>
        </w:rPr>
        <w:t>:</w:t>
      </w:r>
      <w:r>
        <w:rPr>
          <w:sz w:val="21"/>
          <w:szCs w:val="21"/>
        </w:rPr>
        <w:t xml:space="preserve"> </w:t>
      </w:r>
      <w:r>
        <w:t>Crédito SIIF 60 días.</w:t>
      </w:r>
    </w:p>
    <w:p w:rsidR="0004445E" w:rsidRDefault="0004445E">
      <w:pPr>
        <w:pStyle w:val="normal0"/>
        <w:spacing w:line="288" w:lineRule="auto"/>
        <w:rPr>
          <w:rFonts w:ascii="Calibri" w:eastAsia="Calibri" w:hAnsi="Calibri" w:cs="Calibri"/>
        </w:rPr>
      </w:pPr>
    </w:p>
    <w:p w:rsidR="0004445E" w:rsidRDefault="000E7B7D">
      <w:pPr>
        <w:pStyle w:val="normal0"/>
        <w:numPr>
          <w:ilvl w:val="0"/>
          <w:numId w:val="5"/>
        </w:numPr>
        <w:jc w:val="both"/>
        <w:rPr>
          <w:b/>
        </w:rPr>
      </w:pPr>
      <w:r>
        <w:rPr>
          <w:b/>
          <w:u w:val="single"/>
        </w:rPr>
        <w:t>PLAZO DE ENTREGA</w:t>
      </w:r>
    </w:p>
    <w:p w:rsidR="0004445E" w:rsidRDefault="000E7B7D">
      <w:pPr>
        <w:pStyle w:val="normal0"/>
        <w:ind w:left="720"/>
        <w:jc w:val="both"/>
      </w:pPr>
      <w:r>
        <w:t>La entrega de los insumos, no podrá exceder el plazo de la fecha estipulada en la oferta realizada en el SICE. La cual no deberá superar el plazo de hasta 72 horas hábiles.</w:t>
      </w:r>
    </w:p>
    <w:p w:rsidR="0004445E" w:rsidRDefault="000E7B7D">
      <w:pPr>
        <w:pStyle w:val="normal0"/>
        <w:ind w:left="720"/>
        <w:jc w:val="both"/>
      </w:pPr>
      <w:r>
        <w:t>Los insumos deberán entregarse contra remito, entregando la factura en la Oficina del Departamento de Bienes y Servicios de la D.N.B. De Lunes a Viernes d</w:t>
      </w:r>
      <w:r w:rsidR="00540BA5">
        <w:t>e 8 a 12 hrs. (Teléfono: 203040</w:t>
      </w:r>
      <w:r>
        <w:t>)</w:t>
      </w:r>
    </w:p>
    <w:p w:rsidR="0004445E" w:rsidRDefault="0004445E">
      <w:pPr>
        <w:pStyle w:val="normal0"/>
        <w:ind w:left="720"/>
        <w:jc w:val="both"/>
      </w:pPr>
    </w:p>
    <w:p w:rsidR="001D0074" w:rsidRDefault="001D0074">
      <w:pPr>
        <w:pStyle w:val="normal0"/>
        <w:ind w:left="720"/>
        <w:jc w:val="both"/>
      </w:pPr>
    </w:p>
    <w:p w:rsidR="00540BA5" w:rsidRDefault="00540BA5">
      <w:pPr>
        <w:pStyle w:val="normal0"/>
        <w:ind w:left="720"/>
        <w:jc w:val="both"/>
      </w:pPr>
    </w:p>
    <w:p w:rsidR="00540BA5" w:rsidRDefault="00155DF0">
      <w:pPr>
        <w:pStyle w:val="normal0"/>
        <w:ind w:left="720"/>
        <w:jc w:val="both"/>
      </w:pPr>
      <w:r>
        <w:rPr>
          <w:noProof/>
        </w:rPr>
        <w:lastRenderedPageBreak/>
        <w:drawing>
          <wp:anchor distT="0" distB="0" distL="114300" distR="114300" simplePos="0" relativeHeight="251661312" behindDoc="0" locked="0" layoutInCell="1" allowOverlap="1">
            <wp:simplePos x="0" y="0"/>
            <wp:positionH relativeFrom="column">
              <wp:posOffset>-716308</wp:posOffset>
            </wp:positionH>
            <wp:positionV relativeFrom="paragraph">
              <wp:posOffset>-520673</wp:posOffset>
            </wp:positionV>
            <wp:extent cx="7550592" cy="723569"/>
            <wp:effectExtent l="1905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50592" cy="723569"/>
                    </a:xfrm>
                    <a:prstGeom prst="rect">
                      <a:avLst/>
                    </a:prstGeom>
                    <a:ln/>
                  </pic:spPr>
                </pic:pic>
              </a:graphicData>
            </a:graphic>
          </wp:anchor>
        </w:drawing>
      </w:r>
    </w:p>
    <w:p w:rsidR="00155DF0" w:rsidRDefault="00155DF0">
      <w:pPr>
        <w:pStyle w:val="normal0"/>
        <w:ind w:left="720"/>
        <w:jc w:val="both"/>
      </w:pPr>
    </w:p>
    <w:p w:rsidR="0004445E" w:rsidRDefault="000E7B7D">
      <w:pPr>
        <w:pStyle w:val="normal0"/>
        <w:ind w:left="720"/>
        <w:jc w:val="both"/>
      </w:pPr>
      <w:r>
        <w:t>Los ítems serán recibidos por el personal autorizado del Departamento de Bienes y Servicios</w:t>
      </w:r>
      <w:r>
        <w:rPr>
          <w:sz w:val="24"/>
          <w:szCs w:val="24"/>
        </w:rPr>
        <w:t xml:space="preserve"> </w:t>
      </w:r>
      <w:r>
        <w:t>quien procederá a controlar la entrega, pudiendo rechazarla por no ajustarse a las indicaciones técnicas solicitadas, dentro de un plazo máximo de 48 horas de recibido.-</w:t>
      </w:r>
    </w:p>
    <w:p w:rsidR="0004445E" w:rsidRDefault="000E7B7D">
      <w:pPr>
        <w:pStyle w:val="normal0"/>
        <w:ind w:left="720"/>
        <w:jc w:val="both"/>
        <w:rPr>
          <w:rFonts w:ascii="Calibri" w:eastAsia="Calibri" w:hAnsi="Calibri" w:cs="Calibri"/>
        </w:rPr>
      </w:pPr>
      <w:r>
        <w:t>Debiendo la empresa comprometerse a entregar los insumos solicitados o reparados en el plazo establecido en la oferta.-</w:t>
      </w:r>
    </w:p>
    <w:p w:rsidR="0004445E" w:rsidRDefault="0004445E">
      <w:pPr>
        <w:pStyle w:val="normal0"/>
        <w:ind w:left="720"/>
        <w:jc w:val="both"/>
        <w:rPr>
          <w:rFonts w:ascii="Calibri" w:eastAsia="Calibri" w:hAnsi="Calibri" w:cs="Calibri"/>
        </w:rPr>
      </w:pPr>
    </w:p>
    <w:p w:rsidR="0004445E" w:rsidRDefault="0004445E">
      <w:pPr>
        <w:pStyle w:val="normal0"/>
        <w:ind w:left="720"/>
        <w:jc w:val="both"/>
        <w:rPr>
          <w:b/>
          <w:sz w:val="21"/>
          <w:szCs w:val="21"/>
          <w:u w:val="single"/>
        </w:rPr>
      </w:pPr>
    </w:p>
    <w:p w:rsidR="0004445E" w:rsidRDefault="000E7B7D">
      <w:pPr>
        <w:pStyle w:val="normal0"/>
        <w:numPr>
          <w:ilvl w:val="0"/>
          <w:numId w:val="3"/>
        </w:numPr>
        <w:jc w:val="both"/>
        <w:rPr>
          <w:b/>
          <w:sz w:val="21"/>
          <w:szCs w:val="21"/>
        </w:rPr>
      </w:pPr>
      <w:r>
        <w:rPr>
          <w:b/>
          <w:sz w:val="21"/>
          <w:szCs w:val="21"/>
          <w:u w:val="single"/>
        </w:rPr>
        <w:t>MANTENIMIENTO DE LA OFERTA</w:t>
      </w:r>
    </w:p>
    <w:p w:rsidR="0004445E" w:rsidRDefault="0004445E">
      <w:pPr>
        <w:pStyle w:val="normal0"/>
        <w:jc w:val="both"/>
        <w:rPr>
          <w:b/>
          <w:sz w:val="21"/>
          <w:szCs w:val="21"/>
          <w:u w:val="single"/>
        </w:rPr>
      </w:pPr>
    </w:p>
    <w:p w:rsidR="0004445E" w:rsidRDefault="000E7B7D">
      <w:pPr>
        <w:pStyle w:val="normal0"/>
        <w:ind w:left="720"/>
        <w:jc w:val="both"/>
      </w:pPr>
      <w:r>
        <w:t>Las propuestas serán válidas y obligarán a los proponentes hasta 30 días hábiles desde la fecha del Acto de Apertura. Vencido dicho plazo se entenderá que el mismo se prorroga automáticamente y así sucesivamente, de no mediar comunicación escrita en contrario o retiro de la propuesta por el interesado con cinco días hábiles de antelación.</w:t>
      </w:r>
    </w:p>
    <w:p w:rsidR="0004445E" w:rsidRDefault="0004445E">
      <w:pPr>
        <w:pStyle w:val="normal0"/>
        <w:ind w:left="720"/>
        <w:jc w:val="both"/>
        <w:rPr>
          <w:sz w:val="21"/>
          <w:szCs w:val="21"/>
        </w:rPr>
      </w:pPr>
    </w:p>
    <w:p w:rsidR="0004445E" w:rsidRDefault="000E7B7D">
      <w:pPr>
        <w:pStyle w:val="normal0"/>
        <w:numPr>
          <w:ilvl w:val="0"/>
          <w:numId w:val="6"/>
        </w:numPr>
        <w:jc w:val="both"/>
        <w:rPr>
          <w:b/>
          <w:sz w:val="21"/>
          <w:szCs w:val="21"/>
        </w:rPr>
      </w:pPr>
      <w:r>
        <w:rPr>
          <w:b/>
          <w:sz w:val="21"/>
          <w:szCs w:val="21"/>
        </w:rPr>
        <w:t>GARANTÍA</w:t>
      </w:r>
    </w:p>
    <w:p w:rsidR="0004445E" w:rsidRDefault="0004445E">
      <w:pPr>
        <w:pStyle w:val="normal0"/>
        <w:jc w:val="both"/>
        <w:rPr>
          <w:sz w:val="21"/>
          <w:szCs w:val="21"/>
        </w:rPr>
      </w:pPr>
    </w:p>
    <w:p w:rsidR="0004445E" w:rsidRDefault="000E7B7D">
      <w:pPr>
        <w:pStyle w:val="normal0"/>
        <w:ind w:left="720"/>
        <w:jc w:val="both"/>
        <w:rPr>
          <w:b/>
          <w:sz w:val="21"/>
          <w:szCs w:val="21"/>
          <w:u w:val="single"/>
        </w:rPr>
      </w:pPr>
      <w:r>
        <w:t xml:space="preserve">En la oferta se deberá especificar garantía de los insumos, siendo éste un </w:t>
      </w:r>
      <w:r>
        <w:rPr>
          <w:b/>
        </w:rPr>
        <w:t xml:space="preserve">requerimiento excluyente, </w:t>
      </w:r>
      <w:r>
        <w:rPr>
          <w:b/>
          <w:u w:val="single"/>
        </w:rPr>
        <w:t>mínimo de 1 año</w:t>
      </w:r>
      <w:r>
        <w:t>.-</w:t>
      </w:r>
    </w:p>
    <w:p w:rsidR="0004445E" w:rsidRDefault="000E7B7D">
      <w:pPr>
        <w:pStyle w:val="normal0"/>
        <w:spacing w:line="288" w:lineRule="auto"/>
        <w:jc w:val="center"/>
        <w:rPr>
          <w:b/>
          <w:u w:val="single"/>
        </w:rPr>
      </w:pPr>
      <w:r>
        <w:rPr>
          <w:b/>
          <w:sz w:val="21"/>
          <w:szCs w:val="21"/>
          <w:u w:val="single"/>
        </w:rPr>
        <w:br/>
      </w:r>
      <w:r>
        <w:rPr>
          <w:b/>
          <w:u w:val="single"/>
        </w:rPr>
        <w:t>IMPORTANTE: El proveedor debe estar inscripto en RUPE y encontrarse en estado Activo (Requisito excluyente). Los datos de la empresa y domicilio electrónico para las notificaciones se tomarán de este registro.</w:t>
      </w:r>
    </w:p>
    <w:p w:rsidR="0004445E" w:rsidRDefault="0004445E">
      <w:pPr>
        <w:pStyle w:val="norm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pacing w:after="160" w:line="360" w:lineRule="auto"/>
        <w:jc w:val="center"/>
        <w:rPr>
          <w:sz w:val="24"/>
          <w:szCs w:val="24"/>
        </w:rPr>
      </w:pPr>
    </w:p>
    <w:p w:rsidR="001A0A7A" w:rsidRDefault="000E7B7D" w:rsidP="001D0074">
      <w:pPr>
        <w:pStyle w:val="normal0"/>
        <w:spacing w:before="280" w:line="360" w:lineRule="auto"/>
        <w:rPr>
          <w:sz w:val="28"/>
          <w:szCs w:val="28"/>
        </w:rPr>
      </w:pPr>
      <w:r>
        <w:rPr>
          <w:sz w:val="28"/>
          <w:szCs w:val="28"/>
        </w:rPr>
        <w:t>Consultas vía mail a bomberos-compras@minterior.gub.uy, asunto “Compra Directa: 218-2024“</w:t>
      </w:r>
    </w:p>
    <w:p w:rsidR="001A0A7A" w:rsidRDefault="001A0A7A">
      <w:pPr>
        <w:rPr>
          <w:sz w:val="28"/>
          <w:szCs w:val="28"/>
        </w:rPr>
      </w:pPr>
      <w:r>
        <w:rPr>
          <w:sz w:val="28"/>
          <w:szCs w:val="28"/>
        </w:rPr>
        <w:br w:type="page"/>
      </w:r>
    </w:p>
    <w:p w:rsidR="001A0A7A" w:rsidRPr="001A0A7A" w:rsidRDefault="001A0A7A" w:rsidP="001A0A7A">
      <w:pPr>
        <w:pStyle w:val="normal0"/>
        <w:jc w:val="center"/>
      </w:pPr>
      <w:r w:rsidRPr="001A0A7A">
        <w:lastRenderedPageBreak/>
        <w:t>ANEXO II</w:t>
      </w:r>
    </w:p>
    <w:p w:rsidR="001A0A7A" w:rsidRDefault="001A0A7A" w:rsidP="001A0A7A">
      <w:pPr>
        <w:pStyle w:val="normal0"/>
        <w:rPr>
          <w:highlight w:val="yellow"/>
        </w:rPr>
      </w:pPr>
      <w:r>
        <w:rPr>
          <w:highlight w:val="yellow"/>
        </w:rPr>
        <w:t>[Ingresar aquí su logotipo de su empresa]</w:t>
      </w:r>
    </w:p>
    <w:p w:rsidR="001A0A7A" w:rsidRDefault="001A0A7A" w:rsidP="001A0A7A">
      <w:pPr>
        <w:pStyle w:val="normal0"/>
        <w:jc w:val="right"/>
        <w:rPr>
          <w:highlight w:val="yellow"/>
        </w:rPr>
      </w:pPr>
      <w:r>
        <w:rPr>
          <w:highlight w:val="yellow"/>
        </w:rPr>
        <w:t>[Ciudad]</w:t>
      </w:r>
      <w:r>
        <w:t xml:space="preserve">, </w:t>
      </w:r>
      <w:r>
        <w:rPr>
          <w:highlight w:val="yellow"/>
        </w:rPr>
        <w:t>[fecha]</w:t>
      </w:r>
      <w:r>
        <w:t xml:space="preserve"> de </w:t>
      </w:r>
      <w:r>
        <w:rPr>
          <w:highlight w:val="yellow"/>
        </w:rPr>
        <w:t>[mes]</w:t>
      </w:r>
      <w:r>
        <w:t xml:space="preserve"> de </w:t>
      </w:r>
      <w:r>
        <w:rPr>
          <w:highlight w:val="yellow"/>
        </w:rPr>
        <w:t>[año]</w:t>
      </w:r>
    </w:p>
    <w:p w:rsidR="001A0A7A" w:rsidRDefault="001A0A7A" w:rsidP="001A0A7A">
      <w:pPr>
        <w:pStyle w:val="normal0"/>
      </w:pPr>
    </w:p>
    <w:p w:rsidR="001A0A7A" w:rsidRDefault="001A0A7A" w:rsidP="001A0A7A">
      <w:pPr>
        <w:pStyle w:val="normal0"/>
      </w:pPr>
      <w:r>
        <w:t>Sres. Ministerio del Interior</w:t>
      </w:r>
    </w:p>
    <w:p w:rsidR="001A0A7A" w:rsidRDefault="001A0A7A" w:rsidP="001A0A7A">
      <w:pPr>
        <w:pStyle w:val="normal0"/>
      </w:pPr>
      <w:r>
        <w:t>Dirección Nacional de Bomberos</w:t>
      </w:r>
    </w:p>
    <w:p w:rsidR="001A0A7A" w:rsidRDefault="001A0A7A" w:rsidP="001A0A7A">
      <w:pPr>
        <w:pStyle w:val="normal0"/>
      </w:pPr>
      <w:r>
        <w:t>Presente</w:t>
      </w:r>
    </w:p>
    <w:p w:rsidR="001A0A7A" w:rsidRDefault="001A0A7A" w:rsidP="001A0A7A">
      <w:pPr>
        <w:pStyle w:val="normal0"/>
      </w:pPr>
    </w:p>
    <w:p w:rsidR="001A0A7A" w:rsidRDefault="001A0A7A" w:rsidP="001A0A7A">
      <w:pPr>
        <w:pStyle w:val="normal0"/>
      </w:pPr>
      <w:r>
        <w:rPr>
          <w:highlight w:val="yellow"/>
        </w:rPr>
        <w:t>[Razón Social]</w:t>
      </w:r>
      <w:r>
        <w:t xml:space="preserve"> RUT: </w:t>
      </w:r>
      <w:r>
        <w:rPr>
          <w:highlight w:val="yellow"/>
        </w:rPr>
        <w:t>[Número de RUT]</w:t>
      </w:r>
      <w:r>
        <w:t xml:space="preserve">, domiciliado a los efectos legales en la calle </w:t>
      </w:r>
      <w:r>
        <w:rPr>
          <w:highlight w:val="yellow"/>
        </w:rPr>
        <w:t>[Calle]</w:t>
      </w:r>
      <w:r>
        <w:t xml:space="preserve"> de la ciudad de </w:t>
      </w:r>
      <w:r>
        <w:rPr>
          <w:highlight w:val="yellow"/>
        </w:rPr>
        <w:t>[ciudad]</w:t>
      </w:r>
      <w:r>
        <w:t>, formula cotización correspondiente a:</w:t>
      </w:r>
    </w:p>
    <w:p w:rsidR="001A0A7A" w:rsidRDefault="001A0A7A" w:rsidP="001A0A7A">
      <w:pPr>
        <w:pStyle w:val="normal0"/>
      </w:pPr>
    </w:p>
    <w:tbl>
      <w:tblPr>
        <w:tblStyle w:val="a"/>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93"/>
        <w:gridCol w:w="2019"/>
        <w:gridCol w:w="1607"/>
        <w:gridCol w:w="1607"/>
        <w:gridCol w:w="1607"/>
        <w:gridCol w:w="1607"/>
      </w:tblGrid>
      <w:tr w:rsidR="001A0A7A" w:rsidTr="005F3C5E">
        <w:trPr>
          <w:cantSplit/>
          <w:tblHeader/>
        </w:trPr>
        <w:tc>
          <w:tcPr>
            <w:tcW w:w="1193"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Cantidad</w:t>
            </w:r>
          </w:p>
        </w:tc>
        <w:tc>
          <w:tcPr>
            <w:tcW w:w="2019"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Descripción</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Precio UNITARIO SIN IVA $U</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Precio SUBTOTAL SIN IVA $U</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Precio UNITARIO CON IVA $U</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Precio SUBTOTAL CON IVA $U</w:t>
            </w:r>
          </w:p>
        </w:tc>
      </w:tr>
      <w:tr w:rsidR="001A0A7A" w:rsidTr="005F3C5E">
        <w:trPr>
          <w:cantSplit/>
          <w:tblHeader/>
        </w:trPr>
        <w:tc>
          <w:tcPr>
            <w:tcW w:w="1193"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1</w:t>
            </w:r>
          </w:p>
        </w:tc>
        <w:tc>
          <w:tcPr>
            <w:tcW w:w="2019"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rPr>
                <w:highlight w:val="yellow"/>
              </w:rPr>
            </w:pPr>
            <w:r>
              <w:t xml:space="preserve">Puerta de Aluminio. </w:t>
            </w:r>
            <w:r w:rsidRPr="001D0074">
              <w:rPr>
                <w:sz w:val="12"/>
                <w:szCs w:val="12"/>
              </w:rPr>
              <w:t>Mitad vidrio, con apertura externa izquierda, color anodizado. De dimensiones Ancho: 0,96 m por 2.09 m de altura. Tipo Aluminio Serie 20.</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r>
      <w:tr w:rsidR="001A0A7A" w:rsidTr="005F3C5E">
        <w:trPr>
          <w:cantSplit/>
          <w:tblHeader/>
        </w:trPr>
        <w:tc>
          <w:tcPr>
            <w:tcW w:w="1193"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1</w:t>
            </w:r>
          </w:p>
        </w:tc>
        <w:tc>
          <w:tcPr>
            <w:tcW w:w="2019"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rPr>
                <w:highlight w:val="yellow"/>
              </w:rPr>
            </w:pPr>
            <w:r>
              <w:t xml:space="preserve">Puerta de Aluminio. </w:t>
            </w:r>
            <w:r w:rsidRPr="001D0074">
              <w:rPr>
                <w:sz w:val="12"/>
                <w:szCs w:val="12"/>
              </w:rPr>
              <w:t>Sin vidrio, con apertura externa izquierda, color anodizado. De dimensiones Ancho: 0,70 m por 2.00 m de altura. Tipo Aluminio Serie 20.</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r>
      <w:tr w:rsidR="001A0A7A" w:rsidTr="005F3C5E">
        <w:trPr>
          <w:cantSplit/>
          <w:tblHeader/>
        </w:trPr>
        <w:tc>
          <w:tcPr>
            <w:tcW w:w="1193"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1</w:t>
            </w:r>
          </w:p>
        </w:tc>
        <w:tc>
          <w:tcPr>
            <w:tcW w:w="2019"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pPr>
            <w:r>
              <w:t xml:space="preserve">Puerta de Aluminio. </w:t>
            </w:r>
            <w:r w:rsidRPr="001D0074">
              <w:rPr>
                <w:sz w:val="12"/>
                <w:szCs w:val="12"/>
              </w:rPr>
              <w:t>Mitad vidrio, con apertura externa izquierda, color anodizado. De dimensiones Ancho: 0,80 m por 2.00 m de altura. Tipo Aluminio Serie 25.</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r>
      <w:tr w:rsidR="001A0A7A" w:rsidTr="005F3C5E">
        <w:trPr>
          <w:cantSplit/>
          <w:tblHeader/>
        </w:trPr>
        <w:tc>
          <w:tcPr>
            <w:tcW w:w="1193"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1</w:t>
            </w:r>
          </w:p>
        </w:tc>
        <w:tc>
          <w:tcPr>
            <w:tcW w:w="2019"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pPr>
            <w:r>
              <w:t xml:space="preserve">Puerta semi blindada. </w:t>
            </w:r>
            <w:r w:rsidRPr="001A0A7A">
              <w:rPr>
                <w:sz w:val="12"/>
                <w:szCs w:val="12"/>
              </w:rPr>
              <w:t>De dimensiones aproximadas de Ancho 0,80 m por 2.00 m de altura. Con puerta reja incorporada. Puerta reja en carilla de 12 mm aproximado.</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c>
          <w:tcPr>
            <w:tcW w:w="1607"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rPr>
                <w:highlight w:val="yellow"/>
              </w:rPr>
            </w:pPr>
            <w:r>
              <w:rPr>
                <w:highlight w:val="yellow"/>
              </w:rPr>
              <w:t>[Precio a insertar]</w:t>
            </w:r>
          </w:p>
        </w:tc>
      </w:tr>
    </w:tbl>
    <w:p w:rsidR="001A0A7A" w:rsidRDefault="001A0A7A" w:rsidP="001A0A7A">
      <w:pPr>
        <w:pStyle w:val="normal0"/>
      </w:pPr>
    </w:p>
    <w:p w:rsidR="001A0A7A" w:rsidRDefault="001A0A7A" w:rsidP="001A0A7A">
      <w:pPr>
        <w:pStyle w:val="normal0"/>
      </w:pPr>
    </w:p>
    <w:tbl>
      <w:tblPr>
        <w:tblStyle w:val="a0"/>
        <w:tblW w:w="96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20"/>
        <w:gridCol w:w="4820"/>
      </w:tblGrid>
      <w:tr w:rsidR="001A0A7A" w:rsidTr="005F3C5E">
        <w:trPr>
          <w:cantSplit/>
          <w:tblHeader/>
        </w:trPr>
        <w:tc>
          <w:tcPr>
            <w:tcW w:w="4820"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Impuestos</w:t>
            </w:r>
          </w:p>
        </w:tc>
        <w:tc>
          <w:tcPr>
            <w:tcW w:w="4820"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Los precios cotizados están en pesos uruguayos, discriminados en precios sin IVA y con IVA. Los precios incluyen el costo de envío. Modalidad: plaza</w:t>
            </w:r>
          </w:p>
        </w:tc>
      </w:tr>
      <w:tr w:rsidR="001A0A7A" w:rsidTr="005F3C5E">
        <w:trPr>
          <w:cantSplit/>
          <w:tblHeader/>
        </w:trPr>
        <w:tc>
          <w:tcPr>
            <w:tcW w:w="4820"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Entrega</w:t>
            </w:r>
          </w:p>
        </w:tc>
        <w:tc>
          <w:tcPr>
            <w:tcW w:w="4820"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rPr>
                <w:sz w:val="20"/>
                <w:szCs w:val="20"/>
              </w:rPr>
            </w:pPr>
            <w:r>
              <w:t>72 horas hábiles</w:t>
            </w:r>
          </w:p>
        </w:tc>
      </w:tr>
      <w:tr w:rsidR="001A0A7A" w:rsidTr="005F3C5E">
        <w:trPr>
          <w:cantSplit/>
          <w:tblHeader/>
        </w:trPr>
        <w:tc>
          <w:tcPr>
            <w:tcW w:w="4820"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Forma de pago</w:t>
            </w:r>
          </w:p>
        </w:tc>
        <w:tc>
          <w:tcPr>
            <w:tcW w:w="4820"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rPr>
                <w:sz w:val="20"/>
                <w:szCs w:val="20"/>
              </w:rPr>
            </w:pPr>
            <w:r>
              <w:t>Crédito SIIF 60 días</w:t>
            </w:r>
          </w:p>
        </w:tc>
      </w:tr>
      <w:tr w:rsidR="001A0A7A" w:rsidTr="005F3C5E">
        <w:trPr>
          <w:cantSplit/>
          <w:tblHeader/>
        </w:trPr>
        <w:tc>
          <w:tcPr>
            <w:tcW w:w="4820" w:type="dxa"/>
            <w:shd w:val="clear" w:color="auto" w:fill="auto"/>
            <w:tcMar>
              <w:top w:w="100" w:type="dxa"/>
              <w:left w:w="100" w:type="dxa"/>
              <w:bottom w:w="100" w:type="dxa"/>
              <w:right w:w="100" w:type="dxa"/>
            </w:tcMar>
            <w:vAlign w:val="center"/>
          </w:tcPr>
          <w:p w:rsidR="001A0A7A" w:rsidRDefault="001A0A7A" w:rsidP="005F3C5E">
            <w:pPr>
              <w:pStyle w:val="normal0"/>
              <w:widowControl w:val="0"/>
              <w:spacing w:line="240" w:lineRule="auto"/>
            </w:pPr>
            <w:r>
              <w:t>Mantenimiento de la oferta</w:t>
            </w:r>
          </w:p>
        </w:tc>
        <w:tc>
          <w:tcPr>
            <w:tcW w:w="4820" w:type="dxa"/>
            <w:shd w:val="clear" w:color="auto" w:fill="auto"/>
            <w:tcMar>
              <w:top w:w="100" w:type="dxa"/>
              <w:left w:w="100" w:type="dxa"/>
              <w:bottom w:w="100" w:type="dxa"/>
              <w:right w:w="100" w:type="dxa"/>
            </w:tcMar>
            <w:vAlign w:val="center"/>
          </w:tcPr>
          <w:p w:rsidR="001A0A7A" w:rsidRDefault="001A0A7A" w:rsidP="005F3C5E">
            <w:pPr>
              <w:pStyle w:val="normal0"/>
              <w:shd w:val="clear" w:color="auto" w:fill="FFFFFF"/>
            </w:pPr>
            <w:r>
              <w:t>30 días hábiles</w:t>
            </w:r>
          </w:p>
        </w:tc>
      </w:tr>
    </w:tbl>
    <w:p w:rsidR="001A0A7A" w:rsidRDefault="001A0A7A" w:rsidP="001A0A7A">
      <w:pPr>
        <w:pStyle w:val="normal0"/>
      </w:pPr>
    </w:p>
    <w:p w:rsidR="001A0A7A" w:rsidRDefault="001A0A7A" w:rsidP="001A0A7A">
      <w:pPr>
        <w:pStyle w:val="normal0"/>
        <w:rPr>
          <w:highlight w:val="yellow"/>
        </w:rPr>
      </w:pPr>
      <w:r>
        <w:rPr>
          <w:highlight w:val="yellow"/>
        </w:rPr>
        <w:t xml:space="preserve">[En esta sección puede ser agregada información adicional, tales como fotos de folletos. Pero este campo es opcional. </w:t>
      </w:r>
      <w:r>
        <w:rPr>
          <w:b/>
          <w:sz w:val="28"/>
          <w:szCs w:val="28"/>
          <w:highlight w:val="yellow"/>
        </w:rPr>
        <w:t>Si, no va a usar esta línea. Por favor, remuévala</w:t>
      </w:r>
      <w:r>
        <w:rPr>
          <w:highlight w:val="yellow"/>
        </w:rPr>
        <w:t>]</w:t>
      </w:r>
    </w:p>
    <w:p w:rsidR="001A0A7A" w:rsidRDefault="001A0A7A" w:rsidP="001A0A7A">
      <w:pPr>
        <w:pStyle w:val="normal0"/>
      </w:pPr>
    </w:p>
    <w:p w:rsidR="001A0A7A" w:rsidRDefault="001A0A7A" w:rsidP="001A0A7A">
      <w:pPr>
        <w:pStyle w:val="normal0"/>
        <w:rPr>
          <w:highlight w:val="yellow"/>
        </w:rPr>
      </w:pPr>
      <w:r>
        <w:lastRenderedPageBreak/>
        <w:t xml:space="preserve">Por cualquier duda o aclaración de la presente cotización, comuníquese con los firmantes al teléfono </w:t>
      </w:r>
      <w:r>
        <w:rPr>
          <w:highlight w:val="yellow"/>
        </w:rPr>
        <w:t>[teléfono/celular]</w:t>
      </w:r>
      <w:r>
        <w:t xml:space="preserve"> o por email: </w:t>
      </w:r>
      <w:r>
        <w:rPr>
          <w:highlight w:val="yellow"/>
        </w:rPr>
        <w:t>[dirección de correo electrónico]</w:t>
      </w:r>
    </w:p>
    <w:p w:rsidR="001A0A7A" w:rsidRDefault="001A0A7A" w:rsidP="001A0A7A">
      <w:pPr>
        <w:pStyle w:val="normal0"/>
      </w:pPr>
    </w:p>
    <w:p w:rsidR="001A0A7A" w:rsidRDefault="001A0A7A" w:rsidP="001A0A7A">
      <w:pPr>
        <w:pStyle w:val="normal0"/>
      </w:pPr>
      <w:r>
        <w:t>Sin otro particular, saluda a usted atentamente,</w:t>
      </w:r>
    </w:p>
    <w:p w:rsidR="001A0A7A" w:rsidRDefault="001A0A7A" w:rsidP="001A0A7A">
      <w:pPr>
        <w:pStyle w:val="normal0"/>
      </w:pPr>
    </w:p>
    <w:p w:rsidR="001A0A7A" w:rsidRDefault="001A0A7A" w:rsidP="001A0A7A">
      <w:pPr>
        <w:pStyle w:val="normal0"/>
      </w:pPr>
    </w:p>
    <w:p w:rsidR="001A0A7A" w:rsidRDefault="001A0A7A" w:rsidP="001A0A7A">
      <w:pPr>
        <w:pStyle w:val="normal0"/>
        <w:jc w:val="center"/>
        <w:rPr>
          <w:highlight w:val="yellow"/>
        </w:rPr>
      </w:pPr>
      <w:r>
        <w:rPr>
          <w:highlight w:val="yellow"/>
        </w:rPr>
        <w:t>[Firma a puño y letra]</w:t>
      </w:r>
    </w:p>
    <w:p w:rsidR="001A0A7A" w:rsidRDefault="001A0A7A" w:rsidP="001A0A7A">
      <w:pPr>
        <w:pStyle w:val="normal0"/>
        <w:jc w:val="center"/>
        <w:rPr>
          <w:highlight w:val="yellow"/>
        </w:rPr>
      </w:pPr>
      <w:r>
        <w:rPr>
          <w:highlight w:val="yellow"/>
        </w:rPr>
        <w:t>[Aclaración]</w:t>
      </w:r>
    </w:p>
    <w:p w:rsidR="001A0A7A" w:rsidRDefault="001A0A7A" w:rsidP="001A0A7A">
      <w:pPr>
        <w:pStyle w:val="normal0"/>
        <w:jc w:val="center"/>
        <w:rPr>
          <w:highlight w:val="yellow"/>
        </w:rPr>
      </w:pPr>
      <w:r>
        <w:rPr>
          <w:highlight w:val="yellow"/>
        </w:rPr>
        <w:t>[Empresa]</w:t>
      </w:r>
    </w:p>
    <w:p w:rsidR="0004445E" w:rsidRPr="001D0074" w:rsidRDefault="001A0A7A" w:rsidP="001A0A7A">
      <w:pPr>
        <w:pStyle w:val="normal0"/>
        <w:spacing w:line="360" w:lineRule="auto"/>
        <w:jc w:val="center"/>
        <w:rPr>
          <w:sz w:val="28"/>
          <w:szCs w:val="28"/>
        </w:rPr>
      </w:pPr>
      <w:r>
        <w:rPr>
          <w:highlight w:val="yellow"/>
        </w:rPr>
        <w:t>[Cargo]</w:t>
      </w:r>
    </w:p>
    <w:sectPr w:rsidR="0004445E" w:rsidRPr="001D0074" w:rsidSect="0004445E">
      <w:pgSz w:w="11906" w:h="16838"/>
      <w:pgMar w:top="1133" w:right="1133" w:bottom="1133" w:left="113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F7C" w:rsidRDefault="00DB5F7C" w:rsidP="0004445E">
      <w:pPr>
        <w:spacing w:line="240" w:lineRule="auto"/>
      </w:pPr>
      <w:r>
        <w:separator/>
      </w:r>
    </w:p>
  </w:endnote>
  <w:endnote w:type="continuationSeparator" w:id="1">
    <w:p w:rsidR="00DB5F7C" w:rsidRDefault="00DB5F7C" w:rsidP="000444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F7C" w:rsidRDefault="00DB5F7C" w:rsidP="0004445E">
      <w:pPr>
        <w:spacing w:line="240" w:lineRule="auto"/>
      </w:pPr>
      <w:r>
        <w:separator/>
      </w:r>
    </w:p>
  </w:footnote>
  <w:footnote w:type="continuationSeparator" w:id="1">
    <w:p w:rsidR="00DB5F7C" w:rsidRDefault="00DB5F7C" w:rsidP="000444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352"/>
    <w:multiLevelType w:val="multilevel"/>
    <w:tmpl w:val="CA18A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C873D08"/>
    <w:multiLevelType w:val="multilevel"/>
    <w:tmpl w:val="13DA0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4446D4"/>
    <w:multiLevelType w:val="multilevel"/>
    <w:tmpl w:val="D8327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F85557"/>
    <w:multiLevelType w:val="multilevel"/>
    <w:tmpl w:val="4618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6A256E"/>
    <w:multiLevelType w:val="multilevel"/>
    <w:tmpl w:val="097E6D5C"/>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nsid w:val="76D75EE9"/>
    <w:multiLevelType w:val="multilevel"/>
    <w:tmpl w:val="D8AE4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C92297"/>
    <w:multiLevelType w:val="multilevel"/>
    <w:tmpl w:val="573AC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04445E"/>
    <w:rsid w:val="0004445E"/>
    <w:rsid w:val="000E7B7D"/>
    <w:rsid w:val="00155DF0"/>
    <w:rsid w:val="001A0A7A"/>
    <w:rsid w:val="001D0074"/>
    <w:rsid w:val="001E3765"/>
    <w:rsid w:val="00540BA5"/>
    <w:rsid w:val="0056475D"/>
    <w:rsid w:val="009D5653"/>
    <w:rsid w:val="00D55453"/>
    <w:rsid w:val="00DB5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65"/>
  </w:style>
  <w:style w:type="paragraph" w:styleId="Ttulo1">
    <w:name w:val="heading 1"/>
    <w:basedOn w:val="normal0"/>
    <w:next w:val="normal0"/>
    <w:rsid w:val="0004445E"/>
    <w:pPr>
      <w:keepNext/>
      <w:keepLines/>
      <w:spacing w:before="200"/>
      <w:outlineLvl w:val="0"/>
    </w:pPr>
    <w:rPr>
      <w:rFonts w:ascii="Trebuchet MS" w:eastAsia="Trebuchet MS" w:hAnsi="Trebuchet MS" w:cs="Trebuchet MS"/>
      <w:sz w:val="32"/>
      <w:szCs w:val="32"/>
    </w:rPr>
  </w:style>
  <w:style w:type="paragraph" w:styleId="Ttulo2">
    <w:name w:val="heading 2"/>
    <w:basedOn w:val="normal0"/>
    <w:next w:val="normal0"/>
    <w:rsid w:val="0004445E"/>
    <w:pPr>
      <w:keepNext/>
      <w:keepLines/>
      <w:spacing w:before="200"/>
      <w:outlineLvl w:val="1"/>
    </w:pPr>
    <w:rPr>
      <w:rFonts w:ascii="Trebuchet MS" w:eastAsia="Trebuchet MS" w:hAnsi="Trebuchet MS" w:cs="Trebuchet MS"/>
      <w:b/>
      <w:sz w:val="26"/>
      <w:szCs w:val="26"/>
    </w:rPr>
  </w:style>
  <w:style w:type="paragraph" w:styleId="Ttulo3">
    <w:name w:val="heading 3"/>
    <w:basedOn w:val="normal0"/>
    <w:next w:val="normal0"/>
    <w:rsid w:val="0004445E"/>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0"/>
    <w:next w:val="normal0"/>
    <w:rsid w:val="0004445E"/>
    <w:pPr>
      <w:keepNext/>
      <w:keepLines/>
      <w:spacing w:before="160"/>
      <w:outlineLvl w:val="3"/>
    </w:pPr>
    <w:rPr>
      <w:rFonts w:ascii="Trebuchet MS" w:eastAsia="Trebuchet MS" w:hAnsi="Trebuchet MS" w:cs="Trebuchet MS"/>
      <w:color w:val="666666"/>
      <w:u w:val="single"/>
    </w:rPr>
  </w:style>
  <w:style w:type="paragraph" w:styleId="Ttulo5">
    <w:name w:val="heading 5"/>
    <w:basedOn w:val="normal0"/>
    <w:next w:val="normal0"/>
    <w:rsid w:val="0004445E"/>
    <w:pPr>
      <w:keepNext/>
      <w:keepLines/>
      <w:spacing w:before="160"/>
      <w:outlineLvl w:val="4"/>
    </w:pPr>
    <w:rPr>
      <w:rFonts w:ascii="Trebuchet MS" w:eastAsia="Trebuchet MS" w:hAnsi="Trebuchet MS" w:cs="Trebuchet MS"/>
      <w:color w:val="666666"/>
    </w:rPr>
  </w:style>
  <w:style w:type="paragraph" w:styleId="Ttulo6">
    <w:name w:val="heading 6"/>
    <w:basedOn w:val="normal0"/>
    <w:next w:val="normal0"/>
    <w:rsid w:val="0004445E"/>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4445E"/>
  </w:style>
  <w:style w:type="table" w:customStyle="1" w:styleId="TableNormal">
    <w:name w:val="Table Normal"/>
    <w:rsid w:val="0004445E"/>
    <w:tblPr>
      <w:tblCellMar>
        <w:top w:w="0" w:type="dxa"/>
        <w:left w:w="0" w:type="dxa"/>
        <w:bottom w:w="0" w:type="dxa"/>
        <w:right w:w="0" w:type="dxa"/>
      </w:tblCellMar>
    </w:tblPr>
  </w:style>
  <w:style w:type="paragraph" w:styleId="Ttulo">
    <w:name w:val="Title"/>
    <w:basedOn w:val="normal0"/>
    <w:next w:val="normal0"/>
    <w:rsid w:val="0004445E"/>
    <w:pPr>
      <w:keepNext/>
      <w:keepLines/>
    </w:pPr>
    <w:rPr>
      <w:rFonts w:ascii="Trebuchet MS" w:eastAsia="Trebuchet MS" w:hAnsi="Trebuchet MS" w:cs="Trebuchet MS"/>
      <w:sz w:val="42"/>
      <w:szCs w:val="42"/>
    </w:rPr>
  </w:style>
  <w:style w:type="paragraph" w:styleId="Subttulo">
    <w:name w:val="Subtitle"/>
    <w:basedOn w:val="normal0"/>
    <w:next w:val="normal0"/>
    <w:rsid w:val="0004445E"/>
    <w:pPr>
      <w:keepNext/>
      <w:keepLines/>
      <w:spacing w:after="200"/>
    </w:pPr>
    <w:rPr>
      <w:rFonts w:ascii="Trebuchet MS" w:eastAsia="Trebuchet MS" w:hAnsi="Trebuchet MS" w:cs="Trebuchet MS"/>
      <w:i/>
      <w:color w:val="666666"/>
      <w:sz w:val="26"/>
      <w:szCs w:val="26"/>
    </w:rPr>
  </w:style>
  <w:style w:type="table" w:customStyle="1" w:styleId="a">
    <w:basedOn w:val="TableNormal"/>
    <w:rsid w:val="0004445E"/>
    <w:tblPr>
      <w:tblStyleRowBandSize w:val="1"/>
      <w:tblStyleColBandSize w:val="1"/>
      <w:tblCellMar>
        <w:top w:w="100" w:type="dxa"/>
        <w:left w:w="100" w:type="dxa"/>
        <w:bottom w:w="100" w:type="dxa"/>
        <w:right w:w="100" w:type="dxa"/>
      </w:tblCellMar>
    </w:tblPr>
  </w:style>
  <w:style w:type="table" w:customStyle="1" w:styleId="a0">
    <w:basedOn w:val="TableNormal"/>
    <w:rsid w:val="0004445E"/>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semiHidden/>
    <w:unhideWhenUsed/>
    <w:rsid w:val="001D007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D0074"/>
  </w:style>
  <w:style w:type="paragraph" w:styleId="Piedepgina">
    <w:name w:val="footer"/>
    <w:basedOn w:val="Normal"/>
    <w:link w:val="PiedepginaCar"/>
    <w:uiPriority w:val="99"/>
    <w:semiHidden/>
    <w:unhideWhenUsed/>
    <w:rsid w:val="001D007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1D0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850</Words>
  <Characters>4677</Characters>
  <Application>Microsoft Office Word</Application>
  <DocSecurity>0</DocSecurity>
  <Lines>38</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7</cp:revision>
  <cp:lastPrinted>2024-04-25T14:16:00Z</cp:lastPrinted>
  <dcterms:created xsi:type="dcterms:W3CDTF">2024-04-25T13:57:00Z</dcterms:created>
  <dcterms:modified xsi:type="dcterms:W3CDTF">2024-04-25T14:37:00Z</dcterms:modified>
</cp:coreProperties>
</file>