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36" w:rsidRDefault="00A74E36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A74E36" w:rsidRDefault="00A74E36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874251" w:rsidRDefault="00B11C4A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COMPRA DIRECTA Nº </w:t>
      </w:r>
      <w:r w:rsidR="0093507A">
        <w:rPr>
          <w:rFonts w:ascii="Bookman Old Style" w:hAnsi="Bookman Old Style"/>
          <w:b/>
          <w:sz w:val="22"/>
          <w:szCs w:val="22"/>
          <w:u w:val="single"/>
        </w:rPr>
        <w:t>160</w:t>
      </w:r>
      <w:r>
        <w:rPr>
          <w:rFonts w:ascii="Bookman Old Style" w:hAnsi="Bookman Old Style"/>
          <w:b/>
          <w:sz w:val="22"/>
          <w:szCs w:val="22"/>
          <w:u w:val="single"/>
        </w:rPr>
        <w:t>/2023</w:t>
      </w:r>
    </w:p>
    <w:p w:rsidR="00874251" w:rsidRDefault="00874251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874251" w:rsidRDefault="00B11C4A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FECHA LIMITE D</w:t>
      </w:r>
      <w:r w:rsidR="007754C5">
        <w:rPr>
          <w:rFonts w:ascii="Bookman Old Style" w:hAnsi="Bookman Old Style"/>
          <w:b/>
          <w:sz w:val="22"/>
          <w:szCs w:val="22"/>
          <w:u w:val="single"/>
        </w:rPr>
        <w:t>E PRESENTACIÓN DE OFERTAS:</w:t>
      </w:r>
      <w:r w:rsidR="0093507A">
        <w:rPr>
          <w:rFonts w:ascii="Bookman Old Style" w:hAnsi="Bookman Old Style"/>
          <w:b/>
          <w:sz w:val="22"/>
          <w:szCs w:val="22"/>
          <w:u w:val="single"/>
        </w:rPr>
        <w:t xml:space="preserve"> 31/08</w:t>
      </w:r>
      <w:r w:rsidR="007754C5">
        <w:rPr>
          <w:rFonts w:ascii="Bookman Old Style" w:hAnsi="Bookman Old Style"/>
          <w:b/>
          <w:sz w:val="22"/>
          <w:szCs w:val="22"/>
          <w:u w:val="single"/>
        </w:rPr>
        <w:t>/2023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a las 15:00 horas </w:t>
      </w:r>
    </w:p>
    <w:p w:rsidR="00874251" w:rsidRDefault="00874251">
      <w:pPr>
        <w:pStyle w:val="NormalWeb"/>
        <w:spacing w:after="0" w:line="276" w:lineRule="auto"/>
        <w:rPr>
          <w:rFonts w:ascii="Bookman Old Style" w:hAnsi="Bookman Old Style"/>
          <w:sz w:val="22"/>
          <w:szCs w:val="22"/>
        </w:rPr>
      </w:pPr>
    </w:p>
    <w:p w:rsidR="00874251" w:rsidRDefault="00B11C4A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bookmarkStart w:id="0" w:name="__DdeLink__165_151989800"/>
      <w:r>
        <w:rPr>
          <w:rFonts w:ascii="Bookman Old Style" w:hAnsi="Bookman Old Style"/>
          <w:sz w:val="22"/>
          <w:szCs w:val="22"/>
        </w:rPr>
        <w:t>Contratación de servicio de mantenimiento y limpieza de equipos del Laboratorio de Anatomía Patológica del Instituto Técnico Forense del Poder Judicial</w:t>
      </w:r>
      <w:bookmarkEnd w:id="0"/>
      <w:r w:rsidR="007754C5">
        <w:rPr>
          <w:rFonts w:ascii="Bookman Old Style" w:hAnsi="Bookman Old Style"/>
          <w:sz w:val="22"/>
          <w:szCs w:val="22"/>
        </w:rPr>
        <w:t>, para el ejercicio 2024</w:t>
      </w:r>
      <w:r>
        <w:rPr>
          <w:rFonts w:ascii="Bookman Old Style" w:hAnsi="Bookman Old Style"/>
          <w:sz w:val="22"/>
          <w:szCs w:val="22"/>
        </w:rPr>
        <w:t xml:space="preserve">: </w:t>
      </w:r>
    </w:p>
    <w:p w:rsidR="00874251" w:rsidRDefault="00B11C4A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A) Microscopio OLYMPUS MODELO BX50 TRINOCULAR CON CÁMARA</w:t>
      </w:r>
    </w:p>
    <w:p w:rsidR="00874251" w:rsidRDefault="00B11C4A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B) Microscopio OLYMPUS MODELO CX41 TRINOCULAR.</w:t>
      </w:r>
    </w:p>
    <w:p w:rsidR="00874251" w:rsidRDefault="00B11C4A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 deberá </w:t>
      </w:r>
      <w:r>
        <w:rPr>
          <w:rFonts w:ascii="Bookman Old Style" w:hAnsi="Bookman Old Style"/>
          <w:b/>
          <w:sz w:val="22"/>
          <w:szCs w:val="22"/>
        </w:rPr>
        <w:t>cotizar en forma mensual con IVA incluido, precio plaza, moneda nacional</w:t>
      </w:r>
      <w:r>
        <w:rPr>
          <w:rFonts w:ascii="Bookman Old Style" w:hAnsi="Bookman Old Style"/>
          <w:sz w:val="22"/>
          <w:szCs w:val="22"/>
        </w:rPr>
        <w:t xml:space="preserve"> y el precio será fijo durante todo el periodo del contrato, y si se utiliza la opción de prórroga, el precio s</w:t>
      </w:r>
      <w:r w:rsidR="007754C5">
        <w:rPr>
          <w:rFonts w:ascii="Bookman Old Style" w:hAnsi="Bookman Old Style"/>
          <w:sz w:val="22"/>
          <w:szCs w:val="22"/>
        </w:rPr>
        <w:t>e ajustará a partir del 1/1/2025</w:t>
      </w:r>
      <w:r>
        <w:rPr>
          <w:rFonts w:ascii="Bookman Old Style" w:hAnsi="Bookman Old Style"/>
          <w:sz w:val="22"/>
          <w:szCs w:val="22"/>
        </w:rPr>
        <w:t xml:space="preserve"> de acuerdo a la variación anual del IPC. </w:t>
      </w:r>
    </w:p>
    <w:p w:rsidR="00874251" w:rsidRDefault="00B11C4A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 servicio consistirá en limpiezas, reparaciones y supervisiones que garanticen un correcto funcionamiento. En caso de desperfecto la empresa adjudicataria realizará los trabajos dentro de las 24 horas del llamado y en caso de ser necesario proporcionarán un equipo similar para que el servicio pueda continuar.</w:t>
      </w:r>
    </w:p>
    <w:p w:rsidR="00874251" w:rsidRDefault="00B11C4A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 empresa adjudicataria se obliga a realizar visitas de mantenimiento cada tres meses, para relevar el correcto funcionamiento y reparación de equipos, instalaciones y elementos conexos.</w:t>
      </w:r>
    </w:p>
    <w:p w:rsidR="00874251" w:rsidRPr="00B11C4A" w:rsidRDefault="00B11C4A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 </w:t>
      </w:r>
      <w:r>
        <w:rPr>
          <w:rFonts w:ascii="Bookman Old Style" w:hAnsi="Bookman Old Style"/>
          <w:b/>
          <w:sz w:val="22"/>
          <w:szCs w:val="22"/>
        </w:rPr>
        <w:t>podrá</w:t>
      </w:r>
      <w:r>
        <w:rPr>
          <w:rFonts w:ascii="Bookman Old Style" w:hAnsi="Bookman Old Style"/>
          <w:sz w:val="22"/>
          <w:szCs w:val="22"/>
        </w:rPr>
        <w:t xml:space="preserve"> coordinar (opcional) con el referido Laboratorio (Gonzalo Ramírez 1219, </w:t>
      </w:r>
      <w:proofErr w:type="spellStart"/>
      <w:r>
        <w:rPr>
          <w:rFonts w:ascii="Bookman Old Style" w:hAnsi="Bookman Old Style"/>
          <w:b/>
          <w:sz w:val="22"/>
          <w:szCs w:val="22"/>
        </w:rPr>
        <w:t>tel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1907-463</w:t>
      </w:r>
      <w:r w:rsidR="00B80969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de 14:00 a 17:00 </w:t>
      </w:r>
      <w:proofErr w:type="spellStart"/>
      <w:r>
        <w:rPr>
          <w:rFonts w:ascii="Bookman Old Style" w:hAnsi="Bookman Old Style"/>
          <w:sz w:val="22"/>
          <w:szCs w:val="22"/>
        </w:rPr>
        <w:t>hs</w:t>
      </w:r>
      <w:proofErr w:type="spellEnd"/>
      <w:r>
        <w:rPr>
          <w:rFonts w:ascii="Bookman Old Style" w:hAnsi="Bookman Old Style"/>
          <w:sz w:val="22"/>
          <w:szCs w:val="22"/>
        </w:rPr>
        <w:t xml:space="preserve">.) una visita </w:t>
      </w:r>
      <w:r>
        <w:rPr>
          <w:rFonts w:ascii="Bookman Old Style" w:hAnsi="Bookman Old Style"/>
          <w:b/>
          <w:sz w:val="22"/>
          <w:szCs w:val="22"/>
        </w:rPr>
        <w:t xml:space="preserve">el día </w:t>
      </w:r>
      <w:r w:rsidR="00B80969">
        <w:rPr>
          <w:rFonts w:ascii="Bookman Old Style" w:hAnsi="Bookman Old Style"/>
          <w:b/>
          <w:sz w:val="22"/>
          <w:szCs w:val="22"/>
        </w:rPr>
        <w:t>25</w:t>
      </w:r>
      <w:r w:rsidR="007754C5">
        <w:rPr>
          <w:rFonts w:ascii="Bookman Old Style" w:hAnsi="Bookman Old Style"/>
          <w:b/>
          <w:sz w:val="22"/>
          <w:szCs w:val="22"/>
        </w:rPr>
        <w:t xml:space="preserve"> de julio de 2023</w:t>
      </w:r>
      <w:r>
        <w:rPr>
          <w:rFonts w:ascii="Bookman Old Style" w:hAnsi="Bookman Old Style"/>
          <w:sz w:val="22"/>
          <w:szCs w:val="22"/>
        </w:rPr>
        <w:t xml:space="preserve"> a los efectos de verificar los equipos incluidos en la presente</w:t>
      </w:r>
      <w:r w:rsidR="00A74E36">
        <w:rPr>
          <w:rFonts w:ascii="Bookman Old Style" w:hAnsi="Bookman Old Style"/>
          <w:sz w:val="22"/>
          <w:szCs w:val="22"/>
        </w:rPr>
        <w:t>.</w:t>
      </w:r>
    </w:p>
    <w:p w:rsidR="00874251" w:rsidRDefault="00B11C4A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 empresa oferente deberá estas en carácter “activo” en el RUPE.</w:t>
      </w:r>
    </w:p>
    <w:p w:rsidR="00874251" w:rsidRDefault="00B11C4A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El plazo de la contratación s</w:t>
      </w:r>
      <w:r w:rsidR="007754C5">
        <w:rPr>
          <w:rFonts w:ascii="Bookman Old Style" w:hAnsi="Bookman Old Style"/>
          <w:b/>
          <w:sz w:val="22"/>
          <w:szCs w:val="22"/>
        </w:rPr>
        <w:t>erá desde el 1º de enero de 2024 al 31 de diciembre de 2024</w:t>
      </w:r>
      <w:r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en caso que la notificación de la resolución de adjudicación fuera </w:t>
      </w:r>
      <w:r w:rsidR="007754C5">
        <w:rPr>
          <w:rFonts w:ascii="Bookman Old Style" w:hAnsi="Bookman Old Style"/>
          <w:sz w:val="22"/>
          <w:szCs w:val="22"/>
        </w:rPr>
        <w:t>posterior al 1º de enero de 2024</w:t>
      </w:r>
      <w:r>
        <w:rPr>
          <w:rFonts w:ascii="Bookman Old Style" w:hAnsi="Bookman Old Style"/>
          <w:sz w:val="22"/>
          <w:szCs w:val="22"/>
        </w:rPr>
        <w:t xml:space="preserve"> el plazo será desde la suscripción del contrato, con opción a un año de prórroga automática, si no se comunica lo contrario con una antelación de 30 días del vencimiento del plazo. El Poder Judicial podrá rescindir unilateralmente este contrato, mediante telegrama u otro medio idóneo con antelación mínima de 15 días.</w:t>
      </w:r>
    </w:p>
    <w:p w:rsidR="00874251" w:rsidRDefault="00B11C4A">
      <w:pPr>
        <w:pStyle w:val="NormalWeb"/>
        <w:spacing w:after="0"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 plazo mínimo de pago SIIF crédito 60 días y el plazo de mantenimiento de la oferta no podrá ser inferior a 60 días.</w:t>
      </w:r>
    </w:p>
    <w:p w:rsidR="00874251" w:rsidRDefault="00B11C4A">
      <w:pPr>
        <w:pStyle w:val="NormalWeb"/>
        <w:spacing w:after="0" w:line="276" w:lineRule="auto"/>
        <w:ind w:left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874251" w:rsidRDefault="00B11C4A">
      <w:pPr>
        <w:pStyle w:val="NormalWeb"/>
        <w:spacing w:before="0" w:after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Poder Judicial</w:t>
      </w:r>
    </w:p>
    <w:p w:rsidR="00874251" w:rsidRDefault="00B11C4A">
      <w:pPr>
        <w:pStyle w:val="NormalWeb"/>
        <w:spacing w:before="0" w:after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División Administración</w:t>
      </w:r>
    </w:p>
    <w:p w:rsidR="00874251" w:rsidRDefault="00B11C4A">
      <w:pPr>
        <w:pStyle w:val="NormalWeb"/>
        <w:spacing w:before="0" w:after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Depto. de Adquisiciones</w:t>
      </w:r>
    </w:p>
    <w:p w:rsidR="00874251" w:rsidRDefault="00B11C4A">
      <w:pPr>
        <w:pStyle w:val="NormalWeb"/>
        <w:spacing w:before="0" w:after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Soriano 1210, Montevideo</w:t>
      </w:r>
    </w:p>
    <w:p w:rsidR="00874251" w:rsidRDefault="00B11C4A">
      <w:pPr>
        <w:pStyle w:val="NormalWeb"/>
        <w:spacing w:before="0" w:after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Teléfonos: 2902-1359 / 1907 interno 4554</w:t>
      </w:r>
    </w:p>
    <w:p w:rsidR="00874251" w:rsidRDefault="00B11C4A">
      <w:pPr>
        <w:pStyle w:val="NormalWeb"/>
        <w:spacing w:before="0" w:after="0"/>
        <w:ind w:firstLine="709"/>
        <w:jc w:val="both"/>
        <w:rPr>
          <w:rStyle w:val="EnlacedeInternet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Fax: 2902-1488, Correo: </w:t>
      </w:r>
      <w:hyperlink r:id="rId6">
        <w:r>
          <w:rPr>
            <w:rStyle w:val="EnlacedeInternet"/>
            <w:b/>
            <w:bCs/>
            <w:sz w:val="22"/>
            <w:szCs w:val="22"/>
          </w:rPr>
          <w:t>adquisiciones@poderjudicial.gub.uy</w:t>
        </w:r>
      </w:hyperlink>
    </w:p>
    <w:p w:rsidR="00874251" w:rsidRDefault="00874251">
      <w:pPr>
        <w:pStyle w:val="Predeterminado"/>
        <w:spacing w:line="360" w:lineRule="auto"/>
        <w:jc w:val="center"/>
      </w:pPr>
    </w:p>
    <w:p w:rsidR="00A74E36" w:rsidRDefault="00A74E36">
      <w:pPr>
        <w:pStyle w:val="Predeterminado"/>
        <w:spacing w:line="360" w:lineRule="auto"/>
        <w:jc w:val="center"/>
        <w:rPr>
          <w:rFonts w:cs="Times New Roman"/>
          <w:b/>
          <w:u w:val="single"/>
        </w:rPr>
      </w:pPr>
    </w:p>
    <w:p w:rsidR="00A74E36" w:rsidRDefault="00A74E36">
      <w:pPr>
        <w:pStyle w:val="Predeterminado"/>
        <w:spacing w:line="360" w:lineRule="auto"/>
        <w:jc w:val="center"/>
        <w:rPr>
          <w:rFonts w:cs="Times New Roman"/>
          <w:b/>
          <w:u w:val="single"/>
        </w:rPr>
      </w:pPr>
    </w:p>
    <w:p w:rsidR="00874251" w:rsidRDefault="00B11C4A">
      <w:pPr>
        <w:pStyle w:val="Predeterminado"/>
        <w:spacing w:line="36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ANEXO I</w:t>
      </w:r>
    </w:p>
    <w:p w:rsidR="00874251" w:rsidRDefault="00874251">
      <w:pPr>
        <w:pStyle w:val="Encabezado1"/>
        <w:spacing w:line="360" w:lineRule="auto"/>
        <w:jc w:val="center"/>
        <w:rPr>
          <w:rFonts w:ascii="Bookman Old Style" w:hAnsi="Bookman Old Style" w:cs="Times New Roman"/>
          <w:bCs w:val="0"/>
        </w:rPr>
      </w:pPr>
    </w:p>
    <w:p w:rsidR="00874251" w:rsidRDefault="00B11C4A">
      <w:pPr>
        <w:pStyle w:val="Encabezado1"/>
        <w:spacing w:line="360" w:lineRule="auto"/>
        <w:jc w:val="center"/>
        <w:rPr>
          <w:rFonts w:ascii="Bookman Old Style" w:hAnsi="Bookman Old Style" w:cs="Times New Roman"/>
          <w:bCs w:val="0"/>
          <w:i/>
        </w:rPr>
      </w:pPr>
      <w:r>
        <w:rPr>
          <w:rFonts w:ascii="Bookman Old Style" w:hAnsi="Bookman Old Style" w:cs="Times New Roman"/>
          <w:bCs w:val="0"/>
          <w:i/>
        </w:rPr>
        <w:t>FORMULARIO DE IDENTIFICACION DEL OFERENTE</w:t>
      </w:r>
    </w:p>
    <w:p w:rsidR="00874251" w:rsidRDefault="00874251">
      <w:pPr>
        <w:pStyle w:val="Predeterminado"/>
        <w:spacing w:line="360" w:lineRule="auto"/>
        <w:rPr>
          <w:rFonts w:cs="Times New Roman"/>
        </w:rPr>
      </w:pPr>
    </w:p>
    <w:p w:rsidR="00874251" w:rsidRDefault="00B11C4A">
      <w:pPr>
        <w:pStyle w:val="Predeterminado"/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COMPRA DIRECTA N</w:t>
      </w:r>
      <w:r w:rsidR="0093507A">
        <w:rPr>
          <w:rFonts w:cs="Times New Roman"/>
          <w:b/>
          <w:u w:val="single"/>
        </w:rPr>
        <w:t>º160</w:t>
      </w:r>
      <w:bookmarkStart w:id="1" w:name="_GoBack"/>
      <w:bookmarkEnd w:id="1"/>
    </w:p>
    <w:p w:rsidR="00874251" w:rsidRDefault="00874251">
      <w:pPr>
        <w:pStyle w:val="Predeterminado"/>
        <w:spacing w:line="360" w:lineRule="auto"/>
        <w:rPr>
          <w:rFonts w:cs="Times New Roman"/>
        </w:rPr>
      </w:pPr>
    </w:p>
    <w:p w:rsidR="00874251" w:rsidRDefault="00B11C4A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>El/Los</w:t>
      </w:r>
      <w:r>
        <w:rPr>
          <w:rFonts w:ascii="Bookman Old Style" w:hAnsi="Bookman Old Style"/>
          <w:color w:val="0C0C0C"/>
          <w:spacing w:val="38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que</w:t>
      </w:r>
      <w:r>
        <w:rPr>
          <w:rFonts w:ascii="Bookman Old Style" w:hAnsi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suscribe/n</w:t>
      </w: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………………………………………………………….</w:t>
      </w:r>
    </w:p>
    <w:p w:rsidR="00874251" w:rsidRDefault="00B11C4A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en</w:t>
      </w:r>
      <w:proofErr w:type="gramEnd"/>
      <w:r>
        <w:rPr>
          <w:rFonts w:ascii="Bookman Old Style" w:hAnsi="Bookman Old Style"/>
          <w:spacing w:val="8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representación</w:t>
      </w:r>
      <w:r>
        <w:rPr>
          <w:rFonts w:ascii="Bookman Old Style" w:hAnsi="Bookman Old Style"/>
          <w:spacing w:val="80"/>
          <w:sz w:val="24"/>
          <w:szCs w:val="24"/>
        </w:rPr>
        <w:t xml:space="preserve"> </w:t>
      </w:r>
      <w:r>
        <w:rPr>
          <w:rFonts w:ascii="Bookman Old Style" w:hAnsi="Bookman Old Style"/>
          <w:color w:val="181818"/>
          <w:sz w:val="24"/>
          <w:szCs w:val="24"/>
        </w:rPr>
        <w:t>de………………………………………………………….</w:t>
      </w:r>
    </w:p>
    <w:p w:rsidR="00874251" w:rsidRDefault="00B11C4A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sz w:val="24"/>
          <w:szCs w:val="24"/>
          <w:u w:val="single"/>
        </w:rPr>
      </w:pPr>
      <w:r>
        <w:rPr>
          <w:rFonts w:ascii="Bookman Old Style" w:hAnsi="Bookman Old Style"/>
          <w:color w:val="181818"/>
          <w:sz w:val="24"/>
          <w:szCs w:val="24"/>
          <w:u w:val="single"/>
        </w:rPr>
        <w:t>RUT…………………………………..</w:t>
      </w:r>
    </w:p>
    <w:p w:rsidR="00874251" w:rsidRDefault="00B11C4A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Declara/n</w:t>
      </w:r>
      <w:r>
        <w:rPr>
          <w:rFonts w:ascii="Bookman Old Style" w:hAnsi="Bookman Old Style"/>
          <w:b/>
          <w:spacing w:val="56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151515"/>
          <w:sz w:val="28"/>
          <w:szCs w:val="28"/>
        </w:rPr>
        <w:t xml:space="preserve">bajo </w:t>
      </w:r>
      <w:r>
        <w:rPr>
          <w:rFonts w:ascii="Bookman Old Style" w:hAnsi="Bookman Old Style"/>
          <w:b/>
          <w:sz w:val="28"/>
          <w:szCs w:val="28"/>
        </w:rPr>
        <w:t>juramento</w:t>
      </w:r>
      <w:r>
        <w:rPr>
          <w:rFonts w:ascii="Bookman Old Style" w:hAnsi="Bookman Old Style"/>
          <w:b/>
          <w:spacing w:val="55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que </w:t>
      </w:r>
      <w:r>
        <w:rPr>
          <w:rFonts w:ascii="Bookman Old Style" w:hAnsi="Bookman Old Style"/>
          <w:b/>
          <w:color w:val="0C0C0C"/>
          <w:sz w:val="28"/>
          <w:szCs w:val="28"/>
        </w:rPr>
        <w:t xml:space="preserve">la </w:t>
      </w:r>
      <w:r>
        <w:rPr>
          <w:rFonts w:ascii="Bookman Old Style" w:hAnsi="Bookman Old Style"/>
          <w:b/>
          <w:sz w:val="28"/>
          <w:szCs w:val="28"/>
        </w:rPr>
        <w:t>oferta ingresada</w:t>
      </w:r>
      <w:r>
        <w:rPr>
          <w:rFonts w:ascii="Bookman Old Style" w:hAnsi="Bookman Old Style"/>
          <w:b/>
          <w:spacing w:val="56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en línea </w:t>
      </w:r>
      <w:r>
        <w:rPr>
          <w:rFonts w:ascii="Bookman Old Style" w:hAnsi="Bookman Old Style"/>
          <w:b/>
          <w:color w:val="181818"/>
          <w:sz w:val="28"/>
          <w:szCs w:val="28"/>
        </w:rPr>
        <w:t xml:space="preserve">a </w:t>
      </w:r>
      <w:r>
        <w:rPr>
          <w:rFonts w:ascii="Bookman Old Style" w:hAnsi="Bookman Old Style"/>
          <w:b/>
          <w:color w:val="0F0F0F"/>
          <w:sz w:val="28"/>
          <w:szCs w:val="28"/>
        </w:rPr>
        <w:t>través</w:t>
      </w:r>
      <w:r>
        <w:rPr>
          <w:rFonts w:ascii="Bookman Old Style" w:hAnsi="Bookman Old Style"/>
          <w:b/>
          <w:color w:val="0F0F0F"/>
          <w:spacing w:val="1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262626"/>
          <w:sz w:val="28"/>
          <w:szCs w:val="28"/>
        </w:rPr>
        <w:t xml:space="preserve">del </w:t>
      </w:r>
      <w:r>
        <w:rPr>
          <w:rFonts w:ascii="Bookman Old Style" w:hAnsi="Bookman Old Style"/>
          <w:b/>
          <w:sz w:val="28"/>
          <w:szCs w:val="28"/>
        </w:rPr>
        <w:t>sitio</w:t>
      </w:r>
      <w:r>
        <w:rPr>
          <w:rFonts w:ascii="Bookman Old Style" w:hAnsi="Bookman Old Style"/>
          <w:b/>
          <w:spacing w:val="56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1A1A1A"/>
          <w:sz w:val="28"/>
          <w:szCs w:val="28"/>
        </w:rPr>
        <w:t xml:space="preserve">web </w:t>
      </w:r>
      <w:hyperlink r:id="rId7">
        <w:r>
          <w:rPr>
            <w:rStyle w:val="EnlacedeInternet"/>
            <w:rFonts w:ascii="Bookman Old Style" w:hAnsi="Bookman Old Style"/>
            <w:b/>
            <w:sz w:val="28"/>
            <w:szCs w:val="28"/>
          </w:rPr>
          <w:t xml:space="preserve">www.comprasestatales.gub.uy </w:t>
        </w:r>
      </w:hyperlink>
      <w:r>
        <w:rPr>
          <w:rFonts w:ascii="Bookman Old Style" w:hAnsi="Bookman Old Style"/>
          <w:b/>
          <w:sz w:val="28"/>
          <w:szCs w:val="28"/>
        </w:rPr>
        <w:t>vincula a</w:t>
      </w:r>
      <w:r>
        <w:rPr>
          <w:rFonts w:ascii="Bookman Old Style" w:hAnsi="Bookman Old Style"/>
          <w:b/>
          <w:spacing w:val="56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la</w:t>
      </w:r>
      <w:r>
        <w:rPr>
          <w:rFonts w:ascii="Bookman Old Style" w:hAnsi="Bookman Old Style"/>
          <w:b/>
          <w:spacing w:val="56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empresa </w:t>
      </w:r>
      <w:r>
        <w:rPr>
          <w:rFonts w:ascii="Bookman Old Style" w:hAnsi="Bookman Old Style"/>
          <w:b/>
          <w:color w:val="131313"/>
          <w:sz w:val="28"/>
          <w:szCs w:val="28"/>
        </w:rPr>
        <w:t>en</w:t>
      </w:r>
      <w:r>
        <w:rPr>
          <w:rFonts w:ascii="Bookman Old Style" w:hAnsi="Bookman Old Style"/>
          <w:b/>
          <w:color w:val="131313"/>
          <w:spacing w:val="56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todos</w:t>
      </w:r>
      <w:r>
        <w:rPr>
          <w:rFonts w:ascii="Bookman Old Style" w:hAnsi="Bookman Old Style"/>
          <w:b/>
          <w:spacing w:val="56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161616"/>
          <w:sz w:val="28"/>
          <w:szCs w:val="28"/>
        </w:rPr>
        <w:t>sus</w:t>
      </w:r>
      <w:r>
        <w:rPr>
          <w:rFonts w:ascii="Bookman Old Style" w:hAnsi="Bookman Old Style"/>
          <w:b/>
          <w:color w:val="161616"/>
          <w:spacing w:val="1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términos </w:t>
      </w:r>
      <w:r>
        <w:rPr>
          <w:rFonts w:ascii="Bookman Old Style" w:hAnsi="Bookman Old Style"/>
          <w:b/>
          <w:color w:val="2F2F2F"/>
          <w:sz w:val="28"/>
          <w:szCs w:val="28"/>
        </w:rPr>
        <w:t xml:space="preserve">y </w:t>
      </w:r>
      <w:r>
        <w:rPr>
          <w:rFonts w:ascii="Bookman Old Style" w:hAnsi="Bookman Old Style"/>
          <w:b/>
          <w:sz w:val="28"/>
          <w:szCs w:val="28"/>
        </w:rPr>
        <w:t xml:space="preserve">que acepta </w:t>
      </w:r>
      <w:r>
        <w:rPr>
          <w:rFonts w:ascii="Bookman Old Style" w:hAnsi="Bookman Old Style"/>
          <w:b/>
          <w:color w:val="111111"/>
          <w:sz w:val="28"/>
          <w:szCs w:val="28"/>
        </w:rPr>
        <w:t xml:space="preserve">sin </w:t>
      </w:r>
      <w:r>
        <w:rPr>
          <w:rFonts w:ascii="Bookman Old Style" w:hAnsi="Bookman Old Style"/>
          <w:b/>
          <w:sz w:val="28"/>
          <w:szCs w:val="28"/>
        </w:rPr>
        <w:t>condiciones</w:t>
      </w:r>
      <w:r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pacing w:val="53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así</w:t>
      </w:r>
      <w:r>
        <w:rPr>
          <w:rFonts w:ascii="Bookman Old Style" w:hAnsi="Bookman Old Style"/>
          <w:b/>
          <w:spacing w:val="53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como</w:t>
      </w:r>
      <w:r>
        <w:rPr>
          <w:rFonts w:ascii="Bookman Old Style" w:hAnsi="Bookman Old Style"/>
          <w:b/>
          <w:spacing w:val="53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C0C0C"/>
          <w:sz w:val="28"/>
          <w:szCs w:val="28"/>
        </w:rPr>
        <w:t>las</w:t>
      </w:r>
      <w:r>
        <w:rPr>
          <w:rFonts w:ascii="Bookman Old Style" w:hAnsi="Bookman Old Style"/>
          <w:b/>
          <w:color w:val="0C0C0C"/>
          <w:spacing w:val="53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restantes</w:t>
      </w:r>
      <w:r>
        <w:rPr>
          <w:rFonts w:ascii="Bookman Old Style" w:hAnsi="Bookman Old Style"/>
          <w:b/>
          <w:spacing w:val="53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normas</w:t>
      </w:r>
      <w:r>
        <w:rPr>
          <w:rFonts w:ascii="Bookman Old Style" w:hAnsi="Bookman Old Style"/>
          <w:b/>
          <w:spacing w:val="53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que</w:t>
      </w:r>
      <w:r>
        <w:rPr>
          <w:rFonts w:ascii="Bookman Old Style" w:hAnsi="Bookman Old Style"/>
          <w:b/>
          <w:spacing w:val="53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rigen  </w:t>
      </w:r>
      <w:r>
        <w:rPr>
          <w:rFonts w:ascii="Bookman Old Style" w:hAnsi="Bookman Old Style"/>
          <w:b/>
          <w:spacing w:val="1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la</w:t>
      </w:r>
      <w:r>
        <w:rPr>
          <w:rFonts w:ascii="Bookman Old Style" w:hAnsi="Bookman Old Style"/>
          <w:b/>
          <w:spacing w:val="1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contratación.</w:t>
      </w:r>
    </w:p>
    <w:p w:rsidR="00874251" w:rsidRDefault="00B11C4A">
      <w:pPr>
        <w:pStyle w:val="Cuerpodetexto"/>
        <w:spacing w:before="184" w:line="360" w:lineRule="auto"/>
        <w:ind w:right="29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383838"/>
          <w:sz w:val="24"/>
          <w:szCs w:val="24"/>
        </w:rPr>
        <w:t>L</w:t>
      </w:r>
      <w:r>
        <w:rPr>
          <w:rFonts w:ascii="Bookman Old Style" w:hAnsi="Bookman Old Style"/>
          <w:color w:val="0F0F0F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 xml:space="preserve">empresa oferente declara contar con capacidad para contratar con </w:t>
      </w:r>
      <w:r>
        <w:rPr>
          <w:rFonts w:ascii="Bookman Old Style" w:hAnsi="Bookman Old Style"/>
          <w:color w:val="111111"/>
          <w:sz w:val="24"/>
          <w:szCs w:val="24"/>
        </w:rPr>
        <w:t>el</w:t>
      </w:r>
      <w:r>
        <w:rPr>
          <w:rFonts w:ascii="Bookman Old Style" w:hAnsi="Bookman Old Style"/>
          <w:color w:val="111111"/>
          <w:spacing w:val="1"/>
          <w:sz w:val="24"/>
          <w:szCs w:val="24"/>
        </w:rPr>
        <w:t xml:space="preserve"> </w:t>
      </w:r>
      <w:r>
        <w:rPr>
          <w:rFonts w:ascii="Bookman Old Style" w:hAnsi="Bookman Old Style"/>
          <w:color w:val="1F1F1F"/>
          <w:sz w:val="24"/>
          <w:szCs w:val="24"/>
        </w:rPr>
        <w:t xml:space="preserve">Estado, </w:t>
      </w:r>
      <w:r>
        <w:rPr>
          <w:rFonts w:ascii="Bookman Old Style" w:hAnsi="Bookman Old Style"/>
          <w:color w:val="212121"/>
          <w:sz w:val="24"/>
          <w:szCs w:val="24"/>
        </w:rPr>
        <w:t xml:space="preserve">no </w:t>
      </w:r>
      <w:r>
        <w:rPr>
          <w:rFonts w:ascii="Bookman Old Style" w:hAnsi="Bookman Old Style"/>
          <w:sz w:val="24"/>
          <w:szCs w:val="24"/>
        </w:rPr>
        <w:t xml:space="preserve">encontrándose en ninguna situación que expresamente </w:t>
      </w:r>
      <w:r>
        <w:rPr>
          <w:rFonts w:ascii="Bookman Old Style" w:hAnsi="Bookman Old Style"/>
          <w:color w:val="111111"/>
          <w:sz w:val="24"/>
          <w:szCs w:val="24"/>
        </w:rPr>
        <w:t xml:space="preserve">le </w:t>
      </w:r>
      <w:r>
        <w:rPr>
          <w:rFonts w:ascii="Bookman Old Style" w:hAnsi="Bookman Old Style"/>
          <w:sz w:val="24"/>
          <w:szCs w:val="24"/>
        </w:rPr>
        <w:t>impida dicha</w:t>
      </w:r>
      <w:r>
        <w:rPr>
          <w:rFonts w:ascii="Bookman Old Style" w:hAnsi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/>
          <w:w w:val="95"/>
          <w:sz w:val="24"/>
          <w:szCs w:val="24"/>
        </w:rPr>
        <w:t>contratación,</w:t>
      </w:r>
      <w:r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>
        <w:rPr>
          <w:rFonts w:ascii="Bookman Old Style" w:hAnsi="Bookman Old Style"/>
          <w:w w:val="95"/>
          <w:sz w:val="24"/>
          <w:szCs w:val="24"/>
        </w:rPr>
        <w:t>conforme</w:t>
      </w:r>
      <w:r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>
        <w:rPr>
          <w:rFonts w:ascii="Bookman Old Style" w:hAnsi="Bookman Old Style"/>
          <w:w w:val="95"/>
          <w:sz w:val="24"/>
          <w:szCs w:val="24"/>
        </w:rPr>
        <w:t>lo preceptuado</w:t>
      </w:r>
      <w:r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>
        <w:rPr>
          <w:rFonts w:ascii="Bookman Old Style" w:hAnsi="Bookman Old Style"/>
          <w:w w:val="95"/>
          <w:sz w:val="24"/>
          <w:szCs w:val="24"/>
        </w:rPr>
        <w:t xml:space="preserve">por </w:t>
      </w:r>
      <w:r>
        <w:rPr>
          <w:rFonts w:ascii="Bookman Old Style" w:hAnsi="Bookman Old Style"/>
          <w:color w:val="0F0F0F"/>
          <w:w w:val="95"/>
          <w:sz w:val="24"/>
          <w:szCs w:val="24"/>
        </w:rPr>
        <w:t xml:space="preserve">el </w:t>
      </w:r>
      <w:r>
        <w:rPr>
          <w:rFonts w:ascii="Bookman Old Style" w:hAnsi="Bookman Old Style"/>
          <w:w w:val="95"/>
          <w:sz w:val="24"/>
          <w:szCs w:val="24"/>
        </w:rPr>
        <w:t xml:space="preserve">artículo </w:t>
      </w:r>
      <w:r>
        <w:rPr>
          <w:rFonts w:ascii="Bookman Old Style" w:hAnsi="Bookman Old Style"/>
          <w:color w:val="0F0F0F"/>
          <w:w w:val="95"/>
          <w:sz w:val="24"/>
          <w:szCs w:val="24"/>
        </w:rPr>
        <w:t>46</w:t>
      </w:r>
      <w:r>
        <w:rPr>
          <w:rFonts w:ascii="Bookman Old Style" w:hAnsi="Bookman Old Style"/>
          <w:color w:val="0F0F0F"/>
          <w:spacing w:val="1"/>
          <w:w w:val="95"/>
          <w:sz w:val="24"/>
          <w:szCs w:val="24"/>
        </w:rPr>
        <w:t xml:space="preserve"> </w:t>
      </w:r>
      <w:r>
        <w:rPr>
          <w:rFonts w:ascii="Bookman Old Style" w:hAnsi="Bookman Old Style"/>
          <w:w w:val="95"/>
          <w:sz w:val="24"/>
          <w:szCs w:val="24"/>
        </w:rPr>
        <w:t>del T.O.C.A. F., y restantes</w:t>
      </w:r>
      <w:r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normas</w:t>
      </w:r>
      <w:r>
        <w:rPr>
          <w:rFonts w:ascii="Bookman Old Style" w:hAnsi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concordantes</w:t>
      </w:r>
      <w:r>
        <w:rPr>
          <w:rFonts w:ascii="Bookman Old Style" w:hAnsi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/>
          <w:color w:val="2A2A2A"/>
          <w:sz w:val="24"/>
          <w:szCs w:val="24"/>
        </w:rPr>
        <w:t>y</w:t>
      </w:r>
      <w:r>
        <w:rPr>
          <w:rFonts w:ascii="Bookman Old Style" w:hAnsi="Bookman Old Style"/>
          <w:color w:val="2A2A2A"/>
          <w:spacing w:val="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complementarias.</w:t>
      </w:r>
    </w:p>
    <w:p w:rsidR="00874251" w:rsidRDefault="00874251">
      <w:pPr>
        <w:pStyle w:val="Predeterminado"/>
        <w:spacing w:line="360" w:lineRule="auto"/>
        <w:rPr>
          <w:rFonts w:cs="Times New Roman"/>
        </w:rPr>
      </w:pPr>
    </w:p>
    <w:p w:rsidR="00874251" w:rsidRDefault="00874251">
      <w:pPr>
        <w:pStyle w:val="Predeterminado"/>
        <w:spacing w:line="360" w:lineRule="auto"/>
        <w:rPr>
          <w:rFonts w:cs="Times New Roman"/>
        </w:rPr>
      </w:pPr>
    </w:p>
    <w:p w:rsidR="00874251" w:rsidRDefault="00874251">
      <w:pPr>
        <w:pStyle w:val="Predeterminado"/>
        <w:spacing w:line="360" w:lineRule="auto"/>
        <w:rPr>
          <w:rFonts w:cs="Times New Roman"/>
        </w:rPr>
      </w:pPr>
    </w:p>
    <w:p w:rsidR="00874251" w:rsidRDefault="00B11C4A">
      <w:pPr>
        <w:pStyle w:val="Predeterminado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Firma/s:........................................................................................ (DEL/LOS TITULARES Y/O REPRESENTANTES DE LA  EMPRESA)   </w:t>
      </w:r>
    </w:p>
    <w:p w:rsidR="00874251" w:rsidRDefault="00874251">
      <w:pPr>
        <w:pStyle w:val="Predeterminado"/>
        <w:spacing w:line="360" w:lineRule="auto"/>
        <w:rPr>
          <w:rFonts w:cs="Times New Roman"/>
        </w:rPr>
      </w:pPr>
    </w:p>
    <w:p w:rsidR="00874251" w:rsidRDefault="00874251">
      <w:pPr>
        <w:pStyle w:val="Predeterminado"/>
        <w:spacing w:line="360" w:lineRule="auto"/>
        <w:rPr>
          <w:rFonts w:cs="Times New Roman"/>
        </w:rPr>
      </w:pPr>
    </w:p>
    <w:p w:rsidR="00874251" w:rsidRDefault="00B11C4A">
      <w:pPr>
        <w:pStyle w:val="Predeterminado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Aclaración de firma/s: ..................................................................</w:t>
      </w:r>
    </w:p>
    <w:p w:rsidR="00874251" w:rsidRDefault="00874251">
      <w:pPr>
        <w:pStyle w:val="Predeterminado"/>
        <w:jc w:val="center"/>
      </w:pPr>
    </w:p>
    <w:sectPr w:rsidR="00874251">
      <w:pgSz w:w="11906" w:h="16838"/>
      <w:pgMar w:top="495" w:right="1701" w:bottom="90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74D8"/>
    <w:multiLevelType w:val="multilevel"/>
    <w:tmpl w:val="BF828D86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64338F"/>
    <w:multiLevelType w:val="multilevel"/>
    <w:tmpl w:val="581CAA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51"/>
    <w:rsid w:val="003D3D9D"/>
    <w:rsid w:val="00647322"/>
    <w:rsid w:val="007754C5"/>
    <w:rsid w:val="00874251"/>
    <w:rsid w:val="0093507A"/>
    <w:rsid w:val="00A74E36"/>
    <w:rsid w:val="00B11C4A"/>
    <w:rsid w:val="00B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roid Sans Fallback" w:hAnsi="Calibri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pPr>
      <w:keepNext/>
      <w:widowControl w:val="0"/>
      <w:suppressAutoHyphens/>
      <w:spacing w:line="240" w:lineRule="exact"/>
      <w:jc w:val="both"/>
    </w:pPr>
    <w:rPr>
      <w:rFonts w:ascii="Courier" w:eastAsia="Droid Sans Fallback" w:hAnsi="Courier" w:cs="Courier"/>
      <w:b/>
      <w:bCs/>
      <w:lang w:eastAsia="en-U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Ttulo1Car">
    <w:name w:val="Título 1 Car"/>
    <w:basedOn w:val="Fuentedeprrafopredeter"/>
    <w:rPr>
      <w:rFonts w:ascii="Courier" w:eastAsia="Times New Roman" w:hAnsi="Courier" w:cs="Courier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rPr>
      <w:lang w:val="es-E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  <w:rPr>
      <w:lang w:val="es-ES"/>
    </w:rPr>
  </w:style>
  <w:style w:type="paragraph" w:styleId="Lista">
    <w:name w:val="List"/>
    <w:basedOn w:val="Cuerpodetexto"/>
    <w:rPr>
      <w:rFonts w:cs="Droid Sans Devanagar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Droid Sans Devanagari"/>
    </w:rPr>
  </w:style>
  <w:style w:type="paragraph" w:styleId="NormalWeb">
    <w:name w:val="Normal (Web)"/>
    <w:basedOn w:val="Normal"/>
    <w:pPr>
      <w:spacing w:before="28" w:after="119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Predeterminado">
    <w:name w:val="Predeterminado"/>
    <w:pPr>
      <w:widowControl w:val="0"/>
      <w:suppressAutoHyphens/>
      <w:spacing w:after="0" w:line="100" w:lineRule="atLeast"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E36"/>
    <w:rPr>
      <w:rFonts w:ascii="Segoe UI" w:eastAsia="Droid Sans Fallback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roid Sans Fallback" w:hAnsi="Calibri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pPr>
      <w:keepNext/>
      <w:widowControl w:val="0"/>
      <w:suppressAutoHyphens/>
      <w:spacing w:line="240" w:lineRule="exact"/>
      <w:jc w:val="both"/>
    </w:pPr>
    <w:rPr>
      <w:rFonts w:ascii="Courier" w:eastAsia="Droid Sans Fallback" w:hAnsi="Courier" w:cs="Courier"/>
      <w:b/>
      <w:bCs/>
      <w:lang w:eastAsia="en-U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Ttulo1Car">
    <w:name w:val="Título 1 Car"/>
    <w:basedOn w:val="Fuentedeprrafopredeter"/>
    <w:rPr>
      <w:rFonts w:ascii="Courier" w:eastAsia="Times New Roman" w:hAnsi="Courier" w:cs="Courier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rPr>
      <w:lang w:val="es-E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  <w:rPr>
      <w:lang w:val="es-ES"/>
    </w:rPr>
  </w:style>
  <w:style w:type="paragraph" w:styleId="Lista">
    <w:name w:val="List"/>
    <w:basedOn w:val="Cuerpodetexto"/>
    <w:rPr>
      <w:rFonts w:cs="Droid Sans Devanagar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Droid Sans Devanagari"/>
    </w:rPr>
  </w:style>
  <w:style w:type="paragraph" w:styleId="NormalWeb">
    <w:name w:val="Normal (Web)"/>
    <w:basedOn w:val="Normal"/>
    <w:pPr>
      <w:spacing w:before="28" w:after="119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Predeterminado">
    <w:name w:val="Predeterminado"/>
    <w:pPr>
      <w:widowControl w:val="0"/>
      <w:suppressAutoHyphens/>
      <w:spacing w:after="0" w:line="100" w:lineRule="atLeast"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E36"/>
    <w:rPr>
      <w:rFonts w:ascii="Segoe UI" w:eastAsia="Droid Sans Fallback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maguirrezabal</cp:lastModifiedBy>
  <cp:revision>2</cp:revision>
  <cp:lastPrinted>2023-06-21T14:08:00Z</cp:lastPrinted>
  <dcterms:created xsi:type="dcterms:W3CDTF">2023-08-28T16:26:00Z</dcterms:created>
  <dcterms:modified xsi:type="dcterms:W3CDTF">2023-08-28T16:26:00Z</dcterms:modified>
</cp:coreProperties>
</file>