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16 de febrero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F2931">
        <w:rPr>
          <w:rFonts w:ascii="Arial" w:hAnsi="Arial" w:cs="Arial"/>
          <w:b/>
          <w:color w:val="0000FF"/>
          <w:sz w:val="24"/>
          <w:szCs w:val="24"/>
        </w:rPr>
        <w:t>3</w:t>
      </w:r>
      <w:r w:rsidR="00A553DE">
        <w:rPr>
          <w:rFonts w:ascii="Arial" w:hAnsi="Arial" w:cs="Arial"/>
          <w:b/>
          <w:color w:val="0000FF"/>
          <w:sz w:val="24"/>
          <w:szCs w:val="24"/>
        </w:rPr>
        <w:t>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A553D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  <w:r w:rsidR="00A553D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- Camión FOTON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8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1-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AC710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Regional 3- AC713.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A553DE">
        <w:rPr>
          <w:b/>
          <w:sz w:val="21"/>
          <w:u w:val="single"/>
        </w:rPr>
        <w:t xml:space="preserve">lunes 27 </w:t>
      </w:r>
      <w:r w:rsidR="007F2931">
        <w:rPr>
          <w:b/>
          <w:sz w:val="21"/>
          <w:u w:val="single"/>
        </w:rPr>
        <w:t xml:space="preserve">de </w:t>
      </w:r>
      <w:r w:rsidR="00A553DE">
        <w:rPr>
          <w:b/>
          <w:sz w:val="21"/>
          <w:u w:val="single"/>
        </w:rPr>
        <w:t>febrero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bookmarkStart w:id="0" w:name="_GoBack"/>
      <w:bookmarkEnd w:id="0"/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33A470A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5713-2C02-46A4-8F36-D85775D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2023-02-16T23:48:00Z</dcterms:created>
  <dcterms:modified xsi:type="dcterms:W3CDTF">2023-02-16T23:48:00Z</dcterms:modified>
</cp:coreProperties>
</file>