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775" w:rsidP="00384AD5">
      <w:pPr>
        <w:spacing w:line="240" w:lineRule="atLeast"/>
        <w:ind w:left="2000" w:hangingChars="1000" w:hanging="2000"/>
        <w:rPr>
          <w:rFonts w:ascii="Arial" w:hAnsi="Arial"/>
          <w:b/>
          <w:sz w:val="22"/>
          <w:szCs w:val="22"/>
          <w:lang w:val="es-UY"/>
        </w:rPr>
      </w:pPr>
      <w:r>
        <w:rPr>
          <w:rFonts w:ascii="Arial" w:hAnsi="Arial" w:cs="Arial"/>
        </w:rPr>
        <w:t>Obra</w:t>
      </w:r>
      <w:r>
        <w:rPr>
          <w:rFonts w:ascii="Arial" w:hAnsi="Arial" w:cs="Arial"/>
          <w:lang w:val="es-UY"/>
        </w:rPr>
        <w:t xml:space="preserve">      </w:t>
      </w:r>
      <w:r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es-UY"/>
        </w:rPr>
        <w:t>ACONDICIONAMIENTO PARCIAL -  CAPI VILLERITOS</w:t>
      </w:r>
    </w:p>
    <w:p w:rsidR="00000000" w:rsidRDefault="006B4775">
      <w:pPr>
        <w:spacing w:after="20"/>
        <w:ind w:left="881" w:hanging="881"/>
        <w:rPr>
          <w:rFonts w:ascii="Arial" w:hAnsi="Arial" w:cs="Arial"/>
          <w:b/>
          <w:lang w:val="es-UY"/>
        </w:rPr>
      </w:pPr>
    </w:p>
    <w:p w:rsidR="00000000" w:rsidRDefault="006B4775">
      <w:pPr>
        <w:spacing w:after="20"/>
        <w:ind w:left="1701" w:hanging="1701"/>
        <w:jc w:val="both"/>
        <w:rPr>
          <w:rFonts w:ascii="Arial" w:hAnsi="Arial" w:cs="Arial"/>
          <w:b/>
          <w:lang w:val="es-UY"/>
        </w:rPr>
      </w:pPr>
      <w:r>
        <w:rPr>
          <w:rFonts w:ascii="Arial" w:hAnsi="Arial" w:cs="Arial"/>
        </w:rPr>
        <w:t>Dirección:</w:t>
      </w:r>
      <w:r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b/>
          <w:bCs/>
          <w:lang w:val="es-UY"/>
        </w:rPr>
        <w:t>GRECIA 3620</w:t>
      </w:r>
    </w:p>
    <w:p w:rsidR="00000000" w:rsidRDefault="006B4775">
      <w:pPr>
        <w:spacing w:after="20"/>
        <w:ind w:left="881" w:hanging="881"/>
        <w:jc w:val="both"/>
        <w:rPr>
          <w:rFonts w:ascii="Arial" w:hAnsi="Arial" w:cs="Arial"/>
          <w:b/>
          <w:lang w:val="es-UY"/>
        </w:rPr>
      </w:pPr>
      <w:r>
        <w:rPr>
          <w:rFonts w:ascii="Arial" w:hAnsi="Arial" w:cs="Arial"/>
        </w:rPr>
        <w:t>Fecha</w:t>
      </w:r>
      <w:r>
        <w:rPr>
          <w:rFonts w:ascii="Arial" w:hAnsi="Arial" w:cs="Arial"/>
          <w:lang w:val="es-UY"/>
        </w:rPr>
        <w:t xml:space="preserve">    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lang w:val="es-UY"/>
        </w:rPr>
        <w:t>SETIEMBRE 2022</w:t>
      </w:r>
    </w:p>
    <w:p w:rsidR="00000000" w:rsidRDefault="006B4775"/>
    <w:p w:rsidR="00000000" w:rsidRDefault="006B4775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Plazo</w:t>
      </w:r>
    </w:p>
    <w:p w:rsidR="00000000" w:rsidRDefault="006B4775"/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2.5. E</w:t>
      </w:r>
      <w:r>
        <w:rPr>
          <w:rFonts w:ascii="Arial" w:hAnsi="Arial" w:cs="Arial"/>
          <w:lang w:val="es-UY"/>
        </w:rPr>
        <w:t>l</w:t>
      </w:r>
      <w:r>
        <w:rPr>
          <w:rFonts w:ascii="Arial" w:hAnsi="Arial" w:cs="Arial"/>
        </w:rPr>
        <w:t xml:space="preserve"> Contratista deberá establecer</w:t>
      </w:r>
      <w:r>
        <w:rPr>
          <w:rFonts w:ascii="Arial" w:hAnsi="Arial" w:cs="Arial"/>
          <w:lang w:val="es-UY"/>
        </w:rPr>
        <w:t xml:space="preserve"> 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plazo máximo de obra de hasta </w:t>
      </w:r>
      <w:r>
        <w:rPr>
          <w:rFonts w:ascii="Arial" w:hAnsi="Arial" w:cs="Arial"/>
          <w:b/>
          <w:u w:val="single"/>
          <w:lang w:val="es-UY"/>
        </w:rPr>
        <w:t>45</w:t>
      </w:r>
      <w:r>
        <w:rPr>
          <w:rFonts w:ascii="Arial" w:hAnsi="Arial" w:cs="Arial"/>
          <w:b/>
          <w:u w:val="single"/>
          <w:lang w:val="es-UY"/>
        </w:rPr>
        <w:t xml:space="preserve"> (</w:t>
      </w:r>
      <w:r>
        <w:rPr>
          <w:rFonts w:ascii="Arial" w:hAnsi="Arial" w:cs="Arial"/>
          <w:b/>
          <w:u w:val="single"/>
          <w:lang w:val="es-UY"/>
        </w:rPr>
        <w:t>cuarenta y cinco</w:t>
      </w:r>
      <w:r>
        <w:rPr>
          <w:rFonts w:ascii="Arial" w:hAnsi="Arial" w:cs="Arial"/>
          <w:b/>
          <w:u w:val="single"/>
          <w:lang w:val="es-UY"/>
        </w:rPr>
        <w:t xml:space="preserve">) </w:t>
      </w:r>
      <w:r>
        <w:rPr>
          <w:rFonts w:ascii="Arial" w:hAnsi="Arial" w:cs="Arial"/>
          <w:b/>
          <w:u w:val="single"/>
        </w:rPr>
        <w:t>días calendario</w:t>
      </w:r>
      <w:r>
        <w:rPr>
          <w:rFonts w:ascii="Arial" w:hAnsi="Arial" w:cs="Arial"/>
          <w:b/>
          <w:u w:val="single"/>
          <w:lang w:val="es-UY"/>
        </w:rPr>
        <w:t xml:space="preserve"> laborables de la construcción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de que el oferente proponga un plazo mayor a </w:t>
      </w:r>
      <w:r>
        <w:rPr>
          <w:rFonts w:ascii="Arial" w:hAnsi="Arial" w:cs="Arial"/>
          <w:lang w:val="es-UY"/>
        </w:rPr>
        <w:t>45 días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la Administración desestimará la propuesta</w:t>
      </w:r>
      <w:r>
        <w:rPr>
          <w:rFonts w:ascii="Arial" w:hAnsi="Arial" w:cs="Arial"/>
        </w:rPr>
        <w:t>.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</w:p>
    <w:p w:rsidR="00000000" w:rsidRDefault="006B4775">
      <w:pPr>
        <w:widowControl w:val="0"/>
        <w:jc w:val="both"/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Visita de obra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Se establecerá una visita de obra obligatoria al lugar donde se ejecutarán las obras. 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</w:p>
    <w:p w:rsidR="00000000" w:rsidRDefault="006B4775">
      <w:pPr>
        <w:widowControl w:val="0"/>
        <w:jc w:val="both"/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Técnicos</w:t>
      </w:r>
    </w:p>
    <w:p w:rsidR="00000000" w:rsidRDefault="006B477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El oferente deberá designar un repre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sentante legal y uno técnico. El Representante Técnico deberá</w:t>
      </w:r>
      <w:r>
        <w:rPr>
          <w:rFonts w:ascii="Arial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ser Arquitecto o Ingeniero Civil. Deberá designar un</w:t>
      </w:r>
      <w:r>
        <w:rPr>
          <w:rFonts w:ascii="Arial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Técnico Electricista registrado en UTE. Los técnicos designados serán responsable de los trabajos a ejecutar, y quienes</w:t>
      </w:r>
      <w:r>
        <w:rPr>
          <w:rFonts w:ascii="Arial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coordinaran con los t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écnicos de INAU. A los efectos el representante técnico puede ser el mismo que</w:t>
      </w:r>
      <w:r>
        <w:rPr>
          <w:rFonts w:ascii="Arial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el</w:t>
      </w:r>
      <w:r>
        <w:rPr>
          <w:rFonts w:ascii="Arial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ES" w:eastAsia="zh-CN"/>
        </w:rPr>
        <w:t>representante legal de la empresa.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El representante Técnico </w:t>
      </w:r>
      <w:r>
        <w:rPr>
          <w:rFonts w:ascii="Arial" w:hAnsi="Arial" w:cs="Arial"/>
          <w:color w:val="000000"/>
          <w:shd w:val="clear" w:color="auto" w:fill="FFFFFF"/>
        </w:rPr>
        <w:t>entenderá en todas las cuestiones de carácter técnico y administrativo que se planteen durante la ejecución de las</w:t>
      </w:r>
      <w:r>
        <w:rPr>
          <w:rFonts w:ascii="Arial" w:hAnsi="Arial" w:cs="Arial"/>
          <w:color w:val="000000"/>
          <w:shd w:val="clear" w:color="auto" w:fill="FFFFFF"/>
        </w:rPr>
        <w:t xml:space="preserve"> obras, así como en todas las gestiones de la misma índole que realice el Contratista. Todas las comunicaciones de carácter técnico y administrativo que planteen ambas partes contratantes durante la ejecución de la obra deben realizarse por escrito y por i</w:t>
      </w:r>
      <w:r>
        <w:rPr>
          <w:rFonts w:ascii="Arial" w:hAnsi="Arial" w:cs="Arial"/>
          <w:color w:val="000000"/>
          <w:shd w:val="clear" w:color="auto" w:fill="FFFFFF"/>
        </w:rPr>
        <w:t>ntermedio del Representante Técnico.</w:t>
      </w:r>
      <w:r>
        <w:rPr>
          <w:rFonts w:ascii="Arial" w:hAnsi="Arial" w:cs="Arial"/>
          <w:color w:val="000000"/>
          <w:shd w:val="clear" w:color="auto" w:fill="FFFFFF"/>
          <w:lang w:val="es-UY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El Representante Técnico deberá concurrir periódicamente a la obra y toda vez que la Supervisión de obra </w:t>
      </w:r>
      <w:r>
        <w:rPr>
          <w:rFonts w:ascii="Arial" w:hAnsi="Arial" w:cs="Arial"/>
          <w:color w:val="000000"/>
          <w:shd w:val="clear" w:color="auto" w:fill="FFFFFF"/>
          <w:lang w:val="es-UY"/>
        </w:rPr>
        <w:t xml:space="preserve">de INAU </w:t>
      </w:r>
      <w:r>
        <w:rPr>
          <w:rFonts w:ascii="Arial" w:hAnsi="Arial" w:cs="Arial"/>
          <w:color w:val="000000"/>
          <w:shd w:val="clear" w:color="auto" w:fill="FFFFFF"/>
        </w:rPr>
        <w:t>lo requiera.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</w:p>
    <w:p w:rsidR="00000000" w:rsidRDefault="006B4775">
      <w:pPr>
        <w:widowControl w:val="0"/>
        <w:jc w:val="both"/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Evaluación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</w:p>
    <w:p w:rsidR="00000000" w:rsidRDefault="006B4775"/>
    <w:p w:rsidR="00000000" w:rsidRDefault="006B4775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UY"/>
        </w:rPr>
        <w:t>CRITERIOS DE EVALUACIÓN Y PONDERACIÓN DE LAS OFERTAS</w:t>
      </w:r>
      <w:r>
        <w:rPr>
          <w:rFonts w:ascii="Arial" w:hAnsi="Arial" w:cs="Arial"/>
          <w:b/>
          <w:bCs/>
          <w:lang w:val="es-UY"/>
        </w:rPr>
        <w:t xml:space="preserve"> 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ofertas se evaluarán </w:t>
      </w:r>
      <w:r>
        <w:rPr>
          <w:rFonts w:ascii="Arial" w:hAnsi="Arial" w:cs="Arial"/>
        </w:rPr>
        <w:t xml:space="preserve">de acuerdo a lo dispuesto por el Art. 48 </w:t>
      </w:r>
      <w:r>
        <w:rPr>
          <w:rFonts w:ascii="Arial" w:hAnsi="Arial" w:cs="Arial"/>
          <w:lang w:val="es-UY"/>
        </w:rPr>
        <w:t>literal c</w:t>
      </w:r>
      <w:r>
        <w:rPr>
          <w:rFonts w:ascii="Arial" w:hAnsi="Arial" w:cs="Arial"/>
        </w:rPr>
        <w:t xml:space="preserve"> del TOCAF, en base al siguiente criterio de valoración según </w:t>
      </w:r>
      <w:r>
        <w:rPr>
          <w:rFonts w:ascii="Arial" w:hAnsi="Arial" w:cs="Arial"/>
          <w:lang w:val="es-UY"/>
        </w:rPr>
        <w:t>los</w:t>
      </w:r>
      <w:r>
        <w:rPr>
          <w:rFonts w:ascii="Arial" w:hAnsi="Arial" w:cs="Arial"/>
        </w:rPr>
        <w:t xml:space="preserve"> factor</w:t>
      </w:r>
      <w:r>
        <w:rPr>
          <w:rFonts w:ascii="Arial" w:hAnsi="Arial" w:cs="Arial"/>
          <w:lang w:val="es-UY"/>
        </w:rPr>
        <w:t>es</w:t>
      </w:r>
      <w:r>
        <w:rPr>
          <w:rFonts w:ascii="Arial" w:hAnsi="Arial" w:cs="Arial"/>
        </w:rPr>
        <w:t xml:space="preserve"> de ponderación establecido</w:t>
      </w:r>
      <w:r>
        <w:rPr>
          <w:rFonts w:ascii="Arial" w:hAnsi="Arial" w:cs="Arial"/>
          <w:lang w:val="es-UY"/>
        </w:rPr>
        <w:t>s</w:t>
      </w:r>
      <w:r>
        <w:rPr>
          <w:rFonts w:ascii="Arial" w:hAnsi="Arial" w:cs="Arial"/>
        </w:rPr>
        <w:t xml:space="preserve"> en la ecuación resultante: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</w:p>
    <w:p w:rsidR="00000000" w:rsidRDefault="006B4775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UY"/>
        </w:rPr>
        <w:t>Puntaje</w:t>
      </w:r>
      <w:r>
        <w:rPr>
          <w:rFonts w:ascii="Arial" w:hAnsi="Arial" w:cs="Arial"/>
          <w:b/>
        </w:rPr>
        <w:t xml:space="preserve"> P= 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s-UY"/>
        </w:rPr>
        <w:t xml:space="preserve">40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/>
        </w:rPr>
        <w:t>A+</w:t>
      </w:r>
      <w:r>
        <w:rPr>
          <w:rFonts w:ascii="Arial" w:hAnsi="Arial" w:cs="Arial"/>
          <w:b/>
          <w:lang w:val="es-UY"/>
        </w:rPr>
        <w:t xml:space="preserve"> 60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/>
        </w:rPr>
        <w:t>B)/100</w:t>
      </w:r>
    </w:p>
    <w:p w:rsidR="00000000" w:rsidRDefault="006B4775">
      <w:pPr>
        <w:widowControl w:val="0"/>
        <w:jc w:val="both"/>
        <w:rPr>
          <w:rFonts w:ascii="Arial" w:hAnsi="Arial" w:cs="Arial"/>
          <w:b/>
          <w:color w:val="4F81BD"/>
        </w:rPr>
      </w:pPr>
    </w:p>
    <w:p w:rsidR="00000000" w:rsidRDefault="006B4775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Siendo A: VALORACIÓN TÉCNICA  </w:t>
      </w:r>
    </w:p>
    <w:p w:rsidR="00000000" w:rsidRDefault="006B4775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Siendo B: </w:t>
      </w:r>
      <w:r>
        <w:rPr>
          <w:rFonts w:ascii="Arial" w:hAnsi="Arial" w:cs="Arial"/>
          <w:b/>
        </w:rPr>
        <w:t>VALORACIÓN ECONÓMICA</w:t>
      </w:r>
    </w:p>
    <w:p w:rsidR="00000000" w:rsidRDefault="006B4775">
      <w:pPr>
        <w:widowControl w:val="0"/>
        <w:jc w:val="both"/>
        <w:rPr>
          <w:rFonts w:ascii="Arial" w:hAnsi="Arial" w:cs="Arial"/>
          <w:b/>
        </w:rPr>
      </w:pPr>
    </w:p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Donde la </w:t>
      </w:r>
      <w:r>
        <w:rPr>
          <w:rFonts w:ascii="Arial" w:hAnsi="Arial" w:cs="Arial"/>
          <w:b/>
        </w:rPr>
        <w:t xml:space="preserve">Valoración Técnica (A) es un </w:t>
      </w:r>
      <w:r>
        <w:rPr>
          <w:rFonts w:ascii="Arial" w:hAnsi="Arial" w:cs="Arial"/>
          <w:b/>
          <w:lang w:val="es-UY"/>
        </w:rPr>
        <w:t>40</w:t>
      </w:r>
      <w:r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, y la </w:t>
      </w:r>
      <w:r>
        <w:rPr>
          <w:rFonts w:ascii="Arial" w:hAnsi="Arial" w:cs="Arial"/>
          <w:b/>
        </w:rPr>
        <w:t xml:space="preserve">Valoración Económica (B) es un </w:t>
      </w:r>
      <w:r>
        <w:rPr>
          <w:rFonts w:ascii="Arial" w:hAnsi="Arial" w:cs="Arial"/>
          <w:b/>
          <w:lang w:val="es-UY"/>
        </w:rPr>
        <w:t>60</w:t>
      </w:r>
      <w:r>
        <w:rPr>
          <w:rFonts w:ascii="Arial" w:hAnsi="Arial" w:cs="Arial"/>
          <w:b/>
        </w:rPr>
        <w:t>%.</w:t>
      </w:r>
    </w:p>
    <w:p w:rsidR="00000000" w:rsidRDefault="006B4775">
      <w:pPr>
        <w:widowControl w:val="0"/>
        <w:jc w:val="both"/>
        <w:rPr>
          <w:rFonts w:ascii="Arial" w:hAnsi="Arial" w:cs="Arial"/>
          <w:b/>
          <w:color w:val="4F81BD"/>
        </w:rPr>
      </w:pPr>
    </w:p>
    <w:p w:rsidR="00000000" w:rsidRDefault="006B477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 considerará más ventajosa la oferta cuya propuesta alcance el máximo </w:t>
      </w:r>
      <w:r>
        <w:rPr>
          <w:rFonts w:ascii="Arial" w:hAnsi="Arial" w:cs="Arial"/>
          <w:u w:val="single"/>
          <w:lang w:val="es-UY"/>
        </w:rPr>
        <w:t>puntaje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u w:val="single"/>
        </w:rPr>
        <w:t>.</w:t>
      </w:r>
    </w:p>
    <w:p w:rsidR="00000000" w:rsidRDefault="006B4775">
      <w:pPr>
        <w:jc w:val="both"/>
        <w:rPr>
          <w:rFonts w:ascii="Arial" w:hAnsi="Arial" w:cs="Arial"/>
          <w:b/>
          <w:u w:val="single"/>
        </w:rPr>
      </w:pPr>
    </w:p>
    <w:p w:rsidR="00000000" w:rsidRDefault="006B4775">
      <w:pPr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/>
          <w:u w:val="single"/>
        </w:rPr>
        <w:t>Determinación del puntaje A (máximo 100 puntos</w:t>
      </w:r>
      <w:r>
        <w:rPr>
          <w:rFonts w:ascii="Arial" w:hAnsi="Arial" w:cs="Arial"/>
          <w:b/>
          <w:u w:val="single"/>
          <w:lang w:val="es-UY"/>
        </w:rPr>
        <w:t>)</w:t>
      </w:r>
    </w:p>
    <w:p w:rsidR="00000000" w:rsidRDefault="006B4775">
      <w:pPr>
        <w:widowControl w:val="0"/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</w:rPr>
        <w:t>En la determinac</w:t>
      </w:r>
      <w:r>
        <w:rPr>
          <w:rFonts w:ascii="Arial" w:hAnsi="Arial" w:cs="Arial"/>
        </w:rPr>
        <w:t>ión del puntaje A, intervienen los siguientes parámetros con la correspondiente puntuación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 xml:space="preserve">La oferta que más se ajuste a los siguientes criterios se le otorgará el máximo puntaje en cada ítem (a y b) y el resto se prorrateará. </w:t>
      </w:r>
    </w:p>
    <w:p w:rsidR="00000000" w:rsidRDefault="006B4775">
      <w:pPr>
        <w:widowControl w:val="0"/>
        <w:jc w:val="both"/>
        <w:rPr>
          <w:rFonts w:ascii="Arial" w:hAnsi="Arial" w:cs="Arial"/>
          <w:bCs/>
          <w:lang w:val="es-UY"/>
        </w:rPr>
      </w:pPr>
    </w:p>
    <w:p w:rsidR="00000000" w:rsidRDefault="006B4775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Plazo de obra propuesto: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áximo </w:t>
      </w:r>
      <w:r>
        <w:rPr>
          <w:rFonts w:ascii="Arial" w:hAnsi="Arial" w:cs="Arial"/>
          <w:b/>
          <w:lang w:val="es-UY"/>
        </w:rPr>
        <w:t>50</w:t>
      </w:r>
      <w:r>
        <w:rPr>
          <w:rFonts w:ascii="Arial" w:hAnsi="Arial" w:cs="Arial"/>
          <w:b/>
        </w:rPr>
        <w:t xml:space="preserve"> puntos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La empresa que proponga el menor plazo de obra dentro del plazo establecido obtendrá el máximo puntaje y el resto se prorrateará.</w:t>
      </w:r>
    </w:p>
    <w:p w:rsidR="00000000" w:rsidRDefault="006B4775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Antecedentes de la Empresa: </w:t>
      </w:r>
      <w:r>
        <w:rPr>
          <w:rFonts w:ascii="Arial" w:hAnsi="Arial" w:cs="Arial"/>
          <w:b/>
        </w:rPr>
        <w:t xml:space="preserve">máximo </w:t>
      </w:r>
      <w:r>
        <w:rPr>
          <w:rFonts w:ascii="Arial" w:hAnsi="Arial" w:cs="Arial"/>
          <w:b/>
          <w:lang w:val="es-UY"/>
        </w:rPr>
        <w:t>50</w:t>
      </w:r>
      <w:r>
        <w:rPr>
          <w:rFonts w:ascii="Arial" w:hAnsi="Arial" w:cs="Arial"/>
          <w:b/>
        </w:rPr>
        <w:t xml:space="preserve"> puntos</w:t>
      </w:r>
      <w:r>
        <w:rPr>
          <w:rFonts w:ascii="Arial" w:hAnsi="Arial" w:cs="Arial"/>
          <w:b/>
          <w:lang w:val="es-UY"/>
        </w:rPr>
        <w:t>.</w:t>
      </w: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Para que los antecedentes sean valorados se deberá completar el</w:t>
      </w:r>
      <w:r>
        <w:rPr>
          <w:rFonts w:ascii="Arial" w:hAnsi="Arial" w:cs="Arial"/>
          <w:bCs/>
          <w:lang w:val="es-UY"/>
        </w:rPr>
        <w:t xml:space="preserve"> APARTADO V y presentarlo debidamente firmado en formato NO editable.</w:t>
      </w:r>
    </w:p>
    <w:p w:rsidR="00000000" w:rsidRDefault="006B4775">
      <w:pPr>
        <w:widowControl w:val="0"/>
        <w:ind w:left="720"/>
        <w:jc w:val="both"/>
        <w:rPr>
          <w:rFonts w:ascii="Arial" w:hAnsi="Arial" w:cs="Arial"/>
        </w:rPr>
      </w:pPr>
    </w:p>
    <w:p w:rsidR="00000000" w:rsidRDefault="006B4775">
      <w:pPr>
        <w:widowControl w:val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oferente </w:t>
      </w:r>
      <w:r>
        <w:rPr>
          <w:rFonts w:ascii="Arial" w:hAnsi="Arial" w:cs="Arial"/>
          <w:lang w:val="es-UY"/>
        </w:rPr>
        <w:t>podrá</w:t>
      </w:r>
      <w:r>
        <w:rPr>
          <w:rFonts w:ascii="Arial" w:hAnsi="Arial" w:cs="Arial"/>
        </w:rPr>
        <w:t xml:space="preserve"> acreditar una experiencia mínima demostrada en el suministro y/o diseño, construcción y provisión de obras de arquitectura en los últimos cinco años. Los antecedentes </w:t>
      </w:r>
      <w:r>
        <w:rPr>
          <w:rFonts w:ascii="Arial" w:hAnsi="Arial" w:cs="Arial"/>
        </w:rPr>
        <w:t>deberán corresponder a la Empresa</w:t>
      </w:r>
      <w:r>
        <w:rPr>
          <w:rFonts w:ascii="Arial" w:hAnsi="Arial" w:cs="Arial"/>
          <w:lang w:val="es-UY"/>
        </w:rPr>
        <w:t xml:space="preserve"> oferente</w:t>
      </w:r>
      <w:r>
        <w:rPr>
          <w:rFonts w:ascii="Arial" w:hAnsi="Arial" w:cs="Arial"/>
        </w:rPr>
        <w:t xml:space="preserve">, no a los técnicos integrantes de la misma. </w:t>
      </w:r>
    </w:p>
    <w:p w:rsidR="00000000" w:rsidRDefault="006B4775">
      <w:pPr>
        <w:widowControl w:val="0"/>
        <w:ind w:left="720"/>
        <w:jc w:val="both"/>
        <w:rPr>
          <w:rFonts w:ascii="Arial" w:hAnsi="Arial" w:cs="Arial"/>
          <w:b/>
        </w:rPr>
      </w:pPr>
    </w:p>
    <w:p w:rsidR="00000000" w:rsidRDefault="006B4775">
      <w:pPr>
        <w:widowControl w:val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lang w:val="es-UY"/>
        </w:rPr>
        <w:t xml:space="preserve">Se evaluará de acuerdo a lo establecido en el inciso precedente y se calificará según el </w:t>
      </w:r>
      <w:r>
        <w:rPr>
          <w:rFonts w:ascii="Arial" w:hAnsi="Arial" w:cs="Arial"/>
          <w:bCs/>
          <w:lang w:val="es-UY"/>
        </w:rPr>
        <w:lastRenderedPageBreak/>
        <w:t>siguiente cuadro.</w:t>
      </w:r>
    </w:p>
    <w:p w:rsidR="00000000" w:rsidRDefault="006B4775">
      <w:pPr>
        <w:widowControl w:val="0"/>
        <w:jc w:val="both"/>
      </w:pPr>
    </w:p>
    <w:tbl>
      <w:tblPr>
        <w:tblpPr w:leftFromText="180" w:rightFromText="180" w:vertAnchor="text" w:horzAnchor="page" w:tblpX="2434" w:tblpY="180"/>
        <w:tblOverlap w:val="never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1980"/>
        <w:gridCol w:w="1575"/>
      </w:tblGrid>
      <w:tr w:rsidR="00000000">
        <w:trPr>
          <w:trHeight w:val="477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zh-CN"/>
              </w:rPr>
              <w:t>ANTECEDENTES - APARTADO V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zh-CN"/>
              </w:rPr>
              <w:t>Concepto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s-UY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zh-CN"/>
              </w:rPr>
              <w:t xml:space="preserve">Puntos Máx.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UY" w:eastAsia="zh-CN"/>
              </w:rPr>
              <w:t>50</w:t>
            </w:r>
          </w:p>
        </w:tc>
      </w:tr>
      <w:tr w:rsidR="00000000">
        <w:trPr>
          <w:trHeight w:val="495"/>
        </w:trPr>
        <w:tc>
          <w:tcPr>
            <w:tcW w:w="41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lang w:val="en-US" w:eastAsia="zh-CN"/>
              </w:rPr>
              <w:t>Experien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cia en contratos con montos similares. </w:t>
            </w:r>
          </w:p>
          <w:p w:rsidR="00000000" w:rsidRDefault="006B4775">
            <w:pPr>
              <w:jc w:val="center"/>
              <w:rPr>
                <w:rFonts w:ascii="Calibri" w:hAnsi="Calibri" w:cs="Calibri"/>
                <w:color w:val="00000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Se considera monto similar +- 20% de los valores ofertados en el presente procedimiento. No excluyente. (Se computará solamente la experiencia de los últimos 5 años.)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Ningún contrato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/>
              </w:rPr>
              <w:t>0</w:t>
            </w:r>
          </w:p>
        </w:tc>
      </w:tr>
      <w:tr w:rsidR="00000000">
        <w:trPr>
          <w:trHeight w:val="495"/>
        </w:trPr>
        <w:tc>
          <w:tcPr>
            <w:tcW w:w="41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De 1 a 3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 contratos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/>
              </w:rPr>
              <w:t>20</w:t>
            </w:r>
          </w:p>
        </w:tc>
      </w:tr>
      <w:tr w:rsidR="00000000">
        <w:trPr>
          <w:trHeight w:val="495"/>
        </w:trPr>
        <w:tc>
          <w:tcPr>
            <w:tcW w:w="41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4 o m</w:t>
            </w:r>
            <w:r>
              <w:rPr>
                <w:rFonts w:ascii="Calibri" w:hAnsi="Calibri" w:cs="Calibri"/>
                <w:color w:val="000000"/>
                <w:lang w:val="es-UY" w:eastAsia="zh-CN"/>
              </w:rPr>
              <w:t>ás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 contratos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>5</w:t>
            </w:r>
          </w:p>
        </w:tc>
      </w:tr>
      <w:tr w:rsidR="00000000">
        <w:trPr>
          <w:trHeight w:val="495"/>
        </w:trPr>
        <w:tc>
          <w:tcPr>
            <w:tcW w:w="4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Experiencia en contratos con características técnico-constructivas similares. </w:t>
            </w:r>
            <w:r>
              <w:rPr>
                <w:rFonts w:ascii="Calibri" w:hAnsi="Calibri" w:cs="Calibri"/>
                <w:color w:val="000000"/>
                <w:lang w:val="es-UY" w:eastAsia="zh-CN"/>
              </w:rPr>
              <w:t xml:space="preserve"> No excluyente. </w:t>
            </w:r>
          </w:p>
          <w:p w:rsidR="00000000" w:rsidRDefault="006B4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(Se computará solamente la experiencia de los últimos 5 años.)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Ningún contrato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 w:eastAsia="zh-CN"/>
              </w:rPr>
              <w:t>0</w:t>
            </w:r>
          </w:p>
        </w:tc>
      </w:tr>
      <w:tr w:rsidR="00000000">
        <w:trPr>
          <w:trHeight w:val="495"/>
        </w:trPr>
        <w:tc>
          <w:tcPr>
            <w:tcW w:w="4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De 1 a 3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 contratos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/>
              </w:rPr>
              <w:t>20</w:t>
            </w:r>
          </w:p>
        </w:tc>
      </w:tr>
      <w:tr w:rsidR="00000000">
        <w:trPr>
          <w:trHeight w:val="495"/>
        </w:trPr>
        <w:tc>
          <w:tcPr>
            <w:tcW w:w="4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4 o más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 xml:space="preserve"> contratos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B4775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UY" w:eastAsia="zh-CN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zh-CN"/>
              </w:rPr>
              <w:t>5</w:t>
            </w:r>
          </w:p>
        </w:tc>
      </w:tr>
    </w:tbl>
    <w:p w:rsidR="00000000" w:rsidRDefault="006B4775">
      <w:pPr>
        <w:widowControl w:val="0"/>
        <w:ind w:leftChars="100" w:left="200" w:firstLineChars="200" w:firstLine="400"/>
        <w:jc w:val="both"/>
      </w:pPr>
    </w:p>
    <w:p w:rsidR="00000000" w:rsidRDefault="006B4775">
      <w:pPr>
        <w:widowControl w:val="0"/>
        <w:ind w:leftChars="100" w:left="200" w:firstLineChars="200" w:firstLine="400"/>
        <w:jc w:val="both"/>
      </w:pPr>
    </w:p>
    <w:p w:rsidR="00000000" w:rsidRDefault="006B4775">
      <w:pPr>
        <w:jc w:val="both"/>
        <w:rPr>
          <w:rFonts w:ascii="Arial" w:hAnsi="Arial" w:cs="Arial"/>
          <w:b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>
      <w:pPr>
        <w:jc w:val="both"/>
        <w:rPr>
          <w:rFonts w:ascii="Arial" w:hAnsi="Arial" w:cs="Arial"/>
          <w:b/>
          <w:bCs/>
        </w:rPr>
      </w:pPr>
    </w:p>
    <w:p w:rsidR="00000000" w:rsidRDefault="006B4775"/>
    <w:p w:rsidR="00000000" w:rsidRDefault="006B4775"/>
    <w:p w:rsidR="00000000" w:rsidRDefault="006B4775"/>
    <w:p w:rsidR="00000000" w:rsidRDefault="006B4775"/>
    <w:p w:rsidR="00000000" w:rsidRDefault="006B47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Cada una de las siguientes sanciones registradas en el RUPE </w:t>
      </w:r>
      <w:r>
        <w:rPr>
          <w:rFonts w:ascii="Arial" w:hAnsi="Arial" w:cs="Arial"/>
          <w:b/>
          <w:bCs/>
          <w:u w:val="single"/>
        </w:rPr>
        <w:t>en los últimos cinco años</w:t>
      </w:r>
      <w:r>
        <w:rPr>
          <w:rFonts w:ascii="Arial" w:hAnsi="Arial" w:cs="Arial"/>
          <w:b/>
          <w:bCs/>
        </w:rPr>
        <w:t xml:space="preserve"> restarán al puntaje obtenido los siguientes puntos, obteniéndose así el puntaje final (el cual, en caso de resultar matemáticamente negativo, se computará igual a ce</w:t>
      </w:r>
      <w:r>
        <w:rPr>
          <w:rFonts w:ascii="Arial" w:hAnsi="Arial" w:cs="Arial"/>
          <w:b/>
          <w:bCs/>
        </w:rPr>
        <w:t>ro)</w:t>
      </w:r>
      <w:r>
        <w:rPr>
          <w:rFonts w:ascii="Arial" w:hAnsi="Arial" w:cs="Arial"/>
        </w:rPr>
        <w:t>:</w:t>
      </w:r>
    </w:p>
    <w:p w:rsidR="00000000" w:rsidRDefault="006B47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cada apercibimiento, un punto menos.</w:t>
      </w:r>
    </w:p>
    <w:p w:rsidR="00000000" w:rsidRDefault="006B47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cada multa, tres puntos menos.</w:t>
      </w:r>
    </w:p>
    <w:p w:rsidR="00000000" w:rsidRDefault="006B47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cada suspensión, cuatro puntos menos.</w:t>
      </w:r>
    </w:p>
    <w:p w:rsidR="00000000" w:rsidRDefault="006B47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cada eliminación, cinco puntos menos.</w:t>
      </w:r>
    </w:p>
    <w:p w:rsidR="00000000" w:rsidRDefault="006B47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cada sanción no prevista en los puntos anteriores, dos puntos menos.</w:t>
      </w:r>
    </w:p>
    <w:p w:rsidR="00000000" w:rsidRDefault="006B47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0000" w:rsidRDefault="006B4775">
      <w:pPr>
        <w:numPr>
          <w:ilvl w:val="1"/>
          <w:numId w:val="1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/>
          <w:u w:val="single"/>
          <w:lang w:val="es-UY"/>
        </w:rPr>
        <w:t>Determinación d</w:t>
      </w:r>
      <w:r>
        <w:rPr>
          <w:rFonts w:ascii="Arial" w:hAnsi="Arial" w:cs="Arial"/>
          <w:b/>
          <w:u w:val="single"/>
          <w:lang w:val="es-UY"/>
        </w:rPr>
        <w:t>el Puntaje B (máximo 100 puntos)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realizará el estudio de la estructura económica de la oferta </w:t>
      </w:r>
      <w:r>
        <w:rPr>
          <w:rFonts w:ascii="Arial" w:hAnsi="Arial" w:cs="Arial"/>
          <w:lang w:val="es-UY"/>
        </w:rPr>
        <w:t>previa evaluación técnica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UY"/>
        </w:rPr>
        <w:t>d</w:t>
      </w:r>
      <w:r>
        <w:rPr>
          <w:rFonts w:ascii="Arial" w:hAnsi="Arial" w:cs="Arial"/>
        </w:rPr>
        <w:t xml:space="preserve">el cotejo entre el rubrado y la realidad material que se desprende de la misma a través de los recaudos </w:t>
      </w:r>
      <w:r>
        <w:rPr>
          <w:rFonts w:ascii="Arial" w:hAnsi="Arial" w:cs="Arial"/>
          <w:lang w:val="es-UY"/>
        </w:rPr>
        <w:t>del procedimiento.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Se otorga</w:t>
      </w:r>
      <w:r>
        <w:rPr>
          <w:rFonts w:ascii="Arial" w:hAnsi="Arial" w:cs="Arial"/>
          <w:lang w:val="es-UY"/>
        </w:rPr>
        <w:t>rá el máximo de puntos (100) a la oferta más baja</w:t>
      </w:r>
      <w:r>
        <w:rPr>
          <w:rFonts w:ascii="Arial" w:hAnsi="Arial" w:cs="Arial"/>
          <w:lang w:val="es-UY"/>
        </w:rPr>
        <w:t xml:space="preserve"> (precio de la</w:t>
      </w:r>
      <w:r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lang w:val="es-UY"/>
        </w:rPr>
        <w:t xml:space="preserve">oferta IVA incluido mas monto imponible) </w:t>
      </w:r>
      <w:r>
        <w:rPr>
          <w:rFonts w:ascii="Arial" w:hAnsi="Arial" w:cs="Arial"/>
          <w:lang w:val="es-UY"/>
        </w:rPr>
        <w:t>y las demás serán puntuadas por criterio de proporcionalidad inversa, en función al siguiente cálculo: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</w:p>
    <w:p w:rsidR="00000000" w:rsidRDefault="006B4775">
      <w:pPr>
        <w:widowControl w:val="0"/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>- Puntaje de Evaluación Económica= 100x(PPME/PP</w:t>
      </w:r>
      <w:r>
        <w:rPr>
          <w:rFonts w:ascii="Arial" w:hAnsi="Arial" w:cs="Arial"/>
          <w:bCs/>
          <w:lang w:val="es-UY"/>
        </w:rPr>
        <w:t>E)</w:t>
      </w:r>
    </w:p>
    <w:p w:rsidR="00000000" w:rsidRDefault="006B4775">
      <w:pPr>
        <w:widowControl w:val="0"/>
        <w:jc w:val="both"/>
        <w:rPr>
          <w:rFonts w:ascii="Arial" w:hAnsi="Arial" w:cs="Arial"/>
          <w:bCs/>
          <w:lang w:val="es-UY"/>
        </w:rPr>
      </w:pPr>
      <w:r>
        <w:rPr>
          <w:rFonts w:ascii="Arial" w:hAnsi="Arial" w:cs="Arial"/>
          <w:bCs/>
          <w:lang w:val="es-UY"/>
        </w:rPr>
        <w:t xml:space="preserve">- PPME = Precio de la Propuesta más Económica </w:t>
      </w:r>
    </w:p>
    <w:p w:rsidR="00000000" w:rsidRDefault="006B4775">
      <w:pPr>
        <w:widowControl w:val="0"/>
        <w:jc w:val="both"/>
        <w:rPr>
          <w:rFonts w:ascii="Arial" w:hAnsi="Arial" w:cs="Arial"/>
          <w:bCs/>
          <w:lang w:val="es-UY"/>
        </w:rPr>
      </w:pPr>
    </w:p>
    <w:p w:rsidR="00000000" w:rsidRDefault="006B4775">
      <w:pPr>
        <w:widowControl w:val="0"/>
        <w:numPr>
          <w:ilvl w:val="1"/>
          <w:numId w:val="1"/>
        </w:numPr>
        <w:jc w:val="both"/>
        <w:rPr>
          <w:rFonts w:ascii="Arial" w:hAnsi="Arial" w:cs="Arial"/>
          <w:b/>
          <w:u w:val="single"/>
          <w:lang w:val="es-UY"/>
        </w:rPr>
      </w:pPr>
      <w:r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/>
          <w:u w:val="single"/>
          <w:lang w:val="es-UY"/>
        </w:rPr>
        <w:t>Dictamen y recomendación de la/s oferta/s más conveniente/s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Administración realizará </w:t>
      </w:r>
      <w:r>
        <w:rPr>
          <w:rFonts w:ascii="Arial" w:hAnsi="Arial" w:cs="Arial"/>
          <w:lang w:val="es-UY"/>
        </w:rPr>
        <w:t>una</w:t>
      </w:r>
      <w:r>
        <w:rPr>
          <w:rFonts w:ascii="Arial" w:hAnsi="Arial" w:cs="Arial"/>
        </w:rPr>
        <w:t xml:space="preserve"> evaluación empleando el criterio de razonabilidad y buena administración, teniendo en cuenta el interés del INAU</w:t>
      </w:r>
      <w:r>
        <w:rPr>
          <w:rFonts w:ascii="Arial" w:hAnsi="Arial" w:cs="Arial"/>
        </w:rPr>
        <w:t xml:space="preserve"> y el fin social perseguido y formulará un dictamen fundado con las conclusiones de su evaluación, aconsejando la adjudicación del objeto de este llamado a la/s empresa/s cuya/s oferta/s se considere/n más conveniente/s para la Administración. </w:t>
      </w:r>
    </w:p>
    <w:p w:rsidR="00000000" w:rsidRDefault="006B4775">
      <w:pPr>
        <w:widowControl w:val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</w:rPr>
        <w:t>En su dicta</w:t>
      </w:r>
      <w:r>
        <w:rPr>
          <w:rFonts w:ascii="Arial" w:hAnsi="Arial" w:cs="Arial"/>
        </w:rPr>
        <w:t xml:space="preserve">men, la oficina evaluadora de ofertas podrá indicar que se realicen ajustes o adecuaciones de </w:t>
      </w:r>
      <w:r>
        <w:rPr>
          <w:rFonts w:ascii="Arial" w:hAnsi="Arial" w:cs="Arial"/>
          <w:lang w:val="es-UY"/>
        </w:rPr>
        <w:t xml:space="preserve">la propuesta </w:t>
      </w:r>
      <w:r>
        <w:rPr>
          <w:rFonts w:ascii="Arial" w:hAnsi="Arial" w:cs="Arial"/>
        </w:rPr>
        <w:t xml:space="preserve">en la etapa de </w:t>
      </w:r>
      <w:r>
        <w:rPr>
          <w:rFonts w:ascii="Arial" w:hAnsi="Arial" w:cs="Arial"/>
          <w:lang w:val="es-UY"/>
        </w:rPr>
        <w:t>VISADO</w:t>
      </w:r>
      <w:r>
        <w:rPr>
          <w:rFonts w:ascii="Arial" w:hAnsi="Arial" w:cs="Arial"/>
        </w:rPr>
        <w:t>. La Empresa está obligada a aceptar – desde el momento del dictamen – las modificaciones que dicha oficina recomiende. Las modi</w:t>
      </w:r>
      <w:r>
        <w:rPr>
          <w:rFonts w:ascii="Arial" w:hAnsi="Arial" w:cs="Arial"/>
        </w:rPr>
        <w:t>ficaciones serán, entonces, vinculantes para el oferente, siempre que finalmente se adjudique su oferta.</w:t>
      </w:r>
    </w:p>
    <w:p w:rsidR="00000000" w:rsidRDefault="006B4775">
      <w:pPr>
        <w:jc w:val="both"/>
        <w:rPr>
          <w:rFonts w:ascii="Arial" w:hAnsi="Arial" w:cs="Arial"/>
          <w:lang w:val="es-UY"/>
        </w:rPr>
      </w:pPr>
    </w:p>
    <w:p w:rsidR="00000000" w:rsidRDefault="006B477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dictamen establecerá un orden de prelación de las ofertas. En caso de presentación de ofertas similares, la Administración se reserva la facultad d</w:t>
      </w:r>
      <w:r>
        <w:rPr>
          <w:rFonts w:ascii="Arial" w:hAnsi="Arial" w:cs="Arial"/>
        </w:rPr>
        <w:t>e utilizar los mecanismos de mejora de oferta o negociación, de acuerdo a lo previsto en el artículo 66 del TOCAF.</w:t>
      </w:r>
    </w:p>
    <w:p w:rsidR="00000000" w:rsidRDefault="006B4775">
      <w:pPr>
        <w:widowControl w:val="0"/>
        <w:jc w:val="both"/>
        <w:rPr>
          <w:rFonts w:ascii="Arial" w:hAnsi="Arial" w:cs="Arial"/>
        </w:rPr>
      </w:pPr>
    </w:p>
    <w:p w:rsidR="00000000" w:rsidRDefault="006B4775">
      <w:pPr>
        <w:pStyle w:val="Textoindependiente2"/>
        <w:widowControl w:val="0"/>
        <w:spacing w:after="0" w:line="240" w:lineRule="auto"/>
        <w:rPr>
          <w:rFonts w:ascii="Arial" w:hAnsi="Arial" w:cs="Arial"/>
          <w:b/>
          <w:u w:val="single"/>
          <w:lang w:val="es-UY"/>
        </w:rPr>
      </w:pPr>
      <w:r>
        <w:rPr>
          <w:rFonts w:ascii="Arial" w:hAnsi="Arial" w:cs="Arial"/>
          <w:u w:val="single"/>
        </w:rPr>
        <w:t>No se recomendará la adjudicación de las ofertas que obtengan un puntaje “P” inferior a los</w:t>
      </w:r>
      <w:r>
        <w:rPr>
          <w:rFonts w:ascii="Arial" w:hAnsi="Arial" w:cs="Arial"/>
          <w:u w:val="single"/>
          <w:lang w:val="es-UY"/>
        </w:rPr>
        <w:t>60</w:t>
      </w:r>
      <w:r>
        <w:rPr>
          <w:rFonts w:ascii="Arial" w:hAnsi="Arial" w:cs="Arial"/>
          <w:u w:val="single"/>
        </w:rPr>
        <w:t xml:space="preserve"> (</w:t>
      </w:r>
      <w:r>
        <w:rPr>
          <w:rFonts w:ascii="Arial" w:hAnsi="Arial" w:cs="Arial"/>
          <w:u w:val="single"/>
          <w:lang w:val="es-UY"/>
        </w:rPr>
        <w:t>sesenta</w:t>
      </w:r>
      <w:r>
        <w:rPr>
          <w:rFonts w:ascii="Arial" w:hAnsi="Arial" w:cs="Arial"/>
          <w:u w:val="single"/>
        </w:rPr>
        <w:t xml:space="preserve">) puntos, ó un </w:t>
      </w:r>
      <w:r>
        <w:rPr>
          <w:rFonts w:ascii="Arial" w:hAnsi="Arial" w:cs="Arial"/>
          <w:u w:val="single"/>
          <w:lang w:val="es-UY"/>
        </w:rPr>
        <w:t>p</w:t>
      </w:r>
      <w:r>
        <w:rPr>
          <w:rFonts w:ascii="Arial" w:hAnsi="Arial" w:cs="Arial"/>
          <w:u w:val="single"/>
        </w:rPr>
        <w:t xml:space="preserve">untaje “A” inferior a </w:t>
      </w:r>
      <w:r>
        <w:rPr>
          <w:rFonts w:ascii="Arial" w:hAnsi="Arial" w:cs="Arial"/>
          <w:u w:val="single"/>
          <w:lang w:val="es-UY"/>
        </w:rPr>
        <w:t xml:space="preserve">70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  <w:lang w:val="es-UY"/>
        </w:rPr>
        <w:t>setenta</w:t>
      </w:r>
      <w:r>
        <w:rPr>
          <w:rFonts w:ascii="Arial" w:hAnsi="Arial" w:cs="Arial"/>
          <w:u w:val="single"/>
        </w:rPr>
        <w:t xml:space="preserve">) puntos.  </w:t>
      </w:r>
    </w:p>
    <w:p w:rsidR="00000000" w:rsidRDefault="006B4775"/>
    <w:p w:rsidR="00000000" w:rsidRDefault="006B4775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eastAsia="zh-CN"/>
        </w:rPr>
        <w:lastRenderedPageBreak/>
        <w:t>VISADO</w:t>
      </w:r>
    </w:p>
    <w:p w:rsidR="00000000" w:rsidRDefault="006B4775">
      <w:pPr>
        <w:rPr>
          <w:rFonts w:ascii="Arial" w:hAnsi="Arial" w:cs="Arial"/>
          <w:b/>
          <w:bCs/>
          <w:u w:val="single"/>
          <w:lang w:val="es-UY"/>
        </w:rPr>
      </w:pPr>
    </w:p>
    <w:p w:rsidR="00000000" w:rsidRDefault="006B4775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Recaudos a presentar</w:t>
      </w:r>
    </w:p>
    <w:p w:rsidR="00000000" w:rsidRDefault="006B4775">
      <w:pPr>
        <w:rPr>
          <w:rFonts w:ascii="Arial" w:hAnsi="Arial" w:cs="Arial"/>
          <w:b/>
          <w:bCs/>
          <w:u w:val="single"/>
          <w:lang w:val="es-UY"/>
        </w:rPr>
      </w:pPr>
    </w:p>
    <w:p w:rsidR="00000000" w:rsidRDefault="006B47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8"/>
          <w:sz w:val="22"/>
          <w:szCs w:val="22"/>
          <w:lang w:val="es-UY"/>
        </w:rPr>
      </w:pPr>
      <w:r>
        <w:rPr>
          <w:rFonts w:ascii="Arial" w:hAnsi="Arial" w:cs="Arial"/>
          <w:b/>
          <w:kern w:val="28"/>
          <w:sz w:val="22"/>
          <w:szCs w:val="22"/>
        </w:rPr>
        <w:t>SECCIÓN IV</w:t>
      </w:r>
    </w:p>
    <w:p w:rsidR="00000000" w:rsidRDefault="006B47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8"/>
          <w:sz w:val="22"/>
          <w:szCs w:val="22"/>
          <w:lang w:val="es-UY"/>
        </w:rPr>
      </w:pPr>
    </w:p>
    <w:p w:rsidR="00000000" w:rsidRDefault="006B4775">
      <w:pPr>
        <w:pStyle w:val="Ttulo1"/>
        <w:spacing w:line="240" w:lineRule="auto"/>
      </w:pPr>
      <w:r>
        <w:t>ESPECIFICACIONES TÉCNICAS DE LOS RECAUDOS A PRESENTAR</w:t>
      </w:r>
      <w:r>
        <w:rPr>
          <w:lang w:val="es-UY"/>
        </w:rPr>
        <w:t xml:space="preserve"> </w:t>
      </w:r>
      <w:r>
        <w:t>(PROCESO DE VISADO)</w:t>
      </w:r>
    </w:p>
    <w:p w:rsidR="00000000" w:rsidRDefault="006B4775">
      <w:pPr>
        <w:jc w:val="both"/>
        <w:rPr>
          <w:rFonts w:ascii="Arial" w:hAnsi="Arial" w:cs="Arial"/>
          <w:spacing w:val="-3"/>
        </w:rPr>
      </w:pPr>
      <w:bookmarkStart w:id="0" w:name="_Toc456066447"/>
      <w:bookmarkStart w:id="1" w:name="_Toc456075208"/>
    </w:p>
    <w:p w:rsidR="00000000" w:rsidRDefault="006B4775">
      <w:pPr>
        <w:numPr>
          <w:ilvl w:val="0"/>
          <w:numId w:val="4"/>
        </w:num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GENERALIDADES</w:t>
      </w:r>
    </w:p>
    <w:bookmarkEnd w:id="0"/>
    <w:bookmarkEnd w:id="1"/>
    <w:p w:rsidR="00000000" w:rsidRDefault="006B4775">
      <w:pPr>
        <w:shd w:val="clear" w:color="auto" w:fill="FFFFFF"/>
        <w:jc w:val="both"/>
        <w:rPr>
          <w:rFonts w:eastAsia="Tms Rmn" w:cs="Tms Rmn"/>
          <w:color w:val="000000"/>
        </w:rPr>
      </w:pP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a.1 A partir de la fecha de recepción de la ORDEN DE COMPRA, el adjudicatario dispondrá de un </w:t>
      </w:r>
      <w:r>
        <w:rPr>
          <w:rFonts w:ascii="Arial" w:eastAsia="Tms Rmn" w:hAnsi="Arial" w:cs="Arial"/>
          <w:color w:val="000000"/>
          <w:u w:val="single"/>
          <w:shd w:val="clear" w:color="auto" w:fill="FFFFFF"/>
          <w:lang w:eastAsia="zh-CN"/>
        </w:rPr>
        <w:t>plazo m</w:t>
      </w:r>
      <w:r>
        <w:rPr>
          <w:rFonts w:ascii="Arial" w:eastAsia="Tms Rmn" w:hAnsi="Arial" w:cs="Arial"/>
          <w:color w:val="000000"/>
          <w:u w:val="single"/>
          <w:shd w:val="clear" w:color="auto" w:fill="FFFFFF"/>
          <w:lang w:eastAsia="zh-CN"/>
        </w:rPr>
        <w:t>áximo de </w:t>
      </w:r>
      <w:r>
        <w:rPr>
          <w:rFonts w:ascii="Arial" w:eastAsia="Tms Rmn" w:hAnsi="Arial" w:cs="Arial"/>
          <w:color w:val="000000"/>
          <w:u w:val="single"/>
          <w:shd w:val="clear" w:color="auto" w:fill="FFFFFF"/>
          <w:lang w:val="es-UY" w:eastAsia="zh-CN"/>
        </w:rPr>
        <w:t>15</w:t>
      </w:r>
      <w:r>
        <w:rPr>
          <w:rFonts w:ascii="Arial" w:eastAsia="Tms Rmn" w:hAnsi="Arial" w:cs="Arial"/>
          <w:color w:val="000000"/>
          <w:u w:val="single"/>
          <w:shd w:val="clear" w:color="auto" w:fill="FFFFFF"/>
          <w:lang w:eastAsia="zh-CN"/>
        </w:rPr>
        <w:t> (cinco) días hábiles para obtener la aprobación del Proyecto Ejecutivo Visado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.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 xml:space="preserve"> En un plazo 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>máximo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 xml:space="preserve"> de 5 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>días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 xml:space="preserve"> 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>hábiles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 xml:space="preserve"> el adjudicatario deberá presentar del Proyecto Ejecutivo para ser estudiado por los 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>técnicos</w:t>
      </w:r>
      <w:r>
        <w:rPr>
          <w:rFonts w:ascii="Arial" w:eastAsia="Tms Rmn" w:hAnsi="Arial" w:cs="Arial"/>
          <w:color w:val="000000"/>
          <w:shd w:val="clear" w:color="auto" w:fill="FFFFFF"/>
          <w:lang w:val="es-UY" w:eastAsia="zh-CN"/>
        </w:rPr>
        <w:t xml:space="preserve"> de INAU.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 xml:space="preserve"> Dentro de este plazo la em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presa deberá cumplir con lo dispuesto en esta Sección.</w:t>
      </w:r>
    </w:p>
    <w:p w:rsidR="00000000" w:rsidRDefault="006B4775">
      <w:pPr>
        <w:shd w:val="clear" w:color="auto" w:fill="FFFFFF"/>
        <w:jc w:val="both"/>
        <w:rPr>
          <w:rFonts w:eastAsia="Tms Rmn" w:cs="Tms Rmn"/>
          <w:color w:val="000000"/>
        </w:rPr>
      </w:pPr>
      <w:r>
        <w:rPr>
          <w:rFonts w:ascii="Arial" w:eastAsia="Tms Rmn" w:hAnsi="Arial" w:cs="Arial"/>
          <w:b/>
          <w:bCs/>
          <w:color w:val="000000"/>
          <w:shd w:val="clear" w:color="auto" w:fill="FFFFFF"/>
          <w:lang w:eastAsia="zh-CN"/>
        </w:rPr>
        <w:t>a.2 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Los recaudos EN PAPEL se presentarán ordenados, doblados y foliados, en láminas con los formatos y representación que establecen las Normas UNIT.</w:t>
      </w:r>
    </w:p>
    <w:p w:rsidR="00000000" w:rsidRDefault="006B4775">
      <w:pPr>
        <w:shd w:val="clear" w:color="auto" w:fill="FFFFFF"/>
        <w:jc w:val="both"/>
        <w:rPr>
          <w:rFonts w:eastAsia="Tms Rmn" w:cs="Tms Rmn"/>
          <w:color w:val="000000"/>
        </w:rPr>
      </w:pPr>
      <w:r>
        <w:rPr>
          <w:rFonts w:ascii="Arial" w:eastAsia="Tms Rmn" w:hAnsi="Arial" w:cs="Arial"/>
          <w:b/>
          <w:bCs/>
          <w:color w:val="000000"/>
          <w:shd w:val="clear" w:color="auto" w:fill="FFFFFF"/>
          <w:lang w:eastAsia="zh-CN"/>
        </w:rPr>
        <w:t>a.3 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Las láminas deberán incluir en el rótulo: Nº. d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 xml:space="preserve">e lámina, nombre de la empresa, Nº de llamado al que se presenta, dirección y Nº de padrón del inmueble a intervenir, nombre del Servicio, escalas, fecha, firma y aclaración de firma del representante legal del oferente, firma y aclaración de firma de los 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técnicos, y todo otro elemento que contribuya a la mejor identificación de la propuesta.</w:t>
      </w:r>
    </w:p>
    <w:p w:rsidR="00000000" w:rsidRDefault="006B4775">
      <w:pPr>
        <w:shd w:val="clear" w:color="auto" w:fill="FFFFFF"/>
        <w:jc w:val="both"/>
        <w:rPr>
          <w:rFonts w:eastAsia="Tms Rmn" w:cs="Tms Rmn"/>
          <w:color w:val="000000"/>
        </w:rPr>
      </w:pPr>
      <w:r>
        <w:rPr>
          <w:rFonts w:ascii="Arial" w:eastAsia="Tms Rmn" w:hAnsi="Arial" w:cs="Arial"/>
          <w:b/>
          <w:bCs/>
          <w:color w:val="000000"/>
          <w:shd w:val="clear" w:color="auto" w:fill="FFFFFF"/>
          <w:lang w:eastAsia="zh-CN"/>
        </w:rPr>
        <w:t>a.4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 En todas las plantas deberá indicarse el Norte, así como los niveles existentes y/o proyectados.</w:t>
      </w:r>
    </w:p>
    <w:p w:rsidR="00000000" w:rsidRDefault="006B4775">
      <w:pPr>
        <w:shd w:val="clear" w:color="auto" w:fill="FFFFFF"/>
        <w:jc w:val="both"/>
        <w:rPr>
          <w:rFonts w:eastAsia="Tms Rmn" w:cs="Tms Rmn"/>
          <w:color w:val="000000"/>
        </w:rPr>
      </w:pPr>
      <w:r>
        <w:rPr>
          <w:rFonts w:ascii="Arial" w:eastAsia="Tms Rmn" w:hAnsi="Arial" w:cs="Arial"/>
          <w:b/>
          <w:bCs/>
          <w:color w:val="000000"/>
          <w:shd w:val="clear" w:color="auto" w:fill="FFFFFF"/>
          <w:lang w:eastAsia="zh-CN"/>
        </w:rPr>
        <w:t>a.5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 La escala de representación será 1/50; podrá aceptarse 1/100 p</w:t>
      </w:r>
      <w:r>
        <w:rPr>
          <w:rFonts w:ascii="Arial" w:eastAsia="Tms Rmn" w:hAnsi="Arial" w:cs="Arial"/>
          <w:color w:val="000000"/>
          <w:shd w:val="clear" w:color="auto" w:fill="FFFFFF"/>
          <w:lang w:eastAsia="zh-CN"/>
        </w:rPr>
        <w:t>ara edificios de mayor escala.</w:t>
      </w:r>
    </w:p>
    <w:p w:rsidR="00000000" w:rsidRDefault="006B4775">
      <w:pPr>
        <w:widowControl w:val="0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  <w:jc w:val="both"/>
        <w:rPr>
          <w:rFonts w:ascii="Arial" w:hAnsi="Arial" w:cs="Arial"/>
        </w:rPr>
      </w:pPr>
    </w:p>
    <w:p w:rsidR="00000000" w:rsidRDefault="006B4775">
      <w:pPr>
        <w:widowControl w:val="0"/>
        <w:numPr>
          <w:ilvl w:val="0"/>
          <w:numId w:val="5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RECAUDOS MÍNIMOS A PRESENTAR CON EL PROYECTO EJECUTIVO </w:t>
      </w:r>
    </w:p>
    <w:p w:rsidR="00000000" w:rsidRDefault="006B4775">
      <w:pPr>
        <w:pStyle w:val="Sangra2detindependiente"/>
        <w:ind w:firstLine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>En un todo de acuerdo con los técnicos del Departamento de Arquitectura de INAU la empresa adjudicataria presentará todos los recaudos del PROYECTO TÉCNICO ARQUITECTÓNI</w:t>
      </w:r>
      <w:r>
        <w:rPr>
          <w:rFonts w:ascii="Arial" w:hAnsi="Arial" w:cs="Arial"/>
          <w:color w:val="auto"/>
        </w:rPr>
        <w:t>CO</w:t>
      </w:r>
      <w:r>
        <w:rPr>
          <w:rFonts w:ascii="Arial" w:hAnsi="Arial" w:cs="Arial"/>
          <w:strike/>
          <w:color w:val="auto"/>
        </w:rPr>
        <w:t xml:space="preserve"> </w:t>
      </w:r>
      <w:r>
        <w:rPr>
          <w:rFonts w:ascii="Arial" w:hAnsi="Arial" w:cs="Arial"/>
          <w:color w:val="auto"/>
        </w:rPr>
        <w:t>ajustados con las eventuales observaciones que pudiera realizar el Departamento de Arquitectura de INAU e incorporando el siguiente listado de planos, detalles y documentos:</w:t>
      </w:r>
    </w:p>
    <w:p w:rsidR="00000000" w:rsidRDefault="006B4775">
      <w:pPr>
        <w:jc w:val="both"/>
        <w:rPr>
          <w:rFonts w:ascii="Arial" w:hAnsi="Arial" w:cs="Arial"/>
        </w:rPr>
      </w:pPr>
    </w:p>
    <w:p w:rsidR="00000000" w:rsidRDefault="006B4775">
      <w:pPr>
        <w:pStyle w:val="Ttulo2"/>
        <w:numPr>
          <w:ilvl w:val="1"/>
          <w:numId w:val="5"/>
        </w:numPr>
        <w:tabs>
          <w:tab w:val="left" w:pos="426"/>
        </w:tabs>
        <w:ind w:left="284" w:hanging="284"/>
        <w:rPr>
          <w:rFonts w:eastAsia="Calibri"/>
          <w:b w:val="0"/>
          <w:u w:val="single"/>
          <w:lang w:val="es-ES" w:eastAsia="en-US"/>
        </w:rPr>
      </w:pPr>
      <w:r>
        <w:rPr>
          <w:b w:val="0"/>
          <w:u w:val="single"/>
        </w:rPr>
        <w:t>I</w:t>
      </w:r>
      <w:r>
        <w:rPr>
          <w:rFonts w:eastAsia="Calibri"/>
          <w:b w:val="0"/>
          <w:u w:val="single"/>
          <w:lang w:val="es-ES" w:eastAsia="en-US"/>
        </w:rPr>
        <w:t>MPLANTACIÓN y REPLANTEO</w:t>
      </w:r>
    </w:p>
    <w:p w:rsidR="00000000" w:rsidRDefault="006B4775">
      <w:pPr>
        <w:rPr>
          <w:lang w:val="es-ES" w:eastAsia="en-US"/>
        </w:rPr>
      </w:pPr>
    </w:p>
    <w:p w:rsidR="00000000" w:rsidRDefault="006B47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implantación y construcciones provisorias.</w:t>
      </w:r>
    </w:p>
    <w:p w:rsidR="00000000" w:rsidRDefault="006B4775"/>
    <w:p w:rsidR="00000000" w:rsidRDefault="006B4775">
      <w:pPr>
        <w:pStyle w:val="Ttulo2"/>
        <w:numPr>
          <w:ilvl w:val="1"/>
          <w:numId w:val="5"/>
        </w:numPr>
        <w:tabs>
          <w:tab w:val="left" w:pos="426"/>
        </w:tabs>
        <w:ind w:left="284" w:hanging="284"/>
        <w:rPr>
          <w:b w:val="0"/>
          <w:u w:val="single"/>
        </w:rPr>
      </w:pPr>
      <w:r>
        <w:rPr>
          <w:b w:val="0"/>
          <w:u w:val="single"/>
        </w:rPr>
        <w:t>ALBAÑILERÍA</w:t>
      </w:r>
    </w:p>
    <w:p w:rsidR="00000000" w:rsidRDefault="006B4775">
      <w:pPr>
        <w:rPr>
          <w:lang w:val="es-UY"/>
        </w:rPr>
      </w:pPr>
      <w:r>
        <w:rPr>
          <w:rFonts w:ascii="Arial" w:hAnsi="Arial" w:cs="Arial"/>
          <w:lang w:val="es-UY"/>
        </w:rPr>
        <w:t>Procedimiento y materiales para el retiro de molduras en mal estado</w:t>
      </w:r>
    </w:p>
    <w:p w:rsidR="00000000" w:rsidRDefault="006B4775">
      <w:pPr>
        <w:tabs>
          <w:tab w:val="left" w:pos="-720"/>
          <w:tab w:val="left" w:pos="0"/>
        </w:tabs>
        <w:suppressAutoHyphens/>
        <w:ind w:left="426"/>
        <w:jc w:val="both"/>
        <w:rPr>
          <w:spacing w:val="-3"/>
          <w:szCs w:val="22"/>
          <w:u w:val="single"/>
        </w:rPr>
      </w:pPr>
    </w:p>
    <w:p w:rsidR="00000000" w:rsidRDefault="006B4775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ind w:left="426" w:hanging="426"/>
        <w:jc w:val="both"/>
        <w:rPr>
          <w:spacing w:val="-3"/>
          <w:szCs w:val="22"/>
          <w:u w:val="single"/>
        </w:rPr>
      </w:pPr>
      <w:r>
        <w:rPr>
          <w:rFonts w:ascii="Arial" w:eastAsia="Times New Roman" w:hAnsi="Arial" w:cs="Arial"/>
          <w:bCs/>
          <w:iCs/>
          <w:sz w:val="22"/>
          <w:szCs w:val="22"/>
          <w:u w:val="single"/>
          <w:lang w:val="es-ES"/>
        </w:rPr>
        <w:t>INSTALACIÓN SANITARIA</w:t>
      </w:r>
    </w:p>
    <w:p w:rsidR="00000000" w:rsidRDefault="006B4775">
      <w:pPr>
        <w:tabs>
          <w:tab w:val="left" w:pos="-720"/>
          <w:tab w:val="left" w:pos="0"/>
        </w:tabs>
        <w:suppressAutoHyphens/>
        <w:jc w:val="both"/>
        <w:rPr>
          <w:spacing w:val="-3"/>
          <w:szCs w:val="22"/>
          <w:u w:val="single"/>
        </w:rPr>
      </w:pPr>
    </w:p>
    <w:p w:rsidR="00000000" w:rsidRDefault="006B4775">
      <w:pPr>
        <w:rPr>
          <w:lang w:val="es-UY"/>
        </w:rPr>
      </w:pPr>
      <w:r>
        <w:rPr>
          <w:rFonts w:ascii="Arial" w:hAnsi="Arial" w:cs="Arial"/>
          <w:lang w:val="es-UY"/>
        </w:rPr>
        <w:t>Planos de sanitaria con dimensiones de tramos de caños y zampeado de cámaras.</w:t>
      </w:r>
    </w:p>
    <w:p w:rsidR="00000000" w:rsidRDefault="006B4775">
      <w:pPr>
        <w:widowControl w:val="0"/>
        <w:tabs>
          <w:tab w:val="left" w:pos="4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FF0000"/>
          <w:szCs w:val="22"/>
          <w:lang w:val="es-UY"/>
        </w:rPr>
      </w:pPr>
    </w:p>
    <w:p w:rsidR="00000000" w:rsidRDefault="006B4775">
      <w:pPr>
        <w:widowControl w:val="0"/>
        <w:numPr>
          <w:ilvl w:val="1"/>
          <w:numId w:val="5"/>
        </w:numPr>
        <w:tabs>
          <w:tab w:val="left" w:pos="4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MEMORIA CONSTRUCTIVA</w:t>
      </w:r>
      <w:r>
        <w:rPr>
          <w:rFonts w:ascii="Arial" w:hAnsi="Arial" w:cs="Arial"/>
          <w:szCs w:val="22"/>
        </w:rPr>
        <w:t xml:space="preserve"> completa de toda la obra</w:t>
      </w:r>
      <w:r>
        <w:rPr>
          <w:rFonts w:ascii="Arial" w:hAnsi="Arial" w:cs="Arial"/>
          <w:szCs w:val="22"/>
          <w:lang w:val="es-UY"/>
        </w:rPr>
        <w:t>.</w:t>
      </w:r>
    </w:p>
    <w:p w:rsidR="00000000" w:rsidRDefault="006B4775">
      <w:pPr>
        <w:widowControl w:val="0"/>
        <w:numPr>
          <w:ilvl w:val="1"/>
          <w:numId w:val="5"/>
        </w:numPr>
        <w:tabs>
          <w:tab w:val="left" w:pos="4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  <w:lang w:val="es-UY"/>
        </w:rPr>
        <w:t>Plan de seguridad e higi</w:t>
      </w:r>
      <w:r>
        <w:rPr>
          <w:rFonts w:ascii="Arial" w:hAnsi="Arial" w:cs="Arial"/>
          <w:szCs w:val="22"/>
          <w:u w:val="single"/>
          <w:lang w:val="es-UY"/>
        </w:rPr>
        <w:t>ene.</w:t>
      </w:r>
    </w:p>
    <w:p w:rsidR="00000000" w:rsidRDefault="006B4775">
      <w:pPr>
        <w:widowControl w:val="0"/>
        <w:numPr>
          <w:ilvl w:val="1"/>
          <w:numId w:val="5"/>
        </w:numPr>
        <w:tabs>
          <w:tab w:val="left" w:pos="4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Cs w:val="22"/>
          <w:u w:val="single"/>
        </w:rPr>
        <w:t>Listado de todos los Técnicos intervinientes según modelo apartado II.</w:t>
      </w:r>
    </w:p>
    <w:p w:rsidR="006B4775" w:rsidRDefault="006B4775">
      <w:pPr>
        <w:rPr>
          <w:rFonts w:ascii="Arial" w:hAnsi="Arial" w:cs="Arial"/>
          <w:lang w:val="es-UY"/>
        </w:rPr>
      </w:pPr>
    </w:p>
    <w:sectPr w:rsidR="006B477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134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75" w:rsidRDefault="006B4775">
      <w:r>
        <w:separator/>
      </w:r>
    </w:p>
  </w:endnote>
  <w:endnote w:type="continuationSeparator" w:id="0">
    <w:p w:rsidR="006B4775" w:rsidRDefault="006B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775">
    <w:pPr>
      <w:pStyle w:val="Piedepgina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separate"/>
    </w:r>
    <w:r>
      <w:rPr>
        <w:rStyle w:val="Nmerodepgina"/>
        <w:lang w:val="es-ES" w:eastAsia="es-ES"/>
      </w:rPr>
      <w:t>2</w:t>
    </w:r>
    <w:r>
      <w:fldChar w:fldCharType="end"/>
    </w:r>
  </w:p>
  <w:p w:rsidR="00000000" w:rsidRDefault="006B477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775">
    <w:pPr>
      <w:pStyle w:val="Piedepgina"/>
      <w:pBdr>
        <w:top w:val="single" w:sz="4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>Pedro Campbell 1424 – Montevideo Uruguay – telefax 2708 97 17</w:t>
    </w:r>
    <w:r>
      <w:rPr>
        <w:rFonts w:ascii="Arial" w:hAnsi="Arial" w:cs="Arial"/>
      </w:rPr>
      <w:tab/>
    </w:r>
    <w:r>
      <w:rPr>
        <w:rFonts w:ascii="Arial" w:hAnsi="Arial" w:cs="Arial"/>
      </w:rPr>
      <w:t xml:space="preserve">Página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384AD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384AD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:rsidR="00000000" w:rsidRDefault="006B4775">
    <w:pPr>
      <w:pStyle w:val="Piedepgina"/>
      <w:rPr>
        <w:rFonts w:ascii="Arial" w:hAnsi="Arial" w:cs="Arial"/>
      </w:rPr>
    </w:pPr>
    <w:r>
      <w:rPr>
        <w:rFonts w:ascii="Arial" w:hAnsi="Arial" w:cs="Arial"/>
      </w:rPr>
      <w:t>email: arquitectura@inau.gub.u</w:t>
    </w:r>
    <w:r>
      <w:rPr>
        <w:rFonts w:ascii="Arial" w:hAnsi="Arial" w:cs="Arial"/>
      </w:rPr>
      <w:t>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75" w:rsidRDefault="006B4775">
      <w:r>
        <w:separator/>
      </w:r>
    </w:p>
  </w:footnote>
  <w:footnote w:type="continuationSeparator" w:id="0">
    <w:p w:rsidR="006B4775" w:rsidRDefault="006B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4AD5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-144780</wp:posOffset>
          </wp:positionV>
          <wp:extent cx="1457960" cy="721995"/>
          <wp:effectExtent l="19050" t="0" r="8890" b="0"/>
          <wp:wrapTight wrapText="bothSides">
            <wp:wrapPolygon edited="0">
              <wp:start x="-282" y="0"/>
              <wp:lineTo x="-282" y="21087"/>
              <wp:lineTo x="21732" y="21087"/>
              <wp:lineTo x="21732" y="0"/>
              <wp:lineTo x="-282" y="0"/>
            </wp:wrapPolygon>
          </wp:wrapTight>
          <wp:docPr id="1" name="Picture 1" descr="inau Arquitectu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u Arquitectu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19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775">
      <w:rPr>
        <w:rFonts w:ascii="Arial" w:hAnsi="Arial" w:cs="Arial"/>
      </w:rPr>
      <w:t xml:space="preserve">  </w:t>
    </w:r>
  </w:p>
  <w:p w:rsidR="00000000" w:rsidRDefault="006B4775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:rsidR="00000000" w:rsidRDefault="006B4775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:rsidR="00000000" w:rsidRDefault="006B4775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DEPARTAMENTO DE ARQUITECTURA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775">
    <w:pPr>
      <w:pStyle w:val="Encabezado"/>
    </w:pPr>
    <w:r>
      <w:t>INAU – DEPARTAMENTO DE ARQUITECTURA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1AA2"/>
    <w:multiLevelType w:val="multilevel"/>
    <w:tmpl w:val="2D541A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B8AA"/>
    <w:multiLevelType w:val="multilevel"/>
    <w:tmpl w:val="43DDB8AA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="Calibri" w:hAnsi="Arial" w:cs="Arial"/>
        <w:b/>
        <w:bCs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6C47F9"/>
    <w:multiLevelType w:val="singleLevel"/>
    <w:tmpl w:val="4F6C47F9"/>
    <w:lvl w:ilvl="0">
      <w:start w:val="1"/>
      <w:numFmt w:val="upperLetter"/>
      <w:suff w:val="space"/>
      <w:lvlText w:val="%1)"/>
      <w:lvlJc w:val="left"/>
    </w:lvl>
  </w:abstractNum>
  <w:abstractNum w:abstractNumId="3">
    <w:nsid w:val="5B1F7692"/>
    <w:multiLevelType w:val="multilevel"/>
    <w:tmpl w:val="5B1F76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E0515D8"/>
    <w:multiLevelType w:val="multilevel"/>
    <w:tmpl w:val="6E051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6E7"/>
    <w:rsid w:val="00001048"/>
    <w:rsid w:val="00010DF7"/>
    <w:rsid w:val="00015923"/>
    <w:rsid w:val="00020D95"/>
    <w:rsid w:val="00034751"/>
    <w:rsid w:val="000434A8"/>
    <w:rsid w:val="00045F00"/>
    <w:rsid w:val="00064FDA"/>
    <w:rsid w:val="00066241"/>
    <w:rsid w:val="00073D60"/>
    <w:rsid w:val="000832E9"/>
    <w:rsid w:val="000B31ED"/>
    <w:rsid w:val="000B4628"/>
    <w:rsid w:val="000C36F8"/>
    <w:rsid w:val="000E1B7C"/>
    <w:rsid w:val="000F0DD9"/>
    <w:rsid w:val="000F3D6A"/>
    <w:rsid w:val="000F40A8"/>
    <w:rsid w:val="0010715C"/>
    <w:rsid w:val="001106ED"/>
    <w:rsid w:val="00121948"/>
    <w:rsid w:val="001276AA"/>
    <w:rsid w:val="00143100"/>
    <w:rsid w:val="00144D91"/>
    <w:rsid w:val="001663B4"/>
    <w:rsid w:val="00171C7B"/>
    <w:rsid w:val="00171E4A"/>
    <w:rsid w:val="00174D53"/>
    <w:rsid w:val="00181E19"/>
    <w:rsid w:val="001A0B4A"/>
    <w:rsid w:val="001A0D17"/>
    <w:rsid w:val="001A47E3"/>
    <w:rsid w:val="001E6A18"/>
    <w:rsid w:val="001F1806"/>
    <w:rsid w:val="00202740"/>
    <w:rsid w:val="00205C25"/>
    <w:rsid w:val="002069C2"/>
    <w:rsid w:val="00214758"/>
    <w:rsid w:val="002449FB"/>
    <w:rsid w:val="0024631D"/>
    <w:rsid w:val="00255912"/>
    <w:rsid w:val="00263FA9"/>
    <w:rsid w:val="00272C9B"/>
    <w:rsid w:val="002813D8"/>
    <w:rsid w:val="0029562F"/>
    <w:rsid w:val="00297A1C"/>
    <w:rsid w:val="00297C63"/>
    <w:rsid w:val="002A40BE"/>
    <w:rsid w:val="002B67B7"/>
    <w:rsid w:val="002C4533"/>
    <w:rsid w:val="002C4644"/>
    <w:rsid w:val="002D6488"/>
    <w:rsid w:val="003101CB"/>
    <w:rsid w:val="00311612"/>
    <w:rsid w:val="003144BC"/>
    <w:rsid w:val="00321D2A"/>
    <w:rsid w:val="0033716B"/>
    <w:rsid w:val="00340453"/>
    <w:rsid w:val="003409CA"/>
    <w:rsid w:val="00350F26"/>
    <w:rsid w:val="003513F5"/>
    <w:rsid w:val="00367D5D"/>
    <w:rsid w:val="00384AD5"/>
    <w:rsid w:val="003876F7"/>
    <w:rsid w:val="00392A7A"/>
    <w:rsid w:val="00392DC4"/>
    <w:rsid w:val="003A19B3"/>
    <w:rsid w:val="003A2E08"/>
    <w:rsid w:val="003A4538"/>
    <w:rsid w:val="003A5817"/>
    <w:rsid w:val="003B06E5"/>
    <w:rsid w:val="003C5315"/>
    <w:rsid w:val="003C5AFC"/>
    <w:rsid w:val="003D5B07"/>
    <w:rsid w:val="003E14EA"/>
    <w:rsid w:val="003E3618"/>
    <w:rsid w:val="004011E2"/>
    <w:rsid w:val="00404B06"/>
    <w:rsid w:val="0041279D"/>
    <w:rsid w:val="00420215"/>
    <w:rsid w:val="00422B42"/>
    <w:rsid w:val="00430014"/>
    <w:rsid w:val="00431979"/>
    <w:rsid w:val="0043347C"/>
    <w:rsid w:val="00444F93"/>
    <w:rsid w:val="00454C81"/>
    <w:rsid w:val="004668AA"/>
    <w:rsid w:val="00466DB5"/>
    <w:rsid w:val="00486605"/>
    <w:rsid w:val="004A5387"/>
    <w:rsid w:val="004B3F65"/>
    <w:rsid w:val="004D4773"/>
    <w:rsid w:val="00500A67"/>
    <w:rsid w:val="00500C4D"/>
    <w:rsid w:val="005034B2"/>
    <w:rsid w:val="00503755"/>
    <w:rsid w:val="005146CE"/>
    <w:rsid w:val="00517141"/>
    <w:rsid w:val="00524116"/>
    <w:rsid w:val="00526398"/>
    <w:rsid w:val="00533EC8"/>
    <w:rsid w:val="00572E0A"/>
    <w:rsid w:val="0058741A"/>
    <w:rsid w:val="00597B6B"/>
    <w:rsid w:val="005A07A3"/>
    <w:rsid w:val="005A7C92"/>
    <w:rsid w:val="005B145A"/>
    <w:rsid w:val="005B1C35"/>
    <w:rsid w:val="005B4ED1"/>
    <w:rsid w:val="005C5CBD"/>
    <w:rsid w:val="005E2D53"/>
    <w:rsid w:val="005E4EB2"/>
    <w:rsid w:val="005E7CD9"/>
    <w:rsid w:val="005F0627"/>
    <w:rsid w:val="005F0CE0"/>
    <w:rsid w:val="005F156D"/>
    <w:rsid w:val="005F1EFD"/>
    <w:rsid w:val="005F7DE8"/>
    <w:rsid w:val="00600D64"/>
    <w:rsid w:val="00636325"/>
    <w:rsid w:val="0064087D"/>
    <w:rsid w:val="00647E18"/>
    <w:rsid w:val="006511EB"/>
    <w:rsid w:val="00651F35"/>
    <w:rsid w:val="006525D1"/>
    <w:rsid w:val="0066378F"/>
    <w:rsid w:val="006733F1"/>
    <w:rsid w:val="00674836"/>
    <w:rsid w:val="0067672D"/>
    <w:rsid w:val="006A2042"/>
    <w:rsid w:val="006A421E"/>
    <w:rsid w:val="006A6625"/>
    <w:rsid w:val="006B1864"/>
    <w:rsid w:val="006B3533"/>
    <w:rsid w:val="006B4775"/>
    <w:rsid w:val="006B67B5"/>
    <w:rsid w:val="006E174A"/>
    <w:rsid w:val="006F065D"/>
    <w:rsid w:val="006F3E45"/>
    <w:rsid w:val="00711C0B"/>
    <w:rsid w:val="00716C95"/>
    <w:rsid w:val="007247C3"/>
    <w:rsid w:val="00735B48"/>
    <w:rsid w:val="00751ADF"/>
    <w:rsid w:val="00760F29"/>
    <w:rsid w:val="00766065"/>
    <w:rsid w:val="00782C28"/>
    <w:rsid w:val="00792097"/>
    <w:rsid w:val="007951D8"/>
    <w:rsid w:val="00795FC0"/>
    <w:rsid w:val="007E58B4"/>
    <w:rsid w:val="00802251"/>
    <w:rsid w:val="00813AAC"/>
    <w:rsid w:val="008274CF"/>
    <w:rsid w:val="00830365"/>
    <w:rsid w:val="008366B4"/>
    <w:rsid w:val="00837121"/>
    <w:rsid w:val="00851C92"/>
    <w:rsid w:val="008722E8"/>
    <w:rsid w:val="00887D9D"/>
    <w:rsid w:val="00896426"/>
    <w:rsid w:val="008A2151"/>
    <w:rsid w:val="008A49D0"/>
    <w:rsid w:val="008B067A"/>
    <w:rsid w:val="008C134D"/>
    <w:rsid w:val="008E4D86"/>
    <w:rsid w:val="008F15FF"/>
    <w:rsid w:val="008F3451"/>
    <w:rsid w:val="008F4CD5"/>
    <w:rsid w:val="00914B59"/>
    <w:rsid w:val="009164F8"/>
    <w:rsid w:val="009276A6"/>
    <w:rsid w:val="00956C42"/>
    <w:rsid w:val="00957189"/>
    <w:rsid w:val="00962C2E"/>
    <w:rsid w:val="00963825"/>
    <w:rsid w:val="00975C89"/>
    <w:rsid w:val="009834AB"/>
    <w:rsid w:val="009A693C"/>
    <w:rsid w:val="009B195E"/>
    <w:rsid w:val="009C4E43"/>
    <w:rsid w:val="009D093C"/>
    <w:rsid w:val="009D20B3"/>
    <w:rsid w:val="009E25CC"/>
    <w:rsid w:val="009F152B"/>
    <w:rsid w:val="00A1025A"/>
    <w:rsid w:val="00A11484"/>
    <w:rsid w:val="00A35935"/>
    <w:rsid w:val="00A62757"/>
    <w:rsid w:val="00A80C18"/>
    <w:rsid w:val="00AA0B84"/>
    <w:rsid w:val="00AF0190"/>
    <w:rsid w:val="00B00B79"/>
    <w:rsid w:val="00B130C1"/>
    <w:rsid w:val="00B2259C"/>
    <w:rsid w:val="00B25312"/>
    <w:rsid w:val="00B43242"/>
    <w:rsid w:val="00B46BAF"/>
    <w:rsid w:val="00B544E4"/>
    <w:rsid w:val="00B63E5F"/>
    <w:rsid w:val="00B70F87"/>
    <w:rsid w:val="00B74B2C"/>
    <w:rsid w:val="00B77489"/>
    <w:rsid w:val="00B8090C"/>
    <w:rsid w:val="00B9308A"/>
    <w:rsid w:val="00BA1C96"/>
    <w:rsid w:val="00BA3F9C"/>
    <w:rsid w:val="00BA589C"/>
    <w:rsid w:val="00BD5649"/>
    <w:rsid w:val="00C037D3"/>
    <w:rsid w:val="00C07D5B"/>
    <w:rsid w:val="00C116F1"/>
    <w:rsid w:val="00C471E6"/>
    <w:rsid w:val="00C50290"/>
    <w:rsid w:val="00C50F76"/>
    <w:rsid w:val="00C61D78"/>
    <w:rsid w:val="00C74D67"/>
    <w:rsid w:val="00C77FB5"/>
    <w:rsid w:val="00CA3753"/>
    <w:rsid w:val="00CA412B"/>
    <w:rsid w:val="00CA5038"/>
    <w:rsid w:val="00CA77F4"/>
    <w:rsid w:val="00CB1ED0"/>
    <w:rsid w:val="00CB2552"/>
    <w:rsid w:val="00CB6235"/>
    <w:rsid w:val="00CC37C9"/>
    <w:rsid w:val="00CC7777"/>
    <w:rsid w:val="00CD2040"/>
    <w:rsid w:val="00CD3BEC"/>
    <w:rsid w:val="00CD7C28"/>
    <w:rsid w:val="00D1312C"/>
    <w:rsid w:val="00D3023D"/>
    <w:rsid w:val="00D35404"/>
    <w:rsid w:val="00D55A48"/>
    <w:rsid w:val="00D60B84"/>
    <w:rsid w:val="00D7652F"/>
    <w:rsid w:val="00D80CA4"/>
    <w:rsid w:val="00D926E7"/>
    <w:rsid w:val="00D95A5D"/>
    <w:rsid w:val="00DA18A8"/>
    <w:rsid w:val="00DB64D8"/>
    <w:rsid w:val="00DB6724"/>
    <w:rsid w:val="00DC060E"/>
    <w:rsid w:val="00DD763F"/>
    <w:rsid w:val="00DE1B3A"/>
    <w:rsid w:val="00E00505"/>
    <w:rsid w:val="00E354BB"/>
    <w:rsid w:val="00E3614F"/>
    <w:rsid w:val="00E5009D"/>
    <w:rsid w:val="00E517E9"/>
    <w:rsid w:val="00E55411"/>
    <w:rsid w:val="00E60084"/>
    <w:rsid w:val="00E65482"/>
    <w:rsid w:val="00E8041D"/>
    <w:rsid w:val="00E86F69"/>
    <w:rsid w:val="00E9522B"/>
    <w:rsid w:val="00EA1074"/>
    <w:rsid w:val="00EA33C5"/>
    <w:rsid w:val="00EC34B2"/>
    <w:rsid w:val="00EE3B33"/>
    <w:rsid w:val="00EE6046"/>
    <w:rsid w:val="00F0155F"/>
    <w:rsid w:val="00F24E2F"/>
    <w:rsid w:val="00F32482"/>
    <w:rsid w:val="00F33B89"/>
    <w:rsid w:val="00F349E8"/>
    <w:rsid w:val="00F4183B"/>
    <w:rsid w:val="00F5462E"/>
    <w:rsid w:val="00F6125C"/>
    <w:rsid w:val="00F80FC6"/>
    <w:rsid w:val="00FC2E91"/>
    <w:rsid w:val="00FC611A"/>
    <w:rsid w:val="00FD0F25"/>
    <w:rsid w:val="00FE42BB"/>
    <w:rsid w:val="00FE6EDF"/>
    <w:rsid w:val="00FF4AAC"/>
    <w:rsid w:val="0A8D17F9"/>
    <w:rsid w:val="12491BE7"/>
    <w:rsid w:val="184B44C5"/>
    <w:rsid w:val="2B966811"/>
    <w:rsid w:val="323A1568"/>
    <w:rsid w:val="3A830B2E"/>
    <w:rsid w:val="522153A2"/>
    <w:rsid w:val="54971B7E"/>
    <w:rsid w:val="56F253FB"/>
    <w:rsid w:val="59D51F28"/>
    <w:rsid w:val="59D5644B"/>
    <w:rsid w:val="65FD0E58"/>
    <w:rsid w:val="6AFD17CE"/>
    <w:rsid w:val="72570C28"/>
    <w:rsid w:val="7DD6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 w:hanging="357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57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uiPriority w:val="99"/>
    <w:unhideWhenUsed/>
    <w:qFormat/>
    <w:pPr>
      <w:spacing w:after="120" w:line="480" w:lineRule="auto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qFormat/>
    <w:pPr>
      <w:ind w:firstLine="720"/>
      <w:jc w:val="both"/>
    </w:pPr>
    <w:rPr>
      <w:color w:val="0000FF"/>
    </w:rPr>
  </w:style>
  <w:style w:type="paragraph" w:styleId="Textoindependiente">
    <w:name w:val="Body Text"/>
    <w:basedOn w:val="Normal"/>
    <w:pPr>
      <w:spacing w:line="360" w:lineRule="auto"/>
    </w:pPr>
    <w:rPr>
      <w:b/>
      <w:bCs/>
      <w:sz w:val="28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6781</Characters>
  <Application>Microsoft Office Word</Application>
  <DocSecurity>0</DocSecurity>
  <Lines>56</Lines>
  <Paragraphs>15</Paragraphs>
  <ScaleCrop>false</ScaleCrop>
  <Company>INAU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Y LISTADO PARA REALIZAR UN LLAMADO A LICITACION CON EL OBJETO DE LA ADQUISICION DE HERRAMIENTAS ENERGIZA</dc:title>
  <dc:creator>Arquitectura</dc:creator>
  <cp:lastModifiedBy>user</cp:lastModifiedBy>
  <cp:revision>2</cp:revision>
  <cp:lastPrinted>2016-03-31T20:32:00Z</cp:lastPrinted>
  <dcterms:created xsi:type="dcterms:W3CDTF">2022-09-19T16:30:00Z</dcterms:created>
  <dcterms:modified xsi:type="dcterms:W3CDTF">2022-09-19T16:30:00Z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F5A60DF45265495EA03C26AB43365A41</vt:lpwstr>
  </property>
</Properties>
</file>