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4" w:rsidRPr="006E5217" w:rsidRDefault="00736254" w:rsidP="00736254">
      <w:pPr>
        <w:rPr>
          <w:rFonts w:asciiTheme="minorHAnsi" w:hAnsiTheme="minorHAnsi" w:cstheme="minorHAnsi"/>
          <w:color w:val="58595B"/>
          <w:szCs w:val="24"/>
          <w:lang w:val="es-UY"/>
        </w:rPr>
      </w:pPr>
    </w:p>
    <w:p w:rsidR="00296328" w:rsidRPr="006E5217" w:rsidRDefault="00296328" w:rsidP="005567C9">
      <w:pPr>
        <w:pStyle w:val="Ttulo2"/>
        <w:spacing w:line="360" w:lineRule="auto"/>
        <w:jc w:val="left"/>
        <w:rPr>
          <w:rFonts w:asciiTheme="minorHAnsi" w:hAnsiTheme="minorHAnsi" w:cstheme="minorHAnsi"/>
          <w:szCs w:val="24"/>
          <w:u w:val="none"/>
          <w:lang w:val="es-UY"/>
        </w:rPr>
      </w:pPr>
    </w:p>
    <w:p w:rsidR="00A20863" w:rsidRPr="006E5217" w:rsidRDefault="00A20863" w:rsidP="005567C9">
      <w:pPr>
        <w:rPr>
          <w:rFonts w:asciiTheme="minorHAnsi" w:hAnsiTheme="minorHAnsi" w:cstheme="minorHAnsi"/>
          <w:szCs w:val="24"/>
          <w:lang w:val="es-UY"/>
        </w:rPr>
      </w:pPr>
    </w:p>
    <w:p w:rsidR="00A81FE7" w:rsidRPr="00CB378F" w:rsidRDefault="006E5217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 xml:space="preserve">Informamos respuestas de consultas recibidas respecto al llamado: </w:t>
      </w:r>
    </w:p>
    <w:p w:rsidR="008D355F" w:rsidRPr="00CB378F" w:rsidRDefault="006E5217" w:rsidP="008F4168">
      <w:pPr>
        <w:pStyle w:val="Prrafobsico"/>
        <w:pBdr>
          <w:bottom w:val="single" w:sz="12" w:space="1" w:color="auto"/>
        </w:pBdr>
        <w:suppressAutoHyphens/>
        <w:ind w:right="-149"/>
        <w:jc w:val="center"/>
        <w:rPr>
          <w:rFonts w:ascii="Arial" w:hAnsi="Arial" w:cs="Arial"/>
          <w:b/>
          <w:sz w:val="32"/>
          <w:szCs w:val="32"/>
          <w:lang w:val="es-UY"/>
        </w:rPr>
      </w:pPr>
      <w:r w:rsidRPr="00CB378F">
        <w:rPr>
          <w:rFonts w:ascii="Arial" w:hAnsi="Arial" w:cs="Arial"/>
          <w:spacing w:val="-3"/>
        </w:rPr>
        <w:t xml:space="preserve">Licitación Abreviada </w:t>
      </w:r>
      <w:r w:rsidR="008F4168">
        <w:rPr>
          <w:rFonts w:ascii="Arial" w:hAnsi="Arial" w:cs="Arial"/>
          <w:spacing w:val="-3"/>
        </w:rPr>
        <w:t>05</w:t>
      </w:r>
      <w:r w:rsidR="00CB378F">
        <w:rPr>
          <w:rFonts w:ascii="Arial" w:hAnsi="Arial" w:cs="Arial"/>
          <w:spacing w:val="-3"/>
        </w:rPr>
        <w:t xml:space="preserve">/22: </w:t>
      </w:r>
      <w:r w:rsidR="008F4168">
        <w:rPr>
          <w:rFonts w:ascii="Arial" w:hAnsi="Arial" w:cs="Arial"/>
          <w:spacing w:val="-3"/>
        </w:rPr>
        <w:t xml:space="preserve"> </w:t>
      </w:r>
      <w:r w:rsidR="008F4168" w:rsidRPr="008F4168">
        <w:rPr>
          <w:rFonts w:ascii="Arial" w:hAnsi="Arial" w:cs="Arial"/>
          <w:b/>
          <w:spacing w:val="-3"/>
          <w:lang w:val="es-ES"/>
        </w:rPr>
        <w:t xml:space="preserve">LICENCIAS MICROSOFT - Renovación de cobertura de software </w:t>
      </w:r>
      <w:proofErr w:type="spellStart"/>
      <w:r w:rsidR="008F4168" w:rsidRPr="008F4168">
        <w:rPr>
          <w:rFonts w:ascii="Arial" w:hAnsi="Arial" w:cs="Arial"/>
          <w:b/>
          <w:spacing w:val="-3"/>
          <w:lang w:val="es-ES"/>
        </w:rPr>
        <w:t>assurance</w:t>
      </w:r>
      <w:proofErr w:type="spellEnd"/>
      <w:r w:rsidR="008F4168" w:rsidRPr="008F4168">
        <w:rPr>
          <w:rFonts w:ascii="Arial" w:hAnsi="Arial" w:cs="Arial"/>
          <w:b/>
          <w:spacing w:val="-3"/>
          <w:lang w:val="es-ES"/>
        </w:rPr>
        <w:t xml:space="preserve"> y renovación de suscripciones para software Microsoft para </w:t>
      </w:r>
    </w:p>
    <w:p w:rsidR="009B06C5" w:rsidRPr="00CB378F" w:rsidRDefault="009B06C5" w:rsidP="0053379B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F4168" w:rsidRPr="008F4168" w:rsidRDefault="008E0CA7" w:rsidP="008F4168">
      <w:pPr>
        <w:rPr>
          <w:rFonts w:ascii="Calibri" w:eastAsia="Calibri" w:hAnsi="Calibri" w:cs="Calibri"/>
          <w:snapToGrid/>
          <w:sz w:val="20"/>
          <w:lang w:val="es-UY" w:eastAsia="es-UY"/>
        </w:rPr>
      </w:pPr>
      <w:r w:rsidRPr="00CB378F">
        <w:rPr>
          <w:rFonts w:ascii="Arial" w:hAnsi="Arial" w:cs="Arial"/>
          <w:b/>
          <w:spacing w:val="-3"/>
          <w:szCs w:val="24"/>
          <w:lang w:val="es-ES_tradnl"/>
        </w:rPr>
        <w:t>CONSULTA</w:t>
      </w:r>
      <w:r>
        <w:rPr>
          <w:rFonts w:ascii="Arial" w:hAnsi="Arial" w:cs="Arial"/>
          <w:b/>
          <w:spacing w:val="-3"/>
          <w:szCs w:val="24"/>
          <w:lang w:val="es-ES_tradnl"/>
        </w:rPr>
        <w:t>:</w:t>
      </w:r>
      <w:r w:rsidR="00CB378F" w:rsidRPr="008F4168">
        <w:rPr>
          <w:rFonts w:ascii="Arial" w:hAnsi="Arial" w:cs="Arial"/>
          <w:b/>
          <w:spacing w:val="-3"/>
          <w:szCs w:val="24"/>
          <w:lang w:val="es-ES_tradnl"/>
        </w:rPr>
        <w:t xml:space="preserve"> </w:t>
      </w:r>
      <w:r w:rsidR="008F4168"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Actualmente no existe una opción de compra que permita renovar el SA por 2 años. Los Contratos en los cuales se puede adquirir renovación de SA para licencias perpetuas (MPSA y Open </w:t>
      </w:r>
      <w:proofErr w:type="spellStart"/>
      <w:r w:rsidR="008F4168"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>Value</w:t>
      </w:r>
      <w:proofErr w:type="spellEnd"/>
      <w:r w:rsidR="008F4168"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>) establecen que sea por un plazo de 3 años.</w:t>
      </w:r>
    </w:p>
    <w:p w:rsidR="008F4168" w:rsidRPr="008F4168" w:rsidRDefault="008F4168" w:rsidP="008F4168">
      <w:pPr>
        <w:widowControl/>
        <w:rPr>
          <w:rFonts w:ascii="Calibri" w:eastAsia="Calibri" w:hAnsi="Calibri" w:cs="Calibri"/>
          <w:snapToGrid/>
          <w:sz w:val="20"/>
          <w:lang w:val="es-UY" w:eastAsia="es-UY"/>
        </w:rPr>
      </w:pPr>
      <w:r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>Existe la opción de realizar pagos anuales, al inicio de cada período, pero la vigencia del Contrato (MPSA y OV) no puede ser menor a 3 años.</w:t>
      </w:r>
    </w:p>
    <w:p w:rsidR="008F4168" w:rsidRPr="000E13DD" w:rsidRDefault="008F4168" w:rsidP="008F4168">
      <w:pPr>
        <w:widowControl/>
        <w:rPr>
          <w:rFonts w:ascii="Calibri" w:eastAsia="Calibri" w:hAnsi="Calibri" w:cs="Calibri"/>
          <w:snapToGrid/>
          <w:sz w:val="20"/>
          <w:lang w:val="es-UY" w:eastAsia="es-UY"/>
        </w:rPr>
      </w:pPr>
      <w:bookmarkStart w:id="0" w:name="_GoBack"/>
      <w:bookmarkEnd w:id="0"/>
      <w:r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Recomendamos confirmar con Microsoft esta información y solicitamos evalúen modificar la fecha de vencimiento para que diga 31/5/2025 y sea posible ofrecer una opción de compra sin incumplir. </w:t>
      </w:r>
    </w:p>
    <w:p w:rsidR="000E13DD" w:rsidRPr="000E13DD" w:rsidRDefault="000E13DD" w:rsidP="000E13DD">
      <w:pPr>
        <w:widowControl/>
        <w:rPr>
          <w:rFonts w:ascii="Calibri" w:eastAsia="Calibri" w:hAnsi="Calibri" w:cs="Calibri"/>
          <w:snapToGrid/>
          <w:sz w:val="22"/>
          <w:szCs w:val="22"/>
          <w:lang w:val="es-UY" w:eastAsia="en-US"/>
        </w:rPr>
      </w:pPr>
      <w:r w:rsidRPr="000E13DD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Otro punto importante que deben tener en cuenta es que el Software </w:t>
      </w:r>
      <w:proofErr w:type="spellStart"/>
      <w:r w:rsidRPr="000E13DD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>Assurance</w:t>
      </w:r>
      <w:proofErr w:type="spellEnd"/>
      <w:r w:rsidRPr="000E13DD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 </w:t>
      </w:r>
      <w:r w:rsidRPr="000E13DD">
        <w:rPr>
          <w:rFonts w:ascii="Calibri" w:eastAsia="Calibri" w:hAnsi="Calibri" w:cs="Calibri"/>
          <w:bCs/>
          <w:snapToGrid/>
          <w:sz w:val="22"/>
          <w:szCs w:val="22"/>
          <w:lang w:val="es-UY" w:eastAsia="en-US"/>
        </w:rPr>
        <w:t>no se puede renovar después de que expira</w:t>
      </w:r>
      <w:r w:rsidRPr="000E13DD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, por lo tanto, tienen tiempo para ordenar la renovación hasta el 31-may-2022. </w:t>
      </w:r>
    </w:p>
    <w:p w:rsidR="000E13DD" w:rsidRPr="000E13DD" w:rsidRDefault="000E13DD" w:rsidP="000E13DD">
      <w:pPr>
        <w:widowControl/>
        <w:rPr>
          <w:rFonts w:ascii="Calibri" w:eastAsia="Calibri" w:hAnsi="Calibri" w:cs="Calibri"/>
          <w:snapToGrid/>
          <w:sz w:val="22"/>
          <w:szCs w:val="22"/>
          <w:lang w:val="es-UY" w:eastAsia="en-US"/>
        </w:rPr>
      </w:pPr>
      <w:r w:rsidRPr="000E13DD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>Esto hace que deban modificar también el plazo de Mantenimiento de Oferta indicado en el pliego para que los Oferentes podamos cumplir con este punto. Hoy se pide 90 días, y debería decir hasta la fecha de vencimiento del Seguro de Software que se pretende renovar, o hasta el 31/5/2022.</w:t>
      </w:r>
    </w:p>
    <w:p w:rsidR="000E13DD" w:rsidRDefault="000E13DD" w:rsidP="008F4168">
      <w:pPr>
        <w:widowControl/>
        <w:rPr>
          <w:rFonts w:ascii="Calibri" w:eastAsia="Calibri" w:hAnsi="Calibri" w:cs="Calibri"/>
          <w:snapToGrid/>
          <w:sz w:val="20"/>
          <w:lang w:val="es-UY" w:eastAsia="es-UY"/>
        </w:rPr>
      </w:pPr>
    </w:p>
    <w:p w:rsidR="000E13DD" w:rsidRPr="008F4168" w:rsidRDefault="000E13DD" w:rsidP="008F4168">
      <w:pPr>
        <w:widowControl/>
        <w:rPr>
          <w:rFonts w:ascii="Calibri" w:eastAsia="Calibri" w:hAnsi="Calibri" w:cs="Calibri"/>
          <w:snapToGrid/>
          <w:sz w:val="20"/>
          <w:lang w:val="es-UY" w:eastAsia="es-UY"/>
        </w:rPr>
      </w:pPr>
    </w:p>
    <w:p w:rsidR="008F4168" w:rsidRPr="008F4168" w:rsidRDefault="008F4168" w:rsidP="008F4168">
      <w:pPr>
        <w:rPr>
          <w:rFonts w:ascii="Calibri" w:eastAsia="Calibri" w:hAnsi="Calibri" w:cs="Calibri"/>
          <w:snapToGrid/>
          <w:color w:val="1F497D"/>
          <w:sz w:val="22"/>
          <w:szCs w:val="22"/>
          <w:lang w:val="es-UY" w:eastAsia="en-US"/>
        </w:rPr>
      </w:pPr>
    </w:p>
    <w:p w:rsidR="008F4168" w:rsidRDefault="008F4168" w:rsidP="008F4168">
      <w:pPr>
        <w:jc w:val="both"/>
        <w:rPr>
          <w:rFonts w:ascii="Arial" w:hAnsi="Arial" w:cs="Arial"/>
          <w:spacing w:val="-3"/>
          <w:szCs w:val="24"/>
          <w:lang w:val="es-ES_tradnl"/>
        </w:rPr>
      </w:pPr>
      <w:r>
        <w:rPr>
          <w:rFonts w:ascii="Arial" w:hAnsi="Arial" w:cs="Arial"/>
          <w:spacing w:val="-3"/>
          <w:szCs w:val="24"/>
          <w:lang w:val="es-ES_tradnl"/>
        </w:rPr>
        <w:t xml:space="preserve"> </w:t>
      </w:r>
    </w:p>
    <w:p w:rsidR="008F4168" w:rsidRPr="008F4168" w:rsidRDefault="008F4168" w:rsidP="008F4168">
      <w:pPr>
        <w:rPr>
          <w:rFonts w:ascii="Calibri" w:eastAsia="Calibri" w:hAnsi="Calibri" w:cs="Calibri"/>
          <w:snapToGrid/>
          <w:color w:val="1F497D"/>
          <w:sz w:val="22"/>
          <w:szCs w:val="22"/>
          <w:lang w:val="es-UY" w:eastAsia="en-US"/>
        </w:rPr>
      </w:pPr>
    </w:p>
    <w:p w:rsidR="006E5217" w:rsidRDefault="008F4168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  <w:r>
        <w:rPr>
          <w:rFonts w:ascii="Arial" w:hAnsi="Arial" w:cs="Arial"/>
          <w:spacing w:val="-3"/>
          <w:szCs w:val="24"/>
          <w:lang w:val="es-ES_tradnl"/>
        </w:rPr>
        <w:t xml:space="preserve"> </w:t>
      </w:r>
    </w:p>
    <w:p w:rsidR="00CB378F" w:rsidRDefault="00CB378F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8F4168" w:rsidRPr="008F4168" w:rsidRDefault="008F4168" w:rsidP="008F4168">
      <w:pPr>
        <w:rPr>
          <w:rFonts w:ascii="Calibri" w:eastAsia="Calibri" w:hAnsi="Calibri" w:cs="Calibri"/>
          <w:snapToGrid/>
          <w:color w:val="1F497D"/>
          <w:sz w:val="22"/>
          <w:szCs w:val="22"/>
          <w:lang w:val="es-UY" w:eastAsia="en-US"/>
        </w:rPr>
      </w:pPr>
      <w:r>
        <w:rPr>
          <w:rFonts w:ascii="Arial" w:hAnsi="Arial" w:cs="Arial"/>
          <w:b/>
          <w:spacing w:val="-3"/>
          <w:szCs w:val="24"/>
          <w:lang w:val="es-ES_tradnl"/>
        </w:rPr>
        <w:t>RESPUESTA:</w:t>
      </w:r>
      <w:r w:rsidR="00CB378F">
        <w:rPr>
          <w:rFonts w:ascii="Arial" w:hAnsi="Arial" w:cs="Arial"/>
          <w:b/>
          <w:spacing w:val="-3"/>
          <w:szCs w:val="24"/>
          <w:lang w:val="es-ES_tradnl"/>
        </w:rPr>
        <w:t xml:space="preserve"> </w:t>
      </w:r>
      <w:r w:rsidRPr="008F4168">
        <w:rPr>
          <w:rFonts w:ascii="Calibri" w:eastAsia="Calibri" w:hAnsi="Calibri" w:cs="Calibri"/>
          <w:snapToGrid/>
          <w:sz w:val="22"/>
          <w:szCs w:val="22"/>
          <w:lang w:val="es-UY" w:eastAsia="en-US"/>
        </w:rPr>
        <w:t xml:space="preserve">Respecto al plazo de mantenimiento de oferta, el oferente no se verá afectado por el plazo del mantenimiento de oferta. </w:t>
      </w:r>
    </w:p>
    <w:p w:rsidR="008F4168" w:rsidRDefault="008F4168" w:rsidP="008F4168">
      <w:pPr>
        <w:jc w:val="both"/>
        <w:rPr>
          <w:rFonts w:ascii="Arial" w:hAnsi="Arial" w:cs="Arial"/>
          <w:spacing w:val="-3"/>
          <w:szCs w:val="24"/>
          <w:lang w:val="es-ES_tradnl"/>
        </w:rPr>
      </w:pPr>
      <w:r>
        <w:rPr>
          <w:rFonts w:ascii="Arial" w:hAnsi="Arial" w:cs="Arial"/>
          <w:spacing w:val="-3"/>
          <w:szCs w:val="24"/>
          <w:lang w:val="es-ES_tradnl"/>
        </w:rPr>
        <w:t xml:space="preserve"> </w:t>
      </w:r>
    </w:p>
    <w:p w:rsidR="00CB378F" w:rsidRDefault="00CB378F" w:rsidP="008F4168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A32D88" w:rsidRPr="00CB378F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Pr="00CB378F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Pr="00CB378F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142C6D" w:rsidRPr="00CB378F" w:rsidRDefault="00142C6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>Saludamos a usted atentamente.</w:t>
      </w:r>
    </w:p>
    <w:p w:rsidR="00F3011E" w:rsidRPr="006E5217" w:rsidRDefault="00F3011E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A65B63" w:rsidRPr="006E5217" w:rsidRDefault="00A65B63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6A599F" w:rsidRPr="006E5217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Theme="minorHAnsi" w:hAnsiTheme="minorHAnsi" w:cstheme="minorHAnsi"/>
          <w:spacing w:val="-3"/>
          <w:szCs w:val="24"/>
          <w:lang w:val="es-ES_tradnl"/>
        </w:rPr>
      </w:pPr>
      <w:r w:rsidRPr="006E5217">
        <w:rPr>
          <w:rFonts w:asciiTheme="minorHAnsi" w:hAnsiTheme="minorHAnsi" w:cstheme="minorHAnsi"/>
          <w:spacing w:val="-3"/>
          <w:szCs w:val="24"/>
          <w:lang w:val="es-ES_tradnl"/>
        </w:rPr>
        <w:t xml:space="preserve">Por el </w:t>
      </w:r>
      <w:r w:rsidRPr="006E5217">
        <w:rPr>
          <w:rFonts w:asciiTheme="minorHAnsi" w:hAnsiTheme="minorHAnsi" w:cstheme="minorHAnsi"/>
          <w:b/>
          <w:bCs/>
          <w:spacing w:val="-3"/>
          <w:szCs w:val="24"/>
          <w:lang w:val="es-ES_tradnl"/>
        </w:rPr>
        <w:t>BANCO DE SEGUROS DEL ESTADO.</w:t>
      </w:r>
    </w:p>
    <w:sectPr w:rsidR="006A599F" w:rsidRPr="006E5217" w:rsidSect="005F49ED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A344C"/>
    <w:rsid w:val="000A3D58"/>
    <w:rsid w:val="000B547B"/>
    <w:rsid w:val="000C4B70"/>
    <w:rsid w:val="000E13DD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759A1"/>
    <w:rsid w:val="00781140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0CA7"/>
    <w:rsid w:val="008E2B0C"/>
    <w:rsid w:val="008E2BAF"/>
    <w:rsid w:val="008F0E1C"/>
    <w:rsid w:val="008F4168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98EB9D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E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1</Pages>
  <Words>241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1504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Farias, Fernando</cp:lastModifiedBy>
  <cp:revision>4</cp:revision>
  <cp:lastPrinted>2019-08-13T19:44:00Z</cp:lastPrinted>
  <dcterms:created xsi:type="dcterms:W3CDTF">2022-04-04T20:50:00Z</dcterms:created>
  <dcterms:modified xsi:type="dcterms:W3CDTF">2022-04-04T20:53:00Z</dcterms:modified>
</cp:coreProperties>
</file>