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502521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  <w:r w:rsidR="00462A6D">
        <w:rPr>
          <w:b/>
          <w:sz w:val="24"/>
          <w:szCs w:val="24"/>
          <w:u w:val="single"/>
        </w:rPr>
        <w:t>11</w:t>
      </w:r>
      <w:r w:rsidR="00502521">
        <w:rPr>
          <w:b/>
          <w:sz w:val="24"/>
          <w:szCs w:val="24"/>
          <w:u w:val="single"/>
        </w:rPr>
        <w:t>1</w:t>
      </w:r>
      <w:r w:rsidR="00462A6D">
        <w:rPr>
          <w:b/>
          <w:sz w:val="24"/>
          <w:szCs w:val="24"/>
          <w:u w:val="single"/>
        </w:rPr>
        <w:t>1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</w:t>
      </w:r>
      <w:r w:rsidR="008A0D09">
        <w:rPr>
          <w:b/>
          <w:sz w:val="24"/>
          <w:szCs w:val="24"/>
          <w:u w:val="single"/>
        </w:rPr>
        <w:t>20</w:t>
      </w:r>
    </w:p>
    <w:p w:rsidR="00DF5A84" w:rsidRDefault="00A42EA0" w:rsidP="00462A6D">
      <w:pPr>
        <w:spacing w:after="0"/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DD6EA3" w:rsidRDefault="00BF7BE1" w:rsidP="00BF7B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1) </w:t>
      </w:r>
      <w:r w:rsidR="00462A6D" w:rsidRPr="00462A6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Lenguajes/tecnologías: se hace mención a JavaScript y </w:t>
      </w:r>
      <w:proofErr w:type="spellStart"/>
      <w:r w:rsidR="00462A6D" w:rsidRPr="00462A6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NodeJS</w:t>
      </w:r>
      <w:proofErr w:type="spellEnd"/>
      <w:r w:rsidR="00462A6D" w:rsidRPr="00462A6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como tecnologías requeridas. ¿Puede ser sugerida otra malla académica? Por ejemplo, se puede recomendar un programa académico con JavaScript y </w:t>
      </w:r>
      <w:proofErr w:type="spellStart"/>
      <w:r w:rsidR="00462A6D" w:rsidRPr="00462A6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Python</w:t>
      </w:r>
      <w:proofErr w:type="spellEnd"/>
      <w:r w:rsidR="00462A6D" w:rsidRPr="00462A6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? </w:t>
      </w:r>
    </w:p>
    <w:p w:rsidR="00DD6EA3" w:rsidRDefault="00DD6EA3" w:rsidP="00462A6D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8F17F0" w:rsidRPr="008F17F0" w:rsidRDefault="00CC7974" w:rsidP="00462A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1</w:t>
      </w:r>
      <w:r w:rsidR="00462A6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) </w:t>
      </w:r>
      <w:r w:rsidR="00462A6D" w:rsidRPr="00462A6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Las tecnologías requeridas son JS, y </w:t>
      </w:r>
      <w:proofErr w:type="spellStart"/>
      <w:r w:rsidR="00462A6D" w:rsidRPr="00462A6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NodeJS</w:t>
      </w:r>
      <w:proofErr w:type="spellEnd"/>
      <w:r w:rsidR="00462A6D" w:rsidRPr="00462A6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para desarrollo de servidores</w:t>
      </w:r>
      <w:r w:rsidR="00462A6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y servicios con JavaScript.</w:t>
      </w:r>
    </w:p>
    <w:p w:rsidR="00DD6EA3" w:rsidRDefault="00DD6EA3" w:rsidP="00BF7B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DD6EA3" w:rsidRPr="00BF7BE1" w:rsidRDefault="00DD6EA3" w:rsidP="00F9755B">
      <w:pPr>
        <w:spacing w:after="0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BF7BE1" w:rsidRDefault="00DD6EA3" w:rsidP="00F9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2)</w:t>
      </w:r>
      <w:r w:rsidRPr="00BF7BE1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</w:t>
      </w:r>
      <w:r w:rsidR="00F9755B" w:rsidRPr="00F9755B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¿Para el front, se puede recomendar </w:t>
      </w:r>
      <w:proofErr w:type="spellStart"/>
      <w:r w:rsidR="00F9755B" w:rsidRPr="00F9755B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ReactJS</w:t>
      </w:r>
      <w:proofErr w:type="spellEnd"/>
      <w:r w:rsidR="00F9755B" w:rsidRPr="00F9755B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como </w:t>
      </w:r>
      <w:proofErr w:type="spellStart"/>
      <w:r w:rsidR="00F9755B" w:rsidRPr="00F9755B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framework</w:t>
      </w:r>
      <w:proofErr w:type="spellEnd"/>
      <w:r w:rsidR="00F9755B" w:rsidRPr="00F9755B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de JavaScript?</w:t>
      </w:r>
      <w:r w:rsidR="00BF7BE1" w:rsidRPr="00BF7BE1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 </w:t>
      </w:r>
    </w:p>
    <w:p w:rsidR="00F9755B" w:rsidRPr="00F9755B" w:rsidRDefault="00F9755B" w:rsidP="00F9755B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F9755B">
        <w:rPr>
          <w:b/>
          <w:sz w:val="24"/>
          <w:szCs w:val="24"/>
          <w:u w:val="single"/>
        </w:rPr>
        <w:t xml:space="preserve">Respuesta: </w:t>
      </w:r>
    </w:p>
    <w:p w:rsidR="00F9755B" w:rsidRDefault="00F9755B" w:rsidP="00F9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2</w:t>
      </w:r>
      <w:r w:rsidRPr="00F9755B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)  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Sí.</w:t>
      </w:r>
    </w:p>
    <w:p w:rsidR="00F9755B" w:rsidRPr="00BF7BE1" w:rsidRDefault="00F9755B" w:rsidP="00F9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5A658A" w:rsidRPr="00BF7BE1" w:rsidRDefault="005A658A" w:rsidP="005A658A">
      <w:pPr>
        <w:spacing w:after="0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BF7BE1" w:rsidRPr="00BF7BE1" w:rsidRDefault="005A658A" w:rsidP="005A6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3)</w:t>
      </w:r>
      <w:r w:rsidRPr="005A658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Cuando se hace mención a 30 personas o estudiantes a capacitar, ¿es posible tener dos salones de 15 estudiantes? ¿Tienen que estar las 30 personas siendo parte de la misma clase? Por ejemplo, podríamos presentar dos programas de 15 personas que comiencen y concluyan al mismo tiempo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.</w:t>
      </w:r>
    </w:p>
    <w:p w:rsidR="00EB6054" w:rsidRDefault="00564B77" w:rsidP="005A658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E11C99" w:rsidRPr="00E11C99" w:rsidRDefault="003E0D5B" w:rsidP="003E0D5B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1F4E79" w:themeColor="accent1" w:themeShade="80"/>
          <w:sz w:val="19"/>
          <w:szCs w:val="19"/>
          <w:lang w:val="es-UY"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3</w:t>
      </w:r>
      <w:r w:rsidR="0038264B" w:rsidRPr="00502521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)</w:t>
      </w:r>
      <w:r w:rsidR="000A7806" w:rsidRPr="00502521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 xml:space="preserve"> </w:t>
      </w:r>
      <w:r w:rsidRPr="003E0D5B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 xml:space="preserve">Es posible tener dos salones, se coordinará en el momento que se inicie el programa con otras carreras que estén en curso, hay lugar suficiente, cabe aclarar que el </w:t>
      </w:r>
      <w:proofErr w:type="spellStart"/>
      <w:r w:rsidRPr="003E0D5B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bootcamps</w:t>
      </w:r>
      <w:proofErr w:type="spellEnd"/>
      <w:r w:rsidRPr="003E0D5B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 xml:space="preserve"> dado será idéntico en los dos salones.</w:t>
      </w:r>
    </w:p>
    <w:p w:rsidR="004050D9" w:rsidRDefault="004050D9" w:rsidP="004050D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3E0D5B" w:rsidRPr="00BF7BE1" w:rsidRDefault="003E0D5B" w:rsidP="003E0D5B">
      <w:pPr>
        <w:spacing w:after="0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3E0D5B" w:rsidRPr="000160DC" w:rsidRDefault="000160DC" w:rsidP="003E0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4</w:t>
      </w:r>
      <w:r w:rsidR="003E0D5B" w:rsidRPr="000160DC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)</w:t>
      </w:r>
      <w:r w:rsidRPr="000160DC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 xml:space="preserve"> ¿Podríamos obtener los editables de los anexos? en Word, Google </w:t>
      </w:r>
      <w:proofErr w:type="spellStart"/>
      <w:r w:rsidRPr="000160DC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Doc</w:t>
      </w:r>
      <w:proofErr w:type="spellEnd"/>
      <w:r w:rsidRPr="000160DC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 xml:space="preserve"> o cualquier otro formato editable</w:t>
      </w:r>
      <w:r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.</w:t>
      </w:r>
    </w:p>
    <w:p w:rsidR="003E0D5B" w:rsidRPr="00F9755B" w:rsidRDefault="003E0D5B" w:rsidP="003E0D5B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F9755B">
        <w:rPr>
          <w:b/>
          <w:sz w:val="24"/>
          <w:szCs w:val="24"/>
          <w:u w:val="single"/>
        </w:rPr>
        <w:t xml:space="preserve">Respuesta: </w:t>
      </w:r>
    </w:p>
    <w:p w:rsidR="003E0D5B" w:rsidRDefault="000160DC" w:rsidP="003E0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4</w:t>
      </w:r>
      <w:r w:rsidR="003E0D5B" w:rsidRPr="00F9755B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)  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Sí, se subirán archivo con los mismos, llamado Anexos Editables.</w:t>
      </w:r>
    </w:p>
    <w:p w:rsidR="006C161F" w:rsidRPr="00D11CCE" w:rsidRDefault="006C161F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73187" w:rsidRPr="00BF7BE1" w:rsidRDefault="00173187" w:rsidP="00173187">
      <w:pPr>
        <w:spacing w:after="0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173187" w:rsidRPr="000160DC" w:rsidRDefault="00173187" w:rsidP="00173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5</w:t>
      </w:r>
      <w:r w:rsidRPr="000160DC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 xml:space="preserve">) </w:t>
      </w:r>
      <w:r w:rsidRPr="00173187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Precio por estudiante. ¿Es necesario comparar con los programas ofrecidos en USA? ¿Podría ser más bajo?</w:t>
      </w:r>
    </w:p>
    <w:p w:rsidR="00173187" w:rsidRPr="00F9755B" w:rsidRDefault="00173187" w:rsidP="00173187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F9755B">
        <w:rPr>
          <w:b/>
          <w:sz w:val="24"/>
          <w:szCs w:val="24"/>
          <w:u w:val="single"/>
        </w:rPr>
        <w:t xml:space="preserve">Respuesta: </w:t>
      </w:r>
    </w:p>
    <w:p w:rsidR="00173187" w:rsidRDefault="00173187" w:rsidP="00173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5</w:t>
      </w:r>
      <w:r w:rsidRPr="00F9755B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) </w:t>
      </w:r>
      <w:r w:rsidRPr="00173187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Sí, podría ser más bajo a precios de mercado LATAM por ejemplo.</w:t>
      </w:r>
    </w:p>
    <w:p w:rsidR="00AC666B" w:rsidRDefault="00AC666B" w:rsidP="00E766FD">
      <w:pPr>
        <w:jc w:val="both"/>
        <w:rPr>
          <w:b/>
          <w:sz w:val="24"/>
          <w:szCs w:val="24"/>
          <w:u w:val="single"/>
        </w:rPr>
      </w:pPr>
    </w:p>
    <w:p w:rsidR="00173187" w:rsidRPr="00BF7BE1" w:rsidRDefault="00173187" w:rsidP="00173187">
      <w:pPr>
        <w:spacing w:after="0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173187" w:rsidRPr="000160DC" w:rsidRDefault="00152564" w:rsidP="00173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6</w:t>
      </w:r>
      <w:r w:rsidR="00173187" w:rsidRPr="000160DC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 xml:space="preserve">) </w:t>
      </w:r>
      <w:r w:rsidR="00173187" w:rsidRPr="00173187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De cara a este proceso de aplicación, en 4Geeks nos hemos registrado en RUPE pero aún estamos en estados de Revisión Pendiente. ¿Es posible y aceptado postular con ese estatus?</w:t>
      </w:r>
    </w:p>
    <w:p w:rsidR="00173187" w:rsidRPr="00F9755B" w:rsidRDefault="00173187" w:rsidP="00173187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F9755B">
        <w:rPr>
          <w:b/>
          <w:sz w:val="24"/>
          <w:szCs w:val="24"/>
          <w:u w:val="single"/>
        </w:rPr>
        <w:t xml:space="preserve">Respuesta: </w:t>
      </w:r>
    </w:p>
    <w:p w:rsidR="00173187" w:rsidRDefault="00173187" w:rsidP="00173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6</w:t>
      </w:r>
      <w:r w:rsidRPr="00F9755B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)</w:t>
      </w:r>
      <w:r w:rsidRPr="00173187">
        <w:t xml:space="preserve"> </w:t>
      </w:r>
      <w:r w:rsidRPr="00173187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Se puede postular solo con el registro, una vez que se defina el proveedor se termina el proceso.</w:t>
      </w:r>
    </w:p>
    <w:p w:rsidR="00B51E31" w:rsidRDefault="00B51E31" w:rsidP="00B51E31">
      <w:pPr>
        <w:jc w:val="both"/>
        <w:rPr>
          <w:b/>
          <w:sz w:val="24"/>
          <w:szCs w:val="24"/>
          <w:u w:val="single"/>
        </w:rPr>
      </w:pPr>
    </w:p>
    <w:p w:rsidR="00152564" w:rsidRPr="00BF7BE1" w:rsidRDefault="00152564" w:rsidP="00152564">
      <w:pPr>
        <w:spacing w:after="0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152564" w:rsidRPr="000160DC" w:rsidRDefault="00152564" w:rsidP="001525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7</w:t>
      </w:r>
      <w:r w:rsidRPr="000160DC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 xml:space="preserve">) </w:t>
      </w:r>
      <w:r w:rsidRPr="00152564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¿Que documentación debemos de presentar al ser una organización extranjera?</w:t>
      </w:r>
    </w:p>
    <w:p w:rsidR="00152564" w:rsidRPr="00F9755B" w:rsidRDefault="00152564" w:rsidP="00152564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F9755B">
        <w:rPr>
          <w:b/>
          <w:sz w:val="24"/>
          <w:szCs w:val="24"/>
          <w:u w:val="single"/>
        </w:rPr>
        <w:t xml:space="preserve">Respuesta: </w:t>
      </w:r>
    </w:p>
    <w:p w:rsidR="00152564" w:rsidRDefault="00152564" w:rsidP="001525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7</w:t>
      </w:r>
      <w:r w:rsidRPr="00F9755B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)</w:t>
      </w:r>
      <w:r w:rsidRPr="00173187">
        <w:t xml:space="preserve"> </w:t>
      </w:r>
      <w:r w:rsidRPr="00152564">
        <w:t>Para postularse deberían </w:t>
      </w:r>
      <w:r w:rsidRPr="00152564">
        <w:rPr>
          <w:b/>
          <w:bCs/>
        </w:rPr>
        <w:t>inscribirse</w:t>
      </w:r>
      <w:r w:rsidRPr="00152564">
        <w:t> en el siguiente link. </w:t>
      </w:r>
      <w:hyperlink r:id="rId5" w:tgtFrame="_blank" w:history="1">
        <w:r w:rsidRPr="00152564">
          <w:rPr>
            <w:rStyle w:val="Hipervnculo"/>
          </w:rPr>
          <w:t>https://www.gub.uy/agencia-reguladora-compras-estatales/politicas-y-gestion/proveedor-extranjero</w:t>
        </w:r>
      </w:hyperlink>
      <w:r w:rsidRPr="00173187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.</w:t>
      </w:r>
    </w:p>
    <w:p w:rsidR="00152564" w:rsidRDefault="00152564" w:rsidP="00B51E31">
      <w:pPr>
        <w:jc w:val="both"/>
        <w:rPr>
          <w:b/>
          <w:sz w:val="24"/>
          <w:szCs w:val="24"/>
          <w:u w:val="single"/>
        </w:rPr>
      </w:pPr>
    </w:p>
    <w:p w:rsidR="00152564" w:rsidRDefault="00152564" w:rsidP="00B51E31">
      <w:pPr>
        <w:jc w:val="both"/>
        <w:rPr>
          <w:b/>
          <w:sz w:val="24"/>
          <w:szCs w:val="24"/>
          <w:u w:val="single"/>
        </w:rPr>
      </w:pPr>
    </w:p>
    <w:p w:rsidR="00152564" w:rsidRDefault="00152564" w:rsidP="00B51E31">
      <w:pPr>
        <w:jc w:val="both"/>
        <w:rPr>
          <w:b/>
          <w:sz w:val="24"/>
          <w:szCs w:val="24"/>
          <w:u w:val="single"/>
        </w:rPr>
      </w:pPr>
    </w:p>
    <w:p w:rsidR="00152564" w:rsidRPr="00BF7BE1" w:rsidRDefault="00152564" w:rsidP="00152564">
      <w:pPr>
        <w:spacing w:after="0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lastRenderedPageBreak/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152564" w:rsidRPr="000160DC" w:rsidRDefault="00152564" w:rsidP="001525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8</w:t>
      </w:r>
      <w:r w:rsidRPr="000160DC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 xml:space="preserve">) </w:t>
      </w:r>
      <w:r w:rsidRPr="00152564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¿Dónde podemos visualizar la cuantía de esta licitación?</w:t>
      </w:r>
    </w:p>
    <w:p w:rsidR="00152564" w:rsidRPr="00F9755B" w:rsidRDefault="00152564" w:rsidP="00152564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F9755B">
        <w:rPr>
          <w:b/>
          <w:sz w:val="24"/>
          <w:szCs w:val="24"/>
          <w:u w:val="single"/>
        </w:rPr>
        <w:t xml:space="preserve">Respuesta: </w:t>
      </w:r>
    </w:p>
    <w:p w:rsidR="00152564" w:rsidRDefault="00152564" w:rsidP="001525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8</w:t>
      </w:r>
      <w:r w:rsidRPr="00F9755B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)</w:t>
      </w:r>
      <w:r w:rsidRPr="00173187">
        <w:t xml:space="preserve"> </w:t>
      </w:r>
      <w:r w:rsidRPr="00152564">
        <w:t>Son un máximo de 30 cupos, ofertan el valor del cupo</w:t>
      </w:r>
      <w:r w:rsidRPr="00173187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.</w:t>
      </w:r>
    </w:p>
    <w:p w:rsidR="00152564" w:rsidRDefault="00152564" w:rsidP="00B51E31">
      <w:pPr>
        <w:jc w:val="both"/>
        <w:rPr>
          <w:b/>
          <w:sz w:val="24"/>
          <w:szCs w:val="24"/>
          <w:u w:val="single"/>
        </w:rPr>
      </w:pPr>
    </w:p>
    <w:p w:rsidR="00152564" w:rsidRPr="00BF7BE1" w:rsidRDefault="00152564" w:rsidP="00152564">
      <w:pPr>
        <w:spacing w:after="0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152564" w:rsidRPr="000160DC" w:rsidRDefault="00152564" w:rsidP="001525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9</w:t>
      </w:r>
      <w:r w:rsidRPr="000160DC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 xml:space="preserve">) </w:t>
      </w:r>
      <w:r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N</w:t>
      </w:r>
      <w:r w:rsidRPr="00152564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o estamos registrados en Uruguay -- ¿podemos participar?</w:t>
      </w:r>
    </w:p>
    <w:p w:rsidR="00152564" w:rsidRPr="00F9755B" w:rsidRDefault="00152564" w:rsidP="00152564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F9755B">
        <w:rPr>
          <w:b/>
          <w:sz w:val="24"/>
          <w:szCs w:val="24"/>
          <w:u w:val="single"/>
        </w:rPr>
        <w:t xml:space="preserve">Respuesta: </w:t>
      </w:r>
    </w:p>
    <w:p w:rsidR="00152564" w:rsidRDefault="00152564" w:rsidP="001525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9</w:t>
      </w:r>
      <w:r w:rsidRPr="00F9755B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)</w:t>
      </w:r>
      <w:r w:rsidRPr="00173187">
        <w:t xml:space="preserve"> </w:t>
      </w:r>
      <w:r w:rsidRPr="00152564">
        <w:t>S</w:t>
      </w:r>
      <w:r>
        <w:t>i.</w:t>
      </w:r>
    </w:p>
    <w:p w:rsidR="00152564" w:rsidRDefault="00152564" w:rsidP="00B51E31">
      <w:pPr>
        <w:jc w:val="both"/>
        <w:rPr>
          <w:b/>
          <w:sz w:val="24"/>
          <w:szCs w:val="24"/>
          <w:u w:val="single"/>
        </w:rPr>
      </w:pPr>
    </w:p>
    <w:p w:rsidR="00152564" w:rsidRPr="00BF7BE1" w:rsidRDefault="00152564" w:rsidP="00152564">
      <w:pPr>
        <w:spacing w:after="0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152564" w:rsidRPr="000160DC" w:rsidRDefault="00152564" w:rsidP="001525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10</w:t>
      </w:r>
      <w:r w:rsidRPr="000160DC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 xml:space="preserve">) </w:t>
      </w:r>
      <w:r w:rsidRPr="00152564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no tenemos un RUPE registrado -- ¿sí alcanzamos a registrarlo antes del cierre de la convocatoria?</w:t>
      </w:r>
    </w:p>
    <w:p w:rsidR="00152564" w:rsidRPr="00F9755B" w:rsidRDefault="00152564" w:rsidP="00152564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F9755B">
        <w:rPr>
          <w:b/>
          <w:sz w:val="24"/>
          <w:szCs w:val="24"/>
          <w:u w:val="single"/>
        </w:rPr>
        <w:t xml:space="preserve">Respuesta: </w:t>
      </w:r>
    </w:p>
    <w:p w:rsidR="00152564" w:rsidRDefault="00152564" w:rsidP="001525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10</w:t>
      </w:r>
      <w:r w:rsidRPr="00F9755B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)</w:t>
      </w:r>
      <w:r w:rsidRPr="00173187">
        <w:t xml:space="preserve"> </w:t>
      </w:r>
      <w:r w:rsidRPr="00152564">
        <w:t>Para postularse deberían in</w:t>
      </w:r>
      <w:r>
        <w:t>scribirse en el siguiente link.</w:t>
      </w:r>
      <w:r w:rsidRPr="00152564">
        <w:t> </w:t>
      </w:r>
      <w:hyperlink r:id="rId6" w:tgtFrame="_blank" w:history="1">
        <w:r w:rsidRPr="00152564">
          <w:rPr>
            <w:rStyle w:val="Hipervnculo"/>
          </w:rPr>
          <w:t>https://www.gub.uy/agencia-reguladora-compras-estatales/politicas-y-gestion/proveedor-e</w:t>
        </w:r>
        <w:r w:rsidRPr="00152564">
          <w:rPr>
            <w:rStyle w:val="Hipervnculo"/>
          </w:rPr>
          <w:t>x</w:t>
        </w:r>
        <w:r w:rsidRPr="00152564">
          <w:rPr>
            <w:rStyle w:val="Hipervnculo"/>
          </w:rPr>
          <w:t>tranjero</w:t>
        </w:r>
      </w:hyperlink>
      <w:r w:rsidRPr="00173187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.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Es solo inscribirse.</w:t>
      </w:r>
    </w:p>
    <w:p w:rsidR="00152564" w:rsidRDefault="00152564" w:rsidP="001525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152564" w:rsidRDefault="00152564" w:rsidP="001525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626DA5" w:rsidRPr="00BF7BE1" w:rsidRDefault="00626DA5" w:rsidP="00626DA5">
      <w:pPr>
        <w:spacing w:after="0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626DA5" w:rsidRPr="000160DC" w:rsidRDefault="00626DA5" w:rsidP="00626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11</w:t>
      </w:r>
      <w:r w:rsidRPr="000160DC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 xml:space="preserve">) </w:t>
      </w:r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¿La modalidad de aprendizaje tiene que ser </w:t>
      </w:r>
      <w:proofErr w:type="spellStart"/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semi</w:t>
      </w:r>
      <w:proofErr w:type="spellEnd"/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-presencial si o </w:t>
      </w:r>
      <w:proofErr w:type="spellStart"/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s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i</w:t>
      </w:r>
      <w:proofErr w:type="spellEnd"/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? o ¿puede ser remota?</w:t>
      </w:r>
    </w:p>
    <w:p w:rsidR="00626DA5" w:rsidRPr="00F9755B" w:rsidRDefault="00626DA5" w:rsidP="00626DA5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F9755B">
        <w:rPr>
          <w:b/>
          <w:sz w:val="24"/>
          <w:szCs w:val="24"/>
          <w:u w:val="single"/>
        </w:rPr>
        <w:t xml:space="preserve">Respuesta: </w:t>
      </w:r>
    </w:p>
    <w:p w:rsidR="00626DA5" w:rsidRDefault="00626DA5" w:rsidP="00626DA5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11</w:t>
      </w:r>
      <w:r w:rsidRPr="00F9755B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)</w:t>
      </w:r>
      <w:r w:rsidRPr="00626DA5">
        <w:t xml:space="preserve">  La modalidad tiene que ser </w:t>
      </w:r>
      <w:proofErr w:type="spellStart"/>
      <w:r w:rsidRPr="00626DA5">
        <w:t>semi</w:t>
      </w:r>
      <w:proofErr w:type="spellEnd"/>
      <w:r w:rsidRPr="00626DA5">
        <w:t xml:space="preserve">-presencial </w:t>
      </w:r>
      <w:r>
        <w:t xml:space="preserve">si </w:t>
      </w:r>
      <w:r w:rsidRPr="00626DA5">
        <w:t xml:space="preserve">o </w:t>
      </w:r>
      <w:proofErr w:type="spellStart"/>
      <w:r w:rsidRPr="00626DA5">
        <w:t>s</w:t>
      </w:r>
      <w:r>
        <w:t>i</w:t>
      </w:r>
      <w:proofErr w:type="spellEnd"/>
      <w:r>
        <w:t>.</w:t>
      </w:r>
    </w:p>
    <w:p w:rsidR="00626DA5" w:rsidRDefault="00626DA5" w:rsidP="00626DA5">
      <w:pPr>
        <w:shd w:val="clear" w:color="auto" w:fill="FFFFFF"/>
        <w:spacing w:after="0" w:line="240" w:lineRule="auto"/>
        <w:jc w:val="both"/>
      </w:pPr>
    </w:p>
    <w:p w:rsidR="00626DA5" w:rsidRDefault="00626DA5" w:rsidP="00626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626DA5" w:rsidRPr="00BF7BE1" w:rsidRDefault="00626DA5" w:rsidP="00626DA5">
      <w:pPr>
        <w:spacing w:after="0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626DA5" w:rsidRPr="000160DC" w:rsidRDefault="00626DA5" w:rsidP="00626D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1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2</w:t>
      </w:r>
      <w:r w:rsidRPr="000160DC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 xml:space="preserve">) </w:t>
      </w:r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¿El tiempo de capacitación tiene que ser de 4 meses? Nuestra capacitación de Full </w:t>
      </w:r>
      <w:proofErr w:type="spellStart"/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Stack</w:t>
      </w:r>
      <w:proofErr w:type="spellEnd"/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con </w:t>
      </w:r>
      <w:proofErr w:type="spellStart"/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Javascript</w:t>
      </w:r>
      <w:proofErr w:type="spellEnd"/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y </w:t>
      </w:r>
      <w:proofErr w:type="spellStart"/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NodeJS</w:t>
      </w:r>
      <w:proofErr w:type="spellEnd"/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, avalada por </w:t>
      </w:r>
      <w:proofErr w:type="spellStart"/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Globant</w:t>
      </w:r>
      <w:proofErr w:type="spellEnd"/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y </w:t>
      </w:r>
      <w:proofErr w:type="spellStart"/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MercadoLibre</w:t>
      </w:r>
      <w:proofErr w:type="spellEnd"/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dura 7 meses porque es en horario </w:t>
      </w:r>
      <w:proofErr w:type="spellStart"/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extralaboral</w:t>
      </w:r>
      <w:proofErr w:type="spellEnd"/>
      <w:r w:rsidRPr="00626DA5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lo que permite que las personas tengan un trabajo y al mismo tiempo luego puedan cursar.</w:t>
      </w:r>
    </w:p>
    <w:p w:rsidR="00626DA5" w:rsidRPr="00F9755B" w:rsidRDefault="00626DA5" w:rsidP="00626DA5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F9755B">
        <w:rPr>
          <w:b/>
          <w:sz w:val="24"/>
          <w:szCs w:val="24"/>
          <w:u w:val="single"/>
        </w:rPr>
        <w:t xml:space="preserve">Respuesta: </w:t>
      </w:r>
    </w:p>
    <w:p w:rsidR="00626DA5" w:rsidRDefault="00626DA5" w:rsidP="00626DA5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1</w:t>
      </w:r>
      <w:r w:rsidR="00D548A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2</w:t>
      </w:r>
      <w:r w:rsidRPr="00F9755B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)</w:t>
      </w:r>
      <w:r w:rsidRPr="00626DA5">
        <w:t xml:space="preserve"> </w:t>
      </w:r>
      <w:r w:rsidRPr="00626DA5">
        <w:t>En este caso es una modalidad full - time por eso el máximo es de 4 meses.</w:t>
      </w:r>
    </w:p>
    <w:p w:rsidR="00152564" w:rsidRDefault="00152564" w:rsidP="001525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152564" w:rsidRDefault="00152564" w:rsidP="001525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D548AD" w:rsidRPr="00BF7BE1" w:rsidRDefault="00D548AD" w:rsidP="00D548AD">
      <w:pPr>
        <w:spacing w:after="0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D548AD" w:rsidRPr="000160DC" w:rsidRDefault="00D548AD" w:rsidP="00D548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1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3</w:t>
      </w:r>
      <w:r w:rsidRPr="000160DC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 xml:space="preserve">) </w:t>
      </w:r>
      <w:r w:rsidRPr="00D548AD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¿Podemos aplicar con una empresa constituida en extranjero (Estados Unidos)? o ¿tiene que ser una empresa constituida en Uruguay? </w:t>
      </w:r>
    </w:p>
    <w:p w:rsidR="00D548AD" w:rsidRPr="00F9755B" w:rsidRDefault="00D548AD" w:rsidP="00D548AD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F9755B">
        <w:rPr>
          <w:b/>
          <w:sz w:val="24"/>
          <w:szCs w:val="24"/>
          <w:u w:val="single"/>
        </w:rPr>
        <w:t xml:space="preserve">Respuesta: </w:t>
      </w:r>
    </w:p>
    <w:p w:rsidR="00D548AD" w:rsidRDefault="00D548AD" w:rsidP="00D548AD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1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3</w:t>
      </w:r>
      <w:r w:rsidRPr="00F9755B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)</w:t>
      </w:r>
      <w:r w:rsidRPr="00626DA5">
        <w:t xml:space="preserve"> </w:t>
      </w:r>
      <w:r w:rsidRPr="00D548AD">
        <w:t>Sí, para aplicar con una empresa constituida en el extranjero deben inscribirse en el siguiente link:</w:t>
      </w:r>
      <w:hyperlink r:id="rId7" w:tgtFrame="_blank" w:history="1">
        <w:r w:rsidRPr="00D548AD">
          <w:rPr>
            <w:rStyle w:val="Hipervnculo"/>
            <w:b/>
            <w:bCs/>
          </w:rPr>
          <w:t>https://www.gub.uy/agencia-reguladora-compras-estatales/politicas-y-gestion/proveedor-extranjero</w:t>
        </w:r>
      </w:hyperlink>
    </w:p>
    <w:p w:rsidR="00152564" w:rsidRDefault="00152564" w:rsidP="00152564">
      <w:pPr>
        <w:jc w:val="both"/>
        <w:rPr>
          <w:b/>
          <w:sz w:val="24"/>
          <w:szCs w:val="24"/>
          <w:u w:val="single"/>
        </w:rPr>
      </w:pPr>
    </w:p>
    <w:p w:rsidR="00152564" w:rsidRDefault="00152564" w:rsidP="001525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152564" w:rsidRDefault="00152564" w:rsidP="00B51E31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152564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983EAF"/>
    <w:multiLevelType w:val="multilevel"/>
    <w:tmpl w:val="115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160DC"/>
    <w:rsid w:val="0002686E"/>
    <w:rsid w:val="0005381A"/>
    <w:rsid w:val="000A63BE"/>
    <w:rsid w:val="000A7806"/>
    <w:rsid w:val="000E6D73"/>
    <w:rsid w:val="001208BA"/>
    <w:rsid w:val="001227C3"/>
    <w:rsid w:val="00152564"/>
    <w:rsid w:val="00173187"/>
    <w:rsid w:val="001763D1"/>
    <w:rsid w:val="001B4CB8"/>
    <w:rsid w:val="001B5FBF"/>
    <w:rsid w:val="00252DF0"/>
    <w:rsid w:val="00264789"/>
    <w:rsid w:val="00274395"/>
    <w:rsid w:val="0028389C"/>
    <w:rsid w:val="002A0D9F"/>
    <w:rsid w:val="002B2BAB"/>
    <w:rsid w:val="002C0952"/>
    <w:rsid w:val="002C6CAE"/>
    <w:rsid w:val="002D77F2"/>
    <w:rsid w:val="002E6981"/>
    <w:rsid w:val="003308CB"/>
    <w:rsid w:val="0037152E"/>
    <w:rsid w:val="0038264B"/>
    <w:rsid w:val="003A416A"/>
    <w:rsid w:val="003D1D1C"/>
    <w:rsid w:val="003E0D5B"/>
    <w:rsid w:val="003F1163"/>
    <w:rsid w:val="003F1B91"/>
    <w:rsid w:val="004050D9"/>
    <w:rsid w:val="00412229"/>
    <w:rsid w:val="0041312E"/>
    <w:rsid w:val="00427A42"/>
    <w:rsid w:val="0045000F"/>
    <w:rsid w:val="00454616"/>
    <w:rsid w:val="00462A6D"/>
    <w:rsid w:val="004638C8"/>
    <w:rsid w:val="00474DBA"/>
    <w:rsid w:val="004759CA"/>
    <w:rsid w:val="00494D4D"/>
    <w:rsid w:val="004B07DA"/>
    <w:rsid w:val="004D3630"/>
    <w:rsid w:val="004D3CD3"/>
    <w:rsid w:val="00502521"/>
    <w:rsid w:val="00522870"/>
    <w:rsid w:val="00564B77"/>
    <w:rsid w:val="005821AB"/>
    <w:rsid w:val="005A658A"/>
    <w:rsid w:val="005B7DAC"/>
    <w:rsid w:val="005D3A89"/>
    <w:rsid w:val="00626DA5"/>
    <w:rsid w:val="00630408"/>
    <w:rsid w:val="00644BA0"/>
    <w:rsid w:val="006549CA"/>
    <w:rsid w:val="006616AE"/>
    <w:rsid w:val="0067243B"/>
    <w:rsid w:val="00684F5A"/>
    <w:rsid w:val="006C161F"/>
    <w:rsid w:val="006D0C19"/>
    <w:rsid w:val="006D1E80"/>
    <w:rsid w:val="0070290F"/>
    <w:rsid w:val="0072688D"/>
    <w:rsid w:val="00727B9B"/>
    <w:rsid w:val="00767E75"/>
    <w:rsid w:val="007707AD"/>
    <w:rsid w:val="007770AA"/>
    <w:rsid w:val="007800D0"/>
    <w:rsid w:val="007829EC"/>
    <w:rsid w:val="007858B1"/>
    <w:rsid w:val="007B3595"/>
    <w:rsid w:val="007D0E13"/>
    <w:rsid w:val="007D334F"/>
    <w:rsid w:val="007D64AA"/>
    <w:rsid w:val="00816C3B"/>
    <w:rsid w:val="008243E2"/>
    <w:rsid w:val="00850A9D"/>
    <w:rsid w:val="00864821"/>
    <w:rsid w:val="008A0D09"/>
    <w:rsid w:val="008B155A"/>
    <w:rsid w:val="008B602F"/>
    <w:rsid w:val="008E1431"/>
    <w:rsid w:val="008F17F0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C666B"/>
    <w:rsid w:val="00AE391C"/>
    <w:rsid w:val="00B2520D"/>
    <w:rsid w:val="00B51E31"/>
    <w:rsid w:val="00B70398"/>
    <w:rsid w:val="00B95752"/>
    <w:rsid w:val="00BB2B6E"/>
    <w:rsid w:val="00BC2A5D"/>
    <w:rsid w:val="00BC5E24"/>
    <w:rsid w:val="00BD3854"/>
    <w:rsid w:val="00BF4232"/>
    <w:rsid w:val="00BF7BE1"/>
    <w:rsid w:val="00C230A6"/>
    <w:rsid w:val="00C5435C"/>
    <w:rsid w:val="00C932A4"/>
    <w:rsid w:val="00CA05A3"/>
    <w:rsid w:val="00CC3EC8"/>
    <w:rsid w:val="00CC7974"/>
    <w:rsid w:val="00CF234D"/>
    <w:rsid w:val="00CF47A0"/>
    <w:rsid w:val="00CF730B"/>
    <w:rsid w:val="00D11CCE"/>
    <w:rsid w:val="00D548AD"/>
    <w:rsid w:val="00DD6EA3"/>
    <w:rsid w:val="00DE5157"/>
    <w:rsid w:val="00DF5A84"/>
    <w:rsid w:val="00E0387C"/>
    <w:rsid w:val="00E11C99"/>
    <w:rsid w:val="00E21945"/>
    <w:rsid w:val="00E52926"/>
    <w:rsid w:val="00E76630"/>
    <w:rsid w:val="00E766FD"/>
    <w:rsid w:val="00E77D2F"/>
    <w:rsid w:val="00EB6054"/>
    <w:rsid w:val="00EC7B36"/>
    <w:rsid w:val="00ED328F"/>
    <w:rsid w:val="00EE4033"/>
    <w:rsid w:val="00EF600C"/>
    <w:rsid w:val="00F44CA3"/>
    <w:rsid w:val="00F46EE7"/>
    <w:rsid w:val="00F80508"/>
    <w:rsid w:val="00F86554"/>
    <w:rsid w:val="00F939C4"/>
    <w:rsid w:val="00F9755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5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52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b.uy/agencia-reguladora-compras-estatales/politicas-y-gestion/proveedor-extranj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b.uy/agencia-reguladora-compras-estatales/politicas-y-gestion/proveedor-extranjero" TargetMode="External"/><Relationship Id="rId5" Type="http://schemas.openxmlformats.org/officeDocument/2006/relationships/hyperlink" Target="https://www.gub.uy/agencia-reguladora-compras-estatales/politicas-y-gestion/proveedor-extranje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134</cp:revision>
  <cp:lastPrinted>2017-10-31T18:33:00Z</cp:lastPrinted>
  <dcterms:created xsi:type="dcterms:W3CDTF">2016-04-27T15:35:00Z</dcterms:created>
  <dcterms:modified xsi:type="dcterms:W3CDTF">2020-11-11T20:56:00Z</dcterms:modified>
</cp:coreProperties>
</file>