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L.A.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E68AD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r w:rsidR="0014004B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2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A15056" w:rsidRDefault="00735170" w:rsidP="007E68AD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lang w:val="es-ES_tradnl" w:eastAsia="zh-CN"/>
        </w:rPr>
      </w:pPr>
      <w:r w:rsidRPr="00A15056">
        <w:rPr>
          <w:rFonts w:ascii="Times New Roman" w:eastAsia="Arial" w:hAnsi="Times New Roman" w:cs="Times New Roman"/>
          <w:bCs/>
          <w:kern w:val="2"/>
          <w:lang w:val="es-ES_tradnl" w:eastAsia="zh-CN"/>
        </w:rPr>
        <w:t xml:space="preserve">Montevideo, </w:t>
      </w:r>
      <w:r w:rsidR="00AF19E5" w:rsidRPr="00A15056">
        <w:rPr>
          <w:rFonts w:ascii="Times New Roman" w:eastAsia="Arial" w:hAnsi="Times New Roman" w:cs="Times New Roman"/>
          <w:bCs/>
          <w:kern w:val="2"/>
          <w:lang w:val="es-ES_tradnl" w:eastAsia="zh-CN"/>
        </w:rPr>
        <w:t>1</w:t>
      </w:r>
      <w:r w:rsidR="007E68AD" w:rsidRPr="00A15056">
        <w:rPr>
          <w:rFonts w:ascii="Times New Roman" w:eastAsia="Arial" w:hAnsi="Times New Roman" w:cs="Times New Roman"/>
          <w:bCs/>
          <w:kern w:val="2"/>
          <w:lang w:val="es-ES_tradnl" w:eastAsia="zh-CN"/>
        </w:rPr>
        <w:t>6</w:t>
      </w:r>
      <w:r w:rsidR="00AF19E5" w:rsidRPr="00A15056">
        <w:rPr>
          <w:rFonts w:ascii="Times New Roman" w:eastAsia="Arial" w:hAnsi="Times New Roman" w:cs="Times New Roman"/>
          <w:bCs/>
          <w:kern w:val="2"/>
          <w:lang w:val="es-ES_tradnl" w:eastAsia="zh-CN"/>
        </w:rPr>
        <w:t xml:space="preserve"> de </w:t>
      </w:r>
      <w:r w:rsidR="007E68AD" w:rsidRPr="00A15056">
        <w:rPr>
          <w:rFonts w:ascii="Times New Roman" w:eastAsia="Arial" w:hAnsi="Times New Roman" w:cs="Times New Roman"/>
          <w:bCs/>
          <w:kern w:val="2"/>
          <w:lang w:val="es-ES_tradnl" w:eastAsia="zh-CN"/>
        </w:rPr>
        <w:t xml:space="preserve">junio </w:t>
      </w:r>
      <w:r w:rsidRPr="00A15056">
        <w:rPr>
          <w:rFonts w:ascii="Times New Roman" w:eastAsia="Arial" w:hAnsi="Times New Roman" w:cs="Times New Roman"/>
          <w:bCs/>
          <w:kern w:val="2"/>
          <w:lang w:val="es-ES_tradnl" w:eastAsia="zh-CN"/>
        </w:rPr>
        <w:t>de 2020.</w:t>
      </w:r>
    </w:p>
    <w:p w:rsidR="00735170" w:rsidRPr="00A15056" w:rsidRDefault="00735170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es-ES_tradnl" w:eastAsia="zh-CN"/>
        </w:rPr>
      </w:pPr>
      <w:r w:rsidRPr="00A15056">
        <w:rPr>
          <w:rFonts w:ascii="Times New Roman" w:eastAsia="Times New Roman" w:hAnsi="Times New Roman" w:cs="Times New Roman"/>
          <w:b/>
          <w:bCs/>
          <w:u w:val="single"/>
          <w:lang w:val="es-ES_tradnl" w:eastAsia="zh-CN"/>
        </w:rPr>
        <w:t>Pregunta</w:t>
      </w:r>
      <w:r w:rsidR="007E68AD" w:rsidRPr="00A15056">
        <w:rPr>
          <w:rFonts w:ascii="Times New Roman" w:eastAsia="Times New Roman" w:hAnsi="Times New Roman" w:cs="Times New Roman"/>
          <w:b/>
          <w:bCs/>
          <w:u w:val="single"/>
          <w:lang w:val="es-ES_tradnl" w:eastAsia="zh-CN"/>
        </w:rPr>
        <w:t>s</w:t>
      </w:r>
      <w:r w:rsidRPr="00A15056">
        <w:rPr>
          <w:rFonts w:ascii="Times New Roman" w:eastAsia="Times New Roman" w:hAnsi="Times New Roman" w:cs="Times New Roman"/>
          <w:bCs/>
          <w:lang w:val="es-ES_tradnl" w:eastAsia="zh-CN"/>
        </w:rPr>
        <w:t xml:space="preserve">: </w:t>
      </w:r>
    </w:p>
    <w:p w:rsidR="007E68AD" w:rsidRPr="007E68AD" w:rsidRDefault="007E68AD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>1- En el ítem 6 y ítem 8 (según pliego), que corresponde al ítem 4 (según Sistema de Compras Estatales)</w:t>
      </w:r>
      <w:r w:rsidRPr="007E68AD">
        <w:rPr>
          <w:rFonts w:ascii="Times New Roman" w:eastAsia="Times New Roman" w:hAnsi="Times New Roman" w:cs="Times New Roman"/>
          <w:b/>
          <w:bCs/>
          <w:color w:val="000000"/>
          <w:lang w:eastAsia="es-UY"/>
        </w:rPr>
        <w:t xml:space="preserve"> Estanterías metálicas armadas. </w:t>
      </w: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Necesitamos saber </w:t>
      </w:r>
      <w:r w:rsidR="00A15056" w:rsidRPr="007E68AD">
        <w:rPr>
          <w:rFonts w:ascii="Times New Roman" w:eastAsia="Times New Roman" w:hAnsi="Times New Roman" w:cs="Times New Roman"/>
          <w:color w:val="000000"/>
          <w:lang w:eastAsia="es-UY"/>
        </w:rPr>
        <w:t>cuántas</w:t>
      </w: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 corresponden a cada ítem del pliego, de cuales son 200 unidades y de cuales son 300 unidades.</w:t>
      </w:r>
    </w:p>
    <w:p w:rsidR="007E68AD" w:rsidRPr="007E68AD" w:rsidRDefault="00A15056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>
        <w:rPr>
          <w:rFonts w:ascii="Times New Roman" w:eastAsia="Times New Roman" w:hAnsi="Times New Roman" w:cs="Times New Roman"/>
          <w:color w:val="000000"/>
          <w:lang w:eastAsia="es-UY"/>
        </w:rPr>
        <w:t xml:space="preserve">2- ¿Cómo se cotiza el </w:t>
      </w:r>
      <w:r w:rsidR="007E68AD"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ítem 6 y el ítem 8 del pliego ya que en el Sistema de Compras Estatales solo se da la opción de cotizar 500 estanterías </w:t>
      </w:r>
      <w:proofErr w:type="gramStart"/>
      <w:r w:rsidR="007E68AD" w:rsidRPr="007E68AD">
        <w:rPr>
          <w:rFonts w:ascii="Times New Roman" w:eastAsia="Times New Roman" w:hAnsi="Times New Roman" w:cs="Times New Roman"/>
          <w:color w:val="000000"/>
          <w:lang w:eastAsia="es-UY"/>
        </w:rPr>
        <w:t>( ítem</w:t>
      </w:r>
      <w:proofErr w:type="gramEnd"/>
      <w:r w:rsidR="007E68AD"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 4)?</w:t>
      </w:r>
    </w:p>
    <w:p w:rsidR="007E68AD" w:rsidRPr="007E68AD" w:rsidRDefault="007E68AD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>3- ¿Cómo se cotiza el ítem 3 y el ítem 4 del pliego ya que en el Sistema de Compras Estatales solo se da la opción de cotizar 150 sillas (ítem 6)?</w:t>
      </w:r>
    </w:p>
    <w:p w:rsidR="007E68AD" w:rsidRPr="00A15056" w:rsidRDefault="007E68AD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 4- En relación a la estantería alta con 8 estantes, dado que la medida estándar de los </w:t>
      </w:r>
      <w:proofErr w:type="spellStart"/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>parantes</w:t>
      </w:r>
      <w:proofErr w:type="spellEnd"/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 utilizados en ese tipo de estanterías es de 4 x 4 cm en chapa Nº 14 y el ancho libre solicitado es de 100 cm., ¿la dimensión total del estante debe ser de 108 cm</w:t>
      </w:r>
      <w:r w:rsidRPr="00A15056">
        <w:rPr>
          <w:rFonts w:ascii="Times New Roman" w:eastAsia="Times New Roman" w:hAnsi="Times New Roman" w:cs="Times New Roman"/>
          <w:color w:val="000000"/>
          <w:lang w:eastAsia="es-UY"/>
        </w:rPr>
        <w:t>?</w:t>
      </w:r>
    </w:p>
    <w:p w:rsidR="007E68AD" w:rsidRPr="007E68AD" w:rsidRDefault="007E68AD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5- En la misma estantería de la consulta anterior (4), se solicita una profundidad libre de 40 cm pero en la imagen se plantea una profundidad de 40 </w:t>
      </w:r>
      <w:r w:rsidR="00A15056" w:rsidRPr="007E68AD">
        <w:rPr>
          <w:rFonts w:ascii="Times New Roman" w:eastAsia="Times New Roman" w:hAnsi="Times New Roman" w:cs="Times New Roman"/>
          <w:color w:val="000000"/>
          <w:lang w:eastAsia="es-UY"/>
        </w:rPr>
        <w:t>más</w:t>
      </w: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 lo</w:t>
      </w:r>
      <w:r w:rsidRPr="00A15056">
        <w:rPr>
          <w:rFonts w:ascii="Times New Roman" w:eastAsia="Times New Roman" w:hAnsi="Times New Roman" w:cs="Times New Roman"/>
          <w:color w:val="000000"/>
          <w:lang w:eastAsia="es-UY"/>
        </w:rPr>
        <w:t xml:space="preserve"> </w:t>
      </w:r>
      <w:proofErr w:type="spellStart"/>
      <w:r w:rsidRPr="00A15056">
        <w:rPr>
          <w:rFonts w:ascii="Times New Roman" w:eastAsia="Times New Roman" w:hAnsi="Times New Roman" w:cs="Times New Roman"/>
          <w:color w:val="000000"/>
          <w:lang w:eastAsia="es-UY"/>
        </w:rPr>
        <w:t>p</w:t>
      </w:r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>arantes</w:t>
      </w:r>
      <w:proofErr w:type="spellEnd"/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>. Entendemos que haciendo un estante de 40 cm de profundidad se logra la profundidad solicitada, es decir que los estantes serían de 40 x 108 cm, ¿</w:t>
      </w:r>
      <w:proofErr w:type="spellStart"/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>ésto</w:t>
      </w:r>
      <w:proofErr w:type="spellEnd"/>
      <w:r w:rsidRPr="007E68AD">
        <w:rPr>
          <w:rFonts w:ascii="Times New Roman" w:eastAsia="Times New Roman" w:hAnsi="Times New Roman" w:cs="Times New Roman"/>
          <w:color w:val="000000"/>
          <w:lang w:eastAsia="es-UY"/>
        </w:rPr>
        <w:t xml:space="preserve"> es así?</w:t>
      </w:r>
      <w:r w:rsidRPr="00A15056">
        <w:rPr>
          <w:rFonts w:ascii="Times New Roman" w:eastAsia="Times New Roman" w:hAnsi="Times New Roman" w:cs="Times New Roman"/>
          <w:color w:val="000000"/>
          <w:lang w:eastAsia="es-UY"/>
        </w:rPr>
        <w:t xml:space="preserve"> </w:t>
      </w:r>
    </w:p>
    <w:p w:rsidR="005C32E7" w:rsidRPr="00A15056" w:rsidRDefault="007E68AD" w:rsidP="007E68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15056">
        <w:rPr>
          <w:rFonts w:ascii="Times New Roman" w:eastAsia="Times New Roman" w:hAnsi="Times New Roman" w:cs="Times New Roman"/>
          <w:b/>
          <w:u w:val="single"/>
          <w:lang w:eastAsia="es-ES"/>
        </w:rPr>
        <w:t>Respuestas</w:t>
      </w:r>
      <w:r w:rsidRPr="00A15056">
        <w:rPr>
          <w:rFonts w:ascii="Times New Roman" w:eastAsia="Times New Roman" w:hAnsi="Times New Roman" w:cs="Times New Roman"/>
          <w:lang w:eastAsia="es-ES"/>
        </w:rPr>
        <w:t>:</w:t>
      </w:r>
    </w:p>
    <w:p w:rsidR="00A15056" w:rsidRPr="00A15056" w:rsidRDefault="007E68AD" w:rsidP="007E68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5056">
        <w:rPr>
          <w:rFonts w:ascii="Times New Roman" w:hAnsi="Times New Roman" w:cs="Times New Roman"/>
        </w:rPr>
        <w:t xml:space="preserve">1.- </w:t>
      </w:r>
      <w:r w:rsidR="00A15056" w:rsidRPr="00A1505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5821"/>
      </w:tblGrid>
      <w:tr w:rsidR="00A15056" w:rsidRPr="00A15056" w:rsidTr="00A15056">
        <w:tc>
          <w:tcPr>
            <w:tcW w:w="850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00"/>
                <w:lang w:eastAsia="zh-CN"/>
              </w:rPr>
            </w:pPr>
            <w:proofErr w:type="spellStart"/>
            <w:r w:rsidRPr="00A15056">
              <w:rPr>
                <w:rFonts w:ascii="Times New Roman" w:eastAsia="Calibri" w:hAnsi="Times New Roman" w:cs="Times New Roman"/>
                <w:b/>
                <w:shd w:val="clear" w:color="auto" w:fill="FFFF00"/>
                <w:lang w:eastAsia="zh-CN"/>
              </w:rPr>
              <w:t>item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00"/>
                <w:lang w:eastAsia="zh-CN"/>
              </w:rPr>
            </w:pPr>
            <w:r w:rsidRPr="00A15056">
              <w:rPr>
                <w:rFonts w:ascii="Times New Roman" w:eastAsia="Calibri" w:hAnsi="Times New Roman" w:cs="Times New Roman"/>
                <w:b/>
                <w:shd w:val="clear" w:color="auto" w:fill="FFFF00"/>
                <w:lang w:eastAsia="zh-CN"/>
              </w:rPr>
              <w:t xml:space="preserve">Cantidad </w:t>
            </w:r>
          </w:p>
        </w:tc>
        <w:tc>
          <w:tcPr>
            <w:tcW w:w="5821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</w:pPr>
            <w:r w:rsidRPr="00A15056"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  <w:t xml:space="preserve">Descripción </w:t>
            </w:r>
            <w:r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  <w:t xml:space="preserve">del </w:t>
            </w:r>
            <w:r w:rsidRPr="00A15056"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  <w:t xml:space="preserve">rubro </w:t>
            </w:r>
          </w:p>
        </w:tc>
      </w:tr>
      <w:tr w:rsidR="00A15056" w:rsidRPr="00A15056" w:rsidTr="00A15056">
        <w:tc>
          <w:tcPr>
            <w:tcW w:w="850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</w:pPr>
            <w:r w:rsidRPr="00A15056"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</w:pPr>
            <w:r w:rsidRPr="00A15056"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  <w:t xml:space="preserve">200 </w:t>
            </w:r>
          </w:p>
        </w:tc>
        <w:tc>
          <w:tcPr>
            <w:tcW w:w="5821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00"/>
                <w:lang w:eastAsia="zh-CN"/>
              </w:rPr>
            </w:pPr>
            <w:r w:rsidRPr="00A15056"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  <w:t>Estanterías metálicas armadas</w:t>
            </w:r>
            <w:r w:rsidRPr="00A15056">
              <w:rPr>
                <w:rFonts w:ascii="Times New Roman" w:eastAsia="Calibri" w:hAnsi="Times New Roman" w:cs="Times New Roman"/>
                <w:bCs/>
                <w:lang w:val="es-ES" w:eastAsia="zh-CN"/>
              </w:rPr>
              <w:t xml:space="preserve">, </w:t>
            </w:r>
            <w:r w:rsidRPr="00A15056">
              <w:rPr>
                <w:rFonts w:ascii="Times New Roman" w:eastAsia="Calibri" w:hAnsi="Times New Roman" w:cs="Times New Roman"/>
                <w:bCs/>
                <w:lang w:eastAsia="zh-CN"/>
              </w:rPr>
              <w:t>de acuerdo a las características indicadas en anexo B</w:t>
            </w:r>
            <w:r w:rsidRPr="00A15056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.</w:t>
            </w:r>
          </w:p>
        </w:tc>
      </w:tr>
      <w:tr w:rsidR="00A15056" w:rsidRPr="00A15056" w:rsidTr="00A15056">
        <w:tc>
          <w:tcPr>
            <w:tcW w:w="850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</w:pPr>
            <w:r w:rsidRPr="00A15056"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</w:pPr>
            <w:r w:rsidRPr="00A15056">
              <w:rPr>
                <w:rFonts w:ascii="Times New Roman" w:eastAsia="Calibri" w:hAnsi="Times New Roman" w:cs="Times New Roman"/>
                <w:shd w:val="clear" w:color="auto" w:fill="FFFF00"/>
                <w:lang w:eastAsia="zh-CN"/>
              </w:rPr>
              <w:t>300</w:t>
            </w:r>
          </w:p>
        </w:tc>
        <w:tc>
          <w:tcPr>
            <w:tcW w:w="5821" w:type="dxa"/>
            <w:shd w:val="clear" w:color="auto" w:fill="auto"/>
          </w:tcPr>
          <w:p w:rsidR="00A15056" w:rsidRPr="00A15056" w:rsidRDefault="00A15056" w:rsidP="00A15056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</w:pPr>
            <w:r w:rsidRPr="00A15056">
              <w:rPr>
                <w:rFonts w:ascii="Times New Roman" w:eastAsia="Calibri" w:hAnsi="Times New Roman" w:cs="Times New Roman"/>
                <w:b/>
                <w:bCs/>
                <w:lang w:val="es-ES" w:eastAsia="zh-CN"/>
              </w:rPr>
              <w:t xml:space="preserve">Estanterías metálicas armadas, </w:t>
            </w:r>
            <w:r w:rsidRPr="00A1505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de acuerdo a las características indicadas en anexo C, las que </w:t>
            </w:r>
            <w:r w:rsidRPr="00A15056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deberán incluir piezas de sujeción</w:t>
            </w:r>
            <w:r w:rsidRPr="00A1505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entre módulos evitando el movimiento de los mismos (características y cantidad a juicio del oferente).</w:t>
            </w:r>
          </w:p>
        </w:tc>
      </w:tr>
    </w:tbl>
    <w:p w:rsidR="007B7391" w:rsidRPr="00A15056" w:rsidRDefault="007B7391" w:rsidP="007E68AD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</w:p>
    <w:p w:rsidR="00D46A08" w:rsidRPr="00D46A08" w:rsidRDefault="007E68AD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D46A08">
        <w:rPr>
          <w:rFonts w:ascii="Times New Roman" w:hAnsi="Times New Roman" w:cs="Times New Roman"/>
        </w:rPr>
        <w:t>2.-</w:t>
      </w:r>
      <w:r w:rsidR="00A15056" w:rsidRPr="00D46A08">
        <w:rPr>
          <w:rFonts w:ascii="Times New Roman" w:hAnsi="Times New Roman" w:cs="Times New Roman"/>
        </w:rPr>
        <w:t xml:space="preserve"> Sin perjuicio de lo establecido en el art. 7 del Pliego, </w:t>
      </w:r>
      <w:r w:rsidR="00D46A08"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tener en cuenta que el campo </w:t>
      </w:r>
      <w:r w:rsidR="00D46A08" w:rsidRPr="00D46A08">
        <w:rPr>
          <w:rFonts w:ascii="Times New Roman" w:eastAsia="Times New Roman" w:hAnsi="Times New Roman" w:cs="Times New Roman"/>
          <w:b/>
          <w:color w:val="000000"/>
          <w:lang w:eastAsia="es-ES"/>
        </w:rPr>
        <w:t>“Cantidad Ofertada”</w:t>
      </w:r>
      <w:r w:rsidR="00D46A08"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puede ser modificado por los proveedores al realizar su oferta en línea. De ese modo, es posible indicar las cantidades 200 o 300.</w:t>
      </w:r>
    </w:p>
    <w:p w:rsidR="00D46A08" w:rsidRPr="00D46A08" w:rsidRDefault="00D46A08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La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forma de poder discriminar cuál corresponde al ítem 6 y cuál al ítem 8, al realizar esta cotización, el proveedor deberá utilizar el campo </w:t>
      </w:r>
      <w:r w:rsidRPr="00D46A08">
        <w:rPr>
          <w:rFonts w:ascii="Times New Roman" w:eastAsia="Times New Roman" w:hAnsi="Times New Roman" w:cs="Times New Roman"/>
          <w:b/>
          <w:color w:val="000000"/>
          <w:lang w:eastAsia="es-ES"/>
        </w:rPr>
        <w:t>“Variación”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al ingresar la oferta en línea.</w:t>
      </w:r>
    </w:p>
    <w:p w:rsidR="00D46A08" w:rsidRPr="00D46A08" w:rsidRDefault="00D46A08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>Por ejemplo, para el caso del ítem 6 según Pliego, en dicho campo podría indicarse una leyenda del tipo “</w:t>
      </w:r>
      <w:proofErr w:type="spellStart"/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>Estatentarías</w:t>
      </w:r>
      <w:proofErr w:type="spellEnd"/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Anexo B” o “Estanterías </w:t>
      </w:r>
      <w:proofErr w:type="spellStart"/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>Item</w:t>
      </w:r>
      <w:proofErr w:type="spellEnd"/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6 s/Pliego” e indicar las cantidades y precios unitarios que correspondan, para este caso serían 200.</w:t>
      </w:r>
    </w:p>
    <w:p w:rsidR="00D46A08" w:rsidRPr="00D46A08" w:rsidRDefault="00D46A08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lastRenderedPageBreak/>
        <w:t xml:space="preserve">De igual manera se podrá proceder para cotizar el 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>ítem 8</w:t>
      </w:r>
      <w:r>
        <w:rPr>
          <w:rFonts w:ascii="Times New Roman" w:eastAsia="Times New Roman" w:hAnsi="Times New Roman" w:cs="Times New Roman"/>
          <w:color w:val="000000"/>
          <w:lang w:eastAsia="es-ES"/>
        </w:rPr>
        <w:t>, cuya cantidad solicitada es 300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D46A08" w:rsidRPr="00D46A08" w:rsidRDefault="00D46A08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3.- 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>Ídem anterior, con la variación que corresponda.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r w:rsidRPr="00D46A08">
        <w:rPr>
          <w:rFonts w:ascii="Times New Roman" w:eastAsia="Times New Roman" w:hAnsi="Times New Roman" w:cs="Times New Roman"/>
          <w:color w:val="000000"/>
          <w:lang w:eastAsia="es-ES"/>
        </w:rPr>
        <w:t xml:space="preserve">Por ejemplo, para el caso del ítem 3 según Pliego, en dicho campo podría indicarse una leyenda del tipo “Sillones para magistrados” e indicar las cantidades y precios unitarios que </w:t>
      </w:r>
    </w:p>
    <w:p w:rsidR="007E68AD" w:rsidRPr="007E68AD" w:rsidRDefault="007E68AD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D46A08">
        <w:rPr>
          <w:rFonts w:ascii="Times New Roman" w:hAnsi="Times New Roman" w:cs="Times New Roman"/>
        </w:rPr>
        <w:t>4.-</w:t>
      </w:r>
      <w:r w:rsidRPr="00D46A08">
        <w:rPr>
          <w:rFonts w:ascii="Times New Roman" w:eastAsia="Times New Roman" w:hAnsi="Times New Roman" w:cs="Times New Roman"/>
          <w:color w:val="000000"/>
          <w:lang w:eastAsia="es-UY"/>
        </w:rPr>
        <w:t xml:space="preserve"> </w:t>
      </w:r>
      <w:r w:rsidRPr="007E68AD">
        <w:rPr>
          <w:rFonts w:ascii="Times New Roman" w:eastAsia="Times New Roman" w:hAnsi="Times New Roman" w:cs="Times New Roman"/>
          <w:bCs/>
          <w:lang w:eastAsia="es-UY"/>
        </w:rPr>
        <w:t>el ancho indicado en plano es de 108, si constructivamente debe ser mas, se debe respetar el ancho libre de 100</w:t>
      </w:r>
      <w:r w:rsidR="00A15056" w:rsidRPr="00D46A08">
        <w:rPr>
          <w:rFonts w:ascii="Times New Roman" w:eastAsia="Times New Roman" w:hAnsi="Times New Roman" w:cs="Times New Roman"/>
          <w:bCs/>
          <w:lang w:eastAsia="es-UY"/>
        </w:rPr>
        <w:t xml:space="preserve"> </w:t>
      </w:r>
      <w:r w:rsidRPr="007E68AD">
        <w:rPr>
          <w:rFonts w:ascii="Times New Roman" w:eastAsia="Times New Roman" w:hAnsi="Times New Roman" w:cs="Times New Roman"/>
          <w:bCs/>
          <w:lang w:eastAsia="es-UY"/>
        </w:rPr>
        <w:t>cm</w:t>
      </w:r>
      <w:r w:rsidR="00A15056" w:rsidRPr="00D46A08">
        <w:rPr>
          <w:rFonts w:ascii="Times New Roman" w:eastAsia="Times New Roman" w:hAnsi="Times New Roman" w:cs="Times New Roman"/>
          <w:bCs/>
          <w:lang w:eastAsia="es-UY"/>
        </w:rPr>
        <w:t>.</w:t>
      </w:r>
    </w:p>
    <w:p w:rsidR="007E68AD" w:rsidRPr="00D46A08" w:rsidRDefault="007E68AD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FF"/>
          <w:lang w:eastAsia="es-UY"/>
        </w:rPr>
      </w:pPr>
      <w:r w:rsidRPr="00D46A08">
        <w:rPr>
          <w:rFonts w:ascii="Times New Roman" w:hAnsi="Times New Roman" w:cs="Times New Roman"/>
        </w:rPr>
        <w:t>5.-</w:t>
      </w:r>
      <w:r w:rsidRPr="00D46A08">
        <w:rPr>
          <w:rFonts w:ascii="Times New Roman" w:eastAsia="Times New Roman" w:hAnsi="Times New Roman" w:cs="Times New Roman"/>
          <w:bCs/>
          <w:color w:val="0000FF"/>
          <w:lang w:eastAsia="es-UY"/>
        </w:rPr>
        <w:t xml:space="preserve"> </w:t>
      </w:r>
      <w:r w:rsidRPr="007E68AD">
        <w:rPr>
          <w:rFonts w:ascii="Times New Roman" w:eastAsia="Times New Roman" w:hAnsi="Times New Roman" w:cs="Times New Roman"/>
          <w:bCs/>
          <w:lang w:eastAsia="es-UY"/>
        </w:rPr>
        <w:t>se debe mantener profundidad libre de 40cm</w:t>
      </w:r>
      <w:r w:rsidR="00A15056" w:rsidRPr="00D46A08">
        <w:rPr>
          <w:rFonts w:ascii="Times New Roman" w:eastAsia="Times New Roman" w:hAnsi="Times New Roman" w:cs="Times New Roman"/>
          <w:bCs/>
          <w:lang w:eastAsia="es-UY"/>
        </w:rPr>
        <w:t>.</w:t>
      </w:r>
    </w:p>
    <w:p w:rsidR="00A74424" w:rsidRPr="00D46A08" w:rsidRDefault="00A74424" w:rsidP="00D46A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es-UY"/>
        </w:rPr>
      </w:pPr>
      <w:bookmarkStart w:id="0" w:name="_GoBack"/>
      <w:bookmarkEnd w:id="0"/>
    </w:p>
    <w:sectPr w:rsidR="00A74424" w:rsidRPr="00D46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47820"/>
    <w:rsid w:val="00083C73"/>
    <w:rsid w:val="000F2CB4"/>
    <w:rsid w:val="0014004B"/>
    <w:rsid w:val="001B17CB"/>
    <w:rsid w:val="001F15D2"/>
    <w:rsid w:val="003265CE"/>
    <w:rsid w:val="004E396C"/>
    <w:rsid w:val="005C32E7"/>
    <w:rsid w:val="00641D6D"/>
    <w:rsid w:val="00735170"/>
    <w:rsid w:val="007B7391"/>
    <w:rsid w:val="007E68AD"/>
    <w:rsid w:val="008A171C"/>
    <w:rsid w:val="008B6254"/>
    <w:rsid w:val="00A15056"/>
    <w:rsid w:val="00A74424"/>
    <w:rsid w:val="00AD606B"/>
    <w:rsid w:val="00AF19E5"/>
    <w:rsid w:val="00BC42BF"/>
    <w:rsid w:val="00D46A08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character" w:customStyle="1" w:styleId="Fuentedeprrafopredeter2">
    <w:name w:val="Fuente de párrafo predeter.2"/>
    <w:rsid w:val="00A74424"/>
  </w:style>
  <w:style w:type="paragraph" w:customStyle="1" w:styleId="Normal1">
    <w:name w:val="Normal1"/>
    <w:qFormat/>
    <w:rsid w:val="00A7442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character" w:customStyle="1" w:styleId="Fuentedeprrafopredeter2">
    <w:name w:val="Fuente de párrafo predeter.2"/>
    <w:rsid w:val="00A74424"/>
  </w:style>
  <w:style w:type="paragraph" w:customStyle="1" w:styleId="Normal1">
    <w:name w:val="Normal1"/>
    <w:qFormat/>
    <w:rsid w:val="00A7442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4</cp:revision>
  <cp:lastPrinted>2019-10-01T19:32:00Z</cp:lastPrinted>
  <dcterms:created xsi:type="dcterms:W3CDTF">2020-06-16T14:58:00Z</dcterms:created>
  <dcterms:modified xsi:type="dcterms:W3CDTF">2020-06-16T15:57:00Z</dcterms:modified>
</cp:coreProperties>
</file>