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F6" w:rsidRDefault="003E0AB9">
      <w:pPr>
        <w:tabs>
          <w:tab w:val="left" w:pos="240"/>
          <w:tab w:val="center" w:pos="4252"/>
        </w:tabs>
        <w:spacing w:line="360" w:lineRule="auto"/>
      </w:pPr>
      <w:r>
        <w:rPr>
          <w:rFonts w:ascii="Calibri" w:eastAsia="Calibri" w:hAnsi="Calibri" w:cs="Calibri"/>
          <w:sz w:val="22"/>
          <w:szCs w:val="22"/>
        </w:rPr>
        <w:t xml:space="preserve">                                                                                                                                                                                            </w:t>
      </w:r>
      <w:r>
        <w:rPr>
          <w:noProof/>
        </w:rPr>
        <w:drawing>
          <wp:anchor distT="114300" distB="114300" distL="114300" distR="114300" simplePos="0" relativeHeight="251658240" behindDoc="0" locked="0" layoutInCell="1" hidden="0" allowOverlap="1">
            <wp:simplePos x="0" y="0"/>
            <wp:positionH relativeFrom="column">
              <wp:posOffset>200025</wp:posOffset>
            </wp:positionH>
            <wp:positionV relativeFrom="paragraph">
              <wp:posOffset>123825</wp:posOffset>
            </wp:positionV>
            <wp:extent cx="790575" cy="975603"/>
            <wp:effectExtent l="0" t="0" r="0" b="0"/>
            <wp:wrapSquare wrapText="bothSides" distT="114300" distB="11430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90575" cy="97560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4448175</wp:posOffset>
            </wp:positionH>
            <wp:positionV relativeFrom="paragraph">
              <wp:posOffset>190500</wp:posOffset>
            </wp:positionV>
            <wp:extent cx="1029653" cy="681749"/>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29653" cy="681749"/>
                    </a:xfrm>
                    <a:prstGeom prst="rect">
                      <a:avLst/>
                    </a:prstGeom>
                    <a:ln/>
                  </pic:spPr>
                </pic:pic>
              </a:graphicData>
            </a:graphic>
          </wp:anchor>
        </w:drawing>
      </w:r>
      <w:r>
        <w:rPr>
          <w:noProof/>
        </w:rPr>
        <w:drawing>
          <wp:anchor distT="0" distB="0" distL="114935" distR="114935" simplePos="0" relativeHeight="251660288" behindDoc="0" locked="0" layoutInCell="1" hidden="0" allowOverlap="1">
            <wp:simplePos x="0" y="0"/>
            <wp:positionH relativeFrom="column">
              <wp:posOffset>2486660</wp:posOffset>
            </wp:positionH>
            <wp:positionV relativeFrom="paragraph">
              <wp:posOffset>190500</wp:posOffset>
            </wp:positionV>
            <wp:extent cx="792480" cy="84201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92480" cy="842010"/>
                    </a:xfrm>
                    <a:prstGeom prst="rect">
                      <a:avLst/>
                    </a:prstGeom>
                    <a:ln/>
                  </pic:spPr>
                </pic:pic>
              </a:graphicData>
            </a:graphic>
          </wp:anchor>
        </w:drawing>
      </w:r>
    </w:p>
    <w:p w:rsidR="009E01F6" w:rsidRDefault="003E0AB9">
      <w:pP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9E01F6" w:rsidRDefault="003E0AB9">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w:t>
      </w:r>
    </w:p>
    <w:p w:rsidR="009E01F6" w:rsidRDefault="009E01F6">
      <w:pPr>
        <w:spacing w:line="360" w:lineRule="auto"/>
        <w:jc w:val="center"/>
        <w:rPr>
          <w:rFonts w:ascii="Calibri" w:eastAsia="Calibri" w:hAnsi="Calibri" w:cs="Calibri"/>
          <w:sz w:val="22"/>
          <w:szCs w:val="22"/>
        </w:rPr>
      </w:pPr>
    </w:p>
    <w:p w:rsidR="009E01F6" w:rsidRDefault="003E0AB9">
      <w:pP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9E01F6" w:rsidRPr="00582E60" w:rsidRDefault="003E0AB9">
      <w:pPr>
        <w:spacing w:line="360" w:lineRule="auto"/>
        <w:jc w:val="center"/>
        <w:rPr>
          <w:rFonts w:ascii="Calibri" w:eastAsia="Calibri" w:hAnsi="Calibri" w:cs="Calibri"/>
          <w:color w:val="auto"/>
          <w:sz w:val="22"/>
          <w:szCs w:val="22"/>
        </w:rPr>
      </w:pPr>
      <w:r w:rsidRPr="00582E60">
        <w:rPr>
          <w:rFonts w:ascii="Calibri" w:eastAsia="Calibri" w:hAnsi="Calibri" w:cs="Calibri"/>
          <w:b/>
          <w:color w:val="auto"/>
          <w:sz w:val="22"/>
          <w:szCs w:val="22"/>
        </w:rPr>
        <w:t xml:space="preserve">PLIEGO DE CONDICIONES PARTICULARES PARA LICITACIÓN ABREVIADA Nº </w:t>
      </w:r>
      <w:r w:rsidR="00582E60" w:rsidRPr="00582E60">
        <w:rPr>
          <w:rFonts w:ascii="Calibri" w:eastAsia="Calibri" w:hAnsi="Calibri" w:cs="Calibri"/>
          <w:b/>
          <w:color w:val="auto"/>
          <w:sz w:val="22"/>
          <w:szCs w:val="22"/>
        </w:rPr>
        <w:t>87</w:t>
      </w:r>
      <w:r w:rsidRPr="00582E60">
        <w:rPr>
          <w:rFonts w:ascii="Calibri" w:eastAsia="Calibri" w:hAnsi="Calibri" w:cs="Calibri"/>
          <w:b/>
          <w:color w:val="auto"/>
          <w:sz w:val="22"/>
          <w:szCs w:val="22"/>
        </w:rPr>
        <w:t>/2019</w:t>
      </w:r>
    </w:p>
    <w:p w:rsidR="00582E60" w:rsidRPr="00582E60" w:rsidRDefault="00582E60" w:rsidP="00582E60">
      <w:pPr>
        <w:spacing w:line="360" w:lineRule="auto"/>
        <w:jc w:val="center"/>
        <w:rPr>
          <w:rFonts w:ascii="Calibri" w:eastAsia="Calibri" w:hAnsi="Calibri" w:cs="Calibri"/>
          <w:b/>
          <w:color w:val="000000"/>
          <w:sz w:val="20"/>
          <w:szCs w:val="22"/>
        </w:rPr>
      </w:pPr>
      <w:r>
        <w:rPr>
          <w:rFonts w:ascii="Calibri" w:eastAsia="Calibri" w:hAnsi="Calibri" w:cs="Calibri"/>
          <w:b/>
          <w:color w:val="auto"/>
          <w:sz w:val="22"/>
        </w:rPr>
        <w:t>“</w:t>
      </w:r>
      <w:r w:rsidRPr="00582E60">
        <w:rPr>
          <w:rFonts w:ascii="Calibri" w:eastAsia="Calibri" w:hAnsi="Calibri" w:cs="Calibri"/>
          <w:b/>
          <w:color w:val="auto"/>
          <w:sz w:val="22"/>
        </w:rPr>
        <w:t>ADQUISICIÓN DE BOMBA CENTRÍFUGA AUTOCEBANTE</w:t>
      </w:r>
      <w:r>
        <w:rPr>
          <w:rFonts w:ascii="Calibri" w:eastAsia="Calibri" w:hAnsi="Calibri" w:cs="Calibri"/>
          <w:b/>
          <w:color w:val="auto"/>
          <w:sz w:val="22"/>
        </w:rPr>
        <w:t>”</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 OBJETO DE LA LICITACIÓN.-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Comando General de la Armada llama a Licitación Abreviada </w:t>
      </w:r>
      <w:r w:rsidRPr="00582E60">
        <w:rPr>
          <w:rFonts w:ascii="Calibri" w:eastAsia="Calibri" w:hAnsi="Calibri" w:cs="Calibri"/>
          <w:b/>
          <w:color w:val="auto"/>
          <w:sz w:val="22"/>
          <w:szCs w:val="22"/>
        </w:rPr>
        <w:t xml:space="preserve">Nº </w:t>
      </w:r>
      <w:r w:rsidR="00582E60" w:rsidRPr="00582E60">
        <w:rPr>
          <w:rFonts w:ascii="Calibri" w:eastAsia="Calibri" w:hAnsi="Calibri" w:cs="Calibri"/>
          <w:b/>
          <w:color w:val="auto"/>
          <w:sz w:val="22"/>
          <w:szCs w:val="22"/>
        </w:rPr>
        <w:t>87</w:t>
      </w:r>
      <w:r w:rsidRPr="00582E60">
        <w:rPr>
          <w:rFonts w:ascii="Calibri" w:eastAsia="Calibri" w:hAnsi="Calibri" w:cs="Calibri"/>
          <w:b/>
          <w:color w:val="auto"/>
          <w:sz w:val="22"/>
          <w:szCs w:val="22"/>
        </w:rPr>
        <w:t>/2019</w:t>
      </w:r>
      <w:r w:rsidRPr="00582E60">
        <w:rPr>
          <w:rFonts w:ascii="Calibri" w:eastAsia="Calibri" w:hAnsi="Calibri" w:cs="Calibri"/>
          <w:color w:val="auto"/>
          <w:sz w:val="22"/>
          <w:szCs w:val="22"/>
        </w:rPr>
        <w:t xml:space="preserve"> “</w:t>
      </w:r>
      <w:r w:rsidR="00582E60" w:rsidRPr="00582E60">
        <w:rPr>
          <w:rFonts w:ascii="Calibri" w:eastAsia="Calibri" w:hAnsi="Calibri" w:cs="Calibri"/>
          <w:b/>
          <w:color w:val="auto"/>
          <w:sz w:val="22"/>
          <w:szCs w:val="22"/>
        </w:rPr>
        <w:t>ADQUISICIÓN DE BOMBA CENTRÍFUGA AUTOCEBANTE”</w:t>
      </w:r>
      <w:r w:rsidRPr="00582E60">
        <w:rPr>
          <w:rFonts w:ascii="Calibri" w:eastAsia="Calibri" w:hAnsi="Calibri" w:cs="Calibri"/>
          <w:color w:val="auto"/>
          <w:sz w:val="22"/>
          <w:szCs w:val="22"/>
        </w:rPr>
        <w:t xml:space="preserve"> las </w:t>
      </w:r>
      <w:r>
        <w:rPr>
          <w:rFonts w:ascii="Calibri" w:eastAsia="Calibri" w:hAnsi="Calibri" w:cs="Calibri"/>
          <w:sz w:val="22"/>
          <w:szCs w:val="22"/>
        </w:rPr>
        <w:t>especificaciones de los objetos solicitados se hallan descriptas en el Anexo Único adjunto a este Pliego integrándolo.-</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Los Pliegos se pondrán de manifiesto en la página web de Compras Estatales: </w:t>
      </w:r>
      <w:hyperlink r:id="rId10">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9E01F6" w:rsidRPr="00A84892" w:rsidRDefault="003E0AB9">
      <w:pPr>
        <w:spacing w:line="360" w:lineRule="auto"/>
        <w:jc w:val="both"/>
        <w:rPr>
          <w:b/>
          <w:color w:val="000000" w:themeColor="text1"/>
        </w:rPr>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w:t>
      </w:r>
      <w:r w:rsidRPr="00A84892">
        <w:rPr>
          <w:rFonts w:ascii="Calibri" w:eastAsia="Calibri" w:hAnsi="Calibri" w:cs="Calibri"/>
          <w:b/>
          <w:color w:val="000000" w:themeColor="text1"/>
          <w:sz w:val="22"/>
          <w:szCs w:val="22"/>
        </w:rPr>
        <w:t xml:space="preserve">el </w:t>
      </w:r>
      <w:r w:rsidR="002D6F91">
        <w:rPr>
          <w:rFonts w:ascii="Calibri" w:eastAsia="Calibri" w:hAnsi="Calibri" w:cs="Calibri"/>
          <w:b/>
          <w:color w:val="000000" w:themeColor="text1"/>
          <w:sz w:val="22"/>
          <w:szCs w:val="22"/>
        </w:rPr>
        <w:t>día 18</w:t>
      </w:r>
      <w:bookmarkStart w:id="0" w:name="_GoBack"/>
      <w:bookmarkEnd w:id="0"/>
      <w:r w:rsidR="00A84892" w:rsidRPr="00A84892">
        <w:rPr>
          <w:rFonts w:ascii="Calibri" w:eastAsia="Calibri" w:hAnsi="Calibri" w:cs="Calibri"/>
          <w:b/>
          <w:color w:val="000000" w:themeColor="text1"/>
          <w:sz w:val="22"/>
          <w:szCs w:val="22"/>
        </w:rPr>
        <w:t xml:space="preserve"> de </w:t>
      </w:r>
      <w:r w:rsidR="00496EFA" w:rsidRPr="00A84892">
        <w:rPr>
          <w:rFonts w:ascii="Calibri" w:eastAsia="Calibri" w:hAnsi="Calibri" w:cs="Calibri"/>
          <w:b/>
          <w:color w:val="000000" w:themeColor="text1"/>
          <w:sz w:val="22"/>
          <w:szCs w:val="22"/>
        </w:rPr>
        <w:t>noviembre de</w:t>
      </w:r>
      <w:r w:rsidRPr="00A84892">
        <w:rPr>
          <w:rFonts w:ascii="Calibri" w:eastAsia="Calibri" w:hAnsi="Calibri" w:cs="Calibri"/>
          <w:b/>
          <w:color w:val="000000" w:themeColor="text1"/>
          <w:sz w:val="22"/>
          <w:szCs w:val="22"/>
        </w:rPr>
        <w:t xml:space="preserve"> 2019 a la hora 10:00.</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9E01F6" w:rsidRDefault="003E0AB9">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9E01F6" w:rsidRDefault="003E0AB9">
      <w:pPr>
        <w:numPr>
          <w:ilvl w:val="0"/>
          <w:numId w:val="2"/>
        </w:numPr>
        <w:spacing w:line="360" w:lineRule="auto"/>
        <w:jc w:val="both"/>
      </w:pPr>
      <w:r>
        <w:rPr>
          <w:rFonts w:ascii="Calibri" w:eastAsia="Calibri" w:hAnsi="Calibri" w:cs="Calibri"/>
          <w:color w:val="000000"/>
          <w:sz w:val="22"/>
          <w:szCs w:val="22"/>
        </w:rPr>
        <w:t>Los datos individualizantes del oferente.-</w:t>
      </w:r>
    </w:p>
    <w:p w:rsidR="009E01F6" w:rsidRDefault="003E0AB9">
      <w:pPr>
        <w:numPr>
          <w:ilvl w:val="0"/>
          <w:numId w:val="2"/>
        </w:numPr>
        <w:spacing w:line="360" w:lineRule="auto"/>
        <w:jc w:val="both"/>
      </w:pPr>
      <w:r>
        <w:rPr>
          <w:rFonts w:ascii="Calibri" w:eastAsia="Calibri" w:hAnsi="Calibri" w:cs="Calibri"/>
          <w:color w:val="000000"/>
          <w:sz w:val="22"/>
          <w:szCs w:val="22"/>
        </w:rPr>
        <w:t>Expresa constancia de que está capacitado para contratar con la Administración (artículo 46 TOCAF), en caso de omisión se entenderá que ajusta el pliego en su totalidad.-</w:t>
      </w:r>
    </w:p>
    <w:p w:rsidR="009E01F6" w:rsidRDefault="003E0AB9">
      <w:pPr>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9E01F6" w:rsidRDefault="003E0AB9">
      <w:pPr>
        <w:numPr>
          <w:ilvl w:val="0"/>
          <w:numId w:val="2"/>
        </w:numPr>
        <w:spacing w:line="360" w:lineRule="auto"/>
        <w:jc w:val="both"/>
      </w:pPr>
      <w:r>
        <w:rPr>
          <w:rFonts w:ascii="Calibri" w:eastAsia="Calibri" w:hAnsi="Calibri" w:cs="Calibri"/>
          <w:color w:val="000000"/>
          <w:sz w:val="22"/>
          <w:szCs w:val="22"/>
        </w:rPr>
        <w:t>PLAZO DE ENTREGA: de acuerdo a lo establecido en el artículo 17.-</w:t>
      </w:r>
    </w:p>
    <w:p w:rsidR="009E01F6" w:rsidRDefault="003E0AB9">
      <w:pPr>
        <w:numPr>
          <w:ilvl w:val="0"/>
          <w:numId w:val="2"/>
        </w:numPr>
        <w:spacing w:line="360" w:lineRule="auto"/>
        <w:jc w:val="both"/>
      </w:pPr>
      <w:r>
        <w:rPr>
          <w:rFonts w:ascii="Calibri" w:eastAsia="Calibri" w:hAnsi="Calibri" w:cs="Calibri"/>
          <w:color w:val="000000"/>
          <w:sz w:val="22"/>
          <w:szCs w:val="22"/>
        </w:rPr>
        <w:t xml:space="preserve">MANTENIMIENTO DE OFERTA: de </w:t>
      </w:r>
      <w:r w:rsidR="00582E60">
        <w:rPr>
          <w:rFonts w:ascii="Calibri" w:eastAsia="Calibri" w:hAnsi="Calibri" w:cs="Calibri"/>
          <w:color w:val="000000"/>
          <w:sz w:val="22"/>
          <w:szCs w:val="22"/>
        </w:rPr>
        <w:t>acuerdo a</w:t>
      </w:r>
      <w:r>
        <w:rPr>
          <w:rFonts w:ascii="Calibri" w:eastAsia="Calibri" w:hAnsi="Calibri" w:cs="Calibri"/>
          <w:color w:val="000000"/>
          <w:sz w:val="22"/>
          <w:szCs w:val="22"/>
        </w:rPr>
        <w:t xml:space="preserve"> lo establecido en el artículo 14.-</w:t>
      </w:r>
    </w:p>
    <w:p w:rsidR="009E01F6" w:rsidRDefault="003E0AB9">
      <w:pPr>
        <w:numPr>
          <w:ilvl w:val="0"/>
          <w:numId w:val="2"/>
        </w:numPr>
        <w:spacing w:line="360" w:lineRule="auto"/>
        <w:jc w:val="both"/>
      </w:pPr>
      <w:r>
        <w:rPr>
          <w:rFonts w:ascii="Calibri" w:eastAsia="Calibri" w:hAnsi="Calibri" w:cs="Calibri"/>
          <w:color w:val="000000"/>
          <w:sz w:val="22"/>
          <w:szCs w:val="22"/>
        </w:rPr>
        <w:t>FORMA DE PAGO: de acuerdo a lo establecido en el artículo 22.-</w:t>
      </w:r>
    </w:p>
    <w:p w:rsidR="009E01F6" w:rsidRPr="00A84892" w:rsidRDefault="003E0AB9">
      <w:pPr>
        <w:numPr>
          <w:ilvl w:val="0"/>
          <w:numId w:val="2"/>
        </w:numPr>
        <w:spacing w:line="360" w:lineRule="auto"/>
        <w:jc w:val="both"/>
        <w:rPr>
          <w:color w:val="000000" w:themeColor="text1"/>
        </w:rPr>
      </w:pPr>
      <w:r w:rsidRPr="00A84892">
        <w:rPr>
          <w:rFonts w:ascii="Calibri" w:eastAsia="Calibri" w:hAnsi="Calibri" w:cs="Calibri"/>
          <w:b/>
          <w:color w:val="000000" w:themeColor="text1"/>
          <w:sz w:val="22"/>
          <w:szCs w:val="22"/>
        </w:rPr>
        <w:t xml:space="preserve">GARANTÍA: Se deberá establecer la garantía que tienen los productos ofertados y el plazo que abarca la misma será </w:t>
      </w:r>
      <w:r w:rsidR="00365420" w:rsidRPr="00A84892">
        <w:rPr>
          <w:rFonts w:ascii="Calibri" w:eastAsia="Calibri" w:hAnsi="Calibri" w:cs="Calibri"/>
          <w:b/>
          <w:color w:val="000000" w:themeColor="text1"/>
          <w:sz w:val="22"/>
          <w:szCs w:val="22"/>
        </w:rPr>
        <w:t>de cinco años mínimo</w:t>
      </w:r>
      <w:r w:rsidRPr="00A84892">
        <w:rPr>
          <w:rFonts w:ascii="Calibri" w:eastAsia="Calibri" w:hAnsi="Calibri" w:cs="Calibri"/>
          <w:b/>
          <w:color w:val="000000" w:themeColor="text1"/>
          <w:sz w:val="22"/>
          <w:szCs w:val="22"/>
        </w:rPr>
        <w:t xml:space="preserve"> En caso de omisión de establecer la garantía se desestimará su oferta sin más trámite.-</w:t>
      </w:r>
    </w:p>
    <w:p w:rsidR="009E01F6" w:rsidRDefault="003E0AB9">
      <w:pPr>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9E01F6" w:rsidRDefault="003E0AB9">
      <w:pPr>
        <w:numPr>
          <w:ilvl w:val="0"/>
          <w:numId w:val="2"/>
        </w:numPr>
        <w:spacing w:line="360" w:lineRule="auto"/>
        <w:jc w:val="both"/>
      </w:pPr>
      <w:r>
        <w:rPr>
          <w:rFonts w:ascii="Calibri" w:eastAsia="Calibri" w:hAnsi="Calibri" w:cs="Calibri"/>
          <w:color w:val="000000"/>
          <w:sz w:val="22"/>
          <w:szCs w:val="22"/>
        </w:rPr>
        <w:t>los ítems cotizados.-</w:t>
      </w:r>
    </w:p>
    <w:p w:rsidR="009E01F6" w:rsidRDefault="003E0AB9">
      <w:pPr>
        <w:numPr>
          <w:ilvl w:val="0"/>
          <w:numId w:val="2"/>
        </w:numPr>
        <w:spacing w:line="360" w:lineRule="auto"/>
        <w:jc w:val="both"/>
      </w:pPr>
      <w:r>
        <w:rPr>
          <w:rFonts w:ascii="Calibri" w:eastAsia="Calibri" w:hAnsi="Calibri" w:cs="Calibri"/>
          <w:color w:val="000000"/>
          <w:sz w:val="22"/>
          <w:szCs w:val="22"/>
        </w:rPr>
        <w:t>monto total de la oferta.-</w:t>
      </w:r>
    </w:p>
    <w:p w:rsidR="009E01F6" w:rsidRDefault="003E0AB9">
      <w:pPr>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lastRenderedPageBreak/>
        <w:t xml:space="preserve">6.- NORMAS APLICABLES.- </w:t>
      </w:r>
      <w:r>
        <w:rPr>
          <w:rFonts w:ascii="Calibri" w:eastAsia="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1">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FF0000"/>
          <w:sz w:val="22"/>
          <w:szCs w:val="22"/>
        </w:rPr>
        <w:t xml:space="preserve"> </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9E01F6" w:rsidRDefault="003E0AB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ubicado en 25 de Mayo 440 esq. Misiones telefax 2915 10 70 / Teléfono: 2915 10 70, en el horario de 08:30 a 12:30 de lunes a viernes todos los días hábiles, por escrito ante la Secretaría del referido Servicio, vía mail a </w:t>
      </w:r>
      <w:hyperlink r:id="rId12">
        <w:r>
          <w:rPr>
            <w:rFonts w:ascii="Calibri" w:eastAsia="Calibri" w:hAnsi="Calibri" w:cs="Calibri"/>
            <w:color w:val="0000FF"/>
            <w:u w:val="single"/>
          </w:rPr>
          <w:t>uccar_compras</w:t>
        </w:r>
      </w:hyperlink>
      <w:r w:rsidR="00582E60">
        <w:rPr>
          <w:rFonts w:ascii="Calibri" w:eastAsia="Calibri" w:hAnsi="Calibri" w:cs="Calibri"/>
          <w:color w:val="0000FF"/>
          <w:u w:val="single"/>
        </w:rPr>
        <w:t>3</w:t>
      </w:r>
      <w:hyperlink r:id="rId13"/>
      <w:hyperlink r:id="rId14">
        <w:r>
          <w:rPr>
            <w:rFonts w:ascii="Calibri" w:eastAsia="Calibri" w:hAnsi="Calibri" w:cs="Calibri"/>
            <w:color w:val="0000FF"/>
            <w:u w:val="single"/>
          </w:rPr>
          <w:t>@armada.mil.uy</w:t>
        </w:r>
      </w:hyperlink>
      <w:r>
        <w:rPr>
          <w:rFonts w:ascii="Calibri" w:eastAsia="Calibri" w:hAnsi="Calibri" w:cs="Calibri"/>
          <w:color w:val="000000"/>
          <w:sz w:val="22"/>
          <w:szCs w:val="22"/>
        </w:rPr>
        <w:t xml:space="preserve"> o </w:t>
      </w:r>
      <w:hyperlink r:id="rId15" w:history="1">
        <w:r w:rsidR="00440A0C" w:rsidRPr="00E634D7">
          <w:rPr>
            <w:rStyle w:val="Hipervnculo"/>
            <w:rFonts w:ascii="Calibri" w:eastAsia="Calibri" w:hAnsi="Calibri" w:cs="Calibri"/>
            <w:sz w:val="22"/>
            <w:szCs w:val="22"/>
          </w:rPr>
          <w:t xml:space="preserve">uccar_compras12@armada.mil.uy </w:t>
        </w:r>
      </w:hyperlink>
      <w:r>
        <w:rPr>
          <w:rFonts w:ascii="Calibri" w:eastAsia="Calibri" w:hAnsi="Calibri" w:cs="Calibri"/>
          <w:color w:val="000000"/>
          <w:sz w:val="22"/>
          <w:szCs w:val="22"/>
        </w:rPr>
        <w:t xml:space="preserve"> o vía fax.-</w:t>
      </w:r>
    </w:p>
    <w:p w:rsidR="009E01F6" w:rsidRDefault="003E0AB9">
      <w:pPr>
        <w:spacing w:line="360" w:lineRule="auto"/>
        <w:jc w:val="both"/>
        <w:rPr>
          <w:rFonts w:ascii="Calibri" w:eastAsia="Calibri" w:hAnsi="Calibri" w:cs="Calibri"/>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9E01F6" w:rsidRDefault="003E0AB9">
      <w:pPr>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w:t>
      </w:r>
      <w:r>
        <w:rPr>
          <w:rFonts w:ascii="Calibri" w:eastAsia="Calibri" w:hAnsi="Calibri" w:cs="Calibri"/>
          <w:color w:val="000000"/>
          <w:sz w:val="22"/>
          <w:szCs w:val="22"/>
        </w:rPr>
        <w:lastRenderedPageBreak/>
        <w:t xml:space="preserve">oferta. Una vez presentada dicha oferta o una vez resuelta la negación de la </w:t>
      </w:r>
      <w:r w:rsidR="00783EC6">
        <w:rPr>
          <w:rFonts w:ascii="Calibri" w:eastAsia="Calibri" w:hAnsi="Calibri" w:cs="Calibri"/>
          <w:color w:val="000000"/>
          <w:sz w:val="22"/>
          <w:szCs w:val="22"/>
        </w:rPr>
        <w:t>prórroga</w:t>
      </w:r>
      <w:r>
        <w:rPr>
          <w:rFonts w:ascii="Calibri" w:eastAsia="Calibri" w:hAnsi="Calibri" w:cs="Calibri"/>
          <w:color w:val="000000"/>
          <w:sz w:val="22"/>
          <w:szCs w:val="22"/>
        </w:rPr>
        <w:t>, la mencionada garantía será devuelta al oferente. En caso de que la Administración acceda a conceder la prórroga solicitada, esta será publicada en todos los medios que la Administración crea necesario.-</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9E01F6" w:rsidRDefault="003E0AB9">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9E01F6" w:rsidRDefault="009E01F6">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9.</w:t>
      </w:r>
      <w:r w:rsidR="00783EC6">
        <w:rPr>
          <w:rFonts w:ascii="Calibri" w:eastAsia="Calibri" w:hAnsi="Calibri" w:cs="Calibri"/>
          <w:b/>
          <w:sz w:val="22"/>
          <w:szCs w:val="22"/>
        </w:rPr>
        <w:t>- DEL</w:t>
      </w:r>
      <w:r>
        <w:rPr>
          <w:rFonts w:ascii="Calibri" w:eastAsia="Calibri" w:hAnsi="Calibri" w:cs="Calibri"/>
          <w:b/>
          <w:sz w:val="22"/>
          <w:szCs w:val="22"/>
        </w:rPr>
        <w:t xml:space="preserve">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9E01F6" w:rsidRDefault="003E0AB9">
      <w:pPr>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11.2.- </w:t>
      </w:r>
      <w:r>
        <w:rPr>
          <w:rFonts w:ascii="Calibri" w:eastAsia="Calibri" w:hAnsi="Calibri" w:cs="Calibri"/>
          <w:sz w:val="22"/>
          <w:szCs w:val="22"/>
        </w:rPr>
        <w:t>La presentación de las propuestas implica el compromiso liso y llano de la ejecución de la adquisición licitada.</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11.3.-</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9E01F6" w:rsidRDefault="003E0AB9">
      <w:pPr>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r>
        <w:rPr>
          <w:noProof/>
        </w:rPr>
        <mc:AlternateContent>
          <mc:Choice Requires="wps">
            <w:drawing>
              <wp:anchor distT="0" distB="0" distL="114300" distR="114300" simplePos="0" relativeHeight="251661312" behindDoc="0" locked="0" layoutInCell="1" hidden="0" allowOverlap="1">
                <wp:simplePos x="0" y="0"/>
                <wp:positionH relativeFrom="column">
                  <wp:posOffset>-76199</wp:posOffset>
                </wp:positionH>
                <wp:positionV relativeFrom="paragraph">
                  <wp:posOffset>838200</wp:posOffset>
                </wp:positionV>
                <wp:extent cx="5772150" cy="866775"/>
                <wp:effectExtent l="0" t="0" r="0" b="0"/>
                <wp:wrapNone/>
                <wp:docPr id="1" name="Rectángulo 1"/>
                <wp:cNvGraphicFramePr/>
                <a:graphic xmlns:a="http://schemas.openxmlformats.org/drawingml/2006/main">
                  <a:graphicData uri="http://schemas.microsoft.com/office/word/2010/wordprocessingShape">
                    <wps:wsp>
                      <wps:cNvSpPr/>
                      <wps:spPr>
                        <a:xfrm>
                          <a:off x="2464688" y="3351375"/>
                          <a:ext cx="5762625" cy="857250"/>
                        </a:xfrm>
                        <a:prstGeom prst="rect">
                          <a:avLst/>
                        </a:prstGeom>
                        <a:noFill/>
                        <a:ln w="9525" cap="sq" cmpd="sng">
                          <a:solidFill>
                            <a:srgbClr val="000000"/>
                          </a:solidFill>
                          <a:prstDash val="solid"/>
                          <a:miter lim="800000"/>
                          <a:headEnd type="none" w="sm" len="sm"/>
                          <a:tailEnd type="none" w="sm" len="sm"/>
                        </a:ln>
                      </wps:spPr>
                      <wps:txbx>
                        <w:txbxContent>
                          <w:p w:rsidR="009E01F6" w:rsidRDefault="009E01F6">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ángulo 1" o:spid="_x0000_s1026" style="position:absolute;left:0;text-align:left;margin-left:-6pt;margin-top:66pt;width:454.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" filled="f">
                <v:stroke startarrowwidth="narrow" startarrowlength="short" endarrowwidth="narrow" endarrowlength="short" endcap="square"/>
                <v:textbox inset="2.53958mm,2.53958mm,2.53958mm,2.53958mm">
                  <w:txbxContent>
                    <w:p w:rsidR="009E01F6" w:rsidRDefault="009E01F6">
                      <w:pPr>
                        <w:spacing w:after="0"/>
                        <w:textDirection w:val="btLr"/>
                      </w:pPr>
                    </w:p>
                  </w:txbxContent>
                </v:textbox>
              </v:rect>
            </w:pict>
          </mc:Fallback>
        </mc:AlternateConten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11.7.-</w:t>
      </w:r>
      <w:r>
        <w:rPr>
          <w:rFonts w:ascii="Calibri" w:eastAsia="Calibri" w:hAnsi="Calibri" w:cs="Calibri"/>
          <w:sz w:val="22"/>
          <w:szCs w:val="22"/>
        </w:rPr>
        <w:t xml:space="preserve"> </w:t>
      </w:r>
      <w:r>
        <w:rPr>
          <w:rFonts w:ascii="Calibri" w:eastAsia="Calibri" w:hAnsi="Calibri" w:cs="Calibri"/>
          <w:b/>
          <w:sz w:val="22"/>
          <w:szCs w:val="22"/>
        </w:rPr>
        <w:t xml:space="preserve">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9E01F6" w:rsidRDefault="003E0AB9">
      <w:pPr>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9E01F6" w:rsidRDefault="003E0AB9">
      <w:pPr>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9E01F6" w:rsidRPr="00A84892" w:rsidRDefault="003E0AB9">
      <w:pPr>
        <w:spacing w:line="360" w:lineRule="auto"/>
        <w:jc w:val="both"/>
        <w:rPr>
          <w:rFonts w:ascii="Calibri" w:eastAsia="Calibri" w:hAnsi="Calibri" w:cs="Calibri"/>
          <w:color w:val="000000" w:themeColor="text1"/>
          <w:sz w:val="22"/>
          <w:szCs w:val="22"/>
        </w:rPr>
      </w:pPr>
      <w:r w:rsidRPr="00A84892">
        <w:rPr>
          <w:rFonts w:ascii="Calibri" w:eastAsia="Calibri" w:hAnsi="Calibri" w:cs="Calibri"/>
          <w:b/>
          <w:color w:val="000000" w:themeColor="text1"/>
          <w:sz w:val="22"/>
          <w:szCs w:val="22"/>
        </w:rPr>
        <w:lastRenderedPageBreak/>
        <w:t>12.2.- En caso de los proveedores marítimos</w:t>
      </w:r>
      <w:r w:rsidRPr="00A84892">
        <w:rPr>
          <w:rFonts w:ascii="Calibri" w:eastAsia="Calibri" w:hAnsi="Calibri" w:cs="Calibri"/>
          <w:color w:val="000000" w:themeColor="text1"/>
          <w:sz w:val="22"/>
          <w:szCs w:val="22"/>
        </w:rPr>
        <w:t xml:space="preserve">, y solamente para los casos que corresponda (consumo a bordo,  reembarco o tránsito), se podrá cotizar en </w:t>
      </w:r>
      <w:r w:rsidRPr="00A84892">
        <w:rPr>
          <w:rFonts w:ascii="Calibri" w:eastAsia="Calibri" w:hAnsi="Calibri" w:cs="Calibri"/>
          <w:b/>
          <w:color w:val="000000" w:themeColor="text1"/>
          <w:sz w:val="22"/>
          <w:szCs w:val="22"/>
          <w:u w:val="single"/>
        </w:rPr>
        <w:t>moneda nacional exonerado del Impuesto al Valor Agregado (IVA)</w:t>
      </w:r>
      <w:r w:rsidRPr="00A84892">
        <w:rPr>
          <w:rFonts w:ascii="Calibri" w:eastAsia="Calibri" w:hAnsi="Calibri" w:cs="Calibri"/>
          <w:color w:val="000000" w:themeColor="text1"/>
          <w:sz w:val="22"/>
          <w:szCs w:val="22"/>
        </w:rPr>
        <w:t xml:space="preserve"> conforme a lo establecido en el Artículo 34 numeral 3) del Decreto Nº 220/98 (Mantenimiento de Naves), en la redacción dada por el Artículo 4º del Decreto 207/007 del 18/VI/2007. </w:t>
      </w:r>
    </w:p>
    <w:p w:rsidR="009E01F6" w:rsidRPr="00A84892" w:rsidRDefault="003E0AB9">
      <w:pPr>
        <w:spacing w:line="360" w:lineRule="auto"/>
        <w:jc w:val="both"/>
        <w:rPr>
          <w:rFonts w:ascii="Calibri" w:eastAsia="Calibri" w:hAnsi="Calibri" w:cs="Calibri"/>
          <w:color w:val="000000" w:themeColor="text1"/>
          <w:sz w:val="22"/>
          <w:szCs w:val="22"/>
        </w:rPr>
      </w:pPr>
      <w:r w:rsidRPr="00A84892">
        <w:rPr>
          <w:rFonts w:ascii="Calibri" w:eastAsia="Calibri" w:hAnsi="Calibri" w:cs="Calibri"/>
          <w:b/>
          <w:color w:val="000000" w:themeColor="text1"/>
          <w:sz w:val="22"/>
          <w:szCs w:val="22"/>
        </w:rPr>
        <w:t>El precio que se cotice deberá agregar flete y todo costo que lo integre hasta su efectiva entrega en la Armada Nacional</w:t>
      </w:r>
      <w:r w:rsidRPr="00A84892">
        <w:rPr>
          <w:rFonts w:ascii="Calibri" w:eastAsia="Calibri" w:hAnsi="Calibri" w:cs="Calibri"/>
          <w:color w:val="000000" w:themeColor="text1"/>
          <w:sz w:val="22"/>
          <w:szCs w:val="22"/>
        </w:rPr>
        <w:t xml:space="preserve"> entendiéndose en este caso también que si no se especifica su inclusión se entenderá que están incluidos, no pudiendo aclararlo luego.-</w:t>
      </w:r>
    </w:p>
    <w:p w:rsidR="009E01F6" w:rsidRDefault="003E0AB9">
      <w:pPr>
        <w:spacing w:line="360" w:lineRule="auto"/>
        <w:jc w:val="both"/>
        <w:rPr>
          <w:rFonts w:ascii="Calibri" w:eastAsia="Calibri" w:hAnsi="Calibri" w:cs="Calibri"/>
          <w:color w:val="FF0000"/>
          <w:sz w:val="22"/>
          <w:szCs w:val="22"/>
        </w:rPr>
      </w:pPr>
      <w:r w:rsidRPr="00A84892">
        <w:rPr>
          <w:rFonts w:ascii="Calibri" w:eastAsia="Calibri" w:hAnsi="Calibri" w:cs="Calibri"/>
          <w:color w:val="000000" w:themeColor="text1"/>
          <w:sz w:val="22"/>
          <w:szCs w:val="22"/>
        </w:rPr>
        <w:t>A los efectos del estudio comparativo de ofertas, se tomará el precio unitario total (con y sin IVA respectivamente). Ninguno de los dos regímenes impositivos será excluyente</w:t>
      </w:r>
      <w:r>
        <w:rPr>
          <w:rFonts w:ascii="Calibri" w:eastAsia="Calibri" w:hAnsi="Calibri" w:cs="Calibri"/>
          <w:color w:val="FF0000"/>
          <w:sz w:val="22"/>
          <w:szCs w:val="22"/>
        </w:rPr>
        <w:t>.-</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desecharán las ofertas que incluyan intereses por mora en los pagos que efectúe la Administración.-</w:t>
      </w: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12.5.-</w:t>
      </w:r>
      <w:r>
        <w:rPr>
          <w:rFonts w:ascii="Calibri" w:eastAsia="Calibri" w:hAnsi="Calibri" w:cs="Calibri"/>
          <w:sz w:val="22"/>
          <w:szCs w:val="22"/>
        </w:rPr>
        <w:t xml:space="preserve"> Se deberá cotizar precio unitario, costo total del ítem y costo total de la propuesta.-</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Pr="00783EC6" w:rsidRDefault="003E0AB9">
      <w:pPr>
        <w:spacing w:line="360" w:lineRule="auto"/>
        <w:jc w:val="both"/>
        <w:rPr>
          <w:rFonts w:ascii="Calibri" w:eastAsia="Calibri" w:hAnsi="Calibri" w:cs="Calibri"/>
          <w:color w:val="auto"/>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sidRPr="00783EC6">
        <w:rPr>
          <w:rFonts w:ascii="Calibri" w:eastAsia="Calibri" w:hAnsi="Calibri" w:cs="Calibri"/>
          <w:color w:val="auto"/>
          <w:sz w:val="22"/>
          <w:szCs w:val="22"/>
        </w:rPr>
        <w:t xml:space="preserve">El plazo de mantenimiento de </w:t>
      </w:r>
      <w:r w:rsidR="00783EC6" w:rsidRPr="00783EC6">
        <w:rPr>
          <w:rFonts w:ascii="Calibri" w:eastAsia="Calibri" w:hAnsi="Calibri" w:cs="Calibri"/>
          <w:color w:val="auto"/>
          <w:sz w:val="22"/>
          <w:szCs w:val="22"/>
        </w:rPr>
        <w:t>oferta se</w:t>
      </w:r>
      <w:r w:rsidRPr="00783EC6">
        <w:rPr>
          <w:rFonts w:ascii="Calibri" w:eastAsia="Calibri" w:hAnsi="Calibri" w:cs="Calibri"/>
          <w:color w:val="auto"/>
          <w:sz w:val="22"/>
          <w:szCs w:val="22"/>
        </w:rPr>
        <w:t xml:space="preserve"> expresará en la propuesta,</w:t>
      </w:r>
      <w:r w:rsidRPr="00783EC6">
        <w:rPr>
          <w:rFonts w:ascii="Calibri" w:eastAsia="Calibri" w:hAnsi="Calibri" w:cs="Calibri"/>
          <w:b/>
          <w:color w:val="auto"/>
          <w:sz w:val="22"/>
          <w:szCs w:val="22"/>
        </w:rPr>
        <w:t xml:space="preserve"> </w:t>
      </w:r>
      <w:r w:rsidRPr="00783EC6">
        <w:rPr>
          <w:rFonts w:ascii="Calibri" w:eastAsia="Calibri" w:hAnsi="Calibri" w:cs="Calibri"/>
          <w:color w:val="auto"/>
          <w:sz w:val="22"/>
          <w:szCs w:val="22"/>
        </w:rPr>
        <w:t>el cual</w:t>
      </w:r>
      <w:r w:rsidRPr="00783EC6">
        <w:rPr>
          <w:rFonts w:ascii="Calibri" w:eastAsia="Calibri" w:hAnsi="Calibri" w:cs="Calibri"/>
          <w:b/>
          <w:color w:val="auto"/>
          <w:sz w:val="22"/>
          <w:szCs w:val="22"/>
        </w:rPr>
        <w:t xml:space="preserve"> </w:t>
      </w:r>
      <w:r w:rsidR="00783EC6">
        <w:rPr>
          <w:rFonts w:ascii="Calibri" w:eastAsia="Calibri" w:hAnsi="Calibri" w:cs="Calibri"/>
          <w:b/>
          <w:color w:val="auto"/>
          <w:sz w:val="22"/>
          <w:szCs w:val="22"/>
        </w:rPr>
        <w:t xml:space="preserve">no podrá ser inferior a </w:t>
      </w:r>
      <w:r w:rsidR="00783EC6" w:rsidRPr="00783EC6">
        <w:rPr>
          <w:rFonts w:ascii="Calibri" w:eastAsia="Calibri" w:hAnsi="Calibri" w:cs="Calibri"/>
          <w:b/>
          <w:color w:val="auto"/>
          <w:sz w:val="22"/>
          <w:szCs w:val="22"/>
        </w:rPr>
        <w:t>60</w:t>
      </w:r>
      <w:r w:rsidRPr="00783EC6">
        <w:rPr>
          <w:rFonts w:ascii="Calibri" w:eastAsia="Calibri" w:hAnsi="Calibri" w:cs="Calibri"/>
          <w:b/>
          <w:color w:val="auto"/>
          <w:sz w:val="22"/>
          <w:szCs w:val="22"/>
        </w:rPr>
        <w:t xml:space="preserve"> (</w:t>
      </w:r>
      <w:r w:rsidR="00783EC6" w:rsidRPr="00783EC6">
        <w:rPr>
          <w:rFonts w:ascii="Calibri" w:eastAsia="Calibri" w:hAnsi="Calibri" w:cs="Calibri"/>
          <w:b/>
          <w:color w:val="auto"/>
          <w:sz w:val="22"/>
          <w:szCs w:val="22"/>
        </w:rPr>
        <w:t>sesenta</w:t>
      </w:r>
      <w:r w:rsidRPr="00783EC6">
        <w:rPr>
          <w:rFonts w:ascii="Calibri" w:eastAsia="Calibri" w:hAnsi="Calibri" w:cs="Calibri"/>
          <w:b/>
          <w:color w:val="auto"/>
          <w:sz w:val="22"/>
          <w:szCs w:val="22"/>
        </w:rPr>
        <w:t>) días corridos</w:t>
      </w:r>
      <w:r w:rsidRPr="00783EC6">
        <w:rPr>
          <w:rFonts w:ascii="Calibri" w:eastAsia="Calibri" w:hAnsi="Calibri" w:cs="Calibri"/>
          <w:color w:val="auto"/>
          <w:sz w:val="22"/>
          <w:szCs w:val="22"/>
        </w:rPr>
        <w:t xml:space="preserve"> a contar a partir del día siguiente a la apertura de ofertas.</w:t>
      </w:r>
    </w:p>
    <w:p w:rsidR="009E01F6" w:rsidRPr="00783EC6" w:rsidRDefault="003E0AB9">
      <w:pPr>
        <w:spacing w:line="360" w:lineRule="auto"/>
        <w:jc w:val="both"/>
        <w:rPr>
          <w:rFonts w:ascii="Calibri" w:eastAsia="Calibri" w:hAnsi="Calibri" w:cs="Calibri"/>
          <w:color w:val="auto"/>
          <w:sz w:val="22"/>
          <w:szCs w:val="22"/>
        </w:rPr>
      </w:pPr>
      <w:r w:rsidRPr="00783EC6">
        <w:rPr>
          <w:rFonts w:ascii="Calibri" w:eastAsia="Calibri" w:hAnsi="Calibri" w:cs="Calibri"/>
          <w:color w:val="auto"/>
          <w:sz w:val="22"/>
          <w:szCs w:val="22"/>
        </w:rPr>
        <w:t xml:space="preserve">En caso de omisión se deberá entender que el plazo durante el cual se mantienen las ofertas y los precios </w:t>
      </w:r>
      <w:r w:rsidRPr="00783EC6">
        <w:rPr>
          <w:rFonts w:ascii="Calibri" w:eastAsia="Calibri" w:hAnsi="Calibri" w:cs="Calibri"/>
          <w:b/>
          <w:color w:val="auto"/>
          <w:sz w:val="22"/>
          <w:szCs w:val="22"/>
        </w:rPr>
        <w:t xml:space="preserve">será el exigido de </w:t>
      </w:r>
      <w:r w:rsidR="00783EC6" w:rsidRPr="00783EC6">
        <w:rPr>
          <w:rFonts w:ascii="Calibri" w:eastAsia="Calibri" w:hAnsi="Calibri" w:cs="Calibri"/>
          <w:b/>
          <w:color w:val="auto"/>
          <w:sz w:val="22"/>
          <w:szCs w:val="22"/>
        </w:rPr>
        <w:t>60</w:t>
      </w:r>
      <w:r w:rsidRPr="00783EC6">
        <w:rPr>
          <w:rFonts w:ascii="Calibri" w:eastAsia="Calibri" w:hAnsi="Calibri" w:cs="Calibri"/>
          <w:b/>
          <w:color w:val="auto"/>
          <w:sz w:val="22"/>
          <w:szCs w:val="22"/>
        </w:rPr>
        <w:t xml:space="preserve"> (</w:t>
      </w:r>
      <w:r w:rsidR="00783EC6" w:rsidRPr="00783EC6">
        <w:rPr>
          <w:rFonts w:ascii="Calibri" w:eastAsia="Calibri" w:hAnsi="Calibri" w:cs="Calibri"/>
          <w:b/>
          <w:color w:val="auto"/>
          <w:sz w:val="22"/>
          <w:szCs w:val="22"/>
        </w:rPr>
        <w:t>sesenta</w:t>
      </w:r>
      <w:r w:rsidRPr="00783EC6">
        <w:rPr>
          <w:rFonts w:ascii="Calibri" w:eastAsia="Calibri" w:hAnsi="Calibri" w:cs="Calibri"/>
          <w:b/>
          <w:color w:val="auto"/>
          <w:sz w:val="22"/>
          <w:szCs w:val="22"/>
        </w:rPr>
        <w:t>) días corridos.-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Vencido el plazo de mantenimiento de oferta establecido, si aún no ha sido adjudicada la licitación, los proponentes quedarán obligados al mantenimiento de sus ofertas, salvo que comuniquen por escrito a la Unidad Centralizada de </w:t>
      </w:r>
      <w:r w:rsidR="00783EC6">
        <w:rPr>
          <w:rFonts w:ascii="Calibri" w:eastAsia="Calibri" w:hAnsi="Calibri" w:cs="Calibri"/>
          <w:color w:val="000000"/>
          <w:sz w:val="22"/>
          <w:szCs w:val="22"/>
        </w:rPr>
        <w:t>Compras de</w:t>
      </w:r>
      <w:r>
        <w:rPr>
          <w:rFonts w:ascii="Calibri" w:eastAsia="Calibri" w:hAnsi="Calibri" w:cs="Calibri"/>
          <w:color w:val="000000"/>
          <w:sz w:val="22"/>
          <w:szCs w:val="22"/>
        </w:rPr>
        <w:t xml:space="preserve"> la Armada (UCCAR), que desiste de ella.-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9E01F6" w:rsidRDefault="003E0AB9">
      <w:pPr>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14.</w:t>
      </w:r>
      <w:r w:rsidR="00783EC6">
        <w:rPr>
          <w:rFonts w:ascii="Calibri" w:eastAsia="Calibri" w:hAnsi="Calibri" w:cs="Calibri"/>
          <w:b/>
          <w:color w:val="000000"/>
          <w:sz w:val="22"/>
          <w:szCs w:val="22"/>
        </w:rPr>
        <w:t>- EVALUACIÓN</w:t>
      </w:r>
      <w:r>
        <w:rPr>
          <w:rFonts w:ascii="Calibri" w:eastAsia="Calibri" w:hAnsi="Calibri" w:cs="Calibri"/>
          <w:b/>
          <w:color w:val="000000"/>
          <w:sz w:val="22"/>
          <w:szCs w:val="22"/>
        </w:rPr>
        <w:t xml:space="preserve">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w:t>
      </w:r>
      <w:r w:rsidR="00783EC6">
        <w:rPr>
          <w:rFonts w:ascii="Calibri" w:eastAsia="Calibri" w:hAnsi="Calibri" w:cs="Calibri"/>
          <w:b/>
          <w:color w:val="000000"/>
          <w:sz w:val="22"/>
          <w:szCs w:val="22"/>
        </w:rPr>
        <w:t>- Luego</w:t>
      </w:r>
      <w:r>
        <w:rPr>
          <w:rFonts w:ascii="Calibri" w:eastAsia="Calibri" w:hAnsi="Calibri" w:cs="Calibri"/>
          <w:b/>
          <w:color w:val="000000"/>
          <w:sz w:val="22"/>
          <w:szCs w:val="22"/>
        </w:rPr>
        <w:t xml:space="preserve"> de la hora de apertura las ofertas serán evaluadas por la Comisión Asesora de Adjudicaciones de la Armada Nacional (CAAAN). La administración podrá solicitar a los oferentes que</w:t>
      </w:r>
      <w:r w:rsidR="00365420">
        <w:rPr>
          <w:rFonts w:ascii="Calibri" w:eastAsia="Calibri" w:hAnsi="Calibri" w:cs="Calibri"/>
          <w:b/>
          <w:color w:val="000000"/>
          <w:sz w:val="22"/>
          <w:szCs w:val="22"/>
        </w:rPr>
        <w:t xml:space="preserve"> presenten muestras y/o</w:t>
      </w:r>
      <w:r>
        <w:rPr>
          <w:rFonts w:ascii="Calibri" w:eastAsia="Calibri" w:hAnsi="Calibri" w:cs="Calibri"/>
          <w:b/>
          <w:color w:val="000000"/>
          <w:sz w:val="22"/>
          <w:szCs w:val="22"/>
        </w:rPr>
        <w:t xml:space="preserve"> </w:t>
      </w:r>
      <w:r>
        <w:rPr>
          <w:rFonts w:ascii="Calibri" w:eastAsia="Calibri" w:hAnsi="Calibri" w:cs="Calibri"/>
          <w:b/>
          <w:color w:val="000000"/>
          <w:sz w:val="22"/>
          <w:szCs w:val="22"/>
          <w:u w:val="single"/>
        </w:rPr>
        <w:t>información aclaratoria</w:t>
      </w:r>
      <w:r w:rsidR="002F78ED">
        <w:rPr>
          <w:rFonts w:ascii="Calibri" w:eastAsia="Calibri" w:hAnsi="Calibri" w:cs="Calibri"/>
          <w:b/>
          <w:color w:val="000000"/>
          <w:sz w:val="22"/>
          <w:szCs w:val="22"/>
        </w:rPr>
        <w:t xml:space="preserve"> del ítem cotizado</w:t>
      </w:r>
      <w:r>
        <w:rPr>
          <w:rFonts w:ascii="Calibri" w:eastAsia="Calibri" w:hAnsi="Calibri" w:cs="Calibri"/>
          <w:b/>
          <w:color w:val="000000"/>
          <w:sz w:val="22"/>
          <w:szCs w:val="22"/>
        </w:rPr>
        <w:t xml:space="preserve"> que requiera para su estudio, a efectos de apreciar las características y dictaminar si cumple con los requerimientos según pliego.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14.2.-</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Pr>
          <w:rFonts w:ascii="Calibri" w:eastAsia="Calibri" w:hAnsi="Calibri" w:cs="Calibri"/>
          <w:b/>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9E01F6" w:rsidRDefault="003E0AB9">
      <w:pPr>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sidR="002F78ED">
        <w:rPr>
          <w:rFonts w:ascii="Calibri" w:eastAsia="Calibri" w:hAnsi="Calibri" w:cs="Calibri"/>
          <w:b/>
          <w:color w:val="000000"/>
          <w:sz w:val="22"/>
          <w:szCs w:val="22"/>
        </w:rPr>
        <w:t>-</w:t>
      </w:r>
      <w:r w:rsidR="002F78ED">
        <w:rPr>
          <w:rFonts w:ascii="Calibri" w:eastAsia="Calibri" w:hAnsi="Calibri" w:cs="Calibri"/>
          <w:sz w:val="22"/>
          <w:szCs w:val="22"/>
        </w:rPr>
        <w:t xml:space="preserve"> La</w:t>
      </w:r>
      <w:r>
        <w:rPr>
          <w:rFonts w:ascii="Calibri" w:eastAsia="Calibri" w:hAnsi="Calibri" w:cs="Calibri"/>
          <w:color w:val="000000"/>
          <w:sz w:val="22"/>
          <w:szCs w:val="22"/>
        </w:rPr>
        <w:t xml:space="preserve"> Armada se reserva el derecho de adjudicar total o parcialmente los ítems solicitados, de aceptar las ofertas que más le convinieran o de rechazarlas todas a su exclusivo juicio y por razones de oportunidad o conveniencia. En el caso de que la oferta presentada supere el monto de la </w:t>
      </w:r>
      <w:r>
        <w:rPr>
          <w:rFonts w:ascii="Calibri" w:eastAsia="Calibri" w:hAnsi="Calibri" w:cs="Calibri"/>
          <w:color w:val="000000"/>
          <w:sz w:val="22"/>
          <w:szCs w:val="22"/>
        </w:rPr>
        <w:lastRenderedPageBreak/>
        <w:t>Licitación Abreviada, no se podrá tener en cuenta globalmente. Sin embargo la misma podrá ser adjudicada parcialmente siempre que lo solicitado así lo permita.-</w:t>
      </w:r>
    </w:p>
    <w:p w:rsidR="009E01F6" w:rsidRDefault="003E0AB9">
      <w:pPr>
        <w:spacing w:line="360" w:lineRule="auto"/>
        <w:jc w:val="both"/>
        <w:rPr>
          <w:rFonts w:ascii="Calibri" w:eastAsia="Calibri" w:hAnsi="Calibri" w:cs="Calibri"/>
          <w:color w:val="FF0000"/>
          <w:sz w:val="22"/>
          <w:szCs w:val="22"/>
        </w:rPr>
      </w:pPr>
      <w:r>
        <w:rPr>
          <w:rFonts w:ascii="Calibri" w:eastAsia="Calibri" w:hAnsi="Calibri" w:cs="Calibri"/>
          <w:b/>
          <w:sz w:val="22"/>
          <w:szCs w:val="22"/>
        </w:rPr>
        <w:t>15.2.-</w:t>
      </w:r>
      <w:r>
        <w:rPr>
          <w:rFonts w:ascii="Calibri" w:eastAsia="Calibri" w:hAnsi="Calibri" w:cs="Calibri"/>
          <w:sz w:val="22"/>
          <w:szCs w:val="22"/>
        </w:rPr>
        <w:t xml:space="preserve"> </w:t>
      </w:r>
      <w:r>
        <w:rPr>
          <w:rFonts w:ascii="Calibri" w:eastAsia="Calibri" w:hAnsi="Calibri" w:cs="Calibri"/>
          <w:b/>
          <w:sz w:val="22"/>
          <w:szCs w:val="22"/>
        </w:rPr>
        <w:t>Para evaluar las ofertas se tendrán en cuenta los siguientes FACTORES, así como la ponderación de cada uno de ellos acorde a lo previsto en el art. 48 del T.O.C.A.F:</w:t>
      </w:r>
    </w:p>
    <w:p w:rsidR="009E01F6" w:rsidRPr="0058075A" w:rsidRDefault="003E0AB9">
      <w:pPr>
        <w:spacing w:line="360" w:lineRule="auto"/>
        <w:jc w:val="center"/>
        <w:rPr>
          <w:rFonts w:ascii="Calibri" w:eastAsia="Calibri" w:hAnsi="Calibri" w:cs="Calibri"/>
          <w:color w:val="auto"/>
          <w:sz w:val="20"/>
          <w:szCs w:val="20"/>
          <w:u w:val="single"/>
        </w:rPr>
      </w:pPr>
      <w:r w:rsidRPr="0058075A">
        <w:rPr>
          <w:rFonts w:ascii="Calibri" w:eastAsia="Calibri" w:hAnsi="Calibri" w:cs="Calibri"/>
          <w:b/>
          <w:color w:val="auto"/>
          <w:sz w:val="22"/>
          <w:szCs w:val="22"/>
          <w:u w:val="single"/>
        </w:rPr>
        <w:t>FACTORES DE EVALUACIÓN Y PONDERACIÓN</w:t>
      </w:r>
    </w:p>
    <w:tbl>
      <w:tblPr>
        <w:tblStyle w:val="a"/>
        <w:tblW w:w="4957" w:type="dxa"/>
        <w:jc w:val="center"/>
        <w:tblInd w:w="0" w:type="dxa"/>
        <w:tblLayout w:type="fixed"/>
        <w:tblLook w:val="0000" w:firstRow="0" w:lastRow="0" w:firstColumn="0" w:lastColumn="0" w:noHBand="0" w:noVBand="0"/>
      </w:tblPr>
      <w:tblGrid>
        <w:gridCol w:w="915"/>
        <w:gridCol w:w="4042"/>
      </w:tblGrid>
      <w:tr w:rsidR="0058075A" w:rsidRPr="0058075A" w:rsidTr="0058075A">
        <w:trPr>
          <w:trHeight w:val="627"/>
          <w:jc w:val="center"/>
        </w:trPr>
        <w:tc>
          <w:tcPr>
            <w:tcW w:w="915" w:type="dxa"/>
            <w:tcBorders>
              <w:top w:val="single" w:sz="4" w:space="0" w:color="000000"/>
              <w:left w:val="single" w:sz="4" w:space="0" w:color="000000"/>
              <w:bottom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sidRPr="0058075A">
              <w:rPr>
                <w:rFonts w:ascii="Calibri" w:eastAsia="Calibri" w:hAnsi="Calibri" w:cs="Calibri"/>
                <w:color w:val="auto"/>
                <w:sz w:val="22"/>
                <w:szCs w:val="22"/>
              </w:rPr>
              <w:t>Precio</w:t>
            </w:r>
          </w:p>
        </w:tc>
        <w:tc>
          <w:tcPr>
            <w:tcW w:w="4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sidRPr="0058075A">
              <w:rPr>
                <w:rFonts w:ascii="Calibri" w:eastAsia="Calibri" w:hAnsi="Calibri" w:cs="Calibri"/>
                <w:color w:val="auto"/>
                <w:sz w:val="22"/>
                <w:szCs w:val="22"/>
              </w:rPr>
              <w:t>Antecedentes Negativos del Oferente en Contrataciones con el Estado</w:t>
            </w:r>
          </w:p>
        </w:tc>
      </w:tr>
      <w:tr w:rsidR="0058075A" w:rsidRPr="0058075A" w:rsidTr="0058075A">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Pr>
                <w:rFonts w:ascii="Calibri" w:eastAsia="Calibri" w:hAnsi="Calibri" w:cs="Calibri"/>
                <w:color w:val="auto"/>
                <w:sz w:val="22"/>
                <w:szCs w:val="22"/>
              </w:rPr>
              <w:t>8</w:t>
            </w:r>
            <w:r w:rsidRPr="0058075A">
              <w:rPr>
                <w:rFonts w:ascii="Calibri" w:eastAsia="Calibri" w:hAnsi="Calibri" w:cs="Calibri"/>
                <w:color w:val="auto"/>
                <w:sz w:val="22"/>
                <w:szCs w:val="22"/>
              </w:rPr>
              <w:t>0 %</w:t>
            </w:r>
          </w:p>
        </w:tc>
        <w:tc>
          <w:tcPr>
            <w:tcW w:w="4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75A" w:rsidRPr="0058075A" w:rsidRDefault="0058075A">
            <w:pPr>
              <w:spacing w:line="360" w:lineRule="auto"/>
              <w:jc w:val="center"/>
              <w:rPr>
                <w:rFonts w:ascii="Calibri" w:eastAsia="Calibri" w:hAnsi="Calibri" w:cs="Calibri"/>
                <w:color w:val="auto"/>
                <w:sz w:val="22"/>
                <w:szCs w:val="22"/>
              </w:rPr>
            </w:pPr>
            <w:r w:rsidRPr="0058075A">
              <w:rPr>
                <w:rFonts w:ascii="Calibri" w:eastAsia="Calibri" w:hAnsi="Calibri" w:cs="Calibri"/>
                <w:color w:val="auto"/>
                <w:sz w:val="22"/>
                <w:szCs w:val="22"/>
              </w:rPr>
              <w:t>20%</w:t>
            </w:r>
          </w:p>
        </w:tc>
      </w:tr>
    </w:tbl>
    <w:p w:rsidR="009E01F6" w:rsidRDefault="009E01F6">
      <w:pPr>
        <w:spacing w:line="360" w:lineRule="auto"/>
        <w:jc w:val="both"/>
        <w:rPr>
          <w:rFonts w:ascii="Calibri" w:eastAsia="Calibri" w:hAnsi="Calibri" w:cs="Calibri"/>
          <w:color w:val="FF0000"/>
          <w:sz w:val="22"/>
          <w:szCs w:val="22"/>
        </w:rPr>
      </w:pPr>
    </w:p>
    <w:p w:rsidR="009E01F6" w:rsidRPr="00346521" w:rsidRDefault="003E0AB9">
      <w:pPr>
        <w:pBdr>
          <w:top w:val="nil"/>
          <w:left w:val="nil"/>
          <w:bottom w:val="nil"/>
          <w:right w:val="nil"/>
          <w:between w:val="nil"/>
        </w:pBdr>
        <w:spacing w:line="360" w:lineRule="auto"/>
        <w:ind w:left="567"/>
        <w:jc w:val="both"/>
        <w:rPr>
          <w:rFonts w:ascii="Calibri" w:eastAsia="Calibri" w:hAnsi="Calibri" w:cs="Calibri"/>
          <w:color w:val="auto"/>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 xml:space="preserve">se evaluarán de la siguiente </w:t>
      </w:r>
      <w:r w:rsidRPr="00346521">
        <w:rPr>
          <w:rFonts w:ascii="Calibri" w:eastAsia="Calibri" w:hAnsi="Calibri" w:cs="Calibri"/>
          <w:color w:val="auto"/>
          <w:sz w:val="22"/>
          <w:szCs w:val="22"/>
        </w:rPr>
        <w:t xml:space="preserve">manera: </w:t>
      </w:r>
    </w:p>
    <w:p w:rsidR="009E01F6" w:rsidRPr="00346521" w:rsidRDefault="003E0AB9">
      <w:pPr>
        <w:numPr>
          <w:ilvl w:val="0"/>
          <w:numId w:val="1"/>
        </w:numPr>
        <w:pBdr>
          <w:top w:val="nil"/>
          <w:left w:val="nil"/>
          <w:bottom w:val="nil"/>
          <w:right w:val="nil"/>
          <w:between w:val="nil"/>
        </w:pBdr>
        <w:spacing w:line="360" w:lineRule="auto"/>
        <w:jc w:val="both"/>
        <w:rPr>
          <w:color w:val="auto"/>
        </w:rPr>
      </w:pPr>
      <w:r w:rsidRPr="00346521">
        <w:rPr>
          <w:rFonts w:ascii="Calibri" w:eastAsia="Calibri" w:hAnsi="Calibri" w:cs="Calibri"/>
          <w:b/>
          <w:color w:val="auto"/>
          <w:sz w:val="22"/>
          <w:szCs w:val="22"/>
        </w:rPr>
        <w:t xml:space="preserve"> PRECIO: </w:t>
      </w:r>
      <w:r w:rsidRPr="00346521">
        <w:rPr>
          <w:rFonts w:ascii="Calibri" w:eastAsia="Calibri" w:hAnsi="Calibri" w:cs="Calibri"/>
          <w:color w:val="auto"/>
          <w:sz w:val="22"/>
          <w:szCs w:val="22"/>
        </w:rPr>
        <w:t xml:space="preserve">se evaluará otorgando mayor valor al menor precio ofertado de acuerdo a la siguiente fórmula: </w:t>
      </w:r>
      <w:r w:rsidR="0058075A" w:rsidRPr="00346521">
        <w:rPr>
          <w:rFonts w:ascii="Calibri" w:eastAsia="Calibri" w:hAnsi="Calibri" w:cs="Calibri"/>
          <w:color w:val="auto"/>
          <w:sz w:val="22"/>
          <w:szCs w:val="22"/>
        </w:rPr>
        <w:t>precio menor/precio evaluado X 8</w:t>
      </w:r>
      <w:r w:rsidRPr="00346521">
        <w:rPr>
          <w:rFonts w:ascii="Calibri" w:eastAsia="Calibri" w:hAnsi="Calibri" w:cs="Calibri"/>
          <w:color w:val="auto"/>
          <w:sz w:val="22"/>
          <w:szCs w:val="22"/>
        </w:rPr>
        <w:t>0 (en este caso).</w:t>
      </w:r>
    </w:p>
    <w:p w:rsidR="009E01F6" w:rsidRPr="00346521" w:rsidRDefault="003E0AB9">
      <w:pPr>
        <w:numPr>
          <w:ilvl w:val="0"/>
          <w:numId w:val="1"/>
        </w:numPr>
        <w:pBdr>
          <w:top w:val="nil"/>
          <w:left w:val="nil"/>
          <w:bottom w:val="nil"/>
          <w:right w:val="nil"/>
          <w:between w:val="nil"/>
        </w:pBdr>
        <w:spacing w:after="0" w:line="360" w:lineRule="auto"/>
        <w:ind w:left="1395"/>
        <w:rPr>
          <w:color w:val="auto"/>
        </w:rPr>
      </w:pPr>
      <w:r w:rsidRPr="00346521">
        <w:rPr>
          <w:rFonts w:ascii="Calibri" w:eastAsia="Calibri" w:hAnsi="Calibri" w:cs="Calibri"/>
          <w:b/>
          <w:color w:val="auto"/>
          <w:sz w:val="22"/>
          <w:szCs w:val="22"/>
        </w:rPr>
        <w:t xml:space="preserve">ANTECEDENTES  NEGATIVOS DEL OFERENTE EN CONTRATACIONES CON EL ESTADO: </w:t>
      </w:r>
    </w:p>
    <w:p w:rsidR="009E01F6" w:rsidRPr="00346521" w:rsidRDefault="003E0AB9">
      <w:pPr>
        <w:pBdr>
          <w:top w:val="nil"/>
          <w:left w:val="nil"/>
          <w:bottom w:val="nil"/>
          <w:right w:val="nil"/>
          <w:between w:val="nil"/>
        </w:pBdr>
        <w:spacing w:after="0" w:line="360" w:lineRule="auto"/>
        <w:ind w:left="1395"/>
        <w:rPr>
          <w:rFonts w:ascii="Calibri" w:eastAsia="Calibri" w:hAnsi="Calibri" w:cs="Calibri"/>
          <w:color w:val="auto"/>
          <w:sz w:val="22"/>
          <w:szCs w:val="22"/>
        </w:rPr>
      </w:pPr>
      <w:r w:rsidRPr="00346521">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9E01F6" w:rsidRDefault="003E0AB9">
      <w:pPr>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9E01F6" w:rsidRDefault="009E01F6">
      <w:pPr>
        <w:pBdr>
          <w:top w:val="nil"/>
          <w:left w:val="nil"/>
          <w:bottom w:val="nil"/>
          <w:right w:val="nil"/>
          <w:between w:val="nil"/>
        </w:pBdr>
        <w:spacing w:after="0" w:line="360" w:lineRule="auto"/>
        <w:ind w:left="1395"/>
        <w:rPr>
          <w:rFonts w:ascii="Calibri" w:eastAsia="Calibri" w:hAnsi="Calibri" w:cs="Calibri"/>
          <w:color w:val="FF3333"/>
          <w:sz w:val="22"/>
          <w:szCs w:val="22"/>
        </w:rPr>
      </w:pP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w:t>
      </w:r>
      <w:r w:rsidR="0058075A">
        <w:rPr>
          <w:rFonts w:ascii="Calibri" w:eastAsia="Calibri" w:hAnsi="Calibri" w:cs="Calibri"/>
          <w:sz w:val="22"/>
          <w:szCs w:val="22"/>
        </w:rPr>
        <w:t>los factores</w:t>
      </w:r>
      <w:r>
        <w:rPr>
          <w:rFonts w:ascii="Calibri" w:eastAsia="Calibri" w:hAnsi="Calibri" w:cs="Calibri"/>
          <w:sz w:val="22"/>
          <w:szCs w:val="22"/>
        </w:rPr>
        <w:t xml:space="preserve"> de ponderación establecidos se obtendrá el resultado final.</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 DE LA </w:t>
      </w:r>
      <w:r w:rsidR="0058075A">
        <w:rPr>
          <w:rFonts w:ascii="Calibri" w:eastAsia="Calibri" w:hAnsi="Calibri" w:cs="Calibri"/>
          <w:b/>
          <w:color w:val="000000"/>
          <w:sz w:val="22"/>
          <w:szCs w:val="22"/>
        </w:rPr>
        <w:t>ENTREGA Y EJECUCIÓN</w:t>
      </w:r>
      <w:r>
        <w:rPr>
          <w:rFonts w:ascii="Calibri" w:eastAsia="Calibri" w:hAnsi="Calibri" w:cs="Calibri"/>
          <w:b/>
          <w:color w:val="000000"/>
          <w:sz w:val="22"/>
          <w:szCs w:val="22"/>
        </w:rPr>
        <w:t xml:space="preserve">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p>
    <w:p w:rsidR="009E01F6" w:rsidRPr="0058075A" w:rsidRDefault="003E0AB9">
      <w:pPr>
        <w:spacing w:line="360" w:lineRule="auto"/>
        <w:jc w:val="both"/>
        <w:rPr>
          <w:rFonts w:ascii="Calibri" w:eastAsia="Calibri" w:hAnsi="Calibri" w:cs="Calibri"/>
          <w:color w:val="auto"/>
          <w:sz w:val="22"/>
          <w:szCs w:val="22"/>
        </w:rPr>
      </w:pPr>
      <w:r w:rsidRPr="0058075A">
        <w:rPr>
          <w:rFonts w:ascii="Calibri" w:eastAsia="Calibri" w:hAnsi="Calibri" w:cs="Calibri"/>
          <w:b/>
          <w:color w:val="auto"/>
          <w:sz w:val="22"/>
          <w:szCs w:val="22"/>
        </w:rPr>
        <w:t>16.1</w:t>
      </w:r>
      <w:r w:rsidRPr="0058075A">
        <w:rPr>
          <w:rFonts w:ascii="Calibri" w:eastAsia="Calibri" w:hAnsi="Calibri" w:cs="Calibri"/>
          <w:color w:val="auto"/>
          <w:sz w:val="22"/>
          <w:szCs w:val="22"/>
        </w:rPr>
        <w:t xml:space="preserve">- El plazo de entrega de los artículos solicitados, se establecerá en la propuesta </w:t>
      </w:r>
      <w:r w:rsidR="0058075A" w:rsidRPr="0058075A">
        <w:rPr>
          <w:rFonts w:ascii="Calibri" w:eastAsia="Calibri" w:hAnsi="Calibri" w:cs="Calibri"/>
          <w:color w:val="auto"/>
          <w:sz w:val="22"/>
          <w:szCs w:val="22"/>
        </w:rPr>
        <w:t>y no</w:t>
      </w:r>
      <w:r w:rsidRPr="0058075A">
        <w:rPr>
          <w:rFonts w:ascii="Calibri" w:eastAsia="Calibri" w:hAnsi="Calibri" w:cs="Calibri"/>
          <w:b/>
          <w:color w:val="auto"/>
          <w:sz w:val="22"/>
          <w:szCs w:val="22"/>
        </w:rPr>
        <w:t xml:space="preserve"> podrá ser superior a </w:t>
      </w:r>
      <w:r w:rsidR="0058075A" w:rsidRPr="0058075A">
        <w:rPr>
          <w:rFonts w:ascii="Calibri" w:eastAsia="Calibri" w:hAnsi="Calibri" w:cs="Calibri"/>
          <w:b/>
          <w:color w:val="auto"/>
          <w:sz w:val="22"/>
          <w:szCs w:val="22"/>
        </w:rPr>
        <w:t>7</w:t>
      </w:r>
      <w:r w:rsidRPr="0058075A">
        <w:rPr>
          <w:rFonts w:ascii="Calibri" w:eastAsia="Calibri" w:hAnsi="Calibri" w:cs="Calibri"/>
          <w:b/>
          <w:color w:val="auto"/>
          <w:sz w:val="22"/>
          <w:szCs w:val="22"/>
        </w:rPr>
        <w:t xml:space="preserve"> (</w:t>
      </w:r>
      <w:r w:rsidR="0058075A" w:rsidRPr="0058075A">
        <w:rPr>
          <w:rFonts w:ascii="Calibri" w:eastAsia="Calibri" w:hAnsi="Calibri" w:cs="Calibri"/>
          <w:b/>
          <w:color w:val="auto"/>
          <w:sz w:val="22"/>
          <w:szCs w:val="22"/>
        </w:rPr>
        <w:t>siete</w:t>
      </w:r>
      <w:r w:rsidRPr="0058075A">
        <w:rPr>
          <w:rFonts w:ascii="Calibri" w:eastAsia="Calibri" w:hAnsi="Calibri" w:cs="Calibri"/>
          <w:b/>
          <w:color w:val="auto"/>
          <w:sz w:val="22"/>
          <w:szCs w:val="22"/>
        </w:rPr>
        <w:t>) días corridos</w:t>
      </w:r>
      <w:r w:rsidRPr="0058075A">
        <w:rPr>
          <w:rFonts w:ascii="Calibri" w:eastAsia="Calibri" w:hAnsi="Calibri" w:cs="Calibri"/>
          <w:color w:val="auto"/>
          <w:sz w:val="22"/>
          <w:szCs w:val="22"/>
        </w:rPr>
        <w:t xml:space="preserve">, contados desde el día siguiente a aquel en que se hizo efectiva la entrega de la constancia de Afectación del Crédito (Orden de Compra). En caso de omisión, se entenderá que </w:t>
      </w:r>
      <w:r w:rsidRPr="0058075A">
        <w:rPr>
          <w:rFonts w:ascii="Calibri" w:eastAsia="Calibri" w:hAnsi="Calibri" w:cs="Calibri"/>
          <w:b/>
          <w:color w:val="auto"/>
          <w:sz w:val="22"/>
          <w:szCs w:val="22"/>
        </w:rPr>
        <w:t xml:space="preserve">el plazo será de </w:t>
      </w:r>
      <w:r w:rsidR="0058075A" w:rsidRPr="0058075A">
        <w:rPr>
          <w:rFonts w:ascii="Calibri" w:eastAsia="Calibri" w:hAnsi="Calibri" w:cs="Calibri"/>
          <w:b/>
          <w:color w:val="auto"/>
          <w:sz w:val="22"/>
          <w:szCs w:val="22"/>
        </w:rPr>
        <w:t>7</w:t>
      </w:r>
      <w:r w:rsidRPr="0058075A">
        <w:rPr>
          <w:rFonts w:ascii="Calibri" w:eastAsia="Calibri" w:hAnsi="Calibri" w:cs="Calibri"/>
          <w:b/>
          <w:color w:val="auto"/>
          <w:sz w:val="22"/>
          <w:szCs w:val="22"/>
        </w:rPr>
        <w:t xml:space="preserve"> (</w:t>
      </w:r>
      <w:r w:rsidR="0058075A" w:rsidRPr="0058075A">
        <w:rPr>
          <w:rFonts w:ascii="Calibri" w:eastAsia="Calibri" w:hAnsi="Calibri" w:cs="Calibri"/>
          <w:b/>
          <w:color w:val="auto"/>
          <w:sz w:val="22"/>
          <w:szCs w:val="22"/>
        </w:rPr>
        <w:t>siete</w:t>
      </w:r>
      <w:r w:rsidRPr="0058075A">
        <w:rPr>
          <w:rFonts w:ascii="Calibri" w:eastAsia="Calibri" w:hAnsi="Calibri" w:cs="Calibri"/>
          <w:b/>
          <w:color w:val="auto"/>
          <w:sz w:val="22"/>
          <w:szCs w:val="22"/>
        </w:rPr>
        <w:t>) días corridos</w:t>
      </w:r>
      <w:r w:rsidRPr="0058075A">
        <w:rPr>
          <w:rFonts w:ascii="Calibri" w:eastAsia="Calibri" w:hAnsi="Calibri" w:cs="Calibri"/>
          <w:color w:val="auto"/>
          <w:sz w:val="22"/>
          <w:szCs w:val="22"/>
        </w:rPr>
        <w:t xml:space="preserve">, </w:t>
      </w:r>
      <w:r w:rsidRPr="0058075A">
        <w:rPr>
          <w:rFonts w:ascii="Calibri" w:eastAsia="Calibri" w:hAnsi="Calibri" w:cs="Calibri"/>
          <w:b/>
          <w:color w:val="auto"/>
          <w:sz w:val="22"/>
          <w:szCs w:val="22"/>
        </w:rPr>
        <w:t>previa coordinación con</w:t>
      </w:r>
      <w:r w:rsidR="0058075A" w:rsidRPr="0058075A">
        <w:rPr>
          <w:rFonts w:ascii="Calibri" w:eastAsia="Calibri" w:hAnsi="Calibri" w:cs="Calibri"/>
          <w:b/>
          <w:color w:val="auto"/>
          <w:sz w:val="22"/>
          <w:szCs w:val="22"/>
        </w:rPr>
        <w:t xml:space="preserve"> Estado Mayor de Material Naval</w:t>
      </w:r>
      <w:r w:rsidRPr="0058075A">
        <w:rPr>
          <w:rFonts w:ascii="Calibri" w:eastAsia="Calibri" w:hAnsi="Calibri" w:cs="Calibri"/>
          <w:b/>
          <w:color w:val="auto"/>
          <w:sz w:val="22"/>
          <w:szCs w:val="22"/>
        </w:rPr>
        <w:t xml:space="preserve"> </w:t>
      </w:r>
      <w:r w:rsidR="0058075A" w:rsidRPr="0058075A">
        <w:rPr>
          <w:rFonts w:ascii="Calibri" w:eastAsia="Calibri" w:hAnsi="Calibri" w:cs="Calibri"/>
          <w:b/>
          <w:color w:val="auto"/>
          <w:sz w:val="22"/>
          <w:szCs w:val="22"/>
        </w:rPr>
        <w:t xml:space="preserve">(EMMAT), </w:t>
      </w:r>
      <w:r w:rsidRPr="0058075A">
        <w:rPr>
          <w:rFonts w:ascii="Calibri" w:eastAsia="Calibri" w:hAnsi="Calibri" w:cs="Calibri"/>
          <w:color w:val="auto"/>
          <w:sz w:val="22"/>
          <w:szCs w:val="22"/>
        </w:rPr>
        <w:t xml:space="preserve">de lunes a viernes en el horario de 08:30 a 13:00 hrs, teléfono: </w:t>
      </w:r>
      <w:r w:rsidR="0058075A" w:rsidRPr="0058075A">
        <w:rPr>
          <w:rFonts w:ascii="Calibri" w:eastAsia="Calibri" w:hAnsi="Calibri" w:cs="Calibri"/>
          <w:color w:val="auto"/>
          <w:sz w:val="22"/>
          <w:szCs w:val="22"/>
        </w:rPr>
        <w:t>2915.55.00 int. 525.-</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16.2.-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w:t>
      </w:r>
      <w:r w:rsidR="0058075A">
        <w:rPr>
          <w:rFonts w:ascii="Calibri" w:eastAsia="Calibri" w:hAnsi="Calibri" w:cs="Calibri"/>
          <w:color w:val="000000"/>
          <w:sz w:val="22"/>
          <w:szCs w:val="22"/>
        </w:rPr>
        <w:t>posterioridad a</w:t>
      </w:r>
      <w:r>
        <w:rPr>
          <w:rFonts w:ascii="Calibri" w:eastAsia="Calibri" w:hAnsi="Calibri" w:cs="Calibri"/>
          <w:color w:val="000000"/>
          <w:sz w:val="22"/>
          <w:szCs w:val="22"/>
        </w:rPr>
        <w:t xml:space="preserve"> dicha recepción provisional, como asimismo comprobación de recibo de menores cantidades que las adquiridas o de </w:t>
      </w:r>
      <w:r w:rsidR="0058075A">
        <w:rPr>
          <w:rFonts w:ascii="Calibri" w:eastAsia="Calibri" w:hAnsi="Calibri" w:cs="Calibri"/>
          <w:color w:val="000000"/>
          <w:sz w:val="22"/>
          <w:szCs w:val="22"/>
        </w:rPr>
        <w:t>elementos componentes</w:t>
      </w:r>
      <w:r>
        <w:rPr>
          <w:rFonts w:ascii="Calibri" w:eastAsia="Calibri" w:hAnsi="Calibri" w:cs="Calibri"/>
          <w:color w:val="000000"/>
          <w:sz w:val="22"/>
          <w:szCs w:val="22"/>
        </w:rPr>
        <w:t xml:space="preserve"> tenidos en cuenta en la contratación.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Si el proveedor no hubiese hecho la sustitución correspondiente, ni justificado a satisfacción de la Administración la demora originada, se le podrán aplicar las sanciones pertinentes.-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16.3-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Licitación Abreviada, </w:t>
      </w:r>
      <w:r w:rsidR="001041C5">
        <w:rPr>
          <w:rFonts w:ascii="Calibri" w:eastAsia="Calibri" w:hAnsi="Calibri" w:cs="Calibri"/>
          <w:color w:val="000000"/>
          <w:sz w:val="22"/>
          <w:szCs w:val="22"/>
        </w:rPr>
        <w:t>aun</w:t>
      </w:r>
      <w:r>
        <w:rPr>
          <w:rFonts w:ascii="Calibri" w:eastAsia="Calibri" w:hAnsi="Calibri" w:cs="Calibri"/>
          <w:color w:val="000000"/>
          <w:sz w:val="22"/>
          <w:szCs w:val="22"/>
        </w:rPr>
        <w:t xml:space="preserve"> cuando la oferta presentada supere el monto de la misma.-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17.2</w:t>
      </w:r>
      <w:r>
        <w:rPr>
          <w:rFonts w:ascii="Calibri" w:eastAsia="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17.3.-</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17.4.-</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17.5.-</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w:t>
      </w:r>
      <w:r w:rsidR="001041C5">
        <w:rPr>
          <w:rFonts w:ascii="Calibri" w:eastAsia="Calibri" w:hAnsi="Calibri" w:cs="Calibri"/>
          <w:color w:val="000000"/>
          <w:sz w:val="22"/>
          <w:szCs w:val="22"/>
        </w:rPr>
        <w:t>Unidad mencionada por</w:t>
      </w:r>
      <w:r>
        <w:rPr>
          <w:rFonts w:ascii="Calibri" w:eastAsia="Calibri" w:hAnsi="Calibri" w:cs="Calibri"/>
          <w:color w:val="000000"/>
          <w:sz w:val="22"/>
          <w:szCs w:val="22"/>
        </w:rPr>
        <w:t xml:space="preserve"> el recibo correspondiente.-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17.6.-</w:t>
      </w:r>
      <w:r>
        <w:rPr>
          <w:rFonts w:ascii="Calibri" w:eastAsia="Calibri" w:hAnsi="Calibri" w:cs="Calibri"/>
          <w:color w:val="000000"/>
          <w:sz w:val="22"/>
          <w:szCs w:val="22"/>
        </w:rPr>
        <w:t xml:space="preserve"> Las garantías estarán incondicionalmente a la disposición de la Armada </w:t>
      </w:r>
      <w:r w:rsidR="001041C5">
        <w:rPr>
          <w:rFonts w:ascii="Calibri" w:eastAsia="Calibri" w:hAnsi="Calibri" w:cs="Calibri"/>
          <w:color w:val="000000"/>
          <w:sz w:val="22"/>
          <w:szCs w:val="22"/>
        </w:rPr>
        <w:t>Nacional y</w:t>
      </w:r>
      <w:r>
        <w:rPr>
          <w:rFonts w:ascii="Calibri" w:eastAsia="Calibri" w:hAnsi="Calibri" w:cs="Calibri"/>
          <w:color w:val="000000"/>
          <w:sz w:val="22"/>
          <w:szCs w:val="22"/>
        </w:rPr>
        <w:t xml:space="preserve"> no deberán demandar ningún trámite especial para hacer efectivo su cobro dentro de las 24 horas que éste fuera solicitado.-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17.7.-</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w:t>
      </w:r>
      <w:r>
        <w:rPr>
          <w:rFonts w:ascii="Calibri" w:eastAsia="Calibri" w:hAnsi="Calibri" w:cs="Calibri"/>
          <w:color w:val="000000"/>
          <w:sz w:val="22"/>
          <w:szCs w:val="22"/>
        </w:rPr>
        <w:lastRenderedPageBreak/>
        <w:t>responsabilidad por los daños y perjuicios ocasionados a la Administración y el pago de la multa correspondiente.-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17.8.-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color w:val="000000"/>
          <w:sz w:val="22"/>
          <w:szCs w:val="22"/>
        </w:rPr>
        <w:t xml:space="preserve"> </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w:t>
      </w:r>
      <w:r w:rsidR="001041C5">
        <w:rPr>
          <w:rFonts w:ascii="Calibri" w:eastAsia="Calibri" w:hAnsi="Calibri" w:cs="Calibri"/>
          <w:color w:val="000000"/>
          <w:sz w:val="22"/>
          <w:szCs w:val="22"/>
        </w:rPr>
        <w:t>anterior y</w:t>
      </w:r>
      <w:r>
        <w:rPr>
          <w:rFonts w:ascii="Calibri" w:eastAsia="Calibri" w:hAnsi="Calibri" w:cs="Calibri"/>
          <w:color w:val="000000"/>
          <w:sz w:val="22"/>
          <w:szCs w:val="22"/>
        </w:rPr>
        <w:t xml:space="preserve"> sus consecuencias, se entiende producirse antes de que se formalice el vínculo contractual correspondiente.-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w:t>
      </w:r>
      <w:r>
        <w:rPr>
          <w:rFonts w:ascii="Calibri" w:eastAsia="Calibri" w:hAnsi="Calibri" w:cs="Calibri"/>
          <w:color w:val="000000"/>
          <w:sz w:val="22"/>
          <w:szCs w:val="22"/>
        </w:rPr>
        <w:lastRenderedPageBreak/>
        <w:t>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eastAsia="Calibri" w:hAnsi="Calibri" w:cs="Calibri"/>
          <w:b/>
          <w:color w:val="000000"/>
          <w:sz w:val="22"/>
          <w:szCs w:val="22"/>
        </w:rPr>
        <w:t xml:space="preserve"> </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19.3.-</w:t>
      </w:r>
      <w:r>
        <w:rPr>
          <w:rFonts w:ascii="Calibri" w:eastAsia="Calibri" w:hAnsi="Calibri" w:cs="Calibri"/>
          <w:color w:val="000000"/>
          <w:sz w:val="22"/>
          <w:szCs w:val="22"/>
        </w:rPr>
        <w:t xml:space="preserve"> </w:t>
      </w:r>
      <w:r>
        <w:rPr>
          <w:rFonts w:ascii="Calibri" w:eastAsia="Calibri" w:hAnsi="Calibri" w:cs="Calibri"/>
          <w:b/>
          <w:color w:val="000000"/>
          <w:sz w:val="22"/>
          <w:szCs w:val="22"/>
        </w:rPr>
        <w:t>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Pr>
          <w:rFonts w:ascii="Calibri" w:eastAsia="Calibri" w:hAnsi="Calibri" w:cs="Calibri"/>
          <w:b/>
          <w:color w:val="000000"/>
          <w:sz w:val="22"/>
          <w:szCs w:val="22"/>
        </w:rPr>
        <w:t xml:space="preserve"> </w:t>
      </w:r>
      <w:r>
        <w:rPr>
          <w:rFonts w:ascii="Calibri" w:eastAsia="Calibri" w:hAnsi="Calibri" w:cs="Calibri"/>
          <w:color w:val="000000"/>
          <w:sz w:val="22"/>
          <w:szCs w:val="22"/>
        </w:rPr>
        <w:t>adjudicataria, en caso de incumplimiento de esta última.-</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w:t>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E01F6" w:rsidRDefault="003E0AB9">
      <w:pP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w:t>
      </w:r>
      <w:r>
        <w:rPr>
          <w:rFonts w:ascii="Calibri" w:eastAsia="Calibri" w:hAnsi="Calibri" w:cs="Calibri"/>
          <w:color w:val="000000"/>
          <w:sz w:val="22"/>
          <w:szCs w:val="22"/>
        </w:rPr>
        <w:t xml:space="preserve"> El pago se efectuará en </w:t>
      </w:r>
      <w:r>
        <w:rPr>
          <w:rFonts w:ascii="Calibri" w:eastAsia="Calibri" w:hAnsi="Calibri" w:cs="Calibri"/>
          <w:b/>
          <w:color w:val="000000"/>
          <w:sz w:val="22"/>
          <w:szCs w:val="22"/>
        </w:rPr>
        <w:t>moneda nacional</w:t>
      </w:r>
      <w:r>
        <w:rPr>
          <w:rFonts w:ascii="Calibri" w:eastAsia="Calibri" w:hAnsi="Calibri" w:cs="Calibri"/>
          <w:color w:val="000000"/>
          <w:sz w:val="22"/>
          <w:szCs w:val="22"/>
        </w:rPr>
        <w:t xml:space="preserve"> de curso legal, por intermedio de la Tesorería General de la Nación, por el Sistema Integrado de Información Financiera (SIIF) a Crédito.-</w:t>
      </w:r>
    </w:p>
    <w:p w:rsidR="009E01F6" w:rsidRDefault="003E0AB9">
      <w:pPr>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9E01F6" w:rsidRDefault="009E01F6">
      <w:pPr>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w:t>
      </w:r>
      <w:r>
        <w:rPr>
          <w:rFonts w:ascii="Calibri" w:eastAsia="Calibri" w:hAnsi="Calibri" w:cs="Calibri"/>
          <w:color w:val="000000"/>
          <w:sz w:val="22"/>
          <w:szCs w:val="22"/>
        </w:rPr>
        <w:lastRenderedPageBreak/>
        <w:t>consienta una vez que sea notificado fehacientemente de la cesión de que se trata. (art. 1737 y siguiente del Código Civil)</w:t>
      </w: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9E01F6" w:rsidRDefault="009E01F6">
      <w:pPr>
        <w:pBdr>
          <w:top w:val="nil"/>
          <w:left w:val="nil"/>
          <w:bottom w:val="nil"/>
          <w:right w:val="nil"/>
          <w:between w:val="nil"/>
        </w:pBdr>
        <w:spacing w:after="0" w:line="360" w:lineRule="auto"/>
        <w:jc w:val="both"/>
        <w:rPr>
          <w:rFonts w:ascii="Calibri" w:eastAsia="Calibri" w:hAnsi="Calibri" w:cs="Calibri"/>
          <w:color w:val="000000"/>
          <w:sz w:val="22"/>
          <w:szCs w:val="22"/>
        </w:rPr>
      </w:pPr>
    </w:p>
    <w:p w:rsidR="009E01F6" w:rsidRDefault="003E0AB9">
      <w:pPr>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9E01F6" w:rsidRDefault="003E0AB9">
      <w:pPr>
        <w:spacing w:line="360" w:lineRule="auto"/>
        <w:jc w:val="both"/>
        <w:rPr>
          <w:rFonts w:ascii="Calibri" w:eastAsia="Calibri" w:hAnsi="Calibri" w:cs="Calibri"/>
          <w:sz w:val="22"/>
          <w:szCs w:val="22"/>
        </w:rPr>
      </w:pPr>
      <w:r>
        <w:rPr>
          <w:rFonts w:ascii="Calibri" w:eastAsia="Calibri" w:hAnsi="Calibri" w:cs="Calibri"/>
          <w:sz w:val="22"/>
          <w:szCs w:val="22"/>
        </w:rPr>
        <w:t xml:space="preserve">Se tendrá por aprobado el gasto una vez cumplida la intervención previa sin observaciones </w:t>
      </w:r>
      <w:r w:rsidR="001041C5">
        <w:rPr>
          <w:rFonts w:ascii="Calibri" w:eastAsia="Calibri" w:hAnsi="Calibri" w:cs="Calibri"/>
          <w:sz w:val="22"/>
          <w:szCs w:val="22"/>
        </w:rPr>
        <w:t>del Auditor</w:t>
      </w:r>
      <w:r>
        <w:rPr>
          <w:rFonts w:ascii="Calibri" w:eastAsia="Calibri" w:hAnsi="Calibri" w:cs="Calibri"/>
          <w:sz w:val="22"/>
          <w:szCs w:val="22"/>
        </w:rPr>
        <w:t xml:space="preserve"> del Tribunal de Cuentas de la República Oriental del Uruguay destacado ante el Ministerio de Defensa Nacional.-</w:t>
      </w:r>
    </w:p>
    <w:p w:rsidR="009E01F6" w:rsidRDefault="003E0AB9">
      <w:pPr>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9E01F6" w:rsidRDefault="009E01F6">
      <w:pPr>
        <w:spacing w:line="360" w:lineRule="auto"/>
        <w:ind w:left="6372"/>
        <w:jc w:val="both"/>
        <w:rPr>
          <w:rFonts w:ascii="Calibri" w:eastAsia="Calibri" w:hAnsi="Calibri" w:cs="Calibri"/>
          <w:sz w:val="22"/>
          <w:szCs w:val="22"/>
        </w:rPr>
      </w:pPr>
    </w:p>
    <w:p w:rsidR="009E01F6" w:rsidRDefault="003E0AB9">
      <w:pPr>
        <w:spacing w:line="360" w:lineRule="auto"/>
        <w:jc w:val="right"/>
        <w:rPr>
          <w:rFonts w:ascii="Calibri" w:eastAsia="Calibri" w:hAnsi="Calibri" w:cs="Calibri"/>
          <w:sz w:val="22"/>
          <w:szCs w:val="22"/>
        </w:rPr>
      </w:pPr>
      <w:r>
        <w:rPr>
          <w:rFonts w:ascii="Calibri" w:eastAsia="Calibri" w:hAnsi="Calibri" w:cs="Calibri"/>
          <w:sz w:val="22"/>
          <w:szCs w:val="22"/>
        </w:rPr>
        <w:t xml:space="preserve">Montevideo, </w:t>
      </w:r>
      <w:r w:rsidR="00E759A9">
        <w:rPr>
          <w:rFonts w:ascii="Calibri" w:eastAsia="Calibri" w:hAnsi="Calibri" w:cs="Calibri"/>
          <w:sz w:val="22"/>
          <w:szCs w:val="22"/>
        </w:rPr>
        <w:t>Octubre</w:t>
      </w:r>
      <w:r>
        <w:rPr>
          <w:rFonts w:ascii="Calibri" w:eastAsia="Calibri" w:hAnsi="Calibri" w:cs="Calibri"/>
          <w:sz w:val="22"/>
          <w:szCs w:val="22"/>
        </w:rPr>
        <w:t xml:space="preserve"> 201</w:t>
      </w:r>
      <w:r w:rsidR="00E759A9">
        <w:rPr>
          <w:rFonts w:ascii="Calibri" w:eastAsia="Calibri" w:hAnsi="Calibri" w:cs="Calibri"/>
          <w:sz w:val="22"/>
          <w:szCs w:val="22"/>
        </w:rPr>
        <w:t>9</w:t>
      </w:r>
      <w:r>
        <w:rPr>
          <w:rFonts w:ascii="Calibri" w:eastAsia="Calibri" w:hAnsi="Calibri" w:cs="Calibri"/>
          <w:sz w:val="22"/>
          <w:szCs w:val="22"/>
        </w:rPr>
        <w:t>.</w:t>
      </w:r>
    </w:p>
    <w:p w:rsidR="009E01F6" w:rsidRDefault="003E0AB9">
      <w:pPr>
        <w:spacing w:line="360" w:lineRule="auto"/>
        <w:ind w:left="6372"/>
        <w:jc w:val="both"/>
        <w:rPr>
          <w:rFonts w:ascii="Calibri" w:eastAsia="Calibri" w:hAnsi="Calibri" w:cs="Calibri"/>
          <w:sz w:val="22"/>
          <w:szCs w:val="22"/>
        </w:rPr>
      </w:pPr>
      <w:r>
        <w:br w:type="page"/>
      </w:r>
    </w:p>
    <w:p w:rsidR="009E01F6" w:rsidRDefault="003E0AB9">
      <w:pPr>
        <w:spacing w:line="360" w:lineRule="auto"/>
        <w:ind w:left="6372"/>
        <w:jc w:val="both"/>
        <w:rPr>
          <w:rFonts w:ascii="Calibri" w:eastAsia="Calibri" w:hAnsi="Calibri" w:cs="Calibri"/>
          <w:sz w:val="22"/>
          <w:szCs w:val="22"/>
        </w:rPr>
      </w:pPr>
      <w:r>
        <w:rPr>
          <w:noProof/>
        </w:rPr>
        <w:lastRenderedPageBreak/>
        <w:drawing>
          <wp:anchor distT="114300" distB="114300" distL="114300" distR="114300" simplePos="0" relativeHeight="251662336" behindDoc="0" locked="0" layoutInCell="1" hidden="0" allowOverlap="1">
            <wp:simplePos x="0" y="0"/>
            <wp:positionH relativeFrom="column">
              <wp:posOffset>4554855</wp:posOffset>
            </wp:positionH>
            <wp:positionV relativeFrom="paragraph">
              <wp:posOffset>257175</wp:posOffset>
            </wp:positionV>
            <wp:extent cx="1029653" cy="681749"/>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29653" cy="681749"/>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simplePos x="0" y="0"/>
            <wp:positionH relativeFrom="column">
              <wp:posOffset>-180974</wp:posOffset>
            </wp:positionH>
            <wp:positionV relativeFrom="paragraph">
              <wp:posOffset>186055</wp:posOffset>
            </wp:positionV>
            <wp:extent cx="790575" cy="975603"/>
            <wp:effectExtent l="0" t="0" r="0" b="0"/>
            <wp:wrapSquare wrapText="bothSides" distT="114300" distB="11430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90575" cy="975603"/>
                    </a:xfrm>
                    <a:prstGeom prst="rect">
                      <a:avLst/>
                    </a:prstGeom>
                    <a:ln/>
                  </pic:spPr>
                </pic:pic>
              </a:graphicData>
            </a:graphic>
          </wp:anchor>
        </w:drawing>
      </w:r>
      <w:r>
        <w:rPr>
          <w:noProof/>
        </w:rPr>
        <w:drawing>
          <wp:anchor distT="0" distB="0" distL="114935" distR="114935" simplePos="0" relativeHeight="251664384" behindDoc="0" locked="0" layoutInCell="1" hidden="0" allowOverlap="1">
            <wp:simplePos x="0" y="0"/>
            <wp:positionH relativeFrom="column">
              <wp:posOffset>2397125</wp:posOffset>
            </wp:positionH>
            <wp:positionV relativeFrom="paragraph">
              <wp:posOffset>257175</wp:posOffset>
            </wp:positionV>
            <wp:extent cx="792480" cy="84201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92480" cy="842010"/>
                    </a:xfrm>
                    <a:prstGeom prst="rect">
                      <a:avLst/>
                    </a:prstGeom>
                    <a:ln/>
                  </pic:spPr>
                </pic:pic>
              </a:graphicData>
            </a:graphic>
          </wp:anchor>
        </w:drawing>
      </w:r>
    </w:p>
    <w:p w:rsidR="009E01F6" w:rsidRDefault="009E01F6">
      <w:pPr>
        <w:spacing w:line="360" w:lineRule="auto"/>
        <w:ind w:left="6372"/>
        <w:jc w:val="both"/>
        <w:rPr>
          <w:rFonts w:ascii="Calibri" w:eastAsia="Calibri" w:hAnsi="Calibri" w:cs="Calibri"/>
          <w:sz w:val="22"/>
          <w:szCs w:val="22"/>
        </w:rPr>
      </w:pPr>
    </w:p>
    <w:p w:rsidR="009E01F6" w:rsidRDefault="003E0AB9">
      <w:pPr>
        <w:tabs>
          <w:tab w:val="left" w:pos="3795"/>
          <w:tab w:val="left" w:pos="5610"/>
        </w:tabs>
        <w:spacing w:line="360" w:lineRule="auto"/>
        <w:rPr>
          <w:rFonts w:ascii="Calibri" w:eastAsia="Calibri" w:hAnsi="Calibri" w:cs="Calibri"/>
          <w:sz w:val="22"/>
          <w:szCs w:val="22"/>
        </w:rPr>
      </w:pPr>
      <w:r>
        <w:rPr>
          <w:rFonts w:ascii="Calibri" w:eastAsia="Calibri" w:hAnsi="Calibri" w:cs="Calibri"/>
          <w:sz w:val="22"/>
          <w:szCs w:val="22"/>
        </w:rPr>
        <w:t xml:space="preserve">                                                      </w:t>
      </w:r>
    </w:p>
    <w:p w:rsidR="009E01F6" w:rsidRDefault="009E01F6">
      <w:pPr>
        <w:tabs>
          <w:tab w:val="left" w:pos="3795"/>
          <w:tab w:val="left" w:pos="5610"/>
        </w:tabs>
        <w:spacing w:line="360" w:lineRule="auto"/>
        <w:jc w:val="center"/>
        <w:rPr>
          <w:rFonts w:ascii="Calibri" w:eastAsia="Calibri" w:hAnsi="Calibri" w:cs="Calibri"/>
          <w:sz w:val="22"/>
          <w:szCs w:val="22"/>
        </w:rPr>
      </w:pPr>
    </w:p>
    <w:p w:rsidR="009E01F6" w:rsidRDefault="003E0AB9">
      <w:pPr>
        <w:tabs>
          <w:tab w:val="left" w:pos="3795"/>
          <w:tab w:val="left" w:pos="5610"/>
        </w:tabs>
        <w:spacing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9E01F6" w:rsidRDefault="003E0AB9">
      <w:pPr>
        <w:tabs>
          <w:tab w:val="left" w:pos="3795"/>
          <w:tab w:val="left" w:pos="5610"/>
        </w:tabs>
        <w:spacing w:line="360" w:lineRule="auto"/>
        <w:jc w:val="center"/>
        <w:rPr>
          <w:rFonts w:ascii="Calibri" w:eastAsia="Calibri" w:hAnsi="Calibri" w:cs="Calibri"/>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Pr>
          <w:rFonts w:ascii="Calibri" w:eastAsia="Calibri" w:hAnsi="Calibri" w:cs="Calibri"/>
          <w:b/>
          <w:sz w:val="22"/>
          <w:szCs w:val="22"/>
        </w:rPr>
        <w:t xml:space="preserve">DE LA LICITACIÓN </w:t>
      </w:r>
      <w:r w:rsidRPr="00E759A9">
        <w:rPr>
          <w:rFonts w:ascii="Calibri" w:eastAsia="Calibri" w:hAnsi="Calibri" w:cs="Calibri"/>
          <w:b/>
          <w:color w:val="auto"/>
          <w:sz w:val="22"/>
          <w:szCs w:val="22"/>
        </w:rPr>
        <w:t xml:space="preserve">ABREVIADA Nº </w:t>
      </w:r>
      <w:r w:rsidR="00E759A9" w:rsidRPr="00E759A9">
        <w:rPr>
          <w:rFonts w:ascii="Calibri" w:eastAsia="Calibri" w:hAnsi="Calibri" w:cs="Calibri"/>
          <w:b/>
          <w:color w:val="auto"/>
          <w:sz w:val="22"/>
          <w:szCs w:val="22"/>
        </w:rPr>
        <w:t>87</w:t>
      </w:r>
      <w:r w:rsidRPr="00E759A9">
        <w:rPr>
          <w:rFonts w:ascii="Calibri" w:eastAsia="Calibri" w:hAnsi="Calibri" w:cs="Calibri"/>
          <w:b/>
          <w:color w:val="auto"/>
          <w:sz w:val="22"/>
          <w:szCs w:val="22"/>
        </w:rPr>
        <w:t>/</w:t>
      </w:r>
      <w:r w:rsidR="00E759A9" w:rsidRPr="00E759A9">
        <w:rPr>
          <w:rFonts w:ascii="Calibri" w:eastAsia="Calibri" w:hAnsi="Calibri" w:cs="Calibri"/>
          <w:b/>
          <w:color w:val="auto"/>
          <w:sz w:val="22"/>
          <w:szCs w:val="22"/>
        </w:rPr>
        <w:t>2019</w:t>
      </w:r>
      <w:r w:rsidR="00E759A9" w:rsidRPr="00E759A9">
        <w:rPr>
          <w:rFonts w:ascii="Calibri" w:eastAsia="Calibri" w:hAnsi="Calibri" w:cs="Calibri"/>
          <w:color w:val="auto"/>
          <w:sz w:val="22"/>
          <w:szCs w:val="22"/>
        </w:rPr>
        <w:t xml:space="preserve"> “</w:t>
      </w:r>
      <w:r w:rsidR="00E759A9" w:rsidRPr="00E759A9">
        <w:rPr>
          <w:rFonts w:ascii="Calibri" w:eastAsia="Calibri" w:hAnsi="Calibri" w:cs="Calibri"/>
          <w:b/>
          <w:color w:val="auto"/>
          <w:sz w:val="22"/>
          <w:szCs w:val="22"/>
        </w:rPr>
        <w:t>ADQUISICIÓN DE BOMBA CENTRÍFUGA AUTOCEBANTE”</w:t>
      </w:r>
    </w:p>
    <w:p w:rsidR="009E01F6" w:rsidRDefault="003E0AB9">
      <w:pPr>
        <w:tabs>
          <w:tab w:val="center" w:pos="4819"/>
          <w:tab w:val="left" w:pos="8535"/>
        </w:tabs>
        <w:spacing w:after="0" w:line="360" w:lineRule="auto"/>
      </w:pPr>
      <w:r>
        <w:rPr>
          <w:rFonts w:ascii="Calibri" w:eastAsia="Calibri" w:hAnsi="Calibri" w:cs="Calibri"/>
          <w:b/>
          <w:sz w:val="22"/>
          <w:szCs w:val="22"/>
        </w:rPr>
        <w:t xml:space="preserve">                                                                            “ANEXO ÚNICO”</w:t>
      </w:r>
    </w:p>
    <w:p w:rsidR="00F009E5" w:rsidRDefault="00F009E5" w:rsidP="00F009E5">
      <w:pPr>
        <w:pStyle w:val="Predeterminado"/>
        <w:spacing w:after="0" w:line="360" w:lineRule="auto"/>
      </w:pPr>
    </w:p>
    <w:tbl>
      <w:tblPr>
        <w:tblStyle w:val="Tablaconcuadrcula"/>
        <w:tblW w:w="0" w:type="auto"/>
        <w:tblLook w:val="04A0" w:firstRow="1" w:lastRow="0" w:firstColumn="1" w:lastColumn="0" w:noHBand="0" w:noVBand="1"/>
      </w:tblPr>
      <w:tblGrid>
        <w:gridCol w:w="949"/>
        <w:gridCol w:w="1821"/>
        <w:gridCol w:w="3819"/>
        <w:gridCol w:w="2190"/>
      </w:tblGrid>
      <w:tr w:rsidR="00F009E5" w:rsidTr="00F009E5">
        <w:tc>
          <w:tcPr>
            <w:tcW w:w="949" w:type="dxa"/>
            <w:vAlign w:val="center"/>
          </w:tcPr>
          <w:p w:rsidR="00F009E5" w:rsidRPr="004B06A3" w:rsidRDefault="00F009E5" w:rsidP="00EB36A8">
            <w:pPr>
              <w:pStyle w:val="Predeterminado"/>
              <w:spacing w:line="360" w:lineRule="auto"/>
              <w:jc w:val="center"/>
              <w:rPr>
                <w:sz w:val="20"/>
                <w:szCs w:val="20"/>
              </w:rPr>
            </w:pPr>
            <w:r w:rsidRPr="004B06A3">
              <w:rPr>
                <w:sz w:val="20"/>
                <w:szCs w:val="20"/>
              </w:rPr>
              <w:t>ITEM</w:t>
            </w:r>
          </w:p>
        </w:tc>
        <w:tc>
          <w:tcPr>
            <w:tcW w:w="1821" w:type="dxa"/>
            <w:vAlign w:val="center"/>
          </w:tcPr>
          <w:p w:rsidR="00F009E5" w:rsidRPr="004B06A3" w:rsidRDefault="00F009E5" w:rsidP="00EB36A8">
            <w:pPr>
              <w:pStyle w:val="Predeterminado"/>
              <w:spacing w:line="360" w:lineRule="auto"/>
              <w:jc w:val="center"/>
              <w:rPr>
                <w:sz w:val="20"/>
                <w:szCs w:val="20"/>
              </w:rPr>
            </w:pPr>
            <w:r>
              <w:rPr>
                <w:sz w:val="20"/>
                <w:szCs w:val="20"/>
              </w:rPr>
              <w:t>CANTIDAD</w:t>
            </w:r>
          </w:p>
        </w:tc>
        <w:tc>
          <w:tcPr>
            <w:tcW w:w="3819" w:type="dxa"/>
            <w:vAlign w:val="center"/>
          </w:tcPr>
          <w:p w:rsidR="00F009E5" w:rsidRPr="004B06A3" w:rsidRDefault="00F009E5" w:rsidP="00EB36A8">
            <w:pPr>
              <w:pStyle w:val="Predeterminado"/>
              <w:spacing w:line="360" w:lineRule="auto"/>
              <w:jc w:val="center"/>
              <w:rPr>
                <w:sz w:val="20"/>
                <w:szCs w:val="20"/>
              </w:rPr>
            </w:pPr>
            <w:r>
              <w:rPr>
                <w:sz w:val="20"/>
                <w:szCs w:val="20"/>
              </w:rPr>
              <w:t>ARTICULO</w:t>
            </w:r>
          </w:p>
        </w:tc>
        <w:tc>
          <w:tcPr>
            <w:tcW w:w="2190" w:type="dxa"/>
            <w:vAlign w:val="center"/>
          </w:tcPr>
          <w:p w:rsidR="00F009E5" w:rsidRPr="004B06A3" w:rsidRDefault="00F009E5" w:rsidP="00EB36A8">
            <w:pPr>
              <w:pStyle w:val="Predeterminado"/>
              <w:spacing w:line="360" w:lineRule="auto"/>
              <w:jc w:val="center"/>
              <w:rPr>
                <w:sz w:val="20"/>
                <w:szCs w:val="20"/>
              </w:rPr>
            </w:pPr>
            <w:r>
              <w:rPr>
                <w:sz w:val="20"/>
                <w:szCs w:val="20"/>
              </w:rPr>
              <w:t>CODIGO SICE</w:t>
            </w:r>
          </w:p>
        </w:tc>
      </w:tr>
      <w:tr w:rsidR="00F009E5" w:rsidTr="00F009E5">
        <w:trPr>
          <w:trHeight w:val="593"/>
        </w:trPr>
        <w:tc>
          <w:tcPr>
            <w:tcW w:w="949" w:type="dxa"/>
            <w:vAlign w:val="center"/>
          </w:tcPr>
          <w:p w:rsidR="00F009E5" w:rsidRPr="00D326C2" w:rsidRDefault="00F009E5" w:rsidP="00EB36A8">
            <w:pPr>
              <w:pStyle w:val="Predeterminado"/>
              <w:spacing w:line="360" w:lineRule="auto"/>
              <w:jc w:val="center"/>
              <w:rPr>
                <w:sz w:val="26"/>
                <w:szCs w:val="26"/>
              </w:rPr>
            </w:pPr>
            <w:r w:rsidRPr="00D326C2">
              <w:rPr>
                <w:sz w:val="26"/>
                <w:szCs w:val="26"/>
              </w:rPr>
              <w:t>1</w:t>
            </w:r>
          </w:p>
        </w:tc>
        <w:tc>
          <w:tcPr>
            <w:tcW w:w="1821" w:type="dxa"/>
            <w:vAlign w:val="center"/>
          </w:tcPr>
          <w:p w:rsidR="00F009E5" w:rsidRPr="00D326C2" w:rsidRDefault="00F009E5" w:rsidP="00EB36A8">
            <w:pPr>
              <w:pStyle w:val="Predeterminado"/>
              <w:spacing w:line="360" w:lineRule="auto"/>
              <w:jc w:val="center"/>
              <w:rPr>
                <w:sz w:val="26"/>
                <w:szCs w:val="26"/>
              </w:rPr>
            </w:pPr>
            <w:r>
              <w:rPr>
                <w:sz w:val="26"/>
                <w:szCs w:val="26"/>
              </w:rPr>
              <w:t>1</w:t>
            </w:r>
          </w:p>
        </w:tc>
        <w:tc>
          <w:tcPr>
            <w:tcW w:w="3819" w:type="dxa"/>
            <w:vAlign w:val="center"/>
          </w:tcPr>
          <w:p w:rsidR="00F009E5" w:rsidRDefault="00F009E5" w:rsidP="00EB36A8">
            <w:pPr>
              <w:pStyle w:val="Predeterminado"/>
              <w:jc w:val="center"/>
              <w:rPr>
                <w:sz w:val="26"/>
                <w:szCs w:val="26"/>
              </w:rPr>
            </w:pPr>
          </w:p>
          <w:p w:rsidR="00F009E5" w:rsidRPr="00D326C2" w:rsidRDefault="00F009E5" w:rsidP="00EB36A8">
            <w:pPr>
              <w:pStyle w:val="Predeterminado"/>
              <w:jc w:val="center"/>
              <w:rPr>
                <w:sz w:val="26"/>
                <w:szCs w:val="26"/>
              </w:rPr>
            </w:pPr>
            <w:r>
              <w:rPr>
                <w:sz w:val="26"/>
                <w:szCs w:val="26"/>
              </w:rPr>
              <w:t>Bomba centrifuga autocebante</w:t>
            </w:r>
          </w:p>
          <w:p w:rsidR="00F009E5" w:rsidRPr="00D326C2" w:rsidRDefault="00F009E5" w:rsidP="00EB36A8">
            <w:pPr>
              <w:pStyle w:val="Predeterminado"/>
              <w:jc w:val="center"/>
              <w:rPr>
                <w:sz w:val="26"/>
                <w:szCs w:val="26"/>
              </w:rPr>
            </w:pPr>
          </w:p>
        </w:tc>
        <w:tc>
          <w:tcPr>
            <w:tcW w:w="2190" w:type="dxa"/>
            <w:vAlign w:val="center"/>
          </w:tcPr>
          <w:p w:rsidR="00F009E5" w:rsidRPr="00D326C2" w:rsidRDefault="00F009E5" w:rsidP="00EB36A8">
            <w:pPr>
              <w:pStyle w:val="Predeterminado"/>
              <w:spacing w:line="360" w:lineRule="auto"/>
              <w:jc w:val="center"/>
              <w:rPr>
                <w:sz w:val="26"/>
                <w:szCs w:val="26"/>
              </w:rPr>
            </w:pPr>
            <w:r>
              <w:rPr>
                <w:sz w:val="26"/>
                <w:szCs w:val="26"/>
              </w:rPr>
              <w:t>7734</w:t>
            </w:r>
          </w:p>
        </w:tc>
      </w:tr>
    </w:tbl>
    <w:p w:rsidR="00F009E5" w:rsidRDefault="00F009E5" w:rsidP="00F009E5">
      <w:pPr>
        <w:pStyle w:val="Predeterminado"/>
        <w:spacing w:line="360" w:lineRule="auto"/>
        <w:jc w:val="both"/>
      </w:pPr>
    </w:p>
    <w:p w:rsidR="00F009E5" w:rsidRDefault="00F009E5" w:rsidP="00F009E5">
      <w:pPr>
        <w:pStyle w:val="Predeterminado"/>
      </w:pPr>
      <w:r>
        <w:t xml:space="preserve">CONDICIONES ESPECÍFICAS:     </w:t>
      </w:r>
    </w:p>
    <w:p w:rsidR="00F009E5" w:rsidRDefault="00F009E5" w:rsidP="00F009E5">
      <w:pPr>
        <w:pStyle w:val="Predeterminado"/>
        <w:numPr>
          <w:ilvl w:val="0"/>
          <w:numId w:val="3"/>
        </w:numPr>
        <w:tabs>
          <w:tab w:val="clear" w:pos="720"/>
          <w:tab w:val="clear" w:pos="1920"/>
          <w:tab w:val="num" w:pos="0"/>
          <w:tab w:val="left" w:pos="284"/>
        </w:tabs>
        <w:spacing w:after="0" w:line="360" w:lineRule="auto"/>
        <w:ind w:left="284" w:hanging="284"/>
        <w:jc w:val="both"/>
      </w:pPr>
      <w:r>
        <w:rPr>
          <w:shd w:val="clear" w:color="auto" w:fill="FFFFFF"/>
        </w:rPr>
        <w:t xml:space="preserve"> Cuerpo de bomba y caballete construido en fundición gris 30, eje en acero fundido 4150,  plato o disco de desgaste en acero al carbón  ASTM A36.</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Sello mecánico simple de cartucho, doble flotante autoalineante lubricado en cámara de aceite con visor externo para fácil verificación en mantenimiento, pistas rotante y fijas en Carburo de Silicio insertas en acero inoxidable AISI 316, jaula y resorte en acero inoxidable 18-8 y elastómetros en Vitón. Máxima temperatura del líquido bombeado : 71ºC.</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Rotor semiabierto de seis álabes en hierro dúctil 65-45-12 con pasaje de 1.1/4’’.</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Clapeta en Buna N reforzada con Nylon y acero</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Acopladas por medio de manchón </w:t>
      </w:r>
      <w:r w:rsidR="00891943">
        <w:rPr>
          <w:shd w:val="clear" w:color="auto" w:fill="FFFFFF"/>
        </w:rPr>
        <w:t>semi</w:t>
      </w:r>
      <w:r>
        <w:rPr>
          <w:shd w:val="clear" w:color="auto" w:fill="FFFFFF"/>
        </w:rPr>
        <w:t>-elástico a motor eléctrico asincrónico trifásico, rotor en jaula de ardilla, protección IP 55 apto para funcionamiento continuo.</w:t>
      </w:r>
    </w:p>
    <w:p w:rsidR="00F009E5" w:rsidRPr="00802154"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El conjunto de montado y alineado sobre base metálica en perfil UPN.</w:t>
      </w:r>
    </w:p>
    <w:p w:rsidR="00F009E5" w:rsidRPr="00802154"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lastRenderedPageBreak/>
        <w:t>Rodamientos lubricados en cárter de aceite con visor externo para fácil verificación en mantenimiento</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Bomba con cámara de inspección  en el cuerpo para poder limpiar en caso de obstrucción sin desacoplar la bomba de las cañerías.</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Caudal erogado: 200 m3/h</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Altura manométrica: 14 m.c.a</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-Diam. De rotor: 250m</w:t>
      </w:r>
    </w:p>
    <w:p w:rsidR="00F009E5" w:rsidRPr="00802154"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Pasaje libre de sólidos: 32 mm.</w:t>
      </w:r>
    </w:p>
    <w:p w:rsidR="00F009E5" w:rsidRDefault="00F009E5" w:rsidP="00F009E5">
      <w:pPr>
        <w:pStyle w:val="Predeterminado"/>
        <w:spacing w:after="0" w:line="360" w:lineRule="auto"/>
        <w:ind w:left="284"/>
        <w:jc w:val="both"/>
      </w:pP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 Potencia consumida: 12,6 Kw (en el pto. De trabajo)</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-Motor acoplado. </w:t>
      </w:r>
      <w:r w:rsidR="00624AD3">
        <w:rPr>
          <w:shd w:val="clear" w:color="auto" w:fill="FFFFFF"/>
        </w:rPr>
        <w:t>IE2 25 HP 4 Polos 1450 r.p.m</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Velocidad de trabajo: 1450 r.p.m</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 xml:space="preserve">Alimentación: </w:t>
      </w:r>
      <w:r w:rsidR="00624AD3">
        <w:rPr>
          <w:shd w:val="clear" w:color="auto" w:fill="FFFFFF"/>
        </w:rPr>
        <w:t>220/380 Vs.</w:t>
      </w:r>
    </w:p>
    <w:p w:rsidR="00F009E5" w:rsidRDefault="00F009E5" w:rsidP="00F009E5">
      <w:pPr>
        <w:pStyle w:val="Predeterminado"/>
        <w:numPr>
          <w:ilvl w:val="0"/>
          <w:numId w:val="3"/>
        </w:numPr>
        <w:tabs>
          <w:tab w:val="clear" w:pos="1920"/>
          <w:tab w:val="num" w:pos="284"/>
        </w:tabs>
        <w:spacing w:after="0" w:line="360" w:lineRule="auto"/>
        <w:ind w:left="284" w:hanging="284"/>
        <w:jc w:val="both"/>
      </w:pPr>
      <w:r>
        <w:rPr>
          <w:shd w:val="clear" w:color="auto" w:fill="FFFFFF"/>
        </w:rPr>
        <w:t>Bocas: 6’’ Brida NPT</w:t>
      </w:r>
    </w:p>
    <w:p w:rsidR="009E01F6" w:rsidRDefault="00F009E5" w:rsidP="00F009E5">
      <w:pPr>
        <w:pStyle w:val="Predeterminado"/>
        <w:spacing w:line="360" w:lineRule="auto"/>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3E0AB9">
        <w:rPr>
          <w:rFonts w:ascii="Calibri" w:eastAsia="Calibri" w:hAnsi="Calibri" w:cs="Calibri"/>
          <w:sz w:val="22"/>
          <w:szCs w:val="22"/>
        </w:rPr>
        <w:t xml:space="preserve">       </w:t>
      </w:r>
    </w:p>
    <w:p w:rsidR="009E01F6" w:rsidRDefault="009E01F6">
      <w:pPr>
        <w:tabs>
          <w:tab w:val="left" w:pos="5625"/>
        </w:tabs>
        <w:spacing w:line="360" w:lineRule="auto"/>
        <w:jc w:val="right"/>
        <w:rPr>
          <w:rFonts w:ascii="Calibri" w:eastAsia="Calibri" w:hAnsi="Calibri" w:cs="Calibri"/>
          <w:sz w:val="22"/>
          <w:szCs w:val="22"/>
        </w:rPr>
      </w:pPr>
    </w:p>
    <w:p w:rsidR="009E01F6" w:rsidRDefault="003E0AB9">
      <w:pPr>
        <w:tabs>
          <w:tab w:val="left" w:pos="5625"/>
        </w:tabs>
        <w:spacing w:line="360" w:lineRule="auto"/>
        <w:jc w:val="right"/>
      </w:pPr>
      <w:r>
        <w:rPr>
          <w:rFonts w:ascii="Calibri" w:eastAsia="Calibri" w:hAnsi="Calibri" w:cs="Calibri"/>
          <w:sz w:val="22"/>
          <w:szCs w:val="22"/>
        </w:rPr>
        <w:t xml:space="preserve"> </w:t>
      </w:r>
      <w:r w:rsidR="00E759A9">
        <w:rPr>
          <w:rFonts w:ascii="Calibri" w:eastAsia="Calibri" w:hAnsi="Calibri" w:cs="Calibri"/>
          <w:sz w:val="22"/>
          <w:szCs w:val="22"/>
        </w:rPr>
        <w:t xml:space="preserve">Montevideo, Octubre </w:t>
      </w:r>
      <w:r>
        <w:rPr>
          <w:rFonts w:ascii="Calibri" w:eastAsia="Calibri" w:hAnsi="Calibri" w:cs="Calibri"/>
          <w:sz w:val="22"/>
          <w:szCs w:val="22"/>
        </w:rPr>
        <w:t>201</w:t>
      </w:r>
      <w:r w:rsidR="00E759A9">
        <w:rPr>
          <w:rFonts w:ascii="Calibri" w:eastAsia="Calibri" w:hAnsi="Calibri" w:cs="Calibri"/>
          <w:sz w:val="22"/>
          <w:szCs w:val="22"/>
        </w:rPr>
        <w:t>9</w:t>
      </w:r>
      <w:r>
        <w:rPr>
          <w:rFonts w:ascii="Calibri" w:eastAsia="Calibri" w:hAnsi="Calibri" w:cs="Calibri"/>
          <w:sz w:val="22"/>
          <w:szCs w:val="22"/>
        </w:rPr>
        <w:t>.</w:t>
      </w:r>
    </w:p>
    <w:sectPr w:rsidR="009E01F6">
      <w:headerReference w:type="default" r:id="rId17"/>
      <w:footerReference w:type="default" r:id="rId18"/>
      <w:pgSz w:w="11906" w:h="16838"/>
      <w:pgMar w:top="1701" w:right="1416" w:bottom="1134" w:left="1701" w:header="79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35" w:rsidRDefault="00C21535">
      <w:pPr>
        <w:spacing w:after="0"/>
      </w:pPr>
      <w:r>
        <w:separator/>
      </w:r>
    </w:p>
  </w:endnote>
  <w:endnote w:type="continuationSeparator" w:id="0">
    <w:p w:rsidR="00C21535" w:rsidRDefault="00C21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Arial Unicode MS"/>
    <w:charset w:val="80"/>
    <w:family w:val="swiss"/>
    <w:pitch w:val="default"/>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F6" w:rsidRDefault="003E0AB9">
    <w:pPr>
      <w:jc w:val="center"/>
    </w:pPr>
    <w:r>
      <w:t xml:space="preserve">   </w:t>
    </w:r>
    <w:r>
      <w:fldChar w:fldCharType="begin"/>
    </w:r>
    <w:r>
      <w:instrText>PAGE</w:instrText>
    </w:r>
    <w:r>
      <w:fldChar w:fldCharType="separate"/>
    </w:r>
    <w:r w:rsidR="002D6F91">
      <w:rPr>
        <w:noProof/>
      </w:rPr>
      <w:t>1</w:t>
    </w:r>
    <w:r>
      <w:fldChar w:fldCharType="end"/>
    </w:r>
    <w:r>
      <w:rPr>
        <w:rFonts w:ascii="Arial" w:eastAsia="Arial" w:hAnsi="Arial" w:cs="Arial"/>
        <w:b/>
      </w:rPr>
      <w:t xml:space="preserve"> de </w:t>
    </w:r>
    <w:r>
      <w:rPr>
        <w:b/>
      </w:rPr>
      <w:fldChar w:fldCharType="begin"/>
    </w:r>
    <w:r>
      <w:rPr>
        <w:b/>
      </w:rPr>
      <w:instrText>NUMPAGES</w:instrText>
    </w:r>
    <w:r>
      <w:rPr>
        <w:b/>
      </w:rPr>
      <w:fldChar w:fldCharType="separate"/>
    </w:r>
    <w:r w:rsidR="002D6F91">
      <w:rPr>
        <w:b/>
        <w:noProof/>
      </w:rPr>
      <w:t>15</w:t>
    </w:r>
    <w:r>
      <w:rPr>
        <w:b/>
      </w:rPr>
      <w:fldChar w:fldCharType="end"/>
    </w:r>
  </w:p>
  <w:p w:rsidR="009E01F6" w:rsidRDefault="009E01F6">
    <w:pPr>
      <w:pBdr>
        <w:top w:val="nil"/>
        <w:left w:val="nil"/>
        <w:bottom w:val="nil"/>
        <w:right w:val="nil"/>
        <w:between w:val="nil"/>
      </w:pBdr>
      <w:jc w:val="center"/>
    </w:pPr>
  </w:p>
  <w:p w:rsidR="009E01F6" w:rsidRDefault="009E01F6">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35" w:rsidRDefault="00C21535">
      <w:pPr>
        <w:spacing w:after="0"/>
      </w:pPr>
      <w:r>
        <w:separator/>
      </w:r>
    </w:p>
  </w:footnote>
  <w:footnote w:type="continuationSeparator" w:id="0">
    <w:p w:rsidR="00C21535" w:rsidRDefault="00C215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F6" w:rsidRPr="00582E60" w:rsidRDefault="003E0AB9">
    <w:pPr>
      <w:pBdr>
        <w:top w:val="nil"/>
        <w:left w:val="nil"/>
        <w:bottom w:val="nil"/>
        <w:right w:val="nil"/>
        <w:between w:val="nil"/>
      </w:pBdr>
      <w:tabs>
        <w:tab w:val="center" w:pos="4252"/>
        <w:tab w:val="right" w:pos="8504"/>
      </w:tabs>
      <w:spacing w:after="0"/>
      <w:jc w:val="center"/>
      <w:rPr>
        <w:color w:val="auto"/>
      </w:rPr>
    </w:pPr>
    <w:r w:rsidRPr="00582E60">
      <w:rPr>
        <w:rFonts w:ascii="Calibri" w:eastAsia="Calibri" w:hAnsi="Calibri" w:cs="Calibri"/>
        <w:color w:val="auto"/>
      </w:rPr>
      <w:t xml:space="preserve">L/A </w:t>
    </w:r>
    <w:r w:rsidR="00582E60" w:rsidRPr="00582E60">
      <w:rPr>
        <w:rFonts w:ascii="Calibri" w:eastAsia="Calibri" w:hAnsi="Calibri" w:cs="Calibri"/>
        <w:color w:val="auto"/>
      </w:rPr>
      <w:t>87</w:t>
    </w:r>
    <w:r w:rsidRPr="00582E60">
      <w:rPr>
        <w:rFonts w:ascii="Calibri" w:eastAsia="Calibri" w:hAnsi="Calibri" w:cs="Calibri"/>
        <w:color w:val="auto"/>
      </w:rPr>
      <w:t xml:space="preserve">/2019 </w:t>
    </w:r>
    <w:r w:rsidR="00582E60" w:rsidRPr="00582E60">
      <w:rPr>
        <w:rFonts w:ascii="Calibri" w:eastAsia="Calibri" w:hAnsi="Calibri" w:cs="Calibri"/>
        <w:color w:val="auto"/>
      </w:rPr>
      <w:t>“ADQUISICIÓN DE BOMBA CENTRÍFUGA AUTOCEBANTE”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BA6"/>
    <w:multiLevelType w:val="multilevel"/>
    <w:tmpl w:val="C3B46076"/>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C957E39"/>
    <w:multiLevelType w:val="multilevel"/>
    <w:tmpl w:val="6206F156"/>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2">
    <w:nsid w:val="67D05744"/>
    <w:multiLevelType w:val="multilevel"/>
    <w:tmpl w:val="34D8D246"/>
    <w:lvl w:ilvl="0">
      <w:start w:val="1"/>
      <w:numFmt w:val="bullet"/>
      <w:lvlText w:val=""/>
      <w:lvlJc w:val="left"/>
      <w:pPr>
        <w:tabs>
          <w:tab w:val="num" w:pos="1920"/>
        </w:tabs>
        <w:ind w:left="1920" w:hanging="360"/>
      </w:pPr>
      <w:rPr>
        <w:rFonts w:ascii="Wingdings 2" w:hAnsi="Wingdings 2" w:cs="Wingdings 2" w:hint="default"/>
      </w:rPr>
    </w:lvl>
    <w:lvl w:ilvl="1">
      <w:start w:val="1"/>
      <w:numFmt w:val="bullet"/>
      <w:lvlText w:val="◦"/>
      <w:lvlJc w:val="left"/>
      <w:pPr>
        <w:tabs>
          <w:tab w:val="num" w:pos="2280"/>
        </w:tabs>
        <w:ind w:left="2280" w:hanging="360"/>
      </w:pPr>
      <w:rPr>
        <w:rFonts w:ascii="OpenSymbol" w:hAnsi="OpenSymbol" w:cs="OpenSymbol" w:hint="default"/>
      </w:rPr>
    </w:lvl>
    <w:lvl w:ilvl="2">
      <w:start w:val="1"/>
      <w:numFmt w:val="bullet"/>
      <w:lvlText w:val="▪"/>
      <w:lvlJc w:val="left"/>
      <w:pPr>
        <w:tabs>
          <w:tab w:val="num" w:pos="2640"/>
        </w:tabs>
        <w:ind w:left="2640" w:hanging="360"/>
      </w:pPr>
      <w:rPr>
        <w:rFonts w:ascii="OpenSymbol" w:hAnsi="OpenSymbol" w:cs="OpenSymbol" w:hint="default"/>
      </w:rPr>
    </w:lvl>
    <w:lvl w:ilvl="3">
      <w:start w:val="1"/>
      <w:numFmt w:val="bullet"/>
      <w:lvlText w:val=""/>
      <w:lvlJc w:val="left"/>
      <w:pPr>
        <w:tabs>
          <w:tab w:val="num" w:pos="3000"/>
        </w:tabs>
        <w:ind w:left="3000" w:hanging="360"/>
      </w:pPr>
      <w:rPr>
        <w:rFonts w:ascii="Wingdings 2" w:hAnsi="Wingdings 2" w:cs="Wingdings 2" w:hint="default"/>
      </w:rPr>
    </w:lvl>
    <w:lvl w:ilvl="4">
      <w:start w:val="1"/>
      <w:numFmt w:val="bullet"/>
      <w:lvlText w:val="◦"/>
      <w:lvlJc w:val="left"/>
      <w:pPr>
        <w:tabs>
          <w:tab w:val="num" w:pos="3360"/>
        </w:tabs>
        <w:ind w:left="3360" w:hanging="360"/>
      </w:pPr>
      <w:rPr>
        <w:rFonts w:ascii="OpenSymbol" w:hAnsi="OpenSymbol" w:cs="OpenSymbol" w:hint="default"/>
      </w:rPr>
    </w:lvl>
    <w:lvl w:ilvl="5">
      <w:start w:val="1"/>
      <w:numFmt w:val="bullet"/>
      <w:lvlText w:val="▪"/>
      <w:lvlJc w:val="left"/>
      <w:pPr>
        <w:tabs>
          <w:tab w:val="num" w:pos="3720"/>
        </w:tabs>
        <w:ind w:left="3720" w:hanging="360"/>
      </w:pPr>
      <w:rPr>
        <w:rFonts w:ascii="OpenSymbol" w:hAnsi="OpenSymbol" w:cs="OpenSymbol" w:hint="default"/>
      </w:rPr>
    </w:lvl>
    <w:lvl w:ilvl="6">
      <w:start w:val="1"/>
      <w:numFmt w:val="bullet"/>
      <w:lvlText w:val=""/>
      <w:lvlJc w:val="left"/>
      <w:pPr>
        <w:tabs>
          <w:tab w:val="num" w:pos="4080"/>
        </w:tabs>
        <w:ind w:left="4080" w:hanging="360"/>
      </w:pPr>
      <w:rPr>
        <w:rFonts w:ascii="Wingdings 2" w:hAnsi="Wingdings 2" w:cs="Wingdings 2" w:hint="default"/>
      </w:rPr>
    </w:lvl>
    <w:lvl w:ilvl="7">
      <w:start w:val="1"/>
      <w:numFmt w:val="bullet"/>
      <w:lvlText w:val="◦"/>
      <w:lvlJc w:val="left"/>
      <w:pPr>
        <w:tabs>
          <w:tab w:val="num" w:pos="4440"/>
        </w:tabs>
        <w:ind w:left="4440" w:hanging="360"/>
      </w:pPr>
      <w:rPr>
        <w:rFonts w:ascii="OpenSymbol" w:hAnsi="OpenSymbol" w:cs="OpenSymbol" w:hint="default"/>
      </w:rPr>
    </w:lvl>
    <w:lvl w:ilvl="8">
      <w:start w:val="1"/>
      <w:numFmt w:val="bullet"/>
      <w:lvlText w:val="▪"/>
      <w:lvlJc w:val="left"/>
      <w:pPr>
        <w:tabs>
          <w:tab w:val="num" w:pos="4800"/>
        </w:tabs>
        <w:ind w:left="4800" w:hanging="360"/>
      </w:pPr>
      <w:rPr>
        <w:rFonts w:ascii="OpenSymbol" w:hAnsi="OpenSymbol" w:cs="Open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F6"/>
    <w:rsid w:val="00080EEC"/>
    <w:rsid w:val="001041C5"/>
    <w:rsid w:val="002D6F91"/>
    <w:rsid w:val="002F78ED"/>
    <w:rsid w:val="00346521"/>
    <w:rsid w:val="00365420"/>
    <w:rsid w:val="003E0AB9"/>
    <w:rsid w:val="00440A0C"/>
    <w:rsid w:val="00481ED2"/>
    <w:rsid w:val="00496EFA"/>
    <w:rsid w:val="00544538"/>
    <w:rsid w:val="0058075A"/>
    <w:rsid w:val="00582E60"/>
    <w:rsid w:val="00624AD3"/>
    <w:rsid w:val="006F2054"/>
    <w:rsid w:val="00742925"/>
    <w:rsid w:val="00783EC6"/>
    <w:rsid w:val="00891943"/>
    <w:rsid w:val="00972E33"/>
    <w:rsid w:val="0097329C"/>
    <w:rsid w:val="009E01F6"/>
    <w:rsid w:val="00A84892"/>
    <w:rsid w:val="00B66885"/>
    <w:rsid w:val="00BA07B7"/>
    <w:rsid w:val="00C21535"/>
    <w:rsid w:val="00E759A9"/>
    <w:rsid w:val="00F00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9E83E-CF9B-4594-A3C1-73AF9F51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unhideWhenUsed/>
    <w:rsid w:val="00582E60"/>
    <w:pPr>
      <w:tabs>
        <w:tab w:val="center" w:pos="4252"/>
        <w:tab w:val="right" w:pos="8504"/>
      </w:tabs>
      <w:spacing w:after="0"/>
    </w:pPr>
  </w:style>
  <w:style w:type="character" w:customStyle="1" w:styleId="EncabezadoCar">
    <w:name w:val="Encabezado Car"/>
    <w:basedOn w:val="Fuentedeprrafopredeter"/>
    <w:link w:val="Encabezado"/>
    <w:uiPriority w:val="99"/>
    <w:rsid w:val="00582E60"/>
  </w:style>
  <w:style w:type="paragraph" w:styleId="Piedepgina">
    <w:name w:val="footer"/>
    <w:basedOn w:val="Normal"/>
    <w:link w:val="PiedepginaCar"/>
    <w:uiPriority w:val="99"/>
    <w:unhideWhenUsed/>
    <w:rsid w:val="00582E60"/>
    <w:pPr>
      <w:tabs>
        <w:tab w:val="center" w:pos="4252"/>
        <w:tab w:val="right" w:pos="8504"/>
      </w:tabs>
      <w:spacing w:after="0"/>
    </w:pPr>
  </w:style>
  <w:style w:type="character" w:customStyle="1" w:styleId="PiedepginaCar">
    <w:name w:val="Pie de página Car"/>
    <w:basedOn w:val="Fuentedeprrafopredeter"/>
    <w:link w:val="Piedepgina"/>
    <w:uiPriority w:val="99"/>
    <w:rsid w:val="00582E60"/>
  </w:style>
  <w:style w:type="character" w:styleId="Hipervnculo">
    <w:name w:val="Hyperlink"/>
    <w:basedOn w:val="Fuentedeprrafopredeter"/>
    <w:uiPriority w:val="99"/>
    <w:unhideWhenUsed/>
    <w:rsid w:val="00783EC6"/>
    <w:rPr>
      <w:color w:val="0000FF" w:themeColor="hyperlink"/>
      <w:u w:val="single"/>
    </w:rPr>
  </w:style>
  <w:style w:type="paragraph" w:customStyle="1" w:styleId="Predeterminado">
    <w:name w:val="Predeterminado"/>
    <w:rsid w:val="00F009E5"/>
    <w:pPr>
      <w:tabs>
        <w:tab w:val="left" w:pos="720"/>
      </w:tabs>
      <w:suppressAutoHyphens/>
      <w:spacing w:line="276" w:lineRule="auto"/>
    </w:pPr>
    <w:rPr>
      <w:color w:val="auto"/>
    </w:rPr>
  </w:style>
  <w:style w:type="table" w:styleId="Tablaconcuadrcula">
    <w:name w:val="Table Grid"/>
    <w:basedOn w:val="Tablanormal"/>
    <w:uiPriority w:val="59"/>
    <w:rsid w:val="00F009E5"/>
    <w:pPr>
      <w:spacing w:after="0"/>
    </w:pPr>
    <w:rPr>
      <w:rFonts w:asciiTheme="minorHAnsi" w:eastAsiaTheme="minorEastAsia"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194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uccar_compras5@armada.mil.u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ModelosPliegos/Condiciones/PliegoUnico.rtf" TargetMode="External"/><Relationship Id="rId5" Type="http://schemas.openxmlformats.org/officeDocument/2006/relationships/footnotes" Target="footnotes.xml"/><Relationship Id="rId15" Type="http://schemas.openxmlformats.org/officeDocument/2006/relationships/hyperlink" Target="mailto:uccar_compras12@armada.mil.uy%20" TargetMode="External"/><Relationship Id="rId10" Type="http://schemas.openxmlformats.org/officeDocument/2006/relationships/hyperlink" Target="http://www.comprasestatales.gub.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uccar_compras5@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4277</Words>
  <Characters>23528</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uccar39</dc:creator>
  <cp:lastModifiedBy>Usuario de Windows</cp:lastModifiedBy>
  <cp:revision>2</cp:revision>
  <cp:lastPrinted>2019-10-04T15:04:00Z</cp:lastPrinted>
  <dcterms:created xsi:type="dcterms:W3CDTF">2019-11-07T13:54:00Z</dcterms:created>
  <dcterms:modified xsi:type="dcterms:W3CDTF">2019-11-07T13:54:00Z</dcterms:modified>
</cp:coreProperties>
</file>