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77" w:rsidRPr="00F65777" w:rsidRDefault="00F65777" w:rsidP="00F65777">
      <w:pPr>
        <w:pStyle w:val="Prrafodelista"/>
        <w:numPr>
          <w:ilvl w:val="0"/>
          <w:numId w:val="1"/>
        </w:numPr>
        <w:jc w:val="both"/>
        <w:rPr>
          <w:rFonts w:ascii="Arial" w:eastAsia="Calibri" w:hAnsi="Arial" w:cs="Arial"/>
          <w:snapToGrid w:val="0"/>
          <w:color w:val="000000"/>
          <w:szCs w:val="20"/>
          <w:lang w:val="es-UY"/>
        </w:rPr>
      </w:pPr>
      <w:r w:rsidRPr="00F65777">
        <w:rPr>
          <w:rFonts w:ascii="Arial" w:eastAsia="Calibri" w:hAnsi="Arial" w:cs="Arial"/>
          <w:snapToGrid w:val="0"/>
          <w:color w:val="000000"/>
          <w:szCs w:val="20"/>
          <w:lang w:val="es-UY"/>
        </w:rPr>
        <w:t xml:space="preserve">Está previsto en el </w:t>
      </w:r>
      <w:bookmarkStart w:id="0" w:name="_Toc441733467"/>
      <w:bookmarkStart w:id="1" w:name="_Toc455499046"/>
      <w:bookmarkStart w:id="2" w:name="_Toc473551697"/>
      <w:bookmarkStart w:id="3" w:name="_Toc501114517"/>
      <w:r w:rsidRPr="00F65777">
        <w:rPr>
          <w:rFonts w:ascii="Arial" w:eastAsia="Calibri" w:hAnsi="Arial" w:cs="Arial"/>
          <w:b/>
          <w:snapToGrid w:val="0"/>
          <w:color w:val="000000"/>
          <w:szCs w:val="20"/>
          <w:lang w:val="es-UY"/>
        </w:rPr>
        <w:t>4.2. de Lugar y Fecha de Presentación</w:t>
      </w:r>
      <w:bookmarkEnd w:id="0"/>
      <w:bookmarkEnd w:id="1"/>
      <w:bookmarkEnd w:id="2"/>
      <w:bookmarkEnd w:id="3"/>
      <w:r w:rsidRPr="00F65777">
        <w:rPr>
          <w:rFonts w:ascii="Arial" w:eastAsia="Calibri" w:hAnsi="Arial" w:cs="Arial"/>
          <w:snapToGrid w:val="0"/>
          <w:color w:val="000000"/>
          <w:szCs w:val="20"/>
          <w:lang w:val="es-UY"/>
        </w:rPr>
        <w:t xml:space="preserve">  que dice, “Los </w:t>
      </w:r>
      <w:r w:rsidRPr="00F65777">
        <w:rPr>
          <w:rFonts w:ascii="Arial" w:eastAsia="Calibri" w:hAnsi="Arial" w:cs="Arial"/>
          <w:b/>
          <w:snapToGrid w:val="0"/>
          <w:color w:val="000000"/>
          <w:szCs w:val="20"/>
          <w:lang w:val="es-UY"/>
        </w:rPr>
        <w:t xml:space="preserve">sobres conteniendo las propuestas deberán ser entregados </w:t>
      </w:r>
      <w:r w:rsidRPr="00F65777">
        <w:rPr>
          <w:rFonts w:ascii="Arial" w:eastAsia="Calibri" w:hAnsi="Arial" w:cs="Arial"/>
          <w:b/>
          <w:snapToGrid w:val="0"/>
          <w:color w:val="000000"/>
          <w:szCs w:val="20"/>
          <w:u w:val="single"/>
          <w:lang w:val="es-UY"/>
        </w:rPr>
        <w:t>exclusivamente</w:t>
      </w:r>
      <w:r w:rsidRPr="00F65777">
        <w:rPr>
          <w:rFonts w:ascii="Arial" w:eastAsia="Calibri" w:hAnsi="Arial" w:cs="Arial"/>
          <w:b/>
          <w:snapToGrid w:val="0"/>
          <w:color w:val="000000"/>
          <w:szCs w:val="20"/>
          <w:lang w:val="es-UY"/>
        </w:rPr>
        <w:t xml:space="preserve"> en el Departamento de Adquisiciones, en la calle Constituyente Nº 1476, Primer Subsuelo</w:t>
      </w:r>
      <w:r w:rsidRPr="00F65777">
        <w:rPr>
          <w:rFonts w:ascii="Arial" w:eastAsia="Calibri" w:hAnsi="Arial" w:cs="Arial"/>
          <w:snapToGrid w:val="0"/>
          <w:color w:val="000000"/>
          <w:szCs w:val="20"/>
          <w:lang w:val="es-UY"/>
        </w:rPr>
        <w:t>, de la ciudad de Montevideo, antes del horario de apertura de la licitación. “</w:t>
      </w:r>
    </w:p>
    <w:p w:rsidR="00F65777" w:rsidRDefault="00F65777" w:rsidP="00F65777">
      <w:pPr>
        <w:pStyle w:val="Prrafodelista"/>
        <w:numPr>
          <w:ilvl w:val="0"/>
          <w:numId w:val="1"/>
        </w:numPr>
        <w:jc w:val="both"/>
        <w:rPr>
          <w:rFonts w:ascii="Arial" w:eastAsia="Calibri" w:hAnsi="Arial" w:cs="Arial"/>
          <w:snapToGrid w:val="0"/>
          <w:color w:val="000000"/>
          <w:szCs w:val="20"/>
          <w:lang w:val="es-UY"/>
        </w:rPr>
      </w:pPr>
      <w:r w:rsidRPr="00F65777">
        <w:rPr>
          <w:rFonts w:ascii="Arial" w:eastAsia="Calibri" w:hAnsi="Arial" w:cs="Arial"/>
          <w:snapToGrid w:val="0"/>
          <w:color w:val="000000"/>
          <w:szCs w:val="20"/>
          <w:lang w:val="es-UY"/>
        </w:rPr>
        <w:t>No está previsto cotizar a través de compras estatales.</w:t>
      </w:r>
      <w:r>
        <w:rPr>
          <w:rFonts w:ascii="Arial" w:eastAsia="Calibri" w:hAnsi="Arial" w:cs="Arial"/>
          <w:snapToGrid w:val="0"/>
          <w:color w:val="000000"/>
          <w:szCs w:val="20"/>
          <w:lang w:val="es-UY"/>
        </w:rPr>
        <w:t xml:space="preserve"> </w:t>
      </w:r>
    </w:p>
    <w:p w:rsidR="001A048D" w:rsidRDefault="00F65777" w:rsidP="00F65777">
      <w:pPr>
        <w:pStyle w:val="Prrafodelista"/>
        <w:jc w:val="both"/>
        <w:rPr>
          <w:rFonts w:ascii="Arial" w:eastAsia="Calibri" w:hAnsi="Arial" w:cs="Arial"/>
          <w:snapToGrid w:val="0"/>
          <w:color w:val="000000"/>
          <w:szCs w:val="20"/>
          <w:lang w:val="es-UY"/>
        </w:rPr>
      </w:pPr>
      <w:r>
        <w:rPr>
          <w:rFonts w:ascii="Arial" w:eastAsia="Calibri" w:hAnsi="Arial" w:cs="Arial"/>
          <w:snapToGrid w:val="0"/>
          <w:color w:val="000000"/>
          <w:szCs w:val="20"/>
          <w:lang w:val="es-UY"/>
        </w:rPr>
        <w:t xml:space="preserve">Las cotizaciones deberán presentarse conforme se prevé en el ANEXO V  de Planillas de Cotización Licitación Pública Nº2/18 DGS – MGAP, como se establece en el pliego. </w:t>
      </w:r>
    </w:p>
    <w:p w:rsidR="00F65777" w:rsidRDefault="00F65777" w:rsidP="00F65777">
      <w:pPr>
        <w:pStyle w:val="Prrafodelista"/>
        <w:jc w:val="both"/>
        <w:rPr>
          <w:rFonts w:ascii="Arial" w:eastAsia="Calibri" w:hAnsi="Arial" w:cs="Arial"/>
          <w:snapToGrid w:val="0"/>
          <w:color w:val="000000"/>
          <w:szCs w:val="20"/>
          <w:lang w:val="es-UY"/>
        </w:rPr>
      </w:pPr>
      <w:r>
        <w:rPr>
          <w:rFonts w:ascii="Arial" w:eastAsia="Calibri" w:hAnsi="Arial" w:cs="Arial"/>
          <w:snapToGrid w:val="0"/>
          <w:color w:val="000000"/>
          <w:szCs w:val="20"/>
          <w:lang w:val="es-UY"/>
        </w:rPr>
        <w:t xml:space="preserve">Los precios de los servicios </w:t>
      </w:r>
      <w:r w:rsidR="00194DE0">
        <w:rPr>
          <w:rFonts w:ascii="Arial" w:eastAsia="Calibri" w:hAnsi="Arial" w:cs="Arial"/>
          <w:snapToGrid w:val="0"/>
          <w:color w:val="000000"/>
          <w:szCs w:val="20"/>
          <w:lang w:val="es-UY"/>
        </w:rPr>
        <w:t xml:space="preserve">a cotizar </w:t>
      </w:r>
      <w:r>
        <w:rPr>
          <w:rFonts w:ascii="Arial" w:eastAsia="Calibri" w:hAnsi="Arial" w:cs="Arial"/>
          <w:snapToGrid w:val="0"/>
          <w:color w:val="000000"/>
          <w:szCs w:val="20"/>
          <w:lang w:val="es-UY"/>
        </w:rPr>
        <w:t>son unitarios</w:t>
      </w:r>
      <w:r w:rsidR="00194DE0">
        <w:rPr>
          <w:rFonts w:ascii="Arial" w:eastAsia="Calibri" w:hAnsi="Arial" w:cs="Arial"/>
          <w:snapToGrid w:val="0"/>
          <w:color w:val="000000"/>
          <w:szCs w:val="20"/>
          <w:lang w:val="es-UY"/>
        </w:rPr>
        <w:t xml:space="preserve"> y deberán cotizarse también los repuestos necesarios para dichos servicios, sean ellos uno o más</w:t>
      </w:r>
      <w:r>
        <w:rPr>
          <w:rFonts w:ascii="Arial" w:eastAsia="Calibri" w:hAnsi="Arial" w:cs="Arial"/>
          <w:snapToGrid w:val="0"/>
          <w:color w:val="000000"/>
          <w:szCs w:val="20"/>
          <w:lang w:val="es-UY"/>
        </w:rPr>
        <w:t>.</w:t>
      </w:r>
    </w:p>
    <w:p w:rsidR="00F65777" w:rsidRDefault="00194DE0" w:rsidP="00F65777">
      <w:pPr>
        <w:pStyle w:val="Prrafodelista"/>
        <w:numPr>
          <w:ilvl w:val="0"/>
          <w:numId w:val="1"/>
        </w:numPr>
        <w:jc w:val="both"/>
        <w:rPr>
          <w:rFonts w:ascii="Arial" w:eastAsia="Calibri" w:hAnsi="Arial" w:cs="Arial"/>
          <w:snapToGrid w:val="0"/>
          <w:color w:val="000000"/>
          <w:szCs w:val="20"/>
          <w:lang w:val="es-UY"/>
        </w:rPr>
      </w:pPr>
      <w:r>
        <w:rPr>
          <w:rFonts w:ascii="Arial" w:eastAsia="Calibri" w:hAnsi="Arial" w:cs="Arial"/>
          <w:snapToGrid w:val="0"/>
          <w:color w:val="000000"/>
          <w:szCs w:val="20"/>
          <w:lang w:val="es-UY"/>
        </w:rPr>
        <w:t xml:space="preserve">a) </w:t>
      </w:r>
      <w:r w:rsidR="00F65777">
        <w:rPr>
          <w:rFonts w:ascii="Arial" w:eastAsia="Calibri" w:hAnsi="Arial" w:cs="Arial"/>
          <w:snapToGrid w:val="0"/>
          <w:color w:val="000000"/>
          <w:szCs w:val="20"/>
          <w:lang w:val="es-UY"/>
        </w:rPr>
        <w:t>Se cotizan precios UNITARIOS, sea que el grupo respectivo lo forme un solo vehículo o varios.</w:t>
      </w:r>
    </w:p>
    <w:p w:rsidR="00A452B4" w:rsidRDefault="00A452B4" w:rsidP="00A452B4">
      <w:pPr>
        <w:pStyle w:val="Prrafodelista"/>
        <w:jc w:val="both"/>
        <w:rPr>
          <w:rFonts w:ascii="Arial" w:eastAsia="Calibri" w:hAnsi="Arial" w:cs="Arial"/>
          <w:snapToGrid w:val="0"/>
          <w:color w:val="000000"/>
          <w:szCs w:val="20"/>
          <w:lang w:val="es-UY"/>
        </w:rPr>
      </w:pPr>
      <w:r>
        <w:rPr>
          <w:rFonts w:ascii="Arial" w:eastAsia="Calibri" w:hAnsi="Arial" w:cs="Arial"/>
          <w:snapToGrid w:val="0"/>
          <w:color w:val="000000"/>
          <w:szCs w:val="20"/>
          <w:lang w:val="es-UY"/>
        </w:rPr>
        <w:t>b) Si.</w:t>
      </w:r>
    </w:p>
    <w:p w:rsidR="0006348C" w:rsidRDefault="00A452B4" w:rsidP="0006348C">
      <w:pPr>
        <w:pStyle w:val="Prrafodelista"/>
        <w:jc w:val="both"/>
        <w:rPr>
          <w:rFonts w:ascii="Arial" w:eastAsia="Calibri" w:hAnsi="Arial" w:cs="Arial"/>
          <w:snapToGrid w:val="0"/>
          <w:color w:val="000000"/>
          <w:szCs w:val="20"/>
          <w:lang w:val="es-UY"/>
        </w:rPr>
      </w:pPr>
      <w:r>
        <w:rPr>
          <w:rFonts w:ascii="Arial" w:eastAsia="Calibri" w:hAnsi="Arial" w:cs="Arial"/>
          <w:snapToGrid w:val="0"/>
          <w:color w:val="000000"/>
          <w:szCs w:val="20"/>
          <w:lang w:val="es-UY"/>
        </w:rPr>
        <w:t xml:space="preserve">c) </w:t>
      </w:r>
      <w:r w:rsidR="0006348C">
        <w:rPr>
          <w:rFonts w:ascii="Arial" w:eastAsia="Calibri" w:hAnsi="Arial" w:cs="Arial"/>
          <w:snapToGrid w:val="0"/>
          <w:color w:val="000000"/>
          <w:szCs w:val="20"/>
          <w:lang w:val="es-UY"/>
        </w:rPr>
        <w:t xml:space="preserve">Se deben cotizar según el ANEXO V  de Planillas de Cotización Licitación Pública Nº2/18 DGS – MGAP, como se establece en el pliego porque no se admite cotización </w:t>
      </w:r>
      <w:proofErr w:type="spellStart"/>
      <w:r w:rsidR="0006348C">
        <w:rPr>
          <w:rFonts w:ascii="Arial" w:eastAsia="Calibri" w:hAnsi="Arial" w:cs="Arial"/>
          <w:snapToGrid w:val="0"/>
          <w:color w:val="000000"/>
          <w:szCs w:val="20"/>
          <w:lang w:val="es-UY"/>
        </w:rPr>
        <w:t>on</w:t>
      </w:r>
      <w:proofErr w:type="spellEnd"/>
      <w:r w:rsidR="0006348C">
        <w:rPr>
          <w:rFonts w:ascii="Arial" w:eastAsia="Calibri" w:hAnsi="Arial" w:cs="Arial"/>
          <w:snapToGrid w:val="0"/>
          <w:color w:val="000000"/>
          <w:szCs w:val="20"/>
          <w:lang w:val="es-UY"/>
        </w:rPr>
        <w:t xml:space="preserve"> line.  En dicha Planilla cada ítem se cotiza por separado sin importar la cantidad de vehículos que integre el Grupo.</w:t>
      </w:r>
    </w:p>
    <w:p w:rsidR="00E67A78" w:rsidRDefault="00E67A78" w:rsidP="0006348C">
      <w:pPr>
        <w:pStyle w:val="Prrafodelista"/>
        <w:jc w:val="both"/>
        <w:rPr>
          <w:rFonts w:ascii="Arial" w:eastAsia="Calibri" w:hAnsi="Arial" w:cs="Arial"/>
          <w:snapToGrid w:val="0"/>
          <w:color w:val="000000"/>
          <w:szCs w:val="20"/>
          <w:lang w:val="es-UY"/>
        </w:rPr>
      </w:pPr>
    </w:p>
    <w:p w:rsidR="00264B05" w:rsidRDefault="00264B05" w:rsidP="00E67A78">
      <w:pPr>
        <w:pStyle w:val="Prrafodelista"/>
        <w:numPr>
          <w:ilvl w:val="0"/>
          <w:numId w:val="1"/>
        </w:numPr>
        <w:jc w:val="both"/>
        <w:rPr>
          <w:rFonts w:ascii="Arial" w:eastAsia="Calibri" w:hAnsi="Arial" w:cs="Arial"/>
          <w:snapToGrid w:val="0"/>
          <w:color w:val="000000"/>
          <w:szCs w:val="20"/>
          <w:lang w:val="es-UY"/>
        </w:rPr>
      </w:pPr>
      <w:r>
        <w:rPr>
          <w:rFonts w:ascii="Arial" w:eastAsia="Calibri" w:hAnsi="Arial" w:cs="Arial"/>
          <w:snapToGrid w:val="0"/>
          <w:color w:val="000000"/>
          <w:szCs w:val="20"/>
          <w:lang w:val="es-UY"/>
        </w:rPr>
        <w:t xml:space="preserve">En la aclaración publicada el </w:t>
      </w:r>
      <w:r w:rsidRPr="00264B05">
        <w:rPr>
          <w:rFonts w:ascii="Arial" w:eastAsia="Calibri" w:hAnsi="Arial" w:cs="Arial"/>
          <w:snapToGrid w:val="0"/>
          <w:color w:val="000000"/>
          <w:szCs w:val="20"/>
          <w:lang w:val="es-UY"/>
        </w:rPr>
        <w:t>15/03/2018</w:t>
      </w:r>
      <w:r>
        <w:rPr>
          <w:rFonts w:ascii="Arial" w:eastAsia="Calibri" w:hAnsi="Arial" w:cs="Arial"/>
          <w:snapToGrid w:val="0"/>
          <w:color w:val="000000"/>
          <w:szCs w:val="20"/>
          <w:lang w:val="es-UY"/>
        </w:rPr>
        <w:t xml:space="preserve"> a las</w:t>
      </w:r>
      <w:r w:rsidRPr="00264B05">
        <w:rPr>
          <w:rFonts w:ascii="Arial" w:eastAsia="Calibri" w:hAnsi="Arial" w:cs="Arial"/>
          <w:snapToGrid w:val="0"/>
          <w:color w:val="000000"/>
          <w:szCs w:val="20"/>
          <w:lang w:val="es-UY"/>
        </w:rPr>
        <w:t xml:space="preserve"> 12:56hs</w:t>
      </w:r>
      <w:r>
        <w:rPr>
          <w:rFonts w:ascii="Arial" w:eastAsia="Calibri" w:hAnsi="Arial" w:cs="Arial"/>
          <w:snapToGrid w:val="0"/>
          <w:color w:val="000000"/>
          <w:szCs w:val="20"/>
          <w:lang w:val="es-UY"/>
        </w:rPr>
        <w:t xml:space="preserve"> el numeral 1.3 de Especificaciones quedó redactado de la siguiente manera, “</w:t>
      </w:r>
      <w:r w:rsidRPr="00E67A78">
        <w:rPr>
          <w:rFonts w:ascii="Arial" w:eastAsia="Calibri" w:hAnsi="Arial" w:cs="Arial"/>
          <w:snapToGrid w:val="0"/>
          <w:color w:val="000000"/>
          <w:szCs w:val="20"/>
          <w:lang w:val="es-UY"/>
        </w:rPr>
        <w:t>Se deberán prestar todos los servicios exigidos en el numeral 1.2.  del Pliego  de todos los vehículos con las mismas bases operativas, debiéndose detallar en la oferta cómo se cumplirá con las obligaciones asumidas (lista de talleres, servicios móviles, etc.). Se valorará la distancia entre los talleres y las sedes de las bases operativas. El MGAP consiente desde ya que el cumplimiento de las obligaciones nacidas de la presente contratación se ejecuten por persona física o jurídica diferente al adjudicatario siempre que el servicio se brinde con las mismas seguridades de cumplimiento y éste último resulte su responsable</w:t>
      </w:r>
      <w:r w:rsidR="00E67A78" w:rsidRPr="00E67A78">
        <w:rPr>
          <w:rFonts w:ascii="Arial" w:eastAsia="Calibri" w:hAnsi="Arial" w:cs="Arial"/>
          <w:snapToGrid w:val="0"/>
          <w:color w:val="000000"/>
          <w:szCs w:val="20"/>
          <w:lang w:val="es-UY"/>
        </w:rPr>
        <w:t>.”</w:t>
      </w:r>
    </w:p>
    <w:p w:rsidR="0006348C" w:rsidRDefault="0006348C" w:rsidP="00E67A78">
      <w:pPr>
        <w:pStyle w:val="Prrafodelista"/>
        <w:jc w:val="both"/>
        <w:rPr>
          <w:rFonts w:ascii="Arial" w:eastAsia="Calibri" w:hAnsi="Arial" w:cs="Arial"/>
          <w:snapToGrid w:val="0"/>
          <w:color w:val="000000"/>
          <w:szCs w:val="20"/>
          <w:lang w:val="es-UY"/>
        </w:rPr>
      </w:pPr>
    </w:p>
    <w:p w:rsidR="0006348C" w:rsidRDefault="0006348C" w:rsidP="0006348C">
      <w:pPr>
        <w:pStyle w:val="Prrafodelista"/>
        <w:jc w:val="both"/>
        <w:rPr>
          <w:rFonts w:ascii="Arial" w:eastAsia="Calibri" w:hAnsi="Arial" w:cs="Arial"/>
          <w:snapToGrid w:val="0"/>
          <w:color w:val="000000"/>
          <w:szCs w:val="20"/>
          <w:lang w:val="es-UY"/>
        </w:rPr>
      </w:pPr>
    </w:p>
    <w:p w:rsidR="00A452B4" w:rsidRDefault="00A452B4" w:rsidP="00A452B4">
      <w:pPr>
        <w:pStyle w:val="Prrafodelista"/>
        <w:jc w:val="both"/>
        <w:rPr>
          <w:rFonts w:ascii="Arial" w:eastAsia="Calibri" w:hAnsi="Arial" w:cs="Arial"/>
          <w:snapToGrid w:val="0"/>
          <w:color w:val="000000"/>
          <w:szCs w:val="20"/>
          <w:lang w:val="es-UY"/>
        </w:rPr>
      </w:pPr>
    </w:p>
    <w:p w:rsidR="00F65777" w:rsidRPr="00F65777" w:rsidRDefault="00F65777" w:rsidP="00F65777">
      <w:pPr>
        <w:pStyle w:val="Prrafodelista"/>
        <w:rPr>
          <w:rFonts w:ascii="Arial" w:eastAsia="Calibri" w:hAnsi="Arial" w:cs="Arial"/>
          <w:snapToGrid w:val="0"/>
          <w:color w:val="000000"/>
          <w:szCs w:val="20"/>
          <w:lang w:val="es-UY"/>
        </w:rPr>
      </w:pPr>
    </w:p>
    <w:sectPr w:rsidR="00F65777" w:rsidRPr="00F6577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C17" w:rsidRDefault="00402C17" w:rsidP="00E67A78">
      <w:r>
        <w:separator/>
      </w:r>
    </w:p>
  </w:endnote>
  <w:endnote w:type="continuationSeparator" w:id="0">
    <w:p w:rsidR="00402C17" w:rsidRDefault="00402C17" w:rsidP="00E6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9C" w:rsidRDefault="00C517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9C" w:rsidRDefault="00C5179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9C" w:rsidRDefault="00C517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C17" w:rsidRDefault="00402C17" w:rsidP="00E67A78">
      <w:r>
        <w:separator/>
      </w:r>
    </w:p>
  </w:footnote>
  <w:footnote w:type="continuationSeparator" w:id="0">
    <w:p w:rsidR="00402C17" w:rsidRDefault="00402C17" w:rsidP="00E67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9C" w:rsidRDefault="00C517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78" w:rsidRDefault="00E67A78" w:rsidP="00C5179C">
    <w:pPr>
      <w:jc w:val="center"/>
      <w:rPr>
        <w:sz w:val="22"/>
        <w:szCs w:val="22"/>
        <w:lang w:val="es-UY"/>
      </w:rPr>
    </w:pPr>
    <w:bookmarkStart w:id="4" w:name="_GoBack"/>
    <w:bookmarkEnd w:id="4"/>
    <w:r>
      <w:t xml:space="preserve">ACLARACIONES A CONSULTAS DE </w:t>
    </w:r>
    <w:r>
      <w:rPr>
        <w:lang w:val="es-UY"/>
      </w:rPr>
      <w:t>PROBERNIL S.A. (RUT 212506260018)</w:t>
    </w:r>
  </w:p>
  <w:p w:rsidR="00E67A78" w:rsidRDefault="00E67A7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9C" w:rsidRDefault="00C517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A6227"/>
    <w:multiLevelType w:val="hybridMultilevel"/>
    <w:tmpl w:val="1C52D8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F627FE"/>
    <w:multiLevelType w:val="multilevel"/>
    <w:tmpl w:val="181A25A2"/>
    <w:lvl w:ilvl="0">
      <w:start w:val="1"/>
      <w:numFmt w:val="decimal"/>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48"/>
    <w:rsid w:val="0006348C"/>
    <w:rsid w:val="00194DE0"/>
    <w:rsid w:val="001A048D"/>
    <w:rsid w:val="00264B05"/>
    <w:rsid w:val="00402C17"/>
    <w:rsid w:val="00A452B4"/>
    <w:rsid w:val="00C5179C"/>
    <w:rsid w:val="00E67A78"/>
    <w:rsid w:val="00F25D48"/>
    <w:rsid w:val="00F657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D98D5-95AF-4E42-BB83-516C895F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7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F65777"/>
    <w:pPr>
      <w:keepNext/>
      <w:numPr>
        <w:ilvl w:val="1"/>
        <w:numId w:val="2"/>
      </w:numPr>
      <w:tabs>
        <w:tab w:val="left" w:pos="-1440"/>
        <w:tab w:val="left" w:pos="318"/>
      </w:tabs>
      <w:spacing w:before="240" w:after="60"/>
      <w:ind w:right="720"/>
      <w:jc w:val="both"/>
      <w:outlineLvl w:val="1"/>
    </w:pPr>
    <w:rPr>
      <w:rFonts w:ascii="Arial" w:hAnsi="Arial"/>
      <w:snapToGrid w:val="0"/>
      <w:color w:val="000000"/>
      <w:szCs w:val="20"/>
      <w:lang w:val="es-MX"/>
    </w:rPr>
  </w:style>
  <w:style w:type="paragraph" w:styleId="Ttulo3">
    <w:name w:val="heading 3"/>
    <w:basedOn w:val="Normal"/>
    <w:next w:val="Normal"/>
    <w:link w:val="Ttulo3Car"/>
    <w:qFormat/>
    <w:rsid w:val="00F65777"/>
    <w:pPr>
      <w:keepNext/>
      <w:numPr>
        <w:ilvl w:val="2"/>
        <w:numId w:val="2"/>
      </w:numPr>
      <w:tabs>
        <w:tab w:val="left" w:pos="-1440"/>
        <w:tab w:val="left" w:pos="318"/>
      </w:tabs>
      <w:spacing w:before="240" w:after="60"/>
      <w:ind w:right="720"/>
      <w:jc w:val="both"/>
      <w:outlineLvl w:val="2"/>
    </w:pPr>
    <w:rPr>
      <w:rFonts w:ascii="Arial" w:hAnsi="Arial"/>
      <w:b/>
      <w:snapToGrid w:val="0"/>
      <w:color w:val="000000"/>
      <w:szCs w:val="20"/>
      <w:lang w:val="es-MX"/>
    </w:rPr>
  </w:style>
  <w:style w:type="paragraph" w:styleId="Ttulo4">
    <w:name w:val="heading 4"/>
    <w:basedOn w:val="Normal"/>
    <w:next w:val="Normal"/>
    <w:link w:val="Ttulo4Car"/>
    <w:qFormat/>
    <w:rsid w:val="00F65777"/>
    <w:pPr>
      <w:keepNext/>
      <w:numPr>
        <w:ilvl w:val="3"/>
        <w:numId w:val="2"/>
      </w:numPr>
      <w:tabs>
        <w:tab w:val="left" w:pos="-1440"/>
        <w:tab w:val="left" w:pos="318"/>
      </w:tabs>
      <w:spacing w:before="240" w:after="60"/>
      <w:ind w:right="720"/>
      <w:jc w:val="both"/>
      <w:outlineLvl w:val="3"/>
    </w:pPr>
    <w:rPr>
      <w:rFonts w:ascii="Arial" w:hAnsi="Arial"/>
      <w:snapToGrid w:val="0"/>
      <w:color w:val="000000"/>
      <w:szCs w:val="20"/>
      <w:lang w:val="es-MX"/>
    </w:rPr>
  </w:style>
  <w:style w:type="paragraph" w:styleId="Ttulo5">
    <w:name w:val="heading 5"/>
    <w:basedOn w:val="Normal"/>
    <w:next w:val="Normal"/>
    <w:link w:val="Ttulo5Car"/>
    <w:qFormat/>
    <w:rsid w:val="00F65777"/>
    <w:pPr>
      <w:numPr>
        <w:ilvl w:val="4"/>
        <w:numId w:val="2"/>
      </w:numPr>
      <w:tabs>
        <w:tab w:val="left" w:pos="-1440"/>
        <w:tab w:val="left" w:pos="318"/>
      </w:tabs>
      <w:spacing w:before="240" w:after="60"/>
      <w:ind w:right="720"/>
      <w:jc w:val="both"/>
      <w:outlineLvl w:val="4"/>
    </w:pPr>
    <w:rPr>
      <w:rFonts w:ascii="CG Times (WN)" w:hAnsi="CG Times (WN)"/>
      <w:b/>
      <w:snapToGrid w:val="0"/>
      <w:color w:val="000000"/>
      <w:sz w:val="22"/>
      <w:szCs w:val="20"/>
      <w:lang w:val="es-MX"/>
    </w:rPr>
  </w:style>
  <w:style w:type="paragraph" w:styleId="Ttulo6">
    <w:name w:val="heading 6"/>
    <w:basedOn w:val="Normal"/>
    <w:next w:val="Normal"/>
    <w:link w:val="Ttulo6Car"/>
    <w:qFormat/>
    <w:rsid w:val="00F65777"/>
    <w:pPr>
      <w:numPr>
        <w:ilvl w:val="5"/>
        <w:numId w:val="2"/>
      </w:numPr>
      <w:tabs>
        <w:tab w:val="left" w:pos="-1440"/>
        <w:tab w:val="left" w:pos="318"/>
      </w:tabs>
      <w:spacing w:before="240" w:after="60"/>
      <w:ind w:right="720"/>
      <w:jc w:val="both"/>
      <w:outlineLvl w:val="5"/>
    </w:pPr>
    <w:rPr>
      <w:rFonts w:ascii="CG Times (WN)" w:hAnsi="CG Times (WN)"/>
      <w:b/>
      <w:i/>
      <w:snapToGrid w:val="0"/>
      <w:color w:val="000000"/>
      <w:sz w:val="22"/>
      <w:szCs w:val="20"/>
      <w:lang w:val="es-MX"/>
    </w:rPr>
  </w:style>
  <w:style w:type="paragraph" w:styleId="Ttulo7">
    <w:name w:val="heading 7"/>
    <w:basedOn w:val="Normal"/>
    <w:next w:val="Normal"/>
    <w:link w:val="Ttulo7Car"/>
    <w:qFormat/>
    <w:rsid w:val="00F65777"/>
    <w:pPr>
      <w:numPr>
        <w:ilvl w:val="6"/>
        <w:numId w:val="2"/>
      </w:numPr>
      <w:tabs>
        <w:tab w:val="left" w:pos="-1440"/>
        <w:tab w:val="left" w:pos="318"/>
      </w:tabs>
      <w:spacing w:before="240" w:after="60"/>
      <w:ind w:right="720"/>
      <w:jc w:val="both"/>
      <w:outlineLvl w:val="6"/>
    </w:pPr>
    <w:rPr>
      <w:rFonts w:ascii="Arial" w:hAnsi="Arial"/>
      <w:b/>
      <w:snapToGrid w:val="0"/>
      <w:color w:val="000000"/>
      <w:szCs w:val="20"/>
      <w:lang w:val="es-MX"/>
    </w:rPr>
  </w:style>
  <w:style w:type="paragraph" w:styleId="Ttulo8">
    <w:name w:val="heading 8"/>
    <w:basedOn w:val="Normal"/>
    <w:next w:val="Normal"/>
    <w:link w:val="Ttulo8Car"/>
    <w:qFormat/>
    <w:rsid w:val="00F65777"/>
    <w:pPr>
      <w:numPr>
        <w:ilvl w:val="7"/>
        <w:numId w:val="2"/>
      </w:numPr>
      <w:tabs>
        <w:tab w:val="left" w:pos="-1440"/>
        <w:tab w:val="left" w:pos="318"/>
      </w:tabs>
      <w:spacing w:before="240" w:after="60"/>
      <w:ind w:right="720"/>
      <w:jc w:val="both"/>
      <w:outlineLvl w:val="7"/>
    </w:pPr>
    <w:rPr>
      <w:rFonts w:ascii="Arial" w:hAnsi="Arial"/>
      <w:b/>
      <w:i/>
      <w:snapToGrid w:val="0"/>
      <w:color w:val="000000"/>
      <w:szCs w:val="20"/>
      <w:lang w:val="es-MX"/>
    </w:rPr>
  </w:style>
  <w:style w:type="paragraph" w:styleId="Ttulo9">
    <w:name w:val="heading 9"/>
    <w:basedOn w:val="Normal"/>
    <w:next w:val="Normal"/>
    <w:link w:val="Ttulo9Car"/>
    <w:qFormat/>
    <w:rsid w:val="00F65777"/>
    <w:pPr>
      <w:numPr>
        <w:ilvl w:val="8"/>
        <w:numId w:val="2"/>
      </w:numPr>
      <w:tabs>
        <w:tab w:val="left" w:pos="-1440"/>
        <w:tab w:val="left" w:pos="318"/>
      </w:tabs>
      <w:spacing w:before="240" w:after="60"/>
      <w:ind w:right="720"/>
      <w:jc w:val="both"/>
      <w:outlineLvl w:val="8"/>
    </w:pPr>
    <w:rPr>
      <w:rFonts w:ascii="Arial" w:hAnsi="Arial"/>
      <w:i/>
      <w:snapToGrid w:val="0"/>
      <w:color w:val="000000"/>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5777"/>
    <w:pPr>
      <w:ind w:left="720"/>
      <w:contextualSpacing/>
    </w:pPr>
  </w:style>
  <w:style w:type="character" w:customStyle="1" w:styleId="Ttulo2Car">
    <w:name w:val="Título 2 Car"/>
    <w:basedOn w:val="Fuentedeprrafopredeter"/>
    <w:link w:val="Ttulo2"/>
    <w:rsid w:val="00F65777"/>
    <w:rPr>
      <w:rFonts w:ascii="Arial" w:eastAsia="Times New Roman" w:hAnsi="Arial" w:cs="Times New Roman"/>
      <w:snapToGrid w:val="0"/>
      <w:color w:val="000000"/>
      <w:sz w:val="24"/>
      <w:szCs w:val="20"/>
      <w:lang w:val="es-MX" w:eastAsia="es-ES"/>
    </w:rPr>
  </w:style>
  <w:style w:type="character" w:customStyle="1" w:styleId="Ttulo3Car">
    <w:name w:val="Título 3 Car"/>
    <w:basedOn w:val="Fuentedeprrafopredeter"/>
    <w:link w:val="Ttulo3"/>
    <w:rsid w:val="00F65777"/>
    <w:rPr>
      <w:rFonts w:ascii="Arial" w:eastAsia="Times New Roman" w:hAnsi="Arial" w:cs="Times New Roman"/>
      <w:b/>
      <w:snapToGrid w:val="0"/>
      <w:color w:val="000000"/>
      <w:sz w:val="24"/>
      <w:szCs w:val="20"/>
      <w:lang w:val="es-MX" w:eastAsia="es-ES"/>
    </w:rPr>
  </w:style>
  <w:style w:type="character" w:customStyle="1" w:styleId="Ttulo4Car">
    <w:name w:val="Título 4 Car"/>
    <w:basedOn w:val="Fuentedeprrafopredeter"/>
    <w:link w:val="Ttulo4"/>
    <w:rsid w:val="00F65777"/>
    <w:rPr>
      <w:rFonts w:ascii="Arial" w:eastAsia="Times New Roman" w:hAnsi="Arial" w:cs="Times New Roman"/>
      <w:snapToGrid w:val="0"/>
      <w:color w:val="000000"/>
      <w:sz w:val="24"/>
      <w:szCs w:val="20"/>
      <w:lang w:val="es-MX" w:eastAsia="es-ES"/>
    </w:rPr>
  </w:style>
  <w:style w:type="character" w:customStyle="1" w:styleId="Ttulo5Car">
    <w:name w:val="Título 5 Car"/>
    <w:basedOn w:val="Fuentedeprrafopredeter"/>
    <w:link w:val="Ttulo5"/>
    <w:rsid w:val="00F65777"/>
    <w:rPr>
      <w:rFonts w:ascii="CG Times (WN)" w:eastAsia="Times New Roman" w:hAnsi="CG Times (WN)" w:cs="Times New Roman"/>
      <w:b/>
      <w:snapToGrid w:val="0"/>
      <w:color w:val="000000"/>
      <w:szCs w:val="20"/>
      <w:lang w:val="es-MX" w:eastAsia="es-ES"/>
    </w:rPr>
  </w:style>
  <w:style w:type="character" w:customStyle="1" w:styleId="Ttulo6Car">
    <w:name w:val="Título 6 Car"/>
    <w:basedOn w:val="Fuentedeprrafopredeter"/>
    <w:link w:val="Ttulo6"/>
    <w:rsid w:val="00F65777"/>
    <w:rPr>
      <w:rFonts w:ascii="CG Times (WN)" w:eastAsia="Times New Roman" w:hAnsi="CG Times (WN)" w:cs="Times New Roman"/>
      <w:b/>
      <w:i/>
      <w:snapToGrid w:val="0"/>
      <w:color w:val="000000"/>
      <w:szCs w:val="20"/>
      <w:lang w:val="es-MX" w:eastAsia="es-ES"/>
    </w:rPr>
  </w:style>
  <w:style w:type="character" w:customStyle="1" w:styleId="Ttulo7Car">
    <w:name w:val="Título 7 Car"/>
    <w:basedOn w:val="Fuentedeprrafopredeter"/>
    <w:link w:val="Ttulo7"/>
    <w:rsid w:val="00F65777"/>
    <w:rPr>
      <w:rFonts w:ascii="Arial" w:eastAsia="Times New Roman" w:hAnsi="Arial" w:cs="Times New Roman"/>
      <w:b/>
      <w:snapToGrid w:val="0"/>
      <w:color w:val="000000"/>
      <w:sz w:val="24"/>
      <w:szCs w:val="20"/>
      <w:lang w:val="es-MX" w:eastAsia="es-ES"/>
    </w:rPr>
  </w:style>
  <w:style w:type="character" w:customStyle="1" w:styleId="Ttulo8Car">
    <w:name w:val="Título 8 Car"/>
    <w:basedOn w:val="Fuentedeprrafopredeter"/>
    <w:link w:val="Ttulo8"/>
    <w:rsid w:val="00F65777"/>
    <w:rPr>
      <w:rFonts w:ascii="Arial" w:eastAsia="Times New Roman" w:hAnsi="Arial" w:cs="Times New Roman"/>
      <w:b/>
      <w:i/>
      <w:snapToGrid w:val="0"/>
      <w:color w:val="000000"/>
      <w:sz w:val="24"/>
      <w:szCs w:val="20"/>
      <w:lang w:val="es-MX" w:eastAsia="es-ES"/>
    </w:rPr>
  </w:style>
  <w:style w:type="character" w:customStyle="1" w:styleId="Ttulo9Car">
    <w:name w:val="Título 9 Car"/>
    <w:basedOn w:val="Fuentedeprrafopredeter"/>
    <w:link w:val="Ttulo9"/>
    <w:rsid w:val="00F65777"/>
    <w:rPr>
      <w:rFonts w:ascii="Arial" w:eastAsia="Times New Roman" w:hAnsi="Arial" w:cs="Times New Roman"/>
      <w:i/>
      <w:snapToGrid w:val="0"/>
      <w:color w:val="000000"/>
      <w:sz w:val="18"/>
      <w:szCs w:val="20"/>
      <w:lang w:val="es-MX" w:eastAsia="es-ES"/>
    </w:rPr>
  </w:style>
  <w:style w:type="paragraph" w:styleId="Encabezado">
    <w:name w:val="header"/>
    <w:basedOn w:val="Normal"/>
    <w:link w:val="EncabezadoCar"/>
    <w:uiPriority w:val="99"/>
    <w:unhideWhenUsed/>
    <w:rsid w:val="00E67A78"/>
    <w:pPr>
      <w:tabs>
        <w:tab w:val="center" w:pos="4252"/>
        <w:tab w:val="right" w:pos="8504"/>
      </w:tabs>
    </w:pPr>
  </w:style>
  <w:style w:type="character" w:customStyle="1" w:styleId="EncabezadoCar">
    <w:name w:val="Encabezado Car"/>
    <w:basedOn w:val="Fuentedeprrafopredeter"/>
    <w:link w:val="Encabezado"/>
    <w:uiPriority w:val="99"/>
    <w:rsid w:val="00E67A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67A78"/>
    <w:pPr>
      <w:tabs>
        <w:tab w:val="center" w:pos="4252"/>
        <w:tab w:val="right" w:pos="8504"/>
      </w:tabs>
    </w:pPr>
  </w:style>
  <w:style w:type="character" w:customStyle="1" w:styleId="PiedepginaCar">
    <w:name w:val="Pie de página Car"/>
    <w:basedOn w:val="Fuentedeprrafopredeter"/>
    <w:link w:val="Piedepgina"/>
    <w:uiPriority w:val="99"/>
    <w:rsid w:val="00E67A7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0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284</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Gastelumendi Vilaboa Maria del Pilar</dc:creator>
  <cp:keywords/>
  <dc:description/>
  <cp:lastModifiedBy>Esc. Mª del PIlar Gastelumendi Vilaboa</cp:lastModifiedBy>
  <cp:revision>4</cp:revision>
  <dcterms:created xsi:type="dcterms:W3CDTF">2018-05-02T15:14:00Z</dcterms:created>
  <dcterms:modified xsi:type="dcterms:W3CDTF">2018-05-02T16:02:00Z</dcterms:modified>
</cp:coreProperties>
</file>