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86" w:rsidRDefault="00C43A5B"/>
    <w:p w:rsidR="008A5A54" w:rsidRPr="009F66DB" w:rsidRDefault="008A5A54" w:rsidP="009F66DB">
      <w:pPr>
        <w:jc w:val="both"/>
        <w:rPr>
          <w:b/>
        </w:rPr>
      </w:pPr>
      <w:r w:rsidRPr="009F66DB">
        <w:rPr>
          <w:b/>
        </w:rPr>
        <w:t>Licitación Pública Internacional N° 0</w:t>
      </w:r>
      <w:r w:rsidR="00C762CD">
        <w:rPr>
          <w:b/>
        </w:rPr>
        <w:t>8</w:t>
      </w:r>
      <w:r w:rsidRPr="009F66DB">
        <w:rPr>
          <w:b/>
        </w:rPr>
        <w:t>/2017</w:t>
      </w:r>
    </w:p>
    <w:p w:rsidR="008A5A54" w:rsidRPr="009F66DB" w:rsidRDefault="008A5A54" w:rsidP="009F66DB">
      <w:pPr>
        <w:jc w:val="both"/>
        <w:rPr>
          <w:b/>
        </w:rPr>
      </w:pPr>
      <w:r w:rsidRPr="009F66DB">
        <w:rPr>
          <w:b/>
        </w:rPr>
        <w:t>Administración Nacional de Educación Pública ANEP.-</w:t>
      </w:r>
    </w:p>
    <w:p w:rsidR="008A5A54" w:rsidRPr="009F66DB" w:rsidRDefault="008A5A54" w:rsidP="009F66DB">
      <w:pPr>
        <w:pBdr>
          <w:bottom w:val="single" w:sz="6" w:space="1" w:color="auto"/>
        </w:pBdr>
        <w:jc w:val="both"/>
        <w:rPr>
          <w:b/>
        </w:rPr>
      </w:pPr>
      <w:r w:rsidRPr="009F66DB">
        <w:rPr>
          <w:b/>
        </w:rPr>
        <w:t>Comunicado N° 1</w:t>
      </w:r>
    </w:p>
    <w:p w:rsidR="008A5A54" w:rsidRPr="009E2E1E" w:rsidRDefault="008A5A54" w:rsidP="009F66DB">
      <w:pPr>
        <w:jc w:val="both"/>
        <w:rPr>
          <w:b/>
        </w:rPr>
      </w:pPr>
      <w:r w:rsidRPr="009E2E1E">
        <w:rPr>
          <w:b/>
        </w:rPr>
        <w:t>Al amparo de lo establecido en la Cláusula 12 del Pliego de Condiciones Administrativas que rige la presente licitación, se realizan las siguientes puntualizaciones:</w:t>
      </w:r>
    </w:p>
    <w:p w:rsidR="00D3162C" w:rsidRPr="00D3162C" w:rsidRDefault="00D3162C" w:rsidP="00D3162C">
      <w:pPr>
        <w:jc w:val="both"/>
        <w:rPr>
          <w:b/>
          <w:caps/>
          <w:sz w:val="28"/>
          <w:szCs w:val="28"/>
          <w:u w:val="single"/>
        </w:rPr>
      </w:pPr>
      <w:r w:rsidRPr="00D3162C">
        <w:rPr>
          <w:b/>
          <w:caps/>
          <w:sz w:val="28"/>
          <w:szCs w:val="28"/>
          <w:u w:val="single"/>
        </w:rPr>
        <w:t xml:space="preserve">Puntualización 1 - PROYECTO </w:t>
      </w:r>
      <w:r>
        <w:rPr>
          <w:b/>
          <w:caps/>
          <w:sz w:val="28"/>
          <w:szCs w:val="28"/>
          <w:u w:val="single"/>
        </w:rPr>
        <w:t xml:space="preserve">de </w:t>
      </w:r>
      <w:r w:rsidRPr="00D3162C">
        <w:rPr>
          <w:b/>
          <w:caps/>
          <w:sz w:val="28"/>
          <w:szCs w:val="28"/>
          <w:u w:val="single"/>
        </w:rPr>
        <w:t>CONTRATO</w:t>
      </w:r>
    </w:p>
    <w:p w:rsidR="00D3162C" w:rsidRPr="00F31BCF" w:rsidRDefault="00D3162C" w:rsidP="00D3162C">
      <w:pPr>
        <w:autoSpaceDE w:val="0"/>
        <w:autoSpaceDN w:val="0"/>
        <w:adjustRightInd w:val="0"/>
        <w:spacing w:after="0" w:line="240" w:lineRule="auto"/>
        <w:jc w:val="both"/>
        <w:rPr>
          <w:b/>
        </w:rPr>
      </w:pPr>
      <w:r w:rsidRPr="00F31BCF">
        <w:rPr>
          <w:b/>
        </w:rPr>
        <w:t>En la cláusula 8.4 del Proyecto de Contrato se realiza la siguiente modificación.</w:t>
      </w:r>
    </w:p>
    <w:p w:rsidR="00D3162C" w:rsidRPr="009F66DB" w:rsidRDefault="00D3162C" w:rsidP="00D3162C">
      <w:pPr>
        <w:autoSpaceDE w:val="0"/>
        <w:autoSpaceDN w:val="0"/>
        <w:adjustRightInd w:val="0"/>
        <w:spacing w:after="0" w:line="240" w:lineRule="auto"/>
        <w:jc w:val="both"/>
        <w:rPr>
          <w:b/>
        </w:rPr>
      </w:pPr>
    </w:p>
    <w:p w:rsidR="00D3162C" w:rsidRPr="009F66DB" w:rsidRDefault="00D3162C" w:rsidP="00D3162C">
      <w:pPr>
        <w:autoSpaceDE w:val="0"/>
        <w:autoSpaceDN w:val="0"/>
        <w:adjustRightInd w:val="0"/>
        <w:spacing w:after="0" w:line="240" w:lineRule="auto"/>
        <w:jc w:val="both"/>
        <w:rPr>
          <w:b/>
        </w:rPr>
      </w:pPr>
      <w:r w:rsidRPr="009F66DB">
        <w:rPr>
          <w:b/>
        </w:rPr>
        <w:t xml:space="preserve">Donde dice: </w:t>
      </w:r>
    </w:p>
    <w:p w:rsidR="00D3162C" w:rsidRPr="009F66DB" w:rsidRDefault="00D3162C" w:rsidP="00D3162C">
      <w:pPr>
        <w:autoSpaceDE w:val="0"/>
        <w:autoSpaceDN w:val="0"/>
        <w:adjustRightInd w:val="0"/>
        <w:spacing w:after="0" w:line="240" w:lineRule="auto"/>
        <w:jc w:val="both"/>
      </w:pPr>
      <w:r w:rsidRPr="009F66DB">
        <w:t xml:space="preserve">“La Sociedad Contratista deberá obtener el Final de Obra de cada Centro con el Gobierno Departamental correspondiente, a más tardar 20 meses después de su puesta en servicio” </w:t>
      </w:r>
    </w:p>
    <w:p w:rsidR="00D3162C" w:rsidRPr="009F66DB" w:rsidRDefault="00D3162C" w:rsidP="00D3162C">
      <w:pPr>
        <w:autoSpaceDE w:val="0"/>
        <w:autoSpaceDN w:val="0"/>
        <w:adjustRightInd w:val="0"/>
        <w:spacing w:after="0" w:line="240" w:lineRule="auto"/>
        <w:jc w:val="both"/>
      </w:pPr>
    </w:p>
    <w:p w:rsidR="00D3162C" w:rsidRPr="009F66DB" w:rsidRDefault="00D3162C" w:rsidP="00D3162C">
      <w:pPr>
        <w:autoSpaceDE w:val="0"/>
        <w:autoSpaceDN w:val="0"/>
        <w:adjustRightInd w:val="0"/>
        <w:spacing w:after="0" w:line="240" w:lineRule="auto"/>
        <w:jc w:val="both"/>
        <w:rPr>
          <w:b/>
        </w:rPr>
      </w:pPr>
      <w:r w:rsidRPr="009F66DB">
        <w:rPr>
          <w:b/>
        </w:rPr>
        <w:t>Debe decir:</w:t>
      </w:r>
    </w:p>
    <w:p w:rsidR="00D3162C" w:rsidRPr="009F66DB" w:rsidRDefault="00D3162C" w:rsidP="00D3162C">
      <w:pPr>
        <w:autoSpaceDE w:val="0"/>
        <w:autoSpaceDN w:val="0"/>
        <w:adjustRightInd w:val="0"/>
        <w:spacing w:after="0" w:line="240" w:lineRule="auto"/>
        <w:jc w:val="both"/>
      </w:pPr>
      <w:r w:rsidRPr="009F66DB">
        <w:t xml:space="preserve">“La Sociedad Contratista deberá obtener el Final de Obra de cada Centro con el Gobierno Departamental correspondiente y la Dirección Nacional de Bomberos, a más tardar 20 meses después de su puesta en servicio.” </w:t>
      </w:r>
    </w:p>
    <w:p w:rsidR="00D3162C" w:rsidRDefault="00D3162C" w:rsidP="00D3162C">
      <w:pPr>
        <w:jc w:val="both"/>
      </w:pPr>
    </w:p>
    <w:p w:rsidR="008A7FE3" w:rsidRPr="008A7FE3" w:rsidRDefault="008A7FE3" w:rsidP="00D3162C">
      <w:pPr>
        <w:jc w:val="both"/>
        <w:rPr>
          <w:b/>
        </w:rPr>
      </w:pPr>
      <w:r w:rsidRPr="008A7FE3">
        <w:rPr>
          <w:b/>
        </w:rPr>
        <w:t>En la cláusula 16.1 del Proyecto de Contrato, literal a)</w:t>
      </w:r>
    </w:p>
    <w:p w:rsidR="008A7FE3" w:rsidRPr="008A7FE3" w:rsidRDefault="008A7FE3" w:rsidP="008A7FE3">
      <w:pPr>
        <w:autoSpaceDE w:val="0"/>
        <w:autoSpaceDN w:val="0"/>
        <w:adjustRightInd w:val="0"/>
        <w:spacing w:after="0" w:line="240" w:lineRule="auto"/>
        <w:jc w:val="both"/>
        <w:rPr>
          <w:b/>
        </w:rPr>
      </w:pPr>
      <w:r w:rsidRPr="008A7FE3">
        <w:rPr>
          <w:b/>
        </w:rPr>
        <w:t>Donde dice:</w:t>
      </w:r>
    </w:p>
    <w:p w:rsidR="008A7FE3" w:rsidRDefault="008A7FE3" w:rsidP="008A7FE3">
      <w:pPr>
        <w:autoSpaceDE w:val="0"/>
        <w:autoSpaceDN w:val="0"/>
        <w:adjustRightInd w:val="0"/>
        <w:spacing w:after="0" w:line="240" w:lineRule="auto"/>
        <w:rPr>
          <w:rFonts w:ascii="Calibri" w:hAnsi="Calibri" w:cs="Calibri"/>
          <w:color w:val="000000"/>
          <w:sz w:val="23"/>
          <w:szCs w:val="23"/>
          <w:lang w:val="es-UY"/>
        </w:rPr>
      </w:pPr>
      <w:r w:rsidRPr="008A7FE3">
        <w:rPr>
          <w:rFonts w:ascii="Calibri" w:hAnsi="Calibri" w:cs="Calibri"/>
          <w:color w:val="000000"/>
          <w:sz w:val="23"/>
          <w:szCs w:val="23"/>
          <w:lang w:val="es-UY"/>
        </w:rPr>
        <w:t xml:space="preserve">a) Cumplimiento del contrato conforme a los términos del mismo y satisfacción de la APC de la totalidad de la prestación. </w:t>
      </w:r>
    </w:p>
    <w:p w:rsidR="008A7FE3" w:rsidRPr="008A7FE3" w:rsidRDefault="008A7FE3" w:rsidP="008A7FE3">
      <w:pPr>
        <w:autoSpaceDE w:val="0"/>
        <w:autoSpaceDN w:val="0"/>
        <w:adjustRightInd w:val="0"/>
        <w:spacing w:after="0" w:line="240" w:lineRule="auto"/>
        <w:rPr>
          <w:rFonts w:ascii="Calibri" w:hAnsi="Calibri" w:cs="Calibri"/>
          <w:color w:val="000000"/>
          <w:sz w:val="23"/>
          <w:szCs w:val="23"/>
          <w:lang w:val="es-UY"/>
        </w:rPr>
      </w:pPr>
    </w:p>
    <w:p w:rsidR="008A7FE3" w:rsidRPr="008A7FE3" w:rsidRDefault="008A7FE3" w:rsidP="008A7FE3">
      <w:pPr>
        <w:autoSpaceDE w:val="0"/>
        <w:autoSpaceDN w:val="0"/>
        <w:adjustRightInd w:val="0"/>
        <w:spacing w:after="0" w:line="240" w:lineRule="auto"/>
        <w:jc w:val="both"/>
        <w:rPr>
          <w:b/>
        </w:rPr>
      </w:pPr>
      <w:r w:rsidRPr="008A7FE3">
        <w:rPr>
          <w:b/>
        </w:rPr>
        <w:t>Debe decir:</w:t>
      </w:r>
    </w:p>
    <w:p w:rsidR="008A7FE3" w:rsidRPr="008A7FE3" w:rsidRDefault="008A7FE3" w:rsidP="008A7FE3">
      <w:pPr>
        <w:autoSpaceDE w:val="0"/>
        <w:autoSpaceDN w:val="0"/>
        <w:adjustRightInd w:val="0"/>
        <w:spacing w:after="0" w:line="240" w:lineRule="auto"/>
        <w:rPr>
          <w:rFonts w:ascii="Calibri" w:hAnsi="Calibri" w:cs="Calibri"/>
          <w:color w:val="000000"/>
          <w:sz w:val="23"/>
          <w:szCs w:val="23"/>
          <w:lang w:val="es-UY"/>
        </w:rPr>
      </w:pPr>
      <w:r w:rsidRPr="008A7FE3">
        <w:rPr>
          <w:rFonts w:ascii="Calibri" w:hAnsi="Calibri" w:cs="Calibri"/>
          <w:color w:val="000000"/>
          <w:sz w:val="23"/>
          <w:szCs w:val="23"/>
          <w:lang w:val="es-UY"/>
        </w:rPr>
        <w:t xml:space="preserve">a) Cumplimiento del contrato conforme a los términos del mismo. </w:t>
      </w:r>
    </w:p>
    <w:p w:rsidR="008A7FE3" w:rsidRDefault="008A7FE3" w:rsidP="00D3162C">
      <w:pPr>
        <w:jc w:val="both"/>
        <w:rPr>
          <w:lang w:val="es-UY"/>
        </w:rPr>
      </w:pPr>
    </w:p>
    <w:p w:rsidR="00EB5D0C" w:rsidRPr="008A7FE3" w:rsidRDefault="00EB5D0C" w:rsidP="00EB5D0C">
      <w:pPr>
        <w:jc w:val="both"/>
        <w:rPr>
          <w:b/>
        </w:rPr>
      </w:pPr>
      <w:r w:rsidRPr="008A7FE3">
        <w:rPr>
          <w:b/>
        </w:rPr>
        <w:t>En la cláusula 16.</w:t>
      </w:r>
      <w:r>
        <w:rPr>
          <w:b/>
        </w:rPr>
        <w:t>2.1.</w:t>
      </w:r>
      <w:r w:rsidRPr="008A7FE3">
        <w:rPr>
          <w:b/>
        </w:rPr>
        <w:t xml:space="preserve">1 del Proyecto de Contrato, literal </w:t>
      </w:r>
      <w:r>
        <w:rPr>
          <w:b/>
        </w:rPr>
        <w:t>b</w:t>
      </w:r>
      <w:r w:rsidRPr="008A7FE3">
        <w:rPr>
          <w:b/>
        </w:rPr>
        <w:t>)</w:t>
      </w:r>
    </w:p>
    <w:p w:rsidR="00EB5D0C" w:rsidRPr="008A7FE3" w:rsidRDefault="00EB5D0C" w:rsidP="00EB5D0C">
      <w:pPr>
        <w:autoSpaceDE w:val="0"/>
        <w:autoSpaceDN w:val="0"/>
        <w:adjustRightInd w:val="0"/>
        <w:spacing w:after="0" w:line="240" w:lineRule="auto"/>
        <w:jc w:val="both"/>
        <w:rPr>
          <w:b/>
        </w:rPr>
      </w:pPr>
      <w:r w:rsidRPr="008A7FE3">
        <w:rPr>
          <w:b/>
        </w:rPr>
        <w:t>Donde dice:</w:t>
      </w:r>
    </w:p>
    <w:p w:rsidR="00EB5D0C" w:rsidRPr="00EB5D0C" w:rsidRDefault="00EB5D0C" w:rsidP="00EB5D0C">
      <w:pPr>
        <w:autoSpaceDE w:val="0"/>
        <w:autoSpaceDN w:val="0"/>
        <w:adjustRightInd w:val="0"/>
        <w:spacing w:after="0" w:line="240" w:lineRule="auto"/>
        <w:rPr>
          <w:rFonts w:ascii="Calibri" w:hAnsi="Calibri" w:cs="Calibri"/>
          <w:color w:val="000000"/>
          <w:sz w:val="23"/>
          <w:szCs w:val="23"/>
          <w:lang w:val="es-UY"/>
        </w:rPr>
      </w:pPr>
      <w:r w:rsidRPr="00EB5D0C">
        <w:rPr>
          <w:rFonts w:ascii="Calibri" w:hAnsi="Calibri" w:cs="Calibri"/>
          <w:color w:val="000000"/>
          <w:sz w:val="23"/>
          <w:szCs w:val="23"/>
          <w:lang w:val="es-UY"/>
        </w:rPr>
        <w:t xml:space="preserve">b. La Administración Pública contratante podrá solicitar a la Contratista que en el plazo de treinta días le entregue un informe que contenga las medidas para subsanar las faltas o evitar su ocurrencia en el futuro, dando cuenta de ello a los acreedores prendario y cesionarios. </w:t>
      </w:r>
    </w:p>
    <w:p w:rsidR="00EB5D0C" w:rsidRPr="008A7FE3" w:rsidRDefault="00EB5D0C" w:rsidP="00EB5D0C">
      <w:pPr>
        <w:autoSpaceDE w:val="0"/>
        <w:autoSpaceDN w:val="0"/>
        <w:adjustRightInd w:val="0"/>
        <w:spacing w:after="0" w:line="240" w:lineRule="auto"/>
        <w:rPr>
          <w:rFonts w:ascii="Calibri" w:hAnsi="Calibri" w:cs="Calibri"/>
          <w:color w:val="000000"/>
          <w:sz w:val="23"/>
          <w:szCs w:val="23"/>
          <w:lang w:val="es-UY"/>
        </w:rPr>
      </w:pPr>
    </w:p>
    <w:p w:rsidR="00EB5D0C" w:rsidRPr="008A7FE3" w:rsidRDefault="00EB5D0C" w:rsidP="00EB5D0C">
      <w:pPr>
        <w:autoSpaceDE w:val="0"/>
        <w:autoSpaceDN w:val="0"/>
        <w:adjustRightInd w:val="0"/>
        <w:spacing w:after="0" w:line="240" w:lineRule="auto"/>
        <w:jc w:val="both"/>
        <w:rPr>
          <w:b/>
        </w:rPr>
      </w:pPr>
      <w:r w:rsidRPr="008A7FE3">
        <w:rPr>
          <w:b/>
        </w:rPr>
        <w:t>Debe decir:</w:t>
      </w:r>
    </w:p>
    <w:p w:rsidR="00EB5D0C" w:rsidRPr="00EB5D0C" w:rsidRDefault="00EB5D0C" w:rsidP="00EB5D0C">
      <w:pPr>
        <w:autoSpaceDE w:val="0"/>
        <w:autoSpaceDN w:val="0"/>
        <w:adjustRightInd w:val="0"/>
        <w:spacing w:after="0" w:line="240" w:lineRule="auto"/>
        <w:rPr>
          <w:rFonts w:ascii="Calibri" w:hAnsi="Calibri" w:cs="Calibri"/>
          <w:color w:val="000000"/>
          <w:sz w:val="23"/>
          <w:szCs w:val="23"/>
          <w:lang w:val="es-UY"/>
        </w:rPr>
      </w:pPr>
      <w:r w:rsidRPr="00EB5D0C">
        <w:rPr>
          <w:rFonts w:ascii="Calibri" w:hAnsi="Calibri" w:cs="Calibri"/>
          <w:color w:val="000000"/>
          <w:sz w:val="23"/>
          <w:szCs w:val="23"/>
          <w:lang w:val="es-UY"/>
        </w:rPr>
        <w:t>b. La Administración Pública contratante solicitar</w:t>
      </w:r>
      <w:r>
        <w:rPr>
          <w:rFonts w:ascii="Calibri" w:hAnsi="Calibri" w:cs="Calibri"/>
          <w:color w:val="000000"/>
          <w:sz w:val="23"/>
          <w:szCs w:val="23"/>
          <w:lang w:val="es-UY"/>
        </w:rPr>
        <w:t>á</w:t>
      </w:r>
      <w:r w:rsidRPr="00EB5D0C">
        <w:rPr>
          <w:rFonts w:ascii="Calibri" w:hAnsi="Calibri" w:cs="Calibri"/>
          <w:color w:val="000000"/>
          <w:sz w:val="23"/>
          <w:szCs w:val="23"/>
          <w:lang w:val="es-UY"/>
        </w:rPr>
        <w:t xml:space="preserve"> a la Contratista que en el plazo de treinta días le entregue un informe que contenga las medidas para subsanar las faltas o evitar su ocurrencia en el futuro, dando cuenta de ello a los acreedores prendario y cesionarios. </w:t>
      </w:r>
    </w:p>
    <w:p w:rsidR="0018782C" w:rsidRDefault="0018782C" w:rsidP="00D3162C">
      <w:pPr>
        <w:spacing w:after="0"/>
        <w:jc w:val="both"/>
        <w:rPr>
          <w:rFonts w:eastAsia="Times New Roman"/>
          <w:b/>
          <w:lang w:val="es-CL" w:eastAsia="es-CL"/>
        </w:rPr>
      </w:pPr>
    </w:p>
    <w:p w:rsidR="00D3162C" w:rsidRDefault="00D3162C" w:rsidP="00D3162C">
      <w:pPr>
        <w:spacing w:after="0"/>
        <w:jc w:val="both"/>
        <w:rPr>
          <w:rFonts w:eastAsia="Times New Roman"/>
          <w:b/>
          <w:lang w:val="es-CL" w:eastAsia="es-CL"/>
        </w:rPr>
      </w:pPr>
      <w:r w:rsidRPr="009F66DB">
        <w:rPr>
          <w:rFonts w:eastAsia="Times New Roman"/>
          <w:b/>
          <w:lang w:val="es-CL" w:eastAsia="es-CL"/>
        </w:rPr>
        <w:t xml:space="preserve">En </w:t>
      </w:r>
      <w:r w:rsidR="008A7FE3">
        <w:rPr>
          <w:rFonts w:eastAsia="Times New Roman"/>
          <w:b/>
          <w:lang w:val="es-CL" w:eastAsia="es-CL"/>
        </w:rPr>
        <w:t>la cláusula</w:t>
      </w:r>
      <w:r w:rsidRPr="009F66DB">
        <w:rPr>
          <w:rFonts w:eastAsia="Times New Roman"/>
          <w:b/>
          <w:lang w:val="es-CL" w:eastAsia="es-CL"/>
        </w:rPr>
        <w:t xml:space="preserve"> 16.2.2.1 del P</w:t>
      </w:r>
      <w:r>
        <w:rPr>
          <w:rFonts w:eastAsia="Times New Roman"/>
          <w:b/>
          <w:lang w:val="es-CL" w:eastAsia="es-CL"/>
        </w:rPr>
        <w:t>royecto de Contrato</w:t>
      </w:r>
      <w:r w:rsidRPr="009F66DB">
        <w:rPr>
          <w:rFonts w:eastAsia="Times New Roman"/>
          <w:b/>
          <w:lang w:val="es-CL" w:eastAsia="es-CL"/>
        </w:rPr>
        <w:t>, literal d,</w:t>
      </w:r>
    </w:p>
    <w:p w:rsidR="00034A7F" w:rsidRPr="009F66DB" w:rsidRDefault="00034A7F" w:rsidP="00D3162C">
      <w:pPr>
        <w:spacing w:after="0"/>
        <w:jc w:val="both"/>
        <w:rPr>
          <w:rFonts w:eastAsia="Times New Roman"/>
          <w:b/>
          <w:lang w:val="es-CL" w:eastAsia="es-CL"/>
        </w:rPr>
      </w:pPr>
    </w:p>
    <w:p w:rsidR="00D3162C" w:rsidRPr="00034A7F" w:rsidRDefault="00D3162C" w:rsidP="00D3162C">
      <w:pPr>
        <w:spacing w:after="0"/>
        <w:jc w:val="both"/>
        <w:rPr>
          <w:rFonts w:eastAsia="Times New Roman"/>
          <w:b/>
          <w:lang w:val="es-CL" w:eastAsia="es-CL"/>
        </w:rPr>
      </w:pPr>
      <w:r w:rsidRPr="00034A7F">
        <w:rPr>
          <w:rFonts w:eastAsia="Times New Roman"/>
          <w:b/>
          <w:lang w:val="es-CL" w:eastAsia="es-CL"/>
        </w:rPr>
        <w:t>Donde dice:</w:t>
      </w:r>
    </w:p>
    <w:p w:rsidR="00D3162C" w:rsidRPr="009F66DB" w:rsidRDefault="00D3162C" w:rsidP="00D3162C">
      <w:pPr>
        <w:spacing w:after="0"/>
        <w:ind w:left="993" w:hanging="426"/>
        <w:jc w:val="both"/>
        <w:rPr>
          <w:rFonts w:eastAsia="Times New Roman"/>
          <w:b/>
          <w:lang w:val="es-CL" w:eastAsia="es-CL"/>
        </w:rPr>
      </w:pPr>
      <w:proofErr w:type="spellStart"/>
      <w:proofErr w:type="gramStart"/>
      <w:r w:rsidRPr="009F66DB">
        <w:rPr>
          <w:rFonts w:eastAsia="Times New Roman"/>
          <w:b/>
          <w:lang w:val="es-CL" w:eastAsia="es-CL"/>
        </w:rPr>
        <w:t>r</w:t>
      </w:r>
      <w:r w:rsidRPr="009F66DB">
        <w:rPr>
          <w:rFonts w:eastAsia="Times New Roman"/>
          <w:b/>
          <w:vertAlign w:val="subscript"/>
          <w:lang w:val="es-CL" w:eastAsia="es-CL"/>
        </w:rPr>
        <w:t>k</w:t>
      </w:r>
      <w:proofErr w:type="spellEnd"/>
      <w:proofErr w:type="gramEnd"/>
      <w:r w:rsidRPr="009F66DB">
        <w:rPr>
          <w:rFonts w:eastAsia="Times New Roman"/>
          <w:b/>
          <w:vertAlign w:val="subscript"/>
          <w:lang w:val="es-CL" w:eastAsia="es-CL"/>
        </w:rPr>
        <w:t>:</w:t>
      </w:r>
      <w:r w:rsidRPr="009F66DB">
        <w:rPr>
          <w:rFonts w:eastAsia="Times New Roman"/>
          <w:b/>
          <w:vertAlign w:val="subscript"/>
          <w:lang w:val="es-CL" w:eastAsia="es-CL"/>
        </w:rPr>
        <w:tab/>
      </w:r>
      <w:r w:rsidRPr="009F66DB">
        <w:rPr>
          <w:rFonts w:eastAsia="Times New Roman"/>
          <w:b/>
          <w:lang w:val="es-CL" w:eastAsia="es-CL"/>
        </w:rPr>
        <w:t>Es el retorno mensual al capital de la Contratista, cumple con la ecuación (1+r</w:t>
      </w:r>
      <w:r w:rsidRPr="001D3A18">
        <w:rPr>
          <w:rFonts w:eastAsia="Times New Roman"/>
          <w:b/>
          <w:vertAlign w:val="subscript"/>
          <w:lang w:val="es-CL" w:eastAsia="es-CL"/>
        </w:rPr>
        <w:t>k</w:t>
      </w:r>
      <w:r w:rsidRPr="009F66DB">
        <w:rPr>
          <w:rFonts w:eastAsia="Times New Roman"/>
          <w:b/>
          <w:lang w:val="es-CL" w:eastAsia="es-CL"/>
        </w:rPr>
        <w:t>)</w:t>
      </w:r>
      <w:r w:rsidRPr="009F66DB">
        <w:rPr>
          <w:rFonts w:eastAsia="Times New Roman"/>
          <w:b/>
          <w:vertAlign w:val="superscript"/>
          <w:lang w:val="es-CL" w:eastAsia="es-CL"/>
        </w:rPr>
        <w:t>12</w:t>
      </w:r>
      <w:r w:rsidRPr="009F66DB">
        <w:rPr>
          <w:rFonts w:eastAsia="Times New Roman"/>
          <w:b/>
          <w:lang w:val="es-CL" w:eastAsia="es-CL"/>
        </w:rPr>
        <w:t xml:space="preserve"> = [•] [</w:t>
      </w:r>
      <w:r w:rsidRPr="00805BD5">
        <w:rPr>
          <w:rFonts w:eastAsia="Times New Roman"/>
          <w:b/>
          <w:i/>
          <w:lang w:val="es-CL" w:eastAsia="es-CL"/>
        </w:rPr>
        <w:t>la TIR del accionista mencionada en la oferta</w:t>
      </w:r>
      <w:r w:rsidRPr="009F66DB">
        <w:rPr>
          <w:rFonts w:eastAsia="Times New Roman"/>
          <w:b/>
          <w:lang w:val="es-CL" w:eastAsia="es-CL"/>
        </w:rPr>
        <w:t>].</w:t>
      </w:r>
    </w:p>
    <w:p w:rsidR="00D3162C" w:rsidRPr="009F66DB" w:rsidRDefault="00D3162C" w:rsidP="00D3162C">
      <w:pPr>
        <w:spacing w:after="0"/>
        <w:jc w:val="both"/>
        <w:rPr>
          <w:b/>
        </w:rPr>
      </w:pPr>
    </w:p>
    <w:p w:rsidR="00D3162C" w:rsidRPr="00034A7F" w:rsidRDefault="00D3162C" w:rsidP="00D3162C">
      <w:pPr>
        <w:spacing w:after="0"/>
        <w:jc w:val="both"/>
        <w:rPr>
          <w:rFonts w:eastAsia="Times New Roman"/>
          <w:b/>
          <w:lang w:val="es-CL" w:eastAsia="es-CL"/>
        </w:rPr>
      </w:pPr>
      <w:r w:rsidRPr="00034A7F">
        <w:rPr>
          <w:rFonts w:eastAsia="Times New Roman"/>
          <w:b/>
          <w:lang w:val="es-CL" w:eastAsia="es-CL"/>
        </w:rPr>
        <w:t>Debe decir:</w:t>
      </w:r>
    </w:p>
    <w:p w:rsidR="00D3162C" w:rsidRPr="009F66DB" w:rsidRDefault="00D3162C" w:rsidP="00D3162C">
      <w:pPr>
        <w:spacing w:after="0"/>
        <w:ind w:left="993" w:hanging="426"/>
        <w:jc w:val="both"/>
        <w:rPr>
          <w:rFonts w:eastAsia="Times New Roman"/>
          <w:b/>
          <w:lang w:val="es-CL" w:eastAsia="es-CL"/>
        </w:rPr>
      </w:pPr>
      <w:proofErr w:type="spellStart"/>
      <w:proofErr w:type="gramStart"/>
      <w:r w:rsidRPr="009F66DB">
        <w:rPr>
          <w:rFonts w:eastAsia="Times New Roman"/>
          <w:b/>
          <w:lang w:val="es-CL" w:eastAsia="es-CL"/>
        </w:rPr>
        <w:t>r</w:t>
      </w:r>
      <w:r w:rsidRPr="00F31BCF">
        <w:rPr>
          <w:rFonts w:eastAsia="Times New Roman"/>
          <w:b/>
          <w:vertAlign w:val="subscript"/>
          <w:lang w:val="es-CL" w:eastAsia="es-CL"/>
        </w:rPr>
        <w:t>k</w:t>
      </w:r>
      <w:proofErr w:type="spellEnd"/>
      <w:proofErr w:type="gramEnd"/>
      <w:r w:rsidRPr="00F31BCF">
        <w:rPr>
          <w:rFonts w:eastAsia="Times New Roman"/>
          <w:b/>
          <w:lang w:val="es-CL" w:eastAsia="es-CL"/>
        </w:rPr>
        <w:t>:</w:t>
      </w:r>
      <w:r w:rsidRPr="00F31BCF">
        <w:rPr>
          <w:rFonts w:eastAsia="Times New Roman"/>
          <w:b/>
          <w:lang w:val="es-CL" w:eastAsia="es-CL"/>
        </w:rPr>
        <w:tab/>
      </w:r>
      <w:r w:rsidRPr="009F66DB">
        <w:rPr>
          <w:rFonts w:eastAsia="Times New Roman"/>
          <w:b/>
          <w:lang w:val="es-CL" w:eastAsia="es-CL"/>
        </w:rPr>
        <w:t>Es el retorno mensual al capital de la Contratista, cumple con la ecuación (1+rk)</w:t>
      </w:r>
      <w:r w:rsidRPr="001D3A18">
        <w:rPr>
          <w:rFonts w:eastAsia="Times New Roman"/>
          <w:b/>
          <w:vertAlign w:val="superscript"/>
          <w:lang w:val="es-CL" w:eastAsia="es-CL"/>
        </w:rPr>
        <w:t>12</w:t>
      </w:r>
      <w:r w:rsidRPr="00F31BCF">
        <w:rPr>
          <w:rFonts w:eastAsia="Times New Roman"/>
          <w:b/>
          <w:lang w:val="es-CL" w:eastAsia="es-CL"/>
        </w:rPr>
        <w:t xml:space="preserve"> </w:t>
      </w:r>
      <w:r w:rsidRPr="009F66DB">
        <w:rPr>
          <w:rFonts w:eastAsia="Times New Roman"/>
          <w:b/>
          <w:lang w:val="es-CL" w:eastAsia="es-CL"/>
        </w:rPr>
        <w:t>= 1+ [•] [</w:t>
      </w:r>
      <w:r w:rsidRPr="00F31BCF">
        <w:rPr>
          <w:rFonts w:eastAsia="Times New Roman"/>
          <w:b/>
          <w:i/>
          <w:lang w:val="es-CL" w:eastAsia="es-CL"/>
        </w:rPr>
        <w:t>la TIR del accionista mencionada en la oferta</w:t>
      </w:r>
      <w:r w:rsidRPr="009F66DB">
        <w:rPr>
          <w:rFonts w:eastAsia="Times New Roman"/>
          <w:b/>
          <w:lang w:val="es-CL" w:eastAsia="es-CL"/>
        </w:rPr>
        <w:t>].</w:t>
      </w:r>
    </w:p>
    <w:p w:rsidR="00D3162C" w:rsidRPr="009F66DB" w:rsidRDefault="00D3162C" w:rsidP="00D3162C">
      <w:pPr>
        <w:spacing w:after="0"/>
        <w:jc w:val="both"/>
        <w:rPr>
          <w:rFonts w:eastAsia="Times New Roman"/>
          <w:b/>
          <w:u w:val="single"/>
          <w:lang w:val="es-CL" w:eastAsia="es-CL"/>
        </w:rPr>
      </w:pPr>
    </w:p>
    <w:p w:rsidR="00D3162C" w:rsidRDefault="00D3162C" w:rsidP="00D3162C">
      <w:pPr>
        <w:spacing w:after="0"/>
        <w:jc w:val="both"/>
        <w:rPr>
          <w:rFonts w:eastAsia="Times New Roman"/>
          <w:b/>
          <w:u w:val="single"/>
          <w:lang w:val="es-CL" w:eastAsia="es-CL"/>
        </w:rPr>
      </w:pPr>
    </w:p>
    <w:p w:rsidR="00D3162C" w:rsidRPr="00034A7F" w:rsidRDefault="00D3162C" w:rsidP="00D3162C">
      <w:pPr>
        <w:spacing w:after="0"/>
        <w:jc w:val="both"/>
        <w:rPr>
          <w:b/>
        </w:rPr>
      </w:pPr>
      <w:r w:rsidRPr="00034A7F">
        <w:rPr>
          <w:rFonts w:eastAsia="Times New Roman"/>
          <w:b/>
          <w:lang w:val="es-CL" w:eastAsia="es-CL"/>
        </w:rPr>
        <w:t>Donde dice</w:t>
      </w:r>
      <w:r w:rsidR="00034A7F">
        <w:rPr>
          <w:rFonts w:eastAsia="Times New Roman"/>
          <w:b/>
          <w:lang w:val="es-CL" w:eastAsia="es-CL"/>
        </w:rPr>
        <w:t>:</w:t>
      </w:r>
    </w:p>
    <w:p w:rsidR="00D3162C" w:rsidRPr="00F31BCF" w:rsidRDefault="00D3162C" w:rsidP="00D3162C">
      <w:pPr>
        <w:spacing w:after="0"/>
        <w:ind w:left="993" w:hanging="426"/>
        <w:jc w:val="both"/>
        <w:rPr>
          <w:rFonts w:eastAsia="Times New Roman"/>
          <w:b/>
          <w:lang w:val="es-CL" w:eastAsia="es-CL"/>
        </w:rPr>
      </w:pPr>
      <w:proofErr w:type="spellStart"/>
      <w:proofErr w:type="gramStart"/>
      <w:r w:rsidRPr="009F66DB">
        <w:rPr>
          <w:rFonts w:eastAsia="Times New Roman"/>
          <w:b/>
          <w:lang w:val="es-CL" w:eastAsia="es-CL"/>
        </w:rPr>
        <w:t>r</w:t>
      </w:r>
      <w:r w:rsidRPr="00F31BCF">
        <w:rPr>
          <w:rFonts w:eastAsia="Times New Roman"/>
          <w:b/>
          <w:vertAlign w:val="subscript"/>
          <w:lang w:val="es-CL" w:eastAsia="es-CL"/>
        </w:rPr>
        <w:t>d</w:t>
      </w:r>
      <w:proofErr w:type="spellEnd"/>
      <w:proofErr w:type="gramEnd"/>
      <w:r w:rsidRPr="00F31BCF">
        <w:rPr>
          <w:rFonts w:eastAsia="Times New Roman"/>
          <w:b/>
          <w:lang w:val="es-CL" w:eastAsia="es-CL"/>
        </w:rPr>
        <w:t>:</w:t>
      </w:r>
      <w:r w:rsidRPr="00F31BCF">
        <w:rPr>
          <w:rFonts w:eastAsia="Times New Roman"/>
          <w:b/>
          <w:lang w:val="es-CL" w:eastAsia="es-CL"/>
        </w:rPr>
        <w:tab/>
      </w:r>
      <w:r w:rsidRPr="009F66DB">
        <w:rPr>
          <w:rFonts w:eastAsia="Times New Roman"/>
          <w:b/>
          <w:lang w:val="es-CL" w:eastAsia="es-CL"/>
        </w:rPr>
        <w:t>Corresponde a la tasa de interés mensual, que cumple con la condición de que (1+r</w:t>
      </w:r>
      <w:r w:rsidRPr="001D3A18">
        <w:rPr>
          <w:rFonts w:eastAsia="Times New Roman"/>
          <w:b/>
          <w:vertAlign w:val="subscript"/>
          <w:lang w:val="es-CL" w:eastAsia="es-CL"/>
        </w:rPr>
        <w:t>d</w:t>
      </w:r>
      <w:r w:rsidRPr="009F66DB">
        <w:rPr>
          <w:rFonts w:eastAsia="Times New Roman"/>
          <w:b/>
          <w:lang w:val="es-CL" w:eastAsia="es-CL"/>
        </w:rPr>
        <w:t>)</w:t>
      </w:r>
      <w:r w:rsidRPr="001D3A18">
        <w:rPr>
          <w:rFonts w:eastAsia="Times New Roman"/>
          <w:b/>
          <w:vertAlign w:val="superscript"/>
          <w:lang w:val="es-CL" w:eastAsia="es-CL"/>
        </w:rPr>
        <w:t>12</w:t>
      </w:r>
      <w:r w:rsidRPr="009F66DB">
        <w:rPr>
          <w:rFonts w:eastAsia="Times New Roman"/>
          <w:b/>
          <w:lang w:val="es-CL" w:eastAsia="es-CL"/>
        </w:rPr>
        <w:t xml:space="preserve"> sea igual a la tasa de interés anual de la deuda contraída por la Contratista para la ejecución…….”</w:t>
      </w:r>
    </w:p>
    <w:p w:rsidR="00D3162C" w:rsidRPr="009F66DB" w:rsidRDefault="00D3162C" w:rsidP="00D3162C">
      <w:pPr>
        <w:spacing w:after="0"/>
        <w:jc w:val="both"/>
        <w:rPr>
          <w:rFonts w:eastAsia="Times New Roman"/>
          <w:b/>
          <w:u w:val="single"/>
          <w:lang w:val="es-CL" w:eastAsia="es-CL"/>
        </w:rPr>
      </w:pPr>
    </w:p>
    <w:p w:rsidR="00D3162C" w:rsidRPr="00034A7F" w:rsidRDefault="00D3162C" w:rsidP="00D3162C">
      <w:pPr>
        <w:spacing w:after="0"/>
        <w:jc w:val="both"/>
        <w:rPr>
          <w:rFonts w:eastAsia="Times New Roman"/>
          <w:b/>
          <w:lang w:val="es-CL" w:eastAsia="es-CL"/>
        </w:rPr>
      </w:pPr>
      <w:r w:rsidRPr="00034A7F">
        <w:rPr>
          <w:rFonts w:eastAsia="Times New Roman"/>
          <w:b/>
          <w:lang w:val="es-CL" w:eastAsia="es-CL"/>
        </w:rPr>
        <w:t>Debe decir:</w:t>
      </w:r>
    </w:p>
    <w:p w:rsidR="00D3162C" w:rsidRPr="001D3A18" w:rsidRDefault="00D3162C" w:rsidP="00D3162C">
      <w:pPr>
        <w:spacing w:after="0"/>
        <w:ind w:left="993" w:hanging="426"/>
        <w:jc w:val="both"/>
        <w:rPr>
          <w:rFonts w:eastAsia="Times New Roman"/>
          <w:b/>
          <w:lang w:val="es-CL" w:eastAsia="es-CL"/>
        </w:rPr>
      </w:pPr>
      <w:proofErr w:type="spellStart"/>
      <w:proofErr w:type="gramStart"/>
      <w:r w:rsidRPr="009F66DB">
        <w:rPr>
          <w:rFonts w:eastAsia="Times New Roman"/>
          <w:b/>
          <w:lang w:val="es-CL" w:eastAsia="es-CL"/>
        </w:rPr>
        <w:t>r</w:t>
      </w:r>
      <w:r w:rsidRPr="001D3A18">
        <w:rPr>
          <w:rFonts w:eastAsia="Times New Roman"/>
          <w:b/>
          <w:vertAlign w:val="subscript"/>
          <w:lang w:val="es-CL" w:eastAsia="es-CL"/>
        </w:rPr>
        <w:t>d</w:t>
      </w:r>
      <w:proofErr w:type="spellEnd"/>
      <w:proofErr w:type="gramEnd"/>
      <w:r w:rsidRPr="001D3A18">
        <w:rPr>
          <w:rFonts w:eastAsia="Times New Roman"/>
          <w:b/>
          <w:lang w:val="es-CL" w:eastAsia="es-CL"/>
        </w:rPr>
        <w:t>:</w:t>
      </w:r>
      <w:r w:rsidRPr="001D3A18">
        <w:rPr>
          <w:rFonts w:eastAsia="Times New Roman"/>
          <w:b/>
          <w:lang w:val="es-CL" w:eastAsia="es-CL"/>
        </w:rPr>
        <w:tab/>
      </w:r>
      <w:r w:rsidRPr="009F66DB">
        <w:rPr>
          <w:rFonts w:eastAsia="Times New Roman"/>
          <w:b/>
          <w:lang w:val="es-CL" w:eastAsia="es-CL"/>
        </w:rPr>
        <w:t>Corresponde a la tasa de interés mensual que cumple con la ecuación (1+r</w:t>
      </w:r>
      <w:r w:rsidRPr="001D3A18">
        <w:rPr>
          <w:rFonts w:eastAsia="Times New Roman"/>
          <w:b/>
          <w:vertAlign w:val="subscript"/>
          <w:lang w:val="es-CL" w:eastAsia="es-CL"/>
        </w:rPr>
        <w:t>d</w:t>
      </w:r>
      <w:r w:rsidRPr="009F66DB">
        <w:rPr>
          <w:rFonts w:eastAsia="Times New Roman"/>
          <w:b/>
          <w:lang w:val="es-CL" w:eastAsia="es-CL"/>
        </w:rPr>
        <w:t>)</w:t>
      </w:r>
      <w:r w:rsidRPr="001D3A18">
        <w:rPr>
          <w:rFonts w:eastAsia="Times New Roman"/>
          <w:b/>
          <w:vertAlign w:val="superscript"/>
          <w:lang w:val="es-CL" w:eastAsia="es-CL"/>
        </w:rPr>
        <w:t>12</w:t>
      </w:r>
      <w:r w:rsidRPr="00F31BCF">
        <w:rPr>
          <w:rFonts w:eastAsia="Times New Roman"/>
          <w:b/>
          <w:lang w:val="es-CL" w:eastAsia="es-CL"/>
        </w:rPr>
        <w:t xml:space="preserve"> </w:t>
      </w:r>
      <w:r w:rsidRPr="009F66DB">
        <w:rPr>
          <w:rFonts w:eastAsia="Times New Roman"/>
          <w:b/>
          <w:lang w:val="es-CL" w:eastAsia="es-CL"/>
        </w:rPr>
        <w:t>= 1</w:t>
      </w:r>
      <w:r>
        <w:rPr>
          <w:rFonts w:eastAsia="Times New Roman"/>
          <w:b/>
          <w:lang w:val="es-CL" w:eastAsia="es-CL"/>
        </w:rPr>
        <w:t xml:space="preserve"> </w:t>
      </w:r>
      <w:r w:rsidRPr="009F66DB">
        <w:rPr>
          <w:rFonts w:eastAsia="Times New Roman"/>
          <w:b/>
          <w:lang w:val="es-CL" w:eastAsia="es-CL"/>
        </w:rPr>
        <w:t>+ la tasa de interés anual de la deuda contraída por la Contratista para la ejecución…….”</w:t>
      </w:r>
    </w:p>
    <w:p w:rsidR="000D4456" w:rsidRPr="00FB19A8" w:rsidRDefault="000D4456" w:rsidP="009F66DB">
      <w:pPr>
        <w:jc w:val="both"/>
        <w:rPr>
          <w:b/>
          <w:caps/>
          <w:sz w:val="28"/>
          <w:szCs w:val="28"/>
          <w:u w:val="single"/>
        </w:rPr>
      </w:pPr>
      <w:r w:rsidRPr="00FB19A8">
        <w:rPr>
          <w:b/>
          <w:caps/>
          <w:sz w:val="28"/>
          <w:szCs w:val="28"/>
          <w:u w:val="single"/>
        </w:rPr>
        <w:lastRenderedPageBreak/>
        <w:t xml:space="preserve">Puntualización </w:t>
      </w:r>
      <w:r w:rsidR="00D3162C">
        <w:rPr>
          <w:b/>
          <w:caps/>
          <w:sz w:val="28"/>
          <w:szCs w:val="28"/>
          <w:u w:val="single"/>
        </w:rPr>
        <w:t>2</w:t>
      </w:r>
      <w:r w:rsidR="00406003">
        <w:rPr>
          <w:b/>
          <w:caps/>
          <w:sz w:val="28"/>
          <w:szCs w:val="28"/>
          <w:u w:val="single"/>
        </w:rPr>
        <w:t xml:space="preserve"> - PC</w:t>
      </w:r>
      <w:r w:rsidR="00C81E74">
        <w:rPr>
          <w:b/>
          <w:caps/>
          <w:sz w:val="28"/>
          <w:szCs w:val="28"/>
          <w:u w:val="single"/>
        </w:rPr>
        <w:t>T</w:t>
      </w:r>
    </w:p>
    <w:p w:rsidR="00ED30C2" w:rsidRDefault="00ED30C2" w:rsidP="00AF637F">
      <w:pPr>
        <w:autoSpaceDE w:val="0"/>
        <w:autoSpaceDN w:val="0"/>
        <w:adjustRightInd w:val="0"/>
        <w:spacing w:after="0" w:line="240" w:lineRule="auto"/>
        <w:jc w:val="both"/>
        <w:rPr>
          <w:b/>
        </w:rPr>
      </w:pPr>
      <w:r>
        <w:rPr>
          <w:b/>
        </w:rPr>
        <w:t>En la</w:t>
      </w:r>
      <w:r w:rsidR="00D3162C">
        <w:rPr>
          <w:b/>
        </w:rPr>
        <w:t>s</w:t>
      </w:r>
      <w:r>
        <w:rPr>
          <w:b/>
        </w:rPr>
        <w:t xml:space="preserve"> Definiciones</w:t>
      </w:r>
      <w:r w:rsidR="00D3162C">
        <w:rPr>
          <w:b/>
        </w:rPr>
        <w:t xml:space="preserve"> del Pliego de Condiciones Técnicas</w:t>
      </w:r>
      <w:r>
        <w:rPr>
          <w:b/>
        </w:rPr>
        <w:t xml:space="preserve">, la definición de </w:t>
      </w:r>
      <w:r w:rsidR="008A7FE3">
        <w:rPr>
          <w:b/>
        </w:rPr>
        <w:t>“</w:t>
      </w:r>
      <w:r>
        <w:rPr>
          <w:b/>
        </w:rPr>
        <w:t>Estándares de Calidad</w:t>
      </w:r>
      <w:r w:rsidR="008A7FE3">
        <w:rPr>
          <w:b/>
        </w:rPr>
        <w:t>”</w:t>
      </w:r>
      <w:r>
        <w:rPr>
          <w:b/>
        </w:rPr>
        <w:t xml:space="preserve"> debe decir:</w:t>
      </w:r>
    </w:p>
    <w:p w:rsidR="00ED30C2" w:rsidRDefault="00ED30C2" w:rsidP="00ED30C2">
      <w:pPr>
        <w:pStyle w:val="Default"/>
        <w:jc w:val="both"/>
        <w:rPr>
          <w:sz w:val="20"/>
          <w:szCs w:val="20"/>
        </w:rPr>
      </w:pPr>
      <w:r>
        <w:rPr>
          <w:sz w:val="20"/>
          <w:szCs w:val="20"/>
        </w:rPr>
        <w:t xml:space="preserve">Son los niveles de calidad que la Contratista debe mantener, se dividen en dos tipos: </w:t>
      </w:r>
    </w:p>
    <w:p w:rsidR="00ED30C2" w:rsidRDefault="00ED30C2" w:rsidP="00ED30C2">
      <w:pPr>
        <w:pStyle w:val="Default"/>
        <w:jc w:val="both"/>
        <w:rPr>
          <w:sz w:val="20"/>
          <w:szCs w:val="20"/>
        </w:rPr>
      </w:pPr>
      <w:r>
        <w:rPr>
          <w:sz w:val="20"/>
          <w:szCs w:val="20"/>
        </w:rPr>
        <w:t>1. “Estándares de Calidad Reactivos”, aquellos por los cuales la Contratista debe responder en caso de fallas y/o reparar a efectos de mantener los estándares identificados en las Especificaciones de Servicio (</w:t>
      </w:r>
      <w:r w:rsidR="00D3162C">
        <w:rPr>
          <w:sz w:val="20"/>
          <w:szCs w:val="20"/>
        </w:rPr>
        <w:t>Capítulo</w:t>
      </w:r>
      <w:r>
        <w:rPr>
          <w:sz w:val="20"/>
          <w:szCs w:val="20"/>
        </w:rPr>
        <w:t xml:space="preserve"> </w:t>
      </w:r>
      <w:r>
        <w:rPr>
          <w:sz w:val="22"/>
          <w:szCs w:val="22"/>
        </w:rPr>
        <w:t>8</w:t>
      </w:r>
      <w:r>
        <w:rPr>
          <w:sz w:val="20"/>
          <w:szCs w:val="20"/>
        </w:rPr>
        <w:t xml:space="preserve">, cl. </w:t>
      </w:r>
      <w:r>
        <w:rPr>
          <w:b/>
          <w:bCs/>
          <w:sz w:val="22"/>
          <w:szCs w:val="22"/>
        </w:rPr>
        <w:t>8.3</w:t>
      </w:r>
      <w:r>
        <w:rPr>
          <w:sz w:val="20"/>
          <w:szCs w:val="20"/>
        </w:rPr>
        <w:t xml:space="preserve">). </w:t>
      </w:r>
    </w:p>
    <w:p w:rsidR="00ED30C2" w:rsidRDefault="00ED30C2" w:rsidP="00ED30C2">
      <w:pPr>
        <w:autoSpaceDE w:val="0"/>
        <w:autoSpaceDN w:val="0"/>
        <w:adjustRightInd w:val="0"/>
        <w:spacing w:after="0" w:line="240" w:lineRule="auto"/>
        <w:jc w:val="both"/>
        <w:rPr>
          <w:sz w:val="20"/>
          <w:szCs w:val="20"/>
        </w:rPr>
      </w:pPr>
      <w:r>
        <w:rPr>
          <w:sz w:val="20"/>
          <w:szCs w:val="20"/>
        </w:rPr>
        <w:t>2. “Estándares de Calidad No Reactivos” refiere a las reposiciones y acciones que debe tomar el Contratista respecto del mantenimiento programado, el uso o ciclo de vida en cuanto a los estándares identificados en las Especificaciones de Servicio (</w:t>
      </w:r>
      <w:r w:rsidR="00D3162C">
        <w:rPr>
          <w:sz w:val="20"/>
          <w:szCs w:val="20"/>
        </w:rPr>
        <w:t>Capítulo</w:t>
      </w:r>
      <w:r>
        <w:rPr>
          <w:sz w:val="20"/>
          <w:szCs w:val="20"/>
        </w:rPr>
        <w:t xml:space="preserve"> </w:t>
      </w:r>
      <w:r>
        <w:t>8</w:t>
      </w:r>
      <w:r>
        <w:rPr>
          <w:sz w:val="20"/>
          <w:szCs w:val="20"/>
        </w:rPr>
        <w:t xml:space="preserve">, cl. </w:t>
      </w:r>
      <w:r>
        <w:rPr>
          <w:b/>
          <w:bCs/>
        </w:rPr>
        <w:t>8.4</w:t>
      </w:r>
      <w:r>
        <w:rPr>
          <w:sz w:val="20"/>
          <w:szCs w:val="20"/>
        </w:rPr>
        <w:t>).</w:t>
      </w:r>
    </w:p>
    <w:p w:rsidR="00ED30C2" w:rsidRDefault="00ED30C2" w:rsidP="00ED30C2">
      <w:pPr>
        <w:autoSpaceDE w:val="0"/>
        <w:autoSpaceDN w:val="0"/>
        <w:adjustRightInd w:val="0"/>
        <w:spacing w:after="0" w:line="240" w:lineRule="auto"/>
        <w:jc w:val="both"/>
        <w:rPr>
          <w:sz w:val="20"/>
          <w:szCs w:val="20"/>
        </w:rPr>
      </w:pPr>
    </w:p>
    <w:p w:rsidR="00ED30C2" w:rsidRDefault="00ED30C2" w:rsidP="00ED30C2">
      <w:pPr>
        <w:autoSpaceDE w:val="0"/>
        <w:autoSpaceDN w:val="0"/>
        <w:adjustRightInd w:val="0"/>
        <w:spacing w:after="0" w:line="240" w:lineRule="auto"/>
        <w:jc w:val="both"/>
        <w:rPr>
          <w:b/>
        </w:rPr>
      </w:pPr>
      <w:r>
        <w:rPr>
          <w:b/>
        </w:rPr>
        <w:t>En la</w:t>
      </w:r>
      <w:r w:rsidR="00D3162C">
        <w:rPr>
          <w:b/>
        </w:rPr>
        <w:t>s</w:t>
      </w:r>
      <w:r>
        <w:rPr>
          <w:b/>
        </w:rPr>
        <w:t xml:space="preserve"> Definiciones</w:t>
      </w:r>
      <w:r w:rsidR="00D3162C">
        <w:rPr>
          <w:b/>
        </w:rPr>
        <w:t xml:space="preserve"> del Pliego de Condiciones Técnicas</w:t>
      </w:r>
      <w:r>
        <w:rPr>
          <w:b/>
        </w:rPr>
        <w:t xml:space="preserve">, la definición de </w:t>
      </w:r>
      <w:r w:rsidR="008A7FE3">
        <w:rPr>
          <w:b/>
        </w:rPr>
        <w:t>“</w:t>
      </w:r>
      <w:r>
        <w:rPr>
          <w:b/>
        </w:rPr>
        <w:t>Estándares de Disponibilidad debe decir</w:t>
      </w:r>
      <w:r w:rsidR="008A7FE3">
        <w:rPr>
          <w:b/>
        </w:rPr>
        <w:t>”</w:t>
      </w:r>
      <w:r>
        <w:rPr>
          <w:b/>
        </w:rPr>
        <w:t>:</w:t>
      </w:r>
    </w:p>
    <w:p w:rsidR="00ED30C2" w:rsidRDefault="00ED30C2" w:rsidP="00ED30C2">
      <w:pPr>
        <w:pStyle w:val="Default"/>
        <w:jc w:val="both"/>
        <w:rPr>
          <w:sz w:val="20"/>
          <w:szCs w:val="20"/>
        </w:rPr>
      </w:pPr>
      <w:r>
        <w:rPr>
          <w:sz w:val="20"/>
          <w:szCs w:val="20"/>
        </w:rPr>
        <w:t>Son los niveles de disponibilidad que la Contratista debe mantener, en cuanto a accesibilidad, funciones operacionales y condiciones de uso establecidos en las Especificaciones de Servicio en la (</w:t>
      </w:r>
      <w:r w:rsidR="00D3162C">
        <w:rPr>
          <w:sz w:val="20"/>
          <w:szCs w:val="20"/>
        </w:rPr>
        <w:t>Capítulo</w:t>
      </w:r>
      <w:r>
        <w:rPr>
          <w:sz w:val="20"/>
          <w:szCs w:val="20"/>
        </w:rPr>
        <w:t xml:space="preserve"> </w:t>
      </w:r>
      <w:r>
        <w:rPr>
          <w:sz w:val="22"/>
          <w:szCs w:val="22"/>
        </w:rPr>
        <w:t>8</w:t>
      </w:r>
      <w:r>
        <w:rPr>
          <w:sz w:val="20"/>
          <w:szCs w:val="20"/>
        </w:rPr>
        <w:t xml:space="preserve">, cl. </w:t>
      </w:r>
      <w:r>
        <w:rPr>
          <w:b/>
          <w:bCs/>
          <w:sz w:val="22"/>
          <w:szCs w:val="22"/>
        </w:rPr>
        <w:t>8.2</w:t>
      </w:r>
      <w:r>
        <w:rPr>
          <w:sz w:val="20"/>
          <w:szCs w:val="20"/>
        </w:rPr>
        <w:t xml:space="preserve">). </w:t>
      </w:r>
    </w:p>
    <w:p w:rsidR="00ED30C2" w:rsidRDefault="00ED30C2" w:rsidP="00ED30C2">
      <w:pPr>
        <w:autoSpaceDE w:val="0"/>
        <w:autoSpaceDN w:val="0"/>
        <w:adjustRightInd w:val="0"/>
        <w:spacing w:after="0" w:line="240" w:lineRule="auto"/>
        <w:jc w:val="both"/>
        <w:rPr>
          <w:b/>
        </w:rPr>
      </w:pPr>
    </w:p>
    <w:p w:rsidR="008A7FE3" w:rsidRDefault="008A7FE3" w:rsidP="008A7FE3">
      <w:pPr>
        <w:autoSpaceDE w:val="0"/>
        <w:autoSpaceDN w:val="0"/>
        <w:adjustRightInd w:val="0"/>
        <w:spacing w:after="0" w:line="240" w:lineRule="auto"/>
        <w:jc w:val="both"/>
        <w:rPr>
          <w:b/>
        </w:rPr>
      </w:pPr>
      <w:r>
        <w:rPr>
          <w:b/>
        </w:rPr>
        <w:t>En las Definiciones del Pliego de Condiciones Técnicas, la definición de “</w:t>
      </w:r>
      <w:r w:rsidRPr="008A7FE3">
        <w:rPr>
          <w:b/>
        </w:rPr>
        <w:t>Condiciones para No Disponibilidad de Todo el Centro”</w:t>
      </w:r>
      <w:r>
        <w:rPr>
          <w:b/>
        </w:rPr>
        <w:t>:</w:t>
      </w:r>
    </w:p>
    <w:p w:rsidR="008A7FE3" w:rsidRPr="008A7FE3" w:rsidRDefault="008A7FE3" w:rsidP="008A7FE3">
      <w:pPr>
        <w:autoSpaceDE w:val="0"/>
        <w:autoSpaceDN w:val="0"/>
        <w:adjustRightInd w:val="0"/>
        <w:spacing w:after="0" w:line="240" w:lineRule="auto"/>
        <w:jc w:val="both"/>
        <w:rPr>
          <w:b/>
        </w:rPr>
      </w:pPr>
      <w:r w:rsidRPr="008A7FE3">
        <w:rPr>
          <w:b/>
        </w:rPr>
        <w:t>Donde dice:</w:t>
      </w:r>
    </w:p>
    <w:p w:rsidR="008A7FE3" w:rsidRPr="008A7FE3" w:rsidRDefault="008A7FE3" w:rsidP="008A7FE3">
      <w:pPr>
        <w:autoSpaceDE w:val="0"/>
        <w:autoSpaceDN w:val="0"/>
        <w:adjustRightInd w:val="0"/>
        <w:spacing w:after="0" w:line="240" w:lineRule="auto"/>
        <w:jc w:val="both"/>
        <w:rPr>
          <w:rFonts w:ascii="Calibri" w:hAnsi="Calibri" w:cs="Calibri"/>
          <w:color w:val="000000"/>
          <w:sz w:val="20"/>
          <w:szCs w:val="20"/>
          <w:lang w:val="es-UY"/>
        </w:rPr>
      </w:pPr>
      <w:r w:rsidRPr="008A7FE3">
        <w:rPr>
          <w:rFonts w:ascii="Calibri" w:hAnsi="Calibri" w:cs="Calibri"/>
          <w:color w:val="000000"/>
          <w:sz w:val="20"/>
          <w:szCs w:val="20"/>
          <w:lang w:val="es-UY"/>
        </w:rPr>
        <w:t xml:space="preserve">Significa que se encuentra No Disponible cualquiera de las siguientes combinaciones de áreas funcionales consideradas individualmente: </w:t>
      </w:r>
    </w:p>
    <w:p w:rsidR="008A7FE3" w:rsidRDefault="008A7FE3" w:rsidP="008A7FE3">
      <w:pPr>
        <w:autoSpaceDE w:val="0"/>
        <w:autoSpaceDN w:val="0"/>
        <w:adjustRightInd w:val="0"/>
        <w:spacing w:after="0" w:line="240" w:lineRule="auto"/>
        <w:jc w:val="both"/>
        <w:rPr>
          <w:b/>
        </w:rPr>
      </w:pPr>
    </w:p>
    <w:p w:rsidR="008A7FE3" w:rsidRPr="008A7FE3" w:rsidRDefault="008A7FE3" w:rsidP="00034A7F">
      <w:pPr>
        <w:keepNext/>
        <w:autoSpaceDE w:val="0"/>
        <w:autoSpaceDN w:val="0"/>
        <w:adjustRightInd w:val="0"/>
        <w:spacing w:after="0" w:line="240" w:lineRule="auto"/>
        <w:jc w:val="both"/>
        <w:rPr>
          <w:b/>
        </w:rPr>
      </w:pPr>
      <w:r>
        <w:rPr>
          <w:b/>
        </w:rPr>
        <w:t>Debe decir</w:t>
      </w:r>
      <w:r w:rsidRPr="008A7FE3">
        <w:rPr>
          <w:b/>
        </w:rPr>
        <w:t>:</w:t>
      </w:r>
    </w:p>
    <w:p w:rsidR="008A7FE3" w:rsidRPr="008A7FE3" w:rsidRDefault="008A7FE3" w:rsidP="008A7FE3">
      <w:pPr>
        <w:autoSpaceDE w:val="0"/>
        <w:autoSpaceDN w:val="0"/>
        <w:adjustRightInd w:val="0"/>
        <w:spacing w:after="0" w:line="240" w:lineRule="auto"/>
        <w:jc w:val="both"/>
        <w:rPr>
          <w:rFonts w:ascii="Calibri" w:hAnsi="Calibri" w:cs="Calibri"/>
          <w:color w:val="000000"/>
          <w:sz w:val="20"/>
          <w:szCs w:val="20"/>
          <w:lang w:val="es-UY"/>
        </w:rPr>
      </w:pPr>
      <w:r w:rsidRPr="008A7FE3">
        <w:rPr>
          <w:rFonts w:ascii="Calibri" w:hAnsi="Calibri" w:cs="Calibri"/>
          <w:color w:val="000000"/>
          <w:sz w:val="20"/>
          <w:szCs w:val="20"/>
          <w:lang w:val="es-UY"/>
        </w:rPr>
        <w:t xml:space="preserve">Significa que se encuentra No Disponible </w:t>
      </w:r>
      <w:r>
        <w:rPr>
          <w:rFonts w:ascii="Calibri" w:hAnsi="Calibri" w:cs="Calibri"/>
          <w:color w:val="000000"/>
          <w:sz w:val="20"/>
          <w:szCs w:val="20"/>
          <w:lang w:val="es-UY"/>
        </w:rPr>
        <w:t xml:space="preserve">y no es usada para los fines operacionales previstos </w:t>
      </w:r>
      <w:r w:rsidRPr="008A7FE3">
        <w:rPr>
          <w:rFonts w:ascii="Calibri" w:hAnsi="Calibri" w:cs="Calibri"/>
          <w:color w:val="000000"/>
          <w:sz w:val="20"/>
          <w:szCs w:val="20"/>
          <w:lang w:val="es-UY"/>
        </w:rPr>
        <w:t xml:space="preserve">cualquiera de las siguientes combinaciones de áreas funcionales consideradas individualmente: </w:t>
      </w:r>
    </w:p>
    <w:p w:rsidR="008A7FE3" w:rsidRPr="008A7FE3" w:rsidRDefault="008A7FE3" w:rsidP="008A7FE3">
      <w:pPr>
        <w:autoSpaceDE w:val="0"/>
        <w:autoSpaceDN w:val="0"/>
        <w:adjustRightInd w:val="0"/>
        <w:spacing w:after="0" w:line="240" w:lineRule="auto"/>
        <w:jc w:val="both"/>
        <w:rPr>
          <w:b/>
          <w:lang w:val="es-UY"/>
        </w:rPr>
      </w:pPr>
    </w:p>
    <w:p w:rsidR="00AF637F" w:rsidRDefault="00AF637F" w:rsidP="00AF637F">
      <w:pPr>
        <w:autoSpaceDE w:val="0"/>
        <w:autoSpaceDN w:val="0"/>
        <w:adjustRightInd w:val="0"/>
        <w:spacing w:after="0" w:line="240" w:lineRule="auto"/>
        <w:jc w:val="both"/>
        <w:rPr>
          <w:b/>
        </w:rPr>
      </w:pPr>
      <w:r w:rsidRPr="009F66DB">
        <w:rPr>
          <w:b/>
        </w:rPr>
        <w:t xml:space="preserve">En la </w:t>
      </w:r>
      <w:r w:rsidR="00D3162C">
        <w:rPr>
          <w:b/>
        </w:rPr>
        <w:t>cláusula</w:t>
      </w:r>
      <w:r>
        <w:rPr>
          <w:b/>
        </w:rPr>
        <w:t xml:space="preserve"> </w:t>
      </w:r>
      <w:r w:rsidRPr="009F66DB">
        <w:rPr>
          <w:b/>
        </w:rPr>
        <w:t>1.</w:t>
      </w:r>
      <w:r>
        <w:rPr>
          <w:b/>
        </w:rPr>
        <w:t>2.2</w:t>
      </w:r>
      <w:r w:rsidRPr="009F66DB">
        <w:rPr>
          <w:b/>
        </w:rPr>
        <w:t xml:space="preserve"> del P</w:t>
      </w:r>
      <w:r>
        <w:rPr>
          <w:b/>
        </w:rPr>
        <w:t xml:space="preserve">liego de </w:t>
      </w:r>
      <w:r w:rsidRPr="009F66DB">
        <w:rPr>
          <w:b/>
        </w:rPr>
        <w:t>C</w:t>
      </w:r>
      <w:r>
        <w:rPr>
          <w:b/>
        </w:rPr>
        <w:t xml:space="preserve">ondiciones </w:t>
      </w:r>
      <w:r w:rsidRPr="009F66DB">
        <w:rPr>
          <w:b/>
        </w:rPr>
        <w:t>T</w:t>
      </w:r>
      <w:r>
        <w:rPr>
          <w:b/>
        </w:rPr>
        <w:t>écnicas</w:t>
      </w:r>
      <w:r w:rsidRPr="009F66DB">
        <w:rPr>
          <w:b/>
        </w:rPr>
        <w:t xml:space="preserve"> se efectúa la siguiente modificaci</w:t>
      </w:r>
      <w:r>
        <w:rPr>
          <w:b/>
        </w:rPr>
        <w:t>ón</w:t>
      </w:r>
      <w:r w:rsidRPr="009F66DB">
        <w:rPr>
          <w:b/>
        </w:rPr>
        <w:t>.</w:t>
      </w:r>
    </w:p>
    <w:p w:rsidR="00AF637F" w:rsidRDefault="00AF637F" w:rsidP="00AF637F">
      <w:pPr>
        <w:autoSpaceDE w:val="0"/>
        <w:autoSpaceDN w:val="0"/>
        <w:adjustRightInd w:val="0"/>
        <w:spacing w:after="0" w:line="240" w:lineRule="auto"/>
        <w:jc w:val="both"/>
        <w:rPr>
          <w:b/>
        </w:rPr>
      </w:pPr>
    </w:p>
    <w:p w:rsidR="00AF637F" w:rsidRDefault="00AF637F" w:rsidP="00AF637F">
      <w:pPr>
        <w:autoSpaceDE w:val="0"/>
        <w:autoSpaceDN w:val="0"/>
        <w:adjustRightInd w:val="0"/>
        <w:spacing w:after="0" w:line="240" w:lineRule="auto"/>
        <w:jc w:val="both"/>
        <w:rPr>
          <w:b/>
        </w:rPr>
      </w:pPr>
      <w:r>
        <w:rPr>
          <w:b/>
        </w:rPr>
        <w:t>Donde dice:</w:t>
      </w:r>
    </w:p>
    <w:p w:rsidR="00AF637F" w:rsidRDefault="00AF637F" w:rsidP="00AF637F">
      <w:pPr>
        <w:autoSpaceDE w:val="0"/>
        <w:autoSpaceDN w:val="0"/>
        <w:adjustRightInd w:val="0"/>
        <w:spacing w:after="0" w:line="240" w:lineRule="auto"/>
        <w:jc w:val="both"/>
      </w:pPr>
      <w:r>
        <w:t xml:space="preserve">La presente se deberá ajustar, cuando corresponda, conforme a las cláusulas 1.2 (Derecho a Hacer Deducciones), </w:t>
      </w:r>
      <w:r>
        <w:rPr>
          <w:b/>
          <w:bCs/>
        </w:rPr>
        <w:t>¡Error! No se encuentra el origen de la referencia</w:t>
      </w:r>
      <w:proofErr w:type="gramStart"/>
      <w:r>
        <w:rPr>
          <w:b/>
          <w:bCs/>
        </w:rPr>
        <w:t>.</w:t>
      </w:r>
      <w:r>
        <w:t>.</w:t>
      </w:r>
      <w:proofErr w:type="gramEnd"/>
      <w:r>
        <w:t>1 (Fallas Repetidas), 1.2.3 (Deducciones para No Disponible, Pero es Usada), 1.2.4 (Deducciones para Todo el Centro No Disponible), y 1.6 (Deber de la Contratista de Reportar).</w:t>
      </w:r>
    </w:p>
    <w:p w:rsidR="00AF637F" w:rsidRDefault="00AF637F" w:rsidP="00AF637F">
      <w:pPr>
        <w:autoSpaceDE w:val="0"/>
        <w:autoSpaceDN w:val="0"/>
        <w:adjustRightInd w:val="0"/>
        <w:spacing w:after="0" w:line="240" w:lineRule="auto"/>
        <w:jc w:val="both"/>
      </w:pPr>
    </w:p>
    <w:p w:rsidR="00AF637F" w:rsidRPr="00DC4E60" w:rsidRDefault="00AF637F" w:rsidP="00AF637F">
      <w:pPr>
        <w:autoSpaceDE w:val="0"/>
        <w:autoSpaceDN w:val="0"/>
        <w:adjustRightInd w:val="0"/>
        <w:spacing w:after="0" w:line="240" w:lineRule="auto"/>
        <w:jc w:val="both"/>
        <w:rPr>
          <w:b/>
        </w:rPr>
      </w:pPr>
      <w:r w:rsidRPr="00DC4E60">
        <w:rPr>
          <w:b/>
        </w:rPr>
        <w:t>Debe decir:</w:t>
      </w:r>
    </w:p>
    <w:p w:rsidR="00DC4E60" w:rsidRDefault="00DC4E60" w:rsidP="00DC4E60">
      <w:pPr>
        <w:autoSpaceDE w:val="0"/>
        <w:autoSpaceDN w:val="0"/>
        <w:adjustRightInd w:val="0"/>
        <w:spacing w:after="0" w:line="240" w:lineRule="auto"/>
        <w:jc w:val="both"/>
      </w:pPr>
      <w:r>
        <w:t xml:space="preserve">Estas deducciones deberán ser ajustadas, cuando aplique, conforme a las cláusulas 1.2.1 (Derecho a Hacer Deducciones), a 1.2.3. (Deducciones para No Disponible, Pero Usada), 1.2.4. (Deducciones por No Disponibilidad de Todo el Centro), 1.3 (Causales para </w:t>
      </w:r>
      <w:r w:rsidRPr="00DC4E60">
        <w:rPr>
          <w:bCs/>
        </w:rPr>
        <w:t>Deducciones Adicionales)</w:t>
      </w:r>
      <w:r>
        <w:t xml:space="preserve"> y 1.6 (Deber de la Contratista de Reportar).</w:t>
      </w:r>
    </w:p>
    <w:p w:rsidR="00AF637F" w:rsidRDefault="00AF637F" w:rsidP="00AF637F">
      <w:pPr>
        <w:autoSpaceDE w:val="0"/>
        <w:autoSpaceDN w:val="0"/>
        <w:adjustRightInd w:val="0"/>
        <w:spacing w:after="0" w:line="240" w:lineRule="auto"/>
        <w:jc w:val="both"/>
        <w:rPr>
          <w:b/>
        </w:rPr>
      </w:pPr>
    </w:p>
    <w:p w:rsidR="00AF637F" w:rsidRPr="00AF637F" w:rsidRDefault="00AF637F" w:rsidP="00AF637F">
      <w:pPr>
        <w:autoSpaceDE w:val="0"/>
        <w:autoSpaceDN w:val="0"/>
        <w:adjustRightInd w:val="0"/>
        <w:spacing w:after="0" w:line="240" w:lineRule="auto"/>
        <w:jc w:val="both"/>
      </w:pPr>
    </w:p>
    <w:p w:rsidR="00AF637F" w:rsidRDefault="00AF637F" w:rsidP="00AF637F">
      <w:pPr>
        <w:autoSpaceDE w:val="0"/>
        <w:autoSpaceDN w:val="0"/>
        <w:adjustRightInd w:val="0"/>
        <w:spacing w:after="0" w:line="240" w:lineRule="auto"/>
        <w:jc w:val="both"/>
        <w:rPr>
          <w:b/>
        </w:rPr>
      </w:pPr>
      <w:r w:rsidRPr="009F66DB">
        <w:rPr>
          <w:b/>
        </w:rPr>
        <w:t>En la</w:t>
      </w:r>
      <w:r w:rsidR="00D3162C">
        <w:rPr>
          <w:b/>
        </w:rPr>
        <w:t xml:space="preserve"> cláusula</w:t>
      </w:r>
      <w:r>
        <w:rPr>
          <w:b/>
        </w:rPr>
        <w:t xml:space="preserve"> </w:t>
      </w:r>
      <w:r w:rsidRPr="009F66DB">
        <w:rPr>
          <w:b/>
        </w:rPr>
        <w:t>1.</w:t>
      </w:r>
      <w:r>
        <w:rPr>
          <w:b/>
        </w:rPr>
        <w:t>2.5 y 1.2.6</w:t>
      </w:r>
      <w:r w:rsidRPr="009F66DB">
        <w:rPr>
          <w:b/>
        </w:rPr>
        <w:t xml:space="preserve"> del P</w:t>
      </w:r>
      <w:r>
        <w:rPr>
          <w:b/>
        </w:rPr>
        <w:t xml:space="preserve">liego de </w:t>
      </w:r>
      <w:r w:rsidRPr="009F66DB">
        <w:rPr>
          <w:b/>
        </w:rPr>
        <w:t>C</w:t>
      </w:r>
      <w:r>
        <w:rPr>
          <w:b/>
        </w:rPr>
        <w:t xml:space="preserve">ondiciones </w:t>
      </w:r>
      <w:r w:rsidRPr="009F66DB">
        <w:rPr>
          <w:b/>
        </w:rPr>
        <w:t>T</w:t>
      </w:r>
      <w:r>
        <w:rPr>
          <w:b/>
        </w:rPr>
        <w:t>écnicas</w:t>
      </w:r>
      <w:r w:rsidRPr="009F66DB">
        <w:rPr>
          <w:b/>
        </w:rPr>
        <w:t xml:space="preserve"> se efectúa la siguiente modificaci</w:t>
      </w:r>
      <w:r>
        <w:rPr>
          <w:b/>
        </w:rPr>
        <w:t>ón</w:t>
      </w:r>
      <w:r w:rsidRPr="009F66DB">
        <w:rPr>
          <w:b/>
        </w:rPr>
        <w:t>.</w:t>
      </w:r>
    </w:p>
    <w:p w:rsidR="00AF637F" w:rsidRDefault="00AF637F" w:rsidP="009F66DB">
      <w:pPr>
        <w:autoSpaceDE w:val="0"/>
        <w:autoSpaceDN w:val="0"/>
        <w:adjustRightInd w:val="0"/>
        <w:spacing w:after="0" w:line="240" w:lineRule="auto"/>
        <w:jc w:val="both"/>
      </w:pPr>
    </w:p>
    <w:p w:rsidR="00AF637F" w:rsidRPr="00AF637F" w:rsidRDefault="00AF637F" w:rsidP="009F66DB">
      <w:pPr>
        <w:autoSpaceDE w:val="0"/>
        <w:autoSpaceDN w:val="0"/>
        <w:adjustRightInd w:val="0"/>
        <w:spacing w:after="0" w:line="240" w:lineRule="auto"/>
        <w:jc w:val="both"/>
        <w:rPr>
          <w:b/>
        </w:rPr>
      </w:pPr>
      <w:r w:rsidRPr="00AF637F">
        <w:rPr>
          <w:b/>
        </w:rPr>
        <w:t>Donde dice:</w:t>
      </w:r>
    </w:p>
    <w:p w:rsidR="00AF637F" w:rsidRDefault="00AF637F" w:rsidP="009F66DB">
      <w:pPr>
        <w:autoSpaceDE w:val="0"/>
        <w:autoSpaceDN w:val="0"/>
        <w:adjustRightInd w:val="0"/>
        <w:spacing w:after="0" w:line="240" w:lineRule="auto"/>
        <w:jc w:val="both"/>
      </w:pPr>
      <w:r>
        <w:t xml:space="preserve">Estas deducciones deberán ser ajustadas, cuando aplique, conforme a las cláusulas 1.2 (Derecho a Hacer Deducciones), a </w:t>
      </w:r>
      <w:r>
        <w:rPr>
          <w:b/>
          <w:bCs/>
        </w:rPr>
        <w:t>¡Error! No se encuentra el origen de la referencia</w:t>
      </w:r>
      <w:proofErr w:type="gramStart"/>
      <w:r>
        <w:rPr>
          <w:b/>
          <w:bCs/>
        </w:rPr>
        <w:t>.</w:t>
      </w:r>
      <w:r>
        <w:t>.</w:t>
      </w:r>
      <w:proofErr w:type="gramEnd"/>
      <w:r>
        <w:t>1 (Fallas Repetidas), y 1.6 (Deber de la Contratista de Reportar).</w:t>
      </w:r>
    </w:p>
    <w:p w:rsidR="00AF637F" w:rsidRDefault="00AF637F" w:rsidP="009F66DB">
      <w:pPr>
        <w:autoSpaceDE w:val="0"/>
        <w:autoSpaceDN w:val="0"/>
        <w:adjustRightInd w:val="0"/>
        <w:spacing w:after="0" w:line="240" w:lineRule="auto"/>
        <w:jc w:val="both"/>
      </w:pPr>
    </w:p>
    <w:p w:rsidR="00AF637F" w:rsidRPr="00AF637F" w:rsidRDefault="00AF637F" w:rsidP="009F66DB">
      <w:pPr>
        <w:autoSpaceDE w:val="0"/>
        <w:autoSpaceDN w:val="0"/>
        <w:adjustRightInd w:val="0"/>
        <w:spacing w:after="0" w:line="240" w:lineRule="auto"/>
        <w:jc w:val="both"/>
        <w:rPr>
          <w:b/>
        </w:rPr>
      </w:pPr>
      <w:r w:rsidRPr="00AF637F">
        <w:rPr>
          <w:b/>
        </w:rPr>
        <w:t>Debe decir:</w:t>
      </w:r>
    </w:p>
    <w:p w:rsidR="00AF637F" w:rsidRDefault="00AF637F" w:rsidP="00AF637F">
      <w:pPr>
        <w:autoSpaceDE w:val="0"/>
        <w:autoSpaceDN w:val="0"/>
        <w:adjustRightInd w:val="0"/>
        <w:spacing w:after="0" w:line="240" w:lineRule="auto"/>
        <w:jc w:val="both"/>
      </w:pPr>
      <w:r>
        <w:t>Estas deducciones deberán ser ajustadas, cuando aplique, conforme a las cláusulas 1.2 (Derecho a Hacer Deducciones), a</w:t>
      </w:r>
      <w:r w:rsidR="00DC4E60">
        <w:t xml:space="preserve"> 1.3 (Causales para </w:t>
      </w:r>
      <w:r w:rsidR="00DC4E60" w:rsidRPr="00DC4E60">
        <w:rPr>
          <w:bCs/>
        </w:rPr>
        <w:t>Deducciones Adicionales)</w:t>
      </w:r>
      <w:r>
        <w:t xml:space="preserve"> y 1.6 (Deber de la Contratista de Reportar).</w:t>
      </w:r>
    </w:p>
    <w:p w:rsidR="00AF637F" w:rsidRPr="00AF637F" w:rsidRDefault="00AF637F" w:rsidP="009F66DB">
      <w:pPr>
        <w:autoSpaceDE w:val="0"/>
        <w:autoSpaceDN w:val="0"/>
        <w:adjustRightInd w:val="0"/>
        <w:spacing w:after="0" w:line="240" w:lineRule="auto"/>
        <w:jc w:val="both"/>
      </w:pPr>
    </w:p>
    <w:p w:rsidR="00AF637F" w:rsidRDefault="00AF637F" w:rsidP="009F66DB">
      <w:pPr>
        <w:autoSpaceDE w:val="0"/>
        <w:autoSpaceDN w:val="0"/>
        <w:adjustRightInd w:val="0"/>
        <w:spacing w:after="0" w:line="240" w:lineRule="auto"/>
        <w:jc w:val="both"/>
      </w:pPr>
    </w:p>
    <w:p w:rsidR="00A53D9A" w:rsidRDefault="00A53D9A" w:rsidP="009F66DB">
      <w:pPr>
        <w:autoSpaceDE w:val="0"/>
        <w:autoSpaceDN w:val="0"/>
        <w:adjustRightInd w:val="0"/>
        <w:spacing w:after="0" w:line="240" w:lineRule="auto"/>
        <w:jc w:val="both"/>
        <w:rPr>
          <w:b/>
        </w:rPr>
      </w:pPr>
      <w:r w:rsidRPr="009F66DB">
        <w:rPr>
          <w:b/>
        </w:rPr>
        <w:t>En la cláusula 1.5 del P</w:t>
      </w:r>
      <w:r w:rsidR="00C81E74">
        <w:rPr>
          <w:b/>
        </w:rPr>
        <w:t xml:space="preserve">liego de </w:t>
      </w:r>
      <w:r w:rsidRPr="009F66DB">
        <w:rPr>
          <w:b/>
        </w:rPr>
        <w:t>C</w:t>
      </w:r>
      <w:r w:rsidR="00C81E74">
        <w:rPr>
          <w:b/>
        </w:rPr>
        <w:t xml:space="preserve">ondiciones </w:t>
      </w:r>
      <w:r w:rsidRPr="009F66DB">
        <w:rPr>
          <w:b/>
        </w:rPr>
        <w:t>T</w:t>
      </w:r>
      <w:r w:rsidR="00C81E74">
        <w:rPr>
          <w:b/>
        </w:rPr>
        <w:t>écnicas</w:t>
      </w:r>
      <w:r w:rsidRPr="009F66DB">
        <w:rPr>
          <w:b/>
        </w:rPr>
        <w:t xml:space="preserve"> se efectúa</w:t>
      </w:r>
      <w:r w:rsidR="00652A51">
        <w:rPr>
          <w:b/>
        </w:rPr>
        <w:t>n</w:t>
      </w:r>
      <w:r w:rsidRPr="009F66DB">
        <w:rPr>
          <w:b/>
        </w:rPr>
        <w:t xml:space="preserve"> la</w:t>
      </w:r>
      <w:r w:rsidR="00652A51">
        <w:rPr>
          <w:b/>
        </w:rPr>
        <w:t>s</w:t>
      </w:r>
      <w:r w:rsidRPr="009F66DB">
        <w:rPr>
          <w:b/>
        </w:rPr>
        <w:t xml:space="preserve"> siguiente</w:t>
      </w:r>
      <w:r w:rsidR="00652A51">
        <w:rPr>
          <w:b/>
        </w:rPr>
        <w:t>s</w:t>
      </w:r>
      <w:r w:rsidRPr="009F66DB">
        <w:rPr>
          <w:b/>
        </w:rPr>
        <w:t xml:space="preserve"> modificaci</w:t>
      </w:r>
      <w:r w:rsidR="00652A51">
        <w:rPr>
          <w:b/>
        </w:rPr>
        <w:t>ones</w:t>
      </w:r>
      <w:r w:rsidRPr="009F66DB">
        <w:rPr>
          <w:b/>
        </w:rPr>
        <w:t>.</w:t>
      </w:r>
    </w:p>
    <w:p w:rsidR="00652A51" w:rsidRPr="009F66DB" w:rsidRDefault="00652A51" w:rsidP="009F66DB">
      <w:pPr>
        <w:autoSpaceDE w:val="0"/>
        <w:autoSpaceDN w:val="0"/>
        <w:adjustRightInd w:val="0"/>
        <w:spacing w:after="0" w:line="240" w:lineRule="auto"/>
        <w:jc w:val="both"/>
        <w:rPr>
          <w:b/>
        </w:rPr>
      </w:pPr>
    </w:p>
    <w:p w:rsidR="00A53D9A" w:rsidRPr="009F66DB" w:rsidRDefault="00A53D9A" w:rsidP="009F66DB">
      <w:pPr>
        <w:autoSpaceDE w:val="0"/>
        <w:autoSpaceDN w:val="0"/>
        <w:adjustRightInd w:val="0"/>
        <w:spacing w:after="0" w:line="240" w:lineRule="auto"/>
        <w:jc w:val="both"/>
        <w:rPr>
          <w:b/>
        </w:rPr>
      </w:pPr>
      <w:r w:rsidRPr="009F66DB">
        <w:rPr>
          <w:b/>
        </w:rPr>
        <w:t xml:space="preserve">Donde dice: </w:t>
      </w:r>
    </w:p>
    <w:p w:rsidR="00A53D9A" w:rsidRPr="009F66DB" w:rsidRDefault="00A53D9A" w:rsidP="009F66DB">
      <w:pPr>
        <w:autoSpaceDE w:val="0"/>
        <w:autoSpaceDN w:val="0"/>
        <w:adjustRightInd w:val="0"/>
        <w:spacing w:after="0" w:line="240" w:lineRule="auto"/>
        <w:jc w:val="both"/>
      </w:pPr>
      <w:r w:rsidRPr="009F66DB">
        <w:t>“Si l</w:t>
      </w:r>
      <w:r w:rsidR="00652A51">
        <w:t>a</w:t>
      </w:r>
      <w:r w:rsidRPr="009F66DB">
        <w:t xml:space="preserve"> </w:t>
      </w:r>
      <w:r w:rsidR="00652A51">
        <w:t>c</w:t>
      </w:r>
      <w:r w:rsidRPr="009F66DB">
        <w:t xml:space="preserve">ontratista informa a la Supervisión del Contrato que no es capaz de Rectificar o Solucionar un Evento de Servicio dentro del Plazo de Rectificación o Plazo de Solución, pero que es capaz de realizar una Rectificación Temporal: </w:t>
      </w:r>
    </w:p>
    <w:p w:rsidR="00A53D9A" w:rsidRPr="009F66DB" w:rsidRDefault="00A53D9A" w:rsidP="009F66DB">
      <w:pPr>
        <w:pStyle w:val="Prrafodelista"/>
        <w:numPr>
          <w:ilvl w:val="0"/>
          <w:numId w:val="3"/>
        </w:numPr>
        <w:autoSpaceDE w:val="0"/>
        <w:autoSpaceDN w:val="0"/>
        <w:adjustRightInd w:val="0"/>
        <w:spacing w:after="0" w:line="240" w:lineRule="auto"/>
        <w:jc w:val="both"/>
      </w:pPr>
      <w:r w:rsidRPr="009F66DB">
        <w:t>l</w:t>
      </w:r>
      <w:r w:rsidR="00805BD5">
        <w:t>a</w:t>
      </w:r>
      <w:r w:rsidRPr="009F66DB">
        <w:t xml:space="preserve"> Contratista puede llevar a cabo la Rectificación Temporal propuesta, a menos que la Supervisión del Contrato considere que si </w:t>
      </w:r>
      <w:r w:rsidR="00805BD5">
        <w:t>la r</w:t>
      </w:r>
      <w:r w:rsidRPr="009F66DB">
        <w:t>ealiza, el Área Funcional relevante no estará apta par</w:t>
      </w:r>
      <w:r w:rsidR="00652A51">
        <w:t>a ser usada por la Contratante;</w:t>
      </w:r>
      <w:r w:rsidRPr="009F66DB">
        <w:t xml:space="preserve"> </w:t>
      </w:r>
    </w:p>
    <w:p w:rsidR="00A53D9A" w:rsidRPr="009F66DB" w:rsidRDefault="00A53D9A" w:rsidP="009F66DB">
      <w:pPr>
        <w:pStyle w:val="Prrafodelista"/>
        <w:numPr>
          <w:ilvl w:val="0"/>
          <w:numId w:val="3"/>
        </w:numPr>
        <w:autoSpaceDE w:val="0"/>
        <w:autoSpaceDN w:val="0"/>
        <w:adjustRightInd w:val="0"/>
        <w:spacing w:after="0" w:line="240" w:lineRule="auto"/>
        <w:jc w:val="both"/>
      </w:pPr>
      <w:r w:rsidRPr="009F66DB">
        <w:t>cuando se permita una Rectificación Temporal, la Supervisión del Contrato y l</w:t>
      </w:r>
      <w:r w:rsidR="00652A51">
        <w:t>a</w:t>
      </w:r>
      <w:r w:rsidRPr="009F66DB">
        <w:t xml:space="preserve"> </w:t>
      </w:r>
      <w:r w:rsidR="00652A51">
        <w:t>c</w:t>
      </w:r>
      <w:r w:rsidRPr="009F66DB">
        <w:t>ontratista deben acordar un Plazo de Rectificación Permanente.”</w:t>
      </w:r>
    </w:p>
    <w:p w:rsidR="00A53D9A" w:rsidRPr="009F66DB" w:rsidRDefault="00A53D9A" w:rsidP="009F66DB">
      <w:pPr>
        <w:autoSpaceDE w:val="0"/>
        <w:autoSpaceDN w:val="0"/>
        <w:adjustRightInd w:val="0"/>
        <w:spacing w:after="0" w:line="240" w:lineRule="auto"/>
        <w:jc w:val="both"/>
      </w:pPr>
    </w:p>
    <w:p w:rsidR="00A53D9A" w:rsidRPr="009F66DB" w:rsidRDefault="00A53D9A" w:rsidP="00034A7F">
      <w:pPr>
        <w:keepNext/>
        <w:autoSpaceDE w:val="0"/>
        <w:autoSpaceDN w:val="0"/>
        <w:adjustRightInd w:val="0"/>
        <w:spacing w:after="0" w:line="240" w:lineRule="auto"/>
        <w:jc w:val="both"/>
        <w:rPr>
          <w:b/>
        </w:rPr>
      </w:pPr>
      <w:bookmarkStart w:id="0" w:name="_GoBack"/>
      <w:r w:rsidRPr="009F66DB">
        <w:rPr>
          <w:b/>
        </w:rPr>
        <w:t>Debe decir:</w:t>
      </w:r>
    </w:p>
    <w:bookmarkEnd w:id="0"/>
    <w:p w:rsidR="00A53D9A" w:rsidRPr="009F66DB" w:rsidRDefault="00A53D9A" w:rsidP="009F66DB">
      <w:pPr>
        <w:autoSpaceDE w:val="0"/>
        <w:autoSpaceDN w:val="0"/>
        <w:adjustRightInd w:val="0"/>
        <w:spacing w:after="0" w:line="240" w:lineRule="auto"/>
        <w:jc w:val="both"/>
      </w:pPr>
      <w:r w:rsidRPr="009F66DB">
        <w:t>Si l</w:t>
      </w:r>
      <w:r w:rsidR="00652A51">
        <w:t>a</w:t>
      </w:r>
      <w:r w:rsidRPr="009F66DB">
        <w:t xml:space="preserve"> </w:t>
      </w:r>
      <w:r w:rsidR="00652A51">
        <w:t>C</w:t>
      </w:r>
      <w:r w:rsidRPr="009F66DB">
        <w:t xml:space="preserve">ontratista informa a la Supervisión del Contrato que no es capaz de Rectificar o Solucionar un Evento de Servicio dentro del Plazo de Rectificación o Plazo de Solución, pero que es capaz de realizar una Rectificación Temporal: </w:t>
      </w:r>
    </w:p>
    <w:p w:rsidR="00A53D9A" w:rsidRPr="009F66DB" w:rsidRDefault="00A53D9A" w:rsidP="009F66DB">
      <w:pPr>
        <w:pStyle w:val="Prrafodelista"/>
        <w:numPr>
          <w:ilvl w:val="0"/>
          <w:numId w:val="2"/>
        </w:numPr>
        <w:autoSpaceDE w:val="0"/>
        <w:autoSpaceDN w:val="0"/>
        <w:adjustRightInd w:val="0"/>
        <w:spacing w:after="0" w:line="240" w:lineRule="auto"/>
        <w:jc w:val="both"/>
      </w:pPr>
      <w:r w:rsidRPr="009F66DB">
        <w:t>en caso que el Supervisor del Contrato considere que si se realiza la Rectificación Temporal el Área Funcional relevante no estará apta para ser usada por la Contratante, rechazará la propuesta en un plazo máximo de 48 horas contadas desde que le fue presentada por la Contratista</w:t>
      </w:r>
    </w:p>
    <w:p w:rsidR="00A53D9A" w:rsidRPr="00652A51" w:rsidRDefault="00A53D9A" w:rsidP="009F66DB">
      <w:pPr>
        <w:pStyle w:val="Prrafodelista"/>
        <w:numPr>
          <w:ilvl w:val="0"/>
          <w:numId w:val="2"/>
        </w:numPr>
        <w:autoSpaceDE w:val="0"/>
        <w:autoSpaceDN w:val="0"/>
        <w:adjustRightInd w:val="0"/>
        <w:spacing w:after="0" w:line="240" w:lineRule="auto"/>
        <w:jc w:val="both"/>
        <w:rPr>
          <w:b/>
          <w:u w:val="single"/>
        </w:rPr>
      </w:pPr>
      <w:r w:rsidRPr="009F66DB">
        <w:t>en caso que el Supervisor del Contrato apruebe la propuesta o no conteste en el plazo antedicho, l</w:t>
      </w:r>
      <w:r w:rsidR="00652A51">
        <w:t>a</w:t>
      </w:r>
      <w:r w:rsidRPr="009F66DB">
        <w:t xml:space="preserve"> Contratista puede llevar a cabo la Rectificación Temporal propuesta; y </w:t>
      </w:r>
      <w:r w:rsidR="00652A51">
        <w:t>en este caso la Supervisión del Contrato y la</w:t>
      </w:r>
      <w:r w:rsidRPr="009F66DB">
        <w:t xml:space="preserve"> Contratista deben acordar un Plazo de Rectificación Permanente</w:t>
      </w:r>
      <w:r w:rsidR="00652A51">
        <w:t>.</w:t>
      </w:r>
    </w:p>
    <w:p w:rsidR="00652A51" w:rsidRDefault="00652A51" w:rsidP="00652A51">
      <w:pPr>
        <w:autoSpaceDE w:val="0"/>
        <w:autoSpaceDN w:val="0"/>
        <w:adjustRightInd w:val="0"/>
        <w:spacing w:after="0" w:line="240" w:lineRule="auto"/>
        <w:jc w:val="both"/>
        <w:rPr>
          <w:b/>
          <w:u w:val="single"/>
        </w:rPr>
      </w:pPr>
    </w:p>
    <w:p w:rsidR="00652A51" w:rsidRPr="00652A51" w:rsidRDefault="00652A51" w:rsidP="00652A51">
      <w:pPr>
        <w:autoSpaceDE w:val="0"/>
        <w:autoSpaceDN w:val="0"/>
        <w:adjustRightInd w:val="0"/>
        <w:spacing w:after="0" w:line="240" w:lineRule="auto"/>
        <w:jc w:val="both"/>
        <w:rPr>
          <w:b/>
          <w:u w:val="single"/>
        </w:rPr>
      </w:pPr>
    </w:p>
    <w:p w:rsidR="00A519DE" w:rsidRPr="00AF637F" w:rsidRDefault="00652A51" w:rsidP="00AF637F">
      <w:pPr>
        <w:autoSpaceDE w:val="0"/>
        <w:autoSpaceDN w:val="0"/>
        <w:adjustRightInd w:val="0"/>
        <w:spacing w:after="0" w:line="240" w:lineRule="auto"/>
        <w:jc w:val="both"/>
        <w:rPr>
          <w:b/>
        </w:rPr>
      </w:pPr>
      <w:r w:rsidRPr="00AF637F">
        <w:rPr>
          <w:b/>
        </w:rPr>
        <w:lastRenderedPageBreak/>
        <w:t>Donde dice:</w:t>
      </w:r>
    </w:p>
    <w:p w:rsidR="00652A51" w:rsidRDefault="00652A51" w:rsidP="009F66DB">
      <w:pPr>
        <w:jc w:val="both"/>
      </w:pPr>
      <w:r>
        <w:t xml:space="preserve">En caso de que ocurran Condiciones para No Disponibilidad de Todo el Centro, la Contratista está obligada a presentar una Rectificación Temporal a partir del sexto día. En caso que no la presente, será de aplicación lo dicho en la cláusula </w:t>
      </w:r>
      <w:r>
        <w:rPr>
          <w:b/>
          <w:bCs/>
        </w:rPr>
        <w:t>¡Error! No se encuentra el origen de la referencia</w:t>
      </w:r>
      <w:proofErr w:type="gramStart"/>
      <w:r>
        <w:rPr>
          <w:b/>
          <w:bCs/>
        </w:rPr>
        <w:t>.</w:t>
      </w:r>
      <w:r>
        <w:t>.</w:t>
      </w:r>
      <w:proofErr w:type="gramEnd"/>
    </w:p>
    <w:p w:rsidR="00652A51" w:rsidRPr="00AF637F" w:rsidRDefault="00652A51" w:rsidP="00AF637F">
      <w:pPr>
        <w:autoSpaceDE w:val="0"/>
        <w:autoSpaceDN w:val="0"/>
        <w:adjustRightInd w:val="0"/>
        <w:spacing w:after="0" w:line="240" w:lineRule="auto"/>
        <w:jc w:val="both"/>
        <w:rPr>
          <w:b/>
        </w:rPr>
      </w:pPr>
      <w:r w:rsidRPr="00AF637F">
        <w:rPr>
          <w:b/>
        </w:rPr>
        <w:t>Debe decir:</w:t>
      </w:r>
    </w:p>
    <w:p w:rsidR="00652A51" w:rsidRDefault="00652A51" w:rsidP="009F66DB">
      <w:pPr>
        <w:jc w:val="both"/>
      </w:pPr>
      <w:r>
        <w:t xml:space="preserve">En caso de que ocurran Condiciones para No Disponibilidad de Todo el Centro, la Contratista está obligada a presentar una Rectificación Temporal a partir del sexto día. En caso que no la presente, será de aplicación lo dicho en la </w:t>
      </w:r>
      <w:r w:rsidR="0060590B">
        <w:t>cláusula</w:t>
      </w:r>
      <w:r>
        <w:t xml:space="preserve"> </w:t>
      </w:r>
      <w:r w:rsidRPr="00AF637F">
        <w:rPr>
          <w:bCs/>
        </w:rPr>
        <w:t>1.3.2</w:t>
      </w:r>
      <w:r w:rsidR="00AF637F" w:rsidRPr="00AF637F">
        <w:rPr>
          <w:bCs/>
        </w:rPr>
        <w:t xml:space="preserve"> de este Pliego de Condiciones Técnicas</w:t>
      </w:r>
      <w:r>
        <w:t>.</w:t>
      </w:r>
    </w:p>
    <w:p w:rsidR="00AF637F" w:rsidRPr="00AF637F" w:rsidRDefault="00AF637F" w:rsidP="00AF637F">
      <w:pPr>
        <w:autoSpaceDE w:val="0"/>
        <w:autoSpaceDN w:val="0"/>
        <w:adjustRightInd w:val="0"/>
        <w:spacing w:after="0" w:line="240" w:lineRule="auto"/>
        <w:jc w:val="both"/>
        <w:rPr>
          <w:b/>
        </w:rPr>
      </w:pPr>
      <w:r w:rsidRPr="00AF637F">
        <w:rPr>
          <w:b/>
        </w:rPr>
        <w:t>Donde dice:</w:t>
      </w:r>
    </w:p>
    <w:p w:rsidR="00AF637F" w:rsidRDefault="00AF637F" w:rsidP="009F66DB">
      <w:pPr>
        <w:jc w:val="both"/>
      </w:pPr>
      <w:r>
        <w:t xml:space="preserve">Si la Rectificación Permanente no ocurre dentro del Plazo correspondiente, una Falla de Calidad o una Falla de Disponibilidad ocurrirá en esa fecha y hora y las provisiones de la Sección 1.2.5 o la Sección 1.2.6 , y, si aplica, Sección </w:t>
      </w:r>
      <w:r>
        <w:rPr>
          <w:b/>
          <w:bCs/>
        </w:rPr>
        <w:t>¡Error! No se encuentra el origen de la referencia</w:t>
      </w:r>
      <w:proofErr w:type="gramStart"/>
      <w:r>
        <w:rPr>
          <w:b/>
          <w:bCs/>
        </w:rPr>
        <w:t>.</w:t>
      </w:r>
      <w:r>
        <w:t>.</w:t>
      </w:r>
      <w:proofErr w:type="gramEnd"/>
      <w:r>
        <w:t>1 aplicarán. Los estándares que se deben cumplir para alcanzar una Rectificación Permanente son los Estándares de Servicio establecidos en la Sección 8.</w:t>
      </w:r>
    </w:p>
    <w:p w:rsidR="00AF637F" w:rsidRPr="00AF637F" w:rsidRDefault="00AF637F" w:rsidP="00AF637F">
      <w:pPr>
        <w:autoSpaceDE w:val="0"/>
        <w:autoSpaceDN w:val="0"/>
        <w:adjustRightInd w:val="0"/>
        <w:spacing w:after="0" w:line="240" w:lineRule="auto"/>
        <w:jc w:val="both"/>
        <w:rPr>
          <w:b/>
        </w:rPr>
      </w:pPr>
      <w:r w:rsidRPr="00AF637F">
        <w:rPr>
          <w:b/>
        </w:rPr>
        <w:t>Debe decir:</w:t>
      </w:r>
    </w:p>
    <w:p w:rsidR="00AF637F" w:rsidRDefault="00AF637F" w:rsidP="009F66DB">
      <w:pPr>
        <w:jc w:val="both"/>
      </w:pPr>
      <w:r>
        <w:t xml:space="preserve">Si la Rectificación Permanente no ocurre dentro del Plazo correspondiente, una Falla de Calidad o una Falla de Disponibilidad ocurrirá en esa fecha y hora y aplicarán las provisiones de la </w:t>
      </w:r>
      <w:r w:rsidR="00D3162C">
        <w:t>cláusula</w:t>
      </w:r>
      <w:r>
        <w:t xml:space="preserve"> 1.2.5 o la </w:t>
      </w:r>
      <w:r w:rsidR="00D3162C">
        <w:t>cláusula</w:t>
      </w:r>
      <w:r>
        <w:t xml:space="preserve"> 1.2.6, y, si corresponde, la </w:t>
      </w:r>
      <w:r w:rsidR="00D3162C">
        <w:t>cláusula</w:t>
      </w:r>
      <w:r>
        <w:t xml:space="preserve"> </w:t>
      </w:r>
      <w:r w:rsidRPr="00AF637F">
        <w:rPr>
          <w:bCs/>
        </w:rPr>
        <w:t>1.3</w:t>
      </w:r>
      <w:r>
        <w:t xml:space="preserve">.1. Los estándares que se deben cumplir para alcanzar una Rectificación Permanente son los Estándares de Servicio establecidos en </w:t>
      </w:r>
      <w:r w:rsidR="00D3162C">
        <w:t>el Capítulo</w:t>
      </w:r>
      <w:r>
        <w:t xml:space="preserve"> 8.</w:t>
      </w:r>
    </w:p>
    <w:p w:rsidR="00A53D9A" w:rsidRPr="009F66DB" w:rsidRDefault="00A53D9A" w:rsidP="009F66DB">
      <w:pPr>
        <w:autoSpaceDE w:val="0"/>
        <w:autoSpaceDN w:val="0"/>
        <w:adjustRightInd w:val="0"/>
        <w:spacing w:after="0" w:line="240" w:lineRule="auto"/>
        <w:jc w:val="both"/>
        <w:rPr>
          <w:b/>
        </w:rPr>
      </w:pPr>
      <w:r w:rsidRPr="009F66DB">
        <w:rPr>
          <w:b/>
        </w:rPr>
        <w:t xml:space="preserve">En </w:t>
      </w:r>
      <w:r w:rsidR="00D3162C">
        <w:rPr>
          <w:b/>
        </w:rPr>
        <w:t>el Capítulo</w:t>
      </w:r>
      <w:r w:rsidRPr="009F66DB">
        <w:rPr>
          <w:b/>
        </w:rPr>
        <w:t xml:space="preserve"> 6 “Verificación para puesta en servicio de los centros” del P</w:t>
      </w:r>
      <w:r w:rsidR="00F31BCF">
        <w:rPr>
          <w:b/>
        </w:rPr>
        <w:t>liego de Condiciones Técnicas</w:t>
      </w:r>
      <w:r w:rsidRPr="009F66DB">
        <w:rPr>
          <w:b/>
        </w:rPr>
        <w:t xml:space="preserve"> se realiza la siguiente modificación.</w:t>
      </w:r>
    </w:p>
    <w:p w:rsidR="00F31BCF" w:rsidRDefault="00F31BCF" w:rsidP="009F66DB">
      <w:pPr>
        <w:autoSpaceDE w:val="0"/>
        <w:autoSpaceDN w:val="0"/>
        <w:adjustRightInd w:val="0"/>
        <w:spacing w:after="0" w:line="240" w:lineRule="auto"/>
        <w:jc w:val="both"/>
        <w:rPr>
          <w:b/>
        </w:rPr>
      </w:pPr>
    </w:p>
    <w:p w:rsidR="00A53D9A" w:rsidRPr="009F66DB" w:rsidRDefault="00A53D9A" w:rsidP="009F66DB">
      <w:pPr>
        <w:autoSpaceDE w:val="0"/>
        <w:autoSpaceDN w:val="0"/>
        <w:adjustRightInd w:val="0"/>
        <w:spacing w:after="0" w:line="240" w:lineRule="auto"/>
        <w:jc w:val="both"/>
        <w:rPr>
          <w:b/>
        </w:rPr>
      </w:pPr>
      <w:r w:rsidRPr="009F66DB">
        <w:rPr>
          <w:b/>
        </w:rPr>
        <w:t xml:space="preserve">Donde dice: </w:t>
      </w:r>
    </w:p>
    <w:p w:rsidR="00A53D9A" w:rsidRPr="009F66DB" w:rsidRDefault="00A53D9A" w:rsidP="009F66DB">
      <w:pPr>
        <w:autoSpaceDE w:val="0"/>
        <w:autoSpaceDN w:val="0"/>
        <w:adjustRightInd w:val="0"/>
        <w:spacing w:after="0" w:line="240" w:lineRule="auto"/>
        <w:jc w:val="both"/>
      </w:pPr>
      <w:r w:rsidRPr="009F66DB">
        <w:t xml:space="preserve"> “La Contratista deberá presentar comprobantes de todas las tramitaciones, inscripciones y registros necesarios, así como la obtención de las habilitaciones y permisos correspondientes que hayan sido necesarias para llevar a cabo las obras proyectadas, ante Intendencias, UTE, OSE, BPS y Bomberos, y demás que fuesen exigidos por las disposiciones vigentes”.</w:t>
      </w:r>
    </w:p>
    <w:p w:rsidR="00A53D9A" w:rsidRPr="009F66DB" w:rsidRDefault="00A53D9A" w:rsidP="009F66DB">
      <w:pPr>
        <w:autoSpaceDE w:val="0"/>
        <w:autoSpaceDN w:val="0"/>
        <w:adjustRightInd w:val="0"/>
        <w:spacing w:after="0" w:line="240" w:lineRule="auto"/>
        <w:jc w:val="both"/>
        <w:rPr>
          <w:b/>
        </w:rPr>
      </w:pPr>
    </w:p>
    <w:p w:rsidR="00A53D9A" w:rsidRPr="009F66DB" w:rsidRDefault="00A53D9A" w:rsidP="009F66DB">
      <w:pPr>
        <w:autoSpaceDE w:val="0"/>
        <w:autoSpaceDN w:val="0"/>
        <w:adjustRightInd w:val="0"/>
        <w:spacing w:after="0" w:line="240" w:lineRule="auto"/>
        <w:jc w:val="both"/>
        <w:rPr>
          <w:b/>
        </w:rPr>
      </w:pPr>
      <w:r w:rsidRPr="009F66DB">
        <w:rPr>
          <w:b/>
        </w:rPr>
        <w:t>Debe decir:</w:t>
      </w:r>
    </w:p>
    <w:p w:rsidR="00A53D9A" w:rsidRPr="009F66DB" w:rsidRDefault="00A53D9A" w:rsidP="009F66DB">
      <w:pPr>
        <w:autoSpaceDE w:val="0"/>
        <w:autoSpaceDN w:val="0"/>
        <w:adjustRightInd w:val="0"/>
        <w:spacing w:after="0" w:line="240" w:lineRule="auto"/>
        <w:jc w:val="both"/>
      </w:pPr>
      <w:r w:rsidRPr="009F66DB">
        <w:t>“La Contratista deberá presentar comprobantes de haber iniciado todas las tramitaciones, inscripciones y registros necesarios, ante Intendencias, UTE, OSE, BPS, Bomberos y demás que fuesen exigidos por las disposiciones vigentes.”</w:t>
      </w:r>
    </w:p>
    <w:p w:rsidR="00BB10BC" w:rsidRPr="009F66DB" w:rsidRDefault="00BB10BC" w:rsidP="009F66DB">
      <w:pPr>
        <w:autoSpaceDE w:val="0"/>
        <w:autoSpaceDN w:val="0"/>
        <w:adjustRightInd w:val="0"/>
        <w:spacing w:after="0" w:line="240" w:lineRule="auto"/>
        <w:jc w:val="both"/>
        <w:rPr>
          <w:b/>
        </w:rPr>
      </w:pPr>
    </w:p>
    <w:p w:rsidR="00BB10BC" w:rsidRPr="009F66DB" w:rsidRDefault="00BB10BC" w:rsidP="009F66DB">
      <w:pPr>
        <w:autoSpaceDE w:val="0"/>
        <w:autoSpaceDN w:val="0"/>
        <w:adjustRightInd w:val="0"/>
        <w:spacing w:after="0" w:line="240" w:lineRule="auto"/>
        <w:jc w:val="both"/>
        <w:rPr>
          <w:b/>
        </w:rPr>
      </w:pPr>
    </w:p>
    <w:p w:rsidR="00775B81" w:rsidRDefault="00775B81" w:rsidP="009F66DB">
      <w:pPr>
        <w:jc w:val="both"/>
        <w:rPr>
          <w:b/>
        </w:rPr>
      </w:pPr>
    </w:p>
    <w:p w:rsidR="00CA73E7" w:rsidRDefault="00CA73E7" w:rsidP="009F66DB">
      <w:pPr>
        <w:jc w:val="both"/>
        <w:rPr>
          <w:b/>
        </w:rPr>
      </w:pPr>
      <w:r>
        <w:rPr>
          <w:b/>
        </w:rPr>
        <w:lastRenderedPageBreak/>
        <w:t>En el Capítulo 8 del Pliego de Condiciones Técnicas se sustituye el apartado 8.3.3. por el siguiente:</w:t>
      </w:r>
    </w:p>
    <w:p w:rsidR="00CA73E7" w:rsidRPr="00CA73E7" w:rsidRDefault="00CA73E7" w:rsidP="00CA73E7">
      <w:pPr>
        <w:pStyle w:val="Prrafodelista"/>
        <w:keepNext/>
        <w:keepLines/>
        <w:numPr>
          <w:ilvl w:val="0"/>
          <w:numId w:val="5"/>
        </w:numPr>
        <w:spacing w:before="200" w:after="240" w:line="256" w:lineRule="auto"/>
        <w:contextualSpacing w:val="0"/>
        <w:jc w:val="both"/>
        <w:outlineLvl w:val="2"/>
        <w:rPr>
          <w:rFonts w:eastAsiaTheme="majorEastAsia" w:cstheme="majorBidi"/>
          <w:b/>
          <w:bCs/>
          <w:vanish/>
          <w:color w:val="7F7F7F" w:themeColor="text1" w:themeTint="80"/>
          <w:sz w:val="28"/>
        </w:rPr>
      </w:pPr>
      <w:bookmarkStart w:id="1" w:name="_Toc475619564"/>
      <w:bookmarkStart w:id="2" w:name="_Toc467143158"/>
      <w:bookmarkStart w:id="3" w:name="_Toc467142410"/>
      <w:bookmarkStart w:id="4" w:name="_Toc467140976"/>
    </w:p>
    <w:p w:rsidR="00CA73E7" w:rsidRPr="00CA73E7" w:rsidRDefault="00CA73E7" w:rsidP="00CA73E7">
      <w:pPr>
        <w:pStyle w:val="Prrafodelista"/>
        <w:keepNext/>
        <w:keepLines/>
        <w:numPr>
          <w:ilvl w:val="0"/>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Prrafodelista"/>
        <w:keepNext/>
        <w:keepLines/>
        <w:numPr>
          <w:ilvl w:val="0"/>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Prrafodelista"/>
        <w:keepNext/>
        <w:keepLines/>
        <w:numPr>
          <w:ilvl w:val="0"/>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Prrafodelista"/>
        <w:keepNext/>
        <w:keepLines/>
        <w:numPr>
          <w:ilvl w:val="0"/>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Prrafodelista"/>
        <w:keepNext/>
        <w:keepLines/>
        <w:numPr>
          <w:ilvl w:val="0"/>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Prrafodelista"/>
        <w:keepNext/>
        <w:keepLines/>
        <w:numPr>
          <w:ilvl w:val="0"/>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Prrafodelista"/>
        <w:keepNext/>
        <w:keepLines/>
        <w:numPr>
          <w:ilvl w:val="0"/>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Prrafodelista"/>
        <w:keepNext/>
        <w:keepLines/>
        <w:numPr>
          <w:ilvl w:val="1"/>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Prrafodelista"/>
        <w:keepNext/>
        <w:keepLines/>
        <w:numPr>
          <w:ilvl w:val="1"/>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Prrafodelista"/>
        <w:keepNext/>
        <w:keepLines/>
        <w:numPr>
          <w:ilvl w:val="1"/>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Prrafodelista"/>
        <w:keepNext/>
        <w:keepLines/>
        <w:numPr>
          <w:ilvl w:val="2"/>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Prrafodelista"/>
        <w:keepNext/>
        <w:keepLines/>
        <w:numPr>
          <w:ilvl w:val="2"/>
          <w:numId w:val="5"/>
        </w:numPr>
        <w:spacing w:before="200" w:after="240" w:line="256" w:lineRule="auto"/>
        <w:contextualSpacing w:val="0"/>
        <w:jc w:val="both"/>
        <w:outlineLvl w:val="2"/>
        <w:rPr>
          <w:rFonts w:eastAsiaTheme="majorEastAsia" w:cstheme="majorBidi"/>
          <w:b/>
          <w:bCs/>
          <w:vanish/>
          <w:color w:val="7F7F7F" w:themeColor="text1" w:themeTint="80"/>
          <w:sz w:val="28"/>
        </w:rPr>
      </w:pPr>
    </w:p>
    <w:p w:rsidR="00CA73E7" w:rsidRPr="00CA73E7" w:rsidRDefault="00CA73E7" w:rsidP="00CA73E7">
      <w:pPr>
        <w:pStyle w:val="Ttulo3"/>
        <w:rPr>
          <w:b/>
          <w:bCs/>
        </w:rPr>
      </w:pPr>
      <w:r w:rsidRPr="00CA73E7">
        <w:rPr>
          <w:b/>
          <w:bCs/>
        </w:rPr>
        <w:t>Grupo R3 - Limpieza reactiva</w:t>
      </w:r>
      <w:bookmarkEnd w:id="1"/>
      <w:bookmarkEnd w:id="2"/>
      <w:bookmarkEnd w:id="3"/>
      <w:bookmarkEnd w:id="4"/>
    </w:p>
    <w:p w:rsidR="00CA73E7" w:rsidRDefault="00CA73E7" w:rsidP="00CA73E7">
      <w:pPr>
        <w:keepNext/>
        <w:rPr>
          <w:rFonts w:cstheme="minorHAnsi"/>
          <w:i/>
          <w:u w:val="single"/>
        </w:rPr>
      </w:pPr>
      <w:r>
        <w:rPr>
          <w:rFonts w:cstheme="minorHAnsi"/>
          <w:i/>
          <w:u w:val="single"/>
        </w:rPr>
        <w:t>Estándares</w:t>
      </w:r>
    </w:p>
    <w:tbl>
      <w:tblPr>
        <w:tblStyle w:val="Tablanormal112"/>
        <w:tblW w:w="13950" w:type="dxa"/>
        <w:tblBorders>
          <w:left w:val="none" w:sz="0" w:space="0" w:color="auto"/>
          <w:right w:val="none" w:sz="0" w:space="0" w:color="auto"/>
          <w:insideV w:val="none" w:sz="0" w:space="0" w:color="auto"/>
        </w:tblBorders>
        <w:tblLayout w:type="fixed"/>
        <w:tblLook w:val="04A0"/>
      </w:tblPr>
      <w:tblGrid>
        <w:gridCol w:w="562"/>
        <w:gridCol w:w="4024"/>
        <w:gridCol w:w="2071"/>
        <w:gridCol w:w="3781"/>
        <w:gridCol w:w="1981"/>
        <w:gridCol w:w="1531"/>
      </w:tblGrid>
      <w:tr w:rsidR="00CA73E7" w:rsidTr="00CA73E7">
        <w:trPr>
          <w:cnfStyle w:val="100000000000"/>
          <w:trHeight w:val="545"/>
        </w:trPr>
        <w:tc>
          <w:tcPr>
            <w:cnfStyle w:val="001000000000"/>
            <w:tcW w:w="562" w:type="dxa"/>
            <w:tcBorders>
              <w:top w:val="single" w:sz="4" w:space="0" w:color="BFBFBF" w:themeColor="background1" w:themeShade="BF"/>
              <w:left w:val="nil"/>
              <w:bottom w:val="single" w:sz="4" w:space="0" w:color="BFBFBF" w:themeColor="background1" w:themeShade="BF"/>
              <w:right w:val="nil"/>
            </w:tcBorders>
            <w:shd w:val="clear" w:color="auto" w:fill="C4BC96" w:themeFill="background2" w:themeFillShade="BF"/>
            <w:vAlign w:val="center"/>
          </w:tcPr>
          <w:p w:rsidR="00CA73E7" w:rsidRDefault="00CA73E7">
            <w:pPr>
              <w:rPr>
                <w:rFonts w:cstheme="minorHAnsi"/>
                <w:sz w:val="17"/>
                <w:szCs w:val="17"/>
                <w:lang w:val="es-ES"/>
              </w:rPr>
            </w:pPr>
          </w:p>
        </w:tc>
        <w:tc>
          <w:tcPr>
            <w:tcW w:w="4023" w:type="dxa"/>
            <w:tcBorders>
              <w:top w:val="single" w:sz="4" w:space="0" w:color="BFBFBF" w:themeColor="background1" w:themeShade="BF"/>
              <w:left w:val="nil"/>
              <w:bottom w:val="single" w:sz="4" w:space="0" w:color="BFBFBF" w:themeColor="background1" w:themeShade="BF"/>
              <w:right w:val="nil"/>
            </w:tcBorders>
            <w:shd w:val="clear" w:color="auto" w:fill="C4BC96" w:themeFill="background2" w:themeFillShade="BF"/>
            <w:vAlign w:val="center"/>
            <w:hideMark/>
          </w:tcPr>
          <w:p w:rsidR="00CA73E7" w:rsidRDefault="00CA73E7">
            <w:pPr>
              <w:cnfStyle w:val="100000000000"/>
              <w:rPr>
                <w:rFonts w:cstheme="minorHAnsi"/>
                <w:b w:val="0"/>
                <w:bCs w:val="0"/>
                <w:sz w:val="17"/>
                <w:szCs w:val="17"/>
                <w:lang w:val="es-ES"/>
              </w:rPr>
            </w:pPr>
            <w:r>
              <w:rPr>
                <w:rFonts w:cstheme="minorHAnsi"/>
                <w:b w:val="0"/>
                <w:bCs w:val="0"/>
                <w:sz w:val="17"/>
                <w:szCs w:val="17"/>
                <w:lang w:val="es-ES"/>
              </w:rPr>
              <w:t>Estándar de Calidad Reactivas</w:t>
            </w:r>
          </w:p>
        </w:tc>
        <w:tc>
          <w:tcPr>
            <w:tcW w:w="2070" w:type="dxa"/>
            <w:tcBorders>
              <w:top w:val="single" w:sz="4" w:space="0" w:color="BFBFBF" w:themeColor="background1" w:themeShade="BF"/>
              <w:left w:val="nil"/>
              <w:bottom w:val="single" w:sz="4" w:space="0" w:color="BFBFBF" w:themeColor="background1" w:themeShade="BF"/>
              <w:right w:val="nil"/>
            </w:tcBorders>
            <w:shd w:val="clear" w:color="auto" w:fill="C4BC96" w:themeFill="background2" w:themeFillShade="BF"/>
            <w:vAlign w:val="center"/>
            <w:hideMark/>
          </w:tcPr>
          <w:p w:rsidR="00CA73E7" w:rsidRDefault="00CA73E7">
            <w:pPr>
              <w:cnfStyle w:val="100000000000"/>
              <w:rPr>
                <w:rFonts w:cstheme="minorHAnsi"/>
                <w:b w:val="0"/>
                <w:bCs w:val="0"/>
                <w:sz w:val="17"/>
                <w:szCs w:val="17"/>
                <w:lang w:val="es-ES"/>
              </w:rPr>
            </w:pPr>
            <w:r>
              <w:rPr>
                <w:rFonts w:cstheme="minorHAnsi"/>
                <w:b w:val="0"/>
                <w:bCs w:val="0"/>
                <w:sz w:val="17"/>
                <w:szCs w:val="17"/>
                <w:lang w:val="es-ES"/>
              </w:rPr>
              <w:t>Prioridad</w:t>
            </w:r>
          </w:p>
        </w:tc>
        <w:tc>
          <w:tcPr>
            <w:tcW w:w="3780" w:type="dxa"/>
            <w:tcBorders>
              <w:top w:val="single" w:sz="4" w:space="0" w:color="BFBFBF" w:themeColor="background1" w:themeShade="BF"/>
              <w:left w:val="nil"/>
              <w:bottom w:val="single" w:sz="4" w:space="0" w:color="BFBFBF" w:themeColor="background1" w:themeShade="BF"/>
              <w:right w:val="nil"/>
            </w:tcBorders>
            <w:shd w:val="clear" w:color="auto" w:fill="C4BC96" w:themeFill="background2" w:themeFillShade="BF"/>
            <w:vAlign w:val="center"/>
            <w:hideMark/>
          </w:tcPr>
          <w:p w:rsidR="00CA73E7" w:rsidRDefault="00CA73E7">
            <w:pPr>
              <w:cnfStyle w:val="100000000000"/>
              <w:rPr>
                <w:rFonts w:cstheme="minorHAnsi"/>
                <w:b w:val="0"/>
                <w:bCs w:val="0"/>
                <w:sz w:val="17"/>
                <w:szCs w:val="17"/>
                <w:lang w:val="es-ES"/>
              </w:rPr>
            </w:pPr>
            <w:r>
              <w:rPr>
                <w:rFonts w:cstheme="minorHAnsi"/>
                <w:b w:val="0"/>
                <w:bCs w:val="0"/>
                <w:sz w:val="17"/>
                <w:szCs w:val="17"/>
                <w:lang w:val="es-ES"/>
              </w:rPr>
              <w:t>Método de Verificación</w:t>
            </w:r>
          </w:p>
        </w:tc>
        <w:tc>
          <w:tcPr>
            <w:tcW w:w="1980" w:type="dxa"/>
            <w:tcBorders>
              <w:top w:val="single" w:sz="4" w:space="0" w:color="BFBFBF" w:themeColor="background1" w:themeShade="BF"/>
              <w:left w:val="nil"/>
              <w:bottom w:val="single" w:sz="4" w:space="0" w:color="BFBFBF" w:themeColor="background1" w:themeShade="BF"/>
              <w:right w:val="nil"/>
            </w:tcBorders>
            <w:shd w:val="clear" w:color="auto" w:fill="C4BC96" w:themeFill="background2" w:themeFillShade="BF"/>
            <w:vAlign w:val="center"/>
            <w:hideMark/>
          </w:tcPr>
          <w:p w:rsidR="00CA73E7" w:rsidRDefault="00CA73E7">
            <w:pPr>
              <w:cnfStyle w:val="100000000000"/>
              <w:rPr>
                <w:rFonts w:cstheme="minorHAnsi"/>
                <w:b w:val="0"/>
                <w:bCs w:val="0"/>
                <w:sz w:val="17"/>
                <w:szCs w:val="17"/>
                <w:lang w:val="es-ES"/>
              </w:rPr>
            </w:pPr>
            <w:r>
              <w:rPr>
                <w:rFonts w:cstheme="minorHAnsi"/>
                <w:b w:val="0"/>
                <w:bCs w:val="0"/>
                <w:sz w:val="17"/>
                <w:szCs w:val="17"/>
                <w:lang w:val="es-ES"/>
              </w:rPr>
              <w:t>Rectificación</w:t>
            </w:r>
          </w:p>
        </w:tc>
        <w:tc>
          <w:tcPr>
            <w:tcW w:w="1530" w:type="dxa"/>
            <w:tcBorders>
              <w:top w:val="single" w:sz="4" w:space="0" w:color="BFBFBF" w:themeColor="background1" w:themeShade="BF"/>
              <w:left w:val="nil"/>
              <w:bottom w:val="single" w:sz="4" w:space="0" w:color="BFBFBF" w:themeColor="background1" w:themeShade="BF"/>
              <w:right w:val="nil"/>
            </w:tcBorders>
            <w:shd w:val="clear" w:color="auto" w:fill="C4BC96" w:themeFill="background2" w:themeFillShade="BF"/>
            <w:vAlign w:val="center"/>
            <w:hideMark/>
          </w:tcPr>
          <w:p w:rsidR="00CA73E7" w:rsidRDefault="00CA73E7">
            <w:pPr>
              <w:cnfStyle w:val="100000000000"/>
              <w:rPr>
                <w:rFonts w:cstheme="minorHAnsi"/>
                <w:b w:val="0"/>
                <w:bCs w:val="0"/>
                <w:sz w:val="17"/>
                <w:szCs w:val="17"/>
                <w:lang w:val="es-ES"/>
              </w:rPr>
            </w:pPr>
            <w:r>
              <w:rPr>
                <w:rFonts w:cstheme="minorHAnsi"/>
                <w:b w:val="0"/>
                <w:bCs w:val="0"/>
                <w:sz w:val="17"/>
                <w:szCs w:val="17"/>
                <w:lang w:val="es-ES"/>
              </w:rPr>
              <w:t>Unidades de Servicio Aplicables</w:t>
            </w:r>
          </w:p>
        </w:tc>
      </w:tr>
      <w:tr w:rsidR="00CA73E7" w:rsidTr="00CA73E7">
        <w:trPr>
          <w:cnfStyle w:val="000000100000"/>
          <w:trHeight w:val="253"/>
        </w:trPr>
        <w:tc>
          <w:tcPr>
            <w:cnfStyle w:val="001000000000"/>
            <w:tcW w:w="13945" w:type="dxa"/>
            <w:gridSpan w:val="6"/>
            <w:tcBorders>
              <w:top w:val="single" w:sz="4" w:space="0" w:color="BFBFBF" w:themeColor="background1" w:themeShade="BF"/>
              <w:left w:val="nil"/>
              <w:bottom w:val="single" w:sz="4" w:space="0" w:color="BFBFBF" w:themeColor="background1" w:themeShade="BF"/>
              <w:right w:val="nil"/>
            </w:tcBorders>
            <w:noWrap/>
            <w:hideMark/>
          </w:tcPr>
          <w:p w:rsidR="00CA73E7" w:rsidRDefault="00CA73E7">
            <w:pPr>
              <w:spacing w:after="120"/>
              <w:jc w:val="both"/>
              <w:rPr>
                <w:rFonts w:cstheme="minorHAnsi"/>
                <w:b w:val="0"/>
                <w:bCs w:val="0"/>
                <w:sz w:val="17"/>
                <w:szCs w:val="17"/>
                <w:lang w:val="es-ES"/>
              </w:rPr>
            </w:pPr>
            <w:r>
              <w:rPr>
                <w:rFonts w:asciiTheme="majorHAnsi" w:hAnsiTheme="majorHAnsi" w:cstheme="majorHAnsi"/>
                <w:sz w:val="17"/>
                <w:szCs w:val="17"/>
                <w:lang w:val="es-ES"/>
              </w:rPr>
              <w:t>Limpieza Reactiva o de Emergencia</w:t>
            </w:r>
          </w:p>
        </w:tc>
      </w:tr>
      <w:tr w:rsidR="00CA73E7" w:rsidRPr="00D3162C" w:rsidTr="00CA73E7">
        <w:trPr>
          <w:trHeight w:val="1502"/>
        </w:trPr>
        <w:tc>
          <w:tcPr>
            <w:cnfStyle w:val="001000000000"/>
            <w:tcW w:w="56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hideMark/>
          </w:tcPr>
          <w:p w:rsidR="00CA73E7" w:rsidRPr="00D3162C" w:rsidRDefault="00CA73E7">
            <w:pPr>
              <w:spacing w:after="120"/>
              <w:jc w:val="both"/>
              <w:rPr>
                <w:rFonts w:eastAsia="Times New Roman" w:cstheme="minorHAnsi"/>
                <w:b w:val="0"/>
                <w:sz w:val="17"/>
                <w:szCs w:val="17"/>
                <w:lang w:val="es-ES" w:eastAsia="en-GB"/>
              </w:rPr>
            </w:pPr>
            <w:r w:rsidRPr="00D3162C">
              <w:rPr>
                <w:rFonts w:eastAsia="Times New Roman" w:cstheme="minorHAnsi"/>
                <w:sz w:val="17"/>
                <w:szCs w:val="17"/>
                <w:lang w:val="es-ES" w:eastAsia="en-GB"/>
              </w:rPr>
              <w:t>R3-1</w:t>
            </w:r>
          </w:p>
        </w:tc>
        <w:tc>
          <w:tcPr>
            <w:tcW w:w="4023"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hideMark/>
          </w:tcPr>
          <w:p w:rsidR="00246189" w:rsidRPr="00D3162C" w:rsidRDefault="00246189" w:rsidP="00246189">
            <w:pPr>
              <w:spacing w:after="120"/>
              <w:cnfStyle w:val="000000000000"/>
              <w:rPr>
                <w:rFonts w:cstheme="majorHAnsi"/>
                <w:sz w:val="17"/>
                <w:szCs w:val="17"/>
                <w:lang w:val="es-ES"/>
              </w:rPr>
            </w:pPr>
            <w:r w:rsidRPr="00D3162C">
              <w:rPr>
                <w:rFonts w:cstheme="majorHAnsi"/>
                <w:sz w:val="17"/>
                <w:szCs w:val="17"/>
                <w:lang w:val="es-ES"/>
              </w:rPr>
              <w:t xml:space="preserve">Excepto en cocina/comedor en horarios de alimentación, la Contratista debe realizar la limpieza necesaria en elementos que formen parte del contrato ante derrames y accidentes de cualquier tipo que ocurran durante Horas de Trabajo. </w:t>
            </w:r>
          </w:p>
          <w:p w:rsidR="00CA73E7" w:rsidRPr="00D3162C" w:rsidRDefault="00246189" w:rsidP="00246189">
            <w:pPr>
              <w:spacing w:after="120"/>
              <w:cnfStyle w:val="000000000000"/>
              <w:rPr>
                <w:rFonts w:cstheme="minorHAnsi"/>
                <w:sz w:val="17"/>
                <w:szCs w:val="17"/>
                <w:lang w:val="es-ES"/>
              </w:rPr>
            </w:pPr>
            <w:r w:rsidRPr="00D3162C">
              <w:rPr>
                <w:rFonts w:cstheme="majorHAnsi"/>
                <w:sz w:val="17"/>
                <w:szCs w:val="17"/>
                <w:lang w:val="es-ES"/>
              </w:rPr>
              <w:t>El área afectada debe retornar a los estándares requeridos.</w:t>
            </w:r>
          </w:p>
        </w:tc>
        <w:tc>
          <w:tcPr>
            <w:tcW w:w="207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hideMark/>
          </w:tcPr>
          <w:p w:rsidR="00246189" w:rsidRPr="00D3162C" w:rsidRDefault="00246189">
            <w:pPr>
              <w:spacing w:after="120"/>
              <w:cnfStyle w:val="000000000000"/>
              <w:rPr>
                <w:rFonts w:cstheme="majorHAnsi"/>
                <w:sz w:val="17"/>
                <w:szCs w:val="17"/>
                <w:lang w:val="es-ES"/>
              </w:rPr>
            </w:pPr>
            <w:r w:rsidRPr="00D3162C">
              <w:rPr>
                <w:rFonts w:cstheme="majorHAnsi"/>
                <w:sz w:val="17"/>
                <w:szCs w:val="17"/>
                <w:lang w:val="es-ES"/>
              </w:rPr>
              <w:t>A los fines del Factor de Descuento por Calidad:</w:t>
            </w:r>
          </w:p>
          <w:p w:rsidR="00246189" w:rsidRPr="00D3162C" w:rsidRDefault="00246189">
            <w:pPr>
              <w:spacing w:after="120"/>
              <w:cnfStyle w:val="000000000000"/>
              <w:rPr>
                <w:rFonts w:cstheme="majorHAnsi"/>
                <w:sz w:val="17"/>
                <w:szCs w:val="17"/>
                <w:lang w:val="es-ES"/>
              </w:rPr>
            </w:pPr>
            <w:r w:rsidRPr="00D3162C">
              <w:rPr>
                <w:rFonts w:cstheme="majorHAnsi"/>
                <w:sz w:val="17"/>
                <w:szCs w:val="17"/>
                <w:lang w:val="es-ES"/>
              </w:rPr>
              <w:t>Alta, si existe algún riesgo a la seguridad o la salud</w:t>
            </w:r>
          </w:p>
          <w:p w:rsidR="00CA73E7" w:rsidRPr="00D3162C" w:rsidRDefault="00246189">
            <w:pPr>
              <w:spacing w:after="120"/>
              <w:cnfStyle w:val="000000000000"/>
              <w:rPr>
                <w:rFonts w:cstheme="minorHAnsi"/>
                <w:sz w:val="17"/>
                <w:szCs w:val="17"/>
                <w:lang w:val="es-UY"/>
              </w:rPr>
            </w:pPr>
            <w:r w:rsidRPr="00D3162C">
              <w:rPr>
                <w:rFonts w:cstheme="majorHAnsi"/>
                <w:sz w:val="17"/>
                <w:szCs w:val="17"/>
                <w:lang w:val="es-ES"/>
              </w:rPr>
              <w:t>Baja, en otros casos.</w:t>
            </w:r>
          </w:p>
        </w:tc>
        <w:tc>
          <w:tcPr>
            <w:tcW w:w="378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tcPr>
          <w:p w:rsidR="00CA73E7" w:rsidRPr="00D3162C" w:rsidRDefault="00CA73E7">
            <w:pPr>
              <w:cnfStyle w:val="000000000000"/>
              <w:rPr>
                <w:rFonts w:cstheme="majorHAnsi"/>
                <w:sz w:val="17"/>
                <w:szCs w:val="17"/>
                <w:lang w:val="es-ES"/>
              </w:rPr>
            </w:pPr>
            <w:r w:rsidRPr="00D3162C">
              <w:rPr>
                <w:rFonts w:cstheme="minorHAnsi"/>
                <w:b/>
                <w:sz w:val="17"/>
                <w:szCs w:val="17"/>
                <w:lang w:val="es-ES"/>
              </w:rPr>
              <w:t>Frecuencia de Verificación de Calidad</w:t>
            </w:r>
            <w:r w:rsidRPr="00D3162C">
              <w:rPr>
                <w:rFonts w:cstheme="majorHAnsi"/>
                <w:sz w:val="17"/>
                <w:szCs w:val="17"/>
                <w:lang w:val="es-ES"/>
              </w:rPr>
              <w:t>: Por Evento</w:t>
            </w:r>
          </w:p>
          <w:p w:rsidR="00CA73E7" w:rsidRPr="00D3162C" w:rsidRDefault="00CA73E7">
            <w:pPr>
              <w:cnfStyle w:val="000000000000"/>
              <w:rPr>
                <w:rFonts w:cstheme="majorHAnsi"/>
                <w:sz w:val="17"/>
                <w:szCs w:val="17"/>
                <w:lang w:val="es-ES"/>
              </w:rPr>
            </w:pPr>
          </w:p>
          <w:p w:rsidR="00CA73E7" w:rsidRPr="00D3162C" w:rsidRDefault="00CA73E7">
            <w:pPr>
              <w:cnfStyle w:val="000000000000"/>
              <w:rPr>
                <w:rFonts w:cstheme="minorHAnsi"/>
                <w:sz w:val="17"/>
                <w:szCs w:val="17"/>
                <w:lang w:val="es-ES"/>
              </w:rPr>
            </w:pPr>
            <w:r w:rsidRPr="00D3162C">
              <w:rPr>
                <w:rFonts w:cstheme="minorHAnsi"/>
                <w:b/>
                <w:sz w:val="17"/>
                <w:szCs w:val="17"/>
                <w:lang w:val="es-ES"/>
              </w:rPr>
              <w:t>Método de Verificación de Calidad</w:t>
            </w:r>
            <w:r w:rsidRPr="00D3162C">
              <w:rPr>
                <w:rFonts w:cstheme="majorHAnsi"/>
                <w:sz w:val="17"/>
                <w:szCs w:val="17"/>
                <w:lang w:val="es-ES"/>
              </w:rPr>
              <w:t xml:space="preserve">: No se reportó ningún No Cumplimiento (a través del </w:t>
            </w:r>
            <w:r w:rsidRPr="00D3162C">
              <w:rPr>
                <w:rFonts w:cstheme="minorHAnsi"/>
                <w:sz w:val="17"/>
                <w:szCs w:val="17"/>
                <w:lang w:val="es-ES"/>
              </w:rPr>
              <w:t>Sistema informático del Centro de Atención al Usuario</w:t>
            </w:r>
            <w:r w:rsidRPr="00D3162C">
              <w:rPr>
                <w:rFonts w:cstheme="majorHAnsi"/>
                <w:sz w:val="17"/>
                <w:szCs w:val="17"/>
                <w:lang w:val="es-ES"/>
              </w:rPr>
              <w:t>)</w:t>
            </w:r>
          </w:p>
        </w:tc>
        <w:tc>
          <w:tcPr>
            <w:tcW w:w="198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hideMark/>
          </w:tcPr>
          <w:p w:rsidR="00CA73E7" w:rsidRPr="00D3162C" w:rsidRDefault="00CA73E7">
            <w:pPr>
              <w:spacing w:after="120"/>
              <w:jc w:val="both"/>
              <w:cnfStyle w:val="000000000000"/>
              <w:rPr>
                <w:rFonts w:cstheme="minorHAnsi"/>
                <w:b/>
                <w:sz w:val="17"/>
                <w:szCs w:val="17"/>
                <w:lang w:val="es-ES"/>
              </w:rPr>
            </w:pPr>
            <w:r w:rsidRPr="00D3162C">
              <w:rPr>
                <w:rFonts w:cstheme="minorHAnsi"/>
                <w:b/>
                <w:sz w:val="17"/>
                <w:szCs w:val="17"/>
                <w:lang w:val="es-ES"/>
              </w:rPr>
              <w:t>Plazo de Respuesta:</w:t>
            </w:r>
          </w:p>
          <w:p w:rsidR="00CA73E7" w:rsidRPr="00D3162C" w:rsidRDefault="00246189">
            <w:pPr>
              <w:spacing w:after="120"/>
              <w:jc w:val="both"/>
              <w:cnfStyle w:val="000000000000"/>
              <w:rPr>
                <w:rFonts w:cstheme="minorHAnsi"/>
                <w:sz w:val="17"/>
                <w:szCs w:val="17"/>
                <w:lang w:val="es-ES"/>
              </w:rPr>
            </w:pPr>
            <w:r w:rsidRPr="00D3162C">
              <w:rPr>
                <w:rFonts w:cstheme="minorHAnsi"/>
                <w:sz w:val="17"/>
                <w:szCs w:val="17"/>
                <w:lang w:val="es-ES"/>
              </w:rPr>
              <w:t>1 hora</w:t>
            </w:r>
          </w:p>
          <w:p w:rsidR="00CA73E7" w:rsidRPr="00D3162C" w:rsidRDefault="00CA73E7">
            <w:pPr>
              <w:spacing w:after="120"/>
              <w:jc w:val="both"/>
              <w:cnfStyle w:val="000000000000"/>
              <w:rPr>
                <w:rFonts w:cstheme="minorHAnsi"/>
                <w:b/>
                <w:sz w:val="17"/>
                <w:szCs w:val="17"/>
                <w:lang w:val="es-ES"/>
              </w:rPr>
            </w:pPr>
            <w:r w:rsidRPr="00D3162C">
              <w:rPr>
                <w:rFonts w:cstheme="minorHAnsi"/>
                <w:b/>
                <w:sz w:val="17"/>
                <w:szCs w:val="17"/>
                <w:lang w:val="es-ES"/>
              </w:rPr>
              <w:t>Plazo de Rectificación:</w:t>
            </w:r>
          </w:p>
          <w:p w:rsidR="00CA73E7" w:rsidRPr="00D3162C" w:rsidRDefault="00D3162C">
            <w:pPr>
              <w:spacing w:after="120"/>
              <w:jc w:val="both"/>
              <w:cnfStyle w:val="000000000000"/>
              <w:rPr>
                <w:rFonts w:cstheme="minorHAnsi"/>
                <w:sz w:val="17"/>
                <w:szCs w:val="17"/>
                <w:lang w:val="es-ES"/>
              </w:rPr>
            </w:pPr>
            <w:r w:rsidRPr="00D3162C">
              <w:rPr>
                <w:rFonts w:cstheme="minorHAnsi"/>
                <w:sz w:val="17"/>
                <w:szCs w:val="17"/>
                <w:lang w:val="es-ES"/>
              </w:rPr>
              <w:t>4 horas</w:t>
            </w:r>
            <w:r w:rsidR="00CA73E7" w:rsidRPr="00D3162C">
              <w:rPr>
                <w:rFonts w:cstheme="minorHAnsi"/>
                <w:sz w:val="17"/>
                <w:szCs w:val="17"/>
                <w:lang w:val="es-ES"/>
              </w:rPr>
              <w:t xml:space="preserve"> </w:t>
            </w:r>
          </w:p>
        </w:tc>
        <w:tc>
          <w:tcPr>
            <w:tcW w:w="153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rsidR="00CA73E7" w:rsidRPr="00D3162C" w:rsidRDefault="00CA73E7">
            <w:pPr>
              <w:spacing w:after="120"/>
              <w:cnfStyle w:val="000000000000"/>
              <w:rPr>
                <w:rFonts w:cstheme="minorHAnsi"/>
                <w:sz w:val="17"/>
                <w:szCs w:val="17"/>
                <w:lang w:val="es-ES"/>
              </w:rPr>
            </w:pPr>
            <w:r w:rsidRPr="00D3162C">
              <w:rPr>
                <w:rFonts w:cstheme="minorHAnsi"/>
                <w:sz w:val="17"/>
                <w:szCs w:val="17"/>
                <w:lang w:val="es-ES"/>
              </w:rPr>
              <w:t>Las correspondientes a la o las Áreas Funcionales afectadas.</w:t>
            </w:r>
          </w:p>
          <w:p w:rsidR="00CA73E7" w:rsidRPr="00D3162C" w:rsidRDefault="00CA73E7">
            <w:pPr>
              <w:spacing w:after="120"/>
              <w:jc w:val="both"/>
              <w:cnfStyle w:val="000000000000"/>
              <w:rPr>
                <w:rFonts w:cstheme="minorHAnsi"/>
                <w:sz w:val="17"/>
                <w:szCs w:val="17"/>
                <w:lang w:val="es-ES"/>
              </w:rPr>
            </w:pPr>
          </w:p>
        </w:tc>
      </w:tr>
    </w:tbl>
    <w:p w:rsidR="00775B81" w:rsidRPr="009F66DB" w:rsidRDefault="00775B81" w:rsidP="009F66DB">
      <w:pPr>
        <w:jc w:val="both"/>
        <w:rPr>
          <w:b/>
        </w:rPr>
      </w:pPr>
    </w:p>
    <w:sectPr w:rsidR="00775B81" w:rsidRPr="009F66DB" w:rsidSect="00CA73E7">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A54" w:rsidRDefault="008A5A54" w:rsidP="008A5A54">
      <w:pPr>
        <w:spacing w:after="0" w:line="240" w:lineRule="auto"/>
      </w:pPr>
      <w:r>
        <w:separator/>
      </w:r>
    </w:p>
  </w:endnote>
  <w:endnote w:type="continuationSeparator" w:id="1">
    <w:p w:rsidR="008A5A54" w:rsidRDefault="008A5A54" w:rsidP="008A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A54" w:rsidRDefault="008A5A54" w:rsidP="008A5A54">
      <w:pPr>
        <w:spacing w:after="0" w:line="240" w:lineRule="auto"/>
      </w:pPr>
      <w:r>
        <w:separator/>
      </w:r>
    </w:p>
  </w:footnote>
  <w:footnote w:type="continuationSeparator" w:id="1">
    <w:p w:rsidR="008A5A54" w:rsidRDefault="008A5A54" w:rsidP="008A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54" w:rsidRPr="008A5A54" w:rsidRDefault="008A5A54" w:rsidP="008A5A54">
    <w:pPr>
      <w:pStyle w:val="Encabezado"/>
    </w:pPr>
    <w:r>
      <w:rPr>
        <w:noProof/>
        <w:lang w:eastAsia="es-ES"/>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1">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140BFA"/>
    <w:multiLevelType w:val="hybridMultilevel"/>
    <w:tmpl w:val="54DCDD4A"/>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A5A54"/>
    <w:rsid w:val="00001BE9"/>
    <w:rsid w:val="00034A7F"/>
    <w:rsid w:val="000C4C7A"/>
    <w:rsid w:val="000D4456"/>
    <w:rsid w:val="0018782C"/>
    <w:rsid w:val="001D390E"/>
    <w:rsid w:val="001D3A18"/>
    <w:rsid w:val="00215E1E"/>
    <w:rsid w:val="00246189"/>
    <w:rsid w:val="00261BB8"/>
    <w:rsid w:val="00285DFB"/>
    <w:rsid w:val="002C7E8D"/>
    <w:rsid w:val="002F3FF5"/>
    <w:rsid w:val="00396F63"/>
    <w:rsid w:val="00406003"/>
    <w:rsid w:val="00434F17"/>
    <w:rsid w:val="00437FD8"/>
    <w:rsid w:val="004D7F3D"/>
    <w:rsid w:val="0060590B"/>
    <w:rsid w:val="00652A51"/>
    <w:rsid w:val="00775B81"/>
    <w:rsid w:val="007A2FA1"/>
    <w:rsid w:val="00803B32"/>
    <w:rsid w:val="00805BD5"/>
    <w:rsid w:val="008871AC"/>
    <w:rsid w:val="008A5A54"/>
    <w:rsid w:val="008A7FE3"/>
    <w:rsid w:val="008E5754"/>
    <w:rsid w:val="008F59CD"/>
    <w:rsid w:val="00902449"/>
    <w:rsid w:val="009827B8"/>
    <w:rsid w:val="009B4469"/>
    <w:rsid w:val="009E2E1E"/>
    <w:rsid w:val="009F66DB"/>
    <w:rsid w:val="00A519DE"/>
    <w:rsid w:val="00A53D9A"/>
    <w:rsid w:val="00A60ED6"/>
    <w:rsid w:val="00AF637F"/>
    <w:rsid w:val="00BB10BC"/>
    <w:rsid w:val="00C43A5B"/>
    <w:rsid w:val="00C762CD"/>
    <w:rsid w:val="00C81E74"/>
    <w:rsid w:val="00CA73E7"/>
    <w:rsid w:val="00D3162C"/>
    <w:rsid w:val="00DC4E60"/>
    <w:rsid w:val="00E35CD0"/>
    <w:rsid w:val="00EB278F"/>
    <w:rsid w:val="00EB5D0C"/>
    <w:rsid w:val="00ED30C2"/>
    <w:rsid w:val="00F31BCF"/>
    <w:rsid w:val="00FB19A8"/>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54"/>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1569</Words>
  <Characters>8632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Leodan Gonzalez</dc:creator>
  <cp:lastModifiedBy>sjuncal</cp:lastModifiedBy>
  <cp:revision>5</cp:revision>
  <dcterms:created xsi:type="dcterms:W3CDTF">2017-05-05T14:44:00Z</dcterms:created>
  <dcterms:modified xsi:type="dcterms:W3CDTF">2017-05-05T15:30:00Z</dcterms:modified>
</cp:coreProperties>
</file>