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B4" w:rsidRDefault="003D26B4"/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C762CD">
        <w:rPr>
          <w:b/>
        </w:rPr>
        <w:t>8</w:t>
      </w:r>
      <w:r w:rsidRPr="009F66DB">
        <w:rPr>
          <w:b/>
        </w:rPr>
        <w:t>/2017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8A5A54" w:rsidP="009F66DB">
      <w:pPr>
        <w:pBdr>
          <w:bottom w:val="single" w:sz="6" w:space="1" w:color="auto"/>
        </w:pBdr>
        <w:jc w:val="both"/>
        <w:rPr>
          <w:b/>
        </w:rPr>
      </w:pPr>
      <w:r w:rsidRPr="009F66DB">
        <w:rPr>
          <w:b/>
        </w:rPr>
        <w:t xml:space="preserve">Comunicado N° </w:t>
      </w:r>
      <w:r w:rsidR="00CC2E46">
        <w:rPr>
          <w:b/>
        </w:rPr>
        <w:t>4</w:t>
      </w:r>
    </w:p>
    <w:p w:rsidR="008A5A54" w:rsidRPr="009E2E1E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realizan las siguientes puntualizaciones:</w:t>
      </w:r>
    </w:p>
    <w:p w:rsidR="00D3162C" w:rsidRDefault="00D3162C" w:rsidP="00D3162C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t xml:space="preserve">Puntualización 1 </w:t>
      </w:r>
      <w:r w:rsidR="00CC2E46">
        <w:rPr>
          <w:b/>
          <w:caps/>
          <w:sz w:val="28"/>
          <w:szCs w:val="28"/>
          <w:u w:val="single"/>
        </w:rPr>
        <w:t>–</w:t>
      </w:r>
      <w:r w:rsidRPr="00D3162C">
        <w:rPr>
          <w:b/>
          <w:caps/>
          <w:sz w:val="28"/>
          <w:szCs w:val="28"/>
          <w:u w:val="single"/>
        </w:rPr>
        <w:t xml:space="preserve"> </w:t>
      </w:r>
    </w:p>
    <w:p w:rsidR="00CC2E46" w:rsidRPr="00CC2E46" w:rsidRDefault="00CC2E46" w:rsidP="00CC2E46">
      <w:pPr>
        <w:rPr>
          <w:b/>
        </w:rPr>
      </w:pPr>
      <w:r w:rsidRPr="00CC2E46">
        <w:rPr>
          <w:b/>
        </w:rPr>
        <w:t>En la Cláusula 15.4. C</w:t>
      </w:r>
      <w:r w:rsidRPr="00CC2E46">
        <w:rPr>
          <w:b/>
          <w:sz w:val="18"/>
          <w:szCs w:val="18"/>
        </w:rPr>
        <w:t xml:space="preserve">ONSTITUCIÓN DE GARANTÍA DE MANTENIMIENTO DE OFERTA </w:t>
      </w:r>
      <w:r w:rsidRPr="00CC2E46">
        <w:rPr>
          <w:b/>
        </w:rPr>
        <w:t>del Pliego de Condiciones Administrativas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Donde dice:</w:t>
      </w:r>
    </w:p>
    <w:p w:rsidR="00CC2E46" w:rsidRDefault="00CC2E46" w:rsidP="00CC2E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Póliza de fianza emitida por una institución de seguros habilitada por la Superintendencia de Servicios Financieros del Banco Central del Uruguay. 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Debe decir:</w:t>
      </w:r>
    </w:p>
    <w:p w:rsidR="00CC2E46" w:rsidRDefault="00CC2E46" w:rsidP="00CC2E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Póliza de fianza ordinaria emitida por una institución de seguros habilitada por la Superintendencia de Servicios Financieros del Banco Central del Uruguay. </w:t>
      </w:r>
    </w:p>
    <w:p w:rsidR="00CC2E46" w:rsidRDefault="00CC2E46" w:rsidP="00CC2E46">
      <w:pPr>
        <w:spacing w:after="0"/>
        <w:rPr>
          <w:b/>
        </w:rPr>
      </w:pP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Donde dice:</w:t>
      </w:r>
    </w:p>
    <w:p w:rsidR="00CC2E46" w:rsidRDefault="00CC2E46" w:rsidP="009907C7">
      <w:pPr>
        <w:spacing w:after="0"/>
      </w:pPr>
      <w:r>
        <w:t>La garantía de mantenimiento de oferta ascenderá a la suma de USD 500.000 (quinientos mil dólares estadounidenses), en caso de constituirse mediante aval bancario o póliza de fianza, deberán entregarse dos documentos, uno por USD 450.000 (cuatrocientos cincuenta mil dólares estadounidenses) y el otro por USD 50.000 (cincuenta mil dólares estadounidenses).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Debe decir:</w:t>
      </w:r>
    </w:p>
    <w:p w:rsidR="00CC2E46" w:rsidRDefault="00CC2E46" w:rsidP="00CC2E46">
      <w:r>
        <w:t>La garantía de mantenimiento de oferta ascenderá a la suma de USD 500.000 (quinientos mil dólares estadounidenses). En caso de constituirse mediante aval bancario o póliza de fianza, deberán entregarse al menos dos documentos y debe haber un subconjunto que sume USD 450.000 (cuatrocientos cincuenta mil dólares estadounidenses) y otro subconjunto que sume USD 50.000 (cincuenta mil dólares estadounidenses).</w:t>
      </w:r>
    </w:p>
    <w:p w:rsidR="00CC2E46" w:rsidRDefault="00CC2E46" w:rsidP="00CC2E46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lastRenderedPageBreak/>
        <w:t xml:space="preserve">Puntualización </w:t>
      </w:r>
      <w:r>
        <w:rPr>
          <w:b/>
          <w:caps/>
          <w:sz w:val="28"/>
          <w:szCs w:val="28"/>
          <w:u w:val="single"/>
        </w:rPr>
        <w:t>2</w:t>
      </w:r>
      <w:r w:rsidRPr="00D3162C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–</w:t>
      </w:r>
      <w:r w:rsidRPr="00D3162C">
        <w:rPr>
          <w:b/>
          <w:caps/>
          <w:sz w:val="28"/>
          <w:szCs w:val="28"/>
          <w:u w:val="single"/>
        </w:rPr>
        <w:t xml:space="preserve"> </w:t>
      </w:r>
    </w:p>
    <w:p w:rsidR="00CC2E46" w:rsidRPr="00CC2E46" w:rsidRDefault="00CC2E46" w:rsidP="00CC2E46">
      <w:pPr>
        <w:pStyle w:val="LITERALES"/>
        <w:keepNext/>
        <w:spacing w:before="240"/>
        <w:rPr>
          <w:b/>
        </w:rPr>
      </w:pPr>
      <w:r w:rsidRPr="00CC2E46">
        <w:rPr>
          <w:b/>
        </w:rPr>
        <w:t>En la Cláusula 17.1 S</w:t>
      </w:r>
      <w:r w:rsidRPr="00CC2E46">
        <w:rPr>
          <w:b/>
          <w:sz w:val="18"/>
          <w:szCs w:val="18"/>
        </w:rPr>
        <w:t xml:space="preserve">OBRE </w:t>
      </w:r>
      <w:r w:rsidRPr="00CC2E46">
        <w:rPr>
          <w:b/>
        </w:rPr>
        <w:t>N° 1: “A</w:t>
      </w:r>
      <w:r w:rsidRPr="00CC2E46">
        <w:rPr>
          <w:b/>
          <w:sz w:val="18"/>
          <w:szCs w:val="18"/>
        </w:rPr>
        <w:t>NTECEDENTES DEL OFERENTE Y OFERTA TÉCNICA</w:t>
      </w:r>
      <w:r w:rsidRPr="00CC2E46">
        <w:rPr>
          <w:b/>
        </w:rPr>
        <w:t>” del Pliego de Condiciones Administrativas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Donde dice:</w:t>
      </w:r>
    </w:p>
    <w:p w:rsidR="00CC2E46" w:rsidRDefault="00CC2E46" w:rsidP="00CC2E46">
      <w:pPr>
        <w:spacing w:after="0"/>
      </w:pPr>
      <w:r>
        <w:t>El</w:t>
      </w:r>
      <w:r w:rsidRPr="009907C7">
        <w:t xml:space="preserve"> Sobre</w:t>
      </w:r>
      <w:r>
        <w:t xml:space="preserve"> N° 1 contendrá la documentación que se detalla a continuación, la cual será presentada en cuatro carpetas o documentos:</w:t>
      </w:r>
    </w:p>
    <w:p w:rsid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Debe decir:</w:t>
      </w:r>
    </w:p>
    <w:p w:rsidR="00CC2E46" w:rsidRPr="008D1ACF" w:rsidRDefault="00CC2E46" w:rsidP="00CC2E46">
      <w:pPr>
        <w:spacing w:after="0"/>
      </w:pPr>
      <w:r>
        <w:t xml:space="preserve">El </w:t>
      </w:r>
      <w:r w:rsidRPr="009907C7">
        <w:t>Sobre</w:t>
      </w:r>
      <w:r>
        <w:t xml:space="preserve"> N° 1 contendrá la documentación que se detalla a continuación, la cual debe ser presentada en cuatro carpetas distintas, debidamente identificadas:</w:t>
      </w:r>
    </w:p>
    <w:p w:rsidR="009907C7" w:rsidRDefault="009907C7" w:rsidP="009907C7">
      <w:pPr>
        <w:spacing w:after="0"/>
        <w:jc w:val="both"/>
        <w:rPr>
          <w:b/>
          <w:caps/>
          <w:sz w:val="28"/>
          <w:szCs w:val="28"/>
          <w:u w:val="single"/>
        </w:rPr>
      </w:pPr>
    </w:p>
    <w:p w:rsidR="00CC2E46" w:rsidRDefault="00CC2E46" w:rsidP="00CC2E46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t xml:space="preserve">Puntualización </w:t>
      </w:r>
      <w:r>
        <w:rPr>
          <w:b/>
          <w:caps/>
          <w:sz w:val="28"/>
          <w:szCs w:val="28"/>
          <w:u w:val="single"/>
        </w:rPr>
        <w:t>3</w:t>
      </w:r>
      <w:r w:rsidRPr="00D3162C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–</w:t>
      </w:r>
      <w:r w:rsidRPr="00D3162C">
        <w:rPr>
          <w:b/>
          <w:caps/>
          <w:sz w:val="28"/>
          <w:szCs w:val="28"/>
          <w:u w:val="single"/>
        </w:rPr>
        <w:t xml:space="preserve"> </w:t>
      </w:r>
    </w:p>
    <w:p w:rsidR="00CC2E46" w:rsidRPr="00CC2E46" w:rsidRDefault="00CC2E46" w:rsidP="00CC2E46">
      <w:pPr>
        <w:keepNext/>
        <w:rPr>
          <w:b/>
        </w:rPr>
      </w:pPr>
      <w:r w:rsidRPr="00CC2E46">
        <w:rPr>
          <w:b/>
        </w:rPr>
        <w:t>En la Cláusula 17.1.2. Documento 2: “Antecedentes financieros”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Donde dice:</w:t>
      </w:r>
    </w:p>
    <w:p w:rsidR="00CC2E46" w:rsidRDefault="00CC2E46" w:rsidP="00CC2E46">
      <w:pPr>
        <w:shd w:val="clear" w:color="auto" w:fill="FFFFFF"/>
        <w:rPr>
          <w:color w:val="000000"/>
        </w:rPr>
      </w:pPr>
      <w:r>
        <w:t>“</w:t>
      </w:r>
      <w:r w:rsidRPr="008D1ACF">
        <w:t>Deberá presentarse el resumen indicado en el formato del Anexo 6 de este PCA. La suma de los ingresos operativos anuales que surjan de los estados contables presentados, por tres o menos periodos</w:t>
      </w:r>
      <w:r w:rsidRPr="009F074F">
        <w:t xml:space="preserve">, deberá ser mayor o igual </w:t>
      </w:r>
      <w:r w:rsidRPr="00F30F82">
        <w:t xml:space="preserve">a </w:t>
      </w:r>
      <w:r w:rsidRPr="0007656F">
        <w:t xml:space="preserve">$ 2.300.000.000 (dos mil trescientos millones de pesos uruguayos).  </w:t>
      </w:r>
      <w:r w:rsidRPr="00F30F82">
        <w:t xml:space="preserve">Adicionalmente, al menos 60% del oferente deberá estar formado por integrantes que acrediten, para la suma de los periodos que presentan, sean tres o menos, ingresos operativos mayores o iguales al producto de </w:t>
      </w:r>
      <w:r w:rsidRPr="0007656F">
        <w:t>$2.300.000.000</w:t>
      </w:r>
      <w:r>
        <w:t xml:space="preserve"> por el porcentaje en el que integren el oferente según lo informado en la carta compromiso (cláusula 17.1.1.B.)</w:t>
      </w:r>
      <w:r>
        <w:rPr>
          <w:color w:val="000000"/>
        </w:rPr>
        <w:t>.</w:t>
      </w:r>
    </w:p>
    <w:p w:rsidR="00CC2E46" w:rsidRPr="00C82D9B" w:rsidRDefault="00CC2E46" w:rsidP="00CC2E46">
      <w:r w:rsidRPr="008D1ACF">
        <w:t>A estos fines, se hará la suma de pesos corrientes, sin actualización de ningún tipo. En caso de ser necesario, s</w:t>
      </w:r>
      <w:r w:rsidRPr="00AB065E">
        <w:t>e aplicará como criterio de conversión de moneda extranjera a pesos uruguayos, el promedio de la cotización diaria del dólar estadounidense interbancario durante el ejercicio</w:t>
      </w:r>
      <w:r w:rsidRPr="008D1ACF">
        <w:t xml:space="preserve">. </w:t>
      </w:r>
      <w:r w:rsidRPr="00AB065E">
        <w:t>En caso de que sea requerida, la equivalencia entre monedas deberá ser realizada por una persona o empresa habilitada como auditor externo en el BCU, que debe firmar el resumen. En el siguiente link se puede acceder al listado de auditores externos habilitados:</w:t>
      </w:r>
    </w:p>
    <w:p w:rsidR="00CC2E46" w:rsidRDefault="00CC2E46" w:rsidP="00CC2E46">
      <w:pPr>
        <w:rPr>
          <w:rFonts w:ascii="Arial" w:hAnsi="Arial" w:cs="Arial"/>
          <w:sz w:val="20"/>
          <w:szCs w:val="20"/>
        </w:rPr>
      </w:pPr>
      <w:r w:rsidRPr="008D1AC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42560">
          <w:rPr>
            <w:rStyle w:val="Hipervnculo"/>
            <w:rFonts w:ascii="Arial" w:hAnsi="Arial" w:cs="Arial"/>
            <w:sz w:val="20"/>
            <w:szCs w:val="20"/>
          </w:rPr>
          <w:t>http://www.bcu.gub.uy/Servicios-Financieros-SSF/Paginas/buscador_Registros.aspx</w:t>
        </w:r>
      </w:hyperlink>
      <w:r>
        <w:rPr>
          <w:rFonts w:ascii="Arial" w:hAnsi="Arial" w:cs="Arial"/>
          <w:sz w:val="20"/>
          <w:szCs w:val="20"/>
        </w:rPr>
        <w:t>”</w:t>
      </w:r>
    </w:p>
    <w:p w:rsidR="009907C7" w:rsidRDefault="009907C7" w:rsidP="00CC2E46">
      <w:pPr>
        <w:spacing w:after="0"/>
        <w:rPr>
          <w:b/>
          <w:u w:val="single"/>
        </w:rPr>
      </w:pP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lastRenderedPageBreak/>
        <w:t>Debe decir:</w:t>
      </w:r>
    </w:p>
    <w:p w:rsidR="00CC2E46" w:rsidRDefault="00CC2E46" w:rsidP="00CC2E46">
      <w:pPr>
        <w:shd w:val="clear" w:color="auto" w:fill="FFFFFF"/>
        <w:rPr>
          <w:color w:val="000000"/>
        </w:rPr>
      </w:pPr>
      <w:r>
        <w:rPr>
          <w:rFonts w:ascii="Arial" w:hAnsi="Arial" w:cs="Arial"/>
          <w:sz w:val="20"/>
          <w:szCs w:val="20"/>
        </w:rPr>
        <w:t>“</w:t>
      </w:r>
      <w:r w:rsidRPr="008D1ACF">
        <w:t>Deberá presentarse el resumen indicado en el formato del Anexo 6 de este PCA. La suma de los ingresos operativos anuales que surjan de los estados contables presentados, por tres o menos periodos</w:t>
      </w:r>
      <w:r w:rsidRPr="009F074F">
        <w:t xml:space="preserve">, deberá ser mayor o igual </w:t>
      </w:r>
      <w:r w:rsidRPr="00F30F82">
        <w:t xml:space="preserve">a </w:t>
      </w:r>
      <w:r w:rsidRPr="0007656F">
        <w:t xml:space="preserve">$ 2.300.000.000 (dos mil trescientos millones de pesos uruguayos).  </w:t>
      </w:r>
      <w:r w:rsidRPr="00F30F82">
        <w:t xml:space="preserve">Adicionalmente, al menos 60% del oferente deberá estar formado por integrantes que acrediten, para la suma de los periodos que presentan, sean tres o menos, ingresos operativos mayores o iguales al producto de </w:t>
      </w:r>
      <w:r w:rsidRPr="0007656F">
        <w:t>$2.300.000.000</w:t>
      </w:r>
      <w:r>
        <w:t xml:space="preserve"> por la proporción que integren en el oferente según lo informado en la carta compromiso (cláusula 17.1.1.B.)</w:t>
      </w:r>
      <w:r>
        <w:rPr>
          <w:color w:val="000000"/>
        </w:rPr>
        <w:t>. Es decir, si Oi es la suma de los ingresos operativos acreditados por el integrante i en millones de pesos uruguayos y Pi es la proporción en el oferente del integrante i expresado como un número en el intervalo (0, 1], la suma de Oi para todos los integrantes del oferente debe ser mayor o igual a 2.3000 y, adicionalmente, debe haber un subconjunto de integrantes para los cuales Oi ≥ 2.300*Pi y ∑Pi ≥ 0,60.</w:t>
      </w:r>
      <w:r w:rsidRPr="008908F8">
        <w:t xml:space="preserve"> </w:t>
      </w:r>
      <w:r w:rsidRPr="008D1ACF">
        <w:t>A estos fines, se hará la suma de pesos corrientes, sin actualización de ningún tipo.</w:t>
      </w:r>
    </w:p>
    <w:p w:rsidR="00CC2E46" w:rsidRDefault="00CC2E46" w:rsidP="00CC2E46">
      <w:pPr>
        <w:rPr>
          <w:rFonts w:ascii="Arial" w:hAnsi="Arial" w:cs="Arial"/>
          <w:sz w:val="20"/>
          <w:szCs w:val="20"/>
        </w:rPr>
      </w:pPr>
      <w:r>
        <w:t>Si los estados contables están expresados en moneda distinta al peso uruguayo, deberá usarse el tipo de cambio publicado por el Banco Central del Uruguay (</w:t>
      </w:r>
      <w:hyperlink r:id="rId9" w:history="1">
        <w:r w:rsidRPr="00541D3C">
          <w:rPr>
            <w:rStyle w:val="Hipervnculo"/>
          </w:rPr>
          <w:t>http://www.bcu.gub.uy/Estadisticas-e-Indicadores/Paginas/Cotizaciones.aspx</w:t>
        </w:r>
      </w:hyperlink>
      <w:r>
        <w:t>) de la fecha de los estados contables al completar el formato del Anexo 6</w:t>
      </w:r>
      <w:r w:rsidRPr="008D1ACF">
        <w:t>.</w:t>
      </w:r>
      <w:r>
        <w:rPr>
          <w:rFonts w:ascii="Arial" w:hAnsi="Arial" w:cs="Arial"/>
          <w:sz w:val="20"/>
          <w:szCs w:val="20"/>
        </w:rPr>
        <w:t>”</w:t>
      </w:r>
    </w:p>
    <w:p w:rsidR="00CC2E46" w:rsidRDefault="00CC2E46" w:rsidP="00CC2E46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t xml:space="preserve">Puntualización </w:t>
      </w:r>
      <w:r>
        <w:rPr>
          <w:b/>
          <w:caps/>
          <w:sz w:val="28"/>
          <w:szCs w:val="28"/>
          <w:u w:val="single"/>
        </w:rPr>
        <w:t>4</w:t>
      </w:r>
      <w:r w:rsidRPr="00D3162C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–</w:t>
      </w:r>
      <w:r w:rsidRPr="00D3162C">
        <w:rPr>
          <w:b/>
          <w:caps/>
          <w:sz w:val="28"/>
          <w:szCs w:val="28"/>
          <w:u w:val="single"/>
        </w:rPr>
        <w:t xml:space="preserve"> </w:t>
      </w:r>
    </w:p>
    <w:p w:rsidR="00CC2E46" w:rsidRPr="00CC2E46" w:rsidRDefault="00CC2E46" w:rsidP="00CC2E46">
      <w:pPr>
        <w:keepNext/>
        <w:rPr>
          <w:rFonts w:ascii="Arial" w:hAnsi="Arial" w:cs="Arial"/>
          <w:b/>
          <w:sz w:val="20"/>
          <w:szCs w:val="20"/>
        </w:rPr>
      </w:pPr>
      <w:r w:rsidRPr="00CC2E46">
        <w:rPr>
          <w:rFonts w:ascii="Arial" w:hAnsi="Arial" w:cs="Arial"/>
          <w:b/>
          <w:sz w:val="20"/>
          <w:szCs w:val="20"/>
        </w:rPr>
        <w:t>En la Cláusula 17.1.2. Documento 3: “Experiencia del Oferente”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Donde dice:</w:t>
      </w:r>
    </w:p>
    <w:p w:rsidR="00CC2E46" w:rsidRDefault="00CC2E46" w:rsidP="00CC2E46">
      <w:r>
        <w:t>El oferente deberá acreditar documentalmente (contrato, acta de recepción, final de obra, permiso de construcción, entre otros) experiencia en construcción o en la contratación de construcción de al menos 68.000 m</w:t>
      </w:r>
      <w:r w:rsidRPr="00184E39">
        <w:rPr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t>cubiertos, en una o en más de una obra, en un mismo periodo de 36 meses consecutivos dentro de los últimos 10 años. La experiencia en construcción o contratación de la construcción será resumida en el formato establecido en el Anexo 7, donde constará la superficie construida, el periodo de construcción y el estado de la obra.</w:t>
      </w:r>
    </w:p>
    <w:p w:rsidR="00CC2E46" w:rsidRPr="00CC2E46" w:rsidRDefault="00CC2E46" w:rsidP="00CC2E46">
      <w:pPr>
        <w:spacing w:after="0"/>
        <w:rPr>
          <w:b/>
          <w:u w:val="single"/>
        </w:rPr>
      </w:pPr>
      <w:r w:rsidRPr="00CC2E46">
        <w:rPr>
          <w:b/>
          <w:u w:val="single"/>
        </w:rPr>
        <w:t>Debe decir:</w:t>
      </w:r>
    </w:p>
    <w:p w:rsidR="00CC2E46" w:rsidRPr="008D1ACF" w:rsidRDefault="00CC2E46" w:rsidP="00CC2E46">
      <w:pPr>
        <w:rPr>
          <w:rFonts w:ascii="Arial" w:hAnsi="Arial" w:cs="Arial"/>
          <w:sz w:val="20"/>
          <w:szCs w:val="20"/>
        </w:rPr>
      </w:pPr>
      <w:r>
        <w:t>El oferente deberá acreditar documentalmente (contrato, acta de recepción, final de obra, permiso de construcción, entre otros) experiencia en construcción o en la contratación de construcción de al menos 68.000 m</w:t>
      </w:r>
      <w:r w:rsidRPr="00184E39">
        <w:rPr>
          <w:vertAlign w:val="superscript"/>
        </w:rPr>
        <w:t>2</w:t>
      </w:r>
      <w:r w:rsidRPr="00184E39">
        <w:t xml:space="preserve"> </w:t>
      </w:r>
      <w:r>
        <w:t>cubiertos, en una o en más de una obra, en un mismo periodo de 36 meses consecutivos dentro de los últimos 10 años. La experiencia en construcción o contratación de la construcción será resumida en el formato establecido en el Anexo 7, donde constará la superficie construida, el periodo de construcción y la proporción que corresponde al periodo de 36 meses consecutivos. A estos fines, la suma de las cifras de la columna (d) deberá ser mayor o igual a 68.000 m</w:t>
      </w:r>
      <w:r w:rsidRPr="00365723">
        <w:rPr>
          <w:vertAlign w:val="superscript"/>
        </w:rPr>
        <w:t>2</w:t>
      </w:r>
      <w:r>
        <w:t>.</w:t>
      </w:r>
    </w:p>
    <w:p w:rsidR="00CC2E46" w:rsidRDefault="00CC2E46" w:rsidP="00CC2E46">
      <w:pPr>
        <w:jc w:val="both"/>
        <w:rPr>
          <w:b/>
          <w:caps/>
          <w:sz w:val="28"/>
          <w:szCs w:val="28"/>
          <w:u w:val="single"/>
        </w:rPr>
      </w:pPr>
      <w:r w:rsidRPr="00D3162C">
        <w:rPr>
          <w:b/>
          <w:caps/>
          <w:sz w:val="28"/>
          <w:szCs w:val="28"/>
          <w:u w:val="single"/>
        </w:rPr>
        <w:lastRenderedPageBreak/>
        <w:t xml:space="preserve">Puntualización </w:t>
      </w:r>
      <w:r>
        <w:rPr>
          <w:b/>
          <w:caps/>
          <w:sz w:val="28"/>
          <w:szCs w:val="28"/>
          <w:u w:val="single"/>
        </w:rPr>
        <w:t>5</w:t>
      </w:r>
      <w:r w:rsidRPr="00D3162C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–</w:t>
      </w:r>
    </w:p>
    <w:p w:rsidR="00CC2E46" w:rsidRDefault="00CC2E46" w:rsidP="00CC2E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sustituye el Anexo 7 del PCA por lo siguiente:</w:t>
      </w:r>
    </w:p>
    <w:p w:rsidR="00CC2E46" w:rsidRPr="008E56D6" w:rsidRDefault="00CC2E46" w:rsidP="00CC2E46">
      <w:pPr>
        <w:pStyle w:val="TITULO4"/>
      </w:pPr>
      <w:r w:rsidRPr="008E56D6">
        <w:t>ANEXO 7</w:t>
      </w:r>
    </w:p>
    <w:p w:rsidR="00CC2E46" w:rsidRDefault="00CC2E46" w:rsidP="00CC2E46">
      <w:pPr>
        <w:jc w:val="center"/>
        <w:rPr>
          <w:b/>
          <w:sz w:val="28"/>
        </w:rPr>
      </w:pPr>
      <w:r w:rsidRPr="008E56D6">
        <w:rPr>
          <w:b/>
          <w:sz w:val="28"/>
        </w:rPr>
        <w:t>EXPERIENCIA DEL OFERENTE</w:t>
      </w:r>
    </w:p>
    <w:p w:rsidR="00CC2E46" w:rsidRPr="00EF4A94" w:rsidRDefault="00CC2E46" w:rsidP="00CC2E46">
      <w:pPr>
        <w:rPr>
          <w:b/>
        </w:rPr>
      </w:pPr>
      <w:r w:rsidRPr="00EF4A94">
        <w:rPr>
          <w:b/>
        </w:rPr>
        <w:t>Integrante que acredita experiencia</w:t>
      </w:r>
      <w:r>
        <w:rPr>
          <w:b/>
        </w:rPr>
        <w:t xml:space="preserve">________________________; </w:t>
      </w:r>
      <w:r>
        <w:rPr>
          <w:b/>
        </w:rPr>
        <w:tab/>
      </w:r>
      <w:r>
        <w:rPr>
          <w:b/>
        </w:rPr>
        <w:tab/>
        <w:t>Periodo de 36 meses consecutivos__________________</w:t>
      </w:r>
    </w:p>
    <w:tbl>
      <w:tblPr>
        <w:tblW w:w="4998" w:type="pct"/>
        <w:tblInd w:w="5" w:type="dxa"/>
        <w:tblCellMar>
          <w:left w:w="70" w:type="dxa"/>
          <w:right w:w="70" w:type="dxa"/>
        </w:tblCellMar>
        <w:tblLook w:val="04A0"/>
      </w:tblPr>
      <w:tblGrid>
        <w:gridCol w:w="1185"/>
        <w:gridCol w:w="1448"/>
        <w:gridCol w:w="1354"/>
        <w:gridCol w:w="978"/>
        <w:gridCol w:w="1349"/>
        <w:gridCol w:w="1222"/>
        <w:gridCol w:w="1496"/>
        <w:gridCol w:w="1566"/>
        <w:gridCol w:w="3540"/>
      </w:tblGrid>
      <w:tr w:rsidR="00CC2E46" w:rsidRPr="008E56D6" w:rsidTr="00CC2E46">
        <w:trPr>
          <w:trHeight w:val="316"/>
        </w:trPr>
        <w:tc>
          <w:tcPr>
            <w:tcW w:w="4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Tipo de experiencia (*)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Contraparte</w:t>
            </w:r>
          </w:p>
        </w:tc>
        <w:tc>
          <w:tcPr>
            <w:tcW w:w="173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Datos del contrato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Meses que coinciden con el periodo (c)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Proporción M</w:t>
            </w:r>
            <w:r w:rsidRPr="00B35899">
              <w:rPr>
                <w:rFonts w:cs="Times New Roman"/>
                <w:color w:val="000000"/>
                <w:vertAlign w:val="superscript"/>
                <w:lang w:eastAsia="es-ES"/>
              </w:rPr>
              <w:t>2</w:t>
            </w:r>
            <w:r>
              <w:rPr>
                <w:rFonts w:cs="Times New Roman"/>
                <w:color w:val="000000"/>
                <w:lang w:eastAsia="es-ES"/>
              </w:rPr>
              <w:t xml:space="preserve"> en el periodo (d)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Referencia a los documentos probatorios</w:t>
            </w:r>
          </w:p>
        </w:tc>
      </w:tr>
      <w:tr w:rsidR="00CC2E46" w:rsidRPr="008E56D6" w:rsidTr="00CC2E46">
        <w:trPr>
          <w:trHeight w:val="648"/>
        </w:trPr>
        <w:tc>
          <w:tcPr>
            <w:tcW w:w="4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M</w:t>
            </w:r>
            <w:r w:rsidRPr="008E56D6">
              <w:rPr>
                <w:rFonts w:cs="Times New Roman"/>
                <w:color w:val="000000"/>
                <w:vertAlign w:val="superscript"/>
                <w:lang w:eastAsia="es-ES"/>
              </w:rPr>
              <w:t>2</w:t>
            </w:r>
            <w:r w:rsidRPr="008E56D6">
              <w:rPr>
                <w:rFonts w:cs="Times New Roman"/>
                <w:color w:val="000000"/>
                <w:lang w:eastAsia="es-ES"/>
              </w:rPr>
              <w:t xml:space="preserve"> </w:t>
            </w:r>
            <w:r>
              <w:rPr>
                <w:rFonts w:cs="Times New Roman"/>
                <w:color w:val="000000"/>
                <w:lang w:eastAsia="es-ES"/>
              </w:rPr>
              <w:t>cubiertos (a)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 xml:space="preserve">Inicio </w:t>
            </w:r>
            <w:r w:rsidRPr="008E56D6">
              <w:rPr>
                <w:rFonts w:cs="Times New Roman"/>
                <w:color w:val="000000"/>
                <w:lang w:eastAsia="es-ES"/>
              </w:rPr>
              <w:br/>
              <w:t>Mes/Año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 xml:space="preserve">Final </w:t>
            </w:r>
            <w:r w:rsidRPr="008E56D6">
              <w:rPr>
                <w:rFonts w:cs="Times New Roman"/>
                <w:color w:val="000000"/>
                <w:lang w:eastAsia="es-ES"/>
              </w:rPr>
              <w:br/>
              <w:t>Mes/Año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Número de meses (b)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CC2E46" w:rsidRPr="008E56D6" w:rsidTr="00CC2E46">
        <w:trPr>
          <w:trHeight w:val="31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CC2E46" w:rsidRPr="008E56D6" w:rsidTr="00CC2E46">
        <w:trPr>
          <w:trHeight w:val="31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CC2E46" w:rsidRPr="008E56D6" w:rsidTr="00CC2E46">
        <w:trPr>
          <w:trHeight w:val="31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CC2E46" w:rsidRPr="008E56D6" w:rsidTr="00CC2E46">
        <w:trPr>
          <w:trHeight w:val="31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CC2E46" w:rsidRPr="008E56D6" w:rsidTr="00CC2E46">
        <w:trPr>
          <w:trHeight w:val="31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CC2E46" w:rsidRPr="008E56D6" w:rsidTr="00CC2E46">
        <w:trPr>
          <w:trHeight w:val="31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46" w:rsidRPr="008E56D6" w:rsidRDefault="00CC2E46" w:rsidP="00CC2E46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8E56D6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</w:tbl>
    <w:p w:rsidR="00CC2E46" w:rsidRDefault="00CC2E46" w:rsidP="00CC2E46">
      <w:pPr>
        <w:spacing w:after="0"/>
      </w:pPr>
      <w:r w:rsidRPr="008E56D6">
        <w:t>(*) Indicar si la experiencia es como constructor o como parte contratante de una construcción.</w:t>
      </w:r>
    </w:p>
    <w:p w:rsidR="00CC2E46" w:rsidRDefault="00CC2E46" w:rsidP="00CC2E46">
      <w:pPr>
        <w:spacing w:after="0"/>
      </w:pPr>
      <w:r>
        <w:t>(b) Es el plazo total del contrato: el número de meses entre el inicio y el final.</w:t>
      </w:r>
    </w:p>
    <w:p w:rsidR="00CC2E46" w:rsidRDefault="00CC2E46" w:rsidP="00CC2E46">
      <w:pPr>
        <w:spacing w:after="0"/>
      </w:pPr>
      <w:r>
        <w:t>(c) Es el número de meses de la vigencia del contrato que coinciden con el periodo de 36 meses indicado por el integrante.</w:t>
      </w:r>
    </w:p>
    <w:p w:rsidR="00CC2E46" w:rsidRDefault="00CC2E46" w:rsidP="00CC2E46">
      <w:pPr>
        <w:spacing w:after="0"/>
      </w:pPr>
      <w:r>
        <w:t>(d) Es el dato de la columna (a), multiplicado por el dato de la columna (c), dividido por el dato de la columna (b).</w:t>
      </w:r>
    </w:p>
    <w:p w:rsidR="00CC2E46" w:rsidRDefault="00CC2E46" w:rsidP="00CC2E46"/>
    <w:p w:rsidR="00CC2E46" w:rsidRDefault="00CC2E46" w:rsidP="00CC2E46">
      <w:r>
        <w:t>Entregar un cuadro por cada integrante que acredita experiencia. Distintos integrantes pueden indicar distinto periodo de 36 meses consecutivos.</w:t>
      </w:r>
    </w:p>
    <w:p w:rsidR="00CC2E46" w:rsidRDefault="00CC2E46" w:rsidP="00CC2E46"/>
    <w:sectPr w:rsidR="00CC2E46" w:rsidSect="009907C7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63D763" w15:done="0"/>
  <w15:commentEx w15:paraId="7F4AC9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46" w:rsidRDefault="00CC2E46" w:rsidP="008A5A54">
      <w:pPr>
        <w:spacing w:after="0" w:line="240" w:lineRule="auto"/>
      </w:pPr>
      <w:r>
        <w:separator/>
      </w:r>
    </w:p>
  </w:endnote>
  <w:endnote w:type="continuationSeparator" w:id="1">
    <w:p w:rsidR="00CC2E46" w:rsidRDefault="00CC2E46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46" w:rsidRDefault="00CC2E46" w:rsidP="008A5A54">
      <w:pPr>
        <w:spacing w:after="0" w:line="240" w:lineRule="auto"/>
      </w:pPr>
      <w:r>
        <w:separator/>
      </w:r>
    </w:p>
  </w:footnote>
  <w:footnote w:type="continuationSeparator" w:id="1">
    <w:p w:rsidR="00CC2E46" w:rsidRDefault="00CC2E46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46" w:rsidRPr="008A5A54" w:rsidRDefault="00CC2E46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BCE"/>
    <w:multiLevelType w:val="hybridMultilevel"/>
    <w:tmpl w:val="FEBE6F6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3498B"/>
    <w:multiLevelType w:val="hybridMultilevel"/>
    <w:tmpl w:val="7B4442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2845"/>
    <w:multiLevelType w:val="hybridMultilevel"/>
    <w:tmpl w:val="3692F9B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drigo Velasco">
    <w15:presenceInfo w15:providerId="AD" w15:userId="S-1-5-21-942442728-579424601-3959550305-1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5A54"/>
    <w:rsid w:val="0000138B"/>
    <w:rsid w:val="00001BE9"/>
    <w:rsid w:val="0000211D"/>
    <w:rsid w:val="00034A7F"/>
    <w:rsid w:val="00081B4D"/>
    <w:rsid w:val="000C4C7A"/>
    <w:rsid w:val="000D4456"/>
    <w:rsid w:val="001274F9"/>
    <w:rsid w:val="0018782C"/>
    <w:rsid w:val="001D390E"/>
    <w:rsid w:val="001D3A18"/>
    <w:rsid w:val="00212840"/>
    <w:rsid w:val="00215E1E"/>
    <w:rsid w:val="00246189"/>
    <w:rsid w:val="00261BB8"/>
    <w:rsid w:val="002750E0"/>
    <w:rsid w:val="00285DFB"/>
    <w:rsid w:val="002C7E8D"/>
    <w:rsid w:val="002F3FF5"/>
    <w:rsid w:val="00396F63"/>
    <w:rsid w:val="003D26B4"/>
    <w:rsid w:val="00406003"/>
    <w:rsid w:val="00434F17"/>
    <w:rsid w:val="00437FD8"/>
    <w:rsid w:val="00457A0C"/>
    <w:rsid w:val="004655BF"/>
    <w:rsid w:val="00481969"/>
    <w:rsid w:val="004D7F3D"/>
    <w:rsid w:val="0060590B"/>
    <w:rsid w:val="0062168C"/>
    <w:rsid w:val="00623EBE"/>
    <w:rsid w:val="00652A51"/>
    <w:rsid w:val="00654D62"/>
    <w:rsid w:val="006603E7"/>
    <w:rsid w:val="006A77A6"/>
    <w:rsid w:val="006C0C6E"/>
    <w:rsid w:val="0071175B"/>
    <w:rsid w:val="00766B5A"/>
    <w:rsid w:val="00775B81"/>
    <w:rsid w:val="007A2FA1"/>
    <w:rsid w:val="007E674B"/>
    <w:rsid w:val="00803B32"/>
    <w:rsid w:val="00805BD5"/>
    <w:rsid w:val="00805E57"/>
    <w:rsid w:val="00820D12"/>
    <w:rsid w:val="008871AC"/>
    <w:rsid w:val="008A5089"/>
    <w:rsid w:val="008A5A54"/>
    <w:rsid w:val="008A7FE3"/>
    <w:rsid w:val="008D00CD"/>
    <w:rsid w:val="008E44B9"/>
    <w:rsid w:val="008E5754"/>
    <w:rsid w:val="008F3504"/>
    <w:rsid w:val="008F59CD"/>
    <w:rsid w:val="00902449"/>
    <w:rsid w:val="00936FB2"/>
    <w:rsid w:val="009643FD"/>
    <w:rsid w:val="009827B8"/>
    <w:rsid w:val="009907C7"/>
    <w:rsid w:val="009B3DC5"/>
    <w:rsid w:val="009B4469"/>
    <w:rsid w:val="009E2E1E"/>
    <w:rsid w:val="009F66DB"/>
    <w:rsid w:val="00A519DE"/>
    <w:rsid w:val="00A53D9A"/>
    <w:rsid w:val="00A60ED6"/>
    <w:rsid w:val="00AF637F"/>
    <w:rsid w:val="00B512A5"/>
    <w:rsid w:val="00B536E0"/>
    <w:rsid w:val="00B84669"/>
    <w:rsid w:val="00B85EC5"/>
    <w:rsid w:val="00BB10BC"/>
    <w:rsid w:val="00C43A5B"/>
    <w:rsid w:val="00C71E6E"/>
    <w:rsid w:val="00C762CD"/>
    <w:rsid w:val="00C81E74"/>
    <w:rsid w:val="00CA1B33"/>
    <w:rsid w:val="00CA73E7"/>
    <w:rsid w:val="00CC2E46"/>
    <w:rsid w:val="00CC47CD"/>
    <w:rsid w:val="00CD25D9"/>
    <w:rsid w:val="00D3162C"/>
    <w:rsid w:val="00DC4E60"/>
    <w:rsid w:val="00E35CD0"/>
    <w:rsid w:val="00EB278F"/>
    <w:rsid w:val="00EB5D0C"/>
    <w:rsid w:val="00ED30C2"/>
    <w:rsid w:val="00F31BCF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002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211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66B5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B5A"/>
    <w:rPr>
      <w:b/>
      <w:bCs/>
      <w:sz w:val="20"/>
      <w:szCs w:val="20"/>
    </w:rPr>
  </w:style>
  <w:style w:type="paragraph" w:customStyle="1" w:styleId="LITERALES">
    <w:name w:val="LITERALES"/>
    <w:basedOn w:val="Prrafodelista"/>
    <w:link w:val="LITERALESCar"/>
    <w:qFormat/>
    <w:rsid w:val="00CC2E46"/>
    <w:pPr>
      <w:spacing w:after="240"/>
      <w:ind w:left="0"/>
      <w:contextualSpacing w:val="0"/>
      <w:jc w:val="both"/>
    </w:pPr>
    <w:rPr>
      <w:rFonts w:ascii="Calibri" w:eastAsia="Times New Roman" w:hAnsi="Calibri" w:cs="Times New Roman"/>
      <w:lang w:val="es-UY"/>
    </w:rPr>
  </w:style>
  <w:style w:type="character" w:customStyle="1" w:styleId="LITERALESCar">
    <w:name w:val="LITERALES Car"/>
    <w:basedOn w:val="Fuentedeprrafopredeter"/>
    <w:link w:val="LITERALES"/>
    <w:rsid w:val="00CC2E46"/>
    <w:rPr>
      <w:rFonts w:ascii="Calibri" w:eastAsia="Times New Roman" w:hAnsi="Calibri" w:cs="Times New Roman"/>
      <w:lang w:val="es-UY"/>
    </w:rPr>
  </w:style>
  <w:style w:type="paragraph" w:customStyle="1" w:styleId="TITULO4">
    <w:name w:val="TITULO 4"/>
    <w:basedOn w:val="Normal"/>
    <w:link w:val="TITULO4Car"/>
    <w:rsid w:val="00CC2E46"/>
    <w:pPr>
      <w:spacing w:before="120" w:after="240"/>
      <w:jc w:val="center"/>
    </w:pPr>
    <w:rPr>
      <w:rFonts w:ascii="Calibri" w:eastAsia="Times New Roman" w:hAnsi="Calibri" w:cs="Calibri"/>
      <w:b/>
      <w:sz w:val="28"/>
      <w:u w:val="single"/>
      <w:lang w:val="es-UY"/>
    </w:rPr>
  </w:style>
  <w:style w:type="character" w:customStyle="1" w:styleId="TITULO4Car">
    <w:name w:val="TITULO 4 Car"/>
    <w:basedOn w:val="Fuentedeprrafopredeter"/>
    <w:link w:val="TITULO4"/>
    <w:rsid w:val="00CC2E46"/>
    <w:rPr>
      <w:rFonts w:ascii="Calibri" w:eastAsia="Times New Roman" w:hAnsi="Calibri" w:cs="Calibri"/>
      <w:b/>
      <w:sz w:val="28"/>
      <w:u w:val="single"/>
      <w:lang w:val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u.gub.uy/Servicios-Financieros-SSF/Paginas/buscador_Registros.asp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u.gub.uy/Estadisticas-e-Indicadores/Paginas/Cotizaciones.aspx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DC5C-F4B3-47C8-BAF5-941DC49C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sjuncal</cp:lastModifiedBy>
  <cp:revision>3</cp:revision>
  <cp:lastPrinted>2017-06-06T13:57:00Z</cp:lastPrinted>
  <dcterms:created xsi:type="dcterms:W3CDTF">2017-06-23T16:20:00Z</dcterms:created>
  <dcterms:modified xsi:type="dcterms:W3CDTF">2017-06-23T16:33:00Z</dcterms:modified>
</cp:coreProperties>
</file>