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BF" w:rsidRDefault="00484003" w:rsidP="00484003">
      <w:pPr>
        <w:jc w:val="right"/>
      </w:pPr>
      <w:r>
        <w:rPr>
          <w:noProof/>
          <w:lang w:val="es-UY" w:eastAsia="es-UY"/>
        </w:rPr>
        <w:drawing>
          <wp:inline distT="0" distB="0" distL="0" distR="0">
            <wp:extent cx="1010268" cy="7156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911" cy="738740"/>
                    </a:xfrm>
                    <a:prstGeom prst="rect">
                      <a:avLst/>
                    </a:prstGeom>
                  </pic:spPr>
                </pic:pic>
              </a:graphicData>
            </a:graphic>
          </wp:inline>
        </w:drawing>
      </w:r>
      <w:r w:rsidR="00C804BF">
        <w:rPr>
          <w:noProof/>
          <w:lang w:val="es-UY" w:eastAsia="es-UY"/>
        </w:rPr>
        <w:drawing>
          <wp:anchor distT="0" distB="0" distL="114300" distR="114300" simplePos="0" relativeHeight="251660288" behindDoc="1" locked="0" layoutInCell="1" allowOverlap="1">
            <wp:simplePos x="0" y="0"/>
            <wp:positionH relativeFrom="column">
              <wp:posOffset>-196050</wp:posOffset>
            </wp:positionH>
            <wp:positionV relativeFrom="paragraph">
              <wp:posOffset>-344916</wp:posOffset>
            </wp:positionV>
            <wp:extent cx="2743200" cy="685800"/>
            <wp:effectExtent l="0" t="0" r="0" b="0"/>
            <wp:wrapTight wrapText="bothSides">
              <wp:wrapPolygon edited="0">
                <wp:start x="0" y="0"/>
                <wp:lineTo x="0" y="21000"/>
                <wp:lineTo x="21450" y="21000"/>
                <wp:lineTo x="21450" y="0"/>
                <wp:lineTo x="0" y="0"/>
              </wp:wrapPolygon>
            </wp:wrapTight>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p w:rsidR="00985C81" w:rsidRDefault="00C804BF">
      <w:pPr>
        <w:rPr>
          <w:b/>
        </w:rPr>
      </w:pPr>
      <w:r w:rsidRPr="00C804BF">
        <w:rPr>
          <w:b/>
        </w:rPr>
        <w:t>Licitación Pública Internacional N° 47/2016</w:t>
      </w:r>
    </w:p>
    <w:p w:rsidR="00EA12C1" w:rsidRDefault="00EA12C1">
      <w:pPr>
        <w:rPr>
          <w:b/>
        </w:rPr>
      </w:pPr>
      <w:r>
        <w:rPr>
          <w:b/>
        </w:rPr>
        <w:t>“</w:t>
      </w:r>
      <w:r w:rsidRPr="00EA12C1">
        <w:rPr>
          <w:b/>
        </w:rPr>
        <w:t>Diseño, financiamiento, construcción y operación de 44 Jardines y 15 CAIF</w:t>
      </w:r>
      <w:r>
        <w:rPr>
          <w:b/>
        </w:rPr>
        <w:t>”</w:t>
      </w:r>
    </w:p>
    <w:p w:rsidR="00C804BF" w:rsidRPr="003019D6" w:rsidRDefault="00C804BF">
      <w:pPr>
        <w:rPr>
          <w:b/>
          <w:sz w:val="24"/>
        </w:rPr>
      </w:pPr>
      <w:r w:rsidRPr="003019D6">
        <w:rPr>
          <w:b/>
          <w:sz w:val="24"/>
        </w:rPr>
        <w:t>Administración Nacional de Educación Pública ANEP.-</w:t>
      </w:r>
    </w:p>
    <w:p w:rsidR="00C804BF" w:rsidRPr="003019D6" w:rsidRDefault="00C804BF">
      <w:pPr>
        <w:pBdr>
          <w:bottom w:val="single" w:sz="6" w:space="1" w:color="auto"/>
        </w:pBdr>
        <w:rPr>
          <w:b/>
          <w:sz w:val="24"/>
        </w:rPr>
      </w:pPr>
      <w:r w:rsidRPr="003019D6">
        <w:rPr>
          <w:b/>
          <w:sz w:val="24"/>
        </w:rPr>
        <w:t xml:space="preserve">Instituto del Niño </w:t>
      </w:r>
      <w:r w:rsidR="00D8280D" w:rsidRPr="003019D6">
        <w:rPr>
          <w:b/>
          <w:sz w:val="24"/>
        </w:rPr>
        <w:t>y</w:t>
      </w:r>
      <w:r w:rsidRPr="003019D6">
        <w:rPr>
          <w:b/>
          <w:sz w:val="24"/>
        </w:rPr>
        <w:t xml:space="preserve"> Adolescente del Uruguay INAU.-</w:t>
      </w:r>
    </w:p>
    <w:p w:rsidR="00985C81" w:rsidRPr="00C804BF" w:rsidRDefault="00985C81" w:rsidP="00985C81">
      <w:pPr>
        <w:pBdr>
          <w:bottom w:val="single" w:sz="6" w:space="1" w:color="auto"/>
        </w:pBdr>
        <w:jc w:val="right"/>
        <w:rPr>
          <w:b/>
        </w:rPr>
      </w:pPr>
      <w:r>
        <w:rPr>
          <w:b/>
        </w:rPr>
        <w:t xml:space="preserve">Comunicado N° </w:t>
      </w:r>
      <w:r w:rsidR="00726F69">
        <w:rPr>
          <w:b/>
        </w:rPr>
        <w:t>3</w:t>
      </w:r>
    </w:p>
    <w:p w:rsidR="00B74460" w:rsidRPr="009066ED" w:rsidRDefault="00B74460" w:rsidP="00B74460">
      <w:pPr>
        <w:rPr>
          <w:b/>
          <w:i/>
          <w:sz w:val="24"/>
        </w:rPr>
      </w:pPr>
      <w:r w:rsidRPr="009066ED">
        <w:rPr>
          <w:b/>
          <w:i/>
          <w:sz w:val="24"/>
        </w:rPr>
        <w:t>Al amparo de lo establecido en la Cláusula 12 del Pliego de Condiciones Administrativas que rige la presente licitación, se realizan las siguientes puntualizaciones:</w:t>
      </w:r>
    </w:p>
    <w:p w:rsidR="00B74460" w:rsidRDefault="00B74460" w:rsidP="00B74460">
      <w:pPr>
        <w:rPr>
          <w:b/>
          <w:sz w:val="32"/>
          <w:szCs w:val="32"/>
        </w:rPr>
      </w:pPr>
      <w:r w:rsidRPr="009066ED">
        <w:rPr>
          <w:b/>
          <w:sz w:val="32"/>
          <w:szCs w:val="32"/>
        </w:rPr>
        <w:t>Puntualización  1</w:t>
      </w:r>
    </w:p>
    <w:p w:rsidR="00B74460" w:rsidRDefault="00B74460" w:rsidP="00B74460">
      <w:pPr>
        <w:rPr>
          <w:sz w:val="24"/>
          <w:szCs w:val="24"/>
        </w:rPr>
      </w:pPr>
      <w:r>
        <w:rPr>
          <w:sz w:val="24"/>
          <w:szCs w:val="24"/>
        </w:rPr>
        <w:t xml:space="preserve">Se adjunta </w:t>
      </w:r>
      <w:r w:rsidRPr="00B74460">
        <w:rPr>
          <w:sz w:val="24"/>
          <w:szCs w:val="24"/>
        </w:rPr>
        <w:t>Anexo 9 - Inversión estimada (en  UI)</w:t>
      </w:r>
    </w:p>
    <w:p w:rsidR="00F26F2C" w:rsidRDefault="00F26F2C" w:rsidP="00B74460">
      <w:pPr>
        <w:rPr>
          <w:sz w:val="24"/>
          <w:szCs w:val="24"/>
        </w:rPr>
      </w:pPr>
      <w:r w:rsidRPr="00F26F2C">
        <w:rPr>
          <w:sz w:val="24"/>
          <w:szCs w:val="24"/>
        </w:rPr>
        <w:t>“El oferente es responsable de la correcta edición del Anexo 9 que se entrega como referencia.”</w:t>
      </w:r>
    </w:p>
    <w:p w:rsidR="007C743A" w:rsidRPr="009066ED" w:rsidRDefault="007C743A" w:rsidP="007D4CD4">
      <w:pPr>
        <w:rPr>
          <w:b/>
          <w:i/>
          <w:sz w:val="24"/>
        </w:rPr>
      </w:pPr>
      <w:r w:rsidRPr="009066ED">
        <w:rPr>
          <w:b/>
          <w:i/>
          <w:sz w:val="24"/>
        </w:rPr>
        <w:t>Al amparo de lo establecido en la Cláusula 12 del Pliego de Condiciones Administrativas que rige la presente licitación, se realizan las siguientes aclaraciones:</w:t>
      </w:r>
    </w:p>
    <w:p w:rsidR="00357ADF" w:rsidRPr="00321C1E" w:rsidRDefault="007D4CD4" w:rsidP="007D4CD4">
      <w:pPr>
        <w:rPr>
          <w:b/>
          <w:sz w:val="24"/>
          <w:szCs w:val="24"/>
        </w:rPr>
      </w:pPr>
      <w:r w:rsidRPr="009066ED">
        <w:rPr>
          <w:b/>
          <w:sz w:val="32"/>
          <w:szCs w:val="32"/>
        </w:rPr>
        <w:t xml:space="preserve">Aclaración  </w:t>
      </w:r>
      <w:r w:rsidRPr="00321C1E">
        <w:rPr>
          <w:b/>
          <w:sz w:val="32"/>
          <w:szCs w:val="32"/>
        </w:rPr>
        <w:t>1</w:t>
      </w:r>
      <w:r w:rsidR="00357ADF" w:rsidRPr="00321C1E">
        <w:rPr>
          <w:b/>
          <w:sz w:val="32"/>
          <w:szCs w:val="32"/>
        </w:rPr>
        <w:t xml:space="preserve"> </w:t>
      </w:r>
    </w:p>
    <w:p w:rsidR="00357ADF" w:rsidRDefault="00D34026" w:rsidP="007D4CD4">
      <w:pPr>
        <w:rPr>
          <w:b/>
          <w:sz w:val="24"/>
          <w:szCs w:val="24"/>
        </w:rPr>
      </w:pPr>
      <w:r>
        <w:rPr>
          <w:sz w:val="24"/>
          <w:szCs w:val="24"/>
        </w:rPr>
        <w:t xml:space="preserve">Se adjunta Resolución  </w:t>
      </w:r>
      <w:r w:rsidRPr="00D34026">
        <w:rPr>
          <w:sz w:val="24"/>
          <w:szCs w:val="24"/>
        </w:rPr>
        <w:t xml:space="preserve">2017 01 Resol 060-017 </w:t>
      </w:r>
      <w:r w:rsidRPr="00C06FB1">
        <w:rPr>
          <w:b/>
          <w:sz w:val="24"/>
          <w:szCs w:val="24"/>
        </w:rPr>
        <w:t>Exon</w:t>
      </w:r>
      <w:r w:rsidR="00C06FB1" w:rsidRPr="00C06FB1">
        <w:rPr>
          <w:b/>
          <w:sz w:val="24"/>
          <w:szCs w:val="24"/>
        </w:rPr>
        <w:t xml:space="preserve">eraciones </w:t>
      </w:r>
      <w:r w:rsidRPr="00C06FB1">
        <w:rPr>
          <w:b/>
          <w:sz w:val="24"/>
          <w:szCs w:val="24"/>
        </w:rPr>
        <w:t>trib</w:t>
      </w:r>
      <w:r w:rsidR="00C06FB1" w:rsidRPr="00C06FB1">
        <w:rPr>
          <w:b/>
          <w:sz w:val="24"/>
          <w:szCs w:val="24"/>
        </w:rPr>
        <w:t>utarias-</w:t>
      </w:r>
    </w:p>
    <w:p w:rsidR="004E666D" w:rsidRDefault="004E666D" w:rsidP="004E666D">
      <w:pPr>
        <w:rPr>
          <w:sz w:val="32"/>
          <w:szCs w:val="32"/>
        </w:rPr>
      </w:pPr>
      <w:r w:rsidRPr="009066ED">
        <w:rPr>
          <w:b/>
          <w:sz w:val="32"/>
          <w:szCs w:val="32"/>
        </w:rPr>
        <w:t xml:space="preserve">Aclaración </w:t>
      </w:r>
      <w:r w:rsidRPr="00321C1E">
        <w:rPr>
          <w:b/>
          <w:sz w:val="32"/>
          <w:szCs w:val="32"/>
        </w:rPr>
        <w:t xml:space="preserve"> 2</w:t>
      </w:r>
    </w:p>
    <w:p w:rsidR="004E666D" w:rsidRDefault="004E666D" w:rsidP="004E666D">
      <w:pPr>
        <w:shd w:val="clear" w:color="auto" w:fill="FFFFFF"/>
        <w:rPr>
          <w:color w:val="000000"/>
        </w:rPr>
      </w:pPr>
      <w:r>
        <w:rPr>
          <w:color w:val="000000"/>
        </w:rPr>
        <w:t>En la cláusula 17.1.2 del Pliego de Condiciones Administrativas (PCA),</w:t>
      </w:r>
    </w:p>
    <w:p w:rsidR="004E666D" w:rsidRDefault="004E666D" w:rsidP="004E666D">
      <w:pPr>
        <w:shd w:val="clear" w:color="auto" w:fill="FFFFFF"/>
        <w:rPr>
          <w:color w:val="000000"/>
        </w:rPr>
      </w:pPr>
      <w:r>
        <w:rPr>
          <w:color w:val="000000"/>
        </w:rPr>
        <w:t>Donde dice:</w:t>
      </w:r>
    </w:p>
    <w:p w:rsidR="004E666D" w:rsidRDefault="004E666D" w:rsidP="004E666D">
      <w:pPr>
        <w:shd w:val="clear" w:color="auto" w:fill="FFFFFF"/>
        <w:rPr>
          <w:color w:val="000000"/>
        </w:rPr>
      </w:pPr>
      <w:r>
        <w:rPr>
          <w:color w:val="000000"/>
        </w:rPr>
        <w:t>Deberá presentarse el resumen indicado en el formato del Anexo 6 de este PCA. La suma de los ingresos operativos anuales que surjan de los estados contables presentados, por tres o menos periodos, deberá ser mayor o igual a $</w:t>
      </w:r>
      <w:hyperlink r:id="rId8" w:history="1">
        <w:r>
          <w:rPr>
            <w:rStyle w:val="Hipervnculo"/>
            <w:color w:val="005A95"/>
          </w:rPr>
          <w:t>2.400.000.000</w:t>
        </w:r>
      </w:hyperlink>
      <w:r>
        <w:rPr>
          <w:rStyle w:val="apple-converted-space"/>
          <w:color w:val="000000"/>
        </w:rPr>
        <w:t> </w:t>
      </w:r>
      <w:r>
        <w:rPr>
          <w:color w:val="000000"/>
        </w:rPr>
        <w:t>(dos mil cuatrocientos millones de pesos uruguayos).</w:t>
      </w:r>
    </w:p>
    <w:p w:rsidR="004E666D" w:rsidRDefault="004E666D" w:rsidP="004E666D">
      <w:pPr>
        <w:shd w:val="clear" w:color="auto" w:fill="FFFFFF"/>
        <w:rPr>
          <w:color w:val="000000"/>
        </w:rPr>
      </w:pPr>
      <w:r>
        <w:rPr>
          <w:color w:val="000000"/>
        </w:rPr>
        <w:t>Asimismo, el consorcio deberá acreditar un total de $</w:t>
      </w:r>
      <w:r>
        <w:rPr>
          <w:rStyle w:val="apple-converted-space"/>
          <w:color w:val="000000"/>
        </w:rPr>
        <w:t> </w:t>
      </w:r>
      <w:hyperlink r:id="rId9" w:history="1">
        <w:r>
          <w:rPr>
            <w:rStyle w:val="Hipervnculo"/>
            <w:color w:val="005A95"/>
          </w:rPr>
          <w:t>1.440.000.000</w:t>
        </w:r>
      </w:hyperlink>
      <w:r>
        <w:rPr>
          <w:rStyle w:val="apple-converted-space"/>
          <w:color w:val="000000"/>
        </w:rPr>
        <w:t> </w:t>
      </w:r>
      <w:r>
        <w:rPr>
          <w:color w:val="000000"/>
        </w:rPr>
        <w:t>(mil cuatrocientos cuarenta millones de pesos uruguayos) como suma de los ingresos operativos de sus integrantes ponderados por el porcentaje en el que integren el oferente según lo informado en la carta compromiso (cláusula 1. B.).</w:t>
      </w:r>
    </w:p>
    <w:p w:rsidR="004E666D" w:rsidRDefault="004E666D" w:rsidP="004E666D">
      <w:pPr>
        <w:shd w:val="clear" w:color="auto" w:fill="FFFFFF"/>
        <w:rPr>
          <w:color w:val="000000"/>
        </w:rPr>
      </w:pPr>
      <w:r>
        <w:rPr>
          <w:color w:val="000000"/>
        </w:rPr>
        <w:lastRenderedPageBreak/>
        <w:t> </w:t>
      </w:r>
    </w:p>
    <w:p w:rsidR="004E666D" w:rsidRDefault="004E666D" w:rsidP="004E666D">
      <w:pPr>
        <w:shd w:val="clear" w:color="auto" w:fill="FFFFFF"/>
        <w:rPr>
          <w:color w:val="000000"/>
        </w:rPr>
      </w:pPr>
      <w:r>
        <w:rPr>
          <w:color w:val="000000"/>
        </w:rPr>
        <w:t>Debe decir:</w:t>
      </w:r>
    </w:p>
    <w:p w:rsidR="004E666D" w:rsidRDefault="004E666D" w:rsidP="004E666D">
      <w:pPr>
        <w:shd w:val="clear" w:color="auto" w:fill="FFFFFF"/>
        <w:rPr>
          <w:color w:val="000000"/>
        </w:rPr>
      </w:pPr>
      <w:r>
        <w:rPr>
          <w:color w:val="000000"/>
        </w:rPr>
        <w:t>“Deberá presentarse el resumen indicado en el formato del Anexo 6 de este PCA. La suma de los ingresos operativos anuales que surjan de los estados contables presentados por el Oferente, por tres o menos periodos, deberá ser mayor o igual a $</w:t>
      </w:r>
      <w:r>
        <w:rPr>
          <w:rStyle w:val="apple-converted-space"/>
          <w:color w:val="000000"/>
        </w:rPr>
        <w:t> </w:t>
      </w:r>
      <w:hyperlink r:id="rId10" w:history="1">
        <w:r>
          <w:rPr>
            <w:rStyle w:val="Hipervnculo"/>
            <w:color w:val="005A95"/>
          </w:rPr>
          <w:t>2.400.000.000</w:t>
        </w:r>
      </w:hyperlink>
      <w:r>
        <w:rPr>
          <w:rStyle w:val="apple-converted-space"/>
          <w:color w:val="000000"/>
        </w:rPr>
        <w:t> </w:t>
      </w:r>
      <w:r>
        <w:rPr>
          <w:color w:val="000000"/>
        </w:rPr>
        <w:t>(dos mil cuatrocientos millones de pesos uruguayos).</w:t>
      </w:r>
    </w:p>
    <w:p w:rsidR="004E666D" w:rsidRDefault="00386B89" w:rsidP="004E666D">
      <w:pPr>
        <w:shd w:val="clear" w:color="auto" w:fill="FFFFFF"/>
        <w:rPr>
          <w:color w:val="000000"/>
        </w:rPr>
      </w:pPr>
      <w:r>
        <w:t>Adicionalmente, al menos 60% del oferente deberá estar formado por integrantes que acrediten, para la suma de los periodos que presentan, sean tres o menos, ingresos operativos mayores o iguales al producto de $2.400.000.000 por el porcentaje en el que integren el oferente según lo informado en la carta compromiso (cláusula 1</w:t>
      </w:r>
      <w:r>
        <w:t>7</w:t>
      </w:r>
      <w:r>
        <w:t>.</w:t>
      </w:r>
      <w:r>
        <w:t>1.1.</w:t>
      </w:r>
      <w:r>
        <w:t>B.)</w:t>
      </w:r>
      <w:r w:rsidR="004E666D">
        <w:rPr>
          <w:color w:val="000000"/>
        </w:rPr>
        <w:t>”.</w:t>
      </w:r>
    </w:p>
    <w:p w:rsidR="00386B89" w:rsidRDefault="00386B89" w:rsidP="004E666D">
      <w:pPr>
        <w:rPr>
          <w:sz w:val="24"/>
          <w:szCs w:val="24"/>
        </w:rPr>
      </w:pPr>
    </w:p>
    <w:p w:rsidR="004E666D" w:rsidRPr="00386B89" w:rsidRDefault="00386B89" w:rsidP="004E666D">
      <w:pPr>
        <w:rPr>
          <w:b/>
          <w:sz w:val="32"/>
          <w:szCs w:val="32"/>
        </w:rPr>
      </w:pPr>
      <w:r w:rsidRPr="00386B89">
        <w:rPr>
          <w:b/>
          <w:sz w:val="32"/>
          <w:szCs w:val="32"/>
        </w:rPr>
        <w:t>Aclaración 3</w:t>
      </w:r>
    </w:p>
    <w:p w:rsidR="00386B89" w:rsidRPr="00386B89" w:rsidRDefault="00386B89" w:rsidP="00386B89">
      <w:pPr>
        <w:shd w:val="clear" w:color="auto" w:fill="FFFFFF"/>
      </w:pPr>
      <w:r>
        <w:t>En la cláusula 16.2.2.3 del Proyecto de C</w:t>
      </w:r>
      <w:r w:rsidRPr="00386B89">
        <w:t>ontrato,</w:t>
      </w:r>
      <w:r>
        <w:t xml:space="preserve"> donde dice</w:t>
      </w:r>
    </w:p>
    <w:p w:rsidR="00386B89" w:rsidRPr="00386B89" w:rsidRDefault="00386B89" w:rsidP="00386B89">
      <w:pPr>
        <w:pStyle w:val="Prrafodelista"/>
        <w:numPr>
          <w:ilvl w:val="0"/>
          <w:numId w:val="8"/>
        </w:numPr>
        <w:shd w:val="clear" w:color="auto" w:fill="FFFFFF"/>
      </w:pPr>
      <w:r>
        <w:t>“</w:t>
      </w:r>
      <w:r w:rsidRPr="00386B89">
        <w:t xml:space="preserve">La </w:t>
      </w:r>
      <w:r w:rsidRPr="007C096E">
        <w:rPr>
          <w:rFonts w:eastAsia="Times New Roman"/>
          <w:lang w:val="es-CL" w:eastAsia="es-CL"/>
        </w:rPr>
        <w:t xml:space="preserve">cantidad </w:t>
      </w:r>
      <m:oMath>
        <m:f>
          <m:fPr>
            <m:ctrlPr>
              <w:rPr>
                <w:rFonts w:ascii="Cambria Math" w:eastAsia="Times New Roman" w:hAnsi="Cambria Math"/>
                <w:lang w:val="es-CL" w:eastAsia="es-CL"/>
              </w:rPr>
            </m:ctrlPr>
          </m:fPr>
          <m:num>
            <m:r>
              <m:rPr>
                <m:sty m:val="p"/>
              </m:rPr>
              <w:rPr>
                <w:rFonts w:ascii="Cambria Math" w:eastAsia="Times New Roman" w:hAnsi="Cambria Math"/>
                <w:lang w:val="es-CL" w:eastAsia="es-CL"/>
              </w:rPr>
              <m:t>6</m:t>
            </m:r>
          </m:num>
          <m:den>
            <m:r>
              <m:rPr>
                <m:sty m:val="p"/>
              </m:rPr>
              <w:rPr>
                <w:rFonts w:ascii="Cambria Math" w:eastAsia="Times New Roman" w:hAnsi="Cambria Math"/>
                <w:lang w:val="es-CL" w:eastAsia="es-CL"/>
              </w:rPr>
              <m:t>N</m:t>
            </m:r>
          </m:den>
        </m:f>
        <m:nary>
          <m:naryPr>
            <m:chr m:val="∑"/>
            <m:limLoc m:val="undOvr"/>
            <m:ctrlPr>
              <w:rPr>
                <w:rFonts w:ascii="Cambria Math" w:eastAsia="Times New Roman" w:hAnsi="Cambria Math"/>
                <w:lang w:val="es-CL" w:eastAsia="es-CL"/>
              </w:rPr>
            </m:ctrlPr>
          </m:naryPr>
          <m:sub>
            <m:r>
              <m:rPr>
                <m:sty m:val="p"/>
              </m:rPr>
              <w:rPr>
                <w:rFonts w:ascii="Cambria Math" w:eastAsia="Times New Roman" w:hAnsi="Cambria Math"/>
                <w:lang w:val="es-CL" w:eastAsia="es-CL"/>
              </w:rPr>
              <m:t>n=1</m:t>
            </m:r>
          </m:sub>
          <m:sup>
            <m:r>
              <m:rPr>
                <m:sty m:val="p"/>
              </m:rPr>
              <w:rPr>
                <w:rFonts w:ascii="Cambria Math" w:eastAsia="Times New Roman" w:hAnsi="Cambria Math"/>
                <w:lang w:val="es-CL" w:eastAsia="es-CL"/>
              </w:rPr>
              <m:t>N</m:t>
            </m:r>
          </m:sup>
          <m:e>
            <m:f>
              <m:fPr>
                <m:ctrlPr>
                  <w:rPr>
                    <w:rFonts w:ascii="Cambria Math" w:eastAsia="Times New Roman" w:hAnsi="Cambria Math"/>
                    <w:lang w:val="es-CL" w:eastAsia="es-CL"/>
                  </w:rPr>
                </m:ctrlPr>
              </m:fPr>
              <m:num>
                <m:sSub>
                  <m:sSubPr>
                    <m:ctrlPr>
                      <w:rPr>
                        <w:rFonts w:ascii="Cambria Math" w:eastAsia="Times New Roman" w:hAnsi="Cambria Math"/>
                        <w:lang w:val="es-CL" w:eastAsia="es-CL"/>
                      </w:rPr>
                    </m:ctrlPr>
                  </m:sSubPr>
                  <m:e>
                    <m:r>
                      <m:rPr>
                        <m:sty m:val="p"/>
                      </m:rPr>
                      <w:rPr>
                        <w:rFonts w:ascii="Cambria Math" w:eastAsia="Times New Roman" w:hAnsi="Cambria Math"/>
                        <w:lang w:val="es-CL" w:eastAsia="es-CL"/>
                      </w:rPr>
                      <m:t>PPDT</m:t>
                    </m:r>
                  </m:e>
                  <m:sub>
                    <m:r>
                      <m:rPr>
                        <m:sty m:val="p"/>
                      </m:rPr>
                      <w:rPr>
                        <w:rFonts w:ascii="Cambria Math" w:eastAsia="Times New Roman" w:hAnsi="Cambria Math"/>
                        <w:lang w:val="es-CL" w:eastAsia="es-CL"/>
                      </w:rPr>
                      <m:t>n</m:t>
                    </m:r>
                  </m:sub>
                </m:sSub>
              </m:num>
              <m:den>
                <m:sSub>
                  <m:sSubPr>
                    <m:ctrlPr>
                      <w:rPr>
                        <w:rFonts w:ascii="Cambria Math" w:eastAsia="Times New Roman" w:hAnsi="Cambria Math"/>
                        <w:lang w:val="es-CL" w:eastAsia="es-CL"/>
                      </w:rPr>
                    </m:ctrlPr>
                  </m:sSubPr>
                  <m:e>
                    <m:r>
                      <m:rPr>
                        <m:sty m:val="p"/>
                      </m:rPr>
                      <w:rPr>
                        <w:rFonts w:ascii="Cambria Math" w:eastAsia="Times New Roman" w:hAnsi="Cambria Math"/>
                        <w:lang w:val="es-CL" w:eastAsia="es-CL"/>
                      </w:rPr>
                      <m:t>M</m:t>
                    </m:r>
                  </m:e>
                  <m:sub>
                    <m:r>
                      <m:rPr>
                        <m:sty m:val="p"/>
                      </m:rPr>
                      <w:rPr>
                        <w:rFonts w:ascii="Cambria Math" w:eastAsia="Times New Roman" w:hAnsi="Cambria Math"/>
                        <w:lang w:val="es-CL" w:eastAsia="es-CL"/>
                      </w:rPr>
                      <m:t>n</m:t>
                    </m:r>
                  </m:sub>
                </m:sSub>
              </m:den>
            </m:f>
          </m:e>
        </m:nary>
      </m:oMath>
      <w:r>
        <w:rPr>
          <w:rFonts w:eastAsia="Times New Roman"/>
          <w:lang w:val="es-CL" w:eastAsia="es-CL"/>
        </w:rPr>
        <w:t xml:space="preserve"> </w:t>
      </w:r>
      <w:r w:rsidRPr="00386B89">
        <w:t>por cada uno de los MN Centros que estén en servicio al momento de extinción del contrato, donde:</w:t>
      </w:r>
      <w:r>
        <w:t>”</w:t>
      </w:r>
      <w:r w:rsidRPr="00386B89">
        <w:t xml:space="preserve"> </w:t>
      </w:r>
    </w:p>
    <w:p w:rsidR="00386B89" w:rsidRPr="00386B89" w:rsidRDefault="00386B89" w:rsidP="00386B89">
      <w:pPr>
        <w:shd w:val="clear" w:color="auto" w:fill="FFFFFF"/>
      </w:pPr>
      <w:r w:rsidRPr="00386B89">
        <w:t> </w:t>
      </w:r>
    </w:p>
    <w:p w:rsidR="00386B89" w:rsidRPr="00386B89" w:rsidRDefault="00386B89" w:rsidP="00386B89">
      <w:pPr>
        <w:shd w:val="clear" w:color="auto" w:fill="FFFFFF"/>
      </w:pPr>
      <w:r w:rsidRPr="00386B89">
        <w:t>Debe decir:</w:t>
      </w:r>
    </w:p>
    <w:p w:rsidR="00386B89" w:rsidRPr="00386B89" w:rsidRDefault="00386B89" w:rsidP="00386B89">
      <w:pPr>
        <w:pStyle w:val="Prrafodelista"/>
        <w:numPr>
          <w:ilvl w:val="0"/>
          <w:numId w:val="8"/>
        </w:numPr>
        <w:shd w:val="clear" w:color="auto" w:fill="FFFFFF"/>
      </w:pPr>
      <w:r>
        <w:t>“</w:t>
      </w:r>
      <w:r w:rsidRPr="00386B89">
        <w:t xml:space="preserve">La </w:t>
      </w:r>
      <w:r w:rsidRPr="007C096E">
        <w:rPr>
          <w:rFonts w:eastAsia="Times New Roman"/>
          <w:lang w:val="es-CL" w:eastAsia="es-CL"/>
        </w:rPr>
        <w:t xml:space="preserve">cantidad </w:t>
      </w:r>
      <m:oMath>
        <m:f>
          <m:fPr>
            <m:ctrlPr>
              <w:rPr>
                <w:rFonts w:ascii="Cambria Math" w:eastAsia="Times New Roman" w:hAnsi="Cambria Math"/>
                <w:lang w:val="es-CL" w:eastAsia="es-CL"/>
              </w:rPr>
            </m:ctrlPr>
          </m:fPr>
          <m:num>
            <m:r>
              <m:rPr>
                <m:sty m:val="p"/>
              </m:rPr>
              <w:rPr>
                <w:rFonts w:ascii="Cambria Math" w:eastAsia="Times New Roman" w:hAnsi="Cambria Math"/>
                <w:lang w:val="es-CL" w:eastAsia="es-CL"/>
              </w:rPr>
              <m:t>6</m:t>
            </m:r>
          </m:num>
          <m:den>
            <m:r>
              <m:rPr>
                <m:sty m:val="p"/>
              </m:rPr>
              <w:rPr>
                <w:rFonts w:ascii="Cambria Math" w:eastAsia="Times New Roman" w:hAnsi="Cambria Math"/>
                <w:lang w:val="es-CL" w:eastAsia="es-CL"/>
              </w:rPr>
              <m:t>N</m:t>
            </m:r>
          </m:den>
        </m:f>
        <m:nary>
          <m:naryPr>
            <m:chr m:val="∑"/>
            <m:limLoc m:val="undOvr"/>
            <m:ctrlPr>
              <w:rPr>
                <w:rFonts w:ascii="Cambria Math" w:eastAsia="Times New Roman" w:hAnsi="Cambria Math"/>
                <w:lang w:val="es-CL" w:eastAsia="es-CL"/>
              </w:rPr>
            </m:ctrlPr>
          </m:naryPr>
          <m:sub>
            <m:r>
              <m:rPr>
                <m:sty m:val="p"/>
              </m:rPr>
              <w:rPr>
                <w:rFonts w:ascii="Cambria Math" w:eastAsia="Times New Roman" w:hAnsi="Cambria Math"/>
                <w:lang w:val="es-CL" w:eastAsia="es-CL"/>
              </w:rPr>
              <m:t>n=1</m:t>
            </m:r>
          </m:sub>
          <m:sup>
            <m:r>
              <m:rPr>
                <m:sty m:val="p"/>
              </m:rPr>
              <w:rPr>
                <w:rFonts w:ascii="Cambria Math" w:eastAsia="Times New Roman" w:hAnsi="Cambria Math"/>
                <w:lang w:val="es-CL" w:eastAsia="es-CL"/>
              </w:rPr>
              <m:t>N</m:t>
            </m:r>
          </m:sup>
          <m:e>
            <m:f>
              <m:fPr>
                <m:ctrlPr>
                  <w:rPr>
                    <w:rFonts w:ascii="Cambria Math" w:eastAsia="Times New Roman" w:hAnsi="Cambria Math"/>
                    <w:lang w:val="es-CL" w:eastAsia="es-CL"/>
                  </w:rPr>
                </m:ctrlPr>
              </m:fPr>
              <m:num>
                <m:sSub>
                  <m:sSubPr>
                    <m:ctrlPr>
                      <w:rPr>
                        <w:rFonts w:ascii="Cambria Math" w:eastAsia="Times New Roman" w:hAnsi="Cambria Math"/>
                        <w:lang w:val="es-CL" w:eastAsia="es-CL"/>
                      </w:rPr>
                    </m:ctrlPr>
                  </m:sSubPr>
                  <m:e>
                    <m:r>
                      <m:rPr>
                        <m:sty m:val="p"/>
                      </m:rPr>
                      <w:rPr>
                        <w:rFonts w:ascii="Cambria Math" w:eastAsia="Times New Roman" w:hAnsi="Cambria Math"/>
                        <w:lang w:val="es-CL" w:eastAsia="es-CL"/>
                      </w:rPr>
                      <m:t>PPDT</m:t>
                    </m:r>
                  </m:e>
                  <m:sub>
                    <m:r>
                      <m:rPr>
                        <m:sty m:val="p"/>
                      </m:rPr>
                      <w:rPr>
                        <w:rFonts w:ascii="Cambria Math" w:eastAsia="Times New Roman" w:hAnsi="Cambria Math"/>
                        <w:lang w:val="es-CL" w:eastAsia="es-CL"/>
                      </w:rPr>
                      <m:t>n</m:t>
                    </m:r>
                  </m:sub>
                </m:sSub>
              </m:num>
              <m:den>
                <m:sSub>
                  <m:sSubPr>
                    <m:ctrlPr>
                      <w:rPr>
                        <w:rFonts w:ascii="Cambria Math" w:eastAsia="Times New Roman" w:hAnsi="Cambria Math"/>
                        <w:lang w:val="es-CL" w:eastAsia="es-CL"/>
                      </w:rPr>
                    </m:ctrlPr>
                  </m:sSubPr>
                  <m:e>
                    <m:r>
                      <m:rPr>
                        <m:sty m:val="p"/>
                      </m:rPr>
                      <w:rPr>
                        <w:rFonts w:ascii="Cambria Math" w:eastAsia="Times New Roman" w:hAnsi="Cambria Math"/>
                        <w:lang w:val="es-CL" w:eastAsia="es-CL"/>
                      </w:rPr>
                      <m:t>M</m:t>
                    </m:r>
                  </m:e>
                  <m:sub>
                    <m:r>
                      <m:rPr>
                        <m:sty m:val="p"/>
                      </m:rPr>
                      <w:rPr>
                        <w:rFonts w:ascii="Cambria Math" w:eastAsia="Times New Roman" w:hAnsi="Cambria Math"/>
                        <w:lang w:val="es-CL" w:eastAsia="es-CL"/>
                      </w:rPr>
                      <m:t>n</m:t>
                    </m:r>
                  </m:sub>
                </m:sSub>
              </m:den>
            </m:f>
          </m:e>
        </m:nary>
      </m:oMath>
      <w:r>
        <w:t xml:space="preserve"> </w:t>
      </w:r>
      <w:r w:rsidRPr="00386B89">
        <w:t>por cada uno de los Centros que estén en servicio al momento de extinción del contrato,</w:t>
      </w:r>
      <w:r>
        <w:t xml:space="preserve"> donde:”</w:t>
      </w:r>
    </w:p>
    <w:p w:rsidR="00386B89" w:rsidRPr="00386B89" w:rsidRDefault="00386B89" w:rsidP="004E666D">
      <w:pPr>
        <w:rPr>
          <w:sz w:val="24"/>
          <w:szCs w:val="24"/>
          <w:lang w:val="es-UY"/>
        </w:rPr>
      </w:pPr>
    </w:p>
    <w:p w:rsidR="00BA1D8D" w:rsidRDefault="00BA1D8D" w:rsidP="007D4CD4">
      <w:pPr>
        <w:rPr>
          <w:b/>
          <w:sz w:val="32"/>
          <w:szCs w:val="32"/>
        </w:rPr>
      </w:pPr>
      <w:r>
        <w:rPr>
          <w:b/>
          <w:sz w:val="32"/>
          <w:szCs w:val="32"/>
        </w:rPr>
        <w:t>Aclaración 4</w:t>
      </w:r>
    </w:p>
    <w:p w:rsidR="00BA1D8D" w:rsidRDefault="00BA1D8D" w:rsidP="00BA1D8D">
      <w:pPr>
        <w:spacing w:before="100" w:beforeAutospacing="1" w:after="100" w:afterAutospacing="1" w:line="240" w:lineRule="auto"/>
      </w:pPr>
      <w:r>
        <w:t xml:space="preserve">En la cláusula 13.2 del </w:t>
      </w:r>
      <w:r>
        <w:t>Proyecto de C</w:t>
      </w:r>
      <w:r w:rsidRPr="00386B89">
        <w:t>ontrato</w:t>
      </w:r>
      <w:r>
        <w:t>, donde dice:</w:t>
      </w:r>
    </w:p>
    <w:p w:rsidR="00BA1D8D" w:rsidRPr="00BA1D8D" w:rsidRDefault="00BA1D8D" w:rsidP="00BA1D8D">
      <w:pPr>
        <w:spacing w:before="100" w:beforeAutospacing="1" w:after="100" w:afterAutospacing="1" w:line="240" w:lineRule="auto"/>
      </w:pPr>
      <w:r w:rsidRPr="00BA1D8D">
        <w:br/>
      </w:r>
      <w:r>
        <w:t>“</w:t>
      </w:r>
      <w:r w:rsidRPr="00BA1D8D">
        <w:t>Las infracciones D) mencionadas precedentemente se aplicarán de acuerdo de la siguiente escala:</w:t>
      </w:r>
    </w:p>
    <w:p w:rsidR="00BA1D8D" w:rsidRPr="00BA1D8D" w:rsidRDefault="00BA1D8D" w:rsidP="00BA1D8D">
      <w:pPr>
        <w:numPr>
          <w:ilvl w:val="0"/>
          <w:numId w:val="9"/>
        </w:numPr>
        <w:spacing w:before="100" w:beforeAutospacing="1" w:after="100" w:afterAutospacing="1" w:line="240" w:lineRule="auto"/>
      </w:pPr>
      <w:r w:rsidRPr="00BA1D8D">
        <w:t>Si el atraso en el subconjunto A o B se configura en hasta 3 centros se aplicará la multa de 7.000 UI.</w:t>
      </w:r>
    </w:p>
    <w:p w:rsidR="00BA1D8D" w:rsidRPr="00BA1D8D" w:rsidRDefault="00BA1D8D" w:rsidP="00BA1D8D">
      <w:pPr>
        <w:numPr>
          <w:ilvl w:val="0"/>
          <w:numId w:val="9"/>
        </w:numPr>
        <w:spacing w:before="100" w:beforeAutospacing="1" w:after="100" w:afterAutospacing="1" w:line="240" w:lineRule="auto"/>
      </w:pPr>
      <w:r w:rsidRPr="00BA1D8D">
        <w:t>Si el atraso en el subconjunto A o B se configura en 4 o 6 centros se aplicará la multa de 15.000 UI.</w:t>
      </w:r>
    </w:p>
    <w:p w:rsidR="00BA1D8D" w:rsidRPr="00BA1D8D" w:rsidRDefault="00BA1D8D" w:rsidP="00BA1D8D">
      <w:pPr>
        <w:numPr>
          <w:ilvl w:val="0"/>
          <w:numId w:val="9"/>
        </w:numPr>
        <w:spacing w:before="100" w:beforeAutospacing="1" w:after="100" w:afterAutospacing="1" w:line="240" w:lineRule="auto"/>
      </w:pPr>
      <w:r w:rsidRPr="00BA1D8D">
        <w:t> Si el atraso en el subconjunto A o B se configura entre 7 y 10 centros se aplicará la multa de 28.000 UI.</w:t>
      </w:r>
    </w:p>
    <w:p w:rsidR="00BA1D8D" w:rsidRPr="00BA1D8D" w:rsidRDefault="00BA1D8D" w:rsidP="00BA1D8D">
      <w:pPr>
        <w:numPr>
          <w:ilvl w:val="0"/>
          <w:numId w:val="9"/>
        </w:numPr>
        <w:spacing w:before="100" w:beforeAutospacing="1" w:after="100" w:afterAutospacing="1" w:line="240" w:lineRule="auto"/>
      </w:pPr>
      <w:r w:rsidRPr="00BA1D8D">
        <w:t>Si el atraso en el subconjunto A o B se configura entre 11 y 16 centros se aplicará la multa de 50.000 UI.</w:t>
      </w:r>
    </w:p>
    <w:p w:rsidR="00BA1D8D" w:rsidRPr="00BA1D8D" w:rsidRDefault="00BA1D8D" w:rsidP="00BA1D8D">
      <w:pPr>
        <w:numPr>
          <w:ilvl w:val="0"/>
          <w:numId w:val="9"/>
        </w:numPr>
        <w:spacing w:before="100" w:beforeAutospacing="1" w:after="100" w:afterAutospacing="1" w:line="240" w:lineRule="auto"/>
      </w:pPr>
      <w:r w:rsidRPr="00BA1D8D">
        <w:t>[ANEP: Si el atraso en el subconjunto A o B se configura en 17 o más centros se aplicará la multa de 90.000 UI.]</w:t>
      </w:r>
      <w:r>
        <w:t>”</w:t>
      </w:r>
    </w:p>
    <w:p w:rsidR="00BA1D8D" w:rsidRPr="00BA1D8D" w:rsidRDefault="00BA1D8D" w:rsidP="00BA1D8D">
      <w:pPr>
        <w:spacing w:before="100" w:beforeAutospacing="1" w:after="100" w:afterAutospacing="1" w:line="240" w:lineRule="auto"/>
      </w:pPr>
      <w:r w:rsidRPr="00BA1D8D">
        <w:lastRenderedPageBreak/>
        <w:br/>
        <w:t>Debe decir</w:t>
      </w:r>
      <w:r w:rsidRPr="00BA1D8D">
        <w:br/>
      </w:r>
      <w:r w:rsidRPr="00BA1D8D">
        <w:br/>
      </w:r>
      <w:r>
        <w:t>“</w:t>
      </w:r>
      <w:r w:rsidRPr="00BA1D8D">
        <w:t>Las infracciones D) mencionadas precedentemente se aplicarán de acuerdo de la siguiente escala:</w:t>
      </w:r>
    </w:p>
    <w:p w:rsidR="00BA1D8D" w:rsidRPr="00BA1D8D" w:rsidRDefault="00BA1D8D" w:rsidP="00BA1D8D">
      <w:pPr>
        <w:numPr>
          <w:ilvl w:val="0"/>
          <w:numId w:val="10"/>
        </w:numPr>
        <w:spacing w:before="100" w:beforeAutospacing="1" w:after="100" w:afterAutospacing="1" w:line="240" w:lineRule="auto"/>
      </w:pPr>
      <w:r w:rsidRPr="00BA1D8D">
        <w:t xml:space="preserve">Si el atraso en el subconjunto A o B se configura en hasta 3 centros se aplicará la multa de 7.000 UI por </w:t>
      </w:r>
      <w:r w:rsidR="00321C1E" w:rsidRPr="00BA1D8D">
        <w:t>día</w:t>
      </w:r>
      <w:r w:rsidRPr="00BA1D8D">
        <w:t xml:space="preserve"> corrido.</w:t>
      </w:r>
    </w:p>
    <w:p w:rsidR="00BA1D8D" w:rsidRPr="00BA1D8D" w:rsidRDefault="00BA1D8D" w:rsidP="00BA1D8D">
      <w:pPr>
        <w:numPr>
          <w:ilvl w:val="0"/>
          <w:numId w:val="10"/>
        </w:numPr>
        <w:spacing w:before="100" w:beforeAutospacing="1" w:after="100" w:afterAutospacing="1" w:line="240" w:lineRule="auto"/>
      </w:pPr>
      <w:r w:rsidRPr="00BA1D8D">
        <w:t xml:space="preserve">  Si el atraso en el subconjunto A o B se configura en 4 o 6 centros se aplicará la multa de 15.000 UI por </w:t>
      </w:r>
      <w:r w:rsidR="00321C1E" w:rsidRPr="00BA1D8D">
        <w:t>día</w:t>
      </w:r>
      <w:r w:rsidRPr="00BA1D8D">
        <w:t xml:space="preserve"> corrido.</w:t>
      </w:r>
    </w:p>
    <w:p w:rsidR="00BA1D8D" w:rsidRPr="00BA1D8D" w:rsidRDefault="00BA1D8D" w:rsidP="00BA1D8D">
      <w:pPr>
        <w:numPr>
          <w:ilvl w:val="0"/>
          <w:numId w:val="10"/>
        </w:numPr>
        <w:spacing w:before="100" w:beforeAutospacing="1" w:after="100" w:afterAutospacing="1" w:line="240" w:lineRule="auto"/>
      </w:pPr>
      <w:r w:rsidRPr="00BA1D8D">
        <w:t xml:space="preserve">Si el atraso en el subconjunto A o B se configura entre 7 y 10 centros se aplicará la multa de 28.000 UI por </w:t>
      </w:r>
      <w:r w:rsidR="00321C1E" w:rsidRPr="00BA1D8D">
        <w:t>día</w:t>
      </w:r>
      <w:r w:rsidRPr="00BA1D8D">
        <w:t xml:space="preserve"> corrido.</w:t>
      </w:r>
    </w:p>
    <w:p w:rsidR="00BA1D8D" w:rsidRPr="00BA1D8D" w:rsidRDefault="00BA1D8D" w:rsidP="00BA1D8D">
      <w:pPr>
        <w:numPr>
          <w:ilvl w:val="0"/>
          <w:numId w:val="10"/>
        </w:numPr>
        <w:spacing w:before="100" w:beforeAutospacing="1" w:after="100" w:afterAutospacing="1" w:line="240" w:lineRule="auto"/>
      </w:pPr>
      <w:r w:rsidRPr="00BA1D8D">
        <w:t xml:space="preserve">  Si el atraso en el subconjunto A o B se configura entre 11 y 16 centros se aplicará la multa de 50.000 UI por </w:t>
      </w:r>
      <w:r w:rsidR="00321C1E" w:rsidRPr="00BA1D8D">
        <w:t>día</w:t>
      </w:r>
      <w:r w:rsidRPr="00BA1D8D">
        <w:t xml:space="preserve"> corrido.</w:t>
      </w:r>
    </w:p>
    <w:p w:rsidR="00BA1D8D" w:rsidRPr="00BA1D8D" w:rsidRDefault="00BA1D8D" w:rsidP="00BA1D8D">
      <w:pPr>
        <w:numPr>
          <w:ilvl w:val="0"/>
          <w:numId w:val="10"/>
        </w:numPr>
        <w:spacing w:before="100" w:beforeAutospacing="1" w:after="100" w:afterAutospacing="1" w:line="240" w:lineRule="auto"/>
      </w:pPr>
      <w:r w:rsidRPr="00BA1D8D">
        <w:t xml:space="preserve">[ANEP: Si el atraso en el subconjunto A o B se configura en 17 o más centros se aplicará la multa de 90.000 UI por </w:t>
      </w:r>
      <w:r w:rsidR="00321C1E" w:rsidRPr="00BA1D8D">
        <w:t>día</w:t>
      </w:r>
      <w:bookmarkStart w:id="0" w:name="_GoBack"/>
      <w:bookmarkEnd w:id="0"/>
      <w:r w:rsidRPr="00BA1D8D">
        <w:t xml:space="preserve"> corrido.]</w:t>
      </w:r>
      <w:r>
        <w:t>”</w:t>
      </w:r>
    </w:p>
    <w:p w:rsidR="00BA1D8D" w:rsidRPr="00BA1D8D" w:rsidRDefault="00BA1D8D" w:rsidP="007D4CD4">
      <w:pPr>
        <w:rPr>
          <w:b/>
          <w:sz w:val="32"/>
          <w:szCs w:val="32"/>
          <w:lang w:val="es-UY"/>
        </w:rPr>
      </w:pPr>
    </w:p>
    <w:p w:rsidR="00B74460" w:rsidRDefault="00B74460" w:rsidP="007D4CD4">
      <w:pPr>
        <w:rPr>
          <w:b/>
          <w:sz w:val="32"/>
          <w:szCs w:val="32"/>
        </w:rPr>
      </w:pPr>
    </w:p>
    <w:p w:rsidR="007D4CD4" w:rsidRDefault="007D4CD4" w:rsidP="007D4CD4"/>
    <w:sectPr w:rsidR="007D4CD4" w:rsidSect="00471F12">
      <w:pgSz w:w="11906" w:h="16838"/>
      <w:pgMar w:top="993" w:right="19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CA7"/>
    <w:multiLevelType w:val="multilevel"/>
    <w:tmpl w:val="310262AA"/>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CD018B2"/>
    <w:multiLevelType w:val="multilevel"/>
    <w:tmpl w:val="EF1EF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2"/>
        <w:szCs w:val="22"/>
      </w:rPr>
    </w:lvl>
    <w:lvl w:ilvl="2">
      <w:start w:val="1"/>
      <w:numFmt w:val="decimal"/>
      <w:lvlText w:val="%1.%2.%3."/>
      <w:lvlJc w:val="left"/>
      <w:pPr>
        <w:tabs>
          <w:tab w:val="num" w:pos="1572"/>
        </w:tabs>
        <w:ind w:left="1356"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01D1EFC"/>
    <w:multiLevelType w:val="hybridMultilevel"/>
    <w:tmpl w:val="2B4EAE6C"/>
    <w:lvl w:ilvl="0" w:tplc="BE6E24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2E3D3F"/>
    <w:multiLevelType w:val="multilevel"/>
    <w:tmpl w:val="B88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F1779B"/>
    <w:multiLevelType w:val="multilevel"/>
    <w:tmpl w:val="A7D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C3317F"/>
    <w:multiLevelType w:val="hybridMultilevel"/>
    <w:tmpl w:val="368E5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D33D31"/>
    <w:multiLevelType w:val="hybridMultilevel"/>
    <w:tmpl w:val="0846B85C"/>
    <w:lvl w:ilvl="0" w:tplc="FA648912">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8" w15:restartNumberingAfterBreak="0">
    <w:nsid w:val="5C5A30BB"/>
    <w:multiLevelType w:val="hybridMultilevel"/>
    <w:tmpl w:val="71380D6C"/>
    <w:lvl w:ilvl="0" w:tplc="0064393E">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9" w15:restartNumberingAfterBreak="0">
    <w:nsid w:val="7C9522E7"/>
    <w:multiLevelType w:val="hybridMultilevel"/>
    <w:tmpl w:val="B768B0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6"/>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25"/>
    <w:rsid w:val="000224DE"/>
    <w:rsid w:val="0020623C"/>
    <w:rsid w:val="002068B7"/>
    <w:rsid w:val="002E1949"/>
    <w:rsid w:val="003019D6"/>
    <w:rsid w:val="00321C1E"/>
    <w:rsid w:val="00357ADF"/>
    <w:rsid w:val="00386B89"/>
    <w:rsid w:val="003A03EF"/>
    <w:rsid w:val="00431C35"/>
    <w:rsid w:val="00471F12"/>
    <w:rsid w:val="004823EB"/>
    <w:rsid w:val="00484003"/>
    <w:rsid w:val="004A640B"/>
    <w:rsid w:val="004B4525"/>
    <w:rsid w:val="004E666D"/>
    <w:rsid w:val="00541DDE"/>
    <w:rsid w:val="005A0F44"/>
    <w:rsid w:val="0060150F"/>
    <w:rsid w:val="006170B6"/>
    <w:rsid w:val="006202DB"/>
    <w:rsid w:val="00655CFB"/>
    <w:rsid w:val="00672CD7"/>
    <w:rsid w:val="006E6CDE"/>
    <w:rsid w:val="00726F69"/>
    <w:rsid w:val="007C743A"/>
    <w:rsid w:val="007D0604"/>
    <w:rsid w:val="007D4CD4"/>
    <w:rsid w:val="007F03BC"/>
    <w:rsid w:val="00803D52"/>
    <w:rsid w:val="0087693A"/>
    <w:rsid w:val="008F1462"/>
    <w:rsid w:val="009066ED"/>
    <w:rsid w:val="00910CB6"/>
    <w:rsid w:val="009155B6"/>
    <w:rsid w:val="00941F92"/>
    <w:rsid w:val="00944709"/>
    <w:rsid w:val="00964169"/>
    <w:rsid w:val="00985C81"/>
    <w:rsid w:val="00A43BD6"/>
    <w:rsid w:val="00AD4AAE"/>
    <w:rsid w:val="00AD4C6F"/>
    <w:rsid w:val="00B3191F"/>
    <w:rsid w:val="00B54405"/>
    <w:rsid w:val="00B74460"/>
    <w:rsid w:val="00BA1D8D"/>
    <w:rsid w:val="00C06FB1"/>
    <w:rsid w:val="00C33A63"/>
    <w:rsid w:val="00C60D6E"/>
    <w:rsid w:val="00C804BF"/>
    <w:rsid w:val="00CE5A9C"/>
    <w:rsid w:val="00D34026"/>
    <w:rsid w:val="00D74B4A"/>
    <w:rsid w:val="00D8280D"/>
    <w:rsid w:val="00E457E9"/>
    <w:rsid w:val="00E47410"/>
    <w:rsid w:val="00EA0B72"/>
    <w:rsid w:val="00EA12C1"/>
    <w:rsid w:val="00F26F2C"/>
    <w:rsid w:val="00F27BE6"/>
    <w:rsid w:val="00F47917"/>
    <w:rsid w:val="00F95A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74CA5-76D8-4E39-AD74-F1B59C1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2.400.000.000" TargetMode="External"/><Relationship Id="rId3" Type="http://schemas.openxmlformats.org/officeDocument/2006/relationships/settings" Target="settings.xml"/><Relationship Id="rId7" Type="http://schemas.openxmlformats.org/officeDocument/2006/relationships/image" Target="file:///\\sa2cdc\..\bienes01\Mis%20documentos\Mis%20im&#225;genes\logoNuevo.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allto:2.400.000.000" TargetMode="External"/><Relationship Id="rId4" Type="http://schemas.openxmlformats.org/officeDocument/2006/relationships/webSettings" Target="webSettings.xml"/><Relationship Id="rId9" Type="http://schemas.openxmlformats.org/officeDocument/2006/relationships/hyperlink" Target="callto:1.440.000.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rvelasco</dc:creator>
  <cp:lastModifiedBy>maximiliano.sosa</cp:lastModifiedBy>
  <cp:revision>4</cp:revision>
  <dcterms:created xsi:type="dcterms:W3CDTF">2017-02-22T20:40:00Z</dcterms:created>
  <dcterms:modified xsi:type="dcterms:W3CDTF">2017-02-22T20:43:00Z</dcterms:modified>
</cp:coreProperties>
</file>