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0E" w:rsidRDefault="00484003" w:rsidP="00D92716">
      <w:pPr>
        <w:jc w:val="both"/>
      </w:pPr>
      <w:r>
        <w:rPr>
          <w:noProof/>
          <w:lang w:eastAsia="es-ES"/>
        </w:rPr>
        <w:drawing>
          <wp:anchor distT="0" distB="0" distL="114300" distR="114300" simplePos="0" relativeHeight="251661312" behindDoc="0" locked="0" layoutInCell="1" allowOverlap="1">
            <wp:simplePos x="3726611" y="629728"/>
            <wp:positionH relativeFrom="margin">
              <wp:align>right</wp:align>
            </wp:positionH>
            <wp:positionV relativeFrom="margin">
              <wp:align>top</wp:align>
            </wp:positionV>
            <wp:extent cx="1009291" cy="715993"/>
            <wp:effectExtent l="19050" t="0" r="359"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au-logo.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9291" cy="715993"/>
                    </a:xfrm>
                    <a:prstGeom prst="rect">
                      <a:avLst/>
                    </a:prstGeom>
                  </pic:spPr>
                </pic:pic>
              </a:graphicData>
            </a:graphic>
          </wp:anchor>
        </w:drawing>
      </w:r>
      <w:r w:rsidR="00C804BF">
        <w:rPr>
          <w:noProof/>
          <w:lang w:eastAsia="es-ES"/>
        </w:rPr>
        <w:drawing>
          <wp:inline distT="0" distB="0" distL="0" distR="0">
            <wp:extent cx="2743200" cy="690113"/>
            <wp:effectExtent l="19050" t="0" r="0" b="0"/>
            <wp:docPr id="1" name="Imagen 1" descr="\\sa2cdc\..\bienes01\Mis documentos\Mis imágenes\logo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2cdc\..\bienes01\Mis documentos\Mis imágenes\logoNuevo.png"/>
                    <pic:cNvPicPr>
                      <a:picLocks noChangeAspect="1" noChangeArrowheads="1"/>
                    </pic:cNvPicPr>
                  </pic:nvPicPr>
                  <pic:blipFill>
                    <a:blip r:embed="rId7" r:link="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690113"/>
                    </a:xfrm>
                    <a:prstGeom prst="rect">
                      <a:avLst/>
                    </a:prstGeom>
                    <a:noFill/>
                    <a:ln>
                      <a:noFill/>
                    </a:ln>
                  </pic:spPr>
                </pic:pic>
              </a:graphicData>
            </a:graphic>
          </wp:inline>
        </w:drawing>
      </w:r>
    </w:p>
    <w:p w:rsidR="00D900AB" w:rsidRDefault="00D900AB" w:rsidP="00D92716">
      <w:pPr>
        <w:jc w:val="both"/>
        <w:rPr>
          <w:b/>
        </w:rPr>
      </w:pPr>
    </w:p>
    <w:p w:rsidR="00AF5F0E" w:rsidRPr="00D92716" w:rsidRDefault="00C804BF" w:rsidP="00D92716">
      <w:pPr>
        <w:spacing w:after="0"/>
        <w:jc w:val="center"/>
        <w:rPr>
          <w:b/>
          <w:sz w:val="28"/>
          <w:szCs w:val="28"/>
        </w:rPr>
      </w:pPr>
      <w:r w:rsidRPr="00D92716">
        <w:rPr>
          <w:b/>
          <w:sz w:val="28"/>
          <w:szCs w:val="28"/>
        </w:rPr>
        <w:t>Licitación Pública Internacional N° 47/2016</w:t>
      </w:r>
    </w:p>
    <w:p w:rsidR="00AF5F0E" w:rsidRPr="00D92716" w:rsidRDefault="00EA12C1" w:rsidP="00D92716">
      <w:pPr>
        <w:spacing w:after="0"/>
        <w:jc w:val="center"/>
        <w:rPr>
          <w:b/>
          <w:sz w:val="24"/>
          <w:szCs w:val="24"/>
        </w:rPr>
      </w:pPr>
      <w:r w:rsidRPr="00D92716">
        <w:rPr>
          <w:b/>
          <w:sz w:val="24"/>
          <w:szCs w:val="24"/>
        </w:rPr>
        <w:t>“Diseño, financiamiento, construcción y operación de 44 Jardines y 15 CAIF”</w:t>
      </w:r>
    </w:p>
    <w:p w:rsidR="00D900AB" w:rsidRDefault="00D900AB" w:rsidP="00D92716">
      <w:pPr>
        <w:spacing w:after="0"/>
        <w:jc w:val="both"/>
        <w:rPr>
          <w:b/>
          <w:sz w:val="24"/>
        </w:rPr>
      </w:pPr>
    </w:p>
    <w:p w:rsidR="00AF5F0E" w:rsidRPr="00D92716" w:rsidRDefault="00C804BF" w:rsidP="00D92716">
      <w:pPr>
        <w:spacing w:after="0"/>
        <w:jc w:val="both"/>
        <w:rPr>
          <w:b/>
        </w:rPr>
      </w:pPr>
      <w:r w:rsidRPr="00D92716">
        <w:rPr>
          <w:b/>
        </w:rPr>
        <w:t>Administración Nacional de Educación Pública ANEP.-</w:t>
      </w:r>
    </w:p>
    <w:p w:rsidR="00AF5F0E" w:rsidRPr="00D92716" w:rsidRDefault="00C804BF" w:rsidP="00D92716">
      <w:pPr>
        <w:pBdr>
          <w:bottom w:val="single" w:sz="6" w:space="1" w:color="auto"/>
        </w:pBdr>
        <w:jc w:val="both"/>
        <w:rPr>
          <w:b/>
        </w:rPr>
      </w:pPr>
      <w:r w:rsidRPr="00D92716">
        <w:rPr>
          <w:b/>
        </w:rPr>
        <w:t xml:space="preserve">Instituto del Niño </w:t>
      </w:r>
      <w:r w:rsidR="00D8280D" w:rsidRPr="00D92716">
        <w:rPr>
          <w:b/>
        </w:rPr>
        <w:t>y</w:t>
      </w:r>
      <w:r w:rsidRPr="00D92716">
        <w:rPr>
          <w:b/>
        </w:rPr>
        <w:t xml:space="preserve"> Adolescente del Uruguay INAU.-</w:t>
      </w:r>
      <w:r w:rsidR="00B142E0">
        <w:rPr>
          <w:b/>
        </w:rPr>
        <w:t xml:space="preserve">                </w:t>
      </w:r>
      <w:r w:rsidR="00272066">
        <w:rPr>
          <w:b/>
        </w:rPr>
        <w:t xml:space="preserve">                    Comunicado </w:t>
      </w:r>
      <w:r w:rsidR="002B21F2">
        <w:rPr>
          <w:b/>
        </w:rPr>
        <w:t>1</w:t>
      </w:r>
      <w:r w:rsidR="003613E2">
        <w:rPr>
          <w:b/>
        </w:rPr>
        <w:t>4</w:t>
      </w:r>
    </w:p>
    <w:p w:rsidR="00AF5F0E" w:rsidRDefault="00D64842" w:rsidP="00D92716">
      <w:pPr>
        <w:jc w:val="both"/>
        <w:rPr>
          <w:b/>
          <w:i/>
          <w:sz w:val="24"/>
          <w:szCs w:val="24"/>
        </w:rPr>
      </w:pPr>
      <w:r w:rsidRPr="003D6E31">
        <w:rPr>
          <w:b/>
          <w:i/>
          <w:sz w:val="24"/>
          <w:szCs w:val="24"/>
        </w:rPr>
        <w:t>Se han recibido las siguientes consultas a las cuales se procede a dar respuesta:</w:t>
      </w:r>
    </w:p>
    <w:p w:rsidR="003613E2" w:rsidRDefault="00F21A7B" w:rsidP="003613E2">
      <w:pPr>
        <w:spacing w:after="0"/>
        <w:jc w:val="both"/>
        <w:rPr>
          <w:b/>
          <w:u w:val="single"/>
        </w:rPr>
      </w:pPr>
      <w:r w:rsidRPr="003D6E31">
        <w:rPr>
          <w:b/>
          <w:u w:val="single"/>
        </w:rPr>
        <w:t>Consulta  1</w:t>
      </w:r>
    </w:p>
    <w:p w:rsidR="003613E2" w:rsidRPr="003613E2" w:rsidRDefault="003613E2" w:rsidP="003613E2">
      <w:pPr>
        <w:spacing w:after="0"/>
        <w:jc w:val="both"/>
        <w:rPr>
          <w:b/>
          <w:u w:val="single"/>
        </w:rPr>
      </w:pPr>
      <w:r w:rsidRPr="00EB1757">
        <w:t>En el PCA dice:</w:t>
      </w:r>
    </w:p>
    <w:p w:rsidR="003613E2" w:rsidRPr="001B4B6E" w:rsidRDefault="003613E2" w:rsidP="003613E2">
      <w:pPr>
        <w:autoSpaceDE w:val="0"/>
        <w:autoSpaceDN w:val="0"/>
        <w:adjustRightInd w:val="0"/>
        <w:spacing w:after="0" w:line="240" w:lineRule="auto"/>
        <w:rPr>
          <w:rFonts w:ascii="Calibri" w:hAnsi="Calibri" w:cs="Calibri"/>
          <w:color w:val="000000"/>
        </w:rPr>
      </w:pPr>
      <w:r w:rsidRPr="001B4B6E">
        <w:rPr>
          <w:rFonts w:ascii="Calibri" w:hAnsi="Calibri" w:cs="Calibri"/>
          <w:color w:val="000000"/>
        </w:rPr>
        <w:t xml:space="preserve">17.1.4. Documento 4: “Oferta Técnica”. </w:t>
      </w:r>
    </w:p>
    <w:p w:rsidR="003613E2" w:rsidRDefault="003613E2" w:rsidP="003613E2">
      <w:pPr>
        <w:autoSpaceDE w:val="0"/>
        <w:autoSpaceDN w:val="0"/>
        <w:adjustRightInd w:val="0"/>
        <w:spacing w:after="0" w:line="240" w:lineRule="auto"/>
        <w:jc w:val="both"/>
        <w:rPr>
          <w:rFonts w:ascii="Calibri" w:hAnsi="Calibri" w:cs="Calibri"/>
          <w:i/>
          <w:color w:val="000000"/>
        </w:rPr>
      </w:pPr>
    </w:p>
    <w:p w:rsidR="003613E2" w:rsidRPr="001B4B6E" w:rsidRDefault="003613E2" w:rsidP="003613E2">
      <w:pPr>
        <w:autoSpaceDE w:val="0"/>
        <w:autoSpaceDN w:val="0"/>
        <w:adjustRightInd w:val="0"/>
        <w:spacing w:after="0" w:line="240" w:lineRule="auto"/>
        <w:jc w:val="both"/>
        <w:rPr>
          <w:rFonts w:ascii="Calibri" w:hAnsi="Calibri" w:cs="Calibri"/>
          <w:i/>
          <w:color w:val="000000"/>
        </w:rPr>
      </w:pPr>
      <w:r w:rsidRPr="001B4B6E">
        <w:rPr>
          <w:rFonts w:ascii="Calibri" w:hAnsi="Calibri" w:cs="Calibri"/>
          <w:i/>
          <w:color w:val="000000"/>
        </w:rPr>
        <w:t xml:space="preserve">La oferta debe indicar el método constructivo que usará e incluir una memoria constructiva particular de la propuesta y la documentación suficiente para acreditar que con dicho método constructivo se cumplirá con los estándares indicados en las bases de contratación. </w:t>
      </w:r>
    </w:p>
    <w:p w:rsidR="003613E2" w:rsidRDefault="003613E2" w:rsidP="003613E2">
      <w:pPr>
        <w:jc w:val="both"/>
        <w:rPr>
          <w:rFonts w:ascii="Calibri" w:hAnsi="Calibri" w:cs="Calibri"/>
          <w:i/>
          <w:color w:val="000000"/>
        </w:rPr>
      </w:pPr>
    </w:p>
    <w:p w:rsidR="003613E2" w:rsidRPr="00EB1757" w:rsidRDefault="003613E2" w:rsidP="003613E2">
      <w:pPr>
        <w:jc w:val="both"/>
        <w:rPr>
          <w:b/>
          <w:i/>
        </w:rPr>
      </w:pPr>
      <w:r w:rsidRPr="001B4B6E">
        <w:rPr>
          <w:rFonts w:ascii="Calibri" w:hAnsi="Calibri" w:cs="Calibri"/>
          <w:i/>
          <w:color w:val="000000"/>
        </w:rPr>
        <w:t xml:space="preserve">Deberá presentarse un anteproyecto de Jardín de Infantes y un anteproyecto de CAIF, respetando el prototipo del Anexo 1 al presente PCA y las Pautas de Diseño y Construcción PPP- Jardín / CAIF, ajustado al método constructivo propuesto. El área total y de cada uno de los espacios de los Prototipos es la mínima requerida. A estos fines, se admitirán variaciones siempre y cuando no impliquen una reducción de más de un 5% en las dimensiones (ancho y/o largo) manteniendo el área mínima. También se admitirán </w:t>
      </w:r>
      <w:proofErr w:type="gramStart"/>
      <w:r w:rsidRPr="001B4B6E">
        <w:rPr>
          <w:rFonts w:ascii="Calibri" w:hAnsi="Calibri" w:cs="Calibri"/>
          <w:i/>
          <w:color w:val="000000"/>
        </w:rPr>
        <w:t>variaciones</w:t>
      </w:r>
      <w:proofErr w:type="gramEnd"/>
      <w:r w:rsidRPr="001B4B6E">
        <w:rPr>
          <w:rFonts w:ascii="Calibri" w:hAnsi="Calibri" w:cs="Calibri"/>
          <w:i/>
          <w:color w:val="000000"/>
        </w:rPr>
        <w:t xml:space="preserve"> en las cubiertas en tanto </w:t>
      </w:r>
      <w:r w:rsidRPr="001B4B6E">
        <w:rPr>
          <w:i/>
        </w:rPr>
        <w:t xml:space="preserve">se respeten las alturas mínimas. </w:t>
      </w:r>
      <w:r w:rsidRPr="00EB1757">
        <w:rPr>
          <w:b/>
          <w:i/>
        </w:rPr>
        <w:t>Los elementos gráficos a ser presentados, sus escalas, su nivel de detalle y su simbología deben ser los mismos que los de dicho Anexo.</w:t>
      </w:r>
    </w:p>
    <w:p w:rsidR="003613E2" w:rsidRDefault="003613E2" w:rsidP="003613E2">
      <w:pPr>
        <w:spacing w:after="0"/>
      </w:pPr>
      <w:r>
        <w:t>Los planos entregados del CAIF están a escala 1/100, los del JARDIN a 1/50.</w:t>
      </w:r>
    </w:p>
    <w:p w:rsidR="003613E2" w:rsidRDefault="003613E2" w:rsidP="003613E2">
      <w:pPr>
        <w:spacing w:after="0"/>
      </w:pPr>
      <w:r>
        <w:t>Pero en las Pautas de Diseño y Construcción de ambos piden escala 1/50.</w:t>
      </w:r>
    </w:p>
    <w:p w:rsidR="003613E2" w:rsidRDefault="003613E2" w:rsidP="003613E2">
      <w:pPr>
        <w:spacing w:after="0"/>
      </w:pPr>
      <w:r>
        <w:t>Pensamos que la escala 1/100 es la más adecuada para mostrar un anteproyecto en esta etapa.</w:t>
      </w:r>
    </w:p>
    <w:p w:rsidR="003613E2" w:rsidRDefault="003613E2" w:rsidP="003613E2">
      <w:pPr>
        <w:spacing w:after="0"/>
      </w:pPr>
      <w:r>
        <w:t>¿Quisiéramos saber si es posible que tanto plantas, cortes como fachadas se presenten a escala 1/100?</w:t>
      </w:r>
    </w:p>
    <w:p w:rsidR="00F21A7B" w:rsidRDefault="00F21A7B" w:rsidP="00F21A7B">
      <w:pPr>
        <w:autoSpaceDE w:val="0"/>
        <w:autoSpaceDN w:val="0"/>
        <w:adjustRightInd w:val="0"/>
        <w:spacing w:after="0" w:line="240" w:lineRule="auto"/>
        <w:jc w:val="both"/>
        <w:rPr>
          <w:b/>
          <w:sz w:val="32"/>
        </w:rPr>
      </w:pPr>
      <w:r w:rsidRPr="00537D3F">
        <w:rPr>
          <w:b/>
          <w:sz w:val="32"/>
        </w:rPr>
        <w:t>RESPUESTA</w:t>
      </w:r>
      <w:r>
        <w:rPr>
          <w:b/>
          <w:sz w:val="32"/>
        </w:rPr>
        <w:t>:</w:t>
      </w:r>
    </w:p>
    <w:p w:rsidR="003613E2" w:rsidRPr="003613E2" w:rsidRDefault="003613E2" w:rsidP="003613E2">
      <w:pPr>
        <w:rPr>
          <w:b/>
        </w:rPr>
      </w:pPr>
      <w:r w:rsidRPr="003613E2">
        <w:rPr>
          <w:b/>
        </w:rPr>
        <w:t xml:space="preserve">Los recaudos gráficos fueron entregados en archivos dwg. </w:t>
      </w:r>
    </w:p>
    <w:p w:rsidR="003613E2" w:rsidRPr="003613E2" w:rsidRDefault="003613E2" w:rsidP="003613E2">
      <w:pPr>
        <w:rPr>
          <w:b/>
        </w:rPr>
      </w:pPr>
      <w:r w:rsidRPr="003613E2">
        <w:rPr>
          <w:b/>
        </w:rPr>
        <w:t>Se mantiene los solicitado en las Pautas de Diseño y Construcción, donde se establece la escala 1/50 para la entrega de plantas, cortes y fachadas.</w:t>
      </w:r>
    </w:p>
    <w:p w:rsidR="003613E2" w:rsidRDefault="003613E2" w:rsidP="00F21A7B">
      <w:pPr>
        <w:autoSpaceDE w:val="0"/>
        <w:autoSpaceDN w:val="0"/>
        <w:adjustRightInd w:val="0"/>
        <w:spacing w:after="0" w:line="240" w:lineRule="auto"/>
        <w:jc w:val="both"/>
        <w:rPr>
          <w:b/>
          <w:sz w:val="32"/>
        </w:rPr>
      </w:pPr>
    </w:p>
    <w:p w:rsidR="003613E2" w:rsidRDefault="003613E2" w:rsidP="002F108A">
      <w:pPr>
        <w:spacing w:after="0"/>
        <w:jc w:val="both"/>
        <w:rPr>
          <w:b/>
          <w:u w:val="single"/>
        </w:rPr>
      </w:pPr>
    </w:p>
    <w:p w:rsidR="003613E2" w:rsidRDefault="003613E2" w:rsidP="002F108A">
      <w:pPr>
        <w:spacing w:after="0"/>
        <w:jc w:val="both"/>
        <w:rPr>
          <w:b/>
          <w:u w:val="single"/>
        </w:rPr>
      </w:pPr>
    </w:p>
    <w:p w:rsidR="003613E2" w:rsidRDefault="003613E2" w:rsidP="002F108A">
      <w:pPr>
        <w:spacing w:after="0"/>
        <w:jc w:val="both"/>
        <w:rPr>
          <w:b/>
          <w:u w:val="single"/>
        </w:rPr>
      </w:pPr>
    </w:p>
    <w:p w:rsidR="001165AF" w:rsidRDefault="00903265" w:rsidP="001165AF">
      <w:pPr>
        <w:spacing w:after="0"/>
        <w:jc w:val="both"/>
        <w:rPr>
          <w:b/>
          <w:u w:val="single"/>
        </w:rPr>
      </w:pPr>
      <w:r w:rsidRPr="003D6E31">
        <w:rPr>
          <w:b/>
          <w:u w:val="single"/>
        </w:rPr>
        <w:t xml:space="preserve">Consulta  </w:t>
      </w:r>
      <w:r w:rsidR="00BB4441">
        <w:rPr>
          <w:b/>
          <w:u w:val="single"/>
        </w:rPr>
        <w:t>2</w:t>
      </w:r>
    </w:p>
    <w:p w:rsidR="0068058F" w:rsidRPr="001165AF" w:rsidRDefault="0068058F" w:rsidP="001165AF">
      <w:pPr>
        <w:spacing w:after="0"/>
        <w:jc w:val="both"/>
        <w:rPr>
          <w:b/>
          <w:u w:val="single"/>
        </w:rPr>
      </w:pPr>
      <w:r>
        <w:t>Con respecto a la aislación acústica de las cubiertas de los centros CAIF</w:t>
      </w:r>
    </w:p>
    <w:p w:rsidR="0068058F" w:rsidRDefault="0068058F" w:rsidP="0068058F">
      <w:r>
        <w:t>Entendemos que en el comunicado 11 cambian lo dicho en el comunicado 9 que modificaba lo dicho en la enmienda al comunicado 8, que enmendaba el comunicado 8, volviendo a los 40dB del pliego para los centros CAIF.</w:t>
      </w:r>
    </w:p>
    <w:p w:rsidR="0091003D" w:rsidRPr="0091003D" w:rsidRDefault="0091003D" w:rsidP="0068058F">
      <w:pPr>
        <w:rPr>
          <w:b/>
        </w:rPr>
      </w:pPr>
      <w:r w:rsidRPr="0091003D">
        <w:rPr>
          <w:b/>
        </w:rPr>
        <w:t>COMUNICADO 11</w:t>
      </w:r>
    </w:p>
    <w:p w:rsidR="0068058F" w:rsidRDefault="0068058F" w:rsidP="0068058F">
      <w:r w:rsidRPr="0068058F">
        <w:rPr>
          <w:noProof/>
          <w:lang w:eastAsia="es-ES"/>
        </w:rPr>
        <w:drawing>
          <wp:inline distT="0" distB="0" distL="0" distR="0">
            <wp:extent cx="5353050" cy="754380"/>
            <wp:effectExtent l="19050" t="0" r="0" b="0"/>
            <wp:docPr id="5" name="Imagen 5"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line image 1"/>
                    <pic:cNvPicPr>
                      <a:picLocks noChangeAspect="1" noChangeArrowheads="1"/>
                    </pic:cNvPicPr>
                  </pic:nvPicPr>
                  <pic:blipFill>
                    <a:blip r:embed="rId9" r:link="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3050" cy="754380"/>
                    </a:xfrm>
                    <a:prstGeom prst="rect">
                      <a:avLst/>
                    </a:prstGeom>
                    <a:noFill/>
                    <a:ln>
                      <a:noFill/>
                    </a:ln>
                  </pic:spPr>
                </pic:pic>
              </a:graphicData>
            </a:graphic>
          </wp:inline>
        </w:drawing>
      </w:r>
    </w:p>
    <w:p w:rsidR="0068058F" w:rsidRDefault="0068058F" w:rsidP="0068058F">
      <w:r w:rsidRPr="0091003D">
        <w:rPr>
          <w:b/>
        </w:rPr>
        <w:t>COMUNICADO 9</w:t>
      </w:r>
      <w:r>
        <w:rPr>
          <w:noProof/>
          <w:lang w:eastAsia="es-ES"/>
        </w:rPr>
        <w:drawing>
          <wp:inline distT="0" distB="0" distL="0" distR="0">
            <wp:extent cx="5353050" cy="2446020"/>
            <wp:effectExtent l="19050" t="0" r="0" b="0"/>
            <wp:docPr id="4" name="Imagen 4"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line image 2"/>
                    <pic:cNvPicPr>
                      <a:picLocks noChangeAspect="1" noChangeArrowheads="1"/>
                    </pic:cNvPicPr>
                  </pic:nvPicPr>
                  <pic:blipFill>
                    <a:blip r:embed="rId11" r:link="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3050" cy="2446020"/>
                    </a:xfrm>
                    <a:prstGeom prst="rect">
                      <a:avLst/>
                    </a:prstGeom>
                    <a:noFill/>
                    <a:ln>
                      <a:noFill/>
                    </a:ln>
                  </pic:spPr>
                </pic:pic>
              </a:graphicData>
            </a:graphic>
          </wp:inline>
        </w:drawing>
      </w:r>
    </w:p>
    <w:p w:rsidR="0068058F" w:rsidRDefault="0068058F" w:rsidP="0068058F">
      <w:r w:rsidRPr="0091003D">
        <w:rPr>
          <w:b/>
        </w:rPr>
        <w:t>ENMIENDA COMUNICADO 8 - respuesta 59</w:t>
      </w:r>
      <w:r>
        <w:rPr>
          <w:noProof/>
          <w:lang w:eastAsia="es-ES"/>
        </w:rPr>
        <w:drawing>
          <wp:inline distT="0" distB="0" distL="0" distR="0">
            <wp:extent cx="5356860" cy="1470660"/>
            <wp:effectExtent l="19050" t="0" r="0" b="0"/>
            <wp:docPr id="2" name="Imagen 3" descr="Inline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line image 3"/>
                    <pic:cNvPicPr>
                      <a:picLocks noChangeAspect="1" noChangeArrowheads="1"/>
                    </pic:cNvPicPr>
                  </pic:nvPicPr>
                  <pic:blipFill>
                    <a:blip r:embed="rId13" r:link="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3050" cy="1469614"/>
                    </a:xfrm>
                    <a:prstGeom prst="rect">
                      <a:avLst/>
                    </a:prstGeom>
                    <a:noFill/>
                    <a:ln>
                      <a:noFill/>
                    </a:ln>
                  </pic:spPr>
                </pic:pic>
              </a:graphicData>
            </a:graphic>
          </wp:inline>
        </w:drawing>
      </w:r>
    </w:p>
    <w:p w:rsidR="0068058F" w:rsidRDefault="0068058F" w:rsidP="005E015D">
      <w:pPr>
        <w:spacing w:after="0"/>
      </w:pPr>
      <w:r>
        <w:t>¿De lo antes expuesto, es correcto interpretar que la aislación acústica al ruido aéreo de las cubiertas de los centros CAIF es de 40db?</w:t>
      </w:r>
    </w:p>
    <w:p w:rsidR="00537D3F" w:rsidRDefault="00537D3F" w:rsidP="00537D3F">
      <w:pPr>
        <w:autoSpaceDE w:val="0"/>
        <w:autoSpaceDN w:val="0"/>
        <w:adjustRightInd w:val="0"/>
        <w:spacing w:after="0" w:line="240" w:lineRule="auto"/>
        <w:jc w:val="both"/>
        <w:rPr>
          <w:b/>
          <w:sz w:val="32"/>
        </w:rPr>
      </w:pPr>
      <w:r w:rsidRPr="00537D3F">
        <w:rPr>
          <w:b/>
          <w:sz w:val="32"/>
        </w:rPr>
        <w:t>RESPUESTA:</w:t>
      </w:r>
    </w:p>
    <w:p w:rsidR="0068058F" w:rsidRDefault="001165AF" w:rsidP="00413C13">
      <w:pPr>
        <w:spacing w:after="0"/>
        <w:jc w:val="both"/>
        <w:rPr>
          <w:b/>
        </w:rPr>
      </w:pPr>
      <w:r>
        <w:rPr>
          <w:b/>
        </w:rPr>
        <w:t>No es correcto el entendimiento.</w:t>
      </w:r>
    </w:p>
    <w:p w:rsidR="001165AF" w:rsidRDefault="00A64377" w:rsidP="00413C13">
      <w:pPr>
        <w:spacing w:after="0"/>
        <w:jc w:val="both"/>
        <w:rPr>
          <w:b/>
        </w:rPr>
      </w:pPr>
      <w:r>
        <w:rPr>
          <w:b/>
        </w:rPr>
        <w:t xml:space="preserve">Se </w:t>
      </w:r>
      <w:r w:rsidR="001165AF">
        <w:rPr>
          <w:b/>
        </w:rPr>
        <w:t>debe</w:t>
      </w:r>
      <w:r>
        <w:rPr>
          <w:b/>
        </w:rPr>
        <w:t>n</w:t>
      </w:r>
      <w:r w:rsidR="001165AF">
        <w:rPr>
          <w:b/>
        </w:rPr>
        <w:t xml:space="preserve"> tomar los desempeños acústicos de los cerramientos propuestos en las Pautas de Diseño y Construcción</w:t>
      </w:r>
      <w:r>
        <w:rPr>
          <w:b/>
        </w:rPr>
        <w:t>-CAIF</w:t>
      </w:r>
      <w:r w:rsidR="001165AF">
        <w:rPr>
          <w:b/>
        </w:rPr>
        <w:t xml:space="preserve">. El requisito inicial de </w:t>
      </w:r>
      <w:r w:rsidR="00F05B98">
        <w:rPr>
          <w:b/>
        </w:rPr>
        <w:t xml:space="preserve">40dB </w:t>
      </w:r>
      <w:r w:rsidR="001165AF">
        <w:rPr>
          <w:b/>
        </w:rPr>
        <w:t>fue modificado (Respuesta 59 en la enmienda al Comun</w:t>
      </w:r>
      <w:bookmarkStart w:id="0" w:name="_GoBack"/>
      <w:bookmarkEnd w:id="0"/>
      <w:r w:rsidR="001165AF">
        <w:rPr>
          <w:b/>
        </w:rPr>
        <w:t>icado 8), de manera que no hay contradicción.</w:t>
      </w:r>
    </w:p>
    <w:p w:rsidR="001165AF" w:rsidRPr="001165AF" w:rsidRDefault="001165AF" w:rsidP="00413C13">
      <w:pPr>
        <w:spacing w:after="0"/>
        <w:jc w:val="both"/>
        <w:rPr>
          <w:b/>
        </w:rPr>
      </w:pPr>
    </w:p>
    <w:p w:rsidR="00970A01" w:rsidRDefault="00EF7388" w:rsidP="00413C13">
      <w:pPr>
        <w:spacing w:after="0"/>
        <w:jc w:val="both"/>
        <w:rPr>
          <w:b/>
          <w:u w:val="single"/>
        </w:rPr>
      </w:pPr>
      <w:r w:rsidRPr="0012491A">
        <w:rPr>
          <w:b/>
          <w:u w:val="single"/>
        </w:rPr>
        <w:t>Consulta</w:t>
      </w:r>
      <w:r w:rsidR="00BB4441" w:rsidRPr="0012491A">
        <w:rPr>
          <w:b/>
          <w:u w:val="single"/>
        </w:rPr>
        <w:t xml:space="preserve"> 3</w:t>
      </w:r>
    </w:p>
    <w:p w:rsidR="00471B01" w:rsidRPr="00471B01" w:rsidRDefault="00471B01" w:rsidP="00471B01">
      <w:r w:rsidRPr="00471B01">
        <w:t>Área temática Nº 1, Condiciones Administrativas – Legales 1.</w:t>
      </w:r>
    </w:p>
    <w:p w:rsidR="00AD0C83" w:rsidRDefault="00471B01" w:rsidP="00471B01">
      <w:r w:rsidRPr="00471B01">
        <w:lastRenderedPageBreak/>
        <w:t>En el Anexo 6 se solicita completar los ingresos operativos, en millones de pesos uruguayos según el siguiente detalle:</w:t>
      </w:r>
    </w:p>
    <w:tbl>
      <w:tblPr>
        <w:tblW w:w="4840" w:type="pct"/>
        <w:tblCellMar>
          <w:left w:w="70" w:type="dxa"/>
          <w:right w:w="70" w:type="dxa"/>
        </w:tblCellMar>
        <w:tblLook w:val="04A0"/>
      </w:tblPr>
      <w:tblGrid>
        <w:gridCol w:w="1098"/>
        <w:gridCol w:w="737"/>
        <w:gridCol w:w="737"/>
        <w:gridCol w:w="1650"/>
        <w:gridCol w:w="1077"/>
        <w:gridCol w:w="1633"/>
        <w:gridCol w:w="1162"/>
      </w:tblGrid>
      <w:tr w:rsidR="008949C8" w:rsidRPr="00D171BA" w:rsidTr="006B74DD">
        <w:trPr>
          <w:trHeight w:val="283"/>
        </w:trPr>
        <w:tc>
          <w:tcPr>
            <w:tcW w:w="679" w:type="pct"/>
            <w:tcBorders>
              <w:top w:val="single" w:sz="8" w:space="0" w:color="auto"/>
              <w:left w:val="single" w:sz="8" w:space="0" w:color="auto"/>
              <w:bottom w:val="single" w:sz="8" w:space="0" w:color="auto"/>
              <w:right w:val="single" w:sz="4" w:space="0" w:color="auto"/>
            </w:tcBorders>
            <w:shd w:val="clear" w:color="000000" w:fill="D8D8D8"/>
            <w:vAlign w:val="center"/>
            <w:hideMark/>
          </w:tcPr>
          <w:p w:rsidR="008949C8" w:rsidRPr="00D171BA" w:rsidRDefault="008949C8" w:rsidP="00FD5B58">
            <w:pPr>
              <w:spacing w:after="0" w:line="240" w:lineRule="auto"/>
              <w:jc w:val="center"/>
              <w:rPr>
                <w:rFonts w:cs="Times New Roman"/>
                <w:color w:val="000000"/>
                <w:lang w:eastAsia="es-ES"/>
              </w:rPr>
            </w:pPr>
            <w:r w:rsidRPr="00D171BA">
              <w:rPr>
                <w:rFonts w:cs="Times New Roman"/>
                <w:color w:val="000000"/>
                <w:lang w:eastAsia="es-ES"/>
              </w:rPr>
              <w:t>Persona jurídica</w:t>
            </w:r>
          </w:p>
        </w:tc>
        <w:tc>
          <w:tcPr>
            <w:tcW w:w="455" w:type="pct"/>
            <w:tcBorders>
              <w:top w:val="single" w:sz="8" w:space="0" w:color="auto"/>
              <w:left w:val="nil"/>
              <w:bottom w:val="single" w:sz="8" w:space="0" w:color="auto"/>
              <w:right w:val="single" w:sz="4" w:space="0" w:color="auto"/>
            </w:tcBorders>
            <w:shd w:val="clear" w:color="000000" w:fill="D8D8D8"/>
            <w:vAlign w:val="center"/>
            <w:hideMark/>
          </w:tcPr>
          <w:p w:rsidR="008949C8" w:rsidRPr="00D171BA" w:rsidRDefault="008949C8" w:rsidP="00FD5B58">
            <w:pPr>
              <w:spacing w:after="0" w:line="240" w:lineRule="auto"/>
              <w:jc w:val="center"/>
              <w:rPr>
                <w:rFonts w:cs="Times New Roman"/>
                <w:color w:val="000000"/>
                <w:lang w:eastAsia="es-ES"/>
              </w:rPr>
            </w:pPr>
            <w:r w:rsidRPr="00D171BA">
              <w:rPr>
                <w:rFonts w:cs="Times New Roman"/>
                <w:color w:val="000000"/>
                <w:lang w:eastAsia="es-ES"/>
              </w:rPr>
              <w:t>2013</w:t>
            </w:r>
            <w:r w:rsidRPr="00D171BA">
              <w:rPr>
                <w:rFonts w:cs="Times New Roman"/>
                <w:color w:val="000000"/>
                <w:lang w:eastAsia="es-ES"/>
              </w:rPr>
              <w:br/>
              <w:t>(A)</w:t>
            </w:r>
          </w:p>
        </w:tc>
        <w:tc>
          <w:tcPr>
            <w:tcW w:w="455" w:type="pct"/>
            <w:tcBorders>
              <w:top w:val="single" w:sz="8" w:space="0" w:color="auto"/>
              <w:left w:val="nil"/>
              <w:bottom w:val="single" w:sz="8" w:space="0" w:color="auto"/>
              <w:right w:val="single" w:sz="4" w:space="0" w:color="auto"/>
            </w:tcBorders>
            <w:shd w:val="clear" w:color="000000" w:fill="D8D8D8"/>
            <w:vAlign w:val="center"/>
            <w:hideMark/>
          </w:tcPr>
          <w:p w:rsidR="008949C8" w:rsidRPr="00D171BA" w:rsidRDefault="008949C8" w:rsidP="00FD5B58">
            <w:pPr>
              <w:spacing w:after="0" w:line="240" w:lineRule="auto"/>
              <w:jc w:val="center"/>
              <w:rPr>
                <w:rFonts w:cs="Times New Roman"/>
                <w:color w:val="000000"/>
                <w:lang w:eastAsia="es-ES"/>
              </w:rPr>
            </w:pPr>
            <w:r w:rsidRPr="00D171BA">
              <w:rPr>
                <w:rFonts w:cs="Times New Roman"/>
                <w:color w:val="000000"/>
                <w:lang w:eastAsia="es-ES"/>
              </w:rPr>
              <w:t>2014</w:t>
            </w:r>
            <w:r w:rsidRPr="00D171BA">
              <w:rPr>
                <w:rFonts w:cs="Times New Roman"/>
                <w:color w:val="000000"/>
                <w:lang w:eastAsia="es-ES"/>
              </w:rPr>
              <w:br/>
              <w:t>(B)</w:t>
            </w:r>
          </w:p>
        </w:tc>
        <w:tc>
          <w:tcPr>
            <w:tcW w:w="1019" w:type="pct"/>
            <w:tcBorders>
              <w:top w:val="single" w:sz="8" w:space="0" w:color="auto"/>
              <w:left w:val="nil"/>
              <w:bottom w:val="single" w:sz="8" w:space="0" w:color="auto"/>
              <w:right w:val="single" w:sz="4" w:space="0" w:color="auto"/>
            </w:tcBorders>
            <w:shd w:val="clear" w:color="000000" w:fill="D8D8D8"/>
            <w:vAlign w:val="center"/>
            <w:hideMark/>
          </w:tcPr>
          <w:p w:rsidR="008949C8" w:rsidRPr="00D171BA" w:rsidRDefault="008949C8" w:rsidP="00FD5B58">
            <w:pPr>
              <w:spacing w:after="0" w:line="240" w:lineRule="auto"/>
              <w:jc w:val="center"/>
              <w:rPr>
                <w:rFonts w:cs="Times New Roman"/>
                <w:color w:val="000000"/>
                <w:lang w:eastAsia="es-ES"/>
              </w:rPr>
            </w:pPr>
            <w:r w:rsidRPr="00D171BA">
              <w:rPr>
                <w:rFonts w:cs="Times New Roman"/>
                <w:color w:val="000000"/>
                <w:lang w:eastAsia="es-ES"/>
              </w:rPr>
              <w:t>2015</w:t>
            </w:r>
            <w:r w:rsidRPr="00D171BA">
              <w:rPr>
                <w:rFonts w:cs="Times New Roman"/>
                <w:color w:val="000000"/>
                <w:lang w:eastAsia="es-ES"/>
              </w:rPr>
              <w:br/>
              <w:t>(C)</w:t>
            </w:r>
          </w:p>
        </w:tc>
        <w:tc>
          <w:tcPr>
            <w:tcW w:w="665" w:type="pct"/>
            <w:tcBorders>
              <w:top w:val="single" w:sz="8" w:space="0" w:color="auto"/>
              <w:left w:val="nil"/>
              <w:bottom w:val="single" w:sz="8" w:space="0" w:color="auto"/>
              <w:right w:val="single" w:sz="4" w:space="0" w:color="auto"/>
            </w:tcBorders>
            <w:shd w:val="clear" w:color="000000" w:fill="D8D8D8"/>
            <w:vAlign w:val="center"/>
            <w:hideMark/>
          </w:tcPr>
          <w:p w:rsidR="008949C8" w:rsidRPr="00D171BA" w:rsidRDefault="008949C8" w:rsidP="00FD5B58">
            <w:pPr>
              <w:spacing w:after="0" w:line="240" w:lineRule="auto"/>
              <w:jc w:val="center"/>
              <w:rPr>
                <w:rFonts w:cs="Times New Roman"/>
                <w:color w:val="000000"/>
                <w:lang w:eastAsia="es-ES"/>
              </w:rPr>
            </w:pPr>
            <w:r w:rsidRPr="00D171BA">
              <w:rPr>
                <w:rFonts w:cs="Times New Roman"/>
                <w:color w:val="000000"/>
                <w:lang w:eastAsia="es-ES"/>
              </w:rPr>
              <w:t>Total</w:t>
            </w:r>
            <w:r w:rsidRPr="00D171BA">
              <w:rPr>
                <w:rFonts w:cs="Times New Roman"/>
                <w:color w:val="000000"/>
                <w:lang w:eastAsia="es-ES"/>
              </w:rPr>
              <w:br/>
              <w:t>(A+B+C)</w:t>
            </w:r>
          </w:p>
        </w:tc>
        <w:tc>
          <w:tcPr>
            <w:tcW w:w="1009" w:type="pct"/>
            <w:tcBorders>
              <w:top w:val="single" w:sz="8" w:space="0" w:color="auto"/>
              <w:left w:val="nil"/>
              <w:bottom w:val="single" w:sz="8" w:space="0" w:color="auto"/>
              <w:right w:val="single" w:sz="4" w:space="0" w:color="auto"/>
            </w:tcBorders>
            <w:shd w:val="clear" w:color="000000" w:fill="D8D8D8"/>
            <w:vAlign w:val="center"/>
            <w:hideMark/>
          </w:tcPr>
          <w:p w:rsidR="008949C8" w:rsidRPr="00D171BA" w:rsidRDefault="008949C8" w:rsidP="00FD5B58">
            <w:pPr>
              <w:spacing w:after="0" w:line="240" w:lineRule="auto"/>
              <w:jc w:val="center"/>
              <w:rPr>
                <w:rFonts w:cs="Times New Roman"/>
                <w:color w:val="000000"/>
                <w:lang w:eastAsia="es-ES"/>
              </w:rPr>
            </w:pPr>
            <w:r w:rsidRPr="00D171BA">
              <w:rPr>
                <w:rFonts w:cs="Times New Roman"/>
                <w:color w:val="000000"/>
                <w:lang w:eastAsia="es-ES"/>
              </w:rPr>
              <w:t xml:space="preserve">% de participación  </w:t>
            </w:r>
            <w:r w:rsidRPr="00D171BA">
              <w:rPr>
                <w:rFonts w:cs="Times New Roman"/>
                <w:color w:val="000000"/>
                <w:sz w:val="16"/>
                <w:szCs w:val="16"/>
                <w:lang w:eastAsia="es-ES"/>
              </w:rPr>
              <w:t>(*)</w:t>
            </w:r>
          </w:p>
        </w:tc>
        <w:tc>
          <w:tcPr>
            <w:tcW w:w="718" w:type="pct"/>
            <w:tcBorders>
              <w:top w:val="single" w:sz="8" w:space="0" w:color="auto"/>
              <w:left w:val="nil"/>
              <w:bottom w:val="single" w:sz="8" w:space="0" w:color="auto"/>
              <w:right w:val="single" w:sz="8" w:space="0" w:color="auto"/>
            </w:tcBorders>
            <w:shd w:val="clear" w:color="000000" w:fill="D8D8D8"/>
            <w:vAlign w:val="center"/>
            <w:hideMark/>
          </w:tcPr>
          <w:p w:rsidR="008949C8" w:rsidRPr="00D171BA" w:rsidRDefault="008949C8" w:rsidP="00FD5B58">
            <w:pPr>
              <w:spacing w:after="0" w:line="240" w:lineRule="auto"/>
              <w:jc w:val="center"/>
              <w:rPr>
                <w:rFonts w:cs="Times New Roman"/>
                <w:color w:val="000000"/>
                <w:lang w:eastAsia="es-ES"/>
              </w:rPr>
            </w:pPr>
            <w:r w:rsidRPr="00D171BA">
              <w:rPr>
                <w:rFonts w:cs="Times New Roman"/>
                <w:color w:val="000000"/>
                <w:lang w:eastAsia="es-ES"/>
              </w:rPr>
              <w:t xml:space="preserve">Mínimo </w:t>
            </w:r>
            <w:r w:rsidRPr="00D171BA">
              <w:rPr>
                <w:rFonts w:cs="Times New Roman"/>
                <w:color w:val="000000"/>
                <w:sz w:val="16"/>
                <w:szCs w:val="16"/>
                <w:lang w:eastAsia="es-ES"/>
              </w:rPr>
              <w:t>(**)</w:t>
            </w:r>
          </w:p>
        </w:tc>
      </w:tr>
      <w:tr w:rsidR="006B74DD" w:rsidRPr="00D171BA" w:rsidTr="006B74DD">
        <w:trPr>
          <w:trHeight w:val="113"/>
        </w:trPr>
        <w:tc>
          <w:tcPr>
            <w:tcW w:w="679" w:type="pct"/>
            <w:tcBorders>
              <w:top w:val="nil"/>
              <w:left w:val="single" w:sz="4" w:space="0" w:color="auto"/>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455"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455"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1019"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665"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1009"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718"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r>
      <w:tr w:rsidR="006B74DD" w:rsidRPr="00D171BA" w:rsidTr="006B74DD">
        <w:trPr>
          <w:trHeight w:val="113"/>
        </w:trPr>
        <w:tc>
          <w:tcPr>
            <w:tcW w:w="679" w:type="pct"/>
            <w:tcBorders>
              <w:top w:val="nil"/>
              <w:left w:val="single" w:sz="4" w:space="0" w:color="auto"/>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455"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455"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1019"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665"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1009"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718"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r>
      <w:tr w:rsidR="006B74DD" w:rsidRPr="00D171BA" w:rsidTr="006B74DD">
        <w:trPr>
          <w:trHeight w:val="113"/>
        </w:trPr>
        <w:tc>
          <w:tcPr>
            <w:tcW w:w="679" w:type="pct"/>
            <w:tcBorders>
              <w:top w:val="nil"/>
              <w:left w:val="single" w:sz="4" w:space="0" w:color="auto"/>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455"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455"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1019"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665"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1009"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718"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r>
      <w:tr w:rsidR="006B74DD" w:rsidRPr="00D171BA" w:rsidTr="006B74DD">
        <w:trPr>
          <w:trHeight w:val="113"/>
        </w:trPr>
        <w:tc>
          <w:tcPr>
            <w:tcW w:w="679" w:type="pct"/>
            <w:tcBorders>
              <w:top w:val="nil"/>
              <w:left w:val="single" w:sz="4" w:space="0" w:color="auto"/>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455"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455"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1019"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665"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1009"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718"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r>
      <w:tr w:rsidR="006B74DD" w:rsidRPr="00D171BA" w:rsidTr="006B74DD">
        <w:trPr>
          <w:trHeight w:val="113"/>
        </w:trPr>
        <w:tc>
          <w:tcPr>
            <w:tcW w:w="679" w:type="pct"/>
            <w:tcBorders>
              <w:top w:val="nil"/>
              <w:left w:val="single" w:sz="4" w:space="0" w:color="auto"/>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455"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455"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1019"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665"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1009"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718"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r>
      <w:tr w:rsidR="006B74DD" w:rsidRPr="00D171BA" w:rsidTr="006B74DD">
        <w:trPr>
          <w:trHeight w:val="118"/>
        </w:trPr>
        <w:tc>
          <w:tcPr>
            <w:tcW w:w="679" w:type="pct"/>
            <w:tcBorders>
              <w:top w:val="nil"/>
              <w:left w:val="single" w:sz="4" w:space="0" w:color="auto"/>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455"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455"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1019" w:type="pct"/>
            <w:tcBorders>
              <w:top w:val="nil"/>
              <w:left w:val="nil"/>
              <w:bottom w:val="nil"/>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665" w:type="pct"/>
            <w:tcBorders>
              <w:top w:val="nil"/>
              <w:left w:val="nil"/>
              <w:bottom w:val="nil"/>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1009"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718" w:type="pct"/>
            <w:tcBorders>
              <w:top w:val="nil"/>
              <w:left w:val="nil"/>
              <w:bottom w:val="single" w:sz="4" w:space="0" w:color="auto"/>
              <w:right w:val="single" w:sz="4"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r>
      <w:tr w:rsidR="006B74DD" w:rsidRPr="00D171BA" w:rsidTr="006B74DD">
        <w:trPr>
          <w:trHeight w:val="283"/>
        </w:trPr>
        <w:tc>
          <w:tcPr>
            <w:tcW w:w="679" w:type="pct"/>
            <w:tcBorders>
              <w:top w:val="nil"/>
              <w:left w:val="nil"/>
              <w:bottom w:val="nil"/>
              <w:right w:val="nil"/>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p>
        </w:tc>
        <w:tc>
          <w:tcPr>
            <w:tcW w:w="455" w:type="pct"/>
            <w:tcBorders>
              <w:top w:val="nil"/>
              <w:left w:val="nil"/>
              <w:bottom w:val="nil"/>
              <w:right w:val="nil"/>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p>
        </w:tc>
        <w:tc>
          <w:tcPr>
            <w:tcW w:w="455" w:type="pct"/>
            <w:tcBorders>
              <w:top w:val="nil"/>
              <w:left w:val="nil"/>
              <w:bottom w:val="nil"/>
              <w:right w:val="nil"/>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1019" w:type="pct"/>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8949C8" w:rsidRPr="00D171BA" w:rsidRDefault="008949C8" w:rsidP="008949C8">
            <w:pPr>
              <w:spacing w:after="0" w:line="240" w:lineRule="auto"/>
              <w:jc w:val="right"/>
              <w:rPr>
                <w:rFonts w:cs="Times New Roman"/>
                <w:color w:val="000000"/>
                <w:lang w:eastAsia="es-ES"/>
              </w:rPr>
            </w:pPr>
            <w:r w:rsidRPr="00D171BA">
              <w:rPr>
                <w:rFonts w:cs="Times New Roman"/>
                <w:color w:val="000000"/>
                <w:lang w:eastAsia="es-ES"/>
              </w:rPr>
              <w:t xml:space="preserve">Total </w:t>
            </w:r>
            <w:r>
              <w:rPr>
                <w:rFonts w:cs="Times New Roman"/>
                <w:color w:val="000000"/>
                <w:lang w:eastAsia="es-ES"/>
              </w:rPr>
              <w:t xml:space="preserve"> (**) =</w:t>
            </w:r>
          </w:p>
        </w:tc>
        <w:tc>
          <w:tcPr>
            <w:tcW w:w="665" w:type="pct"/>
            <w:tcBorders>
              <w:top w:val="single" w:sz="8" w:space="0" w:color="auto"/>
              <w:left w:val="nil"/>
              <w:bottom w:val="single" w:sz="8" w:space="0" w:color="auto"/>
              <w:right w:val="single" w:sz="8" w:space="0" w:color="auto"/>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r w:rsidRPr="00D171BA">
              <w:rPr>
                <w:rFonts w:cs="Times New Roman"/>
                <w:color w:val="000000"/>
                <w:lang w:eastAsia="es-ES"/>
              </w:rPr>
              <w:t> </w:t>
            </w:r>
          </w:p>
        </w:tc>
        <w:tc>
          <w:tcPr>
            <w:tcW w:w="1009" w:type="pct"/>
            <w:tcBorders>
              <w:top w:val="nil"/>
              <w:left w:val="nil"/>
              <w:bottom w:val="nil"/>
              <w:right w:val="nil"/>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p>
        </w:tc>
        <w:tc>
          <w:tcPr>
            <w:tcW w:w="718" w:type="pct"/>
            <w:tcBorders>
              <w:top w:val="nil"/>
              <w:left w:val="nil"/>
              <w:bottom w:val="nil"/>
              <w:right w:val="nil"/>
            </w:tcBorders>
            <w:shd w:val="clear" w:color="auto" w:fill="auto"/>
            <w:noWrap/>
            <w:vAlign w:val="bottom"/>
            <w:hideMark/>
          </w:tcPr>
          <w:p w:rsidR="008949C8" w:rsidRPr="00D171BA" w:rsidRDefault="008949C8" w:rsidP="00FD5B58">
            <w:pPr>
              <w:spacing w:after="0" w:line="240" w:lineRule="auto"/>
              <w:rPr>
                <w:rFonts w:cs="Times New Roman"/>
                <w:color w:val="000000"/>
                <w:lang w:eastAsia="es-ES"/>
              </w:rPr>
            </w:pPr>
          </w:p>
        </w:tc>
      </w:tr>
    </w:tbl>
    <w:p w:rsidR="00471B01" w:rsidRDefault="008242FF" w:rsidP="005E015D">
      <w:pPr>
        <w:spacing w:after="0"/>
        <w:rPr>
          <w:b/>
          <w:u w:val="single"/>
        </w:rPr>
      </w:pPr>
      <w:r w:rsidRPr="008242FF">
        <w:t>Los montos a completar en cada columna (A), (B), (C), (A+B+C) deberán contemplar la ponderación por el porcentaje de participación</w:t>
      </w:r>
      <w:proofErr w:type="gramStart"/>
      <w:r w:rsidRPr="008242FF">
        <w:t>?</w:t>
      </w:r>
      <w:proofErr w:type="gramEnd"/>
      <w:r w:rsidRPr="008242FF">
        <w:t xml:space="preserve"> O por el contrario debe completarse el </w:t>
      </w:r>
      <w:r>
        <w:t>a</w:t>
      </w:r>
      <w:r w:rsidRPr="008242FF">
        <w:t>nexo con los ingresos totales y la Administración realizará la ponderación correspondiente para evaluar el cumplimiento del requisito</w:t>
      </w:r>
      <w:proofErr w:type="gramStart"/>
      <w:r w:rsidRPr="008242FF">
        <w:t>?</w:t>
      </w:r>
      <w:proofErr w:type="gramEnd"/>
      <w:r w:rsidRPr="008242FF">
        <w:t xml:space="preserve"> </w:t>
      </w:r>
    </w:p>
    <w:p w:rsidR="002810B7" w:rsidRDefault="002810B7" w:rsidP="002810B7">
      <w:pPr>
        <w:autoSpaceDE w:val="0"/>
        <w:autoSpaceDN w:val="0"/>
        <w:adjustRightInd w:val="0"/>
        <w:spacing w:after="0" w:line="240" w:lineRule="auto"/>
        <w:jc w:val="both"/>
        <w:rPr>
          <w:b/>
          <w:sz w:val="32"/>
        </w:rPr>
      </w:pPr>
      <w:r w:rsidRPr="00537D3F">
        <w:rPr>
          <w:b/>
          <w:sz w:val="32"/>
        </w:rPr>
        <w:t>RESPUESTA:</w:t>
      </w:r>
    </w:p>
    <w:p w:rsidR="00AD0C83" w:rsidRPr="00AD0C83" w:rsidRDefault="00AD0C83" w:rsidP="00B503EC">
      <w:pPr>
        <w:spacing w:after="0"/>
        <w:jc w:val="both"/>
        <w:rPr>
          <w:b/>
        </w:rPr>
      </w:pPr>
      <w:r>
        <w:rPr>
          <w:b/>
        </w:rPr>
        <w:t>Debe completarse los ingresos totales.</w:t>
      </w:r>
    </w:p>
    <w:p w:rsidR="00AD0C83" w:rsidRDefault="00AD0C83" w:rsidP="00B503EC">
      <w:pPr>
        <w:spacing w:after="0"/>
        <w:jc w:val="both"/>
        <w:rPr>
          <w:b/>
          <w:u w:val="single"/>
        </w:rPr>
      </w:pPr>
    </w:p>
    <w:p w:rsidR="00270D32" w:rsidRDefault="00B503EC" w:rsidP="00270D32">
      <w:pPr>
        <w:spacing w:after="0"/>
        <w:jc w:val="both"/>
        <w:rPr>
          <w:b/>
          <w:u w:val="single"/>
        </w:rPr>
      </w:pPr>
      <w:r w:rsidRPr="00B658CA">
        <w:rPr>
          <w:b/>
          <w:u w:val="single"/>
        </w:rPr>
        <w:t xml:space="preserve">Consulta </w:t>
      </w:r>
      <w:r>
        <w:rPr>
          <w:b/>
          <w:u w:val="single"/>
        </w:rPr>
        <w:t>4</w:t>
      </w:r>
    </w:p>
    <w:p w:rsidR="00270D32" w:rsidRPr="00270D32" w:rsidRDefault="00270D32" w:rsidP="00270D32">
      <w:pPr>
        <w:spacing w:after="0"/>
        <w:jc w:val="both"/>
        <w:rPr>
          <w:b/>
          <w:u w:val="single"/>
        </w:rPr>
      </w:pPr>
      <w:r>
        <w:t>Cláusula 6.2.i Contrato</w:t>
      </w:r>
    </w:p>
    <w:p w:rsidR="00270D32" w:rsidRDefault="00270D32" w:rsidP="00270D32">
      <w:pPr>
        <w:spacing w:after="0"/>
        <w:ind w:right="-568"/>
      </w:pPr>
      <w:r>
        <w:t>Según la redacción de la cláusula, la Contratista asumirá “</w:t>
      </w:r>
      <w:r w:rsidRPr="00B50973">
        <w:rPr>
          <w:i/>
        </w:rPr>
        <w:t>las obligaciones generadas con terceros como consecuencia de la ejecución del contrato</w:t>
      </w:r>
      <w:r>
        <w:t>”. Consideramos que esta cláusula es demasiado amplia y podría entenderse como general para todo aquello que no venga regulado expresamente en el contrato, por lo que solicitamos su eliminación o una redacción más particular hacia el punto que se pretenda regular.</w:t>
      </w:r>
    </w:p>
    <w:p w:rsidR="002810B7" w:rsidRDefault="002810B7" w:rsidP="002810B7">
      <w:pPr>
        <w:autoSpaceDE w:val="0"/>
        <w:autoSpaceDN w:val="0"/>
        <w:adjustRightInd w:val="0"/>
        <w:spacing w:after="0" w:line="240" w:lineRule="auto"/>
        <w:jc w:val="both"/>
        <w:rPr>
          <w:b/>
          <w:sz w:val="32"/>
        </w:rPr>
      </w:pPr>
      <w:r w:rsidRPr="00537D3F">
        <w:rPr>
          <w:b/>
          <w:sz w:val="32"/>
        </w:rPr>
        <w:t>RESPUESTA:</w:t>
      </w:r>
    </w:p>
    <w:p w:rsidR="001F2794" w:rsidRPr="00E50ACE" w:rsidRDefault="00270D32" w:rsidP="002F108A">
      <w:pPr>
        <w:spacing w:after="0"/>
        <w:jc w:val="both"/>
        <w:rPr>
          <w:b/>
        </w:rPr>
      </w:pPr>
      <w:r>
        <w:rPr>
          <w:b/>
        </w:rPr>
        <w:t>Se mantiene lo establecido</w:t>
      </w:r>
    </w:p>
    <w:p w:rsidR="002571F5" w:rsidRDefault="002571F5" w:rsidP="001F2794">
      <w:pPr>
        <w:spacing w:after="0"/>
        <w:jc w:val="both"/>
        <w:rPr>
          <w:b/>
          <w:u w:val="single"/>
        </w:rPr>
      </w:pPr>
    </w:p>
    <w:p w:rsidR="00270D32" w:rsidRDefault="00A66462" w:rsidP="00270D32">
      <w:pPr>
        <w:spacing w:after="0"/>
        <w:jc w:val="both"/>
        <w:rPr>
          <w:b/>
          <w:u w:val="single"/>
        </w:rPr>
      </w:pPr>
      <w:r w:rsidRPr="00920963">
        <w:rPr>
          <w:b/>
          <w:u w:val="single"/>
        </w:rPr>
        <w:t>Consulta</w:t>
      </w:r>
      <w:r>
        <w:rPr>
          <w:b/>
          <w:u w:val="single"/>
        </w:rPr>
        <w:t xml:space="preserve"> </w:t>
      </w:r>
      <w:r w:rsidR="00B503EC">
        <w:rPr>
          <w:b/>
          <w:u w:val="single"/>
        </w:rPr>
        <w:t>5</w:t>
      </w:r>
    </w:p>
    <w:p w:rsidR="00270D32" w:rsidRPr="00270D32" w:rsidRDefault="00270D32" w:rsidP="00270D32">
      <w:pPr>
        <w:spacing w:after="0"/>
        <w:jc w:val="both"/>
        <w:rPr>
          <w:b/>
          <w:u w:val="single"/>
        </w:rPr>
      </w:pPr>
      <w:r>
        <w:t>Cláusula 6.2.k Contrato</w:t>
      </w:r>
    </w:p>
    <w:p w:rsidR="00270D32" w:rsidRDefault="00270D32" w:rsidP="00270D32">
      <w:pPr>
        <w:spacing w:after="0"/>
        <w:ind w:right="-568"/>
      </w:pPr>
      <w:r>
        <w:t xml:space="preserve">Los centros educativos están en su gran mayoría gestionados por el Estado. Un cambio de normativa que afecte al sector tendría efecto en los proveedores Estado (principalmente) y algunos otros como el Contratista, y desde el punto de vista de quien promulgue normas futuras, un cambio de normativa en el sector podrá pensarse que afectará al Estado, sin tener en cuenta su afectación a otros proveedores (como el Contratista), ya sea por desconocimiento o por pensar que tienen los mecanismos contractuales correspondientes que mitigan dicha acción. Sin embargo, en este caso este proyecto se vería afectado de forma exclusiva dentro de las edificaciones privadas, sin posibilidad de trasladar el riesgo a la Contratante. </w:t>
      </w:r>
    </w:p>
    <w:p w:rsidR="005E015D" w:rsidRDefault="005E015D" w:rsidP="00270D32">
      <w:pPr>
        <w:spacing w:after="0"/>
        <w:ind w:right="-568"/>
      </w:pPr>
    </w:p>
    <w:p w:rsidR="00270D32" w:rsidRDefault="00270D32" w:rsidP="00270D32">
      <w:pPr>
        <w:spacing w:after="0"/>
        <w:ind w:right="-568"/>
      </w:pPr>
      <w:r>
        <w:t>Es por esto que solicitamos añadir, al final de la cláusula: “</w:t>
      </w:r>
      <w:r w:rsidRPr="00B836D3">
        <w:rPr>
          <w:i/>
        </w:rPr>
        <w:t>… o al sector educación en particular.</w:t>
      </w:r>
      <w:r>
        <w:t>”</w:t>
      </w:r>
    </w:p>
    <w:p w:rsidR="00E50ACE" w:rsidRDefault="00A66462" w:rsidP="00ED348D">
      <w:pPr>
        <w:autoSpaceDE w:val="0"/>
        <w:autoSpaceDN w:val="0"/>
        <w:adjustRightInd w:val="0"/>
        <w:spacing w:after="0" w:line="240" w:lineRule="auto"/>
        <w:jc w:val="both"/>
        <w:rPr>
          <w:b/>
          <w:sz w:val="32"/>
        </w:rPr>
      </w:pPr>
      <w:r w:rsidRPr="00537D3F">
        <w:rPr>
          <w:b/>
          <w:sz w:val="32"/>
        </w:rPr>
        <w:t>RESPUESTA:</w:t>
      </w:r>
    </w:p>
    <w:p w:rsidR="00270D32" w:rsidRPr="00E50ACE" w:rsidRDefault="00270D32" w:rsidP="00270D32">
      <w:pPr>
        <w:spacing w:after="0"/>
        <w:jc w:val="both"/>
        <w:rPr>
          <w:b/>
        </w:rPr>
      </w:pPr>
      <w:r>
        <w:rPr>
          <w:b/>
        </w:rPr>
        <w:t>Se mantiene lo establecido</w:t>
      </w:r>
    </w:p>
    <w:p w:rsidR="00270D32" w:rsidRDefault="00270D32" w:rsidP="002F108A">
      <w:pPr>
        <w:spacing w:after="0"/>
        <w:jc w:val="both"/>
        <w:rPr>
          <w:b/>
          <w:u w:val="single"/>
        </w:rPr>
      </w:pPr>
    </w:p>
    <w:p w:rsidR="00ED348D" w:rsidRDefault="00ED348D" w:rsidP="00516990">
      <w:pPr>
        <w:spacing w:after="0"/>
        <w:jc w:val="both"/>
        <w:rPr>
          <w:b/>
          <w:u w:val="single"/>
        </w:rPr>
      </w:pPr>
    </w:p>
    <w:p w:rsidR="00ED348D" w:rsidRDefault="00ED348D" w:rsidP="00516990">
      <w:pPr>
        <w:spacing w:after="0"/>
        <w:jc w:val="both"/>
        <w:rPr>
          <w:b/>
          <w:u w:val="single"/>
        </w:rPr>
      </w:pPr>
    </w:p>
    <w:p w:rsidR="00ED348D" w:rsidRDefault="00ED348D" w:rsidP="00516990">
      <w:pPr>
        <w:spacing w:after="0"/>
        <w:jc w:val="both"/>
        <w:rPr>
          <w:b/>
          <w:u w:val="single"/>
        </w:rPr>
      </w:pPr>
    </w:p>
    <w:p w:rsidR="00516990" w:rsidRDefault="00C30F4F" w:rsidP="00516990">
      <w:pPr>
        <w:spacing w:after="0"/>
        <w:jc w:val="both"/>
        <w:rPr>
          <w:b/>
          <w:u w:val="single"/>
        </w:rPr>
      </w:pPr>
      <w:r w:rsidRPr="00920963">
        <w:rPr>
          <w:b/>
          <w:u w:val="single"/>
        </w:rPr>
        <w:lastRenderedPageBreak/>
        <w:t>Consulta</w:t>
      </w:r>
      <w:r>
        <w:rPr>
          <w:b/>
          <w:u w:val="single"/>
        </w:rPr>
        <w:t xml:space="preserve"> </w:t>
      </w:r>
      <w:r w:rsidR="00B503EC">
        <w:rPr>
          <w:b/>
          <w:u w:val="single"/>
        </w:rPr>
        <w:t>6</w:t>
      </w:r>
    </w:p>
    <w:p w:rsidR="00516990" w:rsidRPr="00516990" w:rsidRDefault="00516990" w:rsidP="00516990">
      <w:pPr>
        <w:spacing w:after="0"/>
        <w:jc w:val="both"/>
        <w:rPr>
          <w:b/>
          <w:u w:val="single"/>
        </w:rPr>
      </w:pPr>
      <w:r>
        <w:t>Cláusula 6.2.l Contrato</w:t>
      </w:r>
    </w:p>
    <w:p w:rsidR="00516990" w:rsidRDefault="00516990" w:rsidP="005E015D">
      <w:pPr>
        <w:pStyle w:val="Prrafodelista"/>
        <w:spacing w:after="0"/>
        <w:ind w:left="0"/>
      </w:pPr>
      <w:r>
        <w:t>Solicitamos añadir al final de la cláusula: “</w:t>
      </w:r>
      <w:r w:rsidRPr="00B65469">
        <w:rPr>
          <w:i/>
        </w:rPr>
        <w:t>… siempre que no afecten de manera significativa a la viabilidad económica – financiera del proyecto.</w:t>
      </w:r>
      <w:r>
        <w:t>”</w:t>
      </w:r>
    </w:p>
    <w:p w:rsidR="00C30F4F" w:rsidRDefault="00C30F4F" w:rsidP="00ED348D">
      <w:pPr>
        <w:autoSpaceDE w:val="0"/>
        <w:autoSpaceDN w:val="0"/>
        <w:adjustRightInd w:val="0"/>
        <w:spacing w:after="0" w:line="240" w:lineRule="auto"/>
        <w:jc w:val="both"/>
        <w:rPr>
          <w:b/>
          <w:sz w:val="32"/>
        </w:rPr>
      </w:pPr>
      <w:r w:rsidRPr="00537D3F">
        <w:rPr>
          <w:b/>
          <w:sz w:val="32"/>
        </w:rPr>
        <w:t>RESPUESTA:</w:t>
      </w:r>
    </w:p>
    <w:p w:rsidR="00660071" w:rsidRDefault="00516990" w:rsidP="00FA3D65">
      <w:pPr>
        <w:spacing w:after="0"/>
        <w:jc w:val="both"/>
        <w:rPr>
          <w:b/>
        </w:rPr>
      </w:pPr>
      <w:r>
        <w:rPr>
          <w:b/>
        </w:rPr>
        <w:t>Se mantiene lo establecido.</w:t>
      </w:r>
    </w:p>
    <w:p w:rsidR="00516990" w:rsidRPr="00660071" w:rsidRDefault="00516990" w:rsidP="00FA3D65">
      <w:pPr>
        <w:spacing w:after="0"/>
        <w:jc w:val="both"/>
        <w:rPr>
          <w:b/>
        </w:rPr>
      </w:pPr>
    </w:p>
    <w:p w:rsidR="003E6A73" w:rsidRDefault="00C30F4F" w:rsidP="003E6A73">
      <w:pPr>
        <w:spacing w:after="0"/>
        <w:jc w:val="both"/>
        <w:rPr>
          <w:b/>
          <w:u w:val="single"/>
        </w:rPr>
      </w:pPr>
      <w:r w:rsidRPr="00920963">
        <w:rPr>
          <w:b/>
          <w:u w:val="single"/>
        </w:rPr>
        <w:t>Consulta</w:t>
      </w:r>
      <w:r>
        <w:rPr>
          <w:b/>
          <w:u w:val="single"/>
        </w:rPr>
        <w:t xml:space="preserve"> </w:t>
      </w:r>
      <w:r w:rsidR="00B503EC">
        <w:rPr>
          <w:b/>
          <w:u w:val="single"/>
        </w:rPr>
        <w:t>7</w:t>
      </w:r>
    </w:p>
    <w:p w:rsidR="003E6A73" w:rsidRPr="003E6A73" w:rsidRDefault="003E6A73" w:rsidP="003E6A73">
      <w:pPr>
        <w:spacing w:after="0"/>
        <w:jc w:val="both"/>
        <w:rPr>
          <w:b/>
          <w:u w:val="single"/>
        </w:rPr>
      </w:pPr>
      <w:r>
        <w:t>Cláusula 9.3 Contrato</w:t>
      </w:r>
    </w:p>
    <w:p w:rsidR="003E6A73" w:rsidRDefault="003E6A73" w:rsidP="005E015D">
      <w:pPr>
        <w:pStyle w:val="Prrafodelista"/>
        <w:spacing w:after="0"/>
        <w:ind w:left="0"/>
      </w:pPr>
      <w:r>
        <w:t>Solicitamos añadir un párrafo final: “</w:t>
      </w:r>
      <w:r w:rsidRPr="00B65469">
        <w:rPr>
          <w:i/>
        </w:rPr>
        <w:t>Todo ello, sin perjuicio del derecho de la Contratista a ejercer su derecho de oposición.</w:t>
      </w:r>
      <w:r>
        <w:t>”</w:t>
      </w:r>
    </w:p>
    <w:p w:rsidR="00C30F4F" w:rsidRDefault="00C30F4F" w:rsidP="00ED348D">
      <w:pPr>
        <w:autoSpaceDE w:val="0"/>
        <w:autoSpaceDN w:val="0"/>
        <w:adjustRightInd w:val="0"/>
        <w:spacing w:after="0" w:line="240" w:lineRule="auto"/>
        <w:jc w:val="both"/>
        <w:rPr>
          <w:b/>
          <w:sz w:val="32"/>
        </w:rPr>
      </w:pPr>
      <w:r w:rsidRPr="00537D3F">
        <w:rPr>
          <w:b/>
          <w:sz w:val="32"/>
        </w:rPr>
        <w:t>RESPUESTA:</w:t>
      </w:r>
    </w:p>
    <w:p w:rsidR="006720B3" w:rsidRDefault="00E86776" w:rsidP="004448E5">
      <w:pPr>
        <w:spacing w:after="0"/>
        <w:jc w:val="both"/>
        <w:rPr>
          <w:b/>
        </w:rPr>
      </w:pPr>
      <w:r>
        <w:rPr>
          <w:b/>
        </w:rPr>
        <w:t>Se mantiene lo establecido. Remitirse a Clausula 18.1 del Proyecto del Contrato (PC).</w:t>
      </w:r>
    </w:p>
    <w:p w:rsidR="005E015D" w:rsidRDefault="005E015D" w:rsidP="004448E5">
      <w:pPr>
        <w:spacing w:after="0"/>
        <w:jc w:val="both"/>
        <w:rPr>
          <w:b/>
        </w:rPr>
      </w:pPr>
    </w:p>
    <w:p w:rsidR="0000682C" w:rsidRDefault="00D9057C" w:rsidP="0000682C">
      <w:pPr>
        <w:spacing w:after="0"/>
        <w:jc w:val="both"/>
        <w:rPr>
          <w:lang w:val="es-UY"/>
        </w:rPr>
      </w:pPr>
      <w:r w:rsidRPr="00920963">
        <w:rPr>
          <w:b/>
          <w:u w:val="single"/>
        </w:rPr>
        <w:t>Consulta</w:t>
      </w:r>
      <w:r>
        <w:rPr>
          <w:b/>
          <w:u w:val="single"/>
        </w:rPr>
        <w:t xml:space="preserve"> </w:t>
      </w:r>
      <w:r w:rsidR="00B503EC">
        <w:rPr>
          <w:b/>
          <w:u w:val="single"/>
        </w:rPr>
        <w:t>8</w:t>
      </w:r>
      <w:r w:rsidR="00EF4E76" w:rsidRPr="00EF4E76">
        <w:rPr>
          <w:lang w:val="es-UY"/>
        </w:rPr>
        <w:t xml:space="preserve"> </w:t>
      </w:r>
    </w:p>
    <w:p w:rsidR="0000682C" w:rsidRPr="0000682C" w:rsidRDefault="0000682C" w:rsidP="0000682C">
      <w:pPr>
        <w:spacing w:after="0"/>
        <w:jc w:val="both"/>
        <w:rPr>
          <w:lang w:val="es-UY"/>
        </w:rPr>
      </w:pPr>
      <w:r>
        <w:t>Cláusula 10.3 Contrato</w:t>
      </w:r>
    </w:p>
    <w:p w:rsidR="007B19F5" w:rsidRDefault="0000682C" w:rsidP="0000682C">
      <w:pPr>
        <w:spacing w:after="0"/>
        <w:ind w:right="-568"/>
      </w:pPr>
      <w:r>
        <w:t>Se solicita redactar la primera frase de la cláusula de la forma que sigue: “</w:t>
      </w:r>
      <w:r>
        <w:rPr>
          <w:i/>
        </w:rPr>
        <w:t xml:space="preserve">Cualquier alteración a los instrumentos de financiación aprobados </w:t>
      </w:r>
      <w:r w:rsidRPr="00B65469">
        <w:rPr>
          <w:i/>
        </w:rPr>
        <w:t>deberá req</w:t>
      </w:r>
      <w:r>
        <w:rPr>
          <w:i/>
        </w:rPr>
        <w:t>uerir autorización previa de la A</w:t>
      </w:r>
      <w:r w:rsidRPr="00B65469">
        <w:rPr>
          <w:i/>
        </w:rPr>
        <w:t>dministración Pública contratante, qu</w:t>
      </w:r>
      <w:r>
        <w:rPr>
          <w:i/>
        </w:rPr>
        <w:t>ien</w:t>
      </w:r>
      <w:r w:rsidRPr="00B65469">
        <w:rPr>
          <w:i/>
        </w:rPr>
        <w:t xml:space="preserve"> sólo podrá negar</w:t>
      </w:r>
      <w:r>
        <w:rPr>
          <w:i/>
        </w:rPr>
        <w:t>la</w:t>
      </w:r>
      <w:r w:rsidRPr="00B65469">
        <w:rPr>
          <w:i/>
        </w:rPr>
        <w:t xml:space="preserve"> de manera justificada.</w:t>
      </w:r>
      <w:r>
        <w:t>”</w:t>
      </w:r>
    </w:p>
    <w:p w:rsidR="00D9057C" w:rsidRDefault="00D9057C" w:rsidP="00ED348D">
      <w:pPr>
        <w:autoSpaceDE w:val="0"/>
        <w:autoSpaceDN w:val="0"/>
        <w:adjustRightInd w:val="0"/>
        <w:spacing w:after="0" w:line="240" w:lineRule="auto"/>
        <w:jc w:val="both"/>
        <w:rPr>
          <w:b/>
          <w:sz w:val="32"/>
        </w:rPr>
      </w:pPr>
      <w:r w:rsidRPr="00537D3F">
        <w:rPr>
          <w:b/>
          <w:sz w:val="32"/>
        </w:rPr>
        <w:t>RESPUESTA:</w:t>
      </w:r>
    </w:p>
    <w:p w:rsidR="0000682C" w:rsidRPr="0000682C" w:rsidRDefault="0000682C" w:rsidP="0000682C">
      <w:pPr>
        <w:spacing w:after="0"/>
        <w:jc w:val="both"/>
        <w:rPr>
          <w:b/>
          <w:lang w:val="es-UY"/>
        </w:rPr>
      </w:pPr>
      <w:r w:rsidRPr="0000682C">
        <w:rPr>
          <w:b/>
        </w:rPr>
        <w:t>Cláusula 10.3 Contrato</w:t>
      </w:r>
    </w:p>
    <w:p w:rsidR="007B19F5" w:rsidRDefault="0000682C" w:rsidP="00EF4E76">
      <w:pPr>
        <w:spacing w:after="0"/>
        <w:jc w:val="both"/>
        <w:rPr>
          <w:b/>
        </w:rPr>
      </w:pPr>
      <w:r>
        <w:rPr>
          <w:b/>
        </w:rPr>
        <w:t>Donde dice:</w:t>
      </w:r>
    </w:p>
    <w:p w:rsidR="0000682C" w:rsidRDefault="0000682C" w:rsidP="0000682C">
      <w:pPr>
        <w:rPr>
          <w:b/>
        </w:rPr>
      </w:pPr>
      <w:r w:rsidRPr="0000682C">
        <w:rPr>
          <w:b/>
        </w:rPr>
        <w:t>“Cualquier alteración a los instrumentos de financiación aprobados deberá requerir autorización previa de la Administración Pública contratante. No obstante, no quedarán comprendidas en dicha obligación de autorización previa las operaciones realizadas en el mercado secundario referentes a obligaciones negociables, acciones u otros instrumentos financieros o títulos valores.”</w:t>
      </w:r>
    </w:p>
    <w:p w:rsidR="0000682C" w:rsidRDefault="0000682C" w:rsidP="0000682C">
      <w:pPr>
        <w:spacing w:after="0"/>
        <w:jc w:val="both"/>
        <w:rPr>
          <w:b/>
        </w:rPr>
      </w:pPr>
      <w:r>
        <w:rPr>
          <w:b/>
        </w:rPr>
        <w:t>Debe decir:</w:t>
      </w:r>
    </w:p>
    <w:p w:rsidR="0000682C" w:rsidRDefault="0000682C" w:rsidP="0000682C">
      <w:pPr>
        <w:rPr>
          <w:b/>
        </w:rPr>
      </w:pPr>
      <w:r w:rsidRPr="0000682C">
        <w:rPr>
          <w:b/>
        </w:rPr>
        <w:t>“Cualquier alteración a los instrumentos de financiación aprobados deberá requerir autorización previa de la Administración Pública contratante</w:t>
      </w:r>
      <w:r>
        <w:rPr>
          <w:b/>
        </w:rPr>
        <w:t>,</w:t>
      </w:r>
      <w:r w:rsidRPr="0000682C">
        <w:rPr>
          <w:i/>
        </w:rPr>
        <w:t xml:space="preserve"> </w:t>
      </w:r>
      <w:r w:rsidRPr="0000682C">
        <w:rPr>
          <w:b/>
        </w:rPr>
        <w:t>quien sólo podrá negarla de manera justificada. No obstante, no quedarán comprendidas en dicha obligación de autorización previa las operaciones realizadas en el mercado secundario referentes a obligaciones negociables, acciones u otros instrumentos financieros o títulos valores.”</w:t>
      </w:r>
    </w:p>
    <w:p w:rsidR="00ED5D4E" w:rsidRDefault="007B19F5" w:rsidP="00ED5D4E">
      <w:pPr>
        <w:spacing w:after="0"/>
        <w:jc w:val="both"/>
        <w:rPr>
          <w:b/>
          <w:u w:val="single"/>
        </w:rPr>
      </w:pPr>
      <w:r w:rsidRPr="00920963">
        <w:rPr>
          <w:b/>
          <w:u w:val="single"/>
        </w:rPr>
        <w:t>Consulta</w:t>
      </w:r>
      <w:r>
        <w:rPr>
          <w:b/>
          <w:u w:val="single"/>
        </w:rPr>
        <w:t xml:space="preserve"> 9</w:t>
      </w:r>
    </w:p>
    <w:p w:rsidR="00ED5D4E" w:rsidRPr="00ED5D4E" w:rsidRDefault="00ED5D4E" w:rsidP="00ED5D4E">
      <w:pPr>
        <w:spacing w:after="0"/>
        <w:jc w:val="both"/>
        <w:rPr>
          <w:b/>
          <w:u w:val="single"/>
        </w:rPr>
      </w:pPr>
      <w:r>
        <w:t>Cláusula 10.5 Contrato</w:t>
      </w:r>
    </w:p>
    <w:p w:rsidR="00ED5D4E" w:rsidRDefault="00ED5D4E" w:rsidP="00463BB9">
      <w:pPr>
        <w:pStyle w:val="Prrafodelista"/>
        <w:spacing w:after="0"/>
        <w:ind w:left="0"/>
      </w:pPr>
      <w:r>
        <w:t>Entendemos que no existe obligación de reponer el fondo para contingencias en ningún momento del contrato.</w:t>
      </w:r>
    </w:p>
    <w:p w:rsidR="007B19F5" w:rsidRDefault="007B19F5" w:rsidP="00ED348D">
      <w:pPr>
        <w:autoSpaceDE w:val="0"/>
        <w:autoSpaceDN w:val="0"/>
        <w:adjustRightInd w:val="0"/>
        <w:spacing w:after="0" w:line="240" w:lineRule="auto"/>
        <w:jc w:val="both"/>
        <w:rPr>
          <w:b/>
          <w:sz w:val="32"/>
        </w:rPr>
      </w:pPr>
      <w:r w:rsidRPr="00537D3F">
        <w:rPr>
          <w:b/>
          <w:sz w:val="32"/>
        </w:rPr>
        <w:t>RESPUESTA:</w:t>
      </w:r>
    </w:p>
    <w:p w:rsidR="007B19F5" w:rsidRDefault="00FD5B58" w:rsidP="007B19F5">
      <w:pPr>
        <w:spacing w:after="0"/>
        <w:jc w:val="both"/>
        <w:rPr>
          <w:b/>
          <w:color w:val="0070C0"/>
          <w:sz w:val="32"/>
        </w:rPr>
      </w:pPr>
      <w:r>
        <w:rPr>
          <w:b/>
          <w:bCs/>
          <w:lang w:val="es-UY"/>
        </w:rPr>
        <w:t>La reposición del fondo para contingencias se hace con los pagos que realice la Administración Pública Contratante. El saldo de dicho fondo será actualizado el día que se haga efectivo el pago de la APC por este concepto.</w:t>
      </w:r>
    </w:p>
    <w:p w:rsidR="006720B3" w:rsidRDefault="006720B3" w:rsidP="006047CB">
      <w:pPr>
        <w:spacing w:after="0"/>
        <w:jc w:val="both"/>
        <w:rPr>
          <w:b/>
          <w:u w:val="single"/>
        </w:rPr>
      </w:pPr>
    </w:p>
    <w:p w:rsidR="005E015D" w:rsidRDefault="005E015D" w:rsidP="006047CB">
      <w:pPr>
        <w:spacing w:after="0"/>
        <w:jc w:val="both"/>
        <w:rPr>
          <w:b/>
          <w:u w:val="single"/>
        </w:rPr>
      </w:pPr>
    </w:p>
    <w:p w:rsidR="00ED348D" w:rsidRDefault="00ED348D" w:rsidP="006047CB">
      <w:pPr>
        <w:spacing w:after="0"/>
        <w:jc w:val="both"/>
        <w:rPr>
          <w:b/>
          <w:u w:val="single"/>
        </w:rPr>
      </w:pPr>
    </w:p>
    <w:p w:rsidR="006047CB" w:rsidRDefault="007B19F5" w:rsidP="006047CB">
      <w:pPr>
        <w:spacing w:after="0"/>
        <w:jc w:val="both"/>
        <w:rPr>
          <w:b/>
          <w:u w:val="single"/>
        </w:rPr>
      </w:pPr>
      <w:r w:rsidRPr="00920963">
        <w:rPr>
          <w:b/>
          <w:u w:val="single"/>
        </w:rPr>
        <w:lastRenderedPageBreak/>
        <w:t>Consulta</w:t>
      </w:r>
      <w:r>
        <w:rPr>
          <w:b/>
          <w:u w:val="single"/>
        </w:rPr>
        <w:t xml:space="preserve"> 10</w:t>
      </w:r>
    </w:p>
    <w:p w:rsidR="006047CB" w:rsidRPr="006047CB" w:rsidRDefault="006047CB" w:rsidP="006047CB">
      <w:pPr>
        <w:spacing w:after="0"/>
        <w:jc w:val="both"/>
        <w:rPr>
          <w:b/>
          <w:u w:val="single"/>
        </w:rPr>
      </w:pPr>
      <w:r>
        <w:t>Cláusula 10.5 Contrato</w:t>
      </w:r>
    </w:p>
    <w:p w:rsidR="007B19F5" w:rsidRDefault="006047CB" w:rsidP="006047CB">
      <w:pPr>
        <w:spacing w:after="0"/>
        <w:jc w:val="both"/>
      </w:pPr>
      <w:r>
        <w:t>Solicitamos que se aclare la frase “</w:t>
      </w:r>
      <w:r w:rsidRPr="009C2561">
        <w:rPr>
          <w:i/>
        </w:rPr>
        <w:t>La totalidad de los gastos incurridos en el período julio-junio de un año serán facturados, como máximo en el mes de enero del siguiente añ</w:t>
      </w:r>
      <w:r>
        <w:rPr>
          <w:i/>
        </w:rPr>
        <w:t>o.</w:t>
      </w:r>
      <w:r>
        <w:t>”</w:t>
      </w:r>
    </w:p>
    <w:p w:rsidR="007B19F5" w:rsidRDefault="007B19F5" w:rsidP="00ED348D">
      <w:pPr>
        <w:autoSpaceDE w:val="0"/>
        <w:autoSpaceDN w:val="0"/>
        <w:adjustRightInd w:val="0"/>
        <w:spacing w:after="0" w:line="240" w:lineRule="auto"/>
        <w:jc w:val="both"/>
        <w:rPr>
          <w:b/>
          <w:sz w:val="32"/>
        </w:rPr>
      </w:pPr>
      <w:r w:rsidRPr="00537D3F">
        <w:rPr>
          <w:b/>
          <w:sz w:val="32"/>
        </w:rPr>
        <w:t>RESPUESTA:</w:t>
      </w:r>
    </w:p>
    <w:p w:rsidR="005E015D" w:rsidRPr="005E015D" w:rsidRDefault="005E015D" w:rsidP="005E015D">
      <w:pPr>
        <w:spacing w:after="0"/>
        <w:jc w:val="both"/>
        <w:rPr>
          <w:b/>
          <w:bCs/>
          <w:lang w:val="es-UY"/>
        </w:rPr>
      </w:pPr>
      <w:r w:rsidRPr="005E015D">
        <w:rPr>
          <w:b/>
          <w:bCs/>
          <w:lang w:val="es-UY"/>
        </w:rPr>
        <w:t xml:space="preserve">En la Cláusula 10.5 del Proyecto de Contrato </w:t>
      </w:r>
    </w:p>
    <w:p w:rsidR="005E015D" w:rsidRPr="005E015D" w:rsidRDefault="005E015D" w:rsidP="005E015D">
      <w:pPr>
        <w:spacing w:after="0"/>
        <w:jc w:val="both"/>
        <w:rPr>
          <w:b/>
          <w:bCs/>
          <w:lang w:val="es-UY"/>
        </w:rPr>
      </w:pPr>
      <w:r w:rsidRPr="005E015D">
        <w:rPr>
          <w:b/>
          <w:bCs/>
          <w:lang w:val="es-UY"/>
        </w:rPr>
        <w:t>Donde dice:</w:t>
      </w:r>
    </w:p>
    <w:p w:rsidR="005E015D" w:rsidRPr="005E015D" w:rsidRDefault="005E015D" w:rsidP="005E015D">
      <w:pPr>
        <w:spacing w:after="0"/>
        <w:jc w:val="both"/>
        <w:rPr>
          <w:b/>
          <w:bCs/>
          <w:lang w:val="es-UY"/>
        </w:rPr>
      </w:pPr>
      <w:r w:rsidRPr="005E015D">
        <w:rPr>
          <w:b/>
          <w:bCs/>
          <w:lang w:val="es-UY"/>
        </w:rPr>
        <w:t>“La totalidad de los gastos incurridos en el período julio-junio de un año serán facturados, como máximo en el mes de enero del siguiente año.”</w:t>
      </w:r>
    </w:p>
    <w:p w:rsidR="005E015D" w:rsidRPr="005E015D" w:rsidRDefault="005E015D" w:rsidP="005E015D">
      <w:pPr>
        <w:spacing w:after="0"/>
        <w:jc w:val="both"/>
        <w:rPr>
          <w:b/>
          <w:bCs/>
          <w:lang w:val="es-UY"/>
        </w:rPr>
      </w:pPr>
      <w:r w:rsidRPr="005E015D">
        <w:rPr>
          <w:b/>
          <w:bCs/>
          <w:lang w:val="es-UY"/>
        </w:rPr>
        <w:t>Debe decir:</w:t>
      </w:r>
    </w:p>
    <w:p w:rsidR="005E015D" w:rsidRPr="005E015D" w:rsidRDefault="005E015D" w:rsidP="005E015D">
      <w:pPr>
        <w:spacing w:after="0"/>
        <w:jc w:val="both"/>
        <w:rPr>
          <w:b/>
          <w:bCs/>
          <w:lang w:val="es-UY"/>
        </w:rPr>
      </w:pPr>
      <w:r w:rsidRPr="005E015D">
        <w:rPr>
          <w:b/>
          <w:bCs/>
          <w:lang w:val="es-UY"/>
        </w:rPr>
        <w:t>“La totalidad de los gastos incurridos en el periodo julio del año (t-1) a junio del año t serán facturados, cuando más tarde, en el mes de enero del año (t+1).”</w:t>
      </w:r>
    </w:p>
    <w:p w:rsidR="006047CB" w:rsidRDefault="006047CB" w:rsidP="006047CB">
      <w:pPr>
        <w:spacing w:after="0"/>
        <w:jc w:val="both"/>
        <w:rPr>
          <w:b/>
          <w:u w:val="single"/>
        </w:rPr>
      </w:pPr>
    </w:p>
    <w:p w:rsidR="006047CB" w:rsidRDefault="006047CB" w:rsidP="006047CB">
      <w:pPr>
        <w:spacing w:after="0"/>
        <w:jc w:val="both"/>
        <w:rPr>
          <w:b/>
          <w:u w:val="single"/>
        </w:rPr>
      </w:pPr>
      <w:r w:rsidRPr="006047CB">
        <w:rPr>
          <w:b/>
          <w:u w:val="single"/>
        </w:rPr>
        <w:t>Consulta 11</w:t>
      </w:r>
    </w:p>
    <w:p w:rsidR="006047CB" w:rsidRPr="006047CB" w:rsidRDefault="006047CB" w:rsidP="006047CB">
      <w:pPr>
        <w:spacing w:after="0"/>
        <w:jc w:val="both"/>
        <w:rPr>
          <w:b/>
          <w:u w:val="single"/>
        </w:rPr>
      </w:pPr>
      <w:r>
        <w:t>Cláusula 14.2 Contrato</w:t>
      </w:r>
    </w:p>
    <w:p w:rsidR="006047CB" w:rsidRDefault="006047CB" w:rsidP="006047CB">
      <w:pPr>
        <w:spacing w:after="0"/>
        <w:ind w:right="-568"/>
      </w:pPr>
      <w:r>
        <w:t>La viabilidad económica financiera del contrato se vería afectada en caso de una reducción importante en el importe previsto del mismo en inversión u operación. Asimismo, los gastos generales pasarían a tener una repercusión mayor sobre el resto de gastos, afectando aún más a los flujos esperados. Es por ello que solicitamos que la posibilidad en la reducción de obligaciones se limite a un 10% del total del contrato, eliminando además de esta manera la asimetría que se crearía en caso contrario.</w:t>
      </w:r>
    </w:p>
    <w:p w:rsidR="00B7243F" w:rsidRDefault="00B7243F" w:rsidP="00ED348D">
      <w:pPr>
        <w:autoSpaceDE w:val="0"/>
        <w:autoSpaceDN w:val="0"/>
        <w:adjustRightInd w:val="0"/>
        <w:spacing w:after="0" w:line="240" w:lineRule="auto"/>
        <w:jc w:val="both"/>
        <w:rPr>
          <w:b/>
          <w:sz w:val="32"/>
        </w:rPr>
      </w:pPr>
      <w:r w:rsidRPr="00926FFD">
        <w:rPr>
          <w:b/>
          <w:sz w:val="32"/>
        </w:rPr>
        <w:t>RESPUESTA:</w:t>
      </w:r>
    </w:p>
    <w:p w:rsidR="006047CB" w:rsidRDefault="00926FFD" w:rsidP="006047CB">
      <w:pPr>
        <w:spacing w:after="0"/>
        <w:jc w:val="both"/>
        <w:rPr>
          <w:b/>
        </w:rPr>
      </w:pPr>
      <w:r w:rsidRPr="00926FFD">
        <w:rPr>
          <w:b/>
        </w:rPr>
        <w:t>Remitirse a Consulta 18, Comunicado 11</w:t>
      </w:r>
      <w:r>
        <w:rPr>
          <w:b/>
        </w:rPr>
        <w:t>.</w:t>
      </w:r>
    </w:p>
    <w:p w:rsidR="00926FFD" w:rsidRPr="00926FFD" w:rsidRDefault="00926FFD" w:rsidP="006047CB">
      <w:pPr>
        <w:spacing w:after="0"/>
        <w:jc w:val="both"/>
        <w:rPr>
          <w:b/>
        </w:rPr>
      </w:pPr>
    </w:p>
    <w:p w:rsidR="00B7243F" w:rsidRDefault="00B7243F" w:rsidP="00B7243F">
      <w:pPr>
        <w:spacing w:after="0"/>
        <w:jc w:val="both"/>
        <w:rPr>
          <w:b/>
          <w:u w:val="single"/>
        </w:rPr>
      </w:pPr>
      <w:r w:rsidRPr="006047CB">
        <w:rPr>
          <w:b/>
          <w:u w:val="single"/>
        </w:rPr>
        <w:t>Consulta 1</w:t>
      </w:r>
      <w:r>
        <w:rPr>
          <w:b/>
          <w:u w:val="single"/>
        </w:rPr>
        <w:t>2</w:t>
      </w:r>
    </w:p>
    <w:p w:rsidR="00B7243F" w:rsidRPr="00B7243F" w:rsidRDefault="00B7243F" w:rsidP="00B7243F">
      <w:pPr>
        <w:spacing w:after="0"/>
        <w:jc w:val="both"/>
        <w:rPr>
          <w:b/>
          <w:u w:val="single"/>
        </w:rPr>
      </w:pPr>
      <w:r>
        <w:t xml:space="preserve">Cláusula </w:t>
      </w:r>
      <w:r w:rsidRPr="00C300C7">
        <w:t>16.1.c.9</w:t>
      </w:r>
      <w:r>
        <w:t xml:space="preserve"> Contrato</w:t>
      </w:r>
    </w:p>
    <w:p w:rsidR="00B7243F" w:rsidRDefault="00B7243F" w:rsidP="00B7243F">
      <w:pPr>
        <w:pStyle w:val="Prrafodelista"/>
        <w:spacing w:after="0"/>
        <w:ind w:left="0" w:right="-568"/>
      </w:pPr>
      <w:r>
        <w:t xml:space="preserve">La no suscripción de la financiación o su suscripción en diferentes términos a los previstos en el modelo económico – financiero es un riesgo de la Contratista, que </w:t>
      </w:r>
      <w:r w:rsidRPr="0076221F">
        <w:rPr>
          <w:i/>
        </w:rPr>
        <w:t>per se</w:t>
      </w:r>
      <w:r>
        <w:t xml:space="preserve"> no afecta al Proyecto. Podría tener afectación que diera lugar a sanciones o causales de extinción del contrato, pero si no la tuviera se estaría penalizando un evento sin consecuencia para la Administración ni los usuarios.</w:t>
      </w:r>
    </w:p>
    <w:p w:rsidR="00B7243F" w:rsidRDefault="00B7243F" w:rsidP="00ED348D">
      <w:pPr>
        <w:autoSpaceDE w:val="0"/>
        <w:autoSpaceDN w:val="0"/>
        <w:adjustRightInd w:val="0"/>
        <w:spacing w:after="0" w:line="240" w:lineRule="auto"/>
        <w:jc w:val="both"/>
      </w:pPr>
    </w:p>
    <w:p w:rsidR="00B7243F" w:rsidRDefault="00B7243F" w:rsidP="00B7243F">
      <w:pPr>
        <w:spacing w:after="0"/>
        <w:jc w:val="both"/>
        <w:rPr>
          <w:b/>
          <w:color w:val="0070C0"/>
          <w:sz w:val="32"/>
        </w:rPr>
      </w:pPr>
      <w:r>
        <w:t xml:space="preserve">Es por ello que solicitamos la eliminación del literal </w:t>
      </w:r>
      <w:r w:rsidRPr="00C300C7">
        <w:t>16.1.c.9</w:t>
      </w:r>
      <w:r>
        <w:t>.</w:t>
      </w:r>
    </w:p>
    <w:p w:rsidR="00B7243F" w:rsidRDefault="00B7243F" w:rsidP="00ED348D">
      <w:pPr>
        <w:autoSpaceDE w:val="0"/>
        <w:autoSpaceDN w:val="0"/>
        <w:adjustRightInd w:val="0"/>
        <w:spacing w:after="0" w:line="240" w:lineRule="auto"/>
        <w:jc w:val="both"/>
        <w:rPr>
          <w:b/>
          <w:sz w:val="32"/>
        </w:rPr>
      </w:pPr>
      <w:r w:rsidRPr="00537D3F">
        <w:rPr>
          <w:b/>
          <w:sz w:val="32"/>
        </w:rPr>
        <w:t>RESPUESTA:</w:t>
      </w:r>
    </w:p>
    <w:p w:rsidR="007B19F5" w:rsidRDefault="00B7243F" w:rsidP="00EF4E76">
      <w:pPr>
        <w:spacing w:after="0"/>
        <w:jc w:val="both"/>
        <w:rPr>
          <w:b/>
        </w:rPr>
      </w:pPr>
      <w:r>
        <w:rPr>
          <w:b/>
        </w:rPr>
        <w:t>Se mantiene lo establecido.</w:t>
      </w:r>
    </w:p>
    <w:p w:rsidR="00B7243F" w:rsidRDefault="00B7243F" w:rsidP="00B7243F">
      <w:pPr>
        <w:spacing w:after="0"/>
        <w:jc w:val="both"/>
        <w:rPr>
          <w:b/>
          <w:u w:val="single"/>
        </w:rPr>
      </w:pPr>
    </w:p>
    <w:p w:rsidR="00B7243F" w:rsidRDefault="00B7243F" w:rsidP="00B7243F">
      <w:pPr>
        <w:spacing w:after="0"/>
        <w:jc w:val="both"/>
        <w:rPr>
          <w:b/>
          <w:u w:val="single"/>
        </w:rPr>
      </w:pPr>
      <w:r w:rsidRPr="006047CB">
        <w:rPr>
          <w:b/>
          <w:u w:val="single"/>
        </w:rPr>
        <w:t>Consulta 1</w:t>
      </w:r>
      <w:r>
        <w:rPr>
          <w:b/>
          <w:u w:val="single"/>
        </w:rPr>
        <w:t>3</w:t>
      </w:r>
    </w:p>
    <w:p w:rsidR="00B7243F" w:rsidRPr="00B7243F" w:rsidRDefault="00B7243F" w:rsidP="00B7243F">
      <w:pPr>
        <w:spacing w:after="0"/>
        <w:jc w:val="both"/>
        <w:rPr>
          <w:b/>
          <w:u w:val="single"/>
        </w:rPr>
      </w:pPr>
      <w:r>
        <w:t xml:space="preserve">Cláusula </w:t>
      </w:r>
      <w:r>
        <w:rPr>
          <w:rFonts w:ascii="Calibri" w:eastAsia="Times New Roman" w:hAnsi="Calibri" w:cs="Times New Roman"/>
          <w:color w:val="000000"/>
          <w:lang w:eastAsia="es-ES"/>
        </w:rPr>
        <w:t>1.2</w:t>
      </w:r>
      <w:r>
        <w:t xml:space="preserve"> Pliego de Condiciones Técnicas</w:t>
      </w:r>
    </w:p>
    <w:p w:rsidR="00B7243F" w:rsidRPr="0082744F" w:rsidRDefault="00B7243F" w:rsidP="00B7243F">
      <w:pPr>
        <w:pStyle w:val="Prrafodelista"/>
        <w:numPr>
          <w:ilvl w:val="0"/>
          <w:numId w:val="24"/>
        </w:numPr>
        <w:spacing w:after="0"/>
        <w:ind w:right="-568"/>
      </w:pPr>
      <w:r>
        <w:rPr>
          <w:rFonts w:ascii="Calibri" w:eastAsia="Times New Roman" w:hAnsi="Calibri" w:cs="Times New Roman"/>
          <w:color w:val="000000"/>
          <w:lang w:eastAsia="es-ES"/>
        </w:rPr>
        <w:t>Entendemos que cuando en el PCT y específicamente en la cláusula 1.2.1 mencionan un Evento de Fuerza Mayor, están refiriéndose a un Caso de Fuerza Mayor relativa según se define en el modelo de contrato.</w:t>
      </w:r>
    </w:p>
    <w:p w:rsidR="00B7243F" w:rsidRPr="0082744F" w:rsidRDefault="00B7243F" w:rsidP="00B7243F">
      <w:pPr>
        <w:pStyle w:val="Prrafodelista"/>
        <w:numPr>
          <w:ilvl w:val="0"/>
          <w:numId w:val="24"/>
        </w:numPr>
        <w:spacing w:after="0"/>
        <w:ind w:right="-568"/>
      </w:pPr>
      <w:r w:rsidRPr="0076221F">
        <w:rPr>
          <w:rFonts w:ascii="Calibri" w:eastAsia="Times New Roman" w:hAnsi="Calibri" w:cs="Times New Roman"/>
          <w:color w:val="000000"/>
          <w:lang w:eastAsia="es-ES"/>
        </w:rPr>
        <w:t>Los Casos de Fuerza Mayor Relativa se definen en el Contrato como: “</w:t>
      </w:r>
      <w:r w:rsidRPr="0076221F">
        <w:rPr>
          <w:rFonts w:ascii="Calibri" w:eastAsia="Times New Roman" w:hAnsi="Calibri" w:cs="Times New Roman"/>
          <w:i/>
          <w:color w:val="000000"/>
          <w:lang w:eastAsia="es-ES"/>
        </w:rPr>
        <w:t>es todo  hecho  superviniente  ajeno  a  la voluntad de las partes, imprevisible e irresistible que no imposibilita de manera absoluta el cumplimiento del contrato, y determina que las partes deban ajustar las estipulaciones jurídicas, técnicas y económicas.</w:t>
      </w:r>
      <w:r>
        <w:rPr>
          <w:rFonts w:ascii="Calibri" w:eastAsia="Times New Roman" w:hAnsi="Calibri" w:cs="Times New Roman"/>
          <w:color w:val="000000"/>
          <w:lang w:eastAsia="es-ES"/>
        </w:rPr>
        <w:t xml:space="preserve">”. </w:t>
      </w:r>
    </w:p>
    <w:p w:rsidR="00B7243F" w:rsidRPr="0076221F" w:rsidRDefault="00B7243F" w:rsidP="00B7243F">
      <w:pPr>
        <w:pStyle w:val="Prrafodelista"/>
        <w:numPr>
          <w:ilvl w:val="0"/>
          <w:numId w:val="24"/>
        </w:numPr>
        <w:spacing w:after="0"/>
        <w:ind w:right="-568"/>
      </w:pPr>
      <w:r>
        <w:rPr>
          <w:rFonts w:ascii="Calibri" w:eastAsia="Times New Roman" w:hAnsi="Calibri" w:cs="Times New Roman"/>
          <w:color w:val="000000"/>
          <w:lang w:eastAsia="es-ES"/>
        </w:rPr>
        <w:lastRenderedPageBreak/>
        <w:t>En la cláusula 1.2.1 del PCT se puede leer: “</w:t>
      </w:r>
      <w:r w:rsidRPr="0082744F">
        <w:rPr>
          <w:rFonts w:ascii="Calibri" w:eastAsia="Times New Roman" w:hAnsi="Calibri" w:cs="Times New Roman"/>
          <w:i/>
          <w:color w:val="000000"/>
          <w:lang w:eastAsia="es-ES"/>
        </w:rPr>
        <w:t>Si una Falla de Disponibilidad o una Falla de Calidad es el resultado de un Evento de Fuerza Mayor, la Contratante tendrá el derecho de hacer Deducciones, pero dichas Deducciones no serán tenidas en cuenta a los efectos de calcular hechos de incumplimiento o como causa de terminación anticipada del contrato.”</w:t>
      </w:r>
    </w:p>
    <w:p w:rsidR="00B7243F" w:rsidRDefault="00B7243F" w:rsidP="00B7243F">
      <w:pPr>
        <w:pStyle w:val="Prrafodelista"/>
        <w:numPr>
          <w:ilvl w:val="0"/>
          <w:numId w:val="24"/>
        </w:numPr>
        <w:spacing w:after="0"/>
        <w:ind w:right="-568"/>
      </w:pPr>
      <w:r>
        <w:t>Por entendimiento habitual de los términos y también tras la lectura de lo anterior, entendemos que en caso de un evento de fuerza mayor no deberían aplicarse penalizaciones y por tanto debería modificarse la cláusula 1.2.1 en este sentido, para ser congruente con el contrato y con el clausulado de los contratos PPP más habituales.</w:t>
      </w:r>
    </w:p>
    <w:p w:rsidR="00B7243F" w:rsidRDefault="00B7243F" w:rsidP="00637316">
      <w:pPr>
        <w:autoSpaceDE w:val="0"/>
        <w:autoSpaceDN w:val="0"/>
        <w:adjustRightInd w:val="0"/>
        <w:spacing w:after="0" w:line="240" w:lineRule="auto"/>
        <w:jc w:val="both"/>
        <w:rPr>
          <w:b/>
          <w:sz w:val="32"/>
        </w:rPr>
      </w:pPr>
      <w:r w:rsidRPr="00537D3F">
        <w:rPr>
          <w:b/>
          <w:sz w:val="32"/>
        </w:rPr>
        <w:t>RESPUESTA:</w:t>
      </w:r>
    </w:p>
    <w:p w:rsidR="00B7243F" w:rsidRDefault="00B7243F" w:rsidP="00B7243F">
      <w:pPr>
        <w:spacing w:after="0"/>
        <w:jc w:val="both"/>
        <w:rPr>
          <w:b/>
        </w:rPr>
      </w:pPr>
      <w:r>
        <w:rPr>
          <w:b/>
        </w:rPr>
        <w:t>Se mantiene lo establecido.</w:t>
      </w:r>
    </w:p>
    <w:p w:rsidR="00B7243F" w:rsidRDefault="00B7243F" w:rsidP="00B7243F">
      <w:pPr>
        <w:spacing w:after="0"/>
        <w:jc w:val="both"/>
        <w:rPr>
          <w:b/>
          <w:u w:val="single"/>
        </w:rPr>
      </w:pPr>
    </w:p>
    <w:p w:rsidR="00B7243F" w:rsidRDefault="00B7243F" w:rsidP="00B7243F">
      <w:pPr>
        <w:spacing w:after="0"/>
        <w:jc w:val="both"/>
        <w:rPr>
          <w:b/>
          <w:u w:val="single"/>
        </w:rPr>
      </w:pPr>
      <w:r w:rsidRPr="006047CB">
        <w:rPr>
          <w:b/>
          <w:u w:val="single"/>
        </w:rPr>
        <w:t>Consulta 1</w:t>
      </w:r>
      <w:r>
        <w:rPr>
          <w:b/>
          <w:u w:val="single"/>
        </w:rPr>
        <w:t>4</w:t>
      </w:r>
    </w:p>
    <w:p w:rsidR="00B7243F" w:rsidRPr="00B7243F" w:rsidRDefault="00B7243F" w:rsidP="00B7243F">
      <w:pPr>
        <w:spacing w:after="0"/>
        <w:jc w:val="both"/>
        <w:rPr>
          <w:b/>
          <w:u w:val="single"/>
        </w:rPr>
      </w:pPr>
      <w:r w:rsidRPr="00D6004D">
        <w:t xml:space="preserve">La clausula 1.2.1 del Pliego de Condiciones Técnicas enuncia lo siguiente: </w:t>
      </w:r>
    </w:p>
    <w:p w:rsidR="00B7243F" w:rsidRPr="00D6004D" w:rsidRDefault="00B7243F" w:rsidP="00B7243F">
      <w:pPr>
        <w:rPr>
          <w:i/>
        </w:rPr>
      </w:pPr>
      <w:r w:rsidRPr="00D6004D">
        <w:rPr>
          <w:i/>
        </w:rPr>
        <w:t>“Si una Falla de Disponibilidad o una Falla de Calidad es el resultado de un Evento de Fuerza Mayor, la Contratante tendrá el derecho de hacer Deducciones, pero dichas Deducciones no serán tenidas en cuenta a los efectos de calcular hechos de incumplimiento o como causa de terminación anticipada del contrato.”</w:t>
      </w:r>
    </w:p>
    <w:p w:rsidR="00B7243F" w:rsidRPr="00D6004D" w:rsidRDefault="00B7243F" w:rsidP="00B7243F">
      <w:pPr>
        <w:pStyle w:val="Default"/>
        <w:rPr>
          <w:rFonts w:asciiTheme="minorHAnsi" w:hAnsiTheme="minorHAnsi" w:cstheme="minorBidi"/>
          <w:color w:val="auto"/>
          <w:sz w:val="22"/>
          <w:szCs w:val="22"/>
        </w:rPr>
      </w:pPr>
      <w:r w:rsidRPr="00D6004D">
        <w:rPr>
          <w:rFonts w:asciiTheme="minorHAnsi" w:hAnsiTheme="minorHAnsi" w:cstheme="minorBidi"/>
          <w:color w:val="auto"/>
          <w:sz w:val="22"/>
          <w:szCs w:val="22"/>
        </w:rPr>
        <w:t xml:space="preserve">Entendemos que el hecho de poder aplicar deducciones ante un caso fortuito, imprevisible y completamente ajeno al contratista  puede comprometer la financiación del proyecto en cuanto que puede ser percibido como un riesgo muy elevado por las entidades financieras. </w:t>
      </w:r>
    </w:p>
    <w:p w:rsidR="00B7243F" w:rsidRDefault="00B7243F" w:rsidP="00B7243F">
      <w:pPr>
        <w:spacing w:after="0"/>
        <w:jc w:val="both"/>
        <w:rPr>
          <w:b/>
          <w:u w:val="single"/>
        </w:rPr>
      </w:pPr>
      <w:r w:rsidRPr="00D6004D">
        <w:t>Solicitamos por ello que se elimine la posibilidad de aplicar deducciones al contratista por este tipo de eventos considerando que a su vez existe contradicción con los numerales  14.4 y 16.2.3 del Proyecto de Contrato, de acuerdo  a los cuales los eventos de fuerza mayor pueden ser causa de renegociación del contrato o de extinción anticipada del mismo con derecho por parte de la contratista a reembolsar los costes de inversión en los que haya incurrido</w:t>
      </w:r>
    </w:p>
    <w:p w:rsidR="00B7243F" w:rsidRDefault="00B7243F" w:rsidP="00637316">
      <w:pPr>
        <w:autoSpaceDE w:val="0"/>
        <w:autoSpaceDN w:val="0"/>
        <w:adjustRightInd w:val="0"/>
        <w:spacing w:after="0" w:line="240" w:lineRule="auto"/>
        <w:jc w:val="both"/>
        <w:rPr>
          <w:b/>
          <w:sz w:val="32"/>
        </w:rPr>
      </w:pPr>
      <w:r w:rsidRPr="00537D3F">
        <w:rPr>
          <w:b/>
          <w:sz w:val="32"/>
        </w:rPr>
        <w:t>RESPUESTA:</w:t>
      </w:r>
    </w:p>
    <w:p w:rsidR="00B7243F" w:rsidRDefault="00B7243F" w:rsidP="00B7243F">
      <w:pPr>
        <w:spacing w:after="0"/>
        <w:jc w:val="both"/>
        <w:rPr>
          <w:b/>
        </w:rPr>
      </w:pPr>
      <w:r>
        <w:rPr>
          <w:b/>
        </w:rPr>
        <w:t>Se mantiene lo establecido.</w:t>
      </w:r>
    </w:p>
    <w:p w:rsidR="00B7243F" w:rsidRDefault="00B7243F" w:rsidP="00EF4E76">
      <w:pPr>
        <w:spacing w:after="0"/>
        <w:jc w:val="both"/>
        <w:rPr>
          <w:b/>
        </w:rPr>
      </w:pPr>
    </w:p>
    <w:p w:rsidR="00463BB9" w:rsidRDefault="00463BB9" w:rsidP="00463BB9">
      <w:pPr>
        <w:spacing w:after="0"/>
        <w:jc w:val="both"/>
        <w:rPr>
          <w:b/>
          <w:u w:val="single"/>
        </w:rPr>
      </w:pPr>
      <w:r w:rsidRPr="00463BB9">
        <w:rPr>
          <w:b/>
          <w:u w:val="single"/>
        </w:rPr>
        <w:t>Consulta 1</w:t>
      </w:r>
      <w:r w:rsidR="005939C8">
        <w:rPr>
          <w:b/>
          <w:u w:val="single"/>
        </w:rPr>
        <w:t>5</w:t>
      </w:r>
    </w:p>
    <w:p w:rsidR="00463BB9" w:rsidRPr="00463BB9" w:rsidRDefault="00463BB9" w:rsidP="00463BB9">
      <w:pPr>
        <w:spacing w:after="0"/>
        <w:jc w:val="both"/>
        <w:rPr>
          <w:b/>
          <w:u w:val="single"/>
        </w:rPr>
      </w:pPr>
      <w:r>
        <w:t xml:space="preserve">Cláusula </w:t>
      </w:r>
      <w:r>
        <w:rPr>
          <w:rFonts w:ascii="Calibri" w:eastAsia="Times New Roman" w:hAnsi="Calibri" w:cs="Times New Roman"/>
          <w:color w:val="000000"/>
          <w:lang w:eastAsia="es-ES"/>
        </w:rPr>
        <w:t>8.3</w:t>
      </w:r>
      <w:r>
        <w:t xml:space="preserve"> Pliego de Condiciones Técnicas</w:t>
      </w:r>
    </w:p>
    <w:p w:rsidR="00463BB9" w:rsidRDefault="00463BB9" w:rsidP="00463BB9">
      <w:pPr>
        <w:spacing w:after="0"/>
        <w:ind w:right="-568"/>
      </w:pPr>
      <w:r>
        <w:t>En cláusula 8.</w:t>
      </w:r>
      <w:r w:rsidRPr="0082744F">
        <w:t xml:space="preserve">3 R1-2 </w:t>
      </w:r>
      <w:r>
        <w:t>el P</w:t>
      </w:r>
      <w:r w:rsidRPr="0082744F">
        <w:t xml:space="preserve">lazo </w:t>
      </w:r>
      <w:r>
        <w:t>de R</w:t>
      </w:r>
      <w:r w:rsidRPr="0082744F">
        <w:t xml:space="preserve">ectificación </w:t>
      </w:r>
      <w:r>
        <w:t>aparece como “</w:t>
      </w:r>
      <w:r w:rsidRPr="0082744F">
        <w:rPr>
          <w:i/>
        </w:rPr>
        <w:t>no aplica</w:t>
      </w:r>
      <w:r>
        <w:t>”, sin embargo el Plazo de Respuesta se remite al A</w:t>
      </w:r>
      <w:r w:rsidRPr="0082744F">
        <w:t>nexo 8.3</w:t>
      </w:r>
      <w:r>
        <w:t xml:space="preserve"> que tiene explícitamente indicado un Plazo de Rectificación. Se consulta si en 8.3 R1-2 sí aplican </w:t>
      </w:r>
      <w:r w:rsidRPr="001C578C">
        <w:t xml:space="preserve">Plazo de Respuesta y Plazo de Rectificación y tiene prevalencia en este sentido lo indicado en </w:t>
      </w:r>
      <w:r>
        <w:t xml:space="preserve">el cuadro de </w:t>
      </w:r>
      <w:r w:rsidRPr="001C578C">
        <w:t>la cláusula 8.2, aplicándose en lo demás el Anexo 8.3, o si debemos entenderlo de otra manera.</w:t>
      </w:r>
    </w:p>
    <w:p w:rsidR="00463BB9" w:rsidRDefault="00463BB9" w:rsidP="00637316">
      <w:pPr>
        <w:autoSpaceDE w:val="0"/>
        <w:autoSpaceDN w:val="0"/>
        <w:adjustRightInd w:val="0"/>
        <w:spacing w:after="0" w:line="240" w:lineRule="auto"/>
        <w:jc w:val="both"/>
        <w:rPr>
          <w:b/>
          <w:sz w:val="32"/>
        </w:rPr>
      </w:pPr>
      <w:r w:rsidRPr="00537D3F">
        <w:rPr>
          <w:b/>
          <w:sz w:val="32"/>
        </w:rPr>
        <w:t>RESPUESTA:</w:t>
      </w:r>
    </w:p>
    <w:p w:rsidR="005939C8" w:rsidRDefault="005939C8" w:rsidP="005939C8">
      <w:pPr>
        <w:spacing w:after="0"/>
        <w:ind w:right="-568"/>
        <w:rPr>
          <w:b/>
        </w:rPr>
      </w:pPr>
      <w:r w:rsidRPr="00FF3027">
        <w:rPr>
          <w:b/>
        </w:rPr>
        <w:t>En el indicador R1-2 de la Cláusula 8.3</w:t>
      </w:r>
      <w:r>
        <w:rPr>
          <w:b/>
        </w:rPr>
        <w:t>.1</w:t>
      </w:r>
      <w:r w:rsidRPr="00FF3027">
        <w:rPr>
          <w:b/>
        </w:rPr>
        <w:t>,</w:t>
      </w:r>
    </w:p>
    <w:p w:rsidR="005939C8" w:rsidRPr="00FF3027" w:rsidRDefault="005939C8" w:rsidP="005939C8">
      <w:pPr>
        <w:spacing w:after="0"/>
        <w:ind w:right="-568"/>
        <w:rPr>
          <w:b/>
        </w:rPr>
      </w:pPr>
      <w:r>
        <w:rPr>
          <w:b/>
        </w:rPr>
        <w:t>D</w:t>
      </w:r>
      <w:r w:rsidRPr="00FF3027">
        <w:rPr>
          <w:b/>
        </w:rPr>
        <w:t>onde dice:</w:t>
      </w:r>
      <w:r>
        <w:rPr>
          <w:b/>
        </w:rPr>
        <w:t xml:space="preserve"> </w:t>
      </w:r>
      <w:r w:rsidRPr="00FF3027">
        <w:rPr>
          <w:b/>
        </w:rPr>
        <w:t xml:space="preserve">“Plazo de Respuesta: </w:t>
      </w:r>
      <w:r>
        <w:rPr>
          <w:b/>
        </w:rPr>
        <w:t xml:space="preserve">Ver </w:t>
      </w:r>
      <w:r w:rsidRPr="00FF3027">
        <w:rPr>
          <w:b/>
        </w:rPr>
        <w:t xml:space="preserve">Anexo </w:t>
      </w:r>
      <w:r>
        <w:rPr>
          <w:b/>
        </w:rPr>
        <w:t>A.</w:t>
      </w:r>
      <w:r w:rsidRPr="00FF3027">
        <w:rPr>
          <w:b/>
        </w:rPr>
        <w:t>3.</w:t>
      </w:r>
      <w:r>
        <w:rPr>
          <w:b/>
        </w:rPr>
        <w:t>”</w:t>
      </w:r>
    </w:p>
    <w:p w:rsidR="005939C8" w:rsidRPr="00FF3027" w:rsidRDefault="005939C8" w:rsidP="005939C8">
      <w:pPr>
        <w:spacing w:after="0"/>
        <w:ind w:right="-568"/>
        <w:rPr>
          <w:b/>
        </w:rPr>
      </w:pPr>
      <w:r w:rsidRPr="00FF3027">
        <w:rPr>
          <w:b/>
        </w:rPr>
        <w:t>Debe decir:</w:t>
      </w:r>
      <w:r>
        <w:rPr>
          <w:b/>
        </w:rPr>
        <w:t xml:space="preserve"> </w:t>
      </w:r>
      <w:r w:rsidRPr="00FF3027">
        <w:rPr>
          <w:b/>
        </w:rPr>
        <w:t xml:space="preserve">“Plazo de Respuesta: El </w:t>
      </w:r>
      <w:r>
        <w:rPr>
          <w:b/>
        </w:rPr>
        <w:t xml:space="preserve">que corresponda al </w:t>
      </w:r>
      <w:r w:rsidRPr="00FF3027">
        <w:rPr>
          <w:b/>
        </w:rPr>
        <w:t xml:space="preserve">indicador </w:t>
      </w:r>
      <w:r>
        <w:rPr>
          <w:b/>
        </w:rPr>
        <w:t>señalado en el Reporte de</w:t>
      </w:r>
      <w:r w:rsidRPr="00FF3027">
        <w:rPr>
          <w:b/>
        </w:rPr>
        <w:t xml:space="preserve"> Evento de Servicio.”</w:t>
      </w:r>
    </w:p>
    <w:p w:rsidR="00463BB9" w:rsidRDefault="00463BB9" w:rsidP="00EF4E76">
      <w:pPr>
        <w:spacing w:after="0"/>
        <w:jc w:val="both"/>
        <w:rPr>
          <w:b/>
          <w:u w:val="single"/>
        </w:rPr>
      </w:pPr>
    </w:p>
    <w:p w:rsidR="00ED348D" w:rsidRDefault="00ED348D" w:rsidP="005939C8">
      <w:pPr>
        <w:spacing w:after="0"/>
        <w:jc w:val="both"/>
        <w:rPr>
          <w:b/>
          <w:u w:val="single"/>
        </w:rPr>
      </w:pPr>
    </w:p>
    <w:p w:rsidR="005939C8" w:rsidRDefault="005939C8" w:rsidP="005939C8">
      <w:pPr>
        <w:spacing w:after="0"/>
        <w:jc w:val="both"/>
        <w:rPr>
          <w:b/>
          <w:u w:val="single"/>
        </w:rPr>
      </w:pPr>
      <w:r w:rsidRPr="00463BB9">
        <w:rPr>
          <w:b/>
          <w:u w:val="single"/>
        </w:rPr>
        <w:lastRenderedPageBreak/>
        <w:t>Consulta 1</w:t>
      </w:r>
      <w:r>
        <w:rPr>
          <w:b/>
          <w:u w:val="single"/>
        </w:rPr>
        <w:t>6</w:t>
      </w:r>
    </w:p>
    <w:p w:rsidR="005939C8" w:rsidRPr="00463BB9" w:rsidRDefault="005939C8" w:rsidP="005939C8">
      <w:pPr>
        <w:spacing w:after="0"/>
        <w:jc w:val="both"/>
        <w:rPr>
          <w:b/>
          <w:u w:val="single"/>
        </w:rPr>
      </w:pPr>
      <w:r>
        <w:t xml:space="preserve">Cláusula </w:t>
      </w:r>
      <w:r>
        <w:rPr>
          <w:rFonts w:ascii="Calibri" w:eastAsia="Times New Roman" w:hAnsi="Calibri" w:cs="Times New Roman"/>
          <w:color w:val="000000"/>
          <w:lang w:eastAsia="es-ES"/>
        </w:rPr>
        <w:t>8.3</w:t>
      </w:r>
      <w:r>
        <w:t xml:space="preserve"> Pliego de Condiciones Técnicas</w:t>
      </w:r>
    </w:p>
    <w:p w:rsidR="005939C8" w:rsidRDefault="005939C8" w:rsidP="005939C8">
      <w:pPr>
        <w:spacing w:after="0"/>
        <w:ind w:right="-568"/>
      </w:pPr>
      <w:r>
        <w:t>E</w:t>
      </w:r>
      <w:r w:rsidRPr="0082744F">
        <w:t>ntendemos que la</w:t>
      </w:r>
      <w:r>
        <w:t xml:space="preserve"> tercera</w:t>
      </w:r>
      <w:r w:rsidRPr="0082744F">
        <w:t xml:space="preserve"> frase de 8.2 " </w:t>
      </w:r>
      <w:r w:rsidRPr="0082744F">
        <w:rPr>
          <w:i/>
        </w:rPr>
        <w:t>Si el Contratista no cu</w:t>
      </w:r>
      <w:r>
        <w:rPr>
          <w:i/>
        </w:rPr>
        <w:t xml:space="preserve">mple con un Plazo de Respuesta, </w:t>
      </w:r>
      <w:r w:rsidRPr="0082744F">
        <w:rPr>
          <w:i/>
        </w:rPr>
        <w:t>ocurre una falla en el indicador R1-2 de los Estándares de Calidad Reactivos, descritos en la cláusula</w:t>
      </w:r>
      <w:r>
        <w:rPr>
          <w:i/>
        </w:rPr>
        <w:t xml:space="preserve"> </w:t>
      </w:r>
      <w:r w:rsidRPr="0082744F">
        <w:rPr>
          <w:i/>
        </w:rPr>
        <w:t>8.3.1. Si el Contratista no cumple con un Plazo de Rectificación, ocurre una Falla de Disponibilidad y la Administración Contratante aplicará Deducciones de</w:t>
      </w:r>
      <w:r>
        <w:rPr>
          <w:i/>
        </w:rPr>
        <w:t xml:space="preserve"> </w:t>
      </w:r>
      <w:r w:rsidRPr="0082744F">
        <w:rPr>
          <w:i/>
        </w:rPr>
        <w:t>Disponibilidad de acuerdo al presente Pliego.</w:t>
      </w:r>
      <w:r>
        <w:t xml:space="preserve">", </w:t>
      </w:r>
      <w:r w:rsidRPr="0082744F">
        <w:t>aplica también a 8.3</w:t>
      </w:r>
      <w:r>
        <w:t>. De lo contrario, solicitamos aclarar cuál es la relación entre Plazo de Respuesta, Plazo de Rectificación y deducciones en Fallas de Calidad Reactiva, así como entre Fallas de Disponibilidad y Fallas de Calidad Reactiva.</w:t>
      </w:r>
    </w:p>
    <w:p w:rsidR="00637316" w:rsidRDefault="00637316" w:rsidP="005939C8">
      <w:pPr>
        <w:spacing w:after="0"/>
        <w:ind w:right="-568"/>
      </w:pPr>
    </w:p>
    <w:p w:rsidR="005939C8" w:rsidRDefault="005939C8" w:rsidP="00637316">
      <w:pPr>
        <w:autoSpaceDE w:val="0"/>
        <w:autoSpaceDN w:val="0"/>
        <w:adjustRightInd w:val="0"/>
        <w:spacing w:after="0" w:line="240" w:lineRule="auto"/>
        <w:jc w:val="both"/>
        <w:rPr>
          <w:b/>
          <w:sz w:val="32"/>
        </w:rPr>
      </w:pPr>
      <w:r w:rsidRPr="005939C8">
        <w:rPr>
          <w:b/>
          <w:sz w:val="32"/>
        </w:rPr>
        <w:t>Respuesta:</w:t>
      </w:r>
    </w:p>
    <w:p w:rsidR="005939C8" w:rsidRPr="005E015D" w:rsidRDefault="005939C8" w:rsidP="005E015D">
      <w:pPr>
        <w:spacing w:after="0"/>
        <w:jc w:val="both"/>
        <w:rPr>
          <w:b/>
        </w:rPr>
      </w:pPr>
      <w:r w:rsidRPr="005E015D">
        <w:rPr>
          <w:b/>
        </w:rPr>
        <w:t>Cualquier incumplimiento de un Plazo de Respuesta, sea para los indicadores de 8.2 o los de 8.3, generará una Falla de Calidad Reactiva, dada por el indicador R1-2.</w:t>
      </w:r>
    </w:p>
    <w:p w:rsidR="005939C8" w:rsidRPr="005E015D" w:rsidRDefault="005939C8" w:rsidP="005E015D">
      <w:pPr>
        <w:spacing w:after="0"/>
        <w:jc w:val="both"/>
        <w:rPr>
          <w:b/>
        </w:rPr>
      </w:pPr>
      <w:r w:rsidRPr="005E015D">
        <w:rPr>
          <w:b/>
        </w:rPr>
        <w:t>Los incumplimientos de Plazos de Rectificación para los indicadores de 8.2 generan Fallas de Disponibilidad. Los incumplimientos de Plazos de Rectificación para los indicadores de 8.3 generan Fallas de Calidad Reactiva.</w:t>
      </w:r>
    </w:p>
    <w:p w:rsidR="005939C8" w:rsidRPr="005E015D" w:rsidRDefault="005939C8" w:rsidP="005E015D">
      <w:pPr>
        <w:spacing w:after="0"/>
        <w:jc w:val="both"/>
        <w:rPr>
          <w:b/>
        </w:rPr>
      </w:pPr>
      <w:r w:rsidRPr="005E015D">
        <w:rPr>
          <w:b/>
        </w:rPr>
        <w:t>Los incumplimientos de los dos tipos de plazo son independientes, por lo que un reporte de Evento de Servicio podría ocasionar dos fallas (cada una con su deducción), una o ninguna.</w:t>
      </w:r>
    </w:p>
    <w:p w:rsidR="005939C8" w:rsidRDefault="005939C8" w:rsidP="005939C8">
      <w:pPr>
        <w:spacing w:after="0"/>
        <w:ind w:right="-568"/>
      </w:pPr>
    </w:p>
    <w:p w:rsidR="00463BB9" w:rsidRDefault="00463BB9" w:rsidP="00463BB9">
      <w:pPr>
        <w:spacing w:after="0"/>
        <w:jc w:val="both"/>
        <w:rPr>
          <w:b/>
          <w:u w:val="single"/>
        </w:rPr>
      </w:pPr>
      <w:r w:rsidRPr="00463BB9">
        <w:rPr>
          <w:b/>
          <w:u w:val="single"/>
        </w:rPr>
        <w:t>Consulta 1</w:t>
      </w:r>
      <w:r>
        <w:rPr>
          <w:b/>
          <w:u w:val="single"/>
        </w:rPr>
        <w:t>7</w:t>
      </w:r>
    </w:p>
    <w:p w:rsidR="00463BB9" w:rsidRPr="00463BB9" w:rsidRDefault="00463BB9" w:rsidP="00463BB9">
      <w:pPr>
        <w:spacing w:after="0"/>
        <w:jc w:val="both"/>
        <w:rPr>
          <w:b/>
          <w:u w:val="single"/>
        </w:rPr>
      </w:pPr>
      <w:r>
        <w:t>Definiciones del Pliego de Condiciones Técnicas</w:t>
      </w:r>
    </w:p>
    <w:p w:rsidR="00637316" w:rsidRDefault="00463BB9" w:rsidP="00463BB9">
      <w:pPr>
        <w:pStyle w:val="Prrafodelista"/>
        <w:spacing w:after="0"/>
        <w:ind w:left="0" w:right="-568"/>
      </w:pPr>
      <w:r>
        <w:t>Entendemos que la definición de Plazo de Respuesta en la página 5 termina de la siguiente manera: “</w:t>
      </w:r>
      <w:r w:rsidRPr="00F66629">
        <w:rPr>
          <w:i/>
        </w:rPr>
        <w:t>… o un Evento de Servicio de Calidad Reactivo. Se mide en horas corridas</w:t>
      </w:r>
      <w:r>
        <w:t xml:space="preserve">”, en lugar de: </w:t>
      </w:r>
    </w:p>
    <w:p w:rsidR="00463BB9" w:rsidRDefault="00463BB9" w:rsidP="00463BB9">
      <w:pPr>
        <w:pStyle w:val="Prrafodelista"/>
        <w:spacing w:after="0"/>
        <w:ind w:left="0" w:right="-568"/>
      </w:pPr>
      <w:r>
        <w:t>“</w:t>
      </w:r>
      <w:r w:rsidRPr="00F66629">
        <w:rPr>
          <w:i/>
        </w:rPr>
        <w:t xml:space="preserve">… o un Evento de Servicio de Calidad </w:t>
      </w:r>
      <w:r>
        <w:rPr>
          <w:i/>
        </w:rPr>
        <w:t xml:space="preserve">No </w:t>
      </w:r>
      <w:r w:rsidRPr="00F66629">
        <w:rPr>
          <w:i/>
        </w:rPr>
        <w:t>Reactivo. Se mide en horas corridas</w:t>
      </w:r>
      <w:r>
        <w:t>”.</w:t>
      </w:r>
    </w:p>
    <w:p w:rsidR="00463BB9" w:rsidRDefault="00463BB9" w:rsidP="00637316">
      <w:pPr>
        <w:autoSpaceDE w:val="0"/>
        <w:autoSpaceDN w:val="0"/>
        <w:adjustRightInd w:val="0"/>
        <w:spacing w:after="0" w:line="240" w:lineRule="auto"/>
        <w:jc w:val="both"/>
        <w:rPr>
          <w:b/>
          <w:sz w:val="32"/>
        </w:rPr>
      </w:pPr>
      <w:r w:rsidRPr="00537D3F">
        <w:rPr>
          <w:b/>
          <w:sz w:val="32"/>
        </w:rPr>
        <w:t>RESPUESTA:</w:t>
      </w:r>
    </w:p>
    <w:p w:rsidR="00463BB9" w:rsidRPr="00463BB9" w:rsidRDefault="00463BB9" w:rsidP="00463BB9">
      <w:pPr>
        <w:spacing w:after="0"/>
        <w:jc w:val="both"/>
        <w:rPr>
          <w:b/>
        </w:rPr>
      </w:pPr>
      <w:r>
        <w:rPr>
          <w:b/>
        </w:rPr>
        <w:t>Remitirse a Puntualización 3, Comunicado 5.</w:t>
      </w:r>
    </w:p>
    <w:p w:rsidR="00463BB9" w:rsidRDefault="00463BB9" w:rsidP="00EF4E76">
      <w:pPr>
        <w:spacing w:after="0"/>
        <w:jc w:val="both"/>
        <w:rPr>
          <w:b/>
          <w:u w:val="single"/>
        </w:rPr>
      </w:pPr>
    </w:p>
    <w:p w:rsidR="00463BB9" w:rsidRDefault="00463BB9" w:rsidP="00463BB9">
      <w:pPr>
        <w:spacing w:after="0"/>
        <w:jc w:val="both"/>
        <w:rPr>
          <w:b/>
          <w:u w:val="single"/>
        </w:rPr>
      </w:pPr>
      <w:r w:rsidRPr="00463BB9">
        <w:rPr>
          <w:b/>
          <w:u w:val="single"/>
        </w:rPr>
        <w:t>Consulta 1</w:t>
      </w:r>
      <w:r>
        <w:rPr>
          <w:b/>
          <w:u w:val="single"/>
        </w:rPr>
        <w:t>8</w:t>
      </w:r>
    </w:p>
    <w:p w:rsidR="00463BB9" w:rsidRPr="00463BB9" w:rsidRDefault="00463BB9" w:rsidP="00463BB9">
      <w:pPr>
        <w:spacing w:after="0"/>
        <w:jc w:val="both"/>
        <w:rPr>
          <w:b/>
          <w:u w:val="single"/>
        </w:rPr>
      </w:pPr>
      <w:r>
        <w:t>Cláusula 21 PCA</w:t>
      </w:r>
    </w:p>
    <w:p w:rsidR="00463BB9" w:rsidRDefault="00463BB9" w:rsidP="00463BB9">
      <w:pPr>
        <w:spacing w:after="0"/>
        <w:jc w:val="both"/>
      </w:pPr>
      <w:r>
        <w:t>Solicitamos que la definición de Ra en la fórmula de actualización se limite tanto a R0 +2% como a R0 -2%, dependiendo del signo de su evolución</w:t>
      </w:r>
    </w:p>
    <w:p w:rsidR="00463BB9" w:rsidRDefault="00463BB9" w:rsidP="00637316">
      <w:pPr>
        <w:autoSpaceDE w:val="0"/>
        <w:autoSpaceDN w:val="0"/>
        <w:adjustRightInd w:val="0"/>
        <w:spacing w:after="0" w:line="240" w:lineRule="auto"/>
        <w:jc w:val="both"/>
        <w:rPr>
          <w:b/>
          <w:sz w:val="32"/>
        </w:rPr>
      </w:pPr>
      <w:r w:rsidRPr="00537D3F">
        <w:rPr>
          <w:b/>
          <w:sz w:val="32"/>
        </w:rPr>
        <w:t>RESPUESTA:</w:t>
      </w:r>
      <w:r>
        <w:rPr>
          <w:b/>
          <w:sz w:val="32"/>
        </w:rPr>
        <w:t xml:space="preserve"> </w:t>
      </w:r>
    </w:p>
    <w:p w:rsidR="00637316" w:rsidRDefault="00E7035A" w:rsidP="00E7035A">
      <w:pPr>
        <w:spacing w:after="0" w:line="240" w:lineRule="auto"/>
        <w:jc w:val="both"/>
        <w:rPr>
          <w:b/>
        </w:rPr>
      </w:pPr>
      <w:r w:rsidRPr="00E7035A">
        <w:rPr>
          <w:b/>
        </w:rPr>
        <w:t>En la Cláusula 21 del Pliego de Condiciones Administrativas,</w:t>
      </w:r>
    </w:p>
    <w:p w:rsidR="00E7035A" w:rsidRPr="00E7035A" w:rsidRDefault="00E7035A" w:rsidP="00E7035A">
      <w:pPr>
        <w:spacing w:after="0" w:line="240" w:lineRule="auto"/>
        <w:jc w:val="both"/>
        <w:rPr>
          <w:b/>
        </w:rPr>
      </w:pPr>
      <w:r w:rsidRPr="00E7035A">
        <w:rPr>
          <w:b/>
        </w:rPr>
        <w:t xml:space="preserve"> </w:t>
      </w:r>
    </w:p>
    <w:p w:rsidR="00E7035A" w:rsidRPr="00E7035A" w:rsidRDefault="00E7035A" w:rsidP="00E7035A">
      <w:pPr>
        <w:spacing w:after="0" w:line="240" w:lineRule="auto"/>
        <w:jc w:val="both"/>
        <w:rPr>
          <w:b/>
        </w:rPr>
      </w:pPr>
      <w:r w:rsidRPr="00E7035A">
        <w:rPr>
          <w:b/>
        </w:rPr>
        <w:t xml:space="preserve"> Donde dice: </w:t>
      </w:r>
    </w:p>
    <w:p w:rsidR="00E7035A" w:rsidRDefault="00E7035A" w:rsidP="00E7035A">
      <w:pPr>
        <w:spacing w:after="0" w:line="240" w:lineRule="auto"/>
        <w:jc w:val="both"/>
        <w:rPr>
          <w:b/>
        </w:rPr>
      </w:pPr>
      <w:r w:rsidRPr="00E7035A">
        <w:rPr>
          <w:b/>
        </w:rPr>
        <w:t>“En caso de que la diferencia entre RO y RA sea superior a 2 puntos porcentuales, RA será igual a RO +2%.”</w:t>
      </w:r>
    </w:p>
    <w:p w:rsidR="00637316" w:rsidRPr="00E7035A" w:rsidRDefault="00637316" w:rsidP="00E7035A">
      <w:pPr>
        <w:spacing w:after="0" w:line="240" w:lineRule="auto"/>
        <w:jc w:val="both"/>
        <w:rPr>
          <w:b/>
        </w:rPr>
      </w:pPr>
    </w:p>
    <w:p w:rsidR="00E7035A" w:rsidRPr="00E7035A" w:rsidRDefault="00E7035A" w:rsidP="00E7035A">
      <w:pPr>
        <w:spacing w:after="0" w:line="240" w:lineRule="auto"/>
        <w:jc w:val="both"/>
        <w:rPr>
          <w:b/>
        </w:rPr>
      </w:pPr>
      <w:r w:rsidRPr="00E7035A">
        <w:rPr>
          <w:b/>
        </w:rPr>
        <w:t xml:space="preserve"> Debe decir: </w:t>
      </w:r>
    </w:p>
    <w:p w:rsidR="00E7035A" w:rsidRPr="00E7035A" w:rsidRDefault="00E7035A" w:rsidP="00E7035A">
      <w:pPr>
        <w:spacing w:after="0" w:line="240" w:lineRule="auto"/>
        <w:jc w:val="both"/>
        <w:rPr>
          <w:b/>
        </w:rPr>
      </w:pPr>
      <w:r w:rsidRPr="00E7035A">
        <w:rPr>
          <w:b/>
        </w:rPr>
        <w:t>“En caso de que la diferencia entre RO y RA sea superior a 2 puntos porcentuales, RA será igual a RO +2% si RA es mayor a RO; o RA – 2% si RA es menor a RO.”</w:t>
      </w:r>
    </w:p>
    <w:p w:rsidR="00E7035A" w:rsidRPr="00E7035A" w:rsidRDefault="00E7035A" w:rsidP="00463BB9">
      <w:pPr>
        <w:spacing w:after="0"/>
        <w:jc w:val="both"/>
        <w:rPr>
          <w:b/>
        </w:rPr>
      </w:pPr>
    </w:p>
    <w:p w:rsidR="00463BB9" w:rsidRDefault="00463BB9" w:rsidP="00463BB9">
      <w:pPr>
        <w:spacing w:after="0"/>
        <w:jc w:val="both"/>
        <w:rPr>
          <w:b/>
          <w:u w:val="single"/>
        </w:rPr>
      </w:pPr>
      <w:r w:rsidRPr="00463BB9">
        <w:rPr>
          <w:b/>
          <w:u w:val="single"/>
        </w:rPr>
        <w:t>Consulta 1</w:t>
      </w:r>
      <w:r>
        <w:rPr>
          <w:b/>
          <w:u w:val="single"/>
        </w:rPr>
        <w:t>9</w:t>
      </w:r>
    </w:p>
    <w:p w:rsidR="00463BB9" w:rsidRDefault="00463BB9" w:rsidP="00463BB9">
      <w:pPr>
        <w:spacing w:after="0"/>
        <w:jc w:val="both"/>
      </w:pPr>
      <w:r>
        <w:t xml:space="preserve">Entendemos que según respuesta Nº 8 del Comunicado Nº 13 se habilita a que cada  integrante del oferente acredite su experiencia en un período de  24 meses. </w:t>
      </w:r>
    </w:p>
    <w:p w:rsidR="00463BB9" w:rsidRDefault="00463BB9" w:rsidP="00463BB9">
      <w:pPr>
        <w:spacing w:after="0"/>
        <w:jc w:val="both"/>
      </w:pPr>
      <w:r>
        <w:lastRenderedPageBreak/>
        <w:t>Es decir que los períodos propuestos por cada integrante del oferente podrán no ser coincidentes. Es correcto</w:t>
      </w:r>
      <w:proofErr w:type="gramStart"/>
      <w:r>
        <w:t>?</w:t>
      </w:r>
      <w:proofErr w:type="gramEnd"/>
      <w:r>
        <w:t xml:space="preserve"> </w:t>
      </w:r>
    </w:p>
    <w:p w:rsidR="00463BB9" w:rsidRDefault="00463BB9" w:rsidP="00637316">
      <w:pPr>
        <w:autoSpaceDE w:val="0"/>
        <w:autoSpaceDN w:val="0"/>
        <w:adjustRightInd w:val="0"/>
        <w:spacing w:after="0" w:line="240" w:lineRule="auto"/>
        <w:jc w:val="both"/>
        <w:rPr>
          <w:b/>
          <w:sz w:val="32"/>
        </w:rPr>
      </w:pPr>
      <w:r w:rsidRPr="00537D3F">
        <w:rPr>
          <w:b/>
          <w:sz w:val="32"/>
        </w:rPr>
        <w:t>RESPUESTA:</w:t>
      </w:r>
      <w:r>
        <w:rPr>
          <w:b/>
          <w:sz w:val="32"/>
        </w:rPr>
        <w:t xml:space="preserve"> </w:t>
      </w:r>
    </w:p>
    <w:p w:rsidR="00463BB9" w:rsidRDefault="00463BB9" w:rsidP="00463BB9">
      <w:pPr>
        <w:spacing w:after="0"/>
        <w:jc w:val="both"/>
        <w:rPr>
          <w:b/>
        </w:rPr>
      </w:pPr>
      <w:r>
        <w:rPr>
          <w:b/>
        </w:rPr>
        <w:t>S</w:t>
      </w:r>
      <w:r w:rsidR="00F05B98">
        <w:rPr>
          <w:b/>
        </w:rPr>
        <w:t>í</w:t>
      </w:r>
      <w:r>
        <w:rPr>
          <w:b/>
        </w:rPr>
        <w:t xml:space="preserve"> es correcto.</w:t>
      </w:r>
    </w:p>
    <w:p w:rsidR="00AC45E8" w:rsidRDefault="00AC45E8" w:rsidP="00463BB9">
      <w:pPr>
        <w:spacing w:after="0"/>
        <w:jc w:val="both"/>
        <w:rPr>
          <w:b/>
        </w:rPr>
      </w:pPr>
    </w:p>
    <w:p w:rsidR="00AC45E8" w:rsidRDefault="00AC45E8" w:rsidP="00AC45E8">
      <w:pPr>
        <w:spacing w:after="0"/>
        <w:jc w:val="both"/>
        <w:rPr>
          <w:b/>
          <w:u w:val="single"/>
        </w:rPr>
      </w:pPr>
      <w:r w:rsidRPr="00463BB9">
        <w:rPr>
          <w:b/>
          <w:u w:val="single"/>
        </w:rPr>
        <w:t xml:space="preserve">Consulta </w:t>
      </w:r>
      <w:r>
        <w:rPr>
          <w:b/>
          <w:u w:val="single"/>
        </w:rPr>
        <w:t>20</w:t>
      </w:r>
    </w:p>
    <w:p w:rsidR="00AC45E8" w:rsidRPr="006720B3" w:rsidRDefault="00AC45E8" w:rsidP="006720B3">
      <w:pPr>
        <w:keepNext/>
        <w:keepLines/>
        <w:numPr>
          <w:ilvl w:val="1"/>
          <w:numId w:val="0"/>
        </w:numPr>
        <w:spacing w:after="0" w:line="240" w:lineRule="auto"/>
        <w:ind w:left="578" w:hanging="578"/>
        <w:outlineLvl w:val="1"/>
        <w:rPr>
          <w:rFonts w:ascii="Arial" w:eastAsia="MS Gothic" w:hAnsi="Arial" w:cs="Arial"/>
          <w:b/>
          <w:bCs/>
          <w:color w:val="000000"/>
          <w:lang w:val="es-UY"/>
        </w:rPr>
      </w:pPr>
      <w:r w:rsidRPr="006720B3">
        <w:rPr>
          <w:rFonts w:ascii="Arial" w:eastAsia="MS Gothic" w:hAnsi="Arial" w:cs="Arial"/>
          <w:b/>
          <w:bCs/>
          <w:color w:val="000000"/>
          <w:lang w:val="es-UY"/>
        </w:rPr>
        <w:t>Pautas de Diseño y Construcción</w:t>
      </w:r>
    </w:p>
    <w:p w:rsidR="00AC45E8" w:rsidRPr="00AC45E8" w:rsidRDefault="00AC45E8" w:rsidP="00AC45E8">
      <w:pPr>
        <w:spacing w:after="0"/>
        <w:jc w:val="both"/>
      </w:pPr>
      <w:r w:rsidRPr="00AC45E8">
        <w:t>De acuerdo al punto 1.6 CARGA PREVISTA de la Memoria eléctrica particular de las Pautas de Diseño y Construcción de Jardines, se solicita aclarar si los costos correspondientes a presupuestos por CARGA Y OBRA de UTE en cada locación serán de cargo de la APC tanto en los casos de Jardín como de CAIF.</w:t>
      </w:r>
    </w:p>
    <w:p w:rsidR="00AC45E8" w:rsidRPr="00AC45E8" w:rsidRDefault="00AC45E8" w:rsidP="00AC45E8">
      <w:pPr>
        <w:spacing w:after="0"/>
        <w:jc w:val="both"/>
      </w:pPr>
      <w:r w:rsidRPr="00AC45E8">
        <w:t>Se solicita aclarar si los costos correspondientes a tasas de conexión a saneamiento en las localidades que corresponde serán de cargo de la APC tanto en los casos de Jardín como de CAIF ya que usualmente son a cargo del propietario del inmueble</w:t>
      </w:r>
    </w:p>
    <w:p w:rsidR="00463BB9" w:rsidRDefault="00AC45E8" w:rsidP="00637316">
      <w:pPr>
        <w:autoSpaceDE w:val="0"/>
        <w:autoSpaceDN w:val="0"/>
        <w:adjustRightInd w:val="0"/>
        <w:spacing w:after="0" w:line="240" w:lineRule="auto"/>
        <w:jc w:val="both"/>
        <w:rPr>
          <w:b/>
          <w:sz w:val="32"/>
        </w:rPr>
      </w:pPr>
      <w:r w:rsidRPr="00537D3F">
        <w:rPr>
          <w:b/>
          <w:sz w:val="32"/>
        </w:rPr>
        <w:t>RESPUESTA:</w:t>
      </w:r>
    </w:p>
    <w:p w:rsidR="00AC45E8" w:rsidRDefault="00AC45E8" w:rsidP="00EF4E76">
      <w:pPr>
        <w:spacing w:after="0"/>
        <w:jc w:val="both"/>
        <w:rPr>
          <w:b/>
        </w:rPr>
      </w:pPr>
      <w:r w:rsidRPr="00AC45E8">
        <w:rPr>
          <w:b/>
        </w:rPr>
        <w:t>Ver</w:t>
      </w:r>
      <w:r>
        <w:rPr>
          <w:b/>
        </w:rPr>
        <w:t xml:space="preserve"> Clausula 4.2 de Proyecto de Contrato. El costo de las obras será de cargo del contratista.</w:t>
      </w:r>
    </w:p>
    <w:p w:rsidR="00492DA1" w:rsidRDefault="00492DA1" w:rsidP="00EF4E76">
      <w:pPr>
        <w:spacing w:after="0"/>
        <w:jc w:val="both"/>
        <w:rPr>
          <w:b/>
        </w:rPr>
      </w:pPr>
    </w:p>
    <w:p w:rsidR="00492DA1" w:rsidRDefault="00492DA1" w:rsidP="00492DA1">
      <w:pPr>
        <w:spacing w:after="0"/>
        <w:jc w:val="both"/>
        <w:rPr>
          <w:b/>
          <w:u w:val="single"/>
        </w:rPr>
      </w:pPr>
      <w:r w:rsidRPr="00463BB9">
        <w:rPr>
          <w:b/>
          <w:u w:val="single"/>
        </w:rPr>
        <w:t xml:space="preserve">Consulta </w:t>
      </w:r>
      <w:r>
        <w:rPr>
          <w:b/>
          <w:u w:val="single"/>
        </w:rPr>
        <w:t>21</w:t>
      </w:r>
    </w:p>
    <w:p w:rsidR="00492DA1" w:rsidRDefault="00492DA1" w:rsidP="00492DA1">
      <w:pPr>
        <w:spacing w:after="0"/>
        <w:jc w:val="both"/>
        <w:rPr>
          <w:b/>
          <w:u w:val="single"/>
        </w:rPr>
      </w:pPr>
      <w:r>
        <w:t xml:space="preserve">De acuerdo a la </w:t>
      </w:r>
      <w:r w:rsidRPr="00F15EB2">
        <w:rPr>
          <w:b/>
          <w:u w:val="single"/>
        </w:rPr>
        <w:t>Consulta 72</w:t>
      </w:r>
      <w:r>
        <w:rPr>
          <w:b/>
          <w:u w:val="single"/>
        </w:rPr>
        <w:t xml:space="preserve"> del Comunicado 9,</w:t>
      </w:r>
      <w:r>
        <w:rPr>
          <w:b/>
        </w:rPr>
        <w:t xml:space="preserve"> </w:t>
      </w:r>
      <w:r>
        <w:t>“Respecto a los placares de los Jardines que figuran en plantas, corresponde incluirlos en el Rubrado? O no forman parte del llamado</w:t>
      </w:r>
    </w:p>
    <w:p w:rsidR="00492DA1" w:rsidRDefault="00492DA1" w:rsidP="00492DA1">
      <w:pPr>
        <w:spacing w:after="0"/>
        <w:jc w:val="both"/>
        <w:rPr>
          <w:b/>
        </w:rPr>
      </w:pPr>
      <w:r w:rsidRPr="00492DA1">
        <w:rPr>
          <w:b/>
          <w:sz w:val="24"/>
          <w:szCs w:val="24"/>
        </w:rPr>
        <w:t>RESPUESTA:</w:t>
      </w:r>
      <w:r>
        <w:rPr>
          <w:b/>
          <w:sz w:val="24"/>
          <w:szCs w:val="24"/>
        </w:rPr>
        <w:t xml:space="preserve"> “</w:t>
      </w:r>
      <w:r>
        <w:rPr>
          <w:b/>
        </w:rPr>
        <w:t>No los incluimos.”</w:t>
      </w:r>
    </w:p>
    <w:p w:rsidR="00492DA1" w:rsidRDefault="00492DA1" w:rsidP="00492DA1">
      <w:pPr>
        <w:spacing w:after="0"/>
        <w:jc w:val="both"/>
      </w:pPr>
      <w:r>
        <w:t>De la respuesta anterior, surge</w:t>
      </w:r>
      <w:r w:rsidRPr="00F15EB2">
        <w:t xml:space="preserve"> que</w:t>
      </w:r>
      <w:r>
        <w:t>,</w:t>
      </w:r>
      <w:r w:rsidRPr="00F15EB2">
        <w:t xml:space="preserve"> </w:t>
      </w:r>
      <w:r w:rsidRPr="00F15EB2">
        <w:rPr>
          <w:b/>
          <w:u w:val="single"/>
        </w:rPr>
        <w:t>no</w:t>
      </w:r>
      <w:r>
        <w:t xml:space="preserve"> debemos cotizar los muebles graficados en plantas ¿es esta afirmación correcta?</w:t>
      </w:r>
    </w:p>
    <w:p w:rsidR="00492DA1" w:rsidRDefault="00492DA1" w:rsidP="00492DA1">
      <w:pPr>
        <w:spacing w:after="0"/>
        <w:jc w:val="both"/>
      </w:pPr>
      <w:r>
        <w:t>De ser necesaria la cotización de los muebles solicitamos se definan materiales, capacidad, prestaciones, dimensiones, etc.</w:t>
      </w:r>
    </w:p>
    <w:p w:rsidR="00492DA1" w:rsidRDefault="00492DA1" w:rsidP="00637316">
      <w:pPr>
        <w:autoSpaceDE w:val="0"/>
        <w:autoSpaceDN w:val="0"/>
        <w:adjustRightInd w:val="0"/>
        <w:spacing w:after="0" w:line="240" w:lineRule="auto"/>
        <w:jc w:val="both"/>
        <w:rPr>
          <w:b/>
          <w:sz w:val="32"/>
        </w:rPr>
      </w:pPr>
      <w:r w:rsidRPr="00537D3F">
        <w:rPr>
          <w:b/>
          <w:sz w:val="32"/>
        </w:rPr>
        <w:t>RESPUESTA:</w:t>
      </w:r>
    </w:p>
    <w:p w:rsidR="00492DA1" w:rsidRPr="00492DA1" w:rsidRDefault="00F05B98" w:rsidP="00492DA1">
      <w:pPr>
        <w:spacing w:after="0"/>
        <w:jc w:val="both"/>
        <w:rPr>
          <w:b/>
        </w:rPr>
      </w:pPr>
      <w:r w:rsidRPr="00492DA1">
        <w:rPr>
          <w:b/>
        </w:rPr>
        <w:t>N</w:t>
      </w:r>
      <w:r>
        <w:rPr>
          <w:b/>
        </w:rPr>
        <w:t>o</w:t>
      </w:r>
      <w:r w:rsidRPr="00492DA1">
        <w:rPr>
          <w:b/>
        </w:rPr>
        <w:t xml:space="preserve"> </w:t>
      </w:r>
      <w:r w:rsidR="00492DA1" w:rsidRPr="00492DA1">
        <w:rPr>
          <w:b/>
        </w:rPr>
        <w:t>se deben cotizar los muebles expresados en planta.</w:t>
      </w:r>
      <w:r>
        <w:rPr>
          <w:b/>
        </w:rPr>
        <w:t xml:space="preserve"> Debe cotizarse el equipamiento que forma parte del Pliego de Condiciones Técnicas, en la redacción dada por Comunicados.</w:t>
      </w:r>
    </w:p>
    <w:p w:rsidR="00492DA1" w:rsidRDefault="00492DA1" w:rsidP="00492DA1">
      <w:pPr>
        <w:spacing w:after="0"/>
        <w:jc w:val="both"/>
        <w:rPr>
          <w:b/>
          <w:u w:val="single"/>
        </w:rPr>
      </w:pPr>
    </w:p>
    <w:p w:rsidR="009D7AE9" w:rsidRDefault="009D7AE9" w:rsidP="009D7AE9">
      <w:pPr>
        <w:spacing w:after="0"/>
        <w:jc w:val="both"/>
        <w:rPr>
          <w:b/>
          <w:u w:val="single"/>
        </w:rPr>
      </w:pPr>
      <w:r w:rsidRPr="00463BB9">
        <w:rPr>
          <w:b/>
          <w:u w:val="single"/>
        </w:rPr>
        <w:t xml:space="preserve">Consulta </w:t>
      </w:r>
      <w:r>
        <w:rPr>
          <w:b/>
          <w:u w:val="single"/>
        </w:rPr>
        <w:t>22</w:t>
      </w:r>
    </w:p>
    <w:p w:rsidR="009D7AE9" w:rsidRPr="009D7AE9" w:rsidRDefault="009D7AE9" w:rsidP="009D7AE9">
      <w:pPr>
        <w:spacing w:after="0"/>
        <w:jc w:val="both"/>
        <w:rPr>
          <w:b/>
          <w:u w:val="single"/>
        </w:rPr>
      </w:pPr>
      <w:r w:rsidRPr="00ED197C">
        <w:t xml:space="preserve">Clausula 17.1.1. Pliego de Condiciones Administrativas </w:t>
      </w:r>
    </w:p>
    <w:p w:rsidR="009D7AE9" w:rsidRDefault="009D7AE9" w:rsidP="009D7AE9">
      <w:pPr>
        <w:pStyle w:val="Prrafodelista"/>
        <w:ind w:left="1080"/>
      </w:pPr>
    </w:p>
    <w:p w:rsidR="009D7AE9" w:rsidRDefault="009D7AE9" w:rsidP="009D7AE9">
      <w:pPr>
        <w:pStyle w:val="Prrafodelista"/>
        <w:numPr>
          <w:ilvl w:val="0"/>
          <w:numId w:val="26"/>
        </w:numPr>
        <w:spacing w:after="0"/>
        <w:ind w:right="-568"/>
      </w:pPr>
      <w:r>
        <w:t xml:space="preserve">De acuerdo al PCA </w:t>
      </w:r>
      <w:r w:rsidRPr="00ED197C">
        <w:t>“Certificado Notarial: Deberá presentarse un certificado conteniendo la información de todos los integrantes del oferente o un certificado por cada uno de los integrantes. El o los certificados deberán ser expedidos con una antelación no mayor a 30 días corridos a la Apertura de ofertas.”.</w:t>
      </w:r>
    </w:p>
    <w:p w:rsidR="009D7AE9" w:rsidRDefault="009D7AE9" w:rsidP="009D7AE9">
      <w:pPr>
        <w:pStyle w:val="Prrafodelista"/>
        <w:spacing w:after="0"/>
        <w:ind w:left="1080" w:right="-568"/>
      </w:pPr>
    </w:p>
    <w:p w:rsidR="009D7AE9" w:rsidRDefault="009D7AE9" w:rsidP="009D7AE9">
      <w:pPr>
        <w:pStyle w:val="Prrafodelista"/>
        <w:spacing w:after="0"/>
        <w:ind w:left="1080" w:right="-568"/>
        <w:jc w:val="both"/>
      </w:pPr>
      <w:r>
        <w:t>Considerando que la fecha inicial para presentar ofertas era el 15 de mayo de 2017, entendemos que si alguno de los documentos presentados en esta  parte de la oferta fueron preparados dentro de los 30 días anteriores a esta fecha, seguirán siendo válidos para la presentación de ofertas en la nueva fecha de 5 de junio de 2017 y que no será necesario volver a tramitar las certificaciones notariales aun cuando no hayan sido expedidas con posterioridad al día 5 de mayo. ¿Es correcto?</w:t>
      </w:r>
    </w:p>
    <w:p w:rsidR="009D7AE9" w:rsidRDefault="009D7AE9" w:rsidP="009D7AE9">
      <w:pPr>
        <w:pStyle w:val="Prrafodelista"/>
        <w:spacing w:after="0"/>
        <w:ind w:right="-568"/>
      </w:pPr>
      <w:r>
        <w:lastRenderedPageBreak/>
        <w:t>Agradecemos se tenga en consideración para los oferentes con participación de empresas extranjeras, ya que un ajuste de la documentación implica plazos y costos de importancia.</w:t>
      </w:r>
    </w:p>
    <w:p w:rsidR="009D7AE9" w:rsidRDefault="009D7AE9" w:rsidP="009D7AE9">
      <w:pPr>
        <w:autoSpaceDE w:val="0"/>
        <w:autoSpaceDN w:val="0"/>
        <w:adjustRightInd w:val="0"/>
        <w:spacing w:after="0" w:line="240" w:lineRule="auto"/>
        <w:jc w:val="both"/>
        <w:rPr>
          <w:sz w:val="32"/>
        </w:rPr>
      </w:pPr>
      <w:r w:rsidRPr="00537D3F">
        <w:rPr>
          <w:b/>
          <w:sz w:val="32"/>
        </w:rPr>
        <w:t>RESPUESTA:</w:t>
      </w:r>
    </w:p>
    <w:p w:rsidR="009D7AE9" w:rsidRPr="009D7AE9" w:rsidRDefault="009D7AE9" w:rsidP="009D7AE9">
      <w:pPr>
        <w:autoSpaceDE w:val="0"/>
        <w:autoSpaceDN w:val="0"/>
        <w:adjustRightInd w:val="0"/>
        <w:spacing w:after="0" w:line="240" w:lineRule="auto"/>
        <w:jc w:val="both"/>
        <w:rPr>
          <w:b/>
        </w:rPr>
      </w:pPr>
      <w:r w:rsidRPr="009D7AE9">
        <w:rPr>
          <w:b/>
        </w:rPr>
        <w:t xml:space="preserve">El certificado previsto en la </w:t>
      </w:r>
      <w:r>
        <w:rPr>
          <w:b/>
        </w:rPr>
        <w:t>C</w:t>
      </w:r>
      <w:r w:rsidRPr="009D7AE9">
        <w:rPr>
          <w:b/>
        </w:rPr>
        <w:t>lausula 17.1.1</w:t>
      </w:r>
      <w:r>
        <w:rPr>
          <w:b/>
        </w:rPr>
        <w:t xml:space="preserve"> del Proyecto de Contrato deberá estar expedido con fecha posterior al 15 de abril de 2017.</w:t>
      </w:r>
    </w:p>
    <w:p w:rsidR="00492DA1" w:rsidRPr="00AC45E8" w:rsidRDefault="00492DA1" w:rsidP="00EF4E76">
      <w:pPr>
        <w:spacing w:after="0"/>
        <w:jc w:val="both"/>
        <w:rPr>
          <w:b/>
        </w:rPr>
      </w:pPr>
    </w:p>
    <w:sectPr w:rsidR="00492DA1" w:rsidRPr="00AC45E8" w:rsidSect="00471F12">
      <w:pgSz w:w="11906" w:h="16838"/>
      <w:pgMar w:top="993" w:right="198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400"/>
    <w:multiLevelType w:val="hybridMultilevel"/>
    <w:tmpl w:val="32460E9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52F085E"/>
    <w:multiLevelType w:val="hybridMultilevel"/>
    <w:tmpl w:val="208CE4F2"/>
    <w:lvl w:ilvl="0" w:tplc="380A000F">
      <w:start w:val="4"/>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BE32B42"/>
    <w:multiLevelType w:val="hybridMultilevel"/>
    <w:tmpl w:val="18FA7488"/>
    <w:lvl w:ilvl="0" w:tplc="8B6056D2">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
    <w:nsid w:val="0C2D5A2B"/>
    <w:multiLevelType w:val="hybridMultilevel"/>
    <w:tmpl w:val="2CA4EFEC"/>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0F0F5B91"/>
    <w:multiLevelType w:val="hybridMultilevel"/>
    <w:tmpl w:val="CE44C3FA"/>
    <w:lvl w:ilvl="0" w:tplc="380A0019">
      <w:start w:val="1"/>
      <w:numFmt w:val="lowerLetter"/>
      <w:lvlText w:val="%1."/>
      <w:lvlJc w:val="left"/>
      <w:pPr>
        <w:ind w:left="720" w:hanging="360"/>
      </w:pPr>
      <w:rPr>
        <w:rFonts w:hint="default"/>
        <w:b w:val="0"/>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9C6754A"/>
    <w:multiLevelType w:val="hybridMultilevel"/>
    <w:tmpl w:val="0BD8B560"/>
    <w:lvl w:ilvl="0" w:tplc="BAD8940A">
      <w:start w:val="1"/>
      <w:numFmt w:val="decimal"/>
      <w:lvlText w:val="%1."/>
      <w:lvlJc w:val="left"/>
      <w:pPr>
        <w:ind w:left="1080" w:hanging="360"/>
      </w:pPr>
      <w:rPr>
        <w:rFonts w:hint="default"/>
        <w:b/>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6">
    <w:nsid w:val="1CA3553A"/>
    <w:multiLevelType w:val="multilevel"/>
    <w:tmpl w:val="A66E5FB2"/>
    <w:lvl w:ilvl="0">
      <w:start w:val="6"/>
      <w:numFmt w:val="upperRoman"/>
      <w:pStyle w:val="Ttulo3"/>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21E04379"/>
    <w:multiLevelType w:val="hybridMultilevel"/>
    <w:tmpl w:val="EC5666A6"/>
    <w:lvl w:ilvl="0" w:tplc="F71A5C4A">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2DE616FE"/>
    <w:multiLevelType w:val="hybridMultilevel"/>
    <w:tmpl w:val="03C266C0"/>
    <w:lvl w:ilvl="0" w:tplc="721AB658">
      <w:start w:val="1"/>
      <w:numFmt w:val="lowerLetter"/>
      <w:lvlText w:val="%1."/>
      <w:lvlJc w:val="left"/>
      <w:pPr>
        <w:ind w:left="720" w:hanging="360"/>
      </w:pPr>
      <w:rPr>
        <w:rFonts w:eastAsia="Times New Roman"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2FA91CBC"/>
    <w:multiLevelType w:val="hybridMultilevel"/>
    <w:tmpl w:val="BC8CBF30"/>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33D526B0"/>
    <w:multiLevelType w:val="hybridMultilevel"/>
    <w:tmpl w:val="A69C5A96"/>
    <w:lvl w:ilvl="0" w:tplc="002E2530">
      <w:start w:val="1"/>
      <w:numFmt w:val="lowerLetter"/>
      <w:lvlText w:val="%1."/>
      <w:lvlJc w:val="left"/>
      <w:pPr>
        <w:ind w:left="738" w:hanging="390"/>
      </w:pPr>
      <w:rPr>
        <w:rFonts w:hint="default"/>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11">
    <w:nsid w:val="34C2442C"/>
    <w:multiLevelType w:val="hybridMultilevel"/>
    <w:tmpl w:val="22989640"/>
    <w:lvl w:ilvl="0" w:tplc="380A0019">
      <w:start w:val="1"/>
      <w:numFmt w:val="lowerLetter"/>
      <w:lvlText w:val="%1."/>
      <w:lvlJc w:val="left"/>
      <w:pPr>
        <w:ind w:left="720" w:hanging="360"/>
      </w:pPr>
      <w:rPr>
        <w:rFonts w:hint="default"/>
      </w:rPr>
    </w:lvl>
    <w:lvl w:ilvl="1" w:tplc="380A001B">
      <w:start w:val="1"/>
      <w:numFmt w:val="lowerRoman"/>
      <w:lvlText w:val="%2."/>
      <w:lvlJc w:val="right"/>
      <w:pPr>
        <w:ind w:left="1440" w:hanging="360"/>
      </w:pPr>
    </w:lvl>
    <w:lvl w:ilvl="2" w:tplc="E730BF76">
      <w:start w:val="1"/>
      <w:numFmt w:val="bullet"/>
      <w:lvlText w:val="­"/>
      <w:lvlJc w:val="left"/>
      <w:pPr>
        <w:ind w:left="2160" w:hanging="180"/>
      </w:pPr>
      <w:rPr>
        <w:rFonts w:ascii="Courier New" w:hAnsi="Courier New" w:hint="default"/>
      </w:rPr>
    </w:lvl>
    <w:lvl w:ilvl="3" w:tplc="F77E2F08">
      <w:start w:val="1"/>
      <w:numFmt w:val="bullet"/>
      <w:lvlText w:val="-"/>
      <w:lvlJc w:val="left"/>
      <w:pPr>
        <w:ind w:left="2880" w:hanging="360"/>
      </w:pPr>
      <w:rPr>
        <w:rFonts w:ascii="Calibri" w:eastAsiaTheme="minorEastAsia" w:hAnsi="Calibri" w:cstheme="minorBidi" w:hint="default"/>
      </w:r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389B5347"/>
    <w:multiLevelType w:val="hybridMultilevel"/>
    <w:tmpl w:val="B93A6FA8"/>
    <w:lvl w:ilvl="0" w:tplc="002E2530">
      <w:start w:val="1"/>
      <w:numFmt w:val="lowerLetter"/>
      <w:lvlText w:val="%1."/>
      <w:lvlJc w:val="left"/>
      <w:pPr>
        <w:ind w:left="750" w:hanging="390"/>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13">
    <w:nsid w:val="3AC72407"/>
    <w:multiLevelType w:val="hybridMultilevel"/>
    <w:tmpl w:val="9EAEE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E83141"/>
    <w:multiLevelType w:val="hybridMultilevel"/>
    <w:tmpl w:val="8D4AC628"/>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4C0362AB"/>
    <w:multiLevelType w:val="hybridMultilevel"/>
    <w:tmpl w:val="2850EEE6"/>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53EA01A3"/>
    <w:multiLevelType w:val="hybridMultilevel"/>
    <w:tmpl w:val="B6DC93E8"/>
    <w:lvl w:ilvl="0" w:tplc="854065FA">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54330298"/>
    <w:multiLevelType w:val="hybridMultilevel"/>
    <w:tmpl w:val="57C47F3C"/>
    <w:lvl w:ilvl="0" w:tplc="651A2A8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4D242FA"/>
    <w:multiLevelType w:val="hybridMultilevel"/>
    <w:tmpl w:val="2BACEB9A"/>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57B345F8"/>
    <w:multiLevelType w:val="hybridMultilevel"/>
    <w:tmpl w:val="F1FE5AFE"/>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5886658C"/>
    <w:multiLevelType w:val="hybridMultilevel"/>
    <w:tmpl w:val="704A62EE"/>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615013CC"/>
    <w:multiLevelType w:val="hybridMultilevel"/>
    <w:tmpl w:val="32460E9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643B74B0"/>
    <w:multiLevelType w:val="hybridMultilevel"/>
    <w:tmpl w:val="09C29BC6"/>
    <w:lvl w:ilvl="0" w:tplc="380A0019">
      <w:start w:val="1"/>
      <w:numFmt w:val="lowerLetter"/>
      <w:lvlText w:val="%1."/>
      <w:lvlJc w:val="left"/>
      <w:pPr>
        <w:ind w:left="720" w:hanging="360"/>
      </w:pPr>
      <w:rPr>
        <w:rFonts w:hint="default"/>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nsid w:val="679B6223"/>
    <w:multiLevelType w:val="hybridMultilevel"/>
    <w:tmpl w:val="432EC7B4"/>
    <w:lvl w:ilvl="0" w:tplc="F77E2F08">
      <w:start w:val="1"/>
      <w:numFmt w:val="bullet"/>
      <w:lvlText w:val="-"/>
      <w:lvlJc w:val="left"/>
      <w:pPr>
        <w:ind w:left="720" w:hanging="360"/>
      </w:pPr>
      <w:rPr>
        <w:rFonts w:ascii="Calibri" w:eastAsiaTheme="minorEastAsia"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nsid w:val="6CCA48CF"/>
    <w:multiLevelType w:val="hybridMultilevel"/>
    <w:tmpl w:val="6E449B82"/>
    <w:lvl w:ilvl="0" w:tplc="1AE6341C">
      <w:start w:val="1"/>
      <w:numFmt w:val="lowerRoman"/>
      <w:lvlText w:val="%1."/>
      <w:lvlJc w:val="left"/>
      <w:pPr>
        <w:ind w:left="1080" w:hanging="720"/>
      </w:pPr>
      <w:rPr>
        <w:rFonts w:ascii="Calibri" w:eastAsia="Times New Roman" w:hAnsi="Calibri" w:cs="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68A70D0"/>
    <w:multiLevelType w:val="hybridMultilevel"/>
    <w:tmpl w:val="567A00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1"/>
  </w:num>
  <w:num w:numId="4">
    <w:abstractNumId w:val="4"/>
  </w:num>
  <w:num w:numId="5">
    <w:abstractNumId w:val="22"/>
  </w:num>
  <w:num w:numId="6">
    <w:abstractNumId w:val="23"/>
  </w:num>
  <w:num w:numId="7">
    <w:abstractNumId w:val="7"/>
  </w:num>
  <w:num w:numId="8">
    <w:abstractNumId w:val="18"/>
  </w:num>
  <w:num w:numId="9">
    <w:abstractNumId w:val="17"/>
  </w:num>
  <w:num w:numId="10">
    <w:abstractNumId w:val="3"/>
  </w:num>
  <w:num w:numId="11">
    <w:abstractNumId w:val="19"/>
  </w:num>
  <w:num w:numId="12">
    <w:abstractNumId w:val="15"/>
  </w:num>
  <w:num w:numId="13">
    <w:abstractNumId w:val="14"/>
  </w:num>
  <w:num w:numId="14">
    <w:abstractNumId w:val="8"/>
  </w:num>
  <w:num w:numId="15">
    <w:abstractNumId w:val="9"/>
  </w:num>
  <w:num w:numId="16">
    <w:abstractNumId w:val="20"/>
  </w:num>
  <w:num w:numId="17">
    <w:abstractNumId w:val="21"/>
  </w:num>
  <w:num w:numId="18">
    <w:abstractNumId w:val="10"/>
  </w:num>
  <w:num w:numId="19">
    <w:abstractNumId w:val="12"/>
  </w:num>
  <w:num w:numId="20">
    <w:abstractNumId w:val="0"/>
  </w:num>
  <w:num w:numId="21">
    <w:abstractNumId w:val="5"/>
  </w:num>
  <w:num w:numId="22">
    <w:abstractNumId w:val="16"/>
  </w:num>
  <w:num w:numId="23">
    <w:abstractNumId w:val="1"/>
  </w:num>
  <w:num w:numId="24">
    <w:abstractNumId w:val="24"/>
  </w:num>
  <w:num w:numId="25">
    <w:abstractNumId w:val="13"/>
  </w:num>
  <w:num w:numId="26">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rigo Velasco">
    <w15:presenceInfo w15:providerId="AD" w15:userId="S-1-5-21-942442728-579424601-3959550305-13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4525"/>
    <w:rsid w:val="00005BB8"/>
    <w:rsid w:val="0000682C"/>
    <w:rsid w:val="000224DE"/>
    <w:rsid w:val="00027C14"/>
    <w:rsid w:val="000544F4"/>
    <w:rsid w:val="000809C4"/>
    <w:rsid w:val="00082648"/>
    <w:rsid w:val="00086D6F"/>
    <w:rsid w:val="00096A6D"/>
    <w:rsid w:val="000B1926"/>
    <w:rsid w:val="000B5531"/>
    <w:rsid w:val="000C14DB"/>
    <w:rsid w:val="000D3AE8"/>
    <w:rsid w:val="000E28BE"/>
    <w:rsid w:val="000F4203"/>
    <w:rsid w:val="000F51FA"/>
    <w:rsid w:val="000F7356"/>
    <w:rsid w:val="000F78B6"/>
    <w:rsid w:val="00103AB3"/>
    <w:rsid w:val="001165AF"/>
    <w:rsid w:val="001204A8"/>
    <w:rsid w:val="0012250E"/>
    <w:rsid w:val="0012491A"/>
    <w:rsid w:val="00130AFA"/>
    <w:rsid w:val="00131B7D"/>
    <w:rsid w:val="00140643"/>
    <w:rsid w:val="001434FC"/>
    <w:rsid w:val="001469BE"/>
    <w:rsid w:val="001469FC"/>
    <w:rsid w:val="0016055C"/>
    <w:rsid w:val="00181E6C"/>
    <w:rsid w:val="001927AE"/>
    <w:rsid w:val="001B21D3"/>
    <w:rsid w:val="001C24CD"/>
    <w:rsid w:val="001C52EF"/>
    <w:rsid w:val="001C5EC8"/>
    <w:rsid w:val="001C6168"/>
    <w:rsid w:val="001D37CC"/>
    <w:rsid w:val="001D71D5"/>
    <w:rsid w:val="001D7B8C"/>
    <w:rsid w:val="001F0A3B"/>
    <w:rsid w:val="001F2794"/>
    <w:rsid w:val="001F46B4"/>
    <w:rsid w:val="002012B6"/>
    <w:rsid w:val="00203097"/>
    <w:rsid w:val="002060B0"/>
    <w:rsid w:val="0020623C"/>
    <w:rsid w:val="002068B7"/>
    <w:rsid w:val="00213F1D"/>
    <w:rsid w:val="00221AAF"/>
    <w:rsid w:val="0023603F"/>
    <w:rsid w:val="00253AD4"/>
    <w:rsid w:val="002571F5"/>
    <w:rsid w:val="0026086E"/>
    <w:rsid w:val="00270D32"/>
    <w:rsid w:val="00272066"/>
    <w:rsid w:val="002752DF"/>
    <w:rsid w:val="00276A3F"/>
    <w:rsid w:val="002810B7"/>
    <w:rsid w:val="002870F0"/>
    <w:rsid w:val="00296C6D"/>
    <w:rsid w:val="002B21F2"/>
    <w:rsid w:val="002C653A"/>
    <w:rsid w:val="002D6C7A"/>
    <w:rsid w:val="002E0103"/>
    <w:rsid w:val="002E157A"/>
    <w:rsid w:val="002E1949"/>
    <w:rsid w:val="002E5E6F"/>
    <w:rsid w:val="002F108A"/>
    <w:rsid w:val="002F79E8"/>
    <w:rsid w:val="003019D6"/>
    <w:rsid w:val="00304D92"/>
    <w:rsid w:val="00314C61"/>
    <w:rsid w:val="0031542D"/>
    <w:rsid w:val="00317A9C"/>
    <w:rsid w:val="003215A6"/>
    <w:rsid w:val="00321C1E"/>
    <w:rsid w:val="003303BD"/>
    <w:rsid w:val="00334C05"/>
    <w:rsid w:val="00340D8C"/>
    <w:rsid w:val="0035133C"/>
    <w:rsid w:val="00354007"/>
    <w:rsid w:val="0035787B"/>
    <w:rsid w:val="00357ADF"/>
    <w:rsid w:val="00360C4F"/>
    <w:rsid w:val="003613E2"/>
    <w:rsid w:val="003627A3"/>
    <w:rsid w:val="0036502D"/>
    <w:rsid w:val="0037697D"/>
    <w:rsid w:val="003822AC"/>
    <w:rsid w:val="00386B89"/>
    <w:rsid w:val="00390E4E"/>
    <w:rsid w:val="0039310C"/>
    <w:rsid w:val="003956E9"/>
    <w:rsid w:val="003A03EF"/>
    <w:rsid w:val="003A2DFE"/>
    <w:rsid w:val="003B1188"/>
    <w:rsid w:val="003B2108"/>
    <w:rsid w:val="003B3D15"/>
    <w:rsid w:val="003B4872"/>
    <w:rsid w:val="003B4FD1"/>
    <w:rsid w:val="003C6877"/>
    <w:rsid w:val="003D3906"/>
    <w:rsid w:val="003D4808"/>
    <w:rsid w:val="003D6E31"/>
    <w:rsid w:val="003E6A73"/>
    <w:rsid w:val="003F12A3"/>
    <w:rsid w:val="003F6E36"/>
    <w:rsid w:val="00405F73"/>
    <w:rsid w:val="00410B87"/>
    <w:rsid w:val="00412344"/>
    <w:rsid w:val="00413C13"/>
    <w:rsid w:val="00415AC4"/>
    <w:rsid w:val="00430004"/>
    <w:rsid w:val="00431C35"/>
    <w:rsid w:val="004448E5"/>
    <w:rsid w:val="00446E5F"/>
    <w:rsid w:val="00447B8B"/>
    <w:rsid w:val="00450FB1"/>
    <w:rsid w:val="00463BB9"/>
    <w:rsid w:val="00471B01"/>
    <w:rsid w:val="00471F12"/>
    <w:rsid w:val="00472F53"/>
    <w:rsid w:val="004823EB"/>
    <w:rsid w:val="00482E62"/>
    <w:rsid w:val="00484003"/>
    <w:rsid w:val="0048589F"/>
    <w:rsid w:val="00492D99"/>
    <w:rsid w:val="00492DA1"/>
    <w:rsid w:val="00495DBE"/>
    <w:rsid w:val="004A6357"/>
    <w:rsid w:val="004A640B"/>
    <w:rsid w:val="004B25D9"/>
    <w:rsid w:val="004B436F"/>
    <w:rsid w:val="004B4525"/>
    <w:rsid w:val="004B4A09"/>
    <w:rsid w:val="004B60FF"/>
    <w:rsid w:val="004C5F3F"/>
    <w:rsid w:val="004C72B3"/>
    <w:rsid w:val="004E28CB"/>
    <w:rsid w:val="004E3D6E"/>
    <w:rsid w:val="004E666D"/>
    <w:rsid w:val="004F7FD4"/>
    <w:rsid w:val="005016E5"/>
    <w:rsid w:val="00503196"/>
    <w:rsid w:val="00516990"/>
    <w:rsid w:val="005248AF"/>
    <w:rsid w:val="00534BE0"/>
    <w:rsid w:val="005379F9"/>
    <w:rsid w:val="00537D3F"/>
    <w:rsid w:val="00541DDE"/>
    <w:rsid w:val="00546977"/>
    <w:rsid w:val="00564B29"/>
    <w:rsid w:val="00575289"/>
    <w:rsid w:val="0058493C"/>
    <w:rsid w:val="005873B8"/>
    <w:rsid w:val="005875A0"/>
    <w:rsid w:val="005939C8"/>
    <w:rsid w:val="00594788"/>
    <w:rsid w:val="00594BB8"/>
    <w:rsid w:val="0059748D"/>
    <w:rsid w:val="005A0F44"/>
    <w:rsid w:val="005A3709"/>
    <w:rsid w:val="005B05B8"/>
    <w:rsid w:val="005D2F18"/>
    <w:rsid w:val="005E015D"/>
    <w:rsid w:val="005E426E"/>
    <w:rsid w:val="005E6C54"/>
    <w:rsid w:val="0060150F"/>
    <w:rsid w:val="0060270E"/>
    <w:rsid w:val="006047CB"/>
    <w:rsid w:val="006170B6"/>
    <w:rsid w:val="00617AAA"/>
    <w:rsid w:val="00617C40"/>
    <w:rsid w:val="006202DB"/>
    <w:rsid w:val="0063286B"/>
    <w:rsid w:val="00637316"/>
    <w:rsid w:val="006408E8"/>
    <w:rsid w:val="0064620F"/>
    <w:rsid w:val="00655CFB"/>
    <w:rsid w:val="00660071"/>
    <w:rsid w:val="00661871"/>
    <w:rsid w:val="006720B3"/>
    <w:rsid w:val="00672CD7"/>
    <w:rsid w:val="0068058F"/>
    <w:rsid w:val="00690C15"/>
    <w:rsid w:val="00696FD3"/>
    <w:rsid w:val="006A0C97"/>
    <w:rsid w:val="006A1FF4"/>
    <w:rsid w:val="006A349E"/>
    <w:rsid w:val="006A6C69"/>
    <w:rsid w:val="006B15D7"/>
    <w:rsid w:val="006B2D89"/>
    <w:rsid w:val="006B61B7"/>
    <w:rsid w:val="006B74DD"/>
    <w:rsid w:val="006B7662"/>
    <w:rsid w:val="006C2D58"/>
    <w:rsid w:val="006D0E68"/>
    <w:rsid w:val="006E6CDE"/>
    <w:rsid w:val="0070183B"/>
    <w:rsid w:val="00715492"/>
    <w:rsid w:val="007159AC"/>
    <w:rsid w:val="00726F69"/>
    <w:rsid w:val="00734490"/>
    <w:rsid w:val="007615A8"/>
    <w:rsid w:val="00774534"/>
    <w:rsid w:val="00775852"/>
    <w:rsid w:val="007804CD"/>
    <w:rsid w:val="00795062"/>
    <w:rsid w:val="0079639A"/>
    <w:rsid w:val="007A13F5"/>
    <w:rsid w:val="007A3276"/>
    <w:rsid w:val="007B19F5"/>
    <w:rsid w:val="007B532B"/>
    <w:rsid w:val="007B5C6E"/>
    <w:rsid w:val="007B6775"/>
    <w:rsid w:val="007C743A"/>
    <w:rsid w:val="007D0604"/>
    <w:rsid w:val="007D4365"/>
    <w:rsid w:val="007D4AC0"/>
    <w:rsid w:val="007D4C48"/>
    <w:rsid w:val="007D4CD4"/>
    <w:rsid w:val="007E7199"/>
    <w:rsid w:val="007F03BC"/>
    <w:rsid w:val="007F0AAC"/>
    <w:rsid w:val="007F13B4"/>
    <w:rsid w:val="00803578"/>
    <w:rsid w:val="00803D52"/>
    <w:rsid w:val="00805EB8"/>
    <w:rsid w:val="00811C5C"/>
    <w:rsid w:val="00814B50"/>
    <w:rsid w:val="00817858"/>
    <w:rsid w:val="008202BF"/>
    <w:rsid w:val="0082108D"/>
    <w:rsid w:val="008242FF"/>
    <w:rsid w:val="008274CE"/>
    <w:rsid w:val="00837BE5"/>
    <w:rsid w:val="00843987"/>
    <w:rsid w:val="00843E77"/>
    <w:rsid w:val="008510F1"/>
    <w:rsid w:val="00857A90"/>
    <w:rsid w:val="00862232"/>
    <w:rsid w:val="00867C9C"/>
    <w:rsid w:val="0087693A"/>
    <w:rsid w:val="00877A13"/>
    <w:rsid w:val="00880340"/>
    <w:rsid w:val="00884902"/>
    <w:rsid w:val="00885A10"/>
    <w:rsid w:val="0088662C"/>
    <w:rsid w:val="00886A1B"/>
    <w:rsid w:val="008902AB"/>
    <w:rsid w:val="008915A1"/>
    <w:rsid w:val="00893A32"/>
    <w:rsid w:val="0089472B"/>
    <w:rsid w:val="008949C8"/>
    <w:rsid w:val="008A47E8"/>
    <w:rsid w:val="008C0616"/>
    <w:rsid w:val="008E1788"/>
    <w:rsid w:val="008E33E0"/>
    <w:rsid w:val="008E52B0"/>
    <w:rsid w:val="008F1462"/>
    <w:rsid w:val="008F29A6"/>
    <w:rsid w:val="008F3EA7"/>
    <w:rsid w:val="008F4B54"/>
    <w:rsid w:val="00903265"/>
    <w:rsid w:val="00905964"/>
    <w:rsid w:val="00905E59"/>
    <w:rsid w:val="009066ED"/>
    <w:rsid w:val="00907D16"/>
    <w:rsid w:val="0091003D"/>
    <w:rsid w:val="00910CB6"/>
    <w:rsid w:val="00911492"/>
    <w:rsid w:val="009118F6"/>
    <w:rsid w:val="00914B06"/>
    <w:rsid w:val="009154C5"/>
    <w:rsid w:val="009155B6"/>
    <w:rsid w:val="00915A12"/>
    <w:rsid w:val="00917C64"/>
    <w:rsid w:val="00920963"/>
    <w:rsid w:val="00926FFD"/>
    <w:rsid w:val="00932264"/>
    <w:rsid w:val="00941CA9"/>
    <w:rsid w:val="00941F92"/>
    <w:rsid w:val="00944696"/>
    <w:rsid w:val="00944709"/>
    <w:rsid w:val="0094730B"/>
    <w:rsid w:val="009474C2"/>
    <w:rsid w:val="00950481"/>
    <w:rsid w:val="00964169"/>
    <w:rsid w:val="0096456A"/>
    <w:rsid w:val="00964FAE"/>
    <w:rsid w:val="0096722E"/>
    <w:rsid w:val="00967A25"/>
    <w:rsid w:val="00967A50"/>
    <w:rsid w:val="00970A01"/>
    <w:rsid w:val="00980410"/>
    <w:rsid w:val="009811A9"/>
    <w:rsid w:val="00984666"/>
    <w:rsid w:val="00985C81"/>
    <w:rsid w:val="00997268"/>
    <w:rsid w:val="009A23D4"/>
    <w:rsid w:val="009B6FA2"/>
    <w:rsid w:val="009D1709"/>
    <w:rsid w:val="009D6781"/>
    <w:rsid w:val="009D7AE9"/>
    <w:rsid w:val="009E2E1B"/>
    <w:rsid w:val="009E48F7"/>
    <w:rsid w:val="009F3B31"/>
    <w:rsid w:val="009F6F80"/>
    <w:rsid w:val="00A05859"/>
    <w:rsid w:val="00A10E5D"/>
    <w:rsid w:val="00A20D02"/>
    <w:rsid w:val="00A25CE1"/>
    <w:rsid w:val="00A25DFE"/>
    <w:rsid w:val="00A2642C"/>
    <w:rsid w:val="00A317B0"/>
    <w:rsid w:val="00A32600"/>
    <w:rsid w:val="00A33746"/>
    <w:rsid w:val="00A3765F"/>
    <w:rsid w:val="00A42BEF"/>
    <w:rsid w:val="00A43BD6"/>
    <w:rsid w:val="00A47663"/>
    <w:rsid w:val="00A501AA"/>
    <w:rsid w:val="00A56AC7"/>
    <w:rsid w:val="00A61BDF"/>
    <w:rsid w:val="00A61DC5"/>
    <w:rsid w:val="00A64377"/>
    <w:rsid w:val="00A66462"/>
    <w:rsid w:val="00A824D1"/>
    <w:rsid w:val="00A95AD4"/>
    <w:rsid w:val="00A96F4D"/>
    <w:rsid w:val="00A97E57"/>
    <w:rsid w:val="00AA08F5"/>
    <w:rsid w:val="00AA3FB7"/>
    <w:rsid w:val="00AA6EED"/>
    <w:rsid w:val="00AB21FA"/>
    <w:rsid w:val="00AB3B6F"/>
    <w:rsid w:val="00AC4104"/>
    <w:rsid w:val="00AC45E8"/>
    <w:rsid w:val="00AC5F2B"/>
    <w:rsid w:val="00AD0C83"/>
    <w:rsid w:val="00AD3613"/>
    <w:rsid w:val="00AD4503"/>
    <w:rsid w:val="00AD4AAE"/>
    <w:rsid w:val="00AD4C6F"/>
    <w:rsid w:val="00AF1881"/>
    <w:rsid w:val="00AF5F0E"/>
    <w:rsid w:val="00B04400"/>
    <w:rsid w:val="00B06604"/>
    <w:rsid w:val="00B118FB"/>
    <w:rsid w:val="00B142E0"/>
    <w:rsid w:val="00B2359B"/>
    <w:rsid w:val="00B254D7"/>
    <w:rsid w:val="00B3191F"/>
    <w:rsid w:val="00B4544F"/>
    <w:rsid w:val="00B4774A"/>
    <w:rsid w:val="00B503EC"/>
    <w:rsid w:val="00B54405"/>
    <w:rsid w:val="00B60A87"/>
    <w:rsid w:val="00B658CA"/>
    <w:rsid w:val="00B66AB7"/>
    <w:rsid w:val="00B6723A"/>
    <w:rsid w:val="00B7212A"/>
    <w:rsid w:val="00B7243F"/>
    <w:rsid w:val="00B74460"/>
    <w:rsid w:val="00B77E37"/>
    <w:rsid w:val="00BA1D8D"/>
    <w:rsid w:val="00BA351A"/>
    <w:rsid w:val="00BA5863"/>
    <w:rsid w:val="00BA6EB5"/>
    <w:rsid w:val="00BB1483"/>
    <w:rsid w:val="00BB4441"/>
    <w:rsid w:val="00BC2D62"/>
    <w:rsid w:val="00BC67E7"/>
    <w:rsid w:val="00BC7050"/>
    <w:rsid w:val="00BD0C6D"/>
    <w:rsid w:val="00BD48D9"/>
    <w:rsid w:val="00C06FB1"/>
    <w:rsid w:val="00C10D24"/>
    <w:rsid w:val="00C21E03"/>
    <w:rsid w:val="00C2526B"/>
    <w:rsid w:val="00C26733"/>
    <w:rsid w:val="00C274AD"/>
    <w:rsid w:val="00C30F4F"/>
    <w:rsid w:val="00C33A63"/>
    <w:rsid w:val="00C60D6E"/>
    <w:rsid w:val="00C627FD"/>
    <w:rsid w:val="00C804BF"/>
    <w:rsid w:val="00C865F5"/>
    <w:rsid w:val="00C866C6"/>
    <w:rsid w:val="00C93B6E"/>
    <w:rsid w:val="00CA2479"/>
    <w:rsid w:val="00CA2864"/>
    <w:rsid w:val="00CC7680"/>
    <w:rsid w:val="00CC7DF0"/>
    <w:rsid w:val="00CD4EF1"/>
    <w:rsid w:val="00CE5A9C"/>
    <w:rsid w:val="00CF6656"/>
    <w:rsid w:val="00CF6E1D"/>
    <w:rsid w:val="00CF76DE"/>
    <w:rsid w:val="00D01747"/>
    <w:rsid w:val="00D07562"/>
    <w:rsid w:val="00D1234C"/>
    <w:rsid w:val="00D26E4D"/>
    <w:rsid w:val="00D34026"/>
    <w:rsid w:val="00D42C37"/>
    <w:rsid w:val="00D514E6"/>
    <w:rsid w:val="00D64842"/>
    <w:rsid w:val="00D64C83"/>
    <w:rsid w:val="00D67A17"/>
    <w:rsid w:val="00D67B76"/>
    <w:rsid w:val="00D711CB"/>
    <w:rsid w:val="00D72E02"/>
    <w:rsid w:val="00D72F16"/>
    <w:rsid w:val="00D7495B"/>
    <w:rsid w:val="00D74B4A"/>
    <w:rsid w:val="00D804C0"/>
    <w:rsid w:val="00D8280D"/>
    <w:rsid w:val="00D900AB"/>
    <w:rsid w:val="00D9057C"/>
    <w:rsid w:val="00D92716"/>
    <w:rsid w:val="00D9479E"/>
    <w:rsid w:val="00DA1FAB"/>
    <w:rsid w:val="00DB095C"/>
    <w:rsid w:val="00DC1011"/>
    <w:rsid w:val="00DD0922"/>
    <w:rsid w:val="00DD2DF1"/>
    <w:rsid w:val="00DD349E"/>
    <w:rsid w:val="00DD657E"/>
    <w:rsid w:val="00DE197C"/>
    <w:rsid w:val="00DE4A47"/>
    <w:rsid w:val="00DF05BD"/>
    <w:rsid w:val="00DF3744"/>
    <w:rsid w:val="00E00821"/>
    <w:rsid w:val="00E057A3"/>
    <w:rsid w:val="00E117BA"/>
    <w:rsid w:val="00E1627C"/>
    <w:rsid w:val="00E2790D"/>
    <w:rsid w:val="00E27FB6"/>
    <w:rsid w:val="00E30239"/>
    <w:rsid w:val="00E323E1"/>
    <w:rsid w:val="00E35D72"/>
    <w:rsid w:val="00E43D62"/>
    <w:rsid w:val="00E457E9"/>
    <w:rsid w:val="00E47410"/>
    <w:rsid w:val="00E47775"/>
    <w:rsid w:val="00E50ACE"/>
    <w:rsid w:val="00E7035A"/>
    <w:rsid w:val="00E80125"/>
    <w:rsid w:val="00E86776"/>
    <w:rsid w:val="00E87A47"/>
    <w:rsid w:val="00E920AE"/>
    <w:rsid w:val="00E97A17"/>
    <w:rsid w:val="00EA0B72"/>
    <w:rsid w:val="00EA12C1"/>
    <w:rsid w:val="00EA7E1F"/>
    <w:rsid w:val="00EB2109"/>
    <w:rsid w:val="00EB2220"/>
    <w:rsid w:val="00ED348D"/>
    <w:rsid w:val="00ED5D4E"/>
    <w:rsid w:val="00ED6346"/>
    <w:rsid w:val="00EE05C1"/>
    <w:rsid w:val="00EE1420"/>
    <w:rsid w:val="00EE3850"/>
    <w:rsid w:val="00EE5086"/>
    <w:rsid w:val="00EF2C13"/>
    <w:rsid w:val="00EF4E76"/>
    <w:rsid w:val="00EF6339"/>
    <w:rsid w:val="00EF7388"/>
    <w:rsid w:val="00F050BC"/>
    <w:rsid w:val="00F05B98"/>
    <w:rsid w:val="00F11641"/>
    <w:rsid w:val="00F21A7B"/>
    <w:rsid w:val="00F25F2F"/>
    <w:rsid w:val="00F26F2C"/>
    <w:rsid w:val="00F27BE6"/>
    <w:rsid w:val="00F314D6"/>
    <w:rsid w:val="00F3349A"/>
    <w:rsid w:val="00F3370C"/>
    <w:rsid w:val="00F47548"/>
    <w:rsid w:val="00F47917"/>
    <w:rsid w:val="00F50832"/>
    <w:rsid w:val="00F6043A"/>
    <w:rsid w:val="00F61043"/>
    <w:rsid w:val="00F66D51"/>
    <w:rsid w:val="00F95A73"/>
    <w:rsid w:val="00F96DDE"/>
    <w:rsid w:val="00FA0AD4"/>
    <w:rsid w:val="00FA3D65"/>
    <w:rsid w:val="00FA4F32"/>
    <w:rsid w:val="00FD5B58"/>
    <w:rsid w:val="00FE142C"/>
    <w:rsid w:val="00FE1FB7"/>
    <w:rsid w:val="00FE4E77"/>
    <w:rsid w:val="00FE64F1"/>
    <w:rsid w:val="00FF072D"/>
    <w:rsid w:val="00FF3332"/>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04"/>
  </w:style>
  <w:style w:type="paragraph" w:styleId="Ttulo3">
    <w:name w:val="heading 3"/>
    <w:basedOn w:val="Normal"/>
    <w:next w:val="Normal"/>
    <w:link w:val="Ttulo3Car"/>
    <w:qFormat/>
    <w:rsid w:val="00E457E9"/>
    <w:pPr>
      <w:keepNext/>
      <w:keepLines/>
      <w:numPr>
        <w:numId w:val="1"/>
      </w:numPr>
      <w:suppressLineNumbers/>
      <w:suppressAutoHyphens/>
      <w:overflowPunct w:val="0"/>
      <w:autoSpaceDE w:val="0"/>
      <w:autoSpaceDN w:val="0"/>
      <w:adjustRightInd w:val="0"/>
      <w:spacing w:after="0" w:line="240" w:lineRule="auto"/>
      <w:ind w:right="-23"/>
      <w:jc w:val="both"/>
      <w:textAlignment w:val="baseline"/>
      <w:outlineLvl w:val="2"/>
    </w:pPr>
    <w:rPr>
      <w:rFonts w:ascii="Arial" w:eastAsia="Times New Roman" w:hAnsi="Arial" w:cs="Times New Roman"/>
      <w:b/>
      <w:color w:val="000000"/>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1DDE"/>
    <w:rPr>
      <w:color w:val="0000FF"/>
      <w:u w:val="single"/>
    </w:rPr>
  </w:style>
  <w:style w:type="paragraph" w:styleId="Prrafodelista">
    <w:name w:val="List Paragraph"/>
    <w:basedOn w:val="Normal"/>
    <w:uiPriority w:val="34"/>
    <w:qFormat/>
    <w:rsid w:val="00985C81"/>
    <w:pPr>
      <w:ind w:left="720"/>
      <w:contextualSpacing/>
    </w:pPr>
  </w:style>
  <w:style w:type="paragraph" w:styleId="Textodeglobo">
    <w:name w:val="Balloon Text"/>
    <w:basedOn w:val="Normal"/>
    <w:link w:val="TextodegloboCar"/>
    <w:uiPriority w:val="99"/>
    <w:semiHidden/>
    <w:unhideWhenUsed/>
    <w:rsid w:val="003A0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3EF"/>
    <w:rPr>
      <w:rFonts w:ascii="Tahoma" w:hAnsi="Tahoma" w:cs="Tahoma"/>
      <w:sz w:val="16"/>
      <w:szCs w:val="16"/>
    </w:rPr>
  </w:style>
  <w:style w:type="character" w:customStyle="1" w:styleId="Ttulo3Car">
    <w:name w:val="Título 3 Car"/>
    <w:basedOn w:val="Fuentedeprrafopredeter"/>
    <w:link w:val="Ttulo3"/>
    <w:rsid w:val="00E457E9"/>
    <w:rPr>
      <w:rFonts w:ascii="Arial" w:eastAsia="Times New Roman" w:hAnsi="Arial" w:cs="Times New Roman"/>
      <w:b/>
      <w:color w:val="000000"/>
      <w:spacing w:val="-3"/>
      <w:sz w:val="24"/>
      <w:szCs w:val="24"/>
      <w:lang w:val="es-ES_tradnl" w:eastAsia="es-ES"/>
    </w:rPr>
  </w:style>
  <w:style w:type="paragraph" w:customStyle="1" w:styleId="Default">
    <w:name w:val="Default"/>
    <w:rsid w:val="00E457E9"/>
    <w:pPr>
      <w:autoSpaceDE w:val="0"/>
      <w:autoSpaceDN w:val="0"/>
      <w:adjustRightInd w:val="0"/>
      <w:spacing w:after="0" w:line="240" w:lineRule="auto"/>
    </w:pPr>
    <w:rPr>
      <w:rFonts w:ascii="Arial" w:hAnsi="Arial" w:cs="Arial"/>
      <w:color w:val="000000"/>
      <w:sz w:val="24"/>
      <w:szCs w:val="24"/>
    </w:rPr>
  </w:style>
  <w:style w:type="character" w:customStyle="1" w:styleId="object">
    <w:name w:val="object"/>
    <w:basedOn w:val="Fuentedeprrafopredeter"/>
    <w:rsid w:val="004E666D"/>
  </w:style>
  <w:style w:type="character" w:customStyle="1" w:styleId="apple-converted-space">
    <w:name w:val="apple-converted-space"/>
    <w:basedOn w:val="Fuentedeprrafopredeter"/>
    <w:rsid w:val="004E666D"/>
  </w:style>
  <w:style w:type="paragraph" w:customStyle="1" w:styleId="titulo1">
    <w:name w:val="titulo1"/>
    <w:basedOn w:val="Normal"/>
    <w:rsid w:val="002608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715492"/>
    <w:pPr>
      <w:spacing w:after="0" w:line="240" w:lineRule="auto"/>
    </w:pPr>
    <w:rPr>
      <w:rFonts w:ascii="Calibri" w:hAnsi="Calibri" w:cs="Consolas"/>
      <w:szCs w:val="21"/>
      <w:lang w:val="es-UY"/>
    </w:rPr>
  </w:style>
  <w:style w:type="character" w:customStyle="1" w:styleId="TextosinformatoCar">
    <w:name w:val="Texto sin formato Car"/>
    <w:basedOn w:val="Fuentedeprrafopredeter"/>
    <w:link w:val="Textosinformato"/>
    <w:uiPriority w:val="99"/>
    <w:rsid w:val="00715492"/>
    <w:rPr>
      <w:rFonts w:ascii="Calibri" w:hAnsi="Calibri" w:cs="Consolas"/>
      <w:szCs w:val="21"/>
      <w:lang w:val="es-UY"/>
    </w:rPr>
  </w:style>
  <w:style w:type="character" w:styleId="Refdecomentario">
    <w:name w:val="annotation reference"/>
    <w:basedOn w:val="Fuentedeprrafopredeter"/>
    <w:uiPriority w:val="99"/>
    <w:semiHidden/>
    <w:rsid w:val="00213F1D"/>
    <w:rPr>
      <w:sz w:val="16"/>
      <w:szCs w:val="16"/>
    </w:rPr>
  </w:style>
  <w:style w:type="paragraph" w:styleId="Textocomentario">
    <w:name w:val="annotation text"/>
    <w:basedOn w:val="Normal"/>
    <w:link w:val="TextocomentarioCar"/>
    <w:uiPriority w:val="99"/>
    <w:semiHidden/>
    <w:unhideWhenUsed/>
    <w:rsid w:val="00F610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1043"/>
    <w:rPr>
      <w:sz w:val="20"/>
      <w:szCs w:val="20"/>
    </w:rPr>
  </w:style>
  <w:style w:type="paragraph" w:styleId="Asuntodelcomentario">
    <w:name w:val="annotation subject"/>
    <w:basedOn w:val="Textocomentario"/>
    <w:next w:val="Textocomentario"/>
    <w:link w:val="AsuntodelcomentarioCar"/>
    <w:uiPriority w:val="99"/>
    <w:semiHidden/>
    <w:unhideWhenUsed/>
    <w:rsid w:val="00F61043"/>
    <w:rPr>
      <w:b/>
      <w:bCs/>
    </w:rPr>
  </w:style>
  <w:style w:type="character" w:customStyle="1" w:styleId="AsuntodelcomentarioCar">
    <w:name w:val="Asunto del comentario Car"/>
    <w:basedOn w:val="TextocomentarioCar"/>
    <w:link w:val="Asuntodelcomentario"/>
    <w:uiPriority w:val="99"/>
    <w:semiHidden/>
    <w:rsid w:val="00F61043"/>
    <w:rPr>
      <w:b/>
      <w:bCs/>
      <w:sz w:val="20"/>
      <w:szCs w:val="20"/>
    </w:rPr>
  </w:style>
  <w:style w:type="paragraph" w:customStyle="1" w:styleId="xmsonormal">
    <w:name w:val="x_msonormal"/>
    <w:basedOn w:val="Normal"/>
    <w:rsid w:val="003C6877"/>
    <w:pPr>
      <w:spacing w:after="0" w:line="240" w:lineRule="auto"/>
    </w:pPr>
    <w:rPr>
      <w:rFonts w:ascii="Times New Roman" w:hAnsi="Times New Roman" w:cs="Times New Roman"/>
      <w:sz w:val="24"/>
      <w:szCs w:val="24"/>
      <w:lang w:eastAsia="es-ES"/>
    </w:rPr>
  </w:style>
  <w:style w:type="paragraph" w:styleId="NormalWeb">
    <w:name w:val="Normal (Web)"/>
    <w:basedOn w:val="Normal"/>
    <w:uiPriority w:val="99"/>
    <w:semiHidden/>
    <w:unhideWhenUsed/>
    <w:rsid w:val="000B55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terales">
    <w:name w:val="literales"/>
    <w:basedOn w:val="Normal"/>
    <w:rsid w:val="000B55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0">
    <w:name w:val="default"/>
    <w:basedOn w:val="Normal"/>
    <w:rsid w:val="000B553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242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142083">
      <w:bodyDiv w:val="1"/>
      <w:marLeft w:val="0"/>
      <w:marRight w:val="0"/>
      <w:marTop w:val="0"/>
      <w:marBottom w:val="0"/>
      <w:divBdr>
        <w:top w:val="none" w:sz="0" w:space="0" w:color="auto"/>
        <w:left w:val="none" w:sz="0" w:space="0" w:color="auto"/>
        <w:bottom w:val="none" w:sz="0" w:space="0" w:color="auto"/>
        <w:right w:val="none" w:sz="0" w:space="0" w:color="auto"/>
      </w:divBdr>
      <w:divsChild>
        <w:div w:id="1447429362">
          <w:marLeft w:val="0"/>
          <w:marRight w:val="0"/>
          <w:marTop w:val="0"/>
          <w:marBottom w:val="0"/>
          <w:divBdr>
            <w:top w:val="none" w:sz="0" w:space="0" w:color="auto"/>
            <w:left w:val="none" w:sz="0" w:space="0" w:color="auto"/>
            <w:bottom w:val="none" w:sz="0" w:space="0" w:color="auto"/>
            <w:right w:val="none" w:sz="0" w:space="0" w:color="auto"/>
          </w:divBdr>
          <w:divsChild>
            <w:div w:id="887381785">
              <w:marLeft w:val="0"/>
              <w:marRight w:val="0"/>
              <w:marTop w:val="0"/>
              <w:marBottom w:val="0"/>
              <w:divBdr>
                <w:top w:val="none" w:sz="0" w:space="0" w:color="auto"/>
                <w:left w:val="none" w:sz="0" w:space="0" w:color="auto"/>
                <w:bottom w:val="none" w:sz="0" w:space="0" w:color="auto"/>
                <w:right w:val="none" w:sz="0" w:space="0" w:color="auto"/>
              </w:divBdr>
              <w:divsChild>
                <w:div w:id="5780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4012">
          <w:marLeft w:val="0"/>
          <w:marRight w:val="0"/>
          <w:marTop w:val="0"/>
          <w:marBottom w:val="0"/>
          <w:divBdr>
            <w:top w:val="none" w:sz="0" w:space="0" w:color="auto"/>
            <w:left w:val="none" w:sz="0" w:space="0" w:color="auto"/>
            <w:bottom w:val="none" w:sz="0" w:space="0" w:color="auto"/>
            <w:right w:val="none" w:sz="0" w:space="0" w:color="auto"/>
          </w:divBdr>
        </w:div>
        <w:div w:id="415057505">
          <w:marLeft w:val="0"/>
          <w:marRight w:val="0"/>
          <w:marTop w:val="0"/>
          <w:marBottom w:val="0"/>
          <w:divBdr>
            <w:top w:val="none" w:sz="0" w:space="0" w:color="auto"/>
            <w:left w:val="none" w:sz="0" w:space="0" w:color="auto"/>
            <w:bottom w:val="none" w:sz="0" w:space="0" w:color="auto"/>
            <w:right w:val="none" w:sz="0" w:space="0" w:color="auto"/>
          </w:divBdr>
        </w:div>
        <w:div w:id="263463797">
          <w:marLeft w:val="0"/>
          <w:marRight w:val="0"/>
          <w:marTop w:val="0"/>
          <w:marBottom w:val="0"/>
          <w:divBdr>
            <w:top w:val="none" w:sz="0" w:space="0" w:color="auto"/>
            <w:left w:val="none" w:sz="0" w:space="0" w:color="auto"/>
            <w:bottom w:val="none" w:sz="0" w:space="0" w:color="auto"/>
            <w:right w:val="none" w:sz="0" w:space="0" w:color="auto"/>
          </w:divBdr>
        </w:div>
        <w:div w:id="1574773740">
          <w:marLeft w:val="0"/>
          <w:marRight w:val="0"/>
          <w:marTop w:val="0"/>
          <w:marBottom w:val="0"/>
          <w:divBdr>
            <w:top w:val="none" w:sz="0" w:space="0" w:color="auto"/>
            <w:left w:val="none" w:sz="0" w:space="0" w:color="auto"/>
            <w:bottom w:val="none" w:sz="0" w:space="0" w:color="auto"/>
            <w:right w:val="none" w:sz="0" w:space="0" w:color="auto"/>
          </w:divBdr>
        </w:div>
        <w:div w:id="839537707">
          <w:marLeft w:val="0"/>
          <w:marRight w:val="0"/>
          <w:marTop w:val="0"/>
          <w:marBottom w:val="0"/>
          <w:divBdr>
            <w:top w:val="none" w:sz="0" w:space="0" w:color="auto"/>
            <w:left w:val="none" w:sz="0" w:space="0" w:color="auto"/>
            <w:bottom w:val="none" w:sz="0" w:space="0" w:color="auto"/>
            <w:right w:val="none" w:sz="0" w:space="0" w:color="auto"/>
          </w:divBdr>
        </w:div>
        <w:div w:id="692800771">
          <w:marLeft w:val="0"/>
          <w:marRight w:val="0"/>
          <w:marTop w:val="0"/>
          <w:marBottom w:val="0"/>
          <w:divBdr>
            <w:top w:val="none" w:sz="0" w:space="0" w:color="auto"/>
            <w:left w:val="none" w:sz="0" w:space="0" w:color="auto"/>
            <w:bottom w:val="none" w:sz="0" w:space="0" w:color="auto"/>
            <w:right w:val="none" w:sz="0" w:space="0" w:color="auto"/>
          </w:divBdr>
        </w:div>
        <w:div w:id="333653892">
          <w:marLeft w:val="0"/>
          <w:marRight w:val="0"/>
          <w:marTop w:val="0"/>
          <w:marBottom w:val="0"/>
          <w:divBdr>
            <w:top w:val="none" w:sz="0" w:space="0" w:color="auto"/>
            <w:left w:val="none" w:sz="0" w:space="0" w:color="auto"/>
            <w:bottom w:val="none" w:sz="0" w:space="0" w:color="auto"/>
            <w:right w:val="none" w:sz="0" w:space="0" w:color="auto"/>
          </w:divBdr>
        </w:div>
        <w:div w:id="1951475689">
          <w:marLeft w:val="0"/>
          <w:marRight w:val="0"/>
          <w:marTop w:val="0"/>
          <w:marBottom w:val="0"/>
          <w:divBdr>
            <w:top w:val="none" w:sz="0" w:space="0" w:color="auto"/>
            <w:left w:val="none" w:sz="0" w:space="0" w:color="auto"/>
            <w:bottom w:val="none" w:sz="0" w:space="0" w:color="auto"/>
            <w:right w:val="none" w:sz="0" w:space="0" w:color="auto"/>
          </w:divBdr>
        </w:div>
        <w:div w:id="501091065">
          <w:marLeft w:val="0"/>
          <w:marRight w:val="0"/>
          <w:marTop w:val="0"/>
          <w:marBottom w:val="0"/>
          <w:divBdr>
            <w:top w:val="none" w:sz="0" w:space="0" w:color="auto"/>
            <w:left w:val="none" w:sz="0" w:space="0" w:color="auto"/>
            <w:bottom w:val="none" w:sz="0" w:space="0" w:color="auto"/>
            <w:right w:val="none" w:sz="0" w:space="0" w:color="auto"/>
          </w:divBdr>
        </w:div>
        <w:div w:id="141889206">
          <w:marLeft w:val="0"/>
          <w:marRight w:val="0"/>
          <w:marTop w:val="0"/>
          <w:marBottom w:val="0"/>
          <w:divBdr>
            <w:top w:val="none" w:sz="0" w:space="0" w:color="auto"/>
            <w:left w:val="none" w:sz="0" w:space="0" w:color="auto"/>
            <w:bottom w:val="none" w:sz="0" w:space="0" w:color="auto"/>
            <w:right w:val="none" w:sz="0" w:space="0" w:color="auto"/>
          </w:divBdr>
        </w:div>
        <w:div w:id="1634284872">
          <w:marLeft w:val="0"/>
          <w:marRight w:val="0"/>
          <w:marTop w:val="0"/>
          <w:marBottom w:val="0"/>
          <w:divBdr>
            <w:top w:val="none" w:sz="0" w:space="0" w:color="auto"/>
            <w:left w:val="none" w:sz="0" w:space="0" w:color="auto"/>
            <w:bottom w:val="none" w:sz="0" w:space="0" w:color="auto"/>
            <w:right w:val="none" w:sz="0" w:space="0" w:color="auto"/>
          </w:divBdr>
        </w:div>
        <w:div w:id="588319798">
          <w:marLeft w:val="0"/>
          <w:marRight w:val="0"/>
          <w:marTop w:val="0"/>
          <w:marBottom w:val="0"/>
          <w:divBdr>
            <w:top w:val="none" w:sz="0" w:space="0" w:color="auto"/>
            <w:left w:val="none" w:sz="0" w:space="0" w:color="auto"/>
            <w:bottom w:val="none" w:sz="0" w:space="0" w:color="auto"/>
            <w:right w:val="none" w:sz="0" w:space="0" w:color="auto"/>
          </w:divBdr>
        </w:div>
        <w:div w:id="242375872">
          <w:marLeft w:val="0"/>
          <w:marRight w:val="0"/>
          <w:marTop w:val="0"/>
          <w:marBottom w:val="0"/>
          <w:divBdr>
            <w:top w:val="none" w:sz="0" w:space="0" w:color="auto"/>
            <w:left w:val="none" w:sz="0" w:space="0" w:color="auto"/>
            <w:bottom w:val="none" w:sz="0" w:space="0" w:color="auto"/>
            <w:right w:val="none" w:sz="0" w:space="0" w:color="auto"/>
          </w:divBdr>
        </w:div>
        <w:div w:id="1605068753">
          <w:marLeft w:val="0"/>
          <w:marRight w:val="0"/>
          <w:marTop w:val="0"/>
          <w:marBottom w:val="0"/>
          <w:divBdr>
            <w:top w:val="none" w:sz="0" w:space="0" w:color="auto"/>
            <w:left w:val="none" w:sz="0" w:space="0" w:color="auto"/>
            <w:bottom w:val="none" w:sz="0" w:space="0" w:color="auto"/>
            <w:right w:val="none" w:sz="0" w:space="0" w:color="auto"/>
          </w:divBdr>
        </w:div>
        <w:div w:id="1753887734">
          <w:marLeft w:val="0"/>
          <w:marRight w:val="0"/>
          <w:marTop w:val="0"/>
          <w:marBottom w:val="0"/>
          <w:divBdr>
            <w:top w:val="none" w:sz="0" w:space="0" w:color="auto"/>
            <w:left w:val="none" w:sz="0" w:space="0" w:color="auto"/>
            <w:bottom w:val="none" w:sz="0" w:space="0" w:color="auto"/>
            <w:right w:val="none" w:sz="0" w:space="0" w:color="auto"/>
          </w:divBdr>
        </w:div>
        <w:div w:id="2027049379">
          <w:marLeft w:val="0"/>
          <w:marRight w:val="0"/>
          <w:marTop w:val="0"/>
          <w:marBottom w:val="0"/>
          <w:divBdr>
            <w:top w:val="none" w:sz="0" w:space="0" w:color="auto"/>
            <w:left w:val="none" w:sz="0" w:space="0" w:color="auto"/>
            <w:bottom w:val="none" w:sz="0" w:space="0" w:color="auto"/>
            <w:right w:val="none" w:sz="0" w:space="0" w:color="auto"/>
          </w:divBdr>
        </w:div>
        <w:div w:id="1868179446">
          <w:marLeft w:val="0"/>
          <w:marRight w:val="0"/>
          <w:marTop w:val="0"/>
          <w:marBottom w:val="0"/>
          <w:divBdr>
            <w:top w:val="none" w:sz="0" w:space="0" w:color="auto"/>
            <w:left w:val="none" w:sz="0" w:space="0" w:color="auto"/>
            <w:bottom w:val="none" w:sz="0" w:space="0" w:color="auto"/>
            <w:right w:val="none" w:sz="0" w:space="0" w:color="auto"/>
          </w:divBdr>
        </w:div>
        <w:div w:id="282539623">
          <w:marLeft w:val="0"/>
          <w:marRight w:val="0"/>
          <w:marTop w:val="0"/>
          <w:marBottom w:val="0"/>
          <w:divBdr>
            <w:top w:val="none" w:sz="0" w:space="0" w:color="auto"/>
            <w:left w:val="none" w:sz="0" w:space="0" w:color="auto"/>
            <w:bottom w:val="none" w:sz="0" w:space="0" w:color="auto"/>
            <w:right w:val="none" w:sz="0" w:space="0" w:color="auto"/>
          </w:divBdr>
        </w:div>
        <w:div w:id="409086041">
          <w:marLeft w:val="0"/>
          <w:marRight w:val="0"/>
          <w:marTop w:val="0"/>
          <w:marBottom w:val="0"/>
          <w:divBdr>
            <w:top w:val="none" w:sz="0" w:space="0" w:color="auto"/>
            <w:left w:val="none" w:sz="0" w:space="0" w:color="auto"/>
            <w:bottom w:val="none" w:sz="0" w:space="0" w:color="auto"/>
            <w:right w:val="none" w:sz="0" w:space="0" w:color="auto"/>
          </w:divBdr>
        </w:div>
        <w:div w:id="1596015219">
          <w:marLeft w:val="0"/>
          <w:marRight w:val="0"/>
          <w:marTop w:val="0"/>
          <w:marBottom w:val="0"/>
          <w:divBdr>
            <w:top w:val="none" w:sz="0" w:space="0" w:color="auto"/>
            <w:left w:val="none" w:sz="0" w:space="0" w:color="auto"/>
            <w:bottom w:val="none" w:sz="0" w:space="0" w:color="auto"/>
            <w:right w:val="none" w:sz="0" w:space="0" w:color="auto"/>
          </w:divBdr>
        </w:div>
        <w:div w:id="1522936741">
          <w:marLeft w:val="0"/>
          <w:marRight w:val="0"/>
          <w:marTop w:val="0"/>
          <w:marBottom w:val="0"/>
          <w:divBdr>
            <w:top w:val="none" w:sz="0" w:space="0" w:color="auto"/>
            <w:left w:val="none" w:sz="0" w:space="0" w:color="auto"/>
            <w:bottom w:val="none" w:sz="0" w:space="0" w:color="auto"/>
            <w:right w:val="none" w:sz="0" w:space="0" w:color="auto"/>
          </w:divBdr>
        </w:div>
        <w:div w:id="2074303753">
          <w:marLeft w:val="0"/>
          <w:marRight w:val="0"/>
          <w:marTop w:val="0"/>
          <w:marBottom w:val="0"/>
          <w:divBdr>
            <w:top w:val="none" w:sz="0" w:space="0" w:color="auto"/>
            <w:left w:val="none" w:sz="0" w:space="0" w:color="auto"/>
            <w:bottom w:val="none" w:sz="0" w:space="0" w:color="auto"/>
            <w:right w:val="none" w:sz="0" w:space="0" w:color="auto"/>
          </w:divBdr>
        </w:div>
        <w:div w:id="1119302963">
          <w:marLeft w:val="0"/>
          <w:marRight w:val="0"/>
          <w:marTop w:val="0"/>
          <w:marBottom w:val="0"/>
          <w:divBdr>
            <w:top w:val="none" w:sz="0" w:space="0" w:color="auto"/>
            <w:left w:val="none" w:sz="0" w:space="0" w:color="auto"/>
            <w:bottom w:val="none" w:sz="0" w:space="0" w:color="auto"/>
            <w:right w:val="none" w:sz="0" w:space="0" w:color="auto"/>
          </w:divBdr>
        </w:div>
      </w:divsChild>
    </w:div>
    <w:div w:id="191958457">
      <w:bodyDiv w:val="1"/>
      <w:marLeft w:val="0"/>
      <w:marRight w:val="0"/>
      <w:marTop w:val="0"/>
      <w:marBottom w:val="0"/>
      <w:divBdr>
        <w:top w:val="none" w:sz="0" w:space="0" w:color="auto"/>
        <w:left w:val="none" w:sz="0" w:space="0" w:color="auto"/>
        <w:bottom w:val="none" w:sz="0" w:space="0" w:color="auto"/>
        <w:right w:val="none" w:sz="0" w:space="0" w:color="auto"/>
      </w:divBdr>
      <w:divsChild>
        <w:div w:id="1827548151">
          <w:marLeft w:val="0"/>
          <w:marRight w:val="0"/>
          <w:marTop w:val="0"/>
          <w:marBottom w:val="0"/>
          <w:divBdr>
            <w:top w:val="none" w:sz="0" w:space="0" w:color="auto"/>
            <w:left w:val="none" w:sz="0" w:space="0" w:color="auto"/>
            <w:bottom w:val="none" w:sz="0" w:space="0" w:color="auto"/>
            <w:right w:val="none" w:sz="0" w:space="0" w:color="auto"/>
          </w:divBdr>
        </w:div>
        <w:div w:id="1148204868">
          <w:marLeft w:val="0"/>
          <w:marRight w:val="0"/>
          <w:marTop w:val="0"/>
          <w:marBottom w:val="0"/>
          <w:divBdr>
            <w:top w:val="none" w:sz="0" w:space="0" w:color="auto"/>
            <w:left w:val="none" w:sz="0" w:space="0" w:color="auto"/>
            <w:bottom w:val="none" w:sz="0" w:space="0" w:color="auto"/>
            <w:right w:val="none" w:sz="0" w:space="0" w:color="auto"/>
          </w:divBdr>
        </w:div>
        <w:div w:id="928583624">
          <w:marLeft w:val="0"/>
          <w:marRight w:val="0"/>
          <w:marTop w:val="0"/>
          <w:marBottom w:val="0"/>
          <w:divBdr>
            <w:top w:val="none" w:sz="0" w:space="0" w:color="auto"/>
            <w:left w:val="none" w:sz="0" w:space="0" w:color="auto"/>
            <w:bottom w:val="none" w:sz="0" w:space="0" w:color="auto"/>
            <w:right w:val="none" w:sz="0" w:space="0" w:color="auto"/>
          </w:divBdr>
        </w:div>
        <w:div w:id="1999841593">
          <w:marLeft w:val="0"/>
          <w:marRight w:val="0"/>
          <w:marTop w:val="0"/>
          <w:marBottom w:val="0"/>
          <w:divBdr>
            <w:top w:val="none" w:sz="0" w:space="0" w:color="auto"/>
            <w:left w:val="none" w:sz="0" w:space="0" w:color="auto"/>
            <w:bottom w:val="none" w:sz="0" w:space="0" w:color="auto"/>
            <w:right w:val="none" w:sz="0" w:space="0" w:color="auto"/>
          </w:divBdr>
        </w:div>
        <w:div w:id="2144927999">
          <w:marLeft w:val="0"/>
          <w:marRight w:val="0"/>
          <w:marTop w:val="0"/>
          <w:marBottom w:val="0"/>
          <w:divBdr>
            <w:top w:val="none" w:sz="0" w:space="0" w:color="auto"/>
            <w:left w:val="none" w:sz="0" w:space="0" w:color="auto"/>
            <w:bottom w:val="none" w:sz="0" w:space="0" w:color="auto"/>
            <w:right w:val="none" w:sz="0" w:space="0" w:color="auto"/>
          </w:divBdr>
        </w:div>
        <w:div w:id="741945356">
          <w:marLeft w:val="0"/>
          <w:marRight w:val="0"/>
          <w:marTop w:val="0"/>
          <w:marBottom w:val="0"/>
          <w:divBdr>
            <w:top w:val="none" w:sz="0" w:space="0" w:color="auto"/>
            <w:left w:val="none" w:sz="0" w:space="0" w:color="auto"/>
            <w:bottom w:val="none" w:sz="0" w:space="0" w:color="auto"/>
            <w:right w:val="none" w:sz="0" w:space="0" w:color="auto"/>
          </w:divBdr>
        </w:div>
        <w:div w:id="1460689286">
          <w:marLeft w:val="0"/>
          <w:marRight w:val="0"/>
          <w:marTop w:val="0"/>
          <w:marBottom w:val="0"/>
          <w:divBdr>
            <w:top w:val="none" w:sz="0" w:space="0" w:color="auto"/>
            <w:left w:val="none" w:sz="0" w:space="0" w:color="auto"/>
            <w:bottom w:val="none" w:sz="0" w:space="0" w:color="auto"/>
            <w:right w:val="none" w:sz="0" w:space="0" w:color="auto"/>
          </w:divBdr>
        </w:div>
        <w:div w:id="410658782">
          <w:marLeft w:val="0"/>
          <w:marRight w:val="0"/>
          <w:marTop w:val="0"/>
          <w:marBottom w:val="0"/>
          <w:divBdr>
            <w:top w:val="none" w:sz="0" w:space="0" w:color="auto"/>
            <w:left w:val="none" w:sz="0" w:space="0" w:color="auto"/>
            <w:bottom w:val="none" w:sz="0" w:space="0" w:color="auto"/>
            <w:right w:val="none" w:sz="0" w:space="0" w:color="auto"/>
          </w:divBdr>
        </w:div>
      </w:divsChild>
    </w:div>
    <w:div w:id="229310850">
      <w:bodyDiv w:val="1"/>
      <w:marLeft w:val="0"/>
      <w:marRight w:val="0"/>
      <w:marTop w:val="0"/>
      <w:marBottom w:val="0"/>
      <w:divBdr>
        <w:top w:val="none" w:sz="0" w:space="0" w:color="auto"/>
        <w:left w:val="none" w:sz="0" w:space="0" w:color="auto"/>
        <w:bottom w:val="none" w:sz="0" w:space="0" w:color="auto"/>
        <w:right w:val="none" w:sz="0" w:space="0" w:color="auto"/>
      </w:divBdr>
    </w:div>
    <w:div w:id="274137432">
      <w:bodyDiv w:val="1"/>
      <w:marLeft w:val="0"/>
      <w:marRight w:val="0"/>
      <w:marTop w:val="0"/>
      <w:marBottom w:val="0"/>
      <w:divBdr>
        <w:top w:val="none" w:sz="0" w:space="0" w:color="auto"/>
        <w:left w:val="none" w:sz="0" w:space="0" w:color="auto"/>
        <w:bottom w:val="none" w:sz="0" w:space="0" w:color="auto"/>
        <w:right w:val="none" w:sz="0" w:space="0" w:color="auto"/>
      </w:divBdr>
    </w:div>
    <w:div w:id="697656592">
      <w:bodyDiv w:val="1"/>
      <w:marLeft w:val="0"/>
      <w:marRight w:val="0"/>
      <w:marTop w:val="0"/>
      <w:marBottom w:val="0"/>
      <w:divBdr>
        <w:top w:val="none" w:sz="0" w:space="0" w:color="auto"/>
        <w:left w:val="none" w:sz="0" w:space="0" w:color="auto"/>
        <w:bottom w:val="none" w:sz="0" w:space="0" w:color="auto"/>
        <w:right w:val="none" w:sz="0" w:space="0" w:color="auto"/>
      </w:divBdr>
    </w:div>
    <w:div w:id="746348328">
      <w:bodyDiv w:val="1"/>
      <w:marLeft w:val="0"/>
      <w:marRight w:val="0"/>
      <w:marTop w:val="0"/>
      <w:marBottom w:val="0"/>
      <w:divBdr>
        <w:top w:val="none" w:sz="0" w:space="0" w:color="auto"/>
        <w:left w:val="none" w:sz="0" w:space="0" w:color="auto"/>
        <w:bottom w:val="none" w:sz="0" w:space="0" w:color="auto"/>
        <w:right w:val="none" w:sz="0" w:space="0" w:color="auto"/>
      </w:divBdr>
    </w:div>
    <w:div w:id="770781645">
      <w:bodyDiv w:val="1"/>
      <w:marLeft w:val="0"/>
      <w:marRight w:val="0"/>
      <w:marTop w:val="0"/>
      <w:marBottom w:val="0"/>
      <w:divBdr>
        <w:top w:val="none" w:sz="0" w:space="0" w:color="auto"/>
        <w:left w:val="none" w:sz="0" w:space="0" w:color="auto"/>
        <w:bottom w:val="none" w:sz="0" w:space="0" w:color="auto"/>
        <w:right w:val="none" w:sz="0" w:space="0" w:color="auto"/>
      </w:divBdr>
    </w:div>
    <w:div w:id="846822329">
      <w:bodyDiv w:val="1"/>
      <w:marLeft w:val="0"/>
      <w:marRight w:val="0"/>
      <w:marTop w:val="0"/>
      <w:marBottom w:val="0"/>
      <w:divBdr>
        <w:top w:val="none" w:sz="0" w:space="0" w:color="auto"/>
        <w:left w:val="none" w:sz="0" w:space="0" w:color="auto"/>
        <w:bottom w:val="none" w:sz="0" w:space="0" w:color="auto"/>
        <w:right w:val="none" w:sz="0" w:space="0" w:color="auto"/>
      </w:divBdr>
    </w:div>
    <w:div w:id="986319283">
      <w:bodyDiv w:val="1"/>
      <w:marLeft w:val="0"/>
      <w:marRight w:val="0"/>
      <w:marTop w:val="0"/>
      <w:marBottom w:val="0"/>
      <w:divBdr>
        <w:top w:val="none" w:sz="0" w:space="0" w:color="auto"/>
        <w:left w:val="none" w:sz="0" w:space="0" w:color="auto"/>
        <w:bottom w:val="none" w:sz="0" w:space="0" w:color="auto"/>
        <w:right w:val="none" w:sz="0" w:space="0" w:color="auto"/>
      </w:divBdr>
    </w:div>
    <w:div w:id="1060246593">
      <w:bodyDiv w:val="1"/>
      <w:marLeft w:val="0"/>
      <w:marRight w:val="0"/>
      <w:marTop w:val="0"/>
      <w:marBottom w:val="0"/>
      <w:divBdr>
        <w:top w:val="none" w:sz="0" w:space="0" w:color="auto"/>
        <w:left w:val="none" w:sz="0" w:space="0" w:color="auto"/>
        <w:bottom w:val="none" w:sz="0" w:space="0" w:color="auto"/>
        <w:right w:val="none" w:sz="0" w:space="0" w:color="auto"/>
      </w:divBdr>
      <w:divsChild>
        <w:div w:id="574975352">
          <w:marLeft w:val="0"/>
          <w:marRight w:val="0"/>
          <w:marTop w:val="0"/>
          <w:marBottom w:val="0"/>
          <w:divBdr>
            <w:top w:val="none" w:sz="0" w:space="0" w:color="auto"/>
            <w:left w:val="none" w:sz="0" w:space="0" w:color="auto"/>
            <w:bottom w:val="none" w:sz="0" w:space="0" w:color="auto"/>
            <w:right w:val="none" w:sz="0" w:space="0" w:color="auto"/>
          </w:divBdr>
        </w:div>
        <w:div w:id="1322999999">
          <w:marLeft w:val="0"/>
          <w:marRight w:val="0"/>
          <w:marTop w:val="0"/>
          <w:marBottom w:val="0"/>
          <w:divBdr>
            <w:top w:val="none" w:sz="0" w:space="0" w:color="auto"/>
            <w:left w:val="none" w:sz="0" w:space="0" w:color="auto"/>
            <w:bottom w:val="none" w:sz="0" w:space="0" w:color="auto"/>
            <w:right w:val="none" w:sz="0" w:space="0" w:color="auto"/>
          </w:divBdr>
        </w:div>
        <w:div w:id="317850048">
          <w:marLeft w:val="0"/>
          <w:marRight w:val="0"/>
          <w:marTop w:val="0"/>
          <w:marBottom w:val="0"/>
          <w:divBdr>
            <w:top w:val="none" w:sz="0" w:space="0" w:color="auto"/>
            <w:left w:val="none" w:sz="0" w:space="0" w:color="auto"/>
            <w:bottom w:val="none" w:sz="0" w:space="0" w:color="auto"/>
            <w:right w:val="none" w:sz="0" w:space="0" w:color="auto"/>
          </w:divBdr>
        </w:div>
        <w:div w:id="606814297">
          <w:marLeft w:val="0"/>
          <w:marRight w:val="0"/>
          <w:marTop w:val="0"/>
          <w:marBottom w:val="0"/>
          <w:divBdr>
            <w:top w:val="none" w:sz="0" w:space="0" w:color="auto"/>
            <w:left w:val="none" w:sz="0" w:space="0" w:color="auto"/>
            <w:bottom w:val="none" w:sz="0" w:space="0" w:color="auto"/>
            <w:right w:val="none" w:sz="0" w:space="0" w:color="auto"/>
          </w:divBdr>
        </w:div>
        <w:div w:id="1017661401">
          <w:marLeft w:val="0"/>
          <w:marRight w:val="0"/>
          <w:marTop w:val="0"/>
          <w:marBottom w:val="0"/>
          <w:divBdr>
            <w:top w:val="none" w:sz="0" w:space="0" w:color="auto"/>
            <w:left w:val="none" w:sz="0" w:space="0" w:color="auto"/>
            <w:bottom w:val="none" w:sz="0" w:space="0" w:color="auto"/>
            <w:right w:val="none" w:sz="0" w:space="0" w:color="auto"/>
          </w:divBdr>
        </w:div>
        <w:div w:id="1510876084">
          <w:marLeft w:val="0"/>
          <w:marRight w:val="0"/>
          <w:marTop w:val="0"/>
          <w:marBottom w:val="0"/>
          <w:divBdr>
            <w:top w:val="none" w:sz="0" w:space="0" w:color="auto"/>
            <w:left w:val="none" w:sz="0" w:space="0" w:color="auto"/>
            <w:bottom w:val="none" w:sz="0" w:space="0" w:color="auto"/>
            <w:right w:val="none" w:sz="0" w:space="0" w:color="auto"/>
          </w:divBdr>
        </w:div>
      </w:divsChild>
    </w:div>
    <w:div w:id="1307050588">
      <w:bodyDiv w:val="1"/>
      <w:marLeft w:val="0"/>
      <w:marRight w:val="0"/>
      <w:marTop w:val="0"/>
      <w:marBottom w:val="0"/>
      <w:divBdr>
        <w:top w:val="none" w:sz="0" w:space="0" w:color="auto"/>
        <w:left w:val="none" w:sz="0" w:space="0" w:color="auto"/>
        <w:bottom w:val="none" w:sz="0" w:space="0" w:color="auto"/>
        <w:right w:val="none" w:sz="0" w:space="0" w:color="auto"/>
      </w:divBdr>
    </w:div>
    <w:div w:id="1485439487">
      <w:bodyDiv w:val="1"/>
      <w:marLeft w:val="0"/>
      <w:marRight w:val="0"/>
      <w:marTop w:val="0"/>
      <w:marBottom w:val="0"/>
      <w:divBdr>
        <w:top w:val="none" w:sz="0" w:space="0" w:color="auto"/>
        <w:left w:val="none" w:sz="0" w:space="0" w:color="auto"/>
        <w:bottom w:val="none" w:sz="0" w:space="0" w:color="auto"/>
        <w:right w:val="none" w:sz="0" w:space="0" w:color="auto"/>
      </w:divBdr>
    </w:div>
    <w:div w:id="1605840517">
      <w:bodyDiv w:val="1"/>
      <w:marLeft w:val="0"/>
      <w:marRight w:val="0"/>
      <w:marTop w:val="0"/>
      <w:marBottom w:val="0"/>
      <w:divBdr>
        <w:top w:val="none" w:sz="0" w:space="0" w:color="auto"/>
        <w:left w:val="none" w:sz="0" w:space="0" w:color="auto"/>
        <w:bottom w:val="none" w:sz="0" w:space="0" w:color="auto"/>
        <w:right w:val="none" w:sz="0" w:space="0" w:color="auto"/>
      </w:divBdr>
      <w:divsChild>
        <w:div w:id="555629855">
          <w:marLeft w:val="0"/>
          <w:marRight w:val="0"/>
          <w:marTop w:val="0"/>
          <w:marBottom w:val="0"/>
          <w:divBdr>
            <w:top w:val="none" w:sz="0" w:space="0" w:color="auto"/>
            <w:left w:val="none" w:sz="0" w:space="0" w:color="auto"/>
            <w:bottom w:val="none" w:sz="0" w:space="0" w:color="auto"/>
            <w:right w:val="none" w:sz="0" w:space="0" w:color="auto"/>
          </w:divBdr>
        </w:div>
        <w:div w:id="1473642571">
          <w:marLeft w:val="0"/>
          <w:marRight w:val="0"/>
          <w:marTop w:val="0"/>
          <w:marBottom w:val="0"/>
          <w:divBdr>
            <w:top w:val="none" w:sz="0" w:space="0" w:color="auto"/>
            <w:left w:val="none" w:sz="0" w:space="0" w:color="auto"/>
            <w:bottom w:val="none" w:sz="0" w:space="0" w:color="auto"/>
            <w:right w:val="none" w:sz="0" w:space="0" w:color="auto"/>
          </w:divBdr>
        </w:div>
        <w:div w:id="1030186095">
          <w:marLeft w:val="0"/>
          <w:marRight w:val="0"/>
          <w:marTop w:val="0"/>
          <w:marBottom w:val="0"/>
          <w:divBdr>
            <w:top w:val="none" w:sz="0" w:space="0" w:color="auto"/>
            <w:left w:val="none" w:sz="0" w:space="0" w:color="auto"/>
            <w:bottom w:val="none" w:sz="0" w:space="0" w:color="auto"/>
            <w:right w:val="none" w:sz="0" w:space="0" w:color="auto"/>
          </w:divBdr>
        </w:div>
        <w:div w:id="782266778">
          <w:marLeft w:val="0"/>
          <w:marRight w:val="0"/>
          <w:marTop w:val="0"/>
          <w:marBottom w:val="0"/>
          <w:divBdr>
            <w:top w:val="none" w:sz="0" w:space="0" w:color="auto"/>
            <w:left w:val="none" w:sz="0" w:space="0" w:color="auto"/>
            <w:bottom w:val="none" w:sz="0" w:space="0" w:color="auto"/>
            <w:right w:val="none" w:sz="0" w:space="0" w:color="auto"/>
          </w:divBdr>
        </w:div>
        <w:div w:id="1171337226">
          <w:marLeft w:val="0"/>
          <w:marRight w:val="0"/>
          <w:marTop w:val="0"/>
          <w:marBottom w:val="0"/>
          <w:divBdr>
            <w:top w:val="none" w:sz="0" w:space="0" w:color="auto"/>
            <w:left w:val="none" w:sz="0" w:space="0" w:color="auto"/>
            <w:bottom w:val="none" w:sz="0" w:space="0" w:color="auto"/>
            <w:right w:val="none" w:sz="0" w:space="0" w:color="auto"/>
          </w:divBdr>
        </w:div>
        <w:div w:id="2058506839">
          <w:marLeft w:val="0"/>
          <w:marRight w:val="0"/>
          <w:marTop w:val="0"/>
          <w:marBottom w:val="0"/>
          <w:divBdr>
            <w:top w:val="none" w:sz="0" w:space="0" w:color="auto"/>
            <w:left w:val="none" w:sz="0" w:space="0" w:color="auto"/>
            <w:bottom w:val="none" w:sz="0" w:space="0" w:color="auto"/>
            <w:right w:val="none" w:sz="0" w:space="0" w:color="auto"/>
          </w:divBdr>
        </w:div>
        <w:div w:id="1656375613">
          <w:marLeft w:val="0"/>
          <w:marRight w:val="0"/>
          <w:marTop w:val="0"/>
          <w:marBottom w:val="0"/>
          <w:divBdr>
            <w:top w:val="none" w:sz="0" w:space="0" w:color="auto"/>
            <w:left w:val="none" w:sz="0" w:space="0" w:color="auto"/>
            <w:bottom w:val="none" w:sz="0" w:space="0" w:color="auto"/>
            <w:right w:val="none" w:sz="0" w:space="0" w:color="auto"/>
          </w:divBdr>
        </w:div>
        <w:div w:id="1263538455">
          <w:marLeft w:val="0"/>
          <w:marRight w:val="0"/>
          <w:marTop w:val="0"/>
          <w:marBottom w:val="0"/>
          <w:divBdr>
            <w:top w:val="none" w:sz="0" w:space="0" w:color="auto"/>
            <w:left w:val="none" w:sz="0" w:space="0" w:color="auto"/>
            <w:bottom w:val="none" w:sz="0" w:space="0" w:color="auto"/>
            <w:right w:val="none" w:sz="0" w:space="0" w:color="auto"/>
          </w:divBdr>
        </w:div>
        <w:div w:id="751395160">
          <w:marLeft w:val="0"/>
          <w:marRight w:val="0"/>
          <w:marTop w:val="0"/>
          <w:marBottom w:val="0"/>
          <w:divBdr>
            <w:top w:val="none" w:sz="0" w:space="0" w:color="auto"/>
            <w:left w:val="none" w:sz="0" w:space="0" w:color="auto"/>
            <w:bottom w:val="none" w:sz="0" w:space="0" w:color="auto"/>
            <w:right w:val="none" w:sz="0" w:space="0" w:color="auto"/>
          </w:divBdr>
        </w:div>
        <w:div w:id="431559690">
          <w:marLeft w:val="0"/>
          <w:marRight w:val="0"/>
          <w:marTop w:val="0"/>
          <w:marBottom w:val="0"/>
          <w:divBdr>
            <w:top w:val="none" w:sz="0" w:space="0" w:color="auto"/>
            <w:left w:val="none" w:sz="0" w:space="0" w:color="auto"/>
            <w:bottom w:val="none" w:sz="0" w:space="0" w:color="auto"/>
            <w:right w:val="none" w:sz="0" w:space="0" w:color="auto"/>
          </w:divBdr>
        </w:div>
        <w:div w:id="1252158404">
          <w:marLeft w:val="0"/>
          <w:marRight w:val="0"/>
          <w:marTop w:val="0"/>
          <w:marBottom w:val="0"/>
          <w:divBdr>
            <w:top w:val="none" w:sz="0" w:space="0" w:color="auto"/>
            <w:left w:val="none" w:sz="0" w:space="0" w:color="auto"/>
            <w:bottom w:val="none" w:sz="0" w:space="0" w:color="auto"/>
            <w:right w:val="none" w:sz="0" w:space="0" w:color="auto"/>
          </w:divBdr>
        </w:div>
        <w:div w:id="1563904369">
          <w:marLeft w:val="0"/>
          <w:marRight w:val="0"/>
          <w:marTop w:val="0"/>
          <w:marBottom w:val="0"/>
          <w:divBdr>
            <w:top w:val="none" w:sz="0" w:space="0" w:color="auto"/>
            <w:left w:val="none" w:sz="0" w:space="0" w:color="auto"/>
            <w:bottom w:val="none" w:sz="0" w:space="0" w:color="auto"/>
            <w:right w:val="none" w:sz="0" w:space="0" w:color="auto"/>
          </w:divBdr>
        </w:div>
        <w:div w:id="369692284">
          <w:marLeft w:val="0"/>
          <w:marRight w:val="0"/>
          <w:marTop w:val="0"/>
          <w:marBottom w:val="0"/>
          <w:divBdr>
            <w:top w:val="none" w:sz="0" w:space="0" w:color="auto"/>
            <w:left w:val="none" w:sz="0" w:space="0" w:color="auto"/>
            <w:bottom w:val="none" w:sz="0" w:space="0" w:color="auto"/>
            <w:right w:val="none" w:sz="0" w:space="0" w:color="auto"/>
          </w:divBdr>
        </w:div>
        <w:div w:id="744229494">
          <w:marLeft w:val="0"/>
          <w:marRight w:val="0"/>
          <w:marTop w:val="0"/>
          <w:marBottom w:val="0"/>
          <w:divBdr>
            <w:top w:val="none" w:sz="0" w:space="0" w:color="auto"/>
            <w:left w:val="none" w:sz="0" w:space="0" w:color="auto"/>
            <w:bottom w:val="none" w:sz="0" w:space="0" w:color="auto"/>
            <w:right w:val="none" w:sz="0" w:space="0" w:color="auto"/>
          </w:divBdr>
        </w:div>
      </w:divsChild>
    </w:div>
    <w:div w:id="1711030607">
      <w:bodyDiv w:val="1"/>
      <w:marLeft w:val="0"/>
      <w:marRight w:val="0"/>
      <w:marTop w:val="0"/>
      <w:marBottom w:val="0"/>
      <w:divBdr>
        <w:top w:val="none" w:sz="0" w:space="0" w:color="auto"/>
        <w:left w:val="none" w:sz="0" w:space="0" w:color="auto"/>
        <w:bottom w:val="none" w:sz="0" w:space="0" w:color="auto"/>
        <w:right w:val="none" w:sz="0" w:space="0" w:color="auto"/>
      </w:divBdr>
    </w:div>
    <w:div w:id="1815903368">
      <w:bodyDiv w:val="1"/>
      <w:marLeft w:val="0"/>
      <w:marRight w:val="0"/>
      <w:marTop w:val="0"/>
      <w:marBottom w:val="0"/>
      <w:divBdr>
        <w:top w:val="none" w:sz="0" w:space="0" w:color="auto"/>
        <w:left w:val="none" w:sz="0" w:space="0" w:color="auto"/>
        <w:bottom w:val="none" w:sz="0" w:space="0" w:color="auto"/>
        <w:right w:val="none" w:sz="0" w:space="0" w:color="auto"/>
      </w:divBdr>
    </w:div>
    <w:div w:id="1866140274">
      <w:bodyDiv w:val="1"/>
      <w:marLeft w:val="0"/>
      <w:marRight w:val="0"/>
      <w:marTop w:val="0"/>
      <w:marBottom w:val="0"/>
      <w:divBdr>
        <w:top w:val="none" w:sz="0" w:space="0" w:color="auto"/>
        <w:left w:val="none" w:sz="0" w:space="0" w:color="auto"/>
        <w:bottom w:val="none" w:sz="0" w:space="0" w:color="auto"/>
        <w:right w:val="none" w:sz="0" w:space="0" w:color="auto"/>
      </w:divBdr>
    </w:div>
    <w:div w:id="1954708214">
      <w:bodyDiv w:val="1"/>
      <w:marLeft w:val="0"/>
      <w:marRight w:val="0"/>
      <w:marTop w:val="0"/>
      <w:marBottom w:val="0"/>
      <w:divBdr>
        <w:top w:val="none" w:sz="0" w:space="0" w:color="auto"/>
        <w:left w:val="none" w:sz="0" w:space="0" w:color="auto"/>
        <w:bottom w:val="none" w:sz="0" w:space="0" w:color="auto"/>
        <w:right w:val="none" w:sz="0" w:space="0" w:color="auto"/>
      </w:divBdr>
    </w:div>
    <w:div w:id="2094667135">
      <w:bodyDiv w:val="1"/>
      <w:marLeft w:val="0"/>
      <w:marRight w:val="0"/>
      <w:marTop w:val="0"/>
      <w:marBottom w:val="0"/>
      <w:divBdr>
        <w:top w:val="none" w:sz="0" w:space="0" w:color="auto"/>
        <w:left w:val="none" w:sz="0" w:space="0" w:color="auto"/>
        <w:bottom w:val="none" w:sz="0" w:space="0" w:color="auto"/>
        <w:right w:val="none" w:sz="0" w:space="0" w:color="auto"/>
      </w:divBdr>
    </w:div>
    <w:div w:id="21171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sa2cdc\..\bienes01\Mis%20documentos\Mis%20im&#225;genes\logoNuevo.pn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cid:ii_15bcaca400a398d3"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i_15bcac9b6d3ca37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i_15bcacae5e024b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C593-2C6F-407C-9307-F2CCF05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2604</Words>
  <Characters>14326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 Premazzi</dc:creator>
  <cp:lastModifiedBy>sjuncal</cp:lastModifiedBy>
  <cp:revision>3</cp:revision>
  <dcterms:created xsi:type="dcterms:W3CDTF">2017-05-17T15:46:00Z</dcterms:created>
  <dcterms:modified xsi:type="dcterms:W3CDTF">2017-05-17T16:18:00Z</dcterms:modified>
</cp:coreProperties>
</file>