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0E" w:rsidRDefault="00484003" w:rsidP="00D92716">
      <w:pPr>
        <w:jc w:val="both"/>
      </w:pPr>
      <w:bookmarkStart w:id="0" w:name="_GoBack"/>
      <w:bookmarkEnd w:id="0"/>
      <w:r>
        <w:rPr>
          <w:noProof/>
          <w:lang w:val="es-UY" w:eastAsia="es-UY"/>
        </w:rPr>
        <w:drawing>
          <wp:anchor distT="0" distB="0" distL="114300" distR="114300" simplePos="0" relativeHeight="251661312" behindDoc="0" locked="0" layoutInCell="1" allowOverlap="1">
            <wp:simplePos x="3726611" y="629728"/>
            <wp:positionH relativeFrom="margin">
              <wp:align>right</wp:align>
            </wp:positionH>
            <wp:positionV relativeFrom="margin">
              <wp:align>top</wp:align>
            </wp:positionV>
            <wp:extent cx="1009291" cy="715993"/>
            <wp:effectExtent l="19050" t="0" r="359"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291" cy="715993"/>
                    </a:xfrm>
                    <a:prstGeom prst="rect">
                      <a:avLst/>
                    </a:prstGeom>
                  </pic:spPr>
                </pic:pic>
              </a:graphicData>
            </a:graphic>
          </wp:anchor>
        </w:drawing>
      </w:r>
      <w:r w:rsidR="00C804BF">
        <w:rPr>
          <w:noProof/>
          <w:lang w:val="es-UY" w:eastAsia="es-UY"/>
        </w:rPr>
        <w:drawing>
          <wp:inline distT="0" distB="0" distL="0" distR="0">
            <wp:extent cx="2743200" cy="690113"/>
            <wp:effectExtent l="19050" t="0" r="0" b="0"/>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43200" cy="690113"/>
                    </a:xfrm>
                    <a:prstGeom prst="rect">
                      <a:avLst/>
                    </a:prstGeom>
                    <a:noFill/>
                    <a:ln>
                      <a:noFill/>
                    </a:ln>
                  </pic:spPr>
                </pic:pic>
              </a:graphicData>
            </a:graphic>
          </wp:inline>
        </w:drawing>
      </w:r>
    </w:p>
    <w:p w:rsidR="00D900AB" w:rsidRDefault="00D900AB" w:rsidP="00D92716">
      <w:pPr>
        <w:jc w:val="both"/>
        <w:rPr>
          <w:b/>
        </w:rPr>
      </w:pPr>
    </w:p>
    <w:p w:rsidR="00AF5F0E" w:rsidRPr="00D92716" w:rsidRDefault="00C804BF" w:rsidP="00D92716">
      <w:pPr>
        <w:spacing w:after="0"/>
        <w:jc w:val="center"/>
        <w:rPr>
          <w:b/>
          <w:sz w:val="28"/>
          <w:szCs w:val="28"/>
        </w:rPr>
      </w:pPr>
      <w:r w:rsidRPr="00D92716">
        <w:rPr>
          <w:b/>
          <w:sz w:val="28"/>
          <w:szCs w:val="28"/>
        </w:rPr>
        <w:t>Licitación Pública Internacional N° 47/2016</w:t>
      </w:r>
    </w:p>
    <w:p w:rsidR="00AF5F0E" w:rsidRPr="00D92716" w:rsidRDefault="00EA12C1" w:rsidP="00D92716">
      <w:pPr>
        <w:spacing w:after="0"/>
        <w:jc w:val="center"/>
        <w:rPr>
          <w:b/>
          <w:sz w:val="24"/>
          <w:szCs w:val="24"/>
        </w:rPr>
      </w:pPr>
      <w:r w:rsidRPr="00D92716">
        <w:rPr>
          <w:b/>
          <w:sz w:val="24"/>
          <w:szCs w:val="24"/>
        </w:rPr>
        <w:t>“Diseño, financiamiento, construcción y operación de 44 Jardines y 15 CAIF”</w:t>
      </w:r>
    </w:p>
    <w:p w:rsidR="00D900AB" w:rsidRDefault="00D900AB" w:rsidP="00D92716">
      <w:pPr>
        <w:spacing w:after="0"/>
        <w:jc w:val="both"/>
        <w:rPr>
          <w:b/>
          <w:sz w:val="24"/>
        </w:rPr>
      </w:pPr>
    </w:p>
    <w:p w:rsidR="00AF5F0E" w:rsidRPr="00D92716" w:rsidRDefault="00C804BF" w:rsidP="00D92716">
      <w:pPr>
        <w:spacing w:after="0"/>
        <w:jc w:val="both"/>
        <w:rPr>
          <w:b/>
        </w:rPr>
      </w:pPr>
      <w:r w:rsidRPr="00D92716">
        <w:rPr>
          <w:b/>
        </w:rPr>
        <w:t>Administración Nacional de Educación Pública ANEP.-</w:t>
      </w:r>
    </w:p>
    <w:p w:rsidR="00AF5F0E" w:rsidRPr="00D92716" w:rsidRDefault="00C804BF" w:rsidP="00D92716">
      <w:pPr>
        <w:pBdr>
          <w:bottom w:val="single" w:sz="6" w:space="1" w:color="auto"/>
        </w:pBdr>
        <w:jc w:val="both"/>
        <w:rPr>
          <w:b/>
        </w:rPr>
      </w:pPr>
      <w:r w:rsidRPr="00D92716">
        <w:rPr>
          <w:b/>
        </w:rPr>
        <w:t xml:space="preserve">Instituto del Niño </w:t>
      </w:r>
      <w:r w:rsidR="00D8280D" w:rsidRPr="00D92716">
        <w:rPr>
          <w:b/>
        </w:rPr>
        <w:t>y</w:t>
      </w:r>
      <w:r w:rsidRPr="00D92716">
        <w:rPr>
          <w:b/>
        </w:rPr>
        <w:t xml:space="preserve"> Adolescente del Uruguay INAU.-</w:t>
      </w:r>
      <w:r w:rsidR="00B142E0">
        <w:rPr>
          <w:b/>
        </w:rPr>
        <w:t xml:space="preserve">                </w:t>
      </w:r>
      <w:r w:rsidR="00272066">
        <w:rPr>
          <w:b/>
        </w:rPr>
        <w:t xml:space="preserve">                    Comunicado </w:t>
      </w:r>
      <w:r w:rsidR="002B21F2">
        <w:rPr>
          <w:b/>
        </w:rPr>
        <w:t>1</w:t>
      </w:r>
      <w:r w:rsidR="00A3765F">
        <w:rPr>
          <w:b/>
        </w:rPr>
        <w:t>2</w:t>
      </w:r>
    </w:p>
    <w:p w:rsidR="00AF5F0E" w:rsidRDefault="00D64842" w:rsidP="00D92716">
      <w:pPr>
        <w:jc w:val="both"/>
        <w:rPr>
          <w:b/>
          <w:i/>
          <w:sz w:val="24"/>
          <w:szCs w:val="24"/>
        </w:rPr>
      </w:pPr>
      <w:r w:rsidRPr="003D6E31">
        <w:rPr>
          <w:b/>
          <w:i/>
          <w:sz w:val="24"/>
          <w:szCs w:val="24"/>
        </w:rPr>
        <w:t>Se han recibido las siguientes consultas a las cuales se procede a dar respuesta:</w:t>
      </w:r>
    </w:p>
    <w:p w:rsidR="00E057A3" w:rsidRDefault="00F21A7B" w:rsidP="002F108A">
      <w:pPr>
        <w:spacing w:after="0"/>
        <w:jc w:val="both"/>
        <w:rPr>
          <w:b/>
          <w:u w:val="single"/>
        </w:rPr>
      </w:pPr>
      <w:r w:rsidRPr="003D6E31">
        <w:rPr>
          <w:b/>
          <w:u w:val="single"/>
        </w:rPr>
        <w:t>Consulta  1</w:t>
      </w:r>
    </w:p>
    <w:p w:rsidR="00BB1483" w:rsidRDefault="00BB1483" w:rsidP="00BB1483">
      <w:pPr>
        <w:jc w:val="both"/>
      </w:pPr>
      <w:r w:rsidRPr="00E12498">
        <w:t>Solicitamos planilla de E14 Espaldar de madera Rubro 13.22 correspondiente a CAIF</w:t>
      </w:r>
    </w:p>
    <w:p w:rsidR="00F21A7B" w:rsidRDefault="00F21A7B" w:rsidP="00F21A7B">
      <w:pPr>
        <w:autoSpaceDE w:val="0"/>
        <w:autoSpaceDN w:val="0"/>
        <w:adjustRightInd w:val="0"/>
        <w:spacing w:after="0" w:line="240" w:lineRule="auto"/>
        <w:jc w:val="both"/>
        <w:rPr>
          <w:b/>
          <w:sz w:val="32"/>
        </w:rPr>
      </w:pPr>
      <w:r w:rsidRPr="00537D3F">
        <w:rPr>
          <w:b/>
          <w:sz w:val="32"/>
        </w:rPr>
        <w:t>RESPUESTA</w:t>
      </w:r>
      <w:r>
        <w:rPr>
          <w:b/>
          <w:sz w:val="32"/>
        </w:rPr>
        <w:t>:</w:t>
      </w:r>
    </w:p>
    <w:p w:rsidR="00253AD4" w:rsidRPr="00B66AB7" w:rsidRDefault="00B66AB7" w:rsidP="00F21A7B">
      <w:pPr>
        <w:autoSpaceDE w:val="0"/>
        <w:autoSpaceDN w:val="0"/>
        <w:adjustRightInd w:val="0"/>
        <w:spacing w:after="0" w:line="240" w:lineRule="auto"/>
        <w:jc w:val="both"/>
        <w:rPr>
          <w:b/>
        </w:rPr>
      </w:pPr>
      <w:r w:rsidRPr="00B66AB7">
        <w:rPr>
          <w:b/>
        </w:rPr>
        <w:t xml:space="preserve">No </w:t>
      </w:r>
      <w:r>
        <w:rPr>
          <w:b/>
        </w:rPr>
        <w:t>corresponde. No se entregaran más recaudos gráficos.</w:t>
      </w:r>
    </w:p>
    <w:p w:rsidR="00B66AB7" w:rsidRPr="00537D3F" w:rsidRDefault="00B66AB7" w:rsidP="00F21A7B">
      <w:pPr>
        <w:autoSpaceDE w:val="0"/>
        <w:autoSpaceDN w:val="0"/>
        <w:adjustRightInd w:val="0"/>
        <w:spacing w:after="0" w:line="240" w:lineRule="auto"/>
        <w:jc w:val="both"/>
        <w:rPr>
          <w:b/>
          <w:sz w:val="32"/>
        </w:rPr>
      </w:pPr>
    </w:p>
    <w:p w:rsidR="00E057A3" w:rsidRDefault="00903265" w:rsidP="002F108A">
      <w:pPr>
        <w:spacing w:after="0"/>
        <w:jc w:val="both"/>
        <w:rPr>
          <w:b/>
          <w:u w:val="single"/>
        </w:rPr>
      </w:pPr>
      <w:r w:rsidRPr="003D6E31">
        <w:rPr>
          <w:b/>
          <w:u w:val="single"/>
        </w:rPr>
        <w:t xml:space="preserve">Consulta  </w:t>
      </w:r>
      <w:r w:rsidR="00BB4441">
        <w:rPr>
          <w:b/>
          <w:u w:val="single"/>
        </w:rPr>
        <w:t>2</w:t>
      </w:r>
    </w:p>
    <w:p w:rsidR="00B66AB7" w:rsidRDefault="00B66AB7" w:rsidP="00B66AB7">
      <w:pPr>
        <w:jc w:val="both"/>
      </w:pPr>
      <w:r>
        <w:t xml:space="preserve">En Rubrado de CAIF figura un banco tipo 5 de losa volada y no figura en planos. Solicitamos aclarar donde van si es que corresponden. </w:t>
      </w:r>
    </w:p>
    <w:p w:rsidR="00537D3F" w:rsidRDefault="00537D3F" w:rsidP="00537D3F">
      <w:pPr>
        <w:autoSpaceDE w:val="0"/>
        <w:autoSpaceDN w:val="0"/>
        <w:adjustRightInd w:val="0"/>
        <w:spacing w:after="0" w:line="240" w:lineRule="auto"/>
        <w:jc w:val="both"/>
        <w:rPr>
          <w:b/>
          <w:sz w:val="32"/>
        </w:rPr>
      </w:pPr>
      <w:r w:rsidRPr="00537D3F">
        <w:rPr>
          <w:b/>
          <w:sz w:val="32"/>
        </w:rPr>
        <w:t>RESPUESTA:</w:t>
      </w:r>
    </w:p>
    <w:p w:rsidR="00B66AB7" w:rsidRPr="00B66AB7" w:rsidRDefault="00B66AB7" w:rsidP="00B66AB7">
      <w:pPr>
        <w:autoSpaceDE w:val="0"/>
        <w:autoSpaceDN w:val="0"/>
        <w:adjustRightInd w:val="0"/>
        <w:spacing w:after="0" w:line="240" w:lineRule="auto"/>
        <w:jc w:val="both"/>
        <w:rPr>
          <w:b/>
        </w:rPr>
      </w:pPr>
      <w:r>
        <w:rPr>
          <w:b/>
        </w:rPr>
        <w:t>El banco está  indicado en planta, adosado al interior de muro frontal.</w:t>
      </w:r>
    </w:p>
    <w:p w:rsidR="00B66AB7" w:rsidRDefault="00B66AB7" w:rsidP="002F108A">
      <w:pPr>
        <w:spacing w:after="0"/>
        <w:jc w:val="both"/>
        <w:rPr>
          <w:b/>
          <w:u w:val="single"/>
        </w:rPr>
      </w:pPr>
    </w:p>
    <w:p w:rsidR="00EF7388" w:rsidRDefault="00EF7388" w:rsidP="002F108A">
      <w:pPr>
        <w:spacing w:after="0"/>
        <w:jc w:val="both"/>
        <w:rPr>
          <w:b/>
          <w:u w:val="single"/>
        </w:rPr>
      </w:pPr>
      <w:r w:rsidRPr="0012491A">
        <w:rPr>
          <w:b/>
          <w:u w:val="single"/>
        </w:rPr>
        <w:t>Consulta</w:t>
      </w:r>
      <w:r w:rsidR="00BB4441" w:rsidRPr="0012491A">
        <w:rPr>
          <w:b/>
          <w:u w:val="single"/>
        </w:rPr>
        <w:t xml:space="preserve"> 3</w:t>
      </w:r>
    </w:p>
    <w:p w:rsidR="00970A01" w:rsidRPr="007E2C86" w:rsidRDefault="00970A01" w:rsidP="00970A01">
      <w:pPr>
        <w:pStyle w:val="Prrafodelista"/>
        <w:numPr>
          <w:ilvl w:val="0"/>
          <w:numId w:val="17"/>
        </w:numPr>
        <w:jc w:val="both"/>
      </w:pPr>
      <w:r w:rsidRPr="007E2C86">
        <w:t>Puede darse el caso, a lo largo de la Concesión, que lo que la normativa nacional y/o municipal requiere, respecto de las características edilicias que un centro educativo como los abarcados en esta licitación, pueda sufrir cambios. Claramente esto traerá aparejado un desequilibrio en la ecuación económico financiera del Concesionario. De qué forma piensa tratar dicho desequilibrio la autoridad Contratante</w:t>
      </w:r>
      <w:proofErr w:type="gramStart"/>
      <w:r w:rsidRPr="007E2C86">
        <w:t>?</w:t>
      </w:r>
      <w:proofErr w:type="gramEnd"/>
    </w:p>
    <w:p w:rsidR="00970A01" w:rsidRDefault="00970A01" w:rsidP="00970A01">
      <w:pPr>
        <w:ind w:left="708"/>
        <w:jc w:val="both"/>
      </w:pPr>
      <w:r w:rsidRPr="007E2C86">
        <w:t>Cabe la misma consulta respecto de cualquier cambio derivado de una decisión posterior de una autoridad o institución municipal o gubernamental que tenga repercusión sobre la Concesión.</w:t>
      </w:r>
    </w:p>
    <w:p w:rsidR="002810B7" w:rsidRDefault="002810B7" w:rsidP="002810B7">
      <w:pPr>
        <w:autoSpaceDE w:val="0"/>
        <w:autoSpaceDN w:val="0"/>
        <w:adjustRightInd w:val="0"/>
        <w:spacing w:after="0" w:line="240" w:lineRule="auto"/>
        <w:jc w:val="both"/>
        <w:rPr>
          <w:b/>
          <w:sz w:val="32"/>
        </w:rPr>
      </w:pPr>
      <w:r w:rsidRPr="00537D3F">
        <w:rPr>
          <w:b/>
          <w:sz w:val="32"/>
        </w:rPr>
        <w:t>RESPUESTA:</w:t>
      </w:r>
    </w:p>
    <w:p w:rsidR="00970A01" w:rsidRPr="00970A01" w:rsidRDefault="00970A01" w:rsidP="002F108A">
      <w:pPr>
        <w:spacing w:after="0"/>
        <w:jc w:val="both"/>
        <w:rPr>
          <w:b/>
        </w:rPr>
      </w:pPr>
      <w:r>
        <w:rPr>
          <w:b/>
        </w:rPr>
        <w:t>Se mantiene lo establecido.</w:t>
      </w:r>
    </w:p>
    <w:p w:rsidR="00970A01" w:rsidRDefault="00970A01" w:rsidP="002F108A">
      <w:pPr>
        <w:spacing w:after="0"/>
        <w:jc w:val="both"/>
        <w:rPr>
          <w:b/>
          <w:u w:val="single"/>
        </w:rPr>
      </w:pPr>
    </w:p>
    <w:p w:rsidR="00B503EC" w:rsidRDefault="00B503EC" w:rsidP="00B503EC">
      <w:pPr>
        <w:spacing w:after="0"/>
        <w:jc w:val="both"/>
        <w:rPr>
          <w:b/>
          <w:u w:val="single"/>
        </w:rPr>
      </w:pPr>
      <w:r w:rsidRPr="00B658CA">
        <w:rPr>
          <w:b/>
          <w:u w:val="single"/>
        </w:rPr>
        <w:t xml:space="preserve">Consulta </w:t>
      </w:r>
      <w:r>
        <w:rPr>
          <w:b/>
          <w:u w:val="single"/>
        </w:rPr>
        <w:t>4</w:t>
      </w:r>
    </w:p>
    <w:p w:rsidR="00E50ACE" w:rsidRDefault="00E50ACE" w:rsidP="002F108A">
      <w:pPr>
        <w:spacing w:after="0"/>
        <w:jc w:val="both"/>
        <w:rPr>
          <w:rFonts w:ascii="Calibri" w:eastAsia="Times New Roman" w:hAnsi="Calibri"/>
        </w:rPr>
      </w:pPr>
      <w:r w:rsidRPr="007E2C86">
        <w:rPr>
          <w:rFonts w:ascii="Calibri" w:eastAsia="Times New Roman" w:hAnsi="Calibri"/>
        </w:rPr>
        <w:t xml:space="preserve">La cláusula 4.4.2 del proyecto de contrato establece que el Contratista podrá brindar servicios complementarios para lo cual deberá acordar las condiciones previamente con la Administración. Se consulta si esos eventuales servicios complementarios deben ser objeto de la oferta o pueden ser planteados durante la ejecución del contrato. También se consulta </w:t>
      </w:r>
      <w:r w:rsidRPr="007E2C86">
        <w:rPr>
          <w:rFonts w:ascii="Calibri" w:eastAsia="Times New Roman" w:hAnsi="Calibri"/>
        </w:rPr>
        <w:lastRenderedPageBreak/>
        <w:t>si, en el caso de ser planteados en la oferta, generan algún tipo de ventaja para el oferente en relación a los otros que no mencionen dichos servicios complementarios</w:t>
      </w:r>
    </w:p>
    <w:p w:rsidR="00E50ACE" w:rsidRDefault="00E50ACE" w:rsidP="002F108A">
      <w:pPr>
        <w:spacing w:after="0"/>
        <w:jc w:val="both"/>
        <w:rPr>
          <w:b/>
          <w:u w:val="single"/>
        </w:rPr>
      </w:pPr>
    </w:p>
    <w:p w:rsidR="002810B7" w:rsidRDefault="002810B7" w:rsidP="002810B7">
      <w:pPr>
        <w:autoSpaceDE w:val="0"/>
        <w:autoSpaceDN w:val="0"/>
        <w:adjustRightInd w:val="0"/>
        <w:spacing w:after="0" w:line="240" w:lineRule="auto"/>
        <w:jc w:val="both"/>
        <w:rPr>
          <w:b/>
          <w:sz w:val="32"/>
        </w:rPr>
      </w:pPr>
      <w:r w:rsidRPr="00537D3F">
        <w:rPr>
          <w:b/>
          <w:sz w:val="32"/>
        </w:rPr>
        <w:t>RESPUESTA:</w:t>
      </w:r>
    </w:p>
    <w:p w:rsidR="00E50ACE" w:rsidRDefault="00E50ACE" w:rsidP="002F108A">
      <w:pPr>
        <w:spacing w:after="0"/>
        <w:jc w:val="both"/>
        <w:rPr>
          <w:b/>
        </w:rPr>
      </w:pPr>
      <w:r>
        <w:rPr>
          <w:b/>
        </w:rPr>
        <w:t>S</w:t>
      </w:r>
      <w:r w:rsidR="00B503EC">
        <w:rPr>
          <w:b/>
        </w:rPr>
        <w:t>í</w:t>
      </w:r>
      <w:r>
        <w:rPr>
          <w:b/>
        </w:rPr>
        <w:t xml:space="preserve"> puede plantearlo después de la adjudicación y no generará ningún tipo de ventaja del oferente respecto a otros que no mencionen dichos servicios complementarios.</w:t>
      </w:r>
    </w:p>
    <w:p w:rsidR="00E50ACE" w:rsidRPr="00E50ACE" w:rsidRDefault="00E50ACE" w:rsidP="002F108A">
      <w:pPr>
        <w:spacing w:after="0"/>
        <w:jc w:val="both"/>
        <w:rPr>
          <w:b/>
        </w:rPr>
      </w:pPr>
    </w:p>
    <w:p w:rsidR="00E50ACE" w:rsidRDefault="00A66462" w:rsidP="00E50ACE">
      <w:pPr>
        <w:spacing w:after="0"/>
        <w:jc w:val="both"/>
        <w:rPr>
          <w:b/>
          <w:u w:val="single"/>
        </w:rPr>
      </w:pPr>
      <w:r w:rsidRPr="00920963">
        <w:rPr>
          <w:b/>
          <w:u w:val="single"/>
        </w:rPr>
        <w:t>Consulta</w:t>
      </w:r>
      <w:r>
        <w:rPr>
          <w:b/>
          <w:u w:val="single"/>
        </w:rPr>
        <w:t xml:space="preserve"> </w:t>
      </w:r>
      <w:r w:rsidR="00B503EC">
        <w:rPr>
          <w:b/>
          <w:u w:val="single"/>
        </w:rPr>
        <w:t>5</w:t>
      </w:r>
    </w:p>
    <w:p w:rsidR="00E50ACE" w:rsidRPr="00E50ACE" w:rsidRDefault="00E50ACE" w:rsidP="00E50ACE">
      <w:pPr>
        <w:spacing w:after="0"/>
        <w:jc w:val="both"/>
        <w:rPr>
          <w:b/>
          <w:u w:val="single"/>
        </w:rPr>
      </w:pPr>
      <w:r w:rsidRPr="007E2C86">
        <w:rPr>
          <w:rFonts w:ascii="Calibri" w:eastAsia="Times New Roman" w:hAnsi="Calibri"/>
        </w:rPr>
        <w:t>En la cláusula 5.2.10 del proyecto de contrato se prevé que la empresa Contratista debe tramitar y gestionar a su costo los permisos y habilitaciones necesarios para la iniciación, ejecución y gestión de los Centros. Las consultas al respecto son las siguientes:</w:t>
      </w:r>
    </w:p>
    <w:p w:rsidR="00E50ACE" w:rsidRPr="007E2C86" w:rsidRDefault="00E50ACE" w:rsidP="00E50ACE">
      <w:pPr>
        <w:pStyle w:val="Prrafodelista"/>
        <w:numPr>
          <w:ilvl w:val="0"/>
          <w:numId w:val="18"/>
        </w:numPr>
        <w:jc w:val="both"/>
        <w:rPr>
          <w:rFonts w:ascii="Calibri" w:eastAsia="Times New Roman" w:hAnsi="Calibri"/>
        </w:rPr>
      </w:pPr>
      <w:r w:rsidRPr="007E2C86">
        <w:rPr>
          <w:rFonts w:ascii="Calibri" w:eastAsia="Times New Roman" w:hAnsi="Calibri"/>
        </w:rPr>
        <w:t>Si se tiene previsto la necesidad de gestiones por parte de la Administración, en calidad de propietaria de los centros, para la obtención de los permisos y habilitaciones referidos, y en tal caso si se prevé la incorporación en el contrato de la obligación de participar en la medida que fuera necesario en los procesos correspondientes.</w:t>
      </w:r>
      <w:r w:rsidRPr="007E2C86">
        <w:rPr>
          <w:rStyle w:val="apple-converted-space"/>
          <w:rFonts w:ascii="Calibri" w:hAnsi="Calibri"/>
        </w:rPr>
        <w:t> </w:t>
      </w:r>
    </w:p>
    <w:p w:rsidR="00E50ACE" w:rsidRPr="007E2C86" w:rsidRDefault="00E50ACE" w:rsidP="00E50ACE">
      <w:pPr>
        <w:pStyle w:val="Prrafodelista"/>
        <w:numPr>
          <w:ilvl w:val="0"/>
          <w:numId w:val="18"/>
        </w:numPr>
        <w:jc w:val="both"/>
        <w:rPr>
          <w:rFonts w:ascii="Calibri" w:eastAsia="Times New Roman" w:hAnsi="Calibri"/>
        </w:rPr>
      </w:pPr>
      <w:r>
        <w:rPr>
          <w:rFonts w:ascii="Calibri" w:eastAsia="Times New Roman" w:hAnsi="Calibri"/>
        </w:rPr>
        <w:t>Qué ocurre en relación al cumplimiento del Contratista, cuando los plazos de obtención de permisos y habilitaciones no dependen de su gestión sino de los entes que los expiden.</w:t>
      </w:r>
      <w:r w:rsidRPr="007E2C86">
        <w:t> </w:t>
      </w:r>
    </w:p>
    <w:p w:rsidR="00E50ACE" w:rsidRDefault="00A66462" w:rsidP="002F108A">
      <w:pPr>
        <w:spacing w:after="0"/>
        <w:jc w:val="both"/>
        <w:rPr>
          <w:b/>
          <w:sz w:val="32"/>
        </w:rPr>
      </w:pPr>
      <w:r w:rsidRPr="00537D3F">
        <w:rPr>
          <w:b/>
          <w:sz w:val="32"/>
        </w:rPr>
        <w:t>RESPUESTA:</w:t>
      </w:r>
    </w:p>
    <w:p w:rsidR="00E50ACE" w:rsidRDefault="00E50ACE" w:rsidP="002F108A">
      <w:pPr>
        <w:spacing w:after="0"/>
        <w:jc w:val="both"/>
        <w:rPr>
          <w:b/>
        </w:rPr>
      </w:pPr>
      <w:r w:rsidRPr="00E50ACE">
        <w:rPr>
          <w:b/>
        </w:rPr>
        <w:t>a-</w:t>
      </w:r>
      <w:r>
        <w:rPr>
          <w:b/>
        </w:rPr>
        <w:t xml:space="preserve"> Ver clausula 21.1 del Pliego de Condiciones Administrativas.</w:t>
      </w:r>
    </w:p>
    <w:p w:rsidR="00E50ACE" w:rsidRPr="00E50ACE" w:rsidRDefault="00E50ACE" w:rsidP="002F108A">
      <w:pPr>
        <w:spacing w:after="0"/>
        <w:jc w:val="both"/>
        <w:rPr>
          <w:b/>
        </w:rPr>
      </w:pPr>
      <w:r>
        <w:rPr>
          <w:b/>
        </w:rPr>
        <w:t xml:space="preserve">b- </w:t>
      </w:r>
      <w:r w:rsidR="00B503EC">
        <w:rPr>
          <w:b/>
        </w:rPr>
        <w:t>E</w:t>
      </w:r>
      <w:r>
        <w:rPr>
          <w:b/>
        </w:rPr>
        <w:t>l caso de demoras en los plazos no imputables al Contratista</w:t>
      </w:r>
      <w:r w:rsidR="00B503EC">
        <w:rPr>
          <w:b/>
        </w:rPr>
        <w:t xml:space="preserve"> está considerado en la redacción de </w:t>
      </w:r>
      <w:r>
        <w:rPr>
          <w:b/>
        </w:rPr>
        <w:t>la cl</w:t>
      </w:r>
      <w:r w:rsidR="00885A10">
        <w:rPr>
          <w:b/>
        </w:rPr>
        <w:t>á</w:t>
      </w:r>
      <w:r>
        <w:rPr>
          <w:b/>
        </w:rPr>
        <w:t>usula 13.1 literal</w:t>
      </w:r>
      <w:r w:rsidR="00885A10">
        <w:rPr>
          <w:b/>
        </w:rPr>
        <w:t>es</w:t>
      </w:r>
      <w:r>
        <w:rPr>
          <w:b/>
        </w:rPr>
        <w:t xml:space="preserve"> d y e del Proyecto de Contrato.</w:t>
      </w:r>
    </w:p>
    <w:p w:rsidR="00E50ACE" w:rsidRDefault="00E50ACE" w:rsidP="002F108A">
      <w:pPr>
        <w:spacing w:after="0"/>
        <w:jc w:val="both"/>
        <w:rPr>
          <w:b/>
          <w:u w:val="single"/>
        </w:rPr>
      </w:pPr>
    </w:p>
    <w:p w:rsidR="00E50ACE" w:rsidRDefault="00E50ACE" w:rsidP="002F108A">
      <w:pPr>
        <w:spacing w:after="0"/>
        <w:jc w:val="both"/>
        <w:rPr>
          <w:b/>
          <w:u w:val="single"/>
        </w:rPr>
      </w:pPr>
    </w:p>
    <w:p w:rsidR="00A66462" w:rsidRDefault="00C30F4F" w:rsidP="002F108A">
      <w:pPr>
        <w:spacing w:after="0"/>
        <w:jc w:val="both"/>
        <w:rPr>
          <w:b/>
          <w:u w:val="single"/>
        </w:rPr>
      </w:pPr>
      <w:r w:rsidRPr="00920963">
        <w:rPr>
          <w:b/>
          <w:u w:val="single"/>
        </w:rPr>
        <w:t>Consulta</w:t>
      </w:r>
      <w:r>
        <w:rPr>
          <w:b/>
          <w:u w:val="single"/>
        </w:rPr>
        <w:t xml:space="preserve"> </w:t>
      </w:r>
      <w:r w:rsidR="00B503EC">
        <w:rPr>
          <w:b/>
          <w:u w:val="single"/>
        </w:rPr>
        <w:t>6</w:t>
      </w:r>
    </w:p>
    <w:p w:rsidR="00FA3D65" w:rsidRDefault="000B1926" w:rsidP="000B1926">
      <w:pPr>
        <w:spacing w:after="0"/>
        <w:jc w:val="both"/>
      </w:pPr>
      <w:r w:rsidRPr="007E2C86">
        <w:rPr>
          <w:rFonts w:ascii="Calibri" w:eastAsia="Times New Roman" w:hAnsi="Calibri"/>
        </w:rPr>
        <w:t>La cláusula 6.2. lit. g) del proyecto de contrato establece que son de cargo del Contratista, entre otros, los incrementos en los precios de los insumos. Se consulta si ello refiere a incrementos por encima de los proyectados (eventualmente parametrizados) por el oferente, o si se rechaza la previsión de dicho costo (aumento de precios por insumos) en el precio a ofertar.</w:t>
      </w:r>
      <w:r w:rsidRPr="007E2C86">
        <w:t> </w:t>
      </w:r>
    </w:p>
    <w:p w:rsidR="000B1926" w:rsidRDefault="000B1926" w:rsidP="000B1926">
      <w:pPr>
        <w:spacing w:after="0"/>
        <w:jc w:val="both"/>
      </w:pPr>
    </w:p>
    <w:p w:rsidR="00C30F4F" w:rsidRDefault="00C30F4F" w:rsidP="00FA3D65">
      <w:pPr>
        <w:spacing w:after="0"/>
        <w:jc w:val="both"/>
        <w:rPr>
          <w:b/>
          <w:sz w:val="32"/>
        </w:rPr>
      </w:pPr>
      <w:r w:rsidRPr="00537D3F">
        <w:rPr>
          <w:b/>
          <w:sz w:val="32"/>
        </w:rPr>
        <w:t>RESPUESTA:</w:t>
      </w:r>
    </w:p>
    <w:p w:rsidR="000B1926" w:rsidRPr="000B1926" w:rsidRDefault="000B1926" w:rsidP="002F108A">
      <w:pPr>
        <w:spacing w:after="0"/>
        <w:jc w:val="both"/>
        <w:rPr>
          <w:b/>
        </w:rPr>
      </w:pPr>
      <w:r>
        <w:rPr>
          <w:b/>
        </w:rPr>
        <w:t xml:space="preserve">No existe parametrización de ningún tipo. Todos los costos de insumos son </w:t>
      </w:r>
      <w:r w:rsidR="00885A10">
        <w:rPr>
          <w:b/>
        </w:rPr>
        <w:t xml:space="preserve">a </w:t>
      </w:r>
      <w:r>
        <w:rPr>
          <w:b/>
        </w:rPr>
        <w:t>riesgo del Contratista.</w:t>
      </w:r>
    </w:p>
    <w:p w:rsidR="000B1926" w:rsidRDefault="000B1926" w:rsidP="002F108A">
      <w:pPr>
        <w:spacing w:after="0"/>
        <w:jc w:val="both"/>
        <w:rPr>
          <w:b/>
          <w:u w:val="single"/>
        </w:rPr>
      </w:pPr>
    </w:p>
    <w:p w:rsidR="000B1926" w:rsidRDefault="00C30F4F" w:rsidP="000B1926">
      <w:pPr>
        <w:spacing w:after="0"/>
        <w:jc w:val="both"/>
        <w:rPr>
          <w:b/>
          <w:u w:val="single"/>
        </w:rPr>
      </w:pPr>
      <w:r w:rsidRPr="00920963">
        <w:rPr>
          <w:b/>
          <w:u w:val="single"/>
        </w:rPr>
        <w:t>Consulta</w:t>
      </w:r>
      <w:r>
        <w:rPr>
          <w:b/>
          <w:u w:val="single"/>
        </w:rPr>
        <w:t xml:space="preserve"> </w:t>
      </w:r>
      <w:r w:rsidR="00B503EC">
        <w:rPr>
          <w:b/>
          <w:u w:val="single"/>
        </w:rPr>
        <w:t>7</w:t>
      </w:r>
    </w:p>
    <w:p w:rsidR="000B1926" w:rsidRPr="000B1926" w:rsidRDefault="000B1926" w:rsidP="000B1926">
      <w:pPr>
        <w:spacing w:after="0"/>
        <w:jc w:val="both"/>
        <w:rPr>
          <w:b/>
          <w:u w:val="single"/>
        </w:rPr>
      </w:pPr>
      <w:r>
        <w:rPr>
          <w:rFonts w:ascii="Calibri" w:eastAsia="Times New Roman" w:hAnsi="Calibri"/>
        </w:rPr>
        <w:t>La cláusula 8.3 del proyecto de contrato prevé que las entregas de los Subconjuntos deben hacerse dentro del plazo fijado para cada uno “en cualquier mes entre febrero y octubre inclusive”. Se consulta:</w:t>
      </w:r>
    </w:p>
    <w:p w:rsidR="000B1926" w:rsidRDefault="000B1926" w:rsidP="000B1926">
      <w:pPr>
        <w:pStyle w:val="Prrafodelista"/>
        <w:numPr>
          <w:ilvl w:val="0"/>
          <w:numId w:val="19"/>
        </w:numPr>
        <w:jc w:val="both"/>
        <w:rPr>
          <w:rFonts w:ascii="Calibri" w:eastAsia="Times New Roman" w:hAnsi="Calibri"/>
        </w:rPr>
      </w:pPr>
      <w:r>
        <w:rPr>
          <w:rFonts w:ascii="Calibri" w:eastAsia="Times New Roman" w:hAnsi="Calibri"/>
        </w:rPr>
        <w:t>Si la obra está terminada en otro mes (considerando siempre dentro del plazo fijado), ¿se pagará cuando se  termine, sin necesidad de esperar al mes de febrero siguiente, o no se paga hasta dicho mes?</w:t>
      </w:r>
    </w:p>
    <w:p w:rsidR="000B1926" w:rsidRPr="007E2C86" w:rsidRDefault="000B1926" w:rsidP="000B1926">
      <w:pPr>
        <w:pStyle w:val="Prrafodelista"/>
        <w:numPr>
          <w:ilvl w:val="0"/>
          <w:numId w:val="19"/>
        </w:numPr>
        <w:jc w:val="both"/>
        <w:rPr>
          <w:rFonts w:ascii="Calibri" w:eastAsia="Times New Roman" w:hAnsi="Calibri"/>
        </w:rPr>
      </w:pPr>
      <w:r>
        <w:rPr>
          <w:rFonts w:ascii="Calibri" w:eastAsia="Times New Roman" w:hAnsi="Calibri"/>
        </w:rPr>
        <w:t>¿Qué influencia tiene esta disposición en materia de plazos para el inicio de la Gestión del Centro? ¿Se entiende que la Gestión no se iniciará si no es entre esos meses de febrero y octubre, con el consiguiente corrimiento de los plazos de cobro? Si no es así, por favor especificar el alcance de esta disposición en la obligación de pago y el comienzo de las obligaciones del Contratista.</w:t>
      </w:r>
      <w:r w:rsidRPr="007E2C86">
        <w:t> </w:t>
      </w:r>
    </w:p>
    <w:p w:rsidR="00C30F4F" w:rsidRDefault="00C30F4F" w:rsidP="004448E5">
      <w:pPr>
        <w:spacing w:after="0"/>
        <w:jc w:val="both"/>
        <w:rPr>
          <w:b/>
          <w:sz w:val="32"/>
        </w:rPr>
      </w:pPr>
      <w:r w:rsidRPr="00537D3F">
        <w:rPr>
          <w:b/>
          <w:sz w:val="32"/>
        </w:rPr>
        <w:t>RESPUESTA:</w:t>
      </w:r>
    </w:p>
    <w:p w:rsidR="004448E5" w:rsidRDefault="00885A10" w:rsidP="002F108A">
      <w:pPr>
        <w:spacing w:after="0"/>
        <w:jc w:val="both"/>
        <w:rPr>
          <w:b/>
        </w:rPr>
      </w:pPr>
      <w:r>
        <w:rPr>
          <w:b/>
        </w:rPr>
        <w:t xml:space="preserve">La </w:t>
      </w:r>
      <w:r w:rsidR="00446E5F">
        <w:rPr>
          <w:b/>
        </w:rPr>
        <w:t>frase citada no se encuentra en los Pliegos Publicados.</w:t>
      </w:r>
    </w:p>
    <w:p w:rsidR="00446E5F" w:rsidRDefault="00446E5F" w:rsidP="002F108A">
      <w:pPr>
        <w:spacing w:after="0"/>
        <w:jc w:val="both"/>
        <w:rPr>
          <w:b/>
        </w:rPr>
      </w:pPr>
    </w:p>
    <w:p w:rsidR="00446E5F" w:rsidRDefault="00D9057C" w:rsidP="00446E5F">
      <w:pPr>
        <w:spacing w:after="0"/>
        <w:jc w:val="both"/>
        <w:rPr>
          <w:lang w:val="es-UY"/>
        </w:rPr>
      </w:pPr>
      <w:r w:rsidRPr="00920963">
        <w:rPr>
          <w:b/>
          <w:u w:val="single"/>
        </w:rPr>
        <w:t>Consulta</w:t>
      </w:r>
      <w:r>
        <w:rPr>
          <w:b/>
          <w:u w:val="single"/>
        </w:rPr>
        <w:t xml:space="preserve"> </w:t>
      </w:r>
      <w:r w:rsidR="00B503EC">
        <w:rPr>
          <w:b/>
          <w:u w:val="single"/>
        </w:rPr>
        <w:t>8</w:t>
      </w:r>
      <w:r w:rsidR="00EF4E76" w:rsidRPr="00EF4E76">
        <w:rPr>
          <w:lang w:val="es-UY"/>
        </w:rPr>
        <w:t xml:space="preserve"> </w:t>
      </w:r>
    </w:p>
    <w:p w:rsidR="00446E5F" w:rsidRPr="00446E5F" w:rsidRDefault="00446E5F" w:rsidP="00446E5F">
      <w:pPr>
        <w:spacing w:after="0"/>
        <w:jc w:val="both"/>
        <w:rPr>
          <w:b/>
          <w:u w:val="single"/>
        </w:rPr>
      </w:pPr>
      <w:r>
        <w:rPr>
          <w:rFonts w:ascii="Calibri" w:eastAsia="Times New Roman" w:hAnsi="Calibri"/>
        </w:rPr>
        <w:t>La cláusula 15.1 del proyecto de contrato prevé la posibilidad de que el Contratista ceda en garantía derecho y obligaciones a entidades que financien la ejecución del proyecto, “a efecto de que dichos acreedores cedan el mismo a un tercero”. Entendemos que esta condición limita la posibilidad de que las entidades financieras queden como beneficiarias de la cesión del contrato, puesto que se habilita la cesión en garantía solamente para que estas entidades las cedan a terceros. Consultamos si es esa la intención o se trata de un error de redacción y, en este caso, cuál es la intención de lo dispuesto en esa cláusula.</w:t>
      </w:r>
      <w:r w:rsidRPr="007E2C86">
        <w:t> </w:t>
      </w:r>
    </w:p>
    <w:p w:rsidR="00944696" w:rsidRPr="00944696" w:rsidRDefault="00944696" w:rsidP="00EF4E76">
      <w:pPr>
        <w:spacing w:after="0"/>
        <w:jc w:val="both"/>
      </w:pPr>
    </w:p>
    <w:p w:rsidR="00D9057C" w:rsidRDefault="00D9057C" w:rsidP="00EF4E76">
      <w:pPr>
        <w:spacing w:after="0"/>
        <w:jc w:val="both"/>
        <w:rPr>
          <w:b/>
          <w:sz w:val="32"/>
        </w:rPr>
      </w:pPr>
      <w:r w:rsidRPr="00537D3F">
        <w:rPr>
          <w:b/>
          <w:sz w:val="32"/>
        </w:rPr>
        <w:t>RESPUESTA:</w:t>
      </w:r>
    </w:p>
    <w:p w:rsidR="00446E5F" w:rsidRPr="00446E5F" w:rsidRDefault="00446E5F" w:rsidP="00EF4E76">
      <w:pPr>
        <w:spacing w:after="0"/>
        <w:jc w:val="both"/>
        <w:rPr>
          <w:b/>
        </w:rPr>
      </w:pPr>
      <w:r w:rsidRPr="00446E5F">
        <w:rPr>
          <w:b/>
        </w:rPr>
        <w:t xml:space="preserve">No es </w:t>
      </w:r>
      <w:r>
        <w:rPr>
          <w:b/>
        </w:rPr>
        <w:t>un error. Se mantiene lo establecido</w:t>
      </w:r>
    </w:p>
    <w:sectPr w:rsidR="00446E5F" w:rsidRPr="00446E5F" w:rsidSect="00471F12">
      <w:pgSz w:w="11906" w:h="16838"/>
      <w:pgMar w:top="993" w:right="19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400"/>
    <w:multiLevelType w:val="hybridMultilevel"/>
    <w:tmpl w:val="32460E9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C2D5A2B"/>
    <w:multiLevelType w:val="hybridMultilevel"/>
    <w:tmpl w:val="2CA4EFEC"/>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F0F5B91"/>
    <w:multiLevelType w:val="hybridMultilevel"/>
    <w:tmpl w:val="CE44C3FA"/>
    <w:lvl w:ilvl="0" w:tplc="380A0019">
      <w:start w:val="1"/>
      <w:numFmt w:val="lowerLetter"/>
      <w:lvlText w:val="%1."/>
      <w:lvlJc w:val="left"/>
      <w:pPr>
        <w:ind w:left="720" w:hanging="360"/>
      </w:pPr>
      <w:rPr>
        <w:rFonts w:hint="default"/>
        <w:b w:val="0"/>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CA3553A"/>
    <w:multiLevelType w:val="multilevel"/>
    <w:tmpl w:val="A66E5FB2"/>
    <w:lvl w:ilvl="0">
      <w:start w:val="6"/>
      <w:numFmt w:val="upperRoman"/>
      <w:pStyle w:val="Ttulo3"/>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1E04379"/>
    <w:multiLevelType w:val="hybridMultilevel"/>
    <w:tmpl w:val="EC5666A6"/>
    <w:lvl w:ilvl="0" w:tplc="F71A5C4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2DE616FE"/>
    <w:multiLevelType w:val="hybridMultilevel"/>
    <w:tmpl w:val="03C266C0"/>
    <w:lvl w:ilvl="0" w:tplc="721AB658">
      <w:start w:val="1"/>
      <w:numFmt w:val="lowerLetter"/>
      <w:lvlText w:val="%1."/>
      <w:lvlJc w:val="left"/>
      <w:pPr>
        <w:ind w:left="720" w:hanging="360"/>
      </w:pPr>
      <w:rPr>
        <w:rFonts w:eastAsia="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FA91CBC"/>
    <w:multiLevelType w:val="hybridMultilevel"/>
    <w:tmpl w:val="BC8CBF30"/>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33D526B0"/>
    <w:multiLevelType w:val="hybridMultilevel"/>
    <w:tmpl w:val="A69C5A96"/>
    <w:lvl w:ilvl="0" w:tplc="002E2530">
      <w:start w:val="1"/>
      <w:numFmt w:val="lowerLetter"/>
      <w:lvlText w:val="%1."/>
      <w:lvlJc w:val="left"/>
      <w:pPr>
        <w:ind w:left="738" w:hanging="390"/>
      </w:pPr>
      <w:rPr>
        <w:rFonts w:hint="default"/>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8">
    <w:nsid w:val="34C2442C"/>
    <w:multiLevelType w:val="hybridMultilevel"/>
    <w:tmpl w:val="22989640"/>
    <w:lvl w:ilvl="0" w:tplc="380A0019">
      <w:start w:val="1"/>
      <w:numFmt w:val="lowerLetter"/>
      <w:lvlText w:val="%1."/>
      <w:lvlJc w:val="left"/>
      <w:pPr>
        <w:ind w:left="720" w:hanging="360"/>
      </w:pPr>
      <w:rPr>
        <w:rFonts w:hint="default"/>
      </w:rPr>
    </w:lvl>
    <w:lvl w:ilvl="1" w:tplc="380A001B">
      <w:start w:val="1"/>
      <w:numFmt w:val="lowerRoman"/>
      <w:lvlText w:val="%2."/>
      <w:lvlJc w:val="right"/>
      <w:pPr>
        <w:ind w:left="1440" w:hanging="360"/>
      </w:pPr>
    </w:lvl>
    <w:lvl w:ilvl="2" w:tplc="E730BF76">
      <w:start w:val="1"/>
      <w:numFmt w:val="bullet"/>
      <w:lvlText w:val="­"/>
      <w:lvlJc w:val="left"/>
      <w:pPr>
        <w:ind w:left="2160" w:hanging="180"/>
      </w:pPr>
      <w:rPr>
        <w:rFonts w:ascii="Courier New" w:hAnsi="Courier New" w:hint="default"/>
      </w:rPr>
    </w:lvl>
    <w:lvl w:ilvl="3" w:tplc="F77E2F08">
      <w:start w:val="1"/>
      <w:numFmt w:val="bullet"/>
      <w:lvlText w:val="-"/>
      <w:lvlJc w:val="left"/>
      <w:pPr>
        <w:ind w:left="2880" w:hanging="360"/>
      </w:pPr>
      <w:rPr>
        <w:rFonts w:ascii="Calibri" w:eastAsiaTheme="minorEastAsia" w:hAnsi="Calibri" w:cstheme="minorBidi" w:hint="default"/>
      </w:r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389B5347"/>
    <w:multiLevelType w:val="hybridMultilevel"/>
    <w:tmpl w:val="B93A6FA8"/>
    <w:lvl w:ilvl="0" w:tplc="002E2530">
      <w:start w:val="1"/>
      <w:numFmt w:val="lowerLetter"/>
      <w:lvlText w:val="%1."/>
      <w:lvlJc w:val="left"/>
      <w:pPr>
        <w:ind w:left="750" w:hanging="39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0">
    <w:nsid w:val="48E83141"/>
    <w:multiLevelType w:val="hybridMultilevel"/>
    <w:tmpl w:val="8D4AC628"/>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4C0362AB"/>
    <w:multiLevelType w:val="hybridMultilevel"/>
    <w:tmpl w:val="2850EEE6"/>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54330298"/>
    <w:multiLevelType w:val="hybridMultilevel"/>
    <w:tmpl w:val="57C47F3C"/>
    <w:lvl w:ilvl="0" w:tplc="651A2A8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D242FA"/>
    <w:multiLevelType w:val="hybridMultilevel"/>
    <w:tmpl w:val="2BACEB9A"/>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57B345F8"/>
    <w:multiLevelType w:val="hybridMultilevel"/>
    <w:tmpl w:val="F1FE5AFE"/>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886658C"/>
    <w:multiLevelType w:val="hybridMultilevel"/>
    <w:tmpl w:val="704A62EE"/>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615013CC"/>
    <w:multiLevelType w:val="hybridMultilevel"/>
    <w:tmpl w:val="32460E9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643B74B0"/>
    <w:multiLevelType w:val="hybridMultilevel"/>
    <w:tmpl w:val="09C29BC6"/>
    <w:lvl w:ilvl="0" w:tplc="380A0019">
      <w:start w:val="1"/>
      <w:numFmt w:val="lowerLetter"/>
      <w:lvlText w:val="%1."/>
      <w:lvlJc w:val="left"/>
      <w:pPr>
        <w:ind w:left="720" w:hanging="360"/>
      </w:pPr>
      <w:rPr>
        <w:rFonts w:hint="default"/>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679B6223"/>
    <w:multiLevelType w:val="hybridMultilevel"/>
    <w:tmpl w:val="432EC7B4"/>
    <w:lvl w:ilvl="0" w:tplc="F77E2F08">
      <w:start w:val="1"/>
      <w:numFmt w:val="bullet"/>
      <w:lvlText w:val="-"/>
      <w:lvlJc w:val="left"/>
      <w:pPr>
        <w:ind w:left="720" w:hanging="360"/>
      </w:pPr>
      <w:rPr>
        <w:rFonts w:ascii="Calibri" w:eastAsiaTheme="minorEastAsia"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768A70D0"/>
    <w:multiLevelType w:val="hybridMultilevel"/>
    <w:tmpl w:val="567A00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2"/>
  </w:num>
  <w:num w:numId="5">
    <w:abstractNumId w:val="17"/>
  </w:num>
  <w:num w:numId="6">
    <w:abstractNumId w:val="18"/>
  </w:num>
  <w:num w:numId="7">
    <w:abstractNumId w:val="4"/>
  </w:num>
  <w:num w:numId="8">
    <w:abstractNumId w:val="13"/>
  </w:num>
  <w:num w:numId="9">
    <w:abstractNumId w:val="12"/>
  </w:num>
  <w:num w:numId="10">
    <w:abstractNumId w:val="1"/>
  </w:num>
  <w:num w:numId="11">
    <w:abstractNumId w:val="14"/>
  </w:num>
  <w:num w:numId="12">
    <w:abstractNumId w:val="11"/>
  </w:num>
  <w:num w:numId="13">
    <w:abstractNumId w:val="10"/>
  </w:num>
  <w:num w:numId="14">
    <w:abstractNumId w:val="5"/>
  </w:num>
  <w:num w:numId="15">
    <w:abstractNumId w:val="6"/>
  </w:num>
  <w:num w:numId="16">
    <w:abstractNumId w:val="15"/>
  </w:num>
  <w:num w:numId="17">
    <w:abstractNumId w:val="16"/>
  </w:num>
  <w:num w:numId="18">
    <w:abstractNumId w:val="7"/>
  </w:num>
  <w:num w:numId="19">
    <w:abstractNumId w:val="9"/>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25"/>
    <w:rsid w:val="00005BB8"/>
    <w:rsid w:val="000224DE"/>
    <w:rsid w:val="00027C14"/>
    <w:rsid w:val="000544F4"/>
    <w:rsid w:val="000809C4"/>
    <w:rsid w:val="00082648"/>
    <w:rsid w:val="00086D6F"/>
    <w:rsid w:val="00096A6D"/>
    <w:rsid w:val="000B1926"/>
    <w:rsid w:val="000C14DB"/>
    <w:rsid w:val="000D3AE8"/>
    <w:rsid w:val="000E28BE"/>
    <w:rsid w:val="000F4203"/>
    <w:rsid w:val="000F51FA"/>
    <w:rsid w:val="000F7356"/>
    <w:rsid w:val="000F78B6"/>
    <w:rsid w:val="00103AB3"/>
    <w:rsid w:val="001204A8"/>
    <w:rsid w:val="0012250E"/>
    <w:rsid w:val="0012491A"/>
    <w:rsid w:val="00130AFA"/>
    <w:rsid w:val="00140643"/>
    <w:rsid w:val="001434FC"/>
    <w:rsid w:val="001469BE"/>
    <w:rsid w:val="001469FC"/>
    <w:rsid w:val="0016055C"/>
    <w:rsid w:val="00181E6C"/>
    <w:rsid w:val="001927AE"/>
    <w:rsid w:val="001B21D3"/>
    <w:rsid w:val="001C24CD"/>
    <w:rsid w:val="001C52EF"/>
    <w:rsid w:val="001C5EC8"/>
    <w:rsid w:val="001C6168"/>
    <w:rsid w:val="001D37CC"/>
    <w:rsid w:val="001D71D5"/>
    <w:rsid w:val="001D7B8C"/>
    <w:rsid w:val="001F0A3B"/>
    <w:rsid w:val="001F46B4"/>
    <w:rsid w:val="00203097"/>
    <w:rsid w:val="002060B0"/>
    <w:rsid w:val="0020623C"/>
    <w:rsid w:val="002068B7"/>
    <w:rsid w:val="00213F1D"/>
    <w:rsid w:val="00221AAF"/>
    <w:rsid w:val="0023603F"/>
    <w:rsid w:val="00253AD4"/>
    <w:rsid w:val="0026086E"/>
    <w:rsid w:val="00272066"/>
    <w:rsid w:val="002752DF"/>
    <w:rsid w:val="00276A3F"/>
    <w:rsid w:val="002810B7"/>
    <w:rsid w:val="002870F0"/>
    <w:rsid w:val="002B21F2"/>
    <w:rsid w:val="002C653A"/>
    <w:rsid w:val="002D6C7A"/>
    <w:rsid w:val="002E0103"/>
    <w:rsid w:val="002E157A"/>
    <w:rsid w:val="002E1949"/>
    <w:rsid w:val="002E5E6F"/>
    <w:rsid w:val="002F108A"/>
    <w:rsid w:val="002F79E8"/>
    <w:rsid w:val="003019D6"/>
    <w:rsid w:val="00304D92"/>
    <w:rsid w:val="0031542D"/>
    <w:rsid w:val="00317A9C"/>
    <w:rsid w:val="003215A6"/>
    <w:rsid w:val="00321C1E"/>
    <w:rsid w:val="003303BD"/>
    <w:rsid w:val="00334C05"/>
    <w:rsid w:val="00354007"/>
    <w:rsid w:val="0035787B"/>
    <w:rsid w:val="00357ADF"/>
    <w:rsid w:val="00360C4F"/>
    <w:rsid w:val="003627A3"/>
    <w:rsid w:val="0036502D"/>
    <w:rsid w:val="003822AC"/>
    <w:rsid w:val="00386B89"/>
    <w:rsid w:val="0039310C"/>
    <w:rsid w:val="003956E9"/>
    <w:rsid w:val="003A03EF"/>
    <w:rsid w:val="003A2DFE"/>
    <w:rsid w:val="003B1188"/>
    <w:rsid w:val="003B3D15"/>
    <w:rsid w:val="003B4872"/>
    <w:rsid w:val="003B4FD1"/>
    <w:rsid w:val="003C6877"/>
    <w:rsid w:val="003D3906"/>
    <w:rsid w:val="003D4808"/>
    <w:rsid w:val="003D6E31"/>
    <w:rsid w:val="00405F73"/>
    <w:rsid w:val="00410B87"/>
    <w:rsid w:val="00412344"/>
    <w:rsid w:val="00415AC4"/>
    <w:rsid w:val="00430004"/>
    <w:rsid w:val="00431C35"/>
    <w:rsid w:val="004448E5"/>
    <w:rsid w:val="00446E5F"/>
    <w:rsid w:val="00447B8B"/>
    <w:rsid w:val="00450FB1"/>
    <w:rsid w:val="00471F12"/>
    <w:rsid w:val="00472F53"/>
    <w:rsid w:val="004823EB"/>
    <w:rsid w:val="00482E62"/>
    <w:rsid w:val="00484003"/>
    <w:rsid w:val="0048589F"/>
    <w:rsid w:val="00492D99"/>
    <w:rsid w:val="00495DBE"/>
    <w:rsid w:val="004A6357"/>
    <w:rsid w:val="004A640B"/>
    <w:rsid w:val="004B25D9"/>
    <w:rsid w:val="004B436F"/>
    <w:rsid w:val="004B4525"/>
    <w:rsid w:val="004B4A09"/>
    <w:rsid w:val="004B60FF"/>
    <w:rsid w:val="004C5F3F"/>
    <w:rsid w:val="004C72B3"/>
    <w:rsid w:val="004E3D6E"/>
    <w:rsid w:val="004E666D"/>
    <w:rsid w:val="004F7FD4"/>
    <w:rsid w:val="005016E5"/>
    <w:rsid w:val="00503196"/>
    <w:rsid w:val="005248AF"/>
    <w:rsid w:val="00534BE0"/>
    <w:rsid w:val="005379F9"/>
    <w:rsid w:val="00537D3F"/>
    <w:rsid w:val="00541DDE"/>
    <w:rsid w:val="00546977"/>
    <w:rsid w:val="00564B29"/>
    <w:rsid w:val="00575289"/>
    <w:rsid w:val="0058493C"/>
    <w:rsid w:val="005873B8"/>
    <w:rsid w:val="005875A0"/>
    <w:rsid w:val="00594788"/>
    <w:rsid w:val="00594BB8"/>
    <w:rsid w:val="0059748D"/>
    <w:rsid w:val="005A0F44"/>
    <w:rsid w:val="005B05B8"/>
    <w:rsid w:val="005D2F18"/>
    <w:rsid w:val="005E426E"/>
    <w:rsid w:val="005E6C54"/>
    <w:rsid w:val="0060150F"/>
    <w:rsid w:val="006170B6"/>
    <w:rsid w:val="00617AAA"/>
    <w:rsid w:val="00617C40"/>
    <w:rsid w:val="006202DB"/>
    <w:rsid w:val="0063286B"/>
    <w:rsid w:val="006408E8"/>
    <w:rsid w:val="0064620F"/>
    <w:rsid w:val="00655CFB"/>
    <w:rsid w:val="00661871"/>
    <w:rsid w:val="00672CD7"/>
    <w:rsid w:val="00690C15"/>
    <w:rsid w:val="00696FD3"/>
    <w:rsid w:val="006A0C97"/>
    <w:rsid w:val="006A1FF4"/>
    <w:rsid w:val="006A349E"/>
    <w:rsid w:val="006A6C69"/>
    <w:rsid w:val="006B15D7"/>
    <w:rsid w:val="006B61B7"/>
    <w:rsid w:val="006B7662"/>
    <w:rsid w:val="006C2D58"/>
    <w:rsid w:val="006D0E68"/>
    <w:rsid w:val="006E6CDE"/>
    <w:rsid w:val="0070183B"/>
    <w:rsid w:val="00715492"/>
    <w:rsid w:val="007159AC"/>
    <w:rsid w:val="00726F69"/>
    <w:rsid w:val="00734490"/>
    <w:rsid w:val="007615A8"/>
    <w:rsid w:val="00774534"/>
    <w:rsid w:val="00775852"/>
    <w:rsid w:val="007804CD"/>
    <w:rsid w:val="00795062"/>
    <w:rsid w:val="0079639A"/>
    <w:rsid w:val="007A13F5"/>
    <w:rsid w:val="007A3276"/>
    <w:rsid w:val="007B532B"/>
    <w:rsid w:val="007B5C6E"/>
    <w:rsid w:val="007B6775"/>
    <w:rsid w:val="007C743A"/>
    <w:rsid w:val="007D0604"/>
    <w:rsid w:val="007D4365"/>
    <w:rsid w:val="007D4AC0"/>
    <w:rsid w:val="007D4CD4"/>
    <w:rsid w:val="007E7199"/>
    <w:rsid w:val="007F03BC"/>
    <w:rsid w:val="007F0AAC"/>
    <w:rsid w:val="007F13B4"/>
    <w:rsid w:val="00803578"/>
    <w:rsid w:val="00803D52"/>
    <w:rsid w:val="00805EB8"/>
    <w:rsid w:val="00811C5C"/>
    <w:rsid w:val="00817858"/>
    <w:rsid w:val="008202BF"/>
    <w:rsid w:val="0082108D"/>
    <w:rsid w:val="008274CE"/>
    <w:rsid w:val="00837BE5"/>
    <w:rsid w:val="008510F1"/>
    <w:rsid w:val="00857A90"/>
    <w:rsid w:val="00862232"/>
    <w:rsid w:val="00867C9C"/>
    <w:rsid w:val="0087693A"/>
    <w:rsid w:val="00877A13"/>
    <w:rsid w:val="00880340"/>
    <w:rsid w:val="00884902"/>
    <w:rsid w:val="00885A10"/>
    <w:rsid w:val="0088662C"/>
    <w:rsid w:val="00886A1B"/>
    <w:rsid w:val="008902AB"/>
    <w:rsid w:val="008915A1"/>
    <w:rsid w:val="00893A32"/>
    <w:rsid w:val="0089472B"/>
    <w:rsid w:val="008A47E8"/>
    <w:rsid w:val="008C0616"/>
    <w:rsid w:val="008E1788"/>
    <w:rsid w:val="008E33E0"/>
    <w:rsid w:val="008E52B0"/>
    <w:rsid w:val="008F1462"/>
    <w:rsid w:val="008F29A6"/>
    <w:rsid w:val="008F3EA7"/>
    <w:rsid w:val="008F4B54"/>
    <w:rsid w:val="00903265"/>
    <w:rsid w:val="00905964"/>
    <w:rsid w:val="00905E59"/>
    <w:rsid w:val="009066ED"/>
    <w:rsid w:val="00907D16"/>
    <w:rsid w:val="00910CB6"/>
    <w:rsid w:val="00911492"/>
    <w:rsid w:val="009118F6"/>
    <w:rsid w:val="00914B06"/>
    <w:rsid w:val="009154C5"/>
    <w:rsid w:val="009155B6"/>
    <w:rsid w:val="00915A12"/>
    <w:rsid w:val="00917C64"/>
    <w:rsid w:val="00920963"/>
    <w:rsid w:val="00941CA9"/>
    <w:rsid w:val="00941F92"/>
    <w:rsid w:val="00944696"/>
    <w:rsid w:val="00944709"/>
    <w:rsid w:val="009474C2"/>
    <w:rsid w:val="00950481"/>
    <w:rsid w:val="00964169"/>
    <w:rsid w:val="0096456A"/>
    <w:rsid w:val="00967A25"/>
    <w:rsid w:val="00967A50"/>
    <w:rsid w:val="00970A01"/>
    <w:rsid w:val="00980410"/>
    <w:rsid w:val="009811A9"/>
    <w:rsid w:val="00985C81"/>
    <w:rsid w:val="00997268"/>
    <w:rsid w:val="009A23D4"/>
    <w:rsid w:val="009B6FA2"/>
    <w:rsid w:val="009D1709"/>
    <w:rsid w:val="009E48F7"/>
    <w:rsid w:val="009F3B31"/>
    <w:rsid w:val="009F6F80"/>
    <w:rsid w:val="00A05859"/>
    <w:rsid w:val="00A10E5D"/>
    <w:rsid w:val="00A20D02"/>
    <w:rsid w:val="00A25CE1"/>
    <w:rsid w:val="00A25DFE"/>
    <w:rsid w:val="00A2642C"/>
    <w:rsid w:val="00A317B0"/>
    <w:rsid w:val="00A33746"/>
    <w:rsid w:val="00A3765F"/>
    <w:rsid w:val="00A42BEF"/>
    <w:rsid w:val="00A43BD6"/>
    <w:rsid w:val="00A47663"/>
    <w:rsid w:val="00A501AA"/>
    <w:rsid w:val="00A56AC7"/>
    <w:rsid w:val="00A61DC5"/>
    <w:rsid w:val="00A66462"/>
    <w:rsid w:val="00A824D1"/>
    <w:rsid w:val="00A95AD4"/>
    <w:rsid w:val="00A96F4D"/>
    <w:rsid w:val="00A97E57"/>
    <w:rsid w:val="00AA08F5"/>
    <w:rsid w:val="00AA3FB7"/>
    <w:rsid w:val="00AB21FA"/>
    <w:rsid w:val="00AB3B6F"/>
    <w:rsid w:val="00AC4104"/>
    <w:rsid w:val="00AC5F2B"/>
    <w:rsid w:val="00AD3613"/>
    <w:rsid w:val="00AD4503"/>
    <w:rsid w:val="00AD4AAE"/>
    <w:rsid w:val="00AD4C6F"/>
    <w:rsid w:val="00AF1881"/>
    <w:rsid w:val="00AF5F0E"/>
    <w:rsid w:val="00B04400"/>
    <w:rsid w:val="00B06604"/>
    <w:rsid w:val="00B118FB"/>
    <w:rsid w:val="00B142E0"/>
    <w:rsid w:val="00B2359B"/>
    <w:rsid w:val="00B3191F"/>
    <w:rsid w:val="00B4544F"/>
    <w:rsid w:val="00B4774A"/>
    <w:rsid w:val="00B503EC"/>
    <w:rsid w:val="00B54405"/>
    <w:rsid w:val="00B658CA"/>
    <w:rsid w:val="00B66AB7"/>
    <w:rsid w:val="00B6723A"/>
    <w:rsid w:val="00B74460"/>
    <w:rsid w:val="00B77E37"/>
    <w:rsid w:val="00BA1D8D"/>
    <w:rsid w:val="00BA351A"/>
    <w:rsid w:val="00BA5863"/>
    <w:rsid w:val="00BA6EB5"/>
    <w:rsid w:val="00BB1483"/>
    <w:rsid w:val="00BB4441"/>
    <w:rsid w:val="00BC2D62"/>
    <w:rsid w:val="00BC67E7"/>
    <w:rsid w:val="00BC7050"/>
    <w:rsid w:val="00BD0C6D"/>
    <w:rsid w:val="00BD48D9"/>
    <w:rsid w:val="00C06FB1"/>
    <w:rsid w:val="00C10D24"/>
    <w:rsid w:val="00C21E03"/>
    <w:rsid w:val="00C26733"/>
    <w:rsid w:val="00C274AD"/>
    <w:rsid w:val="00C30F4F"/>
    <w:rsid w:val="00C33A63"/>
    <w:rsid w:val="00C60D6E"/>
    <w:rsid w:val="00C627FD"/>
    <w:rsid w:val="00C804BF"/>
    <w:rsid w:val="00C865F5"/>
    <w:rsid w:val="00C866C6"/>
    <w:rsid w:val="00C93B6E"/>
    <w:rsid w:val="00CA2479"/>
    <w:rsid w:val="00CA2864"/>
    <w:rsid w:val="00CC7680"/>
    <w:rsid w:val="00CC7DF0"/>
    <w:rsid w:val="00CD4EF1"/>
    <w:rsid w:val="00CE5A9C"/>
    <w:rsid w:val="00CF6656"/>
    <w:rsid w:val="00CF76DE"/>
    <w:rsid w:val="00D01747"/>
    <w:rsid w:val="00D07562"/>
    <w:rsid w:val="00D1234C"/>
    <w:rsid w:val="00D34026"/>
    <w:rsid w:val="00D42C37"/>
    <w:rsid w:val="00D514E6"/>
    <w:rsid w:val="00D64842"/>
    <w:rsid w:val="00D67A17"/>
    <w:rsid w:val="00D67B76"/>
    <w:rsid w:val="00D711CB"/>
    <w:rsid w:val="00D72E02"/>
    <w:rsid w:val="00D72F16"/>
    <w:rsid w:val="00D7495B"/>
    <w:rsid w:val="00D74B4A"/>
    <w:rsid w:val="00D804C0"/>
    <w:rsid w:val="00D8280D"/>
    <w:rsid w:val="00D900AB"/>
    <w:rsid w:val="00D9057C"/>
    <w:rsid w:val="00D92716"/>
    <w:rsid w:val="00D9479E"/>
    <w:rsid w:val="00DA1FAB"/>
    <w:rsid w:val="00DB095C"/>
    <w:rsid w:val="00DC1011"/>
    <w:rsid w:val="00DD0922"/>
    <w:rsid w:val="00DD2DF1"/>
    <w:rsid w:val="00DD349E"/>
    <w:rsid w:val="00DD657E"/>
    <w:rsid w:val="00DE197C"/>
    <w:rsid w:val="00DE4A47"/>
    <w:rsid w:val="00DF05BD"/>
    <w:rsid w:val="00DF3744"/>
    <w:rsid w:val="00E00821"/>
    <w:rsid w:val="00E057A3"/>
    <w:rsid w:val="00E117BA"/>
    <w:rsid w:val="00E1627C"/>
    <w:rsid w:val="00E2790D"/>
    <w:rsid w:val="00E27FB6"/>
    <w:rsid w:val="00E30239"/>
    <w:rsid w:val="00E323E1"/>
    <w:rsid w:val="00E35D72"/>
    <w:rsid w:val="00E43D62"/>
    <w:rsid w:val="00E457E9"/>
    <w:rsid w:val="00E47410"/>
    <w:rsid w:val="00E47775"/>
    <w:rsid w:val="00E50ACE"/>
    <w:rsid w:val="00E80125"/>
    <w:rsid w:val="00E87A47"/>
    <w:rsid w:val="00E920AE"/>
    <w:rsid w:val="00E97A17"/>
    <w:rsid w:val="00EA0B72"/>
    <w:rsid w:val="00EA12C1"/>
    <w:rsid w:val="00EA7E1F"/>
    <w:rsid w:val="00EB2220"/>
    <w:rsid w:val="00ED6346"/>
    <w:rsid w:val="00EE05C1"/>
    <w:rsid w:val="00EE1420"/>
    <w:rsid w:val="00EE3850"/>
    <w:rsid w:val="00EE5086"/>
    <w:rsid w:val="00EF2C13"/>
    <w:rsid w:val="00EF4E76"/>
    <w:rsid w:val="00EF7388"/>
    <w:rsid w:val="00F11641"/>
    <w:rsid w:val="00F21A7B"/>
    <w:rsid w:val="00F25F2F"/>
    <w:rsid w:val="00F26F2C"/>
    <w:rsid w:val="00F27BE6"/>
    <w:rsid w:val="00F314D6"/>
    <w:rsid w:val="00F3349A"/>
    <w:rsid w:val="00F3370C"/>
    <w:rsid w:val="00F47917"/>
    <w:rsid w:val="00F6043A"/>
    <w:rsid w:val="00F61043"/>
    <w:rsid w:val="00F66D51"/>
    <w:rsid w:val="00F95A73"/>
    <w:rsid w:val="00F96DDE"/>
    <w:rsid w:val="00FA0AD4"/>
    <w:rsid w:val="00FA3D65"/>
    <w:rsid w:val="00FA4F32"/>
    <w:rsid w:val="00FE142C"/>
    <w:rsid w:val="00FE1FB7"/>
    <w:rsid w:val="00FE4E77"/>
    <w:rsid w:val="00FE64F1"/>
    <w:rsid w:val="00FF3332"/>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A1E77-D6C6-4E0A-9D1D-2E46AA43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04"/>
  </w:style>
  <w:style w:type="paragraph" w:styleId="Ttulo3">
    <w:name w:val="heading 3"/>
    <w:basedOn w:val="Normal"/>
    <w:next w:val="Normal"/>
    <w:link w:val="Ttulo3Car"/>
    <w:qFormat/>
    <w:rsid w:val="00E457E9"/>
    <w:pPr>
      <w:keepNext/>
      <w:keepLines/>
      <w:numPr>
        <w:numId w:val="1"/>
      </w:numPr>
      <w:suppressLineNumbers/>
      <w:suppressAutoHyphens/>
      <w:overflowPunct w:val="0"/>
      <w:autoSpaceDE w:val="0"/>
      <w:autoSpaceDN w:val="0"/>
      <w:adjustRightInd w:val="0"/>
      <w:spacing w:after="0" w:line="240" w:lineRule="auto"/>
      <w:ind w:right="-23"/>
      <w:jc w:val="both"/>
      <w:textAlignment w:val="baseline"/>
      <w:outlineLvl w:val="2"/>
    </w:pPr>
    <w:rPr>
      <w:rFonts w:ascii="Arial" w:eastAsia="Times New Roman" w:hAnsi="Arial" w:cs="Times New Roman"/>
      <w:b/>
      <w:color w:val="000000"/>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DDE"/>
    <w:rPr>
      <w:color w:val="0000FF"/>
      <w:u w:val="single"/>
    </w:rPr>
  </w:style>
  <w:style w:type="paragraph" w:styleId="Prrafodelista">
    <w:name w:val="List Paragraph"/>
    <w:basedOn w:val="Normal"/>
    <w:uiPriority w:val="34"/>
    <w:qFormat/>
    <w:rsid w:val="00985C81"/>
    <w:pPr>
      <w:ind w:left="720"/>
      <w:contextualSpacing/>
    </w:pPr>
  </w:style>
  <w:style w:type="paragraph" w:styleId="Textodeglobo">
    <w:name w:val="Balloon Text"/>
    <w:basedOn w:val="Normal"/>
    <w:link w:val="TextodegloboCar"/>
    <w:uiPriority w:val="99"/>
    <w:semiHidden/>
    <w:unhideWhenUsed/>
    <w:rsid w:val="003A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EF"/>
    <w:rPr>
      <w:rFonts w:ascii="Tahoma" w:hAnsi="Tahoma" w:cs="Tahoma"/>
      <w:sz w:val="16"/>
      <w:szCs w:val="16"/>
    </w:rPr>
  </w:style>
  <w:style w:type="character" w:customStyle="1" w:styleId="Ttulo3Car">
    <w:name w:val="Título 3 Car"/>
    <w:basedOn w:val="Fuentedeprrafopredeter"/>
    <w:link w:val="Ttulo3"/>
    <w:rsid w:val="00E457E9"/>
    <w:rPr>
      <w:rFonts w:ascii="Arial" w:eastAsia="Times New Roman" w:hAnsi="Arial" w:cs="Times New Roman"/>
      <w:b/>
      <w:color w:val="000000"/>
      <w:spacing w:val="-3"/>
      <w:sz w:val="24"/>
      <w:szCs w:val="24"/>
      <w:lang w:val="es-ES_tradnl" w:eastAsia="es-ES"/>
    </w:rPr>
  </w:style>
  <w:style w:type="paragraph" w:customStyle="1" w:styleId="Default">
    <w:name w:val="Default"/>
    <w:rsid w:val="00E457E9"/>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Fuentedeprrafopredeter"/>
    <w:rsid w:val="004E666D"/>
  </w:style>
  <w:style w:type="character" w:customStyle="1" w:styleId="apple-converted-space">
    <w:name w:val="apple-converted-space"/>
    <w:basedOn w:val="Fuentedeprrafopredeter"/>
    <w:rsid w:val="004E666D"/>
  </w:style>
  <w:style w:type="paragraph" w:customStyle="1" w:styleId="titulo1">
    <w:name w:val="titulo1"/>
    <w:basedOn w:val="Normal"/>
    <w:rsid w:val="00260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715492"/>
    <w:pPr>
      <w:spacing w:after="0" w:line="240" w:lineRule="auto"/>
    </w:pPr>
    <w:rPr>
      <w:rFonts w:ascii="Calibri" w:hAnsi="Calibri" w:cs="Consolas"/>
      <w:szCs w:val="21"/>
      <w:lang w:val="es-UY"/>
    </w:rPr>
  </w:style>
  <w:style w:type="character" w:customStyle="1" w:styleId="TextosinformatoCar">
    <w:name w:val="Texto sin formato Car"/>
    <w:basedOn w:val="Fuentedeprrafopredeter"/>
    <w:link w:val="Textosinformato"/>
    <w:uiPriority w:val="99"/>
    <w:rsid w:val="00715492"/>
    <w:rPr>
      <w:rFonts w:ascii="Calibri" w:hAnsi="Calibri" w:cs="Consolas"/>
      <w:szCs w:val="21"/>
      <w:lang w:val="es-UY"/>
    </w:rPr>
  </w:style>
  <w:style w:type="character" w:styleId="Refdecomentario">
    <w:name w:val="annotation reference"/>
    <w:basedOn w:val="Fuentedeprrafopredeter"/>
    <w:uiPriority w:val="99"/>
    <w:semiHidden/>
    <w:rsid w:val="00213F1D"/>
    <w:rPr>
      <w:sz w:val="16"/>
      <w:szCs w:val="16"/>
    </w:rPr>
  </w:style>
  <w:style w:type="paragraph" w:styleId="Textocomentario">
    <w:name w:val="annotation text"/>
    <w:basedOn w:val="Normal"/>
    <w:link w:val="TextocomentarioCar"/>
    <w:uiPriority w:val="99"/>
    <w:semiHidden/>
    <w:unhideWhenUsed/>
    <w:rsid w:val="00F610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043"/>
    <w:rPr>
      <w:sz w:val="20"/>
      <w:szCs w:val="20"/>
    </w:rPr>
  </w:style>
  <w:style w:type="paragraph" w:styleId="Asuntodelcomentario">
    <w:name w:val="annotation subject"/>
    <w:basedOn w:val="Textocomentario"/>
    <w:next w:val="Textocomentario"/>
    <w:link w:val="AsuntodelcomentarioCar"/>
    <w:uiPriority w:val="99"/>
    <w:semiHidden/>
    <w:unhideWhenUsed/>
    <w:rsid w:val="00F61043"/>
    <w:rPr>
      <w:b/>
      <w:bCs/>
    </w:rPr>
  </w:style>
  <w:style w:type="character" w:customStyle="1" w:styleId="AsuntodelcomentarioCar">
    <w:name w:val="Asunto del comentario Car"/>
    <w:basedOn w:val="TextocomentarioCar"/>
    <w:link w:val="Asuntodelcomentario"/>
    <w:uiPriority w:val="99"/>
    <w:semiHidden/>
    <w:rsid w:val="00F61043"/>
    <w:rPr>
      <w:b/>
      <w:bCs/>
      <w:sz w:val="20"/>
      <w:szCs w:val="20"/>
    </w:rPr>
  </w:style>
  <w:style w:type="paragraph" w:customStyle="1" w:styleId="xmsonormal">
    <w:name w:val="x_msonormal"/>
    <w:basedOn w:val="Normal"/>
    <w:rsid w:val="003C6877"/>
    <w:pPr>
      <w:spacing w:after="0"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0850">
      <w:bodyDiv w:val="1"/>
      <w:marLeft w:val="0"/>
      <w:marRight w:val="0"/>
      <w:marTop w:val="0"/>
      <w:marBottom w:val="0"/>
      <w:divBdr>
        <w:top w:val="none" w:sz="0" w:space="0" w:color="auto"/>
        <w:left w:val="none" w:sz="0" w:space="0" w:color="auto"/>
        <w:bottom w:val="none" w:sz="0" w:space="0" w:color="auto"/>
        <w:right w:val="none" w:sz="0" w:space="0" w:color="auto"/>
      </w:divBdr>
    </w:div>
    <w:div w:id="274137432">
      <w:bodyDiv w:val="1"/>
      <w:marLeft w:val="0"/>
      <w:marRight w:val="0"/>
      <w:marTop w:val="0"/>
      <w:marBottom w:val="0"/>
      <w:divBdr>
        <w:top w:val="none" w:sz="0" w:space="0" w:color="auto"/>
        <w:left w:val="none" w:sz="0" w:space="0" w:color="auto"/>
        <w:bottom w:val="none" w:sz="0" w:space="0" w:color="auto"/>
        <w:right w:val="none" w:sz="0" w:space="0" w:color="auto"/>
      </w:divBdr>
    </w:div>
    <w:div w:id="697656592">
      <w:bodyDiv w:val="1"/>
      <w:marLeft w:val="0"/>
      <w:marRight w:val="0"/>
      <w:marTop w:val="0"/>
      <w:marBottom w:val="0"/>
      <w:divBdr>
        <w:top w:val="none" w:sz="0" w:space="0" w:color="auto"/>
        <w:left w:val="none" w:sz="0" w:space="0" w:color="auto"/>
        <w:bottom w:val="none" w:sz="0" w:space="0" w:color="auto"/>
        <w:right w:val="none" w:sz="0" w:space="0" w:color="auto"/>
      </w:divBdr>
    </w:div>
    <w:div w:id="746348328">
      <w:bodyDiv w:val="1"/>
      <w:marLeft w:val="0"/>
      <w:marRight w:val="0"/>
      <w:marTop w:val="0"/>
      <w:marBottom w:val="0"/>
      <w:divBdr>
        <w:top w:val="none" w:sz="0" w:space="0" w:color="auto"/>
        <w:left w:val="none" w:sz="0" w:space="0" w:color="auto"/>
        <w:bottom w:val="none" w:sz="0" w:space="0" w:color="auto"/>
        <w:right w:val="none" w:sz="0" w:space="0" w:color="auto"/>
      </w:divBdr>
    </w:div>
    <w:div w:id="770781645">
      <w:bodyDiv w:val="1"/>
      <w:marLeft w:val="0"/>
      <w:marRight w:val="0"/>
      <w:marTop w:val="0"/>
      <w:marBottom w:val="0"/>
      <w:divBdr>
        <w:top w:val="none" w:sz="0" w:space="0" w:color="auto"/>
        <w:left w:val="none" w:sz="0" w:space="0" w:color="auto"/>
        <w:bottom w:val="none" w:sz="0" w:space="0" w:color="auto"/>
        <w:right w:val="none" w:sz="0" w:space="0" w:color="auto"/>
      </w:divBdr>
    </w:div>
    <w:div w:id="846822329">
      <w:bodyDiv w:val="1"/>
      <w:marLeft w:val="0"/>
      <w:marRight w:val="0"/>
      <w:marTop w:val="0"/>
      <w:marBottom w:val="0"/>
      <w:divBdr>
        <w:top w:val="none" w:sz="0" w:space="0" w:color="auto"/>
        <w:left w:val="none" w:sz="0" w:space="0" w:color="auto"/>
        <w:bottom w:val="none" w:sz="0" w:space="0" w:color="auto"/>
        <w:right w:val="none" w:sz="0" w:space="0" w:color="auto"/>
      </w:divBdr>
    </w:div>
    <w:div w:id="1307050588">
      <w:bodyDiv w:val="1"/>
      <w:marLeft w:val="0"/>
      <w:marRight w:val="0"/>
      <w:marTop w:val="0"/>
      <w:marBottom w:val="0"/>
      <w:divBdr>
        <w:top w:val="none" w:sz="0" w:space="0" w:color="auto"/>
        <w:left w:val="none" w:sz="0" w:space="0" w:color="auto"/>
        <w:bottom w:val="none" w:sz="0" w:space="0" w:color="auto"/>
        <w:right w:val="none" w:sz="0" w:space="0" w:color="auto"/>
      </w:divBdr>
    </w:div>
    <w:div w:id="1485439487">
      <w:bodyDiv w:val="1"/>
      <w:marLeft w:val="0"/>
      <w:marRight w:val="0"/>
      <w:marTop w:val="0"/>
      <w:marBottom w:val="0"/>
      <w:divBdr>
        <w:top w:val="none" w:sz="0" w:space="0" w:color="auto"/>
        <w:left w:val="none" w:sz="0" w:space="0" w:color="auto"/>
        <w:bottom w:val="none" w:sz="0" w:space="0" w:color="auto"/>
        <w:right w:val="none" w:sz="0" w:space="0" w:color="auto"/>
      </w:divBdr>
    </w:div>
    <w:div w:id="1866140274">
      <w:bodyDiv w:val="1"/>
      <w:marLeft w:val="0"/>
      <w:marRight w:val="0"/>
      <w:marTop w:val="0"/>
      <w:marBottom w:val="0"/>
      <w:divBdr>
        <w:top w:val="none" w:sz="0" w:space="0" w:color="auto"/>
        <w:left w:val="none" w:sz="0" w:space="0" w:color="auto"/>
        <w:bottom w:val="none" w:sz="0" w:space="0" w:color="auto"/>
        <w:right w:val="none" w:sz="0" w:space="0" w:color="auto"/>
      </w:divBdr>
    </w:div>
    <w:div w:id="2094667135">
      <w:bodyDiv w:val="1"/>
      <w:marLeft w:val="0"/>
      <w:marRight w:val="0"/>
      <w:marTop w:val="0"/>
      <w:marBottom w:val="0"/>
      <w:divBdr>
        <w:top w:val="none" w:sz="0" w:space="0" w:color="auto"/>
        <w:left w:val="none" w:sz="0" w:space="0" w:color="auto"/>
        <w:bottom w:val="none" w:sz="0" w:space="0" w:color="auto"/>
        <w:right w:val="none" w:sz="0" w:space="0" w:color="auto"/>
      </w:divBdr>
    </w:div>
    <w:div w:id="2117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sa2cdc\..\bienes01\Mis%20documentos\Mis%20im&#225;genes\logoNuevo.p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0FA7-CFAF-4FCB-BCF9-3A93575C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Mateo Premazzi</cp:lastModifiedBy>
  <cp:revision>3</cp:revision>
  <dcterms:created xsi:type="dcterms:W3CDTF">2017-04-29T14:58:00Z</dcterms:created>
  <dcterms:modified xsi:type="dcterms:W3CDTF">2017-05-02T12:35:00Z</dcterms:modified>
</cp:coreProperties>
</file>