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F0E" w:rsidRDefault="00484003" w:rsidP="00D92716">
      <w:pPr>
        <w:jc w:val="both"/>
      </w:pPr>
      <w:bookmarkStart w:id="0" w:name="_GoBack"/>
      <w:bookmarkEnd w:id="0"/>
      <w:r>
        <w:rPr>
          <w:noProof/>
          <w:lang w:val="es-UY" w:eastAsia="es-UY"/>
        </w:rPr>
        <w:drawing>
          <wp:anchor distT="0" distB="0" distL="114300" distR="114300" simplePos="0" relativeHeight="251661312" behindDoc="0" locked="0" layoutInCell="1" allowOverlap="1" wp14:anchorId="7300B9CF" wp14:editId="7DE523D8">
            <wp:simplePos x="3726611" y="629728"/>
            <wp:positionH relativeFrom="margin">
              <wp:align>right</wp:align>
            </wp:positionH>
            <wp:positionV relativeFrom="margin">
              <wp:align>top</wp:align>
            </wp:positionV>
            <wp:extent cx="1009291" cy="715993"/>
            <wp:effectExtent l="19050" t="0" r="359"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au-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291" cy="715993"/>
                    </a:xfrm>
                    <a:prstGeom prst="rect">
                      <a:avLst/>
                    </a:prstGeom>
                  </pic:spPr>
                </pic:pic>
              </a:graphicData>
            </a:graphic>
          </wp:anchor>
        </w:drawing>
      </w:r>
      <w:r w:rsidR="00C804BF">
        <w:rPr>
          <w:noProof/>
          <w:lang w:val="es-UY" w:eastAsia="es-UY"/>
        </w:rPr>
        <w:drawing>
          <wp:inline distT="0" distB="0" distL="0" distR="0" wp14:anchorId="5A9D1A2A" wp14:editId="5801B178">
            <wp:extent cx="2743200" cy="690113"/>
            <wp:effectExtent l="19050" t="0" r="0" b="0"/>
            <wp:docPr id="1" name="Imagen 1" descr="\\sa2cdc\..\bienes01\Mis documentos\Mis imágenes\logo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2cdc\..\bienes01\Mis documentos\Mis imágenes\logoNuevo.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743200" cy="690113"/>
                    </a:xfrm>
                    <a:prstGeom prst="rect">
                      <a:avLst/>
                    </a:prstGeom>
                    <a:noFill/>
                    <a:ln>
                      <a:noFill/>
                    </a:ln>
                  </pic:spPr>
                </pic:pic>
              </a:graphicData>
            </a:graphic>
          </wp:inline>
        </w:drawing>
      </w:r>
    </w:p>
    <w:p w:rsidR="00D900AB" w:rsidRDefault="00D900AB" w:rsidP="00D92716">
      <w:pPr>
        <w:jc w:val="both"/>
        <w:rPr>
          <w:b/>
        </w:rPr>
      </w:pPr>
    </w:p>
    <w:p w:rsidR="00AF5F0E" w:rsidRPr="00D92716" w:rsidRDefault="00C804BF" w:rsidP="00D92716">
      <w:pPr>
        <w:spacing w:after="0"/>
        <w:jc w:val="center"/>
        <w:rPr>
          <w:b/>
          <w:sz w:val="28"/>
          <w:szCs w:val="28"/>
        </w:rPr>
      </w:pPr>
      <w:r w:rsidRPr="00D92716">
        <w:rPr>
          <w:b/>
          <w:sz w:val="28"/>
          <w:szCs w:val="28"/>
        </w:rPr>
        <w:t>Licitación Pública Internacional N° 47/2016</w:t>
      </w:r>
    </w:p>
    <w:p w:rsidR="00AF5F0E" w:rsidRPr="00D92716" w:rsidRDefault="00EA12C1" w:rsidP="00D92716">
      <w:pPr>
        <w:spacing w:after="0"/>
        <w:jc w:val="center"/>
        <w:rPr>
          <w:b/>
          <w:sz w:val="24"/>
          <w:szCs w:val="24"/>
        </w:rPr>
      </w:pPr>
      <w:r w:rsidRPr="00D92716">
        <w:rPr>
          <w:b/>
          <w:sz w:val="24"/>
          <w:szCs w:val="24"/>
        </w:rPr>
        <w:t>“Diseño, financiamiento, construcción y operación de 44 Jardines y 15 CAIF”</w:t>
      </w:r>
    </w:p>
    <w:p w:rsidR="00D900AB" w:rsidRDefault="00D900AB" w:rsidP="00D92716">
      <w:pPr>
        <w:spacing w:after="0"/>
        <w:jc w:val="both"/>
        <w:rPr>
          <w:b/>
          <w:sz w:val="24"/>
        </w:rPr>
      </w:pPr>
    </w:p>
    <w:p w:rsidR="00AF5F0E" w:rsidRPr="00D92716" w:rsidRDefault="00C804BF" w:rsidP="00D92716">
      <w:pPr>
        <w:spacing w:after="0"/>
        <w:jc w:val="both"/>
        <w:rPr>
          <w:b/>
        </w:rPr>
      </w:pPr>
      <w:r w:rsidRPr="00D92716">
        <w:rPr>
          <w:b/>
        </w:rPr>
        <w:t>Administración Nacional de Educación Pública ANEP.-</w:t>
      </w:r>
    </w:p>
    <w:p w:rsidR="00AF5F0E" w:rsidRPr="00D92716" w:rsidRDefault="00C804BF" w:rsidP="00D92716">
      <w:pPr>
        <w:pBdr>
          <w:bottom w:val="single" w:sz="6" w:space="1" w:color="auto"/>
        </w:pBdr>
        <w:jc w:val="both"/>
        <w:rPr>
          <w:b/>
        </w:rPr>
      </w:pPr>
      <w:r w:rsidRPr="00D92716">
        <w:rPr>
          <w:b/>
        </w:rPr>
        <w:t xml:space="preserve">Instituto del Niño </w:t>
      </w:r>
      <w:r w:rsidR="00D8280D" w:rsidRPr="00D92716">
        <w:rPr>
          <w:b/>
        </w:rPr>
        <w:t>y</w:t>
      </w:r>
      <w:r w:rsidRPr="00D92716">
        <w:rPr>
          <w:b/>
        </w:rPr>
        <w:t xml:space="preserve"> Adolescente del Uruguay INAU.-</w:t>
      </w:r>
    </w:p>
    <w:p w:rsidR="00AF5F0E" w:rsidRPr="00D92716" w:rsidRDefault="00985C81" w:rsidP="00D92716">
      <w:pPr>
        <w:pBdr>
          <w:bottom w:val="single" w:sz="6" w:space="1" w:color="auto"/>
        </w:pBdr>
        <w:jc w:val="both"/>
        <w:rPr>
          <w:b/>
          <w:sz w:val="24"/>
          <w:szCs w:val="24"/>
        </w:rPr>
      </w:pPr>
      <w:r w:rsidRPr="00D92716">
        <w:rPr>
          <w:b/>
          <w:sz w:val="24"/>
          <w:szCs w:val="24"/>
        </w:rPr>
        <w:t xml:space="preserve">Comunicado N° </w:t>
      </w:r>
      <w:r w:rsidR="00A501AA" w:rsidRPr="00D92716">
        <w:rPr>
          <w:b/>
          <w:sz w:val="24"/>
          <w:szCs w:val="24"/>
        </w:rPr>
        <w:t>5</w:t>
      </w:r>
    </w:p>
    <w:p w:rsidR="00AF5F0E" w:rsidRPr="00D900AB" w:rsidRDefault="00A47663" w:rsidP="00D92716">
      <w:pPr>
        <w:jc w:val="both"/>
        <w:rPr>
          <w:b/>
          <w:i/>
          <w:sz w:val="24"/>
          <w:szCs w:val="24"/>
        </w:rPr>
      </w:pPr>
      <w:r w:rsidRPr="00D900AB">
        <w:rPr>
          <w:b/>
          <w:i/>
          <w:sz w:val="24"/>
          <w:szCs w:val="24"/>
        </w:rPr>
        <w:t>Al amparo de lo establecido en la Cláusula 12 del Pliego de Condiciones Administrativas que rige la presente licitación, se realizan las siguientes puntualizaciones:</w:t>
      </w:r>
    </w:p>
    <w:p w:rsidR="00AF5F0E" w:rsidRPr="00D92716" w:rsidRDefault="00915A12" w:rsidP="00D92716">
      <w:pPr>
        <w:jc w:val="both"/>
        <w:rPr>
          <w:sz w:val="28"/>
          <w:szCs w:val="28"/>
          <w:u w:val="single"/>
        </w:rPr>
      </w:pPr>
      <w:r w:rsidRPr="00D92716">
        <w:rPr>
          <w:sz w:val="28"/>
          <w:szCs w:val="28"/>
          <w:u w:val="single"/>
        </w:rPr>
        <w:t>Puntualización  1</w:t>
      </w:r>
    </w:p>
    <w:p w:rsidR="00AF5F0E" w:rsidRDefault="003822AC" w:rsidP="00D92716">
      <w:pPr>
        <w:jc w:val="both"/>
      </w:pPr>
      <w:r>
        <w:t>En el PROYECTO DE CONTRATO (PC)</w:t>
      </w:r>
    </w:p>
    <w:p w:rsidR="00AF5F0E" w:rsidRDefault="003822AC" w:rsidP="00D92716">
      <w:pPr>
        <w:jc w:val="both"/>
      </w:pPr>
      <w:r>
        <w:t>En 4.1 Diseño ejecutivo de cada centro</w:t>
      </w:r>
    </w:p>
    <w:p w:rsidR="00AF5F0E" w:rsidRDefault="003822AC" w:rsidP="00D92716">
      <w:pPr>
        <w:jc w:val="both"/>
      </w:pPr>
      <w:r>
        <w:t>Donde dice:</w:t>
      </w:r>
    </w:p>
    <w:p w:rsidR="00AF5F0E" w:rsidRDefault="003822AC" w:rsidP="00D92716">
      <w:pPr>
        <w:jc w:val="both"/>
      </w:pPr>
      <w:r>
        <w:t>“</w:t>
      </w:r>
      <w:r w:rsidRPr="00D41D1C">
        <w:t>La Contratista será responsable de ejecutar todos los Proyectos Ejecutivos necesarios para la correcta ejecución de la totalidad de las obras detalladas anteriormente.</w:t>
      </w:r>
      <w:r>
        <w:t>”</w:t>
      </w:r>
    </w:p>
    <w:p w:rsidR="00AF5F0E" w:rsidRDefault="003822AC" w:rsidP="00D92716">
      <w:pPr>
        <w:jc w:val="both"/>
      </w:pPr>
      <w:r>
        <w:t>Debe decir:</w:t>
      </w:r>
    </w:p>
    <w:p w:rsidR="00AF5F0E" w:rsidRDefault="003822AC" w:rsidP="00D92716">
      <w:pPr>
        <w:jc w:val="both"/>
      </w:pPr>
      <w:r>
        <w:t>“</w:t>
      </w:r>
      <w:r w:rsidRPr="00D41D1C">
        <w:t>La Contratista será responsable de ejecutar todos los Proyectos Ejecutivos necesarios para la correcta ejecución de la totalidad de las obras detalladas anteriormente</w:t>
      </w:r>
      <w:r>
        <w:t xml:space="preserve">. </w:t>
      </w:r>
    </w:p>
    <w:p w:rsidR="00AF5F0E" w:rsidRDefault="00A96F4D" w:rsidP="00D92716">
      <w:pPr>
        <w:jc w:val="both"/>
      </w:pPr>
      <w:r>
        <w:t>En los casos en que, por sus dimensiones o proporciones, los terrenos ofrecidos por la APC no obtengan el permiso de la Intendencia Departamental correspondiente para la implantación del prototipo propuesto, se admite un anteproyecto ajustado a dicho predio, respetando todas las áreas mínimas, las especificaciones técnicas y todo lo que indiquen el Pliego de Condiciones Técnicas y las Pautas de Diseño</w:t>
      </w:r>
      <w:r w:rsidR="003822AC" w:rsidRPr="005873B8">
        <w:t>”</w:t>
      </w:r>
    </w:p>
    <w:p w:rsidR="00AF5F0E" w:rsidRPr="00D92716" w:rsidRDefault="00915A12" w:rsidP="00D92716">
      <w:pPr>
        <w:jc w:val="both"/>
        <w:rPr>
          <w:sz w:val="28"/>
          <w:szCs w:val="28"/>
          <w:u w:val="single"/>
        </w:rPr>
      </w:pPr>
      <w:r w:rsidRPr="00D92716">
        <w:rPr>
          <w:sz w:val="28"/>
          <w:szCs w:val="28"/>
          <w:u w:val="single"/>
        </w:rPr>
        <w:t>Puntualización 2</w:t>
      </w:r>
    </w:p>
    <w:p w:rsidR="00AF5F0E" w:rsidRPr="00D900AB" w:rsidRDefault="0079639A" w:rsidP="00D92716">
      <w:pPr>
        <w:jc w:val="both"/>
      </w:pPr>
      <w:r w:rsidRPr="00D900AB">
        <w:t>En el PLIEGO DE CONDICIONES ADMINISTRATIVAS (PCA)</w:t>
      </w:r>
    </w:p>
    <w:p w:rsidR="00AF5F0E" w:rsidRPr="00D92716" w:rsidRDefault="0079639A" w:rsidP="00D92716">
      <w:pPr>
        <w:pStyle w:val="titulo1"/>
        <w:shd w:val="clear" w:color="auto" w:fill="FFFFFF"/>
        <w:jc w:val="both"/>
        <w:rPr>
          <w:rFonts w:asciiTheme="minorHAnsi" w:hAnsiTheme="minorHAnsi"/>
          <w:color w:val="000000"/>
          <w:sz w:val="22"/>
          <w:szCs w:val="22"/>
        </w:rPr>
      </w:pPr>
      <w:r w:rsidRPr="00D92716">
        <w:rPr>
          <w:rFonts w:asciiTheme="minorHAnsi" w:hAnsiTheme="minorHAnsi"/>
          <w:color w:val="000000"/>
          <w:sz w:val="22"/>
          <w:szCs w:val="22"/>
        </w:rPr>
        <w:t>Se sustituye la</w:t>
      </w:r>
      <w:r w:rsidR="003822AC" w:rsidRPr="00D92716">
        <w:rPr>
          <w:rFonts w:asciiTheme="minorHAnsi" w:hAnsiTheme="minorHAnsi"/>
          <w:color w:val="000000"/>
          <w:sz w:val="22"/>
          <w:szCs w:val="22"/>
        </w:rPr>
        <w:t xml:space="preserve"> cláusula 12</w:t>
      </w:r>
      <w:bookmarkStart w:id="1" w:name="_Toc465239574"/>
      <w:r w:rsidRPr="00D92716">
        <w:rPr>
          <w:rFonts w:asciiTheme="minorHAnsi" w:hAnsiTheme="minorHAnsi"/>
          <w:color w:val="000000"/>
          <w:sz w:val="22"/>
          <w:szCs w:val="22"/>
        </w:rPr>
        <w:t xml:space="preserve"> “</w:t>
      </w:r>
      <w:r w:rsidR="003822AC" w:rsidRPr="00D92716">
        <w:rPr>
          <w:rFonts w:asciiTheme="minorHAnsi" w:hAnsiTheme="minorHAnsi"/>
          <w:color w:val="000000"/>
          <w:sz w:val="22"/>
          <w:szCs w:val="22"/>
          <w:lang w:val="es-ES_tradnl"/>
        </w:rPr>
        <w:t>CONSULTAS, ACLARACIONES Y MODIFICACIONES DE LOS DOCUMENTOS DE LICITACIÓN</w:t>
      </w:r>
      <w:r w:rsidRPr="00D92716">
        <w:rPr>
          <w:rFonts w:asciiTheme="minorHAnsi" w:hAnsiTheme="minorHAnsi"/>
          <w:color w:val="000000"/>
          <w:sz w:val="22"/>
          <w:szCs w:val="22"/>
          <w:lang w:val="es-ES_tradnl"/>
        </w:rPr>
        <w:t>”</w:t>
      </w:r>
      <w:r w:rsidR="003822AC" w:rsidRPr="00D92716">
        <w:rPr>
          <w:rFonts w:asciiTheme="minorHAnsi" w:hAnsiTheme="minorHAnsi"/>
          <w:color w:val="000000"/>
          <w:sz w:val="22"/>
          <w:szCs w:val="22"/>
          <w:lang w:val="es-ES_tradnl"/>
        </w:rPr>
        <w:t>, por la siguiente:</w:t>
      </w:r>
      <w:bookmarkEnd w:id="1"/>
    </w:p>
    <w:p w:rsidR="00AF5F0E" w:rsidRDefault="003822AC" w:rsidP="00D92716">
      <w:pPr>
        <w:shd w:val="clear" w:color="auto" w:fill="FFFFFF"/>
        <w:jc w:val="both"/>
        <w:rPr>
          <w:color w:val="000000"/>
        </w:rPr>
      </w:pPr>
      <w:r>
        <w:rPr>
          <w:color w:val="000000"/>
          <w:lang w:val="es-UY"/>
        </w:rPr>
        <w:t>Toda consulta que efectúen los adquirentes de las Bases de Contratación deberá realizarse por escrito, en idioma español, en la forma detallada a continuación, y se enviará al correo electrónico</w:t>
      </w:r>
      <w:r>
        <w:rPr>
          <w:rStyle w:val="apple-converted-space"/>
          <w:color w:val="000000"/>
          <w:lang w:val="es-UY"/>
        </w:rPr>
        <w:t> </w:t>
      </w:r>
      <w:hyperlink r:id="rId8" w:history="1">
        <w:r w:rsidR="00915A12" w:rsidRPr="00D92716">
          <w:rPr>
            <w:rStyle w:val="Hipervnculo"/>
            <w:lang w:val="es-UY"/>
          </w:rPr>
          <w:t>info.ppp@anep.edu.uy</w:t>
        </w:r>
      </w:hyperlink>
      <w:r>
        <w:rPr>
          <w:color w:val="000000"/>
          <w:lang w:val="es-UY"/>
        </w:rPr>
        <w:t>, hasta</w:t>
      </w:r>
      <w:r>
        <w:rPr>
          <w:rStyle w:val="apple-converted-space"/>
          <w:color w:val="000000"/>
          <w:lang w:val="es-UY"/>
        </w:rPr>
        <w:t> </w:t>
      </w:r>
      <w:r w:rsidR="00915A12" w:rsidRPr="00D92716">
        <w:rPr>
          <w:lang w:val="es-UY"/>
        </w:rPr>
        <w:t>25</w:t>
      </w:r>
      <w:r>
        <w:rPr>
          <w:rStyle w:val="apple-converted-space"/>
          <w:color w:val="000000"/>
          <w:lang w:val="es-UY"/>
        </w:rPr>
        <w:t> </w:t>
      </w:r>
      <w:r>
        <w:rPr>
          <w:color w:val="000000"/>
          <w:lang w:val="es-UY"/>
        </w:rPr>
        <w:t xml:space="preserve">días corridos antes de la fecha fijada para la </w:t>
      </w:r>
      <w:r>
        <w:rPr>
          <w:color w:val="000000"/>
          <w:lang w:val="es-UY"/>
        </w:rPr>
        <w:lastRenderedPageBreak/>
        <w:t>recepción de las ofertas.</w:t>
      </w:r>
      <w:r>
        <w:rPr>
          <w:rStyle w:val="apple-converted-space"/>
          <w:color w:val="000000"/>
          <w:lang w:val="es-UY"/>
        </w:rPr>
        <w:t> </w:t>
      </w:r>
      <w:r>
        <w:rPr>
          <w:color w:val="000000"/>
          <w:lang w:val="es-UY"/>
        </w:rPr>
        <w:t>A estos fines, al adquirir el Pliego, el interesado registrará una única dirección electrónica desde la cual realizará consultas.</w:t>
      </w:r>
    </w:p>
    <w:p w:rsidR="00AF5F0E" w:rsidRDefault="003822AC" w:rsidP="00D92716">
      <w:pPr>
        <w:shd w:val="clear" w:color="auto" w:fill="FFFFFF"/>
        <w:jc w:val="both"/>
        <w:rPr>
          <w:color w:val="000000"/>
        </w:rPr>
      </w:pPr>
      <w:r>
        <w:rPr>
          <w:color w:val="000000"/>
          <w:lang w:val="es-UY"/>
        </w:rPr>
        <w:t>Las consultas y aclaraciones deben enviarse en formato editable y deben</w:t>
      </w:r>
      <w:r>
        <w:rPr>
          <w:rStyle w:val="apple-converted-space"/>
          <w:color w:val="000000"/>
          <w:lang w:val="es-UY"/>
        </w:rPr>
        <w:t> </w:t>
      </w:r>
      <w:r>
        <w:rPr>
          <w:color w:val="000000"/>
          <w:lang w:val="es-UY"/>
        </w:rPr>
        <w:t>ser agrupadas según las siguientes áreas temáticas:</w:t>
      </w:r>
    </w:p>
    <w:p w:rsidR="00AF5F0E" w:rsidRDefault="003822AC" w:rsidP="00D92716">
      <w:pPr>
        <w:pStyle w:val="Prrafodelista"/>
        <w:numPr>
          <w:ilvl w:val="0"/>
          <w:numId w:val="11"/>
        </w:numPr>
        <w:shd w:val="clear" w:color="auto" w:fill="FFFFFF"/>
        <w:tabs>
          <w:tab w:val="left" w:pos="1134"/>
        </w:tabs>
        <w:spacing w:before="120" w:after="120"/>
        <w:ind w:left="1134" w:hanging="283"/>
        <w:jc w:val="both"/>
        <w:rPr>
          <w:color w:val="000000"/>
        </w:rPr>
      </w:pPr>
      <w:r>
        <w:rPr>
          <w:color w:val="000000"/>
          <w:lang w:val="es-UY"/>
        </w:rPr>
        <w:t>Área temática Nº 1, Condiciones Administrativas – Legales</w:t>
      </w:r>
    </w:p>
    <w:p w:rsidR="00AF5F0E" w:rsidRDefault="003822AC" w:rsidP="00D92716">
      <w:pPr>
        <w:pStyle w:val="Prrafodelista"/>
        <w:numPr>
          <w:ilvl w:val="0"/>
          <w:numId w:val="11"/>
        </w:numPr>
        <w:shd w:val="clear" w:color="auto" w:fill="FFFFFF"/>
        <w:tabs>
          <w:tab w:val="left" w:pos="1134"/>
        </w:tabs>
        <w:spacing w:before="120" w:after="120"/>
        <w:ind w:left="1134" w:hanging="283"/>
        <w:jc w:val="both"/>
        <w:rPr>
          <w:color w:val="000000"/>
        </w:rPr>
      </w:pPr>
      <w:r>
        <w:rPr>
          <w:color w:val="000000"/>
          <w:lang w:val="es-UY"/>
        </w:rPr>
        <w:t>Área temática Nº 2, Condiciones Económicas – Financieras</w:t>
      </w:r>
    </w:p>
    <w:p w:rsidR="00AF5F0E" w:rsidRDefault="003822AC" w:rsidP="00D92716">
      <w:pPr>
        <w:pStyle w:val="Prrafodelista"/>
        <w:numPr>
          <w:ilvl w:val="0"/>
          <w:numId w:val="11"/>
        </w:numPr>
        <w:shd w:val="clear" w:color="auto" w:fill="FFFFFF"/>
        <w:tabs>
          <w:tab w:val="left" w:pos="1134"/>
        </w:tabs>
        <w:spacing w:before="120" w:after="120"/>
        <w:ind w:left="1134" w:hanging="283"/>
        <w:jc w:val="both"/>
        <w:rPr>
          <w:color w:val="000000"/>
        </w:rPr>
      </w:pPr>
      <w:r>
        <w:rPr>
          <w:color w:val="000000"/>
          <w:lang w:val="es-UY"/>
        </w:rPr>
        <w:t>Área temática Nº 3, Programa arquitectónico y ubicación de los Centros</w:t>
      </w:r>
    </w:p>
    <w:p w:rsidR="00AF5F0E" w:rsidRDefault="003822AC" w:rsidP="00D92716">
      <w:pPr>
        <w:pStyle w:val="Prrafodelista"/>
        <w:numPr>
          <w:ilvl w:val="0"/>
          <w:numId w:val="11"/>
        </w:numPr>
        <w:shd w:val="clear" w:color="auto" w:fill="FFFFFF"/>
        <w:tabs>
          <w:tab w:val="left" w:pos="1134"/>
        </w:tabs>
        <w:spacing w:before="120" w:after="120"/>
        <w:ind w:left="1134" w:hanging="283"/>
        <w:jc w:val="both"/>
        <w:rPr>
          <w:color w:val="000000"/>
        </w:rPr>
      </w:pPr>
      <w:r>
        <w:rPr>
          <w:color w:val="000000"/>
          <w:lang w:val="es-UY"/>
        </w:rPr>
        <w:t>Área temática Nº 4, Prestación de servicios en la operación</w:t>
      </w:r>
    </w:p>
    <w:p w:rsidR="00AF5F0E" w:rsidRDefault="003822AC" w:rsidP="00D92716">
      <w:pPr>
        <w:shd w:val="clear" w:color="auto" w:fill="FFFFFF"/>
        <w:jc w:val="both"/>
        <w:rPr>
          <w:color w:val="000000"/>
        </w:rPr>
      </w:pPr>
      <w:r>
        <w:rPr>
          <w:color w:val="000000"/>
          <w:lang w:val="es-UY"/>
        </w:rPr>
        <w:t>Las consultas deberán ser breves, redactadas en forma clara y de interpretación unívoca,</w:t>
      </w:r>
      <w:r>
        <w:rPr>
          <w:rStyle w:val="apple-converted-space"/>
          <w:color w:val="000000"/>
          <w:lang w:val="es-UY"/>
        </w:rPr>
        <w:t> </w:t>
      </w:r>
      <w:r>
        <w:rPr>
          <w:color w:val="000000"/>
          <w:lang w:val="es-UY"/>
        </w:rPr>
        <w:t>y</w:t>
      </w:r>
      <w:r>
        <w:rPr>
          <w:rStyle w:val="apple-converted-space"/>
          <w:color w:val="000000"/>
          <w:sz w:val="23"/>
          <w:szCs w:val="23"/>
          <w:lang w:val="es-UY"/>
        </w:rPr>
        <w:t> </w:t>
      </w:r>
      <w:r>
        <w:rPr>
          <w:color w:val="000000"/>
          <w:lang w:val="es-UY"/>
        </w:rPr>
        <w:t>deben citar la cláusula</w:t>
      </w:r>
      <w:r>
        <w:rPr>
          <w:rStyle w:val="apple-converted-space"/>
          <w:color w:val="000000"/>
          <w:lang w:val="es-UY"/>
        </w:rPr>
        <w:t> </w:t>
      </w:r>
      <w:r>
        <w:rPr>
          <w:color w:val="000000"/>
          <w:lang w:val="es-UY"/>
        </w:rPr>
        <w:t>o texto concreto de las Bases de Contratación a que refieren.</w:t>
      </w:r>
    </w:p>
    <w:p w:rsidR="00AF5F0E" w:rsidRDefault="003822AC" w:rsidP="00D92716">
      <w:pPr>
        <w:shd w:val="clear" w:color="auto" w:fill="FFFFFF"/>
        <w:jc w:val="both"/>
        <w:rPr>
          <w:color w:val="000000"/>
        </w:rPr>
      </w:pPr>
      <w:r>
        <w:rPr>
          <w:color w:val="000000"/>
          <w:lang w:val="es-UY"/>
        </w:rPr>
        <w:t>Las respuestas a tales consultas, sin identificar su procedencia, serán comunicadas a todos los adquirentes de las Bases de Contratación en su domicilio electrónico debidamente constituido, y publicadas en la web.:</w:t>
      </w:r>
      <w:r w:rsidR="0079639A">
        <w:rPr>
          <w:color w:val="000000"/>
          <w:lang w:val="es-UY"/>
        </w:rPr>
        <w:t xml:space="preserve"> </w:t>
      </w:r>
      <w:hyperlink r:id="rId9" w:tgtFrame="_blank" w:history="1">
        <w:r>
          <w:rPr>
            <w:rStyle w:val="Hipervnculo"/>
            <w:color w:val="005A95"/>
            <w:lang w:val="es-UY"/>
          </w:rPr>
          <w:t>http://www.comprasestatales.gub.uy/</w:t>
        </w:r>
      </w:hyperlink>
      <w:r>
        <w:rPr>
          <w:color w:val="000000"/>
        </w:rPr>
        <w:t>,</w:t>
      </w:r>
      <w:r>
        <w:rPr>
          <w:rStyle w:val="apple-converted-space"/>
          <w:color w:val="000000"/>
        </w:rPr>
        <w:t> </w:t>
      </w:r>
      <w:r>
        <w:rPr>
          <w:color w:val="000000"/>
          <w:lang w:val="es-UY"/>
        </w:rPr>
        <w:t>hasta</w:t>
      </w:r>
      <w:r>
        <w:rPr>
          <w:rStyle w:val="apple-converted-space"/>
          <w:color w:val="000000"/>
          <w:lang w:val="es-UY"/>
        </w:rPr>
        <w:t> </w:t>
      </w:r>
      <w:r w:rsidR="00915A12" w:rsidRPr="00D92716">
        <w:rPr>
          <w:lang w:val="es-UY"/>
        </w:rPr>
        <w:t>15</w:t>
      </w:r>
      <w:r>
        <w:rPr>
          <w:rStyle w:val="apple-converted-space"/>
          <w:color w:val="000000"/>
          <w:lang w:val="es-UY"/>
        </w:rPr>
        <w:t> </w:t>
      </w:r>
      <w:r>
        <w:rPr>
          <w:color w:val="000000"/>
          <w:lang w:val="es-UY"/>
        </w:rPr>
        <w:t>días corridos antes de que venza el plazo para presentación de las ofertas.</w:t>
      </w:r>
    </w:p>
    <w:p w:rsidR="00AF5F0E" w:rsidRDefault="003822AC" w:rsidP="00D92716">
      <w:pPr>
        <w:shd w:val="clear" w:color="auto" w:fill="FFFFFF"/>
        <w:jc w:val="both"/>
        <w:rPr>
          <w:color w:val="000000"/>
        </w:rPr>
      </w:pPr>
      <w:r>
        <w:rPr>
          <w:color w:val="000000"/>
          <w:lang w:val="es-UY"/>
        </w:rPr>
        <w:t>Las APC podrán, por cualquier causa y antes de los</w:t>
      </w:r>
      <w:r>
        <w:rPr>
          <w:rStyle w:val="apple-converted-space"/>
          <w:color w:val="000000"/>
          <w:lang w:val="es-UY"/>
        </w:rPr>
        <w:t> </w:t>
      </w:r>
      <w:r w:rsidR="00915A12" w:rsidRPr="00D92716">
        <w:rPr>
          <w:lang w:val="es-UY"/>
        </w:rPr>
        <w:t>10</w:t>
      </w:r>
      <w:r>
        <w:rPr>
          <w:rStyle w:val="apple-converted-space"/>
          <w:color w:val="000000"/>
          <w:lang w:val="es-UY"/>
        </w:rPr>
        <w:t> </w:t>
      </w:r>
      <w:r>
        <w:rPr>
          <w:color w:val="000000"/>
          <w:lang w:val="es-UY"/>
        </w:rPr>
        <w:t>días corridos de que venza el plazo de presentación de las ofertas, modificar mediante enmiendas las Bases de Contratación. Las enmiendas por modificaciones o prorrogas de plazos serán comunicadas y publicadas en la forma prevista anteriormente.</w:t>
      </w:r>
    </w:p>
    <w:p w:rsidR="00AF5F0E" w:rsidRDefault="003822AC" w:rsidP="00D92716">
      <w:pPr>
        <w:shd w:val="clear" w:color="auto" w:fill="FFFFFF"/>
        <w:jc w:val="both"/>
        <w:rPr>
          <w:color w:val="000000"/>
        </w:rPr>
      </w:pPr>
      <w:r>
        <w:rPr>
          <w:color w:val="000000"/>
          <w:lang w:val="es-UY"/>
        </w:rPr>
        <w:t>Sólo las Enmiendas y Comunicados publicados en</w:t>
      </w:r>
      <w:r>
        <w:rPr>
          <w:rStyle w:val="apple-converted-space"/>
          <w:color w:val="000000"/>
          <w:lang w:val="es-UY"/>
        </w:rPr>
        <w:t> </w:t>
      </w:r>
      <w:hyperlink r:id="rId10" w:tgtFrame="_blank" w:history="1">
        <w:r>
          <w:rPr>
            <w:rStyle w:val="Hipervnculo"/>
            <w:color w:val="005A95"/>
            <w:lang w:val="es-UY"/>
          </w:rPr>
          <w:t>http://www.comprasestatales.gub.uy/</w:t>
        </w:r>
      </w:hyperlink>
      <w:r>
        <w:rPr>
          <w:color w:val="000000"/>
          <w:lang w:val="es-UY"/>
        </w:rPr>
        <w:t>, adquieren validez plena a todos los efectos posteriores, y tienen efecto subordinante sobre los otros recaudos.</w:t>
      </w:r>
      <w:r>
        <w:rPr>
          <w:rStyle w:val="apple-converted-space"/>
          <w:color w:val="000000"/>
          <w:lang w:val="es-UY"/>
        </w:rPr>
        <w:t> </w:t>
      </w:r>
      <w:r>
        <w:rPr>
          <w:color w:val="000000"/>
          <w:lang w:val="es-UY"/>
        </w:rPr>
        <w:t>Es responsabilidad de los interesados acceder a las respuestas y modificaciones por dicho medio.</w:t>
      </w:r>
    </w:p>
    <w:p w:rsidR="00AF5F0E" w:rsidRDefault="003822AC" w:rsidP="00D92716">
      <w:pPr>
        <w:jc w:val="both"/>
        <w:rPr>
          <w:rFonts w:ascii="Calibri" w:hAnsi="Calibri" w:cs="Calibri"/>
          <w:color w:val="000000"/>
          <w:shd w:val="clear" w:color="auto" w:fill="FFFFFF"/>
          <w:lang w:val="es-UY"/>
        </w:rPr>
      </w:pPr>
      <w:r>
        <w:rPr>
          <w:rFonts w:ascii="Calibri" w:hAnsi="Calibri" w:cs="Calibri"/>
          <w:color w:val="000000"/>
          <w:shd w:val="clear" w:color="auto" w:fill="FFFFFF"/>
          <w:lang w:val="es-UY"/>
        </w:rPr>
        <w:t>Las Comitentes no contraen obligaciones ni asumen responsabilidad de especie alguna por la presente convocatoria, pudiendo dejar sin efecto el presente procedimiento de contratación, en cualquier etapa previo al acto de adjudicación definitiva, sin que ello dé lugar a reclamación o indemnización alguna a los interesados u oferentes.</w:t>
      </w:r>
    </w:p>
    <w:p w:rsidR="00AF5F0E" w:rsidRPr="00D92716" w:rsidRDefault="006408E8" w:rsidP="00D92716">
      <w:pPr>
        <w:jc w:val="both"/>
        <w:rPr>
          <w:rFonts w:ascii="Calibri" w:hAnsi="Calibri" w:cs="Calibri"/>
          <w:color w:val="000000"/>
          <w:sz w:val="28"/>
          <w:szCs w:val="28"/>
          <w:u w:val="single"/>
          <w:shd w:val="clear" w:color="auto" w:fill="FFFFFF"/>
          <w:lang w:val="es-UY"/>
        </w:rPr>
      </w:pPr>
      <w:r w:rsidRPr="006408E8">
        <w:rPr>
          <w:rFonts w:ascii="Calibri" w:hAnsi="Calibri" w:cs="Calibri"/>
          <w:color w:val="000000"/>
          <w:sz w:val="28"/>
          <w:szCs w:val="28"/>
          <w:u w:val="single"/>
          <w:shd w:val="clear" w:color="auto" w:fill="FFFFFF"/>
          <w:lang w:val="es-UY"/>
        </w:rPr>
        <w:t>Puntualizaci</w:t>
      </w:r>
      <w:r>
        <w:rPr>
          <w:rFonts w:ascii="Calibri" w:hAnsi="Calibri" w:cs="Calibri"/>
          <w:color w:val="000000"/>
          <w:sz w:val="28"/>
          <w:szCs w:val="28"/>
          <w:u w:val="single"/>
          <w:shd w:val="clear" w:color="auto" w:fill="FFFFFF"/>
          <w:lang w:val="es-UY"/>
        </w:rPr>
        <w:t>ón</w:t>
      </w:r>
      <w:r w:rsidR="00915A12" w:rsidRPr="00D92716">
        <w:rPr>
          <w:rFonts w:ascii="Calibri" w:hAnsi="Calibri" w:cs="Calibri"/>
          <w:color w:val="000000"/>
          <w:sz w:val="28"/>
          <w:szCs w:val="28"/>
          <w:u w:val="single"/>
          <w:shd w:val="clear" w:color="auto" w:fill="FFFFFF"/>
          <w:lang w:val="es-UY"/>
        </w:rPr>
        <w:t xml:space="preserve"> 3</w:t>
      </w:r>
    </w:p>
    <w:p w:rsidR="006408E8" w:rsidRDefault="006408E8">
      <w:r>
        <w:t>En el Pliego de Condiciones Técnicas</w:t>
      </w:r>
      <w:r w:rsidR="00CA2479">
        <w:t xml:space="preserve"> (PCT)</w:t>
      </w:r>
      <w:r>
        <w:t>, sección "Definiciones" donde dice:</w:t>
      </w:r>
      <w:r>
        <w:br/>
      </w:r>
      <w:r>
        <w:br/>
        <w:t>"Plazo de Respuesta</w:t>
      </w:r>
      <w:r w:rsidR="00CA2479">
        <w:t>”:</w:t>
      </w:r>
      <w:r>
        <w:t xml:space="preserve"> Es, cuando aplica, el periodo de tiempo especificado como tal en los Estándares de Disponibilidad y en los Estándares de Calidad Reactivos del Capítulo 8, dentro del cual el Contratista debe Eliminar Riesgos Inminentes ante un Evento de Servicio de Disponibilidad o un Evento de Servicio de Calidad No Reactivo. Se mide en horas corridas.</w:t>
      </w:r>
      <w:r>
        <w:br/>
      </w:r>
      <w:r>
        <w:br/>
        <w:t>Debe decir</w:t>
      </w:r>
      <w:r w:rsidR="00A96F4D">
        <w:t>:</w:t>
      </w:r>
      <w:r>
        <w:br/>
      </w:r>
      <w:r>
        <w:br/>
        <w:t xml:space="preserve">"Plazo de Respuesta" : Es, cuando aplica, el periodo de tiempo especificado como tal en los Estándares de Disponibilidad y en los Estándares de Calidad Reactivos del Capítulo 8, dentro </w:t>
      </w:r>
      <w:r>
        <w:lastRenderedPageBreak/>
        <w:t>del cual el Contratista debe Eliminar Riesgos Inminentes ante un Evento de Servicio de Disponibilidad o un Evento de Servicio de Calidad Reactivo. Se mide en horas corridas.</w:t>
      </w:r>
    </w:p>
    <w:p w:rsidR="00857A90" w:rsidRPr="00D92716" w:rsidRDefault="00857A90" w:rsidP="00D92716">
      <w:pPr>
        <w:jc w:val="both"/>
        <w:rPr>
          <w:sz w:val="28"/>
          <w:szCs w:val="28"/>
          <w:u w:val="single"/>
        </w:rPr>
      </w:pPr>
      <w:r w:rsidRPr="00D92716">
        <w:rPr>
          <w:sz w:val="28"/>
          <w:szCs w:val="28"/>
          <w:u w:val="single"/>
        </w:rPr>
        <w:t>Puntualización 4</w:t>
      </w:r>
    </w:p>
    <w:p w:rsidR="00857A90" w:rsidRDefault="00857A90">
      <w:pPr>
        <w:rPr>
          <w:rFonts w:ascii="Calibri" w:hAnsi="Calibri" w:cs="Calibri"/>
          <w:color w:val="000000"/>
          <w:shd w:val="clear" w:color="auto" w:fill="FFFFFF"/>
          <w:lang w:val="es-UY"/>
        </w:rPr>
      </w:pPr>
      <w:r>
        <w:rPr>
          <w:rFonts w:ascii="Calibri" w:hAnsi="Calibri" w:cs="Calibri"/>
          <w:color w:val="000000"/>
          <w:shd w:val="clear" w:color="auto" w:fill="FFFFFF"/>
          <w:lang w:val="es-UY"/>
        </w:rPr>
        <w:t xml:space="preserve">Se modifica el Capítulo 7 “Equipamiento” del Pliego de Condiciones Técnicas (PCT) </w:t>
      </w:r>
      <w:r w:rsidR="0031542D">
        <w:rPr>
          <w:rFonts w:ascii="Calibri" w:hAnsi="Calibri" w:cs="Calibri"/>
          <w:color w:val="000000"/>
          <w:shd w:val="clear" w:color="auto" w:fill="FFFFFF"/>
          <w:lang w:val="es-UY"/>
        </w:rPr>
        <w:t xml:space="preserve">para el contrato de ANEP, </w:t>
      </w:r>
      <w:r>
        <w:rPr>
          <w:rFonts w:ascii="Calibri" w:hAnsi="Calibri" w:cs="Calibri"/>
          <w:color w:val="000000"/>
          <w:shd w:val="clear" w:color="auto" w:fill="FFFFFF"/>
          <w:lang w:val="es-UY"/>
        </w:rPr>
        <w:t>de acuerdo al anexo adjunto.</w:t>
      </w:r>
    </w:p>
    <w:p w:rsidR="00AF5F0E" w:rsidRPr="00D92716" w:rsidRDefault="00AF5F0E" w:rsidP="00D92716">
      <w:pPr>
        <w:jc w:val="both"/>
        <w:rPr>
          <w:b/>
          <w:sz w:val="28"/>
          <w:szCs w:val="28"/>
          <w:lang w:val="es-UY"/>
        </w:rPr>
      </w:pPr>
    </w:p>
    <w:p w:rsidR="00AF5F0E" w:rsidRPr="00D92716" w:rsidRDefault="00D64842" w:rsidP="00D92716">
      <w:pPr>
        <w:jc w:val="both"/>
        <w:rPr>
          <w:b/>
          <w:i/>
          <w:sz w:val="28"/>
          <w:szCs w:val="28"/>
        </w:rPr>
      </w:pPr>
      <w:r w:rsidRPr="00D92716">
        <w:rPr>
          <w:b/>
          <w:i/>
          <w:sz w:val="28"/>
          <w:szCs w:val="28"/>
        </w:rPr>
        <w:t>Se han recibido las siguientes consultas a las cuales se procede a dar respuesta:</w:t>
      </w:r>
    </w:p>
    <w:p w:rsidR="00AF5F0E" w:rsidRPr="00D92716" w:rsidRDefault="00915A12" w:rsidP="00D92716">
      <w:pPr>
        <w:jc w:val="both"/>
        <w:rPr>
          <w:sz w:val="28"/>
          <w:szCs w:val="28"/>
          <w:u w:val="single"/>
        </w:rPr>
      </w:pPr>
      <w:r w:rsidRPr="00D92716">
        <w:rPr>
          <w:sz w:val="28"/>
          <w:szCs w:val="28"/>
          <w:u w:val="single"/>
        </w:rPr>
        <w:t xml:space="preserve">Consulta  1 </w:t>
      </w:r>
    </w:p>
    <w:p w:rsidR="00AF5F0E" w:rsidRDefault="005873B8" w:rsidP="00D92716">
      <w:pPr>
        <w:jc w:val="both"/>
      </w:pPr>
      <w:r w:rsidRPr="00D92716">
        <w:rPr>
          <w:u w:val="single"/>
        </w:rPr>
        <w:t>Pautas de Diseño y Construcción PPP - Jardín</w:t>
      </w:r>
    </w:p>
    <w:p w:rsidR="00AF5F0E" w:rsidRDefault="005873B8" w:rsidP="00D92716">
      <w:pPr>
        <w:jc w:val="both"/>
      </w:pPr>
      <w:r>
        <w:t>Con referencia a la evacuación de las aguas provenientes de las pluviales de las cubiertas, es posible que en aquellos lados de las mismas que tienen aleros, se puedan dejar derrames libres de pluviales</w:t>
      </w:r>
      <w:proofErr w:type="gramStart"/>
      <w:r>
        <w:t>?</w:t>
      </w:r>
      <w:proofErr w:type="gramEnd"/>
      <w:r>
        <w:t xml:space="preserve"> O siempre es necesario el uso de canalones que canalicen las aguas hacia bajadas  de pluviales.</w:t>
      </w:r>
    </w:p>
    <w:p w:rsidR="00AF5F0E" w:rsidRDefault="005873B8" w:rsidP="00D92716">
      <w:pPr>
        <w:jc w:val="both"/>
      </w:pPr>
      <w:r>
        <w:t xml:space="preserve">Respuesta: </w:t>
      </w:r>
      <w:r w:rsidR="00A501AA">
        <w:t>E</w:t>
      </w:r>
      <w:r w:rsidR="00A501AA" w:rsidRPr="00A501AA">
        <w:t>n los casos que el proyecto ejecutivo defina aleros, no es necesaria la colocación de canalones, o lo que es lo mismo, la canalización de pluviales a columnas de bajada (en casos de existencia de aleros</w:t>
      </w:r>
      <w:r w:rsidR="00A501AA">
        <w:t>)</w:t>
      </w:r>
      <w:r w:rsidR="00A501AA" w:rsidRPr="00A501AA">
        <w:t>.</w:t>
      </w:r>
    </w:p>
    <w:p w:rsidR="00AF5F0E" w:rsidRPr="00D92716" w:rsidRDefault="00915A12" w:rsidP="00D92716">
      <w:pPr>
        <w:jc w:val="both"/>
        <w:rPr>
          <w:sz w:val="28"/>
          <w:szCs w:val="28"/>
          <w:u w:val="single"/>
        </w:rPr>
      </w:pPr>
      <w:r w:rsidRPr="00D92716">
        <w:rPr>
          <w:sz w:val="28"/>
          <w:szCs w:val="28"/>
          <w:u w:val="single"/>
        </w:rPr>
        <w:t>Consulta  2</w:t>
      </w:r>
    </w:p>
    <w:p w:rsidR="00AF5F0E" w:rsidRPr="00D92716" w:rsidRDefault="001204A8" w:rsidP="00D92716">
      <w:pPr>
        <w:jc w:val="both"/>
        <w:rPr>
          <w:u w:val="single"/>
          <w:lang w:val="es-UY"/>
        </w:rPr>
      </w:pPr>
      <w:r w:rsidRPr="00D92716">
        <w:rPr>
          <w:u w:val="single"/>
          <w:lang w:val="es-UY"/>
        </w:rPr>
        <w:t>Condiciones Administrativas – Legales</w:t>
      </w:r>
    </w:p>
    <w:p w:rsidR="00AF5F0E" w:rsidRDefault="001204A8" w:rsidP="00D92716">
      <w:pPr>
        <w:jc w:val="both"/>
      </w:pPr>
      <w:r>
        <w:t>En el PROYECTO DE CONTRATO (PC)</w:t>
      </w:r>
    </w:p>
    <w:p w:rsidR="00AF5F0E" w:rsidRDefault="001204A8" w:rsidP="00D92716">
      <w:pPr>
        <w:jc w:val="both"/>
        <w:rPr>
          <w:b/>
          <w:lang w:val="es-UY"/>
        </w:rPr>
      </w:pPr>
      <w:r w:rsidRPr="00F1157F">
        <w:rPr>
          <w:b/>
          <w:lang w:val="es-UY"/>
        </w:rPr>
        <w:t>4.4.3</w:t>
      </w:r>
      <w:r w:rsidRPr="00F1157F">
        <w:rPr>
          <w:b/>
          <w:lang w:val="es-UY"/>
        </w:rPr>
        <w:tab/>
        <w:t>Servicios Excluidos</w:t>
      </w:r>
    </w:p>
    <w:p w:rsidR="00AF5F0E" w:rsidRDefault="001204A8" w:rsidP="00D92716">
      <w:pPr>
        <w:jc w:val="both"/>
        <w:rPr>
          <w:lang w:val="es-UY"/>
        </w:rPr>
      </w:pPr>
      <w:r w:rsidRPr="0067036B">
        <w:rPr>
          <w:lang w:val="es-UY"/>
        </w:rPr>
        <w:t>Entendemos que cuando refiere a INAU se debe excluir también explícitamente la "limpieza", agradecemos confirmar.</w:t>
      </w:r>
    </w:p>
    <w:p w:rsidR="00AF5F0E" w:rsidRDefault="005873B8" w:rsidP="00D92716">
      <w:pPr>
        <w:jc w:val="both"/>
      </w:pPr>
      <w:r>
        <w:t xml:space="preserve">Respuesta: </w:t>
      </w:r>
      <w:r w:rsidR="00CA2479" w:rsidRPr="0059748D">
        <w:t xml:space="preserve">No incluye limpieza </w:t>
      </w:r>
      <w:r w:rsidR="0059748D">
        <w:t xml:space="preserve">reactiva y planeada. Ver cláusulas 4.4.1 del PC y </w:t>
      </w:r>
      <w:r w:rsidR="00096A6D">
        <w:t>Especificaciones del Servicio en el Capítulo 8 del P</w:t>
      </w:r>
      <w:r w:rsidR="007E7199">
        <w:t xml:space="preserve">liego de Condiciones </w:t>
      </w:r>
      <w:r w:rsidR="00096A6D">
        <w:t>T</w:t>
      </w:r>
      <w:r w:rsidR="007E7199">
        <w:t>écnicas (PCT</w:t>
      </w:r>
      <w:r w:rsidR="000F4203">
        <w:t>)</w:t>
      </w:r>
      <w:r w:rsidR="00096A6D">
        <w:t>.</w:t>
      </w:r>
    </w:p>
    <w:p w:rsidR="00AF5F0E" w:rsidRPr="00D92716" w:rsidRDefault="00915A12" w:rsidP="00D92716">
      <w:pPr>
        <w:jc w:val="both"/>
        <w:rPr>
          <w:sz w:val="28"/>
          <w:szCs w:val="28"/>
          <w:u w:val="single"/>
        </w:rPr>
      </w:pPr>
      <w:r w:rsidRPr="00D92716">
        <w:rPr>
          <w:sz w:val="28"/>
          <w:szCs w:val="28"/>
          <w:u w:val="single"/>
        </w:rPr>
        <w:t>Consulta 3</w:t>
      </w:r>
    </w:p>
    <w:p w:rsidR="00AF5F0E" w:rsidRDefault="00FA0AD4" w:rsidP="00D92716">
      <w:pPr>
        <w:jc w:val="both"/>
      </w:pPr>
      <w:r>
        <w:t>En el PLIEGO DE CONDICIONES ADMINISTRATIVAS (PCA)</w:t>
      </w:r>
    </w:p>
    <w:p w:rsidR="00AF5F0E" w:rsidRDefault="00D64842" w:rsidP="00D92716">
      <w:pPr>
        <w:jc w:val="both"/>
        <w:rPr>
          <w:b/>
          <w:lang w:val="es-UY"/>
        </w:rPr>
      </w:pPr>
      <w:r>
        <w:rPr>
          <w:b/>
          <w:lang w:val="es-UY"/>
        </w:rPr>
        <w:t>7</w:t>
      </w:r>
      <w:r w:rsidR="00FA0AD4">
        <w:rPr>
          <w:b/>
          <w:lang w:val="es-UY"/>
        </w:rPr>
        <w:t xml:space="preserve">. </w:t>
      </w:r>
      <w:r w:rsidR="00FA0AD4" w:rsidRPr="00F1157F">
        <w:rPr>
          <w:b/>
          <w:lang w:val="es-UY"/>
        </w:rPr>
        <w:t>Contraprestación del Contratista</w:t>
      </w:r>
    </w:p>
    <w:p w:rsidR="00AF5F0E" w:rsidRDefault="00FA0AD4" w:rsidP="00D92716">
      <w:pPr>
        <w:jc w:val="both"/>
        <w:rPr>
          <w:lang w:val="es-UY"/>
        </w:rPr>
      </w:pPr>
      <w:r w:rsidRPr="0067036B">
        <w:rPr>
          <w:lang w:val="es-UY"/>
        </w:rPr>
        <w:t>Agradecemos explicar de qué manera se garantiza el pago de un valor de terminación en caso de terminación del Contrato.</w:t>
      </w:r>
    </w:p>
    <w:p w:rsidR="00AF5F0E" w:rsidRDefault="00D64842" w:rsidP="00D92716">
      <w:pPr>
        <w:spacing w:before="240"/>
        <w:jc w:val="both"/>
      </w:pPr>
      <w:r>
        <w:rPr>
          <w:lang w:val="es-UY"/>
        </w:rPr>
        <w:t>Respuesta:</w:t>
      </w:r>
      <w:r w:rsidR="00564B29">
        <w:rPr>
          <w:lang w:val="es-UY"/>
        </w:rPr>
        <w:t xml:space="preserve"> </w:t>
      </w:r>
      <w:r w:rsidR="006408E8">
        <w:t>Será de aplicación el mecanismo de pago previsto en la cláusula 7 del PCA</w:t>
      </w:r>
      <w:r w:rsidR="00E2790D" w:rsidRPr="00E2790D">
        <w:t>.</w:t>
      </w:r>
    </w:p>
    <w:p w:rsidR="00AF5F0E" w:rsidRPr="00D92716" w:rsidRDefault="00915A12" w:rsidP="00D92716">
      <w:pPr>
        <w:spacing w:before="240"/>
        <w:jc w:val="both"/>
        <w:rPr>
          <w:sz w:val="28"/>
          <w:szCs w:val="28"/>
          <w:u w:val="single"/>
        </w:rPr>
      </w:pPr>
      <w:r w:rsidRPr="00D92716">
        <w:rPr>
          <w:sz w:val="28"/>
          <w:szCs w:val="28"/>
          <w:u w:val="single"/>
        </w:rPr>
        <w:lastRenderedPageBreak/>
        <w:t>Consulta 4</w:t>
      </w:r>
    </w:p>
    <w:p w:rsidR="00AF5F0E" w:rsidRPr="00D92716" w:rsidRDefault="00FA0AD4" w:rsidP="00D92716">
      <w:pPr>
        <w:jc w:val="both"/>
        <w:rPr>
          <w:lang w:val="es-UY"/>
        </w:rPr>
      </w:pPr>
      <w:r w:rsidRPr="00D92716">
        <w:rPr>
          <w:lang w:val="es-UY"/>
        </w:rPr>
        <w:t>Programa arquitectónico y ubicación de los Centros</w:t>
      </w:r>
    </w:p>
    <w:p w:rsidR="00AF5F0E" w:rsidRPr="00D92716" w:rsidRDefault="00FA0AD4" w:rsidP="00D92716">
      <w:pPr>
        <w:tabs>
          <w:tab w:val="left" w:pos="284"/>
        </w:tabs>
        <w:jc w:val="both"/>
        <w:rPr>
          <w:lang w:val="es-UY"/>
        </w:rPr>
      </w:pPr>
      <w:r w:rsidRPr="00D92716">
        <w:rPr>
          <w:lang w:val="es-UY"/>
        </w:rPr>
        <w:t>1</w:t>
      </w:r>
      <w:r w:rsidRPr="00D92716">
        <w:rPr>
          <w:lang w:val="es-UY"/>
        </w:rPr>
        <w:tab/>
        <w:t>Pautas de Diseño y Construcción</w:t>
      </w:r>
    </w:p>
    <w:p w:rsidR="00AF5F0E" w:rsidRDefault="00FA0AD4" w:rsidP="00D92716">
      <w:pPr>
        <w:jc w:val="both"/>
        <w:rPr>
          <w:lang w:val="es-UY"/>
        </w:rPr>
      </w:pPr>
      <w:r w:rsidRPr="0067036B">
        <w:rPr>
          <w:lang w:val="es-UY"/>
        </w:rPr>
        <w:t>Los recaudos gráficos no incluyen planillas de aberturas, agradecemos suministrarlos (en plantas están indicados solamente los tipos).</w:t>
      </w:r>
    </w:p>
    <w:p w:rsidR="00AF5F0E" w:rsidRPr="00D92716" w:rsidRDefault="00FA0AD4" w:rsidP="00D92716">
      <w:pPr>
        <w:tabs>
          <w:tab w:val="left" w:pos="284"/>
        </w:tabs>
        <w:jc w:val="both"/>
        <w:rPr>
          <w:lang w:val="es-UY"/>
        </w:rPr>
      </w:pPr>
      <w:r w:rsidRPr="00D92716">
        <w:rPr>
          <w:lang w:val="es-UY"/>
        </w:rPr>
        <w:t>2</w:t>
      </w:r>
      <w:r w:rsidRPr="00D92716">
        <w:rPr>
          <w:lang w:val="es-UY"/>
        </w:rPr>
        <w:tab/>
        <w:t>Pautas de Diseño y Construcción</w:t>
      </w:r>
    </w:p>
    <w:p w:rsidR="00AF5F0E" w:rsidRDefault="00FA0AD4" w:rsidP="00D92716">
      <w:pPr>
        <w:jc w:val="both"/>
        <w:rPr>
          <w:lang w:val="es-UY"/>
        </w:rPr>
      </w:pPr>
      <w:r w:rsidRPr="0067036B">
        <w:rPr>
          <w:lang w:val="es-UY"/>
        </w:rPr>
        <w:t>Solicitamos el envío de planillas del prototipo jardín.</w:t>
      </w:r>
    </w:p>
    <w:p w:rsidR="00AF5F0E" w:rsidRDefault="00D64842" w:rsidP="00D92716">
      <w:pPr>
        <w:spacing w:before="240"/>
        <w:jc w:val="both"/>
      </w:pPr>
      <w:r>
        <w:t>Respuesta 1 y 2:</w:t>
      </w:r>
      <w:r w:rsidR="00564B29">
        <w:t xml:space="preserve"> </w:t>
      </w:r>
      <w:r w:rsidR="00096A6D">
        <w:t>Esto debe ser parte de la propuesta de la empresa. No se suministraran planillas.</w:t>
      </w:r>
    </w:p>
    <w:p w:rsidR="00AF5F0E" w:rsidRPr="00D92716" w:rsidRDefault="00915A12" w:rsidP="00D92716">
      <w:pPr>
        <w:jc w:val="both"/>
        <w:rPr>
          <w:sz w:val="28"/>
          <w:szCs w:val="28"/>
          <w:u w:val="single"/>
          <w:lang w:val="es-UY"/>
        </w:rPr>
      </w:pPr>
      <w:r w:rsidRPr="00D92716">
        <w:rPr>
          <w:sz w:val="28"/>
          <w:szCs w:val="28"/>
          <w:u w:val="single"/>
          <w:lang w:val="es-UY"/>
        </w:rPr>
        <w:t>Consulta 5</w:t>
      </w:r>
    </w:p>
    <w:p w:rsidR="00AF5F0E" w:rsidRPr="00D92716" w:rsidRDefault="00FA0AD4" w:rsidP="00D92716">
      <w:pPr>
        <w:jc w:val="both"/>
        <w:rPr>
          <w:u w:val="single"/>
          <w:lang w:val="es-UY"/>
        </w:rPr>
      </w:pPr>
      <w:r w:rsidRPr="00D92716">
        <w:rPr>
          <w:u w:val="single"/>
          <w:lang w:val="es-UY"/>
        </w:rPr>
        <w:t>Pliego de Condiciones Técnicas (PCT)</w:t>
      </w:r>
    </w:p>
    <w:p w:rsidR="00AF5F0E" w:rsidRDefault="00FA0AD4" w:rsidP="00D92716">
      <w:pPr>
        <w:jc w:val="both"/>
        <w:rPr>
          <w:lang w:val="es-UY"/>
        </w:rPr>
      </w:pPr>
      <w:r w:rsidRPr="0067036B">
        <w:rPr>
          <w:lang w:val="es-UY"/>
        </w:rPr>
        <w:t>Para los centros CAIF no se indica mobiliario a suministrar, agradecemos indicar si están excluidos del alcance del contrato. En caso contrario por favor enviar especificaciones.</w:t>
      </w:r>
    </w:p>
    <w:p w:rsidR="00AF5F0E" w:rsidRDefault="00D64842" w:rsidP="00D92716">
      <w:pPr>
        <w:jc w:val="both"/>
      </w:pPr>
      <w:r>
        <w:rPr>
          <w:lang w:val="es-UY"/>
        </w:rPr>
        <w:t>Respuesta:</w:t>
      </w:r>
      <w:r w:rsidR="00564B29">
        <w:rPr>
          <w:lang w:val="es-UY"/>
        </w:rPr>
        <w:t xml:space="preserve"> </w:t>
      </w:r>
      <w:r w:rsidR="00096A6D">
        <w:t xml:space="preserve">El único equipamiento incluido en el contrato se </w:t>
      </w:r>
      <w:r w:rsidR="007E7199">
        <w:t>detalla</w:t>
      </w:r>
      <w:r w:rsidR="00096A6D">
        <w:t xml:space="preserve"> en la </w:t>
      </w:r>
      <w:r w:rsidR="007E7199">
        <w:t>Cláusula 7 de equipamiento en el Pliego de Condiciones Técnicas  (PCT).</w:t>
      </w:r>
      <w:r w:rsidR="00096A6D">
        <w:t xml:space="preserve"> </w:t>
      </w:r>
    </w:p>
    <w:p w:rsidR="00AF5F0E" w:rsidRPr="00D92716" w:rsidRDefault="00915A12" w:rsidP="00D92716">
      <w:pPr>
        <w:jc w:val="both"/>
        <w:rPr>
          <w:sz w:val="28"/>
          <w:szCs w:val="28"/>
          <w:u w:val="single"/>
        </w:rPr>
      </w:pPr>
      <w:r w:rsidRPr="00D92716">
        <w:rPr>
          <w:sz w:val="28"/>
          <w:szCs w:val="28"/>
          <w:u w:val="single"/>
        </w:rPr>
        <w:t>Consulta 6</w:t>
      </w:r>
    </w:p>
    <w:p w:rsidR="00CA2479" w:rsidRDefault="00CA2479" w:rsidP="00CA2479">
      <w:pPr>
        <w:jc w:val="both"/>
        <w:rPr>
          <w:lang w:val="es-UY"/>
        </w:rPr>
      </w:pPr>
      <w:r w:rsidRPr="00474DA5">
        <w:rPr>
          <w:lang w:val="es-UY"/>
        </w:rPr>
        <w:t>Para la elaboración de la oferta asumimos lo siguiente:</w:t>
      </w:r>
    </w:p>
    <w:p w:rsidR="00CA2479" w:rsidRDefault="00CA2479" w:rsidP="00CA2479">
      <w:pPr>
        <w:spacing w:after="0"/>
        <w:ind w:left="567" w:hanging="283"/>
        <w:jc w:val="both"/>
        <w:rPr>
          <w:lang w:val="es-UY"/>
        </w:rPr>
      </w:pPr>
      <w:r w:rsidRPr="00474DA5">
        <w:rPr>
          <w:lang w:val="es-UY"/>
        </w:rPr>
        <w:t xml:space="preserve">i.-  que no será necesario realizar </w:t>
      </w:r>
      <w:proofErr w:type="spellStart"/>
      <w:r w:rsidRPr="00474DA5">
        <w:rPr>
          <w:lang w:val="es-UY"/>
        </w:rPr>
        <w:t>recategorización</w:t>
      </w:r>
      <w:proofErr w:type="spellEnd"/>
      <w:r w:rsidRPr="00474DA5">
        <w:rPr>
          <w:lang w:val="es-UY"/>
        </w:rPr>
        <w:t xml:space="preserve"> de suelos en ninguno de los terrenos debido a que ya todos los terrenos se encuentran se encuentran en suelo categoría urbano. </w:t>
      </w:r>
    </w:p>
    <w:p w:rsidR="00086D6F" w:rsidRDefault="00086D6F" w:rsidP="00086D6F">
      <w:pPr>
        <w:ind w:left="567"/>
        <w:jc w:val="both"/>
        <w:rPr>
          <w:lang w:val="es-UY"/>
        </w:rPr>
      </w:pPr>
      <w:r>
        <w:rPr>
          <w:lang w:val="es-UY"/>
        </w:rPr>
        <w:t>En caso de que esto no sea así, agradecemos aclarar en cuál o cuáles terrenos no se cumple lo anterior y cuál es su categoría de suelo actual.</w:t>
      </w:r>
    </w:p>
    <w:p w:rsidR="00715492" w:rsidRDefault="00D64842" w:rsidP="00715492">
      <w:pPr>
        <w:pStyle w:val="Textosinformato"/>
      </w:pPr>
      <w:r>
        <w:t>Respuesta:</w:t>
      </w:r>
      <w:r w:rsidRPr="00D64842">
        <w:t xml:space="preserve">  </w:t>
      </w:r>
    </w:p>
    <w:p w:rsidR="009B6FA2" w:rsidRDefault="009B6FA2" w:rsidP="009B6FA2">
      <w:pPr>
        <w:pStyle w:val="Textosinformato"/>
      </w:pPr>
      <w:r>
        <w:t xml:space="preserve">Los siguientes padrones son rurales: </w:t>
      </w:r>
    </w:p>
    <w:p w:rsidR="00AF5F0E" w:rsidRDefault="009B6FA2" w:rsidP="00D92716">
      <w:pPr>
        <w:pStyle w:val="Textosinformato"/>
        <w:numPr>
          <w:ilvl w:val="0"/>
          <w:numId w:val="13"/>
        </w:numPr>
      </w:pPr>
      <w:r>
        <w:t>Montevideo CAPRA: 418226 y 423686</w:t>
      </w:r>
    </w:p>
    <w:p w:rsidR="00AF5F0E" w:rsidRDefault="009B6FA2" w:rsidP="00D92716">
      <w:pPr>
        <w:pStyle w:val="Textosinformato"/>
        <w:numPr>
          <w:ilvl w:val="0"/>
          <w:numId w:val="13"/>
        </w:numPr>
      </w:pPr>
      <w:r>
        <w:t>Montevideo PAJAS BLANCAS: 414081</w:t>
      </w:r>
    </w:p>
    <w:p w:rsidR="00AF5F0E" w:rsidRDefault="009B6FA2" w:rsidP="00D92716">
      <w:pPr>
        <w:pStyle w:val="Textosinformato"/>
        <w:numPr>
          <w:ilvl w:val="0"/>
          <w:numId w:val="13"/>
        </w:numPr>
      </w:pPr>
      <w:r>
        <w:t>Montevideo RUTA 8 KM 18: 60012</w:t>
      </w:r>
    </w:p>
    <w:p w:rsidR="00AF5F0E" w:rsidRDefault="009B6FA2" w:rsidP="00D92716">
      <w:pPr>
        <w:pStyle w:val="Textosinformato"/>
        <w:numPr>
          <w:ilvl w:val="0"/>
          <w:numId w:val="13"/>
        </w:numPr>
        <w:spacing w:after="240"/>
      </w:pPr>
      <w:r>
        <w:t>Soriano MERCEDES: 2399</w:t>
      </w:r>
    </w:p>
    <w:p w:rsidR="009B6FA2" w:rsidRDefault="009B6FA2" w:rsidP="009B6FA2">
      <w:pPr>
        <w:pStyle w:val="Textosinformato"/>
      </w:pPr>
      <w:r>
        <w:t>Los siguientes padrones son espacios públicos:</w:t>
      </w:r>
    </w:p>
    <w:p w:rsidR="009B6FA2" w:rsidRDefault="009B6FA2" w:rsidP="009B6FA2">
      <w:pPr>
        <w:pStyle w:val="Textosinformato"/>
        <w:numPr>
          <w:ilvl w:val="0"/>
          <w:numId w:val="14"/>
        </w:numPr>
      </w:pPr>
      <w:r>
        <w:t>Maldonado BARRIO HIPÓDROMO: s/n</w:t>
      </w:r>
    </w:p>
    <w:p w:rsidR="009B6FA2" w:rsidRDefault="009B6FA2" w:rsidP="00D92716">
      <w:pPr>
        <w:pStyle w:val="Textosinformato"/>
        <w:numPr>
          <w:ilvl w:val="0"/>
          <w:numId w:val="14"/>
        </w:numPr>
        <w:spacing w:after="240"/>
      </w:pPr>
      <w:r>
        <w:t>Montevideo LOS BULEVARES: s/n al lado del padrón 425932 Montevideo PARQUE GUARANÍ: padrón asignado 426224 Montevideo SANTIAGO VÁZQUEZ: s/n frente a padrón 43197 Paysandú VELÓDROMO: padrón asignado 7302.</w:t>
      </w:r>
    </w:p>
    <w:p w:rsidR="00086D6F" w:rsidRPr="00FB2299" w:rsidRDefault="00086D6F" w:rsidP="00D92716">
      <w:pPr>
        <w:pStyle w:val="Textosinformato"/>
        <w:spacing w:after="240"/>
        <w:rPr>
          <w:rFonts w:asciiTheme="minorHAnsi" w:hAnsiTheme="minorHAnsi"/>
          <w:szCs w:val="22"/>
        </w:rPr>
      </w:pPr>
      <w:r w:rsidRPr="00FB2299">
        <w:rPr>
          <w:rFonts w:asciiTheme="minorHAnsi" w:hAnsiTheme="minorHAnsi"/>
          <w:szCs w:val="22"/>
        </w:rPr>
        <w:t>El padrón urbano de Treinta y Tres correcto es el 1629, como indica el plano de implantación publicado.</w:t>
      </w:r>
    </w:p>
    <w:p w:rsidR="00086D6F" w:rsidRPr="00FB2299" w:rsidRDefault="00086D6F" w:rsidP="00D92716">
      <w:pPr>
        <w:pStyle w:val="Textosinformato"/>
        <w:rPr>
          <w:rFonts w:asciiTheme="minorHAnsi" w:hAnsiTheme="minorHAnsi"/>
          <w:szCs w:val="22"/>
        </w:rPr>
      </w:pPr>
      <w:r w:rsidRPr="00FB2299">
        <w:rPr>
          <w:rFonts w:asciiTheme="minorHAnsi" w:hAnsiTheme="minorHAnsi"/>
          <w:szCs w:val="22"/>
        </w:rPr>
        <w:t>Se modifica el padrón publicado en el listado de la cláusula 4 del Proyecto de Contrato (PC).</w:t>
      </w:r>
    </w:p>
    <w:p w:rsidR="00086D6F" w:rsidRPr="00FB2299" w:rsidRDefault="00086D6F" w:rsidP="00D92716">
      <w:pPr>
        <w:pStyle w:val="Textosinformato"/>
        <w:rPr>
          <w:rFonts w:asciiTheme="minorHAnsi" w:hAnsiTheme="minorHAnsi"/>
          <w:szCs w:val="22"/>
        </w:rPr>
      </w:pPr>
    </w:p>
    <w:tbl>
      <w:tblPr>
        <w:tblW w:w="6823" w:type="dxa"/>
        <w:tblInd w:w="840" w:type="dxa"/>
        <w:tblBorders>
          <w:top w:val="nil"/>
          <w:left w:val="nil"/>
          <w:bottom w:val="nil"/>
          <w:right w:val="nil"/>
        </w:tblBorders>
        <w:tblLayout w:type="fixed"/>
        <w:tblLook w:val="0000" w:firstRow="0" w:lastRow="0" w:firstColumn="0" w:lastColumn="0" w:noHBand="0" w:noVBand="0"/>
      </w:tblPr>
      <w:tblGrid>
        <w:gridCol w:w="1305"/>
        <w:gridCol w:w="915"/>
        <w:gridCol w:w="1174"/>
        <w:gridCol w:w="1567"/>
        <w:gridCol w:w="1862"/>
      </w:tblGrid>
      <w:tr w:rsidR="00086D6F" w:rsidRPr="00474DA5" w:rsidTr="00D92716">
        <w:trPr>
          <w:trHeight w:val="155"/>
        </w:trPr>
        <w:tc>
          <w:tcPr>
            <w:tcW w:w="1305" w:type="dxa"/>
            <w:tcBorders>
              <w:top w:val="nil"/>
              <w:left w:val="nil"/>
            </w:tcBorders>
          </w:tcPr>
          <w:p w:rsidR="00086D6F" w:rsidRPr="00474DA5" w:rsidRDefault="00086D6F" w:rsidP="00BF237C">
            <w:pPr>
              <w:autoSpaceDE w:val="0"/>
              <w:autoSpaceDN w:val="0"/>
              <w:adjustRightInd w:val="0"/>
              <w:spacing w:after="0" w:line="240" w:lineRule="auto"/>
              <w:rPr>
                <w:rFonts w:cs="Calibri"/>
                <w:color w:val="000000"/>
                <w:lang w:val="es-UY"/>
              </w:rPr>
            </w:pPr>
          </w:p>
        </w:tc>
        <w:tc>
          <w:tcPr>
            <w:tcW w:w="915" w:type="dxa"/>
            <w:tcBorders>
              <w:top w:val="nil"/>
              <w:left w:val="nil"/>
            </w:tcBorders>
          </w:tcPr>
          <w:p w:rsidR="00086D6F" w:rsidRPr="00474DA5" w:rsidRDefault="00086D6F" w:rsidP="00BF237C">
            <w:pPr>
              <w:autoSpaceDE w:val="0"/>
              <w:autoSpaceDN w:val="0"/>
              <w:adjustRightInd w:val="0"/>
              <w:spacing w:after="0" w:line="240" w:lineRule="auto"/>
              <w:rPr>
                <w:rFonts w:cs="Calibri"/>
                <w:color w:val="000000"/>
                <w:lang w:val="es-UY"/>
              </w:rPr>
            </w:pPr>
            <w:r w:rsidRPr="00FB2299">
              <w:rPr>
                <w:rFonts w:cs="Calibri"/>
                <w:color w:val="000000"/>
                <w:lang w:val="es-UY"/>
              </w:rPr>
              <w:t xml:space="preserve">Nº Ref. </w:t>
            </w:r>
          </w:p>
        </w:tc>
        <w:tc>
          <w:tcPr>
            <w:tcW w:w="1174" w:type="dxa"/>
            <w:tcBorders>
              <w:top w:val="nil"/>
            </w:tcBorders>
          </w:tcPr>
          <w:p w:rsidR="00086D6F" w:rsidRPr="00474DA5" w:rsidRDefault="00086D6F" w:rsidP="00BF237C">
            <w:pPr>
              <w:autoSpaceDE w:val="0"/>
              <w:autoSpaceDN w:val="0"/>
              <w:adjustRightInd w:val="0"/>
              <w:spacing w:after="0" w:line="240" w:lineRule="auto"/>
              <w:rPr>
                <w:rFonts w:cs="Calibri"/>
                <w:color w:val="000000"/>
                <w:lang w:val="es-UY"/>
              </w:rPr>
            </w:pPr>
            <w:r w:rsidRPr="00FB2299">
              <w:rPr>
                <w:rFonts w:cs="Calibri"/>
                <w:color w:val="000000"/>
                <w:lang w:val="es-UY"/>
              </w:rPr>
              <w:t xml:space="preserve">Nº Padrón </w:t>
            </w:r>
          </w:p>
        </w:tc>
        <w:tc>
          <w:tcPr>
            <w:tcW w:w="1567" w:type="dxa"/>
            <w:tcBorders>
              <w:top w:val="nil"/>
            </w:tcBorders>
          </w:tcPr>
          <w:p w:rsidR="00086D6F" w:rsidRPr="00474DA5" w:rsidRDefault="00086D6F" w:rsidP="00BF237C">
            <w:pPr>
              <w:autoSpaceDE w:val="0"/>
              <w:autoSpaceDN w:val="0"/>
              <w:adjustRightInd w:val="0"/>
              <w:spacing w:after="0" w:line="240" w:lineRule="auto"/>
              <w:rPr>
                <w:rFonts w:cs="Calibri"/>
                <w:color w:val="000000"/>
                <w:lang w:val="es-UY"/>
              </w:rPr>
            </w:pPr>
            <w:r w:rsidRPr="00FB2299">
              <w:rPr>
                <w:rFonts w:cs="Calibri"/>
                <w:color w:val="000000"/>
                <w:lang w:val="es-UY"/>
              </w:rPr>
              <w:t xml:space="preserve">Departamento </w:t>
            </w:r>
          </w:p>
        </w:tc>
        <w:tc>
          <w:tcPr>
            <w:tcW w:w="1862" w:type="dxa"/>
            <w:tcBorders>
              <w:top w:val="nil"/>
              <w:right w:val="nil"/>
            </w:tcBorders>
          </w:tcPr>
          <w:p w:rsidR="00086D6F" w:rsidRPr="00474DA5" w:rsidRDefault="00086D6F" w:rsidP="00BF237C">
            <w:pPr>
              <w:autoSpaceDE w:val="0"/>
              <w:autoSpaceDN w:val="0"/>
              <w:adjustRightInd w:val="0"/>
              <w:spacing w:after="0" w:line="240" w:lineRule="auto"/>
              <w:rPr>
                <w:rFonts w:cs="Calibri"/>
                <w:color w:val="000000"/>
                <w:lang w:val="es-UY"/>
              </w:rPr>
            </w:pPr>
            <w:r w:rsidRPr="00FB2299">
              <w:rPr>
                <w:rFonts w:cs="Calibri"/>
                <w:color w:val="000000"/>
                <w:lang w:val="es-UY"/>
              </w:rPr>
              <w:t xml:space="preserve">Barrio o localidad </w:t>
            </w:r>
          </w:p>
        </w:tc>
      </w:tr>
      <w:tr w:rsidR="00086D6F" w:rsidRPr="00474DA5" w:rsidTr="00D92716">
        <w:trPr>
          <w:trHeight w:val="155"/>
        </w:trPr>
        <w:tc>
          <w:tcPr>
            <w:tcW w:w="1305" w:type="dxa"/>
          </w:tcPr>
          <w:p w:rsidR="00086D6F" w:rsidRPr="00D92716" w:rsidRDefault="00086D6F" w:rsidP="00BF237C">
            <w:pPr>
              <w:autoSpaceDE w:val="0"/>
              <w:autoSpaceDN w:val="0"/>
              <w:adjustRightInd w:val="0"/>
              <w:spacing w:after="0" w:line="240" w:lineRule="auto"/>
              <w:rPr>
                <w:rFonts w:cs="Calibri"/>
                <w:color w:val="000000"/>
                <w:sz w:val="20"/>
                <w:szCs w:val="20"/>
                <w:lang w:val="es-UY"/>
              </w:rPr>
            </w:pPr>
            <w:r w:rsidRPr="00D92716">
              <w:rPr>
                <w:rFonts w:cs="Calibri"/>
                <w:color w:val="000000"/>
                <w:sz w:val="20"/>
                <w:szCs w:val="20"/>
                <w:lang w:val="es-UY"/>
              </w:rPr>
              <w:t>Donde dice:</w:t>
            </w:r>
          </w:p>
        </w:tc>
        <w:tc>
          <w:tcPr>
            <w:tcW w:w="915" w:type="dxa"/>
          </w:tcPr>
          <w:p w:rsidR="00086D6F" w:rsidRPr="00D92716" w:rsidRDefault="00086D6F" w:rsidP="00BF237C">
            <w:pPr>
              <w:autoSpaceDE w:val="0"/>
              <w:autoSpaceDN w:val="0"/>
              <w:adjustRightInd w:val="0"/>
              <w:spacing w:after="0" w:line="240" w:lineRule="auto"/>
              <w:rPr>
                <w:rFonts w:cs="Calibri"/>
                <w:color w:val="000000"/>
                <w:sz w:val="20"/>
                <w:szCs w:val="20"/>
                <w:lang w:val="es-UY"/>
              </w:rPr>
            </w:pPr>
            <w:r w:rsidRPr="00D92716">
              <w:rPr>
                <w:rFonts w:cs="Calibri"/>
                <w:color w:val="000000"/>
                <w:sz w:val="20"/>
                <w:szCs w:val="20"/>
                <w:lang w:val="es-UY"/>
              </w:rPr>
              <w:t xml:space="preserve">44 </w:t>
            </w:r>
          </w:p>
        </w:tc>
        <w:tc>
          <w:tcPr>
            <w:tcW w:w="1174" w:type="dxa"/>
          </w:tcPr>
          <w:p w:rsidR="00086D6F" w:rsidRPr="00D92716" w:rsidRDefault="00086D6F" w:rsidP="00BF237C">
            <w:pPr>
              <w:autoSpaceDE w:val="0"/>
              <w:autoSpaceDN w:val="0"/>
              <w:adjustRightInd w:val="0"/>
              <w:spacing w:after="0" w:line="240" w:lineRule="auto"/>
              <w:rPr>
                <w:rFonts w:cs="Calibri"/>
                <w:color w:val="000000"/>
                <w:sz w:val="20"/>
                <w:szCs w:val="20"/>
                <w:lang w:val="es-UY"/>
              </w:rPr>
            </w:pPr>
            <w:r w:rsidRPr="00D92716">
              <w:rPr>
                <w:rFonts w:cs="Calibri"/>
                <w:color w:val="000000"/>
                <w:sz w:val="20"/>
                <w:szCs w:val="20"/>
                <w:lang w:val="es-UY"/>
              </w:rPr>
              <w:t xml:space="preserve">3709 </w:t>
            </w:r>
          </w:p>
        </w:tc>
        <w:tc>
          <w:tcPr>
            <w:tcW w:w="1567" w:type="dxa"/>
          </w:tcPr>
          <w:p w:rsidR="00086D6F" w:rsidRPr="00D92716" w:rsidRDefault="00086D6F" w:rsidP="00BF237C">
            <w:pPr>
              <w:autoSpaceDE w:val="0"/>
              <w:autoSpaceDN w:val="0"/>
              <w:adjustRightInd w:val="0"/>
              <w:spacing w:after="0" w:line="240" w:lineRule="auto"/>
              <w:rPr>
                <w:rFonts w:cs="Calibri"/>
                <w:color w:val="000000"/>
                <w:sz w:val="20"/>
                <w:szCs w:val="20"/>
                <w:lang w:val="es-UY"/>
              </w:rPr>
            </w:pPr>
            <w:r w:rsidRPr="00D92716">
              <w:rPr>
                <w:rFonts w:cs="Calibri"/>
                <w:color w:val="000000"/>
                <w:sz w:val="20"/>
                <w:szCs w:val="20"/>
                <w:lang w:val="es-UY"/>
              </w:rPr>
              <w:t xml:space="preserve">Treinta y Tres </w:t>
            </w:r>
          </w:p>
        </w:tc>
        <w:tc>
          <w:tcPr>
            <w:tcW w:w="1862" w:type="dxa"/>
          </w:tcPr>
          <w:p w:rsidR="00086D6F" w:rsidRPr="00D92716" w:rsidRDefault="00086D6F" w:rsidP="00BF237C">
            <w:pPr>
              <w:autoSpaceDE w:val="0"/>
              <w:autoSpaceDN w:val="0"/>
              <w:adjustRightInd w:val="0"/>
              <w:spacing w:after="0" w:line="240" w:lineRule="auto"/>
              <w:rPr>
                <w:rFonts w:cs="Calibri"/>
                <w:color w:val="000000"/>
                <w:sz w:val="20"/>
                <w:szCs w:val="20"/>
                <w:lang w:val="es-UY"/>
              </w:rPr>
            </w:pPr>
            <w:r w:rsidRPr="00D92716">
              <w:rPr>
                <w:rFonts w:cs="Calibri"/>
                <w:color w:val="000000"/>
                <w:sz w:val="20"/>
                <w:szCs w:val="20"/>
                <w:lang w:val="es-UY"/>
              </w:rPr>
              <w:t xml:space="preserve">Barrio Ituzaingó </w:t>
            </w:r>
          </w:p>
        </w:tc>
      </w:tr>
      <w:tr w:rsidR="00086D6F" w:rsidRPr="00474DA5" w:rsidTr="00D92716">
        <w:trPr>
          <w:trHeight w:val="412"/>
        </w:trPr>
        <w:tc>
          <w:tcPr>
            <w:tcW w:w="1305" w:type="dxa"/>
            <w:tcBorders>
              <w:left w:val="nil"/>
              <w:bottom w:val="nil"/>
            </w:tcBorders>
          </w:tcPr>
          <w:p w:rsidR="00086D6F" w:rsidRPr="00D92716" w:rsidRDefault="00086D6F" w:rsidP="00BF237C">
            <w:pPr>
              <w:autoSpaceDE w:val="0"/>
              <w:autoSpaceDN w:val="0"/>
              <w:adjustRightInd w:val="0"/>
              <w:spacing w:after="0" w:line="240" w:lineRule="auto"/>
              <w:rPr>
                <w:rFonts w:cs="Calibri"/>
                <w:color w:val="000000"/>
                <w:sz w:val="20"/>
                <w:szCs w:val="20"/>
                <w:lang w:val="es-UY"/>
              </w:rPr>
            </w:pPr>
            <w:r w:rsidRPr="00D92716">
              <w:rPr>
                <w:rFonts w:cs="Calibri"/>
                <w:color w:val="000000"/>
                <w:sz w:val="20"/>
                <w:szCs w:val="20"/>
                <w:lang w:val="es-UY"/>
              </w:rPr>
              <w:t>Debe decir:</w:t>
            </w:r>
          </w:p>
        </w:tc>
        <w:tc>
          <w:tcPr>
            <w:tcW w:w="915" w:type="dxa"/>
            <w:tcBorders>
              <w:left w:val="nil"/>
              <w:bottom w:val="nil"/>
            </w:tcBorders>
          </w:tcPr>
          <w:p w:rsidR="00086D6F" w:rsidRPr="00D92716" w:rsidRDefault="00086D6F" w:rsidP="00BF237C">
            <w:pPr>
              <w:autoSpaceDE w:val="0"/>
              <w:autoSpaceDN w:val="0"/>
              <w:adjustRightInd w:val="0"/>
              <w:spacing w:after="0" w:line="240" w:lineRule="auto"/>
              <w:rPr>
                <w:rFonts w:cs="Calibri"/>
                <w:color w:val="000000"/>
                <w:sz w:val="20"/>
                <w:szCs w:val="20"/>
                <w:lang w:val="es-UY"/>
              </w:rPr>
            </w:pPr>
            <w:r w:rsidRPr="00D92716">
              <w:rPr>
                <w:rFonts w:cs="Calibri"/>
                <w:color w:val="000000"/>
                <w:sz w:val="20"/>
                <w:szCs w:val="20"/>
                <w:lang w:val="es-UY"/>
              </w:rPr>
              <w:t xml:space="preserve">44 </w:t>
            </w:r>
          </w:p>
        </w:tc>
        <w:tc>
          <w:tcPr>
            <w:tcW w:w="1174" w:type="dxa"/>
            <w:tcBorders>
              <w:bottom w:val="nil"/>
            </w:tcBorders>
          </w:tcPr>
          <w:p w:rsidR="00086D6F" w:rsidRPr="00D92716" w:rsidRDefault="00086D6F" w:rsidP="00BF237C">
            <w:pPr>
              <w:autoSpaceDE w:val="0"/>
              <w:autoSpaceDN w:val="0"/>
              <w:adjustRightInd w:val="0"/>
              <w:spacing w:after="0" w:line="240" w:lineRule="auto"/>
              <w:rPr>
                <w:rFonts w:cs="Calibri"/>
                <w:color w:val="000000"/>
                <w:sz w:val="20"/>
                <w:szCs w:val="20"/>
                <w:lang w:val="es-UY"/>
              </w:rPr>
            </w:pPr>
            <w:r w:rsidRPr="00D92716">
              <w:rPr>
                <w:rFonts w:cs="Calibri"/>
                <w:color w:val="000000"/>
                <w:sz w:val="20"/>
                <w:szCs w:val="20"/>
                <w:lang w:val="es-UY"/>
              </w:rPr>
              <w:t>1629</w:t>
            </w:r>
          </w:p>
        </w:tc>
        <w:tc>
          <w:tcPr>
            <w:tcW w:w="1567" w:type="dxa"/>
            <w:tcBorders>
              <w:bottom w:val="nil"/>
            </w:tcBorders>
          </w:tcPr>
          <w:p w:rsidR="00086D6F" w:rsidRPr="00D92716" w:rsidRDefault="00086D6F" w:rsidP="00BF237C">
            <w:pPr>
              <w:autoSpaceDE w:val="0"/>
              <w:autoSpaceDN w:val="0"/>
              <w:adjustRightInd w:val="0"/>
              <w:spacing w:after="0" w:line="240" w:lineRule="auto"/>
              <w:rPr>
                <w:rFonts w:cs="Calibri"/>
                <w:color w:val="000000"/>
                <w:sz w:val="20"/>
                <w:szCs w:val="20"/>
                <w:lang w:val="es-UY"/>
              </w:rPr>
            </w:pPr>
            <w:r w:rsidRPr="00D92716">
              <w:rPr>
                <w:rFonts w:cs="Calibri"/>
                <w:color w:val="000000"/>
                <w:sz w:val="20"/>
                <w:szCs w:val="20"/>
                <w:lang w:val="es-UY"/>
              </w:rPr>
              <w:t xml:space="preserve">Treinta y Tres </w:t>
            </w:r>
          </w:p>
        </w:tc>
        <w:tc>
          <w:tcPr>
            <w:tcW w:w="1862" w:type="dxa"/>
            <w:tcBorders>
              <w:bottom w:val="nil"/>
              <w:right w:val="nil"/>
            </w:tcBorders>
          </w:tcPr>
          <w:p w:rsidR="00086D6F" w:rsidRPr="00D92716" w:rsidRDefault="00086D6F" w:rsidP="00BF237C">
            <w:pPr>
              <w:autoSpaceDE w:val="0"/>
              <w:autoSpaceDN w:val="0"/>
              <w:adjustRightInd w:val="0"/>
              <w:spacing w:after="0" w:line="240" w:lineRule="auto"/>
              <w:rPr>
                <w:rFonts w:cs="Calibri"/>
                <w:color w:val="000000"/>
                <w:sz w:val="20"/>
                <w:szCs w:val="20"/>
                <w:lang w:val="es-UY"/>
              </w:rPr>
            </w:pPr>
            <w:r w:rsidRPr="00D92716">
              <w:rPr>
                <w:rFonts w:cs="Calibri"/>
                <w:color w:val="000000"/>
                <w:sz w:val="20"/>
                <w:szCs w:val="20"/>
                <w:lang w:val="es-UY"/>
              </w:rPr>
              <w:t xml:space="preserve">Barrio Ituzaingó </w:t>
            </w:r>
          </w:p>
        </w:tc>
      </w:tr>
    </w:tbl>
    <w:p w:rsidR="008510F1" w:rsidRDefault="008510F1" w:rsidP="00086D6F">
      <w:pPr>
        <w:spacing w:after="0"/>
        <w:ind w:left="567" w:hanging="283"/>
        <w:jc w:val="both"/>
        <w:rPr>
          <w:lang w:val="es-UY"/>
        </w:rPr>
      </w:pPr>
    </w:p>
    <w:p w:rsidR="00086D6F" w:rsidRDefault="00086D6F" w:rsidP="00D92716">
      <w:pPr>
        <w:spacing w:before="240"/>
        <w:ind w:left="567" w:hanging="283"/>
        <w:jc w:val="both"/>
        <w:rPr>
          <w:lang w:val="es-UY"/>
        </w:rPr>
      </w:pPr>
      <w:proofErr w:type="gramStart"/>
      <w:r w:rsidRPr="00474DA5">
        <w:rPr>
          <w:lang w:val="es-UY"/>
        </w:rPr>
        <w:t>ii</w:t>
      </w:r>
      <w:proofErr w:type="gramEnd"/>
      <w:r w:rsidRPr="00474DA5">
        <w:rPr>
          <w:lang w:val="es-UY"/>
        </w:rPr>
        <w:t xml:space="preserve">.- que todos los terrenos cuentan con calles públicas de acceso a los mismos. </w:t>
      </w:r>
    </w:p>
    <w:p w:rsidR="00AF5F0E" w:rsidRDefault="00D64842" w:rsidP="00D92716">
      <w:pPr>
        <w:jc w:val="both"/>
      </w:pPr>
      <w:r>
        <w:t>Respuesta:</w:t>
      </w:r>
      <w:r w:rsidR="009B6FA2">
        <w:t xml:space="preserve"> </w:t>
      </w:r>
      <w:r w:rsidR="000F4203">
        <w:t xml:space="preserve">ii) Es responsabilidad del Oferente buscar la Información. Ver </w:t>
      </w:r>
      <w:r w:rsidR="00360C4F">
        <w:t xml:space="preserve">Cláusula </w:t>
      </w:r>
      <w:r w:rsidR="000F4203">
        <w:t xml:space="preserve"> 15.3 del Pliego de Condiciones Administrativas (PCA).</w:t>
      </w:r>
    </w:p>
    <w:p w:rsidR="00AF5F0E" w:rsidRPr="00D92716" w:rsidRDefault="00915A12" w:rsidP="00D92716">
      <w:pPr>
        <w:jc w:val="both"/>
        <w:rPr>
          <w:sz w:val="28"/>
          <w:szCs w:val="28"/>
          <w:u w:val="single"/>
        </w:rPr>
      </w:pPr>
      <w:r w:rsidRPr="00D92716">
        <w:rPr>
          <w:sz w:val="28"/>
          <w:szCs w:val="28"/>
          <w:u w:val="single"/>
        </w:rPr>
        <w:t>Consulta 7</w:t>
      </w:r>
    </w:p>
    <w:p w:rsidR="00AF5F0E" w:rsidRDefault="003B4872" w:rsidP="00D92716">
      <w:pPr>
        <w:jc w:val="both"/>
        <w:rPr>
          <w:lang w:val="es-UY"/>
        </w:rPr>
      </w:pPr>
      <w:r w:rsidRPr="0067036B">
        <w:rPr>
          <w:lang w:val="es-UY"/>
        </w:rPr>
        <w:t xml:space="preserve">Solicitamos por favor se brinde información sobre las acometidas de los predios en relación a la infraestructura de UTE, ANTEL, OSE, saneamiento, calles o </w:t>
      </w:r>
      <w:proofErr w:type="spellStart"/>
      <w:r w:rsidRPr="0067036B">
        <w:rPr>
          <w:lang w:val="es-UY"/>
        </w:rPr>
        <w:t>caminerías</w:t>
      </w:r>
      <w:proofErr w:type="spellEnd"/>
      <w:r w:rsidRPr="0067036B">
        <w:rPr>
          <w:lang w:val="es-UY"/>
        </w:rPr>
        <w:t xml:space="preserve"> de acceso tanto vehicular como peatonal.</w:t>
      </w:r>
    </w:p>
    <w:p w:rsidR="00AF5F0E" w:rsidRDefault="00D64842" w:rsidP="00D92716">
      <w:pPr>
        <w:jc w:val="both"/>
        <w:rPr>
          <w:lang w:val="es-UY"/>
        </w:rPr>
      </w:pPr>
      <w:r>
        <w:rPr>
          <w:lang w:val="es-UY"/>
        </w:rPr>
        <w:t xml:space="preserve">Respuesta: </w:t>
      </w:r>
      <w:r w:rsidRPr="00D64842">
        <w:rPr>
          <w:lang w:val="es-UY"/>
        </w:rPr>
        <w:t xml:space="preserve">Ver Cláusula </w:t>
      </w:r>
      <w:r w:rsidR="00E80125">
        <w:rPr>
          <w:lang w:val="es-UY"/>
        </w:rPr>
        <w:t>15.3 del PCA</w:t>
      </w:r>
      <w:r w:rsidRPr="00D64842">
        <w:rPr>
          <w:lang w:val="es-UY"/>
        </w:rPr>
        <w:t>.</w:t>
      </w:r>
    </w:p>
    <w:p w:rsidR="00AF5F0E" w:rsidRDefault="00915A12" w:rsidP="00D92716">
      <w:pPr>
        <w:jc w:val="both"/>
        <w:rPr>
          <w:b/>
          <w:lang w:val="es-UY"/>
        </w:rPr>
      </w:pPr>
      <w:r w:rsidRPr="00D92716">
        <w:rPr>
          <w:sz w:val="28"/>
          <w:szCs w:val="28"/>
          <w:u w:val="single"/>
          <w:lang w:val="es-UY"/>
        </w:rPr>
        <w:t>Consulta 8</w:t>
      </w:r>
    </w:p>
    <w:p w:rsidR="00AF5F0E" w:rsidRDefault="003B4872" w:rsidP="00D92716">
      <w:pPr>
        <w:jc w:val="both"/>
        <w:rPr>
          <w:lang w:val="es-UY"/>
        </w:rPr>
      </w:pPr>
      <w:r w:rsidRPr="0067036B">
        <w:rPr>
          <w:lang w:val="es-UY"/>
        </w:rPr>
        <w:t xml:space="preserve">En el caso de que el predio no cuente con infraestructura frentista al predio como ser: UTE, OSE, ANTEL, </w:t>
      </w:r>
      <w:proofErr w:type="spellStart"/>
      <w:r w:rsidRPr="0067036B">
        <w:rPr>
          <w:lang w:val="es-UY"/>
        </w:rPr>
        <w:t>caminería</w:t>
      </w:r>
      <w:proofErr w:type="spellEnd"/>
      <w:r w:rsidRPr="0067036B">
        <w:rPr>
          <w:lang w:val="es-UY"/>
        </w:rPr>
        <w:t xml:space="preserve"> de acceso peatonal y vehicular, saneamiento, se consulta sobre quien recae responsabilidad y el costo de llevar hasta el predio las mismas.</w:t>
      </w:r>
    </w:p>
    <w:p w:rsidR="00AF5F0E" w:rsidRDefault="00D64842" w:rsidP="00D92716">
      <w:pPr>
        <w:jc w:val="both"/>
      </w:pPr>
      <w:r>
        <w:t>Respuesta:</w:t>
      </w:r>
      <w:r w:rsidR="00C21E03">
        <w:t xml:space="preserve"> Ver Cláusula 4.2 del Proyecto del Contrato</w:t>
      </w:r>
      <w:r w:rsidR="00140643">
        <w:t xml:space="preserve"> (PC).</w:t>
      </w:r>
    </w:p>
    <w:p w:rsidR="00276A3F" w:rsidRDefault="00276A3F" w:rsidP="00D92716">
      <w:pPr>
        <w:jc w:val="both"/>
      </w:pPr>
    </w:p>
    <w:sectPr w:rsidR="00276A3F" w:rsidSect="00471F12">
      <w:pgSz w:w="11906" w:h="16838"/>
      <w:pgMar w:top="993" w:right="19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12AB"/>
    <w:multiLevelType w:val="hybridMultilevel"/>
    <w:tmpl w:val="B3AA34B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0DD43CA7"/>
    <w:multiLevelType w:val="multilevel"/>
    <w:tmpl w:val="310262AA"/>
    <w:lvl w:ilvl="0">
      <w:start w:val="2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1CA3553A"/>
    <w:multiLevelType w:val="multilevel"/>
    <w:tmpl w:val="A66E5FB2"/>
    <w:lvl w:ilvl="0">
      <w:start w:val="6"/>
      <w:numFmt w:val="upperRoman"/>
      <w:pStyle w:val="Ttulo3"/>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1CD018B2"/>
    <w:multiLevelType w:val="multilevel"/>
    <w:tmpl w:val="EF1EFF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sz w:val="22"/>
        <w:szCs w:val="22"/>
      </w:rPr>
    </w:lvl>
    <w:lvl w:ilvl="2">
      <w:start w:val="1"/>
      <w:numFmt w:val="decimal"/>
      <w:lvlText w:val="%1.%2.%3."/>
      <w:lvlJc w:val="left"/>
      <w:pPr>
        <w:tabs>
          <w:tab w:val="num" w:pos="1572"/>
        </w:tabs>
        <w:ind w:left="1356"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01D1EFC"/>
    <w:multiLevelType w:val="hybridMultilevel"/>
    <w:tmpl w:val="2B4EAE6C"/>
    <w:lvl w:ilvl="0" w:tplc="BE6E24D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9423EC"/>
    <w:multiLevelType w:val="hybridMultilevel"/>
    <w:tmpl w:val="B72EF706"/>
    <w:lvl w:ilvl="0" w:tplc="380A0019">
      <w:start w:val="1"/>
      <w:numFmt w:val="lowerLetter"/>
      <w:lvlText w:val="%1."/>
      <w:lvlJc w:val="left"/>
      <w:pPr>
        <w:ind w:left="1996" w:hanging="360"/>
      </w:pPr>
    </w:lvl>
    <w:lvl w:ilvl="1" w:tplc="380A0019" w:tentative="1">
      <w:start w:val="1"/>
      <w:numFmt w:val="lowerLetter"/>
      <w:lvlText w:val="%2."/>
      <w:lvlJc w:val="left"/>
      <w:pPr>
        <w:ind w:left="2716" w:hanging="360"/>
      </w:pPr>
    </w:lvl>
    <w:lvl w:ilvl="2" w:tplc="380A001B" w:tentative="1">
      <w:start w:val="1"/>
      <w:numFmt w:val="lowerRoman"/>
      <w:lvlText w:val="%3."/>
      <w:lvlJc w:val="right"/>
      <w:pPr>
        <w:ind w:left="3436" w:hanging="180"/>
      </w:pPr>
    </w:lvl>
    <w:lvl w:ilvl="3" w:tplc="380A000F" w:tentative="1">
      <w:start w:val="1"/>
      <w:numFmt w:val="decimal"/>
      <w:lvlText w:val="%4."/>
      <w:lvlJc w:val="left"/>
      <w:pPr>
        <w:ind w:left="4156" w:hanging="360"/>
      </w:pPr>
    </w:lvl>
    <w:lvl w:ilvl="4" w:tplc="380A0019" w:tentative="1">
      <w:start w:val="1"/>
      <w:numFmt w:val="lowerLetter"/>
      <w:lvlText w:val="%5."/>
      <w:lvlJc w:val="left"/>
      <w:pPr>
        <w:ind w:left="4876" w:hanging="360"/>
      </w:pPr>
    </w:lvl>
    <w:lvl w:ilvl="5" w:tplc="380A001B" w:tentative="1">
      <w:start w:val="1"/>
      <w:numFmt w:val="lowerRoman"/>
      <w:lvlText w:val="%6."/>
      <w:lvlJc w:val="right"/>
      <w:pPr>
        <w:ind w:left="5596" w:hanging="180"/>
      </w:pPr>
    </w:lvl>
    <w:lvl w:ilvl="6" w:tplc="380A000F" w:tentative="1">
      <w:start w:val="1"/>
      <w:numFmt w:val="decimal"/>
      <w:lvlText w:val="%7."/>
      <w:lvlJc w:val="left"/>
      <w:pPr>
        <w:ind w:left="6316" w:hanging="360"/>
      </w:pPr>
    </w:lvl>
    <w:lvl w:ilvl="7" w:tplc="380A0019" w:tentative="1">
      <w:start w:val="1"/>
      <w:numFmt w:val="lowerLetter"/>
      <w:lvlText w:val="%8."/>
      <w:lvlJc w:val="left"/>
      <w:pPr>
        <w:ind w:left="7036" w:hanging="360"/>
      </w:pPr>
    </w:lvl>
    <w:lvl w:ilvl="8" w:tplc="380A001B" w:tentative="1">
      <w:start w:val="1"/>
      <w:numFmt w:val="lowerRoman"/>
      <w:lvlText w:val="%9."/>
      <w:lvlJc w:val="right"/>
      <w:pPr>
        <w:ind w:left="7756" w:hanging="180"/>
      </w:pPr>
    </w:lvl>
  </w:abstractNum>
  <w:abstractNum w:abstractNumId="6">
    <w:nsid w:val="2E5D5F91"/>
    <w:multiLevelType w:val="hybridMultilevel"/>
    <w:tmpl w:val="81F6336A"/>
    <w:lvl w:ilvl="0" w:tplc="825EBB50">
      <w:start w:val="1"/>
      <w:numFmt w:val="lowerLetter"/>
      <w:lvlText w:val="%1."/>
      <w:lvlJc w:val="left"/>
      <w:pPr>
        <w:ind w:left="1876" w:hanging="600"/>
      </w:pPr>
      <w:rPr>
        <w:rFonts w:hint="default"/>
      </w:rPr>
    </w:lvl>
    <w:lvl w:ilvl="1" w:tplc="380A0019" w:tentative="1">
      <w:start w:val="1"/>
      <w:numFmt w:val="lowerLetter"/>
      <w:lvlText w:val="%2."/>
      <w:lvlJc w:val="left"/>
      <w:pPr>
        <w:ind w:left="2356" w:hanging="360"/>
      </w:pPr>
    </w:lvl>
    <w:lvl w:ilvl="2" w:tplc="380A001B" w:tentative="1">
      <w:start w:val="1"/>
      <w:numFmt w:val="lowerRoman"/>
      <w:lvlText w:val="%3."/>
      <w:lvlJc w:val="right"/>
      <w:pPr>
        <w:ind w:left="3076" w:hanging="180"/>
      </w:pPr>
    </w:lvl>
    <w:lvl w:ilvl="3" w:tplc="380A000F" w:tentative="1">
      <w:start w:val="1"/>
      <w:numFmt w:val="decimal"/>
      <w:lvlText w:val="%4."/>
      <w:lvlJc w:val="left"/>
      <w:pPr>
        <w:ind w:left="3796" w:hanging="360"/>
      </w:pPr>
    </w:lvl>
    <w:lvl w:ilvl="4" w:tplc="380A0019" w:tentative="1">
      <w:start w:val="1"/>
      <w:numFmt w:val="lowerLetter"/>
      <w:lvlText w:val="%5."/>
      <w:lvlJc w:val="left"/>
      <w:pPr>
        <w:ind w:left="4516" w:hanging="360"/>
      </w:pPr>
    </w:lvl>
    <w:lvl w:ilvl="5" w:tplc="380A001B" w:tentative="1">
      <w:start w:val="1"/>
      <w:numFmt w:val="lowerRoman"/>
      <w:lvlText w:val="%6."/>
      <w:lvlJc w:val="right"/>
      <w:pPr>
        <w:ind w:left="5236" w:hanging="180"/>
      </w:pPr>
    </w:lvl>
    <w:lvl w:ilvl="6" w:tplc="380A000F" w:tentative="1">
      <w:start w:val="1"/>
      <w:numFmt w:val="decimal"/>
      <w:lvlText w:val="%7."/>
      <w:lvlJc w:val="left"/>
      <w:pPr>
        <w:ind w:left="5956" w:hanging="360"/>
      </w:pPr>
    </w:lvl>
    <w:lvl w:ilvl="7" w:tplc="380A0019" w:tentative="1">
      <w:start w:val="1"/>
      <w:numFmt w:val="lowerLetter"/>
      <w:lvlText w:val="%8."/>
      <w:lvlJc w:val="left"/>
      <w:pPr>
        <w:ind w:left="6676" w:hanging="360"/>
      </w:pPr>
    </w:lvl>
    <w:lvl w:ilvl="8" w:tplc="380A001B" w:tentative="1">
      <w:start w:val="1"/>
      <w:numFmt w:val="lowerRoman"/>
      <w:lvlText w:val="%9."/>
      <w:lvlJc w:val="right"/>
      <w:pPr>
        <w:ind w:left="7396" w:hanging="180"/>
      </w:pPr>
    </w:lvl>
  </w:abstractNum>
  <w:abstractNum w:abstractNumId="7">
    <w:nsid w:val="322E3D3F"/>
    <w:multiLevelType w:val="multilevel"/>
    <w:tmpl w:val="B888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F1779B"/>
    <w:multiLevelType w:val="multilevel"/>
    <w:tmpl w:val="A7D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C3317F"/>
    <w:multiLevelType w:val="hybridMultilevel"/>
    <w:tmpl w:val="368E5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0B7439"/>
    <w:multiLevelType w:val="hybridMultilevel"/>
    <w:tmpl w:val="183E542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55D33D31"/>
    <w:multiLevelType w:val="hybridMultilevel"/>
    <w:tmpl w:val="0846B85C"/>
    <w:lvl w:ilvl="0" w:tplc="FA648912">
      <w:start w:val="10"/>
      <w:numFmt w:val="decimal"/>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12">
    <w:nsid w:val="5C5A30BB"/>
    <w:multiLevelType w:val="hybridMultilevel"/>
    <w:tmpl w:val="71380D6C"/>
    <w:lvl w:ilvl="0" w:tplc="0064393E">
      <w:start w:val="10"/>
      <w:numFmt w:val="decimal"/>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13">
    <w:nsid w:val="7C9522E7"/>
    <w:multiLevelType w:val="hybridMultilevel"/>
    <w:tmpl w:val="B768B0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1"/>
  </w:num>
  <w:num w:numId="5">
    <w:abstractNumId w:val="3"/>
  </w:num>
  <w:num w:numId="6">
    <w:abstractNumId w:val="9"/>
  </w:num>
  <w:num w:numId="7">
    <w:abstractNumId w:val="4"/>
  </w:num>
  <w:num w:numId="8">
    <w:abstractNumId w:val="13"/>
  </w:num>
  <w:num w:numId="9">
    <w:abstractNumId w:val="7"/>
  </w:num>
  <w:num w:numId="10">
    <w:abstractNumId w:val="8"/>
  </w:num>
  <w:num w:numId="11">
    <w:abstractNumId w:val="5"/>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4B4525"/>
    <w:rsid w:val="000224DE"/>
    <w:rsid w:val="00086D6F"/>
    <w:rsid w:val="00096A6D"/>
    <w:rsid w:val="000F4203"/>
    <w:rsid w:val="000F51FA"/>
    <w:rsid w:val="001204A8"/>
    <w:rsid w:val="00140643"/>
    <w:rsid w:val="001C52EF"/>
    <w:rsid w:val="001C5EC8"/>
    <w:rsid w:val="0020623C"/>
    <w:rsid w:val="002068B7"/>
    <w:rsid w:val="00221AAF"/>
    <w:rsid w:val="0026086E"/>
    <w:rsid w:val="002752DF"/>
    <w:rsid w:val="00276A3F"/>
    <w:rsid w:val="002E1949"/>
    <w:rsid w:val="003019D6"/>
    <w:rsid w:val="0031542D"/>
    <w:rsid w:val="00321C1E"/>
    <w:rsid w:val="00357ADF"/>
    <w:rsid w:val="00360C4F"/>
    <w:rsid w:val="003822AC"/>
    <w:rsid w:val="00386B89"/>
    <w:rsid w:val="003A03EF"/>
    <w:rsid w:val="003A2DFE"/>
    <w:rsid w:val="003B4872"/>
    <w:rsid w:val="00405F73"/>
    <w:rsid w:val="00431C35"/>
    <w:rsid w:val="00471F12"/>
    <w:rsid w:val="004823EB"/>
    <w:rsid w:val="00484003"/>
    <w:rsid w:val="004A6357"/>
    <w:rsid w:val="004A640B"/>
    <w:rsid w:val="004B4525"/>
    <w:rsid w:val="004E666D"/>
    <w:rsid w:val="005016E5"/>
    <w:rsid w:val="00541DDE"/>
    <w:rsid w:val="00564B29"/>
    <w:rsid w:val="005873B8"/>
    <w:rsid w:val="0059748D"/>
    <w:rsid w:val="005A0F44"/>
    <w:rsid w:val="0060150F"/>
    <w:rsid w:val="006170B6"/>
    <w:rsid w:val="006202DB"/>
    <w:rsid w:val="006408E8"/>
    <w:rsid w:val="00655CFB"/>
    <w:rsid w:val="00672CD7"/>
    <w:rsid w:val="006E6CDE"/>
    <w:rsid w:val="00715492"/>
    <w:rsid w:val="00726F69"/>
    <w:rsid w:val="0079639A"/>
    <w:rsid w:val="007C743A"/>
    <w:rsid w:val="007D0604"/>
    <w:rsid w:val="007D4CD4"/>
    <w:rsid w:val="007E7199"/>
    <w:rsid w:val="007F03BC"/>
    <w:rsid w:val="00803D52"/>
    <w:rsid w:val="008510F1"/>
    <w:rsid w:val="00857A90"/>
    <w:rsid w:val="0087693A"/>
    <w:rsid w:val="00884902"/>
    <w:rsid w:val="008F1462"/>
    <w:rsid w:val="009066ED"/>
    <w:rsid w:val="00910CB6"/>
    <w:rsid w:val="009155B6"/>
    <w:rsid w:val="00915A12"/>
    <w:rsid w:val="00941F92"/>
    <w:rsid w:val="00944709"/>
    <w:rsid w:val="00950481"/>
    <w:rsid w:val="00964169"/>
    <w:rsid w:val="00985C81"/>
    <w:rsid w:val="009B6FA2"/>
    <w:rsid w:val="00A43BD6"/>
    <w:rsid w:val="00A47663"/>
    <w:rsid w:val="00A501AA"/>
    <w:rsid w:val="00A96F4D"/>
    <w:rsid w:val="00AD4AAE"/>
    <w:rsid w:val="00AD4C6F"/>
    <w:rsid w:val="00AF5F0E"/>
    <w:rsid w:val="00B3191F"/>
    <w:rsid w:val="00B54405"/>
    <w:rsid w:val="00B74460"/>
    <w:rsid w:val="00BA1D8D"/>
    <w:rsid w:val="00BC2D62"/>
    <w:rsid w:val="00BD0C6D"/>
    <w:rsid w:val="00BD48D9"/>
    <w:rsid w:val="00C06FB1"/>
    <w:rsid w:val="00C21E03"/>
    <w:rsid w:val="00C33A63"/>
    <w:rsid w:val="00C60D6E"/>
    <w:rsid w:val="00C804BF"/>
    <w:rsid w:val="00CA2479"/>
    <w:rsid w:val="00CE5A9C"/>
    <w:rsid w:val="00D34026"/>
    <w:rsid w:val="00D64842"/>
    <w:rsid w:val="00D72F16"/>
    <w:rsid w:val="00D7495B"/>
    <w:rsid w:val="00D74B4A"/>
    <w:rsid w:val="00D8280D"/>
    <w:rsid w:val="00D900AB"/>
    <w:rsid w:val="00D92716"/>
    <w:rsid w:val="00DB095C"/>
    <w:rsid w:val="00DF3744"/>
    <w:rsid w:val="00E00821"/>
    <w:rsid w:val="00E2790D"/>
    <w:rsid w:val="00E43D62"/>
    <w:rsid w:val="00E457E9"/>
    <w:rsid w:val="00E47410"/>
    <w:rsid w:val="00E80125"/>
    <w:rsid w:val="00EA0B72"/>
    <w:rsid w:val="00EA12C1"/>
    <w:rsid w:val="00EE5086"/>
    <w:rsid w:val="00F26F2C"/>
    <w:rsid w:val="00F27BE6"/>
    <w:rsid w:val="00F314D6"/>
    <w:rsid w:val="00F47917"/>
    <w:rsid w:val="00F95A73"/>
    <w:rsid w:val="00FA0AD4"/>
    <w:rsid w:val="00FE1FB7"/>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3B0E0-5789-4FA3-8EBB-7C0A863A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604"/>
  </w:style>
  <w:style w:type="paragraph" w:styleId="Ttulo3">
    <w:name w:val="heading 3"/>
    <w:basedOn w:val="Normal"/>
    <w:next w:val="Normal"/>
    <w:link w:val="Ttulo3Car"/>
    <w:qFormat/>
    <w:rsid w:val="00E457E9"/>
    <w:pPr>
      <w:keepNext/>
      <w:keepLines/>
      <w:numPr>
        <w:numId w:val="1"/>
      </w:numPr>
      <w:suppressLineNumbers/>
      <w:suppressAutoHyphens/>
      <w:overflowPunct w:val="0"/>
      <w:autoSpaceDE w:val="0"/>
      <w:autoSpaceDN w:val="0"/>
      <w:adjustRightInd w:val="0"/>
      <w:spacing w:after="0" w:line="240" w:lineRule="auto"/>
      <w:ind w:right="-23"/>
      <w:jc w:val="both"/>
      <w:textAlignment w:val="baseline"/>
      <w:outlineLvl w:val="2"/>
    </w:pPr>
    <w:rPr>
      <w:rFonts w:ascii="Arial" w:eastAsia="Times New Roman" w:hAnsi="Arial" w:cs="Times New Roman"/>
      <w:b/>
      <w:color w:val="000000"/>
      <w:spacing w:val="-3"/>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1DDE"/>
    <w:rPr>
      <w:color w:val="0000FF"/>
      <w:u w:val="single"/>
    </w:rPr>
  </w:style>
  <w:style w:type="paragraph" w:styleId="Prrafodelista">
    <w:name w:val="List Paragraph"/>
    <w:basedOn w:val="Normal"/>
    <w:uiPriority w:val="34"/>
    <w:qFormat/>
    <w:rsid w:val="00985C81"/>
    <w:pPr>
      <w:ind w:left="720"/>
      <w:contextualSpacing/>
    </w:pPr>
  </w:style>
  <w:style w:type="paragraph" w:styleId="Textodeglobo">
    <w:name w:val="Balloon Text"/>
    <w:basedOn w:val="Normal"/>
    <w:link w:val="TextodegloboCar"/>
    <w:uiPriority w:val="99"/>
    <w:semiHidden/>
    <w:unhideWhenUsed/>
    <w:rsid w:val="003A03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3EF"/>
    <w:rPr>
      <w:rFonts w:ascii="Tahoma" w:hAnsi="Tahoma" w:cs="Tahoma"/>
      <w:sz w:val="16"/>
      <w:szCs w:val="16"/>
    </w:rPr>
  </w:style>
  <w:style w:type="character" w:customStyle="1" w:styleId="Ttulo3Car">
    <w:name w:val="Título 3 Car"/>
    <w:basedOn w:val="Fuentedeprrafopredeter"/>
    <w:link w:val="Ttulo3"/>
    <w:rsid w:val="00E457E9"/>
    <w:rPr>
      <w:rFonts w:ascii="Arial" w:eastAsia="Times New Roman" w:hAnsi="Arial" w:cs="Times New Roman"/>
      <w:b/>
      <w:color w:val="000000"/>
      <w:spacing w:val="-3"/>
      <w:sz w:val="24"/>
      <w:szCs w:val="24"/>
      <w:lang w:val="es-ES_tradnl" w:eastAsia="es-ES"/>
    </w:rPr>
  </w:style>
  <w:style w:type="paragraph" w:customStyle="1" w:styleId="Default">
    <w:name w:val="Default"/>
    <w:rsid w:val="00E457E9"/>
    <w:pPr>
      <w:autoSpaceDE w:val="0"/>
      <w:autoSpaceDN w:val="0"/>
      <w:adjustRightInd w:val="0"/>
      <w:spacing w:after="0" w:line="240" w:lineRule="auto"/>
    </w:pPr>
    <w:rPr>
      <w:rFonts w:ascii="Arial" w:hAnsi="Arial" w:cs="Arial"/>
      <w:color w:val="000000"/>
      <w:sz w:val="24"/>
      <w:szCs w:val="24"/>
    </w:rPr>
  </w:style>
  <w:style w:type="character" w:customStyle="1" w:styleId="object">
    <w:name w:val="object"/>
    <w:basedOn w:val="Fuentedeprrafopredeter"/>
    <w:rsid w:val="004E666D"/>
  </w:style>
  <w:style w:type="character" w:customStyle="1" w:styleId="apple-converted-space">
    <w:name w:val="apple-converted-space"/>
    <w:basedOn w:val="Fuentedeprrafopredeter"/>
    <w:rsid w:val="004E666D"/>
  </w:style>
  <w:style w:type="paragraph" w:customStyle="1" w:styleId="titulo1">
    <w:name w:val="titulo1"/>
    <w:basedOn w:val="Normal"/>
    <w:rsid w:val="002608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unhideWhenUsed/>
    <w:rsid w:val="00715492"/>
    <w:pPr>
      <w:spacing w:after="0" w:line="240" w:lineRule="auto"/>
    </w:pPr>
    <w:rPr>
      <w:rFonts w:ascii="Calibri" w:hAnsi="Calibri" w:cs="Consolas"/>
      <w:szCs w:val="21"/>
      <w:lang w:val="es-UY"/>
    </w:rPr>
  </w:style>
  <w:style w:type="character" w:customStyle="1" w:styleId="TextosinformatoCar">
    <w:name w:val="Texto sin formato Car"/>
    <w:basedOn w:val="Fuentedeprrafopredeter"/>
    <w:link w:val="Textosinformato"/>
    <w:uiPriority w:val="99"/>
    <w:rsid w:val="00715492"/>
    <w:rPr>
      <w:rFonts w:ascii="Calibri" w:hAnsi="Calibri" w:cs="Consolas"/>
      <w:szCs w:val="21"/>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0850">
      <w:bodyDiv w:val="1"/>
      <w:marLeft w:val="0"/>
      <w:marRight w:val="0"/>
      <w:marTop w:val="0"/>
      <w:marBottom w:val="0"/>
      <w:divBdr>
        <w:top w:val="none" w:sz="0" w:space="0" w:color="auto"/>
        <w:left w:val="none" w:sz="0" w:space="0" w:color="auto"/>
        <w:bottom w:val="none" w:sz="0" w:space="0" w:color="auto"/>
        <w:right w:val="none" w:sz="0" w:space="0" w:color="auto"/>
      </w:divBdr>
    </w:div>
    <w:div w:id="274137432">
      <w:bodyDiv w:val="1"/>
      <w:marLeft w:val="0"/>
      <w:marRight w:val="0"/>
      <w:marTop w:val="0"/>
      <w:marBottom w:val="0"/>
      <w:divBdr>
        <w:top w:val="none" w:sz="0" w:space="0" w:color="auto"/>
        <w:left w:val="none" w:sz="0" w:space="0" w:color="auto"/>
        <w:bottom w:val="none" w:sz="0" w:space="0" w:color="auto"/>
        <w:right w:val="none" w:sz="0" w:space="0" w:color="auto"/>
      </w:divBdr>
    </w:div>
    <w:div w:id="697656592">
      <w:bodyDiv w:val="1"/>
      <w:marLeft w:val="0"/>
      <w:marRight w:val="0"/>
      <w:marTop w:val="0"/>
      <w:marBottom w:val="0"/>
      <w:divBdr>
        <w:top w:val="none" w:sz="0" w:space="0" w:color="auto"/>
        <w:left w:val="none" w:sz="0" w:space="0" w:color="auto"/>
        <w:bottom w:val="none" w:sz="0" w:space="0" w:color="auto"/>
        <w:right w:val="none" w:sz="0" w:space="0" w:color="auto"/>
      </w:divBdr>
    </w:div>
    <w:div w:id="746348328">
      <w:bodyDiv w:val="1"/>
      <w:marLeft w:val="0"/>
      <w:marRight w:val="0"/>
      <w:marTop w:val="0"/>
      <w:marBottom w:val="0"/>
      <w:divBdr>
        <w:top w:val="none" w:sz="0" w:space="0" w:color="auto"/>
        <w:left w:val="none" w:sz="0" w:space="0" w:color="auto"/>
        <w:bottom w:val="none" w:sz="0" w:space="0" w:color="auto"/>
        <w:right w:val="none" w:sz="0" w:space="0" w:color="auto"/>
      </w:divBdr>
    </w:div>
    <w:div w:id="770781645">
      <w:bodyDiv w:val="1"/>
      <w:marLeft w:val="0"/>
      <w:marRight w:val="0"/>
      <w:marTop w:val="0"/>
      <w:marBottom w:val="0"/>
      <w:divBdr>
        <w:top w:val="none" w:sz="0" w:space="0" w:color="auto"/>
        <w:left w:val="none" w:sz="0" w:space="0" w:color="auto"/>
        <w:bottom w:val="none" w:sz="0" w:space="0" w:color="auto"/>
        <w:right w:val="none" w:sz="0" w:space="0" w:color="auto"/>
      </w:divBdr>
    </w:div>
    <w:div w:id="846822329">
      <w:bodyDiv w:val="1"/>
      <w:marLeft w:val="0"/>
      <w:marRight w:val="0"/>
      <w:marTop w:val="0"/>
      <w:marBottom w:val="0"/>
      <w:divBdr>
        <w:top w:val="none" w:sz="0" w:space="0" w:color="auto"/>
        <w:left w:val="none" w:sz="0" w:space="0" w:color="auto"/>
        <w:bottom w:val="none" w:sz="0" w:space="0" w:color="auto"/>
        <w:right w:val="none" w:sz="0" w:space="0" w:color="auto"/>
      </w:divBdr>
    </w:div>
    <w:div w:id="1307050588">
      <w:bodyDiv w:val="1"/>
      <w:marLeft w:val="0"/>
      <w:marRight w:val="0"/>
      <w:marTop w:val="0"/>
      <w:marBottom w:val="0"/>
      <w:divBdr>
        <w:top w:val="none" w:sz="0" w:space="0" w:color="auto"/>
        <w:left w:val="none" w:sz="0" w:space="0" w:color="auto"/>
        <w:bottom w:val="none" w:sz="0" w:space="0" w:color="auto"/>
        <w:right w:val="none" w:sz="0" w:space="0" w:color="auto"/>
      </w:divBdr>
    </w:div>
    <w:div w:id="1485439487">
      <w:bodyDiv w:val="1"/>
      <w:marLeft w:val="0"/>
      <w:marRight w:val="0"/>
      <w:marTop w:val="0"/>
      <w:marBottom w:val="0"/>
      <w:divBdr>
        <w:top w:val="none" w:sz="0" w:space="0" w:color="auto"/>
        <w:left w:val="none" w:sz="0" w:space="0" w:color="auto"/>
        <w:bottom w:val="none" w:sz="0" w:space="0" w:color="auto"/>
        <w:right w:val="none" w:sz="0" w:space="0" w:color="auto"/>
      </w:divBdr>
    </w:div>
    <w:div w:id="2094667135">
      <w:bodyDiv w:val="1"/>
      <w:marLeft w:val="0"/>
      <w:marRight w:val="0"/>
      <w:marTop w:val="0"/>
      <w:marBottom w:val="0"/>
      <w:divBdr>
        <w:top w:val="none" w:sz="0" w:space="0" w:color="auto"/>
        <w:left w:val="none" w:sz="0" w:space="0" w:color="auto"/>
        <w:bottom w:val="none" w:sz="0" w:space="0" w:color="auto"/>
        <w:right w:val="none" w:sz="0" w:space="0" w:color="auto"/>
      </w:divBdr>
    </w:div>
    <w:div w:id="21171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pp@anep.edu.uy" TargetMode="External"/><Relationship Id="rId3" Type="http://schemas.openxmlformats.org/officeDocument/2006/relationships/settings" Target="settings.xml"/><Relationship Id="rId7" Type="http://schemas.openxmlformats.org/officeDocument/2006/relationships/image" Target="file:///\\sa2cdc\..\bienes01\Mis%20documentos\Mis%20im&#225;genes\logoNuevo.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7633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rvelasco</dc:creator>
  <cp:lastModifiedBy>Mateo Premazzi</cp:lastModifiedBy>
  <cp:revision>3</cp:revision>
  <dcterms:created xsi:type="dcterms:W3CDTF">2017-03-29T19:32:00Z</dcterms:created>
  <dcterms:modified xsi:type="dcterms:W3CDTF">2017-03-29T19:33:00Z</dcterms:modified>
</cp:coreProperties>
</file>