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3EA" w:rsidRDefault="007D33EA" w:rsidP="00C5003A">
      <w:pPr>
        <w:pStyle w:val="Prrafodelista"/>
        <w:numPr>
          <w:ilvl w:val="0"/>
          <w:numId w:val="25"/>
        </w:numPr>
        <w:rPr>
          <w:b/>
        </w:rPr>
      </w:pPr>
      <w:bookmarkStart w:id="0" w:name="_GoBack"/>
      <w:bookmarkEnd w:id="0"/>
      <w:r>
        <w:rPr>
          <w:b/>
        </w:rPr>
        <w:t>Sobre el prestador</w:t>
      </w:r>
    </w:p>
    <w:p w:rsidR="007D33EA" w:rsidRPr="007D33EA" w:rsidRDefault="007D33EA" w:rsidP="007D33EA">
      <w:r>
        <w:t>La figura indicada como “el prestador” en la Memoria es la empresa que resulte adjudicataria del servicio. Hace referencia a la etapa de prestación del servicio, no a la etapa de presentación de ofertas.</w:t>
      </w:r>
    </w:p>
    <w:p w:rsidR="007D33EA" w:rsidRDefault="007D33EA" w:rsidP="007D33EA">
      <w:pPr>
        <w:pStyle w:val="Prrafodelista"/>
        <w:rPr>
          <w:b/>
        </w:rPr>
      </w:pPr>
    </w:p>
    <w:p w:rsidR="00C5003A" w:rsidRPr="000D5D35" w:rsidRDefault="00C5003A" w:rsidP="00C5003A">
      <w:pPr>
        <w:pStyle w:val="Prrafodelista"/>
        <w:numPr>
          <w:ilvl w:val="0"/>
          <w:numId w:val="25"/>
        </w:numPr>
        <w:rPr>
          <w:b/>
        </w:rPr>
      </w:pPr>
      <w:r w:rsidRPr="000D5D35">
        <w:rPr>
          <w:b/>
        </w:rPr>
        <w:t>Sobre l</w:t>
      </w:r>
      <w:r w:rsidR="007D33EA">
        <w:rPr>
          <w:b/>
        </w:rPr>
        <w:t>os anclajes y puntos de fijación</w:t>
      </w:r>
      <w:r w:rsidRPr="000D5D35">
        <w:rPr>
          <w:b/>
        </w:rPr>
        <w:t>.</w:t>
      </w:r>
    </w:p>
    <w:p w:rsidR="00C5003A" w:rsidRDefault="007D33EA" w:rsidP="0075712E">
      <w:r>
        <w:t>La Memoria establece que las fijaciones necesarias serán a propuesta del prestador, pudiendo el BSE asumir su costo</w:t>
      </w:r>
      <w:r w:rsidR="00605DA7">
        <w:t xml:space="preserve">, esto </w:t>
      </w:r>
      <w:r w:rsidR="00D12333">
        <w:t>será</w:t>
      </w:r>
      <w:r w:rsidR="00605DA7">
        <w:t xml:space="preserve"> luego de adjudicado el servicio.</w:t>
      </w:r>
      <w:r>
        <w:t xml:space="preserve"> Por lo </w:t>
      </w:r>
      <w:r w:rsidR="00605DA7">
        <w:t xml:space="preserve">tanto, los anclajes existentes </w:t>
      </w:r>
      <w:r w:rsidR="00D12333">
        <w:t xml:space="preserve">que no cuenten con certificación </w:t>
      </w:r>
      <w:r w:rsidR="00605DA7">
        <w:t xml:space="preserve">se </w:t>
      </w:r>
      <w:r>
        <w:t>evalua</w:t>
      </w:r>
      <w:r w:rsidR="00605DA7">
        <w:t>rán por la empresa</w:t>
      </w:r>
      <w:r>
        <w:t xml:space="preserve"> </w:t>
      </w:r>
      <w:r w:rsidR="00605DA7">
        <w:t xml:space="preserve">adjudicataria en el marco de su plan de seguridad y, al poder trasladar </w:t>
      </w:r>
      <w:r w:rsidR="00D12333">
        <w:t xml:space="preserve">los </w:t>
      </w:r>
      <w:r w:rsidR="00605DA7">
        <w:t>costo</w:t>
      </w:r>
      <w:r w:rsidR="00D12333">
        <w:t>s</w:t>
      </w:r>
      <w:r w:rsidR="00605DA7">
        <w:t xml:space="preserve"> </w:t>
      </w:r>
      <w:r w:rsidR="00D12333">
        <w:t>asociados al</w:t>
      </w:r>
      <w:r w:rsidR="00605DA7">
        <w:t xml:space="preserve"> BSE, entendemos que no es necesari</w:t>
      </w:r>
      <w:r w:rsidR="00D12333">
        <w:t>o</w:t>
      </w:r>
      <w:r w:rsidR="00605DA7">
        <w:t xml:space="preserve"> informar previamente la ubicación ni estado de los anclajes.</w:t>
      </w:r>
    </w:p>
    <w:p w:rsidR="00512FAD" w:rsidRDefault="00512FAD" w:rsidP="0075712E"/>
    <w:p w:rsidR="00194328" w:rsidRPr="008C4BBE" w:rsidRDefault="00605DA7" w:rsidP="0075712E">
      <w:pPr>
        <w:pStyle w:val="Prrafodelista"/>
        <w:numPr>
          <w:ilvl w:val="0"/>
          <w:numId w:val="25"/>
        </w:numPr>
        <w:rPr>
          <w:b/>
        </w:rPr>
      </w:pPr>
      <w:bookmarkStart w:id="1" w:name="_Hlk156918059"/>
      <w:r w:rsidRPr="008C4BBE">
        <w:rPr>
          <w:b/>
        </w:rPr>
        <w:t>Sobre contenedores de residuos.</w:t>
      </w:r>
    </w:p>
    <w:bookmarkEnd w:id="1"/>
    <w:p w:rsidR="00194328" w:rsidRDefault="0096056B" w:rsidP="00AA1C96">
      <w:r>
        <w:t xml:space="preserve">El BSE no detallará la cantidad ni tipo de contenedores, se limitará a exigir luego de adjudicado que se cumpla con la reglamentación vigente. El prestador deberá cambiar el tipo o color de contenedor correlativamente con los cambios en las fracciones de generación de residuos que surjan para </w:t>
      </w:r>
      <w:r w:rsidR="005276A8">
        <w:t>cumplir con</w:t>
      </w:r>
      <w:r>
        <w:t xml:space="preserve"> el manejo </w:t>
      </w:r>
      <w:r w:rsidR="005276A8">
        <w:t xml:space="preserve">y acopio </w:t>
      </w:r>
      <w:r>
        <w:t>adecuado de los residuos. Q</w:t>
      </w:r>
      <w:r w:rsidR="00AA1C96">
        <w:t>uedará a criterio de cada ofer</w:t>
      </w:r>
      <w:r>
        <w:t>ente incluir esa dinámica en su presupuesto, teniendo en cuenta lo visto en la visita de obra.</w:t>
      </w:r>
    </w:p>
    <w:p w:rsidR="00B64C6C" w:rsidRDefault="00B64C6C" w:rsidP="00AA1C96"/>
    <w:p w:rsidR="00AA1C96" w:rsidRDefault="00AA1C96" w:rsidP="00AA1C96"/>
    <w:p w:rsidR="00B64C6C" w:rsidRPr="008C4BBE" w:rsidRDefault="00B64C6C" w:rsidP="008C4BBE">
      <w:pPr>
        <w:pStyle w:val="Prrafodelista"/>
        <w:numPr>
          <w:ilvl w:val="0"/>
          <w:numId w:val="25"/>
        </w:numPr>
        <w:rPr>
          <w:b/>
        </w:rPr>
      </w:pPr>
      <w:r w:rsidRPr="008C4BBE">
        <w:rPr>
          <w:b/>
        </w:rPr>
        <w:t>Sobre la puntuación de certificados.</w:t>
      </w:r>
    </w:p>
    <w:p w:rsidR="00B64C6C" w:rsidRDefault="00B64C6C" w:rsidP="00B64C6C">
      <w:r>
        <w:t xml:space="preserve">La oficina técnica que está a cargo de la redacción de las Memorias Técnicas y quien será la unidad que controle el servicio una vez adjudicado, entiende que la norma ISO 9001 es más </w:t>
      </w:r>
      <w:proofErr w:type="spellStart"/>
      <w:r>
        <w:t>abarcativa</w:t>
      </w:r>
      <w:proofErr w:type="spellEnd"/>
      <w:r>
        <w:t xml:space="preserve"> que las normas ISO 14001 e ISO 45001. Este es el criterio definido para varios llamados.</w:t>
      </w:r>
    </w:p>
    <w:p w:rsidR="00B64C6C" w:rsidRDefault="00B64C6C" w:rsidP="00B64C6C"/>
    <w:p w:rsidR="00B64C6C" w:rsidRDefault="00B64C6C" w:rsidP="00B64C6C">
      <w:r>
        <w:t>Para justificar el peso relativo otorgado a la norma ISO 9001, se cuenta con la expectativa de que el proveedor cuente con buenas prácticas, inclusive en aspectos administrativos, lo que a nuestro entender refleja una mejor gestión del servicio más allá de la especificidad de su tarea. Y esperamos que esas buenas prácticas sean aplicadas durante la prestación del servicio, evitando tener que llegar una instancia de ejecución de garantías.</w:t>
      </w:r>
    </w:p>
    <w:p w:rsidR="00B64C6C" w:rsidRDefault="00B64C6C" w:rsidP="00B64C6C"/>
    <w:p w:rsidR="00B64C6C" w:rsidRDefault="00B64C6C" w:rsidP="00B64C6C">
      <w:r>
        <w:t>Por estos motivos es que se puntúa con mayor peso relativo a la norma ISO 9001. Se mantendrá la puntuación expresada.</w:t>
      </w:r>
    </w:p>
    <w:p w:rsidR="00B64C6C" w:rsidRDefault="00B64C6C" w:rsidP="00B64C6C"/>
    <w:p w:rsidR="00B64C6C" w:rsidRPr="008C4BBE" w:rsidRDefault="00B64C6C" w:rsidP="008C4BBE">
      <w:pPr>
        <w:pStyle w:val="Prrafodelista"/>
        <w:numPr>
          <w:ilvl w:val="0"/>
          <w:numId w:val="25"/>
        </w:numPr>
        <w:rPr>
          <w:b/>
        </w:rPr>
      </w:pPr>
      <w:r w:rsidRPr="008C4BBE">
        <w:rPr>
          <w:b/>
        </w:rPr>
        <w:t>Sobre la puntuación de antecedentes.</w:t>
      </w:r>
    </w:p>
    <w:p w:rsidR="00B64C6C" w:rsidRDefault="00B64C6C" w:rsidP="00B64C6C">
      <w:r>
        <w:t>Se mantiene los criterios previstos en el pliego para puntuar los antecedentes.</w:t>
      </w:r>
    </w:p>
    <w:p w:rsidR="00B64C6C" w:rsidRDefault="00B64C6C" w:rsidP="00B64C6C"/>
    <w:p w:rsidR="00B64C6C" w:rsidRPr="008C4BBE" w:rsidRDefault="00B64C6C" w:rsidP="008C4BBE">
      <w:pPr>
        <w:pStyle w:val="Prrafodelista"/>
        <w:numPr>
          <w:ilvl w:val="0"/>
          <w:numId w:val="25"/>
        </w:numPr>
        <w:rPr>
          <w:b/>
        </w:rPr>
      </w:pPr>
      <w:r w:rsidRPr="008C4BBE">
        <w:rPr>
          <w:b/>
        </w:rPr>
        <w:t>Sobre la dotación mínima.</w:t>
      </w:r>
    </w:p>
    <w:p w:rsidR="000D5D35" w:rsidRDefault="00B64C6C" w:rsidP="00B64C6C">
      <w:r>
        <w:t>El dimensionado será responsabilidad del prestador.</w:t>
      </w:r>
    </w:p>
    <w:p w:rsidR="000D5D35" w:rsidRDefault="000D5D35" w:rsidP="0075712E"/>
    <w:p w:rsidR="000D5D35" w:rsidRDefault="000D5D35" w:rsidP="0075712E"/>
    <w:p w:rsidR="0075712E" w:rsidRDefault="0075712E" w:rsidP="0075712E"/>
    <w:p w:rsidR="000174AE" w:rsidRPr="002E7795" w:rsidRDefault="000174AE" w:rsidP="0075712E">
      <w:pPr>
        <w:rPr>
          <w:lang w:val="es-ES"/>
        </w:rPr>
      </w:pPr>
    </w:p>
    <w:sectPr w:rsidR="000174AE" w:rsidRPr="002E7795" w:rsidSect="00F04710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268" w:right="1134" w:bottom="1418" w:left="1134" w:header="79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30C" w:rsidRDefault="0091030C" w:rsidP="00417B72">
      <w:r>
        <w:separator/>
      </w:r>
    </w:p>
  </w:endnote>
  <w:endnote w:type="continuationSeparator" w:id="0">
    <w:p w:rsidR="0091030C" w:rsidRDefault="0091030C" w:rsidP="00417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642708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B62FF" w:rsidRPr="00AB62FF" w:rsidRDefault="00AB62FF">
        <w:pPr>
          <w:pStyle w:val="Piedepgina"/>
          <w:rPr>
            <w:rFonts w:ascii="Arial" w:hAnsi="Arial" w:cs="Arial"/>
            <w:sz w:val="18"/>
            <w:szCs w:val="18"/>
          </w:rPr>
        </w:pPr>
        <w:r w:rsidRPr="00AB62FF">
          <w:rPr>
            <w:rFonts w:ascii="Arial" w:hAnsi="Arial" w:cs="Arial"/>
            <w:noProof/>
            <w:sz w:val="18"/>
            <w:szCs w:val="18"/>
            <w:lang w:eastAsia="es-UY"/>
          </w:rPr>
          <w:drawing>
            <wp:anchor distT="0" distB="0" distL="114300" distR="114300" simplePos="0" relativeHeight="251660288" behindDoc="1" locked="0" layoutInCell="1" allowOverlap="1" wp14:anchorId="47228115" wp14:editId="11BECDDC">
              <wp:simplePos x="0" y="0"/>
              <wp:positionH relativeFrom="page">
                <wp:posOffset>-41252</wp:posOffset>
              </wp:positionH>
              <wp:positionV relativeFrom="bottomMargin">
                <wp:posOffset>-3992</wp:posOffset>
              </wp:positionV>
              <wp:extent cx="7594516" cy="906235"/>
              <wp:effectExtent l="0" t="0" r="635" b="0"/>
              <wp:wrapNone/>
              <wp:docPr id="6" name="Imagen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n 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45401" cy="92424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AB62FF">
          <w:rPr>
            <w:rFonts w:ascii="Arial" w:hAnsi="Arial" w:cs="Arial"/>
            <w:sz w:val="18"/>
            <w:szCs w:val="18"/>
          </w:rPr>
          <w:fldChar w:fldCharType="begin"/>
        </w:r>
        <w:r w:rsidRPr="00AB62FF">
          <w:rPr>
            <w:rFonts w:ascii="Arial" w:hAnsi="Arial" w:cs="Arial"/>
            <w:sz w:val="18"/>
            <w:szCs w:val="18"/>
          </w:rPr>
          <w:instrText>PAGE   \* MERGEFORMAT</w:instrText>
        </w:r>
        <w:r w:rsidRPr="00AB62FF">
          <w:rPr>
            <w:rFonts w:ascii="Arial" w:hAnsi="Arial" w:cs="Arial"/>
            <w:sz w:val="18"/>
            <w:szCs w:val="18"/>
          </w:rPr>
          <w:fldChar w:fldCharType="separate"/>
        </w:r>
        <w:r w:rsidR="00DC2709" w:rsidRPr="00DC2709">
          <w:rPr>
            <w:rFonts w:ascii="Arial" w:hAnsi="Arial" w:cs="Arial"/>
            <w:noProof/>
            <w:sz w:val="18"/>
            <w:szCs w:val="18"/>
            <w:lang w:val="es-ES"/>
          </w:rPr>
          <w:t>2</w:t>
        </w:r>
        <w:r w:rsidRPr="00AB62FF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AB62FF" w:rsidRDefault="00AB62F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C71" w:rsidRDefault="00677C71">
    <w:pPr>
      <w:pStyle w:val="Piedepgina"/>
    </w:pPr>
    <w:r w:rsidRPr="00AB62FF">
      <w:rPr>
        <w:rFonts w:ascii="Arial" w:hAnsi="Arial" w:cs="Arial"/>
        <w:noProof/>
        <w:sz w:val="18"/>
        <w:szCs w:val="18"/>
        <w:lang w:eastAsia="es-UY"/>
      </w:rPr>
      <w:drawing>
        <wp:anchor distT="0" distB="0" distL="114300" distR="114300" simplePos="0" relativeHeight="251662336" behindDoc="1" locked="0" layoutInCell="1" allowOverlap="1" wp14:anchorId="3E354CCF" wp14:editId="1DD06935">
          <wp:simplePos x="0" y="0"/>
          <wp:positionH relativeFrom="page">
            <wp:posOffset>-42801</wp:posOffset>
          </wp:positionH>
          <wp:positionV relativeFrom="bottomMargin">
            <wp:posOffset>4173</wp:posOffset>
          </wp:positionV>
          <wp:extent cx="7594523" cy="906236"/>
          <wp:effectExtent l="0" t="0" r="63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30120" cy="9462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30C" w:rsidRDefault="0091030C" w:rsidP="00417B72">
      <w:r>
        <w:separator/>
      </w:r>
    </w:p>
  </w:footnote>
  <w:footnote w:type="continuationSeparator" w:id="0">
    <w:p w:rsidR="0091030C" w:rsidRDefault="0091030C" w:rsidP="00417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B72" w:rsidRDefault="00417B72" w:rsidP="00417B72">
    <w:pPr>
      <w:pStyle w:val="Encabezado"/>
      <w:tabs>
        <w:tab w:val="clear" w:pos="4419"/>
        <w:tab w:val="clear" w:pos="8838"/>
        <w:tab w:val="left" w:pos="526"/>
      </w:tabs>
    </w:pPr>
    <w:r>
      <w:rPr>
        <w:noProof/>
        <w:lang w:eastAsia="es-UY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8164</wp:posOffset>
          </wp:positionH>
          <wp:positionV relativeFrom="paragraph">
            <wp:posOffset>-463819</wp:posOffset>
          </wp:positionV>
          <wp:extent cx="7662689" cy="1120426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689" cy="1120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17B72" w:rsidRDefault="00417B7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C71" w:rsidRDefault="00677C71">
    <w:pPr>
      <w:pStyle w:val="Encabezado"/>
    </w:pPr>
    <w:r>
      <w:rPr>
        <w:noProof/>
        <w:lang w:eastAsia="es-UY"/>
      </w:rPr>
      <w:drawing>
        <wp:anchor distT="0" distB="0" distL="114300" distR="114300" simplePos="0" relativeHeight="251664384" behindDoc="1" locked="0" layoutInCell="1" allowOverlap="1" wp14:anchorId="6D730187" wp14:editId="700E8775">
          <wp:simplePos x="0" y="0"/>
          <wp:positionH relativeFrom="page">
            <wp:posOffset>1</wp:posOffset>
          </wp:positionH>
          <wp:positionV relativeFrom="paragraph">
            <wp:posOffset>-463369</wp:posOffset>
          </wp:positionV>
          <wp:extent cx="7653784" cy="1119124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026" cy="1125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F315F"/>
    <w:multiLevelType w:val="multilevel"/>
    <w:tmpl w:val="B01EE41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37810A6"/>
    <w:multiLevelType w:val="hybridMultilevel"/>
    <w:tmpl w:val="C54C9BA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05401"/>
    <w:multiLevelType w:val="hybridMultilevel"/>
    <w:tmpl w:val="75E8A1CA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04CA6"/>
    <w:multiLevelType w:val="hybridMultilevel"/>
    <w:tmpl w:val="0F20C49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F6EA8"/>
    <w:multiLevelType w:val="hybridMultilevel"/>
    <w:tmpl w:val="CFD0DCF6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E37CE"/>
    <w:multiLevelType w:val="hybridMultilevel"/>
    <w:tmpl w:val="308CDC94"/>
    <w:lvl w:ilvl="0" w:tplc="B6EAAE82">
      <w:start w:val="1"/>
      <w:numFmt w:val="decimal"/>
      <w:pStyle w:val="Ttulo4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300EB"/>
    <w:multiLevelType w:val="hybridMultilevel"/>
    <w:tmpl w:val="EEA01060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B2ADA"/>
    <w:multiLevelType w:val="hybridMultilevel"/>
    <w:tmpl w:val="CA745430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E74DC"/>
    <w:multiLevelType w:val="hybridMultilevel"/>
    <w:tmpl w:val="89AC2FCA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C6176"/>
    <w:multiLevelType w:val="hybridMultilevel"/>
    <w:tmpl w:val="06D8CD44"/>
    <w:lvl w:ilvl="0" w:tplc="5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C77D0"/>
    <w:multiLevelType w:val="hybridMultilevel"/>
    <w:tmpl w:val="7856F35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D5B39"/>
    <w:multiLevelType w:val="hybridMultilevel"/>
    <w:tmpl w:val="214CAB50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77BF3"/>
    <w:multiLevelType w:val="hybridMultilevel"/>
    <w:tmpl w:val="D19010B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32F9C"/>
    <w:multiLevelType w:val="hybridMultilevel"/>
    <w:tmpl w:val="7C4E383C"/>
    <w:lvl w:ilvl="0" w:tplc="3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E0220"/>
    <w:multiLevelType w:val="hybridMultilevel"/>
    <w:tmpl w:val="CFD0DCF6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A256D"/>
    <w:multiLevelType w:val="hybridMultilevel"/>
    <w:tmpl w:val="EBBAD8D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16B70"/>
    <w:multiLevelType w:val="hybridMultilevel"/>
    <w:tmpl w:val="89AC2FCA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24C45"/>
    <w:multiLevelType w:val="hybridMultilevel"/>
    <w:tmpl w:val="55529E20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46BA4"/>
    <w:multiLevelType w:val="hybridMultilevel"/>
    <w:tmpl w:val="89AC2FCA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E17254"/>
    <w:multiLevelType w:val="hybridMultilevel"/>
    <w:tmpl w:val="8F7604E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3258F"/>
    <w:multiLevelType w:val="hybridMultilevel"/>
    <w:tmpl w:val="35707764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F0CC4"/>
    <w:multiLevelType w:val="hybridMultilevel"/>
    <w:tmpl w:val="89AC2FCA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303BC"/>
    <w:multiLevelType w:val="hybridMultilevel"/>
    <w:tmpl w:val="CFD0DCF6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11664"/>
    <w:multiLevelType w:val="hybridMultilevel"/>
    <w:tmpl w:val="54E44A4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B2A95"/>
    <w:multiLevelType w:val="hybridMultilevel"/>
    <w:tmpl w:val="CFD0DCF6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1752F7"/>
    <w:multiLevelType w:val="hybridMultilevel"/>
    <w:tmpl w:val="89AC2FCA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"/>
  </w:num>
  <w:num w:numId="4">
    <w:abstractNumId w:val="12"/>
  </w:num>
  <w:num w:numId="5">
    <w:abstractNumId w:val="3"/>
  </w:num>
  <w:num w:numId="6">
    <w:abstractNumId w:val="15"/>
  </w:num>
  <w:num w:numId="7">
    <w:abstractNumId w:val="25"/>
  </w:num>
  <w:num w:numId="8">
    <w:abstractNumId w:val="10"/>
  </w:num>
  <w:num w:numId="9">
    <w:abstractNumId w:val="23"/>
  </w:num>
  <w:num w:numId="10">
    <w:abstractNumId w:val="7"/>
  </w:num>
  <w:num w:numId="11">
    <w:abstractNumId w:val="11"/>
  </w:num>
  <w:num w:numId="12">
    <w:abstractNumId w:val="14"/>
  </w:num>
  <w:num w:numId="13">
    <w:abstractNumId w:val="5"/>
  </w:num>
  <w:num w:numId="14">
    <w:abstractNumId w:val="24"/>
  </w:num>
  <w:num w:numId="15">
    <w:abstractNumId w:val="4"/>
  </w:num>
  <w:num w:numId="16">
    <w:abstractNumId w:val="16"/>
  </w:num>
  <w:num w:numId="17">
    <w:abstractNumId w:val="18"/>
  </w:num>
  <w:num w:numId="18">
    <w:abstractNumId w:val="22"/>
  </w:num>
  <w:num w:numId="19">
    <w:abstractNumId w:val="0"/>
  </w:num>
  <w:num w:numId="20">
    <w:abstractNumId w:val="2"/>
  </w:num>
  <w:num w:numId="21">
    <w:abstractNumId w:val="21"/>
  </w:num>
  <w:num w:numId="22">
    <w:abstractNumId w:val="8"/>
  </w:num>
  <w:num w:numId="23">
    <w:abstractNumId w:val="19"/>
  </w:num>
  <w:num w:numId="24">
    <w:abstractNumId w:val="13"/>
  </w:num>
  <w:num w:numId="25">
    <w:abstractNumId w:val="1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B72"/>
    <w:rsid w:val="00002452"/>
    <w:rsid w:val="000174AE"/>
    <w:rsid w:val="00087FA1"/>
    <w:rsid w:val="000A07C3"/>
    <w:rsid w:val="000B3381"/>
    <w:rsid w:val="000D5D35"/>
    <w:rsid w:val="000E2C8C"/>
    <w:rsid w:val="00102883"/>
    <w:rsid w:val="00113530"/>
    <w:rsid w:val="001172ED"/>
    <w:rsid w:val="00194328"/>
    <w:rsid w:val="001A0238"/>
    <w:rsid w:val="001C08DD"/>
    <w:rsid w:val="001E4234"/>
    <w:rsid w:val="00213E60"/>
    <w:rsid w:val="00241383"/>
    <w:rsid w:val="00264919"/>
    <w:rsid w:val="00296EFA"/>
    <w:rsid w:val="002A4B06"/>
    <w:rsid w:val="002B17C1"/>
    <w:rsid w:val="002B2AA5"/>
    <w:rsid w:val="002E7795"/>
    <w:rsid w:val="00304F9F"/>
    <w:rsid w:val="00306E03"/>
    <w:rsid w:val="003119CA"/>
    <w:rsid w:val="00357652"/>
    <w:rsid w:val="00391514"/>
    <w:rsid w:val="003B28F1"/>
    <w:rsid w:val="003C4EBF"/>
    <w:rsid w:val="00402CFB"/>
    <w:rsid w:val="00417B72"/>
    <w:rsid w:val="00435E2C"/>
    <w:rsid w:val="00441FCB"/>
    <w:rsid w:val="00450D5B"/>
    <w:rsid w:val="00471038"/>
    <w:rsid w:val="00474997"/>
    <w:rsid w:val="0048389D"/>
    <w:rsid w:val="004A17AC"/>
    <w:rsid w:val="004D752D"/>
    <w:rsid w:val="00512FAD"/>
    <w:rsid w:val="005207AF"/>
    <w:rsid w:val="00521C79"/>
    <w:rsid w:val="005276A8"/>
    <w:rsid w:val="0055360A"/>
    <w:rsid w:val="005D326C"/>
    <w:rsid w:val="005E2E66"/>
    <w:rsid w:val="00605DA7"/>
    <w:rsid w:val="00627085"/>
    <w:rsid w:val="006275A2"/>
    <w:rsid w:val="0064622C"/>
    <w:rsid w:val="006514B0"/>
    <w:rsid w:val="00677C71"/>
    <w:rsid w:val="006E6C16"/>
    <w:rsid w:val="006E78B7"/>
    <w:rsid w:val="00700CE9"/>
    <w:rsid w:val="00706C5B"/>
    <w:rsid w:val="00720735"/>
    <w:rsid w:val="00724C4B"/>
    <w:rsid w:val="00752E63"/>
    <w:rsid w:val="0075712E"/>
    <w:rsid w:val="00776200"/>
    <w:rsid w:val="007D33EA"/>
    <w:rsid w:val="008116CB"/>
    <w:rsid w:val="008123E8"/>
    <w:rsid w:val="00832977"/>
    <w:rsid w:val="00836F28"/>
    <w:rsid w:val="00895A7D"/>
    <w:rsid w:val="008A0735"/>
    <w:rsid w:val="008A3FB2"/>
    <w:rsid w:val="008C4BBE"/>
    <w:rsid w:val="00906BCC"/>
    <w:rsid w:val="0091030C"/>
    <w:rsid w:val="00936D39"/>
    <w:rsid w:val="009505E7"/>
    <w:rsid w:val="0096056B"/>
    <w:rsid w:val="009815A9"/>
    <w:rsid w:val="00985073"/>
    <w:rsid w:val="00A23BF7"/>
    <w:rsid w:val="00A24FAD"/>
    <w:rsid w:val="00A358C0"/>
    <w:rsid w:val="00A63914"/>
    <w:rsid w:val="00A761C8"/>
    <w:rsid w:val="00AA1C96"/>
    <w:rsid w:val="00AA7A77"/>
    <w:rsid w:val="00AB3434"/>
    <w:rsid w:val="00AB62FF"/>
    <w:rsid w:val="00B16C98"/>
    <w:rsid w:val="00B24F3F"/>
    <w:rsid w:val="00B64C6C"/>
    <w:rsid w:val="00BA0F17"/>
    <w:rsid w:val="00BB307C"/>
    <w:rsid w:val="00BC0CA4"/>
    <w:rsid w:val="00C01285"/>
    <w:rsid w:val="00C20153"/>
    <w:rsid w:val="00C5003A"/>
    <w:rsid w:val="00C61BC0"/>
    <w:rsid w:val="00C63013"/>
    <w:rsid w:val="00C63998"/>
    <w:rsid w:val="00C8096F"/>
    <w:rsid w:val="00C82D11"/>
    <w:rsid w:val="00D12333"/>
    <w:rsid w:val="00D23357"/>
    <w:rsid w:val="00D35101"/>
    <w:rsid w:val="00D50CDB"/>
    <w:rsid w:val="00D75221"/>
    <w:rsid w:val="00D84197"/>
    <w:rsid w:val="00D86879"/>
    <w:rsid w:val="00D91FC7"/>
    <w:rsid w:val="00D9437D"/>
    <w:rsid w:val="00DC2709"/>
    <w:rsid w:val="00DF5C63"/>
    <w:rsid w:val="00E04F16"/>
    <w:rsid w:val="00E94B22"/>
    <w:rsid w:val="00ED4702"/>
    <w:rsid w:val="00EE11F2"/>
    <w:rsid w:val="00F04710"/>
    <w:rsid w:val="00F1290D"/>
    <w:rsid w:val="00F20257"/>
    <w:rsid w:val="00F54046"/>
    <w:rsid w:val="00F62040"/>
    <w:rsid w:val="00F8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E84D7A0-1803-4B5C-B4EC-D358FE23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UY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24F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next w:val="Normal"/>
    <w:link w:val="Ttulo2Car"/>
    <w:uiPriority w:val="9"/>
    <w:unhideWhenUsed/>
    <w:qFormat/>
    <w:rsid w:val="006275A2"/>
    <w:pPr>
      <w:keepNext/>
      <w:keepLines/>
      <w:spacing w:line="259" w:lineRule="auto"/>
      <w:ind w:left="10" w:hanging="10"/>
      <w:outlineLvl w:val="1"/>
    </w:pPr>
    <w:rPr>
      <w:rFonts w:ascii="Tahoma" w:eastAsia="Tahoma" w:hAnsi="Tahoma" w:cs="Tahoma"/>
      <w:b/>
      <w:color w:val="632423"/>
      <w:sz w:val="25"/>
      <w:szCs w:val="22"/>
      <w:u w:val="single" w:color="632423"/>
      <w:lang w:eastAsia="es-UY"/>
    </w:rPr>
  </w:style>
  <w:style w:type="paragraph" w:styleId="Ttulo3">
    <w:name w:val="heading 3"/>
    <w:next w:val="Normal"/>
    <w:link w:val="Ttulo3Car"/>
    <w:uiPriority w:val="9"/>
    <w:unhideWhenUsed/>
    <w:qFormat/>
    <w:rsid w:val="006275A2"/>
    <w:pPr>
      <w:keepNext/>
      <w:keepLines/>
      <w:spacing w:after="241" w:line="255" w:lineRule="auto"/>
      <w:ind w:left="10" w:right="142" w:hanging="10"/>
      <w:jc w:val="right"/>
      <w:outlineLvl w:val="2"/>
    </w:pPr>
    <w:rPr>
      <w:rFonts w:ascii="Calibri" w:eastAsia="Calibri" w:hAnsi="Calibri" w:cs="Calibri"/>
      <w:color w:val="000000"/>
      <w:sz w:val="21"/>
      <w:szCs w:val="22"/>
      <w:lang w:eastAsia="es-UY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02CFB"/>
    <w:pPr>
      <w:keepNext/>
      <w:keepLines/>
      <w:numPr>
        <w:numId w:val="13"/>
      </w:numPr>
      <w:spacing w:before="40"/>
      <w:outlineLvl w:val="3"/>
    </w:pPr>
    <w:rPr>
      <w:rFonts w:asciiTheme="majorHAnsi" w:eastAsiaTheme="majorEastAsia" w:hAnsiTheme="majorHAnsi" w:cstheme="majorBidi"/>
      <w:b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7B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7B72"/>
  </w:style>
  <w:style w:type="paragraph" w:styleId="Piedepgina">
    <w:name w:val="footer"/>
    <w:basedOn w:val="Normal"/>
    <w:link w:val="PiedepginaCar"/>
    <w:uiPriority w:val="99"/>
    <w:unhideWhenUsed/>
    <w:rsid w:val="00417B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7B72"/>
  </w:style>
  <w:style w:type="paragraph" w:customStyle="1" w:styleId="Prrafobsico">
    <w:name w:val="[Párrafo básico]"/>
    <w:basedOn w:val="Normal"/>
    <w:uiPriority w:val="99"/>
    <w:rsid w:val="0072073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6275A2"/>
    <w:rPr>
      <w:rFonts w:ascii="Tahoma" w:eastAsia="Tahoma" w:hAnsi="Tahoma" w:cs="Tahoma"/>
      <w:b/>
      <w:color w:val="632423"/>
      <w:sz w:val="25"/>
      <w:szCs w:val="22"/>
      <w:u w:val="single" w:color="632423"/>
      <w:lang w:eastAsia="es-UY"/>
    </w:rPr>
  </w:style>
  <w:style w:type="character" w:customStyle="1" w:styleId="Ttulo3Car">
    <w:name w:val="Título 3 Car"/>
    <w:basedOn w:val="Fuentedeprrafopredeter"/>
    <w:link w:val="Ttulo3"/>
    <w:uiPriority w:val="9"/>
    <w:rsid w:val="006275A2"/>
    <w:rPr>
      <w:rFonts w:ascii="Calibri" w:eastAsia="Calibri" w:hAnsi="Calibri" w:cs="Calibri"/>
      <w:color w:val="000000"/>
      <w:sz w:val="21"/>
      <w:szCs w:val="22"/>
      <w:lang w:eastAsia="es-UY"/>
    </w:rPr>
  </w:style>
  <w:style w:type="paragraph" w:styleId="Prrafodelista">
    <w:name w:val="List Paragraph"/>
    <w:basedOn w:val="Normal"/>
    <w:uiPriority w:val="34"/>
    <w:qFormat/>
    <w:rsid w:val="006275A2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75A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75A2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6275A2"/>
  </w:style>
  <w:style w:type="character" w:customStyle="1" w:styleId="Ttulo4Car">
    <w:name w:val="Título 4 Car"/>
    <w:basedOn w:val="Fuentedeprrafopredeter"/>
    <w:link w:val="Ttulo4"/>
    <w:uiPriority w:val="9"/>
    <w:rsid w:val="00402CFB"/>
    <w:rPr>
      <w:rFonts w:asciiTheme="majorHAnsi" w:eastAsiaTheme="majorEastAsia" w:hAnsiTheme="majorHAnsi" w:cstheme="majorBidi"/>
      <w:b/>
      <w:i/>
      <w:iCs/>
      <w:color w:val="2F5496" w:themeColor="accent1" w:themeShade="BF"/>
    </w:rPr>
  </w:style>
  <w:style w:type="character" w:customStyle="1" w:styleId="Ttulo1Car">
    <w:name w:val="Título 1 Car"/>
    <w:basedOn w:val="Fuentedeprrafopredeter"/>
    <w:link w:val="Ttulo1"/>
    <w:uiPriority w:val="9"/>
    <w:rsid w:val="00B24F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0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8ACCBE-569D-4AA3-8632-2F81E442A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BSE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Gonzalez</dc:creator>
  <cp:lastModifiedBy>Farias, Fernando</cp:lastModifiedBy>
  <cp:revision>2</cp:revision>
  <dcterms:created xsi:type="dcterms:W3CDTF">2024-01-24T18:18:00Z</dcterms:created>
  <dcterms:modified xsi:type="dcterms:W3CDTF">2024-01-24T18:18:00Z</dcterms:modified>
</cp:coreProperties>
</file>