
<file path=[Content_Types].xml><?xml version="1.0" encoding="utf-8"?>
<Types xmlns="http://schemas.openxmlformats.org/package/2006/content-types">
  <Default Extension="xml" ContentType="application/xml"/>
  <Default Extension="png" ContentType="image/png"/>
  <Default Extension="gif" ContentType="image/gif"/>
  <Default Extension="jpeg" ContentType="image/jpeg"/>
  <Default Extension="JPG" ContentType="image/.jpg"/>
  <Default Extension="wdp" ContentType="image/vnd.ms-photo"/>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both"/>
        <w:rPr>
          <w:rFonts w:ascii="Arial" w:hAnsi="Arial"/>
          <w:sz w:val="22"/>
          <w:szCs w:val="22"/>
        </w:rPr>
      </w:pPr>
      <w:r>
        <w:rPr>
          <w:rFonts w:ascii="Arial" w:hAnsi="Arial"/>
          <w:b/>
          <w:bCs/>
          <w:color w:val="000000"/>
          <w:sz w:val="22"/>
          <w:szCs w:val="22"/>
        </w:rPr>
        <w:t>OBJETO Y DESCRIPCIÓN</w:t>
      </w:r>
    </w:p>
    <w:p>
      <w:pPr>
        <w:pStyle w:val="54"/>
        <w:numPr>
          <w:ilvl w:val="0"/>
          <w:numId w:val="2"/>
        </w:numPr>
        <w:spacing w:line="360" w:lineRule="auto"/>
        <w:jc w:val="both"/>
        <w:rPr>
          <w:rFonts w:ascii="Arial" w:hAnsi="Arial"/>
          <w:sz w:val="22"/>
          <w:szCs w:val="22"/>
        </w:rPr>
      </w:pPr>
      <w:r>
        <w:rPr>
          <w:rFonts w:ascii="Arial" w:hAnsi="Arial"/>
          <w:b/>
          <w:bCs/>
          <w:color w:val="000000"/>
          <w:sz w:val="22"/>
          <w:szCs w:val="22"/>
        </w:rPr>
        <w:t xml:space="preserve">OBJETO </w:t>
      </w:r>
    </w:p>
    <w:p>
      <w:pPr>
        <w:spacing w:line="360" w:lineRule="auto"/>
        <w:jc w:val="both"/>
        <w:rPr>
          <w:rFonts w:ascii="Arial" w:hAnsi="Arial"/>
          <w:sz w:val="22"/>
          <w:szCs w:val="22"/>
        </w:rPr>
      </w:pPr>
      <w:r>
        <w:rPr>
          <w:rFonts w:ascii="Arial" w:hAnsi="Arial"/>
          <w:color w:val="000000"/>
          <w:sz w:val="22"/>
          <w:szCs w:val="22"/>
        </w:rPr>
        <w:t>OBRAS DEL PROYECTO HIDRÁULICO DE COMBATE CONTRA INCENDIOS</w:t>
      </w:r>
    </w:p>
    <w:p>
      <w:pPr>
        <w:pStyle w:val="54"/>
        <w:numPr>
          <w:ilvl w:val="1"/>
          <w:numId w:val="3"/>
        </w:numPr>
        <w:spacing w:line="360" w:lineRule="auto"/>
        <w:jc w:val="both"/>
        <w:rPr>
          <w:rFonts w:ascii="Arial" w:hAnsi="Arial"/>
          <w:sz w:val="22"/>
          <w:szCs w:val="22"/>
        </w:rPr>
      </w:pPr>
      <w:r>
        <w:rPr>
          <w:rFonts w:ascii="Arial" w:hAnsi="Arial"/>
          <w:b/>
          <w:color w:val="000000"/>
          <w:sz w:val="22"/>
          <w:szCs w:val="22"/>
        </w:rPr>
        <w:t xml:space="preserve">RESERVA DE INCENDIO (RI) DE 18m3 </w:t>
      </w:r>
    </w:p>
    <w:p>
      <w:pPr>
        <w:spacing w:line="360" w:lineRule="auto"/>
        <w:jc w:val="both"/>
        <w:rPr>
          <w:rFonts w:ascii="Arial" w:hAnsi="Arial"/>
          <w:sz w:val="22"/>
          <w:szCs w:val="22"/>
        </w:rPr>
      </w:pPr>
      <w:r>
        <w:rPr>
          <w:rFonts w:ascii="Arial" w:hAnsi="Arial"/>
          <w:bCs/>
          <w:color w:val="000000"/>
          <w:sz w:val="22"/>
          <w:szCs w:val="22"/>
        </w:rPr>
        <w:t>La propuesta debe incluir:</w:t>
      </w:r>
    </w:p>
    <w:p>
      <w:pPr>
        <w:numPr>
          <w:ilvl w:val="0"/>
          <w:numId w:val="4"/>
        </w:numPr>
        <w:spacing w:line="360" w:lineRule="auto"/>
        <w:jc w:val="both"/>
        <w:rPr>
          <w:rFonts w:ascii="Arial" w:hAnsi="Arial"/>
          <w:sz w:val="22"/>
          <w:szCs w:val="22"/>
        </w:rPr>
      </w:pPr>
      <w:r>
        <w:rPr>
          <w:rFonts w:ascii="Arial" w:hAnsi="Arial"/>
          <w:bCs/>
          <w:color w:val="000000"/>
          <w:sz w:val="22"/>
          <w:szCs w:val="22"/>
        </w:rPr>
        <w:t>El proyecto de la obra civil firmado por responsable técnico,</w:t>
      </w:r>
    </w:p>
    <w:p>
      <w:pPr>
        <w:numPr>
          <w:ilvl w:val="0"/>
          <w:numId w:val="4"/>
        </w:numPr>
        <w:spacing w:line="360" w:lineRule="auto"/>
        <w:jc w:val="both"/>
        <w:rPr>
          <w:rFonts w:ascii="Arial" w:hAnsi="Arial"/>
          <w:sz w:val="22"/>
          <w:szCs w:val="22"/>
        </w:rPr>
      </w:pPr>
      <w:r>
        <w:rPr>
          <w:rFonts w:ascii="Arial" w:hAnsi="Arial"/>
          <w:bCs/>
          <w:color w:val="000000"/>
          <w:sz w:val="22"/>
          <w:szCs w:val="22"/>
        </w:rPr>
        <w:t>La realización de las obras de la RI</w:t>
      </w:r>
    </w:p>
    <w:p>
      <w:pPr>
        <w:numPr>
          <w:ilvl w:val="0"/>
          <w:numId w:val="4"/>
        </w:numPr>
        <w:spacing w:line="360" w:lineRule="auto"/>
        <w:jc w:val="both"/>
        <w:rPr>
          <w:rFonts w:ascii="Arial" w:hAnsi="Arial"/>
          <w:sz w:val="22"/>
          <w:szCs w:val="22"/>
        </w:rPr>
      </w:pPr>
      <w:r>
        <w:rPr>
          <w:rFonts w:ascii="Arial" w:hAnsi="Arial"/>
          <w:bCs/>
          <w:color w:val="000000"/>
          <w:sz w:val="22"/>
          <w:szCs w:val="22"/>
        </w:rPr>
        <w:t>Insumo e instalación, conexiones necesarias para su correcto funcionamiento.</w:t>
      </w:r>
    </w:p>
    <w:p>
      <w:pPr>
        <w:numPr>
          <w:ilvl w:val="0"/>
          <w:numId w:val="0"/>
        </w:numPr>
        <w:spacing w:line="360" w:lineRule="auto"/>
        <w:ind w:left="720" w:firstLine="0"/>
        <w:jc w:val="both"/>
        <w:rPr>
          <w:bCs/>
          <w:color w:val="000000"/>
        </w:rPr>
      </w:pPr>
    </w:p>
    <w:p>
      <w:pPr>
        <w:pStyle w:val="54"/>
        <w:numPr>
          <w:ilvl w:val="1"/>
          <w:numId w:val="3"/>
        </w:numPr>
        <w:spacing w:line="360" w:lineRule="auto"/>
        <w:jc w:val="both"/>
        <w:rPr>
          <w:rFonts w:ascii="Arial" w:hAnsi="Arial"/>
          <w:sz w:val="22"/>
          <w:szCs w:val="22"/>
        </w:rPr>
      </w:pPr>
      <w:r>
        <w:rPr>
          <w:rFonts w:ascii="Arial" w:hAnsi="Arial"/>
          <w:b/>
          <w:color w:val="000000"/>
          <w:sz w:val="22"/>
          <w:szCs w:val="22"/>
        </w:rPr>
        <w:t xml:space="preserve">SISTEMA DE BOMBA DE INC. </w:t>
      </w:r>
    </w:p>
    <w:p>
      <w:pPr>
        <w:spacing w:line="360" w:lineRule="auto"/>
        <w:jc w:val="both"/>
        <w:rPr>
          <w:rFonts w:ascii="Arial" w:hAnsi="Arial"/>
          <w:sz w:val="22"/>
          <w:szCs w:val="22"/>
        </w:rPr>
      </w:pPr>
      <w:r>
        <w:rPr>
          <w:rFonts w:ascii="Arial" w:hAnsi="Arial"/>
          <w:bCs/>
          <w:color w:val="000000"/>
          <w:sz w:val="22"/>
          <w:szCs w:val="22"/>
        </w:rPr>
        <w:t>La propuesta basada en el cálculo hidráulico del ing. deberá considerar:</w:t>
      </w:r>
    </w:p>
    <w:p>
      <w:pPr>
        <w:numPr>
          <w:ilvl w:val="0"/>
          <w:numId w:val="5"/>
        </w:numPr>
        <w:spacing w:line="360" w:lineRule="auto"/>
        <w:jc w:val="both"/>
        <w:rPr>
          <w:rFonts w:ascii="Arial" w:hAnsi="Arial"/>
          <w:sz w:val="22"/>
          <w:szCs w:val="22"/>
        </w:rPr>
      </w:pPr>
      <w:r>
        <w:rPr>
          <w:rFonts w:ascii="Arial" w:hAnsi="Arial"/>
          <w:b/>
          <w:color w:val="000000"/>
          <w:sz w:val="22"/>
          <w:szCs w:val="22"/>
        </w:rPr>
        <w:t>Bomba de incendio + bomba jockey</w:t>
      </w:r>
    </w:p>
    <w:p>
      <w:pPr>
        <w:numPr>
          <w:ilvl w:val="0"/>
          <w:numId w:val="5"/>
        </w:numPr>
        <w:spacing w:line="360" w:lineRule="auto"/>
        <w:jc w:val="both"/>
        <w:rPr>
          <w:rFonts w:ascii="Arial" w:hAnsi="Arial"/>
          <w:sz w:val="22"/>
          <w:szCs w:val="22"/>
        </w:rPr>
      </w:pPr>
      <w:r>
        <w:rPr>
          <w:rFonts w:ascii="Arial" w:hAnsi="Arial"/>
          <w:b/>
          <w:color w:val="000000"/>
          <w:sz w:val="22"/>
          <w:szCs w:val="22"/>
        </w:rPr>
        <w:t>tablero de la bomba</w:t>
      </w:r>
      <w:r>
        <w:rPr>
          <w:rFonts w:ascii="Arial" w:hAnsi="Arial"/>
          <w:bCs/>
          <w:color w:val="000000"/>
          <w:sz w:val="22"/>
          <w:szCs w:val="22"/>
        </w:rPr>
        <w:t xml:space="preserve"> de incendio</w:t>
      </w:r>
    </w:p>
    <w:p>
      <w:pPr>
        <w:numPr>
          <w:ilvl w:val="0"/>
          <w:numId w:val="5"/>
        </w:numPr>
        <w:spacing w:line="360" w:lineRule="auto"/>
        <w:jc w:val="both"/>
        <w:rPr>
          <w:rFonts w:ascii="Arial" w:hAnsi="Arial"/>
          <w:sz w:val="22"/>
          <w:szCs w:val="22"/>
        </w:rPr>
      </w:pPr>
      <w:r>
        <w:rPr>
          <w:rFonts w:ascii="Arial" w:hAnsi="Arial"/>
          <w:bCs/>
          <w:color w:val="000000"/>
          <w:sz w:val="22"/>
          <w:szCs w:val="22"/>
        </w:rPr>
        <w:t>conexiones</w:t>
      </w:r>
    </w:p>
    <w:p>
      <w:pPr>
        <w:numPr>
          <w:ilvl w:val="0"/>
          <w:numId w:val="5"/>
        </w:numPr>
        <w:spacing w:line="360" w:lineRule="auto"/>
        <w:jc w:val="both"/>
        <w:rPr>
          <w:rFonts w:ascii="Arial" w:hAnsi="Arial"/>
          <w:sz w:val="22"/>
          <w:szCs w:val="22"/>
        </w:rPr>
      </w:pPr>
      <w:r>
        <w:rPr>
          <w:rFonts w:ascii="Arial" w:hAnsi="Arial"/>
          <w:bCs/>
          <w:color w:val="000000"/>
          <w:sz w:val="22"/>
          <w:szCs w:val="22"/>
        </w:rPr>
        <w:t>Se dejó la previsión de la bomba de inc. para 230V ya que el proveedor VIMAR indicó en su momento que tenian para ambas tensiones.</w:t>
      </w:r>
    </w:p>
    <w:p>
      <w:pPr>
        <w:numPr>
          <w:ilvl w:val="0"/>
          <w:numId w:val="5"/>
        </w:numPr>
        <w:spacing w:line="360" w:lineRule="auto"/>
        <w:jc w:val="both"/>
        <w:rPr>
          <w:rFonts w:ascii="Arial" w:hAnsi="Arial"/>
          <w:sz w:val="22"/>
          <w:szCs w:val="22"/>
        </w:rPr>
      </w:pPr>
      <w:r>
        <w:rPr>
          <w:rFonts w:ascii="Arial" w:hAnsi="Arial"/>
          <w:bCs/>
          <w:color w:val="000000"/>
          <w:sz w:val="22"/>
          <w:szCs w:val="22"/>
        </w:rPr>
        <w:t>insumo e instalación, cañerías, conexiones necesarias para su correcto funcionamiento.</w:t>
      </w:r>
    </w:p>
    <w:p>
      <w:pPr>
        <w:numPr>
          <w:ilvl w:val="0"/>
          <w:numId w:val="5"/>
        </w:numPr>
        <w:spacing w:line="360" w:lineRule="auto"/>
        <w:jc w:val="both"/>
        <w:rPr>
          <w:rFonts w:ascii="Arial" w:hAnsi="Arial"/>
          <w:sz w:val="22"/>
          <w:szCs w:val="22"/>
        </w:rPr>
      </w:pPr>
      <w:r>
        <w:rPr>
          <w:rFonts w:ascii="Arial" w:hAnsi="Arial"/>
          <w:b/>
          <w:color w:val="000000"/>
          <w:sz w:val="22"/>
          <w:szCs w:val="22"/>
        </w:rPr>
        <w:t xml:space="preserve">Firma por la instalación en Formulario F2B </w:t>
      </w:r>
    </w:p>
    <w:p>
      <w:pPr>
        <w:numPr>
          <w:ilvl w:val="0"/>
          <w:numId w:val="0"/>
        </w:numPr>
        <w:spacing w:line="360" w:lineRule="auto"/>
        <w:ind w:left="720" w:firstLine="0"/>
        <w:jc w:val="both"/>
        <w:rPr>
          <w:b/>
          <w:color w:val="000000"/>
        </w:rPr>
      </w:pPr>
    </w:p>
    <w:p>
      <w:pPr>
        <w:pStyle w:val="54"/>
        <w:numPr>
          <w:ilvl w:val="1"/>
          <w:numId w:val="3"/>
        </w:numPr>
        <w:spacing w:line="360" w:lineRule="auto"/>
        <w:jc w:val="both"/>
        <w:rPr>
          <w:rFonts w:ascii="Arial" w:hAnsi="Arial"/>
          <w:sz w:val="22"/>
          <w:szCs w:val="22"/>
        </w:rPr>
      </w:pPr>
      <w:r>
        <w:rPr>
          <w:rFonts w:ascii="Arial" w:hAnsi="Arial"/>
          <w:b/>
          <w:color w:val="000000"/>
          <w:sz w:val="22"/>
          <w:szCs w:val="22"/>
        </w:rPr>
        <w:t xml:space="preserve">SISTEMA NUEVO DE LA RED DE INCENDIO / CONEXIONES RED EXISTENTE / RETIRO DE BIE EXIST.  </w:t>
      </w:r>
    </w:p>
    <w:p>
      <w:pPr>
        <w:numPr>
          <w:ilvl w:val="0"/>
          <w:numId w:val="6"/>
        </w:numPr>
        <w:spacing w:line="360" w:lineRule="auto"/>
        <w:jc w:val="both"/>
        <w:rPr>
          <w:rFonts w:ascii="Arial" w:hAnsi="Arial"/>
          <w:sz w:val="22"/>
          <w:szCs w:val="22"/>
        </w:rPr>
      </w:pPr>
      <w:r>
        <w:rPr>
          <w:rFonts w:ascii="Arial" w:hAnsi="Arial"/>
          <w:bCs/>
          <w:color w:val="000000"/>
          <w:sz w:val="22"/>
          <w:szCs w:val="22"/>
        </w:rPr>
        <w:t xml:space="preserve">Conexión y red de incendio nueva con todos los elementos indicados </w:t>
      </w:r>
    </w:p>
    <w:p>
      <w:pPr>
        <w:numPr>
          <w:ilvl w:val="0"/>
          <w:numId w:val="6"/>
        </w:numPr>
        <w:spacing w:line="360" w:lineRule="auto"/>
        <w:jc w:val="both"/>
        <w:rPr>
          <w:rFonts w:ascii="Arial" w:hAnsi="Arial"/>
          <w:sz w:val="22"/>
          <w:szCs w:val="22"/>
        </w:rPr>
      </w:pPr>
      <w:r>
        <w:rPr>
          <w:rFonts w:ascii="Arial" w:hAnsi="Arial"/>
          <w:b/>
          <w:color w:val="000000"/>
          <w:sz w:val="22"/>
          <w:szCs w:val="22"/>
        </w:rPr>
        <w:t xml:space="preserve">BIE </w:t>
      </w:r>
      <w:r>
        <w:rPr>
          <w:rFonts w:ascii="Arial" w:hAnsi="Arial"/>
          <w:bCs/>
          <w:color w:val="000000"/>
          <w:sz w:val="22"/>
          <w:szCs w:val="22"/>
        </w:rPr>
        <w:t>+ nichos + mangueras Tipo3, BIE 45mm + señalación BIE nuevas.</w:t>
      </w:r>
    </w:p>
    <w:p>
      <w:pPr>
        <w:numPr>
          <w:ilvl w:val="0"/>
          <w:numId w:val="6"/>
        </w:numPr>
        <w:spacing w:line="360" w:lineRule="auto"/>
        <w:jc w:val="both"/>
        <w:rPr>
          <w:rFonts w:ascii="Arial" w:hAnsi="Arial"/>
          <w:sz w:val="22"/>
          <w:szCs w:val="22"/>
        </w:rPr>
      </w:pPr>
      <w:r>
        <w:rPr>
          <w:rFonts w:ascii="Arial" w:hAnsi="Arial"/>
          <w:bCs/>
          <w:color w:val="000000"/>
          <w:sz w:val="22"/>
          <w:szCs w:val="22"/>
        </w:rPr>
        <w:t xml:space="preserve">Retiro y sustitución o reposición de </w:t>
      </w:r>
      <w:r>
        <w:rPr>
          <w:rFonts w:ascii="Arial" w:hAnsi="Arial"/>
          <w:b/>
          <w:color w:val="000000"/>
          <w:sz w:val="22"/>
          <w:szCs w:val="22"/>
        </w:rPr>
        <w:t>3 BIE existentes</w:t>
      </w:r>
      <w:r>
        <w:rPr>
          <w:rFonts w:ascii="Arial" w:hAnsi="Arial"/>
          <w:bCs/>
          <w:color w:val="000000"/>
          <w:sz w:val="22"/>
          <w:szCs w:val="22"/>
        </w:rPr>
        <w:t xml:space="preserve"> en su totalidad.</w:t>
      </w:r>
    </w:p>
    <w:p>
      <w:pPr>
        <w:numPr>
          <w:ilvl w:val="0"/>
          <w:numId w:val="6"/>
        </w:numPr>
        <w:spacing w:line="360" w:lineRule="auto"/>
        <w:jc w:val="both"/>
        <w:rPr>
          <w:rFonts w:ascii="Arial" w:hAnsi="Arial"/>
          <w:sz w:val="22"/>
          <w:szCs w:val="22"/>
        </w:rPr>
      </w:pPr>
      <w:r>
        <w:rPr>
          <w:rFonts w:ascii="Arial" w:hAnsi="Arial"/>
          <w:bCs/>
          <w:color w:val="000000"/>
          <w:sz w:val="22"/>
          <w:szCs w:val="22"/>
        </w:rPr>
        <w:t>Insumo e instalación, conexiones necesarias para su correcto funcionamiento.</w:t>
      </w:r>
    </w:p>
    <w:p>
      <w:pPr>
        <w:numPr>
          <w:ilvl w:val="0"/>
          <w:numId w:val="6"/>
        </w:numPr>
        <w:spacing w:line="360" w:lineRule="auto"/>
        <w:jc w:val="both"/>
        <w:rPr>
          <w:rFonts w:ascii="Arial" w:hAnsi="Arial"/>
          <w:sz w:val="22"/>
          <w:szCs w:val="22"/>
        </w:rPr>
      </w:pPr>
      <w:r>
        <w:rPr>
          <w:rFonts w:ascii="Arial" w:hAnsi="Arial"/>
          <w:b/>
          <w:color w:val="000000"/>
          <w:sz w:val="22"/>
          <w:szCs w:val="22"/>
        </w:rPr>
        <w:t xml:space="preserve">Firma por la instalación en Formulario F2B </w:t>
      </w:r>
    </w:p>
    <w:p>
      <w:pPr>
        <w:spacing w:line="360" w:lineRule="auto"/>
        <w:ind w:left="720" w:firstLine="0"/>
        <w:jc w:val="both"/>
        <w:rPr>
          <w:rFonts w:ascii="Arial" w:hAnsi="Arial"/>
          <w:b/>
          <w:sz w:val="22"/>
          <w:szCs w:val="22"/>
        </w:rPr>
      </w:pPr>
    </w:p>
    <w:p>
      <w:pPr>
        <w:spacing w:line="360" w:lineRule="auto"/>
        <w:jc w:val="both"/>
        <w:rPr>
          <w:rFonts w:ascii="Arial" w:hAnsi="Arial"/>
          <w:sz w:val="22"/>
          <w:szCs w:val="22"/>
        </w:rPr>
      </w:pPr>
      <w:r>
        <w:rPr>
          <w:rFonts w:ascii="Arial" w:hAnsi="Arial"/>
          <w:b/>
          <w:color w:val="000000"/>
          <w:sz w:val="22"/>
          <w:szCs w:val="22"/>
        </w:rPr>
        <w:t>PLANOS RELACIONADOS CON ESTAS OBRAS SOLICITADOS.</w:t>
      </w:r>
    </w:p>
    <w:p>
      <w:pPr>
        <w:spacing w:line="360" w:lineRule="auto"/>
        <w:jc w:val="both"/>
        <w:rPr>
          <w:rFonts w:ascii="Arial" w:hAnsi="Arial"/>
          <w:sz w:val="22"/>
          <w:szCs w:val="22"/>
        </w:rPr>
      </w:pPr>
      <w:r>
        <w:rPr>
          <w:rFonts w:ascii="Arial" w:hAnsi="Arial"/>
          <w:color w:val="000000"/>
          <w:sz w:val="22"/>
          <w:szCs w:val="22"/>
        </w:rPr>
        <w:t>La presente Memoria debe interpretarse en relación con los siguientes planos, que forman parte de la misma:</w:t>
      </w:r>
    </w:p>
    <w:tbl>
      <w:tblPr>
        <w:tblStyle w:val="26"/>
        <w:tblW w:w="4750" w:type="pct"/>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24"/>
        <w:gridCol w:w="1047"/>
        <w:gridCol w:w="1328"/>
        <w:gridCol w:w="1198"/>
        <w:gridCol w:w="13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41" w:type="dxa"/>
          </w:tcPr>
          <w:p>
            <w:pPr>
              <w:widowControl w:val="0"/>
              <w:suppressAutoHyphens/>
              <w:spacing w:before="0" w:after="160" w:line="360" w:lineRule="auto"/>
              <w:jc w:val="both"/>
              <w:rPr>
                <w:rFonts w:ascii="Arial" w:hAnsi="Arial"/>
                <w:sz w:val="22"/>
                <w:szCs w:val="22"/>
              </w:rPr>
            </w:pPr>
            <w:r>
              <w:rPr>
                <w:rFonts w:ascii="Arial" w:hAnsi="Arial" w:eastAsia="Calibri"/>
                <w:b/>
                <w:bCs/>
                <w:color w:val="000000"/>
                <w:kern w:val="0"/>
                <w:sz w:val="22"/>
                <w:szCs w:val="22"/>
                <w:lang w:val="en-US" w:eastAsia="en-US" w:bidi="ar-SA"/>
              </w:rPr>
              <w:t>Lamina</w:t>
            </w:r>
          </w:p>
        </w:tc>
        <w:tc>
          <w:tcPr>
            <w:tcW w:w="1021" w:type="dxa"/>
          </w:tcPr>
          <w:p>
            <w:pPr>
              <w:widowControl w:val="0"/>
              <w:suppressAutoHyphens/>
              <w:spacing w:before="0" w:after="160" w:line="360" w:lineRule="auto"/>
              <w:jc w:val="both"/>
              <w:rPr>
                <w:rFonts w:ascii="Arial" w:hAnsi="Arial"/>
                <w:sz w:val="22"/>
                <w:szCs w:val="22"/>
              </w:rPr>
            </w:pPr>
            <w:r>
              <w:rPr>
                <w:rFonts w:ascii="Arial" w:hAnsi="Arial" w:eastAsia="Calibri"/>
                <w:b/>
                <w:bCs/>
                <w:color w:val="000000"/>
                <w:kern w:val="0"/>
                <w:sz w:val="22"/>
                <w:szCs w:val="22"/>
                <w:lang w:val="en-US" w:eastAsia="en-US" w:bidi="ar-SA"/>
              </w:rPr>
              <w:t>Plano N°</w:t>
            </w:r>
          </w:p>
        </w:tc>
        <w:tc>
          <w:tcPr>
            <w:tcW w:w="1295" w:type="dxa"/>
          </w:tcPr>
          <w:p>
            <w:pPr>
              <w:widowControl w:val="0"/>
              <w:suppressAutoHyphens/>
              <w:spacing w:before="0" w:after="160" w:line="360" w:lineRule="auto"/>
              <w:jc w:val="both"/>
              <w:rPr>
                <w:rFonts w:ascii="Arial" w:hAnsi="Arial"/>
                <w:sz w:val="22"/>
                <w:szCs w:val="22"/>
              </w:rPr>
            </w:pPr>
            <w:r>
              <w:rPr>
                <w:rFonts w:ascii="Arial" w:hAnsi="Arial" w:eastAsia="Calibri"/>
                <w:b/>
                <w:bCs/>
                <w:color w:val="000000"/>
                <w:kern w:val="0"/>
                <w:sz w:val="22"/>
                <w:szCs w:val="22"/>
                <w:lang w:val="en-US" w:eastAsia="en-US" w:bidi="ar-SA"/>
              </w:rPr>
              <w:t>Versión</w:t>
            </w:r>
          </w:p>
        </w:tc>
        <w:tc>
          <w:tcPr>
            <w:tcW w:w="1168" w:type="dxa"/>
          </w:tcPr>
          <w:p>
            <w:pPr>
              <w:widowControl w:val="0"/>
              <w:suppressAutoHyphens/>
              <w:spacing w:before="0" w:after="160" w:line="360" w:lineRule="auto"/>
              <w:jc w:val="both"/>
              <w:rPr>
                <w:rFonts w:ascii="Arial" w:hAnsi="Arial"/>
                <w:sz w:val="22"/>
                <w:szCs w:val="22"/>
              </w:rPr>
            </w:pPr>
            <w:r>
              <w:rPr>
                <w:rFonts w:ascii="Arial" w:hAnsi="Arial" w:eastAsia="Calibri"/>
                <w:b/>
                <w:bCs/>
                <w:color w:val="000000"/>
                <w:kern w:val="0"/>
                <w:sz w:val="22"/>
                <w:szCs w:val="22"/>
                <w:lang w:val="en-US" w:eastAsia="en-US" w:bidi="ar-SA"/>
              </w:rPr>
              <w:t>Fecha</w:t>
            </w:r>
          </w:p>
        </w:tc>
        <w:tc>
          <w:tcPr>
            <w:tcW w:w="1353" w:type="dxa"/>
          </w:tcPr>
          <w:p>
            <w:pPr>
              <w:widowControl w:val="0"/>
              <w:suppressAutoHyphens/>
              <w:spacing w:before="0" w:after="160" w:line="360" w:lineRule="auto"/>
              <w:jc w:val="both"/>
              <w:rPr>
                <w:rFonts w:ascii="Arial" w:hAnsi="Arial"/>
                <w:sz w:val="22"/>
                <w:szCs w:val="22"/>
              </w:rPr>
            </w:pPr>
            <w:r>
              <w:rPr>
                <w:rFonts w:ascii="Arial" w:hAnsi="Arial" w:eastAsia="Calibri"/>
                <w:b/>
                <w:bCs/>
                <w:color w:val="000000"/>
                <w:kern w:val="0"/>
                <w:sz w:val="22"/>
                <w:szCs w:val="22"/>
                <w:lang w:val="en-US" w:eastAsia="en-US" w:bidi="ar-SA"/>
              </w:rPr>
              <w:t>Archivo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241"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SS,PLANTA BAJA, NIVEL 1 Y 2</w:t>
            </w:r>
          </w:p>
        </w:tc>
        <w:tc>
          <w:tcPr>
            <w:tcW w:w="1021"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I-01</w:t>
            </w:r>
          </w:p>
        </w:tc>
        <w:tc>
          <w:tcPr>
            <w:tcW w:w="1295"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2</w:t>
            </w:r>
          </w:p>
        </w:tc>
        <w:tc>
          <w:tcPr>
            <w:tcW w:w="1168"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ABRIL 2023</w:t>
            </w:r>
          </w:p>
        </w:tc>
        <w:tc>
          <w:tcPr>
            <w:tcW w:w="1353" w:type="dxa"/>
            <w:vMerge w:val="restart"/>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PPCHI INUMET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41"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PERSPECTIVA ISOMETRICA</w:t>
            </w:r>
          </w:p>
        </w:tc>
        <w:tc>
          <w:tcPr>
            <w:tcW w:w="1021"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I-02</w:t>
            </w:r>
          </w:p>
        </w:tc>
        <w:tc>
          <w:tcPr>
            <w:tcW w:w="1295"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2</w:t>
            </w:r>
          </w:p>
        </w:tc>
        <w:tc>
          <w:tcPr>
            <w:tcW w:w="1168"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ABRIL 2023</w:t>
            </w:r>
          </w:p>
        </w:tc>
        <w:tc>
          <w:tcPr>
            <w:tcW w:w="1353" w:type="dxa"/>
            <w:vMerge w:val="continue"/>
          </w:tcPr>
          <w:p>
            <w:pPr>
              <w:widowControl w:val="0"/>
              <w:suppressAutoHyphens/>
              <w:spacing w:before="0" w:after="160" w:line="360" w:lineRule="auto"/>
              <w:jc w:val="both"/>
              <w:rPr>
                <w:rFonts w:ascii="Arial" w:hAnsi="Arial" w:eastAsia="Calibri"/>
                <w:color w:val="000000"/>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41"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DETALLES</w:t>
            </w:r>
          </w:p>
        </w:tc>
        <w:tc>
          <w:tcPr>
            <w:tcW w:w="1021"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I-03</w:t>
            </w:r>
          </w:p>
        </w:tc>
        <w:tc>
          <w:tcPr>
            <w:tcW w:w="1295"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2</w:t>
            </w:r>
          </w:p>
        </w:tc>
        <w:tc>
          <w:tcPr>
            <w:tcW w:w="1168"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ABRIL 2023</w:t>
            </w:r>
          </w:p>
        </w:tc>
        <w:tc>
          <w:tcPr>
            <w:tcW w:w="1353" w:type="dxa"/>
            <w:vMerge w:val="continue"/>
          </w:tcPr>
          <w:p>
            <w:pPr>
              <w:widowControl w:val="0"/>
              <w:suppressAutoHyphens/>
              <w:spacing w:before="0" w:after="160" w:line="360" w:lineRule="auto"/>
              <w:jc w:val="both"/>
              <w:rPr>
                <w:rFonts w:ascii="Arial" w:hAnsi="Arial" w:eastAsia="Calibri"/>
                <w:color w:val="000000"/>
                <w:sz w:val="22"/>
                <w:szCs w:val="22"/>
              </w:rPr>
            </w:pPr>
          </w:p>
        </w:tc>
      </w:tr>
    </w:tbl>
    <w:p>
      <w:pPr>
        <w:spacing w:line="360" w:lineRule="auto"/>
        <w:jc w:val="both"/>
        <w:rPr>
          <w:rFonts w:ascii="Arial" w:hAnsi="Arial"/>
          <w:b/>
          <w:color w:val="000000"/>
          <w:sz w:val="22"/>
          <w:szCs w:val="22"/>
        </w:rPr>
      </w:pPr>
    </w:p>
    <w:p>
      <w:pPr>
        <w:spacing w:line="360" w:lineRule="auto"/>
        <w:jc w:val="both"/>
        <w:rPr>
          <w:rFonts w:ascii="Arial" w:hAnsi="Arial"/>
          <w:sz w:val="22"/>
          <w:szCs w:val="22"/>
        </w:rPr>
      </w:pPr>
      <w:r>
        <w:rPr>
          <w:rFonts w:ascii="Arial" w:hAnsi="Arial"/>
          <w:b/>
          <w:color w:val="000000"/>
          <w:sz w:val="22"/>
          <w:szCs w:val="22"/>
        </w:rPr>
        <w:t xml:space="preserve">MEMORIAS TÉCNICAS RELACIONADOS CON ESTAS OBRAS SOLICITADOS. </w:t>
      </w:r>
    </w:p>
    <w:tbl>
      <w:tblPr>
        <w:tblStyle w:val="26"/>
        <w:tblW w:w="8494"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7"/>
        <w:gridCol w:w="2805"/>
        <w:gridCol w:w="2750"/>
        <w:gridCol w:w="16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297" w:type="dxa"/>
            <w:vAlign w:val="center"/>
          </w:tcPr>
          <w:p>
            <w:pPr>
              <w:widowControl w:val="0"/>
              <w:suppressAutoHyphens/>
              <w:spacing w:before="0" w:after="160" w:line="360" w:lineRule="auto"/>
              <w:jc w:val="both"/>
              <w:rPr>
                <w:rFonts w:ascii="Arial" w:hAnsi="Arial"/>
                <w:sz w:val="22"/>
                <w:szCs w:val="22"/>
              </w:rPr>
            </w:pPr>
            <w:r>
              <w:rPr>
                <w:rFonts w:ascii="Arial" w:hAnsi="Arial" w:eastAsia="Calibri"/>
                <w:b/>
                <w:color w:val="000000"/>
                <w:kern w:val="0"/>
                <w:sz w:val="22"/>
                <w:szCs w:val="22"/>
                <w:lang w:val="es-UY" w:eastAsia="en-US" w:bidi="ar-SA"/>
              </w:rPr>
              <w:t>NÚMERO MT</w:t>
            </w:r>
          </w:p>
        </w:tc>
        <w:tc>
          <w:tcPr>
            <w:tcW w:w="2805" w:type="dxa"/>
            <w:vAlign w:val="center"/>
          </w:tcPr>
          <w:p>
            <w:pPr>
              <w:widowControl w:val="0"/>
              <w:suppressAutoHyphens/>
              <w:spacing w:before="0" w:after="160" w:line="360" w:lineRule="auto"/>
              <w:jc w:val="both"/>
              <w:rPr>
                <w:rFonts w:ascii="Arial" w:hAnsi="Arial"/>
                <w:sz w:val="22"/>
                <w:szCs w:val="22"/>
              </w:rPr>
            </w:pPr>
            <w:r>
              <w:rPr>
                <w:rFonts w:ascii="Arial" w:hAnsi="Arial" w:eastAsia="Calibri"/>
                <w:b/>
                <w:color w:val="000000"/>
                <w:kern w:val="0"/>
                <w:sz w:val="22"/>
                <w:szCs w:val="22"/>
                <w:lang w:val="es-UY" w:eastAsia="en-US" w:bidi="ar-SA"/>
              </w:rPr>
              <w:t>DESCRIPCION</w:t>
            </w:r>
          </w:p>
        </w:tc>
        <w:tc>
          <w:tcPr>
            <w:tcW w:w="2750" w:type="dxa"/>
          </w:tcPr>
          <w:p>
            <w:pPr>
              <w:widowControl w:val="0"/>
              <w:suppressAutoHyphens/>
              <w:spacing w:before="0" w:after="160" w:line="360" w:lineRule="auto"/>
              <w:jc w:val="both"/>
              <w:rPr>
                <w:rFonts w:ascii="Arial" w:hAnsi="Arial"/>
                <w:sz w:val="22"/>
                <w:szCs w:val="22"/>
              </w:rPr>
            </w:pPr>
            <w:r>
              <w:rPr>
                <w:rFonts w:ascii="Arial" w:hAnsi="Arial" w:eastAsia="Calibri"/>
                <w:b/>
                <w:color w:val="000000"/>
                <w:kern w:val="0"/>
                <w:sz w:val="22"/>
                <w:szCs w:val="22"/>
                <w:lang w:val="es-UY" w:eastAsia="en-US" w:bidi="ar-SA"/>
              </w:rPr>
              <w:t>TEMA QUE TRATA</w:t>
            </w:r>
          </w:p>
        </w:tc>
        <w:tc>
          <w:tcPr>
            <w:tcW w:w="1641" w:type="dxa"/>
            <w:vAlign w:val="center"/>
          </w:tcPr>
          <w:p>
            <w:pPr>
              <w:widowControl w:val="0"/>
              <w:suppressAutoHyphens/>
              <w:spacing w:before="0" w:after="160" w:line="360" w:lineRule="auto"/>
              <w:jc w:val="both"/>
              <w:rPr>
                <w:rFonts w:ascii="Arial" w:hAnsi="Arial"/>
                <w:sz w:val="22"/>
                <w:szCs w:val="22"/>
              </w:rPr>
            </w:pPr>
            <w:r>
              <w:rPr>
                <w:rFonts w:ascii="Arial" w:hAnsi="Arial" w:eastAsia="Calibri"/>
                <w:b/>
                <w:color w:val="000000"/>
                <w:kern w:val="0"/>
                <w:sz w:val="22"/>
                <w:szCs w:val="22"/>
                <w:lang w:val="es-UY" w:eastAsia="en-US" w:bidi="ar-SA"/>
              </w:rPr>
              <w:t>NORMATIVA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7" w:type="dxa"/>
            <w:vAlign w:val="center"/>
          </w:tcPr>
          <w:p>
            <w:pPr>
              <w:widowControl w:val="0"/>
              <w:suppressAutoHyphens/>
              <w:spacing w:before="0" w:after="160" w:line="360" w:lineRule="auto"/>
              <w:jc w:val="both"/>
              <w:rPr>
                <w:rFonts w:ascii="Arial" w:hAnsi="Arial" w:eastAsia="Calibri"/>
                <w:color w:val="000000"/>
                <w:sz w:val="22"/>
                <w:szCs w:val="22"/>
              </w:rPr>
            </w:pPr>
          </w:p>
        </w:tc>
        <w:tc>
          <w:tcPr>
            <w:tcW w:w="2805" w:type="dxa"/>
            <w:vAlign w:val="center"/>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MX" w:eastAsia="en-US" w:bidi="ar-SA"/>
              </w:rPr>
              <w:t>Especificaciones Técnicas Incendio INUMET</w:t>
            </w:r>
          </w:p>
        </w:tc>
        <w:tc>
          <w:tcPr>
            <w:tcW w:w="2750"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Especificaciones Técnicas Red hidráulica presurizada de incendio</w:t>
            </w:r>
          </w:p>
        </w:tc>
        <w:tc>
          <w:tcPr>
            <w:tcW w:w="1641"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n-US" w:eastAsia="en-US" w:bidi="ar-SA"/>
              </w:rPr>
              <w:t>DECRETO VIGENTE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7" w:type="dxa"/>
            <w:vAlign w:val="center"/>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MX" w:eastAsia="en-US" w:bidi="ar-SA"/>
              </w:rPr>
              <w:t>10</w:t>
            </w:r>
          </w:p>
        </w:tc>
        <w:tc>
          <w:tcPr>
            <w:tcW w:w="2805" w:type="dxa"/>
            <w:vAlign w:val="center"/>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MX" w:eastAsia="en-US" w:bidi="ar-SA"/>
              </w:rPr>
              <w:t>BOCAS DE INCENDIO_R1</w:t>
            </w:r>
          </w:p>
        </w:tc>
        <w:tc>
          <w:tcPr>
            <w:tcW w:w="2750"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Especificaciones normativas que definen el sistema</w:t>
            </w:r>
          </w:p>
        </w:tc>
        <w:tc>
          <w:tcPr>
            <w:tcW w:w="1641"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IT 05/2017 vigente al momento de ingresado el expediente</w:t>
            </w:r>
          </w:p>
        </w:tc>
      </w:tr>
    </w:tbl>
    <w:p>
      <w:pPr>
        <w:spacing w:line="360" w:lineRule="auto"/>
        <w:jc w:val="both"/>
        <w:rPr>
          <w:rFonts w:ascii="Arial" w:hAnsi="Arial"/>
          <w:color w:val="000000"/>
          <w:sz w:val="22"/>
          <w:szCs w:val="22"/>
        </w:rPr>
      </w:pPr>
    </w:p>
    <w:p>
      <w:pPr>
        <w:spacing w:line="360" w:lineRule="auto"/>
        <w:jc w:val="both"/>
        <w:rPr>
          <w:rFonts w:ascii="Arial" w:hAnsi="Arial"/>
          <w:sz w:val="22"/>
          <w:szCs w:val="22"/>
        </w:rPr>
      </w:pPr>
      <w:r>
        <w:rPr>
          <w:rFonts w:ascii="Arial" w:hAnsi="Arial"/>
          <w:color w:val="000000"/>
          <w:sz w:val="22"/>
          <w:szCs w:val="22"/>
        </w:rPr>
        <w:t>ADEMÁS DE LA PARTE HIDRÁULICA SE DEBEN SUMINISTRAR E INSTALAR LAS SIGUIENTES MEDIDAS CONTRA INCENDIO EN EL SUBSUELO.</w:t>
      </w:r>
    </w:p>
    <w:p>
      <w:pPr>
        <w:spacing w:line="360" w:lineRule="auto"/>
        <w:jc w:val="both"/>
        <w:rPr>
          <w:rFonts w:ascii="Arial" w:hAnsi="Arial"/>
          <w:sz w:val="22"/>
          <w:szCs w:val="22"/>
        </w:rPr>
      </w:pPr>
      <w:r>
        <w:rPr>
          <w:rFonts w:ascii="Arial" w:hAnsi="Arial"/>
          <w:color w:val="000000"/>
          <w:sz w:val="22"/>
          <w:szCs w:val="22"/>
        </w:rPr>
        <w:t>OTRAS OBRAS DE MEDIDAS DE PROTECCIÓN CONTRA INCENDIO PENDIENTES ETAPA C3</w:t>
      </w:r>
    </w:p>
    <w:p>
      <w:pPr>
        <w:spacing w:line="360" w:lineRule="auto"/>
        <w:jc w:val="both"/>
        <w:rPr>
          <w:rFonts w:ascii="Arial" w:hAnsi="Arial"/>
          <w:color w:val="000000"/>
          <w:sz w:val="22"/>
          <w:szCs w:val="22"/>
        </w:rPr>
      </w:pPr>
    </w:p>
    <w:p>
      <w:pPr>
        <w:pStyle w:val="54"/>
        <w:numPr>
          <w:ilvl w:val="1"/>
          <w:numId w:val="3"/>
        </w:numPr>
        <w:spacing w:line="360" w:lineRule="auto"/>
        <w:jc w:val="both"/>
        <w:rPr>
          <w:rFonts w:ascii="Arial" w:hAnsi="Arial"/>
          <w:sz w:val="22"/>
          <w:szCs w:val="22"/>
        </w:rPr>
      </w:pPr>
      <w:r>
        <w:rPr>
          <w:rFonts w:ascii="Arial" w:hAnsi="Arial"/>
          <w:b/>
          <w:color w:val="000000"/>
          <w:sz w:val="22"/>
          <w:szCs w:val="22"/>
        </w:rPr>
        <w:t>ELEMENTOS CORTAFUEGOS: INSUMOS E INSTALACIÓN</w:t>
      </w:r>
    </w:p>
    <w:p>
      <w:pPr>
        <w:numPr>
          <w:ilvl w:val="0"/>
          <w:numId w:val="7"/>
        </w:numPr>
        <w:spacing w:line="360" w:lineRule="auto"/>
        <w:jc w:val="both"/>
        <w:rPr>
          <w:rFonts w:ascii="Arial" w:hAnsi="Arial"/>
          <w:sz w:val="22"/>
          <w:szCs w:val="22"/>
        </w:rPr>
      </w:pPr>
      <w:r>
        <w:rPr>
          <w:rFonts w:ascii="Arial" w:hAnsi="Arial"/>
          <w:bCs/>
          <w:color w:val="000000"/>
          <w:sz w:val="22"/>
          <w:szCs w:val="22"/>
        </w:rPr>
        <w:t xml:space="preserve">1 PCF DE RF 90 MIN. PARA LA SALA de Tableros eléctricos y medidores de UTE, homologadas por la DNB. </w:t>
      </w:r>
    </w:p>
    <w:p>
      <w:pPr>
        <w:numPr>
          <w:ilvl w:val="0"/>
          <w:numId w:val="7"/>
        </w:numPr>
        <w:spacing w:line="360" w:lineRule="auto"/>
        <w:jc w:val="both"/>
        <w:rPr>
          <w:rFonts w:ascii="Arial" w:hAnsi="Arial"/>
          <w:sz w:val="22"/>
          <w:szCs w:val="22"/>
        </w:rPr>
      </w:pPr>
      <w:r>
        <w:rPr>
          <w:rFonts w:ascii="Arial" w:hAnsi="Arial"/>
          <w:bCs/>
          <w:color w:val="000000"/>
          <w:sz w:val="22"/>
          <w:szCs w:val="22"/>
        </w:rPr>
        <w:t xml:space="preserve">Muro Cortafuego, lindero entre Sala de Grupo Generador y Sala de reserva de incendio y bomba de incendio con RF 120 min. Podrá ser de tabique de doble Placa Roja o de mampostería, como el detalle realizado en planos adjuntos. </w:t>
      </w:r>
    </w:p>
    <w:p>
      <w:pPr>
        <w:numPr>
          <w:ilvl w:val="0"/>
          <w:numId w:val="7"/>
        </w:numPr>
        <w:spacing w:line="360" w:lineRule="auto"/>
        <w:jc w:val="both"/>
        <w:rPr>
          <w:rFonts w:ascii="Arial" w:hAnsi="Arial"/>
          <w:sz w:val="22"/>
          <w:szCs w:val="22"/>
        </w:rPr>
      </w:pPr>
      <w:r>
        <w:rPr>
          <w:rFonts w:ascii="Arial" w:hAnsi="Arial"/>
          <w:bCs/>
          <w:color w:val="000000"/>
          <w:sz w:val="22"/>
          <w:szCs w:val="22"/>
        </w:rPr>
        <w:t>Material intumescente para colocar en pases de cañerías en Muro cortafuego entre sala de bomba de incendio y sala de grupo generador.</w:t>
      </w:r>
    </w:p>
    <w:p>
      <w:pPr>
        <w:numPr>
          <w:ilvl w:val="0"/>
          <w:numId w:val="7"/>
        </w:numPr>
        <w:spacing w:line="360" w:lineRule="auto"/>
        <w:jc w:val="both"/>
        <w:rPr>
          <w:rFonts w:ascii="Arial" w:hAnsi="Arial"/>
          <w:sz w:val="22"/>
          <w:szCs w:val="22"/>
        </w:rPr>
      </w:pPr>
      <w:r>
        <w:rPr>
          <w:rFonts w:ascii="Arial" w:hAnsi="Arial"/>
          <w:bCs/>
          <w:color w:val="000000"/>
          <w:sz w:val="22"/>
          <w:szCs w:val="22"/>
        </w:rPr>
        <w:t>Suministro e instalación, conexiones necesarias para su correcto funcionamiento.</w:t>
      </w:r>
    </w:p>
    <w:p>
      <w:pPr>
        <w:numPr>
          <w:ilvl w:val="0"/>
          <w:numId w:val="7"/>
        </w:numPr>
        <w:spacing w:line="360" w:lineRule="auto"/>
        <w:jc w:val="both"/>
        <w:rPr>
          <w:rFonts w:ascii="Arial" w:hAnsi="Arial"/>
          <w:sz w:val="22"/>
          <w:szCs w:val="22"/>
        </w:rPr>
      </w:pPr>
      <w:r>
        <w:rPr>
          <w:rFonts w:ascii="Arial" w:hAnsi="Arial"/>
          <w:bCs/>
          <w:color w:val="000000"/>
          <w:sz w:val="22"/>
          <w:szCs w:val="22"/>
        </w:rPr>
        <w:t xml:space="preserve">Se requiere factura con el detalle </w:t>
      </w:r>
      <w:r>
        <w:rPr>
          <w:rFonts w:ascii="Arial" w:hAnsi="Arial"/>
          <w:bCs/>
          <w:color w:val="000000" w:themeColor="text1"/>
          <w:sz w:val="22"/>
          <w:szCs w:val="22"/>
          <w14:textFill>
            <w14:solidFill>
              <w14:schemeClr w14:val="tx1"/>
            </w14:solidFill>
          </w14:textFill>
        </w:rPr>
        <w:t>de RUT Y RAZON SOCIAL de la empresa que gestiona la certificación ante DNB</w:t>
      </w:r>
      <w:r>
        <w:rPr>
          <w:rFonts w:ascii="Arial" w:hAnsi="Arial"/>
          <w:bCs/>
          <w:color w:val="000000"/>
          <w:sz w:val="22"/>
          <w:szCs w:val="22"/>
        </w:rPr>
        <w:t xml:space="preserve"> </w:t>
      </w:r>
      <w:r>
        <w:rPr>
          <w:rFonts w:ascii="Arial" w:hAnsi="Arial"/>
          <w:b/>
          <w:bCs/>
          <w:color w:val="000000"/>
          <w:sz w:val="22"/>
          <w:szCs w:val="22"/>
        </w:rPr>
        <w:t>(ANEXO III).</w:t>
      </w:r>
    </w:p>
    <w:p>
      <w:pPr>
        <w:spacing w:line="360" w:lineRule="auto"/>
        <w:jc w:val="both"/>
        <w:rPr>
          <w:rFonts w:ascii="Arial" w:hAnsi="Arial"/>
          <w:bCs/>
          <w:color w:val="000000"/>
          <w:sz w:val="22"/>
          <w:szCs w:val="22"/>
        </w:rPr>
      </w:pPr>
    </w:p>
    <w:p>
      <w:pPr>
        <w:pStyle w:val="54"/>
        <w:numPr>
          <w:ilvl w:val="1"/>
          <w:numId w:val="3"/>
        </w:numPr>
        <w:spacing w:line="360" w:lineRule="auto"/>
        <w:jc w:val="both"/>
        <w:rPr>
          <w:rFonts w:ascii="Arial" w:hAnsi="Arial"/>
          <w:sz w:val="22"/>
          <w:szCs w:val="22"/>
        </w:rPr>
      </w:pPr>
      <w:r>
        <w:rPr>
          <w:rFonts w:ascii="Arial" w:hAnsi="Arial"/>
          <w:b/>
          <w:color w:val="000000"/>
          <w:sz w:val="22"/>
          <w:szCs w:val="22"/>
        </w:rPr>
        <w:t>EXTINTORES</w:t>
      </w:r>
    </w:p>
    <w:p>
      <w:pPr>
        <w:numPr>
          <w:ilvl w:val="0"/>
          <w:numId w:val="8"/>
        </w:numPr>
        <w:spacing w:line="360" w:lineRule="auto"/>
        <w:jc w:val="both"/>
        <w:rPr>
          <w:rFonts w:ascii="Arial" w:hAnsi="Arial"/>
          <w:sz w:val="22"/>
          <w:szCs w:val="22"/>
        </w:rPr>
      </w:pPr>
      <w:r>
        <w:rPr>
          <w:rFonts w:ascii="Arial" w:hAnsi="Arial"/>
          <w:bCs/>
          <w:color w:val="000000"/>
          <w:sz w:val="22"/>
          <w:szCs w:val="22"/>
        </w:rPr>
        <w:t>Suministro e instalación de 3 extintores de polvo ABC de 8kg en subsuelo con su fijación a la pared.</w:t>
      </w:r>
    </w:p>
    <w:p>
      <w:pPr>
        <w:numPr>
          <w:ilvl w:val="0"/>
          <w:numId w:val="8"/>
        </w:numPr>
        <w:spacing w:line="360" w:lineRule="auto"/>
        <w:jc w:val="both"/>
        <w:rPr>
          <w:rFonts w:ascii="Arial" w:hAnsi="Arial"/>
          <w:sz w:val="22"/>
          <w:szCs w:val="22"/>
        </w:rPr>
      </w:pPr>
      <w:r>
        <w:rPr>
          <w:rFonts w:ascii="Arial" w:hAnsi="Arial"/>
          <w:bCs/>
          <w:color w:val="000000"/>
          <w:sz w:val="22"/>
          <w:szCs w:val="22"/>
        </w:rPr>
        <w:t>Se debe realizar la recarga y/o mantenimiento de la totalidad del parking de extintores del edificio.</w:t>
      </w:r>
    </w:p>
    <w:p>
      <w:pPr>
        <w:numPr>
          <w:ilvl w:val="0"/>
          <w:numId w:val="8"/>
        </w:numPr>
        <w:spacing w:line="360" w:lineRule="auto"/>
        <w:jc w:val="both"/>
        <w:rPr>
          <w:rFonts w:ascii="Arial" w:hAnsi="Arial"/>
          <w:sz w:val="22"/>
          <w:szCs w:val="22"/>
        </w:rPr>
      </w:pPr>
      <w:r>
        <w:rPr>
          <w:rFonts w:ascii="Arial" w:hAnsi="Arial"/>
          <w:bCs/>
          <w:color w:val="000000"/>
          <w:sz w:val="22"/>
          <w:szCs w:val="22"/>
        </w:rPr>
        <w:t xml:space="preserve">Se debe presentar factura con el detalle de RUT Y RAZON SOCIAL en la factura y dirección del local, con el número de Matrícula / Recarga de la totalidad de extintores de todo el edificio </w:t>
      </w:r>
      <w:r>
        <w:rPr>
          <w:rFonts w:ascii="Arial" w:hAnsi="Arial"/>
          <w:b/>
          <w:bCs/>
          <w:color w:val="000000"/>
          <w:sz w:val="22"/>
          <w:szCs w:val="22"/>
        </w:rPr>
        <w:t>(ANEXO IV).</w:t>
      </w:r>
    </w:p>
    <w:p>
      <w:pPr>
        <w:spacing w:line="360" w:lineRule="auto"/>
        <w:jc w:val="both"/>
        <w:rPr>
          <w:rFonts w:ascii="Arial" w:hAnsi="Arial"/>
          <w:bCs/>
          <w:color w:val="000000"/>
          <w:sz w:val="22"/>
          <w:szCs w:val="22"/>
        </w:rPr>
      </w:pPr>
    </w:p>
    <w:p>
      <w:pPr>
        <w:pStyle w:val="54"/>
        <w:numPr>
          <w:ilvl w:val="1"/>
          <w:numId w:val="3"/>
        </w:numPr>
        <w:spacing w:line="360" w:lineRule="auto"/>
        <w:jc w:val="both"/>
        <w:rPr>
          <w:rFonts w:ascii="Arial" w:hAnsi="Arial"/>
          <w:sz w:val="22"/>
          <w:szCs w:val="22"/>
        </w:rPr>
      </w:pPr>
      <w:r>
        <w:rPr>
          <w:rFonts w:ascii="Arial" w:hAnsi="Arial"/>
          <w:b/>
          <w:color w:val="000000"/>
          <w:sz w:val="22"/>
          <w:szCs w:val="22"/>
        </w:rPr>
        <w:t xml:space="preserve">SEÑALIZACIÓN FOTOLUMINISCENTE </w:t>
      </w:r>
    </w:p>
    <w:p>
      <w:pPr>
        <w:numPr>
          <w:ilvl w:val="0"/>
          <w:numId w:val="9"/>
        </w:numPr>
        <w:spacing w:line="360" w:lineRule="auto"/>
        <w:jc w:val="both"/>
        <w:rPr>
          <w:rFonts w:ascii="Arial" w:hAnsi="Arial"/>
          <w:sz w:val="22"/>
          <w:szCs w:val="22"/>
        </w:rPr>
      </w:pPr>
      <w:r>
        <w:rPr>
          <w:rFonts w:ascii="Arial" w:hAnsi="Arial"/>
          <w:bCs/>
          <w:color w:val="000000"/>
          <w:sz w:val="22"/>
          <w:szCs w:val="22"/>
        </w:rPr>
        <w:t xml:space="preserve">Suministro e instalación de cuatro carteles de SALIDA subiendo escalera, foto luminiscentes, según ubicación de planos adjuntos. </w:t>
      </w:r>
    </w:p>
    <w:p>
      <w:pPr>
        <w:numPr>
          <w:ilvl w:val="0"/>
          <w:numId w:val="9"/>
        </w:numPr>
        <w:spacing w:line="360" w:lineRule="auto"/>
        <w:jc w:val="both"/>
        <w:rPr>
          <w:rFonts w:ascii="Arial" w:hAnsi="Arial"/>
          <w:sz w:val="22"/>
          <w:szCs w:val="22"/>
        </w:rPr>
      </w:pPr>
      <w:r>
        <w:rPr>
          <w:rFonts w:ascii="Arial" w:hAnsi="Arial"/>
          <w:bCs/>
          <w:color w:val="000000"/>
          <w:sz w:val="22"/>
          <w:szCs w:val="22"/>
        </w:rPr>
        <w:t xml:space="preserve">Suministro e instalación carteles de medidas contra incendio: EXTINTORES + BOCAS DE INCENDIO + BOMBA DE INCENDIO </w:t>
      </w:r>
      <w:r>
        <w:rPr>
          <w:rFonts w:ascii="Arial" w:hAnsi="Arial"/>
          <w:b/>
          <w:bCs/>
          <w:color w:val="000000"/>
          <w:sz w:val="22"/>
          <w:szCs w:val="22"/>
        </w:rPr>
        <w:t>(ANEXO VI).</w:t>
      </w:r>
    </w:p>
    <w:p>
      <w:pPr>
        <w:spacing w:line="360" w:lineRule="auto"/>
        <w:jc w:val="both"/>
        <w:rPr>
          <w:rFonts w:ascii="Arial" w:hAnsi="Arial"/>
          <w:b/>
          <w:color w:val="000000"/>
          <w:sz w:val="22"/>
          <w:szCs w:val="22"/>
        </w:rPr>
      </w:pPr>
    </w:p>
    <w:p>
      <w:pPr>
        <w:pStyle w:val="54"/>
        <w:numPr>
          <w:ilvl w:val="1"/>
          <w:numId w:val="3"/>
        </w:numPr>
        <w:spacing w:line="360" w:lineRule="auto"/>
        <w:jc w:val="both"/>
        <w:rPr>
          <w:rFonts w:ascii="Arial" w:hAnsi="Arial"/>
          <w:sz w:val="22"/>
          <w:szCs w:val="22"/>
        </w:rPr>
      </w:pPr>
      <w:r>
        <w:rPr>
          <w:rFonts w:ascii="Arial" w:hAnsi="Arial"/>
          <w:b/>
          <w:color w:val="000000"/>
          <w:sz w:val="22"/>
          <w:szCs w:val="22"/>
        </w:rPr>
        <w:t>ILUMINACION DE EMERGENCIA</w:t>
      </w:r>
    </w:p>
    <w:p>
      <w:pPr>
        <w:numPr>
          <w:ilvl w:val="0"/>
          <w:numId w:val="10"/>
        </w:numPr>
        <w:spacing w:line="360" w:lineRule="auto"/>
        <w:jc w:val="both"/>
        <w:rPr>
          <w:rFonts w:ascii="Arial" w:hAnsi="Arial"/>
          <w:sz w:val="22"/>
          <w:szCs w:val="22"/>
        </w:rPr>
      </w:pPr>
      <w:r>
        <w:rPr>
          <w:rFonts w:ascii="Arial" w:hAnsi="Arial"/>
          <w:bCs/>
          <w:color w:val="000000"/>
          <w:sz w:val="22"/>
          <w:szCs w:val="22"/>
        </w:rPr>
        <w:t xml:space="preserve">Suministro e instalación, conexiones necesarias para su correcto funcionamiento, de 10 luces de emergencia homologadas </w:t>
      </w:r>
    </w:p>
    <w:p>
      <w:pPr>
        <w:numPr>
          <w:ilvl w:val="0"/>
          <w:numId w:val="10"/>
        </w:numPr>
        <w:spacing w:line="360" w:lineRule="auto"/>
        <w:jc w:val="both"/>
        <w:rPr>
          <w:rFonts w:ascii="Arial" w:hAnsi="Arial"/>
          <w:sz w:val="22"/>
          <w:szCs w:val="22"/>
        </w:rPr>
      </w:pPr>
      <w:r>
        <w:rPr>
          <w:rFonts w:ascii="Arial" w:hAnsi="Arial"/>
          <w:bCs/>
          <w:color w:val="000000"/>
          <w:sz w:val="22"/>
          <w:szCs w:val="22"/>
        </w:rPr>
        <w:t>Ubicación en locales de subsuelos según planos adjuntos.</w:t>
      </w:r>
    </w:p>
    <w:p>
      <w:pPr>
        <w:numPr>
          <w:ilvl w:val="0"/>
          <w:numId w:val="10"/>
        </w:numPr>
        <w:spacing w:line="360" w:lineRule="auto"/>
        <w:jc w:val="both"/>
        <w:rPr>
          <w:rFonts w:ascii="Arial" w:hAnsi="Arial"/>
          <w:sz w:val="22"/>
          <w:szCs w:val="22"/>
        </w:rPr>
      </w:pPr>
      <w:r>
        <w:rPr>
          <w:rFonts w:ascii="Arial" w:hAnsi="Arial"/>
          <w:color w:val="000000"/>
          <w:sz w:val="22"/>
          <w:szCs w:val="22"/>
        </w:rPr>
        <w:t xml:space="preserve">Firma por la instalación en Formulario F2B solo por la instalación de esas luces de emergencia </w:t>
      </w:r>
      <w:r>
        <w:rPr>
          <w:rFonts w:ascii="Arial" w:hAnsi="Arial"/>
          <w:b/>
          <w:bCs/>
          <w:color w:val="000000"/>
          <w:sz w:val="22"/>
          <w:szCs w:val="22"/>
        </w:rPr>
        <w:t>(ANEXO VIII).</w:t>
      </w:r>
    </w:p>
    <w:p>
      <w:pPr>
        <w:spacing w:line="360" w:lineRule="auto"/>
        <w:jc w:val="both"/>
        <w:rPr>
          <w:rFonts w:ascii="Arial" w:hAnsi="Arial"/>
          <w:b/>
          <w:bCs/>
          <w:color w:val="000000"/>
          <w:sz w:val="22"/>
          <w:szCs w:val="22"/>
        </w:rPr>
      </w:pPr>
    </w:p>
    <w:p>
      <w:pPr>
        <w:pStyle w:val="54"/>
        <w:numPr>
          <w:ilvl w:val="0"/>
          <w:numId w:val="3"/>
        </w:numPr>
        <w:spacing w:line="360" w:lineRule="auto"/>
        <w:jc w:val="both"/>
        <w:rPr>
          <w:rFonts w:ascii="Arial" w:hAnsi="Arial"/>
          <w:sz w:val="22"/>
          <w:szCs w:val="22"/>
        </w:rPr>
      </w:pPr>
      <w:r>
        <w:rPr>
          <w:rFonts w:ascii="Arial" w:hAnsi="Arial"/>
          <w:b/>
          <w:color w:val="000000"/>
          <w:sz w:val="22"/>
          <w:szCs w:val="22"/>
        </w:rPr>
        <w:t>DESCRIPCIÓN</w:t>
      </w:r>
    </w:p>
    <w:p>
      <w:pPr>
        <w:pStyle w:val="54"/>
        <w:numPr>
          <w:ilvl w:val="0"/>
          <w:numId w:val="0"/>
        </w:numPr>
        <w:spacing w:line="360" w:lineRule="auto"/>
        <w:ind w:firstLine="0"/>
        <w:jc w:val="both"/>
        <w:rPr>
          <w:rFonts w:ascii="Arial" w:hAnsi="Arial"/>
          <w:sz w:val="22"/>
          <w:szCs w:val="22"/>
        </w:rPr>
      </w:pPr>
      <w:r>
        <w:rPr>
          <w:rFonts w:ascii="Arial" w:hAnsi="Arial"/>
          <w:b/>
          <w:color w:val="000000"/>
          <w:sz w:val="22"/>
          <w:szCs w:val="22"/>
        </w:rPr>
        <w:t>ACLARACIONES GENERALES</w:t>
      </w:r>
    </w:p>
    <w:p>
      <w:pPr>
        <w:spacing w:line="360" w:lineRule="auto"/>
        <w:jc w:val="both"/>
        <w:rPr>
          <w:rFonts w:ascii="Arial" w:hAnsi="Arial"/>
          <w:sz w:val="22"/>
          <w:szCs w:val="22"/>
        </w:rPr>
      </w:pPr>
      <w:r>
        <w:rPr>
          <w:rFonts w:ascii="Arial" w:hAnsi="Arial"/>
          <w:color w:val="000000"/>
          <w:sz w:val="22"/>
          <w:szCs w:val="22"/>
        </w:rPr>
        <w:t>Los trabajos se desarrollarán de acuerdo con las especificaciones que comprenden la presente Memoria. Regirá para las exigencias en la ejecución de la obra, lo establecido en la Memoria Constructiva General para Edificios Públicos del M.T.O.P. -edición 2006-.</w:t>
      </w:r>
    </w:p>
    <w:p>
      <w:pPr>
        <w:spacing w:line="360" w:lineRule="auto"/>
        <w:jc w:val="both"/>
        <w:rPr>
          <w:rFonts w:ascii="Arial" w:hAnsi="Arial"/>
          <w:sz w:val="22"/>
          <w:szCs w:val="22"/>
        </w:rPr>
      </w:pPr>
      <w:r>
        <w:rPr>
          <w:rFonts w:ascii="Arial" w:hAnsi="Arial"/>
          <w:color w:val="000000"/>
          <w:sz w:val="22"/>
          <w:szCs w:val="22"/>
        </w:rPr>
        <w:t xml:space="preserve">Todo lo que no estuviera debidamente indicado en la presente Memoria, se procederá conforme a las especificaciones contenidas en la Memoria Constructiva General para Edificios Públicos, de la Dirección de Arquitectura del Ministerio de Transporte y Obras Públicas, y de acuerdo a las normas UNIT. </w:t>
      </w:r>
    </w:p>
    <w:p>
      <w:pPr>
        <w:spacing w:line="360" w:lineRule="auto"/>
        <w:jc w:val="both"/>
        <w:rPr>
          <w:rFonts w:ascii="Arial" w:hAnsi="Arial"/>
          <w:sz w:val="22"/>
          <w:szCs w:val="22"/>
        </w:rPr>
      </w:pPr>
      <w:r>
        <w:rPr>
          <w:rFonts w:ascii="Arial" w:hAnsi="Arial"/>
          <w:color w:val="000000"/>
          <w:sz w:val="22"/>
          <w:szCs w:val="22"/>
        </w:rPr>
        <w:t xml:space="preserve">Toda obra no especificada en los elementos gráficos y en la presente Memoria, pero que la buena ejecución indique como necesaria y que de alguna manera puedan afectar la cotización de los distintos rubros, deberán ser consultados para obtener la aclaración pertinente. De no ser así, se considerará parte integrante del proyecto y que por lo tanto fueron cotizados y se exigirá su realización. </w:t>
      </w:r>
    </w:p>
    <w:p>
      <w:pPr>
        <w:spacing w:line="360" w:lineRule="auto"/>
        <w:jc w:val="both"/>
        <w:rPr>
          <w:rFonts w:ascii="Arial" w:hAnsi="Arial"/>
          <w:sz w:val="22"/>
          <w:szCs w:val="22"/>
        </w:rPr>
      </w:pPr>
      <w:r>
        <w:rPr>
          <w:rFonts w:ascii="Arial" w:hAnsi="Arial"/>
          <w:color w:val="000000"/>
          <w:sz w:val="22"/>
          <w:szCs w:val="22"/>
        </w:rPr>
        <w:t xml:space="preserve">Queda totalmente fuera de discusión todos los trabajos que se deban realizar y que no estén especificados en esta memoria, luego de aceptar la obra, en la medida que sean necesarios para su correcta terminación o por razones de seguridad. </w:t>
      </w:r>
    </w:p>
    <w:p>
      <w:pPr>
        <w:spacing w:line="360" w:lineRule="auto"/>
        <w:jc w:val="both"/>
        <w:rPr>
          <w:rFonts w:ascii="Arial" w:hAnsi="Arial"/>
          <w:sz w:val="22"/>
          <w:szCs w:val="22"/>
        </w:rPr>
      </w:pPr>
      <w:r>
        <w:rPr>
          <w:rFonts w:ascii="Arial" w:hAnsi="Arial"/>
          <w:color w:val="000000"/>
          <w:sz w:val="22"/>
          <w:szCs w:val="22"/>
        </w:rPr>
        <w:t xml:space="preserve">La propuesta del oferente supondrá el cabal conocimiento de las condiciones de partida para la realización de las obras licitadas, no reconociéndose a posteriori ningún tipo de adicional ni se admitirá por lo tanto reclamos por ningún concepto que pueda fundarse en desconocimiento de cualquier situación no observada con antelación a la presentación de las ofertas. </w:t>
      </w:r>
    </w:p>
    <w:p>
      <w:pPr>
        <w:pStyle w:val="54"/>
        <w:spacing w:line="360" w:lineRule="auto"/>
        <w:jc w:val="both"/>
        <w:rPr>
          <w:rFonts w:ascii="Arial" w:hAnsi="Arial"/>
          <w:b/>
          <w:color w:val="000000"/>
          <w:sz w:val="22"/>
          <w:szCs w:val="22"/>
        </w:rPr>
      </w:pPr>
    </w:p>
    <w:p>
      <w:pPr>
        <w:pStyle w:val="54"/>
        <w:spacing w:line="360" w:lineRule="auto"/>
        <w:ind w:left="0" w:leftChars="0" w:firstLine="0" w:firstLineChars="0"/>
        <w:jc w:val="left"/>
        <w:rPr>
          <w:rFonts w:ascii="Arial" w:hAnsi="Arial"/>
          <w:sz w:val="22"/>
          <w:szCs w:val="22"/>
        </w:rPr>
      </w:pPr>
      <w:r>
        <w:rPr>
          <w:rFonts w:ascii="Arial" w:hAnsi="Arial"/>
          <w:b/>
          <w:color w:val="000000"/>
          <w:sz w:val="22"/>
          <w:szCs w:val="22"/>
        </w:rPr>
        <w:t>MEMORIA CONSTRUCTIVA PARTICULAR</w:t>
      </w:r>
    </w:p>
    <w:p>
      <w:pPr>
        <w:pStyle w:val="7"/>
        <w:numPr>
          <w:ilvl w:val="0"/>
          <w:numId w:val="0"/>
        </w:numPr>
        <w:spacing w:before="0" w:after="0" w:line="360" w:lineRule="auto"/>
        <w:ind w:left="0" w:firstLine="0"/>
        <w:jc w:val="both"/>
        <w:rPr>
          <w:rFonts w:ascii="Arial" w:hAnsi="Arial"/>
          <w:sz w:val="22"/>
          <w:szCs w:val="22"/>
        </w:rPr>
      </w:pPr>
      <w:r>
        <w:rPr>
          <w:rFonts w:ascii="Arial" w:hAnsi="Arial" w:eastAsiaTheme="minorHAnsi" w:cstheme="minorHAnsi"/>
          <w:color w:val="000000"/>
          <w:sz w:val="22"/>
          <w:szCs w:val="22"/>
        </w:rPr>
        <w:t xml:space="preserve">La presente Memoria establece las condiciones a las cuales se deberán ajustar las ofertas por el Proyecto de Protección Contra Incendio de la Etapa C3, del Plan Gradual, del Edificio de referencia, en cuanto a: suministro, montaje, puesta en marcha, programación, regulación y servicio de garantía de las instalaciones, de la firma comercial </w:t>
      </w:r>
      <w:r>
        <w:rPr>
          <w:rFonts w:ascii="Arial" w:hAnsi="Arial"/>
          <w:color w:val="000000"/>
          <w:sz w:val="22"/>
          <w:szCs w:val="22"/>
        </w:rPr>
        <w:t>“INSTITUTO URUGUAYO DE METEOROLOGIA (INUMET)”, inscripta en el Registro Único Tributario de la Dirección Nacional Impositiva con el número 217604670017, que ocupa el inmueble ubicado sobre la calle Javier Barrios Amorín, con número de puerta 1488, con destino Administrativos, acorde al Decreto 184/018, Anexo I, tabla I, categoría D-1 Escritorios Administrativos</w:t>
      </w:r>
      <w:r>
        <w:rPr>
          <w:rFonts w:ascii="Arial" w:hAnsi="Arial" w:cs="Calibri"/>
          <w:color w:val="000000"/>
          <w:sz w:val="22"/>
          <w:szCs w:val="22"/>
          <w:lang w:val="es-MX"/>
        </w:rPr>
        <w:t xml:space="preserve">. </w:t>
      </w:r>
      <w:r>
        <w:rPr>
          <w:rFonts w:ascii="Arial" w:hAnsi="Arial" w:cstheme="minorHAnsi"/>
          <w:color w:val="000000"/>
          <w:sz w:val="22"/>
          <w:szCs w:val="22"/>
        </w:rPr>
        <w:t xml:space="preserve">Las presente Memoria, conjuntamente con los documentos y planos relacionados a ellas, conforman un Proyecto Ajustado, cuyo propósito es servir de base y guía para la formulación de ofertas y para la posterior ejecución de la obra por parte del Contratista seleccionado. </w:t>
      </w:r>
    </w:p>
    <w:p>
      <w:pPr>
        <w:spacing w:before="0" w:after="0" w:line="360" w:lineRule="auto"/>
        <w:jc w:val="both"/>
        <w:rPr>
          <w:rFonts w:ascii="Arial" w:hAnsi="Arial" w:cs="Calibri"/>
          <w:color w:val="000000"/>
          <w:sz w:val="22"/>
          <w:szCs w:val="22"/>
        </w:rPr>
      </w:pPr>
    </w:p>
    <w:p>
      <w:pPr>
        <w:spacing w:before="0" w:after="0" w:line="360" w:lineRule="auto"/>
        <w:jc w:val="both"/>
        <w:rPr>
          <w:rFonts w:ascii="Arial" w:hAnsi="Arial"/>
          <w:sz w:val="22"/>
          <w:szCs w:val="22"/>
        </w:rPr>
      </w:pPr>
      <w:r>
        <w:rPr>
          <w:rFonts w:ascii="Arial" w:hAnsi="Arial" w:cstheme="minorHAnsi"/>
          <w:color w:val="000000"/>
          <w:sz w:val="22"/>
          <w:szCs w:val="22"/>
        </w:rPr>
        <w:t>El sistema estará compuesto por los materiales descriptos en las memorias técnicas y planos precedentes del Proyecto de Protección Contra Incendio (PPCI) y los recaudos gráficos y escritos del PROYECTO HIDRÁULICO DE COMBATE CONTRA</w:t>
      </w:r>
      <w:r>
        <w:rPr>
          <w:rFonts w:ascii="Arial" w:hAnsi="Arial" w:cs="Calibri"/>
          <w:color w:val="000000"/>
          <w:sz w:val="22"/>
          <w:szCs w:val="22"/>
        </w:rPr>
        <w:t xml:space="preserve"> </w:t>
      </w:r>
      <w:r>
        <w:rPr>
          <w:rFonts w:ascii="Arial" w:hAnsi="Arial" w:cstheme="minorHAnsi"/>
          <w:color w:val="000000"/>
          <w:sz w:val="22"/>
          <w:szCs w:val="22"/>
        </w:rPr>
        <w:t xml:space="preserve">INCENDIOS </w:t>
      </w:r>
      <w:r>
        <w:rPr>
          <w:rFonts w:ascii="Arial" w:hAnsi="Arial" w:cs="Calibri"/>
          <w:b/>
          <w:bCs/>
          <w:color w:val="000000"/>
          <w:sz w:val="22"/>
          <w:szCs w:val="22"/>
        </w:rPr>
        <w:t>(ANEXO IX).</w:t>
      </w:r>
    </w:p>
    <w:p>
      <w:pPr>
        <w:spacing w:before="0" w:after="0" w:line="360" w:lineRule="auto"/>
        <w:jc w:val="both"/>
        <w:rPr>
          <w:rFonts w:ascii="Arial" w:hAnsi="Arial" w:cs="Calibri"/>
          <w:color w:val="000000"/>
          <w:sz w:val="22"/>
          <w:szCs w:val="22"/>
        </w:rPr>
      </w:pPr>
    </w:p>
    <w:p>
      <w:pPr>
        <w:spacing w:before="0" w:after="0" w:line="360" w:lineRule="auto"/>
        <w:jc w:val="both"/>
        <w:rPr>
          <w:rFonts w:ascii="Arial" w:hAnsi="Arial"/>
          <w:sz w:val="22"/>
          <w:szCs w:val="22"/>
        </w:rPr>
      </w:pPr>
      <w:r>
        <w:rPr>
          <w:rFonts w:ascii="Arial" w:hAnsi="Arial" w:cstheme="minorHAnsi"/>
          <w:color w:val="000000"/>
          <w:sz w:val="22"/>
          <w:szCs w:val="22"/>
        </w:rPr>
        <w:t xml:space="preserve">El objetivo de la presente especificación es definir una instalación completa, debidamente puesta en marcha, ensayada y lista para operar, a ser suministrada bajo la modalidad </w:t>
      </w:r>
      <w:r>
        <w:rPr>
          <w:rFonts w:ascii="Arial" w:hAnsi="Arial" w:cstheme="minorHAnsi"/>
          <w:b/>
          <w:color w:val="000000"/>
          <w:sz w:val="22"/>
          <w:szCs w:val="22"/>
        </w:rPr>
        <w:t>“llave en mano”</w:t>
      </w:r>
      <w:r>
        <w:rPr>
          <w:rFonts w:ascii="Arial" w:hAnsi="Arial" w:cstheme="minorHAnsi"/>
          <w:color w:val="000000"/>
          <w:sz w:val="22"/>
          <w:szCs w:val="22"/>
        </w:rPr>
        <w:t>. Debiendo incluir todos los trabajos de obra civil vinculados para poder cumplir con el objetivo planteado.</w:t>
      </w:r>
    </w:p>
    <w:p>
      <w:pPr>
        <w:spacing w:before="0" w:after="0" w:line="360" w:lineRule="auto"/>
        <w:jc w:val="both"/>
        <w:rPr>
          <w:rFonts w:ascii="Arial" w:hAnsi="Arial"/>
          <w:sz w:val="22"/>
          <w:szCs w:val="22"/>
        </w:rPr>
      </w:pPr>
      <w:r>
        <w:rPr>
          <w:rFonts w:ascii="Arial" w:hAnsi="Arial" w:cstheme="minorHAnsi"/>
          <w:color w:val="000000"/>
          <w:sz w:val="22"/>
          <w:szCs w:val="22"/>
        </w:rPr>
        <w:t xml:space="preserve">La presentación de la propuesta por parte del Contratista implica el conocimiento y aceptación de las condiciones estipuladas en los pliegos. </w:t>
      </w:r>
    </w:p>
    <w:p>
      <w:pPr>
        <w:spacing w:before="0" w:after="0" w:line="360" w:lineRule="auto"/>
        <w:jc w:val="both"/>
        <w:rPr>
          <w:rFonts w:ascii="Arial" w:hAnsi="Arial"/>
          <w:sz w:val="22"/>
          <w:szCs w:val="22"/>
        </w:rPr>
      </w:pPr>
      <w:r>
        <w:rPr>
          <w:rFonts w:ascii="Arial" w:hAnsi="Arial" w:cstheme="minorHAnsi"/>
          <w:color w:val="000000"/>
          <w:sz w:val="22"/>
          <w:szCs w:val="22"/>
        </w:rPr>
        <w:t xml:space="preserve">A los efectos de la presente, los términos Oferente, Instalador y Contratista se usarán indistintamente y con igual significado. </w:t>
      </w:r>
    </w:p>
    <w:p>
      <w:pPr>
        <w:spacing w:before="0" w:after="0" w:line="360" w:lineRule="auto"/>
        <w:jc w:val="both"/>
        <w:rPr>
          <w:rFonts w:ascii="Arial" w:hAnsi="Arial"/>
          <w:sz w:val="22"/>
          <w:szCs w:val="22"/>
        </w:rPr>
      </w:pPr>
      <w:r>
        <w:rPr>
          <w:rFonts w:ascii="Arial" w:hAnsi="Arial" w:cstheme="minorHAnsi"/>
          <w:color w:val="000000"/>
          <w:sz w:val="22"/>
          <w:szCs w:val="22"/>
        </w:rPr>
        <w:t>Se entiende que el Contratista posee amplia experiencia en la cotización, proyecto, suministro y montaje de sistemas como los detallados en la presente Memoria, en la que se definen las normas y requisitos mínimos a cumplir.</w:t>
      </w:r>
    </w:p>
    <w:p>
      <w:pPr>
        <w:spacing w:before="0" w:after="0" w:line="360" w:lineRule="auto"/>
        <w:jc w:val="both"/>
        <w:rPr>
          <w:rFonts w:ascii="Arial" w:hAnsi="Arial"/>
          <w:sz w:val="22"/>
          <w:szCs w:val="22"/>
        </w:rPr>
      </w:pPr>
      <w:r>
        <w:rPr>
          <w:rFonts w:ascii="Arial" w:hAnsi="Arial" w:cstheme="minorHAnsi"/>
          <w:color w:val="000000"/>
          <w:sz w:val="22"/>
          <w:szCs w:val="22"/>
        </w:rPr>
        <w:t xml:space="preserve">Se entiende que el </w:t>
      </w:r>
      <w:r>
        <w:rPr>
          <w:rFonts w:ascii="Arial" w:hAnsi="Arial" w:cstheme="minorHAnsi"/>
          <w:b/>
          <w:color w:val="000000"/>
          <w:sz w:val="22"/>
          <w:szCs w:val="22"/>
        </w:rPr>
        <w:t>Contratista o empresa instaladora, están registrados ante la D.N.B.</w:t>
      </w:r>
      <w:r>
        <w:rPr>
          <w:rFonts w:ascii="Arial" w:hAnsi="Arial" w:cstheme="minorHAnsi"/>
          <w:color w:val="000000"/>
          <w:sz w:val="22"/>
          <w:szCs w:val="22"/>
        </w:rPr>
        <w:t xml:space="preserve"> y son capaces de hacerse responsables de la instalación y correcto funcionamiento del sistema acorde con el proyecto presentado, mediante declaración expresa a través del </w:t>
      </w:r>
      <w:r>
        <w:rPr>
          <w:rFonts w:ascii="Arial" w:hAnsi="Arial" w:cstheme="minorHAnsi"/>
          <w:b/>
          <w:color w:val="000000"/>
          <w:sz w:val="22"/>
          <w:szCs w:val="22"/>
        </w:rPr>
        <w:t>formulario F2B</w:t>
      </w:r>
      <w:r>
        <w:rPr>
          <w:rFonts w:ascii="Arial" w:hAnsi="Arial" w:cstheme="minorHAnsi"/>
          <w:color w:val="000000"/>
          <w:sz w:val="22"/>
          <w:szCs w:val="22"/>
        </w:rPr>
        <w:t xml:space="preserve"> para que el Técnico Registrado de quien gestiona, presente en el expediente en curso ante la D.N.B.</w:t>
      </w:r>
    </w:p>
    <w:p>
      <w:pPr>
        <w:spacing w:before="0" w:after="0" w:line="360" w:lineRule="auto"/>
        <w:jc w:val="both"/>
        <w:rPr>
          <w:rFonts w:ascii="Arial" w:hAnsi="Arial"/>
          <w:sz w:val="22"/>
          <w:szCs w:val="22"/>
        </w:rPr>
      </w:pPr>
      <w:r>
        <w:rPr>
          <w:rFonts w:ascii="Arial" w:hAnsi="Arial" w:cstheme="minorHAnsi"/>
          <w:color w:val="000000"/>
          <w:sz w:val="22"/>
          <w:szCs w:val="22"/>
        </w:rPr>
        <w:t xml:space="preserve">Será por lo tanto responsabilidad del Contratista el incluir en su propuesta todos los costos por mano de obra, materiales, herramientas, medios de obra, fletes hacia y desde la obra, Dirección operativa y técnica para la construcción de las instalaciones que se describen en los recaudos gráficos y Memoria, y todo otro bien o servicio necesario para ajustarse a la normativa vigente, asegurar la buena operación y rendimiento de la instalación e implementar el trabajo conjunto con los demás contratos. </w:t>
      </w:r>
    </w:p>
    <w:p>
      <w:pPr>
        <w:spacing w:before="0" w:after="0" w:line="360" w:lineRule="auto"/>
        <w:jc w:val="both"/>
        <w:rPr>
          <w:rFonts w:ascii="Arial" w:hAnsi="Arial"/>
          <w:sz w:val="22"/>
          <w:szCs w:val="22"/>
        </w:rPr>
      </w:pPr>
      <w:r>
        <w:rPr>
          <w:rFonts w:ascii="Arial" w:hAnsi="Arial" w:cstheme="minorHAnsi"/>
          <w:color w:val="000000"/>
          <w:sz w:val="22"/>
          <w:szCs w:val="22"/>
        </w:rPr>
        <w:t xml:space="preserve">Es suficiente que una especificación constructiva figure en cualquiera de los recaudos que componen este proyecto, para que su ejecución sea preceptiva. </w:t>
      </w:r>
    </w:p>
    <w:p>
      <w:pPr>
        <w:spacing w:before="0" w:after="0" w:line="360" w:lineRule="auto"/>
        <w:jc w:val="both"/>
        <w:rPr>
          <w:rFonts w:ascii="Arial" w:hAnsi="Arial"/>
          <w:sz w:val="22"/>
          <w:szCs w:val="22"/>
        </w:rPr>
      </w:pPr>
      <w:r>
        <w:rPr>
          <w:rFonts w:ascii="Arial" w:hAnsi="Arial" w:cstheme="minorHAnsi"/>
          <w:color w:val="000000"/>
          <w:sz w:val="22"/>
          <w:szCs w:val="22"/>
        </w:rPr>
        <w:t xml:space="preserve">Detalles usualmente no indicados en especificaciones o planos que sin embargo son necesarios para la operación satisfactoria de las instalaciones, deben ser provistas e instaladas como parte del contrato. Igualmente, toda obra o suministro no específicamente graficado en los presentes recaudos, pero que la técnica y tradición de la buena ejecución indique como necesaria, se considerará parte integrante de este proyecto, y de ejecución obligatoria para el Subcontratista de este rubro. </w:t>
      </w:r>
    </w:p>
    <w:p>
      <w:pPr>
        <w:pStyle w:val="57"/>
        <w:spacing w:line="360" w:lineRule="auto"/>
        <w:jc w:val="both"/>
        <w:rPr>
          <w:rFonts w:ascii="Arial" w:hAnsi="Arial"/>
          <w:sz w:val="22"/>
          <w:szCs w:val="22"/>
        </w:rPr>
      </w:pPr>
      <w:r>
        <w:rPr>
          <w:rFonts w:ascii="Arial" w:hAnsi="Arial" w:cstheme="minorHAnsi"/>
          <w:sz w:val="22"/>
          <w:szCs w:val="22"/>
          <w:lang w:val="es-UY"/>
        </w:rPr>
        <w:t xml:space="preserve">Los diseños indicados en el presente proyecto esquemático se consideran básicos y definen la disposición general del equipamiento. Todo diseño definitivo deberá someterse, con la debida antelación, a la Dirección de Obra a fin de su aprobación previo iniciar los montajes u ordenar los trabajos de taller. </w:t>
      </w:r>
    </w:p>
    <w:p>
      <w:pPr>
        <w:spacing w:before="0" w:after="0" w:line="360" w:lineRule="auto"/>
        <w:jc w:val="both"/>
        <w:rPr>
          <w:rFonts w:ascii="Arial" w:hAnsi="Arial"/>
          <w:sz w:val="22"/>
          <w:szCs w:val="22"/>
        </w:rPr>
      </w:pPr>
      <w:r>
        <w:rPr>
          <w:rFonts w:ascii="Arial" w:hAnsi="Arial" w:cstheme="minorHAnsi"/>
          <w:color w:val="000000"/>
          <w:sz w:val="22"/>
          <w:szCs w:val="22"/>
        </w:rPr>
        <w:t xml:space="preserve">El Instalador estudiará los pliegos a fin de plantear a priori las dudas y/o discrepancias que pudieran surgir, no admitiéndose luego reclamos por imprevisiones. </w:t>
      </w:r>
    </w:p>
    <w:p>
      <w:pPr>
        <w:spacing w:before="0" w:after="0" w:line="360" w:lineRule="auto"/>
        <w:jc w:val="both"/>
        <w:rPr>
          <w:rFonts w:ascii="Arial" w:hAnsi="Arial"/>
          <w:sz w:val="22"/>
          <w:szCs w:val="22"/>
        </w:rPr>
      </w:pPr>
      <w:r>
        <w:rPr>
          <w:rFonts w:ascii="Arial" w:hAnsi="Arial" w:cstheme="minorHAnsi"/>
          <w:color w:val="000000"/>
          <w:sz w:val="22"/>
          <w:szCs w:val="22"/>
        </w:rPr>
        <w:t xml:space="preserve">La instalación deberá realizarse de acuerdo a las reglamentaciones aplicables de los organismos nacionales y departamentales, incluidos, pero no limitados a los siguientes: </w:t>
      </w:r>
    </w:p>
    <w:p>
      <w:pPr>
        <w:pStyle w:val="54"/>
        <w:numPr>
          <w:ilvl w:val="0"/>
          <w:numId w:val="11"/>
        </w:numPr>
        <w:suppressAutoHyphens w:val="0"/>
        <w:spacing w:before="0" w:after="38" w:line="360" w:lineRule="auto"/>
        <w:contextualSpacing/>
        <w:jc w:val="both"/>
        <w:rPr>
          <w:rFonts w:ascii="Arial" w:hAnsi="Arial"/>
          <w:sz w:val="22"/>
          <w:szCs w:val="22"/>
        </w:rPr>
      </w:pPr>
      <w:r>
        <w:rPr>
          <w:rFonts w:ascii="Arial" w:hAnsi="Arial" w:cstheme="minorHAnsi"/>
          <w:color w:val="000000"/>
          <w:sz w:val="22"/>
          <w:szCs w:val="22"/>
        </w:rPr>
        <w:t xml:space="preserve">Intendencia Municipal de Montevideo </w:t>
      </w:r>
    </w:p>
    <w:p>
      <w:pPr>
        <w:pStyle w:val="54"/>
        <w:numPr>
          <w:ilvl w:val="0"/>
          <w:numId w:val="11"/>
        </w:numPr>
        <w:suppressAutoHyphens w:val="0"/>
        <w:spacing w:line="360" w:lineRule="auto"/>
        <w:jc w:val="both"/>
        <w:rPr>
          <w:rFonts w:ascii="Arial" w:hAnsi="Arial"/>
          <w:sz w:val="22"/>
          <w:szCs w:val="22"/>
        </w:rPr>
      </w:pPr>
      <w:r>
        <w:rPr>
          <w:rFonts w:ascii="Arial" w:hAnsi="Arial" w:cstheme="minorHAnsi"/>
          <w:color w:val="000000"/>
          <w:sz w:val="22"/>
          <w:szCs w:val="22"/>
        </w:rPr>
        <w:t xml:space="preserve">Dirección Nacional de Bomberos </w:t>
      </w:r>
    </w:p>
    <w:p>
      <w:pPr>
        <w:spacing w:before="0" w:after="0" w:line="360" w:lineRule="auto"/>
        <w:jc w:val="both"/>
        <w:rPr>
          <w:rFonts w:ascii="Arial" w:hAnsi="Arial" w:cs="Calibri"/>
          <w:color w:val="000000"/>
          <w:sz w:val="22"/>
          <w:szCs w:val="22"/>
        </w:rPr>
      </w:pPr>
    </w:p>
    <w:p>
      <w:pPr>
        <w:spacing w:before="0" w:after="0" w:line="360" w:lineRule="auto"/>
        <w:jc w:val="both"/>
        <w:rPr>
          <w:rFonts w:ascii="Arial" w:hAnsi="Arial"/>
          <w:sz w:val="22"/>
          <w:szCs w:val="22"/>
        </w:rPr>
      </w:pPr>
      <w:r>
        <w:rPr>
          <w:rFonts w:ascii="Arial" w:hAnsi="Arial" w:cstheme="minorHAnsi"/>
          <w:color w:val="000000"/>
          <w:sz w:val="22"/>
          <w:szCs w:val="22"/>
        </w:rPr>
        <w:t xml:space="preserve">Los requerimientos de los organismos nacionales y departamentales definen un mínimo de calidad que debe ser logrado para obtener las habilitaciones pertinentes. </w:t>
      </w:r>
    </w:p>
    <w:p>
      <w:pPr>
        <w:spacing w:before="0" w:after="0" w:line="360" w:lineRule="auto"/>
        <w:jc w:val="both"/>
        <w:rPr>
          <w:rFonts w:ascii="Arial" w:hAnsi="Arial"/>
          <w:sz w:val="22"/>
          <w:szCs w:val="22"/>
        </w:rPr>
      </w:pPr>
      <w:r>
        <w:rPr>
          <w:rFonts w:ascii="Arial" w:hAnsi="Arial" w:cstheme="minorHAnsi"/>
          <w:color w:val="000000"/>
          <w:sz w:val="22"/>
          <w:szCs w:val="22"/>
        </w:rPr>
        <w:t xml:space="preserve">Independiente y complementariamente a lo exigido por la citada normativa local todos los diseños, materiales y montajes se regirán, según se establece en pliegos, por lo establecido en las normas emitidas por organismos y asociaciones internacionales entre las que destacamos: </w:t>
      </w:r>
    </w:p>
    <w:p>
      <w:pPr>
        <w:pStyle w:val="54"/>
        <w:numPr>
          <w:ilvl w:val="0"/>
          <w:numId w:val="12"/>
        </w:numPr>
        <w:suppressAutoHyphens w:val="0"/>
        <w:spacing w:before="0" w:after="38" w:line="360" w:lineRule="auto"/>
        <w:contextualSpacing/>
        <w:jc w:val="left"/>
        <w:rPr>
          <w:rFonts w:ascii="Arial" w:hAnsi="Arial"/>
          <w:sz w:val="22"/>
          <w:szCs w:val="22"/>
        </w:rPr>
      </w:pPr>
      <w:r>
        <w:rPr>
          <w:rFonts w:ascii="Arial" w:hAnsi="Arial" w:cstheme="minorHAnsi"/>
          <w:color w:val="000000"/>
          <w:sz w:val="22"/>
          <w:szCs w:val="22"/>
          <w:lang w:val="en-US"/>
        </w:rPr>
        <w:t xml:space="preserve">NFPA (National Fire Protection Association) </w:t>
      </w:r>
    </w:p>
    <w:p>
      <w:pPr>
        <w:pStyle w:val="54"/>
        <w:numPr>
          <w:ilvl w:val="0"/>
          <w:numId w:val="12"/>
        </w:numPr>
        <w:suppressAutoHyphens w:val="0"/>
        <w:spacing w:before="0" w:after="38" w:line="360" w:lineRule="auto"/>
        <w:contextualSpacing/>
        <w:jc w:val="both"/>
        <w:rPr>
          <w:rFonts w:ascii="Arial" w:hAnsi="Arial"/>
          <w:sz w:val="22"/>
          <w:szCs w:val="22"/>
        </w:rPr>
      </w:pPr>
      <w:r>
        <w:rPr>
          <w:rFonts w:ascii="Arial" w:hAnsi="Arial" w:cstheme="minorHAnsi"/>
          <w:color w:val="000000"/>
          <w:sz w:val="22"/>
          <w:szCs w:val="22"/>
        </w:rPr>
        <w:t xml:space="preserve">UL (Underwriters Laboratories Inc.) </w:t>
      </w:r>
    </w:p>
    <w:p>
      <w:pPr>
        <w:pStyle w:val="54"/>
        <w:numPr>
          <w:ilvl w:val="0"/>
          <w:numId w:val="12"/>
        </w:numPr>
        <w:suppressAutoHyphens w:val="0"/>
        <w:spacing w:before="0" w:after="38" w:line="360" w:lineRule="auto"/>
        <w:contextualSpacing/>
        <w:jc w:val="both"/>
        <w:rPr>
          <w:rFonts w:ascii="Arial" w:hAnsi="Arial"/>
          <w:sz w:val="22"/>
          <w:szCs w:val="22"/>
        </w:rPr>
      </w:pPr>
      <w:r>
        <w:rPr>
          <w:rFonts w:ascii="Arial" w:hAnsi="Arial" w:cstheme="minorHAnsi"/>
          <w:color w:val="000000"/>
          <w:sz w:val="22"/>
          <w:szCs w:val="22"/>
        </w:rPr>
        <w:t xml:space="preserve">FM (Factory Mutual) </w:t>
      </w:r>
    </w:p>
    <w:p>
      <w:pPr>
        <w:pStyle w:val="54"/>
        <w:numPr>
          <w:ilvl w:val="0"/>
          <w:numId w:val="12"/>
        </w:numPr>
        <w:suppressAutoHyphens w:val="0"/>
        <w:spacing w:before="0" w:after="38" w:line="360" w:lineRule="auto"/>
        <w:contextualSpacing/>
        <w:jc w:val="both"/>
        <w:rPr>
          <w:rFonts w:ascii="Arial" w:hAnsi="Arial"/>
          <w:sz w:val="22"/>
          <w:szCs w:val="22"/>
        </w:rPr>
      </w:pPr>
      <w:r>
        <w:rPr>
          <w:rFonts w:ascii="Arial" w:hAnsi="Arial" w:cstheme="minorHAnsi"/>
          <w:color w:val="000000"/>
          <w:sz w:val="22"/>
          <w:szCs w:val="22"/>
        </w:rPr>
        <w:t xml:space="preserve">ISO (International Standards Organization) </w:t>
      </w:r>
    </w:p>
    <w:p>
      <w:pPr>
        <w:pStyle w:val="54"/>
        <w:numPr>
          <w:ilvl w:val="0"/>
          <w:numId w:val="12"/>
        </w:numPr>
        <w:suppressAutoHyphens w:val="0"/>
        <w:spacing w:line="360" w:lineRule="auto"/>
        <w:jc w:val="both"/>
        <w:rPr>
          <w:rFonts w:ascii="Arial" w:hAnsi="Arial"/>
          <w:sz w:val="22"/>
          <w:szCs w:val="22"/>
        </w:rPr>
      </w:pPr>
      <w:r>
        <w:rPr>
          <w:rFonts w:ascii="Arial" w:hAnsi="Arial" w:cstheme="minorHAnsi"/>
          <w:color w:val="000000"/>
          <w:sz w:val="22"/>
          <w:szCs w:val="22"/>
        </w:rPr>
        <w:t xml:space="preserve">UNIT (Instituto Uruguayo de Normas Técnicas) </w:t>
      </w:r>
    </w:p>
    <w:p>
      <w:pPr>
        <w:pStyle w:val="54"/>
        <w:suppressAutoHyphens w:val="0"/>
        <w:spacing w:line="360" w:lineRule="auto"/>
        <w:jc w:val="both"/>
        <w:rPr>
          <w:rFonts w:ascii="Arial" w:hAnsi="Arial" w:cs="Calibri"/>
          <w:sz w:val="22"/>
          <w:szCs w:val="22"/>
        </w:rPr>
      </w:pPr>
    </w:p>
    <w:p>
      <w:pPr>
        <w:spacing w:line="360" w:lineRule="auto"/>
        <w:jc w:val="both"/>
        <w:rPr>
          <w:rFonts w:ascii="Arial" w:hAnsi="Arial"/>
          <w:sz w:val="22"/>
          <w:szCs w:val="22"/>
        </w:rPr>
      </w:pPr>
      <w:r>
        <w:rPr>
          <w:rFonts w:ascii="Arial" w:hAnsi="Arial"/>
          <w:b/>
          <w:color w:val="000000" w:themeColor="text1"/>
          <w:sz w:val="22"/>
          <w:szCs w:val="22"/>
          <w14:textFill>
            <w14:solidFill>
              <w14:schemeClr w14:val="tx1"/>
            </w14:solidFill>
          </w14:textFill>
        </w:rPr>
        <w:t xml:space="preserve">2.1 MATERIALES </w:t>
      </w:r>
    </w:p>
    <w:p>
      <w:pPr>
        <w:spacing w:line="360" w:lineRule="auto"/>
        <w:jc w:val="both"/>
        <w:rPr>
          <w:rFonts w:ascii="Arial" w:hAnsi="Arial"/>
          <w:sz w:val="22"/>
          <w:szCs w:val="22"/>
        </w:rPr>
      </w:pPr>
      <w:r>
        <w:rPr>
          <w:rFonts w:ascii="Arial" w:hAnsi="Arial"/>
          <w:color w:val="000000" w:themeColor="text1"/>
          <w:sz w:val="22"/>
          <w:szCs w:val="22"/>
          <w14:textFill>
            <w14:solidFill>
              <w14:schemeClr w14:val="tx1"/>
            </w14:solidFill>
          </w14:textFill>
        </w:rPr>
        <w:t>Los materiales deberán ser nuevos, de primera calidad y de acuerdo a los planos y memorias según requerimientos de la normativa vigente de la D.N.B.</w:t>
      </w:r>
    </w:p>
    <w:p>
      <w:pPr>
        <w:spacing w:line="360" w:lineRule="auto"/>
        <w:jc w:val="both"/>
        <w:rPr>
          <w:rFonts w:ascii="Arial" w:hAnsi="Arial"/>
          <w:sz w:val="22"/>
          <w:szCs w:val="22"/>
        </w:rPr>
      </w:pPr>
      <w:r>
        <w:rPr>
          <w:rFonts w:ascii="Arial" w:hAnsi="Arial"/>
          <w:color w:val="000000" w:themeColor="text1"/>
          <w:sz w:val="22"/>
          <w:szCs w:val="22"/>
          <w14:textFill>
            <w14:solidFill>
              <w14:schemeClr w14:val="tx1"/>
            </w14:solidFill>
          </w14:textFill>
        </w:rPr>
        <w:t xml:space="preserve">Todos los materiales referidos a: iluminación de emergencia, puerta cortafuego y bomba de incendio que forman parte suministro, estarán </w:t>
      </w:r>
      <w:r>
        <w:rPr>
          <w:rFonts w:ascii="Arial" w:hAnsi="Arial"/>
          <w:b/>
          <w:bCs/>
          <w:color w:val="000000" w:themeColor="text1"/>
          <w:sz w:val="22"/>
          <w:szCs w:val="22"/>
          <w14:textFill>
            <w14:solidFill>
              <w14:schemeClr w14:val="tx1"/>
            </w14:solidFill>
          </w14:textFill>
        </w:rPr>
        <w:t>homologados por la Dirección Nacional de Bomberos.</w:t>
      </w:r>
    </w:p>
    <w:p>
      <w:pPr>
        <w:spacing w:line="360" w:lineRule="auto"/>
        <w:jc w:val="both"/>
        <w:rPr>
          <w:rFonts w:ascii="Arial" w:hAnsi="Arial"/>
          <w:sz w:val="22"/>
          <w:szCs w:val="22"/>
        </w:rPr>
      </w:pPr>
      <w:r>
        <w:rPr>
          <w:rFonts w:ascii="Arial" w:hAnsi="Arial"/>
          <w:color w:val="000000" w:themeColor="text1"/>
          <w:sz w:val="22"/>
          <w:szCs w:val="22"/>
          <w14:textFill>
            <w14:solidFill>
              <w14:schemeClr w14:val="tx1"/>
            </w14:solidFill>
          </w14:textFill>
        </w:rPr>
        <w:t>Se deberán colocar todos los materiales que aunque no estén expresamente indicados en planos y memoria, sean no obstante necesarios para el correcto funcionamiento y buena terminación de las instalaciones y/o cumplimiento de las reglamentaciones vigentes.</w:t>
      </w:r>
    </w:p>
    <w:p>
      <w:pPr>
        <w:spacing w:line="360" w:lineRule="auto"/>
        <w:jc w:val="both"/>
        <w:rPr>
          <w:rFonts w:ascii="Arial" w:hAnsi="Arial"/>
          <w:sz w:val="22"/>
          <w:szCs w:val="22"/>
        </w:rPr>
      </w:pPr>
      <w:r>
        <w:rPr>
          <w:rFonts w:ascii="Arial" w:hAnsi="Arial"/>
          <w:color w:val="000000" w:themeColor="text1"/>
          <w:sz w:val="22"/>
          <w:szCs w:val="22"/>
          <w14:textFill>
            <w14:solidFill>
              <w14:schemeClr w14:val="tx1"/>
            </w14:solidFill>
          </w14:textFill>
        </w:rPr>
        <w:t>La pintura y partes de equipos que se hubieran maltratado durante el transporte, almacenamiento o instalación y manejo, deberán ser reparadas, requiriendo la aceptación de la Dirección de la Obra.</w:t>
      </w:r>
    </w:p>
    <w:p>
      <w:pPr>
        <w:spacing w:line="360" w:lineRule="auto"/>
        <w:jc w:val="both"/>
        <w:rPr>
          <w:rFonts w:ascii="Arial" w:hAnsi="Arial"/>
          <w:sz w:val="22"/>
          <w:szCs w:val="22"/>
        </w:rPr>
      </w:pPr>
      <w:r>
        <w:rPr>
          <w:rFonts w:ascii="Arial" w:hAnsi="Arial"/>
          <w:color w:val="000000" w:themeColor="text1"/>
          <w:sz w:val="22"/>
          <w:szCs w:val="22"/>
          <w14:textFill>
            <w14:solidFill>
              <w14:schemeClr w14:val="tx1"/>
            </w14:solidFill>
          </w14:textFill>
        </w:rPr>
        <w:t>La Dirección de la Obra se reserva el derecho de modificar el emplazamiento o recorrido de los elementos que integran las instalaciones sin que esto de derecho al Contratista a efectuar cobros adicionales, siempre que no se trate de deshacer obra hecha de acuerdo a los planos ni modificar fundamentalmente lo indicado en los mismos.</w:t>
      </w:r>
    </w:p>
    <w:p>
      <w:pPr>
        <w:spacing w:line="360" w:lineRule="auto"/>
        <w:jc w:val="both"/>
        <w:rPr>
          <w:rFonts w:ascii="Arial" w:hAnsi="Arial"/>
          <w:sz w:val="22"/>
          <w:szCs w:val="22"/>
        </w:rPr>
      </w:pPr>
      <w:r>
        <w:rPr>
          <w:rFonts w:ascii="Arial" w:hAnsi="Arial"/>
          <w:color w:val="000000" w:themeColor="text1"/>
          <w:sz w:val="22"/>
          <w:szCs w:val="22"/>
          <w14:textFill>
            <w14:solidFill>
              <w14:schemeClr w14:val="tx1"/>
            </w14:solidFill>
          </w14:textFill>
        </w:rPr>
        <w:t>En todos los casos deberá tenerse presente que la seguridad de las instalaciones es imperiosa. Se exigirá por lo tanto una ejecución esmerada de las mismas y una selección y calidad adecuada de los elementos que la componen.</w:t>
      </w:r>
    </w:p>
    <w:p>
      <w:pPr>
        <w:spacing w:line="360" w:lineRule="auto"/>
        <w:jc w:val="both"/>
        <w:rPr>
          <w:rFonts w:ascii="Arial" w:hAnsi="Arial"/>
          <w:sz w:val="22"/>
          <w:szCs w:val="22"/>
        </w:rPr>
      </w:pPr>
      <w:r>
        <w:rPr>
          <w:rFonts w:ascii="Arial" w:hAnsi="Arial"/>
          <w:color w:val="000000" w:themeColor="text1"/>
          <w:sz w:val="22"/>
          <w:szCs w:val="22"/>
          <w14:textFill>
            <w14:solidFill>
              <w14:schemeClr w14:val="tx1"/>
            </w14:solidFill>
          </w14:textFill>
        </w:rPr>
        <w:t>La Administración podrá efectuar (directamente o a través de organismos de normalización y certificación, controles de calidad de los materiales, previo al inicio de la obra.</w:t>
      </w:r>
    </w:p>
    <w:p>
      <w:pPr>
        <w:pStyle w:val="54"/>
        <w:numPr>
          <w:ilvl w:val="0"/>
          <w:numId w:val="3"/>
        </w:numPr>
        <w:spacing w:line="360" w:lineRule="auto"/>
        <w:jc w:val="both"/>
        <w:rPr>
          <w:rFonts w:ascii="Arial" w:hAnsi="Arial"/>
          <w:sz w:val="22"/>
          <w:szCs w:val="22"/>
        </w:rPr>
      </w:pPr>
      <w:r>
        <w:rPr>
          <w:rFonts w:ascii="Arial" w:hAnsi="Arial"/>
          <w:b/>
          <w:color w:val="000000"/>
          <w:sz w:val="22"/>
          <w:szCs w:val="22"/>
        </w:rPr>
        <w:t>COTIZACIÓN</w:t>
      </w:r>
      <w:r>
        <w:rPr>
          <w:rFonts w:hint="default" w:ascii="Arial" w:hAnsi="Arial"/>
          <w:b/>
          <w:color w:val="000000"/>
          <w:sz w:val="22"/>
          <w:szCs w:val="22"/>
          <w:lang w:val="es-ES"/>
        </w:rPr>
        <w:t xml:space="preserve"> </w:t>
      </w:r>
      <w:r>
        <w:rPr>
          <w:rFonts w:ascii="Arial" w:hAnsi="Arial"/>
          <w:b/>
          <w:color w:val="000000"/>
          <w:sz w:val="22"/>
          <w:szCs w:val="22"/>
        </w:rPr>
        <w:t>- PRECIO</w:t>
      </w:r>
    </w:p>
    <w:p>
      <w:pPr>
        <w:pStyle w:val="54"/>
        <w:spacing w:line="360" w:lineRule="auto"/>
        <w:ind w:left="0" w:firstLine="0"/>
        <w:jc w:val="both"/>
        <w:rPr>
          <w:rFonts w:ascii="Arial" w:hAnsi="Arial"/>
          <w:sz w:val="22"/>
          <w:szCs w:val="22"/>
        </w:rPr>
      </w:pPr>
      <w:r>
        <w:rPr>
          <w:rFonts w:ascii="Arial" w:hAnsi="Arial"/>
          <w:color w:val="000000"/>
          <w:sz w:val="22"/>
          <w:szCs w:val="22"/>
        </w:rPr>
        <w:t>La cotización deberá realizarse en línea. Deberán cargarse 2 items: a) Precio de obra en pesos uruguayos (importe gravado por IVA); b) Leyes Sociales en pesos uruguayos (importe exento de IVA). En caso de no hacerlo, se entenderá que estos se encuentran incluidos en el precio siendo su monto responsabilidad del contratista y por tanto descontados de los pagos correspondientes.</w:t>
      </w:r>
    </w:p>
    <w:p>
      <w:pPr>
        <w:spacing w:line="360" w:lineRule="auto"/>
        <w:jc w:val="both"/>
        <w:rPr>
          <w:rFonts w:ascii="Arial" w:hAnsi="Arial"/>
          <w:sz w:val="22"/>
          <w:szCs w:val="22"/>
        </w:rPr>
      </w:pPr>
      <w:r>
        <w:rPr>
          <w:rFonts w:ascii="Arial" w:hAnsi="Arial" w:eastAsia="Calibri" w:cs="Tahoma"/>
          <w:color w:val="000000"/>
          <w:sz w:val="22"/>
          <w:szCs w:val="22"/>
        </w:rPr>
        <w:t>Para todos los ítems se especificará el precio por suministros de materiales y equipos, y el de mano de obra de instalación.</w:t>
      </w:r>
    </w:p>
    <w:p>
      <w:pPr>
        <w:pStyle w:val="54"/>
        <w:spacing w:line="360" w:lineRule="auto"/>
        <w:ind w:left="0" w:firstLine="0"/>
        <w:jc w:val="both"/>
        <w:rPr>
          <w:rFonts w:ascii="Arial" w:hAnsi="Arial"/>
          <w:sz w:val="22"/>
          <w:szCs w:val="22"/>
        </w:rPr>
      </w:pPr>
      <w:r>
        <w:rPr>
          <w:rFonts w:ascii="Arial" w:hAnsi="Arial"/>
          <w:color w:val="000000"/>
          <w:sz w:val="22"/>
          <w:szCs w:val="22"/>
        </w:rPr>
        <w:t>Deberá incluirse en el presupuesto aquellos materiales, equipos y mano de obra de instalación que, aunque no estén expresamente indicados en planos y memoria, sean no obstante necesarios para el correcto funcionamiento y buena terminación de las instalaciones y/o cumplimiento de las reglamentaciones vigentes (con aclaración de su inclusión).</w:t>
      </w:r>
    </w:p>
    <w:p>
      <w:pPr>
        <w:pStyle w:val="54"/>
        <w:spacing w:line="360" w:lineRule="auto"/>
        <w:ind w:left="0" w:firstLine="0"/>
        <w:jc w:val="both"/>
        <w:rPr>
          <w:rFonts w:ascii="Arial" w:hAnsi="Arial"/>
          <w:sz w:val="22"/>
          <w:szCs w:val="22"/>
        </w:rPr>
      </w:pPr>
      <w:r>
        <w:rPr>
          <w:rFonts w:ascii="Arial" w:hAnsi="Arial"/>
          <w:color w:val="000000"/>
          <w:sz w:val="22"/>
          <w:szCs w:val="22"/>
        </w:rPr>
        <w:t xml:space="preserve">El total de estos dos ítems corresponde con el total ofertado y el importe deberá coincidir con el importe especificado en el rubrado del presente llamado. </w:t>
      </w:r>
    </w:p>
    <w:p>
      <w:pPr>
        <w:pStyle w:val="54"/>
        <w:spacing w:line="360" w:lineRule="auto"/>
        <w:ind w:left="0" w:firstLine="0"/>
        <w:jc w:val="both"/>
        <w:rPr>
          <w:rFonts w:ascii="Arial" w:hAnsi="Arial"/>
          <w:color w:val="000000"/>
          <w:sz w:val="22"/>
          <w:szCs w:val="22"/>
        </w:rPr>
      </w:pPr>
      <w:r>
        <w:rPr>
          <w:rFonts w:ascii="Arial" w:hAnsi="Arial"/>
          <w:color w:val="000000"/>
          <w:sz w:val="22"/>
          <w:szCs w:val="22"/>
        </w:rPr>
        <w:t>El rubrado completo, deberá adjuntarse con la oferta. Los precios serán fijos y no podrán estar condicionados en forma alguna. La cotización incluirá el total de lo que el Instituto Uruguayo de Meteorología debe pagar al adjudicatario, no abonándose suma alguna por ningún otro concepto, fuera de lo establecido.</w:t>
      </w:r>
    </w:p>
    <w:p>
      <w:pPr>
        <w:pStyle w:val="54"/>
        <w:spacing w:line="360" w:lineRule="auto"/>
        <w:ind w:left="0" w:firstLine="0"/>
        <w:jc w:val="both"/>
        <w:rPr>
          <w:rFonts w:ascii="Arial" w:hAnsi="Arial"/>
          <w:color w:val="000000"/>
          <w:sz w:val="22"/>
          <w:szCs w:val="22"/>
        </w:rPr>
      </w:pPr>
    </w:p>
    <w:p>
      <w:pPr>
        <w:numPr>
          <w:ilvl w:val="0"/>
          <w:numId w:val="0"/>
        </w:numPr>
        <w:spacing w:line="360" w:lineRule="auto"/>
        <w:ind w:left="0" w:firstLine="0"/>
        <w:jc w:val="both"/>
        <w:outlineLvl w:val="0"/>
        <w:rPr>
          <w:rFonts w:ascii="Arial" w:hAnsi="Arial"/>
          <w:sz w:val="22"/>
          <w:szCs w:val="22"/>
        </w:rPr>
      </w:pPr>
      <w:r>
        <w:rPr>
          <w:rFonts w:ascii="Arial" w:hAnsi="Arial" w:eastAsia="Calibri"/>
          <w:b/>
          <w:color w:val="000000"/>
          <w:spacing w:val="5"/>
          <w:sz w:val="22"/>
          <w:szCs w:val="22"/>
        </w:rPr>
        <w:t xml:space="preserve">3.1 FORMA DE COTIZAR </w:t>
      </w:r>
    </w:p>
    <w:p>
      <w:pPr>
        <w:spacing w:line="360" w:lineRule="auto"/>
        <w:jc w:val="both"/>
        <w:rPr>
          <w:rFonts w:ascii="Arial" w:hAnsi="Arial"/>
          <w:sz w:val="22"/>
          <w:szCs w:val="22"/>
        </w:rPr>
      </w:pPr>
      <w:r>
        <w:rPr>
          <w:rFonts w:ascii="Arial" w:hAnsi="Arial" w:cs="Arial"/>
          <w:sz w:val="22"/>
          <w:szCs w:val="22"/>
          <w:lang w:eastAsia="es-ES"/>
        </w:rPr>
        <w:t>Sólo se aceptarán ofertas que coticen en condiciones plaza y en moneda nacional.</w:t>
      </w:r>
    </w:p>
    <w:p>
      <w:pPr>
        <w:spacing w:line="360" w:lineRule="auto"/>
        <w:jc w:val="both"/>
        <w:rPr>
          <w:rFonts w:ascii="Arial" w:hAnsi="Arial"/>
          <w:sz w:val="22"/>
          <w:szCs w:val="22"/>
        </w:rPr>
      </w:pPr>
      <w:r>
        <w:rPr>
          <w:rFonts w:ascii="Arial" w:hAnsi="Arial" w:cs="Arial"/>
          <w:sz w:val="22"/>
          <w:szCs w:val="22"/>
          <w:lang w:eastAsia="es-ES"/>
        </w:rPr>
        <w:t>Los oferentes deberán cotizar únicamente el precio de la hora-hombre,</w:t>
      </w:r>
      <w:r>
        <w:rPr>
          <w:rFonts w:ascii="Arial" w:hAnsi="Arial" w:cs="Arial"/>
          <w:sz w:val="22"/>
          <w:szCs w:val="22"/>
          <w:lang w:val="es-ES" w:eastAsia="es-ES"/>
        </w:rPr>
        <w:t xml:space="preserve"> </w:t>
      </w:r>
      <w:r>
        <w:rPr>
          <w:rFonts w:ascii="Arial" w:hAnsi="Arial" w:cs="Arial"/>
          <w:sz w:val="22"/>
          <w:szCs w:val="22"/>
          <w:lang w:eastAsia="es-ES"/>
        </w:rPr>
        <w:t>en moneda nacional (pesos uruguayos) discriminando el IVA, en forma obligatoria.</w:t>
      </w:r>
    </w:p>
    <w:p>
      <w:pPr>
        <w:spacing w:line="360" w:lineRule="auto"/>
        <w:jc w:val="both"/>
        <w:rPr>
          <w:rFonts w:ascii="Arial" w:hAnsi="Arial"/>
          <w:sz w:val="22"/>
          <w:szCs w:val="22"/>
        </w:rPr>
      </w:pPr>
      <w:r>
        <w:rPr>
          <w:rFonts w:ascii="Arial" w:hAnsi="Arial" w:cs="Arial"/>
          <w:color w:val="000000"/>
          <w:sz w:val="22"/>
          <w:szCs w:val="22"/>
          <w:lang w:eastAsia="es-ES"/>
        </w:rPr>
        <w:t>Demás gastos en que deba incurrir el proveedor para el cumplimiento del contrato, incluyendo las de supervisión, se considerarán incluidos en dicho precio al igual que el pago de los feriados laborales.</w:t>
      </w:r>
    </w:p>
    <w:p>
      <w:pPr>
        <w:spacing w:line="360" w:lineRule="auto"/>
        <w:jc w:val="both"/>
        <w:rPr>
          <w:rFonts w:ascii="Arial" w:hAnsi="Arial"/>
          <w:sz w:val="22"/>
          <w:szCs w:val="22"/>
        </w:rPr>
      </w:pPr>
      <w:r>
        <w:rPr>
          <w:rFonts w:ascii="Arial" w:hAnsi="Arial" w:eastAsia="Calibri"/>
          <w:b/>
          <w:color w:val="000000"/>
          <w:spacing w:val="5"/>
          <w:sz w:val="22"/>
          <w:szCs w:val="22"/>
        </w:rPr>
        <w:t>3.2</w:t>
      </w:r>
      <w:r>
        <w:rPr>
          <w:rFonts w:ascii="Arial" w:hAnsi="Arial"/>
          <w:b/>
          <w:color w:val="000000"/>
          <w:sz w:val="22"/>
          <w:szCs w:val="22"/>
        </w:rPr>
        <w:t xml:space="preserve"> MANTENIMIENTO DE OFERTA</w:t>
      </w:r>
      <w:r>
        <w:rPr>
          <w:rFonts w:ascii="Arial" w:hAnsi="Arial"/>
          <w:color w:val="000000"/>
          <w:sz w:val="22"/>
          <w:szCs w:val="22"/>
        </w:rPr>
        <w:t>.</w:t>
      </w:r>
    </w:p>
    <w:p>
      <w:pPr>
        <w:spacing w:line="360" w:lineRule="auto"/>
        <w:jc w:val="both"/>
        <w:rPr>
          <w:rFonts w:ascii="Arial" w:hAnsi="Arial"/>
          <w:sz w:val="22"/>
          <w:szCs w:val="22"/>
        </w:rPr>
      </w:pPr>
      <w:r>
        <w:rPr>
          <w:rFonts w:ascii="Arial" w:hAnsi="Arial" w:eastAsia="Calibri" w:cs="Tahoma"/>
          <w:color w:val="000000"/>
          <w:sz w:val="22"/>
          <w:szCs w:val="22"/>
        </w:rPr>
        <w:t xml:space="preserve">3.21 El oferente podrá establecer plazos de mantenimiento para la oferta presentada. En este caso el mismo deberá aclarar la cantidad y tipo de días a los que se refiere (hábiles o inhábiles), estableciéndose que de no estipularse el tipo de días se mantendrá la oferta hasta el momento de la resolución de adjudicación y notificación de la orden de compra pertinente. </w:t>
      </w:r>
    </w:p>
    <w:p>
      <w:pPr>
        <w:spacing w:line="360" w:lineRule="auto"/>
        <w:jc w:val="both"/>
        <w:rPr>
          <w:rFonts w:ascii="Arial" w:hAnsi="Arial"/>
          <w:sz w:val="22"/>
          <w:szCs w:val="22"/>
        </w:rPr>
      </w:pPr>
      <w:r>
        <w:rPr>
          <w:rFonts w:ascii="Arial" w:hAnsi="Arial" w:eastAsia="Calibri" w:cs="Tahoma"/>
          <w:color w:val="000000"/>
          <w:sz w:val="22"/>
          <w:szCs w:val="22"/>
        </w:rPr>
        <w:t>3.2.2 Los oferentes garantizar el mantenimiento de su oferta mediante depósito en efectivo o en valores públicos, fianza o aval bancario, o póliza de seguro de fianza, por un valor fijo en moneda nacional o extranjera que la administración deberá determinar expresamente en el pliego particular. En tal caso, el incumplimiento en el mantenimiento de su oferta se sancionará con una multa equivalente al 5% (cinco por ciento) del monto máximo de su oferta. El acto administrativo o resolución que imponga la multa será título ejecutivo, sin perjuicio del resarcimiento de los eventuales daños y perjuicios que dicho incumplimiento pueda haber causado a la administración y la comunicación del hecho al Registro Único de Proveedores del Estado</w:t>
      </w:r>
    </w:p>
    <w:p>
      <w:pPr>
        <w:pStyle w:val="54"/>
        <w:spacing w:line="360" w:lineRule="auto"/>
        <w:ind w:left="0" w:firstLine="0"/>
        <w:jc w:val="both"/>
        <w:rPr>
          <w:rFonts w:ascii="Arial" w:hAnsi="Arial"/>
          <w:sz w:val="22"/>
          <w:szCs w:val="22"/>
        </w:rPr>
      </w:pPr>
      <w:r>
        <w:rPr>
          <w:rFonts w:ascii="Arial" w:hAnsi="Arial"/>
          <w:b/>
          <w:color w:val="000000"/>
          <w:spacing w:val="5"/>
          <w:sz w:val="22"/>
          <w:szCs w:val="22"/>
          <w:lang w:val="es-UY"/>
        </w:rPr>
        <w:t>3.3</w:t>
      </w:r>
      <w:r>
        <w:rPr>
          <w:rFonts w:ascii="Arial" w:hAnsi="Arial"/>
          <w:b/>
          <w:color w:val="000000"/>
          <w:sz w:val="22"/>
          <w:szCs w:val="22"/>
        </w:rPr>
        <w:t xml:space="preserve"> FORMA DE PAGO</w:t>
      </w:r>
    </w:p>
    <w:p>
      <w:pPr>
        <w:spacing w:line="360" w:lineRule="auto"/>
        <w:jc w:val="both"/>
        <w:rPr>
          <w:rFonts w:ascii="Arial" w:hAnsi="Arial"/>
          <w:sz w:val="22"/>
          <w:szCs w:val="22"/>
        </w:rPr>
      </w:pPr>
      <w:r>
        <w:rPr>
          <w:rFonts w:ascii="Arial" w:hAnsi="Arial"/>
          <w:color w:val="000000"/>
          <w:sz w:val="22"/>
          <w:szCs w:val="22"/>
        </w:rPr>
        <w:t xml:space="preserve">El pago se realizará de acuerdo con el cronograma de pago del INUMET, crédito SIIF a 90 días (noventa) de acuerdo a disponibilidad financiera. </w:t>
      </w:r>
    </w:p>
    <w:p>
      <w:pPr>
        <w:spacing w:line="360" w:lineRule="auto"/>
        <w:jc w:val="both"/>
        <w:rPr>
          <w:rFonts w:ascii="Arial" w:hAnsi="Arial"/>
          <w:sz w:val="22"/>
          <w:szCs w:val="22"/>
        </w:rPr>
      </w:pPr>
      <w:r>
        <w:rPr>
          <w:rFonts w:ascii="Arial" w:hAnsi="Arial" w:eastAsia="Calibri" w:cs="Tahoma"/>
          <w:b/>
          <w:bCs/>
          <w:color w:val="000000"/>
          <w:sz w:val="22"/>
          <w:szCs w:val="22"/>
        </w:rPr>
        <w:t>3.4 PLAZO DE ENTREGA</w:t>
      </w:r>
    </w:p>
    <w:p>
      <w:pPr>
        <w:spacing w:line="360" w:lineRule="auto"/>
        <w:jc w:val="both"/>
        <w:rPr>
          <w:rFonts w:ascii="Arial" w:hAnsi="Arial"/>
          <w:sz w:val="22"/>
          <w:szCs w:val="22"/>
        </w:rPr>
      </w:pPr>
      <w:r>
        <w:rPr>
          <w:rFonts w:ascii="Arial" w:hAnsi="Arial"/>
          <w:color w:val="000000"/>
          <w:sz w:val="22"/>
          <w:szCs w:val="22"/>
        </w:rPr>
        <w:t>Se ajustarán a los plazos establecidos para la obra civil en general. Pero no podrá pasar la finalización de las obras del   31/10/2023, debido a la gestión como plan gradual, los plazos apremian.</w:t>
      </w:r>
    </w:p>
    <w:p>
      <w:pPr>
        <w:spacing w:line="360" w:lineRule="auto"/>
        <w:jc w:val="both"/>
        <w:rPr>
          <w:rFonts w:ascii="Arial" w:hAnsi="Arial"/>
          <w:sz w:val="22"/>
          <w:szCs w:val="22"/>
        </w:rPr>
      </w:pPr>
      <w:r>
        <w:rPr>
          <w:rFonts w:ascii="Arial" w:hAnsi="Arial"/>
          <w:color w:val="000000"/>
          <w:sz w:val="22"/>
          <w:szCs w:val="22"/>
        </w:rPr>
        <w:t>Tales plazos serán computados a partir de la fecha de notificación de adjudicación del suministro.</w:t>
      </w:r>
    </w:p>
    <w:p>
      <w:pPr>
        <w:pStyle w:val="54"/>
        <w:numPr>
          <w:ilvl w:val="0"/>
          <w:numId w:val="3"/>
        </w:numPr>
        <w:spacing w:line="360" w:lineRule="auto"/>
        <w:jc w:val="both"/>
        <w:rPr>
          <w:rFonts w:ascii="Arial" w:hAnsi="Arial"/>
          <w:sz w:val="22"/>
          <w:szCs w:val="22"/>
        </w:rPr>
      </w:pPr>
      <w:r>
        <w:rPr>
          <w:rFonts w:ascii="Arial" w:hAnsi="Arial"/>
          <w:b/>
          <w:color w:val="000000"/>
          <w:sz w:val="22"/>
          <w:szCs w:val="22"/>
        </w:rPr>
        <w:t>PLAZOS, CRONOGRAMA Y PRÓRROGAS</w:t>
      </w:r>
    </w:p>
    <w:p>
      <w:pPr>
        <w:spacing w:line="360" w:lineRule="auto"/>
        <w:jc w:val="both"/>
        <w:rPr>
          <w:rFonts w:ascii="Arial" w:hAnsi="Arial"/>
          <w:sz w:val="22"/>
          <w:szCs w:val="22"/>
        </w:rPr>
      </w:pPr>
      <w:r>
        <w:rPr>
          <w:rFonts w:ascii="Arial" w:hAnsi="Arial"/>
          <w:b/>
          <w:bCs/>
          <w:color w:val="000000"/>
          <w:sz w:val="22"/>
          <w:szCs w:val="22"/>
        </w:rPr>
        <w:t xml:space="preserve">4.1 PRESENTACIÓN DE LA PROPUESTA. </w:t>
      </w:r>
    </w:p>
    <w:p>
      <w:pPr>
        <w:spacing w:line="360" w:lineRule="auto"/>
        <w:jc w:val="both"/>
      </w:pPr>
      <w:r>
        <w:rPr>
          <w:rFonts w:ascii="Arial" w:hAnsi="Arial"/>
          <w:color w:val="000000"/>
          <w:sz w:val="22"/>
          <w:szCs w:val="22"/>
        </w:rPr>
        <w:t xml:space="preserve">Rige lo dispuesto en Artículo 2 del presente Pliego Particular. Las ofertas serán recibidas únicamente en línea en un único archivo PDF para una mejor evaluación de las mismas. Los oferentes deberán ingresar sus ofertas (económica y técnica completas) en el sitio web: </w:t>
      </w:r>
      <w:r>
        <w:fldChar w:fldCharType="begin"/>
      </w:r>
      <w:r>
        <w:instrText xml:space="preserve"> HYPERLINK "http://www.comprasestatales.gub.uy/" \h </w:instrText>
      </w:r>
      <w:r>
        <w:fldChar w:fldCharType="separate"/>
      </w:r>
      <w:r>
        <w:rPr>
          <w:rStyle w:val="29"/>
          <w:rFonts w:ascii="Arial" w:hAnsi="Arial"/>
          <w:sz w:val="22"/>
          <w:szCs w:val="22"/>
        </w:rPr>
        <w:t>www.comprasestatales.gub.uy</w:t>
      </w:r>
      <w:r>
        <w:rPr>
          <w:rStyle w:val="29"/>
          <w:rFonts w:ascii="Arial" w:hAnsi="Arial"/>
          <w:sz w:val="22"/>
          <w:szCs w:val="22"/>
        </w:rPr>
        <w:fldChar w:fldCharType="end"/>
      </w:r>
      <w:r>
        <w:rPr>
          <w:rFonts w:ascii="Arial" w:hAnsi="Arial"/>
          <w:color w:val="000000"/>
          <w:sz w:val="22"/>
          <w:szCs w:val="22"/>
        </w:rPr>
        <w:t>.</w:t>
      </w:r>
    </w:p>
    <w:p>
      <w:pPr>
        <w:spacing w:line="360" w:lineRule="auto"/>
        <w:jc w:val="both"/>
        <w:rPr>
          <w:rFonts w:ascii="Arial" w:hAnsi="Arial"/>
          <w:sz w:val="22"/>
          <w:szCs w:val="22"/>
        </w:rPr>
      </w:pPr>
      <w:r>
        <w:rPr>
          <w:rFonts w:ascii="Arial" w:hAnsi="Arial"/>
          <w:color w:val="000000"/>
          <w:sz w:val="22"/>
          <w:szCs w:val="22"/>
        </w:rPr>
        <w:t>La oferta deberá presentar obligatoriamente una propuesta básica en un todo de acuerdo con el proyecto y especificaciones, salvo aquellos cambios exigidos por las características y condiciones particulares del equipamiento ofrecido.</w:t>
      </w:r>
    </w:p>
    <w:p>
      <w:pPr>
        <w:spacing w:line="360" w:lineRule="auto"/>
        <w:jc w:val="both"/>
        <w:rPr>
          <w:rFonts w:ascii="Arial" w:hAnsi="Arial"/>
          <w:sz w:val="22"/>
          <w:szCs w:val="22"/>
        </w:rPr>
      </w:pPr>
      <w:r>
        <w:rPr>
          <w:rFonts w:ascii="Arial" w:hAnsi="Arial"/>
          <w:color w:val="000000"/>
          <w:sz w:val="22"/>
          <w:szCs w:val="22"/>
        </w:rPr>
        <w:t>Se deberán tomar en cuenta todas las recomendaciones del fabricante. Se entregará una copia de estas recomendaciones a la dirección de obra. Los cambios que sean necesarios introducir por este concepto se diseñarán siguiendo los criterios generales de la obra.</w:t>
      </w:r>
    </w:p>
    <w:p>
      <w:pPr>
        <w:spacing w:line="360" w:lineRule="auto"/>
        <w:jc w:val="both"/>
        <w:rPr>
          <w:rFonts w:ascii="Arial" w:hAnsi="Arial"/>
          <w:color w:val="000000"/>
          <w:sz w:val="22"/>
          <w:szCs w:val="22"/>
        </w:rPr>
      </w:pPr>
      <w:r>
        <w:rPr>
          <w:rFonts w:ascii="Arial" w:hAnsi="Arial"/>
          <w:color w:val="000000"/>
          <w:sz w:val="22"/>
          <w:szCs w:val="22"/>
        </w:rPr>
        <w:t>Se evitarán las anotaciones manuscritas, las tachaduras, las incorrecciones y las copias difícilmente legibles, etc.</w:t>
      </w:r>
    </w:p>
    <w:p>
      <w:pPr>
        <w:spacing w:line="360" w:lineRule="auto"/>
        <w:jc w:val="both"/>
        <w:rPr>
          <w:rFonts w:ascii="Arial" w:hAnsi="Arial"/>
          <w:color w:val="000000"/>
          <w:sz w:val="22"/>
          <w:szCs w:val="22"/>
        </w:rPr>
      </w:pPr>
    </w:p>
    <w:p>
      <w:pPr>
        <w:spacing w:line="360" w:lineRule="auto"/>
        <w:jc w:val="both"/>
        <w:rPr>
          <w:rFonts w:ascii="Arial" w:hAnsi="Arial"/>
          <w:color w:val="000000"/>
          <w:sz w:val="22"/>
          <w:szCs w:val="22"/>
        </w:rPr>
      </w:pPr>
    </w:p>
    <w:p>
      <w:pPr>
        <w:spacing w:line="360" w:lineRule="auto"/>
        <w:jc w:val="both"/>
        <w:rPr>
          <w:rFonts w:ascii="Arial" w:hAnsi="Arial"/>
          <w:sz w:val="22"/>
          <w:szCs w:val="22"/>
        </w:rPr>
      </w:pPr>
      <w:r>
        <w:rPr>
          <w:rFonts w:ascii="Arial" w:hAnsi="Arial"/>
          <w:b/>
          <w:color w:val="000000"/>
          <w:sz w:val="22"/>
          <w:szCs w:val="22"/>
        </w:rPr>
        <w:t>4.2 CAMBIOS.</w:t>
      </w:r>
    </w:p>
    <w:p>
      <w:pPr>
        <w:spacing w:line="360" w:lineRule="auto"/>
        <w:jc w:val="both"/>
        <w:rPr>
          <w:rFonts w:ascii="Arial" w:hAnsi="Arial"/>
          <w:sz w:val="22"/>
          <w:szCs w:val="22"/>
        </w:rPr>
      </w:pPr>
      <w:r>
        <w:rPr>
          <w:rFonts w:ascii="Arial" w:hAnsi="Arial"/>
          <w:color w:val="000000"/>
          <w:sz w:val="22"/>
          <w:szCs w:val="22"/>
        </w:rPr>
        <w:t>Cualquier cambio a los planos necesario para adaptar la instalación a las facilidades de la obra, o a otras marcas y/o reglamentaciones, deberá ser sometido a la aprobación de la Dirección de la Obra antes de llevarse a cabo.</w:t>
      </w:r>
    </w:p>
    <w:p>
      <w:pPr>
        <w:spacing w:line="360" w:lineRule="auto"/>
        <w:jc w:val="both"/>
        <w:rPr>
          <w:rFonts w:ascii="Arial" w:hAnsi="Arial"/>
          <w:sz w:val="22"/>
          <w:szCs w:val="22"/>
        </w:rPr>
      </w:pPr>
      <w:r>
        <w:rPr>
          <w:rFonts w:ascii="Arial" w:hAnsi="Arial"/>
          <w:color w:val="000000"/>
          <w:sz w:val="22"/>
          <w:szCs w:val="22"/>
        </w:rPr>
        <w:t>Ninguna reclamación será concedida a menos que haya sido autorizada por escrito antes de su realización.</w:t>
      </w:r>
    </w:p>
    <w:p>
      <w:pPr>
        <w:spacing w:line="360" w:lineRule="auto"/>
        <w:jc w:val="both"/>
        <w:rPr>
          <w:rFonts w:ascii="Arial" w:hAnsi="Arial"/>
          <w:sz w:val="22"/>
          <w:szCs w:val="22"/>
        </w:rPr>
      </w:pPr>
      <w:r>
        <w:rPr>
          <w:rFonts w:ascii="Arial" w:hAnsi="Arial"/>
          <w:color w:val="000000"/>
          <w:sz w:val="22"/>
          <w:szCs w:val="22"/>
        </w:rPr>
        <w:t>Se entiende que los cambios necesarios para el cumplimiento de las reglamentaciones de la Dirección Nacional de Bomberos, se encuentran considerados y cotizados en la oferta. Estos deberán ser informados antes de ser ejecutados a la dirección de obra.</w:t>
      </w:r>
    </w:p>
    <w:p>
      <w:pPr>
        <w:spacing w:line="360" w:lineRule="auto"/>
        <w:jc w:val="both"/>
        <w:rPr>
          <w:rFonts w:ascii="Arial" w:hAnsi="Arial"/>
          <w:sz w:val="22"/>
          <w:szCs w:val="22"/>
        </w:rPr>
      </w:pPr>
      <w:r>
        <w:rPr>
          <w:rFonts w:ascii="Arial" w:hAnsi="Arial"/>
          <w:b/>
          <w:color w:val="000000"/>
          <w:sz w:val="22"/>
          <w:szCs w:val="22"/>
        </w:rPr>
        <w:t>4.3 COORDINACIÓN.</w:t>
      </w:r>
    </w:p>
    <w:p>
      <w:pPr>
        <w:spacing w:line="360" w:lineRule="auto"/>
        <w:jc w:val="both"/>
        <w:rPr>
          <w:rFonts w:ascii="Arial" w:hAnsi="Arial"/>
          <w:sz w:val="22"/>
          <w:szCs w:val="22"/>
        </w:rPr>
      </w:pPr>
      <w:r>
        <w:rPr>
          <w:rFonts w:ascii="Arial" w:hAnsi="Arial"/>
          <w:color w:val="000000"/>
          <w:sz w:val="22"/>
          <w:szCs w:val="22"/>
        </w:rPr>
        <w:t>El contratista de las instalaciones contra incendio deberá coordinar en todo momento las instalaciones a su cargo, con la Dirección Técnica de las Obras.</w:t>
      </w:r>
    </w:p>
    <w:p>
      <w:pPr>
        <w:spacing w:line="360" w:lineRule="auto"/>
        <w:jc w:val="both"/>
        <w:rPr>
          <w:rFonts w:ascii="Arial" w:hAnsi="Arial"/>
          <w:sz w:val="22"/>
          <w:szCs w:val="22"/>
        </w:rPr>
      </w:pPr>
      <w:r>
        <w:rPr>
          <w:rFonts w:ascii="Arial" w:hAnsi="Arial"/>
          <w:b/>
          <w:color w:val="000000"/>
          <w:sz w:val="22"/>
          <w:szCs w:val="22"/>
        </w:rPr>
        <w:t>4.4 APERTURA DE OFERTAS</w:t>
      </w:r>
    </w:p>
    <w:p>
      <w:pPr>
        <w:spacing w:line="360" w:lineRule="auto"/>
        <w:jc w:val="both"/>
        <w:rPr>
          <w:rFonts w:ascii="Arial" w:hAnsi="Arial"/>
          <w:sz w:val="22"/>
          <w:szCs w:val="22"/>
        </w:rPr>
      </w:pPr>
      <w:r>
        <w:rPr>
          <w:rFonts w:ascii="Arial" w:hAnsi="Arial"/>
          <w:color w:val="000000"/>
          <w:sz w:val="22"/>
          <w:szCs w:val="22"/>
        </w:rPr>
        <w:t>La apertura de ofertas se efectuará de forma electrónica en la fecha y hora indicada. El acta será remitida por ARCE a las direcciones electrónicas previamente registradas por cada oferente en la sección Comunicación incluida en Datos Generales prevista en la aplicación RUPE.</w:t>
      </w:r>
    </w:p>
    <w:p>
      <w:pPr>
        <w:spacing w:line="360" w:lineRule="auto"/>
        <w:jc w:val="both"/>
        <w:rPr>
          <w:rFonts w:ascii="Arial" w:hAnsi="Arial"/>
          <w:sz w:val="22"/>
          <w:szCs w:val="22"/>
        </w:rPr>
      </w:pPr>
      <w:r>
        <w:rPr>
          <w:rFonts w:ascii="Arial" w:hAnsi="Arial"/>
          <w:color w:val="000000"/>
          <w:sz w:val="22"/>
          <w:szCs w:val="22"/>
        </w:rPr>
        <w:t>Las ofertas quedarán visibles para todos los oferentes, con excepción de aquellas que sea entregada en carácter confidencial.</w:t>
      </w:r>
    </w:p>
    <w:p>
      <w:pPr>
        <w:spacing w:line="360" w:lineRule="auto"/>
        <w:jc w:val="both"/>
        <w:rPr>
          <w:rFonts w:ascii="Arial" w:hAnsi="Arial"/>
          <w:sz w:val="22"/>
          <w:szCs w:val="22"/>
        </w:rPr>
      </w:pPr>
      <w:r>
        <w:rPr>
          <w:rFonts w:ascii="Arial" w:hAnsi="Arial"/>
          <w:color w:val="000000"/>
          <w:sz w:val="22"/>
          <w:szCs w:val="22"/>
        </w:rPr>
        <w:t>En el contenido de las ofertas se considerarán informaciones confidenciales, siempre que sean entregadas en ese carácter (artículo 10 de la Ley N° 18.381, de 17 de octubre de 2008), la información de clientes, la que puede ser objeto de propiedad intelectual y aquellas de naturaleza similar de acuerdo con lo que establezcan los pliegos únicos o, en su caso, el pliego particular. No se consideran confidenciales los precios y las descripciones de bienes y servicios ofertados y las condiciones generales de la oferta.</w:t>
      </w:r>
    </w:p>
    <w:p>
      <w:pPr>
        <w:spacing w:line="360" w:lineRule="auto"/>
        <w:jc w:val="both"/>
        <w:rPr>
          <w:rFonts w:ascii="Arial" w:hAnsi="Arial"/>
          <w:sz w:val="22"/>
          <w:szCs w:val="22"/>
        </w:rPr>
      </w:pPr>
      <w:r>
        <w:rPr>
          <w:rFonts w:ascii="Arial" w:hAnsi="Arial" w:eastAsia="Calibri"/>
          <w:color w:val="000000"/>
          <w:sz w:val="22"/>
          <w:szCs w:val="22"/>
        </w:rPr>
        <w:t>En dicho acto no se podrá rechazar la presentación de ninguna propuesta sin perjuicio de su invalidación posterior y se controlará si en las propuestas se ha adjuntado la garantía constituida, cuando ello correspondiera.</w:t>
      </w:r>
    </w:p>
    <w:p>
      <w:pPr>
        <w:spacing w:line="360" w:lineRule="auto"/>
        <w:jc w:val="both"/>
        <w:rPr>
          <w:rFonts w:ascii="Arial" w:hAnsi="Arial"/>
          <w:sz w:val="22"/>
          <w:szCs w:val="22"/>
        </w:rPr>
      </w:pPr>
      <w:r>
        <w:rPr>
          <w:rFonts w:ascii="Arial" w:hAnsi="Arial" w:eastAsia="Calibri"/>
          <w:color w:val="000000"/>
          <w:sz w:val="22"/>
          <w:szCs w:val="22"/>
        </w:rPr>
        <w:t>Finalizado el acto se labrará acta circunstanciada que será firmada por los funcionarios actuantes y los oferentes que lo deseen hacer, quienes podrán dejar consignadas las constancias que estimen necesarias.</w:t>
      </w:r>
    </w:p>
    <w:p>
      <w:pPr>
        <w:spacing w:line="360" w:lineRule="auto"/>
        <w:jc w:val="both"/>
        <w:rPr>
          <w:rFonts w:ascii="Arial" w:hAnsi="Arial"/>
          <w:sz w:val="22"/>
          <w:szCs w:val="22"/>
        </w:rPr>
      </w:pPr>
      <w:r>
        <w:rPr>
          <w:rFonts w:ascii="Arial" w:hAnsi="Arial" w:eastAsia="Calibri"/>
          <w:color w:val="000000"/>
          <w:sz w:val="22"/>
          <w:szCs w:val="22"/>
        </w:rPr>
        <w:t>La admisión inicial de una propuesta no será obstáculo a su rechazo si se constataren luego defectos que violen los requisitos legales o aquellos sustanciales contenidos en el respectivo pliego.</w:t>
      </w:r>
    </w:p>
    <w:p>
      <w:pPr>
        <w:spacing w:line="360" w:lineRule="auto"/>
        <w:jc w:val="both"/>
        <w:rPr>
          <w:rFonts w:ascii="Arial" w:hAnsi="Arial"/>
          <w:sz w:val="22"/>
          <w:szCs w:val="22"/>
        </w:rPr>
      </w:pPr>
      <w:r>
        <w:rPr>
          <w:rFonts w:ascii="Arial" w:hAnsi="Arial" w:eastAsia="Calibri"/>
          <w:color w:val="000000"/>
          <w:sz w:val="22"/>
          <w:szCs w:val="22"/>
        </w:rPr>
        <w:t xml:space="preserve">La apertura de las licitaciones electrónicas se efectuará en forma automática y el acta se remitirá a la dirección electrónica de los oferentes, de acuerdo con lo establecido en la reglamentación. </w:t>
      </w:r>
    </w:p>
    <w:p>
      <w:pPr>
        <w:spacing w:line="360" w:lineRule="auto"/>
        <w:jc w:val="both"/>
        <w:rPr>
          <w:rFonts w:ascii="Arial" w:hAnsi="Arial"/>
          <w:sz w:val="22"/>
          <w:szCs w:val="22"/>
        </w:rPr>
      </w:pPr>
      <w:r>
        <w:rPr>
          <w:rFonts w:ascii="Arial" w:hAnsi="Arial" w:eastAsia="Calibri"/>
          <w:color w:val="000000"/>
          <w:sz w:val="22"/>
          <w:szCs w:val="22"/>
        </w:rPr>
        <w:t>En cuanto a las modificaciones posibles se regirán por el art. 65 del TOCAF y el punto 41 del Pliego General.</w:t>
      </w:r>
    </w:p>
    <w:p>
      <w:pPr>
        <w:spacing w:line="360" w:lineRule="auto"/>
        <w:jc w:val="both"/>
        <w:rPr>
          <w:rFonts w:ascii="Arial" w:hAnsi="Arial"/>
          <w:sz w:val="22"/>
          <w:szCs w:val="22"/>
        </w:rPr>
      </w:pPr>
      <w:r>
        <w:rPr>
          <w:rFonts w:ascii="Arial" w:hAnsi="Arial" w:eastAsia="Calibri"/>
          <w:b/>
          <w:bCs/>
          <w:color w:val="000000"/>
          <w:sz w:val="22"/>
          <w:szCs w:val="22"/>
        </w:rPr>
        <w:t>Finalizado el acto se labrará acta circunstanciada</w:t>
      </w:r>
      <w:r>
        <w:rPr>
          <w:rFonts w:ascii="Arial" w:hAnsi="Arial" w:eastAsia="Calibri"/>
          <w:color w:val="000000"/>
          <w:sz w:val="22"/>
          <w:szCs w:val="22"/>
        </w:rPr>
        <w:t xml:space="preserve"> que, será firmada por los funcionarios intervinientes.</w:t>
      </w:r>
    </w:p>
    <w:p>
      <w:pPr>
        <w:spacing w:line="360" w:lineRule="auto"/>
        <w:jc w:val="both"/>
        <w:rPr>
          <w:rFonts w:ascii="Arial" w:hAnsi="Arial"/>
          <w:sz w:val="22"/>
          <w:szCs w:val="22"/>
        </w:rPr>
      </w:pPr>
      <w:r>
        <w:rPr>
          <w:rFonts w:ascii="Arial" w:hAnsi="Arial"/>
          <w:b/>
          <w:color w:val="000000"/>
          <w:sz w:val="22"/>
          <w:szCs w:val="22"/>
        </w:rPr>
        <w:t>4.5 PRORROGAS</w:t>
      </w:r>
    </w:p>
    <w:p>
      <w:pPr>
        <w:spacing w:line="360" w:lineRule="auto"/>
        <w:jc w:val="both"/>
      </w:pPr>
      <w:r>
        <w:rPr>
          <w:rFonts w:ascii="Arial" w:hAnsi="Arial"/>
          <w:color w:val="000000"/>
          <w:sz w:val="22"/>
          <w:szCs w:val="22"/>
        </w:rPr>
        <w:t>En el caso de que un proponente solicite eventualmente prórroga de apertura de ofertas, la misma deberá formularse por escrito con una antelación como mínimo 3 (tres) días hábiles, de la fecha que</w:t>
      </w:r>
      <w:r>
        <w:rPr>
          <w:rFonts w:hint="default" w:ascii="Arial" w:hAnsi="Arial"/>
          <w:color w:val="000000"/>
          <w:sz w:val="22"/>
          <w:szCs w:val="22"/>
          <w:lang w:val="es-ES"/>
        </w:rPr>
        <w:t xml:space="preserve"> se</w:t>
      </w:r>
      <w:r>
        <w:rPr>
          <w:rFonts w:ascii="Arial" w:hAnsi="Arial"/>
          <w:color w:val="000000"/>
          <w:sz w:val="22"/>
          <w:szCs w:val="22"/>
        </w:rPr>
        <w:t xml:space="preserve"> establece</w:t>
      </w:r>
      <w:r>
        <w:rPr>
          <w:rFonts w:hint="default" w:ascii="Arial" w:hAnsi="Arial"/>
          <w:color w:val="000000"/>
          <w:sz w:val="22"/>
          <w:szCs w:val="22"/>
          <w:lang w:val="es-ES"/>
        </w:rPr>
        <w:t xml:space="preserve"> </w:t>
      </w:r>
      <w:r>
        <w:rPr>
          <w:rFonts w:ascii="Arial" w:hAnsi="Arial"/>
          <w:color w:val="000000"/>
          <w:sz w:val="22"/>
          <w:szCs w:val="22"/>
        </w:rPr>
        <w:t xml:space="preserve">para la apertura de la </w:t>
      </w:r>
      <w:r>
        <w:rPr>
          <w:rFonts w:hint="default" w:ascii="Arial" w:hAnsi="Arial"/>
          <w:color w:val="000000"/>
          <w:sz w:val="22"/>
          <w:szCs w:val="22"/>
          <w:lang w:val="es-ES"/>
        </w:rPr>
        <w:t>compra</w:t>
      </w:r>
      <w:r>
        <w:rPr>
          <w:rFonts w:ascii="Arial" w:hAnsi="Arial"/>
          <w:color w:val="000000"/>
          <w:sz w:val="22"/>
          <w:szCs w:val="22"/>
        </w:rPr>
        <w:t xml:space="preserve">, por correo electrónico a la dirección: </w:t>
      </w:r>
      <w:r>
        <w:fldChar w:fldCharType="begin"/>
      </w:r>
      <w:r>
        <w:instrText xml:space="preserve"> HYPERLINK "mailto:compras@inumet.gub.uy" \h </w:instrText>
      </w:r>
      <w:r>
        <w:fldChar w:fldCharType="separate"/>
      </w:r>
      <w:r>
        <w:rPr>
          <w:rStyle w:val="29"/>
          <w:rFonts w:ascii="Arial" w:hAnsi="Arial"/>
          <w:sz w:val="22"/>
          <w:szCs w:val="22"/>
        </w:rPr>
        <w:t>compras@inumet.gub.uy</w:t>
      </w:r>
      <w:r>
        <w:rPr>
          <w:rStyle w:val="29"/>
          <w:rFonts w:ascii="Arial" w:hAnsi="Arial"/>
          <w:sz w:val="22"/>
          <w:szCs w:val="22"/>
        </w:rPr>
        <w:fldChar w:fldCharType="end"/>
      </w:r>
      <w:r>
        <w:rPr>
          <w:rFonts w:ascii="Arial" w:hAnsi="Arial"/>
          <w:color w:val="000000"/>
          <w:sz w:val="22"/>
          <w:szCs w:val="22"/>
        </w:rPr>
        <w:t xml:space="preserve"> Sin perjuicio de lo expuesto, la Administración podrá resolver a su exclusiva discrecionalidad, situaciones especiales que contemplen sus intereses.</w:t>
      </w:r>
    </w:p>
    <w:p>
      <w:pPr>
        <w:pStyle w:val="54"/>
        <w:spacing w:line="360" w:lineRule="auto"/>
        <w:ind w:left="0" w:firstLine="0"/>
        <w:jc w:val="both"/>
        <w:rPr>
          <w:rFonts w:ascii="Arial" w:hAnsi="Arial"/>
          <w:sz w:val="22"/>
          <w:szCs w:val="22"/>
        </w:rPr>
      </w:pPr>
      <w:r>
        <w:rPr>
          <w:rFonts w:ascii="Arial" w:hAnsi="Arial"/>
          <w:b/>
          <w:color w:val="000000"/>
          <w:sz w:val="22"/>
          <w:szCs w:val="22"/>
        </w:rPr>
        <w:t>5. EVALUACION DE OFERTAS</w:t>
      </w:r>
    </w:p>
    <w:p>
      <w:pPr>
        <w:pStyle w:val="54"/>
        <w:spacing w:line="360" w:lineRule="auto"/>
        <w:ind w:left="0" w:firstLine="0"/>
        <w:jc w:val="both"/>
        <w:rPr>
          <w:rFonts w:ascii="Arial" w:hAnsi="Arial"/>
          <w:sz w:val="22"/>
          <w:szCs w:val="22"/>
        </w:rPr>
      </w:pPr>
      <w:r>
        <w:rPr>
          <w:rFonts w:ascii="Arial" w:hAnsi="Arial"/>
          <w:sz w:val="22"/>
          <w:szCs w:val="22"/>
        </w:rPr>
        <w:t xml:space="preserve">A los efectos de determinar la oferta más conveniente a los intereses de INUMET y las necesidades del servicio, se procederá en primer lugar a realizar el orden de precios. Cuando los oferentes cumplan con los mismos, la oferta más conveniente, se determinará en base exclusivamente al factor precio, conformando un orden de prelación. Luego de ello se analizarán los requisitos mínimos. En este caso, la oferta más conveniente, se determinará como aquélla que obtenga la mejor calificación final. </w:t>
      </w:r>
    </w:p>
    <w:p>
      <w:pPr>
        <w:pStyle w:val="54"/>
        <w:spacing w:line="360" w:lineRule="auto"/>
        <w:ind w:left="0" w:firstLine="0"/>
        <w:jc w:val="both"/>
        <w:rPr>
          <w:rFonts w:ascii="Arial" w:hAnsi="Arial"/>
          <w:b/>
          <w:sz w:val="22"/>
          <w:szCs w:val="22"/>
        </w:rPr>
      </w:pPr>
      <w:r>
        <w:rPr>
          <w:rFonts w:ascii="Arial" w:hAnsi="Arial"/>
          <w:b/>
          <w:sz w:val="22"/>
          <w:szCs w:val="22"/>
        </w:rPr>
        <w:t>Los factores de ponderación serán verificados por la CADEA, en caso de no poder ser constado por la administración no se tomarán en cuenta.</w:t>
      </w:r>
    </w:p>
    <w:p>
      <w:pPr>
        <w:pStyle w:val="54"/>
        <w:spacing w:line="360" w:lineRule="auto"/>
        <w:ind w:left="0" w:firstLine="0"/>
        <w:jc w:val="both"/>
        <w:rPr>
          <w:rFonts w:hint="default" w:ascii="Arial" w:hAnsi="Arial"/>
          <w:b/>
          <w:sz w:val="22"/>
          <w:szCs w:val="22"/>
          <w:lang w:val="es-ES"/>
        </w:rPr>
      </w:pPr>
    </w:p>
    <w:p>
      <w:pPr>
        <w:pStyle w:val="54"/>
        <w:spacing w:line="360" w:lineRule="auto"/>
        <w:ind w:left="0" w:firstLine="0"/>
        <w:jc w:val="both"/>
        <w:rPr>
          <w:rFonts w:hint="default" w:ascii="Arial" w:hAnsi="Arial"/>
          <w:b/>
          <w:sz w:val="22"/>
          <w:szCs w:val="22"/>
          <w:lang w:val="es-ES"/>
        </w:rPr>
      </w:pPr>
      <w:r>
        <w:rPr>
          <w:rFonts w:hint="default" w:ascii="Arial" w:hAnsi="Arial"/>
          <w:b/>
          <w:sz w:val="22"/>
          <w:szCs w:val="22"/>
          <w:lang w:val="es-ES"/>
        </w:rPr>
        <w:t>5.1 FACTORES DE EVALUACIÓN</w:t>
      </w:r>
    </w:p>
    <w:p>
      <w:pPr>
        <w:pStyle w:val="54"/>
        <w:spacing w:line="360" w:lineRule="auto"/>
        <w:ind w:left="0" w:firstLine="0"/>
        <w:jc w:val="both"/>
        <w:rPr>
          <w:rFonts w:ascii="Arial" w:hAnsi="Arial"/>
          <w:b/>
          <w:color w:val="000000"/>
          <w:sz w:val="22"/>
          <w:szCs w:val="22"/>
        </w:rPr>
      </w:pPr>
      <w:r>
        <w:rPr>
          <w:rFonts w:ascii="Arial" w:hAnsi="Arial"/>
          <w:b/>
          <w:color w:val="000000"/>
          <w:sz w:val="22"/>
          <w:szCs w:val="22"/>
        </w:rPr>
        <w:drawing>
          <wp:anchor distT="0" distB="0" distL="0" distR="0" simplePos="0" relativeHeight="251659264" behindDoc="0" locked="0" layoutInCell="0" allowOverlap="1">
            <wp:simplePos x="0" y="0"/>
            <wp:positionH relativeFrom="column">
              <wp:posOffset>-844550</wp:posOffset>
            </wp:positionH>
            <wp:positionV relativeFrom="paragraph">
              <wp:posOffset>234950</wp:posOffset>
            </wp:positionV>
            <wp:extent cx="7082155" cy="1495425"/>
            <wp:effectExtent l="0" t="0" r="0" b="0"/>
            <wp:wrapSquare wrapText="largest"/>
            <wp:docPr id="1" name="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1"/>
                    <pic:cNvPicPr>
                      <a:picLocks noChangeAspect="1" noChangeArrowheads="1"/>
                    </pic:cNvPicPr>
                  </pic:nvPicPr>
                  <pic:blipFill>
                    <a:blip r:embed="rId8"/>
                    <a:srcRect r="984" b="8167"/>
                    <a:stretch>
                      <a:fillRect/>
                    </a:stretch>
                  </pic:blipFill>
                  <pic:spPr>
                    <a:xfrm>
                      <a:off x="0" y="0"/>
                      <a:ext cx="7082155" cy="1495425"/>
                    </a:xfrm>
                    <a:prstGeom prst="rect">
                      <a:avLst/>
                    </a:prstGeom>
                  </pic:spPr>
                </pic:pic>
              </a:graphicData>
            </a:graphic>
          </wp:anchor>
        </w:drawing>
      </w:r>
    </w:p>
    <w:p>
      <w:pPr>
        <w:pStyle w:val="54"/>
        <w:spacing w:line="360" w:lineRule="auto"/>
        <w:ind w:left="0" w:firstLine="0"/>
        <w:jc w:val="both"/>
        <w:rPr>
          <w:rFonts w:ascii="Arial" w:hAnsi="Arial"/>
          <w:sz w:val="22"/>
          <w:szCs w:val="22"/>
        </w:rPr>
      </w:pPr>
      <w:r>
        <w:rPr>
          <w:rFonts w:ascii="Arial" w:hAnsi="Arial"/>
          <w:b/>
          <w:caps/>
          <w:color w:val="000000"/>
          <w:sz w:val="22"/>
          <w:szCs w:val="22"/>
        </w:rPr>
        <w:t>5.2 Documentos necesarios para los oferentes</w:t>
      </w:r>
    </w:p>
    <w:p>
      <w:pPr>
        <w:suppressAutoHyphens w:val="0"/>
        <w:spacing w:before="0" w:after="0" w:line="360" w:lineRule="auto"/>
        <w:jc w:val="both"/>
        <w:rPr>
          <w:rFonts w:ascii="Arial" w:hAnsi="Arial"/>
          <w:sz w:val="22"/>
          <w:szCs w:val="22"/>
        </w:rPr>
      </w:pPr>
      <w:r>
        <w:rPr>
          <w:rFonts w:ascii="Arial" w:hAnsi="Arial" w:eastAsia="Calibri" w:cs="Arial"/>
          <w:color w:val="000000" w:themeColor="text1"/>
          <w:sz w:val="22"/>
          <w:szCs w:val="22"/>
          <w14:textFill>
            <w14:solidFill>
              <w14:schemeClr w14:val="tx1"/>
            </w14:solidFill>
          </w14:textFill>
        </w:rPr>
        <w:t>De acuerdo al Art. 77 del TOCAF, se le exigirá a los oferentes y adjudicatarios, para ofertar y contratar obras, mientras no esté disponible su verificación en forma electrónica, la presentación de los siguientes certificados expedidos por el Registro Nacional de Empresas de Obras Públicas:</w:t>
      </w:r>
    </w:p>
    <w:p>
      <w:pPr>
        <w:pStyle w:val="21"/>
        <w:suppressAutoHyphens w:val="0"/>
        <w:spacing w:before="0" w:after="0" w:line="360" w:lineRule="auto"/>
        <w:jc w:val="both"/>
        <w:rPr>
          <w:rFonts w:ascii="Arial" w:hAnsi="Arial"/>
          <w:sz w:val="22"/>
          <w:szCs w:val="22"/>
        </w:rPr>
      </w:pPr>
      <w:r>
        <w:rPr>
          <w:rFonts w:ascii="Arial" w:hAnsi="Arial" w:eastAsia="Calibri" w:cs="Arial"/>
          <w:color w:val="000000" w:themeColor="text1"/>
          <w:sz w:val="22"/>
          <w:szCs w:val="22"/>
          <w14:textFill>
            <w14:solidFill>
              <w14:schemeClr w14:val="tx1"/>
            </w14:solidFill>
          </w14:textFill>
        </w:rPr>
        <w:t xml:space="preserve">A) De inscripción, cuando el monto supere el límite de compra directa que tiene habilitado el organismo y no supere el tope máximo de la </w:t>
      </w:r>
      <w:bookmarkStart w:id="22" w:name="_GoBack"/>
      <w:bookmarkEnd w:id="22"/>
      <w:r>
        <w:rPr>
          <w:rFonts w:ascii="Arial" w:hAnsi="Arial" w:eastAsia="Calibri" w:cs="Arial"/>
          <w:color w:val="000000" w:themeColor="text1"/>
          <w:sz w:val="22"/>
          <w:szCs w:val="22"/>
          <w14:textFill>
            <w14:solidFill>
              <w14:schemeClr w14:val="tx1"/>
            </w14:solidFill>
          </w14:textFill>
        </w:rPr>
        <w:t>licitación abreviada.</w:t>
      </w:r>
    </w:p>
    <w:p>
      <w:pPr>
        <w:pStyle w:val="21"/>
        <w:spacing w:before="0" w:after="0" w:line="360" w:lineRule="auto"/>
        <w:jc w:val="both"/>
        <w:rPr>
          <w:rFonts w:ascii="Arial" w:hAnsi="Arial" w:eastAsia="Calibri" w:cs="Arial"/>
          <w:color w:val="000000"/>
          <w:sz w:val="22"/>
          <w:szCs w:val="22"/>
        </w:rPr>
      </w:pPr>
      <w:r>
        <w:rPr>
          <w:rFonts w:ascii="Arial" w:hAnsi="Arial" w:eastAsia="Calibri" w:cs="Arial"/>
          <w:color w:val="000000" w:themeColor="text1"/>
          <w:sz w:val="22"/>
          <w:szCs w:val="22"/>
          <w14:textFill>
            <w14:solidFill>
              <w14:schemeClr w14:val="tx1"/>
            </w14:solidFill>
          </w14:textFill>
        </w:rPr>
        <w:t>B) De inscripción y cuantificación de la capacidad, cuando el monto supere dicho tope</w:t>
      </w:r>
      <w:r>
        <w:rPr>
          <w:rFonts w:ascii="Arial" w:hAnsi="Arial" w:eastAsia="Calibri" w:cs="Arial"/>
          <w:color w:val="000000"/>
          <w:sz w:val="22"/>
          <w:szCs w:val="22"/>
        </w:rPr>
        <w:t>.</w:t>
      </w:r>
    </w:p>
    <w:p>
      <w:pPr>
        <w:pStyle w:val="21"/>
        <w:spacing w:before="0" w:after="0" w:line="360" w:lineRule="auto"/>
        <w:jc w:val="both"/>
        <w:rPr>
          <w:rFonts w:ascii="Arial" w:hAnsi="Arial" w:eastAsia="Calibri" w:cs="Arial"/>
          <w:color w:val="000000"/>
          <w:sz w:val="22"/>
          <w:szCs w:val="22"/>
        </w:rPr>
      </w:pPr>
    </w:p>
    <w:p>
      <w:pPr>
        <w:pStyle w:val="54"/>
        <w:numPr>
          <w:ilvl w:val="0"/>
          <w:numId w:val="0"/>
        </w:numPr>
        <w:suppressAutoHyphens w:val="0"/>
        <w:spacing w:line="360" w:lineRule="auto"/>
        <w:ind w:left="0" w:firstLine="0"/>
        <w:jc w:val="both"/>
        <w:outlineLvl w:val="1"/>
        <w:rPr>
          <w:rFonts w:ascii="Arial" w:hAnsi="Arial"/>
          <w:sz w:val="22"/>
          <w:szCs w:val="22"/>
        </w:rPr>
      </w:pPr>
      <w:r>
        <w:rPr>
          <w:rFonts w:ascii="Arial" w:hAnsi="Arial" w:cs="Arial"/>
          <w:b/>
          <w:caps/>
          <w:color w:val="000000" w:themeColor="text1"/>
          <w:sz w:val="22"/>
          <w:szCs w:val="22"/>
          <w14:textFill>
            <w14:solidFill>
              <w14:schemeClr w14:val="tx1"/>
            </w14:solidFill>
          </w14:textFill>
        </w:rPr>
        <w:t>5.3 Capacidad de los oferentes.</w:t>
      </w:r>
    </w:p>
    <w:p>
      <w:pPr>
        <w:suppressAutoHyphens w:val="0"/>
        <w:spacing w:before="0" w:after="0" w:line="360" w:lineRule="auto"/>
        <w:jc w:val="both"/>
        <w:rPr>
          <w:rFonts w:ascii="Arial" w:hAnsi="Arial"/>
          <w:sz w:val="22"/>
          <w:szCs w:val="22"/>
        </w:rPr>
      </w:pPr>
      <w:r>
        <w:rPr>
          <w:rFonts w:ascii="Arial" w:hAnsi="Arial" w:eastAsia="Calibri" w:cs="Arial"/>
          <w:color w:val="000000" w:themeColor="text1"/>
          <w:sz w:val="22"/>
          <w:szCs w:val="22"/>
          <w14:textFill>
            <w14:solidFill>
              <w14:schemeClr w14:val="tx1"/>
            </w14:solidFill>
          </w14:textFill>
        </w:rPr>
        <w:t xml:space="preserve">Solo se admitirá la presentación de propuestas por empresas de reconocida capacidad técnica para ejecutar la obra. </w:t>
      </w:r>
    </w:p>
    <w:p>
      <w:pPr>
        <w:suppressAutoHyphens w:val="0"/>
        <w:spacing w:before="0" w:after="0" w:line="360" w:lineRule="auto"/>
        <w:jc w:val="both"/>
        <w:rPr>
          <w:rFonts w:ascii="Arial" w:hAnsi="Arial"/>
          <w:sz w:val="22"/>
          <w:szCs w:val="22"/>
        </w:rPr>
      </w:pPr>
      <w:r>
        <w:rPr>
          <w:rFonts w:ascii="Arial" w:hAnsi="Arial" w:eastAsia="Calibri" w:cs="Calibri"/>
          <w:color w:val="000000" w:themeColor="text1"/>
          <w:sz w:val="22"/>
          <w:szCs w:val="22"/>
          <w14:textFill>
            <w14:solidFill>
              <w14:schemeClr w14:val="tx1"/>
            </w14:solidFill>
          </w14:textFill>
        </w:rPr>
        <w:t>Se presentará una relación de las obras similares a la presente, cuya construcción haya tenido a su cargo, en su totalidad o parcialmente. El proponente indicará quien ha sido el contratante.</w:t>
      </w:r>
    </w:p>
    <w:p>
      <w:pPr>
        <w:suppressAutoHyphens w:val="0"/>
        <w:spacing w:before="0" w:after="0" w:line="360" w:lineRule="auto"/>
        <w:jc w:val="both"/>
        <w:rPr>
          <w:rFonts w:ascii="Arial" w:hAnsi="Arial" w:eastAsia="Calibri" w:cs="Calibri"/>
          <w:color w:val="000000" w:themeColor="text1"/>
          <w:sz w:val="22"/>
          <w:szCs w:val="22"/>
          <w14:textFill>
            <w14:solidFill>
              <w14:schemeClr w14:val="tx1"/>
            </w14:solidFill>
          </w14:textFill>
        </w:rPr>
      </w:pPr>
      <w:r>
        <w:rPr>
          <w:rFonts w:ascii="Arial" w:hAnsi="Arial" w:eastAsia="Calibri" w:cs="Calibri"/>
          <w:color w:val="000000" w:themeColor="text1"/>
          <w:sz w:val="22"/>
          <w:szCs w:val="22"/>
          <w14:textFill>
            <w14:solidFill>
              <w14:schemeClr w14:val="tx1"/>
            </w14:solidFill>
          </w14:textFill>
        </w:rPr>
        <w:t>El proponente deberá indicar e incluir en su propuesta todos los accesorios, instrumentos de control y dispositivos, aunque no habiendo sido mencionados explícitamente en las especificaciones técnicas, sean necesarias para el buen funcionamiento de las instalaciones.</w:t>
      </w:r>
    </w:p>
    <w:p>
      <w:pPr>
        <w:suppressAutoHyphens w:val="0"/>
        <w:spacing w:before="0" w:after="0" w:line="360" w:lineRule="auto"/>
        <w:jc w:val="both"/>
        <w:rPr>
          <w:rFonts w:ascii="Arial" w:hAnsi="Arial" w:eastAsia="Calibri" w:cs="Calibri"/>
          <w:color w:val="000000" w:themeColor="text1"/>
          <w:sz w:val="22"/>
          <w:szCs w:val="22"/>
          <w14:textFill>
            <w14:solidFill>
              <w14:schemeClr w14:val="tx1"/>
            </w14:solidFill>
          </w14:textFill>
        </w:rPr>
      </w:pPr>
    </w:p>
    <w:p>
      <w:pPr>
        <w:pStyle w:val="54"/>
        <w:spacing w:line="360" w:lineRule="auto"/>
        <w:ind w:left="0" w:firstLine="0"/>
        <w:jc w:val="both"/>
        <w:rPr>
          <w:rFonts w:ascii="Arial" w:hAnsi="Arial"/>
          <w:sz w:val="22"/>
          <w:szCs w:val="22"/>
        </w:rPr>
      </w:pPr>
      <w:r>
        <w:rPr>
          <w:rFonts w:ascii="Arial" w:hAnsi="Arial"/>
          <w:b/>
          <w:caps/>
          <w:color w:val="000000"/>
          <w:sz w:val="22"/>
          <w:szCs w:val="22"/>
        </w:rPr>
        <w:t>5.4 Documentos necesarios para Certificación de bomberos.</w:t>
      </w:r>
    </w:p>
    <w:p>
      <w:pPr>
        <w:spacing w:line="360" w:lineRule="auto"/>
        <w:jc w:val="both"/>
        <w:rPr>
          <w:rFonts w:ascii="Arial" w:hAnsi="Arial"/>
          <w:sz w:val="22"/>
          <w:szCs w:val="22"/>
        </w:rPr>
      </w:pPr>
      <w:r>
        <w:rPr>
          <w:rFonts w:ascii="Arial" w:hAnsi="Arial"/>
          <w:color w:val="000000"/>
          <w:sz w:val="22"/>
          <w:szCs w:val="22"/>
        </w:rPr>
        <w:t>Será por cuenta del contratista la elaboración y entrega de toda la documentación técnica conforme a obra, correctamente certificado en su homologación o tramitación de homologación ante la D.N.B. y formularios F2B firmado por técnico responsable de la instalación o empresa instaladora según corresponda, necesario para que el técnico registrado que lleva adelante la gestión ante la D.N.B, por parte de INUMET, pueda presentar en tiempo y forma la documentación requerida para esta instancia, para la tramitación de la habilitación la Certificación de las Medidas Contra Incendio instaladas.</w:t>
      </w:r>
    </w:p>
    <w:p>
      <w:pPr>
        <w:pStyle w:val="54"/>
        <w:spacing w:line="360" w:lineRule="auto"/>
        <w:ind w:left="0" w:leftChars="0" w:firstLine="0" w:firstLineChars="0"/>
        <w:jc w:val="left"/>
        <w:rPr>
          <w:rFonts w:ascii="Arial" w:hAnsi="Arial"/>
          <w:sz w:val="22"/>
          <w:szCs w:val="22"/>
        </w:rPr>
      </w:pPr>
      <w:r>
        <w:rPr>
          <w:rFonts w:ascii="Arial" w:hAnsi="Arial"/>
          <w:b/>
          <w:caps/>
          <w:color w:val="000000"/>
          <w:sz w:val="22"/>
          <w:szCs w:val="22"/>
        </w:rPr>
        <w:t>6. Período de garantía.</w:t>
      </w:r>
    </w:p>
    <w:p>
      <w:pPr>
        <w:pStyle w:val="54"/>
        <w:spacing w:line="360" w:lineRule="auto"/>
        <w:ind w:left="0" w:firstLine="0"/>
        <w:jc w:val="both"/>
        <w:rPr>
          <w:rFonts w:ascii="Arial" w:hAnsi="Arial"/>
          <w:sz w:val="22"/>
          <w:szCs w:val="22"/>
        </w:rPr>
      </w:pPr>
      <w:r>
        <w:rPr>
          <w:rFonts w:ascii="Arial" w:hAnsi="Arial"/>
          <w:b/>
          <w:bCs/>
          <w:color w:val="000000"/>
          <w:sz w:val="22"/>
          <w:szCs w:val="22"/>
        </w:rPr>
        <w:t xml:space="preserve">6.1 Fiel cumplimiento del contrato </w:t>
      </w:r>
    </w:p>
    <w:p>
      <w:pPr>
        <w:pStyle w:val="54"/>
        <w:spacing w:line="360" w:lineRule="auto"/>
        <w:ind w:left="0" w:firstLine="0"/>
        <w:jc w:val="both"/>
        <w:rPr>
          <w:rFonts w:ascii="Arial" w:hAnsi="Arial"/>
          <w:sz w:val="22"/>
          <w:szCs w:val="22"/>
        </w:rPr>
      </w:pPr>
      <w:r>
        <w:rPr>
          <w:rFonts w:ascii="Arial" w:hAnsi="Arial"/>
          <w:color w:val="000000"/>
          <w:sz w:val="22"/>
          <w:szCs w:val="22"/>
        </w:rPr>
        <w:t>Los adjudicatarios deberán garantizar el fiel cumplimiento del contrato mediante depósito en efectivo o en valores públicos, fianza o aval bancario, o póliza de seguro de fianza, por un valor equivalente al 5% (cinco por ciento) de la adjudicación. Esta garantía se podrá acrecer con una retención de los sucesivos pagos lo que deberá estar establecido en el pliego particular.</w:t>
      </w:r>
    </w:p>
    <w:p>
      <w:pPr>
        <w:pStyle w:val="54"/>
        <w:spacing w:line="360" w:lineRule="auto"/>
        <w:ind w:left="0" w:firstLine="0"/>
        <w:jc w:val="both"/>
        <w:rPr>
          <w:rFonts w:ascii="Arial" w:hAnsi="Arial"/>
          <w:sz w:val="22"/>
          <w:szCs w:val="22"/>
        </w:rPr>
      </w:pPr>
      <w:r>
        <w:rPr>
          <w:rFonts w:ascii="Arial" w:hAnsi="Arial"/>
          <w:color w:val="000000"/>
          <w:sz w:val="22"/>
          <w:szCs w:val="22"/>
        </w:rPr>
        <w:t>El incumplimiento del contrato se sancionará con una multa equivalente al 10% (diez por ciento) de la adjudicación. El acto administrativo o resolución que imponga la multa será título ejecutivo, sin perjuicio del resarcimiento de los eventuales daños y perjuicios que dicho incumplimiento pueda haber causado a la Administración y la comunicación del hecho al Registro Único de Proveedores del Estado.</w:t>
      </w:r>
    </w:p>
    <w:p>
      <w:pPr>
        <w:pStyle w:val="54"/>
        <w:spacing w:line="360" w:lineRule="auto"/>
        <w:ind w:left="0" w:firstLine="0"/>
        <w:jc w:val="both"/>
        <w:rPr>
          <w:rFonts w:ascii="Arial" w:hAnsi="Arial"/>
          <w:sz w:val="22"/>
          <w:szCs w:val="22"/>
        </w:rPr>
      </w:pPr>
      <w:r>
        <w:rPr>
          <w:rFonts w:ascii="Arial" w:hAnsi="Arial"/>
          <w:color w:val="000000"/>
          <w:sz w:val="22"/>
          <w:szCs w:val="22"/>
        </w:rPr>
        <w:t>No se presentarán garantías de mantenimiento de ofertas cuando las mismas sean inferiores al tope de la licitación abreviada, ni garantías de fiel cumplimiento del contrato por aquellas inferiores al 40% (cuarenta por ciento) del tope de la licitación abreviada. Su incumplimiento se sancionará en la forma establecida anteriormente.</w:t>
      </w:r>
    </w:p>
    <w:p>
      <w:pPr>
        <w:pStyle w:val="54"/>
        <w:spacing w:line="360" w:lineRule="auto"/>
        <w:ind w:left="0" w:firstLine="0"/>
        <w:jc w:val="both"/>
        <w:rPr>
          <w:rFonts w:ascii="Arial" w:hAnsi="Arial"/>
          <w:sz w:val="22"/>
          <w:szCs w:val="22"/>
        </w:rPr>
      </w:pPr>
      <w:r>
        <w:rPr>
          <w:rFonts w:ascii="Arial" w:hAnsi="Arial"/>
          <w:color w:val="000000"/>
          <w:sz w:val="22"/>
          <w:szCs w:val="22"/>
        </w:rPr>
        <w:t>Cuando no corresponda retener garantías, las mismas deberán ser devueltas en el menor plazo posible, sea de oficio o a pedido de la parte interesada.</w:t>
      </w:r>
    </w:p>
    <w:p>
      <w:pPr>
        <w:pStyle w:val="54"/>
        <w:spacing w:line="360" w:lineRule="auto"/>
        <w:ind w:left="0" w:firstLine="0"/>
        <w:jc w:val="both"/>
        <w:rPr>
          <w:rFonts w:ascii="Arial" w:hAnsi="Arial"/>
          <w:sz w:val="22"/>
          <w:szCs w:val="22"/>
        </w:rPr>
      </w:pPr>
      <w:r>
        <w:rPr>
          <w:rFonts w:ascii="Arial" w:hAnsi="Arial"/>
          <w:color w:val="000000"/>
          <w:sz w:val="22"/>
          <w:szCs w:val="22"/>
        </w:rPr>
        <w:t>El período de garantía será como mínimo un año a partir de la Recepción Provisoria, igualmente en contratista deberá indicar en caso el período de garantía establecida por cada equipo.</w:t>
      </w:r>
    </w:p>
    <w:p>
      <w:pPr>
        <w:pStyle w:val="54"/>
        <w:spacing w:line="360" w:lineRule="auto"/>
        <w:ind w:left="0" w:firstLine="0"/>
        <w:jc w:val="both"/>
        <w:rPr>
          <w:rFonts w:ascii="Arial" w:hAnsi="Arial"/>
          <w:sz w:val="22"/>
          <w:szCs w:val="22"/>
        </w:rPr>
      </w:pPr>
      <w:r>
        <w:rPr>
          <w:rFonts w:ascii="Arial" w:hAnsi="Arial"/>
          <w:color w:val="000000"/>
          <w:sz w:val="22"/>
          <w:szCs w:val="22"/>
        </w:rPr>
        <w:t>Durante este período el contratista seguirá siendo responsable por vicios o defectos de construcción, calidad de los materiales, de manufactura, etc.</w:t>
      </w:r>
    </w:p>
    <w:p>
      <w:pPr>
        <w:pStyle w:val="54"/>
        <w:spacing w:line="360" w:lineRule="auto"/>
        <w:ind w:left="0" w:firstLine="0"/>
        <w:jc w:val="both"/>
        <w:rPr>
          <w:rFonts w:ascii="Arial" w:hAnsi="Arial"/>
          <w:sz w:val="22"/>
          <w:szCs w:val="22"/>
        </w:rPr>
      </w:pPr>
      <w:r>
        <w:rPr>
          <w:rFonts w:ascii="Arial" w:hAnsi="Arial"/>
          <w:color w:val="000000"/>
          <w:sz w:val="22"/>
          <w:szCs w:val="22"/>
        </w:rPr>
        <w:t>Si en el transcurso del período de garantía una parte cualquiera del suministro tuviera que ser reparada, modificada o sustituida, la D.O. podrá, si así lo juzga, conveniente extender el período de garantía para dicha parte del suministro, hasta un tiempo igual al transcurrido entre la recepción provisoria de la misma y la fecha en que la deficiencia quedara subsanada por el oferente.</w:t>
      </w:r>
    </w:p>
    <w:p>
      <w:pPr>
        <w:pStyle w:val="54"/>
        <w:spacing w:line="360" w:lineRule="auto"/>
        <w:ind w:left="708" w:firstLine="0"/>
        <w:jc w:val="both"/>
        <w:rPr>
          <w:rFonts w:ascii="Arial" w:hAnsi="Arial"/>
          <w:b/>
          <w:caps/>
          <w:color w:val="000000"/>
          <w:sz w:val="22"/>
          <w:szCs w:val="22"/>
        </w:rPr>
      </w:pPr>
    </w:p>
    <w:p>
      <w:pPr>
        <w:pStyle w:val="54"/>
        <w:spacing w:line="360" w:lineRule="auto"/>
        <w:ind w:left="0" w:firstLine="0"/>
        <w:jc w:val="both"/>
        <w:rPr>
          <w:rFonts w:ascii="Arial" w:hAnsi="Arial"/>
          <w:sz w:val="22"/>
          <w:szCs w:val="22"/>
        </w:rPr>
      </w:pPr>
      <w:r>
        <w:rPr>
          <w:rFonts w:ascii="Arial" w:hAnsi="Arial"/>
          <w:b/>
          <w:caps/>
          <w:color w:val="000000"/>
          <w:sz w:val="22"/>
          <w:szCs w:val="22"/>
        </w:rPr>
        <w:t>7. Recepción definitiva</w:t>
      </w:r>
      <w:r>
        <w:rPr>
          <w:rFonts w:ascii="Arial" w:hAnsi="Arial"/>
          <w:b/>
          <w:color w:val="000000"/>
          <w:sz w:val="22"/>
          <w:szCs w:val="22"/>
        </w:rPr>
        <w:t>.</w:t>
      </w:r>
    </w:p>
    <w:p>
      <w:pPr>
        <w:pStyle w:val="54"/>
        <w:spacing w:line="360" w:lineRule="auto"/>
        <w:ind w:left="0" w:firstLine="0"/>
        <w:jc w:val="both"/>
        <w:rPr>
          <w:rFonts w:ascii="Arial" w:hAnsi="Arial"/>
          <w:sz w:val="22"/>
          <w:szCs w:val="22"/>
        </w:rPr>
      </w:pPr>
      <w:r>
        <w:rPr>
          <w:rFonts w:ascii="Arial" w:hAnsi="Arial"/>
          <w:color w:val="000000"/>
          <w:sz w:val="22"/>
          <w:szCs w:val="22"/>
        </w:rPr>
        <w:t xml:space="preserve">Una vez finalizado el Período de Garantía, el contratista de las Instalaciones contra incendio, podrá solicitar la Recepción Definitiva. </w:t>
      </w:r>
      <w:r>
        <w:rPr>
          <w:rFonts w:ascii="Arial" w:hAnsi="Arial"/>
          <w:b/>
          <w:bCs/>
          <w:color w:val="000000"/>
          <w:sz w:val="22"/>
          <w:szCs w:val="22"/>
        </w:rPr>
        <w:t>INUMET labrará acta con esta actuación.</w:t>
      </w:r>
    </w:p>
    <w:p>
      <w:pPr>
        <w:pStyle w:val="54"/>
        <w:spacing w:line="360" w:lineRule="auto"/>
        <w:ind w:left="0" w:firstLine="0"/>
        <w:jc w:val="both"/>
        <w:rPr>
          <w:b/>
          <w:bCs/>
          <w:color w:val="000000"/>
        </w:rPr>
      </w:pPr>
    </w:p>
    <w:p>
      <w:pPr>
        <w:pStyle w:val="54"/>
        <w:spacing w:line="360" w:lineRule="auto"/>
        <w:ind w:left="0" w:firstLine="0"/>
        <w:jc w:val="both"/>
        <w:rPr>
          <w:rFonts w:ascii="Arial" w:hAnsi="Arial"/>
          <w:sz w:val="22"/>
          <w:szCs w:val="22"/>
        </w:rPr>
      </w:pPr>
      <w:r>
        <w:rPr>
          <w:rFonts w:ascii="Arial" w:hAnsi="Arial"/>
          <w:b/>
          <w:caps/>
          <w:color w:val="000000"/>
          <w:sz w:val="22"/>
          <w:szCs w:val="22"/>
        </w:rPr>
        <w:t>8. Responsabilidades.</w:t>
      </w:r>
    </w:p>
    <w:p>
      <w:pPr>
        <w:pStyle w:val="54"/>
        <w:spacing w:line="360" w:lineRule="auto"/>
        <w:ind w:left="0" w:firstLine="0"/>
        <w:jc w:val="both"/>
        <w:rPr>
          <w:rFonts w:ascii="Arial" w:hAnsi="Arial"/>
          <w:sz w:val="22"/>
          <w:szCs w:val="22"/>
        </w:rPr>
      </w:pPr>
      <w:r>
        <w:rPr>
          <w:rFonts w:ascii="Arial" w:hAnsi="Arial"/>
          <w:color w:val="000000"/>
          <w:sz w:val="22"/>
          <w:szCs w:val="22"/>
        </w:rPr>
        <w:t>Acorde con la normativa vigente del Decreto 184/018, vigente al momento de realizada esta memoria, art. 13- Las empresas registradas serán responsables del suministro, colocación, puesta en funcionamiento y mantenimiento técnico de los distintos componentes indicados en el Proyecto. Estas actividades podrán ser realizadas por una o varias empresas, quedando claramente establecido las responsabilidades de cada una.</w:t>
      </w:r>
    </w:p>
    <w:p>
      <w:pPr>
        <w:pStyle w:val="54"/>
        <w:spacing w:line="360" w:lineRule="auto"/>
        <w:ind w:left="0" w:firstLine="0"/>
        <w:jc w:val="both"/>
        <w:rPr>
          <w:rFonts w:ascii="Arial" w:hAnsi="Arial"/>
          <w:sz w:val="22"/>
          <w:szCs w:val="22"/>
        </w:rPr>
      </w:pPr>
      <w:r>
        <w:rPr>
          <w:rFonts w:ascii="Arial" w:hAnsi="Arial"/>
          <w:color w:val="000000"/>
          <w:sz w:val="22"/>
          <w:szCs w:val="22"/>
        </w:rPr>
        <w:t>Los responsables del suministro deberán indicar en la factura las cantidades, marcas, modelos, número de serie, etc. que permita identificar claramente sus productos.</w:t>
      </w:r>
    </w:p>
    <w:p>
      <w:pPr>
        <w:pStyle w:val="54"/>
        <w:spacing w:line="360" w:lineRule="auto"/>
        <w:ind w:left="0" w:firstLine="0"/>
        <w:jc w:val="both"/>
        <w:rPr>
          <w:rFonts w:ascii="Arial" w:hAnsi="Arial"/>
          <w:sz w:val="22"/>
          <w:szCs w:val="22"/>
        </w:rPr>
      </w:pPr>
      <w:r>
        <w:rPr>
          <w:rFonts w:ascii="Arial" w:hAnsi="Arial"/>
          <w:color w:val="000000"/>
          <w:sz w:val="22"/>
          <w:szCs w:val="22"/>
        </w:rPr>
        <w:t>Los responsables por la colocación y puesta en funcionamiento deberán extender un certificado firmado por responsable de la empresa que acredite la correcta colocación y el buen funcionamiento de los equipos instalados. Todos los trabajos deberán ser realizados por personal debidamente capacitado. Se indicará en la factura y el certificado la cantidad de equipos, ubicación, tipo, marca, modelo, número de serie, etc. de forma de que sean fácilmente identificables.</w:t>
      </w:r>
    </w:p>
    <w:p>
      <w:pPr>
        <w:pStyle w:val="54"/>
        <w:spacing w:line="360" w:lineRule="auto"/>
        <w:ind w:left="0" w:firstLine="0"/>
        <w:jc w:val="both"/>
        <w:rPr>
          <w:rFonts w:ascii="Arial" w:hAnsi="Arial"/>
          <w:sz w:val="22"/>
          <w:szCs w:val="22"/>
        </w:rPr>
      </w:pPr>
      <w:r>
        <w:rPr>
          <w:rFonts w:ascii="Arial" w:hAnsi="Arial"/>
          <w:color w:val="000000"/>
          <w:sz w:val="22"/>
          <w:szCs w:val="22"/>
        </w:rPr>
        <w:t xml:space="preserve">En caso de estar definido quien efectuara el mantenimiento, los responsables del mantenimiento técnico, indicaran en la factura la cantidad de equipos, ubicación, tipo, marca, modelo número de serie, etc. de forma de que sean fácilmente identificables. Completarán todos los documentos referidos a tal fin (planillas, etc.) y establecerán los </w:t>
      </w:r>
    </w:p>
    <w:p>
      <w:pPr>
        <w:pStyle w:val="54"/>
        <w:spacing w:line="360" w:lineRule="auto"/>
        <w:ind w:left="0" w:firstLine="0"/>
        <w:jc w:val="both"/>
        <w:rPr>
          <w:rFonts w:ascii="Arial" w:hAnsi="Arial"/>
          <w:sz w:val="22"/>
          <w:szCs w:val="22"/>
        </w:rPr>
      </w:pPr>
      <w:r>
        <w:rPr>
          <w:rFonts w:ascii="Arial" w:hAnsi="Arial"/>
          <w:color w:val="000000"/>
          <w:sz w:val="22"/>
          <w:szCs w:val="22"/>
        </w:rPr>
        <w:t>plazos requeridos para efectuar el mantenimiento de cada equipo según requerimientos normativos vigente y necesidades técnicas.</w:t>
      </w:r>
    </w:p>
    <w:p>
      <w:pPr>
        <w:pStyle w:val="54"/>
        <w:spacing w:line="360" w:lineRule="auto"/>
        <w:ind w:left="0" w:firstLine="0"/>
        <w:jc w:val="both"/>
        <w:rPr>
          <w:rFonts w:ascii="Arial" w:hAnsi="Arial"/>
          <w:sz w:val="22"/>
          <w:szCs w:val="22"/>
        </w:rPr>
      </w:pPr>
      <w:r>
        <w:rPr>
          <w:rFonts w:ascii="Arial" w:hAnsi="Arial"/>
          <w:color w:val="000000"/>
          <w:sz w:val="22"/>
          <w:szCs w:val="22"/>
        </w:rPr>
        <w:t>Es obligación del contratista, la prohibición de delegar responsabilidades en subcontratistas o en terceros de forma directa o indirecta. El Riesgo de la obra hasta la entrega provisoria son de su cuenta.</w:t>
      </w:r>
    </w:p>
    <w:p>
      <w:pPr>
        <w:pStyle w:val="54"/>
        <w:spacing w:line="360" w:lineRule="auto"/>
        <w:ind w:left="0" w:firstLine="0"/>
        <w:jc w:val="both"/>
        <w:rPr>
          <w:rFonts w:ascii="Arial" w:hAnsi="Arial"/>
          <w:sz w:val="22"/>
          <w:szCs w:val="22"/>
        </w:rPr>
      </w:pPr>
      <w:r>
        <w:rPr>
          <w:rFonts w:ascii="Arial" w:hAnsi="Arial"/>
          <w:color w:val="000000"/>
          <w:sz w:val="22"/>
          <w:szCs w:val="22"/>
        </w:rPr>
        <w:t>Los oferentes adjudicados, tendrán la responsabilidad de acuerdo a la Ley 19. 726.</w:t>
      </w:r>
    </w:p>
    <w:p>
      <w:pPr>
        <w:pStyle w:val="54"/>
        <w:spacing w:line="360" w:lineRule="auto"/>
        <w:ind w:left="0" w:firstLine="0"/>
        <w:jc w:val="both"/>
        <w:rPr>
          <w:color w:val="000000"/>
        </w:rPr>
      </w:pPr>
    </w:p>
    <w:p>
      <w:pPr>
        <w:pStyle w:val="54"/>
        <w:spacing w:line="360" w:lineRule="auto"/>
        <w:ind w:left="0" w:firstLine="0"/>
        <w:jc w:val="both"/>
        <w:rPr>
          <w:rFonts w:ascii="Arial" w:hAnsi="Arial"/>
          <w:sz w:val="22"/>
          <w:szCs w:val="22"/>
        </w:rPr>
      </w:pPr>
      <w:r>
        <w:rPr>
          <w:rFonts w:ascii="Arial" w:hAnsi="Arial"/>
          <w:b/>
          <w:color w:val="000000"/>
          <w:sz w:val="22"/>
          <w:szCs w:val="22"/>
        </w:rPr>
        <w:t>9. CARACTERISTICAS TECNICAS DE LOS ELEMENTOS QUE INTEGRAN LAS INSTALACIONES.</w:t>
      </w:r>
    </w:p>
    <w:p>
      <w:pPr>
        <w:pStyle w:val="54"/>
        <w:spacing w:line="360" w:lineRule="auto"/>
        <w:ind w:left="0" w:leftChars="0" w:firstLine="0" w:firstLineChars="0"/>
        <w:jc w:val="both"/>
        <w:rPr>
          <w:rFonts w:ascii="Arial" w:hAnsi="Arial"/>
          <w:sz w:val="22"/>
          <w:szCs w:val="22"/>
        </w:rPr>
      </w:pPr>
      <w:r>
        <w:rPr>
          <w:rFonts w:ascii="Arial" w:hAnsi="Arial"/>
          <w:color w:val="000000"/>
          <w:sz w:val="22"/>
          <w:szCs w:val="22"/>
        </w:rPr>
        <w:t>Se detallan en cada memoria técnica del proyecto, según requerimientos Normativo y del diseño de la edificación.</w:t>
      </w:r>
    </w:p>
    <w:p>
      <w:pPr>
        <w:pStyle w:val="54"/>
        <w:spacing w:line="360" w:lineRule="auto"/>
        <w:ind w:left="360" w:firstLine="0"/>
        <w:jc w:val="both"/>
        <w:rPr>
          <w:rFonts w:ascii="Arial" w:hAnsi="Arial"/>
          <w:color w:val="000000"/>
          <w:sz w:val="22"/>
          <w:szCs w:val="22"/>
        </w:rPr>
      </w:pPr>
    </w:p>
    <w:p>
      <w:pPr>
        <w:pStyle w:val="54"/>
        <w:spacing w:line="360" w:lineRule="auto"/>
        <w:ind w:left="0" w:firstLine="0"/>
        <w:jc w:val="both"/>
        <w:rPr>
          <w:rFonts w:ascii="Arial" w:hAnsi="Arial"/>
          <w:sz w:val="22"/>
          <w:szCs w:val="22"/>
        </w:rPr>
      </w:pPr>
      <w:r>
        <w:rPr>
          <w:rFonts w:ascii="Arial" w:hAnsi="Arial"/>
          <w:b/>
          <w:color w:val="000000"/>
          <w:sz w:val="22"/>
          <w:szCs w:val="22"/>
        </w:rPr>
        <w:t>10. DATOS A SUMINISTRAR.</w:t>
      </w:r>
    </w:p>
    <w:p>
      <w:pPr>
        <w:pStyle w:val="54"/>
        <w:spacing w:line="360" w:lineRule="auto"/>
        <w:ind w:firstLine="0"/>
        <w:jc w:val="both"/>
        <w:rPr>
          <w:rFonts w:ascii="Arial" w:hAnsi="Arial"/>
          <w:sz w:val="22"/>
          <w:szCs w:val="22"/>
        </w:rPr>
      </w:pPr>
      <w:r>
        <w:rPr>
          <w:rFonts w:ascii="Arial" w:hAnsi="Arial"/>
          <w:color w:val="000000"/>
          <w:sz w:val="22"/>
          <w:szCs w:val="22"/>
        </w:rPr>
        <w:t>Las ofertas serán descartadas técnicamente si no cuentan con una profunda información técnica en catálogos y en la memoria descriptiva de todos los trabajos y elementos que se suministrarán.  Como mínimo se deberá adjuntar información y catálogos de:</w:t>
      </w:r>
    </w:p>
    <w:p>
      <w:pPr>
        <w:pStyle w:val="54"/>
        <w:spacing w:line="360" w:lineRule="auto"/>
        <w:jc w:val="both"/>
        <w:rPr>
          <w:rFonts w:ascii="Arial" w:hAnsi="Arial"/>
          <w:sz w:val="22"/>
          <w:szCs w:val="22"/>
        </w:rPr>
      </w:pPr>
      <w:r>
        <w:rPr>
          <w:rFonts w:ascii="Arial" w:hAnsi="Arial"/>
          <w:color w:val="000000"/>
          <w:sz w:val="22"/>
          <w:szCs w:val="22"/>
        </w:rPr>
        <w:t>•</w:t>
      </w:r>
      <w:r>
        <w:rPr>
          <w:rFonts w:ascii="Arial" w:hAnsi="Arial"/>
          <w:color w:val="000000"/>
          <w:sz w:val="22"/>
          <w:szCs w:val="22"/>
        </w:rPr>
        <w:tab/>
      </w:r>
      <w:r>
        <w:rPr>
          <w:rFonts w:ascii="Arial" w:hAnsi="Arial"/>
          <w:color w:val="000000"/>
          <w:sz w:val="22"/>
          <w:szCs w:val="22"/>
        </w:rPr>
        <w:t>Modelo, marca y características técnicas de cada sistema.</w:t>
      </w:r>
    </w:p>
    <w:p>
      <w:pPr>
        <w:pStyle w:val="54"/>
        <w:spacing w:line="360" w:lineRule="auto"/>
        <w:jc w:val="both"/>
        <w:rPr>
          <w:rFonts w:ascii="Arial" w:hAnsi="Arial"/>
          <w:sz w:val="22"/>
          <w:szCs w:val="22"/>
        </w:rPr>
      </w:pPr>
      <w:r>
        <w:rPr>
          <w:rFonts w:ascii="Arial" w:hAnsi="Arial"/>
          <w:color w:val="000000"/>
          <w:sz w:val="22"/>
          <w:szCs w:val="22"/>
        </w:rPr>
        <w:t>•</w:t>
      </w:r>
      <w:r>
        <w:rPr>
          <w:rFonts w:ascii="Arial" w:hAnsi="Arial"/>
          <w:color w:val="000000"/>
          <w:sz w:val="22"/>
          <w:szCs w:val="22"/>
        </w:rPr>
        <w:tab/>
      </w:r>
      <w:r>
        <w:rPr>
          <w:rFonts w:ascii="Arial" w:hAnsi="Arial"/>
          <w:color w:val="000000"/>
          <w:sz w:val="22"/>
          <w:szCs w:val="22"/>
        </w:rPr>
        <w:t>Plazo de entrega.</w:t>
      </w:r>
    </w:p>
    <w:p>
      <w:pPr>
        <w:pStyle w:val="54"/>
        <w:spacing w:line="360" w:lineRule="auto"/>
        <w:jc w:val="both"/>
        <w:rPr>
          <w:rFonts w:ascii="Arial" w:hAnsi="Arial"/>
          <w:sz w:val="22"/>
          <w:szCs w:val="22"/>
        </w:rPr>
      </w:pPr>
      <w:r>
        <w:rPr>
          <w:rFonts w:ascii="Arial" w:hAnsi="Arial"/>
          <w:color w:val="000000"/>
          <w:sz w:val="22"/>
          <w:szCs w:val="22"/>
        </w:rPr>
        <w:t>•</w:t>
      </w:r>
      <w:r>
        <w:rPr>
          <w:rFonts w:ascii="Arial" w:hAnsi="Arial"/>
          <w:color w:val="000000"/>
          <w:sz w:val="22"/>
          <w:szCs w:val="22"/>
        </w:rPr>
        <w:tab/>
      </w:r>
      <w:r>
        <w:rPr>
          <w:rFonts w:ascii="Arial" w:hAnsi="Arial"/>
          <w:color w:val="000000"/>
          <w:sz w:val="22"/>
          <w:szCs w:val="22"/>
        </w:rPr>
        <w:t>Plazo de garantía.</w:t>
      </w:r>
    </w:p>
    <w:p>
      <w:pPr>
        <w:pStyle w:val="54"/>
        <w:spacing w:line="360" w:lineRule="auto"/>
        <w:jc w:val="both"/>
        <w:rPr>
          <w:rFonts w:ascii="Arial" w:hAnsi="Arial"/>
          <w:sz w:val="22"/>
          <w:szCs w:val="22"/>
        </w:rPr>
      </w:pPr>
      <w:r>
        <w:rPr>
          <w:rFonts w:ascii="Arial" w:hAnsi="Arial"/>
          <w:color w:val="000000"/>
          <w:sz w:val="22"/>
          <w:szCs w:val="22"/>
        </w:rPr>
        <w:t>•</w:t>
      </w:r>
      <w:r>
        <w:rPr>
          <w:rFonts w:ascii="Arial" w:hAnsi="Arial"/>
          <w:color w:val="000000"/>
          <w:sz w:val="22"/>
          <w:szCs w:val="22"/>
        </w:rPr>
        <w:tab/>
      </w:r>
      <w:r>
        <w:rPr>
          <w:rFonts w:ascii="Arial" w:hAnsi="Arial"/>
          <w:color w:val="000000"/>
          <w:sz w:val="22"/>
          <w:szCs w:val="22"/>
        </w:rPr>
        <w:t>Forma de pago.</w:t>
      </w:r>
    </w:p>
    <w:p>
      <w:pPr>
        <w:pStyle w:val="54"/>
        <w:spacing w:line="360" w:lineRule="auto"/>
        <w:ind w:left="0" w:leftChars="0" w:firstLine="0" w:firstLineChars="0"/>
        <w:jc w:val="both"/>
        <w:rPr>
          <w:rFonts w:ascii="Arial" w:hAnsi="Arial" w:cs="Calibri"/>
          <w:b/>
          <w:caps/>
          <w:color w:val="000000"/>
          <w:sz w:val="22"/>
          <w:szCs w:val="22"/>
        </w:rPr>
      </w:pPr>
    </w:p>
    <w:p>
      <w:pPr>
        <w:pStyle w:val="54"/>
        <w:spacing w:line="360" w:lineRule="auto"/>
        <w:ind w:left="0" w:firstLine="0"/>
        <w:jc w:val="both"/>
        <w:rPr>
          <w:rFonts w:ascii="Arial" w:hAnsi="Arial"/>
          <w:sz w:val="22"/>
          <w:szCs w:val="22"/>
        </w:rPr>
      </w:pPr>
      <w:r>
        <w:rPr>
          <w:rFonts w:ascii="Arial" w:hAnsi="Arial"/>
          <w:b/>
          <w:color w:val="000000"/>
          <w:sz w:val="22"/>
          <w:szCs w:val="22"/>
        </w:rPr>
        <w:t xml:space="preserve">11. PRESENTACION, APERTURA Y VALIDEZ DE LA OFERTA </w:t>
      </w:r>
    </w:p>
    <w:p>
      <w:pPr>
        <w:spacing w:line="360" w:lineRule="auto"/>
        <w:jc w:val="both"/>
      </w:pPr>
      <w:r>
        <w:rPr>
          <w:rFonts w:ascii="Arial" w:hAnsi="Arial"/>
          <w:color w:val="000000"/>
          <w:sz w:val="22"/>
          <w:szCs w:val="22"/>
        </w:rPr>
        <w:t xml:space="preserve">Las propuestas se recepcionarán en línea a través de la página web de compras estatales </w:t>
      </w:r>
      <w:r>
        <w:fldChar w:fldCharType="begin"/>
      </w:r>
      <w:r>
        <w:instrText xml:space="preserve"> HYPERLINK "http://www.comprasestatales.gub.uy/" \h </w:instrText>
      </w:r>
      <w:r>
        <w:fldChar w:fldCharType="separate"/>
      </w:r>
      <w:r>
        <w:rPr>
          <w:rStyle w:val="29"/>
          <w:rFonts w:ascii="Arial" w:hAnsi="Arial"/>
          <w:sz w:val="22"/>
          <w:szCs w:val="22"/>
        </w:rPr>
        <w:t>www.comprasestatales.gub.uy</w:t>
      </w:r>
      <w:r>
        <w:rPr>
          <w:rStyle w:val="29"/>
          <w:rFonts w:ascii="Arial" w:hAnsi="Arial"/>
          <w:sz w:val="22"/>
          <w:szCs w:val="22"/>
        </w:rPr>
        <w:fldChar w:fldCharType="end"/>
      </w:r>
      <w:r>
        <w:rPr>
          <w:rFonts w:ascii="Arial" w:hAnsi="Arial"/>
          <w:color w:val="000000"/>
          <w:sz w:val="22"/>
          <w:szCs w:val="22"/>
        </w:rPr>
        <w:t>. La omisión de cualquier requisito esencial será causal para el rechazo posterior de las propuestas por parte del ordenador del gasto.</w:t>
      </w:r>
    </w:p>
    <w:p>
      <w:pPr>
        <w:spacing w:line="360" w:lineRule="auto"/>
        <w:jc w:val="both"/>
        <w:rPr>
          <w:rFonts w:ascii="Arial" w:hAnsi="Arial"/>
          <w:sz w:val="22"/>
          <w:szCs w:val="22"/>
        </w:rPr>
      </w:pPr>
      <w:r>
        <w:rPr>
          <w:rFonts w:ascii="Arial" w:hAnsi="Arial"/>
          <w:color w:val="000000"/>
          <w:sz w:val="22"/>
          <w:szCs w:val="22"/>
        </w:rPr>
        <w:t>La presentación de la propuesta implica la aceptación a lo establecido en las bases de es</w:t>
      </w:r>
      <w:r>
        <w:rPr>
          <w:rFonts w:hint="default" w:ascii="Arial" w:hAnsi="Arial"/>
          <w:color w:val="000000"/>
          <w:sz w:val="22"/>
          <w:szCs w:val="22"/>
          <w:lang w:val="es-ES"/>
        </w:rPr>
        <w:t>te procedimiento</w:t>
      </w:r>
      <w:r>
        <w:rPr>
          <w:rFonts w:ascii="Arial" w:hAnsi="Arial"/>
          <w:color w:val="000000"/>
          <w:sz w:val="22"/>
          <w:szCs w:val="22"/>
        </w:rPr>
        <w:t>.</w:t>
      </w:r>
    </w:p>
    <w:p>
      <w:pPr>
        <w:spacing w:line="360" w:lineRule="auto"/>
        <w:jc w:val="both"/>
        <w:rPr>
          <w:rFonts w:ascii="Arial" w:hAnsi="Arial"/>
          <w:sz w:val="22"/>
          <w:szCs w:val="22"/>
        </w:rPr>
      </w:pPr>
      <w:r>
        <w:rPr>
          <w:rFonts w:ascii="Arial" w:hAnsi="Arial"/>
          <w:color w:val="000000"/>
          <w:sz w:val="22"/>
          <w:szCs w:val="22"/>
        </w:rPr>
        <w:t>En los documentos de oferta presentados por el oferente, los textos entre líneas, tachaduras o palabras superpuestas a otras, serán válidos si están salvadas debidamente.</w:t>
      </w:r>
    </w:p>
    <w:p>
      <w:pPr>
        <w:spacing w:line="360" w:lineRule="auto"/>
        <w:jc w:val="both"/>
        <w:rPr>
          <w:rFonts w:ascii="Arial" w:hAnsi="Arial"/>
          <w:sz w:val="22"/>
          <w:szCs w:val="22"/>
        </w:rPr>
      </w:pPr>
      <w:r>
        <w:rPr>
          <w:rFonts w:ascii="Arial" w:hAnsi="Arial"/>
          <w:color w:val="000000"/>
          <w:sz w:val="22"/>
          <w:szCs w:val="22"/>
        </w:rPr>
        <w:t>Presentación y Apertura de las Ofertas: en la fecha, hora y lugar indicados en la Convocatoria – Anexo (Aviso – Cronograma de fechas), no siendo de recibo las ofertas que no se presentaran en la hora, fecha, lugar y forma dispuestos precedentemente.</w:t>
      </w:r>
    </w:p>
    <w:p>
      <w:pPr>
        <w:spacing w:line="360" w:lineRule="auto"/>
        <w:jc w:val="both"/>
        <w:rPr>
          <w:rFonts w:ascii="Arial" w:hAnsi="Arial"/>
          <w:sz w:val="22"/>
          <w:szCs w:val="22"/>
        </w:rPr>
      </w:pPr>
      <w:r>
        <w:rPr>
          <w:rFonts w:ascii="Arial" w:hAnsi="Arial"/>
          <w:color w:val="000000"/>
          <w:sz w:val="22"/>
          <w:szCs w:val="22"/>
        </w:rPr>
        <w:t>Los oferentes mantendrán la validez de sus ofertas por un plazo de 90 (noventa) días calendario, contados a partir de la fecha de apertura de las propuestas. Vencido dicho período sin que se hubiera producido resolución por parte de INUMET, las ofertas se considerarán vigentes salvo que los interesados manifiesten por escrito su voluntad en contrario.</w:t>
      </w:r>
    </w:p>
    <w:p>
      <w:pPr>
        <w:pStyle w:val="54"/>
        <w:spacing w:line="360" w:lineRule="auto"/>
        <w:ind w:left="0" w:firstLine="0"/>
        <w:jc w:val="both"/>
        <w:rPr>
          <w:rFonts w:ascii="Arial" w:hAnsi="Arial"/>
          <w:sz w:val="22"/>
          <w:szCs w:val="22"/>
        </w:rPr>
      </w:pPr>
      <w:r>
        <w:rPr>
          <w:rFonts w:ascii="Arial" w:hAnsi="Arial"/>
          <w:b/>
          <w:color w:val="000000"/>
          <w:sz w:val="22"/>
          <w:szCs w:val="22"/>
        </w:rPr>
        <w:t xml:space="preserve">12. ACLARACIONES Y CONSULTAS </w:t>
      </w:r>
    </w:p>
    <w:p>
      <w:pPr>
        <w:pStyle w:val="54"/>
        <w:spacing w:line="360" w:lineRule="auto"/>
        <w:ind w:left="0" w:firstLine="0"/>
        <w:jc w:val="both"/>
        <w:rPr>
          <w:rFonts w:ascii="Arial" w:hAnsi="Arial" w:eastAsiaTheme="minorHAnsi" w:cstheme="minorBidi"/>
          <w:color w:val="000000"/>
          <w:sz w:val="22"/>
          <w:szCs w:val="22"/>
          <w:lang w:val="es-UY"/>
        </w:rPr>
      </w:pPr>
      <w:r>
        <w:rPr>
          <w:rFonts w:ascii="Arial" w:hAnsi="Arial" w:eastAsiaTheme="minorHAnsi" w:cstheme="minorBidi"/>
          <w:color w:val="000000"/>
          <w:sz w:val="22"/>
          <w:szCs w:val="22"/>
          <w:lang w:val="es-UY"/>
        </w:rPr>
        <w:t xml:space="preserve">Solo se recibirán solicitudes de aclaraciones por escrito hasta 3 (tres) días hábiles anteriores a la fecha fijada para la apertura de las propuestas en la dirección: </w:t>
      </w:r>
      <w:r>
        <w:fldChar w:fldCharType="begin"/>
      </w:r>
      <w:r>
        <w:instrText xml:space="preserve"> HYPERLINK "mailto:compras@inumet.gub.uy" \h </w:instrText>
      </w:r>
      <w:r>
        <w:fldChar w:fldCharType="separate"/>
      </w:r>
      <w:r>
        <w:rPr>
          <w:rStyle w:val="29"/>
          <w:rFonts w:ascii="Arial" w:hAnsi="Arial" w:eastAsiaTheme="minorHAnsi" w:cstheme="minorBidi"/>
          <w:sz w:val="22"/>
          <w:szCs w:val="22"/>
          <w:lang w:val="es-UY"/>
        </w:rPr>
        <w:t>compras@inumet.gub.uy</w:t>
      </w:r>
      <w:r>
        <w:rPr>
          <w:rStyle w:val="29"/>
          <w:rFonts w:ascii="Arial" w:hAnsi="Arial" w:eastAsiaTheme="minorHAnsi" w:cstheme="minorBidi"/>
          <w:sz w:val="22"/>
          <w:szCs w:val="22"/>
          <w:lang w:val="es-UY"/>
        </w:rPr>
        <w:fldChar w:fldCharType="end"/>
      </w:r>
      <w:r>
        <w:rPr>
          <w:rFonts w:ascii="Arial" w:hAnsi="Arial" w:eastAsiaTheme="minorHAnsi" w:cstheme="minorBidi"/>
          <w:color w:val="000000"/>
          <w:sz w:val="22"/>
          <w:szCs w:val="22"/>
          <w:lang w:val="es-UY"/>
        </w:rPr>
        <w:t>. Se dará respuesta a las aclaraciones solicitadas, hasta 48 (cuarenta y ocho) horas antes de la fecha fijada para la apertura de las propuestas, por el correo mencionado. El INUMET por propia iniciativa podrá dar aclaraciones y/o informaciones ampliatorias o introducir modificaciones a estas bases hasta 48 (cuarenta y ocho) horas antes a la fecha fijada para la apertura de las propuestas.</w:t>
      </w:r>
    </w:p>
    <w:p>
      <w:pPr>
        <w:pStyle w:val="54"/>
        <w:spacing w:line="360" w:lineRule="auto"/>
        <w:ind w:left="0" w:firstLine="0"/>
        <w:jc w:val="both"/>
        <w:rPr>
          <w:rFonts w:ascii="Arial" w:hAnsi="Arial" w:eastAsiaTheme="minorHAnsi" w:cstheme="minorBidi"/>
          <w:color w:val="000000"/>
          <w:sz w:val="22"/>
          <w:szCs w:val="22"/>
          <w:lang w:val="es-UY"/>
        </w:rPr>
      </w:pPr>
    </w:p>
    <w:p>
      <w:pPr>
        <w:spacing w:line="360" w:lineRule="auto"/>
        <w:jc w:val="both"/>
        <w:rPr>
          <w:rFonts w:ascii="Arial" w:hAnsi="Arial"/>
          <w:sz w:val="22"/>
          <w:szCs w:val="22"/>
        </w:rPr>
      </w:pPr>
      <w:r>
        <w:rPr>
          <w:rFonts w:ascii="Arial" w:hAnsi="Arial"/>
          <w:b/>
          <w:color w:val="000000"/>
          <w:sz w:val="22"/>
          <w:szCs w:val="22"/>
        </w:rPr>
        <w:t>13</w:t>
      </w:r>
      <w:r>
        <w:rPr>
          <w:rFonts w:ascii="Arial" w:hAnsi="Arial"/>
          <w:b/>
          <w:caps/>
          <w:color w:val="000000"/>
          <w:sz w:val="22"/>
          <w:szCs w:val="22"/>
        </w:rPr>
        <w:t>. Modo de provisión del objeto de la contratación. Plazo de entrega y su cómputo.</w:t>
      </w:r>
    </w:p>
    <w:p>
      <w:pPr>
        <w:spacing w:line="360" w:lineRule="auto"/>
        <w:jc w:val="both"/>
        <w:rPr>
          <w:rFonts w:ascii="Arial" w:hAnsi="Arial"/>
          <w:sz w:val="22"/>
          <w:szCs w:val="22"/>
        </w:rPr>
      </w:pPr>
      <w:r>
        <w:rPr>
          <w:rFonts w:ascii="Arial" w:hAnsi="Arial"/>
          <w:b/>
          <w:caps/>
          <w:color w:val="000000"/>
          <w:sz w:val="22"/>
          <w:szCs w:val="22"/>
        </w:rPr>
        <w:t>13.1</w:t>
      </w:r>
      <w:r>
        <w:rPr>
          <w:rFonts w:ascii="Arial" w:hAnsi="Arial"/>
          <w:b/>
          <w:caps/>
          <w:color w:val="000000"/>
          <w:sz w:val="22"/>
          <w:szCs w:val="22"/>
        </w:rPr>
        <w:tab/>
      </w:r>
      <w:r>
        <w:rPr>
          <w:rFonts w:ascii="Arial" w:hAnsi="Arial"/>
          <w:b/>
          <w:caps/>
          <w:color w:val="000000"/>
          <w:sz w:val="22"/>
          <w:szCs w:val="22"/>
        </w:rPr>
        <w:t>Recepción provisoria</w:t>
      </w:r>
      <w:r>
        <w:rPr>
          <w:rFonts w:ascii="Arial" w:hAnsi="Arial"/>
          <w:caps/>
          <w:color w:val="000000"/>
          <w:sz w:val="22"/>
          <w:szCs w:val="22"/>
        </w:rPr>
        <w:t>.</w:t>
      </w:r>
    </w:p>
    <w:p>
      <w:pPr>
        <w:spacing w:line="360" w:lineRule="auto"/>
        <w:jc w:val="both"/>
        <w:rPr>
          <w:rFonts w:ascii="Arial" w:hAnsi="Arial"/>
          <w:sz w:val="22"/>
          <w:szCs w:val="22"/>
        </w:rPr>
      </w:pPr>
      <w:r>
        <w:rPr>
          <w:rFonts w:ascii="Arial" w:hAnsi="Arial"/>
          <w:color w:val="000000"/>
          <w:sz w:val="22"/>
          <w:szCs w:val="22"/>
        </w:rPr>
        <w:t>A los efectos de la entrega y aceptación de cada medida contra incendio instalada: iluminación de emergencia, señalización, extintores, puerta cortafuego, muro con resistencia al fuego, bombas, cañerías, ductos, etc., el contratista deberá efectuar ensayos para verificar las condiciones de funcionamiento de todos los equipos y el cumplimiento-to de las exigencias de la norma establecida para cada sistema según sus requerimientos.</w:t>
      </w:r>
    </w:p>
    <w:p>
      <w:pPr>
        <w:spacing w:line="360" w:lineRule="auto"/>
        <w:jc w:val="both"/>
        <w:rPr>
          <w:rFonts w:ascii="Arial" w:hAnsi="Arial"/>
          <w:sz w:val="22"/>
          <w:szCs w:val="22"/>
        </w:rPr>
      </w:pPr>
      <w:r>
        <w:rPr>
          <w:rFonts w:ascii="Arial" w:hAnsi="Arial"/>
          <w:bCs/>
          <w:color w:val="000000"/>
          <w:sz w:val="22"/>
          <w:szCs w:val="22"/>
        </w:rPr>
        <w:t>Luego de efectuada la verificación de la correcta instalación, se procederá a verificar la puesta en marcha y el funcionamiento de todos los sistemas (caudales, potencia, niveles de ruido y arranque de la bomba, etc.).</w:t>
      </w:r>
    </w:p>
    <w:p>
      <w:pPr>
        <w:spacing w:line="360" w:lineRule="auto"/>
        <w:jc w:val="both"/>
        <w:rPr>
          <w:rFonts w:ascii="Arial" w:hAnsi="Arial"/>
          <w:sz w:val="22"/>
          <w:szCs w:val="22"/>
        </w:rPr>
      </w:pPr>
      <w:r>
        <w:rPr>
          <w:rFonts w:ascii="Arial" w:hAnsi="Arial"/>
          <w:bCs/>
          <w:color w:val="000000"/>
          <w:sz w:val="22"/>
          <w:szCs w:val="22"/>
        </w:rPr>
        <w:t>Una vez finalizado y que la calidad de las instalaciones y terminaciones está de acuerdo con lo solicitado y la normativa vigente acorde a cada medida contra incendio instalada.</w:t>
      </w:r>
    </w:p>
    <w:p>
      <w:pPr>
        <w:spacing w:line="360" w:lineRule="auto"/>
        <w:jc w:val="both"/>
        <w:rPr>
          <w:rFonts w:ascii="Arial" w:hAnsi="Arial"/>
          <w:sz w:val="22"/>
          <w:szCs w:val="22"/>
        </w:rPr>
      </w:pPr>
      <w:r>
        <w:rPr>
          <w:rFonts w:ascii="Arial" w:hAnsi="Arial"/>
          <w:bCs/>
          <w:color w:val="000000"/>
          <w:sz w:val="22"/>
          <w:szCs w:val="22"/>
        </w:rPr>
        <w:t>Se hubiere entregado en forma ordenada toda la información de:</w:t>
      </w:r>
    </w:p>
    <w:p>
      <w:pPr>
        <w:spacing w:line="360" w:lineRule="auto"/>
        <w:jc w:val="both"/>
        <w:rPr>
          <w:rFonts w:ascii="Arial" w:hAnsi="Arial"/>
          <w:sz w:val="22"/>
          <w:szCs w:val="22"/>
        </w:rPr>
      </w:pPr>
      <w:r>
        <w:rPr>
          <w:rFonts w:ascii="Arial" w:hAnsi="Arial"/>
          <w:bCs/>
          <w:color w:val="000000"/>
          <w:sz w:val="22"/>
          <w:szCs w:val="22"/>
        </w:rPr>
        <w:t>A) Manual de Operación y mantenimiento de los equipos.</w:t>
      </w:r>
    </w:p>
    <w:p>
      <w:pPr>
        <w:spacing w:line="360" w:lineRule="auto"/>
        <w:jc w:val="both"/>
        <w:rPr>
          <w:rFonts w:ascii="Arial" w:hAnsi="Arial"/>
          <w:sz w:val="22"/>
          <w:szCs w:val="22"/>
        </w:rPr>
      </w:pPr>
      <w:r>
        <w:rPr>
          <w:rFonts w:ascii="Arial" w:hAnsi="Arial"/>
          <w:bCs/>
          <w:color w:val="000000"/>
          <w:sz w:val="22"/>
          <w:szCs w:val="22"/>
        </w:rPr>
        <w:t>B) Marca y modelo de los equipos instalados.</w:t>
      </w:r>
    </w:p>
    <w:p>
      <w:pPr>
        <w:spacing w:line="360" w:lineRule="auto"/>
        <w:jc w:val="both"/>
        <w:rPr>
          <w:rFonts w:ascii="Arial" w:hAnsi="Arial"/>
          <w:sz w:val="22"/>
          <w:szCs w:val="22"/>
        </w:rPr>
      </w:pPr>
      <w:r>
        <w:rPr>
          <w:rFonts w:ascii="Arial" w:hAnsi="Arial"/>
          <w:bCs/>
          <w:color w:val="000000"/>
          <w:sz w:val="22"/>
          <w:szCs w:val="22"/>
        </w:rPr>
        <w:t>C) Planos definitivos conforme a obra (representación gráfica, de acuerdo con el estado final, de las instalaciones ejecutadas por el contratista) y toda otra información necesaria para la gestión de la habilitación ante Bomberos.</w:t>
      </w:r>
    </w:p>
    <w:p>
      <w:pPr>
        <w:spacing w:line="360" w:lineRule="auto"/>
        <w:jc w:val="both"/>
        <w:rPr>
          <w:rFonts w:ascii="Arial" w:hAnsi="Arial"/>
          <w:sz w:val="22"/>
          <w:szCs w:val="22"/>
        </w:rPr>
      </w:pPr>
      <w:r>
        <w:rPr>
          <w:rFonts w:ascii="Arial" w:hAnsi="Arial"/>
          <w:bCs/>
          <w:color w:val="000000"/>
          <w:sz w:val="22"/>
          <w:szCs w:val="22"/>
        </w:rPr>
        <w:t>D) Formularios F2B, requeridos según la instalación realizada sobre la responsabilidad de las mismas para su presentación ante la D.N.B.</w:t>
      </w:r>
    </w:p>
    <w:p>
      <w:pPr>
        <w:spacing w:line="360" w:lineRule="auto"/>
        <w:jc w:val="both"/>
        <w:rPr>
          <w:rFonts w:ascii="Arial" w:hAnsi="Arial"/>
          <w:b/>
          <w:bCs/>
          <w:color w:val="000000"/>
          <w:sz w:val="22"/>
          <w:szCs w:val="22"/>
        </w:rPr>
      </w:pPr>
      <w:r>
        <w:rPr>
          <w:rFonts w:ascii="Arial" w:hAnsi="Arial"/>
          <w:bCs/>
          <w:color w:val="000000"/>
          <w:sz w:val="22"/>
          <w:szCs w:val="22"/>
        </w:rPr>
        <w:t>INUMET l</w:t>
      </w:r>
      <w:r>
        <w:rPr>
          <w:rFonts w:ascii="Arial" w:hAnsi="Arial"/>
          <w:b/>
          <w:bCs/>
          <w:color w:val="000000"/>
          <w:sz w:val="22"/>
          <w:szCs w:val="22"/>
        </w:rPr>
        <w:t>abrara acta de la Recepción Provisoria de</w:t>
      </w:r>
      <w:r>
        <w:rPr>
          <w:rFonts w:ascii="Arial" w:hAnsi="Arial"/>
          <w:bCs/>
          <w:color w:val="000000"/>
          <w:sz w:val="22"/>
          <w:szCs w:val="22"/>
        </w:rPr>
        <w:t xml:space="preserve"> las obras como constancia de recibida la obra, entregándose al contratista copia.</w:t>
      </w:r>
    </w:p>
    <w:p>
      <w:pPr>
        <w:spacing w:line="360" w:lineRule="auto"/>
        <w:jc w:val="both"/>
        <w:rPr>
          <w:rFonts w:ascii="Arial" w:hAnsi="Arial"/>
          <w:sz w:val="22"/>
          <w:szCs w:val="22"/>
        </w:rPr>
      </w:pPr>
      <w:r>
        <w:rPr>
          <w:rFonts w:ascii="Arial" w:hAnsi="Arial"/>
          <w:b/>
          <w:bCs/>
          <w:color w:val="000000"/>
          <w:sz w:val="22"/>
          <w:szCs w:val="22"/>
        </w:rPr>
        <w:t xml:space="preserve">14.  INCUMPLIMIENTOS: MORAS Y MULTAS </w:t>
      </w:r>
    </w:p>
    <w:p>
      <w:pPr>
        <w:spacing w:line="360" w:lineRule="auto"/>
        <w:jc w:val="both"/>
        <w:rPr>
          <w:rFonts w:ascii="Arial" w:hAnsi="Arial"/>
          <w:sz w:val="22"/>
          <w:szCs w:val="22"/>
        </w:rPr>
      </w:pPr>
      <w:r>
        <w:rPr>
          <w:rFonts w:ascii="Arial" w:hAnsi="Arial"/>
          <w:bCs/>
          <w:color w:val="000000"/>
          <w:sz w:val="22"/>
          <w:szCs w:val="22"/>
        </w:rPr>
        <w:t xml:space="preserve">El adjudicatario incurrirá en mora de pleno derecho sin necesidad de interpelación judicial o extrajudicial alguna por el sólo vencimiento de los términos o por hacer algo contrario a los estipulado. </w:t>
      </w:r>
    </w:p>
    <w:p>
      <w:pPr>
        <w:spacing w:line="360" w:lineRule="auto"/>
        <w:jc w:val="both"/>
        <w:rPr>
          <w:rFonts w:ascii="Arial" w:hAnsi="Arial"/>
          <w:sz w:val="22"/>
          <w:szCs w:val="22"/>
        </w:rPr>
      </w:pPr>
      <w:r>
        <w:rPr>
          <w:rFonts w:ascii="Arial" w:hAnsi="Arial"/>
          <w:bCs/>
          <w:color w:val="000000"/>
          <w:sz w:val="22"/>
          <w:szCs w:val="22"/>
        </w:rPr>
        <w:t>La mora del adjudicatario facultará al INUMET a dar por nula la adjudicación, sin perjuicio del cobro de las multas y de los daños y perjuicios que el incumplimiento del adjudicatario le causare. Se aplicarán multas por la entrega fuera de plazos que se acuerden entre las partes para los trabajos contratados.</w:t>
      </w:r>
    </w:p>
    <w:p>
      <w:pPr>
        <w:spacing w:line="360" w:lineRule="auto"/>
        <w:jc w:val="both"/>
        <w:rPr>
          <w:rFonts w:ascii="Arial" w:hAnsi="Arial"/>
          <w:sz w:val="22"/>
          <w:szCs w:val="22"/>
        </w:rPr>
      </w:pPr>
      <w:r>
        <w:rPr>
          <w:rFonts w:ascii="Arial" w:hAnsi="Arial"/>
          <w:bCs/>
          <w:color w:val="000000"/>
          <w:sz w:val="22"/>
          <w:szCs w:val="22"/>
        </w:rPr>
        <w:t xml:space="preserve">Los montos correspondientes a las multas, serán descontados de las facturas pendientes de pago. En caso contrario se notificará de las mismas al adjudicatario, otorgándosele plazo para su pago. </w:t>
      </w:r>
    </w:p>
    <w:p>
      <w:pPr>
        <w:spacing w:line="360" w:lineRule="auto"/>
        <w:jc w:val="both"/>
        <w:rPr>
          <w:bCs/>
          <w:color w:val="000000"/>
        </w:rPr>
      </w:pPr>
      <w:r>
        <w:rPr>
          <w:rFonts w:ascii="Arial" w:hAnsi="Arial"/>
          <w:bCs/>
          <w:color w:val="000000"/>
          <w:sz w:val="22"/>
          <w:szCs w:val="22"/>
        </w:rPr>
        <w:t xml:space="preserve">El INUMET se reserva el derecho de entablar todas las acciones administrativas, judiciales y/o extrajudiciales tendientes al cobro de las sanciones previstas en este artículo. Se adjuntan los siguientes Anexos: </w:t>
      </w:r>
    </w:p>
    <w:p>
      <w:pPr>
        <w:spacing w:line="360" w:lineRule="auto"/>
        <w:jc w:val="both"/>
        <w:rPr>
          <w:bCs/>
          <w:color w:val="000000"/>
        </w:rPr>
      </w:pPr>
    </w:p>
    <w:p>
      <w:pPr>
        <w:spacing w:line="360" w:lineRule="auto"/>
        <w:jc w:val="both"/>
        <w:rPr>
          <w:rFonts w:ascii="Arial" w:hAnsi="Arial"/>
          <w:bCs/>
          <w:sz w:val="22"/>
          <w:szCs w:val="22"/>
        </w:rPr>
      </w:pPr>
      <w:r>
        <w:rPr>
          <w:rFonts w:ascii="Arial" w:hAnsi="Arial"/>
          <w:b/>
          <w:bCs/>
          <w:sz w:val="22"/>
          <w:szCs w:val="22"/>
        </w:rPr>
        <w:t xml:space="preserve">Anexo 14.A </w:t>
      </w:r>
      <w:r>
        <w:rPr>
          <w:rFonts w:ascii="Arial" w:hAnsi="Arial"/>
          <w:bCs/>
          <w:sz w:val="22"/>
          <w:szCs w:val="22"/>
        </w:rPr>
        <w:t xml:space="preserve">– Formulario Identificación del Oferente </w:t>
      </w:r>
    </w:p>
    <w:p>
      <w:pPr>
        <w:spacing w:line="360" w:lineRule="auto"/>
        <w:jc w:val="both"/>
        <w:rPr>
          <w:rFonts w:ascii="Arial" w:hAnsi="Arial"/>
          <w:sz w:val="22"/>
          <w:szCs w:val="22"/>
        </w:rPr>
      </w:pPr>
      <w:r>
        <w:rPr>
          <w:rFonts w:ascii="Arial" w:hAnsi="Arial"/>
          <w:b/>
          <w:bCs/>
          <w:sz w:val="22"/>
          <w:szCs w:val="22"/>
        </w:rPr>
        <w:t>Anexo 14.B</w:t>
      </w:r>
      <w:r>
        <w:rPr>
          <w:rFonts w:ascii="Arial" w:hAnsi="Arial"/>
          <w:bCs/>
          <w:sz w:val="22"/>
          <w:szCs w:val="22"/>
        </w:rPr>
        <w:t xml:space="preserve"> – Convocatoria </w:t>
      </w:r>
      <w:r>
        <w:rPr>
          <w:rFonts w:ascii="Arial" w:hAnsi="Arial"/>
          <w:bCs/>
          <w:color w:val="000000"/>
          <w:sz w:val="22"/>
          <w:szCs w:val="22"/>
        </w:rPr>
        <w:t>(Aviso – Cronogramas de fechas)</w:t>
      </w: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sz w:val="22"/>
          <w:szCs w:val="22"/>
        </w:rPr>
      </w:pPr>
      <w:r>
        <w:rPr>
          <w:rFonts w:ascii="Arial" w:hAnsi="Arial"/>
          <w:b/>
          <w:bCs/>
          <w:color w:val="000000"/>
          <w:sz w:val="22"/>
          <w:szCs w:val="22"/>
        </w:rPr>
        <w:t xml:space="preserve">ANEXO 14.A </w:t>
      </w:r>
      <w:r>
        <w:rPr>
          <w:rFonts w:ascii="Arial" w:hAnsi="Arial"/>
          <w:bCs/>
          <w:color w:val="000000"/>
          <w:sz w:val="22"/>
          <w:szCs w:val="22"/>
        </w:rPr>
        <w:t xml:space="preserve">  FORMULARIO DE IDENTIFICACIÓN DEL OFERENTE </w:t>
      </w:r>
    </w:p>
    <w:p>
      <w:pPr>
        <w:spacing w:line="360" w:lineRule="auto"/>
        <w:jc w:val="both"/>
        <w:rPr>
          <w:rFonts w:ascii="Arial" w:hAnsi="Arial"/>
          <w:sz w:val="22"/>
          <w:szCs w:val="22"/>
        </w:rPr>
      </w:pPr>
      <w:r>
        <w:rPr>
          <w:rFonts w:hint="default" w:ascii="Arial" w:hAnsi="Arial"/>
          <w:bCs/>
          <w:color w:val="000000"/>
          <w:sz w:val="22"/>
          <w:szCs w:val="22"/>
          <w:lang w:val="es-ES"/>
        </w:rPr>
        <w:t>Compra Directa por Excepción n</w:t>
      </w:r>
      <w:r>
        <w:rPr>
          <w:rFonts w:ascii="Arial" w:hAnsi="Arial"/>
          <w:bCs/>
          <w:color w:val="000000"/>
          <w:sz w:val="22"/>
          <w:szCs w:val="22"/>
        </w:rPr>
        <w:t>º 0</w:t>
      </w:r>
      <w:r>
        <w:rPr>
          <w:rFonts w:hint="default" w:ascii="Arial" w:hAnsi="Arial"/>
          <w:bCs/>
          <w:color w:val="000000"/>
          <w:sz w:val="22"/>
          <w:szCs w:val="22"/>
          <w:lang w:val="es-ES"/>
        </w:rPr>
        <w:t>4</w:t>
      </w:r>
      <w:r>
        <w:rPr>
          <w:rFonts w:ascii="Arial" w:hAnsi="Arial"/>
          <w:bCs/>
          <w:color w:val="000000" w:themeColor="text1"/>
          <w:sz w:val="22"/>
          <w:szCs w:val="22"/>
          <w14:textFill>
            <w14:solidFill>
              <w14:schemeClr w14:val="tx1"/>
            </w14:solidFill>
          </w14:textFill>
        </w:rPr>
        <w:t xml:space="preserve">/2023 </w:t>
      </w:r>
    </w:p>
    <w:p>
      <w:pPr>
        <w:spacing w:line="360" w:lineRule="auto"/>
        <w:jc w:val="both"/>
        <w:rPr>
          <w:rFonts w:ascii="Arial" w:hAnsi="Arial"/>
          <w:bCs/>
          <w:color w:val="000000"/>
          <w:sz w:val="22"/>
          <w:szCs w:val="22"/>
        </w:rPr>
      </w:pPr>
      <w:r>
        <w:rPr>
          <w:rFonts w:ascii="Arial" w:hAnsi="Arial"/>
          <w:bCs/>
          <w:color w:val="000000"/>
          <w:sz w:val="22"/>
          <w:szCs w:val="22"/>
        </w:rPr>
        <mc:AlternateContent>
          <mc:Choice Requires="wps">
            <w:drawing>
              <wp:anchor distT="6350" distB="6350" distL="6350" distR="6350" simplePos="0" relativeHeight="251659264" behindDoc="0" locked="0" layoutInCell="0" allowOverlap="1">
                <wp:simplePos x="0" y="0"/>
                <wp:positionH relativeFrom="column">
                  <wp:posOffset>-24130</wp:posOffset>
                </wp:positionH>
                <wp:positionV relativeFrom="paragraph">
                  <wp:posOffset>-70485</wp:posOffset>
                </wp:positionV>
                <wp:extent cx="5417185" cy="293370"/>
                <wp:effectExtent l="6350" t="6350" r="6350" b="6350"/>
                <wp:wrapNone/>
                <wp:docPr id="2" name="Rectángulo 2"/>
                <wp:cNvGraphicFramePr/>
                <a:graphic xmlns:a="http://schemas.openxmlformats.org/drawingml/2006/main">
                  <a:graphicData uri="http://schemas.microsoft.com/office/word/2010/wordprocessingShape">
                    <wps:wsp>
                      <wps:cNvSpPr/>
                      <wps:spPr>
                        <a:xfrm>
                          <a:off x="0" y="0"/>
                          <a:ext cx="5417280" cy="293400"/>
                        </a:xfrm>
                        <a:prstGeom prst="rect">
                          <a:avLst/>
                        </a:prstGeom>
                        <a:solidFill>
                          <a:srgbClr val="FFFFFF"/>
                        </a:solidFill>
                        <a:ln>
                          <a:solidFill>
                            <a:srgbClr val="000000"/>
                          </a:solidFill>
                        </a:ln>
                      </wps:spPr>
                      <wps:style>
                        <a:lnRef idx="2">
                          <a:schemeClr val="accent6"/>
                        </a:lnRef>
                        <a:fillRef idx="1">
                          <a:schemeClr val="lt1"/>
                        </a:fillRef>
                        <a:effectRef idx="0">
                          <a:schemeClr val="accent6"/>
                        </a:effectRef>
                        <a:fontRef idx="minor"/>
                      </wps:style>
                      <wps:txbx>
                        <w:txbxContent>
                          <w:p>
                            <w:pPr>
                              <w:jc w:val="center"/>
                            </w:pPr>
                          </w:p>
                        </w:txbxContent>
                      </wps:txbx>
                      <wps:bodyPr/>
                    </wps:wsp>
                  </a:graphicData>
                </a:graphic>
              </wp:anchor>
            </w:drawing>
          </mc:Choice>
          <mc:Fallback>
            <w:pict>
              <v:rect id="_x0000_s1026" o:spid="_x0000_s1026" o:spt="1" style="position:absolute;left:0pt;margin-left:-1.9pt;margin-top:-5.55pt;height:23.1pt;width:426.55pt;z-index:251659264;mso-width-relative:page;mso-height-relative:page;" fillcolor="#FFFFFF" filled="t" stroked="t" coordsize="21600,21600" o:allowincell="f" o:gfxdata="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Auy+oDc&#10;AAAACQEAAA8AAAAAAAAAAQAgAAAAIgAAAGRycy9kb3ducmV2LnhtbFBLAQIUABQAAAAIAIdO4kCg&#10;b1KI4wEAAOcDAAAOAAAAAAAAAAEAIAAAACsBAABkcnMvZTJvRG9jLnhtbFBLBQYAAAAABgAGAFkB&#10;AACABQAAAAA=&#10;">
                <v:fill on="t" focussize="0,0"/>
                <v:stroke weight="1pt" color="#000000 [3209]" miterlimit="8" joinstyle="miter"/>
                <v:imagedata o:title=""/>
                <o:lock v:ext="edit" aspectratio="f"/>
                <v:textbox>
                  <w:txbxContent>
                    <w:p>
                      <w:pPr>
                        <w:jc w:val="center"/>
                      </w:pPr>
                    </w:p>
                  </w:txbxContent>
                </v:textbox>
              </v:rect>
            </w:pict>
          </mc:Fallback>
        </mc:AlternateContent>
      </w:r>
    </w:p>
    <w:p>
      <w:pPr>
        <w:spacing w:line="360" w:lineRule="auto"/>
        <w:jc w:val="both"/>
        <w:rPr>
          <w:rFonts w:ascii="Arial" w:hAnsi="Arial"/>
          <w:sz w:val="22"/>
          <w:szCs w:val="22"/>
        </w:rPr>
      </w:pPr>
      <w:r>
        <mc:AlternateContent>
          <mc:Choice Requires="wps">
            <w:drawing>
              <wp:anchor distT="6350" distB="6350" distL="6350" distR="6350" simplePos="0" relativeHeight="251659264" behindDoc="0" locked="0" layoutInCell="0" allowOverlap="1">
                <wp:simplePos x="0" y="0"/>
                <wp:positionH relativeFrom="margin">
                  <wp:align>right</wp:align>
                </wp:positionH>
                <wp:positionV relativeFrom="paragraph">
                  <wp:posOffset>285115</wp:posOffset>
                </wp:positionV>
                <wp:extent cx="5391150" cy="254000"/>
                <wp:effectExtent l="6350" t="6350" r="6350" b="6350"/>
                <wp:wrapNone/>
                <wp:docPr id="3" name="Rectángulo 3"/>
                <wp:cNvGraphicFramePr/>
                <a:graphic xmlns:a="http://schemas.openxmlformats.org/drawingml/2006/main">
                  <a:graphicData uri="http://schemas.microsoft.com/office/word/2010/wordprocessingShape">
                    <wps:wsp>
                      <wps:cNvSpPr/>
                      <wps:spPr>
                        <a:xfrm>
                          <a:off x="0" y="0"/>
                          <a:ext cx="5391000" cy="254160"/>
                        </a:xfrm>
                        <a:prstGeom prst="rect">
                          <a:avLst/>
                        </a:prstGeom>
                        <a:solidFill>
                          <a:srgbClr val="FFFFFF"/>
                        </a:solidFill>
                        <a:ln w="12700">
                          <a:solidFill>
                            <a:srgbClr val="000000"/>
                          </a:solidFill>
                          <a:miter/>
                        </a:ln>
                      </wps:spPr>
                      <wps:style>
                        <a:lnRef idx="0">
                          <a:srgbClr val="FFFFFF"/>
                        </a:lnRef>
                        <a:fillRef idx="0">
                          <a:srgbClr val="FFFFFF"/>
                        </a:fillRef>
                        <a:effectRef idx="0">
                          <a:srgbClr val="FFFFFF"/>
                        </a:effectRef>
                        <a:fontRef idx="minor"/>
                      </wps:style>
                      <wps:txbx>
                        <w:txbxContent>
                          <w:p>
                            <w:pPr>
                              <w:jc w:val="center"/>
                            </w:pPr>
                          </w:p>
                        </w:txbxContent>
                      </wps:txbx>
                      <wps:bodyPr/>
                    </wps:wsp>
                  </a:graphicData>
                </a:graphic>
              </wp:anchor>
            </w:drawing>
          </mc:Choice>
          <mc:Fallback>
            <w:pict>
              <v:rect id="_x0000_s1026" o:spid="_x0000_s1026" o:spt="1" style="position:absolute;left:0pt;margin-top:22.45pt;height:20pt;width:424.5pt;mso-position-horizontal:right;mso-position-horizontal-relative:margin;z-index:251659264;mso-width-relative:page;mso-height-relative:page;" fillcolor="#FFFFFF" filled="t" stroked="t" coordsize="21600,21600" o:allowincell="f" o:gfxdata="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5Nyi2AAAAAYBAAAPAAAAAAAAAAEAIAAAACIAAABkcnMvZG93bnJldi54bWxQ&#10;SwECFAAUAAAACACHTuJAbMAlxL4BAACgAwAADgAAAAAAAAABACAAAAAnAQAAZHJzL2Uyb0RvYy54&#10;bWxQSwUGAAAAAAYABgBZAQAAVwUAAAAA&#10;">
                <v:fill on="t" focussize="0,0"/>
                <v:stroke weight="1pt" color="#000000" joinstyle="miter"/>
                <v:imagedata o:title=""/>
                <o:lock v:ext="edit" aspectratio="f"/>
                <v:textbox>
                  <w:txbxContent>
                    <w:p>
                      <w:pPr>
                        <w:jc w:val="center"/>
                      </w:pPr>
                    </w:p>
                  </w:txbxContent>
                </v:textbox>
              </v:rect>
            </w:pict>
          </mc:Fallback>
        </mc:AlternateContent>
      </w:r>
      <w:r>
        <w:rPr>
          <w:rFonts w:ascii="Arial" w:hAnsi="Arial"/>
          <w:bCs/>
          <w:color w:val="000000"/>
          <w:sz w:val="22"/>
          <w:szCs w:val="22"/>
        </w:rPr>
        <w:t xml:space="preserve">Razón Social de la Empresa </w:t>
      </w:r>
    </w:p>
    <w:p>
      <w:pPr>
        <w:spacing w:line="360" w:lineRule="auto"/>
        <w:jc w:val="both"/>
        <w:rPr>
          <w:rFonts w:ascii="Arial" w:hAnsi="Arial"/>
          <w:bCs/>
          <w:color w:val="000000"/>
          <w:sz w:val="22"/>
          <w:szCs w:val="22"/>
        </w:rPr>
      </w:pPr>
    </w:p>
    <w:p>
      <w:pPr>
        <w:spacing w:line="360" w:lineRule="auto"/>
        <w:jc w:val="both"/>
        <w:rPr>
          <w:rFonts w:ascii="Arial" w:hAnsi="Arial"/>
          <w:sz w:val="22"/>
          <w:szCs w:val="22"/>
        </w:rPr>
      </w:pPr>
      <w:r>
        <mc:AlternateContent>
          <mc:Choice Requires="wps">
            <w:drawing>
              <wp:anchor distT="6350" distB="6350" distL="6350" distR="6350" simplePos="0" relativeHeight="251659264" behindDoc="0" locked="0" layoutInCell="0" allowOverlap="1">
                <wp:simplePos x="0" y="0"/>
                <wp:positionH relativeFrom="margin">
                  <wp:align>right</wp:align>
                </wp:positionH>
                <wp:positionV relativeFrom="paragraph">
                  <wp:posOffset>285115</wp:posOffset>
                </wp:positionV>
                <wp:extent cx="5384800" cy="222250"/>
                <wp:effectExtent l="6350" t="6350" r="6350" b="6350"/>
                <wp:wrapNone/>
                <wp:docPr id="4" name="Rectángulo 4"/>
                <wp:cNvGraphicFramePr/>
                <a:graphic xmlns:a="http://schemas.openxmlformats.org/drawingml/2006/main">
                  <a:graphicData uri="http://schemas.microsoft.com/office/word/2010/wordprocessingShape">
                    <wps:wsp>
                      <wps:cNvSpPr/>
                      <wps:spPr>
                        <a:xfrm>
                          <a:off x="0" y="0"/>
                          <a:ext cx="5384880" cy="222120"/>
                        </a:xfrm>
                        <a:prstGeom prst="rect">
                          <a:avLst/>
                        </a:prstGeom>
                        <a:solidFill>
                          <a:srgbClr val="FFFFFF"/>
                        </a:solidFill>
                        <a:ln w="12700">
                          <a:solidFill>
                            <a:srgbClr val="000000"/>
                          </a:solidFill>
                          <a:miter/>
                        </a:ln>
                      </wps:spPr>
                      <wps:style>
                        <a:lnRef idx="0">
                          <a:srgbClr val="FFFFFF"/>
                        </a:lnRef>
                        <a:fillRef idx="0">
                          <a:srgbClr val="FFFFFF"/>
                        </a:fillRef>
                        <a:effectRef idx="0">
                          <a:srgbClr val="FFFFFF"/>
                        </a:effectRef>
                        <a:fontRef idx="minor"/>
                      </wps:style>
                      <wps:txbx>
                        <w:txbxContent>
                          <w:p>
                            <w:pPr>
                              <w:jc w:val="center"/>
                            </w:pPr>
                          </w:p>
                        </w:txbxContent>
                      </wps:txbx>
                      <wps:bodyPr/>
                    </wps:wsp>
                  </a:graphicData>
                </a:graphic>
              </wp:anchor>
            </w:drawing>
          </mc:Choice>
          <mc:Fallback>
            <w:pict>
              <v:rect id="_x0000_s1026" o:spid="_x0000_s1026" o:spt="1" style="position:absolute;left:0pt;margin-top:22.45pt;height:17.5pt;width:424pt;mso-position-horizontal:right;mso-position-horizontal-relative:margin;z-index:251659264;mso-width-relative:page;mso-height-relative:page;" fillcolor="#FFFFFF" filled="t" stroked="t" coordsize="21600,21600" o:allowincell="f" o:gfxdata="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FCQLVnZAAAABgEAAA8AAAAAAAAAAQAgAAAAIgAAAGRycy9kb3ducmV2Lnht&#10;bFBLAQIUABQAAAAIAIdO4kD5pqPLvwEAAKADAAAOAAAAAAAAAAEAIAAAACgBAABkcnMvZTJvRG9j&#10;LnhtbFBLBQYAAAAABgAGAFkBAABZBQAAAAA=&#10;">
                <v:fill on="t" focussize="0,0"/>
                <v:stroke weight="1pt" color="#000000" joinstyle="miter"/>
                <v:imagedata o:title=""/>
                <o:lock v:ext="edit" aspectratio="f"/>
                <v:textbox>
                  <w:txbxContent>
                    <w:p>
                      <w:pPr>
                        <w:jc w:val="center"/>
                      </w:pPr>
                    </w:p>
                  </w:txbxContent>
                </v:textbox>
              </v:rect>
            </w:pict>
          </mc:Fallback>
        </mc:AlternateContent>
      </w:r>
      <w:r>
        <w:rPr>
          <w:rFonts w:ascii="Arial" w:hAnsi="Arial"/>
          <w:bCs/>
          <w:color w:val="000000"/>
          <w:sz w:val="22"/>
          <w:szCs w:val="22"/>
        </w:rPr>
        <w:t xml:space="preserve">Nombre Comercial de la Empresa </w:t>
      </w:r>
    </w:p>
    <w:p>
      <w:pPr>
        <w:spacing w:line="360" w:lineRule="auto"/>
        <w:jc w:val="both"/>
        <w:rPr>
          <w:rFonts w:ascii="Arial" w:hAnsi="Arial"/>
          <w:bCs/>
          <w:color w:val="000000"/>
          <w:sz w:val="22"/>
          <w:szCs w:val="22"/>
        </w:rPr>
      </w:pPr>
    </w:p>
    <w:p>
      <w:pPr>
        <w:spacing w:line="360" w:lineRule="auto"/>
        <w:jc w:val="both"/>
        <w:rPr>
          <w:rFonts w:ascii="Arial" w:hAnsi="Arial"/>
          <w:sz w:val="22"/>
          <w:szCs w:val="22"/>
        </w:rPr>
      </w:pPr>
      <w:r>
        <mc:AlternateContent>
          <mc:Choice Requires="wps">
            <w:drawing>
              <wp:anchor distT="6350" distB="6350" distL="6350" distR="6350" simplePos="0" relativeHeight="251659264" behindDoc="0" locked="0" layoutInCell="0" allowOverlap="1">
                <wp:simplePos x="0" y="0"/>
                <wp:positionH relativeFrom="margin">
                  <wp:align>right</wp:align>
                </wp:positionH>
                <wp:positionV relativeFrom="paragraph">
                  <wp:posOffset>285750</wp:posOffset>
                </wp:positionV>
                <wp:extent cx="5384800" cy="241300"/>
                <wp:effectExtent l="6350" t="6350" r="6350" b="6350"/>
                <wp:wrapNone/>
                <wp:docPr id="5" name="Rectángulo 5"/>
                <wp:cNvGraphicFramePr/>
                <a:graphic xmlns:a="http://schemas.openxmlformats.org/drawingml/2006/main">
                  <a:graphicData uri="http://schemas.microsoft.com/office/word/2010/wordprocessingShape">
                    <wps:wsp>
                      <wps:cNvSpPr/>
                      <wps:spPr>
                        <a:xfrm>
                          <a:off x="0" y="0"/>
                          <a:ext cx="5384880" cy="241200"/>
                        </a:xfrm>
                        <a:prstGeom prst="rect">
                          <a:avLst/>
                        </a:prstGeom>
                        <a:solidFill>
                          <a:srgbClr val="FFFFFF"/>
                        </a:solidFill>
                        <a:ln w="12700">
                          <a:solidFill>
                            <a:srgbClr val="000000"/>
                          </a:solidFill>
                          <a:miter/>
                        </a:ln>
                      </wps:spPr>
                      <wps:style>
                        <a:lnRef idx="0">
                          <a:srgbClr val="FFFFFF"/>
                        </a:lnRef>
                        <a:fillRef idx="0">
                          <a:srgbClr val="FFFFFF"/>
                        </a:fillRef>
                        <a:effectRef idx="0">
                          <a:srgbClr val="FFFFFF"/>
                        </a:effectRef>
                        <a:fontRef idx="minor"/>
                      </wps:style>
                      <wps:txbx>
                        <w:txbxContent>
                          <w:p>
                            <w:pPr>
                              <w:jc w:val="center"/>
                            </w:pPr>
                          </w:p>
                        </w:txbxContent>
                      </wps:txbx>
                      <wps:bodyPr/>
                    </wps:wsp>
                  </a:graphicData>
                </a:graphic>
              </wp:anchor>
            </w:drawing>
          </mc:Choice>
          <mc:Fallback>
            <w:pict>
              <v:rect id="_x0000_s1026" o:spid="_x0000_s1026" o:spt="1" style="position:absolute;left:0pt;margin-top:22.5pt;height:19pt;width:424pt;mso-position-horizontal:right;mso-position-horizontal-relative:margin;z-index:251659264;mso-width-relative:page;mso-height-relative:page;" fillcolor="#FFFFFF" filled="t" stroked="t" coordsize="21600,21600" o:allowincell="f" o:gfxdata="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OVBO+dgAAAAGAQAADwAAAAAAAAABACAAAAAiAAAAZHJzL2Rvd25yZXYueG1sUEsBAhQA&#10;FAAAAAgAh07iQMJrmzu5AQAAoAMAAA4AAAAAAAAAAQAgAAAAJwEAAGRycy9lMm9Eb2MueG1sUEsF&#10;BgAAAAAGAAYAWQEAAFIFAAAAAA==&#10;">
                <v:fill on="t" focussize="0,0"/>
                <v:stroke weight="1pt" color="#000000" joinstyle="miter"/>
                <v:imagedata o:title=""/>
                <o:lock v:ext="edit" aspectratio="f"/>
                <v:textbox>
                  <w:txbxContent>
                    <w:p>
                      <w:pPr>
                        <w:jc w:val="center"/>
                      </w:pPr>
                    </w:p>
                  </w:txbxContent>
                </v:textbox>
              </v:rect>
            </w:pict>
          </mc:Fallback>
        </mc:AlternateContent>
      </w:r>
      <w:r>
        <w:rPr>
          <w:rFonts w:ascii="Arial" w:hAnsi="Arial"/>
          <w:bCs/>
          <w:color w:val="000000"/>
          <w:sz w:val="22"/>
          <w:szCs w:val="22"/>
        </w:rPr>
        <w:t xml:space="preserve">R.U.T. (sólo para empresas que deben inscribirse) </w:t>
      </w:r>
    </w:p>
    <w:p>
      <w:pPr>
        <w:spacing w:line="360" w:lineRule="auto"/>
        <w:jc w:val="both"/>
        <w:rPr>
          <w:rFonts w:ascii="Arial" w:hAnsi="Arial"/>
          <w:bCs/>
          <w:color w:val="000000"/>
          <w:sz w:val="22"/>
          <w:szCs w:val="22"/>
        </w:rPr>
      </w:pPr>
    </w:p>
    <w:p>
      <w:pPr>
        <w:spacing w:line="360" w:lineRule="auto"/>
        <w:jc w:val="both"/>
        <w:rPr>
          <w:rFonts w:hint="default" w:ascii="Arial" w:hAnsi="Arial"/>
          <w:sz w:val="22"/>
          <w:szCs w:val="22"/>
          <w:lang w:val="es-ES"/>
        </w:rPr>
      </w:pPr>
      <w:r>
        <w:rPr>
          <w:rFonts w:ascii="Arial" w:hAnsi="Arial"/>
          <w:bCs/>
          <w:color w:val="000000"/>
          <w:sz w:val="22"/>
          <w:szCs w:val="22"/>
        </w:rPr>
        <w:t>DOMICILIO A LOS EFECTOS DE</w:t>
      </w:r>
      <w:r>
        <w:rPr>
          <w:rFonts w:hint="default" w:ascii="Arial" w:hAnsi="Arial"/>
          <w:bCs/>
          <w:color w:val="000000"/>
          <w:sz w:val="22"/>
          <w:szCs w:val="22"/>
          <w:lang w:val="es-ES"/>
        </w:rPr>
        <w:t>L PRESENTE PROCEDIMIENTO DE COMPRA:</w:t>
      </w:r>
    </w:p>
    <w:p>
      <w:pPr>
        <w:spacing w:line="360" w:lineRule="auto"/>
        <w:jc w:val="both"/>
        <w:rPr>
          <w:rFonts w:hint="default" w:ascii="Arial" w:hAnsi="Arial"/>
          <w:bCs/>
          <w:color w:val="000000"/>
          <w:sz w:val="22"/>
          <w:szCs w:val="22"/>
          <w:lang w:val="es-ES"/>
        </w:rPr>
      </w:pPr>
      <w:r>
        <w:rPr>
          <w:rFonts w:ascii="Arial" w:hAnsi="Arial"/>
          <w:bCs/>
          <w:color w:val="000000"/>
          <w:sz w:val="22"/>
          <w:szCs w:val="22"/>
        </w:rPr>
        <w:t>Calle:………………………………………………………Nº....………………….</w:t>
      </w:r>
      <w:r>
        <w:rPr>
          <w:rFonts w:hint="default" w:ascii="Arial" w:hAnsi="Arial"/>
          <w:bCs/>
          <w:color w:val="000000"/>
          <w:sz w:val="22"/>
          <w:szCs w:val="22"/>
          <w:lang w:val="es-ES"/>
        </w:rPr>
        <w:t>.....................</w:t>
      </w:r>
    </w:p>
    <w:p>
      <w:pPr>
        <w:spacing w:line="360" w:lineRule="auto"/>
        <w:jc w:val="both"/>
        <w:rPr>
          <w:rFonts w:hint="default" w:ascii="Arial" w:hAnsi="Arial"/>
          <w:sz w:val="22"/>
          <w:szCs w:val="22"/>
          <w:lang w:val="es-ES"/>
        </w:rPr>
      </w:pPr>
      <w:r>
        <w:rPr>
          <w:rFonts w:ascii="Arial" w:hAnsi="Arial"/>
          <w:bCs/>
          <w:color w:val="000000"/>
          <w:sz w:val="22"/>
          <w:szCs w:val="22"/>
        </w:rPr>
        <w:t>Localidad:………………………………………………………………………….</w:t>
      </w:r>
      <w:r>
        <w:rPr>
          <w:rFonts w:hint="default" w:ascii="Arial" w:hAnsi="Arial"/>
          <w:bCs/>
          <w:color w:val="000000"/>
          <w:sz w:val="22"/>
          <w:szCs w:val="22"/>
          <w:lang w:val="es-ES"/>
        </w:rPr>
        <w:t>.....................</w:t>
      </w:r>
    </w:p>
    <w:p>
      <w:pPr>
        <w:spacing w:line="360" w:lineRule="auto"/>
        <w:jc w:val="both"/>
        <w:rPr>
          <w:rFonts w:hint="default" w:ascii="Arial" w:hAnsi="Arial"/>
          <w:sz w:val="22"/>
          <w:szCs w:val="22"/>
          <w:lang w:val="es-ES"/>
        </w:rPr>
      </w:pPr>
      <w:r>
        <w:rPr>
          <w:rFonts w:ascii="Arial" w:hAnsi="Arial"/>
          <w:bCs/>
          <w:color w:val="000000"/>
          <w:sz w:val="22"/>
          <w:szCs w:val="22"/>
        </w:rPr>
        <w:t>Código Postal:……………………………………………………………………</w:t>
      </w:r>
      <w:r>
        <w:rPr>
          <w:rFonts w:hint="default" w:ascii="Arial" w:hAnsi="Arial"/>
          <w:bCs/>
          <w:color w:val="000000"/>
          <w:sz w:val="22"/>
          <w:szCs w:val="22"/>
          <w:lang w:val="es-ES"/>
        </w:rPr>
        <w:t>.......................</w:t>
      </w:r>
    </w:p>
    <w:p>
      <w:pPr>
        <w:spacing w:line="360" w:lineRule="auto"/>
        <w:jc w:val="both"/>
        <w:rPr>
          <w:rFonts w:hint="default" w:ascii="Arial" w:hAnsi="Arial"/>
          <w:sz w:val="22"/>
          <w:szCs w:val="22"/>
          <w:lang w:val="es-ES"/>
        </w:rPr>
      </w:pPr>
      <w:r>
        <w:rPr>
          <w:rFonts w:ascii="Arial" w:hAnsi="Arial"/>
          <w:bCs/>
          <w:color w:val="000000"/>
          <w:sz w:val="22"/>
          <w:szCs w:val="22"/>
        </w:rPr>
        <w:t>País:.………………………………………………………………………………….</w:t>
      </w:r>
      <w:r>
        <w:rPr>
          <w:rFonts w:hint="default" w:ascii="Arial" w:hAnsi="Arial"/>
          <w:bCs/>
          <w:color w:val="000000"/>
          <w:sz w:val="22"/>
          <w:szCs w:val="22"/>
          <w:lang w:val="es-ES"/>
        </w:rPr>
        <w:t>..................</w:t>
      </w:r>
    </w:p>
    <w:p>
      <w:pPr>
        <w:spacing w:line="360" w:lineRule="auto"/>
        <w:jc w:val="both"/>
        <w:rPr>
          <w:rFonts w:hint="default" w:ascii="Arial" w:hAnsi="Arial"/>
          <w:sz w:val="22"/>
          <w:szCs w:val="22"/>
          <w:lang w:val="es-ES"/>
        </w:rPr>
      </w:pPr>
      <w:r>
        <w:rPr>
          <w:rFonts w:ascii="Arial" w:hAnsi="Arial"/>
          <w:bCs/>
          <w:color w:val="000000"/>
          <w:sz w:val="22"/>
          <w:szCs w:val="22"/>
        </w:rPr>
        <w:t>Teléfono:………………………………………………………………………………</w:t>
      </w:r>
      <w:r>
        <w:rPr>
          <w:rFonts w:hint="default" w:ascii="Arial" w:hAnsi="Arial"/>
          <w:bCs/>
          <w:color w:val="000000"/>
          <w:sz w:val="22"/>
          <w:szCs w:val="22"/>
          <w:lang w:val="es-ES"/>
        </w:rPr>
        <w:t>.................</w:t>
      </w:r>
    </w:p>
    <w:p>
      <w:pPr>
        <w:spacing w:line="360" w:lineRule="auto"/>
        <w:jc w:val="both"/>
        <w:rPr>
          <w:rFonts w:hint="default"/>
          <w:bCs/>
          <w:color w:val="000000"/>
          <w:lang w:val="es-ES"/>
        </w:rPr>
      </w:pPr>
      <w:r>
        <w:rPr>
          <w:rFonts w:ascii="Arial" w:hAnsi="Arial"/>
          <w:bCs/>
          <w:color w:val="000000"/>
          <w:sz w:val="22"/>
          <w:szCs w:val="22"/>
        </w:rPr>
        <w:t>E- mail:………………………………………………………………………………</w:t>
      </w:r>
      <w:r>
        <w:rPr>
          <w:rFonts w:hint="default" w:ascii="Arial" w:hAnsi="Arial"/>
          <w:bCs/>
          <w:color w:val="000000"/>
          <w:sz w:val="22"/>
          <w:szCs w:val="22"/>
          <w:lang w:val="es-ES"/>
        </w:rPr>
        <w:t>...................</w:t>
      </w:r>
    </w:p>
    <w:p>
      <w:pPr>
        <w:spacing w:line="360" w:lineRule="auto"/>
        <w:jc w:val="both"/>
        <w:rPr>
          <w:rFonts w:hint="default" w:ascii="Arial" w:hAnsi="Arial"/>
          <w:sz w:val="22"/>
          <w:szCs w:val="22"/>
          <w:lang w:val="es-ES"/>
        </w:rPr>
      </w:pPr>
      <w:r>
        <w:rPr>
          <w:rFonts w:ascii="Arial" w:hAnsi="Arial"/>
          <w:bCs/>
          <w:color w:val="000000"/>
          <w:sz w:val="22"/>
          <w:szCs w:val="22"/>
        </w:rPr>
        <w:t>Declaro estar en condiciones legales de contratar con el Estado</w:t>
      </w:r>
      <w:r>
        <w:rPr>
          <w:rFonts w:hint="default" w:ascii="Arial" w:hAnsi="Arial"/>
          <w:bCs/>
          <w:color w:val="000000"/>
          <w:sz w:val="22"/>
          <w:szCs w:val="22"/>
          <w:lang w:val="es-ES"/>
        </w:rPr>
        <w:t>:</w:t>
      </w:r>
    </w:p>
    <w:p>
      <w:pPr>
        <w:spacing w:line="360" w:lineRule="auto"/>
        <w:jc w:val="both"/>
        <w:rPr>
          <w:rFonts w:hint="default" w:ascii="Arial" w:hAnsi="Arial"/>
          <w:sz w:val="22"/>
          <w:szCs w:val="22"/>
          <w:lang w:val="es-ES"/>
        </w:rPr>
      </w:pPr>
      <w:r>
        <w:rPr>
          <w:rFonts w:ascii="Arial" w:hAnsi="Arial"/>
          <w:bCs/>
          <w:color w:val="000000"/>
          <w:sz w:val="22"/>
          <w:szCs w:val="22"/>
        </w:rPr>
        <w:t>FIRMA/S:……………………………………………………………………………</w:t>
      </w:r>
      <w:r>
        <w:rPr>
          <w:rFonts w:hint="default" w:ascii="Arial" w:hAnsi="Arial"/>
          <w:bCs/>
          <w:color w:val="000000"/>
          <w:sz w:val="22"/>
          <w:szCs w:val="22"/>
          <w:lang w:val="es-ES"/>
        </w:rPr>
        <w:t>...................</w:t>
      </w:r>
    </w:p>
    <w:p>
      <w:pPr>
        <w:spacing w:line="360" w:lineRule="auto"/>
        <w:jc w:val="both"/>
        <w:rPr>
          <w:rFonts w:hint="default" w:ascii="Arial" w:hAnsi="Arial"/>
          <w:sz w:val="22"/>
          <w:szCs w:val="22"/>
          <w:lang w:val="es-ES"/>
        </w:rPr>
      </w:pPr>
      <w:r>
        <w:rPr>
          <w:rFonts w:ascii="Arial" w:hAnsi="Arial"/>
          <w:bCs/>
          <w:color w:val="000000"/>
          <w:sz w:val="22"/>
          <w:szCs w:val="22"/>
        </w:rPr>
        <w:t>Aclaración de firmas:…………………………………………………………………</w:t>
      </w:r>
      <w:r>
        <w:rPr>
          <w:rFonts w:hint="default" w:ascii="Arial" w:hAnsi="Arial"/>
          <w:bCs/>
          <w:color w:val="000000"/>
          <w:sz w:val="22"/>
          <w:szCs w:val="22"/>
          <w:lang w:val="es-ES"/>
        </w:rPr>
        <w:t>................</w:t>
      </w: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sz w:val="22"/>
          <w:szCs w:val="22"/>
        </w:rPr>
      </w:pPr>
      <w:r>
        <w:rPr>
          <w:rFonts w:ascii="Arial" w:hAnsi="Arial"/>
          <w:b/>
          <w:bCs/>
          <w:color w:val="000000"/>
          <w:sz w:val="22"/>
          <w:szCs w:val="22"/>
        </w:rPr>
        <w:t>ANEXO 14.B</w:t>
      </w:r>
    </w:p>
    <w:p>
      <w:pPr>
        <w:spacing w:line="360" w:lineRule="auto"/>
        <w:jc w:val="both"/>
        <w:rPr>
          <w:rFonts w:hint="default" w:ascii="Arial" w:hAnsi="Arial"/>
          <w:sz w:val="22"/>
          <w:szCs w:val="22"/>
          <w:lang w:val="es-ES"/>
        </w:rPr>
      </w:pPr>
      <w:r>
        <w:rPr>
          <w:rFonts w:ascii="Arial" w:hAnsi="Arial"/>
          <w:b/>
          <w:bCs/>
          <w:color w:val="000000"/>
          <w:sz w:val="22"/>
          <w:szCs w:val="22"/>
        </w:rPr>
        <w:t>AVISO – CRONOGRAMA DE FECHAS</w:t>
      </w:r>
      <w:r>
        <w:rPr>
          <w:rFonts w:hint="default" w:ascii="Arial" w:hAnsi="Arial"/>
          <w:b/>
          <w:bCs/>
          <w:color w:val="000000"/>
          <w:sz w:val="22"/>
          <w:szCs w:val="22"/>
          <w:lang w:val="es-ES"/>
        </w:rPr>
        <w:t>:</w:t>
      </w:r>
    </w:p>
    <w:p>
      <w:pPr>
        <w:spacing w:line="360" w:lineRule="auto"/>
        <w:jc w:val="both"/>
        <w:rPr>
          <w:rFonts w:ascii="Arial" w:hAnsi="Arial"/>
          <w:b/>
          <w:bCs/>
          <w:color w:val="000000"/>
          <w:sz w:val="22"/>
          <w:szCs w:val="22"/>
        </w:rPr>
      </w:pPr>
    </w:p>
    <w:p>
      <w:pPr>
        <w:spacing w:line="360" w:lineRule="auto"/>
        <w:jc w:val="both"/>
        <w:rPr>
          <w:rFonts w:ascii="Arial" w:hAnsi="Arial"/>
          <w:b/>
          <w:bCs/>
          <w:caps/>
          <w:color w:val="000000"/>
          <w:sz w:val="22"/>
          <w:szCs w:val="22"/>
        </w:rPr>
      </w:pPr>
      <w:r>
        <w:rPr>
          <w:rFonts w:ascii="Arial" w:hAnsi="Arial"/>
          <w:b/>
          <w:bCs/>
          <w:caps/>
          <w:color w:val="000000"/>
          <w:sz w:val="22"/>
          <w:szCs w:val="22"/>
        </w:rPr>
        <mc:AlternateContent>
          <mc:Choice Requires="wps">
            <w:drawing>
              <wp:anchor distT="34290" distB="83820" distL="103505" distR="146050" simplePos="0" relativeHeight="251659264" behindDoc="0" locked="0" layoutInCell="0" allowOverlap="1">
                <wp:simplePos x="0" y="0"/>
                <wp:positionH relativeFrom="column">
                  <wp:posOffset>13970</wp:posOffset>
                </wp:positionH>
                <wp:positionV relativeFrom="paragraph">
                  <wp:posOffset>-117475</wp:posOffset>
                </wp:positionV>
                <wp:extent cx="5619750" cy="1680210"/>
                <wp:effectExtent l="4445" t="4445" r="14605" b="10795"/>
                <wp:wrapSquare wrapText="bothSides"/>
                <wp:docPr id="6" name="Cuadro de texto 2"/>
                <wp:cNvGraphicFramePr/>
                <a:graphic xmlns:a="http://schemas.openxmlformats.org/drawingml/2006/main">
                  <a:graphicData uri="http://schemas.microsoft.com/office/word/2010/wordprocessingShape">
                    <wps:wsp>
                      <wps:cNvSpPr/>
                      <wps:spPr>
                        <a:xfrm>
                          <a:off x="0" y="0"/>
                          <a:ext cx="5619600" cy="1680210"/>
                        </a:xfrm>
                        <a:prstGeom prst="rect">
                          <a:avLst/>
                        </a:prstGeom>
                        <a:solidFill>
                          <a:srgbClr val="FFFFFF"/>
                        </a:solidFill>
                        <a:ln w="9525">
                          <a:solidFill>
                            <a:srgbClr val="000000"/>
                          </a:solidFill>
                          <a:miter/>
                        </a:ln>
                      </wps:spPr>
                      <wps:style>
                        <a:lnRef idx="0">
                          <a:srgbClr val="FFFFFF"/>
                        </a:lnRef>
                        <a:fillRef idx="0">
                          <a:srgbClr val="FFFFFF"/>
                        </a:fillRef>
                        <a:effectRef idx="0">
                          <a:srgbClr val="FFFFFF"/>
                        </a:effectRef>
                        <a:fontRef idx="minor"/>
                      </wps:style>
                      <wps:txbx>
                        <w:txbxContent>
                          <w:p>
                            <w:pPr>
                              <w:pStyle w:val="59"/>
                              <w:jc w:val="center"/>
                              <w:rPr>
                                <w:rFonts w:ascii="Arial" w:hAnsi="Arial" w:cs="Arial"/>
                                <w:b/>
                                <w:color w:val="000000" w:themeColor="text1"/>
                                <w:sz w:val="28"/>
                                <w:szCs w:val="28"/>
                                <w14:textFill>
                                  <w14:solidFill>
                                    <w14:schemeClr w14:val="tx1"/>
                                  </w14:solidFill>
                                </w14:textFill>
                              </w:rPr>
                            </w:pPr>
                            <w:r>
                              <w:rPr>
                                <w:rFonts w:hint="default" w:ascii="Arial" w:hAnsi="Arial" w:cs="Arial"/>
                                <w:b/>
                                <w:color w:val="000000" w:themeColor="text1"/>
                                <w:sz w:val="28"/>
                                <w:szCs w:val="28"/>
                                <w:lang w:val="es-ES"/>
                                <w14:textFill>
                                  <w14:solidFill>
                                    <w14:schemeClr w14:val="tx1"/>
                                  </w14:solidFill>
                                </w14:textFill>
                              </w:rPr>
                              <w:t>Compra Directa por Excepción n</w:t>
                            </w:r>
                            <w:r>
                              <w:rPr>
                                <w:rFonts w:ascii="Arial" w:hAnsi="Arial" w:cs="Arial"/>
                                <w:b/>
                                <w:color w:val="000000" w:themeColor="text1"/>
                                <w:sz w:val="28"/>
                                <w:szCs w:val="28"/>
                                <w14:textFill>
                                  <w14:solidFill>
                                    <w14:schemeClr w14:val="tx1"/>
                                  </w14:solidFill>
                                </w14:textFill>
                              </w:rPr>
                              <w:t>º 0</w:t>
                            </w:r>
                            <w:r>
                              <w:rPr>
                                <w:rFonts w:hint="default" w:ascii="Arial" w:hAnsi="Arial" w:cs="Arial"/>
                                <w:b/>
                                <w:color w:val="000000" w:themeColor="text1"/>
                                <w:sz w:val="28"/>
                                <w:szCs w:val="28"/>
                                <w:lang w:val="es-ES"/>
                                <w14:textFill>
                                  <w14:solidFill>
                                    <w14:schemeClr w14:val="tx1"/>
                                  </w14:solidFill>
                                </w14:textFill>
                              </w:rPr>
                              <w:t>4</w:t>
                            </w:r>
                            <w:r>
                              <w:rPr>
                                <w:rFonts w:ascii="Arial" w:hAnsi="Arial" w:cs="Arial"/>
                                <w:b/>
                                <w:color w:val="000000" w:themeColor="text1"/>
                                <w:sz w:val="28"/>
                                <w:szCs w:val="28"/>
                                <w14:textFill>
                                  <w14:solidFill>
                                    <w14:schemeClr w14:val="tx1"/>
                                  </w14:solidFill>
                                </w14:textFill>
                              </w:rPr>
                              <w:t xml:space="preserve">/2023 </w:t>
                            </w:r>
                          </w:p>
                          <w:p>
                            <w:pPr>
                              <w:pStyle w:val="59"/>
                              <w:jc w:val="center"/>
                              <w:rPr>
                                <w:rFonts w:ascii="Arial" w:hAnsi="Arial" w:cs="Arial"/>
                                <w:b/>
                                <w:color w:val="000000"/>
                                <w:sz w:val="28"/>
                                <w:szCs w:val="28"/>
                              </w:rPr>
                            </w:pPr>
                            <w:r>
                              <w:rPr>
                                <w:rFonts w:ascii="Arial" w:hAnsi="Arial" w:cs="Arial"/>
                                <w:b/>
                                <w:color w:val="000000" w:themeColor="text1"/>
                                <w:sz w:val="28"/>
                                <w:szCs w:val="28"/>
                                <w14:textFill>
                                  <w14:solidFill>
                                    <w14:schemeClr w14:val="tx1"/>
                                  </w14:solidFill>
                                </w14:textFill>
                              </w:rPr>
                              <w:t xml:space="preserve">“Etapa </w:t>
                            </w:r>
                            <w:r>
                              <w:rPr>
                                <w:rFonts w:ascii="Arial" w:hAnsi="Arial" w:cs="Arial"/>
                                <w:b/>
                                <w:color w:val="000000"/>
                                <w:sz w:val="28"/>
                                <w:szCs w:val="28"/>
                              </w:rPr>
                              <w:t xml:space="preserve">3 </w:t>
                            </w:r>
                            <w:r>
                              <w:rPr>
                                <w:rFonts w:hint="default" w:ascii="Arial" w:hAnsi="Arial" w:cs="Arial"/>
                                <w:b/>
                                <w:color w:val="000000"/>
                                <w:sz w:val="28"/>
                                <w:szCs w:val="28"/>
                                <w:lang w:val="es-ES"/>
                              </w:rPr>
                              <w:t xml:space="preserve">- </w:t>
                            </w:r>
                            <w:r>
                              <w:rPr>
                                <w:rFonts w:ascii="Arial" w:hAnsi="Arial" w:cs="Arial"/>
                                <w:b/>
                                <w:color w:val="000000"/>
                                <w:sz w:val="28"/>
                                <w:szCs w:val="28"/>
                              </w:rPr>
                              <w:t xml:space="preserve">Obra </w:t>
                            </w:r>
                            <w:r>
                              <w:rPr>
                                <w:rFonts w:hint="default" w:ascii="Arial" w:hAnsi="Arial" w:cs="Arial"/>
                                <w:b/>
                                <w:color w:val="000000"/>
                                <w:sz w:val="28"/>
                                <w:szCs w:val="28"/>
                                <w:lang w:val="es-ES"/>
                              </w:rPr>
                              <w:t xml:space="preserve">para </w:t>
                            </w:r>
                            <w:r>
                              <w:rPr>
                                <w:rFonts w:ascii="Arial" w:hAnsi="Arial" w:cs="Arial"/>
                                <w:b/>
                                <w:color w:val="000000"/>
                                <w:sz w:val="28"/>
                                <w:szCs w:val="28"/>
                              </w:rPr>
                              <w:t xml:space="preserve">habilitación </w:t>
                            </w:r>
                            <w:r>
                              <w:rPr>
                                <w:rFonts w:hint="default" w:ascii="Arial" w:hAnsi="Arial" w:cs="Arial"/>
                                <w:b/>
                                <w:color w:val="000000"/>
                                <w:sz w:val="28"/>
                                <w:szCs w:val="28"/>
                                <w:lang w:val="es-ES"/>
                              </w:rPr>
                              <w:t xml:space="preserve">de </w:t>
                            </w:r>
                            <w:r>
                              <w:rPr>
                                <w:rFonts w:ascii="Arial" w:hAnsi="Arial" w:cs="Arial"/>
                                <w:b/>
                                <w:color w:val="000000"/>
                                <w:sz w:val="28"/>
                                <w:szCs w:val="28"/>
                              </w:rPr>
                              <w:t>bomberos”</w:t>
                            </w:r>
                          </w:p>
                          <w:p>
                            <w:pPr>
                              <w:pStyle w:val="59"/>
                              <w:rPr>
                                <w:rFonts w:ascii="Arial" w:hAnsi="Arial" w:cs="Arial"/>
                                <w:sz w:val="28"/>
                                <w:szCs w:val="28"/>
                              </w:rPr>
                            </w:pPr>
                            <w:r>
                              <w:rPr>
                                <w:rFonts w:ascii="Arial" w:hAnsi="Arial" w:cs="Arial"/>
                                <w:color w:val="000000"/>
                                <w:sz w:val="28"/>
                                <w:szCs w:val="28"/>
                              </w:rPr>
                              <w:t>El Instituto Uruguayo de Meteorología tiene el agrado de invitar a vuestra empresa, a participar de</w:t>
                            </w:r>
                            <w:r>
                              <w:rPr>
                                <w:rFonts w:hint="default" w:ascii="Arial" w:hAnsi="Arial" w:cs="Arial"/>
                                <w:color w:val="000000"/>
                                <w:sz w:val="28"/>
                                <w:szCs w:val="28"/>
                                <w:lang w:val="es-ES"/>
                              </w:rPr>
                              <w:t>l procedimiento</w:t>
                            </w:r>
                            <w:r>
                              <w:rPr>
                                <w:rFonts w:ascii="Arial" w:hAnsi="Arial" w:cs="Arial"/>
                                <w:color w:val="000000"/>
                                <w:sz w:val="28"/>
                                <w:szCs w:val="28"/>
                              </w:rPr>
                              <w:t xml:space="preserve"> de referencia. </w:t>
                            </w:r>
                          </w:p>
                          <w:p>
                            <w:pPr>
                              <w:pStyle w:val="59"/>
                              <w:rPr>
                                <w:rFonts w:ascii="Arial" w:hAnsi="Arial" w:cs="Arial"/>
                                <w:color w:val="000000"/>
                                <w:sz w:val="28"/>
                                <w:szCs w:val="28"/>
                              </w:rPr>
                            </w:pPr>
                            <w:r>
                              <w:rPr>
                                <w:rFonts w:ascii="Arial" w:hAnsi="Arial" w:cs="Arial"/>
                                <w:color w:val="000000"/>
                                <w:sz w:val="28"/>
                                <w:szCs w:val="28"/>
                              </w:rPr>
                              <w:t xml:space="preserve">• </w:t>
                            </w:r>
                            <w:r>
                              <w:rPr>
                                <w:rFonts w:ascii="Arial" w:hAnsi="Arial" w:cs="Arial"/>
                                <w:b/>
                                <w:color w:val="000000"/>
                                <w:sz w:val="28"/>
                                <w:szCs w:val="28"/>
                              </w:rPr>
                              <w:t>FECHA DE APERTURA</w:t>
                            </w:r>
                            <w:r>
                              <w:rPr>
                                <w:rFonts w:hint="default" w:ascii="Arial" w:hAnsi="Arial" w:cs="Arial"/>
                                <w:b/>
                                <w:color w:val="000000"/>
                                <w:sz w:val="28"/>
                                <w:szCs w:val="28"/>
                                <w:lang w:val="es-ES"/>
                              </w:rPr>
                              <w:t xml:space="preserve"> ELECTRÓNICA</w:t>
                            </w:r>
                            <w:r>
                              <w:rPr>
                                <w:rFonts w:ascii="Arial" w:hAnsi="Arial" w:cs="Arial"/>
                                <w:color w:val="000000"/>
                                <w:sz w:val="28"/>
                                <w:szCs w:val="28"/>
                              </w:rPr>
                              <w:t xml:space="preserve">: </w:t>
                            </w:r>
                            <w:r>
                              <w:rPr>
                                <w:rFonts w:hint="default" w:ascii="Arial" w:hAnsi="Arial" w:cs="Arial"/>
                                <w:color w:val="000000"/>
                                <w:sz w:val="28"/>
                                <w:szCs w:val="28"/>
                                <w:lang w:val="es-ES"/>
                              </w:rPr>
                              <w:t>06</w:t>
                            </w:r>
                            <w:r>
                              <w:rPr>
                                <w:rFonts w:ascii="Arial" w:hAnsi="Arial" w:cs="Arial"/>
                                <w:color w:val="000000"/>
                                <w:sz w:val="28"/>
                                <w:szCs w:val="28"/>
                              </w:rPr>
                              <w:t>/</w:t>
                            </w:r>
                            <w:r>
                              <w:rPr>
                                <w:rFonts w:hint="default" w:ascii="Arial" w:hAnsi="Arial" w:cs="Arial"/>
                                <w:color w:val="000000"/>
                                <w:sz w:val="28"/>
                                <w:szCs w:val="28"/>
                                <w:lang w:val="es-ES"/>
                              </w:rPr>
                              <w:t>11</w:t>
                            </w:r>
                            <w:r>
                              <w:rPr>
                                <w:rFonts w:ascii="Arial" w:hAnsi="Arial" w:cs="Arial"/>
                                <w:color w:val="000000"/>
                                <w:sz w:val="28"/>
                                <w:szCs w:val="28"/>
                              </w:rPr>
                              <w:t>/2023,</w:t>
                            </w:r>
                            <w:r>
                              <w:rPr>
                                <w:rFonts w:hint="default" w:ascii="Arial" w:hAnsi="Arial" w:cs="Arial"/>
                                <w:color w:val="000000"/>
                                <w:sz w:val="28"/>
                                <w:szCs w:val="28"/>
                                <w:lang w:val="es-ES"/>
                              </w:rPr>
                              <w:t xml:space="preserve"> </w:t>
                            </w:r>
                            <w:r>
                              <w:rPr>
                                <w:rFonts w:ascii="Arial" w:hAnsi="Arial" w:cs="Arial"/>
                                <w:color w:val="000000"/>
                                <w:sz w:val="28"/>
                                <w:szCs w:val="28"/>
                              </w:rPr>
                              <w:t>12</w:t>
                            </w:r>
                            <w:r>
                              <w:rPr>
                                <w:rFonts w:hint="default" w:ascii="Arial" w:hAnsi="Arial" w:cs="Arial"/>
                                <w:color w:val="000000"/>
                                <w:sz w:val="28"/>
                                <w:szCs w:val="28"/>
                                <w:lang w:val="es-ES"/>
                              </w:rPr>
                              <w:t>:00 horas</w:t>
                            </w:r>
                            <w:r>
                              <w:rPr>
                                <w:rFonts w:ascii="Arial" w:hAnsi="Arial" w:cs="Arial"/>
                                <w:color w:val="000000"/>
                                <w:sz w:val="28"/>
                                <w:szCs w:val="28"/>
                              </w:rPr>
                              <w:t xml:space="preserve">. </w:t>
                            </w:r>
                          </w:p>
                        </w:txbxContent>
                      </wps:txbx>
                      <wps:bodyPr anchor="t">
                        <a:noAutofit/>
                      </wps:bodyPr>
                    </wps:wsp>
                  </a:graphicData>
                </a:graphic>
              </wp:anchor>
            </w:drawing>
          </mc:Choice>
          <mc:Fallback>
            <w:pict>
              <v:rect id="Cuadro de texto 2" o:spid="_x0000_s1026" o:spt="1" style="position:absolute;left:0pt;margin-left:1.1pt;margin-top:-9.25pt;height:132.3pt;width:442.5pt;mso-wrap-distance-bottom:6.6pt;mso-wrap-distance-left:8.15pt;mso-wrap-distance-right:11.5pt;mso-wrap-distance-top:2.7pt;z-index:251659264;mso-width-relative:page;mso-height-relative:page;" fillcolor="#FFFFFF" filled="t" stroked="t" coordsize="21600,21600" o:allowincell="f" o:gfxdata="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s6SL31wAAAAkBAAAPAAAAAAAAAAEAIAAAACIAAABk&#10;cnMvZG93bnJldi54bWxQSwECFAAUAAAACACHTuJAAkUN384BAADJAwAADgAAAAAAAAABACAAAAAm&#10;AQAAZHJzL2Uyb0RvYy54bWxQSwUGAAAAAAYABgBZAQAAZgUAAAAA&#10;">
                <v:fill on="t" focussize="0,0"/>
                <v:stroke color="#000000" joinstyle="miter"/>
                <v:imagedata o:title=""/>
                <o:lock v:ext="edit" aspectratio="f"/>
                <v:textbox>
                  <w:txbxContent>
                    <w:p>
                      <w:pPr>
                        <w:pStyle w:val="59"/>
                        <w:jc w:val="center"/>
                        <w:rPr>
                          <w:rFonts w:ascii="Arial" w:hAnsi="Arial" w:cs="Arial"/>
                          <w:b/>
                          <w:color w:val="000000" w:themeColor="text1"/>
                          <w:sz w:val="28"/>
                          <w:szCs w:val="28"/>
                          <w14:textFill>
                            <w14:solidFill>
                              <w14:schemeClr w14:val="tx1"/>
                            </w14:solidFill>
                          </w14:textFill>
                        </w:rPr>
                      </w:pPr>
                      <w:r>
                        <w:rPr>
                          <w:rFonts w:hint="default" w:ascii="Arial" w:hAnsi="Arial" w:cs="Arial"/>
                          <w:b/>
                          <w:color w:val="000000" w:themeColor="text1"/>
                          <w:sz w:val="28"/>
                          <w:szCs w:val="28"/>
                          <w:lang w:val="es-ES"/>
                          <w14:textFill>
                            <w14:solidFill>
                              <w14:schemeClr w14:val="tx1"/>
                            </w14:solidFill>
                          </w14:textFill>
                        </w:rPr>
                        <w:t>Compra Directa por Excepción n</w:t>
                      </w:r>
                      <w:r>
                        <w:rPr>
                          <w:rFonts w:ascii="Arial" w:hAnsi="Arial" w:cs="Arial"/>
                          <w:b/>
                          <w:color w:val="000000" w:themeColor="text1"/>
                          <w:sz w:val="28"/>
                          <w:szCs w:val="28"/>
                          <w14:textFill>
                            <w14:solidFill>
                              <w14:schemeClr w14:val="tx1"/>
                            </w14:solidFill>
                          </w14:textFill>
                        </w:rPr>
                        <w:t>º 0</w:t>
                      </w:r>
                      <w:r>
                        <w:rPr>
                          <w:rFonts w:hint="default" w:ascii="Arial" w:hAnsi="Arial" w:cs="Arial"/>
                          <w:b/>
                          <w:color w:val="000000" w:themeColor="text1"/>
                          <w:sz w:val="28"/>
                          <w:szCs w:val="28"/>
                          <w:lang w:val="es-ES"/>
                          <w14:textFill>
                            <w14:solidFill>
                              <w14:schemeClr w14:val="tx1"/>
                            </w14:solidFill>
                          </w14:textFill>
                        </w:rPr>
                        <w:t>4</w:t>
                      </w:r>
                      <w:r>
                        <w:rPr>
                          <w:rFonts w:ascii="Arial" w:hAnsi="Arial" w:cs="Arial"/>
                          <w:b/>
                          <w:color w:val="000000" w:themeColor="text1"/>
                          <w:sz w:val="28"/>
                          <w:szCs w:val="28"/>
                          <w14:textFill>
                            <w14:solidFill>
                              <w14:schemeClr w14:val="tx1"/>
                            </w14:solidFill>
                          </w14:textFill>
                        </w:rPr>
                        <w:t xml:space="preserve">/2023 </w:t>
                      </w:r>
                    </w:p>
                    <w:p>
                      <w:pPr>
                        <w:pStyle w:val="59"/>
                        <w:jc w:val="center"/>
                        <w:rPr>
                          <w:rFonts w:ascii="Arial" w:hAnsi="Arial" w:cs="Arial"/>
                          <w:b/>
                          <w:color w:val="000000"/>
                          <w:sz w:val="28"/>
                          <w:szCs w:val="28"/>
                        </w:rPr>
                      </w:pPr>
                      <w:r>
                        <w:rPr>
                          <w:rFonts w:ascii="Arial" w:hAnsi="Arial" w:cs="Arial"/>
                          <w:b/>
                          <w:color w:val="000000" w:themeColor="text1"/>
                          <w:sz w:val="28"/>
                          <w:szCs w:val="28"/>
                          <w14:textFill>
                            <w14:solidFill>
                              <w14:schemeClr w14:val="tx1"/>
                            </w14:solidFill>
                          </w14:textFill>
                        </w:rPr>
                        <w:t xml:space="preserve">“Etapa </w:t>
                      </w:r>
                      <w:r>
                        <w:rPr>
                          <w:rFonts w:ascii="Arial" w:hAnsi="Arial" w:cs="Arial"/>
                          <w:b/>
                          <w:color w:val="000000"/>
                          <w:sz w:val="28"/>
                          <w:szCs w:val="28"/>
                        </w:rPr>
                        <w:t xml:space="preserve">3 </w:t>
                      </w:r>
                      <w:r>
                        <w:rPr>
                          <w:rFonts w:hint="default" w:ascii="Arial" w:hAnsi="Arial" w:cs="Arial"/>
                          <w:b/>
                          <w:color w:val="000000"/>
                          <w:sz w:val="28"/>
                          <w:szCs w:val="28"/>
                          <w:lang w:val="es-ES"/>
                        </w:rPr>
                        <w:t xml:space="preserve">- </w:t>
                      </w:r>
                      <w:r>
                        <w:rPr>
                          <w:rFonts w:ascii="Arial" w:hAnsi="Arial" w:cs="Arial"/>
                          <w:b/>
                          <w:color w:val="000000"/>
                          <w:sz w:val="28"/>
                          <w:szCs w:val="28"/>
                        </w:rPr>
                        <w:t xml:space="preserve">Obra </w:t>
                      </w:r>
                      <w:r>
                        <w:rPr>
                          <w:rFonts w:hint="default" w:ascii="Arial" w:hAnsi="Arial" w:cs="Arial"/>
                          <w:b/>
                          <w:color w:val="000000"/>
                          <w:sz w:val="28"/>
                          <w:szCs w:val="28"/>
                          <w:lang w:val="es-ES"/>
                        </w:rPr>
                        <w:t xml:space="preserve">para </w:t>
                      </w:r>
                      <w:r>
                        <w:rPr>
                          <w:rFonts w:ascii="Arial" w:hAnsi="Arial" w:cs="Arial"/>
                          <w:b/>
                          <w:color w:val="000000"/>
                          <w:sz w:val="28"/>
                          <w:szCs w:val="28"/>
                        </w:rPr>
                        <w:t xml:space="preserve">habilitación </w:t>
                      </w:r>
                      <w:r>
                        <w:rPr>
                          <w:rFonts w:hint="default" w:ascii="Arial" w:hAnsi="Arial" w:cs="Arial"/>
                          <w:b/>
                          <w:color w:val="000000"/>
                          <w:sz w:val="28"/>
                          <w:szCs w:val="28"/>
                          <w:lang w:val="es-ES"/>
                        </w:rPr>
                        <w:t xml:space="preserve">de </w:t>
                      </w:r>
                      <w:r>
                        <w:rPr>
                          <w:rFonts w:ascii="Arial" w:hAnsi="Arial" w:cs="Arial"/>
                          <w:b/>
                          <w:color w:val="000000"/>
                          <w:sz w:val="28"/>
                          <w:szCs w:val="28"/>
                        </w:rPr>
                        <w:t>bomberos”</w:t>
                      </w:r>
                    </w:p>
                    <w:p>
                      <w:pPr>
                        <w:pStyle w:val="59"/>
                        <w:rPr>
                          <w:rFonts w:ascii="Arial" w:hAnsi="Arial" w:cs="Arial"/>
                          <w:sz w:val="28"/>
                          <w:szCs w:val="28"/>
                        </w:rPr>
                      </w:pPr>
                      <w:r>
                        <w:rPr>
                          <w:rFonts w:ascii="Arial" w:hAnsi="Arial" w:cs="Arial"/>
                          <w:color w:val="000000"/>
                          <w:sz w:val="28"/>
                          <w:szCs w:val="28"/>
                        </w:rPr>
                        <w:t>El Instituto Uruguayo de Meteorología tiene el agrado de invitar a vuestra empresa, a participar de</w:t>
                      </w:r>
                      <w:r>
                        <w:rPr>
                          <w:rFonts w:hint="default" w:ascii="Arial" w:hAnsi="Arial" w:cs="Arial"/>
                          <w:color w:val="000000"/>
                          <w:sz w:val="28"/>
                          <w:szCs w:val="28"/>
                          <w:lang w:val="es-ES"/>
                        </w:rPr>
                        <w:t>l procedimiento</w:t>
                      </w:r>
                      <w:r>
                        <w:rPr>
                          <w:rFonts w:ascii="Arial" w:hAnsi="Arial" w:cs="Arial"/>
                          <w:color w:val="000000"/>
                          <w:sz w:val="28"/>
                          <w:szCs w:val="28"/>
                        </w:rPr>
                        <w:t xml:space="preserve"> de referencia. </w:t>
                      </w:r>
                    </w:p>
                    <w:p>
                      <w:pPr>
                        <w:pStyle w:val="59"/>
                        <w:rPr>
                          <w:rFonts w:ascii="Arial" w:hAnsi="Arial" w:cs="Arial"/>
                          <w:color w:val="000000"/>
                          <w:sz w:val="28"/>
                          <w:szCs w:val="28"/>
                        </w:rPr>
                      </w:pPr>
                      <w:r>
                        <w:rPr>
                          <w:rFonts w:ascii="Arial" w:hAnsi="Arial" w:cs="Arial"/>
                          <w:color w:val="000000"/>
                          <w:sz w:val="28"/>
                          <w:szCs w:val="28"/>
                        </w:rPr>
                        <w:t xml:space="preserve">• </w:t>
                      </w:r>
                      <w:r>
                        <w:rPr>
                          <w:rFonts w:ascii="Arial" w:hAnsi="Arial" w:cs="Arial"/>
                          <w:b/>
                          <w:color w:val="000000"/>
                          <w:sz w:val="28"/>
                          <w:szCs w:val="28"/>
                        </w:rPr>
                        <w:t>FECHA DE APERTURA</w:t>
                      </w:r>
                      <w:r>
                        <w:rPr>
                          <w:rFonts w:hint="default" w:ascii="Arial" w:hAnsi="Arial" w:cs="Arial"/>
                          <w:b/>
                          <w:color w:val="000000"/>
                          <w:sz w:val="28"/>
                          <w:szCs w:val="28"/>
                          <w:lang w:val="es-ES"/>
                        </w:rPr>
                        <w:t xml:space="preserve"> ELECTRÓNICA</w:t>
                      </w:r>
                      <w:r>
                        <w:rPr>
                          <w:rFonts w:ascii="Arial" w:hAnsi="Arial" w:cs="Arial"/>
                          <w:color w:val="000000"/>
                          <w:sz w:val="28"/>
                          <w:szCs w:val="28"/>
                        </w:rPr>
                        <w:t xml:space="preserve">: </w:t>
                      </w:r>
                      <w:r>
                        <w:rPr>
                          <w:rFonts w:hint="default" w:ascii="Arial" w:hAnsi="Arial" w:cs="Arial"/>
                          <w:color w:val="000000"/>
                          <w:sz w:val="28"/>
                          <w:szCs w:val="28"/>
                          <w:lang w:val="es-ES"/>
                        </w:rPr>
                        <w:t>06</w:t>
                      </w:r>
                      <w:r>
                        <w:rPr>
                          <w:rFonts w:ascii="Arial" w:hAnsi="Arial" w:cs="Arial"/>
                          <w:color w:val="000000"/>
                          <w:sz w:val="28"/>
                          <w:szCs w:val="28"/>
                        </w:rPr>
                        <w:t>/</w:t>
                      </w:r>
                      <w:r>
                        <w:rPr>
                          <w:rFonts w:hint="default" w:ascii="Arial" w:hAnsi="Arial" w:cs="Arial"/>
                          <w:color w:val="000000"/>
                          <w:sz w:val="28"/>
                          <w:szCs w:val="28"/>
                          <w:lang w:val="es-ES"/>
                        </w:rPr>
                        <w:t>11</w:t>
                      </w:r>
                      <w:r>
                        <w:rPr>
                          <w:rFonts w:ascii="Arial" w:hAnsi="Arial" w:cs="Arial"/>
                          <w:color w:val="000000"/>
                          <w:sz w:val="28"/>
                          <w:szCs w:val="28"/>
                        </w:rPr>
                        <w:t>/2023,</w:t>
                      </w:r>
                      <w:r>
                        <w:rPr>
                          <w:rFonts w:hint="default" w:ascii="Arial" w:hAnsi="Arial" w:cs="Arial"/>
                          <w:color w:val="000000"/>
                          <w:sz w:val="28"/>
                          <w:szCs w:val="28"/>
                          <w:lang w:val="es-ES"/>
                        </w:rPr>
                        <w:t xml:space="preserve"> </w:t>
                      </w:r>
                      <w:r>
                        <w:rPr>
                          <w:rFonts w:ascii="Arial" w:hAnsi="Arial" w:cs="Arial"/>
                          <w:color w:val="000000"/>
                          <w:sz w:val="28"/>
                          <w:szCs w:val="28"/>
                        </w:rPr>
                        <w:t>12</w:t>
                      </w:r>
                      <w:r>
                        <w:rPr>
                          <w:rFonts w:hint="default" w:ascii="Arial" w:hAnsi="Arial" w:cs="Arial"/>
                          <w:color w:val="000000"/>
                          <w:sz w:val="28"/>
                          <w:szCs w:val="28"/>
                          <w:lang w:val="es-ES"/>
                        </w:rPr>
                        <w:t>:00 horas</w:t>
                      </w:r>
                      <w:r>
                        <w:rPr>
                          <w:rFonts w:ascii="Arial" w:hAnsi="Arial" w:cs="Arial"/>
                          <w:color w:val="000000"/>
                          <w:sz w:val="28"/>
                          <w:szCs w:val="28"/>
                        </w:rPr>
                        <w:t xml:space="preserve">. </w:t>
                      </w:r>
                    </w:p>
                  </w:txbxContent>
                </v:textbox>
                <w10:wrap type="square"/>
              </v:rect>
            </w:pict>
          </mc:Fallback>
        </mc:AlternateContent>
      </w:r>
    </w:p>
    <w:p>
      <w:pPr>
        <w:spacing w:line="360" w:lineRule="auto"/>
        <w:jc w:val="both"/>
        <w:rPr>
          <w:rFonts w:ascii="Arial" w:hAnsi="Arial"/>
          <w:sz w:val="22"/>
          <w:szCs w:val="22"/>
        </w:rPr>
      </w:pPr>
      <w:r>
        <w:rPr>
          <w:rFonts w:ascii="Arial" w:hAnsi="Arial"/>
          <w:b/>
          <w:bCs/>
          <w:caps/>
          <w:color w:val="000000"/>
          <w:sz w:val="22"/>
          <w:szCs w:val="22"/>
        </w:rPr>
        <w:t>15. Especificaciones</w:t>
      </w:r>
    </w:p>
    <w:p>
      <w:pPr>
        <w:spacing w:line="360" w:lineRule="auto"/>
        <w:jc w:val="both"/>
        <w:rPr>
          <w:rFonts w:ascii="Arial" w:hAnsi="Arial"/>
          <w:sz w:val="22"/>
          <w:szCs w:val="22"/>
        </w:rPr>
      </w:pPr>
      <w:r>
        <w:rPr>
          <w:rFonts w:ascii="Arial" w:hAnsi="Arial"/>
          <w:bCs/>
          <w:color w:val="000000"/>
          <w:sz w:val="22"/>
          <w:szCs w:val="22"/>
        </w:rPr>
        <w:t>Para dar claridad a</w:t>
      </w:r>
      <w:r>
        <w:rPr>
          <w:rFonts w:hint="default" w:ascii="Arial" w:hAnsi="Arial"/>
          <w:bCs/>
          <w:color w:val="000000"/>
          <w:sz w:val="22"/>
          <w:szCs w:val="22"/>
          <w:lang w:val="es-ES"/>
        </w:rPr>
        <w:t xml:space="preserve"> la presente descripción</w:t>
      </w:r>
      <w:r>
        <w:rPr>
          <w:rFonts w:ascii="Arial" w:hAnsi="Arial"/>
          <w:bCs/>
          <w:color w:val="000000"/>
          <w:sz w:val="22"/>
          <w:szCs w:val="22"/>
        </w:rPr>
        <w:t xml:space="preserve"> y la necesidad de contar con determinadas especificaciones se anexa al presente las mismas formando parte de este. </w:t>
      </w:r>
    </w:p>
    <w:p>
      <w:pPr>
        <w:spacing w:line="360" w:lineRule="auto"/>
        <w:jc w:val="both"/>
        <w:rPr>
          <w:rFonts w:ascii="Arial" w:hAnsi="Arial"/>
          <w:sz w:val="22"/>
          <w:szCs w:val="22"/>
        </w:rPr>
      </w:pPr>
      <w:r>
        <w:rPr>
          <w:rFonts w:ascii="Arial" w:hAnsi="Arial"/>
          <w:b/>
          <w:bCs/>
          <w:caps/>
          <w:color w:val="000000"/>
          <w:sz w:val="22"/>
          <w:szCs w:val="22"/>
        </w:rPr>
        <w:t>16. VISITAs</w:t>
      </w:r>
    </w:p>
    <w:p>
      <w:pPr>
        <w:spacing w:line="360" w:lineRule="auto"/>
        <w:rPr>
          <w:rFonts w:ascii="Arial" w:hAnsi="Arial"/>
          <w:b/>
          <w:bCs/>
          <w:sz w:val="22"/>
          <w:szCs w:val="22"/>
          <w:highlight w:val="yellow"/>
          <w:shd w:val="clear" w:fill="auto"/>
        </w:rPr>
      </w:pPr>
      <w:r>
        <w:rPr>
          <w:rFonts w:ascii="Arial" w:hAnsi="Arial" w:cs="Arial"/>
          <w:b/>
          <w:bCs/>
          <w:color w:val="000000"/>
          <w:sz w:val="32"/>
          <w:szCs w:val="32"/>
          <w:highlight w:val="yellow"/>
          <w:shd w:val="clear" w:fill="auto"/>
          <w:lang w:eastAsia="es-ES"/>
        </w:rPr>
        <w:t xml:space="preserve">La visita al INUMET, será obligatoria y se realizará exclusivamente el día </w:t>
      </w:r>
      <w:r>
        <w:rPr>
          <w:rFonts w:hint="default" w:ascii="Arial" w:hAnsi="Arial" w:cs="Arial"/>
          <w:b/>
          <w:bCs/>
          <w:color w:val="000000"/>
          <w:sz w:val="32"/>
          <w:szCs w:val="32"/>
          <w:highlight w:val="yellow"/>
          <w:shd w:val="clear" w:fill="auto"/>
          <w:lang w:val="en-US" w:eastAsia="es-ES"/>
        </w:rPr>
        <w:t>lune</w:t>
      </w:r>
      <w:r>
        <w:rPr>
          <w:rFonts w:ascii="Arial" w:hAnsi="Arial" w:cs="Arial"/>
          <w:b/>
          <w:bCs/>
          <w:color w:val="000000"/>
          <w:sz w:val="32"/>
          <w:szCs w:val="32"/>
          <w:highlight w:val="yellow"/>
          <w:shd w:val="clear" w:fill="auto"/>
          <w:lang w:eastAsia="es-ES"/>
        </w:rPr>
        <w:t>s</w:t>
      </w:r>
      <w:r>
        <w:rPr>
          <w:rFonts w:hint="default" w:ascii="Arial" w:hAnsi="Arial" w:cs="Arial"/>
          <w:b/>
          <w:bCs/>
          <w:color w:val="000000"/>
          <w:sz w:val="32"/>
          <w:szCs w:val="32"/>
          <w:highlight w:val="yellow"/>
          <w:shd w:val="clear" w:fill="auto"/>
          <w:lang w:val="en-US" w:eastAsia="es-ES"/>
        </w:rPr>
        <w:t xml:space="preserve"> 30 </w:t>
      </w:r>
      <w:r>
        <w:rPr>
          <w:rFonts w:ascii="Arial" w:hAnsi="Arial" w:cs="Arial"/>
          <w:b/>
          <w:bCs/>
          <w:color w:val="000000"/>
          <w:sz w:val="32"/>
          <w:szCs w:val="32"/>
          <w:highlight w:val="yellow"/>
          <w:shd w:val="clear" w:fill="auto"/>
          <w:lang w:eastAsia="es-ES"/>
        </w:rPr>
        <w:t xml:space="preserve">de </w:t>
      </w:r>
      <w:r>
        <w:rPr>
          <w:rFonts w:hint="default" w:ascii="Arial" w:hAnsi="Arial" w:cs="Arial"/>
          <w:b/>
          <w:bCs/>
          <w:color w:val="000000"/>
          <w:sz w:val="32"/>
          <w:szCs w:val="32"/>
          <w:highlight w:val="yellow"/>
          <w:shd w:val="clear" w:fill="auto"/>
          <w:lang w:val="en-US" w:eastAsia="es-ES"/>
        </w:rPr>
        <w:t>octubre</w:t>
      </w:r>
      <w:r>
        <w:rPr>
          <w:rFonts w:ascii="Arial" w:hAnsi="Arial" w:cs="Arial"/>
          <w:b/>
          <w:bCs/>
          <w:color w:val="000000"/>
          <w:sz w:val="32"/>
          <w:szCs w:val="32"/>
          <w:highlight w:val="yellow"/>
          <w:shd w:val="clear" w:fill="auto"/>
          <w:lang w:eastAsia="es-ES"/>
        </w:rPr>
        <w:t xml:space="preserve"> del presente año, a las 1</w:t>
      </w:r>
      <w:r>
        <w:rPr>
          <w:rFonts w:hint="default" w:ascii="Arial" w:hAnsi="Arial" w:cs="Arial"/>
          <w:b/>
          <w:bCs/>
          <w:color w:val="000000"/>
          <w:sz w:val="32"/>
          <w:szCs w:val="32"/>
          <w:highlight w:val="yellow"/>
          <w:shd w:val="clear" w:fill="auto"/>
          <w:lang w:val="en-US" w:eastAsia="es-ES"/>
        </w:rPr>
        <w:t>0</w:t>
      </w:r>
      <w:r>
        <w:rPr>
          <w:rFonts w:ascii="Arial" w:hAnsi="Arial" w:cs="Arial"/>
          <w:b/>
          <w:bCs/>
          <w:color w:val="000000"/>
          <w:sz w:val="32"/>
          <w:szCs w:val="32"/>
          <w:highlight w:val="yellow"/>
          <w:shd w:val="clear" w:fill="auto"/>
          <w:lang w:eastAsia="es-ES"/>
        </w:rPr>
        <w:t>:00 horas.</w:t>
      </w:r>
    </w:p>
    <w:p>
      <w:pPr>
        <w:spacing w:line="360" w:lineRule="auto"/>
        <w:rPr>
          <w:rFonts w:ascii="Arial" w:hAnsi="Arial"/>
          <w:sz w:val="22"/>
          <w:szCs w:val="22"/>
        </w:rPr>
      </w:pPr>
      <w:r>
        <w:rPr>
          <w:rFonts w:ascii="Arial" w:hAnsi="Arial" w:cs="Arial"/>
          <w:bCs/>
          <w:color w:val="000000"/>
          <w:sz w:val="22"/>
          <w:szCs w:val="22"/>
          <w:lang w:eastAsia="es-ES"/>
        </w:rPr>
        <w:t xml:space="preserve">Los oferentes deberán acreditar la visita correspondiente, la cual tendrán que adjuntar a la oferta, </w:t>
      </w:r>
      <w:r>
        <w:rPr>
          <w:rFonts w:ascii="Arial" w:hAnsi="Arial" w:cs="Arial"/>
          <w:b/>
          <w:bCs/>
          <w:color w:val="000000"/>
          <w:sz w:val="22"/>
          <w:szCs w:val="22"/>
          <w:u w:val="none"/>
          <w:lang w:eastAsia="es-ES"/>
        </w:rPr>
        <w:t>siendo obligatoria y excluyente para la evaluación de las mismas.</w:t>
      </w:r>
    </w:p>
    <w:p>
      <w:pPr>
        <w:spacing w:line="360" w:lineRule="auto"/>
        <w:jc w:val="both"/>
        <w:rPr>
          <w:rFonts w:ascii="Arial" w:hAnsi="Arial"/>
          <w:b/>
          <w:bCs/>
          <w:caps/>
          <w:color w:val="000000"/>
          <w:sz w:val="22"/>
          <w:szCs w:val="22"/>
        </w:rPr>
      </w:pPr>
    </w:p>
    <w:p>
      <w:pPr>
        <w:spacing w:line="360" w:lineRule="auto"/>
        <w:jc w:val="both"/>
        <w:rPr>
          <w:rFonts w:ascii="Arial" w:hAnsi="Arial"/>
          <w:b/>
          <w:bCs/>
          <w:caps/>
          <w:color w:val="000000"/>
          <w:sz w:val="22"/>
          <w:szCs w:val="22"/>
        </w:rPr>
      </w:pPr>
    </w:p>
    <w:p>
      <w:pPr>
        <w:spacing w:line="360" w:lineRule="auto"/>
        <w:jc w:val="both"/>
        <w:rPr>
          <w:rFonts w:ascii="Arial" w:hAnsi="Arial"/>
          <w:b/>
          <w:bCs/>
          <w:caps/>
          <w:color w:val="000000"/>
          <w:sz w:val="22"/>
          <w:szCs w:val="22"/>
        </w:rPr>
      </w:pPr>
    </w:p>
    <w:p>
      <w:pPr>
        <w:spacing w:line="360" w:lineRule="auto"/>
        <w:jc w:val="both"/>
        <w:rPr>
          <w:rFonts w:ascii="Arial" w:hAnsi="Arial"/>
          <w:b/>
          <w:bCs/>
          <w:caps/>
          <w:color w:val="000000"/>
          <w:sz w:val="22"/>
          <w:szCs w:val="22"/>
        </w:rPr>
      </w:pPr>
    </w:p>
    <w:p>
      <w:pPr>
        <w:suppressAutoHyphens w:val="0"/>
        <w:spacing w:before="0" w:after="0" w:line="360" w:lineRule="auto"/>
        <w:jc w:val="both"/>
        <w:rPr>
          <w:rFonts w:ascii="Arial" w:hAnsi="Arial" w:eastAsia="Calibri" w:cs="Calibri"/>
          <w:color w:val="70AD47"/>
          <w:sz w:val="22"/>
          <w:szCs w:val="22"/>
        </w:rPr>
      </w:pPr>
    </w:p>
    <w:p>
      <w:pPr>
        <w:spacing w:line="360" w:lineRule="auto"/>
        <w:jc w:val="both"/>
        <w:rPr>
          <w:rFonts w:ascii="Arial" w:hAnsi="Arial"/>
          <w:sz w:val="22"/>
          <w:szCs w:val="22"/>
        </w:rPr>
      </w:pPr>
      <w:r>
        <w:rPr>
          <w:rFonts w:ascii="Arial" w:hAnsi="Arial" w:cs="Arial"/>
          <w:b/>
          <w:bCs/>
          <w:color w:val="000000"/>
          <w:sz w:val="22"/>
          <w:szCs w:val="22"/>
        </w:rPr>
        <w:t>ANEXO III</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RESPONSABLE POR EL USO:</w:t>
      </w:r>
      <w:r>
        <w:rPr>
          <w:rFonts w:ascii="Arial" w:hAnsi="Arial" w:cstheme="minorHAnsi"/>
          <w:b/>
          <w:bCs/>
          <w:color w:val="auto"/>
          <w:sz w:val="22"/>
          <w:szCs w:val="22"/>
          <w:lang w:val="es-UY"/>
        </w:rPr>
        <w:t xml:space="preserve"> INSTITUTO URUGUAYO DE METEOROLOGIA (INUMET)</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DESTINO:</w:t>
      </w:r>
      <w:r>
        <w:rPr>
          <w:rFonts w:ascii="Arial" w:hAnsi="Arial" w:cstheme="minorHAnsi"/>
          <w:b/>
          <w:bCs/>
          <w:color w:val="auto"/>
          <w:sz w:val="22"/>
          <w:szCs w:val="22"/>
          <w:lang w:val="es-UY"/>
        </w:rPr>
        <w:t xml:space="preserve"> ADMINISTRATIVO</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GRUPO/CATEGORIA:</w:t>
      </w:r>
      <w:r>
        <w:rPr>
          <w:rFonts w:ascii="Arial" w:hAnsi="Arial" w:cstheme="minorHAnsi"/>
          <w:b/>
          <w:bCs/>
          <w:color w:val="auto"/>
          <w:sz w:val="22"/>
          <w:szCs w:val="22"/>
          <w:lang w:val="es-UY"/>
        </w:rPr>
        <w:t xml:space="preserve"> D</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CLASIFICACIÓN:</w:t>
      </w:r>
      <w:r>
        <w:rPr>
          <w:rFonts w:ascii="Arial" w:hAnsi="Arial" w:cstheme="minorHAnsi"/>
          <w:b/>
          <w:bCs/>
          <w:color w:val="auto"/>
          <w:sz w:val="22"/>
          <w:szCs w:val="22"/>
          <w:lang w:val="es-UY"/>
        </w:rPr>
        <w:t xml:space="preserve"> D-1 </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 xml:space="preserve">RIESGO: </w:t>
      </w:r>
      <w:r>
        <w:rPr>
          <w:rFonts w:ascii="Arial" w:hAnsi="Arial" w:cstheme="minorHAnsi"/>
          <w:b/>
          <w:bCs/>
          <w:color w:val="auto"/>
          <w:sz w:val="22"/>
          <w:szCs w:val="22"/>
          <w:lang w:val="es-UY"/>
        </w:rPr>
        <w:t>MEDIO</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CARGA DE FUEGO:</w:t>
      </w:r>
      <w:r>
        <w:rPr>
          <w:rFonts w:ascii="Arial" w:hAnsi="Arial" w:cstheme="minorHAnsi"/>
          <w:b/>
          <w:bCs/>
          <w:color w:val="auto"/>
          <w:sz w:val="22"/>
          <w:szCs w:val="22"/>
          <w:lang w:val="es-UY"/>
        </w:rPr>
        <w:t xml:space="preserve"> 700 MJ/m</w:t>
      </w:r>
      <w:r>
        <w:rPr>
          <w:rFonts w:ascii="Arial" w:hAnsi="Arial" w:cstheme="minorHAnsi"/>
          <w:b/>
          <w:bCs/>
          <w:color w:val="auto"/>
          <w:sz w:val="22"/>
          <w:szCs w:val="22"/>
          <w:vertAlign w:val="superscript"/>
          <w:lang w:val="es-UY"/>
        </w:rPr>
        <w:t>2</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DIRECCIÓN:</w:t>
      </w:r>
      <w:r>
        <w:rPr>
          <w:rFonts w:ascii="Arial" w:hAnsi="Arial" w:cstheme="minorHAnsi"/>
          <w:b/>
          <w:bCs/>
          <w:color w:val="auto"/>
          <w:sz w:val="22"/>
          <w:szCs w:val="22"/>
          <w:lang w:val="es-UY"/>
        </w:rPr>
        <w:t xml:space="preserve"> DR. JAVIER BARRIOS AMORÍN 1488 / MONTEVIDEO /URUGUAY</w:t>
      </w:r>
    </w:p>
    <w:p>
      <w:pPr>
        <w:pStyle w:val="57"/>
        <w:spacing w:line="360" w:lineRule="auto"/>
        <w:jc w:val="both"/>
        <w:rPr>
          <w:rFonts w:ascii="Arial" w:hAnsi="Arial"/>
          <w:b/>
          <w:bCs/>
          <w:color w:val="auto"/>
          <w:sz w:val="22"/>
          <w:szCs w:val="22"/>
          <w:lang w:val="es-UY"/>
        </w:rPr>
      </w:pPr>
    </w:p>
    <w:p>
      <w:pPr>
        <w:pStyle w:val="57"/>
        <w:pBdr>
          <w:top w:val="single" w:color="000000" w:sz="4" w:space="1"/>
          <w:left w:val="single" w:color="000000" w:sz="4" w:space="4"/>
          <w:bottom w:val="single" w:color="000000" w:sz="4" w:space="1"/>
          <w:right w:val="single" w:color="000000" w:sz="4" w:space="4"/>
        </w:pBdr>
        <w:spacing w:line="360" w:lineRule="auto"/>
        <w:jc w:val="center"/>
        <w:rPr>
          <w:rFonts w:ascii="Arial" w:hAnsi="Arial"/>
          <w:sz w:val="22"/>
          <w:szCs w:val="22"/>
        </w:rPr>
      </w:pPr>
      <w:r>
        <w:rPr>
          <w:rFonts w:ascii="Arial" w:hAnsi="Arial" w:cstheme="minorHAnsi"/>
          <w:b/>
          <w:color w:val="auto"/>
          <w:sz w:val="22"/>
          <w:szCs w:val="22"/>
          <w:lang w:val="es-UY"/>
        </w:rPr>
        <w:t>ANEXO III - ELEMENTOS CORTAFUEGOS INSUMOS E INSTALACIÓN</w:t>
      </w:r>
    </w:p>
    <w:p>
      <w:pPr>
        <w:pStyle w:val="57"/>
        <w:pBdr>
          <w:bottom w:val="single" w:color="000000" w:sz="4" w:space="1"/>
        </w:pBdr>
        <w:spacing w:line="360" w:lineRule="auto"/>
        <w:jc w:val="both"/>
        <w:rPr>
          <w:rFonts w:ascii="Arial" w:hAnsi="Arial"/>
          <w:b/>
          <w:color w:val="auto"/>
          <w:sz w:val="22"/>
          <w:szCs w:val="22"/>
          <w:lang w:val="es-UY"/>
        </w:rPr>
      </w:pPr>
    </w:p>
    <w:p>
      <w:pPr>
        <w:pStyle w:val="57"/>
        <w:pBdr>
          <w:bottom w:val="single" w:color="000000" w:sz="4" w:space="1"/>
        </w:pBdr>
        <w:spacing w:line="360" w:lineRule="auto"/>
        <w:jc w:val="both"/>
        <w:rPr>
          <w:rFonts w:ascii="Arial" w:hAnsi="Arial"/>
          <w:sz w:val="22"/>
          <w:szCs w:val="22"/>
        </w:rPr>
      </w:pPr>
      <w:r>
        <w:rPr>
          <w:rFonts w:ascii="Arial" w:hAnsi="Arial" w:cstheme="minorHAnsi"/>
          <w:b/>
          <w:color w:val="auto"/>
          <w:sz w:val="22"/>
          <w:szCs w:val="22"/>
          <w:lang w:val="es-UY"/>
        </w:rPr>
        <w:t>Normativa de Referencia:</w:t>
      </w:r>
    </w:p>
    <w:p>
      <w:pPr>
        <w:pStyle w:val="57"/>
        <w:spacing w:line="360" w:lineRule="auto"/>
        <w:jc w:val="both"/>
        <w:rPr>
          <w:rFonts w:ascii="Arial" w:hAnsi="Arial"/>
          <w:sz w:val="22"/>
          <w:szCs w:val="22"/>
        </w:rPr>
      </w:pPr>
      <w:r>
        <w:rPr>
          <w:rFonts w:ascii="Arial" w:hAnsi="Arial"/>
          <w:color w:val="auto"/>
          <w:sz w:val="22"/>
          <w:szCs w:val="22"/>
          <w:lang w:val="es-UY"/>
        </w:rPr>
        <w:t>Decreto 184/018 _ DNB y Anexo</w:t>
      </w:r>
    </w:p>
    <w:p>
      <w:pPr>
        <w:pStyle w:val="57"/>
        <w:tabs>
          <w:tab w:val="left" w:pos="720"/>
        </w:tabs>
        <w:spacing w:line="360" w:lineRule="auto"/>
        <w:jc w:val="both"/>
        <w:rPr>
          <w:rFonts w:ascii="Arial" w:hAnsi="Arial"/>
          <w:sz w:val="22"/>
          <w:szCs w:val="22"/>
        </w:rPr>
      </w:pPr>
      <w:r>
        <w:rPr>
          <w:rFonts w:ascii="Arial" w:hAnsi="Arial"/>
          <w:color w:val="auto"/>
          <w:sz w:val="22"/>
          <w:szCs w:val="22"/>
          <w:lang w:val="es-MX"/>
        </w:rPr>
        <w:t>IT00/</w:t>
      </w:r>
      <w:r>
        <w:rPr>
          <w:rFonts w:ascii="Arial" w:hAnsi="Arial"/>
          <w:color w:val="auto"/>
          <w:sz w:val="22"/>
          <w:szCs w:val="22"/>
          <w:lang w:val="es-UY"/>
        </w:rPr>
        <w:t>2020 Tablas de clasificación de las edificación y medidas protección contra incendio _ DNB</w:t>
      </w:r>
    </w:p>
    <w:p>
      <w:pPr>
        <w:pStyle w:val="57"/>
        <w:tabs>
          <w:tab w:val="left" w:pos="720"/>
        </w:tabs>
        <w:spacing w:line="360" w:lineRule="auto"/>
        <w:jc w:val="both"/>
        <w:rPr>
          <w:rFonts w:ascii="Arial" w:hAnsi="Arial"/>
          <w:sz w:val="22"/>
          <w:szCs w:val="22"/>
        </w:rPr>
      </w:pPr>
      <w:r>
        <w:rPr>
          <w:rFonts w:ascii="Arial" w:hAnsi="Arial"/>
          <w:color w:val="auto"/>
          <w:sz w:val="22"/>
          <w:szCs w:val="22"/>
          <w:lang w:val="es-MX"/>
        </w:rPr>
        <w:t>IT01/</w:t>
      </w:r>
      <w:r>
        <w:rPr>
          <w:rFonts w:ascii="Arial" w:hAnsi="Arial"/>
          <w:color w:val="auto"/>
          <w:sz w:val="22"/>
          <w:szCs w:val="22"/>
          <w:lang w:val="es-UY"/>
        </w:rPr>
        <w:t>2020 Requisitos Administrativos _ DNB</w:t>
      </w:r>
    </w:p>
    <w:p>
      <w:pPr>
        <w:pStyle w:val="57"/>
        <w:spacing w:line="360" w:lineRule="auto"/>
        <w:jc w:val="both"/>
        <w:rPr>
          <w:rFonts w:ascii="Arial" w:hAnsi="Arial"/>
          <w:sz w:val="22"/>
          <w:szCs w:val="22"/>
        </w:rPr>
      </w:pPr>
      <w:r>
        <w:rPr>
          <w:rFonts w:ascii="Arial" w:hAnsi="Arial"/>
          <w:color w:val="auto"/>
          <w:sz w:val="22"/>
          <w:szCs w:val="22"/>
          <w:lang w:val="es-UY"/>
        </w:rPr>
        <w:t>IT14/2018 Carga de incendio en las edificaciones y áreas de riesgo_ San Pablo</w:t>
      </w:r>
    </w:p>
    <w:p>
      <w:pPr>
        <w:pStyle w:val="57"/>
        <w:pBdr>
          <w:bottom w:val="single" w:color="000000" w:sz="4" w:space="1"/>
        </w:pBdr>
        <w:spacing w:line="360" w:lineRule="auto"/>
        <w:jc w:val="both"/>
        <w:rPr>
          <w:rFonts w:ascii="Arial" w:hAnsi="Arial"/>
          <w:sz w:val="22"/>
          <w:szCs w:val="22"/>
        </w:rPr>
      </w:pPr>
      <w:r>
        <w:rPr>
          <w:rFonts w:ascii="Arial" w:hAnsi="Arial"/>
          <w:color w:val="auto"/>
          <w:sz w:val="22"/>
          <w:szCs w:val="22"/>
          <w:lang w:val="es-UY"/>
        </w:rPr>
        <w:t>IT 08/2018 Resistencia al fuego de los elementos de construcción_ San Pablo</w:t>
      </w:r>
    </w:p>
    <w:p>
      <w:pPr>
        <w:pStyle w:val="57"/>
        <w:pBdr>
          <w:bottom w:val="single" w:color="000000" w:sz="4" w:space="1"/>
        </w:pBdr>
        <w:spacing w:line="360" w:lineRule="auto"/>
        <w:jc w:val="both"/>
        <w:rPr>
          <w:rFonts w:ascii="Arial" w:hAnsi="Arial"/>
          <w:b/>
          <w:color w:val="auto"/>
          <w:sz w:val="22"/>
          <w:szCs w:val="22"/>
          <w:lang w:val="es-UY"/>
        </w:rPr>
      </w:pPr>
    </w:p>
    <w:p>
      <w:pPr>
        <w:pStyle w:val="57"/>
        <w:pBdr>
          <w:bottom w:val="single" w:color="000000" w:sz="4" w:space="1"/>
        </w:pBdr>
        <w:spacing w:line="360" w:lineRule="auto"/>
        <w:jc w:val="both"/>
        <w:rPr>
          <w:rFonts w:ascii="Arial" w:hAnsi="Arial"/>
          <w:sz w:val="22"/>
          <w:szCs w:val="22"/>
        </w:rPr>
      </w:pPr>
      <w:r>
        <w:rPr>
          <w:rFonts w:ascii="Arial" w:hAnsi="Arial" w:cstheme="minorHAnsi"/>
          <w:b/>
          <w:color w:val="auto"/>
          <w:sz w:val="22"/>
          <w:szCs w:val="22"/>
          <w:lang w:val="es-UY"/>
        </w:rPr>
        <w:t>OBJETIVO</w:t>
      </w:r>
    </w:p>
    <w:p>
      <w:pPr>
        <w:pStyle w:val="57"/>
        <w:spacing w:line="360" w:lineRule="auto"/>
        <w:rPr>
          <w:rFonts w:ascii="Arial" w:hAnsi="Arial"/>
          <w:iCs/>
          <w:color w:val="auto"/>
          <w:sz w:val="22"/>
          <w:szCs w:val="22"/>
          <w:lang w:val="es-UY"/>
        </w:rPr>
      </w:pPr>
    </w:p>
    <w:p>
      <w:pPr>
        <w:pStyle w:val="57"/>
        <w:spacing w:line="360" w:lineRule="auto"/>
        <w:rPr>
          <w:rFonts w:ascii="Arial" w:hAnsi="Arial"/>
          <w:sz w:val="22"/>
          <w:szCs w:val="22"/>
        </w:rPr>
      </w:pPr>
      <w:r>
        <w:rPr>
          <w:rFonts w:ascii="Arial" w:hAnsi="Arial" w:cstheme="minorHAnsi"/>
          <w:iCs/>
          <w:color w:val="auto"/>
          <w:sz w:val="22"/>
          <w:szCs w:val="22"/>
          <w:lang w:val="es-UY"/>
        </w:rPr>
        <w:t xml:space="preserve">Las medidas de protección este tipo de edificios y locales especiales, según </w:t>
      </w:r>
      <w:r>
        <w:rPr>
          <w:rFonts w:ascii="Arial" w:hAnsi="Arial" w:cstheme="minorHAnsi"/>
          <w:b/>
          <w:iCs/>
          <w:color w:val="auto"/>
          <w:sz w:val="22"/>
          <w:szCs w:val="22"/>
          <w:lang w:val="es-UY"/>
        </w:rPr>
        <w:t>Decreto vigente</w:t>
      </w:r>
      <w:r>
        <w:rPr>
          <w:rFonts w:ascii="Arial" w:hAnsi="Arial" w:cstheme="minorHAnsi"/>
          <w:iCs/>
          <w:color w:val="auto"/>
          <w:sz w:val="22"/>
          <w:szCs w:val="22"/>
          <w:lang w:val="es-UY"/>
        </w:rPr>
        <w:t>, establece:</w:t>
      </w:r>
    </w:p>
    <w:p>
      <w:pPr>
        <w:pStyle w:val="57"/>
        <w:numPr>
          <w:ilvl w:val="0"/>
          <w:numId w:val="13"/>
        </w:numPr>
        <w:spacing w:line="360" w:lineRule="auto"/>
        <w:rPr>
          <w:rFonts w:ascii="Arial" w:hAnsi="Arial"/>
          <w:sz w:val="22"/>
          <w:szCs w:val="22"/>
        </w:rPr>
      </w:pPr>
      <w:r>
        <w:rPr>
          <w:rFonts w:ascii="Arial" w:hAnsi="Arial" w:cstheme="minorHAnsi"/>
          <w:b/>
          <w:iCs/>
          <w:color w:val="auto"/>
          <w:sz w:val="22"/>
          <w:szCs w:val="22"/>
          <w:lang w:val="es-UY"/>
        </w:rPr>
        <w:t>Muros Cortafuego (MCF)</w:t>
      </w:r>
    </w:p>
    <w:p>
      <w:pPr>
        <w:pStyle w:val="57"/>
        <w:numPr>
          <w:ilvl w:val="0"/>
          <w:numId w:val="13"/>
        </w:numPr>
        <w:spacing w:line="360" w:lineRule="auto"/>
        <w:rPr>
          <w:rFonts w:ascii="Arial" w:hAnsi="Arial"/>
          <w:sz w:val="22"/>
          <w:szCs w:val="22"/>
        </w:rPr>
      </w:pPr>
      <w:r>
        <w:rPr>
          <w:rFonts w:ascii="Arial" w:hAnsi="Arial" w:cstheme="minorHAnsi"/>
          <w:b/>
          <w:iCs/>
          <w:color w:val="auto"/>
          <w:sz w:val="22"/>
          <w:szCs w:val="22"/>
          <w:lang w:val="es-UY"/>
        </w:rPr>
        <w:t>Puertas Cortafuego (PCF)</w:t>
      </w:r>
    </w:p>
    <w:p>
      <w:pPr>
        <w:pStyle w:val="57"/>
        <w:spacing w:line="360" w:lineRule="auto"/>
        <w:rPr>
          <w:rFonts w:ascii="Arial" w:hAnsi="Arial"/>
          <w:sz w:val="22"/>
          <w:szCs w:val="22"/>
        </w:rPr>
      </w:pPr>
      <w:r>
        <w:rPr>
          <w:rFonts w:ascii="Arial" w:hAnsi="Arial" w:cstheme="minorHAnsi"/>
          <w:bCs/>
          <w:iCs/>
          <w:color w:val="auto"/>
          <w:sz w:val="22"/>
          <w:szCs w:val="22"/>
          <w:lang w:val="es-UY"/>
        </w:rPr>
        <w:t xml:space="preserve">Implícitas dentro de estas mencionadas medidas encontramos: </w:t>
      </w:r>
    </w:p>
    <w:p>
      <w:pPr>
        <w:pStyle w:val="57"/>
        <w:spacing w:line="360" w:lineRule="auto"/>
        <w:rPr>
          <w:rFonts w:ascii="Arial" w:hAnsi="Arial"/>
          <w:sz w:val="22"/>
          <w:szCs w:val="22"/>
        </w:rPr>
      </w:pPr>
      <w:r>
        <w:rPr>
          <w:rFonts w:ascii="Arial" w:hAnsi="Arial" w:cstheme="minorHAnsi"/>
          <w:b/>
          <w:iCs/>
          <w:color w:val="auto"/>
          <w:sz w:val="22"/>
          <w:szCs w:val="22"/>
          <w:lang w:val="es-UY"/>
        </w:rPr>
        <w:t>Pases en MCF</w:t>
      </w:r>
    </w:p>
    <w:p>
      <w:pPr>
        <w:pStyle w:val="57"/>
        <w:spacing w:line="360" w:lineRule="auto"/>
        <w:rPr>
          <w:rFonts w:ascii="Arial" w:hAnsi="Arial"/>
          <w:sz w:val="22"/>
          <w:szCs w:val="22"/>
        </w:rPr>
      </w:pPr>
      <w:r>
        <w:rPr>
          <w:rFonts w:ascii="Arial" w:hAnsi="Arial" w:cstheme="minorHAnsi"/>
          <w:iCs/>
          <w:color w:val="auto"/>
          <w:sz w:val="22"/>
          <w:szCs w:val="22"/>
          <w:lang w:val="es-UY"/>
        </w:rPr>
        <w:t>Estas medidas consisten en preservar durante determinado tiempo la integridad estructural de la edificación, compatible con la magnitud del incendio que pueda generarse. Teniendo como cometido:</w:t>
      </w:r>
    </w:p>
    <w:p>
      <w:pPr>
        <w:pStyle w:val="54"/>
        <w:spacing w:line="360" w:lineRule="auto"/>
        <w:ind w:left="0" w:firstLine="0"/>
        <w:rPr>
          <w:rFonts w:ascii="Arial" w:hAnsi="Arial" w:cs="Calibri"/>
          <w:iCs/>
          <w:sz w:val="22"/>
          <w:szCs w:val="22"/>
          <w:lang w:val="es-UY"/>
        </w:rPr>
      </w:pPr>
    </w:p>
    <w:p>
      <w:pPr>
        <w:pStyle w:val="54"/>
        <w:spacing w:line="360" w:lineRule="auto"/>
        <w:ind w:left="0" w:firstLine="0"/>
        <w:rPr>
          <w:rFonts w:ascii="Arial" w:hAnsi="Arial"/>
          <w:sz w:val="22"/>
          <w:szCs w:val="22"/>
        </w:rPr>
      </w:pPr>
      <w:r>
        <w:rPr>
          <w:rFonts w:ascii="Arial" w:hAnsi="Arial" w:cstheme="minorHAnsi"/>
          <w:iCs/>
          <w:sz w:val="22"/>
          <w:szCs w:val="22"/>
          <w:lang w:val="es-UY"/>
        </w:rPr>
        <w:t>A) evitar o minimizar daños al propio predio, a edificaciones adyacentes, a la infraestructura pública y al medio ambiente</w:t>
      </w:r>
    </w:p>
    <w:p>
      <w:pPr>
        <w:pStyle w:val="54"/>
        <w:spacing w:line="360" w:lineRule="auto"/>
        <w:ind w:left="0" w:firstLine="0"/>
        <w:rPr>
          <w:rFonts w:ascii="Arial" w:hAnsi="Arial"/>
          <w:sz w:val="22"/>
          <w:szCs w:val="22"/>
        </w:rPr>
      </w:pPr>
      <w:r>
        <w:rPr>
          <w:rFonts w:ascii="Arial" w:hAnsi="Arial" w:cstheme="minorHAnsi"/>
          <w:iCs/>
          <w:sz w:val="22"/>
          <w:szCs w:val="22"/>
          <w:lang w:val="es-UY"/>
        </w:rPr>
        <w:t>B) posibilitar la salida de los ocupantes de la edificación en condiciones de seguridad C) garantizar condiciones razonables para el empleo de los servicios de emergencia</w:t>
      </w:r>
    </w:p>
    <w:p>
      <w:pPr>
        <w:pBdr>
          <w:bottom w:val="single" w:color="000000" w:sz="4" w:space="1"/>
        </w:pBdr>
        <w:spacing w:before="0" w:after="0" w:line="360" w:lineRule="auto"/>
        <w:jc w:val="both"/>
        <w:rPr>
          <w:rFonts w:ascii="Arial" w:hAnsi="Arial" w:cs="Calibri"/>
          <w:b/>
          <w:sz w:val="22"/>
          <w:szCs w:val="22"/>
        </w:rPr>
      </w:pPr>
    </w:p>
    <w:p>
      <w:pPr>
        <w:pStyle w:val="57"/>
        <w:pBdr>
          <w:bottom w:val="single" w:color="000000" w:sz="4" w:space="1"/>
        </w:pBdr>
        <w:spacing w:line="360" w:lineRule="auto"/>
        <w:jc w:val="both"/>
        <w:rPr>
          <w:rFonts w:ascii="Arial" w:hAnsi="Arial"/>
          <w:sz w:val="22"/>
          <w:szCs w:val="22"/>
        </w:rPr>
      </w:pPr>
      <w:r>
        <w:rPr>
          <w:rFonts w:ascii="Arial" w:hAnsi="Arial" w:cstheme="minorHAnsi"/>
          <w:b/>
          <w:color w:val="auto"/>
          <w:sz w:val="22"/>
          <w:szCs w:val="22"/>
          <w:lang w:val="es-UY"/>
        </w:rPr>
        <w:t>ANÁLISIS</w:t>
      </w:r>
    </w:p>
    <w:p>
      <w:pPr>
        <w:pStyle w:val="57"/>
        <w:spacing w:line="360" w:lineRule="auto"/>
        <w:rPr>
          <w:rFonts w:ascii="Arial" w:hAnsi="Arial"/>
          <w:color w:val="auto"/>
          <w:sz w:val="22"/>
          <w:szCs w:val="22"/>
          <w:lang w:val="es-UY"/>
        </w:rPr>
      </w:pPr>
    </w:p>
    <w:p>
      <w:pPr>
        <w:pStyle w:val="57"/>
        <w:spacing w:line="360" w:lineRule="auto"/>
        <w:rPr>
          <w:rFonts w:ascii="Arial" w:hAnsi="Arial"/>
          <w:sz w:val="22"/>
          <w:szCs w:val="22"/>
        </w:rPr>
      </w:pPr>
      <w:r>
        <w:rPr>
          <w:rFonts w:ascii="Arial" w:hAnsi="Arial"/>
          <w:color w:val="auto"/>
          <w:sz w:val="22"/>
          <w:szCs w:val="22"/>
          <w:lang w:val="es-UY"/>
        </w:rPr>
        <w:t>Determinadas salas dentro de la Edificación deben ser compartimentadas debido al riesgo que implican con respecto a otros locales linderos en el NIVEL DEL SUBSUELO.</w:t>
      </w:r>
    </w:p>
    <w:p>
      <w:pPr>
        <w:pStyle w:val="57"/>
        <w:spacing w:line="360" w:lineRule="auto"/>
        <w:rPr>
          <w:rFonts w:ascii="Arial" w:hAnsi="Arial"/>
          <w:sz w:val="22"/>
          <w:szCs w:val="22"/>
        </w:rPr>
      </w:pPr>
      <w:r>
        <w:rPr>
          <w:rFonts w:ascii="Arial" w:hAnsi="Arial"/>
          <w:color w:val="auto"/>
          <w:sz w:val="22"/>
          <w:szCs w:val="22"/>
          <w:lang w:val="es-UY"/>
        </w:rPr>
        <w:t>En este caso la Sala de Grupo Generador y medidores de UTE, actualmente no se encuentran compartimentadas de la futura Sala de Reserva de incendio y Bomba de incendio.</w:t>
      </w:r>
    </w:p>
    <w:p>
      <w:pPr>
        <w:pStyle w:val="57"/>
        <w:spacing w:line="360" w:lineRule="auto"/>
        <w:rPr>
          <w:rFonts w:ascii="Arial" w:hAnsi="Arial"/>
          <w:sz w:val="22"/>
          <w:szCs w:val="22"/>
        </w:rPr>
      </w:pPr>
      <w:r>
        <w:rPr>
          <w:rFonts w:ascii="Arial" w:hAnsi="Arial"/>
          <w:color w:val="auto"/>
          <w:sz w:val="22"/>
          <w:szCs w:val="22"/>
          <w:lang w:val="es-UY"/>
        </w:rPr>
        <w:t>Por lo que la presente Memoria refiere a la compartimentación de dicha sala de Grupo Generador y sala de medidores de UTE, según la ubicación en planos de un muro de resistencia al fuego de RF120 min y una puerta cortafuego de resistencia al fuego de RF90 min.</w:t>
      </w:r>
    </w:p>
    <w:p>
      <w:pPr>
        <w:pStyle w:val="57"/>
        <w:pBdr>
          <w:bottom w:val="single" w:color="000000" w:sz="4" w:space="1"/>
        </w:pBdr>
        <w:spacing w:line="360" w:lineRule="auto"/>
        <w:jc w:val="both"/>
        <w:rPr>
          <w:rFonts w:ascii="Arial" w:hAnsi="Arial"/>
          <w:b/>
          <w:color w:val="auto"/>
          <w:sz w:val="22"/>
          <w:szCs w:val="22"/>
          <w:lang w:val="es-UY"/>
        </w:rPr>
      </w:pPr>
    </w:p>
    <w:p>
      <w:pPr>
        <w:pStyle w:val="57"/>
        <w:pBdr>
          <w:bottom w:val="single" w:color="000000" w:sz="4" w:space="1"/>
        </w:pBdr>
        <w:spacing w:line="360" w:lineRule="auto"/>
        <w:ind w:firstLine="0"/>
        <w:jc w:val="left"/>
        <w:rPr>
          <w:rFonts w:ascii="Arial" w:hAnsi="Arial"/>
          <w:sz w:val="22"/>
          <w:szCs w:val="22"/>
        </w:rPr>
      </w:pPr>
      <w:r>
        <w:rPr>
          <w:rFonts w:ascii="Arial" w:hAnsi="Arial" w:eastAsia="Calibri" w:cstheme="minorHAnsi"/>
          <w:b/>
          <w:color w:val="auto"/>
          <w:kern w:val="0"/>
          <w:sz w:val="22"/>
          <w:szCs w:val="22"/>
          <w:lang w:val="es-UY" w:eastAsia="en-US" w:bidi="ar-SA"/>
        </w:rPr>
        <w:t>MURO CORTAFUEGO (MC</w:t>
      </w:r>
      <w:r>
        <w:rPr>
          <w:rFonts w:ascii="Arial" w:hAnsi="Arial" w:cstheme="minorHAnsi"/>
          <w:b/>
          <w:color w:val="auto"/>
          <w:sz w:val="22"/>
          <w:szCs w:val="22"/>
          <w:lang w:val="es-UY"/>
        </w:rPr>
        <w:t>F)</w:t>
      </w:r>
    </w:p>
    <w:p>
      <w:pPr>
        <w:pStyle w:val="57"/>
        <w:spacing w:line="360" w:lineRule="auto"/>
        <w:jc w:val="both"/>
        <w:rPr>
          <w:rFonts w:ascii="Arial" w:hAnsi="Arial"/>
          <w:b/>
          <w:color w:val="auto"/>
          <w:sz w:val="22"/>
          <w:szCs w:val="22"/>
          <w:lang w:val="es-UY"/>
        </w:rPr>
      </w:pPr>
    </w:p>
    <w:p>
      <w:pPr>
        <w:pStyle w:val="57"/>
        <w:spacing w:line="360" w:lineRule="auto"/>
        <w:jc w:val="both"/>
        <w:rPr>
          <w:rFonts w:ascii="Arial" w:hAnsi="Arial"/>
          <w:sz w:val="22"/>
          <w:szCs w:val="22"/>
        </w:rPr>
      </w:pPr>
      <w:r>
        <w:rPr>
          <w:rFonts w:ascii="Arial" w:hAnsi="Arial" w:cstheme="minorHAnsi"/>
          <w:b/>
          <w:bCs/>
          <w:color w:val="auto"/>
          <w:sz w:val="22"/>
          <w:szCs w:val="22"/>
          <w:lang w:val="es-UY"/>
        </w:rPr>
        <w:t xml:space="preserve">RESERVA DE INCENDIO </w:t>
      </w:r>
    </w:p>
    <w:p>
      <w:pPr>
        <w:spacing w:before="0" w:after="0" w:line="360" w:lineRule="auto"/>
        <w:jc w:val="both"/>
        <w:rPr>
          <w:rFonts w:ascii="Arial" w:hAnsi="Arial"/>
          <w:sz w:val="22"/>
          <w:szCs w:val="22"/>
        </w:rPr>
      </w:pPr>
      <w:r>
        <w:rPr>
          <w:rFonts w:ascii="Arial" w:hAnsi="Arial" w:cstheme="minorHAnsi"/>
          <w:b/>
          <w:bCs/>
          <w:sz w:val="22"/>
          <w:szCs w:val="22"/>
        </w:rPr>
        <w:t>El IT05 de Sist. de Tomas de Agua y BIE solicita,</w:t>
      </w:r>
      <w:r>
        <w:rPr>
          <w:rFonts w:ascii="Arial" w:hAnsi="Arial" w:cstheme="minorHAnsi"/>
          <w:sz w:val="22"/>
          <w:szCs w:val="22"/>
        </w:rPr>
        <w:t xml:space="preserve"> en su Anexo B (Obligatorio) – Reserva de Incendio, </w:t>
      </w:r>
    </w:p>
    <w:p>
      <w:pPr>
        <w:spacing w:before="0" w:after="0" w:line="360" w:lineRule="auto"/>
        <w:jc w:val="both"/>
        <w:rPr>
          <w:rFonts w:ascii="Arial" w:hAnsi="Arial"/>
          <w:sz w:val="22"/>
          <w:szCs w:val="22"/>
        </w:rPr>
      </w:pPr>
      <w:r>
        <w:rPr>
          <w:rFonts w:ascii="Arial" w:hAnsi="Arial" w:cstheme="minorHAnsi"/>
          <w:i/>
          <w:iCs/>
          <w:sz w:val="22"/>
          <w:szCs w:val="22"/>
        </w:rPr>
        <w:t xml:space="preserve">B.1.3 </w:t>
      </w:r>
      <w:r>
        <w:rPr>
          <w:rFonts w:ascii="Arial" w:hAnsi="Arial" w:cstheme="minorHAnsi"/>
          <w:b/>
          <w:bCs/>
          <w:i/>
          <w:iCs/>
          <w:sz w:val="22"/>
          <w:szCs w:val="22"/>
        </w:rPr>
        <w:t>El depósito debe ser construido en material que garantice la resistencia al fuego</w:t>
      </w:r>
      <w:r>
        <w:rPr>
          <w:rFonts w:ascii="Arial" w:hAnsi="Arial" w:cstheme="minorHAnsi"/>
          <w:i/>
          <w:iCs/>
          <w:sz w:val="22"/>
          <w:szCs w:val="22"/>
        </w:rPr>
        <w:t xml:space="preserve"> y la resistencia mecánica, siempre que esté situado dentro del escenario de incendio. Podrán ser utilizados depósitos pre-fabricados de materiales no resistentes al fuego siempre que se encuentren enterrados, separados del escenario de incendio lo suficiente para garantizar su estabilidad estructural durante 2 horas o protegidos estructuralmente con muros (RF120). </w:t>
      </w:r>
    </w:p>
    <w:p>
      <w:pPr>
        <w:spacing w:before="0" w:after="0" w:line="360" w:lineRule="auto"/>
        <w:jc w:val="both"/>
        <w:rPr>
          <w:rFonts w:ascii="Arial" w:hAnsi="Arial"/>
          <w:sz w:val="22"/>
          <w:szCs w:val="22"/>
        </w:rPr>
      </w:pPr>
      <w:r>
        <w:rPr>
          <w:rFonts w:ascii="Arial" w:hAnsi="Arial" w:cstheme="minorHAnsi"/>
          <w:i/>
          <w:iCs/>
          <w:sz w:val="22"/>
          <w:szCs w:val="22"/>
        </w:rPr>
        <w:t xml:space="preserve">También es permitido el depósito cuya estructura esté encapsulada o protegida por forro </w:t>
      </w:r>
      <w:r>
        <w:rPr>
          <w:rFonts w:ascii="Arial" w:hAnsi="Arial" w:cstheme="minorHAnsi"/>
          <w:b/>
          <w:bCs/>
          <w:i/>
          <w:iCs/>
          <w:sz w:val="22"/>
          <w:szCs w:val="22"/>
        </w:rPr>
        <w:t xml:space="preserve">resistente al fuego </w:t>
      </w:r>
      <w:r>
        <w:rPr>
          <w:rFonts w:ascii="Arial" w:hAnsi="Arial" w:cs="CIDFont+F1"/>
          <w:b/>
          <w:bCs/>
          <w:i/>
          <w:iCs/>
          <w:sz w:val="22"/>
          <w:szCs w:val="22"/>
        </w:rPr>
        <w:t>(RF120)</w:t>
      </w:r>
    </w:p>
    <w:p>
      <w:pPr>
        <w:pStyle w:val="57"/>
        <w:spacing w:line="360" w:lineRule="auto"/>
        <w:jc w:val="both"/>
        <w:rPr>
          <w:rFonts w:ascii="Arial" w:hAnsi="Arial"/>
          <w:sz w:val="22"/>
          <w:szCs w:val="22"/>
        </w:rPr>
      </w:pPr>
      <w:r>
        <w:rPr>
          <w:rFonts w:ascii="Arial" w:hAnsi="Arial" w:cstheme="minorHAnsi"/>
          <w:color w:val="auto"/>
          <w:sz w:val="22"/>
          <w:szCs w:val="22"/>
          <w:lang w:val="es-UY"/>
        </w:rPr>
        <w:t>En este edificio la reserva de incendio será realizada con tanques de Hormigón armado o mampostería según se solicita en el documento “Especificaciones Técnicas Incendio INUMET” según detalles que provee el contratista.</w:t>
      </w:r>
    </w:p>
    <w:p>
      <w:pPr>
        <w:pStyle w:val="57"/>
        <w:spacing w:line="360" w:lineRule="auto"/>
        <w:jc w:val="both"/>
        <w:rPr>
          <w:rFonts w:ascii="Arial" w:hAnsi="Arial"/>
          <w:sz w:val="22"/>
          <w:szCs w:val="22"/>
        </w:rPr>
      </w:pPr>
      <w:r>
        <w:rPr>
          <w:rFonts w:ascii="Arial" w:hAnsi="Arial" w:cstheme="minorHAnsi"/>
          <w:b/>
          <w:bCs/>
          <w:color w:val="auto"/>
          <w:sz w:val="22"/>
          <w:szCs w:val="22"/>
          <w:lang w:val="es-UY"/>
        </w:rPr>
        <w:t>Por lo que cumple con dicha exigencia. Sin embargo linda con el local que contiene el Grupo Generador y la sala de Medidores de UTE. Por lo que se requiere compartimentar esta vinculación con un muro cortafuego de RF 120min, según ubicación y dimensiones indicadas en planos.</w:t>
      </w:r>
    </w:p>
    <w:p>
      <w:pPr>
        <w:pStyle w:val="57"/>
        <w:spacing w:line="360" w:lineRule="auto"/>
        <w:jc w:val="both"/>
        <w:rPr>
          <w:rFonts w:ascii="Arial" w:hAnsi="Arial"/>
          <w:b/>
          <w:bCs/>
          <w:color w:val="auto"/>
          <w:sz w:val="22"/>
          <w:szCs w:val="22"/>
          <w:lang w:val="es-UY"/>
        </w:rPr>
      </w:pPr>
    </w:p>
    <w:p>
      <w:pPr>
        <w:pStyle w:val="57"/>
        <w:pBdr>
          <w:bottom w:val="single" w:color="000000" w:sz="4" w:space="1"/>
        </w:pBdr>
        <w:spacing w:line="360" w:lineRule="auto"/>
        <w:ind w:firstLine="0"/>
        <w:jc w:val="both"/>
        <w:rPr>
          <w:rFonts w:ascii="Arial" w:hAnsi="Arial"/>
          <w:sz w:val="22"/>
          <w:szCs w:val="22"/>
        </w:rPr>
      </w:pPr>
      <w:r>
        <w:rPr>
          <w:rFonts w:ascii="Arial" w:hAnsi="Arial" w:cstheme="minorHAnsi"/>
          <w:b/>
          <w:color w:val="auto"/>
          <w:sz w:val="22"/>
          <w:szCs w:val="22"/>
          <w:lang w:val="es-UY"/>
        </w:rPr>
        <w:t>TIPOS DE MUROS</w:t>
      </w:r>
    </w:p>
    <w:p>
      <w:pPr>
        <w:spacing w:before="0" w:after="0" w:line="360" w:lineRule="auto"/>
        <w:jc w:val="both"/>
        <w:rPr>
          <w:rFonts w:ascii="Arial" w:hAnsi="Arial"/>
          <w:sz w:val="22"/>
          <w:szCs w:val="22"/>
        </w:rPr>
      </w:pPr>
      <w:r>
        <w:rPr>
          <w:rFonts w:ascii="Arial" w:hAnsi="Arial" w:cstheme="minorHAnsi"/>
          <w:b/>
          <w:sz w:val="22"/>
          <w:szCs w:val="22"/>
        </w:rPr>
        <w:t>La resistencia que se busca en estos muros es de 120 min.</w:t>
      </w:r>
    </w:p>
    <w:p>
      <w:pPr>
        <w:pStyle w:val="57"/>
        <w:spacing w:line="360" w:lineRule="auto"/>
        <w:rPr>
          <w:rFonts w:ascii="Arial" w:hAnsi="Arial"/>
          <w:sz w:val="22"/>
          <w:szCs w:val="22"/>
        </w:rPr>
      </w:pPr>
      <w:r>
        <w:rPr>
          <w:rFonts w:ascii="Arial" w:hAnsi="Arial" w:cstheme="minorHAnsi"/>
          <w:color w:val="auto"/>
          <w:sz w:val="22"/>
          <w:szCs w:val="22"/>
          <w:lang w:val="es-UY"/>
        </w:rPr>
        <w:t>A continuación presento varias tablas de resistencia al fuego de muros de mampostería el INTI (Instituto Nacional de Tecnología Industrial - Argentina) , y de tabiques liviano de Yeso con doble placa roja.</w:t>
      </w:r>
    </w:p>
    <w:p>
      <w:pPr>
        <w:pStyle w:val="57"/>
        <w:spacing w:line="360" w:lineRule="auto"/>
        <w:rPr>
          <w:rFonts w:ascii="Arial" w:hAnsi="Arial"/>
          <w:sz w:val="22"/>
          <w:szCs w:val="22"/>
        </w:rPr>
      </w:pPr>
      <w:r>
        <w:rPr>
          <w:rFonts w:ascii="Arial" w:hAnsi="Arial" w:cstheme="minorHAnsi"/>
          <w:color w:val="auto"/>
          <w:sz w:val="22"/>
          <w:szCs w:val="22"/>
          <w:lang w:val="es-UY"/>
        </w:rPr>
        <w:t>Con esta medida se evita la propagación de la llama entre locales linderos, o hacia la caja de escalera segura, único medio de evacuación vertical del edificio.</w:t>
      </w:r>
    </w:p>
    <w:p>
      <w:pPr>
        <w:pStyle w:val="57"/>
        <w:spacing w:line="360" w:lineRule="auto"/>
        <w:rPr>
          <w:rFonts w:ascii="Arial" w:hAnsi="Arial"/>
          <w:sz w:val="22"/>
          <w:szCs w:val="22"/>
        </w:rPr>
      </w:pPr>
      <w:r>
        <w:rPr>
          <w:rFonts w:ascii="Arial" w:hAnsi="Arial" w:cstheme="minorHAnsi"/>
          <w:color w:val="auto"/>
          <w:sz w:val="22"/>
          <w:szCs w:val="22"/>
          <w:lang w:val="es-UY"/>
        </w:rPr>
        <w:t>El mismo como una barrera acústica deberá ir de losa a losa, atravesando pisos técnicos y cielorrasos, para que la compartimentación sea total.</w:t>
      </w:r>
    </w:p>
    <w:p>
      <w:pPr>
        <w:pStyle w:val="57"/>
        <w:spacing w:line="360" w:lineRule="auto"/>
        <w:rPr>
          <w:rFonts w:ascii="Arial" w:hAnsi="Arial"/>
          <w:sz w:val="22"/>
          <w:szCs w:val="22"/>
        </w:rPr>
      </w:pPr>
      <w:r>
        <w:rPr>
          <w:rFonts w:ascii="Arial" w:hAnsi="Arial" w:cstheme="minorHAnsi"/>
          <w:b/>
          <w:bCs/>
          <w:color w:val="auto"/>
          <w:sz w:val="22"/>
          <w:szCs w:val="22"/>
          <w:lang w:val="es-UY"/>
        </w:rPr>
        <w:t>Ver detalles en planos.</w:t>
      </w:r>
    </w:p>
    <w:p>
      <w:pPr>
        <w:pStyle w:val="57"/>
        <w:spacing w:line="360" w:lineRule="auto"/>
        <w:rPr>
          <w:rFonts w:ascii="Arial" w:hAnsi="Arial" w:cs="Arial"/>
          <w:bCs/>
          <w:color w:val="auto"/>
          <w:sz w:val="22"/>
          <w:szCs w:val="22"/>
          <w:lang w:val="es-UY"/>
        </w:rPr>
      </w:pPr>
    </w:p>
    <w:p>
      <w:pPr>
        <w:pStyle w:val="57"/>
        <w:spacing w:line="360" w:lineRule="auto"/>
        <w:rPr>
          <w:rFonts w:ascii="Arial" w:hAnsi="Arial"/>
          <w:sz w:val="22"/>
          <w:szCs w:val="22"/>
        </w:rPr>
      </w:pPr>
      <w:r>
        <w:rPr>
          <w:rFonts w:ascii="Arial" w:hAnsi="Arial"/>
          <w:sz w:val="22"/>
          <w:szCs w:val="22"/>
        </w:rPr>
        <mc:AlternateContent>
          <mc:Choice Requires="wps">
            <w:drawing>
              <wp:anchor distT="14605" distB="14605" distL="14605" distR="14605" simplePos="0" relativeHeight="251659264" behindDoc="0" locked="0" layoutInCell="0" allowOverlap="1">
                <wp:simplePos x="0" y="0"/>
                <wp:positionH relativeFrom="column">
                  <wp:posOffset>47625</wp:posOffset>
                </wp:positionH>
                <wp:positionV relativeFrom="paragraph">
                  <wp:posOffset>588010</wp:posOffset>
                </wp:positionV>
                <wp:extent cx="6050915" cy="635"/>
                <wp:effectExtent l="14605" t="14605" r="14605" b="14605"/>
                <wp:wrapNone/>
                <wp:docPr id="8" name="Straight Connector 22"/>
                <wp:cNvGraphicFramePr/>
                <a:graphic xmlns:a="http://schemas.openxmlformats.org/drawingml/2006/main">
                  <a:graphicData uri="http://schemas.microsoft.com/office/word/2010/wordprocessingShape">
                    <wps:wsp>
                      <wps:cNvCnPr/>
                      <wps:spPr>
                        <a:xfrm flipH="1">
                          <a:off x="0" y="0"/>
                          <a:ext cx="6050880" cy="720"/>
                        </a:xfrm>
                        <a:prstGeom prst="line">
                          <a:avLst/>
                        </a:prstGeom>
                        <a:ln w="28575">
                          <a:solidFill>
                            <a:srgbClr val="FF0000"/>
                          </a:solidFill>
                          <a:round/>
                        </a:ln>
                      </wps:spPr>
                      <wps:style>
                        <a:lnRef idx="1">
                          <a:schemeClr val="accent1"/>
                        </a:lnRef>
                        <a:fillRef idx="0">
                          <a:schemeClr val="accent1"/>
                        </a:fillRef>
                        <a:effectRef idx="0">
                          <a:schemeClr val="accent1"/>
                        </a:effectRef>
                        <a:fontRef idx="minor"/>
                      </wps:style>
                      <wps:bodyPr/>
                    </wps:wsp>
                  </a:graphicData>
                </a:graphic>
              </wp:anchor>
            </w:drawing>
          </mc:Choice>
          <mc:Fallback>
            <w:pict>
              <v:line id="Straight Connector 22" o:spid="_x0000_s1026" o:spt="20" style="position:absolute;left:0pt;flip:x;margin-left:3.75pt;margin-top:46.3pt;height:0.05pt;width:476.45pt;z-index:251659264;mso-width-relative:page;mso-height-relative:page;" filled="f" stroked="t" coordsize="21600,21600" o:allowincell="f" o:gfxdata="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EeYzVrYAAAABwEAAA8AAAAA&#10;AAAAAQAgAAAAIgAAAGRycy9kb3ducmV2LnhtbFBLAQIUABQAAAAIAIdO4kDHVfYp2wEAALUDAAAO&#10;AAAAAAAAAAEAIAAAACcBAABkcnMvZTJvRG9jLnhtbFBLBQYAAAAABgAGAFkBAAB0BQAAAAA=&#10;">
                <v:fill on="f" focussize="0,0"/>
                <v:stroke weight="2.25pt" color="#FF0000 [3204]" miterlimit="8" joinstyle="round"/>
                <v:imagedata o:title=""/>
                <o:lock v:ext="edit" aspectratio="f"/>
              </v:line>
            </w:pict>
          </mc:Fallback>
        </mc:AlternateContent>
      </w:r>
      <w:r>
        <w:rPr>
          <w:rFonts w:ascii="Arial" w:hAnsi="Arial"/>
          <w:sz w:val="22"/>
          <w:szCs w:val="22"/>
        </w:rPr>
        <w:drawing>
          <wp:inline distT="0" distB="0" distL="0" distR="0">
            <wp:extent cx="6096000" cy="2546985"/>
            <wp:effectExtent l="0" t="0" r="0" b="0"/>
            <wp:docPr id="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7"/>
                    <pic:cNvPicPr>
                      <a:picLocks noChangeAspect="1" noChangeArrowheads="1"/>
                    </pic:cNvPicPr>
                  </pic:nvPicPr>
                  <pic:blipFill>
                    <a:blip r:embed="rId9"/>
                    <a:srcRect l="3683" t="21933" r="2726" b="8550"/>
                    <a:stretch>
                      <a:fillRect/>
                    </a:stretch>
                  </pic:blipFill>
                  <pic:spPr>
                    <a:xfrm>
                      <a:off x="0" y="0"/>
                      <a:ext cx="6096000" cy="2546985"/>
                    </a:xfrm>
                    <a:prstGeom prst="rect">
                      <a:avLst/>
                    </a:prstGeom>
                  </pic:spPr>
                </pic:pic>
              </a:graphicData>
            </a:graphic>
          </wp:inline>
        </w:drawing>
      </w:r>
    </w:p>
    <w:p>
      <w:pPr>
        <w:pStyle w:val="57"/>
        <w:spacing w:line="360" w:lineRule="auto"/>
        <w:ind w:left="720" w:firstLine="0"/>
        <w:rPr>
          <w:rFonts w:ascii="Arial" w:hAnsi="Arial"/>
          <w:sz w:val="22"/>
          <w:szCs w:val="22"/>
        </w:rPr>
      </w:pPr>
      <w:r>
        <w:rPr>
          <w:rFonts w:ascii="Arial" w:hAnsi="Arial"/>
          <w:sz w:val="22"/>
          <w:szCs w:val="22"/>
        </w:rPr>
        <w:drawing>
          <wp:inline distT="0" distB="0" distL="0" distR="0">
            <wp:extent cx="5716905" cy="3881120"/>
            <wp:effectExtent l="0" t="0" r="17145" b="5080"/>
            <wp:docPr id="1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5"/>
                    <pic:cNvPicPr>
                      <a:picLocks noChangeAspect="1" noChangeArrowheads="1"/>
                    </pic:cNvPicPr>
                  </pic:nvPicPr>
                  <pic:blipFill>
                    <a:blip r:embed="rId10"/>
                    <a:srcRect l="30414" t="19750" r="15414" b="9134"/>
                    <a:stretch>
                      <a:fillRect/>
                    </a:stretch>
                  </pic:blipFill>
                  <pic:spPr>
                    <a:xfrm>
                      <a:off x="0" y="0"/>
                      <a:ext cx="5716905" cy="3881120"/>
                    </a:xfrm>
                    <a:prstGeom prst="rect">
                      <a:avLst/>
                    </a:prstGeom>
                  </pic:spPr>
                </pic:pic>
              </a:graphicData>
            </a:graphic>
          </wp:inline>
        </w:drawing>
      </w:r>
      <w:r>
        <w:rPr>
          <w:rFonts w:ascii="Arial" w:hAnsi="Arial"/>
          <w:sz w:val="22"/>
          <w:szCs w:val="22"/>
        </w:rPr>
        <mc:AlternateContent>
          <mc:Choice Requires="wps">
            <w:drawing>
              <wp:anchor distT="14605" distB="14605" distL="14605" distR="14605" simplePos="0" relativeHeight="251659264" behindDoc="0" locked="0" layoutInCell="0" allowOverlap="1">
                <wp:simplePos x="0" y="0"/>
                <wp:positionH relativeFrom="column">
                  <wp:posOffset>641350</wp:posOffset>
                </wp:positionH>
                <wp:positionV relativeFrom="paragraph">
                  <wp:posOffset>888365</wp:posOffset>
                </wp:positionV>
                <wp:extent cx="4945380" cy="635"/>
                <wp:effectExtent l="14605" t="14605" r="14605" b="14605"/>
                <wp:wrapNone/>
                <wp:docPr id="10" name="Straight Connector 46"/>
                <wp:cNvGraphicFramePr/>
                <a:graphic xmlns:a="http://schemas.openxmlformats.org/drawingml/2006/main">
                  <a:graphicData uri="http://schemas.microsoft.com/office/word/2010/wordprocessingShape">
                    <wps:wsp>
                      <wps:cNvCnPr/>
                      <wps:spPr>
                        <a:xfrm flipH="1">
                          <a:off x="0" y="0"/>
                          <a:ext cx="4945320" cy="720"/>
                        </a:xfrm>
                        <a:prstGeom prst="line">
                          <a:avLst/>
                        </a:prstGeom>
                        <a:ln w="28575">
                          <a:solidFill>
                            <a:srgbClr val="FF0000"/>
                          </a:solidFill>
                          <a:round/>
                        </a:ln>
                      </wps:spPr>
                      <wps:style>
                        <a:lnRef idx="1">
                          <a:schemeClr val="accent1"/>
                        </a:lnRef>
                        <a:fillRef idx="0">
                          <a:schemeClr val="accent1"/>
                        </a:fillRef>
                        <a:effectRef idx="0">
                          <a:schemeClr val="accent1"/>
                        </a:effectRef>
                        <a:fontRef idx="minor"/>
                      </wps:style>
                      <wps:bodyPr/>
                    </wps:wsp>
                  </a:graphicData>
                </a:graphic>
              </wp:anchor>
            </w:drawing>
          </mc:Choice>
          <mc:Fallback>
            <w:pict>
              <v:line id="Straight Connector 46" o:spid="_x0000_s1026" o:spt="20" style="position:absolute;left:0pt;flip:x;margin-left:50.5pt;margin-top:69.95pt;height:0.05pt;width:389.4pt;z-index:251659264;mso-width-relative:page;mso-height-relative:page;" filled="f" stroked="t" coordsize="21600,21600" o:allowincell="f" o:gfxdata="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1PARhdwAAAALAQAA&#10;DwAAAAAAAAABACAAAAAiAAAAZHJzL2Rvd25yZXYueG1sUEsBAhQAFAAAAAgAh07iQOyC193cAQAA&#10;tgMAAA4AAAAAAAAAAQAgAAAAKwEAAGRycy9lMm9Eb2MueG1sUEsFBgAAAAAGAAYAWQEAAHkFAAAA&#10;AA==&#10;">
                <v:fill on="f" focussize="0,0"/>
                <v:stroke weight="2.25pt" color="#FF0000 [3204]" miterlimit="8" joinstyle="round"/>
                <v:imagedata o:title=""/>
                <o:lock v:ext="edit" aspectratio="f"/>
              </v:line>
            </w:pict>
          </mc:Fallback>
        </mc:AlternateContent>
      </w:r>
      <w:r>
        <w:rPr>
          <w:rFonts w:ascii="Arial" w:hAnsi="Arial"/>
          <w:sz w:val="22"/>
          <w:szCs w:val="22"/>
        </w:rPr>
        <mc:AlternateContent>
          <mc:Choice Requires="wps">
            <w:drawing>
              <wp:anchor distT="14605" distB="14605" distL="14605" distR="14605" simplePos="0" relativeHeight="251659264" behindDoc="0" locked="0" layoutInCell="0" allowOverlap="1">
                <wp:simplePos x="0" y="0"/>
                <wp:positionH relativeFrom="column">
                  <wp:posOffset>4736465</wp:posOffset>
                </wp:positionH>
                <wp:positionV relativeFrom="paragraph">
                  <wp:posOffset>1172210</wp:posOffset>
                </wp:positionV>
                <wp:extent cx="850265" cy="635"/>
                <wp:effectExtent l="14605" t="14605" r="14605" b="14605"/>
                <wp:wrapNone/>
                <wp:docPr id="11" name="Straight Connector 47"/>
                <wp:cNvGraphicFramePr/>
                <a:graphic xmlns:a="http://schemas.openxmlformats.org/drawingml/2006/main">
                  <a:graphicData uri="http://schemas.microsoft.com/office/word/2010/wordprocessingShape">
                    <wps:wsp>
                      <wps:cNvCnPr/>
                      <wps:spPr>
                        <a:xfrm flipH="1">
                          <a:off x="0" y="0"/>
                          <a:ext cx="850320" cy="720"/>
                        </a:xfrm>
                        <a:prstGeom prst="line">
                          <a:avLst/>
                        </a:prstGeom>
                        <a:ln w="28575">
                          <a:solidFill>
                            <a:srgbClr val="FF0000"/>
                          </a:solidFill>
                          <a:round/>
                        </a:ln>
                      </wps:spPr>
                      <wps:style>
                        <a:lnRef idx="1">
                          <a:schemeClr val="accent1"/>
                        </a:lnRef>
                        <a:fillRef idx="0">
                          <a:schemeClr val="accent1"/>
                        </a:fillRef>
                        <a:effectRef idx="0">
                          <a:schemeClr val="accent1"/>
                        </a:effectRef>
                        <a:fontRef idx="minor"/>
                      </wps:style>
                      <wps:bodyPr/>
                    </wps:wsp>
                  </a:graphicData>
                </a:graphic>
              </wp:anchor>
            </w:drawing>
          </mc:Choice>
          <mc:Fallback>
            <w:pict>
              <v:line id="Straight Connector 47" o:spid="_x0000_s1026" o:spt="20" style="position:absolute;left:0pt;flip:x;margin-left:372.95pt;margin-top:92.3pt;height:0.05pt;width:66.95pt;z-index:251659264;mso-width-relative:page;mso-height-relative:page;" filled="f" stroked="t" coordsize="21600,21600" o:allowincell="f" o:gfxdata="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IdVD39wAAAALAQAADwAA&#10;AAAAAAABACAAAAAiAAAAZHJzL2Rvd25yZXYueG1sUEsBAhQAFAAAAAgAh07iQGND3QXZAQAAtQMA&#10;AA4AAAAAAAAAAQAgAAAAKwEAAGRycy9lMm9Eb2MueG1sUEsFBgAAAAAGAAYAWQEAAHYFAAAAAA==&#10;">
                <v:fill on="f" focussize="0,0"/>
                <v:stroke weight="2.25pt" color="#FF0000 [3204]" miterlimit="8" joinstyle="round"/>
                <v:imagedata o:title=""/>
                <o:lock v:ext="edit" aspectratio="f"/>
              </v:line>
            </w:pict>
          </mc:Fallback>
        </mc:AlternateContent>
      </w:r>
      <w:r>
        <w:rPr>
          <w:rFonts w:ascii="Arial" w:hAnsi="Arial"/>
          <w:sz w:val="22"/>
          <w:szCs w:val="22"/>
        </w:rPr>
        <mc:AlternateContent>
          <mc:Choice Requires="wps">
            <w:drawing>
              <wp:anchor distT="14605" distB="14605" distL="14605" distR="14605" simplePos="0" relativeHeight="251659264" behindDoc="0" locked="0" layoutInCell="0" allowOverlap="1">
                <wp:simplePos x="0" y="0"/>
                <wp:positionH relativeFrom="column">
                  <wp:posOffset>5220970</wp:posOffset>
                </wp:positionH>
                <wp:positionV relativeFrom="paragraph">
                  <wp:posOffset>1325245</wp:posOffset>
                </wp:positionV>
                <wp:extent cx="365760" cy="0"/>
                <wp:effectExtent l="14605" t="14605" r="14605" b="14605"/>
                <wp:wrapNone/>
                <wp:docPr id="12" name="Straight Connector 1"/>
                <wp:cNvGraphicFramePr/>
                <a:graphic xmlns:a="http://schemas.openxmlformats.org/drawingml/2006/main">
                  <a:graphicData uri="http://schemas.microsoft.com/office/word/2010/wordprocessingShape">
                    <wps:wsp>
                      <wps:cNvCnPr/>
                      <wps:spPr>
                        <a:xfrm flipH="1">
                          <a:off x="0" y="0"/>
                          <a:ext cx="365760" cy="0"/>
                        </a:xfrm>
                        <a:prstGeom prst="line">
                          <a:avLst/>
                        </a:prstGeom>
                        <a:ln w="28575">
                          <a:solidFill>
                            <a:srgbClr val="FF0000"/>
                          </a:solidFill>
                          <a:round/>
                        </a:ln>
                      </wps:spPr>
                      <wps:style>
                        <a:lnRef idx="1">
                          <a:schemeClr val="accent1"/>
                        </a:lnRef>
                        <a:fillRef idx="0">
                          <a:schemeClr val="accent1"/>
                        </a:fillRef>
                        <a:effectRef idx="0">
                          <a:schemeClr val="accent1"/>
                        </a:effectRef>
                        <a:fontRef idx="minor"/>
                      </wps:style>
                      <wps:bodyPr/>
                    </wps:wsp>
                  </a:graphicData>
                </a:graphic>
              </wp:anchor>
            </w:drawing>
          </mc:Choice>
          <mc:Fallback>
            <w:pict>
              <v:line id="Straight Connector 1" o:spid="_x0000_s1026" o:spt="20" style="position:absolute;left:0pt;flip:x;margin-left:411.1pt;margin-top:104.35pt;height:0pt;width:28.8pt;z-index:251659264;mso-width-relative:page;mso-height-relative:page;" filled="f" stroked="t" coordsize="21600,21600" o:allowincell="f" o:gfxdata="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FN3p02gAAAAsBAAAPAAAAAAAA&#10;AAEAIAAAACIAAABkcnMvZG93bnJldi54bWxQSwECFAAUAAAACACHTuJAdqJfNdcBAACyAwAADgAA&#10;AAAAAAABACAAAAApAQAAZHJzL2Uyb0RvYy54bWxQSwUGAAAAAAYABgBZAQAAcgUAAAAA&#10;">
                <v:fill on="f" focussize="0,0"/>
                <v:stroke weight="2.25pt" color="#FF0000 [3204]" miterlimit="8" joinstyle="round"/>
                <v:imagedata o:title=""/>
                <o:lock v:ext="edit" aspectratio="f"/>
              </v:line>
            </w:pict>
          </mc:Fallback>
        </mc:AlternateContent>
      </w:r>
    </w:p>
    <w:p>
      <w:pPr>
        <w:pStyle w:val="57"/>
        <w:spacing w:line="360" w:lineRule="auto"/>
        <w:ind w:left="720" w:firstLine="0"/>
        <w:rPr>
          <w:rFonts w:ascii="Arial" w:hAnsi="Arial" w:cs="Verdana"/>
          <w:color w:val="auto"/>
          <w:sz w:val="22"/>
          <w:szCs w:val="22"/>
          <w:lang w:val="es-UY"/>
        </w:rPr>
      </w:pPr>
    </w:p>
    <w:p>
      <w:pPr>
        <w:pStyle w:val="57"/>
        <w:spacing w:line="360" w:lineRule="auto"/>
        <w:ind w:left="720" w:firstLine="0"/>
        <w:rPr>
          <w:rFonts w:ascii="Arial" w:hAnsi="Arial"/>
          <w:sz w:val="22"/>
          <w:szCs w:val="22"/>
        </w:rPr>
      </w:pPr>
      <w:r>
        <w:rPr>
          <w:rFonts w:ascii="Arial" w:hAnsi="Arial"/>
          <w:sz w:val="22"/>
          <w:szCs w:val="22"/>
        </w:rPr>
        <w:drawing>
          <wp:inline distT="0" distB="0" distL="0" distR="0">
            <wp:extent cx="5732145" cy="1218565"/>
            <wp:effectExtent l="0" t="0" r="0" b="0"/>
            <wp:docPr id="1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4"/>
                    <pic:cNvPicPr>
                      <a:picLocks noChangeAspect="1" noChangeArrowheads="1"/>
                    </pic:cNvPicPr>
                  </pic:nvPicPr>
                  <pic:blipFill>
                    <a:blip r:embed="rId11"/>
                    <a:srcRect l="18326" t="36778" r="7221" b="35052"/>
                    <a:stretch>
                      <a:fillRect/>
                    </a:stretch>
                  </pic:blipFill>
                  <pic:spPr>
                    <a:xfrm>
                      <a:off x="0" y="0"/>
                      <a:ext cx="5732145" cy="1218565"/>
                    </a:xfrm>
                    <a:prstGeom prst="rect">
                      <a:avLst/>
                    </a:prstGeom>
                  </pic:spPr>
                </pic:pic>
              </a:graphicData>
            </a:graphic>
          </wp:inline>
        </w:drawing>
      </w:r>
    </w:p>
    <w:p>
      <w:pPr>
        <w:pStyle w:val="57"/>
        <w:spacing w:line="360" w:lineRule="auto"/>
        <w:ind w:left="720" w:firstLine="0"/>
        <w:rPr>
          <w:rFonts w:ascii="Arial" w:hAnsi="Arial"/>
          <w:sz w:val="22"/>
          <w:szCs w:val="22"/>
        </w:rPr>
      </w:pPr>
      <w:r>
        <w:rPr>
          <w:rFonts w:ascii="Arial" w:hAnsi="Arial"/>
          <w:sz w:val="22"/>
          <w:szCs w:val="22"/>
        </w:rPr>
        <w:drawing>
          <wp:inline distT="0" distB="0" distL="0" distR="0">
            <wp:extent cx="5732145" cy="615315"/>
            <wp:effectExtent l="0" t="0" r="0" b="0"/>
            <wp:docPr id="1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0"/>
                    <pic:cNvPicPr>
                      <a:picLocks noChangeAspect="1" noChangeArrowheads="1"/>
                    </pic:cNvPicPr>
                  </pic:nvPicPr>
                  <pic:blipFill>
                    <a:blip r:embed="rId12"/>
                    <a:srcRect l="21638" t="68059" r="7266" b="18276"/>
                    <a:stretch>
                      <a:fillRect/>
                    </a:stretch>
                  </pic:blipFill>
                  <pic:spPr>
                    <a:xfrm>
                      <a:off x="0" y="0"/>
                      <a:ext cx="5732145" cy="615315"/>
                    </a:xfrm>
                    <a:prstGeom prst="rect">
                      <a:avLst/>
                    </a:prstGeom>
                  </pic:spPr>
                </pic:pic>
              </a:graphicData>
            </a:graphic>
          </wp:inline>
        </w:drawing>
      </w:r>
    </w:p>
    <w:p>
      <w:pPr>
        <w:pStyle w:val="57"/>
        <w:pBdr>
          <w:bottom w:val="single" w:color="000000" w:sz="4" w:space="1"/>
        </w:pBdr>
        <w:spacing w:line="360" w:lineRule="auto"/>
        <w:ind w:left="720" w:firstLine="0"/>
        <w:jc w:val="both"/>
        <w:rPr>
          <w:rFonts w:ascii="Arial" w:hAnsi="Arial" w:cstheme="minorHAnsi"/>
          <w:b/>
          <w:color w:val="auto"/>
          <w:sz w:val="22"/>
          <w:szCs w:val="22"/>
          <w:lang w:val="es-UY"/>
        </w:rPr>
      </w:pPr>
    </w:p>
    <w:p>
      <w:pPr>
        <w:pStyle w:val="57"/>
        <w:pBdr>
          <w:bottom w:val="single" w:color="000000" w:sz="4" w:space="1"/>
        </w:pBdr>
        <w:spacing w:line="360" w:lineRule="auto"/>
        <w:ind w:left="720" w:firstLine="0"/>
        <w:jc w:val="both"/>
        <w:rPr>
          <w:rFonts w:ascii="Arial" w:hAnsi="Arial" w:cstheme="minorHAnsi"/>
          <w:b/>
          <w:color w:val="auto"/>
          <w:sz w:val="22"/>
          <w:szCs w:val="22"/>
          <w:lang w:val="es-UY"/>
        </w:rPr>
      </w:pPr>
    </w:p>
    <w:p>
      <w:pPr>
        <w:pStyle w:val="57"/>
        <w:pBdr>
          <w:bottom w:val="single" w:color="000000" w:sz="4" w:space="1"/>
        </w:pBdr>
        <w:spacing w:line="360" w:lineRule="auto"/>
        <w:ind w:left="720" w:firstLine="0"/>
        <w:jc w:val="both"/>
        <w:rPr>
          <w:rFonts w:ascii="Arial" w:hAnsi="Arial" w:cstheme="minorHAnsi"/>
          <w:b/>
          <w:color w:val="auto"/>
          <w:sz w:val="22"/>
          <w:szCs w:val="22"/>
          <w:lang w:val="es-UY"/>
        </w:rPr>
      </w:pPr>
    </w:p>
    <w:p>
      <w:pPr>
        <w:pStyle w:val="57"/>
        <w:pBdr>
          <w:bottom w:val="single" w:color="000000" w:sz="4" w:space="1"/>
        </w:pBdr>
        <w:spacing w:line="360" w:lineRule="auto"/>
        <w:ind w:left="720" w:firstLine="0"/>
        <w:jc w:val="both"/>
        <w:rPr>
          <w:rFonts w:ascii="Arial" w:hAnsi="Arial" w:cstheme="minorHAnsi"/>
          <w:b/>
          <w:color w:val="auto"/>
          <w:sz w:val="22"/>
          <w:szCs w:val="22"/>
          <w:lang w:val="es-UY"/>
        </w:rPr>
      </w:pPr>
    </w:p>
    <w:p>
      <w:pPr>
        <w:pStyle w:val="57"/>
        <w:pBdr>
          <w:bottom w:val="single" w:color="000000" w:sz="4" w:space="1"/>
        </w:pBdr>
        <w:spacing w:line="360" w:lineRule="auto"/>
        <w:ind w:left="720" w:firstLine="0"/>
        <w:jc w:val="both"/>
        <w:rPr>
          <w:rFonts w:ascii="Arial" w:hAnsi="Arial" w:cstheme="minorHAnsi"/>
          <w:b/>
          <w:color w:val="auto"/>
          <w:sz w:val="22"/>
          <w:szCs w:val="22"/>
          <w:lang w:val="es-UY"/>
        </w:rPr>
      </w:pPr>
    </w:p>
    <w:p>
      <w:pPr>
        <w:pStyle w:val="57"/>
        <w:pBdr>
          <w:bottom w:val="single" w:color="000000" w:sz="4" w:space="1"/>
        </w:pBdr>
        <w:spacing w:line="360" w:lineRule="auto"/>
        <w:ind w:left="720" w:firstLine="0"/>
        <w:jc w:val="both"/>
        <w:rPr>
          <w:rFonts w:ascii="Arial" w:hAnsi="Arial" w:cstheme="minorHAnsi"/>
          <w:b/>
          <w:color w:val="auto"/>
          <w:sz w:val="22"/>
          <w:szCs w:val="22"/>
          <w:lang w:val="es-UY"/>
        </w:rPr>
      </w:pPr>
    </w:p>
    <w:p>
      <w:pPr>
        <w:pStyle w:val="57"/>
        <w:pBdr>
          <w:bottom w:val="single" w:color="000000" w:sz="4" w:space="1"/>
        </w:pBdr>
        <w:spacing w:line="360" w:lineRule="auto"/>
        <w:jc w:val="both"/>
        <w:rPr>
          <w:rFonts w:ascii="Arial" w:hAnsi="Arial"/>
          <w:sz w:val="22"/>
          <w:szCs w:val="22"/>
        </w:rPr>
      </w:pPr>
      <w:r>
        <w:rPr>
          <w:rFonts w:ascii="Arial" w:hAnsi="Arial" w:cstheme="minorHAnsi"/>
          <w:b/>
          <w:color w:val="auto"/>
          <w:sz w:val="22"/>
          <w:szCs w:val="22"/>
          <w:lang w:val="es-UY"/>
        </w:rPr>
        <w:t>PUERTAS CORTA-FUEGO (PCF)</w:t>
      </w:r>
    </w:p>
    <w:p>
      <w:pPr>
        <w:spacing w:before="0" w:after="0" w:line="360" w:lineRule="auto"/>
        <w:ind w:left="720" w:firstLine="0"/>
        <w:jc w:val="center"/>
        <w:rPr>
          <w:rFonts w:ascii="Arial" w:hAnsi="Arial" w:cs="Calibri"/>
          <w:sz w:val="22"/>
          <w:szCs w:val="22"/>
        </w:rPr>
      </w:pPr>
    </w:p>
    <w:p>
      <w:pPr>
        <w:spacing w:before="0" w:after="0" w:line="360" w:lineRule="auto"/>
        <w:ind w:left="720" w:firstLine="0"/>
        <w:jc w:val="center"/>
        <w:rPr>
          <w:rFonts w:ascii="Arial" w:hAnsi="Arial"/>
          <w:sz w:val="22"/>
          <w:szCs w:val="22"/>
        </w:rPr>
      </w:pPr>
      <w:r>
        <w:rPr>
          <w:rFonts w:ascii="Arial" w:hAnsi="Arial"/>
          <w:sz w:val="22"/>
          <w:szCs w:val="22"/>
        </w:rPr>
        <w:drawing>
          <wp:inline distT="0" distB="0" distL="0" distR="0">
            <wp:extent cx="5090795" cy="1045210"/>
            <wp:effectExtent l="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7"/>
                    <pic:cNvPicPr>
                      <a:picLocks noChangeAspect="1" noChangeArrowheads="1"/>
                    </pic:cNvPicPr>
                  </pic:nvPicPr>
                  <pic:blipFill>
                    <a:blip r:embed="rId13"/>
                    <a:srcRect l="16314" t="19725" r="17214" b="55932"/>
                    <a:stretch>
                      <a:fillRect/>
                    </a:stretch>
                  </pic:blipFill>
                  <pic:spPr>
                    <a:xfrm>
                      <a:off x="0" y="0"/>
                      <a:ext cx="5090795" cy="1045210"/>
                    </a:xfrm>
                    <a:prstGeom prst="rect">
                      <a:avLst/>
                    </a:prstGeom>
                  </pic:spPr>
                </pic:pic>
              </a:graphicData>
            </a:graphic>
          </wp:inline>
        </w:drawing>
      </w:r>
    </w:p>
    <w:p>
      <w:pPr>
        <w:spacing w:before="0" w:after="0" w:line="360" w:lineRule="auto"/>
        <w:ind w:left="720" w:firstLine="0"/>
        <w:jc w:val="right"/>
        <w:rPr>
          <w:rFonts w:ascii="Arial" w:hAnsi="Arial"/>
          <w:sz w:val="22"/>
          <w:szCs w:val="22"/>
        </w:rPr>
      </w:pPr>
      <w:r>
        <w:rPr>
          <w:rFonts w:ascii="Arial" w:hAnsi="Arial" w:cs="Verdana"/>
          <w:i/>
          <w:sz w:val="22"/>
          <w:szCs w:val="22"/>
        </w:rPr>
        <w:t>FIG. SENTIDO DE APERTURA DE 1 Y 2 HOJAS.</w:t>
      </w:r>
    </w:p>
    <w:p>
      <w:pPr>
        <w:spacing w:before="0" w:after="0" w:line="360" w:lineRule="auto"/>
        <w:rPr>
          <w:rFonts w:ascii="Arial" w:hAnsi="Arial" w:cs="Calibri"/>
          <w:sz w:val="22"/>
          <w:szCs w:val="22"/>
        </w:rPr>
      </w:pPr>
    </w:p>
    <w:p>
      <w:pPr>
        <w:spacing w:before="0" w:after="0" w:line="360" w:lineRule="auto"/>
        <w:rPr>
          <w:rFonts w:ascii="Arial" w:hAnsi="Arial"/>
          <w:sz w:val="22"/>
          <w:szCs w:val="22"/>
        </w:rPr>
      </w:pPr>
      <w:r>
        <w:rPr>
          <w:rFonts w:ascii="Arial" w:hAnsi="Arial" w:cstheme="minorHAnsi"/>
          <w:sz w:val="22"/>
          <w:szCs w:val="22"/>
        </w:rPr>
        <w:t>A continuación, se enumeran las diferentes puertas cortafuego con las que contará la Edificación.</w:t>
      </w:r>
    </w:p>
    <w:p>
      <w:pPr>
        <w:spacing w:before="0" w:after="0" w:line="360" w:lineRule="auto"/>
        <w:jc w:val="both"/>
        <w:rPr>
          <w:rFonts w:ascii="Arial" w:hAnsi="Arial" w:cs="Calibri"/>
          <w:b/>
          <w:sz w:val="22"/>
          <w:szCs w:val="22"/>
        </w:rPr>
      </w:pPr>
    </w:p>
    <w:p>
      <w:pPr>
        <w:spacing w:before="0" w:after="0" w:line="360" w:lineRule="auto"/>
        <w:jc w:val="both"/>
        <w:rPr>
          <w:rFonts w:ascii="Arial" w:hAnsi="Arial"/>
          <w:sz w:val="22"/>
          <w:szCs w:val="22"/>
        </w:rPr>
      </w:pPr>
      <w:r>
        <w:rPr>
          <w:rFonts w:ascii="Arial" w:hAnsi="Arial" w:cstheme="minorHAnsi"/>
          <w:b/>
          <w:sz w:val="22"/>
          <w:szCs w:val="22"/>
        </w:rPr>
        <w:t>PUERTA DE INGRESO A SALA DE MEDIDORES DE UTE.</w:t>
      </w:r>
    </w:p>
    <w:p>
      <w:pPr>
        <w:spacing w:before="0" w:after="0" w:line="360" w:lineRule="auto"/>
        <w:jc w:val="both"/>
        <w:rPr>
          <w:rFonts w:ascii="Arial" w:hAnsi="Arial"/>
          <w:sz w:val="22"/>
          <w:szCs w:val="22"/>
        </w:rPr>
      </w:pPr>
      <w:r>
        <w:rPr>
          <w:rFonts w:ascii="Arial" w:hAnsi="Arial" w:cstheme="minorHAnsi"/>
          <w:sz w:val="22"/>
          <w:szCs w:val="22"/>
        </w:rPr>
        <w:t>Se aislará de la caja de escalera de acceso a este local, en el edificio con puertas corta-fuego, la cual deberá ofrecer resistencia durante noventa minutos a la acción del fuego (RF 90min) o superior.</w:t>
      </w:r>
    </w:p>
    <w:p>
      <w:pPr>
        <w:spacing w:before="0" w:after="0" w:line="360" w:lineRule="auto"/>
        <w:jc w:val="both"/>
        <w:rPr>
          <w:rFonts w:ascii="Arial" w:hAnsi="Arial"/>
          <w:sz w:val="22"/>
          <w:szCs w:val="22"/>
        </w:rPr>
      </w:pPr>
      <w:r>
        <w:rPr>
          <w:rFonts w:ascii="Arial" w:hAnsi="Arial" w:cstheme="minorHAnsi"/>
          <w:b/>
          <w:bCs/>
          <w:sz w:val="22"/>
          <w:szCs w:val="22"/>
        </w:rPr>
        <w:t>CANTIDAD: 1</w:t>
      </w:r>
    </w:p>
    <w:p>
      <w:pPr>
        <w:tabs>
          <w:tab w:val="left" w:pos="6804"/>
        </w:tabs>
        <w:spacing w:before="0" w:after="0" w:line="360" w:lineRule="auto"/>
        <w:jc w:val="both"/>
        <w:rPr>
          <w:rFonts w:ascii="Arial" w:hAnsi="Arial" w:cs="Calibri"/>
          <w:b/>
          <w:sz w:val="22"/>
          <w:szCs w:val="22"/>
        </w:rPr>
      </w:pPr>
    </w:p>
    <w:p>
      <w:pPr>
        <w:tabs>
          <w:tab w:val="left" w:pos="6804"/>
        </w:tabs>
        <w:spacing w:before="0" w:after="0" w:line="360" w:lineRule="auto"/>
        <w:jc w:val="both"/>
        <w:rPr>
          <w:rFonts w:ascii="Arial" w:hAnsi="Arial"/>
          <w:sz w:val="22"/>
          <w:szCs w:val="22"/>
        </w:rPr>
      </w:pPr>
      <w:r>
        <w:rPr>
          <w:rFonts w:ascii="Arial" w:hAnsi="Arial" w:cstheme="minorHAnsi"/>
          <w:b/>
          <w:sz w:val="22"/>
          <w:szCs w:val="22"/>
        </w:rPr>
        <w:t>CARACTERÍSTICAS I DIMENSIONES</w:t>
      </w:r>
    </w:p>
    <w:p>
      <w:pPr>
        <w:spacing w:before="0" w:after="0" w:line="360" w:lineRule="auto"/>
        <w:jc w:val="both"/>
        <w:rPr>
          <w:rFonts w:ascii="Arial" w:hAnsi="Arial"/>
          <w:sz w:val="22"/>
          <w:szCs w:val="22"/>
        </w:rPr>
      </w:pPr>
      <w:r>
        <w:rPr>
          <w:rFonts w:ascii="Arial" w:hAnsi="Arial" w:cstheme="minorHAnsi"/>
          <w:sz w:val="22"/>
          <w:szCs w:val="22"/>
        </w:rPr>
        <w:t>No entorpecerá u obstaculizará la circulación de personas por la escalera. A tal efecto, se establecerá un pasaje de libre circulación de 60cm de ancho en el descanso de la caja de escalera como mínimo, aun estando abierta la puerta.</w:t>
      </w:r>
    </w:p>
    <w:p>
      <w:pPr>
        <w:pStyle w:val="57"/>
        <w:spacing w:line="360" w:lineRule="auto"/>
        <w:jc w:val="both"/>
        <w:rPr>
          <w:rFonts w:ascii="Arial" w:hAnsi="Arial"/>
          <w:sz w:val="22"/>
          <w:szCs w:val="22"/>
        </w:rPr>
      </w:pPr>
      <w:r>
        <w:rPr>
          <w:rFonts w:ascii="Arial" w:hAnsi="Arial" w:cstheme="minorHAnsi"/>
          <w:b/>
          <w:bCs/>
          <w:color w:val="auto"/>
          <w:sz w:val="22"/>
          <w:szCs w:val="22"/>
          <w:lang w:val="es-UY"/>
        </w:rPr>
        <w:t>La longitud mínima del vano libre debe ser de 0,8 metros</w:t>
      </w:r>
      <w:r>
        <w:rPr>
          <w:rFonts w:ascii="Arial" w:hAnsi="Arial" w:cstheme="minorHAnsi"/>
          <w:color w:val="auto"/>
          <w:sz w:val="22"/>
          <w:szCs w:val="22"/>
          <w:lang w:val="es-UY"/>
        </w:rPr>
        <w:t>. (Según IT 2 de Uruguay)</w:t>
      </w:r>
    </w:p>
    <w:p>
      <w:pPr>
        <w:pStyle w:val="57"/>
        <w:spacing w:line="360" w:lineRule="auto"/>
        <w:jc w:val="both"/>
        <w:rPr>
          <w:rFonts w:ascii="Arial" w:hAnsi="Arial"/>
          <w:color w:val="auto"/>
          <w:sz w:val="22"/>
          <w:szCs w:val="22"/>
          <w:lang w:val="es-UY"/>
        </w:rPr>
      </w:pPr>
    </w:p>
    <w:p>
      <w:pPr>
        <w:spacing w:before="0" w:after="0" w:line="360" w:lineRule="auto"/>
        <w:jc w:val="both"/>
        <w:rPr>
          <w:rFonts w:ascii="Arial" w:hAnsi="Arial"/>
          <w:sz w:val="22"/>
          <w:szCs w:val="22"/>
        </w:rPr>
      </w:pPr>
      <w:r>
        <w:rPr>
          <w:rFonts w:ascii="Arial" w:hAnsi="Arial" w:cstheme="minorHAnsi"/>
          <w:sz w:val="22"/>
          <w:szCs w:val="22"/>
        </w:rPr>
        <w:t>Contarán con cierre automático, abrirán en el sentido de la evacuación (en nivel de acceso abren hacia el Hall, en palieres abren hacia la caja de escalera, en azotea abre hacia la azotea), y no podrán tener trabas, pasadores y otros obstáculos que impidan su rápida apertura.</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b/>
          <w:sz w:val="22"/>
          <w:szCs w:val="22"/>
        </w:rPr>
        <w:t>Estas puertas deberán de permanecer siempre cerradas para garantizar la compartimentación y seguridad de la caja de escalera única medio seguro de evacuación de la edificación.</w:t>
      </w:r>
    </w:p>
    <w:p>
      <w:pPr>
        <w:spacing w:before="0" w:after="0" w:line="360" w:lineRule="auto"/>
        <w:jc w:val="both"/>
        <w:rPr>
          <w:rFonts w:ascii="Arial" w:hAnsi="Arial"/>
          <w:sz w:val="22"/>
          <w:szCs w:val="22"/>
        </w:rPr>
      </w:pPr>
      <w:r>
        <w:rPr>
          <w:rFonts w:ascii="Arial" w:hAnsi="Arial" w:cstheme="minorHAnsi"/>
          <w:sz w:val="22"/>
          <w:szCs w:val="22"/>
        </w:rPr>
        <w:t>Deberá verse los planos para determinar sentido de apertura de la hoja, cantidad de hojas y dimensiones</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b/>
          <w:sz w:val="22"/>
          <w:szCs w:val="22"/>
        </w:rPr>
        <w:t>Los cerramientos cortafuego deben cerrarse automáticamente una vez instalados</w:t>
      </w:r>
      <w:r>
        <w:rPr>
          <w:rFonts w:ascii="Arial" w:hAnsi="Arial" w:cstheme="minorHAnsi"/>
          <w:sz w:val="22"/>
          <w:szCs w:val="22"/>
        </w:rPr>
        <w:t xml:space="preserve"> y estar equipados con los herrajes adecuados para la aplicación correspondiente.</w:t>
      </w:r>
    </w:p>
    <w:p>
      <w:pPr>
        <w:spacing w:before="0" w:after="0" w:line="360" w:lineRule="auto"/>
        <w:jc w:val="center"/>
        <w:rPr>
          <w:rFonts w:ascii="Arial" w:hAnsi="Arial"/>
          <w:sz w:val="22"/>
          <w:szCs w:val="22"/>
        </w:rPr>
      </w:pPr>
      <w:r>
        <w:rPr>
          <w:rFonts w:ascii="Arial" w:hAnsi="Arial"/>
          <w:sz w:val="22"/>
          <w:szCs w:val="22"/>
        </w:rPr>
        <w:drawing>
          <wp:inline distT="0" distB="0" distL="0" distR="0">
            <wp:extent cx="4262120" cy="2392045"/>
            <wp:effectExtent l="0" t="0" r="0" b="0"/>
            <wp:docPr id="17"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32"/>
                    <pic:cNvPicPr>
                      <a:picLocks noChangeAspect="1" noChangeArrowheads="1"/>
                    </pic:cNvPicPr>
                  </pic:nvPicPr>
                  <pic:blipFill>
                    <a:blip r:embed="rId14"/>
                    <a:srcRect l="33854" t="31902" r="34346" b="21340"/>
                    <a:stretch>
                      <a:fillRect/>
                    </a:stretch>
                  </pic:blipFill>
                  <pic:spPr>
                    <a:xfrm>
                      <a:off x="0" y="0"/>
                      <a:ext cx="4262120" cy="2392045"/>
                    </a:xfrm>
                    <a:prstGeom prst="rect">
                      <a:avLst/>
                    </a:prstGeom>
                  </pic:spPr>
                </pic:pic>
              </a:graphicData>
            </a:graphic>
          </wp:inline>
        </w:drawing>
      </w:r>
    </w:p>
    <w:p>
      <w:pPr>
        <w:spacing w:before="0" w:after="0" w:line="360" w:lineRule="auto"/>
        <w:jc w:val="center"/>
        <w:rPr>
          <w:rFonts w:ascii="Arial" w:hAnsi="Arial"/>
          <w:sz w:val="22"/>
          <w:szCs w:val="22"/>
        </w:rPr>
      </w:pPr>
    </w:p>
    <w:p>
      <w:pPr>
        <w:spacing w:before="0" w:after="0" w:line="360" w:lineRule="auto"/>
        <w:jc w:val="both"/>
        <w:rPr>
          <w:rFonts w:ascii="Arial" w:hAnsi="Arial"/>
          <w:sz w:val="22"/>
          <w:szCs w:val="22"/>
        </w:rPr>
      </w:pPr>
      <w:r>
        <w:rPr>
          <w:rFonts w:ascii="Arial" w:hAnsi="Arial" w:cstheme="minorHAnsi"/>
          <w:b/>
          <w:sz w:val="22"/>
          <w:szCs w:val="22"/>
        </w:rPr>
        <w:t xml:space="preserve">MATERIALIDAD </w:t>
      </w:r>
    </w:p>
    <w:p>
      <w:pPr>
        <w:spacing w:before="0" w:after="0" w:line="360" w:lineRule="auto"/>
        <w:jc w:val="both"/>
        <w:rPr>
          <w:rFonts w:ascii="Arial" w:hAnsi="Arial"/>
          <w:sz w:val="22"/>
          <w:szCs w:val="22"/>
        </w:rPr>
      </w:pPr>
      <w:r>
        <w:rPr>
          <w:rFonts w:ascii="Arial" w:hAnsi="Arial" w:cstheme="minorHAnsi"/>
          <w:sz w:val="22"/>
          <w:szCs w:val="22"/>
        </w:rPr>
        <w:t xml:space="preserve">Las puertas de noventa minutos de resistencia a la acción de fuego, serán ciegas, construidas con Hoja de 63mm. de espesor realizada en acero galvanizado de 0,7mm. tipo skinpass, rellena de lana de roca: densidad 180 Kg/m3. </w:t>
      </w:r>
    </w:p>
    <w:p>
      <w:pPr>
        <w:spacing w:before="0" w:after="0" w:line="360" w:lineRule="auto"/>
        <w:jc w:val="both"/>
        <w:rPr>
          <w:rFonts w:ascii="Arial" w:hAnsi="Arial"/>
          <w:sz w:val="22"/>
          <w:szCs w:val="22"/>
        </w:rPr>
      </w:pPr>
      <w:r>
        <w:rPr>
          <w:rFonts w:ascii="Arial" w:hAnsi="Arial" w:cstheme="minorHAnsi"/>
          <w:b/>
          <w:bCs/>
          <w:sz w:val="22"/>
          <w:szCs w:val="22"/>
        </w:rPr>
        <w:t>No llevan vidrio, ni mirilla, ni vidrio.</w:t>
      </w:r>
    </w:p>
    <w:p>
      <w:pPr>
        <w:spacing w:before="0" w:after="0" w:line="360" w:lineRule="auto"/>
        <w:jc w:val="both"/>
        <w:rPr>
          <w:rFonts w:ascii="Arial" w:hAnsi="Arial"/>
          <w:sz w:val="22"/>
          <w:szCs w:val="22"/>
        </w:rPr>
      </w:pPr>
      <w:r>
        <w:rPr>
          <w:rFonts w:ascii="Arial" w:hAnsi="Arial" w:cstheme="minorHAnsi"/>
          <w:sz w:val="22"/>
          <w:szCs w:val="22"/>
        </w:rPr>
        <w:t>En cualquier caso, podrán aceptarse puertas de otras características siempre y cuando estén debidamente certificadas por la D.N.B..</w:t>
      </w:r>
    </w:p>
    <w:p>
      <w:pPr>
        <w:spacing w:before="0" w:after="0" w:line="360" w:lineRule="auto"/>
        <w:jc w:val="both"/>
        <w:rPr>
          <w:rFonts w:ascii="Arial" w:hAnsi="Arial" w:cs="Calibri"/>
          <w:sz w:val="22"/>
          <w:szCs w:val="22"/>
        </w:rPr>
      </w:pPr>
    </w:p>
    <w:p>
      <w:pPr>
        <w:pStyle w:val="57"/>
        <w:spacing w:line="360" w:lineRule="auto"/>
        <w:jc w:val="both"/>
        <w:rPr>
          <w:rFonts w:ascii="Arial" w:hAnsi="Arial"/>
          <w:sz w:val="22"/>
          <w:szCs w:val="22"/>
        </w:rPr>
      </w:pPr>
      <w:r>
        <w:rPr>
          <w:rFonts w:ascii="Arial" w:hAnsi="Arial" w:cstheme="minorHAnsi"/>
          <w:b/>
          <w:color w:val="auto"/>
          <w:sz w:val="22"/>
          <w:szCs w:val="22"/>
          <w:lang w:val="es-UY"/>
        </w:rPr>
        <w:t>HERRAJES</w:t>
      </w:r>
    </w:p>
    <w:p>
      <w:pPr>
        <w:pStyle w:val="57"/>
        <w:spacing w:line="360" w:lineRule="auto"/>
        <w:jc w:val="both"/>
        <w:rPr>
          <w:rFonts w:ascii="Arial" w:hAnsi="Arial"/>
          <w:sz w:val="22"/>
          <w:szCs w:val="22"/>
        </w:rPr>
      </w:pPr>
      <w:r>
        <w:rPr>
          <w:rFonts w:ascii="Arial" w:hAnsi="Arial" w:cstheme="minorHAnsi"/>
          <w:color w:val="auto"/>
          <w:sz w:val="22"/>
          <w:szCs w:val="22"/>
          <w:lang w:val="es-UY"/>
        </w:rPr>
        <w:t xml:space="preserve">El único tipo de puerta admitida es aquella con </w:t>
      </w:r>
      <w:r>
        <w:rPr>
          <w:rFonts w:ascii="Arial" w:hAnsi="Arial" w:cstheme="minorHAnsi"/>
          <w:b/>
          <w:color w:val="auto"/>
          <w:sz w:val="22"/>
          <w:szCs w:val="22"/>
          <w:lang w:val="es-UY"/>
        </w:rPr>
        <w:t>BISAGRAS DE EJE VERTICAL</w:t>
      </w:r>
      <w:r>
        <w:rPr>
          <w:rFonts w:ascii="Arial" w:hAnsi="Arial" w:cstheme="minorHAnsi"/>
          <w:color w:val="auto"/>
          <w:sz w:val="22"/>
          <w:szCs w:val="22"/>
          <w:lang w:val="es-UY"/>
        </w:rPr>
        <w:t xml:space="preserve"> con único sentido de abertura. (Según IT 2 de Uruguay)</w:t>
      </w:r>
    </w:p>
    <w:p>
      <w:pPr>
        <w:spacing w:before="0" w:after="0" w:line="360" w:lineRule="auto"/>
        <w:jc w:val="both"/>
        <w:rPr>
          <w:rFonts w:ascii="Arial" w:hAnsi="Arial"/>
          <w:sz w:val="22"/>
          <w:szCs w:val="22"/>
        </w:rPr>
      </w:pPr>
      <w:r>
        <w:rPr>
          <w:rFonts w:ascii="Arial" w:hAnsi="Arial" w:cstheme="minorHAnsi"/>
          <w:bCs/>
          <w:sz w:val="22"/>
          <w:szCs w:val="22"/>
        </w:rPr>
        <w:t xml:space="preserve">Para el cierre de la puerta automático se utilizara </w:t>
      </w:r>
      <w:r>
        <w:rPr>
          <w:rFonts w:ascii="Arial" w:hAnsi="Arial" w:cstheme="minorHAnsi"/>
          <w:b/>
          <w:sz w:val="22"/>
          <w:szCs w:val="22"/>
        </w:rPr>
        <w:t xml:space="preserve">BRAZO HIDRÁULICO u </w:t>
      </w:r>
      <w:r>
        <w:rPr>
          <w:rFonts w:ascii="Arial" w:hAnsi="Arial" w:cstheme="minorHAnsi"/>
          <w:bCs/>
          <w:sz w:val="22"/>
          <w:szCs w:val="22"/>
        </w:rPr>
        <w:t>otro mecanismo aprobado</w:t>
      </w:r>
      <w:r>
        <w:rPr>
          <w:rFonts w:ascii="Arial" w:hAnsi="Arial" w:cstheme="minorHAnsi"/>
          <w:sz w:val="22"/>
          <w:szCs w:val="22"/>
        </w:rPr>
        <w:t xml:space="preserve"> por la DNB. (Según IT 2 de Uruguay) </w:t>
      </w:r>
      <w:r>
        <w:rPr>
          <w:rFonts w:ascii="Arial" w:hAnsi="Arial" w:cstheme="minorHAnsi"/>
          <w:bCs/>
          <w:sz w:val="22"/>
          <w:szCs w:val="22"/>
        </w:rPr>
        <w:t>Se acepta</w:t>
      </w:r>
      <w:r>
        <w:rPr>
          <w:rFonts w:ascii="Arial" w:hAnsi="Arial" w:cstheme="minorHAnsi"/>
          <w:b/>
          <w:sz w:val="22"/>
          <w:szCs w:val="22"/>
        </w:rPr>
        <w:t xml:space="preserve"> BISAGRA DIN con AUTOCIERRE.</w:t>
      </w:r>
    </w:p>
    <w:p>
      <w:pPr>
        <w:spacing w:before="0" w:after="0" w:line="360" w:lineRule="auto"/>
        <w:jc w:val="both"/>
        <w:rPr>
          <w:rFonts w:ascii="Arial" w:hAnsi="Arial"/>
          <w:sz w:val="22"/>
          <w:szCs w:val="22"/>
        </w:rPr>
      </w:pPr>
      <w:r>
        <w:rPr>
          <w:rFonts w:ascii="Arial" w:hAnsi="Arial" w:cstheme="minorHAnsi"/>
          <w:b/>
          <w:sz w:val="22"/>
          <w:szCs w:val="22"/>
        </w:rPr>
        <w:t>CANTIDAD: para 1 puerta</w:t>
      </w:r>
    </w:p>
    <w:p>
      <w:pPr>
        <w:spacing w:before="0" w:after="0" w:line="360" w:lineRule="auto"/>
        <w:jc w:val="center"/>
        <w:rPr>
          <w:rFonts w:ascii="Arial" w:hAnsi="Arial"/>
          <w:sz w:val="22"/>
          <w:szCs w:val="22"/>
        </w:rPr>
      </w:pPr>
      <w:r>
        <w:rPr>
          <w:rFonts w:ascii="Arial" w:hAnsi="Arial"/>
          <w:sz w:val="22"/>
          <w:szCs w:val="22"/>
        </w:rPr>
        <w:drawing>
          <wp:inline distT="0" distB="0" distL="0" distR="0">
            <wp:extent cx="1635760" cy="789305"/>
            <wp:effectExtent l="0" t="0" r="2540" b="10795"/>
            <wp:docPr id="1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23"/>
                    <pic:cNvPicPr>
                      <a:picLocks noChangeAspect="1" noChangeArrowheads="1"/>
                    </pic:cNvPicPr>
                  </pic:nvPicPr>
                  <pic:blipFill>
                    <a:blip r:embed="rId15"/>
                    <a:srcRect l="9969" t="56129" r="73591" b="29760"/>
                    <a:stretch>
                      <a:fillRect/>
                    </a:stretch>
                  </pic:blipFill>
                  <pic:spPr>
                    <a:xfrm>
                      <a:off x="0" y="0"/>
                      <a:ext cx="1635760" cy="789305"/>
                    </a:xfrm>
                    <a:prstGeom prst="rect">
                      <a:avLst/>
                    </a:prstGeom>
                  </pic:spPr>
                </pic:pic>
              </a:graphicData>
            </a:graphic>
          </wp:inline>
        </w:drawing>
      </w:r>
      <w:r>
        <w:rPr>
          <w:rFonts w:ascii="Arial" w:hAnsi="Arial" w:cstheme="minorHAnsi"/>
          <w:b/>
          <w:sz w:val="22"/>
          <w:szCs w:val="22"/>
        </w:rPr>
        <w:t xml:space="preserve"> </w:t>
      </w:r>
      <w:r>
        <w:rPr>
          <w:rFonts w:ascii="Arial" w:hAnsi="Arial"/>
          <w:sz w:val="22"/>
          <w:szCs w:val="22"/>
        </w:rPr>
        <w:drawing>
          <wp:inline distT="0" distB="0" distL="0" distR="0">
            <wp:extent cx="3930015" cy="2055495"/>
            <wp:effectExtent l="0" t="0" r="0" b="0"/>
            <wp:docPr id="1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24"/>
                    <pic:cNvPicPr>
                      <a:picLocks noChangeAspect="1" noChangeArrowheads="1"/>
                    </pic:cNvPicPr>
                  </pic:nvPicPr>
                  <pic:blipFill>
                    <a:blip r:embed="rId16"/>
                    <a:srcRect l="4937" t="34754" r="33295" b="7832"/>
                    <a:stretch>
                      <a:fillRect/>
                    </a:stretch>
                  </pic:blipFill>
                  <pic:spPr>
                    <a:xfrm>
                      <a:off x="0" y="0"/>
                      <a:ext cx="3930015" cy="2055495"/>
                    </a:xfrm>
                    <a:prstGeom prst="rect">
                      <a:avLst/>
                    </a:prstGeom>
                  </pic:spPr>
                </pic:pic>
              </a:graphicData>
            </a:graphic>
          </wp:inline>
        </w:drawing>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 xml:space="preserve">Todas las puertas llevaran: el </w:t>
      </w:r>
      <w:r>
        <w:rPr>
          <w:rFonts w:ascii="Arial" w:hAnsi="Arial" w:cstheme="minorHAnsi"/>
          <w:b/>
          <w:sz w:val="22"/>
          <w:szCs w:val="22"/>
        </w:rPr>
        <w:t>mecanismo de apertura de MANILLA CORTAFUEGO</w:t>
      </w:r>
      <w:r>
        <w:rPr>
          <w:rFonts w:ascii="Arial" w:hAnsi="Arial" w:cstheme="minorHAnsi"/>
          <w:sz w:val="22"/>
          <w:szCs w:val="22"/>
        </w:rPr>
        <w:t xml:space="preserve"> conforme a las normas establecidas, y acorde al tipo y modelo de puerta utilizado.</w:t>
      </w:r>
    </w:p>
    <w:p>
      <w:pPr>
        <w:spacing w:before="0" w:after="0" w:line="360" w:lineRule="auto"/>
        <w:jc w:val="both"/>
        <w:rPr>
          <w:rFonts w:ascii="Arial" w:hAnsi="Arial"/>
          <w:sz w:val="22"/>
          <w:szCs w:val="22"/>
        </w:rPr>
      </w:pPr>
      <w:r>
        <w:rPr>
          <w:rFonts w:ascii="Arial" w:hAnsi="Arial" w:cstheme="minorHAnsi"/>
          <w:b/>
          <w:bCs/>
          <w:sz w:val="22"/>
          <w:szCs w:val="22"/>
        </w:rPr>
        <w:t>CANTIDAD: 1 par. Sin bocallaves. CONSULTAR D.O.</w:t>
      </w:r>
    </w:p>
    <w:p>
      <w:pPr>
        <w:spacing w:before="0" w:after="0" w:line="360" w:lineRule="auto"/>
        <w:jc w:val="center"/>
        <w:rPr>
          <w:rFonts w:ascii="Arial" w:hAnsi="Arial"/>
          <w:sz w:val="22"/>
          <w:szCs w:val="22"/>
        </w:rPr>
      </w:pPr>
      <w:r>
        <w:rPr>
          <w:rFonts w:ascii="Arial" w:hAnsi="Arial"/>
          <w:sz w:val="22"/>
          <w:szCs w:val="22"/>
        </w:rPr>
        <w:drawing>
          <wp:inline distT="0" distB="0" distL="0" distR="0">
            <wp:extent cx="2574290" cy="2199640"/>
            <wp:effectExtent l="0" t="0" r="0" b="0"/>
            <wp:docPr id="2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8"/>
                    <pic:cNvPicPr>
                      <a:picLocks noChangeAspect="1" noChangeArrowheads="1"/>
                    </pic:cNvPicPr>
                  </pic:nvPicPr>
                  <pic:blipFill>
                    <a:blip r:embed="rId17"/>
                    <a:srcRect l="30344" t="43136" r="39555" b="11202"/>
                    <a:stretch>
                      <a:fillRect/>
                    </a:stretch>
                  </pic:blipFill>
                  <pic:spPr>
                    <a:xfrm>
                      <a:off x="0" y="0"/>
                      <a:ext cx="2574290" cy="2199640"/>
                    </a:xfrm>
                    <a:prstGeom prst="rect">
                      <a:avLst/>
                    </a:prstGeom>
                  </pic:spPr>
                </pic:pic>
              </a:graphicData>
            </a:graphic>
          </wp:inline>
        </w:drawing>
      </w:r>
      <w:r>
        <w:rPr>
          <w:rFonts w:ascii="Arial" w:hAnsi="Arial"/>
          <w:sz w:val="22"/>
          <w:szCs w:val="22"/>
        </w:rPr>
        <w:t xml:space="preserve">  </w:t>
      </w:r>
      <w:r>
        <w:rPr>
          <w:rFonts w:ascii="Arial" w:hAnsi="Arial"/>
          <w:sz w:val="22"/>
          <w:szCs w:val="22"/>
        </w:rPr>
        <w:drawing>
          <wp:inline distT="0" distB="0" distL="0" distR="0">
            <wp:extent cx="1614805" cy="2012950"/>
            <wp:effectExtent l="0" t="0" r="0" b="0"/>
            <wp:docPr id="2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31"/>
                    <pic:cNvPicPr>
                      <a:picLocks noChangeAspect="1" noChangeArrowheads="1"/>
                    </pic:cNvPicPr>
                  </pic:nvPicPr>
                  <pic:blipFill>
                    <a:blip r:embed="rId18"/>
                    <a:srcRect l="42299" t="23465" r="43344" b="44896"/>
                    <a:stretch>
                      <a:fillRect/>
                    </a:stretch>
                  </pic:blipFill>
                  <pic:spPr>
                    <a:xfrm>
                      <a:off x="0" y="0"/>
                      <a:ext cx="1614805" cy="2012950"/>
                    </a:xfrm>
                    <a:prstGeom prst="rect">
                      <a:avLst/>
                    </a:prstGeom>
                  </pic:spPr>
                </pic:pic>
              </a:graphicData>
            </a:graphic>
          </wp:inline>
        </w:drawing>
      </w:r>
    </w:p>
    <w:p>
      <w:pPr>
        <w:spacing w:before="0" w:after="0" w:line="360" w:lineRule="auto"/>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 xml:space="preserve">La PCF </w:t>
      </w:r>
      <w:r>
        <w:rPr>
          <w:rFonts w:ascii="Arial" w:hAnsi="Arial" w:cstheme="minorHAnsi"/>
          <w:b/>
          <w:sz w:val="22"/>
          <w:szCs w:val="22"/>
        </w:rPr>
        <w:t>NO</w:t>
      </w:r>
      <w:r>
        <w:rPr>
          <w:rFonts w:ascii="Arial" w:hAnsi="Arial" w:cstheme="minorHAnsi"/>
          <w:sz w:val="22"/>
          <w:szCs w:val="22"/>
        </w:rPr>
        <w:t xml:space="preserve"> llevarán en este caso </w:t>
      </w:r>
      <w:r>
        <w:rPr>
          <w:rFonts w:ascii="Arial" w:hAnsi="Arial" w:cstheme="minorHAnsi"/>
          <w:b/>
          <w:sz w:val="22"/>
          <w:szCs w:val="22"/>
        </w:rPr>
        <w:t>barra antipánico en PLANTA BAJA.</w:t>
      </w:r>
    </w:p>
    <w:p>
      <w:pPr>
        <w:spacing w:before="0" w:after="0" w:line="360" w:lineRule="auto"/>
        <w:jc w:val="both"/>
        <w:rPr>
          <w:rFonts w:ascii="Arial" w:hAnsi="Arial"/>
          <w:sz w:val="22"/>
          <w:szCs w:val="22"/>
        </w:rPr>
      </w:pPr>
      <w:r>
        <w:rPr>
          <w:rFonts w:ascii="Arial" w:hAnsi="Arial" w:cstheme="minorHAnsi"/>
          <w:b/>
          <w:sz w:val="22"/>
          <w:szCs w:val="22"/>
        </w:rPr>
        <w:t>CANTIDAD: 0</w:t>
      </w:r>
    </w:p>
    <w:p>
      <w:pPr>
        <w:spacing w:before="0" w:after="0" w:line="360" w:lineRule="auto"/>
        <w:jc w:val="center"/>
        <w:rPr>
          <w:rFonts w:ascii="Arial" w:hAnsi="Arial"/>
          <w:sz w:val="22"/>
          <w:szCs w:val="22"/>
        </w:rPr>
      </w:pPr>
      <w:r>
        <w:rPr>
          <w:rFonts w:ascii="Arial" w:hAnsi="Arial"/>
          <w:sz w:val="22"/>
          <w:szCs w:val="22"/>
        </w:rPr>
        <w:drawing>
          <wp:inline distT="0" distB="0" distL="0" distR="0">
            <wp:extent cx="2400300" cy="101727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a:picLocks noChangeAspect="1" noChangeArrowheads="1"/>
                    </pic:cNvPicPr>
                  </pic:nvPicPr>
                  <pic:blipFill>
                    <a:blip r:embed="rId19"/>
                    <a:srcRect l="27904" t="37946" r="55195" b="49284"/>
                    <a:stretch>
                      <a:fillRect/>
                    </a:stretch>
                  </pic:blipFill>
                  <pic:spPr>
                    <a:xfrm>
                      <a:off x="0" y="0"/>
                      <a:ext cx="2400300" cy="1017270"/>
                    </a:xfrm>
                    <a:prstGeom prst="rect">
                      <a:avLst/>
                    </a:prstGeom>
                  </pic:spPr>
                </pic:pic>
              </a:graphicData>
            </a:graphic>
          </wp:inline>
        </w:drawing>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 xml:space="preserve">La PCF deberá contar con </w:t>
      </w:r>
      <w:r>
        <w:rPr>
          <w:rFonts w:ascii="Arial" w:hAnsi="Arial" w:cstheme="minorHAnsi"/>
          <w:b/>
          <w:sz w:val="22"/>
          <w:szCs w:val="22"/>
        </w:rPr>
        <w:t>barra antipánico solo si se indica en planos o memorias</w:t>
      </w:r>
      <w:r>
        <w:rPr>
          <w:rFonts w:ascii="Arial" w:hAnsi="Arial" w:cstheme="minorHAnsi"/>
          <w:sz w:val="22"/>
          <w:szCs w:val="22"/>
        </w:rPr>
        <w:t>, se ubicará del lado que llega la evacuación.</w:t>
      </w:r>
    </w:p>
    <w:p>
      <w:pPr>
        <w:spacing w:before="0" w:after="0" w:line="360" w:lineRule="auto"/>
        <w:jc w:val="both"/>
        <w:rPr>
          <w:rFonts w:ascii="Arial" w:hAnsi="Arial"/>
          <w:sz w:val="22"/>
          <w:szCs w:val="22"/>
        </w:rPr>
      </w:pPr>
      <w:r>
        <w:rPr>
          <w:rFonts w:ascii="Arial" w:hAnsi="Arial" w:cstheme="minorHAnsi"/>
          <w:sz w:val="22"/>
          <w:szCs w:val="22"/>
        </w:rPr>
        <w:t>La barra antipánico irá colocada a una altura entre 75 y 112 cm sobre el nivel de piso terminado del local donde se abre.</w:t>
      </w:r>
    </w:p>
    <w:p>
      <w:pPr>
        <w:spacing w:before="0" w:after="0" w:line="360" w:lineRule="auto"/>
        <w:jc w:val="both"/>
        <w:rPr>
          <w:rFonts w:ascii="Arial" w:hAnsi="Arial"/>
          <w:sz w:val="22"/>
          <w:szCs w:val="22"/>
        </w:rPr>
      </w:pPr>
      <w:r>
        <w:rPr>
          <w:rFonts w:ascii="Arial" w:hAnsi="Arial" w:cstheme="minorHAnsi"/>
          <w:bCs/>
          <w:sz w:val="22"/>
          <w:szCs w:val="22"/>
        </w:rPr>
        <w:t>Las cerraduras serán en aquellas puertas que no tienen barra antipánico,</w:t>
      </w:r>
      <w:r>
        <w:rPr>
          <w:rFonts w:ascii="Arial" w:hAnsi="Arial" w:cstheme="minorHAnsi"/>
          <w:b/>
          <w:sz w:val="22"/>
          <w:szCs w:val="22"/>
        </w:rPr>
        <w:t xml:space="preserve"> CERRADURA CORTAFUEGO ESTANDAR.</w:t>
      </w:r>
    </w:p>
    <w:p>
      <w:pPr>
        <w:spacing w:before="0" w:after="0" w:line="360" w:lineRule="auto"/>
        <w:jc w:val="both"/>
        <w:rPr>
          <w:rFonts w:ascii="Arial" w:hAnsi="Arial"/>
          <w:sz w:val="22"/>
          <w:szCs w:val="22"/>
        </w:rPr>
      </w:pPr>
      <w:r>
        <w:rPr>
          <w:rFonts w:ascii="Arial" w:hAnsi="Arial" w:cstheme="minorHAnsi"/>
          <w:b/>
          <w:sz w:val="22"/>
          <w:szCs w:val="22"/>
        </w:rPr>
        <w:t>CANTIDAD: 1</w:t>
      </w:r>
    </w:p>
    <w:p>
      <w:pPr>
        <w:spacing w:before="0" w:after="0" w:line="360" w:lineRule="auto"/>
        <w:jc w:val="both"/>
        <w:rPr>
          <w:rFonts w:ascii="Arial" w:hAnsi="Arial"/>
          <w:sz w:val="22"/>
          <w:szCs w:val="22"/>
        </w:rPr>
      </w:pPr>
      <w:r>
        <w:rPr>
          <w:rFonts w:ascii="Arial" w:hAnsi="Arial" w:cstheme="minorHAnsi"/>
          <w:sz w:val="22"/>
          <w:szCs w:val="22"/>
        </w:rPr>
        <w:t xml:space="preserve">Estas cerraduras </w:t>
      </w:r>
      <w:r>
        <w:rPr>
          <w:rFonts w:ascii="Arial" w:hAnsi="Arial" w:cstheme="minorHAnsi"/>
          <w:b/>
          <w:bCs/>
          <w:sz w:val="22"/>
          <w:szCs w:val="22"/>
        </w:rPr>
        <w:t>NO SON APTAS PARA PORTERO ELÉCTRICO.</w:t>
      </w:r>
    </w:p>
    <w:p>
      <w:pPr>
        <w:spacing w:before="0" w:after="0" w:line="360" w:lineRule="auto"/>
        <w:jc w:val="both"/>
        <w:rPr>
          <w:rFonts w:ascii="Arial" w:hAnsi="Arial" w:cs="Calibri"/>
          <w:sz w:val="22"/>
          <w:szCs w:val="22"/>
        </w:rPr>
      </w:pPr>
    </w:p>
    <w:p>
      <w:pPr>
        <w:spacing w:before="0" w:after="0" w:line="360" w:lineRule="auto"/>
        <w:jc w:val="center"/>
        <w:rPr>
          <w:rFonts w:ascii="Arial" w:hAnsi="Arial"/>
          <w:sz w:val="22"/>
          <w:szCs w:val="22"/>
        </w:rPr>
      </w:pPr>
      <w:r>
        <w:rPr>
          <w:rFonts w:ascii="Arial" w:hAnsi="Arial"/>
          <w:sz w:val="22"/>
          <w:szCs w:val="22"/>
        </w:rPr>
        <w:drawing>
          <wp:inline distT="0" distB="0" distL="0" distR="0">
            <wp:extent cx="5660390" cy="1998980"/>
            <wp:effectExtent l="0" t="0" r="0" b="0"/>
            <wp:docPr id="2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5"/>
                    <pic:cNvPicPr>
                      <a:picLocks noChangeAspect="1" noChangeArrowheads="1"/>
                    </pic:cNvPicPr>
                  </pic:nvPicPr>
                  <pic:blipFill>
                    <a:blip r:embed="rId20"/>
                    <a:srcRect l="5594" t="25477" r="36805" b="38366"/>
                    <a:stretch>
                      <a:fillRect/>
                    </a:stretch>
                  </pic:blipFill>
                  <pic:spPr>
                    <a:xfrm>
                      <a:off x="0" y="0"/>
                      <a:ext cx="5660390" cy="1998980"/>
                    </a:xfrm>
                    <a:prstGeom prst="rect">
                      <a:avLst/>
                    </a:prstGeom>
                  </pic:spPr>
                </pic:pic>
              </a:graphicData>
            </a:graphic>
          </wp:inline>
        </w:drawing>
      </w:r>
    </w:p>
    <w:p>
      <w:pPr>
        <w:spacing w:before="0" w:after="0" w:line="360" w:lineRule="auto"/>
        <w:jc w:val="both"/>
        <w:rPr>
          <w:rFonts w:ascii="Arial" w:hAnsi="Arial" w:cstheme="minorHAnsi"/>
          <w:bCs/>
          <w:sz w:val="22"/>
          <w:szCs w:val="22"/>
        </w:rPr>
      </w:pPr>
    </w:p>
    <w:p>
      <w:pPr>
        <w:spacing w:before="0" w:after="0" w:line="360" w:lineRule="auto"/>
        <w:jc w:val="both"/>
        <w:rPr>
          <w:rFonts w:ascii="Arial" w:hAnsi="Arial"/>
          <w:sz w:val="22"/>
          <w:szCs w:val="22"/>
        </w:rPr>
      </w:pPr>
      <w:r>
        <w:rPr>
          <w:rFonts w:ascii="Arial" w:hAnsi="Arial" w:cstheme="minorHAnsi"/>
          <w:bCs/>
          <w:sz w:val="22"/>
          <w:szCs w:val="22"/>
        </w:rPr>
        <w:t>Las cerraduras serán en aquellas puertas con barra antipánico,</w:t>
      </w:r>
      <w:r>
        <w:rPr>
          <w:rFonts w:ascii="Arial" w:hAnsi="Arial" w:cstheme="minorHAnsi"/>
          <w:b/>
          <w:sz w:val="22"/>
          <w:szCs w:val="22"/>
        </w:rPr>
        <w:t xml:space="preserve"> CERRADURA CORTAFUEGO PARA BARRA ANTIPANICO.</w:t>
      </w:r>
    </w:p>
    <w:p>
      <w:pPr>
        <w:spacing w:before="0" w:after="0" w:line="360" w:lineRule="auto"/>
        <w:jc w:val="both"/>
        <w:rPr>
          <w:rFonts w:ascii="Arial" w:hAnsi="Arial"/>
          <w:sz w:val="22"/>
          <w:szCs w:val="22"/>
        </w:rPr>
      </w:pPr>
      <w:r>
        <w:rPr>
          <w:rFonts w:ascii="Arial" w:hAnsi="Arial" w:cstheme="minorHAnsi"/>
          <w:sz w:val="22"/>
          <w:szCs w:val="22"/>
        </w:rPr>
        <w:t xml:space="preserve">Estas cerraduras </w:t>
      </w:r>
      <w:r>
        <w:rPr>
          <w:rFonts w:ascii="Arial" w:hAnsi="Arial" w:cstheme="minorHAnsi"/>
          <w:b/>
          <w:bCs/>
          <w:sz w:val="22"/>
          <w:szCs w:val="22"/>
        </w:rPr>
        <w:t>NO SON APTAS PARA PORTERO ELÉCTRICO.</w:t>
      </w:r>
    </w:p>
    <w:p>
      <w:pPr>
        <w:spacing w:before="0" w:after="0" w:line="360" w:lineRule="auto"/>
        <w:jc w:val="both"/>
        <w:rPr>
          <w:rFonts w:ascii="Arial" w:hAnsi="Arial"/>
          <w:sz w:val="22"/>
          <w:szCs w:val="22"/>
        </w:rPr>
      </w:pPr>
      <w:r>
        <w:rPr>
          <w:rFonts w:ascii="Arial" w:hAnsi="Arial" w:cstheme="minorHAnsi"/>
          <w:b/>
          <w:sz w:val="22"/>
          <w:szCs w:val="22"/>
        </w:rPr>
        <w:t>CANTIDAD: 0</w:t>
      </w:r>
    </w:p>
    <w:p>
      <w:pPr>
        <w:spacing w:before="0" w:after="0" w:line="360" w:lineRule="auto"/>
        <w:jc w:val="center"/>
        <w:rPr>
          <w:rFonts w:ascii="Arial" w:hAnsi="Arial"/>
          <w:sz w:val="22"/>
          <w:szCs w:val="22"/>
        </w:rPr>
      </w:pPr>
      <w:r>
        <w:rPr>
          <w:rFonts w:ascii="Arial" w:hAnsi="Arial"/>
          <w:sz w:val="22"/>
          <w:szCs w:val="22"/>
        </w:rPr>
        <w:drawing>
          <wp:inline distT="0" distB="0" distL="0" distR="0">
            <wp:extent cx="5657215" cy="2068195"/>
            <wp:effectExtent l="0" t="0" r="0" b="0"/>
            <wp:docPr id="2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7"/>
                    <pic:cNvPicPr>
                      <a:picLocks noChangeAspect="1" noChangeArrowheads="1"/>
                    </pic:cNvPicPr>
                  </pic:nvPicPr>
                  <pic:blipFill>
                    <a:blip r:embed="rId21"/>
                    <a:srcRect l="5508" t="32063" r="36524" b="30278"/>
                    <a:stretch>
                      <a:fillRect/>
                    </a:stretch>
                  </pic:blipFill>
                  <pic:spPr>
                    <a:xfrm>
                      <a:off x="0" y="0"/>
                      <a:ext cx="5657215" cy="2068195"/>
                    </a:xfrm>
                    <a:prstGeom prst="rect">
                      <a:avLst/>
                    </a:prstGeom>
                  </pic:spPr>
                </pic:pic>
              </a:graphicData>
            </a:graphic>
          </wp:inline>
        </w:drawing>
      </w:r>
    </w:p>
    <w:p>
      <w:pPr>
        <w:spacing w:before="0" w:after="0" w:line="360" w:lineRule="auto"/>
        <w:jc w:val="both"/>
        <w:rPr>
          <w:rFonts w:ascii="Arial" w:hAnsi="Arial"/>
          <w:sz w:val="22"/>
          <w:szCs w:val="22"/>
        </w:rPr>
      </w:pPr>
      <w:r>
        <w:rPr>
          <w:rFonts w:ascii="Arial" w:hAnsi="Arial" w:cstheme="minorHAnsi"/>
          <w:sz w:val="22"/>
          <w:szCs w:val="22"/>
        </w:rPr>
        <w:t>Los herrajes y pueden ser instalados en el establecimiento del fabricante o pueden ser ensamblados en el sitio de trabajo. En todos los casos, la instalación se va a hacer de acuerdo con lo establecido en NFPA 80, en NFPA 105 y en las instrucciones de instalación del fabricante.</w:t>
      </w:r>
    </w:p>
    <w:p>
      <w:pPr>
        <w:spacing w:before="0" w:after="0" w:line="360" w:lineRule="auto"/>
        <w:jc w:val="both"/>
        <w:rPr>
          <w:rFonts w:ascii="Arial" w:hAnsi="Arial"/>
          <w:sz w:val="22"/>
          <w:szCs w:val="22"/>
        </w:rPr>
      </w:pPr>
      <w:r>
        <w:rPr>
          <w:rFonts w:ascii="Arial" w:hAnsi="Arial" w:cstheme="minorHAnsi"/>
          <w:sz w:val="22"/>
          <w:szCs w:val="22"/>
        </w:rPr>
        <w:t xml:space="preserve">Los </w:t>
      </w:r>
      <w:r>
        <w:rPr>
          <w:rFonts w:ascii="Arial" w:hAnsi="Arial" w:cstheme="minorHAnsi"/>
          <w:b/>
          <w:sz w:val="22"/>
          <w:szCs w:val="22"/>
        </w:rPr>
        <w:t>RELLENOS ENTRE EL MARCO Y LA PARED</w:t>
      </w:r>
      <w:r>
        <w:rPr>
          <w:rFonts w:ascii="Arial" w:hAnsi="Arial" w:cstheme="minorHAnsi"/>
          <w:sz w:val="22"/>
          <w:szCs w:val="22"/>
        </w:rPr>
        <w:t xml:space="preserve"> deben realizarse de acuerdo a las prescripciones para la instalación de los marcos y tipos de muro correspondientes.</w:t>
      </w:r>
    </w:p>
    <w:p>
      <w:pPr>
        <w:spacing w:before="0" w:after="0" w:line="360" w:lineRule="auto"/>
        <w:jc w:val="both"/>
        <w:rPr>
          <w:rFonts w:ascii="Arial" w:hAnsi="Arial"/>
          <w:sz w:val="22"/>
          <w:szCs w:val="22"/>
        </w:rPr>
      </w:pPr>
      <w:r>
        <w:rPr>
          <w:rFonts w:ascii="Arial" w:hAnsi="Arial" w:cstheme="minorHAnsi"/>
          <w:b/>
          <w:sz w:val="22"/>
          <w:szCs w:val="22"/>
        </w:rPr>
        <w:t>Certificaciones de protección contra el fuego</w:t>
      </w:r>
      <w:r>
        <w:rPr>
          <w:rFonts w:ascii="Arial" w:hAnsi="Arial" w:cstheme="minorHAnsi"/>
          <w:sz w:val="22"/>
          <w:szCs w:val="22"/>
        </w:rPr>
        <w:t xml:space="preserve"> - Las puertas cortafuego incluyen una certificación de 4, 3, 1-1/2, 1 y ¾ horas, o 30 o 20 minutos, que indica la duración de la exposición al fuego.</w:t>
      </w:r>
    </w:p>
    <w:p>
      <w:pPr>
        <w:spacing w:before="0" w:after="0" w:line="360" w:lineRule="auto"/>
        <w:jc w:val="both"/>
        <w:rPr>
          <w:rFonts w:ascii="Arial" w:hAnsi="Arial" w:cs="Calibri"/>
          <w:sz w:val="22"/>
          <w:szCs w:val="22"/>
        </w:rPr>
      </w:pPr>
    </w:p>
    <w:p>
      <w:pPr>
        <w:pBdr>
          <w:top w:val="single" w:color="000000" w:sz="4" w:space="1"/>
          <w:left w:val="single" w:color="000000" w:sz="4" w:space="4"/>
          <w:bottom w:val="single" w:color="000000" w:sz="4" w:space="1"/>
          <w:right w:val="single" w:color="000000" w:sz="4" w:space="4"/>
        </w:pBdr>
        <w:spacing w:before="0" w:after="0" w:line="360" w:lineRule="auto"/>
        <w:jc w:val="both"/>
        <w:rPr>
          <w:rFonts w:ascii="Arial" w:hAnsi="Arial"/>
          <w:sz w:val="22"/>
          <w:szCs w:val="22"/>
        </w:rPr>
      </w:pPr>
      <w:r>
        <w:rPr>
          <w:rFonts w:ascii="Arial" w:hAnsi="Arial" w:cstheme="minorHAnsi"/>
          <w:b/>
          <w:sz w:val="22"/>
          <w:szCs w:val="22"/>
        </w:rPr>
        <w:t>Las puertas corta-fuego deberá estar homologada por la Dirección Nacional de Bomberos y contar en su canto con los sellos acordes a la normativa UNIT y normas internaciones (similar a la imagen adjunta), especificando entre otras cosas su RF y otras características.</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 xml:space="preserve">Las puertas van etiquetadas y matriculadas individualmente, para conseguir una trazabilidad completa del producto durante su fabricación, expedición y recepción en obra. </w:t>
      </w:r>
      <w:r>
        <w:rPr>
          <w:rFonts w:ascii="Arial" w:hAnsi="Arial" w:cstheme="minorHAnsi"/>
          <w:b/>
          <w:bCs/>
          <w:sz w:val="22"/>
          <w:szCs w:val="22"/>
        </w:rPr>
        <w:t>NO PUEDE PINTARSE, TAPARSE O DAÑARSE DICHA ETIQUETA-MATRICULA.</w:t>
      </w:r>
    </w:p>
    <w:p>
      <w:pPr>
        <w:spacing w:before="0" w:after="0" w:line="360" w:lineRule="auto"/>
        <w:jc w:val="center"/>
        <w:rPr>
          <w:rFonts w:ascii="Arial" w:hAnsi="Arial"/>
          <w:sz w:val="22"/>
          <w:szCs w:val="22"/>
        </w:rPr>
      </w:pPr>
      <w:r>
        <w:rPr>
          <w:rFonts w:ascii="Arial" w:hAnsi="Arial"/>
          <w:sz w:val="22"/>
          <w:szCs w:val="22"/>
        </w:rPr>
        <w:drawing>
          <wp:inline distT="0" distB="0" distL="0" distR="0">
            <wp:extent cx="4333875" cy="1136650"/>
            <wp:effectExtent l="0" t="0" r="0" b="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6"/>
                    <pic:cNvPicPr>
                      <a:picLocks noChangeAspect="1" noChangeArrowheads="1"/>
                    </pic:cNvPicPr>
                  </pic:nvPicPr>
                  <pic:blipFill>
                    <a:blip r:embed="rId22"/>
                    <a:srcRect l="16314" t="57960" r="29209" b="16550"/>
                    <a:stretch>
                      <a:fillRect/>
                    </a:stretch>
                  </pic:blipFill>
                  <pic:spPr>
                    <a:xfrm>
                      <a:off x="0" y="0"/>
                      <a:ext cx="4333875" cy="1136650"/>
                    </a:xfrm>
                    <a:prstGeom prst="rect">
                      <a:avLst/>
                    </a:prstGeom>
                  </pic:spPr>
                </pic:pic>
              </a:graphicData>
            </a:graphic>
          </wp:inline>
        </w:drawing>
      </w:r>
    </w:p>
    <w:p>
      <w:pPr>
        <w:spacing w:before="0" w:after="0" w:line="360" w:lineRule="auto"/>
        <w:jc w:val="both"/>
        <w:rPr>
          <w:rFonts w:ascii="Arial" w:hAnsi="Arial" w:cs="Calibri"/>
          <w:b/>
          <w:sz w:val="22"/>
          <w:szCs w:val="22"/>
        </w:rPr>
      </w:pPr>
    </w:p>
    <w:p>
      <w:pPr>
        <w:spacing w:before="0" w:after="0" w:line="360" w:lineRule="auto"/>
        <w:jc w:val="both"/>
        <w:rPr>
          <w:rFonts w:ascii="Arial" w:hAnsi="Arial"/>
          <w:sz w:val="22"/>
          <w:szCs w:val="22"/>
        </w:rPr>
      </w:pPr>
      <w:r>
        <w:rPr>
          <w:rFonts w:ascii="Arial" w:hAnsi="Arial" w:cstheme="minorHAnsi"/>
          <w:b/>
          <w:sz w:val="22"/>
          <w:szCs w:val="22"/>
        </w:rPr>
        <w:t>Instrucciones de instalación</w:t>
      </w:r>
      <w:r>
        <w:rPr>
          <w:rFonts w:ascii="Arial" w:hAnsi="Arial" w:cstheme="minorHAnsi"/>
          <w:sz w:val="22"/>
          <w:szCs w:val="22"/>
        </w:rPr>
        <w:t xml:space="preserve"> – Se prevé que la instalación de puertas cortafuego cumpla con las instrucciones de instalación suministradas por el fabricante.</w:t>
      </w:r>
    </w:p>
    <w:p>
      <w:pPr>
        <w:pStyle w:val="54"/>
        <w:pBdr>
          <w:bottom w:val="single" w:color="000000" w:sz="4" w:space="1"/>
        </w:pBdr>
        <w:spacing w:line="360" w:lineRule="auto"/>
        <w:ind w:left="0" w:leftChars="0" w:firstLine="0" w:firstLineChars="0"/>
        <w:jc w:val="both"/>
        <w:rPr>
          <w:rFonts w:ascii="Arial" w:hAnsi="Arial" w:cstheme="minorHAnsi"/>
          <w:b/>
          <w:sz w:val="22"/>
          <w:szCs w:val="22"/>
          <w:lang w:val="es-UY"/>
        </w:rPr>
      </w:pPr>
    </w:p>
    <w:p>
      <w:pPr>
        <w:pStyle w:val="54"/>
        <w:pBdr>
          <w:bottom w:val="single" w:color="000000" w:sz="4" w:space="1"/>
        </w:pBdr>
        <w:spacing w:line="360" w:lineRule="auto"/>
        <w:ind w:left="0" w:leftChars="0" w:firstLine="0" w:firstLineChars="0"/>
        <w:jc w:val="both"/>
        <w:rPr>
          <w:rFonts w:ascii="Arial" w:hAnsi="Arial"/>
          <w:sz w:val="22"/>
          <w:szCs w:val="22"/>
        </w:rPr>
      </w:pPr>
      <w:r>
        <w:rPr>
          <w:rFonts w:ascii="Arial" w:hAnsi="Arial" w:cstheme="minorHAnsi"/>
          <w:b/>
          <w:sz w:val="22"/>
          <w:szCs w:val="22"/>
          <w:lang w:val="es-UY"/>
        </w:rPr>
        <w:t>PASES EN MUROS CORTAFUEGO (MCF)</w:t>
      </w:r>
    </w:p>
    <w:p>
      <w:pPr>
        <w:spacing w:before="0" w:after="0" w:line="360" w:lineRule="auto"/>
        <w:jc w:val="both"/>
        <w:rPr>
          <w:rFonts w:ascii="Arial" w:hAnsi="Arial"/>
          <w:sz w:val="22"/>
          <w:szCs w:val="22"/>
        </w:rPr>
      </w:pPr>
      <w:r>
        <w:rPr>
          <w:rFonts w:ascii="Arial" w:hAnsi="Arial" w:cs="Calibri"/>
          <w:b/>
          <w:bCs/>
          <w:sz w:val="22"/>
          <w:szCs w:val="22"/>
          <w:lang w:val="es-MX"/>
        </w:rPr>
        <w:t xml:space="preserve">Todo pase (cañerías, bandejas de eléctrica, etc.) en muro resistente al fuego RF120 min., indicado en planos, deberá ser sellado con material intumescente. </w:t>
      </w:r>
    </w:p>
    <w:p>
      <w:pPr>
        <w:spacing w:before="0" w:after="0" w:line="360" w:lineRule="auto"/>
        <w:jc w:val="both"/>
        <w:rPr>
          <w:rFonts w:ascii="Arial" w:hAnsi="Arial"/>
          <w:sz w:val="22"/>
          <w:szCs w:val="22"/>
        </w:rPr>
      </w:pPr>
      <w:r>
        <w:rPr>
          <w:rFonts w:ascii="Arial" w:hAnsi="Arial" w:cs="Calibri"/>
          <w:b/>
          <w:bCs/>
          <w:sz w:val="22"/>
          <w:szCs w:val="22"/>
          <w:lang w:val="es-MX"/>
        </w:rPr>
        <w:t>No se permite ver oquedades a través del muro, pues el mismo debilita la resistencia al fuego del conjunto.</w:t>
      </w:r>
    </w:p>
    <w:p>
      <w:pPr>
        <w:spacing w:before="0" w:after="0" w:line="360" w:lineRule="auto"/>
        <w:jc w:val="both"/>
        <w:rPr>
          <w:rFonts w:ascii="Arial" w:hAnsi="Arial" w:cs="Calibri"/>
          <w:bCs/>
          <w:sz w:val="22"/>
          <w:szCs w:val="22"/>
        </w:rPr>
      </w:pPr>
    </w:p>
    <w:p>
      <w:pPr>
        <w:spacing w:before="0" w:after="0" w:line="360" w:lineRule="auto"/>
        <w:jc w:val="both"/>
        <w:rPr>
          <w:rFonts w:ascii="Arial" w:hAnsi="Arial"/>
          <w:sz w:val="22"/>
          <w:szCs w:val="22"/>
        </w:rPr>
      </w:pPr>
      <w:r>
        <w:rPr>
          <w:rFonts w:ascii="Arial" w:hAnsi="Arial" w:cs="Calibri"/>
          <w:b/>
          <w:bCs/>
          <w:sz w:val="22"/>
          <w:szCs w:val="22"/>
          <w:lang w:val="es-MX"/>
        </w:rPr>
        <w:t>En planos se indican detalles según el tipo de pase.</w:t>
      </w:r>
    </w:p>
    <w:p>
      <w:pPr>
        <w:spacing w:before="0" w:after="0" w:line="360" w:lineRule="auto"/>
        <w:jc w:val="both"/>
        <w:rPr>
          <w:rFonts w:ascii="Arial" w:hAnsi="Arial"/>
          <w:sz w:val="22"/>
          <w:szCs w:val="22"/>
        </w:rPr>
      </w:pPr>
      <w:r>
        <w:rPr>
          <w:rFonts w:ascii="Arial" w:hAnsi="Arial" w:cstheme="minorHAnsi"/>
          <w:bCs/>
          <w:sz w:val="22"/>
          <w:szCs w:val="22"/>
        </w:rPr>
        <w:t>A continuación, se detalla el procedimiento para el sellado de los pases, colocando como ejemplo productos de la marca METACAULK que comercializa Vitrilan en este caso, y que sirven a modo de ejemplo (homologada en su momento por la DNB).</w:t>
      </w:r>
      <w:r>
        <w:rPr>
          <w:rFonts w:ascii="Arial" w:hAnsi="Arial"/>
          <w:sz w:val="22"/>
          <w:szCs w:val="22"/>
        </w:rPr>
        <w:t xml:space="preserve"> </w:t>
      </w:r>
    </w:p>
    <w:p>
      <w:pPr>
        <w:pStyle w:val="54"/>
        <w:numPr>
          <w:ilvl w:val="0"/>
          <w:numId w:val="5"/>
        </w:numPr>
        <w:spacing w:line="360" w:lineRule="auto"/>
        <w:jc w:val="both"/>
        <w:rPr>
          <w:rFonts w:ascii="Arial" w:hAnsi="Arial"/>
          <w:sz w:val="22"/>
          <w:szCs w:val="22"/>
        </w:rPr>
      </w:pPr>
      <w:r>
        <w:rPr>
          <w:rFonts w:ascii="Arial" w:hAnsi="Arial" w:cstheme="minorHAnsi"/>
          <w:b/>
          <w:sz w:val="22"/>
          <w:szCs w:val="22"/>
          <w:lang w:val="es-UY"/>
        </w:rPr>
        <w:t>RELLENAR EL HUECO</w:t>
      </w:r>
      <w:r>
        <w:rPr>
          <w:rFonts w:ascii="Arial" w:hAnsi="Arial" w:cstheme="minorHAnsi"/>
          <w:bCs/>
          <w:sz w:val="22"/>
          <w:szCs w:val="22"/>
          <w:lang w:val="es-UY"/>
        </w:rPr>
        <w:t xml:space="preserve"> dentro del muro, si la oquedad es muy grande previo a colocar el material intumescente, con </w:t>
      </w:r>
      <w:r>
        <w:rPr>
          <w:rFonts w:ascii="Arial" w:hAnsi="Arial" w:cstheme="minorHAnsi"/>
          <w:b/>
          <w:sz w:val="22"/>
          <w:szCs w:val="22"/>
          <w:lang w:val="es-UY"/>
        </w:rPr>
        <w:t>relleno de espuma o</w:t>
      </w:r>
      <w:r>
        <w:rPr>
          <w:rFonts w:ascii="Arial" w:hAnsi="Arial" w:cstheme="minorHAnsi"/>
          <w:bCs/>
          <w:sz w:val="22"/>
          <w:szCs w:val="22"/>
          <w:lang w:val="es-UY"/>
        </w:rPr>
        <w:t xml:space="preserve"> </w:t>
      </w:r>
      <w:r>
        <w:rPr>
          <w:rFonts w:ascii="Arial" w:hAnsi="Arial" w:cstheme="minorHAnsi"/>
          <w:b/>
          <w:sz w:val="22"/>
          <w:szCs w:val="22"/>
          <w:lang w:val="es-UY"/>
        </w:rPr>
        <w:t>manta de lana de roca</w:t>
      </w:r>
      <w:r>
        <w:rPr>
          <w:rFonts w:ascii="Arial" w:hAnsi="Arial" w:cstheme="minorHAnsi"/>
          <w:bCs/>
          <w:sz w:val="22"/>
          <w:szCs w:val="22"/>
          <w:lang w:val="es-UY"/>
        </w:rPr>
        <w:t xml:space="preserve"> 25mm densidad 64kg/m3 a sellar con material intumescente.</w:t>
      </w:r>
    </w:p>
    <w:p>
      <w:pPr>
        <w:pStyle w:val="54"/>
        <w:spacing w:line="360" w:lineRule="auto"/>
        <w:jc w:val="both"/>
        <w:rPr>
          <w:rFonts w:ascii="Arial" w:hAnsi="Arial" w:cs="Calibri"/>
          <w:bCs/>
          <w:sz w:val="22"/>
          <w:szCs w:val="22"/>
          <w:lang w:val="es-UY"/>
        </w:rPr>
      </w:pPr>
    </w:p>
    <w:p>
      <w:pPr>
        <w:spacing w:before="0" w:after="0" w:line="360" w:lineRule="auto"/>
        <w:jc w:val="center"/>
        <w:rPr>
          <w:rFonts w:ascii="Arial" w:hAnsi="Arial"/>
          <w:sz w:val="22"/>
          <w:szCs w:val="22"/>
        </w:rPr>
      </w:pPr>
      <w:r>
        <w:rPr>
          <w:rFonts w:ascii="Arial" w:hAnsi="Arial"/>
          <w:sz w:val="22"/>
          <w:szCs w:val="22"/>
        </w:rPr>
        <w:drawing>
          <wp:inline distT="0" distB="0" distL="0" distR="0">
            <wp:extent cx="1077595" cy="1007110"/>
            <wp:effectExtent l="0" t="0" r="0" b="0"/>
            <wp:docPr id="2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0"/>
                    <pic:cNvPicPr>
                      <a:picLocks noChangeAspect="1" noChangeArrowheads="1"/>
                    </pic:cNvPicPr>
                  </pic:nvPicPr>
                  <pic:blipFill>
                    <a:blip r:embed="rId23"/>
                    <a:srcRect l="41063" t="28693" r="37187" b="35335"/>
                    <a:stretch>
                      <a:fillRect/>
                    </a:stretch>
                  </pic:blipFill>
                  <pic:spPr>
                    <a:xfrm>
                      <a:off x="0" y="0"/>
                      <a:ext cx="1077595" cy="1007110"/>
                    </a:xfrm>
                    <a:prstGeom prst="rect">
                      <a:avLst/>
                    </a:prstGeom>
                  </pic:spPr>
                </pic:pic>
              </a:graphicData>
            </a:graphic>
          </wp:inline>
        </w:drawing>
      </w:r>
      <w:r>
        <w:rPr>
          <w:rFonts w:ascii="Arial" w:hAnsi="Arial" w:cstheme="minorHAnsi"/>
          <w:bCs/>
          <w:sz w:val="22"/>
          <w:szCs w:val="22"/>
        </w:rPr>
        <w:t xml:space="preserve">         </w:t>
      </w:r>
      <w:r>
        <w:rPr>
          <w:rFonts w:ascii="Arial" w:hAnsi="Arial"/>
          <w:sz w:val="22"/>
          <w:szCs w:val="22"/>
        </w:rPr>
        <w:drawing>
          <wp:inline distT="0" distB="0" distL="0" distR="0">
            <wp:extent cx="2618105" cy="1056005"/>
            <wp:effectExtent l="0" t="0" r="0" b="0"/>
            <wp:docPr id="2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16"/>
                    <pic:cNvPicPr>
                      <a:picLocks noChangeAspect="1" noChangeArrowheads="1"/>
                    </pic:cNvPicPr>
                  </pic:nvPicPr>
                  <pic:blipFill>
                    <a:blip r:embed="rId24"/>
                    <a:srcRect l="21931" t="69235" r="49504" b="10205"/>
                    <a:stretch>
                      <a:fillRect/>
                    </a:stretch>
                  </pic:blipFill>
                  <pic:spPr>
                    <a:xfrm>
                      <a:off x="0" y="0"/>
                      <a:ext cx="2618105" cy="1056005"/>
                    </a:xfrm>
                    <a:prstGeom prst="rect">
                      <a:avLst/>
                    </a:prstGeom>
                  </pic:spPr>
                </pic:pic>
              </a:graphicData>
            </a:graphic>
          </wp:inline>
        </w:drawing>
      </w:r>
    </w:p>
    <w:p>
      <w:pPr>
        <w:spacing w:before="0" w:after="0" w:line="360" w:lineRule="auto"/>
        <w:jc w:val="center"/>
        <w:rPr>
          <w:rFonts w:ascii="Arial" w:hAnsi="Arial"/>
          <w:sz w:val="22"/>
          <w:szCs w:val="22"/>
        </w:rPr>
      </w:pPr>
    </w:p>
    <w:p>
      <w:pPr>
        <w:pStyle w:val="54"/>
        <w:numPr>
          <w:ilvl w:val="0"/>
          <w:numId w:val="5"/>
        </w:numPr>
        <w:spacing w:line="360" w:lineRule="auto"/>
        <w:rPr>
          <w:rFonts w:ascii="Arial" w:hAnsi="Arial"/>
          <w:sz w:val="22"/>
          <w:szCs w:val="22"/>
        </w:rPr>
      </w:pPr>
      <w:r>
        <w:rPr>
          <w:rFonts w:ascii="Arial" w:hAnsi="Arial" w:cstheme="minorHAnsi"/>
          <w:b/>
          <w:sz w:val="22"/>
          <w:szCs w:val="22"/>
          <w:lang w:val="es-UY"/>
        </w:rPr>
        <w:t>APLICAR</w:t>
      </w:r>
      <w:r>
        <w:rPr>
          <w:rFonts w:ascii="Arial" w:hAnsi="Arial" w:cstheme="minorHAnsi"/>
          <w:bCs/>
          <w:sz w:val="22"/>
          <w:szCs w:val="22"/>
          <w:lang w:val="es-UY"/>
        </w:rPr>
        <w:t xml:space="preserve"> el </w:t>
      </w:r>
      <w:r>
        <w:rPr>
          <w:rFonts w:ascii="Arial" w:hAnsi="Arial" w:cstheme="minorHAnsi"/>
          <w:b/>
          <w:sz w:val="22"/>
          <w:szCs w:val="22"/>
          <w:lang w:val="es-UY"/>
        </w:rPr>
        <w:t>sellador intumescente</w:t>
      </w:r>
      <w:r>
        <w:rPr>
          <w:rFonts w:ascii="Arial" w:hAnsi="Arial" w:cstheme="minorHAnsi"/>
          <w:bCs/>
          <w:sz w:val="22"/>
          <w:szCs w:val="22"/>
          <w:lang w:val="es-UY"/>
        </w:rPr>
        <w:t>, entre el pase y el muro, de ambas caras del muro.</w:t>
      </w:r>
    </w:p>
    <w:p>
      <w:pPr>
        <w:spacing w:before="0" w:after="0" w:line="360" w:lineRule="auto"/>
        <w:jc w:val="center"/>
        <w:rPr>
          <w:rFonts w:ascii="Arial" w:hAnsi="Arial"/>
          <w:sz w:val="22"/>
          <w:szCs w:val="22"/>
        </w:rPr>
      </w:pPr>
      <w:r>
        <w:rPr>
          <w:rFonts w:ascii="Arial" w:hAnsi="Arial"/>
          <w:sz w:val="22"/>
          <w:szCs w:val="22"/>
        </w:rPr>
        <w:drawing>
          <wp:inline distT="0" distB="0" distL="0" distR="0">
            <wp:extent cx="1437005" cy="1170940"/>
            <wp:effectExtent l="0" t="0" r="0" b="0"/>
            <wp:docPr id="28" name="Imagen 18" descr="Metacaulk® 1000 Firestopping Sea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18" descr="Metacaulk® 1000 Firestopping Sealant"/>
                    <pic:cNvPicPr>
                      <a:picLocks noChangeAspect="1" noChangeArrowheads="1"/>
                    </pic:cNvPicPr>
                  </pic:nvPicPr>
                  <pic:blipFill>
                    <a:blip r:embed="rId25"/>
                    <a:srcRect l="25787" t="8308" r="13267" b="44263"/>
                    <a:stretch>
                      <a:fillRect/>
                    </a:stretch>
                  </pic:blipFill>
                  <pic:spPr>
                    <a:xfrm>
                      <a:off x="0" y="0"/>
                      <a:ext cx="1437005" cy="1170940"/>
                    </a:xfrm>
                    <a:prstGeom prst="rect">
                      <a:avLst/>
                    </a:prstGeom>
                  </pic:spPr>
                </pic:pic>
              </a:graphicData>
            </a:graphic>
          </wp:inline>
        </w:drawing>
      </w:r>
      <w:r>
        <w:rPr>
          <w:rFonts w:ascii="Arial" w:hAnsi="Arial" w:cstheme="minorHAnsi"/>
          <w:b/>
          <w:sz w:val="22"/>
          <w:szCs w:val="22"/>
        </w:rPr>
        <w:t xml:space="preserve">     </w:t>
      </w:r>
      <w:r>
        <w:rPr>
          <w:rFonts w:ascii="Arial" w:hAnsi="Arial"/>
          <w:sz w:val="22"/>
          <w:szCs w:val="22"/>
        </w:rPr>
        <w:drawing>
          <wp:inline distT="0" distB="0" distL="0" distR="0">
            <wp:extent cx="3194050" cy="2192655"/>
            <wp:effectExtent l="0" t="0" r="0" b="0"/>
            <wp:docPr id="2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15"/>
                    <pic:cNvPicPr>
                      <a:picLocks noChangeAspect="1" noChangeArrowheads="1"/>
                    </pic:cNvPicPr>
                  </pic:nvPicPr>
                  <pic:blipFill>
                    <a:blip r:embed="rId26"/>
                    <a:srcRect l="20976" t="16038" r="24463" b="17445"/>
                    <a:stretch>
                      <a:fillRect/>
                    </a:stretch>
                  </pic:blipFill>
                  <pic:spPr>
                    <a:xfrm>
                      <a:off x="0" y="0"/>
                      <a:ext cx="3194050" cy="2192655"/>
                    </a:xfrm>
                    <a:prstGeom prst="rect">
                      <a:avLst/>
                    </a:prstGeom>
                  </pic:spPr>
                </pic:pic>
              </a:graphicData>
            </a:graphic>
          </wp:inline>
        </w:drawing>
      </w:r>
    </w:p>
    <w:p>
      <w:pPr>
        <w:spacing w:before="0" w:after="0" w:line="360" w:lineRule="auto"/>
        <w:ind w:left="284" w:firstLine="0"/>
        <w:rPr>
          <w:rFonts w:ascii="Arial" w:hAnsi="Arial" w:cs="Calibri"/>
          <w:bCs/>
          <w:sz w:val="22"/>
          <w:szCs w:val="22"/>
        </w:rPr>
      </w:pPr>
    </w:p>
    <w:p>
      <w:pPr>
        <w:spacing w:before="0" w:after="0" w:line="360" w:lineRule="auto"/>
        <w:ind w:left="284" w:firstLine="0"/>
        <w:rPr>
          <w:rFonts w:ascii="Arial" w:hAnsi="Arial"/>
          <w:sz w:val="22"/>
          <w:szCs w:val="22"/>
        </w:rPr>
      </w:pPr>
      <w:r>
        <w:rPr>
          <w:rFonts w:ascii="Arial" w:hAnsi="Arial" w:cstheme="minorHAnsi"/>
          <w:bCs/>
          <w:sz w:val="22"/>
          <w:szCs w:val="22"/>
        </w:rPr>
        <w:t>3.</w:t>
      </w:r>
      <w:r>
        <w:rPr>
          <w:rFonts w:ascii="Arial" w:hAnsi="Arial"/>
          <w:sz w:val="22"/>
          <w:szCs w:val="22"/>
        </w:rPr>
        <w:t xml:space="preserve"> </w:t>
      </w:r>
      <w:r>
        <w:rPr>
          <w:rFonts w:ascii="Arial" w:hAnsi="Arial" w:cstheme="minorHAnsi"/>
          <w:b/>
          <w:sz w:val="22"/>
          <w:szCs w:val="22"/>
        </w:rPr>
        <w:t>ENVOLVER</w:t>
      </w:r>
      <w:r>
        <w:rPr>
          <w:rFonts w:ascii="Arial" w:hAnsi="Arial" w:cstheme="minorHAnsi"/>
          <w:bCs/>
          <w:sz w:val="22"/>
          <w:szCs w:val="22"/>
        </w:rPr>
        <w:t xml:space="preserve"> el caño con cinta cortafuego</w:t>
      </w:r>
    </w:p>
    <w:p>
      <w:pPr>
        <w:spacing w:before="0" w:after="0" w:line="360" w:lineRule="auto"/>
        <w:jc w:val="center"/>
        <w:rPr>
          <w:rFonts w:ascii="Arial" w:hAnsi="Arial"/>
          <w:sz w:val="22"/>
          <w:szCs w:val="22"/>
        </w:rPr>
      </w:pPr>
      <w:r>
        <w:rPr>
          <w:rFonts w:ascii="Arial" w:hAnsi="Arial"/>
          <w:sz w:val="22"/>
          <w:szCs w:val="22"/>
        </w:rPr>
        <w:drawing>
          <wp:inline distT="0" distB="0" distL="0" distR="0">
            <wp:extent cx="1956435" cy="1926590"/>
            <wp:effectExtent l="0" t="0" r="0" b="0"/>
            <wp:docPr id="3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17"/>
                    <pic:cNvPicPr>
                      <a:picLocks noChangeAspect="1" noChangeArrowheads="1"/>
                    </pic:cNvPicPr>
                  </pic:nvPicPr>
                  <pic:blipFill>
                    <a:blip r:embed="rId27"/>
                    <a:stretch>
                      <a:fillRect/>
                    </a:stretch>
                  </pic:blipFill>
                  <pic:spPr>
                    <a:xfrm>
                      <a:off x="0" y="0"/>
                      <a:ext cx="1956435" cy="1926590"/>
                    </a:xfrm>
                    <a:prstGeom prst="rect">
                      <a:avLst/>
                    </a:prstGeom>
                  </pic:spPr>
                </pic:pic>
              </a:graphicData>
            </a:graphic>
          </wp:inline>
        </w:drawing>
      </w:r>
      <w:r>
        <w:rPr>
          <w:rFonts w:ascii="Arial" w:hAnsi="Arial"/>
          <w:sz w:val="22"/>
          <w:szCs w:val="22"/>
        </w:rPr>
        <w:drawing>
          <wp:inline distT="0" distB="0" distL="0" distR="0">
            <wp:extent cx="2941320" cy="2041525"/>
            <wp:effectExtent l="0" t="0" r="0" b="0"/>
            <wp:docPr id="3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13"/>
                    <pic:cNvPicPr>
                      <a:picLocks noChangeAspect="1" noChangeArrowheads="1"/>
                    </pic:cNvPicPr>
                  </pic:nvPicPr>
                  <pic:blipFill>
                    <a:blip r:embed="rId28"/>
                    <a:srcRect l="21167" t="19748" r="24317" b="12994"/>
                    <a:stretch>
                      <a:fillRect/>
                    </a:stretch>
                  </pic:blipFill>
                  <pic:spPr>
                    <a:xfrm>
                      <a:off x="0" y="0"/>
                      <a:ext cx="2941320" cy="2041525"/>
                    </a:xfrm>
                    <a:prstGeom prst="rect">
                      <a:avLst/>
                    </a:prstGeom>
                  </pic:spPr>
                </pic:pic>
              </a:graphicData>
            </a:graphic>
          </wp:inline>
        </w:drawing>
      </w:r>
    </w:p>
    <w:p>
      <w:pPr>
        <w:pBdr>
          <w:bottom w:val="single" w:color="000000" w:sz="4" w:space="1"/>
        </w:pBdr>
        <w:spacing w:before="0" w:after="0" w:line="360" w:lineRule="auto"/>
        <w:jc w:val="both"/>
        <w:rPr>
          <w:rFonts w:ascii="Arial" w:hAnsi="Arial" w:cs="Calibri"/>
          <w:b/>
          <w:iCs/>
          <w:caps/>
          <w:sz w:val="22"/>
          <w:szCs w:val="22"/>
        </w:rPr>
      </w:pPr>
    </w:p>
    <w:p>
      <w:pPr>
        <w:pBdr>
          <w:bottom w:val="single" w:color="000000" w:sz="4" w:space="1"/>
        </w:pBdr>
        <w:spacing w:before="0" w:after="0" w:line="360" w:lineRule="auto"/>
        <w:jc w:val="both"/>
        <w:rPr>
          <w:rFonts w:ascii="Arial" w:hAnsi="Arial"/>
          <w:sz w:val="22"/>
          <w:szCs w:val="22"/>
        </w:rPr>
      </w:pPr>
      <w:r>
        <w:rPr>
          <w:rFonts w:ascii="Arial" w:hAnsi="Arial" w:cstheme="minorHAnsi"/>
          <w:b/>
          <w:iCs/>
          <w:caps/>
          <w:sz w:val="22"/>
          <w:szCs w:val="22"/>
        </w:rPr>
        <w:t>DESCRIPCIÓN DE LAS OBRAS</w:t>
      </w:r>
    </w:p>
    <w:p>
      <w:pPr>
        <w:spacing w:before="0" w:after="0" w:line="360" w:lineRule="auto"/>
        <w:jc w:val="both"/>
        <w:rPr>
          <w:rFonts w:ascii="Arial" w:hAnsi="Arial"/>
          <w:sz w:val="22"/>
          <w:szCs w:val="22"/>
        </w:rPr>
      </w:pPr>
      <w:r>
        <w:rPr>
          <w:rFonts w:ascii="Arial" w:hAnsi="Arial" w:cstheme="minorHAnsi"/>
          <w:sz w:val="22"/>
          <w:szCs w:val="22"/>
        </w:rPr>
        <w:t>La empresa que suministre las puertas cortafuego se encargará del correcto montaje según el tipo de muro sobre el que se coloque garantizando la hermeticidad del conjunto.</w:t>
      </w:r>
    </w:p>
    <w:p>
      <w:pPr>
        <w:spacing w:before="0" w:after="0" w:line="360" w:lineRule="auto"/>
        <w:jc w:val="both"/>
        <w:rPr>
          <w:rFonts w:ascii="Arial" w:hAnsi="Arial" w:cs="Calibri"/>
          <w:sz w:val="22"/>
          <w:szCs w:val="22"/>
        </w:rPr>
      </w:pPr>
    </w:p>
    <w:p>
      <w:pPr>
        <w:pStyle w:val="57"/>
        <w:spacing w:line="360" w:lineRule="auto"/>
        <w:jc w:val="both"/>
        <w:rPr>
          <w:rFonts w:ascii="Arial" w:hAnsi="Arial"/>
          <w:sz w:val="22"/>
          <w:szCs w:val="22"/>
        </w:rPr>
      </w:pPr>
      <w:r>
        <w:rPr>
          <w:rFonts w:ascii="Arial" w:hAnsi="Arial" w:cstheme="minorHAnsi"/>
          <w:b/>
          <w:color w:val="auto"/>
          <w:sz w:val="22"/>
          <w:szCs w:val="22"/>
          <w:lang w:val="es-UY"/>
        </w:rPr>
        <w:t xml:space="preserve">REQUISITOS DE LA INSTALACION </w:t>
      </w:r>
    </w:p>
    <w:p>
      <w:pPr>
        <w:spacing w:before="0" w:after="0" w:line="360" w:lineRule="auto"/>
        <w:jc w:val="both"/>
        <w:rPr>
          <w:rFonts w:ascii="Arial" w:hAnsi="Arial"/>
          <w:sz w:val="22"/>
          <w:szCs w:val="22"/>
        </w:rPr>
      </w:pPr>
      <w:r>
        <w:rPr>
          <w:rFonts w:ascii="Arial" w:hAnsi="Arial" w:cstheme="minorHAnsi"/>
          <w:sz w:val="22"/>
          <w:szCs w:val="22"/>
        </w:rPr>
        <w:t xml:space="preserve">Los cerramientos cortafuego deben instalarse según la homologación y las instrucciones para la instalación. </w:t>
      </w:r>
    </w:p>
    <w:p>
      <w:pPr>
        <w:spacing w:before="0" w:after="0" w:line="360" w:lineRule="auto"/>
        <w:jc w:val="both"/>
        <w:rPr>
          <w:rFonts w:ascii="Arial" w:hAnsi="Arial"/>
          <w:sz w:val="22"/>
          <w:szCs w:val="22"/>
        </w:rPr>
      </w:pPr>
      <w:r>
        <w:rPr>
          <w:rFonts w:ascii="Arial" w:hAnsi="Arial" w:cstheme="minorHAnsi"/>
          <w:sz w:val="22"/>
          <w:szCs w:val="22"/>
        </w:rPr>
        <w:t xml:space="preserve">Los productos suministrados cumplen las exigencias para obtener la homologación. </w:t>
      </w:r>
    </w:p>
    <w:p>
      <w:pPr>
        <w:spacing w:before="0" w:after="0" w:line="360" w:lineRule="auto"/>
        <w:jc w:val="both"/>
        <w:rPr>
          <w:rFonts w:ascii="Arial" w:hAnsi="Arial" w:cs="Calibri"/>
          <w:sz w:val="22"/>
          <w:szCs w:val="22"/>
        </w:rPr>
      </w:pPr>
      <w:r>
        <w:rPr>
          <w:rFonts w:ascii="Arial" w:hAnsi="Arial" w:cstheme="minorHAnsi"/>
          <w:sz w:val="22"/>
          <w:szCs w:val="22"/>
        </w:rPr>
        <w:t>Solamente deben realizarse modificaciones que cumplan los requisitos correspondientes</w:t>
      </w:r>
      <w:r>
        <w:rPr>
          <w:rFonts w:hint="default" w:ascii="Arial" w:hAnsi="Arial" w:cstheme="minorHAnsi"/>
          <w:sz w:val="22"/>
          <w:szCs w:val="22"/>
          <w:lang w:val="es-ES"/>
        </w:rPr>
        <w:t>.</w:t>
      </w:r>
      <w:r>
        <w:rPr>
          <w:rFonts w:ascii="Arial" w:hAnsi="Arial" w:cstheme="minorHAnsi"/>
          <w:sz w:val="22"/>
          <w:szCs w:val="22"/>
        </w:rPr>
        <w:t xml:space="preserve"> </w:t>
      </w:r>
    </w:p>
    <w:p>
      <w:pPr>
        <w:spacing w:before="0" w:after="0" w:line="360" w:lineRule="auto"/>
        <w:jc w:val="both"/>
        <w:rPr>
          <w:rFonts w:ascii="Arial" w:hAnsi="Arial"/>
          <w:sz w:val="22"/>
          <w:szCs w:val="22"/>
        </w:rPr>
      </w:pPr>
      <w:r>
        <w:rPr>
          <w:rFonts w:ascii="Arial" w:hAnsi="Arial" w:cstheme="minorHAnsi"/>
          <w:b/>
          <w:sz w:val="22"/>
          <w:szCs w:val="22"/>
        </w:rPr>
        <w:t xml:space="preserve">Los cerramientos cortafuego deben cerrarse automáticamente una vez instalados y estar equipados con los herrajes adecuados para la aplicación correspondiente. </w:t>
      </w:r>
    </w:p>
    <w:p>
      <w:pPr>
        <w:spacing w:before="0" w:after="0" w:line="360" w:lineRule="auto"/>
        <w:jc w:val="both"/>
        <w:rPr>
          <w:rFonts w:ascii="Arial" w:hAnsi="Arial" w:cs="Calibri"/>
          <w:b/>
          <w:sz w:val="22"/>
          <w:szCs w:val="22"/>
        </w:rPr>
      </w:pPr>
    </w:p>
    <w:p>
      <w:pPr>
        <w:spacing w:before="0" w:after="0" w:line="360" w:lineRule="auto"/>
        <w:jc w:val="both"/>
        <w:rPr>
          <w:rFonts w:ascii="Arial" w:hAnsi="Arial"/>
          <w:sz w:val="22"/>
          <w:szCs w:val="22"/>
        </w:rPr>
      </w:pPr>
      <w:r>
        <w:rPr>
          <w:rFonts w:ascii="Arial" w:hAnsi="Arial" w:cstheme="minorHAnsi"/>
          <w:sz w:val="22"/>
          <w:szCs w:val="22"/>
        </w:rPr>
        <w:t>Solamente personas competentes deben recambiar los acristalamientos cortafuego en caso de tenerlo.</w:t>
      </w:r>
    </w:p>
    <w:p>
      <w:pPr>
        <w:spacing w:before="0" w:after="0" w:line="360" w:lineRule="auto"/>
        <w:jc w:val="both"/>
        <w:rPr>
          <w:rFonts w:ascii="Arial" w:hAnsi="Arial"/>
          <w:sz w:val="22"/>
          <w:szCs w:val="22"/>
        </w:rPr>
      </w:pPr>
      <w:r>
        <w:rPr>
          <w:rFonts w:ascii="Arial" w:hAnsi="Arial" w:cstheme="minorHAnsi"/>
          <w:sz w:val="22"/>
          <w:szCs w:val="22"/>
        </w:rPr>
        <w:t xml:space="preserve">No está autorizado el uso de bisagras de muelle en los cerramientos cortafuego cuando se instalan en paredes de hormigón poroso o en paredes prefabricadas de materiales de yeso. </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b/>
          <w:sz w:val="22"/>
          <w:szCs w:val="22"/>
        </w:rPr>
        <w:t>Herrajes, juegos de manillas, cerraduras, elementos de cierre deben utilizarse solamente si se dispone de certificados de aptitud</w:t>
      </w:r>
      <w:r>
        <w:rPr>
          <w:rFonts w:ascii="Arial" w:hAnsi="Arial" w:cstheme="minorHAnsi"/>
          <w:sz w:val="22"/>
          <w:szCs w:val="22"/>
        </w:rPr>
        <w:t xml:space="preserve"> – certificado de inspección de obras – y se respetan las prescripciones para la instalación. </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 xml:space="preserve">Solamente deben emplearse tacos que disponen de la homologación por la inspección de obras o que han pasado el examen contra incendios, teniéndose en cuenta la base de anclaje y las distancias del borde. </w:t>
      </w:r>
    </w:p>
    <w:p>
      <w:pPr>
        <w:spacing w:before="0" w:after="0" w:line="360" w:lineRule="auto"/>
        <w:jc w:val="both"/>
        <w:rPr>
          <w:rFonts w:ascii="Arial" w:hAnsi="Arial" w:cs="Calibri"/>
          <w:b/>
          <w:sz w:val="22"/>
          <w:szCs w:val="22"/>
        </w:rPr>
      </w:pPr>
    </w:p>
    <w:p>
      <w:pPr>
        <w:spacing w:before="0" w:after="0" w:line="360" w:lineRule="auto"/>
        <w:jc w:val="both"/>
        <w:rPr>
          <w:rFonts w:hint="default" w:ascii="Arial" w:hAnsi="Arial" w:cstheme="minorHAnsi"/>
          <w:b/>
          <w:sz w:val="22"/>
          <w:szCs w:val="22"/>
          <w:lang w:val="es-ES"/>
        </w:rPr>
      </w:pPr>
      <w:r>
        <w:rPr>
          <w:rFonts w:ascii="Arial" w:hAnsi="Arial" w:cstheme="minorHAnsi"/>
          <w:b/>
          <w:sz w:val="22"/>
          <w:szCs w:val="22"/>
        </w:rPr>
        <w:t>Los rellenos entre el marco y la pared deben realizarse de acuerdo a las prescripciones para la instalación de los marcos y tipos de muro correspondientes</w:t>
      </w:r>
      <w:r>
        <w:rPr>
          <w:rFonts w:hint="default" w:ascii="Arial" w:hAnsi="Arial" w:cstheme="minorHAnsi"/>
          <w:b/>
          <w:sz w:val="22"/>
          <w:szCs w:val="22"/>
          <w:lang w:val="es-ES"/>
        </w:rPr>
        <w:t>.</w:t>
      </w:r>
    </w:p>
    <w:p>
      <w:pPr>
        <w:spacing w:before="0" w:after="0" w:line="360" w:lineRule="auto"/>
        <w:jc w:val="both"/>
        <w:rPr>
          <w:rFonts w:hint="default" w:ascii="Arial" w:hAnsi="Arial" w:cstheme="minorHAnsi"/>
          <w:b/>
          <w:sz w:val="22"/>
          <w:szCs w:val="22"/>
          <w:lang w:val="es-ES"/>
        </w:rPr>
      </w:pPr>
    </w:p>
    <w:p>
      <w:pPr>
        <w:spacing w:before="0" w:after="0" w:line="360" w:lineRule="auto"/>
        <w:jc w:val="both"/>
        <w:rPr>
          <w:rFonts w:ascii="Arial" w:hAnsi="Arial"/>
          <w:sz w:val="22"/>
          <w:szCs w:val="22"/>
        </w:rPr>
      </w:pPr>
      <w:r>
        <w:rPr>
          <w:rFonts w:ascii="Arial" w:hAnsi="Arial" w:cstheme="minorHAnsi"/>
          <w:sz w:val="22"/>
          <w:szCs w:val="22"/>
        </w:rPr>
        <w:t>La puerta debe encontrarse fijamente unida a los elementos anexos, de manera que los medios de anclaje puedan absorber a largo plazo las fuerzas producidas por el cierre automático del cerramiento cortafuego, así como la fuerza producida por las deformaciones causadas por un incendio. Estas fuerzas tampoco deberán poner en peligro la estabilidad de los elementos anexos (pared, techo y suelo).</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b/>
          <w:sz w:val="22"/>
          <w:szCs w:val="22"/>
        </w:rPr>
        <w:t>Durante todo el procedimiento del montaje debe proteger la hoja de la puerta contra la caída.</w:t>
      </w:r>
    </w:p>
    <w:p>
      <w:pPr>
        <w:spacing w:before="0" w:after="0" w:line="360" w:lineRule="auto"/>
        <w:jc w:val="both"/>
        <w:rPr>
          <w:rFonts w:ascii="Arial" w:hAnsi="Arial" w:cs="Calibri"/>
          <w:b/>
          <w:sz w:val="22"/>
          <w:szCs w:val="22"/>
        </w:rPr>
      </w:pPr>
    </w:p>
    <w:p>
      <w:pPr>
        <w:spacing w:before="0" w:after="0" w:line="360" w:lineRule="auto"/>
        <w:jc w:val="both"/>
        <w:rPr>
          <w:rFonts w:ascii="Arial" w:hAnsi="Arial" w:cs="Calibri"/>
          <w:b/>
          <w:sz w:val="22"/>
          <w:szCs w:val="22"/>
        </w:rPr>
      </w:pPr>
    </w:p>
    <w:p>
      <w:pPr>
        <w:pStyle w:val="57"/>
        <w:spacing w:line="360" w:lineRule="auto"/>
        <w:jc w:val="both"/>
        <w:rPr>
          <w:rFonts w:ascii="Arial" w:hAnsi="Arial"/>
          <w:sz w:val="22"/>
          <w:szCs w:val="22"/>
        </w:rPr>
      </w:pPr>
      <w:r>
        <w:rPr>
          <w:rFonts w:ascii="Arial" w:hAnsi="Arial" w:cstheme="minorHAnsi"/>
          <w:b/>
          <w:color w:val="auto"/>
          <w:sz w:val="22"/>
          <w:szCs w:val="22"/>
          <w:lang w:val="es-UY"/>
        </w:rPr>
        <w:t xml:space="preserve">DOCUMENTOS A PRESENTAR </w:t>
      </w:r>
    </w:p>
    <w:p>
      <w:pPr>
        <w:spacing w:before="0" w:after="0" w:line="360" w:lineRule="auto"/>
        <w:jc w:val="both"/>
        <w:rPr>
          <w:rFonts w:ascii="Arial" w:hAnsi="Arial"/>
          <w:sz w:val="22"/>
          <w:szCs w:val="22"/>
        </w:rPr>
      </w:pPr>
      <w:r>
        <w:rPr>
          <w:rFonts w:ascii="Arial" w:hAnsi="Arial" w:cstheme="minorHAnsi"/>
          <w:sz w:val="22"/>
          <w:szCs w:val="22"/>
        </w:rPr>
        <w:t xml:space="preserve">Etiqueta de cumplimiento de normas internacionales respectivas que cumpla, en la hoja de la puerta. </w:t>
      </w:r>
    </w:p>
    <w:p>
      <w:pPr>
        <w:spacing w:before="0" w:after="0" w:line="360" w:lineRule="auto"/>
        <w:jc w:val="both"/>
        <w:rPr>
          <w:rFonts w:ascii="Arial" w:hAnsi="Arial"/>
          <w:sz w:val="22"/>
          <w:szCs w:val="22"/>
        </w:rPr>
      </w:pPr>
      <w:r>
        <w:rPr>
          <w:rFonts w:ascii="Arial" w:hAnsi="Arial" w:cstheme="minorHAnsi"/>
          <w:sz w:val="22"/>
          <w:szCs w:val="22"/>
        </w:rPr>
        <w:t>Etiquetas o estampa de cumplimiento de normas internacionales respectivas que cumpla el sistema de herrajes y cierres que garanticen su capacidad cortafuego en el conjunto y no solamente en una de sus partes.</w:t>
      </w:r>
    </w:p>
    <w:p>
      <w:pPr>
        <w:spacing w:before="0" w:after="0" w:line="360" w:lineRule="auto"/>
        <w:jc w:val="both"/>
        <w:rPr>
          <w:rFonts w:ascii="Arial" w:hAnsi="Arial"/>
          <w:sz w:val="22"/>
          <w:szCs w:val="22"/>
        </w:rPr>
      </w:pPr>
      <w:r>
        <w:rPr>
          <w:rFonts w:ascii="Arial" w:hAnsi="Arial" w:cstheme="minorHAnsi"/>
          <w:sz w:val="22"/>
          <w:szCs w:val="22"/>
        </w:rPr>
        <w:t>Certificado de homologación por parte de la D.N.B.</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b/>
          <w:sz w:val="22"/>
          <w:szCs w:val="22"/>
          <w:lang w:val="es-MX"/>
        </w:rPr>
        <w:t>CONDICIONES DE RECEPCIÓN</w:t>
      </w:r>
    </w:p>
    <w:p>
      <w:pPr>
        <w:spacing w:before="0" w:after="0" w:line="360" w:lineRule="auto"/>
        <w:jc w:val="both"/>
        <w:rPr>
          <w:rFonts w:ascii="Arial" w:hAnsi="Arial"/>
          <w:sz w:val="22"/>
          <w:szCs w:val="22"/>
        </w:rPr>
      </w:pPr>
      <w:r>
        <w:rPr>
          <w:rFonts w:ascii="Arial" w:hAnsi="Arial" w:cstheme="minorHAnsi"/>
          <w:sz w:val="22"/>
          <w:szCs w:val="22"/>
        </w:rPr>
        <w:t>La DO entenderá que los productos especificados en la presente memoria estarán en condiciones de ser recibidos cuando se verifiquen los siguientes hechos:</w:t>
      </w:r>
    </w:p>
    <w:p>
      <w:pPr>
        <w:spacing w:before="0" w:after="0" w:line="360" w:lineRule="auto"/>
        <w:ind w:firstLine="720"/>
        <w:jc w:val="both"/>
        <w:rPr>
          <w:rFonts w:ascii="Arial" w:hAnsi="Arial"/>
          <w:sz w:val="22"/>
          <w:szCs w:val="22"/>
        </w:rPr>
      </w:pPr>
      <w:r>
        <w:rPr>
          <w:rFonts w:ascii="Arial" w:hAnsi="Arial" w:cstheme="minorHAnsi"/>
          <w:sz w:val="22"/>
          <w:szCs w:val="22"/>
        </w:rPr>
        <w:t>1.-</w:t>
      </w:r>
      <w:r>
        <w:rPr>
          <w:rFonts w:ascii="Arial" w:hAnsi="Arial" w:cstheme="minorHAnsi"/>
          <w:sz w:val="22"/>
          <w:szCs w:val="22"/>
        </w:rPr>
        <w:tab/>
      </w:r>
      <w:r>
        <w:rPr>
          <w:rFonts w:ascii="Arial" w:hAnsi="Arial" w:cstheme="minorHAnsi"/>
          <w:sz w:val="22"/>
          <w:szCs w:val="22"/>
        </w:rPr>
        <w:t>Que coincidan con los detalles del pedido.</w:t>
      </w:r>
    </w:p>
    <w:p>
      <w:pPr>
        <w:spacing w:before="0" w:after="0" w:line="360" w:lineRule="auto"/>
        <w:ind w:firstLine="720"/>
        <w:jc w:val="both"/>
        <w:rPr>
          <w:rFonts w:ascii="Arial" w:hAnsi="Arial"/>
          <w:sz w:val="22"/>
          <w:szCs w:val="22"/>
        </w:rPr>
      </w:pPr>
      <w:r>
        <w:rPr>
          <w:rFonts w:ascii="Arial" w:hAnsi="Arial" w:cstheme="minorHAnsi"/>
          <w:sz w:val="22"/>
          <w:szCs w:val="22"/>
        </w:rPr>
        <w:t>2.-</w:t>
      </w:r>
      <w:r>
        <w:rPr>
          <w:rFonts w:ascii="Arial" w:hAnsi="Arial" w:cstheme="minorHAnsi"/>
          <w:sz w:val="22"/>
          <w:szCs w:val="22"/>
        </w:rPr>
        <w:tab/>
      </w:r>
      <w:r>
        <w:rPr>
          <w:rFonts w:ascii="Arial" w:hAnsi="Arial" w:cstheme="minorHAnsi"/>
          <w:sz w:val="22"/>
          <w:szCs w:val="22"/>
        </w:rPr>
        <w:t>Que estén en adecuado estado de conservación y transporte.</w:t>
      </w:r>
    </w:p>
    <w:p>
      <w:pPr>
        <w:spacing w:before="0" w:after="0" w:line="360" w:lineRule="auto"/>
        <w:ind w:left="1440" w:hanging="720"/>
        <w:jc w:val="both"/>
        <w:rPr>
          <w:rFonts w:ascii="Arial" w:hAnsi="Arial"/>
          <w:sz w:val="22"/>
          <w:szCs w:val="22"/>
        </w:rPr>
      </w:pPr>
      <w:r>
        <w:rPr>
          <w:rFonts w:ascii="Arial" w:hAnsi="Arial" w:cstheme="minorHAnsi"/>
          <w:sz w:val="22"/>
          <w:szCs w:val="22"/>
        </w:rPr>
        <w:t>3.-</w:t>
      </w:r>
      <w:r>
        <w:rPr>
          <w:rFonts w:ascii="Arial" w:hAnsi="Arial" w:cstheme="minorHAnsi"/>
          <w:sz w:val="22"/>
          <w:szCs w:val="22"/>
        </w:rPr>
        <w:tab/>
      </w:r>
      <w:r>
        <w:rPr>
          <w:rFonts w:ascii="Arial" w:hAnsi="Arial" w:cstheme="minorHAnsi"/>
          <w:sz w:val="22"/>
          <w:szCs w:val="22"/>
        </w:rPr>
        <w:t>Que haya sido coordinada la presencia In situ de quien sea el responsable de recibirlas.</w:t>
      </w:r>
    </w:p>
    <w:p>
      <w:pPr>
        <w:spacing w:before="0" w:after="0" w:line="360" w:lineRule="auto"/>
        <w:ind w:left="1440" w:hanging="720"/>
        <w:jc w:val="both"/>
        <w:rPr>
          <w:rFonts w:ascii="Arial" w:hAnsi="Arial"/>
          <w:sz w:val="22"/>
          <w:szCs w:val="22"/>
        </w:rPr>
      </w:pPr>
      <w:r>
        <w:rPr>
          <w:rFonts w:ascii="Arial" w:hAnsi="Arial" w:cstheme="minorHAnsi"/>
          <w:sz w:val="22"/>
          <w:szCs w:val="22"/>
        </w:rPr>
        <w:t>4.-</w:t>
      </w:r>
      <w:r>
        <w:rPr>
          <w:rFonts w:ascii="Arial" w:hAnsi="Arial" w:cstheme="minorHAnsi"/>
          <w:sz w:val="22"/>
          <w:szCs w:val="22"/>
        </w:rPr>
        <w:tab/>
      </w:r>
      <w:r>
        <w:rPr>
          <w:rFonts w:ascii="Arial" w:hAnsi="Arial" w:cstheme="minorHAnsi"/>
          <w:sz w:val="22"/>
          <w:szCs w:val="22"/>
        </w:rPr>
        <w:t>Que sean entregadas en conjunto con las mismas las partes complementarias.</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 xml:space="preserve">En todos los casos la DO podrá establecer condiciones complementarias de recepción siempre que se ajusten a lo establecido en las descripciones establecidas en la presente memoria. </w:t>
      </w:r>
    </w:p>
    <w:p>
      <w:pPr>
        <w:spacing w:before="0" w:after="0" w:line="360" w:lineRule="auto"/>
        <w:jc w:val="both"/>
        <w:rPr>
          <w:rFonts w:ascii="Arial" w:hAnsi="Arial" w:cs="Calibri"/>
          <w:b/>
          <w:sz w:val="22"/>
          <w:szCs w:val="22"/>
        </w:rPr>
      </w:pPr>
    </w:p>
    <w:p>
      <w:pPr>
        <w:spacing w:before="0" w:after="0" w:line="360" w:lineRule="auto"/>
        <w:jc w:val="both"/>
        <w:rPr>
          <w:rFonts w:ascii="Arial" w:hAnsi="Arial"/>
          <w:sz w:val="22"/>
          <w:szCs w:val="22"/>
        </w:rPr>
      </w:pPr>
      <w:r>
        <w:rPr>
          <w:rFonts w:ascii="Arial" w:hAnsi="Arial" w:cstheme="minorHAnsi"/>
          <w:b/>
          <w:sz w:val="22"/>
          <w:szCs w:val="22"/>
        </w:rPr>
        <w:t>CONDICIONES DE RECHAZO</w:t>
      </w:r>
    </w:p>
    <w:p>
      <w:pPr>
        <w:spacing w:before="0" w:after="0" w:line="360" w:lineRule="auto"/>
        <w:jc w:val="both"/>
        <w:rPr>
          <w:rFonts w:ascii="Arial" w:hAnsi="Arial"/>
          <w:sz w:val="22"/>
          <w:szCs w:val="22"/>
        </w:rPr>
      </w:pPr>
      <w:r>
        <w:rPr>
          <w:rFonts w:ascii="Arial" w:hAnsi="Arial" w:cstheme="minorHAnsi"/>
          <w:sz w:val="22"/>
          <w:szCs w:val="22"/>
        </w:rPr>
        <w:t>La DO entenderá que los productos especificados en la presente memoria serán rechazados cuando se verifiquen los siguientes hechos:</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A) Cuando no se puedan verificar las condiciones de validez de las cargas de los certificados de aprobación que correspondan con las reglamentaciones vigentes y que se solicitan en la presente memoria</w:t>
      </w:r>
    </w:p>
    <w:p>
      <w:pPr>
        <w:spacing w:before="0" w:after="0" w:line="360" w:lineRule="auto"/>
        <w:jc w:val="both"/>
        <w:rPr>
          <w:rFonts w:ascii="Arial" w:hAnsi="Arial"/>
          <w:sz w:val="22"/>
          <w:szCs w:val="22"/>
        </w:rPr>
      </w:pPr>
      <w:r>
        <w:rPr>
          <w:rFonts w:ascii="Arial" w:hAnsi="Arial" w:cstheme="minorHAnsi"/>
          <w:sz w:val="22"/>
          <w:szCs w:val="22"/>
        </w:rPr>
        <w:t>B) Cuando se verifiquen golpes, rayones, o daños de cualquier tipo, ya sea a la puerta, el marco o los errajes.</w:t>
      </w:r>
    </w:p>
    <w:p>
      <w:pPr>
        <w:spacing w:before="0" w:after="0" w:line="360" w:lineRule="auto"/>
        <w:jc w:val="both"/>
        <w:rPr>
          <w:rFonts w:ascii="Arial" w:hAnsi="Arial"/>
          <w:sz w:val="22"/>
          <w:szCs w:val="22"/>
        </w:rPr>
      </w:pPr>
      <w:r>
        <w:rPr>
          <w:rFonts w:ascii="Arial" w:hAnsi="Arial" w:cstheme="minorHAnsi"/>
          <w:sz w:val="22"/>
          <w:szCs w:val="22"/>
        </w:rPr>
        <w:t>C) Cuando se verifique que los soportes y/o sujeciones cuando corresponda, no coinciden con lo especificado.</w:t>
      </w:r>
    </w:p>
    <w:p>
      <w:pPr>
        <w:spacing w:before="0" w:after="0" w:line="360" w:lineRule="auto"/>
        <w:jc w:val="both"/>
        <w:rPr>
          <w:rFonts w:ascii="Arial" w:hAnsi="Arial"/>
          <w:sz w:val="22"/>
          <w:szCs w:val="22"/>
        </w:rPr>
      </w:pPr>
      <w:r>
        <w:rPr>
          <w:rFonts w:ascii="Arial" w:hAnsi="Arial" w:cstheme="minorHAnsi"/>
          <w:sz w:val="22"/>
          <w:szCs w:val="22"/>
        </w:rPr>
        <w:t>D) Cuando los errajes no funcionen de forma correcta permitiendo el cierre automático de la puerta y correcta apertura.</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En todos los casos la DO podrá establecer condiciones complementarias de recepción siempre que se ajusten a lo establecido en las descripciones establecidas en la presente memoria.</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b/>
          <w:sz w:val="22"/>
          <w:szCs w:val="22"/>
        </w:rPr>
        <w:t>CONSIDERACIONES GENERALES</w:t>
      </w:r>
    </w:p>
    <w:p>
      <w:pPr>
        <w:spacing w:before="0" w:after="0" w:line="360" w:lineRule="auto"/>
        <w:jc w:val="both"/>
        <w:rPr>
          <w:rFonts w:ascii="Arial" w:hAnsi="Arial"/>
          <w:sz w:val="22"/>
          <w:szCs w:val="22"/>
        </w:rPr>
      </w:pPr>
      <w:r>
        <w:rPr>
          <w:rFonts w:ascii="Arial" w:hAnsi="Arial" w:cstheme="minorHAnsi"/>
          <w:sz w:val="22"/>
          <w:szCs w:val="22"/>
        </w:rPr>
        <w:t xml:space="preserve">El propietario es responsable del perfecto estado del cerramiento cortafuego. </w:t>
      </w:r>
    </w:p>
    <w:p>
      <w:pPr>
        <w:spacing w:before="0" w:after="0" w:line="360" w:lineRule="auto"/>
        <w:jc w:val="both"/>
        <w:rPr>
          <w:rFonts w:ascii="Arial" w:hAnsi="Arial"/>
          <w:sz w:val="22"/>
          <w:szCs w:val="22"/>
        </w:rPr>
      </w:pPr>
      <w:r>
        <w:rPr>
          <w:rFonts w:ascii="Arial" w:hAnsi="Arial" w:cstheme="minorHAnsi"/>
          <w:sz w:val="22"/>
          <w:szCs w:val="22"/>
        </w:rPr>
        <w:t>No se permite la aplicación de cerraduras con función de bloqueo, cerraduras adicionales y elementos de bloqueo.</w:t>
      </w:r>
    </w:p>
    <w:p>
      <w:pPr>
        <w:spacing w:before="0" w:after="0" w:line="360" w:lineRule="auto"/>
        <w:jc w:val="both"/>
        <w:rPr>
          <w:rFonts w:ascii="Arial" w:hAnsi="Arial" w:cs="Calibri"/>
          <w:sz w:val="22"/>
          <w:szCs w:val="22"/>
        </w:rPr>
      </w:pPr>
    </w:p>
    <w:p>
      <w:pPr>
        <w:pStyle w:val="57"/>
        <w:spacing w:line="360" w:lineRule="auto"/>
        <w:jc w:val="both"/>
        <w:rPr>
          <w:rFonts w:ascii="Arial" w:hAnsi="Arial"/>
          <w:sz w:val="22"/>
          <w:szCs w:val="22"/>
        </w:rPr>
      </w:pPr>
      <w:r>
        <w:rPr>
          <w:rFonts w:ascii="Arial" w:hAnsi="Arial" w:cstheme="minorHAnsi"/>
          <w:b/>
          <w:color w:val="auto"/>
          <w:sz w:val="22"/>
          <w:szCs w:val="22"/>
          <w:lang w:val="es-UY"/>
        </w:rPr>
        <w:t>OTRAS OBRAS</w:t>
      </w:r>
    </w:p>
    <w:p>
      <w:pPr>
        <w:pStyle w:val="57"/>
        <w:spacing w:line="360" w:lineRule="auto"/>
        <w:jc w:val="both"/>
        <w:rPr>
          <w:rFonts w:ascii="Arial" w:hAnsi="Arial"/>
          <w:sz w:val="22"/>
          <w:szCs w:val="22"/>
        </w:rPr>
      </w:pPr>
      <w:r>
        <w:rPr>
          <w:rFonts w:ascii="Arial" w:hAnsi="Arial" w:cstheme="minorHAnsi"/>
          <w:color w:val="auto"/>
          <w:sz w:val="22"/>
          <w:szCs w:val="22"/>
          <w:lang w:val="es-UY"/>
        </w:rPr>
        <w:t>Las otras obras requeridas en la presente edificación, no referidas a las Puertas Cortafuego, se responsabilidad del contratista de la obra la compra de esos insumos debidamente HOMOLOGADOS por la DNB, y aplicados según el caso y guardando la documentación que corrobora su compra para su presentación ante la gestión de la DNB y que refiere a:</w:t>
      </w:r>
    </w:p>
    <w:p>
      <w:pPr>
        <w:pStyle w:val="57"/>
        <w:numPr>
          <w:ilvl w:val="0"/>
          <w:numId w:val="6"/>
        </w:numPr>
        <w:spacing w:line="360" w:lineRule="auto"/>
        <w:rPr>
          <w:rFonts w:ascii="Arial" w:hAnsi="Arial"/>
          <w:sz w:val="22"/>
          <w:szCs w:val="22"/>
        </w:rPr>
      </w:pPr>
      <w:r>
        <w:rPr>
          <w:rFonts w:ascii="Arial" w:hAnsi="Arial" w:cstheme="minorHAnsi"/>
          <w:iCs/>
          <w:color w:val="auto"/>
          <w:sz w:val="22"/>
          <w:szCs w:val="22"/>
          <w:lang w:val="es-UY"/>
        </w:rPr>
        <w:t>Muros Cortafuego (MCF)</w:t>
      </w:r>
    </w:p>
    <w:p>
      <w:pPr>
        <w:pStyle w:val="57"/>
        <w:numPr>
          <w:ilvl w:val="0"/>
          <w:numId w:val="6"/>
        </w:numPr>
        <w:spacing w:line="360" w:lineRule="auto"/>
        <w:rPr>
          <w:rFonts w:ascii="Arial" w:hAnsi="Arial"/>
          <w:sz w:val="22"/>
          <w:szCs w:val="22"/>
        </w:rPr>
      </w:pPr>
      <w:r>
        <w:rPr>
          <w:rFonts w:ascii="Arial" w:hAnsi="Arial" w:cstheme="minorHAnsi"/>
          <w:iCs/>
          <w:color w:val="auto"/>
          <w:sz w:val="22"/>
          <w:szCs w:val="22"/>
          <w:lang w:val="es-UY"/>
        </w:rPr>
        <w:t>Pases en MCF</w:t>
      </w:r>
    </w:p>
    <w:p>
      <w:pPr>
        <w:pStyle w:val="57"/>
        <w:spacing w:line="360" w:lineRule="auto"/>
        <w:rPr>
          <w:rFonts w:ascii="Arial" w:hAnsi="Arial"/>
          <w:iCs/>
          <w:color w:val="auto"/>
          <w:sz w:val="22"/>
          <w:szCs w:val="22"/>
          <w:lang w:val="es-UY"/>
        </w:rPr>
      </w:pPr>
    </w:p>
    <w:p>
      <w:pPr>
        <w:pStyle w:val="57"/>
        <w:spacing w:line="360" w:lineRule="auto"/>
        <w:rPr>
          <w:rFonts w:ascii="Arial" w:hAnsi="Arial"/>
          <w:b/>
          <w:iCs/>
          <w:color w:val="auto"/>
          <w:sz w:val="22"/>
          <w:szCs w:val="22"/>
          <w:lang w:val="es-UY"/>
        </w:rPr>
      </w:pPr>
    </w:p>
    <w:p>
      <w:pPr>
        <w:pStyle w:val="57"/>
        <w:spacing w:line="360" w:lineRule="auto"/>
        <w:rPr>
          <w:rFonts w:ascii="Arial" w:hAnsi="Arial"/>
          <w:b/>
          <w:iCs/>
          <w:color w:val="auto"/>
          <w:sz w:val="22"/>
          <w:szCs w:val="22"/>
          <w:lang w:val="es-UY"/>
        </w:rPr>
      </w:pPr>
    </w:p>
    <w:p>
      <w:pPr>
        <w:pStyle w:val="57"/>
        <w:spacing w:line="360" w:lineRule="auto"/>
        <w:rPr>
          <w:rFonts w:ascii="Arial" w:hAnsi="Arial"/>
          <w:b/>
          <w:iCs/>
          <w:color w:val="auto"/>
          <w:sz w:val="22"/>
          <w:szCs w:val="22"/>
          <w:lang w:val="es-UY"/>
        </w:rPr>
      </w:pPr>
    </w:p>
    <w:p>
      <w:pPr>
        <w:pStyle w:val="57"/>
        <w:spacing w:line="360" w:lineRule="auto"/>
        <w:rPr>
          <w:rFonts w:ascii="Arial" w:hAnsi="Arial"/>
          <w:b/>
          <w:iCs/>
          <w:color w:val="auto"/>
          <w:sz w:val="22"/>
          <w:szCs w:val="22"/>
          <w:lang w:val="es-UY"/>
        </w:rPr>
      </w:pPr>
    </w:p>
    <w:p>
      <w:pPr>
        <w:pStyle w:val="57"/>
        <w:spacing w:line="360" w:lineRule="auto"/>
        <w:rPr>
          <w:rFonts w:ascii="Arial" w:hAnsi="Arial"/>
          <w:b/>
          <w:iCs/>
          <w:color w:val="auto"/>
          <w:sz w:val="22"/>
          <w:szCs w:val="22"/>
          <w:lang w:val="es-UY"/>
        </w:rPr>
      </w:pPr>
    </w:p>
    <w:p>
      <w:pPr>
        <w:pStyle w:val="57"/>
        <w:spacing w:line="360" w:lineRule="auto"/>
        <w:rPr>
          <w:rFonts w:ascii="Arial" w:hAnsi="Arial"/>
          <w:b/>
          <w:iCs/>
          <w:color w:val="auto"/>
          <w:sz w:val="22"/>
          <w:szCs w:val="22"/>
          <w:lang w:val="es-UY"/>
        </w:rPr>
      </w:pPr>
    </w:p>
    <w:p>
      <w:pPr>
        <w:pStyle w:val="57"/>
        <w:spacing w:line="360" w:lineRule="auto"/>
        <w:rPr>
          <w:rFonts w:ascii="Arial" w:hAnsi="Arial"/>
          <w:b/>
          <w:iCs/>
          <w:color w:val="auto"/>
          <w:sz w:val="22"/>
          <w:szCs w:val="22"/>
          <w:lang w:val="es-UY"/>
        </w:rPr>
      </w:pPr>
    </w:p>
    <w:p>
      <w:pPr>
        <w:pStyle w:val="57"/>
        <w:spacing w:line="360" w:lineRule="auto"/>
        <w:rPr>
          <w:rFonts w:ascii="Arial" w:hAnsi="Arial"/>
          <w:b/>
          <w:iCs/>
          <w:color w:val="auto"/>
          <w:sz w:val="22"/>
          <w:szCs w:val="22"/>
          <w:lang w:val="es-UY"/>
        </w:rPr>
      </w:pPr>
    </w:p>
    <w:p>
      <w:pPr>
        <w:pStyle w:val="57"/>
        <w:spacing w:line="360" w:lineRule="auto"/>
        <w:rPr>
          <w:rFonts w:ascii="Arial" w:hAnsi="Arial"/>
          <w:b/>
          <w:iCs/>
          <w:color w:val="auto"/>
          <w:sz w:val="22"/>
          <w:szCs w:val="22"/>
          <w:lang w:val="es-UY"/>
        </w:rPr>
      </w:pPr>
    </w:p>
    <w:p>
      <w:pPr>
        <w:pStyle w:val="57"/>
        <w:spacing w:line="360" w:lineRule="auto"/>
        <w:jc w:val="left"/>
        <w:rPr>
          <w:rFonts w:ascii="Arial" w:hAnsi="Arial"/>
          <w:b/>
          <w:color w:val="auto"/>
          <w:sz w:val="22"/>
          <w:szCs w:val="22"/>
          <w:lang w:val="es-UY"/>
        </w:rPr>
      </w:pPr>
      <w:r>
        <w:rPr>
          <w:rFonts w:ascii="Arial" w:hAnsi="Arial" w:cstheme="minorHAnsi"/>
          <w:b/>
          <w:iCs/>
          <w:color w:val="auto"/>
          <w:sz w:val="22"/>
          <w:szCs w:val="22"/>
          <w:lang w:val="es-UY"/>
        </w:rPr>
        <w:t>ANEXO IV</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RESPONSABLE POR EL USO:</w:t>
      </w:r>
      <w:r>
        <w:rPr>
          <w:rFonts w:ascii="Arial" w:hAnsi="Arial" w:cstheme="minorHAnsi"/>
          <w:b/>
          <w:bCs/>
          <w:color w:val="auto"/>
          <w:sz w:val="22"/>
          <w:szCs w:val="22"/>
          <w:lang w:val="es-UY"/>
        </w:rPr>
        <w:t xml:space="preserve"> INSTITUTO URUGUAYO DE METEOROLOGIA (INUMET)</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DESTINO:</w:t>
      </w:r>
      <w:r>
        <w:rPr>
          <w:rFonts w:ascii="Arial" w:hAnsi="Arial" w:cstheme="minorHAnsi"/>
          <w:b/>
          <w:bCs/>
          <w:color w:val="auto"/>
          <w:sz w:val="22"/>
          <w:szCs w:val="22"/>
          <w:lang w:val="es-UY"/>
        </w:rPr>
        <w:t xml:space="preserve"> ADMINISTRATIVO</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GRUPO/CATEGORIA:</w:t>
      </w:r>
      <w:r>
        <w:rPr>
          <w:rFonts w:ascii="Arial" w:hAnsi="Arial" w:cstheme="minorHAnsi"/>
          <w:b/>
          <w:bCs/>
          <w:color w:val="auto"/>
          <w:sz w:val="22"/>
          <w:szCs w:val="22"/>
          <w:lang w:val="es-UY"/>
        </w:rPr>
        <w:t xml:space="preserve"> D</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CLASIFICACIÓN:</w:t>
      </w:r>
      <w:r>
        <w:rPr>
          <w:rFonts w:ascii="Arial" w:hAnsi="Arial" w:cstheme="minorHAnsi"/>
          <w:b/>
          <w:bCs/>
          <w:color w:val="auto"/>
          <w:sz w:val="22"/>
          <w:szCs w:val="22"/>
          <w:lang w:val="es-UY"/>
        </w:rPr>
        <w:t xml:space="preserve"> D-1 </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 xml:space="preserve">RIESGO: </w:t>
      </w:r>
      <w:r>
        <w:rPr>
          <w:rFonts w:ascii="Arial" w:hAnsi="Arial" w:cstheme="minorHAnsi"/>
          <w:b/>
          <w:bCs/>
          <w:color w:val="auto"/>
          <w:sz w:val="22"/>
          <w:szCs w:val="22"/>
          <w:lang w:val="es-UY"/>
        </w:rPr>
        <w:t>MEDIO</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CARGA DE FUEGO:</w:t>
      </w:r>
      <w:r>
        <w:rPr>
          <w:rFonts w:ascii="Arial" w:hAnsi="Arial" w:cstheme="minorHAnsi"/>
          <w:b/>
          <w:bCs/>
          <w:color w:val="auto"/>
          <w:sz w:val="22"/>
          <w:szCs w:val="22"/>
          <w:lang w:val="es-UY"/>
        </w:rPr>
        <w:t xml:space="preserve"> 700 MJ/m</w:t>
      </w:r>
      <w:r>
        <w:rPr>
          <w:rFonts w:ascii="Arial" w:hAnsi="Arial" w:cstheme="minorHAnsi"/>
          <w:b/>
          <w:bCs/>
          <w:color w:val="auto"/>
          <w:sz w:val="22"/>
          <w:szCs w:val="22"/>
          <w:vertAlign w:val="superscript"/>
          <w:lang w:val="es-UY"/>
        </w:rPr>
        <w:t>2</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DIRECCIÓN:</w:t>
      </w:r>
      <w:r>
        <w:rPr>
          <w:rFonts w:ascii="Arial" w:hAnsi="Arial" w:cstheme="minorHAnsi"/>
          <w:b/>
          <w:bCs/>
          <w:color w:val="auto"/>
          <w:sz w:val="22"/>
          <w:szCs w:val="22"/>
          <w:lang w:val="es-UY"/>
        </w:rPr>
        <w:t xml:space="preserve"> DR. JAVIER BARRIOS AMORÍN 1488 / MONTEVIDEO /URUGUAY</w:t>
      </w:r>
    </w:p>
    <w:p>
      <w:pPr>
        <w:pStyle w:val="57"/>
        <w:spacing w:line="360" w:lineRule="auto"/>
        <w:jc w:val="both"/>
        <w:rPr>
          <w:rFonts w:ascii="Arial" w:hAnsi="Arial"/>
          <w:b/>
          <w:bCs/>
          <w:color w:val="auto"/>
          <w:sz w:val="22"/>
          <w:szCs w:val="22"/>
          <w:lang w:val="es-UY"/>
        </w:rPr>
      </w:pPr>
    </w:p>
    <w:p>
      <w:pPr>
        <w:pStyle w:val="23"/>
        <w:pBdr>
          <w:top w:val="single" w:color="000000" w:sz="4" w:space="1"/>
          <w:left w:val="single" w:color="000000" w:sz="4" w:space="4"/>
          <w:bottom w:val="single" w:color="000000" w:sz="4" w:space="1"/>
          <w:right w:val="single" w:color="000000" w:sz="4" w:space="4"/>
        </w:pBdr>
        <w:spacing w:line="360" w:lineRule="auto"/>
        <w:jc w:val="center"/>
        <w:rPr>
          <w:rFonts w:ascii="Arial" w:hAnsi="Arial"/>
          <w:sz w:val="22"/>
          <w:szCs w:val="22"/>
        </w:rPr>
      </w:pPr>
      <w:r>
        <w:rPr>
          <w:rFonts w:ascii="Arial" w:hAnsi="Arial" w:cstheme="minorHAnsi"/>
          <w:b/>
          <w:sz w:val="22"/>
          <w:szCs w:val="22"/>
        </w:rPr>
        <w:t>ANEXO IV - EXTINTORES</w:t>
      </w:r>
    </w:p>
    <w:p>
      <w:pPr>
        <w:pStyle w:val="57"/>
        <w:pBdr>
          <w:bottom w:val="single" w:color="000000" w:sz="4" w:space="1"/>
        </w:pBdr>
        <w:spacing w:line="360" w:lineRule="auto"/>
        <w:jc w:val="both"/>
        <w:rPr>
          <w:rFonts w:ascii="Arial" w:hAnsi="Arial"/>
          <w:b/>
          <w:color w:val="auto"/>
          <w:sz w:val="22"/>
          <w:szCs w:val="22"/>
          <w:lang w:val="es-UY"/>
        </w:rPr>
      </w:pPr>
    </w:p>
    <w:p>
      <w:pPr>
        <w:pStyle w:val="57"/>
        <w:spacing w:line="360" w:lineRule="auto"/>
        <w:jc w:val="both"/>
        <w:rPr>
          <w:rFonts w:ascii="Arial" w:hAnsi="Arial"/>
          <w:sz w:val="22"/>
          <w:szCs w:val="22"/>
        </w:rPr>
      </w:pPr>
      <w:r>
        <w:rPr>
          <w:rFonts w:ascii="Arial" w:hAnsi="Arial"/>
          <w:sz w:val="22"/>
          <w:szCs w:val="22"/>
          <w:lang w:val="es-UY"/>
        </w:rPr>
        <w:t>Decreto 184/018 _ DNB</w:t>
      </w:r>
    </w:p>
    <w:p>
      <w:pPr>
        <w:pStyle w:val="57"/>
        <w:tabs>
          <w:tab w:val="left" w:pos="720"/>
        </w:tabs>
        <w:spacing w:line="360" w:lineRule="auto"/>
        <w:jc w:val="both"/>
        <w:rPr>
          <w:rFonts w:ascii="Arial" w:hAnsi="Arial"/>
          <w:sz w:val="22"/>
          <w:szCs w:val="22"/>
        </w:rPr>
      </w:pPr>
      <w:r>
        <w:rPr>
          <w:rFonts w:ascii="Arial" w:hAnsi="Arial"/>
          <w:color w:val="auto"/>
          <w:sz w:val="22"/>
          <w:szCs w:val="22"/>
          <w:lang w:val="es-MX"/>
        </w:rPr>
        <w:t>IT01/</w:t>
      </w:r>
      <w:r>
        <w:rPr>
          <w:rFonts w:ascii="Arial" w:hAnsi="Arial"/>
          <w:color w:val="auto"/>
          <w:sz w:val="22"/>
          <w:szCs w:val="22"/>
          <w:lang w:val="es-UY"/>
        </w:rPr>
        <w:t>2020 Requisitos Administrativos _ DNB</w:t>
      </w:r>
    </w:p>
    <w:p>
      <w:pPr>
        <w:pStyle w:val="57"/>
        <w:tabs>
          <w:tab w:val="left" w:pos="720"/>
        </w:tabs>
        <w:spacing w:line="360" w:lineRule="auto"/>
        <w:jc w:val="both"/>
        <w:rPr>
          <w:rFonts w:ascii="Arial" w:hAnsi="Arial"/>
          <w:sz w:val="22"/>
          <w:szCs w:val="22"/>
        </w:rPr>
      </w:pPr>
      <w:r>
        <w:rPr>
          <w:rFonts w:ascii="Arial" w:hAnsi="Arial"/>
          <w:color w:val="auto"/>
          <w:sz w:val="22"/>
          <w:szCs w:val="22"/>
          <w:lang w:val="es-MX"/>
        </w:rPr>
        <w:t>IT03/</w:t>
      </w:r>
      <w:r>
        <w:rPr>
          <w:rFonts w:ascii="Arial" w:hAnsi="Arial"/>
          <w:color w:val="auto"/>
          <w:sz w:val="22"/>
          <w:szCs w:val="22"/>
          <w:lang w:val="es-UY"/>
        </w:rPr>
        <w:t>2010 Terminología de Incendio_ DNB</w:t>
      </w:r>
    </w:p>
    <w:p>
      <w:pPr>
        <w:pStyle w:val="57"/>
        <w:spacing w:line="360" w:lineRule="auto"/>
        <w:jc w:val="both"/>
        <w:rPr>
          <w:rFonts w:ascii="Arial" w:hAnsi="Arial"/>
          <w:sz w:val="22"/>
          <w:szCs w:val="22"/>
        </w:rPr>
      </w:pPr>
      <w:r>
        <w:rPr>
          <w:rFonts w:ascii="Arial" w:hAnsi="Arial"/>
          <w:color w:val="auto"/>
          <w:sz w:val="22"/>
          <w:szCs w:val="22"/>
          <w:lang w:val="es-MX"/>
        </w:rPr>
        <w:t>IT04/</w:t>
      </w:r>
      <w:r>
        <w:rPr>
          <w:rFonts w:ascii="Arial" w:hAnsi="Arial"/>
          <w:color w:val="auto"/>
          <w:sz w:val="22"/>
          <w:szCs w:val="22"/>
          <w:lang w:val="es-UY"/>
        </w:rPr>
        <w:t>2020 Extintores de Incendio_ DNB</w:t>
      </w:r>
    </w:p>
    <w:p>
      <w:pPr>
        <w:pStyle w:val="57"/>
        <w:pBdr>
          <w:bottom w:val="single" w:color="000000" w:sz="4" w:space="1"/>
        </w:pBdr>
        <w:spacing w:line="360" w:lineRule="auto"/>
        <w:jc w:val="both"/>
        <w:rPr>
          <w:rFonts w:ascii="Arial" w:hAnsi="Arial"/>
          <w:b/>
          <w:color w:val="auto"/>
          <w:sz w:val="22"/>
          <w:szCs w:val="22"/>
          <w:lang w:val="es-UY"/>
        </w:rPr>
      </w:pPr>
    </w:p>
    <w:p>
      <w:pPr>
        <w:pStyle w:val="57"/>
        <w:pBdr>
          <w:bottom w:val="single" w:color="000000" w:sz="4" w:space="1"/>
        </w:pBdr>
        <w:spacing w:line="360" w:lineRule="auto"/>
        <w:rPr>
          <w:rFonts w:ascii="Arial" w:hAnsi="Arial"/>
          <w:sz w:val="22"/>
          <w:szCs w:val="22"/>
        </w:rPr>
      </w:pPr>
      <w:r>
        <w:rPr>
          <w:rFonts w:ascii="Arial" w:hAnsi="Arial" w:cstheme="minorHAnsi"/>
          <w:b/>
          <w:color w:val="auto"/>
          <w:sz w:val="22"/>
          <w:szCs w:val="22"/>
          <w:lang w:val="es-UY"/>
        </w:rPr>
        <w:t>OBJETIVO</w:t>
      </w:r>
    </w:p>
    <w:p>
      <w:pPr>
        <w:spacing w:before="0" w:after="0" w:line="360" w:lineRule="auto"/>
        <w:rPr>
          <w:rFonts w:ascii="Arial" w:hAnsi="Arial"/>
          <w:sz w:val="22"/>
          <w:szCs w:val="22"/>
        </w:rPr>
      </w:pPr>
      <w:r>
        <w:rPr>
          <w:rFonts w:ascii="Arial" w:hAnsi="Arial" w:cstheme="minorHAnsi"/>
          <w:sz w:val="22"/>
          <w:szCs w:val="22"/>
        </w:rPr>
        <w:t>Esta Memoria Técnica establece criterios para protección contra incendio en edificaciones y áreas de riesgo por medio de extintores de incendio (portátiles o sobre ruedas), atendiendo a lo previsto en el Decreto vigente.</w:t>
      </w:r>
    </w:p>
    <w:p>
      <w:pPr>
        <w:spacing w:before="0" w:after="0" w:line="360" w:lineRule="auto"/>
        <w:rPr>
          <w:rFonts w:ascii="Arial" w:hAnsi="Arial"/>
          <w:sz w:val="22"/>
          <w:szCs w:val="22"/>
        </w:rPr>
      </w:pPr>
      <w:r>
        <w:rPr>
          <w:rFonts w:ascii="Arial" w:hAnsi="Arial" w:cstheme="minorHAnsi"/>
          <w:sz w:val="22"/>
          <w:szCs w:val="22"/>
        </w:rPr>
        <w:t>Como la edificación en su conjunto ya tiene un parking de extintores existente, se solicita por intermedio del presente:</w:t>
      </w:r>
    </w:p>
    <w:p>
      <w:pPr>
        <w:pStyle w:val="54"/>
        <w:numPr>
          <w:ilvl w:val="0"/>
          <w:numId w:val="5"/>
        </w:numPr>
        <w:spacing w:line="360" w:lineRule="auto"/>
        <w:rPr>
          <w:rFonts w:ascii="Arial" w:hAnsi="Arial"/>
          <w:sz w:val="22"/>
          <w:szCs w:val="22"/>
        </w:rPr>
      </w:pPr>
      <w:r>
        <w:rPr>
          <w:rFonts w:ascii="Arial" w:hAnsi="Arial" w:cstheme="minorHAnsi"/>
          <w:b/>
          <w:bCs/>
          <w:sz w:val="22"/>
          <w:szCs w:val="22"/>
          <w:lang w:val="es-UY"/>
        </w:rPr>
        <w:t>Realizar mantenimiento y/o recarga de todo el parking de extintores existentes</w:t>
      </w:r>
    </w:p>
    <w:p>
      <w:pPr>
        <w:pStyle w:val="54"/>
        <w:numPr>
          <w:ilvl w:val="0"/>
          <w:numId w:val="5"/>
        </w:numPr>
        <w:spacing w:line="360" w:lineRule="auto"/>
        <w:rPr>
          <w:rFonts w:ascii="Arial" w:hAnsi="Arial"/>
          <w:sz w:val="22"/>
          <w:szCs w:val="22"/>
        </w:rPr>
      </w:pPr>
      <w:r>
        <w:rPr>
          <w:rFonts w:ascii="Arial" w:hAnsi="Arial" w:cstheme="minorHAnsi"/>
          <w:b/>
          <w:bCs/>
          <w:sz w:val="22"/>
          <w:szCs w:val="22"/>
          <w:lang w:val="es-UY"/>
        </w:rPr>
        <w:t>Suministro e instalación de nuevos extintores únicamente para la planta de subsuelo</w:t>
      </w:r>
    </w:p>
    <w:p>
      <w:pPr>
        <w:pStyle w:val="57"/>
        <w:pBdr>
          <w:bottom w:val="single" w:color="000000" w:sz="4" w:space="1"/>
        </w:pBdr>
        <w:spacing w:line="360" w:lineRule="auto"/>
        <w:jc w:val="both"/>
        <w:rPr>
          <w:rFonts w:ascii="Arial" w:hAnsi="Arial"/>
          <w:b/>
          <w:color w:val="auto"/>
          <w:sz w:val="22"/>
          <w:szCs w:val="22"/>
          <w:lang w:val="es-UY"/>
        </w:rPr>
      </w:pPr>
    </w:p>
    <w:p>
      <w:pPr>
        <w:pStyle w:val="57"/>
        <w:pBdr>
          <w:bottom w:val="single" w:color="000000" w:sz="4" w:space="1"/>
        </w:pBdr>
        <w:spacing w:line="360" w:lineRule="auto"/>
        <w:jc w:val="both"/>
        <w:rPr>
          <w:rFonts w:ascii="Arial" w:hAnsi="Arial"/>
          <w:sz w:val="22"/>
          <w:szCs w:val="22"/>
        </w:rPr>
      </w:pPr>
      <w:r>
        <w:rPr>
          <w:rFonts w:ascii="Arial" w:hAnsi="Arial" w:cstheme="minorHAnsi"/>
          <w:b/>
          <w:color w:val="auto"/>
          <w:sz w:val="22"/>
          <w:szCs w:val="22"/>
          <w:lang w:val="es-UY"/>
        </w:rPr>
        <w:t xml:space="preserve">CARACTERISTICAS </w:t>
      </w:r>
    </w:p>
    <w:p>
      <w:pPr>
        <w:spacing w:before="0" w:after="0" w:line="360" w:lineRule="auto"/>
        <w:jc w:val="both"/>
        <w:rPr>
          <w:rFonts w:ascii="Arial" w:hAnsi="Arial"/>
          <w:sz w:val="22"/>
          <w:szCs w:val="22"/>
          <w:lang w:val="es-MX"/>
        </w:rPr>
      </w:pPr>
    </w:p>
    <w:p>
      <w:pPr>
        <w:spacing w:before="0" w:after="0" w:line="360" w:lineRule="auto"/>
        <w:jc w:val="both"/>
        <w:rPr>
          <w:rFonts w:ascii="Arial" w:hAnsi="Arial"/>
          <w:sz w:val="22"/>
          <w:szCs w:val="22"/>
          <w:lang w:val="es-MX"/>
        </w:rPr>
      </w:pPr>
      <w:r>
        <w:rPr>
          <w:rFonts w:ascii="Arial" w:hAnsi="Arial" w:cstheme="minorHAnsi"/>
          <w:b/>
          <w:sz w:val="22"/>
          <w:szCs w:val="22"/>
        </w:rPr>
        <w:t>S</w:t>
      </w:r>
      <w:r>
        <w:rPr>
          <w:rFonts w:ascii="Arial" w:hAnsi="Arial"/>
          <w:b/>
          <w:sz w:val="22"/>
          <w:szCs w:val="22"/>
          <w:lang w:val="es-MX"/>
        </w:rPr>
        <w:t>según Decreto 184/018, en el sector de Protección Activa de edificios de esta categoría</w:t>
      </w:r>
      <w:r>
        <w:rPr>
          <w:rFonts w:ascii="Arial" w:hAnsi="Arial"/>
          <w:sz w:val="22"/>
          <w:szCs w:val="22"/>
          <w:lang w:val="es-MX"/>
        </w:rPr>
        <w:t xml:space="preserve"> establece colocar:</w:t>
      </w:r>
    </w:p>
    <w:p>
      <w:pPr>
        <w:pStyle w:val="54"/>
        <w:numPr>
          <w:ilvl w:val="0"/>
          <w:numId w:val="4"/>
        </w:numPr>
        <w:spacing w:line="360" w:lineRule="auto"/>
        <w:jc w:val="both"/>
        <w:rPr>
          <w:rFonts w:ascii="Arial" w:hAnsi="Arial"/>
          <w:sz w:val="22"/>
          <w:szCs w:val="22"/>
        </w:rPr>
      </w:pPr>
      <w:r>
        <w:rPr>
          <w:rFonts w:ascii="Arial" w:hAnsi="Arial"/>
          <w:b/>
          <w:sz w:val="22"/>
          <w:szCs w:val="22"/>
          <w:lang w:val="es-MX"/>
        </w:rPr>
        <w:t>Extintor de polvo químico ABC de 8kg</w:t>
      </w:r>
      <w:r>
        <w:rPr>
          <w:rFonts w:ascii="Arial" w:hAnsi="Arial"/>
          <w:sz w:val="22"/>
          <w:szCs w:val="22"/>
          <w:lang w:val="es-MX"/>
        </w:rPr>
        <w:t xml:space="preserve"> en estacionamiento con su respectivo balde con tapa con arena cada extintor.</w:t>
      </w:r>
    </w:p>
    <w:p>
      <w:pPr>
        <w:pStyle w:val="54"/>
        <w:spacing w:line="360" w:lineRule="auto"/>
        <w:ind w:left="1440" w:firstLine="0"/>
        <w:jc w:val="both"/>
        <w:rPr>
          <w:rFonts w:ascii="Arial" w:hAnsi="Arial"/>
          <w:sz w:val="22"/>
          <w:szCs w:val="22"/>
        </w:rPr>
      </w:pPr>
      <w:r>
        <w:drawing>
          <wp:anchor distT="0" distB="3810" distL="0" distR="0" simplePos="0" relativeHeight="251659264" behindDoc="0" locked="0" layoutInCell="0" allowOverlap="1">
            <wp:simplePos x="0" y="0"/>
            <wp:positionH relativeFrom="column">
              <wp:posOffset>4243070</wp:posOffset>
            </wp:positionH>
            <wp:positionV relativeFrom="paragraph">
              <wp:posOffset>4445</wp:posOffset>
            </wp:positionV>
            <wp:extent cx="770255" cy="1711325"/>
            <wp:effectExtent l="0" t="0" r="0" b="3810"/>
            <wp:wrapNone/>
            <wp:docPr id="32" name="Picture 5"/>
            <wp:cNvGraphicFramePr/>
            <a:graphic xmlns:a="http://schemas.openxmlformats.org/drawingml/2006/main">
              <a:graphicData uri="http://schemas.openxmlformats.org/drawingml/2006/picture">
                <pic:pic xmlns:pic="http://schemas.openxmlformats.org/drawingml/2006/picture">
                  <pic:nvPicPr>
                    <pic:cNvPr id="32" name="Picture 5"/>
                    <pic:cNvPicPr/>
                  </pic:nvPicPr>
                  <pic:blipFill>
                    <a:blip r:embed="rId29">
                      <a:extLst>
                        <a:ext uri="{BEBA8EAE-BF5A-486C-A8C5-ECC9F3942E4B}">
                          <a14:imgProps xmlns:a14="http://schemas.microsoft.com/office/drawing/2010/main">
                            <a14:imgLayer r:embed="rId30">
                              <a14:imgEffect>
                                <a14:brightnessContrast bright="40000" contrast="-40000"/>
                              </a14:imgEffect>
                            </a14:imgLayer>
                          </a14:imgProps>
                        </a:ext>
                      </a:extLst>
                    </a:blip>
                    <a:srcRect l="44530" t="31309" r="44499" b="25360"/>
                    <a:stretch>
                      <a:fillRect/>
                    </a:stretch>
                  </pic:blipFill>
                  <pic:spPr>
                    <a:xfrm>
                      <a:off x="0" y="0"/>
                      <a:ext cx="770400" cy="1711440"/>
                    </a:xfrm>
                    <a:prstGeom prst="rect">
                      <a:avLst/>
                    </a:prstGeom>
                    <a:ln w="0">
                      <a:noFill/>
                    </a:ln>
                  </pic:spPr>
                </pic:pic>
              </a:graphicData>
            </a:graphic>
          </wp:anchor>
        </w:drawing>
      </w:r>
      <w:r>
        <w:rPr>
          <w:rFonts w:ascii="Arial" w:hAnsi="Arial"/>
          <w:b/>
          <w:sz w:val="22"/>
          <w:szCs w:val="22"/>
          <w:lang w:val="es-MX"/>
        </w:rPr>
        <w:t>Cantidad DEFINIDA EN PLANOS</w:t>
      </w:r>
      <w:r>
        <w:rPr>
          <w:rFonts w:ascii="Arial" w:hAnsi="Arial"/>
          <w:sz w:val="22"/>
          <w:szCs w:val="22"/>
          <w:lang w:val="es-UY" w:eastAsia="es-UY"/>
        </w:rPr>
        <w:t xml:space="preserve"> </w:t>
      </w:r>
      <w:r>
        <w:rPr>
          <w:rFonts w:ascii="Arial" w:hAnsi="Arial"/>
          <w:sz w:val="22"/>
          <w:szCs w:val="22"/>
        </w:rPr>
        <w:drawing>
          <wp:inline distT="0" distB="0" distL="0" distR="0">
            <wp:extent cx="609600" cy="1412875"/>
            <wp:effectExtent l="0" t="0" r="0" b="15875"/>
            <wp:docPr id="33" name="Imag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2"/>
                    <pic:cNvPicPr>
                      <a:picLocks noChangeAspect="1" noChangeArrowheads="1"/>
                    </pic:cNvPicPr>
                  </pic:nvPicPr>
                  <pic:blipFill>
                    <a:blip r:embed="rId31"/>
                    <a:srcRect l="25897" t="30164" r="61108" b="16726"/>
                    <a:stretch>
                      <a:fillRect/>
                    </a:stretch>
                  </pic:blipFill>
                  <pic:spPr>
                    <a:xfrm>
                      <a:off x="0" y="0"/>
                      <a:ext cx="609600" cy="1412875"/>
                    </a:xfrm>
                    <a:prstGeom prst="rect">
                      <a:avLst/>
                    </a:prstGeom>
                  </pic:spPr>
                </pic:pic>
              </a:graphicData>
            </a:graphic>
          </wp:inline>
        </w:drawing>
      </w:r>
      <w:r>
        <w:rPr>
          <w:rFonts w:ascii="Arial" w:hAnsi="Arial"/>
          <w:sz w:val="22"/>
          <w:szCs w:val="22"/>
          <w:lang w:val="es-UY" w:eastAsia="es-UY"/>
        </w:rPr>
        <w:t xml:space="preserve"> </w:t>
      </w:r>
    </w:p>
    <w:p>
      <w:pPr>
        <w:pStyle w:val="54"/>
        <w:spacing w:line="360" w:lineRule="auto"/>
        <w:ind w:left="1440" w:firstLine="0"/>
        <w:jc w:val="both"/>
        <w:rPr>
          <w:rFonts w:ascii="Arial" w:hAnsi="Arial"/>
          <w:b/>
          <w:sz w:val="22"/>
          <w:szCs w:val="22"/>
          <w:lang w:val="es-MX"/>
        </w:rPr>
      </w:pPr>
    </w:p>
    <w:p>
      <w:pPr>
        <w:pStyle w:val="54"/>
        <w:numPr>
          <w:ilvl w:val="0"/>
          <w:numId w:val="4"/>
        </w:numPr>
        <w:spacing w:line="360" w:lineRule="auto"/>
        <w:jc w:val="both"/>
        <w:rPr>
          <w:rFonts w:ascii="Arial" w:hAnsi="Arial"/>
          <w:sz w:val="22"/>
          <w:szCs w:val="22"/>
        </w:rPr>
      </w:pPr>
      <w:r>
        <w:rPr>
          <w:rFonts w:ascii="Arial" w:hAnsi="Arial"/>
          <w:b/>
          <w:sz w:val="22"/>
          <w:szCs w:val="22"/>
          <w:lang w:val="es-MX"/>
        </w:rPr>
        <w:t>Extintor de CO2 de 3.5kg</w:t>
      </w:r>
      <w:r>
        <w:rPr>
          <w:rFonts w:ascii="Arial" w:hAnsi="Arial"/>
          <w:sz w:val="22"/>
          <w:szCs w:val="22"/>
          <w:lang w:val="es-MX"/>
        </w:rPr>
        <w:t xml:space="preserve"> en sala de medidores.</w:t>
      </w:r>
    </w:p>
    <w:p>
      <w:pPr>
        <w:pStyle w:val="54"/>
        <w:spacing w:line="360" w:lineRule="auto"/>
        <w:ind w:left="0" w:leftChars="0" w:firstLine="708" w:firstLineChars="0"/>
        <w:jc w:val="both"/>
        <w:rPr>
          <w:rFonts w:ascii="Arial" w:hAnsi="Arial"/>
          <w:sz w:val="22"/>
          <w:szCs w:val="22"/>
        </w:rPr>
      </w:pPr>
      <w:r>
        <w:rPr>
          <w:rFonts w:ascii="Arial" w:hAnsi="Arial"/>
          <w:b/>
          <w:sz w:val="22"/>
          <w:szCs w:val="22"/>
          <w:lang w:val="es-MX"/>
        </w:rPr>
        <w:t>Cantidad DEFINIDA EN PLANOS</w:t>
      </w:r>
      <w:r>
        <w:rPr>
          <w:rFonts w:ascii="Arial" w:hAnsi="Arial"/>
          <w:sz w:val="22"/>
          <w:szCs w:val="22"/>
          <w:lang w:val="es-UY" w:eastAsia="es-UY"/>
        </w:rPr>
        <w:t xml:space="preserve"> </w:t>
      </w:r>
    </w:p>
    <w:p>
      <w:pPr>
        <w:spacing w:before="0" w:after="0" w:line="360" w:lineRule="auto"/>
        <w:jc w:val="both"/>
        <w:rPr>
          <w:rFonts w:ascii="Arial" w:hAnsi="Arial"/>
          <w:sz w:val="22"/>
          <w:szCs w:val="22"/>
          <w:lang w:val="es-MX"/>
        </w:rPr>
      </w:pPr>
    </w:p>
    <w:p>
      <w:pPr>
        <w:spacing w:before="0" w:after="0" w:line="360" w:lineRule="auto"/>
        <w:jc w:val="both"/>
        <w:rPr>
          <w:rFonts w:ascii="Arial" w:hAnsi="Arial"/>
          <w:sz w:val="22"/>
          <w:szCs w:val="22"/>
          <w:lang w:val="es-MX"/>
        </w:rPr>
      </w:pPr>
      <w:r>
        <w:rPr>
          <w:rFonts w:ascii="Arial" w:hAnsi="Arial"/>
          <w:sz w:val="22"/>
          <w:szCs w:val="22"/>
          <w:lang w:val="es-MX"/>
        </w:rPr>
        <w:drawing>
          <wp:anchor distT="0" distB="0" distL="114300" distR="114300" simplePos="0" relativeHeight="251659264" behindDoc="0" locked="0" layoutInCell="0" allowOverlap="1">
            <wp:simplePos x="0" y="0"/>
            <wp:positionH relativeFrom="column">
              <wp:posOffset>1692275</wp:posOffset>
            </wp:positionH>
            <wp:positionV relativeFrom="paragraph">
              <wp:posOffset>80010</wp:posOffset>
            </wp:positionV>
            <wp:extent cx="1075055" cy="950595"/>
            <wp:effectExtent l="0" t="0" r="0" b="0"/>
            <wp:wrapTight wrapText="bothSides">
              <wp:wrapPolygon>
                <wp:start x="-35" y="0"/>
                <wp:lineTo x="-35" y="21106"/>
                <wp:lineTo x="20960" y="21106"/>
                <wp:lineTo x="20960" y="0"/>
                <wp:lineTo x="-35"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8"/>
                    <pic:cNvPicPr>
                      <a:picLocks noChangeAspect="1" noChangeArrowheads="1"/>
                    </pic:cNvPicPr>
                  </pic:nvPicPr>
                  <pic:blipFill>
                    <a:blip r:embed="rId32"/>
                    <a:srcRect l="24126" t="42427" r="57114" b="28072"/>
                    <a:stretch>
                      <a:fillRect/>
                    </a:stretch>
                  </pic:blipFill>
                  <pic:spPr>
                    <a:xfrm>
                      <a:off x="0" y="0"/>
                      <a:ext cx="1075055" cy="950595"/>
                    </a:xfrm>
                    <a:prstGeom prst="rect">
                      <a:avLst/>
                    </a:prstGeom>
                  </pic:spPr>
                </pic:pic>
              </a:graphicData>
            </a:graphic>
          </wp:anchor>
        </w:drawing>
      </w:r>
    </w:p>
    <w:p>
      <w:pPr>
        <w:spacing w:before="0" w:after="0" w:line="360" w:lineRule="auto"/>
        <w:jc w:val="both"/>
        <w:rPr>
          <w:rFonts w:ascii="Arial" w:hAnsi="Arial"/>
          <w:sz w:val="22"/>
          <w:szCs w:val="22"/>
          <w:lang w:val="es-MX"/>
        </w:rPr>
      </w:pPr>
    </w:p>
    <w:p>
      <w:pPr>
        <w:spacing w:before="0" w:after="0" w:line="360" w:lineRule="auto"/>
        <w:jc w:val="both"/>
        <w:rPr>
          <w:rFonts w:ascii="Arial" w:hAnsi="Arial"/>
          <w:sz w:val="22"/>
          <w:szCs w:val="22"/>
          <w:lang w:val="es-MX"/>
        </w:rPr>
      </w:pPr>
    </w:p>
    <w:p>
      <w:pPr>
        <w:spacing w:before="0" w:after="0" w:line="360" w:lineRule="auto"/>
        <w:jc w:val="both"/>
        <w:rPr>
          <w:rFonts w:ascii="Arial" w:hAnsi="Arial"/>
          <w:sz w:val="22"/>
          <w:szCs w:val="22"/>
          <w:lang w:val="es-MX"/>
        </w:rPr>
      </w:pPr>
    </w:p>
    <w:p>
      <w:pPr>
        <w:spacing w:before="0" w:after="0" w:line="360" w:lineRule="auto"/>
        <w:jc w:val="both"/>
        <w:rPr>
          <w:rFonts w:ascii="Arial" w:hAnsi="Arial"/>
          <w:sz w:val="22"/>
          <w:szCs w:val="22"/>
          <w:lang w:val="es-MX"/>
        </w:rPr>
      </w:pPr>
    </w:p>
    <w:p>
      <w:pPr>
        <w:spacing w:before="0" w:after="0" w:line="360" w:lineRule="auto"/>
        <w:jc w:val="both"/>
        <w:rPr>
          <w:rFonts w:ascii="Arial" w:hAnsi="Arial" w:cs="Calibri"/>
          <w:sz w:val="22"/>
          <w:szCs w:val="22"/>
          <w:lang w:val="es-MX"/>
        </w:rPr>
      </w:pPr>
    </w:p>
    <w:p>
      <w:pPr>
        <w:pStyle w:val="54"/>
        <w:numPr>
          <w:ilvl w:val="0"/>
          <w:numId w:val="4"/>
        </w:numPr>
        <w:spacing w:line="360" w:lineRule="auto"/>
        <w:jc w:val="both"/>
        <w:rPr>
          <w:rFonts w:ascii="Arial" w:hAnsi="Arial" w:cs="Calibri"/>
          <w:sz w:val="22"/>
          <w:szCs w:val="22"/>
          <w:lang w:val="es-MX"/>
        </w:rPr>
      </w:pPr>
      <w:r>
        <w:rPr>
          <w:rFonts w:ascii="Arial" w:hAnsi="Arial" w:cstheme="minorHAnsi"/>
          <w:sz w:val="22"/>
          <w:szCs w:val="22"/>
          <w:lang w:val="es-MX"/>
        </w:rPr>
        <w:t xml:space="preserve">Sistema de </w:t>
      </w:r>
      <w:r>
        <w:rPr>
          <w:rFonts w:ascii="Arial" w:hAnsi="Arial" w:cstheme="minorHAnsi"/>
          <w:b/>
          <w:sz w:val="22"/>
          <w:szCs w:val="22"/>
          <w:lang w:val="es-MX"/>
        </w:rPr>
        <w:t>fijación</w:t>
      </w:r>
      <w:r>
        <w:rPr>
          <w:rFonts w:ascii="Arial" w:hAnsi="Arial" w:cstheme="minorHAnsi"/>
          <w:sz w:val="22"/>
          <w:szCs w:val="22"/>
          <w:lang w:val="es-MX"/>
        </w:rPr>
        <w:t xml:space="preserve"> a pared _ gancho:</w:t>
      </w:r>
    </w:p>
    <w:p>
      <w:pPr>
        <w:pStyle w:val="54"/>
        <w:spacing w:line="360" w:lineRule="auto"/>
        <w:ind w:left="0" w:leftChars="0" w:firstLine="708" w:firstLineChars="0"/>
        <w:jc w:val="both"/>
        <w:rPr>
          <w:rFonts w:ascii="Arial" w:hAnsi="Arial"/>
          <w:sz w:val="22"/>
          <w:szCs w:val="22"/>
        </w:rPr>
      </w:pPr>
      <w:r>
        <w:rPr>
          <w:rFonts w:ascii="Arial" w:hAnsi="Arial"/>
          <w:b/>
          <w:sz w:val="22"/>
          <w:szCs w:val="22"/>
          <w:lang w:val="es-MX"/>
        </w:rPr>
        <w:t>Cantidad DEFINIDA EN PLANOS</w:t>
      </w:r>
      <w:r>
        <w:rPr>
          <w:rFonts w:ascii="Arial" w:hAnsi="Arial"/>
          <w:sz w:val="22"/>
          <w:szCs w:val="22"/>
          <w:lang w:val="es-UY" w:eastAsia="es-UY"/>
        </w:rPr>
        <w:t xml:space="preserve"> </w:t>
      </w:r>
    </w:p>
    <w:p>
      <w:pPr>
        <w:spacing w:before="0" w:after="0" w:line="360" w:lineRule="auto"/>
        <w:jc w:val="both"/>
        <w:rPr>
          <w:rFonts w:ascii="Arial" w:hAnsi="Arial" w:cs="Calibri"/>
          <w:b/>
          <w:sz w:val="22"/>
          <w:szCs w:val="22"/>
          <w:lang w:val="es-MX"/>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sz w:val="22"/>
          <w:szCs w:val="22"/>
        </w:rPr>
      </w:pPr>
      <w:r>
        <w:rPr>
          <w:rFonts w:ascii="Arial" w:hAnsi="Arial" w:cstheme="minorHAnsi"/>
          <w:sz w:val="22"/>
          <w:szCs w:val="22"/>
        </w:rPr>
        <w:t>La colocación del extintor podrá ser colgada en pared de la siguiente forma.</w:t>
      </w:r>
    </w:p>
    <w:p>
      <w:pPr>
        <w:spacing w:before="0" w:after="0" w:line="360" w:lineRule="auto"/>
        <w:jc w:val="center"/>
        <w:rPr>
          <w:rFonts w:ascii="Arial" w:hAnsi="Arial"/>
          <w:sz w:val="22"/>
          <w:szCs w:val="22"/>
        </w:rPr>
      </w:pPr>
      <w:r>
        <w:rPr>
          <w:rFonts w:ascii="Arial" w:hAnsi="Arial"/>
          <w:sz w:val="22"/>
          <w:szCs w:val="22"/>
        </w:rPr>
        <w:drawing>
          <wp:inline distT="0" distB="0" distL="0" distR="0">
            <wp:extent cx="1924050" cy="3322955"/>
            <wp:effectExtent l="0" t="0" r="0" b="0"/>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9"/>
                    <pic:cNvPicPr>
                      <a:picLocks noChangeAspect="1" noChangeArrowheads="1"/>
                    </pic:cNvPicPr>
                  </pic:nvPicPr>
                  <pic:blipFill>
                    <a:blip r:embed="rId33"/>
                    <a:srcRect l="39812" t="30333" r="41934" b="25084"/>
                    <a:stretch>
                      <a:fillRect/>
                    </a:stretch>
                  </pic:blipFill>
                  <pic:spPr>
                    <a:xfrm>
                      <a:off x="0" y="0"/>
                      <a:ext cx="1924050" cy="3322955"/>
                    </a:xfrm>
                    <a:prstGeom prst="rect">
                      <a:avLst/>
                    </a:prstGeom>
                  </pic:spPr>
                </pic:pic>
              </a:graphicData>
            </a:graphic>
          </wp:inline>
        </w:drawing>
      </w:r>
      <w:r>
        <w:rPr>
          <w:rFonts w:ascii="Arial" w:hAnsi="Arial" w:cstheme="minorHAnsi"/>
          <w:b/>
          <w:i/>
          <w:sz w:val="22"/>
          <w:szCs w:val="22"/>
        </w:rPr>
        <w:t xml:space="preserve">           </w:t>
      </w:r>
    </w:p>
    <w:p>
      <w:pPr>
        <w:spacing w:before="0" w:after="0" w:line="360" w:lineRule="auto"/>
        <w:rPr>
          <w:rFonts w:ascii="Arial" w:hAnsi="Arial" w:cs="Calibri"/>
          <w:sz w:val="22"/>
          <w:szCs w:val="22"/>
        </w:rPr>
      </w:pPr>
    </w:p>
    <w:p>
      <w:pPr>
        <w:spacing w:before="0" w:after="0" w:line="360" w:lineRule="auto"/>
        <w:rPr>
          <w:rFonts w:ascii="Arial" w:hAnsi="Arial" w:cs="Calibri"/>
          <w:sz w:val="22"/>
          <w:szCs w:val="22"/>
        </w:rPr>
      </w:pPr>
    </w:p>
    <w:p>
      <w:pPr>
        <w:spacing w:before="0" w:after="0" w:line="360" w:lineRule="auto"/>
        <w:rPr>
          <w:rFonts w:ascii="Arial" w:hAnsi="Arial" w:cs="Calibri"/>
          <w:sz w:val="22"/>
          <w:szCs w:val="22"/>
        </w:rPr>
      </w:pPr>
    </w:p>
    <w:p>
      <w:pPr>
        <w:spacing w:before="0" w:after="0" w:line="360" w:lineRule="auto"/>
        <w:rPr>
          <w:rFonts w:ascii="Arial" w:hAnsi="Arial"/>
          <w:sz w:val="22"/>
          <w:szCs w:val="22"/>
        </w:rPr>
      </w:pPr>
      <w:r>
        <w:rPr>
          <w:rFonts w:ascii="Arial" w:hAnsi="Arial" w:cstheme="minorHAnsi"/>
          <w:sz w:val="22"/>
          <w:szCs w:val="22"/>
        </w:rPr>
        <w:t>A continuación, cantidad y tipo de EXTINTORES EXISTENTES a realizar recarga y/o mantenimiento.</w:t>
      </w:r>
    </w:p>
    <w:p>
      <w:pPr>
        <w:spacing w:before="0" w:after="0" w:line="360" w:lineRule="auto"/>
        <w:rPr>
          <w:rFonts w:ascii="Arial" w:hAnsi="Arial" w:cs="Calibri"/>
          <w:sz w:val="22"/>
          <w:szCs w:val="22"/>
        </w:rPr>
      </w:pPr>
    </w:p>
    <w:p>
      <w:pPr>
        <w:spacing w:before="0" w:after="0" w:line="360" w:lineRule="auto"/>
        <w:rPr>
          <w:rFonts w:ascii="Arial" w:hAnsi="Arial"/>
          <w:sz w:val="22"/>
          <w:szCs w:val="22"/>
        </w:rPr>
      </w:pPr>
      <w:r>
        <w:rPr>
          <w:rFonts w:ascii="Arial" w:hAnsi="Arial"/>
          <w:sz w:val="22"/>
          <w:szCs w:val="22"/>
        </w:rPr>
        <w:drawing>
          <wp:inline distT="0" distB="0" distL="0" distR="0">
            <wp:extent cx="5343525" cy="6408420"/>
            <wp:effectExtent l="0" t="0" r="9525" b="11430"/>
            <wp:docPr id="36" name="Imagen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3" descr="Tabla&#10;&#10;Descripción generada automáticamente"/>
                    <pic:cNvPicPr>
                      <a:picLocks noChangeAspect="1" noChangeArrowheads="1"/>
                    </pic:cNvPicPr>
                  </pic:nvPicPr>
                  <pic:blipFill>
                    <a:blip r:embed="rId34"/>
                    <a:stretch>
                      <a:fillRect/>
                    </a:stretch>
                  </pic:blipFill>
                  <pic:spPr>
                    <a:xfrm>
                      <a:off x="0" y="0"/>
                      <a:ext cx="5343525" cy="6408420"/>
                    </a:xfrm>
                    <a:prstGeom prst="rect">
                      <a:avLst/>
                    </a:prstGeom>
                  </pic:spPr>
                </pic:pic>
              </a:graphicData>
            </a:graphic>
          </wp:inline>
        </w:drawing>
      </w:r>
    </w:p>
    <w:p>
      <w:pPr>
        <w:spacing w:before="0" w:after="0" w:line="360" w:lineRule="auto"/>
        <w:rPr>
          <w:rFonts w:ascii="Arial" w:hAnsi="Arial"/>
          <w:sz w:val="22"/>
          <w:szCs w:val="22"/>
        </w:rPr>
      </w:pPr>
      <w:r>
        <w:rPr>
          <w:rFonts w:ascii="Arial" w:hAnsi="Arial" w:cstheme="minorHAnsi"/>
          <w:sz w:val="22"/>
          <w:szCs w:val="22"/>
        </w:rPr>
        <w:t>A continuación, cantidad definidas en planos de NUEVOS EXTINTORES en el Nivel de SUBSUELO.</w:t>
      </w:r>
    </w:p>
    <w:p>
      <w:pPr>
        <w:spacing w:before="0" w:after="0" w:line="360" w:lineRule="auto"/>
        <w:ind w:left="1416" w:leftChars="0" w:firstLine="708" w:firstLineChars="0"/>
        <w:jc w:val="both"/>
        <w:rPr>
          <w:rFonts w:ascii="Arial" w:hAnsi="Arial"/>
          <w:sz w:val="22"/>
          <w:szCs w:val="22"/>
        </w:rPr>
      </w:pPr>
      <w:r>
        <w:rPr>
          <w:rFonts w:ascii="Arial" w:hAnsi="Arial"/>
          <w:sz w:val="22"/>
          <w:szCs w:val="22"/>
        </w:rPr>
        <w:drawing>
          <wp:inline distT="0" distB="0" distL="0" distR="0">
            <wp:extent cx="2879090" cy="664845"/>
            <wp:effectExtent l="0" t="0" r="0" b="0"/>
            <wp:docPr id="37" name="Imagen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4" descr="Texto&#10;&#10;Descripción generada automáticamente"/>
                    <pic:cNvPicPr>
                      <a:picLocks noChangeAspect="1" noChangeArrowheads="1"/>
                    </pic:cNvPicPr>
                  </pic:nvPicPr>
                  <pic:blipFill>
                    <a:blip r:embed="rId35"/>
                    <a:stretch>
                      <a:fillRect/>
                    </a:stretch>
                  </pic:blipFill>
                  <pic:spPr>
                    <a:xfrm>
                      <a:off x="0" y="0"/>
                      <a:ext cx="2879090" cy="664845"/>
                    </a:xfrm>
                    <a:prstGeom prst="rect">
                      <a:avLst/>
                    </a:prstGeom>
                  </pic:spPr>
                </pic:pic>
              </a:graphicData>
            </a:graphic>
          </wp:inline>
        </w:drawing>
      </w:r>
    </w:p>
    <w:p>
      <w:pPr>
        <w:spacing w:before="0" w:after="0" w:line="360" w:lineRule="auto"/>
        <w:rPr>
          <w:rFonts w:ascii="Arial" w:hAnsi="Arial"/>
          <w:sz w:val="22"/>
          <w:szCs w:val="22"/>
        </w:rPr>
      </w:pPr>
      <w:r>
        <w:rPr>
          <w:rFonts w:ascii="Arial" w:hAnsi="Arial" w:cstheme="minorHAnsi"/>
          <w:b/>
          <w:i/>
          <w:sz w:val="22"/>
          <w:szCs w:val="22"/>
        </w:rPr>
        <w:t>Se toma como referencia el punto 5.1.1 del IT04</w:t>
      </w:r>
      <w:r>
        <w:rPr>
          <w:rFonts w:ascii="Arial" w:hAnsi="Arial" w:cstheme="minorHAnsi"/>
          <w:sz w:val="22"/>
          <w:szCs w:val="22"/>
        </w:rPr>
        <w:t xml:space="preserve"> la distancia máxima a ser recorrida por una persona en cualquier punto del área protegida hasta la unidad extintora más próxima, no deberá ser superior a lo establecido en la siguiente tabla</w:t>
      </w:r>
      <w:r>
        <w:rPr>
          <w:rFonts w:ascii="Arial" w:hAnsi="Arial" w:cstheme="minorHAnsi"/>
          <w:b/>
          <w:i/>
          <w:sz w:val="22"/>
          <w:szCs w:val="22"/>
        </w:rPr>
        <w:t>: 15m</w:t>
      </w:r>
    </w:p>
    <w:p>
      <w:pPr>
        <w:spacing w:before="0" w:after="0" w:line="360" w:lineRule="auto"/>
        <w:rPr>
          <w:rFonts w:ascii="Arial" w:hAnsi="Arial"/>
          <w:sz w:val="22"/>
          <w:szCs w:val="22"/>
        </w:rPr>
      </w:pPr>
      <w:r>
        <w:rPr>
          <w:rFonts w:ascii="Arial" w:hAnsi="Arial" w:cstheme="minorHAnsi"/>
          <w:b/>
          <w:i/>
          <w:sz w:val="22"/>
          <w:szCs w:val="22"/>
        </w:rPr>
        <w:t>Teniendo en cuenta que la carga de fuego del edificio establecida en otra memoria tenica, es de 700 Mj/m2 y que el IT00 Tabla II fija este tipo de carga como Riesgo Medio.</w:t>
      </w:r>
    </w:p>
    <w:p>
      <w:pPr>
        <w:spacing w:before="0" w:after="0" w:line="360" w:lineRule="auto"/>
        <w:jc w:val="center"/>
        <w:rPr>
          <w:rFonts w:ascii="Arial" w:hAnsi="Arial"/>
          <w:sz w:val="22"/>
          <w:szCs w:val="22"/>
        </w:rPr>
      </w:pPr>
      <w:r>
        <w:rPr>
          <w:rFonts w:ascii="Arial" w:hAnsi="Arial"/>
          <w:sz w:val="22"/>
          <w:szCs w:val="22"/>
        </w:rPr>
        <mc:AlternateContent>
          <mc:Choice Requires="wps">
            <w:drawing>
              <wp:anchor distT="19685" distB="18415" distL="19050" distR="19050" simplePos="0" relativeHeight="251659264" behindDoc="0" locked="0" layoutInCell="0" allowOverlap="1">
                <wp:simplePos x="0" y="0"/>
                <wp:positionH relativeFrom="column">
                  <wp:posOffset>1780540</wp:posOffset>
                </wp:positionH>
                <wp:positionV relativeFrom="paragraph">
                  <wp:posOffset>622935</wp:posOffset>
                </wp:positionV>
                <wp:extent cx="2122170" cy="225425"/>
                <wp:effectExtent l="19050" t="19685" r="19050" b="18415"/>
                <wp:wrapNone/>
                <wp:docPr id="38" name="Rectangle 1"/>
                <wp:cNvGraphicFramePr/>
                <a:graphic xmlns:a="http://schemas.openxmlformats.org/drawingml/2006/main">
                  <a:graphicData uri="http://schemas.microsoft.com/office/word/2010/wordprocessingShape">
                    <wps:wsp>
                      <wps:cNvSpPr/>
                      <wps:spPr>
                        <a:xfrm>
                          <a:off x="0" y="0"/>
                          <a:ext cx="2122200" cy="225360"/>
                        </a:xfrm>
                        <a:prstGeom prst="rect">
                          <a:avLst/>
                        </a:prstGeom>
                        <a:noFill/>
                        <a:ln w="38100">
                          <a:solidFill>
                            <a:srgbClr val="FF0000"/>
                          </a:solidFill>
                          <a:miter/>
                        </a:ln>
                      </wps:spPr>
                      <wps:style>
                        <a:lnRef idx="0">
                          <a:srgbClr val="FFFFFF"/>
                        </a:lnRef>
                        <a:fillRef idx="0">
                          <a:srgbClr val="FFFFFF"/>
                        </a:fillRef>
                        <a:effectRef idx="0">
                          <a:srgbClr val="FFFFFF"/>
                        </a:effectRef>
                        <a:fontRef idx="minor"/>
                      </wps:style>
                      <wps:txbx>
                        <w:txbxContent>
                          <w:p>
                            <w:pPr>
                              <w:jc w:val="center"/>
                            </w:pPr>
                          </w:p>
                        </w:txbxContent>
                      </wps:txbx>
                      <wps:bodyPr/>
                    </wps:wsp>
                  </a:graphicData>
                </a:graphic>
              </wp:anchor>
            </w:drawing>
          </mc:Choice>
          <mc:Fallback>
            <w:pict>
              <v:rect id="Rectangle 1" o:spid="_x0000_s1026" o:spt="1" style="position:absolute;left:0pt;margin-left:140.2pt;margin-top:49.05pt;height:17.75pt;width:167.1pt;z-index:251659264;mso-width-relative:page;mso-height-relative:page;" filled="f" stroked="t" coordsize="21600,21600" o:allowincell="f" o:gfxdata="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sKe55NgAAAAKAQAADwAAAAAAAAABACAAAAAiAAAAZHJzL2Rvd25yZXYueG1sUEsBAhQAFAAAAAgA&#10;h07iQCO3MAezAQAAdgMAAA4AAAAAAAAAAQAgAAAAJwEAAGRycy9lMm9Eb2MueG1sUEsFBgAAAAAG&#10;AAYAWQEAAEwFAAAAAA==&#10;">
                <v:fill on="f" focussize="0,0"/>
                <v:stroke weight="3pt" color="#FF0000" joinstyle="miter"/>
                <v:imagedata o:title=""/>
                <o:lock v:ext="edit" aspectratio="f"/>
                <v:textbox>
                  <w:txbxContent>
                    <w:p>
                      <w:pPr>
                        <w:jc w:val="center"/>
                      </w:pPr>
                    </w:p>
                  </w:txbxContent>
                </v:textbox>
              </v:rect>
            </w:pict>
          </mc:Fallback>
        </mc:AlternateContent>
      </w:r>
      <w:r>
        <w:rPr>
          <w:rFonts w:ascii="Arial" w:hAnsi="Arial"/>
          <w:sz w:val="22"/>
          <w:szCs w:val="22"/>
        </w:rPr>
        <w:drawing>
          <wp:inline distT="0" distB="0" distL="0" distR="0">
            <wp:extent cx="2202180" cy="1057910"/>
            <wp:effectExtent l="0" t="0" r="0" b="0"/>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
                    <pic:cNvPicPr>
                      <a:picLocks noChangeAspect="1" noChangeArrowheads="1"/>
                    </pic:cNvPicPr>
                  </pic:nvPicPr>
                  <pic:blipFill>
                    <a:blip r:embed="rId36"/>
                    <a:srcRect l="46226" t="56640" r="32573" b="25291"/>
                    <a:stretch>
                      <a:fillRect/>
                    </a:stretch>
                  </pic:blipFill>
                  <pic:spPr>
                    <a:xfrm>
                      <a:off x="0" y="0"/>
                      <a:ext cx="2202180" cy="1057910"/>
                    </a:xfrm>
                    <a:prstGeom prst="rect">
                      <a:avLst/>
                    </a:prstGeom>
                  </pic:spPr>
                </pic:pic>
              </a:graphicData>
            </a:graphic>
          </wp:inline>
        </w:drawing>
      </w:r>
    </w:p>
    <w:p>
      <w:pPr>
        <w:spacing w:before="0" w:after="0" w:line="360" w:lineRule="auto"/>
        <w:jc w:val="both"/>
        <w:rPr>
          <w:rFonts w:ascii="Arial" w:hAnsi="Arial" w:cs="Calibri"/>
          <w:b/>
          <w:sz w:val="22"/>
          <w:szCs w:val="22"/>
        </w:rPr>
      </w:pPr>
    </w:p>
    <w:p>
      <w:pPr>
        <w:spacing w:before="0" w:after="0" w:line="360" w:lineRule="auto"/>
        <w:jc w:val="center"/>
        <w:rPr>
          <w:rFonts w:ascii="Arial" w:hAnsi="Arial"/>
          <w:sz w:val="22"/>
          <w:szCs w:val="22"/>
        </w:rPr>
      </w:pPr>
      <w:r>
        <mc:AlternateContent>
          <mc:Choice Requires="wps">
            <w:drawing>
              <wp:anchor distT="19050" distB="19050" distL="19050" distR="19050" simplePos="0" relativeHeight="251659264" behindDoc="0" locked="0" layoutInCell="0" allowOverlap="1">
                <wp:simplePos x="0" y="0"/>
                <wp:positionH relativeFrom="column">
                  <wp:posOffset>889000</wp:posOffset>
                </wp:positionH>
                <wp:positionV relativeFrom="paragraph">
                  <wp:posOffset>653415</wp:posOffset>
                </wp:positionV>
                <wp:extent cx="3987800" cy="311150"/>
                <wp:effectExtent l="19050" t="19050" r="19050" b="19050"/>
                <wp:wrapNone/>
                <wp:docPr id="40" name="Rectangle 2"/>
                <wp:cNvGraphicFramePr/>
                <a:graphic xmlns:a="http://schemas.openxmlformats.org/drawingml/2006/main">
                  <a:graphicData uri="http://schemas.microsoft.com/office/word/2010/wordprocessingShape">
                    <wps:wsp>
                      <wps:cNvSpPr/>
                      <wps:spPr>
                        <a:xfrm>
                          <a:off x="0" y="0"/>
                          <a:ext cx="3987720" cy="311040"/>
                        </a:xfrm>
                        <a:prstGeom prst="rect">
                          <a:avLst/>
                        </a:prstGeom>
                        <a:noFill/>
                        <a:ln w="38100">
                          <a:solidFill>
                            <a:srgbClr val="FF0000"/>
                          </a:solidFill>
                          <a:miter/>
                        </a:ln>
                      </wps:spPr>
                      <wps:style>
                        <a:lnRef idx="0">
                          <a:srgbClr val="FFFFFF"/>
                        </a:lnRef>
                        <a:fillRef idx="0">
                          <a:srgbClr val="FFFFFF"/>
                        </a:fillRef>
                        <a:effectRef idx="0">
                          <a:srgbClr val="FFFFFF"/>
                        </a:effectRef>
                        <a:fontRef idx="minor"/>
                      </wps:style>
                      <wps:txbx>
                        <w:txbxContent>
                          <w:p>
                            <w:pPr>
                              <w:jc w:val="center"/>
                            </w:pPr>
                          </w:p>
                        </w:txbxContent>
                      </wps:txbx>
                      <wps:bodyPr/>
                    </wps:wsp>
                  </a:graphicData>
                </a:graphic>
              </wp:anchor>
            </w:drawing>
          </mc:Choice>
          <mc:Fallback>
            <w:pict>
              <v:rect id="Rectangle 2" o:spid="_x0000_s1026" o:spt="1" style="position:absolute;left:0pt;margin-left:70pt;margin-top:51.45pt;height:24.5pt;width:314pt;z-index:251659264;mso-width-relative:page;mso-height-relative:page;" filled="f" stroked="t" coordsize="21600,21600" o:allowincell="f" o:gfxdata="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P&#10;3E8e1gAAAAsBAAAPAAAAAAAAAAEAIAAAACIAAABkcnMvZG93bnJldi54bWxQSwECFAAUAAAACACH&#10;TuJAmBleWLQBAAB2AwAADgAAAAAAAAABACAAAAAlAQAAZHJzL2Uyb0RvYy54bWxQSwUGAAAAAAYA&#10;BgBZAQAASwUAAAAA&#10;">
                <v:fill on="f" focussize="0,0"/>
                <v:stroke weight="3pt" color="#FF0000" joinstyle="miter"/>
                <v:imagedata o:title=""/>
                <o:lock v:ext="edit" aspectratio="f"/>
                <v:textbox>
                  <w:txbxContent>
                    <w:p>
                      <w:pPr>
                        <w:jc w:val="center"/>
                      </w:pPr>
                    </w:p>
                  </w:txbxContent>
                </v:textbox>
              </v:rect>
            </w:pict>
          </mc:Fallback>
        </mc:AlternateContent>
      </w:r>
      <w:r>
        <w:rPr>
          <w:rFonts w:ascii="Arial" w:hAnsi="Arial"/>
          <w:sz w:val="22"/>
          <w:szCs w:val="22"/>
          <w:lang w:eastAsia="es-UY"/>
        </w:rPr>
        <w:t xml:space="preserve"> </w:t>
      </w:r>
      <w:r>
        <w:rPr>
          <w:rFonts w:ascii="Arial" w:hAnsi="Arial"/>
          <w:sz w:val="22"/>
          <w:szCs w:val="22"/>
        </w:rPr>
        <w:drawing>
          <wp:inline distT="0" distB="0" distL="0" distR="0">
            <wp:extent cx="4127500" cy="1301750"/>
            <wp:effectExtent l="0" t="0" r="0" b="0"/>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
                    <pic:cNvPicPr>
                      <a:picLocks noChangeAspect="1" noChangeArrowheads="1"/>
                    </pic:cNvPicPr>
                  </pic:nvPicPr>
                  <pic:blipFill>
                    <a:blip r:embed="rId37"/>
                    <a:srcRect l="35740" t="35829" r="18904" b="38730"/>
                    <a:stretch>
                      <a:fillRect/>
                    </a:stretch>
                  </pic:blipFill>
                  <pic:spPr>
                    <a:xfrm>
                      <a:off x="0" y="0"/>
                      <a:ext cx="4127500" cy="1301750"/>
                    </a:xfrm>
                    <a:prstGeom prst="rect">
                      <a:avLst/>
                    </a:prstGeom>
                  </pic:spPr>
                </pic:pic>
              </a:graphicData>
            </a:graphic>
          </wp:inline>
        </w:drawing>
      </w:r>
    </w:p>
    <w:p>
      <w:pPr>
        <w:pStyle w:val="57"/>
        <w:spacing w:line="360" w:lineRule="auto"/>
        <w:jc w:val="both"/>
        <w:rPr>
          <w:rFonts w:ascii="Arial" w:hAnsi="Arial"/>
          <w:color w:val="auto"/>
          <w:sz w:val="22"/>
          <w:szCs w:val="22"/>
          <w:lang w:val="es-UY"/>
        </w:rPr>
      </w:pPr>
    </w:p>
    <w:p>
      <w:pPr>
        <w:pStyle w:val="57"/>
        <w:spacing w:line="360" w:lineRule="auto"/>
        <w:jc w:val="both"/>
        <w:rPr>
          <w:rFonts w:ascii="Arial" w:hAnsi="Arial"/>
          <w:color w:val="auto"/>
          <w:sz w:val="22"/>
          <w:szCs w:val="22"/>
          <w:lang w:val="es-UY"/>
        </w:rPr>
      </w:pPr>
    </w:p>
    <w:p>
      <w:pPr>
        <w:pStyle w:val="57"/>
        <w:pBdr>
          <w:bottom w:val="single" w:color="000000" w:sz="4" w:space="1"/>
        </w:pBdr>
        <w:spacing w:line="360" w:lineRule="auto"/>
        <w:jc w:val="both"/>
        <w:rPr>
          <w:rFonts w:ascii="Arial" w:hAnsi="Arial"/>
          <w:sz w:val="22"/>
          <w:szCs w:val="22"/>
        </w:rPr>
      </w:pPr>
      <w:r>
        <w:rPr>
          <w:rFonts w:ascii="Arial" w:hAnsi="Arial" w:cstheme="minorHAnsi"/>
          <w:b/>
          <w:color w:val="auto"/>
          <w:sz w:val="22"/>
          <w:szCs w:val="22"/>
          <w:lang w:val="es-UY"/>
        </w:rPr>
        <w:t>INSTALACIÓN</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Debe ser instalado, por lo menos, un extintor de incendio a no más de 5 metros de la entrada principal de la edificación y de las escaleras en los demás pisos.</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Cuando los extintores fueren instalados en paredes o divisorias, la altura de fijación de su soporte se establecerá de forma tal que la parte inferior del extintor permanezca a una distancia de 1 metro del piso acabado.</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 xml:space="preserve">Los extintores no deben ser instalados en escaleras. </w:t>
      </w:r>
    </w:p>
    <w:p>
      <w:pPr>
        <w:spacing w:before="0" w:after="0" w:line="360" w:lineRule="auto"/>
        <w:jc w:val="both"/>
        <w:rPr>
          <w:rFonts w:hint="default" w:ascii="Arial" w:hAnsi="Arial"/>
          <w:sz w:val="22"/>
          <w:szCs w:val="22"/>
          <w:lang w:val="es-ES"/>
        </w:rPr>
      </w:pPr>
      <w:r>
        <w:rPr>
          <w:rFonts w:ascii="Arial" w:hAnsi="Arial" w:cstheme="minorHAnsi"/>
          <w:sz w:val="22"/>
          <w:szCs w:val="22"/>
        </w:rPr>
        <w:t>Deben estar desobstruidos y debidamente señalizados</w:t>
      </w:r>
      <w:r>
        <w:rPr>
          <w:rFonts w:hint="default" w:ascii="Arial" w:hAnsi="Arial" w:cstheme="minorHAnsi"/>
          <w:sz w:val="22"/>
          <w:szCs w:val="22"/>
          <w:lang w:val="es-ES"/>
        </w:rPr>
        <w:t>.</w:t>
      </w:r>
    </w:p>
    <w:p>
      <w:pPr>
        <w:spacing w:before="0" w:after="0" w:line="360" w:lineRule="auto"/>
        <w:jc w:val="both"/>
        <w:rPr>
          <w:rFonts w:ascii="Arial" w:hAnsi="Arial"/>
          <w:sz w:val="22"/>
          <w:szCs w:val="22"/>
        </w:rPr>
      </w:pPr>
      <w:r>
        <w:rPr>
          <w:rFonts w:ascii="Arial" w:hAnsi="Arial" w:cstheme="minorHAnsi"/>
          <w:sz w:val="22"/>
          <w:szCs w:val="22"/>
        </w:rPr>
        <w:t>Se permitirá la instalación de extintores sobre el piso acabado, siempre que permanezcan, apoyados en soportes apropiados, con altura recomendada entre 0,10 y 0,20 metros del piso.</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Es permitida la instalación de un solo extintor de incendios de Polvo ABC en edificaciones, pisos, entrepisos, sub suelos, etc. con área menor a 50 m², siempre que se cumpla con las distancias máximas establecidas.</w:t>
      </w:r>
    </w:p>
    <w:p>
      <w:pPr>
        <w:spacing w:before="0" w:after="0" w:line="360" w:lineRule="auto"/>
        <w:rPr>
          <w:rFonts w:ascii="Arial" w:hAnsi="Arial" w:cs="Calibri"/>
          <w:sz w:val="22"/>
          <w:szCs w:val="22"/>
        </w:rPr>
      </w:pPr>
    </w:p>
    <w:p>
      <w:pPr>
        <w:spacing w:before="0" w:after="0" w:line="360" w:lineRule="auto"/>
        <w:rPr>
          <w:rFonts w:ascii="Arial" w:hAnsi="Arial"/>
          <w:sz w:val="22"/>
          <w:szCs w:val="22"/>
        </w:rPr>
      </w:pPr>
      <w:r>
        <w:rPr>
          <w:rFonts w:ascii="Arial" w:hAnsi="Arial" w:cstheme="minorHAnsi"/>
          <w:sz w:val="22"/>
          <w:szCs w:val="22"/>
        </w:rPr>
        <w:t>Los extintores de incendio deben ser adecuados a clase de incendio predominante dentro del área de riesgo a ser protegida, de forma que sean intercalados en la proporción de dos extintores para el riesgo predominante y uno para la protección del riesgo secundario.</w:t>
      </w:r>
    </w:p>
    <w:p>
      <w:pPr>
        <w:spacing w:before="0" w:after="0" w:line="360" w:lineRule="auto"/>
        <w:rPr>
          <w:rFonts w:ascii="Arial" w:hAnsi="Arial" w:cs="Calibri"/>
          <w:sz w:val="22"/>
          <w:szCs w:val="22"/>
        </w:rPr>
      </w:pPr>
    </w:p>
    <w:p>
      <w:pPr>
        <w:spacing w:before="0" w:after="0" w:line="360" w:lineRule="auto"/>
        <w:rPr>
          <w:rFonts w:ascii="Arial" w:hAnsi="Arial"/>
          <w:sz w:val="22"/>
          <w:szCs w:val="22"/>
        </w:rPr>
      </w:pPr>
      <w:r>
        <w:rPr>
          <w:rFonts w:ascii="Arial" w:hAnsi="Arial" w:cstheme="minorHAnsi"/>
          <w:sz w:val="22"/>
          <w:szCs w:val="22"/>
        </w:rPr>
        <w:t>Independiente de la protección general de la edificación o riesgo, en locales de riesgos especiales deben ser instalados extintores de incendio, tales como:</w:t>
      </w:r>
    </w:p>
    <w:p>
      <w:pPr>
        <w:spacing w:before="0" w:after="0" w:line="360" w:lineRule="auto"/>
        <w:ind w:left="720" w:firstLine="0"/>
        <w:rPr>
          <w:rFonts w:ascii="Arial" w:hAnsi="Arial"/>
          <w:sz w:val="22"/>
          <w:szCs w:val="22"/>
        </w:rPr>
      </w:pPr>
      <w:r>
        <w:rPr>
          <w:rFonts w:ascii="Arial" w:hAnsi="Arial" w:cstheme="minorHAnsi"/>
          <w:sz w:val="22"/>
          <w:szCs w:val="22"/>
        </w:rPr>
        <w:t>• Sala de fuerza eléctrica;</w:t>
      </w:r>
    </w:p>
    <w:p>
      <w:pPr>
        <w:spacing w:before="0" w:after="0" w:line="360" w:lineRule="auto"/>
        <w:ind w:left="720" w:firstLine="0"/>
        <w:rPr>
          <w:rFonts w:ascii="Arial" w:hAnsi="Arial"/>
          <w:sz w:val="22"/>
          <w:szCs w:val="22"/>
        </w:rPr>
      </w:pPr>
      <w:r>
        <w:rPr>
          <w:rFonts w:ascii="Arial" w:hAnsi="Arial" w:cstheme="minorHAnsi"/>
          <w:sz w:val="22"/>
          <w:szCs w:val="22"/>
        </w:rPr>
        <w:t>• Sala de máquinas;</w:t>
      </w:r>
    </w:p>
    <w:p>
      <w:pPr>
        <w:spacing w:before="0" w:after="0" w:line="360" w:lineRule="auto"/>
        <w:ind w:left="720" w:firstLine="0"/>
        <w:rPr>
          <w:rFonts w:ascii="Arial" w:hAnsi="Arial"/>
          <w:sz w:val="22"/>
          <w:szCs w:val="22"/>
        </w:rPr>
      </w:pPr>
      <w:r>
        <w:rPr>
          <w:rFonts w:ascii="Arial" w:hAnsi="Arial" w:cstheme="minorHAnsi"/>
          <w:sz w:val="22"/>
          <w:szCs w:val="22"/>
        </w:rPr>
        <w:t>• Transformadores;</w:t>
      </w:r>
    </w:p>
    <w:p>
      <w:pPr>
        <w:spacing w:before="0" w:after="0" w:line="360" w:lineRule="auto"/>
        <w:ind w:left="829" w:leftChars="327" w:hanging="110" w:hangingChars="50"/>
        <w:rPr>
          <w:rFonts w:ascii="Arial" w:hAnsi="Arial"/>
          <w:sz w:val="22"/>
          <w:szCs w:val="22"/>
        </w:rPr>
      </w:pPr>
      <w:r>
        <w:rPr>
          <w:rFonts w:ascii="Arial" w:hAnsi="Arial" w:cstheme="minorHAnsi"/>
          <w:sz w:val="22"/>
          <w:szCs w:val="22"/>
        </w:rPr>
        <w:t>• Áreas destinadas al almacenamiento y/o manipulación de gases o líquidos combustibles o inflamables.</w:t>
      </w:r>
    </w:p>
    <w:p>
      <w:pPr>
        <w:spacing w:before="0" w:after="0" w:line="360" w:lineRule="auto"/>
        <w:ind w:left="720" w:firstLine="0"/>
        <w:rPr>
          <w:rFonts w:ascii="Arial" w:hAnsi="Arial"/>
          <w:sz w:val="22"/>
          <w:szCs w:val="22"/>
        </w:rPr>
      </w:pPr>
      <w:r>
        <w:rPr>
          <w:rFonts w:ascii="Arial" w:hAnsi="Arial" w:cstheme="minorHAnsi"/>
          <w:sz w:val="22"/>
          <w:szCs w:val="22"/>
        </w:rPr>
        <w:t>• Sala de medidores (energía eléctrica y/o gas).</w:t>
      </w:r>
    </w:p>
    <w:p>
      <w:pPr>
        <w:pStyle w:val="57"/>
        <w:spacing w:line="360" w:lineRule="auto"/>
        <w:ind w:left="720" w:firstLine="0"/>
        <w:jc w:val="both"/>
        <w:rPr>
          <w:rFonts w:ascii="Arial" w:hAnsi="Arial"/>
          <w:color w:val="auto"/>
          <w:sz w:val="22"/>
          <w:szCs w:val="22"/>
          <w:lang w:val="es-UY"/>
        </w:rPr>
      </w:pPr>
      <w:r>
        <w:rPr>
          <w:rFonts w:ascii="Arial" w:hAnsi="Arial" w:cstheme="minorHAnsi"/>
          <w:color w:val="auto"/>
          <w:sz w:val="22"/>
          <w:szCs w:val="22"/>
          <w:lang w:val="es-UY"/>
        </w:rPr>
        <w:t>• Otros que necesitan de protección adecuada.</w:t>
      </w:r>
    </w:p>
    <w:p>
      <w:pPr>
        <w:pStyle w:val="57"/>
        <w:spacing w:line="360" w:lineRule="auto"/>
        <w:jc w:val="both"/>
        <w:rPr>
          <w:rFonts w:ascii="Arial" w:hAnsi="Arial"/>
          <w:color w:val="auto"/>
          <w:sz w:val="22"/>
          <w:szCs w:val="22"/>
          <w:lang w:val="es-UY"/>
        </w:rPr>
      </w:pPr>
    </w:p>
    <w:p>
      <w:pPr>
        <w:pStyle w:val="57"/>
        <w:numPr>
          <w:ilvl w:val="0"/>
          <w:numId w:val="0"/>
        </w:numPr>
        <w:pBdr>
          <w:bottom w:val="single" w:color="000000" w:sz="4" w:space="1"/>
        </w:pBdr>
        <w:spacing w:line="360" w:lineRule="auto"/>
        <w:ind w:left="0" w:firstLine="0"/>
        <w:jc w:val="both"/>
        <w:outlineLvl w:val="0"/>
        <w:rPr>
          <w:rFonts w:ascii="Arial" w:hAnsi="Arial"/>
          <w:sz w:val="22"/>
          <w:szCs w:val="22"/>
        </w:rPr>
      </w:pPr>
      <w:bookmarkStart w:id="0" w:name="_Toc521935997"/>
      <w:r>
        <w:rPr>
          <w:rFonts w:ascii="Arial" w:hAnsi="Arial" w:cstheme="minorHAnsi"/>
          <w:b/>
          <w:color w:val="auto"/>
          <w:sz w:val="22"/>
          <w:szCs w:val="22"/>
          <w:lang w:val="es-UY"/>
        </w:rPr>
        <w:t>USOS Y TIPO DE EXTINTORES</w:t>
      </w:r>
      <w:bookmarkEnd w:id="0"/>
    </w:p>
    <w:p>
      <w:pPr>
        <w:spacing w:before="0" w:after="0" w:line="360" w:lineRule="auto"/>
        <w:jc w:val="both"/>
        <w:rPr>
          <w:rFonts w:ascii="Arial" w:hAnsi="Arial"/>
          <w:sz w:val="22"/>
          <w:szCs w:val="22"/>
        </w:rPr>
      </w:pPr>
      <w:r>
        <w:rPr>
          <w:rFonts w:ascii="Arial" w:hAnsi="Arial" w:cstheme="minorHAnsi"/>
          <w:b/>
          <w:sz w:val="22"/>
          <w:szCs w:val="22"/>
        </w:rPr>
        <w:t>Extintor de agua</w:t>
      </w:r>
    </w:p>
    <w:p>
      <w:pPr>
        <w:spacing w:before="0" w:after="0" w:line="360" w:lineRule="auto"/>
        <w:jc w:val="both"/>
        <w:rPr>
          <w:rFonts w:ascii="Arial" w:hAnsi="Arial" w:cs="Calibri"/>
          <w:sz w:val="22"/>
          <w:szCs w:val="22"/>
        </w:rPr>
      </w:pPr>
      <w:r>
        <w:rPr>
          <w:rFonts w:ascii="Arial" w:hAnsi="Arial" w:cstheme="minorHAnsi"/>
          <w:sz w:val="22"/>
          <w:szCs w:val="22"/>
        </w:rPr>
        <w:t xml:space="preserve">El agua es el elemento más usado para la prevención y para la extinción de incendios, es un agente físico que actúa principalmente por enfriamiento y por sofocación al impedir el contacto del combustible con el oxígeno, este elemento no daña a las personas ni contamina al medio ambiente. Es recomendable usarlos para </w:t>
      </w:r>
      <w:r>
        <w:rPr>
          <w:rFonts w:ascii="Arial" w:hAnsi="Arial" w:cstheme="minorHAnsi"/>
          <w:b/>
          <w:sz w:val="22"/>
          <w:szCs w:val="22"/>
        </w:rPr>
        <w:t>fuegos tipo A</w:t>
      </w:r>
      <w:r>
        <w:rPr>
          <w:rFonts w:ascii="Arial" w:hAnsi="Arial" w:cstheme="minorHAnsi"/>
          <w:sz w:val="22"/>
          <w:szCs w:val="22"/>
        </w:rPr>
        <w:t>. También es importante saber que el agua es conductora de electricidad, por lo cual sería peligroso usar este tipo de extintor en incendios que hayan sido originados por electricidad.</w:t>
      </w:r>
    </w:p>
    <w:p>
      <w:pPr>
        <w:spacing w:before="0" w:after="0" w:line="360" w:lineRule="auto"/>
        <w:jc w:val="both"/>
        <w:rPr>
          <w:rFonts w:ascii="Arial" w:hAnsi="Arial"/>
          <w:sz w:val="22"/>
          <w:szCs w:val="22"/>
        </w:rPr>
      </w:pPr>
      <w:r>
        <w:rPr>
          <w:rFonts w:ascii="Arial" w:hAnsi="Arial" w:cstheme="minorHAnsi"/>
          <w:b/>
          <w:sz w:val="22"/>
          <w:szCs w:val="22"/>
        </w:rPr>
        <w:t>Extintor de dióxido de carbono (CO2)</w:t>
      </w:r>
    </w:p>
    <w:p>
      <w:pPr>
        <w:spacing w:before="0" w:after="0" w:line="360" w:lineRule="auto"/>
        <w:jc w:val="both"/>
        <w:rPr>
          <w:rFonts w:ascii="Arial" w:hAnsi="Arial"/>
          <w:sz w:val="22"/>
          <w:szCs w:val="22"/>
        </w:rPr>
      </w:pPr>
      <w:r>
        <w:rPr>
          <w:rFonts w:ascii="Arial" w:hAnsi="Arial" w:cstheme="minorHAnsi"/>
          <w:sz w:val="22"/>
          <w:szCs w:val="22"/>
        </w:rPr>
        <w:t xml:space="preserve">Este gas al momento de ser descargado es expandido bruscamente y al entrar en contacto con el combustible lo enfría. El CO2 es un gas que no tiene reacciones químicas con otras sustancias y es un gas no combustible, por lo cual es apto para atacar diversos tipos de incendios. Este extintor es apropiado para </w:t>
      </w:r>
      <w:r>
        <w:rPr>
          <w:rFonts w:ascii="Arial" w:hAnsi="Arial" w:cstheme="minorHAnsi"/>
          <w:b/>
          <w:sz w:val="22"/>
          <w:szCs w:val="22"/>
        </w:rPr>
        <w:t>fuegos tipo C</w:t>
      </w:r>
      <w:r>
        <w:rPr>
          <w:rFonts w:ascii="Arial" w:hAnsi="Arial" w:cstheme="minorHAnsi"/>
          <w:sz w:val="22"/>
          <w:szCs w:val="22"/>
        </w:rPr>
        <w:t>.</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b/>
          <w:sz w:val="22"/>
          <w:szCs w:val="22"/>
        </w:rPr>
        <w:t>Extintor de polvo químico seco (PQS ó ABC)</w:t>
      </w:r>
    </w:p>
    <w:p>
      <w:pPr>
        <w:spacing w:before="0" w:after="0" w:line="360" w:lineRule="auto"/>
        <w:jc w:val="both"/>
        <w:rPr>
          <w:rFonts w:ascii="Arial" w:hAnsi="Arial"/>
          <w:sz w:val="22"/>
          <w:szCs w:val="22"/>
        </w:rPr>
      </w:pPr>
      <w:r>
        <w:rPr>
          <w:rFonts w:ascii="Arial" w:hAnsi="Arial" w:cstheme="minorHAnsi"/>
          <w:sz w:val="22"/>
          <w:szCs w:val="22"/>
        </w:rPr>
        <w:t xml:space="preserve">Los químicos que principalmente se emplean en la elaboración de polvos secos son: bicarbonato sódico, bicarbonato potásico, cloruro potásico, bicarbonato de urea-potasio y fosfato monoamónico. Extintor para combatir </w:t>
      </w:r>
      <w:r>
        <w:rPr>
          <w:rFonts w:ascii="Arial" w:hAnsi="Arial" w:cstheme="minorHAnsi"/>
          <w:b/>
          <w:sz w:val="22"/>
          <w:szCs w:val="22"/>
        </w:rPr>
        <w:t>fuegos tipo A, B y C</w:t>
      </w:r>
      <w:r>
        <w:rPr>
          <w:rFonts w:ascii="Arial" w:hAnsi="Arial" w:cstheme="minorHAnsi"/>
          <w:sz w:val="22"/>
          <w:szCs w:val="22"/>
        </w:rPr>
        <w:t xml:space="preserve">. El principal uso de los extintores de PQS es para extinguir incendios </w:t>
      </w:r>
    </w:p>
    <w:p>
      <w:pPr>
        <w:spacing w:before="0" w:after="0" w:line="360" w:lineRule="auto"/>
        <w:jc w:val="both"/>
        <w:rPr>
          <w:rFonts w:ascii="Arial" w:hAnsi="Arial"/>
          <w:sz w:val="22"/>
          <w:szCs w:val="22"/>
        </w:rPr>
      </w:pPr>
      <w:r>
        <w:rPr>
          <w:rFonts w:ascii="Arial" w:hAnsi="Arial" w:cstheme="minorHAnsi"/>
          <w:sz w:val="22"/>
          <w:szCs w:val="22"/>
        </w:rPr>
        <w:t>originados por combustibles líquidos. Alguna de las principales propiedades de estos extintores es que no son conductores de electricidad, es por eso que también son recomendados para usarse en incendios originados por electricidad.</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b/>
          <w:sz w:val="22"/>
          <w:szCs w:val="22"/>
        </w:rPr>
        <w:t>Extintor de espuma</w:t>
      </w:r>
    </w:p>
    <w:p>
      <w:pPr>
        <w:spacing w:before="0" w:after="0" w:line="360" w:lineRule="auto"/>
        <w:jc w:val="both"/>
        <w:rPr>
          <w:rFonts w:ascii="Arial" w:hAnsi="Arial"/>
          <w:sz w:val="22"/>
          <w:szCs w:val="22"/>
        </w:rPr>
      </w:pPr>
      <w:r>
        <w:rPr>
          <w:rFonts w:ascii="Arial" w:hAnsi="Arial" w:cstheme="minorHAnsi"/>
          <w:sz w:val="22"/>
          <w:szCs w:val="22"/>
        </w:rPr>
        <w:t xml:space="preserve">Los extintores de espuma son de uso seguro, no contaminan al medio ambiente ya que no daña a las personas ni a la fauna. Este extintor es apropiado para combatir </w:t>
      </w:r>
      <w:r>
        <w:rPr>
          <w:rFonts w:ascii="Arial" w:hAnsi="Arial" w:cstheme="minorHAnsi"/>
          <w:b/>
          <w:sz w:val="22"/>
          <w:szCs w:val="22"/>
        </w:rPr>
        <w:t>fuegos tipo A y B</w:t>
      </w:r>
      <w:r>
        <w:rPr>
          <w:rFonts w:ascii="Arial" w:hAnsi="Arial" w:cstheme="minorHAnsi"/>
          <w:sz w:val="22"/>
          <w:szCs w:val="22"/>
        </w:rPr>
        <w:t>. Éste actúa por enfriamiento y sofocación ya que genera una capa acuosa que desplaza el aire, enfría e impide el escape de vapor.</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eastAsiaTheme="majorEastAsia" w:cstheme="minorHAnsi"/>
          <w:b/>
          <w:sz w:val="22"/>
          <w:szCs w:val="22"/>
        </w:rPr>
        <w:t>Extintor de Halotrón</w:t>
      </w:r>
    </w:p>
    <w:p>
      <w:pPr>
        <w:pStyle w:val="22"/>
        <w:spacing w:before="0" w:beforeAutospacing="0" w:after="0" w:afterAutospacing="0" w:line="360" w:lineRule="auto"/>
        <w:jc w:val="both"/>
        <w:rPr>
          <w:rFonts w:ascii="Arial" w:hAnsi="Arial"/>
          <w:sz w:val="22"/>
          <w:szCs w:val="22"/>
        </w:rPr>
      </w:pPr>
      <w:r>
        <w:rPr>
          <w:rFonts w:ascii="Arial" w:hAnsi="Arial" w:eastAsiaTheme="minorHAnsi" w:cstheme="minorHAnsi"/>
          <w:sz w:val="22"/>
          <w:szCs w:val="22"/>
          <w:lang w:val="es-UY" w:eastAsia="en-US"/>
        </w:rPr>
        <w:t xml:space="preserve">Es un agente limpio que no deja residuos y que no son conductores de electricidad. Es adecuado para </w:t>
      </w:r>
      <w:r>
        <w:rPr>
          <w:rFonts w:ascii="Arial" w:hAnsi="Arial" w:eastAsiaTheme="minorHAnsi" w:cstheme="minorHAnsi"/>
          <w:b/>
          <w:sz w:val="22"/>
          <w:szCs w:val="22"/>
          <w:lang w:val="es-UY" w:eastAsia="en-US"/>
        </w:rPr>
        <w:t>fuegos tipo A, B y C</w:t>
      </w:r>
      <w:r>
        <w:rPr>
          <w:rFonts w:ascii="Arial" w:hAnsi="Arial" w:eastAsiaTheme="minorHAnsi" w:cstheme="minorHAnsi"/>
          <w:sz w:val="22"/>
          <w:szCs w:val="22"/>
          <w:lang w:val="es-UY" w:eastAsia="en-US"/>
        </w:rPr>
        <w:t>.</w:t>
      </w:r>
    </w:p>
    <w:p>
      <w:pPr>
        <w:pStyle w:val="22"/>
        <w:spacing w:before="0" w:beforeAutospacing="0" w:after="0" w:afterAutospacing="0" w:line="360" w:lineRule="auto"/>
        <w:jc w:val="both"/>
        <w:rPr>
          <w:rFonts w:ascii="Arial" w:hAnsi="Arial"/>
          <w:sz w:val="22"/>
          <w:szCs w:val="22"/>
        </w:rPr>
      </w:pPr>
      <w:r>
        <w:rPr>
          <w:rFonts w:ascii="Arial" w:hAnsi="Arial" w:eastAsiaTheme="minorHAnsi" w:cstheme="minorHAnsi"/>
          <w:b/>
          <w:sz w:val="22"/>
          <w:szCs w:val="22"/>
          <w:lang w:val="es-UY" w:eastAsia="en-US"/>
        </w:rPr>
        <w:t xml:space="preserve">Para usar los extintores es necesario saber el lugar en el que se encuentran, identificar el tipo de fuego que es. Los extintores son pesados es por eso que se recomienda que practicar levantándolo para cada persona calcule el peso del extintor. </w:t>
      </w:r>
    </w:p>
    <w:p>
      <w:pPr>
        <w:pStyle w:val="22"/>
        <w:spacing w:before="0" w:beforeAutospacing="0" w:after="0" w:afterAutospacing="0" w:line="360" w:lineRule="auto"/>
        <w:jc w:val="both"/>
        <w:rPr>
          <w:rFonts w:ascii="Arial" w:hAnsi="Arial"/>
          <w:sz w:val="22"/>
          <w:szCs w:val="22"/>
        </w:rPr>
      </w:pPr>
      <w:r>
        <w:rPr>
          <w:rFonts w:ascii="Arial" w:hAnsi="Arial" w:eastAsiaTheme="minorHAnsi" w:cstheme="minorHAnsi"/>
          <w:b/>
          <w:sz w:val="22"/>
          <w:szCs w:val="22"/>
          <w:lang w:val="es-UY" w:eastAsia="en-US"/>
        </w:rPr>
        <w:t>DESPUÉS DE HABER UTILIZADO LOS EXTINTORES ES IMPORTANTE QUE SEAN ENTREGADOS A LOS RESPONSABLES EN LAS EMPRESAS PARA QUE ESTOS SEAN RECARGADOS Y COLOCARLOS EN SU LUGAR.</w:t>
      </w:r>
    </w:p>
    <w:p>
      <w:pPr>
        <w:spacing w:before="0" w:after="0" w:line="360" w:lineRule="auto"/>
        <w:jc w:val="both"/>
        <w:rPr>
          <w:rFonts w:ascii="Arial" w:hAnsi="Arial"/>
          <w:sz w:val="22"/>
          <w:szCs w:val="22"/>
        </w:rPr>
      </w:pPr>
      <w:r>
        <w:rPr>
          <w:rFonts w:ascii="Arial" w:hAnsi="Arial" w:cstheme="minorHAnsi"/>
          <w:sz w:val="22"/>
          <w:szCs w:val="22"/>
        </w:rPr>
        <w:t>Según el extintor puedes apagar el tipo de fuego indicado en esta planilla.</w:t>
      </w:r>
    </w:p>
    <w:p>
      <w:pPr>
        <w:pStyle w:val="54"/>
        <w:numPr>
          <w:ilvl w:val="0"/>
          <w:numId w:val="2"/>
        </w:numPr>
        <w:spacing w:line="360" w:lineRule="auto"/>
        <w:jc w:val="both"/>
        <w:rPr>
          <w:rFonts w:ascii="Arial" w:hAnsi="Arial"/>
          <w:sz w:val="22"/>
          <w:szCs w:val="22"/>
        </w:rPr>
      </w:pPr>
      <w:r>
        <w:rPr>
          <w:rFonts w:ascii="Arial" w:hAnsi="Arial" w:cstheme="minorHAnsi"/>
          <w:sz w:val="22"/>
          <w:szCs w:val="22"/>
          <w:lang w:val="es-UY"/>
        </w:rPr>
        <w:t>extintor de polvo ABC apaga fuego tipo A, B Y C _ recomendado todo tipo de locales</w:t>
      </w:r>
    </w:p>
    <w:p>
      <w:pPr>
        <w:pStyle w:val="54"/>
        <w:numPr>
          <w:ilvl w:val="0"/>
          <w:numId w:val="2"/>
        </w:numPr>
        <w:spacing w:line="360" w:lineRule="auto"/>
        <w:jc w:val="both"/>
        <w:rPr>
          <w:rFonts w:ascii="Arial" w:hAnsi="Arial"/>
          <w:sz w:val="22"/>
          <w:szCs w:val="22"/>
        </w:rPr>
      </w:pPr>
      <w:r>
        <w:rPr>
          <w:rFonts w:ascii="Arial" w:hAnsi="Arial" w:cstheme="minorHAnsi"/>
          <w:sz w:val="22"/>
          <w:szCs w:val="22"/>
          <w:lang w:val="es-UY"/>
        </w:rPr>
        <w:t>extintor de CO2 BC apaga tipo de fuego C _ recomendado sala de tableros</w:t>
      </w:r>
    </w:p>
    <w:p>
      <w:pPr>
        <w:pStyle w:val="54"/>
        <w:numPr>
          <w:ilvl w:val="0"/>
          <w:numId w:val="2"/>
        </w:numPr>
        <w:spacing w:line="360" w:lineRule="auto"/>
        <w:jc w:val="both"/>
        <w:rPr>
          <w:rFonts w:ascii="Arial" w:hAnsi="Arial"/>
          <w:sz w:val="22"/>
          <w:szCs w:val="22"/>
        </w:rPr>
      </w:pPr>
      <w:r>
        <w:rPr>
          <w:rFonts w:ascii="Arial" w:hAnsi="Arial" w:cstheme="minorHAnsi"/>
          <w:sz w:val="22"/>
          <w:szCs w:val="22"/>
          <w:lang w:val="es-UY"/>
        </w:rPr>
        <w:t>extintor de HALOTRON 1 ó  HCFC 123, tipo de fuego tipo A y B. Recomendado en sala de racks, bibliotecas (obras de valor inestimable)</w:t>
      </w:r>
    </w:p>
    <w:p>
      <w:pPr>
        <w:pStyle w:val="54"/>
        <w:numPr>
          <w:ilvl w:val="0"/>
          <w:numId w:val="2"/>
        </w:numPr>
        <w:spacing w:line="360" w:lineRule="auto"/>
        <w:jc w:val="both"/>
        <w:rPr>
          <w:rFonts w:ascii="Arial" w:hAnsi="Arial"/>
          <w:sz w:val="22"/>
          <w:szCs w:val="22"/>
        </w:rPr>
      </w:pPr>
      <w:r>
        <w:rPr>
          <w:rFonts w:ascii="Arial" w:hAnsi="Arial" w:cstheme="minorHAnsi"/>
          <w:sz w:val="22"/>
          <w:szCs w:val="22"/>
          <w:lang w:val="es-UY"/>
        </w:rPr>
        <w:t>extintor de potasio 2AK apaga tipo de fuego Recomendado en cocinas</w:t>
      </w:r>
    </w:p>
    <w:p>
      <w:pPr>
        <w:pStyle w:val="22"/>
        <w:spacing w:before="0" w:beforeAutospacing="0" w:after="0" w:afterAutospacing="0" w:line="360" w:lineRule="auto"/>
        <w:jc w:val="both"/>
        <w:rPr>
          <w:rFonts w:ascii="Arial" w:hAnsi="Arial"/>
          <w:sz w:val="22"/>
          <w:szCs w:val="22"/>
        </w:rPr>
      </w:pPr>
      <w:r>
        <w:rPr>
          <w:rFonts w:ascii="Arial" w:hAnsi="Arial" w:eastAsiaTheme="minorHAnsi" w:cstheme="minorHAnsi"/>
          <w:sz w:val="22"/>
          <w:szCs w:val="22"/>
          <w:lang w:val="es-UY" w:eastAsia="en-US"/>
        </w:rPr>
        <w:t xml:space="preserve">Para una mejor comprensión de los </w:t>
      </w:r>
      <w:r>
        <w:rPr>
          <w:rFonts w:ascii="Arial" w:hAnsi="Arial" w:eastAsiaTheme="minorHAnsi" w:cstheme="minorHAnsi"/>
          <w:b/>
          <w:sz w:val="22"/>
          <w:szCs w:val="22"/>
          <w:lang w:val="es-UY" w:eastAsia="en-US"/>
        </w:rPr>
        <w:t>tipos de fuego</w:t>
      </w:r>
      <w:r>
        <w:rPr>
          <w:rFonts w:ascii="Arial" w:hAnsi="Arial" w:eastAsiaTheme="minorHAnsi" w:cstheme="minorHAnsi"/>
          <w:sz w:val="22"/>
          <w:szCs w:val="22"/>
          <w:lang w:val="es-UY" w:eastAsia="en-US"/>
        </w:rPr>
        <w:t xml:space="preserve"> se presenta la siguiente tabla:</w:t>
      </w:r>
    </w:p>
    <w:p>
      <w:pPr>
        <w:pStyle w:val="22"/>
        <w:spacing w:before="0" w:beforeAutospacing="0" w:after="0" w:afterAutospacing="0" w:line="360" w:lineRule="auto"/>
        <w:jc w:val="both"/>
        <w:rPr>
          <w:rFonts w:ascii="Arial" w:hAnsi="Arial" w:cs="Calibri"/>
          <w:sz w:val="22"/>
          <w:szCs w:val="22"/>
          <w:lang w:val="es-UY"/>
        </w:rPr>
      </w:pPr>
    </w:p>
    <w:p>
      <w:pPr>
        <w:spacing w:before="0" w:after="0" w:line="360" w:lineRule="auto"/>
        <w:jc w:val="center"/>
        <w:rPr>
          <w:rFonts w:ascii="Arial" w:hAnsi="Arial"/>
          <w:sz w:val="22"/>
          <w:szCs w:val="22"/>
        </w:rPr>
      </w:pPr>
      <w:r>
        <w:rPr>
          <w:rFonts w:ascii="Arial" w:hAnsi="Arial"/>
          <w:sz w:val="22"/>
          <w:szCs w:val="22"/>
        </w:rPr>
        <w:drawing>
          <wp:inline distT="0" distB="0" distL="0" distR="0">
            <wp:extent cx="5449570" cy="2316480"/>
            <wp:effectExtent l="0" t="0" r="0" b="0"/>
            <wp:docPr id="42" name="Picture 48" descr="http://extintoresnogueras.com/wp-content/uploads/2015/07/clases-de-extinto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8" descr="http://extintoresnogueras.com/wp-content/uploads/2015/07/clases-de-extintores.png"/>
                    <pic:cNvPicPr>
                      <a:picLocks noChangeAspect="1" noChangeArrowheads="1"/>
                    </pic:cNvPicPr>
                  </pic:nvPicPr>
                  <pic:blipFill>
                    <a:blip r:embed="rId38"/>
                    <a:stretch>
                      <a:fillRect/>
                    </a:stretch>
                  </pic:blipFill>
                  <pic:spPr>
                    <a:xfrm>
                      <a:off x="0" y="0"/>
                      <a:ext cx="5449570" cy="2316480"/>
                    </a:xfrm>
                    <a:prstGeom prst="rect">
                      <a:avLst/>
                    </a:prstGeom>
                  </pic:spPr>
                </pic:pic>
              </a:graphicData>
            </a:graphic>
          </wp:inline>
        </w:drawing>
      </w:r>
    </w:p>
    <w:p>
      <w:pPr>
        <w:pBdr>
          <w:bottom w:val="single" w:color="000000" w:sz="4" w:space="1"/>
        </w:pBdr>
        <w:spacing w:before="0" w:after="0" w:line="360" w:lineRule="auto"/>
        <w:jc w:val="both"/>
        <w:rPr>
          <w:rFonts w:ascii="Arial" w:hAnsi="Arial" w:cs="Calibri"/>
          <w:b/>
          <w:sz w:val="22"/>
          <w:szCs w:val="22"/>
        </w:rPr>
      </w:pPr>
    </w:p>
    <w:p>
      <w:pPr>
        <w:pBdr>
          <w:bottom w:val="single" w:color="000000" w:sz="4" w:space="1"/>
        </w:pBdr>
        <w:spacing w:before="0" w:after="0" w:line="360" w:lineRule="auto"/>
        <w:jc w:val="both"/>
        <w:rPr>
          <w:rFonts w:ascii="Arial" w:hAnsi="Arial" w:cs="Calibri"/>
          <w:b/>
          <w:sz w:val="22"/>
          <w:szCs w:val="22"/>
        </w:rPr>
      </w:pPr>
      <w:r>
        <w:rPr>
          <w:rFonts w:ascii="Arial" w:hAnsi="Arial" w:cstheme="minorHAnsi"/>
          <w:b/>
          <w:sz w:val="22"/>
          <w:szCs w:val="22"/>
        </w:rPr>
        <w:t xml:space="preserve">ALCANCE DEL SUMINISTRO </w:t>
      </w:r>
    </w:p>
    <w:p>
      <w:pPr>
        <w:spacing w:before="0" w:after="0" w:line="360" w:lineRule="auto"/>
        <w:jc w:val="both"/>
        <w:rPr>
          <w:rFonts w:ascii="Arial" w:hAnsi="Arial"/>
          <w:sz w:val="22"/>
          <w:szCs w:val="22"/>
        </w:rPr>
      </w:pPr>
      <w:r>
        <w:rPr>
          <w:rFonts w:ascii="Arial" w:hAnsi="Arial" w:cstheme="minorHAnsi"/>
          <w:b/>
          <w:sz w:val="22"/>
          <w:szCs w:val="22"/>
        </w:rPr>
        <w:t>DESCRIPCIÓN DE LAS OBRAS</w:t>
      </w:r>
    </w:p>
    <w:p>
      <w:pPr>
        <w:tabs>
          <w:tab w:val="left" w:pos="-1440"/>
        </w:tabs>
        <w:spacing w:before="0" w:after="0" w:line="360" w:lineRule="auto"/>
        <w:ind w:left="720" w:hanging="720"/>
        <w:jc w:val="both"/>
        <w:rPr>
          <w:rFonts w:ascii="Arial" w:hAnsi="Arial"/>
          <w:sz w:val="22"/>
          <w:szCs w:val="22"/>
        </w:rPr>
      </w:pPr>
      <w:r>
        <w:rPr>
          <w:rFonts w:ascii="Arial" w:hAnsi="Arial" w:cstheme="minorHAnsi"/>
          <w:sz w:val="22"/>
          <w:szCs w:val="22"/>
        </w:rPr>
        <w:t>Trabajos incluidos.</w:t>
      </w:r>
    </w:p>
    <w:p>
      <w:pPr>
        <w:spacing w:before="0" w:after="0" w:line="360" w:lineRule="auto"/>
        <w:jc w:val="both"/>
        <w:rPr>
          <w:rFonts w:ascii="Arial" w:hAnsi="Arial"/>
          <w:sz w:val="22"/>
          <w:szCs w:val="22"/>
        </w:rPr>
      </w:pPr>
      <w:r>
        <w:rPr>
          <w:rFonts w:ascii="Arial" w:hAnsi="Arial" w:cstheme="minorHAnsi"/>
          <w:sz w:val="22"/>
          <w:szCs w:val="22"/>
        </w:rPr>
        <w:t xml:space="preserve">En forma general la presente sección se refiere a los siguientes elementos que están ubicados en los planos de referencia en la presente memoria técnica: Extintores DE POLVO ABC </w:t>
      </w:r>
    </w:p>
    <w:p>
      <w:pPr>
        <w:spacing w:before="0" w:after="0" w:line="360" w:lineRule="auto"/>
        <w:jc w:val="both"/>
        <w:rPr>
          <w:rFonts w:ascii="Arial" w:hAnsi="Arial" w:cs="Calibri"/>
          <w:b/>
          <w:sz w:val="22"/>
          <w:szCs w:val="22"/>
        </w:rPr>
      </w:pPr>
    </w:p>
    <w:p>
      <w:pPr>
        <w:spacing w:before="0" w:after="0" w:line="360" w:lineRule="auto"/>
        <w:jc w:val="both"/>
        <w:rPr>
          <w:rFonts w:ascii="Arial" w:hAnsi="Arial"/>
          <w:sz w:val="22"/>
          <w:szCs w:val="22"/>
        </w:rPr>
      </w:pPr>
      <w:r>
        <w:rPr>
          <w:rFonts w:ascii="Arial" w:hAnsi="Arial" w:cstheme="minorHAnsi"/>
          <w:b/>
          <w:sz w:val="22"/>
          <w:szCs w:val="22"/>
        </w:rPr>
        <w:t>DOCUMENTOS A PRESENTAR POR PARTE DE LA EMPRESA QUE SUMINISTRE E INSTALE</w:t>
      </w:r>
    </w:p>
    <w:p>
      <w:pPr>
        <w:spacing w:before="0" w:after="0" w:line="360" w:lineRule="auto"/>
        <w:jc w:val="both"/>
        <w:rPr>
          <w:rFonts w:ascii="Arial" w:hAnsi="Arial"/>
          <w:sz w:val="22"/>
          <w:szCs w:val="22"/>
        </w:rPr>
      </w:pPr>
      <w:r>
        <w:rPr>
          <w:rFonts w:ascii="Arial" w:hAnsi="Arial" w:cstheme="minorHAnsi"/>
          <w:sz w:val="22"/>
          <w:szCs w:val="22"/>
        </w:rPr>
        <w:t>Etiqueta de cumplimiento de normas UNIT respectivas que figure:</w:t>
      </w:r>
    </w:p>
    <w:p>
      <w:pPr>
        <w:spacing w:before="0" w:after="0" w:line="360" w:lineRule="auto"/>
        <w:jc w:val="both"/>
        <w:rPr>
          <w:rFonts w:ascii="Arial" w:hAnsi="Arial"/>
          <w:sz w:val="22"/>
          <w:szCs w:val="22"/>
        </w:rPr>
      </w:pPr>
      <w:r>
        <w:rPr>
          <w:rFonts w:ascii="Arial" w:hAnsi="Arial" w:cstheme="minorHAnsi"/>
          <w:sz w:val="22"/>
          <w:szCs w:val="22"/>
        </w:rPr>
        <w:t>A) Fecha de llenado.</w:t>
      </w:r>
    </w:p>
    <w:p>
      <w:pPr>
        <w:spacing w:before="0" w:after="0" w:line="360" w:lineRule="auto"/>
        <w:jc w:val="both"/>
        <w:rPr>
          <w:rFonts w:ascii="Arial" w:hAnsi="Arial"/>
          <w:sz w:val="22"/>
          <w:szCs w:val="22"/>
        </w:rPr>
      </w:pPr>
      <w:r>
        <w:rPr>
          <w:rFonts w:ascii="Arial" w:hAnsi="Arial" w:cstheme="minorHAnsi"/>
          <w:sz w:val="22"/>
          <w:szCs w:val="22"/>
        </w:rPr>
        <w:t>B) Fecha de testeo.</w:t>
      </w:r>
    </w:p>
    <w:p>
      <w:pPr>
        <w:spacing w:before="0" w:after="0" w:line="360" w:lineRule="auto"/>
        <w:jc w:val="both"/>
        <w:rPr>
          <w:rFonts w:ascii="Arial" w:hAnsi="Arial"/>
          <w:sz w:val="22"/>
          <w:szCs w:val="22"/>
        </w:rPr>
      </w:pPr>
      <w:r>
        <w:rPr>
          <w:rFonts w:ascii="Arial" w:hAnsi="Arial" w:cstheme="minorHAnsi"/>
          <w:sz w:val="22"/>
          <w:szCs w:val="22"/>
        </w:rPr>
        <w:t>C) Nombre del Fabricante.</w:t>
      </w:r>
    </w:p>
    <w:p>
      <w:pPr>
        <w:spacing w:before="0" w:after="0" w:line="360" w:lineRule="auto"/>
        <w:jc w:val="both"/>
        <w:rPr>
          <w:rFonts w:ascii="Arial" w:hAnsi="Arial"/>
          <w:sz w:val="22"/>
          <w:szCs w:val="22"/>
        </w:rPr>
      </w:pPr>
      <w:r>
        <w:rPr>
          <w:rFonts w:ascii="Arial" w:hAnsi="Arial" w:cstheme="minorHAnsi"/>
          <w:sz w:val="22"/>
          <w:szCs w:val="22"/>
        </w:rPr>
        <w:t>D) Características del extintor.</w:t>
      </w:r>
    </w:p>
    <w:p>
      <w:pPr>
        <w:spacing w:before="0" w:after="0" w:line="360" w:lineRule="auto"/>
        <w:jc w:val="both"/>
        <w:rPr>
          <w:rFonts w:ascii="Arial" w:hAnsi="Arial"/>
          <w:sz w:val="22"/>
          <w:szCs w:val="22"/>
        </w:rPr>
      </w:pPr>
      <w:r>
        <w:rPr>
          <w:rFonts w:ascii="Arial" w:hAnsi="Arial" w:cstheme="minorHAnsi"/>
          <w:sz w:val="22"/>
          <w:szCs w:val="22"/>
        </w:rPr>
        <w:t>E) Sello de aprobación</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Factura por los extintores entregados, con la enumeración de las matrículas de los mismos, RUT y Razón Social de la edificación en estudio, dirección en donde se colocarán los extintores.</w:t>
      </w:r>
    </w:p>
    <w:p>
      <w:pPr>
        <w:spacing w:before="0" w:after="0" w:line="360" w:lineRule="auto"/>
        <w:jc w:val="both"/>
        <w:rPr>
          <w:rFonts w:ascii="Arial" w:hAnsi="Arial" w:cs="Calibri"/>
          <w:b/>
          <w:sz w:val="22"/>
          <w:szCs w:val="22"/>
        </w:rPr>
      </w:pPr>
    </w:p>
    <w:p>
      <w:pPr>
        <w:spacing w:before="0" w:after="0" w:line="360" w:lineRule="auto"/>
        <w:jc w:val="both"/>
        <w:rPr>
          <w:rFonts w:ascii="Arial" w:hAnsi="Arial"/>
          <w:sz w:val="22"/>
          <w:szCs w:val="22"/>
        </w:rPr>
      </w:pPr>
      <w:r>
        <w:rPr>
          <w:rFonts w:ascii="Arial" w:hAnsi="Arial" w:cstheme="minorHAnsi"/>
          <w:b/>
          <w:sz w:val="22"/>
          <w:szCs w:val="22"/>
        </w:rPr>
        <w:t>CONDICIONES DE RECEPCIÓN:</w:t>
      </w:r>
    </w:p>
    <w:p>
      <w:pPr>
        <w:spacing w:before="0" w:after="0" w:line="360" w:lineRule="auto"/>
        <w:jc w:val="both"/>
        <w:rPr>
          <w:rFonts w:ascii="Arial" w:hAnsi="Arial"/>
          <w:sz w:val="22"/>
          <w:szCs w:val="22"/>
        </w:rPr>
      </w:pPr>
      <w:r>
        <w:rPr>
          <w:rFonts w:ascii="Arial" w:hAnsi="Arial" w:cstheme="minorHAnsi"/>
          <w:sz w:val="22"/>
          <w:szCs w:val="22"/>
        </w:rPr>
        <w:t>La DO entenderá que los productos especificados en la presente memoria estarán en condiciones de ser recibidos cuando se verifiquen los siguientes hechos:</w:t>
      </w:r>
    </w:p>
    <w:p>
      <w:pPr>
        <w:spacing w:before="0" w:after="0" w:line="360" w:lineRule="auto"/>
        <w:jc w:val="both"/>
        <w:rPr>
          <w:rFonts w:ascii="Arial" w:hAnsi="Arial"/>
          <w:sz w:val="22"/>
          <w:szCs w:val="22"/>
        </w:rPr>
      </w:pPr>
      <w:r>
        <w:rPr>
          <w:rFonts w:ascii="Arial" w:hAnsi="Arial" w:cstheme="minorHAnsi"/>
          <w:sz w:val="22"/>
          <w:szCs w:val="22"/>
        </w:rPr>
        <w:t>A) Que coincidan con los detalles del pedido.</w:t>
      </w:r>
    </w:p>
    <w:p>
      <w:pPr>
        <w:spacing w:before="0" w:after="0" w:line="360" w:lineRule="auto"/>
        <w:jc w:val="both"/>
        <w:rPr>
          <w:rFonts w:ascii="Arial" w:hAnsi="Arial"/>
          <w:sz w:val="22"/>
          <w:szCs w:val="22"/>
        </w:rPr>
      </w:pPr>
      <w:r>
        <w:rPr>
          <w:rFonts w:ascii="Arial" w:hAnsi="Arial" w:cstheme="minorHAnsi"/>
          <w:sz w:val="22"/>
          <w:szCs w:val="22"/>
        </w:rPr>
        <w:t>B) Que estén en adecuado estado de conservación y transporte.</w:t>
      </w:r>
    </w:p>
    <w:p>
      <w:pPr>
        <w:spacing w:before="0" w:after="0" w:line="360" w:lineRule="auto"/>
        <w:jc w:val="both"/>
        <w:rPr>
          <w:rFonts w:ascii="Arial" w:hAnsi="Arial"/>
          <w:sz w:val="22"/>
          <w:szCs w:val="22"/>
        </w:rPr>
      </w:pPr>
      <w:r>
        <w:rPr>
          <w:rFonts w:ascii="Arial" w:hAnsi="Arial" w:cstheme="minorHAnsi"/>
          <w:sz w:val="22"/>
          <w:szCs w:val="22"/>
        </w:rPr>
        <w:t>C) Que haya sido coordinada la presencia In situ de quien sea el responsable de recibirlas.</w:t>
      </w:r>
    </w:p>
    <w:p>
      <w:pPr>
        <w:spacing w:before="0" w:after="0" w:line="360" w:lineRule="auto"/>
        <w:jc w:val="both"/>
        <w:rPr>
          <w:rFonts w:ascii="Arial" w:hAnsi="Arial"/>
          <w:sz w:val="22"/>
          <w:szCs w:val="22"/>
        </w:rPr>
      </w:pPr>
      <w:r>
        <w:rPr>
          <w:rFonts w:ascii="Arial" w:hAnsi="Arial" w:cstheme="minorHAnsi"/>
          <w:sz w:val="22"/>
          <w:szCs w:val="22"/>
        </w:rPr>
        <w:t>D) Que sean entregadas en conjunto con las mismas las partes complementarias.</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 xml:space="preserve">En todos los casos la DO podrá establecer condiciones complementarias de recepción siempre que se ajusten a lo establecido en las descripciones establecidas en la presente memoria. </w:t>
      </w:r>
    </w:p>
    <w:p>
      <w:pPr>
        <w:spacing w:before="0" w:after="0" w:line="360" w:lineRule="auto"/>
        <w:jc w:val="both"/>
        <w:rPr>
          <w:rFonts w:ascii="Arial" w:hAnsi="Arial" w:cs="Calibri"/>
          <w:sz w:val="22"/>
          <w:szCs w:val="22"/>
        </w:rPr>
      </w:pPr>
    </w:p>
    <w:p>
      <w:pPr>
        <w:spacing w:before="0" w:after="0" w:line="360" w:lineRule="auto"/>
        <w:jc w:val="both"/>
        <w:rPr>
          <w:rFonts w:ascii="Arial" w:hAnsi="Arial" w:cs="Calibri"/>
          <w:b/>
          <w:sz w:val="22"/>
          <w:szCs w:val="22"/>
        </w:rPr>
      </w:pPr>
      <w:r>
        <w:rPr>
          <w:rFonts w:ascii="Arial" w:hAnsi="Arial" w:cstheme="minorHAnsi"/>
          <w:b/>
          <w:sz w:val="22"/>
          <w:szCs w:val="22"/>
        </w:rPr>
        <w:t>CONDICIONES DE RECHAZO</w:t>
      </w:r>
    </w:p>
    <w:p>
      <w:pPr>
        <w:spacing w:before="0" w:after="0" w:line="360" w:lineRule="auto"/>
        <w:jc w:val="both"/>
        <w:rPr>
          <w:rFonts w:ascii="Arial" w:hAnsi="Arial"/>
          <w:sz w:val="22"/>
          <w:szCs w:val="22"/>
        </w:rPr>
      </w:pPr>
      <w:r>
        <w:rPr>
          <w:rFonts w:ascii="Arial" w:hAnsi="Arial" w:cstheme="minorHAnsi"/>
          <w:sz w:val="22"/>
          <w:szCs w:val="22"/>
        </w:rPr>
        <w:t>La DO entenderá que los productos especificados en la presente memoria serán rechazados cuando se verifiquen los siguientes hechos:</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A) Cuando no se puedan verificar las condiciones de validez de las cargas o los certificados de aprobación no se correspondan con las reglamentaciones vigentes.</w:t>
      </w:r>
    </w:p>
    <w:p>
      <w:pPr>
        <w:spacing w:before="0" w:after="0" w:line="360" w:lineRule="auto"/>
        <w:jc w:val="both"/>
        <w:rPr>
          <w:rFonts w:ascii="Arial" w:hAnsi="Arial"/>
          <w:sz w:val="22"/>
          <w:szCs w:val="22"/>
        </w:rPr>
      </w:pPr>
      <w:r>
        <w:rPr>
          <w:rFonts w:ascii="Arial" w:hAnsi="Arial" w:cstheme="minorHAnsi"/>
          <w:sz w:val="22"/>
          <w:szCs w:val="22"/>
        </w:rPr>
        <w:t>B) Cuando se verifiquen golpes, rayones, o daños de cualquier tipo.</w:t>
      </w:r>
    </w:p>
    <w:p>
      <w:pPr>
        <w:spacing w:before="0" w:after="0" w:line="360" w:lineRule="auto"/>
        <w:jc w:val="both"/>
        <w:rPr>
          <w:rFonts w:ascii="Arial" w:hAnsi="Arial"/>
          <w:sz w:val="22"/>
          <w:szCs w:val="22"/>
        </w:rPr>
      </w:pPr>
      <w:r>
        <w:rPr>
          <w:rFonts w:ascii="Arial" w:hAnsi="Arial" w:cstheme="minorHAnsi"/>
          <w:sz w:val="22"/>
          <w:szCs w:val="22"/>
        </w:rPr>
        <w:t>C) Cuando se verifique que los soportes y/o sujeciones cuando corresponda, no coinciden con lo especificado.</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En todos los casos la DO podrá establecer condiciones complementarias de recepción siempre que se ajusten a lo establecido en las descripciones establecidas en la presente memoria.</w:t>
      </w:r>
    </w:p>
    <w:p>
      <w:pPr>
        <w:spacing w:before="0" w:after="0" w:line="360" w:lineRule="auto"/>
        <w:jc w:val="both"/>
        <w:rPr>
          <w:rFonts w:ascii="Arial" w:hAnsi="Arial" w:cs="Calibri"/>
          <w:b/>
          <w:sz w:val="22"/>
          <w:szCs w:val="22"/>
        </w:rPr>
      </w:pPr>
    </w:p>
    <w:p>
      <w:pPr>
        <w:spacing w:before="0" w:after="0" w:line="360" w:lineRule="auto"/>
        <w:rPr>
          <w:rFonts w:ascii="Arial" w:hAnsi="Arial"/>
          <w:sz w:val="22"/>
          <w:szCs w:val="22"/>
        </w:rPr>
      </w:pPr>
      <w:r>
        <w:rPr>
          <w:rFonts w:ascii="Arial" w:hAnsi="Arial" w:cstheme="minorHAnsi"/>
          <w:b/>
          <w:sz w:val="22"/>
          <w:szCs w:val="22"/>
        </w:rPr>
        <w:t>CARACTERISTICAS GENERALES: </w:t>
      </w:r>
      <w:r>
        <w:rPr>
          <w:rFonts w:ascii="Arial" w:hAnsi="Arial" w:cstheme="minorHAnsi"/>
          <w:sz w:val="22"/>
          <w:szCs w:val="22"/>
        </w:rPr>
        <w:br w:type="textWrapping"/>
      </w:r>
      <w:r>
        <w:rPr>
          <w:rFonts w:ascii="Arial" w:hAnsi="Arial" w:cstheme="minorHAnsi"/>
          <w:sz w:val="22"/>
          <w:szCs w:val="22"/>
        </w:rPr>
        <w:t>La posición será la reflejada por la D.O.  indicada en planos</w:t>
      </w:r>
      <w:r>
        <w:rPr>
          <w:rFonts w:ascii="Arial" w:hAnsi="Arial" w:cstheme="minorHAnsi"/>
          <w:sz w:val="22"/>
          <w:szCs w:val="22"/>
        </w:rPr>
        <w:br w:type="textWrapping"/>
      </w:r>
      <w:r>
        <w:rPr>
          <w:rFonts w:ascii="Arial" w:hAnsi="Arial" w:cstheme="minorHAnsi"/>
          <w:sz w:val="22"/>
          <w:szCs w:val="22"/>
        </w:rPr>
        <w:t>Se situará cerca de los accesos a la zona protegida y será visible y accesible. </w:t>
      </w:r>
      <w:r>
        <w:rPr>
          <w:rFonts w:ascii="Arial" w:hAnsi="Arial" w:cstheme="minorHAnsi"/>
          <w:sz w:val="22"/>
          <w:szCs w:val="22"/>
        </w:rPr>
        <w:br w:type="textWrapping"/>
      </w:r>
      <w:r>
        <w:rPr>
          <w:rFonts w:ascii="Arial" w:hAnsi="Arial" w:cstheme="minorHAnsi"/>
          <w:sz w:val="22"/>
          <w:szCs w:val="22"/>
        </w:rPr>
        <w:t>Altura de fijación será la indicada más arriba. </w:t>
      </w:r>
      <w:r>
        <w:rPr>
          <w:rFonts w:ascii="Arial" w:hAnsi="Arial" w:cstheme="minorHAnsi"/>
          <w:sz w:val="22"/>
          <w:szCs w:val="22"/>
        </w:rPr>
        <w:br w:type="textWrapping"/>
      </w:r>
      <w:r>
        <w:rPr>
          <w:rFonts w:ascii="Arial" w:hAnsi="Arial" w:cstheme="minorHAnsi"/>
          <w:sz w:val="22"/>
          <w:szCs w:val="22"/>
        </w:rPr>
        <w:t>Tolerancias de instalación: </w:t>
      </w:r>
      <w:r>
        <w:rPr>
          <w:rFonts w:ascii="Arial" w:hAnsi="Arial" w:cstheme="minorHAnsi"/>
          <w:sz w:val="22"/>
          <w:szCs w:val="22"/>
        </w:rPr>
        <w:br w:type="textWrapping"/>
      </w:r>
      <w:r>
        <w:rPr>
          <w:rFonts w:ascii="Arial" w:hAnsi="Arial" w:cstheme="minorHAnsi"/>
          <w:sz w:val="22"/>
          <w:szCs w:val="22"/>
        </w:rPr>
        <w:t>- Posición: ± 50 mm </w:t>
      </w:r>
      <w:r>
        <w:rPr>
          <w:rFonts w:ascii="Arial" w:hAnsi="Arial" w:cstheme="minorHAnsi"/>
          <w:sz w:val="22"/>
          <w:szCs w:val="22"/>
        </w:rPr>
        <w:br w:type="textWrapping"/>
      </w:r>
      <w:r>
        <w:rPr>
          <w:rFonts w:ascii="Arial" w:hAnsi="Arial" w:cstheme="minorHAnsi"/>
          <w:sz w:val="22"/>
          <w:szCs w:val="22"/>
        </w:rPr>
        <w:t>- Horizontalidad y aplomado: ± 3 mm </w:t>
      </w:r>
      <w:r>
        <w:rPr>
          <w:rFonts w:ascii="Arial" w:hAnsi="Arial" w:cstheme="minorHAnsi"/>
          <w:sz w:val="22"/>
          <w:szCs w:val="22"/>
        </w:rPr>
        <w:br w:type="textWrapping"/>
      </w:r>
      <w:r>
        <w:rPr>
          <w:rFonts w:ascii="Arial" w:hAnsi="Arial" w:cstheme="minorHAnsi"/>
          <w:sz w:val="22"/>
          <w:szCs w:val="22"/>
        </w:rPr>
        <w:br w:type="textWrapping"/>
      </w:r>
      <w:r>
        <w:rPr>
          <w:rFonts w:ascii="Arial" w:hAnsi="Arial" w:cstheme="minorHAnsi"/>
          <w:b/>
          <w:sz w:val="22"/>
          <w:szCs w:val="22"/>
        </w:rPr>
        <w:t>COLOCADO CON SOPORTE EN LA PARED</w:t>
      </w:r>
      <w:r>
        <w:rPr>
          <w:rFonts w:ascii="Arial" w:hAnsi="Arial" w:cstheme="minorHAnsi"/>
          <w:sz w:val="22"/>
          <w:szCs w:val="22"/>
        </w:rPr>
        <w:br w:type="textWrapping"/>
      </w:r>
      <w:r>
        <w:rPr>
          <w:rFonts w:ascii="Arial" w:hAnsi="Arial" w:cstheme="minorHAnsi"/>
          <w:sz w:val="22"/>
          <w:szCs w:val="22"/>
        </w:rPr>
        <w:t>El soporte quedará fijado sólidamente, plano y aplomado sobre el paramento. </w:t>
      </w:r>
    </w:p>
    <w:p>
      <w:pPr>
        <w:spacing w:before="0" w:after="0" w:line="360" w:lineRule="auto"/>
        <w:jc w:val="both"/>
        <w:rPr>
          <w:rFonts w:ascii="Arial" w:hAnsi="Arial"/>
          <w:sz w:val="22"/>
          <w:szCs w:val="22"/>
        </w:rPr>
      </w:pPr>
      <w:r>
        <w:rPr>
          <w:rFonts w:ascii="Arial" w:hAnsi="Arial" w:cstheme="minorHAnsi"/>
          <w:sz w:val="22"/>
          <w:szCs w:val="22"/>
        </w:rPr>
        <w:t>Los soportes serán construidos en acero de características inoxidables, pudiendo ser de acero galvanizado, de acero inoxidable o equivalente en acero tratado con sistema de pintura equivalente a los anteriores y con tratamientos adecuados a su grado de protección ante la corrosión, con sección adecuada a la carga que deban soportar, y a la excentricidad de la misma.</w:t>
      </w:r>
    </w:p>
    <w:p>
      <w:pPr>
        <w:spacing w:before="0" w:after="0" w:line="360" w:lineRule="auto"/>
        <w:jc w:val="both"/>
        <w:rPr>
          <w:rFonts w:ascii="Arial" w:hAnsi="Arial" w:cs="Calibri"/>
          <w:b/>
          <w:sz w:val="22"/>
          <w:szCs w:val="22"/>
        </w:rPr>
      </w:pPr>
    </w:p>
    <w:p>
      <w:pPr>
        <w:tabs>
          <w:tab w:val="left" w:pos="-1440"/>
        </w:tabs>
        <w:spacing w:before="0" w:after="0" w:line="360" w:lineRule="auto"/>
        <w:jc w:val="both"/>
        <w:rPr>
          <w:rFonts w:ascii="Arial" w:hAnsi="Arial" w:cs="Calibri"/>
          <w:b/>
          <w:sz w:val="22"/>
          <w:szCs w:val="22"/>
        </w:rPr>
      </w:pPr>
      <w:r>
        <w:rPr>
          <w:rFonts w:ascii="Arial" w:hAnsi="Arial" w:cstheme="minorHAnsi"/>
          <w:b/>
          <w:sz w:val="22"/>
          <w:szCs w:val="22"/>
        </w:rPr>
        <w:t>ENSAYO HIDROSTÀTICO DE EXTINTORES</w:t>
      </w:r>
    </w:p>
    <w:p>
      <w:pPr>
        <w:tabs>
          <w:tab w:val="left" w:pos="-1440"/>
        </w:tabs>
        <w:spacing w:before="0" w:after="0" w:line="360" w:lineRule="auto"/>
        <w:jc w:val="both"/>
        <w:rPr>
          <w:rFonts w:ascii="Arial" w:hAnsi="Arial"/>
          <w:sz w:val="22"/>
          <w:szCs w:val="22"/>
        </w:rPr>
      </w:pPr>
      <w:r>
        <w:rPr>
          <w:rFonts w:ascii="Arial" w:hAnsi="Arial" w:cstheme="minorHAnsi"/>
          <w:bCs/>
          <w:sz w:val="22"/>
          <w:szCs w:val="22"/>
          <w:lang w:val="es-MX"/>
        </w:rPr>
        <w:t>Se trata del ensayo hidrostático de los extintores existentes a recargar y de todos los accesorios que esto requiera, de acuerdo a las normas de la DNB</w:t>
      </w:r>
    </w:p>
    <w:p>
      <w:pPr>
        <w:pStyle w:val="18"/>
        <w:spacing w:line="360" w:lineRule="auto"/>
        <w:jc w:val="both"/>
        <w:rPr>
          <w:rFonts w:ascii="Arial" w:hAnsi="Arial"/>
          <w:sz w:val="22"/>
          <w:szCs w:val="22"/>
        </w:rPr>
      </w:pPr>
      <w:r>
        <w:rPr>
          <w:rFonts w:ascii="Arial" w:hAnsi="Arial" w:eastAsiaTheme="minorHAnsi" w:cstheme="minorHAnsi"/>
          <w:bCs w:val="0"/>
          <w:sz w:val="22"/>
          <w:szCs w:val="22"/>
          <w:lang w:eastAsia="en-US"/>
        </w:rPr>
        <w:t>Mientras se realicen los ensayos, no podrá quedar el Servicio desprovisto de equipamiento contra incendio, por lo cual se deberá tener en cuenta que:</w:t>
      </w:r>
    </w:p>
    <w:p>
      <w:pPr>
        <w:pStyle w:val="18"/>
        <w:spacing w:line="360" w:lineRule="auto"/>
        <w:jc w:val="both"/>
        <w:rPr>
          <w:rFonts w:ascii="Arial" w:hAnsi="Arial" w:eastAsia="Calibri" w:cs="Calibri"/>
          <w:bCs w:val="0"/>
          <w:sz w:val="22"/>
          <w:szCs w:val="22"/>
          <w:lang w:eastAsia="en-US"/>
        </w:rPr>
      </w:pPr>
    </w:p>
    <w:p>
      <w:pPr>
        <w:pStyle w:val="18"/>
        <w:numPr>
          <w:ilvl w:val="0"/>
          <w:numId w:val="13"/>
        </w:numPr>
        <w:spacing w:line="360" w:lineRule="auto"/>
        <w:jc w:val="both"/>
        <w:rPr>
          <w:rFonts w:ascii="Arial" w:hAnsi="Arial"/>
          <w:sz w:val="22"/>
          <w:szCs w:val="22"/>
        </w:rPr>
      </w:pPr>
      <w:r>
        <w:rPr>
          <w:rFonts w:ascii="Arial" w:hAnsi="Arial" w:eastAsiaTheme="minorHAnsi" w:cstheme="minorHAnsi"/>
          <w:bCs w:val="0"/>
          <w:sz w:val="22"/>
          <w:szCs w:val="22"/>
          <w:lang w:eastAsia="en-US"/>
        </w:rPr>
        <w:t>O bien la sustitución de los mismos en carácter definitivo</w:t>
      </w:r>
    </w:p>
    <w:p>
      <w:pPr>
        <w:pStyle w:val="18"/>
        <w:numPr>
          <w:ilvl w:val="0"/>
          <w:numId w:val="13"/>
        </w:numPr>
        <w:spacing w:line="360" w:lineRule="auto"/>
        <w:jc w:val="both"/>
        <w:rPr>
          <w:rFonts w:ascii="Arial" w:hAnsi="Arial"/>
          <w:sz w:val="22"/>
          <w:szCs w:val="22"/>
        </w:rPr>
      </w:pPr>
      <w:r>
        <w:rPr>
          <w:rFonts w:ascii="Arial" w:hAnsi="Arial" w:eastAsiaTheme="minorHAnsi" w:cstheme="minorHAnsi"/>
          <w:bCs w:val="0"/>
          <w:sz w:val="22"/>
          <w:szCs w:val="22"/>
          <w:lang w:eastAsia="en-US"/>
        </w:rPr>
        <w:t>O bien el préstamo del equipamiento</w:t>
      </w:r>
    </w:p>
    <w:p>
      <w:pPr>
        <w:pStyle w:val="18"/>
        <w:spacing w:line="360" w:lineRule="auto"/>
        <w:jc w:val="both"/>
        <w:rPr>
          <w:rFonts w:ascii="Arial" w:hAnsi="Arial" w:eastAsia="Calibri" w:cs="Calibri"/>
          <w:bCs w:val="0"/>
          <w:sz w:val="22"/>
          <w:szCs w:val="22"/>
          <w:lang w:eastAsia="en-US"/>
        </w:rPr>
      </w:pPr>
    </w:p>
    <w:p>
      <w:pPr>
        <w:spacing w:before="0" w:after="0" w:line="360" w:lineRule="auto"/>
        <w:jc w:val="both"/>
        <w:rPr>
          <w:rFonts w:ascii="Arial" w:hAnsi="Arial" w:cs="Calibri"/>
          <w:b/>
          <w:sz w:val="22"/>
          <w:szCs w:val="22"/>
        </w:rPr>
      </w:pPr>
      <w:r>
        <w:rPr>
          <w:rFonts w:ascii="Arial" w:hAnsi="Arial" w:cstheme="minorHAnsi"/>
          <w:b/>
          <w:sz w:val="22"/>
          <w:szCs w:val="22"/>
        </w:rPr>
        <w:t xml:space="preserve">CARACTERÍSTICAS GENERALES </w:t>
      </w:r>
    </w:p>
    <w:p>
      <w:pPr>
        <w:spacing w:before="0" w:after="0" w:line="360" w:lineRule="auto"/>
        <w:jc w:val="both"/>
        <w:rPr>
          <w:rFonts w:ascii="Arial" w:hAnsi="Arial"/>
          <w:sz w:val="22"/>
          <w:szCs w:val="22"/>
        </w:rPr>
      </w:pPr>
      <w:r>
        <w:rPr>
          <w:rFonts w:ascii="Arial" w:hAnsi="Arial" w:cstheme="minorHAnsi"/>
          <w:sz w:val="22"/>
          <w:szCs w:val="22"/>
        </w:rPr>
        <w:t xml:space="preserve">Extintores en general serán de color rojo bermellón.  </w:t>
      </w:r>
    </w:p>
    <w:p>
      <w:pPr>
        <w:spacing w:before="0" w:after="0" w:line="360" w:lineRule="auto"/>
        <w:jc w:val="both"/>
        <w:rPr>
          <w:rFonts w:ascii="Arial" w:hAnsi="Arial" w:eastAsia="Calibri" w:cs="Calibri"/>
          <w:sz w:val="22"/>
          <w:szCs w:val="22"/>
          <w:lang w:eastAsia="en-US"/>
        </w:rPr>
      </w:pPr>
      <w:r>
        <w:rPr>
          <w:rFonts w:ascii="Arial" w:hAnsi="Arial" w:cstheme="minorHAnsi"/>
          <w:sz w:val="22"/>
          <w:szCs w:val="22"/>
          <w:lang w:val="es-MX"/>
        </w:rPr>
        <w:t>Los extintores deberán estar homologados por la DNB</w:t>
      </w:r>
    </w:p>
    <w:p>
      <w:pPr>
        <w:pStyle w:val="24"/>
        <w:spacing w:line="360" w:lineRule="auto"/>
        <w:jc w:val="both"/>
        <w:rPr>
          <w:rFonts w:ascii="Arial" w:hAnsi="Arial"/>
          <w:sz w:val="22"/>
          <w:szCs w:val="22"/>
        </w:rPr>
      </w:pPr>
      <w:r>
        <w:rPr>
          <w:rFonts w:ascii="Arial" w:hAnsi="Arial" w:eastAsiaTheme="minorHAnsi" w:cstheme="minorHAnsi"/>
          <w:sz w:val="22"/>
          <w:szCs w:val="22"/>
          <w:lang w:eastAsia="en-US"/>
        </w:rPr>
        <w:t>Solo podrán retirarse equipos del servicio si previamente es sustituido por otro de iguales características al indicado por la DNB, mientras se realicen las recargas y los ensayos correspondientes.</w:t>
      </w:r>
    </w:p>
    <w:p>
      <w:pPr>
        <w:spacing w:before="0" w:after="0" w:line="360" w:lineRule="auto"/>
        <w:jc w:val="left"/>
        <w:rPr>
          <w:rFonts w:ascii="Arial" w:hAnsi="Arial"/>
          <w:b/>
          <w:bCs/>
          <w:sz w:val="22"/>
          <w:szCs w:val="22"/>
        </w:rPr>
      </w:pPr>
    </w:p>
    <w:p>
      <w:pPr>
        <w:spacing w:before="0" w:after="0" w:line="360" w:lineRule="auto"/>
        <w:jc w:val="left"/>
        <w:rPr>
          <w:rFonts w:ascii="Arial" w:hAnsi="Arial"/>
          <w:sz w:val="22"/>
          <w:szCs w:val="22"/>
          <w:lang w:val="es-MX"/>
        </w:rPr>
      </w:pPr>
      <w:r>
        <w:rPr>
          <w:rFonts w:ascii="Arial" w:hAnsi="Arial"/>
          <w:b/>
          <w:bCs/>
          <w:sz w:val="22"/>
          <w:szCs w:val="22"/>
        </w:rPr>
        <w:t>ANEXO V:</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RESPONSABLE POR EL USO:</w:t>
      </w:r>
      <w:r>
        <w:rPr>
          <w:rFonts w:ascii="Arial" w:hAnsi="Arial" w:cstheme="minorHAnsi"/>
          <w:b/>
          <w:bCs/>
          <w:color w:val="auto"/>
          <w:sz w:val="22"/>
          <w:szCs w:val="22"/>
          <w:lang w:val="es-UY"/>
        </w:rPr>
        <w:t xml:space="preserve"> INSTITUTO URUGUAYO DE METEOROLOGÍA (INUMET)</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DESTINO:</w:t>
      </w:r>
      <w:r>
        <w:rPr>
          <w:rFonts w:ascii="Arial" w:hAnsi="Arial" w:cstheme="minorHAnsi"/>
          <w:b/>
          <w:bCs/>
          <w:color w:val="auto"/>
          <w:sz w:val="22"/>
          <w:szCs w:val="22"/>
          <w:lang w:val="es-UY"/>
        </w:rPr>
        <w:t xml:space="preserve"> ADMINISTRATIVO</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GRUPO/CATEGORÍA:</w:t>
      </w:r>
      <w:r>
        <w:rPr>
          <w:rFonts w:ascii="Arial" w:hAnsi="Arial" w:cstheme="minorHAnsi"/>
          <w:b/>
          <w:bCs/>
          <w:color w:val="auto"/>
          <w:sz w:val="22"/>
          <w:szCs w:val="22"/>
          <w:lang w:val="es-UY"/>
        </w:rPr>
        <w:t xml:space="preserve"> D</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CLASIFICACIÓN:</w:t>
      </w:r>
      <w:r>
        <w:rPr>
          <w:rFonts w:ascii="Arial" w:hAnsi="Arial" w:cstheme="minorHAnsi"/>
          <w:b/>
          <w:bCs/>
          <w:color w:val="auto"/>
          <w:sz w:val="22"/>
          <w:szCs w:val="22"/>
          <w:lang w:val="es-UY"/>
        </w:rPr>
        <w:t xml:space="preserve"> D-1 </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 xml:space="preserve">RIESGO: </w:t>
      </w:r>
      <w:r>
        <w:rPr>
          <w:rFonts w:ascii="Arial" w:hAnsi="Arial" w:cstheme="minorHAnsi"/>
          <w:b/>
          <w:bCs/>
          <w:color w:val="auto"/>
          <w:sz w:val="22"/>
          <w:szCs w:val="22"/>
          <w:lang w:val="es-UY"/>
        </w:rPr>
        <w:t>MEDIO</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CARGA DE FUEGO:</w:t>
      </w:r>
      <w:r>
        <w:rPr>
          <w:rFonts w:ascii="Arial" w:hAnsi="Arial" w:cstheme="minorHAnsi"/>
          <w:b/>
          <w:bCs/>
          <w:color w:val="auto"/>
          <w:sz w:val="22"/>
          <w:szCs w:val="22"/>
          <w:lang w:val="es-UY"/>
        </w:rPr>
        <w:t xml:space="preserve"> 700 MJ/m</w:t>
      </w:r>
      <w:r>
        <w:rPr>
          <w:rFonts w:ascii="Arial" w:hAnsi="Arial" w:cstheme="minorHAnsi"/>
          <w:b/>
          <w:bCs/>
          <w:color w:val="auto"/>
          <w:sz w:val="22"/>
          <w:szCs w:val="22"/>
          <w:vertAlign w:val="superscript"/>
          <w:lang w:val="es-UY"/>
        </w:rPr>
        <w:t>2</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DIRECCIÓN:</w:t>
      </w:r>
      <w:r>
        <w:rPr>
          <w:rFonts w:ascii="Arial" w:hAnsi="Arial" w:cstheme="minorHAnsi"/>
          <w:b/>
          <w:bCs/>
          <w:color w:val="auto"/>
          <w:sz w:val="22"/>
          <w:szCs w:val="22"/>
          <w:lang w:val="es-UY"/>
        </w:rPr>
        <w:t xml:space="preserve"> DR. JAVIER BARRIOS AMORÍN 1488 / MONTEVIDEO /URUGUAY</w:t>
      </w:r>
    </w:p>
    <w:p>
      <w:pPr>
        <w:pStyle w:val="57"/>
        <w:spacing w:line="360" w:lineRule="auto"/>
        <w:jc w:val="both"/>
        <w:rPr>
          <w:rFonts w:ascii="Arial" w:hAnsi="Arial"/>
          <w:b/>
          <w:bCs/>
          <w:color w:val="auto"/>
          <w:sz w:val="22"/>
          <w:szCs w:val="22"/>
          <w:lang w:val="es-UY"/>
        </w:rPr>
      </w:pPr>
    </w:p>
    <w:p>
      <w:pPr>
        <w:pStyle w:val="23"/>
        <w:pBdr>
          <w:top w:val="single" w:color="000000" w:sz="4" w:space="1"/>
          <w:left w:val="single" w:color="000000" w:sz="4" w:space="4"/>
          <w:bottom w:val="single" w:color="000000" w:sz="4" w:space="1"/>
          <w:right w:val="single" w:color="000000" w:sz="4" w:space="4"/>
        </w:pBdr>
        <w:spacing w:line="360" w:lineRule="auto"/>
        <w:jc w:val="center"/>
        <w:rPr>
          <w:rFonts w:ascii="Arial" w:hAnsi="Arial"/>
          <w:sz w:val="22"/>
          <w:szCs w:val="22"/>
        </w:rPr>
      </w:pPr>
      <w:r>
        <w:rPr>
          <w:rFonts w:ascii="Arial" w:hAnsi="Arial" w:cstheme="minorHAnsi"/>
          <w:b/>
          <w:sz w:val="22"/>
          <w:szCs w:val="22"/>
        </w:rPr>
        <w:t>ANEXO V_BOCAS DE INCENDIO_R1</w:t>
      </w:r>
    </w:p>
    <w:p>
      <w:pPr>
        <w:pStyle w:val="57"/>
        <w:pBdr>
          <w:bottom w:val="single" w:color="000000" w:sz="4" w:space="1"/>
        </w:pBdr>
        <w:spacing w:before="0" w:after="160" w:line="360" w:lineRule="auto"/>
        <w:contextualSpacing/>
        <w:jc w:val="both"/>
        <w:rPr>
          <w:rFonts w:ascii="Arial" w:hAnsi="Arial"/>
          <w:b/>
          <w:iCs/>
          <w:caps/>
          <w:color w:val="auto"/>
          <w:sz w:val="22"/>
          <w:szCs w:val="22"/>
          <w:lang w:val="es-UY"/>
        </w:rPr>
      </w:pPr>
    </w:p>
    <w:p>
      <w:pPr>
        <w:pStyle w:val="57"/>
        <w:pBdr>
          <w:bottom w:val="single" w:color="000000" w:sz="4" w:space="1"/>
        </w:pBdr>
        <w:spacing w:line="360" w:lineRule="auto"/>
        <w:jc w:val="both"/>
        <w:rPr>
          <w:rFonts w:ascii="Arial" w:hAnsi="Arial"/>
          <w:sz w:val="22"/>
          <w:szCs w:val="22"/>
        </w:rPr>
      </w:pPr>
      <w:r>
        <w:rPr>
          <w:rFonts w:ascii="Arial" w:hAnsi="Arial" w:cstheme="minorHAnsi"/>
          <w:b/>
          <w:color w:val="auto"/>
          <w:sz w:val="22"/>
          <w:szCs w:val="22"/>
          <w:lang w:val="es-UY"/>
        </w:rPr>
        <w:t>Normativa de Referencia:</w:t>
      </w:r>
    </w:p>
    <w:p>
      <w:pPr>
        <w:pStyle w:val="57"/>
        <w:spacing w:line="360" w:lineRule="auto"/>
        <w:jc w:val="both"/>
        <w:rPr>
          <w:rFonts w:ascii="Arial" w:hAnsi="Arial"/>
          <w:sz w:val="22"/>
          <w:szCs w:val="22"/>
        </w:rPr>
      </w:pPr>
      <w:r>
        <w:rPr>
          <w:rFonts w:ascii="Arial" w:hAnsi="Arial"/>
          <w:color w:val="auto"/>
          <w:sz w:val="22"/>
          <w:szCs w:val="22"/>
          <w:lang w:val="es-UY"/>
        </w:rPr>
        <w:t>Decreto 184/018 _ DNB y Anexo</w:t>
      </w:r>
    </w:p>
    <w:p>
      <w:pPr>
        <w:pStyle w:val="57"/>
        <w:tabs>
          <w:tab w:val="left" w:pos="720"/>
        </w:tabs>
        <w:spacing w:line="360" w:lineRule="auto"/>
        <w:jc w:val="both"/>
        <w:rPr>
          <w:rFonts w:ascii="Arial" w:hAnsi="Arial"/>
          <w:sz w:val="22"/>
          <w:szCs w:val="22"/>
        </w:rPr>
      </w:pPr>
      <w:r>
        <w:rPr>
          <w:rFonts w:ascii="Arial" w:hAnsi="Arial"/>
          <w:color w:val="auto"/>
          <w:sz w:val="22"/>
          <w:szCs w:val="22"/>
          <w:lang w:val="es-MX"/>
        </w:rPr>
        <w:t>IT00/</w:t>
      </w:r>
      <w:r>
        <w:rPr>
          <w:rFonts w:ascii="Arial" w:hAnsi="Arial"/>
          <w:color w:val="auto"/>
          <w:sz w:val="22"/>
          <w:szCs w:val="22"/>
          <w:lang w:val="es-UY"/>
        </w:rPr>
        <w:t>2018 Tablas de clasificación de las edificación y medidas protección contra incendio _ DNB</w:t>
      </w:r>
    </w:p>
    <w:p>
      <w:pPr>
        <w:pStyle w:val="57"/>
        <w:tabs>
          <w:tab w:val="left" w:pos="720"/>
        </w:tabs>
        <w:spacing w:line="360" w:lineRule="auto"/>
        <w:jc w:val="both"/>
        <w:rPr>
          <w:rFonts w:ascii="Arial" w:hAnsi="Arial"/>
          <w:sz w:val="22"/>
          <w:szCs w:val="22"/>
        </w:rPr>
      </w:pPr>
      <w:r>
        <w:rPr>
          <w:rFonts w:ascii="Arial" w:hAnsi="Arial"/>
          <w:color w:val="auto"/>
          <w:sz w:val="22"/>
          <w:szCs w:val="22"/>
          <w:lang w:val="es-MX"/>
        </w:rPr>
        <w:t>IT01/</w:t>
      </w:r>
      <w:r>
        <w:rPr>
          <w:rFonts w:ascii="Arial" w:hAnsi="Arial"/>
          <w:color w:val="auto"/>
          <w:sz w:val="22"/>
          <w:szCs w:val="22"/>
          <w:lang w:val="es-UY"/>
        </w:rPr>
        <w:t>2018 Requisitos Administrativos _ DNB</w:t>
      </w:r>
    </w:p>
    <w:p>
      <w:pPr>
        <w:pStyle w:val="57"/>
        <w:spacing w:line="360" w:lineRule="auto"/>
        <w:jc w:val="both"/>
        <w:rPr>
          <w:rFonts w:ascii="Arial" w:hAnsi="Arial"/>
          <w:sz w:val="22"/>
          <w:szCs w:val="22"/>
        </w:rPr>
      </w:pPr>
      <w:r>
        <w:rPr>
          <w:rFonts w:ascii="Arial" w:hAnsi="Arial"/>
          <w:color w:val="auto"/>
          <w:sz w:val="22"/>
          <w:szCs w:val="22"/>
          <w:lang w:val="es-UY"/>
        </w:rPr>
        <w:t>IT 05/2017</w:t>
      </w:r>
      <w:r>
        <w:rPr>
          <w:rFonts w:ascii="Arial" w:hAnsi="Arial" w:cstheme="minorHAnsi"/>
          <w:b/>
          <w:iCs/>
          <w:caps/>
          <w:color w:val="auto"/>
          <w:sz w:val="22"/>
          <w:szCs w:val="22"/>
          <w:lang w:val="es-UY"/>
        </w:rPr>
        <w:t xml:space="preserve"> </w:t>
      </w:r>
      <w:r>
        <w:rPr>
          <w:rFonts w:ascii="Arial" w:hAnsi="Arial"/>
          <w:color w:val="auto"/>
          <w:sz w:val="22"/>
          <w:szCs w:val="22"/>
          <w:lang w:val="es-UY"/>
        </w:rPr>
        <w:t>Sistemas de Tomas de Agua y Bocas de Incendio _ DNB</w:t>
      </w:r>
    </w:p>
    <w:p>
      <w:pPr>
        <w:pStyle w:val="57"/>
        <w:spacing w:line="360" w:lineRule="auto"/>
        <w:jc w:val="both"/>
        <w:rPr>
          <w:rFonts w:ascii="Arial" w:hAnsi="Arial" w:cs="Arial"/>
          <w:sz w:val="22"/>
          <w:szCs w:val="22"/>
          <w:lang w:val="es-ES"/>
        </w:rPr>
      </w:pPr>
    </w:p>
    <w:p>
      <w:pPr>
        <w:pStyle w:val="57"/>
        <w:pBdr>
          <w:bottom w:val="single" w:color="000000" w:sz="4" w:space="1"/>
        </w:pBdr>
        <w:spacing w:before="0" w:after="160" w:line="360" w:lineRule="auto"/>
        <w:contextualSpacing/>
        <w:jc w:val="both"/>
        <w:rPr>
          <w:rFonts w:ascii="Arial" w:hAnsi="Arial"/>
          <w:iCs/>
          <w:color w:val="auto"/>
          <w:sz w:val="22"/>
          <w:szCs w:val="22"/>
          <w:lang w:val="es-UY"/>
        </w:rPr>
      </w:pPr>
      <w:r>
        <w:rPr>
          <w:rFonts w:ascii="Arial" w:hAnsi="Arial" w:cstheme="minorHAnsi"/>
          <w:b/>
          <w:iCs/>
          <w:caps/>
          <w:color w:val="auto"/>
          <w:sz w:val="22"/>
          <w:szCs w:val="22"/>
          <w:lang w:val="es-UY"/>
        </w:rPr>
        <w:t>Resumen</w:t>
      </w:r>
    </w:p>
    <w:p>
      <w:pPr>
        <w:pStyle w:val="57"/>
        <w:spacing w:before="0" w:after="160" w:line="360" w:lineRule="auto"/>
        <w:contextualSpacing/>
        <w:jc w:val="both"/>
        <w:rPr>
          <w:rFonts w:ascii="Arial" w:hAnsi="Arial"/>
          <w:sz w:val="22"/>
          <w:szCs w:val="22"/>
        </w:rPr>
      </w:pPr>
      <w:r>
        <w:rPr>
          <w:rFonts w:ascii="Arial" w:hAnsi="Arial" w:cstheme="minorHAnsi"/>
          <w:iCs/>
          <w:color w:val="auto"/>
          <w:sz w:val="22"/>
          <w:szCs w:val="22"/>
          <w:lang w:val="es-UY"/>
        </w:rPr>
        <w:t xml:space="preserve">Las medidas de protección de edificios Categoría D-1, según </w:t>
      </w:r>
      <w:r>
        <w:rPr>
          <w:rFonts w:ascii="Arial" w:hAnsi="Arial" w:cstheme="minorHAnsi"/>
          <w:b/>
          <w:iCs/>
          <w:color w:val="auto"/>
          <w:sz w:val="22"/>
          <w:szCs w:val="22"/>
          <w:lang w:val="es-UY"/>
        </w:rPr>
        <w:t>Decreto 184/018</w:t>
      </w:r>
      <w:r>
        <w:rPr>
          <w:rFonts w:ascii="Arial" w:hAnsi="Arial" w:cstheme="minorHAnsi"/>
          <w:iCs/>
          <w:color w:val="auto"/>
          <w:sz w:val="22"/>
          <w:szCs w:val="22"/>
          <w:lang w:val="es-UY"/>
        </w:rPr>
        <w:t>, e IT05 vigente a la fecha de ingresado el presente expediente establece:</w:t>
      </w:r>
    </w:p>
    <w:p>
      <w:pPr>
        <w:pStyle w:val="57"/>
        <w:numPr>
          <w:ilvl w:val="0"/>
          <w:numId w:val="2"/>
        </w:numPr>
        <w:spacing w:before="0" w:after="160" w:line="360" w:lineRule="auto"/>
        <w:contextualSpacing/>
        <w:jc w:val="both"/>
        <w:rPr>
          <w:rFonts w:ascii="Arial" w:hAnsi="Arial"/>
          <w:sz w:val="22"/>
          <w:szCs w:val="22"/>
        </w:rPr>
      </w:pPr>
      <w:r>
        <w:rPr>
          <w:rFonts w:ascii="Arial" w:hAnsi="Arial" w:cstheme="minorHAnsi"/>
          <w:b/>
          <w:iCs/>
          <w:color w:val="auto"/>
          <w:sz w:val="22"/>
          <w:szCs w:val="22"/>
          <w:lang w:val="es-UY"/>
        </w:rPr>
        <w:t xml:space="preserve">protección estructural y </w:t>
      </w:r>
    </w:p>
    <w:p>
      <w:pPr>
        <w:pStyle w:val="54"/>
        <w:numPr>
          <w:ilvl w:val="0"/>
          <w:numId w:val="2"/>
        </w:numPr>
        <w:spacing w:line="360" w:lineRule="auto"/>
        <w:jc w:val="both"/>
        <w:rPr>
          <w:rFonts w:ascii="Arial" w:hAnsi="Arial"/>
          <w:sz w:val="22"/>
          <w:szCs w:val="22"/>
        </w:rPr>
      </w:pPr>
      <w:r>
        <w:rPr>
          <w:rFonts w:ascii="Arial" w:hAnsi="Arial" w:cstheme="minorHAnsi"/>
          <w:b/>
          <w:iCs/>
          <w:sz w:val="22"/>
          <w:szCs w:val="22"/>
          <w:lang w:val="es-UY"/>
        </w:rPr>
        <w:t>protección activa</w:t>
      </w:r>
    </w:p>
    <w:p>
      <w:pPr>
        <w:pStyle w:val="54"/>
        <w:spacing w:line="360" w:lineRule="auto"/>
        <w:ind w:left="0" w:firstLine="0"/>
        <w:jc w:val="both"/>
        <w:rPr>
          <w:rFonts w:ascii="Arial" w:hAnsi="Arial" w:cs="Calibri"/>
          <w:sz w:val="22"/>
          <w:szCs w:val="22"/>
          <w:lang w:val="es-MX"/>
        </w:rPr>
      </w:pPr>
      <w:r>
        <w:rPr>
          <w:rFonts w:ascii="Arial" w:hAnsi="Arial" w:cstheme="minorHAnsi"/>
          <w:sz w:val="22"/>
          <w:szCs w:val="22"/>
          <w:lang w:val="es-UY"/>
        </w:rPr>
        <w:t>Dentro de las medidas de Protección activa encontramos los siguientes ítems. a suministrar e instalar.</w:t>
      </w:r>
    </w:p>
    <w:p>
      <w:pPr>
        <w:spacing w:before="0" w:after="0" w:line="360" w:lineRule="auto"/>
        <w:jc w:val="both"/>
        <w:rPr>
          <w:rFonts w:ascii="Arial" w:hAnsi="Arial"/>
          <w:sz w:val="22"/>
          <w:szCs w:val="22"/>
        </w:rPr>
      </w:pPr>
      <w:r>
        <w:rPr>
          <w:rFonts w:ascii="Arial" w:hAnsi="Arial" w:cs="Calibri"/>
          <w:sz w:val="22"/>
          <w:szCs w:val="22"/>
          <w:lang w:val="es-MX"/>
        </w:rPr>
        <w:t>Datos del Proyecto considerados según Decreto 184/018:</w:t>
      </w:r>
    </w:p>
    <w:p>
      <w:pPr>
        <w:pStyle w:val="54"/>
        <w:numPr>
          <w:ilvl w:val="0"/>
          <w:numId w:val="6"/>
        </w:numPr>
        <w:spacing w:line="360" w:lineRule="auto"/>
        <w:jc w:val="both"/>
        <w:rPr>
          <w:rFonts w:ascii="Arial" w:hAnsi="Arial"/>
          <w:sz w:val="22"/>
          <w:szCs w:val="22"/>
        </w:rPr>
      </w:pPr>
      <w:r>
        <w:rPr>
          <w:rFonts w:ascii="Arial" w:hAnsi="Arial" w:cs="Calibri"/>
          <w:sz w:val="22"/>
          <w:szCs w:val="22"/>
          <w:lang w:val="es-MX"/>
        </w:rPr>
        <w:t xml:space="preserve">Área a construir: 3.678 m2 </w:t>
      </w:r>
    </w:p>
    <w:p>
      <w:pPr>
        <w:pStyle w:val="54"/>
        <w:numPr>
          <w:ilvl w:val="0"/>
          <w:numId w:val="6"/>
        </w:numPr>
        <w:spacing w:line="360" w:lineRule="auto"/>
        <w:jc w:val="both"/>
        <w:rPr>
          <w:rFonts w:ascii="Arial" w:hAnsi="Arial"/>
          <w:sz w:val="22"/>
          <w:szCs w:val="22"/>
        </w:rPr>
      </w:pPr>
      <w:r>
        <w:rPr>
          <w:rFonts w:ascii="Arial" w:hAnsi="Arial" w:cs="Calibri"/>
          <w:sz w:val="22"/>
          <w:szCs w:val="22"/>
          <w:lang w:val="es-MX"/>
        </w:rPr>
        <w:t>Área de riesgo: 0 m2</w:t>
      </w:r>
    </w:p>
    <w:p>
      <w:pPr>
        <w:pStyle w:val="54"/>
        <w:numPr>
          <w:ilvl w:val="0"/>
          <w:numId w:val="6"/>
        </w:numPr>
        <w:spacing w:line="360" w:lineRule="auto"/>
        <w:jc w:val="both"/>
        <w:rPr>
          <w:rFonts w:ascii="Arial" w:hAnsi="Arial"/>
          <w:sz w:val="22"/>
          <w:szCs w:val="22"/>
        </w:rPr>
      </w:pPr>
      <w:r>
        <w:rPr>
          <w:rFonts w:ascii="Arial" w:hAnsi="Arial" w:cs="Calibri"/>
          <w:b/>
          <w:sz w:val="22"/>
          <w:szCs w:val="22"/>
          <w:lang w:val="es-MX"/>
        </w:rPr>
        <w:t>Área total: 3.678 m2</w:t>
      </w:r>
    </w:p>
    <w:p>
      <w:pPr>
        <w:pStyle w:val="54"/>
        <w:numPr>
          <w:ilvl w:val="0"/>
          <w:numId w:val="6"/>
        </w:numPr>
        <w:spacing w:line="360" w:lineRule="auto"/>
        <w:jc w:val="both"/>
        <w:rPr>
          <w:rFonts w:ascii="Arial" w:hAnsi="Arial"/>
          <w:sz w:val="22"/>
          <w:szCs w:val="22"/>
        </w:rPr>
      </w:pPr>
      <w:r>
        <w:rPr>
          <w:rFonts w:ascii="Arial" w:hAnsi="Arial" w:cs="Calibri"/>
          <w:sz w:val="22"/>
          <w:szCs w:val="22"/>
          <w:lang w:val="es-MX"/>
        </w:rPr>
        <w:t xml:space="preserve">Altura (definida en Art. 3.1 Dec. 184/018): 6,75 m </w:t>
      </w:r>
    </w:p>
    <w:p>
      <w:pPr>
        <w:pStyle w:val="54"/>
        <w:numPr>
          <w:ilvl w:val="0"/>
          <w:numId w:val="6"/>
        </w:numPr>
        <w:spacing w:line="360" w:lineRule="auto"/>
        <w:jc w:val="both"/>
        <w:rPr>
          <w:rFonts w:ascii="Arial" w:hAnsi="Arial"/>
          <w:sz w:val="22"/>
          <w:szCs w:val="22"/>
        </w:rPr>
      </w:pPr>
      <w:r>
        <w:rPr>
          <w:rFonts w:ascii="Arial" w:hAnsi="Arial" w:cs="Calibri"/>
          <w:sz w:val="22"/>
          <w:szCs w:val="22"/>
          <w:lang w:val="es-MX"/>
        </w:rPr>
        <w:t>Niveles: 3</w:t>
      </w:r>
    </w:p>
    <w:p>
      <w:pPr>
        <w:pStyle w:val="54"/>
        <w:numPr>
          <w:ilvl w:val="0"/>
          <w:numId w:val="6"/>
        </w:numPr>
        <w:spacing w:line="360" w:lineRule="auto"/>
        <w:jc w:val="both"/>
        <w:rPr>
          <w:rFonts w:ascii="Arial" w:hAnsi="Arial"/>
          <w:sz w:val="22"/>
          <w:szCs w:val="22"/>
        </w:rPr>
      </w:pPr>
      <w:r>
        <w:rPr>
          <w:rFonts w:ascii="Arial" w:hAnsi="Arial" w:cs="Calibri"/>
          <w:sz w:val="22"/>
          <w:szCs w:val="22"/>
          <w:lang w:val="es-MX"/>
        </w:rPr>
        <w:t>Subsuelo: 1</w:t>
      </w:r>
    </w:p>
    <w:p>
      <w:pPr>
        <w:pBdr>
          <w:bottom w:val="single" w:color="000000" w:sz="4" w:space="1"/>
        </w:pBdr>
        <w:spacing w:before="0" w:after="0" w:line="360" w:lineRule="auto"/>
        <w:contextualSpacing/>
        <w:jc w:val="both"/>
        <w:rPr>
          <w:rFonts w:ascii="Arial" w:hAnsi="Arial" w:cs="Calibri"/>
          <w:b/>
          <w:caps/>
          <w:sz w:val="22"/>
          <w:szCs w:val="22"/>
        </w:rPr>
      </w:pPr>
    </w:p>
    <w:p>
      <w:pPr>
        <w:pBdr>
          <w:bottom w:val="single" w:color="000000" w:sz="4" w:space="1"/>
        </w:pBdr>
        <w:spacing w:before="0" w:after="0" w:line="360" w:lineRule="auto"/>
        <w:contextualSpacing/>
        <w:jc w:val="both"/>
        <w:rPr>
          <w:rFonts w:ascii="Arial" w:hAnsi="Arial"/>
          <w:sz w:val="22"/>
          <w:szCs w:val="22"/>
        </w:rPr>
      </w:pPr>
      <w:r>
        <w:rPr>
          <w:rFonts w:ascii="Arial" w:hAnsi="Arial" w:cstheme="minorHAnsi"/>
          <w:b/>
          <w:caps/>
          <w:sz w:val="22"/>
          <w:szCs w:val="22"/>
        </w:rPr>
        <w:t>Bocas de Incendio</w:t>
      </w:r>
    </w:p>
    <w:p>
      <w:pPr>
        <w:spacing w:before="0" w:after="0" w:line="360" w:lineRule="auto"/>
        <w:contextualSpacing/>
        <w:jc w:val="both"/>
        <w:rPr>
          <w:rFonts w:ascii="Arial" w:hAnsi="Arial"/>
          <w:sz w:val="22"/>
          <w:szCs w:val="22"/>
        </w:rPr>
      </w:pPr>
      <w:r>
        <w:rPr>
          <w:rFonts w:ascii="Arial" w:hAnsi="Arial" w:cstheme="minorHAnsi"/>
          <w:sz w:val="22"/>
          <w:szCs w:val="22"/>
        </w:rPr>
        <w:t>Acorde con el IT05/2017 vigente para este tipo de edificación se define:</w:t>
      </w:r>
    </w:p>
    <w:p>
      <w:pPr>
        <w:spacing w:before="0" w:after="0" w:line="360" w:lineRule="auto"/>
        <w:contextualSpacing/>
        <w:jc w:val="both"/>
        <w:rPr>
          <w:rFonts w:ascii="Arial" w:hAnsi="Arial" w:cs="Calibri"/>
          <w:sz w:val="22"/>
          <w:szCs w:val="22"/>
        </w:rPr>
      </w:pPr>
    </w:p>
    <w:p>
      <w:pPr>
        <w:spacing w:before="0" w:after="0" w:line="360" w:lineRule="auto"/>
        <w:contextualSpacing/>
        <w:jc w:val="center"/>
        <w:rPr>
          <w:rFonts w:ascii="Arial" w:hAnsi="Arial"/>
          <w:sz w:val="22"/>
          <w:szCs w:val="22"/>
        </w:rPr>
      </w:pPr>
      <w:r>
        <w:rPr>
          <w:rFonts w:ascii="Arial" w:hAnsi="Arial"/>
          <w:sz w:val="22"/>
          <w:szCs w:val="22"/>
        </w:rPr>
        <mc:AlternateContent>
          <mc:Choice Requires="wps">
            <w:drawing>
              <wp:anchor distT="3810" distB="2540" distL="3175" distR="3175" simplePos="0" relativeHeight="251659264" behindDoc="0" locked="0" layoutInCell="0" allowOverlap="1">
                <wp:simplePos x="0" y="0"/>
                <wp:positionH relativeFrom="column">
                  <wp:posOffset>3679825</wp:posOffset>
                </wp:positionH>
                <wp:positionV relativeFrom="paragraph">
                  <wp:posOffset>1042670</wp:posOffset>
                </wp:positionV>
                <wp:extent cx="533400" cy="450215"/>
                <wp:effectExtent l="3175" t="3810" r="3175" b="2540"/>
                <wp:wrapNone/>
                <wp:docPr id="45" name="Cuadro de texto 8"/>
                <wp:cNvGraphicFramePr/>
                <a:graphic xmlns:a="http://schemas.openxmlformats.org/drawingml/2006/main">
                  <a:graphicData uri="http://schemas.microsoft.com/office/word/2010/wordprocessingShape">
                    <wps:wsp>
                      <wps:cNvSpPr/>
                      <wps:spPr>
                        <a:xfrm>
                          <a:off x="0" y="0"/>
                          <a:ext cx="533520" cy="450360"/>
                        </a:xfrm>
                        <a:prstGeom prst="rect">
                          <a:avLst/>
                        </a:prstGeom>
                        <a:solidFill>
                          <a:schemeClr val="lt1"/>
                        </a:solidFill>
                        <a:ln w="6350">
                          <a:solidFill>
                            <a:srgbClr val="000000"/>
                          </a:solidFill>
                          <a:round/>
                        </a:ln>
                      </wps:spPr>
                      <wps:style>
                        <a:lnRef idx="0">
                          <a:srgbClr val="FFFFFF"/>
                        </a:lnRef>
                        <a:fillRef idx="0">
                          <a:srgbClr val="FFFFFF"/>
                        </a:fillRef>
                        <a:effectRef idx="0">
                          <a:srgbClr val="FFFFFF"/>
                        </a:effectRef>
                        <a:fontRef idx="minor"/>
                      </wps:style>
                      <wps:txbx>
                        <w:txbxContent>
                          <w:p>
                            <w:pPr>
                              <w:pStyle w:val="59"/>
                              <w:spacing w:before="0" w:after="200"/>
                              <w:jc w:val="center"/>
                            </w:pPr>
                            <w:r>
                              <w:rPr>
                                <w:color w:val="000000"/>
                              </w:rPr>
                              <w:t>12</w:t>
                            </w:r>
                          </w:p>
                        </w:txbxContent>
                      </wps:txbx>
                      <wps:bodyPr anchor="ctr">
                        <a:noAutofit/>
                      </wps:bodyPr>
                    </wps:wsp>
                  </a:graphicData>
                </a:graphic>
              </wp:anchor>
            </w:drawing>
          </mc:Choice>
          <mc:Fallback>
            <w:pict>
              <v:rect id="Cuadro de texto 8" o:spid="_x0000_s1026" o:spt="1" style="position:absolute;left:0pt;margin-left:289.75pt;margin-top:82.1pt;height:35.45pt;width:42pt;z-index:251659264;v-text-anchor:middle;mso-width-relative:page;mso-height-relative:page;" fillcolor="#FFFFFF [3201]" filled="t" stroked="t" coordsize="21600,21600" o:allowincell="f" o:gfxdata="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D+WlBTaAAAACwEAAA8AAAAAAAAAAQAgAAAA&#10;IgAAAGRycy9kb3ducmV2LnhtbFBLAQIUABQAAAAIAIdO4kAcCCCU0AEAAMoDAAAOAAAAAAAAAAEA&#10;IAAAACkBAABkcnMvZTJvRG9jLnhtbFBLBQYAAAAABgAGAFkBAABrBQAAAAA=&#10;">
                <v:fill on="t" focussize="0,0"/>
                <v:stroke weight="0.5pt" color="#000000" joinstyle="round"/>
                <v:imagedata o:title=""/>
                <o:lock v:ext="edit" aspectratio="f"/>
                <v:textbox>
                  <w:txbxContent>
                    <w:p>
                      <w:pPr>
                        <w:pStyle w:val="59"/>
                        <w:spacing w:before="0" w:after="200"/>
                        <w:jc w:val="center"/>
                      </w:pPr>
                      <w:r>
                        <w:rPr>
                          <w:color w:val="000000"/>
                        </w:rPr>
                        <w:t>12</w:t>
                      </w:r>
                    </w:p>
                  </w:txbxContent>
                </v:textbox>
              </v:rect>
            </w:pict>
          </mc:Fallback>
        </mc:AlternateContent>
      </w:r>
      <w:r>
        <w:rPr>
          <w:rFonts w:ascii="Arial" w:hAnsi="Arial"/>
          <w:sz w:val="22"/>
          <w:szCs w:val="22"/>
        </w:rPr>
        <mc:AlternateContent>
          <mc:Choice Requires="wps">
            <w:drawing>
              <wp:anchor distT="3810" distB="2540" distL="3175" distR="3175" simplePos="0" relativeHeight="251659264" behindDoc="0" locked="0" layoutInCell="0" allowOverlap="1">
                <wp:simplePos x="0" y="0"/>
                <wp:positionH relativeFrom="column">
                  <wp:posOffset>3680460</wp:posOffset>
                </wp:positionH>
                <wp:positionV relativeFrom="paragraph">
                  <wp:posOffset>598805</wp:posOffset>
                </wp:positionV>
                <wp:extent cx="533400" cy="450215"/>
                <wp:effectExtent l="3175" t="3810" r="3175" b="2540"/>
                <wp:wrapNone/>
                <wp:docPr id="43" name="Cuadro de texto 5"/>
                <wp:cNvGraphicFramePr/>
                <a:graphic xmlns:a="http://schemas.openxmlformats.org/drawingml/2006/main">
                  <a:graphicData uri="http://schemas.microsoft.com/office/word/2010/wordprocessingShape">
                    <wps:wsp>
                      <wps:cNvSpPr/>
                      <wps:spPr>
                        <a:xfrm>
                          <a:off x="0" y="0"/>
                          <a:ext cx="533520" cy="450360"/>
                        </a:xfrm>
                        <a:prstGeom prst="rect">
                          <a:avLst/>
                        </a:prstGeom>
                        <a:solidFill>
                          <a:schemeClr val="lt1"/>
                        </a:solidFill>
                        <a:ln w="6350">
                          <a:solidFill>
                            <a:srgbClr val="000000"/>
                          </a:solidFill>
                          <a:round/>
                        </a:ln>
                      </wps:spPr>
                      <wps:style>
                        <a:lnRef idx="0">
                          <a:srgbClr val="FFFFFF"/>
                        </a:lnRef>
                        <a:fillRef idx="0">
                          <a:srgbClr val="FFFFFF"/>
                        </a:fillRef>
                        <a:effectRef idx="0">
                          <a:srgbClr val="FFFFFF"/>
                        </a:effectRef>
                        <a:fontRef idx="minor"/>
                      </wps:style>
                      <wps:txbx>
                        <w:txbxContent>
                          <w:p>
                            <w:pPr>
                              <w:pStyle w:val="59"/>
                              <w:spacing w:before="0" w:after="200"/>
                              <w:jc w:val="center"/>
                            </w:pPr>
                            <w:r>
                              <w:rPr>
                                <w:color w:val="000000"/>
                              </w:rPr>
                              <w:t>12</w:t>
                            </w:r>
                          </w:p>
                        </w:txbxContent>
                      </wps:txbx>
                      <wps:bodyPr anchor="ctr">
                        <a:noAutofit/>
                      </wps:bodyPr>
                    </wps:wsp>
                  </a:graphicData>
                </a:graphic>
              </wp:anchor>
            </w:drawing>
          </mc:Choice>
          <mc:Fallback>
            <w:pict>
              <v:rect id="Cuadro de texto 5" o:spid="_x0000_s1026" o:spt="1" style="position:absolute;left:0pt;margin-left:289.8pt;margin-top:47.15pt;height:35.45pt;width:42pt;z-index:251659264;v-text-anchor:middle;mso-width-relative:page;mso-height-relative:page;" fillcolor="#FFFFFF [3201]" filled="t" stroked="t" coordsize="21600,21600" o:allowincell="f" o:gfxdata="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zgNax2QAAAAoBAAAPAAAAAAAAAAEAIAAAACIA&#10;AABkcnMvZG93bnJldi54bWxQSwECFAAUAAAACACHTuJAj2bLgc8BAADKAwAADgAAAAAAAAABACAA&#10;AAAoAQAAZHJzL2Uyb0RvYy54bWxQSwUGAAAAAAYABgBZAQAAaQUAAAAA&#10;">
                <v:fill on="t" focussize="0,0"/>
                <v:stroke weight="0.5pt" color="#000000" joinstyle="round"/>
                <v:imagedata o:title=""/>
                <o:lock v:ext="edit" aspectratio="f"/>
                <v:textbox>
                  <w:txbxContent>
                    <w:p>
                      <w:pPr>
                        <w:pStyle w:val="59"/>
                        <w:spacing w:before="0" w:after="200"/>
                        <w:jc w:val="center"/>
                      </w:pPr>
                      <w:r>
                        <w:rPr>
                          <w:color w:val="000000"/>
                        </w:rPr>
                        <w:t>12</w:t>
                      </w:r>
                    </w:p>
                  </w:txbxContent>
                </v:textbox>
              </v:rect>
            </w:pict>
          </mc:Fallback>
        </mc:AlternateContent>
      </w:r>
      <w:r>
        <w:rPr>
          <w:rFonts w:ascii="Arial" w:hAnsi="Arial"/>
          <w:sz w:val="22"/>
          <w:szCs w:val="22"/>
        </w:rPr>
        <w:drawing>
          <wp:inline distT="0" distB="0" distL="0" distR="0">
            <wp:extent cx="3100070" cy="3671570"/>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
                    <pic:cNvPicPr>
                      <a:picLocks noChangeAspect="1" noChangeArrowheads="1"/>
                    </pic:cNvPicPr>
                  </pic:nvPicPr>
                  <pic:blipFill>
                    <a:blip r:embed="rId39"/>
                    <a:srcRect l="17988" t="21816" r="56051" b="23697"/>
                    <a:stretch>
                      <a:fillRect/>
                    </a:stretch>
                  </pic:blipFill>
                  <pic:spPr>
                    <a:xfrm>
                      <a:off x="0" y="0"/>
                      <a:ext cx="3100070" cy="3671570"/>
                    </a:xfrm>
                    <a:prstGeom prst="rect">
                      <a:avLst/>
                    </a:prstGeom>
                  </pic:spPr>
                </pic:pic>
              </a:graphicData>
            </a:graphic>
          </wp:inline>
        </w:drawing>
      </w:r>
    </w:p>
    <w:p>
      <w:pPr>
        <w:spacing w:before="0" w:after="0" w:line="360" w:lineRule="auto"/>
        <w:contextualSpacing/>
        <w:jc w:val="both"/>
        <w:rPr>
          <w:rFonts w:ascii="Arial" w:hAnsi="Arial"/>
          <w:sz w:val="22"/>
          <w:szCs w:val="22"/>
        </w:rPr>
      </w:pPr>
      <w:r>
        <w:rPr>
          <w:rFonts w:ascii="Arial" w:hAnsi="Arial"/>
          <w:sz w:val="22"/>
          <w:szCs w:val="22"/>
        </w:rPr>
        <mc:AlternateContent>
          <mc:Choice Requires="wps">
            <w:drawing>
              <wp:anchor distT="19050" distB="19050" distL="19050" distR="19050" simplePos="0" relativeHeight="251659264" behindDoc="0" locked="0" layoutInCell="0" allowOverlap="1">
                <wp:simplePos x="0" y="0"/>
                <wp:positionH relativeFrom="margin">
                  <wp:posOffset>-1905</wp:posOffset>
                </wp:positionH>
                <wp:positionV relativeFrom="paragraph">
                  <wp:posOffset>1341120</wp:posOffset>
                </wp:positionV>
                <wp:extent cx="1097280" cy="492760"/>
                <wp:effectExtent l="19050" t="19050" r="19050" b="19050"/>
                <wp:wrapNone/>
                <wp:docPr id="48" name="Rectangle 4"/>
                <wp:cNvGraphicFramePr/>
                <a:graphic xmlns:a="http://schemas.openxmlformats.org/drawingml/2006/main">
                  <a:graphicData uri="http://schemas.microsoft.com/office/word/2010/wordprocessingShape">
                    <wps:wsp>
                      <wps:cNvSpPr/>
                      <wps:spPr>
                        <a:xfrm>
                          <a:off x="0" y="0"/>
                          <a:ext cx="1097280" cy="492840"/>
                        </a:xfrm>
                        <a:prstGeom prst="rect">
                          <a:avLst/>
                        </a:prstGeom>
                        <a:noFill/>
                        <a:ln w="38100">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angle 4" o:spid="_x0000_s1026" o:spt="1" style="position:absolute;left:0pt;margin-left:-0.15pt;margin-top:105.6pt;height:38.8pt;width:86.4pt;mso-position-horizontal-relative:margin;z-index:251659264;mso-width-relative:page;mso-height-relative:page;" filled="f" stroked="t" coordsize="21600,21600" o:allowincell="f" o:gfxdata="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d498ctcAAAAJAQAADwAAAAAAAAABACAA&#10;AAAiAAAAZHJzL2Rvd25yZXYueG1sUEsBAhQAFAAAAAgAh07iQLsP9rHVAQAAsAMAAA4AAAAAAAAA&#10;AQAgAAAAJgEAAGRycy9lMm9Eb2MueG1sUEsFBgAAAAAGAAYAWQEAAG0FAAAAAA==&#10;">
                <v:fill on="f" focussize="0,0"/>
                <v:stroke weight="3pt" color="#FF0000 [3204]" miterlimit="8" joinstyle="round"/>
                <v:imagedata o:title=""/>
                <o:lock v:ext="edit" aspectratio="f"/>
                <v:textbox>
                  <w:txbxContent>
                    <w:p>
                      <w:pPr>
                        <w:jc w:val="center"/>
                      </w:pPr>
                    </w:p>
                  </w:txbxContent>
                </v:textbox>
              </v:rect>
            </w:pict>
          </mc:Fallback>
        </mc:AlternateContent>
      </w:r>
      <w:r>
        <w:rPr>
          <w:rFonts w:ascii="Arial" w:hAnsi="Arial"/>
          <w:sz w:val="22"/>
          <w:szCs w:val="22"/>
        </w:rPr>
        <mc:AlternateContent>
          <mc:Choice Requires="wps">
            <w:drawing>
              <wp:anchor distT="19050" distB="21590" distL="19050" distR="19050" simplePos="0" relativeHeight="251659264" behindDoc="0" locked="0" layoutInCell="0" allowOverlap="1">
                <wp:simplePos x="0" y="0"/>
                <wp:positionH relativeFrom="margin">
                  <wp:posOffset>2149475</wp:posOffset>
                </wp:positionH>
                <wp:positionV relativeFrom="paragraph">
                  <wp:posOffset>1348740</wp:posOffset>
                </wp:positionV>
                <wp:extent cx="1009650" cy="492760"/>
                <wp:effectExtent l="19050" t="19050" r="19050" b="21590"/>
                <wp:wrapNone/>
                <wp:docPr id="49" name="Rectangle 22"/>
                <wp:cNvGraphicFramePr/>
                <a:graphic xmlns:a="http://schemas.openxmlformats.org/drawingml/2006/main">
                  <a:graphicData uri="http://schemas.microsoft.com/office/word/2010/wordprocessingShape">
                    <wps:wsp>
                      <wps:cNvSpPr/>
                      <wps:spPr>
                        <a:xfrm>
                          <a:off x="0" y="0"/>
                          <a:ext cx="1009800" cy="492840"/>
                        </a:xfrm>
                        <a:prstGeom prst="rect">
                          <a:avLst/>
                        </a:prstGeom>
                        <a:noFill/>
                        <a:ln w="38100">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angle 22" o:spid="_x0000_s1026" o:spt="1" style="position:absolute;left:0pt;margin-left:169.25pt;margin-top:106.2pt;height:38.8pt;width:79.5pt;mso-position-horizontal-relative:margin;z-index:251659264;mso-width-relative:page;mso-height-relative:page;" filled="f" stroked="t" coordsize="21600,21600" o:allowincell="f" o:gfxdata="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3bzs69gAAAALAQAADwAAAAAAAAABACAA&#10;AAAiAAAAZHJzL2Rvd25yZXYueG1sUEsBAhQAFAAAAAgAh07iQFfk+tLUAQAAsQMAAA4AAAAAAAAA&#10;AQAgAAAAJwEAAGRycy9lMm9Eb2MueG1sUEsFBgAAAAAGAAYAWQEAAG0FAAAAAA==&#10;">
                <v:fill on="f" focussize="0,0"/>
                <v:stroke weight="3pt" color="#FF0000 [3204]" miterlimit="8" joinstyle="round"/>
                <v:imagedata o:title=""/>
                <o:lock v:ext="edit" aspectratio="f"/>
                <v:textbox>
                  <w:txbxContent>
                    <w:p>
                      <w:pPr>
                        <w:jc w:val="center"/>
                      </w:pPr>
                    </w:p>
                  </w:txbxContent>
                </v:textbox>
              </v:rect>
            </w:pict>
          </mc:Fallback>
        </mc:AlternateContent>
      </w:r>
      <w:r>
        <w:rPr>
          <w:rFonts w:ascii="Arial" w:hAnsi="Arial"/>
          <w:sz w:val="22"/>
          <w:szCs w:val="22"/>
        </w:rPr>
        <w:drawing>
          <wp:inline distT="0" distB="0" distL="0" distR="0">
            <wp:extent cx="5617845" cy="3916680"/>
            <wp:effectExtent l="0" t="0" r="0" b="0"/>
            <wp:docPr id="50" name="Image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5"/>
                    <pic:cNvPicPr>
                      <a:picLocks noChangeAspect="1" noChangeArrowheads="1"/>
                    </pic:cNvPicPr>
                  </pic:nvPicPr>
                  <pic:blipFill>
                    <a:blip r:embed="rId40"/>
                    <a:srcRect l="29601" t="26771" r="17284" b="7429"/>
                    <a:stretch>
                      <a:fillRect/>
                    </a:stretch>
                  </pic:blipFill>
                  <pic:spPr>
                    <a:xfrm>
                      <a:off x="0" y="0"/>
                      <a:ext cx="5617845" cy="3916680"/>
                    </a:xfrm>
                    <a:prstGeom prst="rect">
                      <a:avLst/>
                    </a:prstGeom>
                  </pic:spPr>
                </pic:pic>
              </a:graphicData>
            </a:graphic>
          </wp:inline>
        </w:drawing>
      </w:r>
    </w:p>
    <w:p>
      <w:pPr>
        <w:spacing w:before="0" w:after="0" w:line="360" w:lineRule="auto"/>
        <w:contextualSpacing/>
        <w:jc w:val="both"/>
        <w:rPr>
          <w:rFonts w:ascii="Arial" w:hAnsi="Arial"/>
          <w:sz w:val="22"/>
          <w:szCs w:val="22"/>
        </w:rPr>
      </w:pPr>
      <w:r>
        <w:rPr>
          <w:rFonts w:ascii="Arial" w:hAnsi="Arial"/>
          <w:sz w:val="22"/>
          <w:szCs w:val="22"/>
        </w:rPr>
        <mc:AlternateContent>
          <mc:Choice Requires="wps">
            <w:drawing>
              <wp:anchor distT="6985" distB="5715" distL="6350" distR="6350" simplePos="0" relativeHeight="251659264" behindDoc="0" locked="0" layoutInCell="0" allowOverlap="1">
                <wp:simplePos x="0" y="0"/>
                <wp:positionH relativeFrom="column">
                  <wp:posOffset>81280</wp:posOffset>
                </wp:positionH>
                <wp:positionV relativeFrom="paragraph">
                  <wp:posOffset>1306830</wp:posOffset>
                </wp:positionV>
                <wp:extent cx="5471160" cy="175895"/>
                <wp:effectExtent l="6350" t="6985" r="6350" b="5715"/>
                <wp:wrapNone/>
                <wp:docPr id="51" name="Rectangle 11"/>
                <wp:cNvGraphicFramePr/>
                <a:graphic xmlns:a="http://schemas.openxmlformats.org/drawingml/2006/main">
                  <a:graphicData uri="http://schemas.microsoft.com/office/word/2010/wordprocessingShape">
                    <wps:wsp>
                      <wps:cNvSpPr/>
                      <wps:spPr>
                        <a:xfrm>
                          <a:off x="0" y="0"/>
                          <a:ext cx="5471280" cy="176040"/>
                        </a:xfrm>
                        <a:prstGeom prst="rect">
                          <a:avLst/>
                        </a:prstGeom>
                        <a:noFill/>
                        <a:ln>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angle 11" o:spid="_x0000_s1026" o:spt="1" style="position:absolute;left:0pt;margin-left:6.4pt;margin-top:102.9pt;height:13.85pt;width:430.8pt;z-index:251659264;mso-width-relative:page;mso-height-relative:page;" filled="f" stroked="t" coordsize="21600,21600" o:allowincell="f" o:gfxdata="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PsF4Z2gAAAAoBAAAPAAAAAAAAAAEA&#10;IAAAACIAAABkcnMvZG93bnJldi54bWxQSwECFAAUAAAACACHTuJATNAU19QBAACxAwAADgAAAAAA&#10;AAABACAAAAApAQAAZHJzL2Uyb0RvYy54bWxQSwUGAAAAAAYABgBZAQAAbwUAAAAA&#10;">
                <v:fill on="f" focussize="0,0"/>
                <v:stroke weight="1pt" color="#FF0000 [3204]" miterlimit="8" joinstyle="round"/>
                <v:imagedata o:title=""/>
                <o:lock v:ext="edit" aspectratio="f"/>
                <v:textbox>
                  <w:txbxContent>
                    <w:p>
                      <w:pPr>
                        <w:jc w:val="center"/>
                      </w:pPr>
                    </w:p>
                  </w:txbxContent>
                </v:textbox>
              </v:rect>
            </w:pict>
          </mc:Fallback>
        </mc:AlternateContent>
      </w:r>
      <w:r>
        <w:rPr>
          <w:rFonts w:ascii="Arial" w:hAnsi="Arial"/>
          <w:sz w:val="22"/>
          <w:szCs w:val="22"/>
        </w:rPr>
        <w:drawing>
          <wp:inline distT="0" distB="0" distL="0" distR="0">
            <wp:extent cx="5624830" cy="2222500"/>
            <wp:effectExtent l="0" t="0" r="0" b="0"/>
            <wp:docPr id="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0"/>
                    <pic:cNvPicPr>
                      <a:picLocks noChangeAspect="1" noChangeArrowheads="1"/>
                    </pic:cNvPicPr>
                  </pic:nvPicPr>
                  <pic:blipFill>
                    <a:blip r:embed="rId41"/>
                    <a:srcRect l="28968" t="21778" r="13210" b="37601"/>
                    <a:stretch>
                      <a:fillRect/>
                    </a:stretch>
                  </pic:blipFill>
                  <pic:spPr>
                    <a:xfrm>
                      <a:off x="0" y="0"/>
                      <a:ext cx="5624830" cy="2222500"/>
                    </a:xfrm>
                    <a:prstGeom prst="rect">
                      <a:avLst/>
                    </a:prstGeom>
                  </pic:spPr>
                </pic:pic>
              </a:graphicData>
            </a:graphic>
          </wp:inline>
        </w:drawing>
      </w:r>
    </w:p>
    <w:p>
      <w:pPr>
        <w:spacing w:before="0" w:after="0" w:line="360" w:lineRule="auto"/>
        <w:contextualSpacing/>
        <w:jc w:val="both"/>
        <w:rPr>
          <w:rFonts w:ascii="Arial" w:hAnsi="Arial"/>
          <w:sz w:val="22"/>
          <w:szCs w:val="22"/>
        </w:rPr>
      </w:pPr>
      <w:r>
        <w:rPr>
          <w:rFonts w:ascii="Arial" w:hAnsi="Arial"/>
          <w:sz w:val="22"/>
          <w:szCs w:val="22"/>
        </w:rPr>
        <mc:AlternateContent>
          <mc:Choice Requires="wps">
            <w:drawing>
              <wp:anchor distT="6350" distB="6350" distL="6350" distR="6350" simplePos="0" relativeHeight="251659264" behindDoc="0" locked="0" layoutInCell="0" allowOverlap="1">
                <wp:simplePos x="0" y="0"/>
                <wp:positionH relativeFrom="column">
                  <wp:posOffset>4319905</wp:posOffset>
                </wp:positionH>
                <wp:positionV relativeFrom="paragraph">
                  <wp:posOffset>836930</wp:posOffset>
                </wp:positionV>
                <wp:extent cx="347980" cy="1178560"/>
                <wp:effectExtent l="6350" t="6350" r="6350" b="6350"/>
                <wp:wrapNone/>
                <wp:docPr id="53" name="Rectangle 13"/>
                <wp:cNvGraphicFramePr/>
                <a:graphic xmlns:a="http://schemas.openxmlformats.org/drawingml/2006/main">
                  <a:graphicData uri="http://schemas.microsoft.com/office/word/2010/wordprocessingShape">
                    <wps:wsp>
                      <wps:cNvSpPr/>
                      <wps:spPr>
                        <a:xfrm>
                          <a:off x="0" y="0"/>
                          <a:ext cx="348120" cy="1178640"/>
                        </a:xfrm>
                        <a:prstGeom prst="rect">
                          <a:avLst/>
                        </a:prstGeom>
                        <a:noFill/>
                        <a:ln>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angle 13" o:spid="_x0000_s1026" o:spt="1" style="position:absolute;left:0pt;margin-left:340.15pt;margin-top:65.9pt;height:92.8pt;width:27.4pt;z-index:251659264;mso-width-relative:page;mso-height-relative:page;" filled="f" stroked="t" coordsize="21600,21600" o:allowincell="f" o:gfxdata="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NQVQDtoAAAALAQAADwAAAAAAAAAB&#10;ACAAAAAiAAAAZHJzL2Rvd25yZXYueG1sUEsBAhQAFAAAAAgAh07iQCu+0BLVAQAAsQMAAA4AAAAA&#10;AAAAAQAgAAAAKQEAAGRycy9lMm9Eb2MueG1sUEsFBgAAAAAGAAYAWQEAAHAFAAAAAA==&#10;">
                <v:fill on="f" focussize="0,0"/>
                <v:stroke weight="1pt" color="#FF0000 [3204]" miterlimit="8" joinstyle="round"/>
                <v:imagedata o:title=""/>
                <o:lock v:ext="edit" aspectratio="f"/>
                <v:textbox>
                  <w:txbxContent>
                    <w:p>
                      <w:pPr>
                        <w:jc w:val="center"/>
                      </w:pPr>
                    </w:p>
                  </w:txbxContent>
                </v:textbox>
              </v:rect>
            </w:pict>
          </mc:Fallback>
        </mc:AlternateContent>
      </w:r>
      <w:r>
        <w:rPr>
          <w:rFonts w:ascii="Arial" w:hAnsi="Arial"/>
          <w:sz w:val="22"/>
          <w:szCs w:val="22"/>
        </w:rPr>
        <w:drawing>
          <wp:inline distT="0" distB="0" distL="0" distR="0">
            <wp:extent cx="5551805" cy="2061210"/>
            <wp:effectExtent l="0" t="0" r="0" b="0"/>
            <wp:docPr id="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2"/>
                    <pic:cNvPicPr>
                      <a:picLocks noChangeAspect="1" noChangeArrowheads="1"/>
                    </pic:cNvPicPr>
                  </pic:nvPicPr>
                  <pic:blipFill>
                    <a:blip r:embed="rId42"/>
                    <a:srcRect l="33922" t="30853" r="15501" b="35779"/>
                    <a:stretch>
                      <a:fillRect/>
                    </a:stretch>
                  </pic:blipFill>
                  <pic:spPr>
                    <a:xfrm>
                      <a:off x="0" y="0"/>
                      <a:ext cx="5551805" cy="2061210"/>
                    </a:xfrm>
                    <a:prstGeom prst="rect">
                      <a:avLst/>
                    </a:prstGeom>
                  </pic:spPr>
                </pic:pic>
              </a:graphicData>
            </a:graphic>
          </wp:inline>
        </w:drawing>
      </w:r>
    </w:p>
    <w:p>
      <w:pPr>
        <w:spacing w:before="0" w:after="0" w:line="360" w:lineRule="auto"/>
        <w:contextualSpacing/>
        <w:jc w:val="both"/>
        <w:rPr>
          <w:rFonts w:ascii="Arial" w:hAnsi="Arial" w:cs="Calibri"/>
          <w:sz w:val="22"/>
          <w:szCs w:val="22"/>
        </w:rPr>
      </w:pPr>
    </w:p>
    <w:p>
      <w:pPr>
        <w:spacing w:before="0" w:after="0" w:line="360" w:lineRule="auto"/>
        <w:contextualSpacing/>
        <w:jc w:val="both"/>
        <w:rPr>
          <w:rFonts w:ascii="Arial" w:hAnsi="Arial"/>
          <w:sz w:val="22"/>
          <w:szCs w:val="22"/>
        </w:rPr>
      </w:pPr>
      <w:r>
        <w:rPr>
          <w:rFonts w:ascii="Arial" w:hAnsi="Arial" w:cstheme="minorHAnsi"/>
          <w:b/>
          <w:sz w:val="22"/>
          <w:szCs w:val="22"/>
        </w:rPr>
        <w:t>B.I.E. TIPO3</w:t>
      </w:r>
    </w:p>
    <w:p>
      <w:pPr>
        <w:spacing w:before="0" w:after="0" w:line="360" w:lineRule="auto"/>
        <w:contextualSpacing/>
        <w:jc w:val="both"/>
        <w:rPr>
          <w:rFonts w:ascii="Arial" w:hAnsi="Arial"/>
          <w:sz w:val="22"/>
          <w:szCs w:val="22"/>
        </w:rPr>
      </w:pPr>
      <w:r>
        <w:rPr>
          <w:rFonts w:ascii="Arial" w:hAnsi="Arial" w:cstheme="minorHAnsi"/>
          <w:sz w:val="22"/>
          <w:szCs w:val="22"/>
        </w:rPr>
        <w:t xml:space="preserve">Se instalarán de </w:t>
      </w:r>
      <w:r>
        <w:rPr>
          <w:rFonts w:ascii="Arial" w:hAnsi="Arial" w:cstheme="minorHAnsi"/>
          <w:b/>
          <w:sz w:val="22"/>
          <w:szCs w:val="22"/>
        </w:rPr>
        <w:t>45mm (cuarenta y cinco milímetros) de diámetro en las inmediaciones del nivel de acceso</w:t>
      </w:r>
      <w:r>
        <w:rPr>
          <w:rFonts w:ascii="Arial" w:hAnsi="Arial" w:cstheme="minorHAnsi"/>
          <w:sz w:val="22"/>
          <w:szCs w:val="22"/>
        </w:rPr>
        <w:t xml:space="preserve"> al edificio una por cada torre, y en estacionamientos.</w:t>
      </w:r>
    </w:p>
    <w:p>
      <w:pPr>
        <w:spacing w:before="0" w:after="0" w:line="360" w:lineRule="auto"/>
        <w:contextualSpacing/>
        <w:jc w:val="both"/>
        <w:rPr>
          <w:rFonts w:ascii="Arial" w:hAnsi="Arial"/>
          <w:sz w:val="22"/>
          <w:szCs w:val="22"/>
        </w:rPr>
      </w:pPr>
      <w:r>
        <w:rPr>
          <w:rFonts w:ascii="Arial" w:hAnsi="Arial" w:cstheme="minorHAnsi"/>
          <w:b/>
          <w:sz w:val="22"/>
          <w:szCs w:val="22"/>
        </w:rPr>
        <w:t>Cantidad que se colocarán: DEFINIDA EN PLANILLA MAS ARRIBA EN ESTE DOC.</w:t>
      </w:r>
    </w:p>
    <w:p>
      <w:pPr>
        <w:spacing w:before="0" w:after="0" w:line="360" w:lineRule="auto"/>
        <w:contextualSpacing/>
        <w:jc w:val="both"/>
        <w:rPr>
          <w:rFonts w:ascii="Arial" w:hAnsi="Arial" w:cs="Calibri"/>
          <w:b/>
          <w:sz w:val="22"/>
          <w:szCs w:val="22"/>
        </w:rPr>
      </w:pPr>
    </w:p>
    <w:p>
      <w:pPr>
        <w:spacing w:before="0" w:after="0" w:line="360" w:lineRule="auto"/>
        <w:contextualSpacing/>
        <w:jc w:val="both"/>
        <w:rPr>
          <w:rFonts w:ascii="Arial" w:hAnsi="Arial"/>
          <w:sz w:val="22"/>
          <w:szCs w:val="22"/>
        </w:rPr>
      </w:pPr>
      <w:r>
        <w:rPr>
          <w:rFonts w:ascii="Arial" w:hAnsi="Arial" w:cstheme="minorHAnsi"/>
          <w:sz w:val="22"/>
          <w:szCs w:val="22"/>
        </w:rPr>
        <w:t xml:space="preserve">Las B.I.E. de 45mm tendrán puntero de 45mm multipropósito, q=200 lt/min. _ Presión manométrica=4 bar </w:t>
      </w:r>
    </w:p>
    <w:p>
      <w:pPr>
        <w:spacing w:before="0" w:after="0" w:line="360" w:lineRule="auto"/>
        <w:contextualSpacing/>
        <w:jc w:val="both"/>
        <w:rPr>
          <w:rFonts w:ascii="Arial" w:hAnsi="Arial"/>
          <w:sz w:val="22"/>
          <w:szCs w:val="22"/>
        </w:rPr>
      </w:pPr>
      <w:r>
        <w:rPr>
          <w:rFonts w:ascii="Arial" w:hAnsi="Arial" w:cstheme="minorHAnsi"/>
          <w:sz w:val="22"/>
          <w:szCs w:val="22"/>
        </w:rPr>
        <w:t>Manguera de incendio plegable de 25m cada tramo, cuenta con 2 tramos cada nicho, largo total 50m.</w:t>
      </w:r>
    </w:p>
    <w:p>
      <w:pPr>
        <w:spacing w:before="0" w:after="0" w:line="360" w:lineRule="auto"/>
        <w:contextualSpacing/>
        <w:jc w:val="both"/>
        <w:rPr>
          <w:rFonts w:ascii="Arial" w:hAnsi="Arial"/>
          <w:sz w:val="22"/>
          <w:szCs w:val="22"/>
        </w:rPr>
      </w:pPr>
      <w:r>
        <w:rPr>
          <w:rFonts w:ascii="Arial" w:hAnsi="Arial" w:cstheme="minorHAnsi"/>
          <w:sz w:val="22"/>
          <w:szCs w:val="22"/>
        </w:rPr>
        <w:t>Nicho de 70x70x20 cm o lo que se encuentre en el mercado y esté homologado por la D.N.B.</w:t>
      </w:r>
    </w:p>
    <w:p>
      <w:pPr>
        <w:spacing w:before="0" w:after="0" w:line="360" w:lineRule="auto"/>
        <w:contextualSpacing/>
        <w:jc w:val="both"/>
        <w:rPr>
          <w:rFonts w:ascii="Arial" w:hAnsi="Arial"/>
          <w:sz w:val="22"/>
          <w:szCs w:val="22"/>
        </w:rPr>
      </w:pPr>
      <w:r>
        <w:rPr>
          <w:rFonts w:ascii="Arial" w:hAnsi="Arial" w:cstheme="minorHAnsi"/>
          <w:sz w:val="22"/>
          <w:szCs w:val="22"/>
        </w:rPr>
        <w:t xml:space="preserve">Válvula globo y uniones de encastre rápido tipo storz </w:t>
      </w:r>
    </w:p>
    <w:p>
      <w:pPr>
        <w:spacing w:before="0" w:after="0" w:line="360" w:lineRule="auto"/>
        <w:contextualSpacing/>
        <w:jc w:val="both"/>
        <w:rPr>
          <w:rFonts w:ascii="Arial" w:hAnsi="Arial" w:cs="Calibri"/>
          <w:sz w:val="22"/>
          <w:szCs w:val="22"/>
        </w:rPr>
      </w:pPr>
    </w:p>
    <w:p>
      <w:pPr>
        <w:pBdr>
          <w:top w:val="single" w:color="000000" w:sz="4" w:space="1"/>
          <w:left w:val="single" w:color="000000" w:sz="4" w:space="4"/>
          <w:bottom w:val="single" w:color="000000" w:sz="4" w:space="1"/>
          <w:right w:val="single" w:color="000000" w:sz="4" w:space="4"/>
        </w:pBdr>
        <w:spacing w:before="0" w:after="0" w:line="360" w:lineRule="auto"/>
        <w:contextualSpacing/>
        <w:jc w:val="both"/>
        <w:rPr>
          <w:rFonts w:ascii="Arial" w:hAnsi="Arial"/>
          <w:sz w:val="22"/>
          <w:szCs w:val="22"/>
        </w:rPr>
      </w:pPr>
      <w:r>
        <w:rPr>
          <w:rFonts w:ascii="Arial" w:hAnsi="Arial" w:cstheme="minorHAnsi"/>
          <w:b/>
          <w:sz w:val="22"/>
          <w:szCs w:val="22"/>
        </w:rPr>
        <w:t xml:space="preserve">EL ESTADO DE LAS INSTALACIONES EXISTENTES, SE DEBERÁ RETIRARSE, REMPLAZARSE Y ADAPTARSE AL DISEÑO ESTABLECIDO POR EL ING. HIDRÁULICO. MEMORIA ADJUNTA. </w:t>
      </w:r>
    </w:p>
    <w:p>
      <w:pPr>
        <w:spacing w:before="0" w:after="0" w:line="360" w:lineRule="auto"/>
        <w:contextualSpacing/>
        <w:jc w:val="both"/>
        <w:rPr>
          <w:rFonts w:ascii="Arial" w:hAnsi="Arial" w:cs="Calibri"/>
          <w:sz w:val="22"/>
          <w:szCs w:val="22"/>
        </w:rPr>
      </w:pPr>
    </w:p>
    <w:p>
      <w:pPr>
        <w:spacing w:before="0" w:after="0" w:line="360" w:lineRule="auto"/>
        <w:contextualSpacing/>
        <w:jc w:val="both"/>
        <w:rPr>
          <w:rFonts w:ascii="Arial" w:hAnsi="Arial"/>
          <w:sz w:val="22"/>
          <w:szCs w:val="22"/>
        </w:rPr>
      </w:pPr>
      <w:r>
        <w:rPr>
          <w:rFonts w:ascii="Arial" w:hAnsi="Arial" w:cstheme="minorHAnsi"/>
          <w:b/>
          <w:sz w:val="22"/>
          <w:szCs w:val="22"/>
        </w:rPr>
        <w:t>BOCA DE INCENDIO EXTERIOR (BIEX)</w:t>
      </w:r>
      <w:r>
        <w:rPr>
          <w:rFonts w:ascii="Arial" w:hAnsi="Arial" w:cstheme="minorHAnsi"/>
          <w:sz w:val="22"/>
          <w:szCs w:val="22"/>
        </w:rPr>
        <w:t xml:space="preserve"> </w:t>
      </w:r>
    </w:p>
    <w:p>
      <w:pPr>
        <w:spacing w:before="0" w:after="0" w:line="360" w:lineRule="auto"/>
        <w:contextualSpacing/>
        <w:jc w:val="both"/>
        <w:rPr>
          <w:rFonts w:ascii="Arial" w:hAnsi="Arial"/>
          <w:sz w:val="22"/>
          <w:szCs w:val="22"/>
        </w:rPr>
      </w:pPr>
      <w:r>
        <w:rPr>
          <w:rFonts w:ascii="Arial" w:hAnsi="Arial" w:cstheme="minorHAnsi"/>
          <w:sz w:val="22"/>
          <w:szCs w:val="22"/>
        </w:rPr>
        <w:t>No es requisito. No se instala.</w:t>
      </w:r>
    </w:p>
    <w:p>
      <w:pPr>
        <w:spacing w:before="0" w:after="0" w:line="360" w:lineRule="auto"/>
        <w:contextualSpacing/>
        <w:jc w:val="both"/>
        <w:rPr>
          <w:rFonts w:ascii="Arial" w:hAnsi="Arial" w:cs="Calibri"/>
          <w:b/>
          <w:sz w:val="22"/>
          <w:szCs w:val="22"/>
        </w:rPr>
      </w:pPr>
    </w:p>
    <w:p>
      <w:pPr>
        <w:spacing w:before="0" w:after="0" w:line="360" w:lineRule="auto"/>
        <w:contextualSpacing/>
        <w:jc w:val="both"/>
        <w:rPr>
          <w:rFonts w:ascii="Arial" w:hAnsi="Arial"/>
          <w:sz w:val="22"/>
          <w:szCs w:val="22"/>
        </w:rPr>
      </w:pPr>
      <w:r>
        <w:rPr>
          <w:rFonts w:ascii="Arial" w:hAnsi="Arial" w:cstheme="minorHAnsi"/>
          <w:b/>
          <w:sz w:val="22"/>
          <w:szCs w:val="22"/>
        </w:rPr>
        <w:t>RESERVA DE INCENDIO</w:t>
      </w:r>
    </w:p>
    <w:p>
      <w:pPr>
        <w:spacing w:before="0" w:after="0" w:line="360" w:lineRule="auto"/>
        <w:contextualSpacing/>
        <w:jc w:val="both"/>
        <w:rPr>
          <w:rFonts w:ascii="Arial" w:hAnsi="Arial"/>
          <w:sz w:val="22"/>
          <w:szCs w:val="22"/>
        </w:rPr>
      </w:pPr>
      <w:r>
        <w:rPr>
          <w:rFonts w:ascii="Arial" w:hAnsi="Arial" w:cstheme="minorHAnsi"/>
          <w:sz w:val="22"/>
          <w:szCs w:val="22"/>
        </w:rPr>
        <w:t xml:space="preserve">La reserva de incendio ubicada </w:t>
      </w:r>
      <w:r>
        <w:rPr>
          <w:rFonts w:ascii="Arial" w:hAnsi="Arial" w:cstheme="minorHAnsi"/>
          <w:b/>
          <w:bCs/>
          <w:sz w:val="22"/>
          <w:szCs w:val="22"/>
        </w:rPr>
        <w:t>SUBSUELO</w:t>
      </w:r>
      <w:r>
        <w:rPr>
          <w:rFonts w:ascii="Arial" w:hAnsi="Arial" w:cstheme="minorHAnsi"/>
          <w:sz w:val="22"/>
          <w:szCs w:val="22"/>
        </w:rPr>
        <w:t xml:space="preserve">, a realizarse según indicaciones del ing. hidráulico </w:t>
      </w:r>
      <w:r>
        <w:rPr>
          <w:rFonts w:ascii="Arial" w:hAnsi="Arial" w:cstheme="minorHAnsi"/>
          <w:b/>
          <w:bCs/>
          <w:sz w:val="22"/>
          <w:szCs w:val="22"/>
        </w:rPr>
        <w:t>con material que garantice la RF 120 MIN</w:t>
      </w:r>
      <w:r>
        <w:rPr>
          <w:rFonts w:ascii="Arial" w:hAnsi="Arial" w:cstheme="minorHAnsi"/>
          <w:sz w:val="22"/>
          <w:szCs w:val="22"/>
        </w:rPr>
        <w:t>. deberá tener una reserva de agua exclusiva para incendio siempre, para treinta minutos en relación con el caudal de la moto bomba o electro bomba, garantizando 4kg/cm2.</w:t>
      </w:r>
    </w:p>
    <w:p>
      <w:pPr>
        <w:spacing w:before="0" w:after="0" w:line="360" w:lineRule="auto"/>
        <w:rPr>
          <w:rFonts w:ascii="Arial" w:hAnsi="Arial"/>
          <w:sz w:val="22"/>
          <w:szCs w:val="22"/>
        </w:rPr>
      </w:pPr>
      <w:r>
        <w:rPr>
          <w:rFonts w:ascii="Arial" w:hAnsi="Arial" w:cstheme="minorHAnsi"/>
          <w:sz w:val="22"/>
          <w:szCs w:val="22"/>
        </w:rPr>
        <w:t xml:space="preserve">Los tanques sobre suelo </w:t>
      </w:r>
      <w:r>
        <w:rPr>
          <w:rFonts w:ascii="Arial" w:hAnsi="Arial" w:cstheme="minorHAnsi"/>
          <w:b/>
          <w:bCs/>
          <w:sz w:val="22"/>
          <w:szCs w:val="22"/>
        </w:rPr>
        <w:t>deben contar con dispositivo anti vórtice calculada según el proyectista indicado en planos del ing. Hidráulico</w:t>
      </w:r>
      <w:r>
        <w:rPr>
          <w:rFonts w:ascii="Arial" w:hAnsi="Arial" w:cstheme="minorHAnsi"/>
          <w:sz w:val="22"/>
          <w:szCs w:val="22"/>
        </w:rPr>
        <w:t>, pero no menor a 2D, siendo D el diámetro exterior de la tubería de succión. El codo de conexión con el dispositivo deberá ser del tipo codo largo. La capacidad útil del tanque se medirá desde el plano del dispositivo hasta el pelo de agua.</w:t>
      </w:r>
    </w:p>
    <w:p>
      <w:pPr>
        <w:spacing w:before="0" w:after="0" w:line="360" w:lineRule="auto"/>
        <w:contextualSpacing/>
        <w:jc w:val="both"/>
        <w:rPr>
          <w:rFonts w:ascii="Arial" w:hAnsi="Arial"/>
          <w:sz w:val="22"/>
          <w:szCs w:val="22"/>
        </w:rPr>
      </w:pPr>
      <w:r>
        <w:rPr>
          <w:rFonts w:ascii="Arial" w:hAnsi="Arial" w:cstheme="minorHAnsi"/>
          <w:b/>
          <w:sz w:val="22"/>
          <w:szCs w:val="22"/>
        </w:rPr>
        <w:t>La capacidad de reserva de incendio solicitada por norma será como mínimo de 18.000 lt</w:t>
      </w:r>
    </w:p>
    <w:p>
      <w:pPr>
        <w:pStyle w:val="57"/>
        <w:spacing w:line="360" w:lineRule="auto"/>
        <w:jc w:val="both"/>
        <w:rPr>
          <w:rFonts w:ascii="Arial" w:hAnsi="Arial"/>
          <w:b/>
          <w:sz w:val="22"/>
          <w:szCs w:val="22"/>
          <w:lang w:val="es-UY"/>
        </w:rPr>
      </w:pPr>
    </w:p>
    <w:p>
      <w:pPr>
        <w:spacing w:before="0" w:after="0" w:line="360" w:lineRule="auto"/>
        <w:contextualSpacing/>
        <w:jc w:val="both"/>
        <w:rPr>
          <w:rFonts w:ascii="Arial" w:hAnsi="Arial"/>
          <w:sz w:val="22"/>
          <w:szCs w:val="22"/>
        </w:rPr>
      </w:pPr>
      <w:r>
        <w:rPr>
          <w:rFonts w:ascii="Arial" w:hAnsi="Arial" w:cstheme="minorHAnsi"/>
          <w:b/>
          <w:sz w:val="22"/>
          <w:szCs w:val="22"/>
        </w:rPr>
        <w:t>BOMBA</w:t>
      </w:r>
    </w:p>
    <w:p>
      <w:pPr>
        <w:spacing w:before="0" w:after="0" w:line="360" w:lineRule="auto"/>
        <w:contextualSpacing/>
        <w:jc w:val="both"/>
        <w:rPr>
          <w:rFonts w:ascii="Arial" w:hAnsi="Arial"/>
          <w:sz w:val="22"/>
          <w:szCs w:val="22"/>
        </w:rPr>
      </w:pPr>
      <w:r>
        <w:rPr>
          <w:rFonts w:ascii="Arial" w:hAnsi="Arial" w:cstheme="minorHAnsi"/>
          <w:sz w:val="22"/>
          <w:szCs w:val="22"/>
        </w:rPr>
        <w:t>DETALLADA EN INFORME DE ING. HIDRÁULICO.</w:t>
      </w:r>
    </w:p>
    <w:p>
      <w:pPr>
        <w:spacing w:before="0" w:after="0" w:line="360" w:lineRule="auto"/>
        <w:contextualSpacing/>
        <w:jc w:val="both"/>
        <w:rPr>
          <w:rFonts w:ascii="Arial" w:hAnsi="Arial" w:cs="Arial"/>
          <w:color w:val="000000"/>
          <w:sz w:val="22"/>
          <w:szCs w:val="22"/>
        </w:rPr>
      </w:pPr>
    </w:p>
    <w:p>
      <w:pPr>
        <w:spacing w:before="0" w:after="0" w:line="360" w:lineRule="auto"/>
        <w:jc w:val="both"/>
        <w:rPr>
          <w:rFonts w:ascii="Arial" w:hAnsi="Arial" w:cs="Arial"/>
          <w:b/>
          <w:bCs/>
          <w:color w:val="000000"/>
          <w:sz w:val="22"/>
          <w:szCs w:val="22"/>
        </w:rPr>
      </w:pPr>
      <w:r>
        <w:rPr>
          <w:rFonts w:ascii="Arial" w:hAnsi="Arial" w:cstheme="minorHAnsi"/>
          <w:b/>
          <w:sz w:val="22"/>
          <w:szCs w:val="22"/>
        </w:rPr>
        <w:t>ALIMENTACIÓN DESDE LA RED DE UTE SIN GENERADOR DE RESPALDO</w:t>
      </w:r>
      <w:r>
        <w:rPr>
          <w:rFonts w:ascii="Arial" w:hAnsi="Arial" w:cs="Arial"/>
          <w:b/>
          <w:bCs/>
          <w:color w:val="000000"/>
          <w:sz w:val="22"/>
          <w:szCs w:val="22"/>
        </w:rPr>
        <w:t xml:space="preserve">. </w:t>
      </w:r>
    </w:p>
    <w:p>
      <w:pPr>
        <w:spacing w:before="0" w:after="0" w:line="360" w:lineRule="auto"/>
        <w:jc w:val="both"/>
        <w:rPr>
          <w:rFonts w:ascii="Arial" w:hAnsi="Arial"/>
          <w:sz w:val="22"/>
          <w:szCs w:val="22"/>
        </w:rPr>
      </w:pPr>
      <w:r>
        <w:rPr>
          <w:rFonts w:ascii="Arial" w:hAnsi="Arial" w:cstheme="minorHAnsi"/>
          <w:sz w:val="22"/>
          <w:szCs w:val="22"/>
        </w:rPr>
        <w:t xml:space="preserve">El Edificio contará con una entrada desde la red de UTE en Media o Baja Tensión pero sin Generador de Respaldo que lo abastezca si bien cuentan con uno, no es apto para respaldar la parte de incendio. La alimentación de los Sistemas de Combate de Incendio se deberá tomar aguas arriba del interruptor General del Tablero General de Baja Tensión y siempre aguas abajo del interruptor de control de potencia (ICP) propiedad de UTE. </w:t>
      </w:r>
    </w:p>
    <w:p>
      <w:pPr>
        <w:spacing w:before="0" w:after="0" w:line="360" w:lineRule="auto"/>
        <w:jc w:val="both"/>
        <w:rPr>
          <w:rFonts w:ascii="Arial" w:hAnsi="Arial"/>
          <w:sz w:val="22"/>
          <w:szCs w:val="22"/>
        </w:rPr>
      </w:pPr>
      <w:r>
        <w:rPr>
          <w:rFonts w:ascii="Arial" w:hAnsi="Arial" w:cstheme="minorHAnsi"/>
          <w:sz w:val="22"/>
          <w:szCs w:val="22"/>
        </w:rPr>
        <w:t xml:space="preserve">El Control del Sistema de Combate de Incendio al recibir un evento de incendio, dará la orden de apertura al Interruptor General y, luego de un tiempo prefijado, dará inicio al arranque de los equipos de Combate de Incendio (bombas, presurizadores de escaleras, etc.). </w:t>
      </w:r>
    </w:p>
    <w:p>
      <w:pPr>
        <w:spacing w:before="0" w:after="0" w:line="360" w:lineRule="auto"/>
        <w:jc w:val="both"/>
        <w:rPr>
          <w:rFonts w:ascii="Arial" w:hAnsi="Arial"/>
          <w:sz w:val="22"/>
          <w:szCs w:val="22"/>
        </w:rPr>
      </w:pPr>
      <w:r>
        <w:rPr>
          <w:rFonts w:ascii="Arial" w:hAnsi="Arial" w:cstheme="minorHAnsi"/>
          <w:sz w:val="22"/>
          <w:szCs w:val="22"/>
        </w:rPr>
        <w:t xml:space="preserve">El sistema dispondrá de un modo manual irracionable mediante una llave de seguridad, en el cual se podrá probar el sistema sin provocar la apertura del Interruptor General. </w:t>
      </w:r>
    </w:p>
    <w:p>
      <w:pPr>
        <w:spacing w:before="0" w:after="0" w:line="360" w:lineRule="auto"/>
        <w:jc w:val="both"/>
        <w:rPr>
          <w:rFonts w:ascii="Arial" w:hAnsi="Arial"/>
          <w:sz w:val="22"/>
          <w:szCs w:val="22"/>
        </w:rPr>
      </w:pPr>
      <w:r>
        <w:rPr>
          <w:rFonts w:ascii="Arial" w:hAnsi="Arial" w:cstheme="minorHAnsi"/>
          <w:sz w:val="22"/>
          <w:szCs w:val="22"/>
        </w:rPr>
        <w:t xml:space="preserve">Este modo de funcionamiento manual será reportado al Panel de Alarma hasta tanto se vuelva al modo automático. </w:t>
      </w:r>
    </w:p>
    <w:p>
      <w:pPr>
        <w:pStyle w:val="57"/>
        <w:spacing w:before="0" w:after="160" w:line="360" w:lineRule="auto"/>
        <w:contextualSpacing/>
        <w:jc w:val="both"/>
        <w:rPr>
          <w:rFonts w:ascii="Arial" w:hAnsi="Arial"/>
          <w:sz w:val="22"/>
          <w:szCs w:val="22"/>
        </w:rPr>
      </w:pPr>
      <w:r>
        <w:rPr>
          <w:rFonts w:ascii="Arial" w:hAnsi="Arial" w:cstheme="minorHAnsi"/>
          <w:color w:val="auto"/>
          <w:sz w:val="22"/>
          <w:szCs w:val="22"/>
          <w:lang w:val="es-UY"/>
        </w:rPr>
        <w:t>Se podrá prever un tiempo de aviso programable que permita, mediante la llave de seguridad, inhibir manualmente la apertura del Interruptor General.</w:t>
      </w:r>
    </w:p>
    <w:p>
      <w:pPr>
        <w:pStyle w:val="57"/>
        <w:spacing w:before="0" w:after="160" w:line="360" w:lineRule="auto"/>
        <w:contextualSpacing/>
        <w:jc w:val="both"/>
        <w:rPr>
          <w:rFonts w:ascii="Arial" w:hAnsi="Arial"/>
          <w:color w:val="auto"/>
          <w:sz w:val="22"/>
          <w:szCs w:val="22"/>
          <w:lang w:val="es-UY"/>
        </w:rPr>
      </w:pPr>
    </w:p>
    <w:p>
      <w:pPr>
        <w:pStyle w:val="57"/>
        <w:spacing w:before="0" w:after="160" w:line="360" w:lineRule="auto"/>
        <w:contextualSpacing/>
        <w:jc w:val="both"/>
        <w:rPr>
          <w:rFonts w:ascii="Arial" w:hAnsi="Arial"/>
          <w:sz w:val="22"/>
          <w:szCs w:val="22"/>
        </w:rPr>
      </w:pPr>
      <w:r>
        <w:rPr>
          <w:rFonts w:ascii="Arial" w:hAnsi="Arial" w:cstheme="minorHAnsi"/>
          <w:b/>
          <w:bCs/>
          <w:color w:val="auto"/>
          <w:sz w:val="22"/>
          <w:szCs w:val="22"/>
          <w:lang w:val="es-UY"/>
        </w:rPr>
        <w:t>IMPORTANTE A TENER EN CUENTA</w:t>
      </w:r>
    </w:p>
    <w:p>
      <w:pPr>
        <w:pStyle w:val="54"/>
        <w:numPr>
          <w:ilvl w:val="0"/>
          <w:numId w:val="7"/>
        </w:numPr>
        <w:spacing w:line="360" w:lineRule="auto"/>
        <w:jc w:val="both"/>
        <w:rPr>
          <w:rFonts w:ascii="Arial" w:hAnsi="Arial"/>
          <w:sz w:val="22"/>
          <w:szCs w:val="22"/>
        </w:rPr>
      </w:pPr>
      <w:r>
        <w:rPr>
          <w:rFonts w:ascii="Arial" w:hAnsi="Arial" w:cstheme="minorHAnsi"/>
          <w:b/>
          <w:bCs/>
          <w:sz w:val="22"/>
          <w:szCs w:val="22"/>
          <w:lang w:val="es-UY"/>
        </w:rPr>
        <w:t>Se dejó la previsión de la bomba de incendio para 230V ya que el proveedor VIMAR indicó en su momento que tienen para ambas tensiones, según el tipo de bomba requerido.</w:t>
      </w:r>
    </w:p>
    <w:p>
      <w:pPr>
        <w:pStyle w:val="57"/>
        <w:spacing w:before="0" w:after="160" w:line="360" w:lineRule="auto"/>
        <w:contextualSpacing/>
        <w:jc w:val="center"/>
        <w:rPr>
          <w:rFonts w:ascii="Arial" w:hAnsi="Arial"/>
          <w:sz w:val="22"/>
          <w:szCs w:val="22"/>
        </w:rPr>
      </w:pPr>
      <w:r>
        <w:rPr>
          <w:rFonts w:ascii="Arial" w:hAnsi="Arial"/>
          <w:sz w:val="22"/>
          <w:szCs w:val="22"/>
        </w:rPr>
        <w:drawing>
          <wp:inline distT="0" distB="0" distL="0" distR="0">
            <wp:extent cx="3596005" cy="2956560"/>
            <wp:effectExtent l="0" t="0" r="4445" b="0"/>
            <wp:docPr id="55" name="Forma7"/>
            <wp:cNvGraphicFramePr/>
            <a:graphic xmlns:a="http://schemas.openxmlformats.org/drawingml/2006/main">
              <a:graphicData uri="http://schemas.openxmlformats.org/drawingml/2006/picture">
                <pic:pic xmlns:pic="http://schemas.openxmlformats.org/drawingml/2006/picture">
                  <pic:nvPicPr>
                    <pic:cNvPr id="55" name="Forma7"/>
                    <pic:cNvPicPr/>
                  </pic:nvPicPr>
                  <pic:blipFill>
                    <a:blip r:embed="rId43">
                      <a:extLst>
                        <a:ext uri="{BEBA8EAE-BF5A-486C-A8C5-ECC9F3942E4B}">
                          <a14:imgProps xmlns:a14="http://schemas.microsoft.com/office/drawing/2010/main">
                            <a14:imgLayer r:embed="rId30">
                              <a14:imgEffect>
                                <a14:sharpenSoften amount="50000"/>
                              </a14:imgEffect>
                            </a14:imgLayer>
                          </a14:imgProps>
                        </a:ext>
                      </a:extLst>
                    </a:blip>
                    <a:srcRect l="43378" t="28390" r="28489" b="30498"/>
                    <a:stretch>
                      <a:fillRect/>
                    </a:stretch>
                  </pic:blipFill>
                  <pic:spPr>
                    <a:xfrm>
                      <a:off x="0" y="0"/>
                      <a:ext cx="3596040" cy="2956680"/>
                    </a:xfrm>
                    <a:prstGeom prst="rect">
                      <a:avLst/>
                    </a:prstGeom>
                    <a:ln w="0">
                      <a:noFill/>
                    </a:ln>
                  </pic:spPr>
                </pic:pic>
              </a:graphicData>
            </a:graphic>
          </wp:inline>
        </w:drawing>
      </w:r>
    </w:p>
    <w:p>
      <w:pPr>
        <w:spacing w:before="0" w:after="0" w:line="360" w:lineRule="auto"/>
        <w:contextualSpacing/>
        <w:jc w:val="both"/>
        <w:rPr>
          <w:rFonts w:ascii="Arial" w:hAnsi="Arial" w:cs="Calibri"/>
          <w:b/>
          <w:sz w:val="22"/>
          <w:szCs w:val="22"/>
        </w:rPr>
      </w:pPr>
    </w:p>
    <w:p>
      <w:pPr>
        <w:spacing w:before="0" w:after="0" w:line="360" w:lineRule="auto"/>
        <w:contextualSpacing/>
        <w:jc w:val="both"/>
        <w:rPr>
          <w:rFonts w:ascii="Arial" w:hAnsi="Arial"/>
          <w:sz w:val="22"/>
          <w:szCs w:val="22"/>
        </w:rPr>
      </w:pPr>
      <w:r>
        <w:rPr>
          <w:rFonts w:ascii="Arial" w:hAnsi="Arial" w:cstheme="minorHAnsi"/>
          <w:b/>
          <w:sz w:val="22"/>
          <w:szCs w:val="22"/>
        </w:rPr>
        <w:t>NICHOS DE INCENDIO</w:t>
      </w:r>
      <w:r>
        <w:rPr>
          <w:rFonts w:ascii="Arial" w:hAnsi="Arial" w:cstheme="minorHAnsi"/>
          <w:sz w:val="22"/>
          <w:szCs w:val="22"/>
        </w:rPr>
        <w:t>:</w:t>
      </w:r>
    </w:p>
    <w:p>
      <w:pPr>
        <w:spacing w:before="0" w:after="0" w:line="360" w:lineRule="auto"/>
        <w:contextualSpacing/>
        <w:jc w:val="both"/>
        <w:rPr>
          <w:rFonts w:ascii="Arial" w:hAnsi="Arial"/>
          <w:sz w:val="22"/>
          <w:szCs w:val="22"/>
        </w:rPr>
      </w:pPr>
      <w:r>
        <w:rPr>
          <w:rFonts w:ascii="Arial" w:hAnsi="Arial" w:cstheme="minorHAnsi"/>
          <w:b/>
          <w:sz w:val="22"/>
          <w:szCs w:val="22"/>
        </w:rPr>
        <w:t xml:space="preserve">Aspectos Constructivos </w:t>
      </w:r>
    </w:p>
    <w:p>
      <w:pPr>
        <w:pStyle w:val="54"/>
        <w:numPr>
          <w:ilvl w:val="0"/>
          <w:numId w:val="5"/>
        </w:numPr>
        <w:spacing w:line="360" w:lineRule="auto"/>
        <w:jc w:val="both"/>
        <w:rPr>
          <w:rFonts w:ascii="Arial" w:hAnsi="Arial"/>
          <w:sz w:val="22"/>
          <w:szCs w:val="22"/>
        </w:rPr>
      </w:pPr>
      <w:r>
        <w:rPr>
          <w:rFonts w:ascii="Arial" w:hAnsi="Arial" w:cstheme="minorHAnsi"/>
          <w:sz w:val="22"/>
          <w:szCs w:val="22"/>
          <w:lang w:val="es-UY"/>
        </w:rPr>
        <w:t xml:space="preserve">La caja puede ser construida de albañilería, en materiales metálicos, en fibra o vidrio laminado, o de otro material a criterio del proyectista, atendiendo los demás criterios especificados, pudiendo ser pintadas de cualquier color, señalizados de acuerdo al IT-10 Señalización de Incendio. </w:t>
      </w:r>
    </w:p>
    <w:p>
      <w:pPr>
        <w:pStyle w:val="54"/>
        <w:numPr>
          <w:ilvl w:val="0"/>
          <w:numId w:val="5"/>
        </w:numPr>
        <w:spacing w:line="360" w:lineRule="auto"/>
        <w:jc w:val="both"/>
        <w:rPr>
          <w:rFonts w:ascii="Arial" w:hAnsi="Arial"/>
          <w:sz w:val="22"/>
          <w:szCs w:val="22"/>
        </w:rPr>
      </w:pPr>
      <w:r>
        <w:rPr>
          <w:rFonts w:ascii="Arial" w:hAnsi="Arial" w:cstheme="minorHAnsi"/>
          <w:sz w:val="22"/>
          <w:szCs w:val="22"/>
          <w:lang w:val="es-UY"/>
        </w:rPr>
        <w:t xml:space="preserve">Pueden tener puertas confeccionadas en material transparente con protección UV. </w:t>
      </w:r>
    </w:p>
    <w:p>
      <w:pPr>
        <w:pStyle w:val="54"/>
        <w:numPr>
          <w:ilvl w:val="0"/>
          <w:numId w:val="5"/>
        </w:numPr>
        <w:spacing w:line="360" w:lineRule="auto"/>
        <w:jc w:val="both"/>
        <w:rPr>
          <w:rFonts w:ascii="Arial" w:hAnsi="Arial"/>
          <w:sz w:val="22"/>
          <w:szCs w:val="22"/>
        </w:rPr>
      </w:pPr>
      <w:r>
        <w:rPr>
          <w:rFonts w:ascii="Arial" w:hAnsi="Arial" w:cstheme="minorHAnsi"/>
          <w:sz w:val="22"/>
          <w:szCs w:val="22"/>
          <w:lang w:val="es-UY"/>
        </w:rPr>
        <w:t xml:space="preserve">Debe tener apoyo o fijación propia, independiente de la tubería que abastece a la BIE </w:t>
      </w:r>
    </w:p>
    <w:p>
      <w:pPr>
        <w:pStyle w:val="54"/>
        <w:numPr>
          <w:ilvl w:val="0"/>
          <w:numId w:val="5"/>
        </w:numPr>
        <w:spacing w:line="360" w:lineRule="auto"/>
        <w:jc w:val="both"/>
        <w:rPr>
          <w:rFonts w:ascii="Arial" w:hAnsi="Arial"/>
          <w:sz w:val="22"/>
          <w:szCs w:val="22"/>
        </w:rPr>
      </w:pPr>
      <w:r>
        <w:rPr>
          <w:rFonts w:ascii="Arial" w:hAnsi="Arial" w:cstheme="minorHAnsi"/>
          <w:sz w:val="22"/>
          <w:szCs w:val="22"/>
          <w:lang w:val="es-UY"/>
        </w:rPr>
        <w:t xml:space="preserve">Las cajas deben tener dimensiones suficientes para acondicionar, con facilidad, las mangueras y respectivos accesorios, permitiendo un acceso rápido para la utilización de todo el equipamiento en caso de incendio. </w:t>
      </w:r>
    </w:p>
    <w:p>
      <w:pPr>
        <w:spacing w:before="0" w:after="0" w:line="360" w:lineRule="auto"/>
        <w:contextualSpacing/>
        <w:jc w:val="both"/>
        <w:rPr>
          <w:rFonts w:ascii="Arial" w:hAnsi="Arial" w:cs="Calibri"/>
          <w:sz w:val="22"/>
          <w:szCs w:val="22"/>
        </w:rPr>
      </w:pPr>
    </w:p>
    <w:p>
      <w:pPr>
        <w:spacing w:before="0" w:after="0" w:line="360" w:lineRule="auto"/>
        <w:contextualSpacing/>
        <w:jc w:val="both"/>
        <w:rPr>
          <w:rFonts w:ascii="Arial" w:hAnsi="Arial"/>
          <w:sz w:val="22"/>
          <w:szCs w:val="22"/>
        </w:rPr>
      </w:pPr>
      <w:r>
        <w:rPr>
          <w:rFonts w:ascii="Arial" w:hAnsi="Arial" w:cstheme="minorHAnsi"/>
          <w:b/>
          <w:sz w:val="22"/>
          <w:szCs w:val="22"/>
        </w:rPr>
        <w:t>Instalación y Uso</w:t>
      </w:r>
      <w:r>
        <w:rPr>
          <w:rFonts w:ascii="Arial" w:hAnsi="Arial" w:cstheme="minorHAnsi"/>
          <w:sz w:val="22"/>
          <w:szCs w:val="22"/>
        </w:rPr>
        <w:t xml:space="preserve"> </w:t>
      </w:r>
    </w:p>
    <w:p>
      <w:pPr>
        <w:spacing w:before="0" w:after="0" w:line="360" w:lineRule="auto"/>
        <w:contextualSpacing/>
        <w:jc w:val="both"/>
        <w:rPr>
          <w:rFonts w:ascii="Arial" w:hAnsi="Arial"/>
          <w:sz w:val="22"/>
          <w:szCs w:val="22"/>
        </w:rPr>
      </w:pPr>
      <w:r>
        <w:rPr>
          <w:rFonts w:ascii="Arial" w:hAnsi="Arial" w:cstheme="minorHAnsi"/>
          <w:sz w:val="22"/>
          <w:szCs w:val="22"/>
        </w:rPr>
        <w:t xml:space="preserve">La válvula de la BIE así como la botonera de accionamiento de la bomba de incendio pueden ser instaladas dentro de la caja mientras que no impidan la maniobra de sus componentes. </w:t>
      </w:r>
    </w:p>
    <w:p>
      <w:pPr>
        <w:pStyle w:val="54"/>
        <w:numPr>
          <w:ilvl w:val="0"/>
          <w:numId w:val="5"/>
        </w:numPr>
        <w:spacing w:line="360" w:lineRule="auto"/>
        <w:jc w:val="both"/>
        <w:rPr>
          <w:rFonts w:ascii="Arial" w:hAnsi="Arial"/>
          <w:sz w:val="22"/>
          <w:szCs w:val="22"/>
        </w:rPr>
      </w:pPr>
      <w:r>
        <w:rPr>
          <w:rFonts w:ascii="Arial" w:hAnsi="Arial" w:cstheme="minorHAnsi"/>
          <w:sz w:val="22"/>
          <w:szCs w:val="22"/>
          <w:lang w:val="es-UY"/>
        </w:rPr>
        <w:t xml:space="preserve">La caja de la BIE interna no debe ser instalada a más de 5m de la puerta de acceso del área a ser protegida. La válvula angular debe ser instalada en ese intervalo, entre la puerta y la caja, debiendo estar en un lugar visible y de fácil acceso. Debe adoptarse un espacio suficiente para la maniobra de la válvula angular y la conexión Storz de las mangueras. </w:t>
      </w:r>
    </w:p>
    <w:p>
      <w:pPr>
        <w:pStyle w:val="54"/>
        <w:numPr>
          <w:ilvl w:val="0"/>
          <w:numId w:val="5"/>
        </w:numPr>
        <w:spacing w:line="360" w:lineRule="auto"/>
        <w:jc w:val="both"/>
        <w:rPr>
          <w:rFonts w:ascii="Arial" w:hAnsi="Arial"/>
          <w:sz w:val="22"/>
          <w:szCs w:val="22"/>
        </w:rPr>
      </w:pPr>
      <w:r>
        <w:rPr>
          <w:rFonts w:ascii="Arial" w:hAnsi="Arial" w:cstheme="minorHAnsi"/>
          <w:sz w:val="22"/>
          <w:szCs w:val="22"/>
          <w:lang w:val="es-UY"/>
        </w:rPr>
        <w:t xml:space="preserve">La puerta de la caja debe estar situada en su cara más ancha </w:t>
      </w:r>
    </w:p>
    <w:p>
      <w:pPr>
        <w:pStyle w:val="54"/>
        <w:numPr>
          <w:ilvl w:val="0"/>
          <w:numId w:val="5"/>
        </w:numPr>
        <w:spacing w:line="360" w:lineRule="auto"/>
        <w:jc w:val="both"/>
        <w:rPr>
          <w:rFonts w:ascii="Arial" w:hAnsi="Arial"/>
          <w:sz w:val="22"/>
          <w:szCs w:val="22"/>
        </w:rPr>
      </w:pPr>
      <w:r>
        <w:rPr>
          <w:rFonts w:ascii="Arial" w:hAnsi="Arial" w:cstheme="minorHAnsi"/>
          <w:sz w:val="22"/>
          <w:szCs w:val="22"/>
          <w:lang w:val="es-UY"/>
        </w:rPr>
        <w:t xml:space="preserve">La puerta puede ser lacrada para prevenir la abertura indebida, mientras que el lacre sea de fácil rotura manual o exista posibilidad de alerta por monitoreo electrónico. </w:t>
      </w:r>
    </w:p>
    <w:p>
      <w:pPr>
        <w:pStyle w:val="54"/>
        <w:numPr>
          <w:ilvl w:val="0"/>
          <w:numId w:val="5"/>
        </w:numPr>
        <w:spacing w:line="360" w:lineRule="auto"/>
        <w:jc w:val="both"/>
        <w:rPr>
          <w:rFonts w:ascii="Arial" w:hAnsi="Arial"/>
          <w:sz w:val="22"/>
          <w:szCs w:val="22"/>
        </w:rPr>
      </w:pPr>
      <w:r>
        <w:rPr>
          <w:rFonts w:ascii="Arial" w:hAnsi="Arial" w:cstheme="minorHAnsi"/>
          <w:sz w:val="22"/>
          <w:szCs w:val="22"/>
          <w:lang w:val="es-UY"/>
        </w:rPr>
        <w:t xml:space="preserve">Para las áreas destinadas a garajes, fabricación, depósitos y locales utilizados para movimiento de mercaderías, las cajas o nichos de las BIE internas deben ser señalizadas en el piso con un cuadrado de 1m de lado, con grosor de línea de 15cm, pintada de color amarillo foto luminiscente y, un cuadrado interno de 70cm en color rojo. </w:t>
      </w:r>
    </w:p>
    <w:p>
      <w:pPr>
        <w:pStyle w:val="54"/>
        <w:numPr>
          <w:ilvl w:val="0"/>
          <w:numId w:val="5"/>
        </w:numPr>
        <w:spacing w:line="360" w:lineRule="auto"/>
        <w:jc w:val="both"/>
        <w:rPr>
          <w:rFonts w:ascii="Arial" w:hAnsi="Arial"/>
          <w:sz w:val="22"/>
          <w:szCs w:val="22"/>
        </w:rPr>
      </w:pPr>
      <w:r>
        <w:rPr>
          <w:rFonts w:ascii="Arial" w:hAnsi="Arial" w:cstheme="minorHAnsi"/>
          <w:sz w:val="22"/>
          <w:szCs w:val="22"/>
          <w:lang w:val="es-UY"/>
        </w:rPr>
        <w:t xml:space="preserve">Las cajas de las BIE internas deben ser colocadas de tal forma que se evite, en caso de siniestros, quedar bloqueadas por el fuego. </w:t>
      </w:r>
    </w:p>
    <w:p>
      <w:pPr>
        <w:pStyle w:val="54"/>
        <w:numPr>
          <w:ilvl w:val="0"/>
          <w:numId w:val="5"/>
        </w:numPr>
        <w:spacing w:line="360" w:lineRule="auto"/>
        <w:jc w:val="both"/>
        <w:rPr>
          <w:rFonts w:ascii="Arial" w:hAnsi="Arial"/>
          <w:sz w:val="22"/>
          <w:szCs w:val="22"/>
        </w:rPr>
      </w:pPr>
      <w:r>
        <w:rPr>
          <w:rFonts w:ascii="Arial" w:hAnsi="Arial" w:cstheme="minorHAnsi"/>
          <w:sz w:val="22"/>
          <w:szCs w:val="22"/>
          <w:lang w:val="es-UY"/>
        </w:rPr>
        <w:t xml:space="preserve"> Las cajas o nichos de incendio no deben ser instalados cortando el paso en accesos de entrada y salida de peatones, garajes, estacionamientos, rampas, escaleras y sus descansos. </w:t>
      </w:r>
    </w:p>
    <w:p>
      <w:pPr>
        <w:spacing w:before="0" w:after="0" w:line="360" w:lineRule="auto"/>
        <w:contextualSpacing/>
        <w:jc w:val="both"/>
        <w:rPr>
          <w:rFonts w:ascii="Arial" w:hAnsi="Arial" w:cs="Calibri"/>
          <w:sz w:val="22"/>
          <w:szCs w:val="22"/>
        </w:rPr>
      </w:pPr>
    </w:p>
    <w:p>
      <w:pPr>
        <w:spacing w:before="0" w:after="0" w:line="360" w:lineRule="auto"/>
        <w:contextualSpacing/>
        <w:jc w:val="both"/>
        <w:rPr>
          <w:rFonts w:ascii="Arial" w:hAnsi="Arial"/>
          <w:sz w:val="22"/>
          <w:szCs w:val="22"/>
        </w:rPr>
      </w:pPr>
      <w:r>
        <w:rPr>
          <w:rFonts w:ascii="Arial" w:hAnsi="Arial" w:cstheme="minorHAnsi"/>
          <w:sz w:val="22"/>
          <w:szCs w:val="22"/>
        </w:rPr>
        <w:t>Serán de material incombustible de:</w:t>
      </w:r>
    </w:p>
    <w:p>
      <w:pPr>
        <w:pStyle w:val="54"/>
        <w:numPr>
          <w:ilvl w:val="0"/>
          <w:numId w:val="4"/>
        </w:numPr>
        <w:spacing w:line="360" w:lineRule="auto"/>
        <w:jc w:val="both"/>
        <w:rPr>
          <w:rFonts w:ascii="Arial" w:hAnsi="Arial"/>
          <w:sz w:val="22"/>
          <w:szCs w:val="22"/>
        </w:rPr>
      </w:pPr>
      <w:r>
        <w:rPr>
          <w:rFonts w:ascii="Arial" w:hAnsi="Arial" w:cstheme="minorHAnsi"/>
          <w:sz w:val="22"/>
          <w:szCs w:val="22"/>
          <w:lang w:val="es-UY"/>
        </w:rPr>
        <w:t xml:space="preserve">70x70x20cm en las bocas de incendio de 45mm y largo 25m cada manguera, acoplada dos tramos, llegando a 50m </w:t>
      </w:r>
    </w:p>
    <w:p>
      <w:pPr>
        <w:pStyle w:val="54"/>
        <w:spacing w:line="360" w:lineRule="auto"/>
        <w:jc w:val="both"/>
        <w:rPr>
          <w:rFonts w:ascii="Arial" w:hAnsi="Arial" w:cs="Calibri"/>
          <w:sz w:val="22"/>
          <w:szCs w:val="22"/>
          <w:lang w:val="es-UY"/>
        </w:rPr>
      </w:pPr>
    </w:p>
    <w:p>
      <w:pPr>
        <w:spacing w:before="0" w:after="0" w:line="360" w:lineRule="auto"/>
        <w:contextualSpacing/>
        <w:jc w:val="both"/>
        <w:rPr>
          <w:rFonts w:ascii="Arial" w:hAnsi="Arial"/>
          <w:sz w:val="22"/>
          <w:szCs w:val="22"/>
        </w:rPr>
      </w:pPr>
      <w:r>
        <w:rPr>
          <w:rFonts w:ascii="Arial" w:hAnsi="Arial" w:cstheme="minorHAnsi"/>
          <w:sz w:val="22"/>
          <w:szCs w:val="22"/>
        </w:rPr>
        <w:t>Puede ser instalada la válvula en el interior del nicho, debiendo su manipulación y mantenimiento estar garantizados.</w:t>
      </w:r>
    </w:p>
    <w:p>
      <w:pPr>
        <w:spacing w:before="0" w:after="0" w:line="360" w:lineRule="auto"/>
        <w:contextualSpacing/>
        <w:jc w:val="both"/>
        <w:rPr>
          <w:rFonts w:ascii="Arial" w:hAnsi="Arial"/>
          <w:sz w:val="22"/>
          <w:szCs w:val="22"/>
        </w:rPr>
      </w:pPr>
      <w:r>
        <w:rPr>
          <w:rFonts w:ascii="Arial" w:hAnsi="Arial" w:cstheme="minorHAnsi"/>
          <w:sz w:val="22"/>
          <w:szCs w:val="22"/>
        </w:rPr>
        <w:t>Las mangueras de incendio, la toma de agua y el tablero de activación de la bomba de incendio pueden ser instaladas dentro del citado nicho, siempre que no impidan la maniobra o la sustitución de cualquier pieza vinculada al mismo.</w:t>
      </w:r>
    </w:p>
    <w:p>
      <w:pPr>
        <w:spacing w:before="0" w:after="0" w:line="360" w:lineRule="auto"/>
        <w:contextualSpacing/>
        <w:jc w:val="both"/>
        <w:rPr>
          <w:rFonts w:ascii="Arial" w:hAnsi="Arial" w:cs="Calibri"/>
          <w:sz w:val="22"/>
          <w:szCs w:val="22"/>
        </w:rPr>
      </w:pPr>
    </w:p>
    <w:p>
      <w:pPr>
        <w:spacing w:before="0" w:after="0" w:line="360" w:lineRule="auto"/>
        <w:contextualSpacing/>
        <w:jc w:val="both"/>
        <w:rPr>
          <w:rFonts w:ascii="Arial" w:hAnsi="Arial"/>
          <w:sz w:val="22"/>
          <w:szCs w:val="22"/>
        </w:rPr>
      </w:pPr>
      <w:r>
        <w:rPr>
          <w:rFonts w:ascii="Arial" w:hAnsi="Arial" w:cstheme="minorHAnsi"/>
          <w:sz w:val="22"/>
          <w:szCs w:val="22"/>
        </w:rPr>
        <w:t>La manguera se colocará en zig-zag, con todas las conexiones echas, pronta para ser usada en caso de precisarla, ídem fig 2 y 3.</w:t>
      </w:r>
    </w:p>
    <w:p>
      <w:pPr>
        <w:spacing w:before="0" w:after="0" w:line="360" w:lineRule="auto"/>
        <w:contextualSpacing/>
        <w:jc w:val="center"/>
        <w:rPr>
          <w:rFonts w:ascii="Arial" w:hAnsi="Arial" w:cs="Calibri"/>
          <w:sz w:val="22"/>
          <w:szCs w:val="22"/>
        </w:rPr>
      </w:pPr>
      <w:r>
        <w:rPr>
          <w:rFonts w:ascii="Arial" w:hAnsi="Arial"/>
          <w:sz w:val="22"/>
          <w:szCs w:val="22"/>
        </w:rPr>
        <w:drawing>
          <wp:inline distT="0" distB="0" distL="0" distR="0">
            <wp:extent cx="2387600" cy="1233170"/>
            <wp:effectExtent l="0" t="0" r="0" b="0"/>
            <wp:docPr id="5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2"/>
                    <pic:cNvPicPr>
                      <a:picLocks noChangeAspect="1" noChangeArrowheads="1"/>
                    </pic:cNvPicPr>
                  </pic:nvPicPr>
                  <pic:blipFill>
                    <a:blip r:embed="rId44"/>
                    <a:srcRect l="60067" t="32453" r="18714" b="48142"/>
                    <a:stretch>
                      <a:fillRect/>
                    </a:stretch>
                  </pic:blipFill>
                  <pic:spPr>
                    <a:xfrm>
                      <a:off x="0" y="0"/>
                      <a:ext cx="2387600" cy="1233170"/>
                    </a:xfrm>
                    <a:prstGeom prst="rect">
                      <a:avLst/>
                    </a:prstGeom>
                  </pic:spPr>
                </pic:pic>
              </a:graphicData>
            </a:graphic>
          </wp:inline>
        </w:drawing>
      </w:r>
    </w:p>
    <w:p>
      <w:pPr>
        <w:spacing w:before="0" w:after="0" w:line="360" w:lineRule="auto"/>
        <w:contextualSpacing/>
        <w:jc w:val="both"/>
        <w:rPr>
          <w:rFonts w:ascii="Arial" w:hAnsi="Arial" w:cs="Calibri"/>
          <w:sz w:val="22"/>
          <w:szCs w:val="22"/>
        </w:rPr>
      </w:pPr>
    </w:p>
    <w:p>
      <w:pPr>
        <w:spacing w:before="0" w:after="0" w:line="360" w:lineRule="auto"/>
        <w:contextualSpacing/>
        <w:jc w:val="both"/>
        <w:rPr>
          <w:rFonts w:ascii="Arial" w:hAnsi="Arial"/>
          <w:sz w:val="22"/>
          <w:szCs w:val="22"/>
        </w:rPr>
      </w:pPr>
      <w:r>
        <w:rPr>
          <w:rFonts w:ascii="Arial" w:hAnsi="Arial" w:cstheme="minorHAnsi"/>
          <w:b/>
          <w:sz w:val="22"/>
          <w:szCs w:val="22"/>
        </w:rPr>
        <w:t>Cañería y conexiones</w:t>
      </w:r>
    </w:p>
    <w:p>
      <w:pPr>
        <w:spacing w:before="0" w:after="120" w:line="360" w:lineRule="auto"/>
        <w:jc w:val="both"/>
        <w:rPr>
          <w:rFonts w:ascii="Arial" w:hAnsi="Arial"/>
          <w:sz w:val="22"/>
          <w:szCs w:val="22"/>
        </w:rPr>
      </w:pPr>
      <w:r>
        <w:rPr>
          <w:rFonts w:ascii="Arial" w:hAnsi="Arial" w:cstheme="minorHAnsi"/>
          <w:sz w:val="22"/>
          <w:szCs w:val="22"/>
        </w:rPr>
        <w:t xml:space="preserve">Las tuberías aéreas de acero y cobre se seleccionarán para una presión mínima de trabajo de 20,7 bar y serán fabricadas bajo normas ASTM A 795, ASTM A 53 o ASTM A 135. Las tuberías de cobre serán de espesores K, L o M y fabricadas bajo normas ASTM B 75 o B 88. </w:t>
      </w:r>
    </w:p>
    <w:p>
      <w:pPr>
        <w:spacing w:before="0" w:after="120" w:line="360" w:lineRule="auto"/>
        <w:jc w:val="both"/>
        <w:rPr>
          <w:rFonts w:ascii="Arial" w:hAnsi="Arial"/>
          <w:sz w:val="22"/>
          <w:szCs w:val="22"/>
        </w:rPr>
      </w:pPr>
      <w:r>
        <w:rPr>
          <w:rFonts w:ascii="Arial" w:hAnsi="Arial" w:cstheme="minorHAnsi"/>
          <w:sz w:val="22"/>
          <w:szCs w:val="22"/>
        </w:rPr>
        <w:t xml:space="preserve">Las cañerías del sistema, cuando estén expuestas o que sean visibles a través de puertas de inspección aún dentro de ductos horizontales o verticales, deben ser de color rojo (UNIT38). Si por razones estéticas particulares estuvieran pintadas de otro color, deberán estar perfectamente identificadas en todos los cambios de dirección en ambos lados y en los tramos rectos de tubería a no más de 5 m de distancia, con una franja anillada pintada de color rojo de 3 cm de ancho. </w:t>
      </w:r>
    </w:p>
    <w:p>
      <w:pPr>
        <w:spacing w:before="0" w:after="120" w:line="360" w:lineRule="auto"/>
        <w:jc w:val="both"/>
        <w:rPr>
          <w:rFonts w:ascii="Arial" w:hAnsi="Arial"/>
          <w:sz w:val="22"/>
          <w:szCs w:val="22"/>
        </w:rPr>
      </w:pPr>
      <w:r>
        <w:rPr>
          <w:rFonts w:ascii="Arial" w:hAnsi="Arial" w:cstheme="minorHAnsi"/>
          <w:sz w:val="22"/>
          <w:szCs w:val="22"/>
        </w:rPr>
        <w:t xml:space="preserve">Las cañerías destinadas a la alimentación de las Tomas de Agua y Bocas de Incendios, no pueden pasar por los ductos de ascensores, ductos de subida de gas combustible u otros cuya falla pueda dañar la línea de incendio. Para el caso de ductos de ventilación se instalarán únicamente cañerías de hierro galvanizado. </w:t>
      </w:r>
    </w:p>
    <w:p>
      <w:pPr>
        <w:spacing w:before="0" w:after="120" w:line="360" w:lineRule="auto"/>
        <w:jc w:val="both"/>
        <w:rPr>
          <w:rFonts w:ascii="Arial" w:hAnsi="Arial" w:cs="Calibri"/>
          <w:sz w:val="22"/>
          <w:szCs w:val="22"/>
        </w:rPr>
      </w:pPr>
      <w:r>
        <w:rPr>
          <w:rFonts w:ascii="Arial" w:hAnsi="Arial" w:cstheme="minorHAnsi"/>
          <w:sz w:val="22"/>
          <w:szCs w:val="22"/>
        </w:rPr>
        <w:t xml:space="preserve">Todo material utilizado debe ser capaz de resistir el efecto del calor y esfuerzos mecánicos, manteniendo su funcionamiento normal, en su condición de instalación. </w:t>
      </w:r>
    </w:p>
    <w:p>
      <w:pPr>
        <w:spacing w:before="0" w:after="120" w:line="360" w:lineRule="auto"/>
        <w:jc w:val="both"/>
        <w:rPr>
          <w:rFonts w:ascii="Arial" w:hAnsi="Arial"/>
          <w:sz w:val="22"/>
          <w:szCs w:val="22"/>
        </w:rPr>
      </w:pPr>
      <w:r>
        <w:rPr>
          <w:rFonts w:ascii="Arial" w:hAnsi="Arial" w:cstheme="minorHAnsi"/>
          <w:sz w:val="22"/>
          <w:szCs w:val="22"/>
        </w:rPr>
        <w:t xml:space="preserve">El medio de conexión entre los tubos, sus conexiones y accesorios diversos, debe garantizar la estanqueidad y la estabilidad mecánica de la junta y no deben sufrir compromiso de desempeño, si estuviere expuesto al fuego. </w:t>
      </w:r>
    </w:p>
    <w:p>
      <w:pPr>
        <w:spacing w:before="0" w:after="120" w:line="360" w:lineRule="auto"/>
        <w:jc w:val="both"/>
        <w:rPr>
          <w:rFonts w:ascii="Arial" w:hAnsi="Arial"/>
          <w:sz w:val="22"/>
          <w:szCs w:val="22"/>
        </w:rPr>
      </w:pPr>
      <w:r>
        <w:rPr>
          <w:rFonts w:ascii="Arial" w:hAnsi="Arial" w:cstheme="minorHAnsi"/>
          <w:sz w:val="22"/>
          <w:szCs w:val="22"/>
        </w:rPr>
        <w:t xml:space="preserve">La cañería debe ser fijada en los elementos estructurales de la edificación por medio de soportes metálicos y rígidos, de modo que cada punto de fijación resista el peso del tubo lleno de agua más la carga de 100 kg en el punto de soporte. </w:t>
      </w:r>
    </w:p>
    <w:p>
      <w:pPr>
        <w:spacing w:before="0" w:after="120" w:line="360" w:lineRule="auto"/>
        <w:jc w:val="both"/>
        <w:rPr>
          <w:rFonts w:ascii="Arial" w:hAnsi="Arial" w:cstheme="minorHAnsi"/>
          <w:sz w:val="22"/>
          <w:szCs w:val="22"/>
        </w:rPr>
      </w:pPr>
      <w:r>
        <w:rPr>
          <w:rFonts w:ascii="Arial" w:hAnsi="Arial" w:cstheme="minorHAnsi"/>
          <w:sz w:val="22"/>
          <w:szCs w:val="22"/>
        </w:rPr>
        <w:t>Los tubos y conexiones plásticas (PEAD, PVC, PPR, etc.), deben ser utilizados enterrados a la profundidad correspondiente, por debajo del nivel de piso terminado y satisfaciendo todos los requisitos de resistencia a la presión interna y esfuerzos mecánicos necesarios para el correcto funcionamiento de la instalación asegurando que no sufra daño mecánico.</w:t>
      </w:r>
    </w:p>
    <w:p>
      <w:pPr>
        <w:spacing w:before="0" w:after="0" w:line="360" w:lineRule="auto"/>
        <w:contextualSpacing/>
        <w:jc w:val="both"/>
        <w:rPr>
          <w:rFonts w:ascii="Arial" w:hAnsi="Arial" w:cs="Calibri"/>
          <w:b/>
          <w:sz w:val="22"/>
          <w:szCs w:val="22"/>
        </w:rPr>
      </w:pPr>
      <w:r>
        <w:rPr>
          <w:rFonts w:ascii="Arial" w:hAnsi="Arial" w:cstheme="minorHAnsi"/>
          <w:b/>
          <w:sz w:val="22"/>
          <w:szCs w:val="22"/>
        </w:rPr>
        <w:t>Encastre</w:t>
      </w:r>
    </w:p>
    <w:p>
      <w:pPr>
        <w:spacing w:before="0" w:after="0" w:line="360" w:lineRule="auto"/>
        <w:contextualSpacing/>
        <w:jc w:val="both"/>
        <w:rPr>
          <w:rFonts w:ascii="Arial" w:hAnsi="Arial" w:cstheme="minorHAnsi"/>
          <w:sz w:val="22"/>
          <w:szCs w:val="22"/>
        </w:rPr>
      </w:pPr>
      <w:r>
        <w:rPr>
          <w:rFonts w:ascii="Arial" w:hAnsi="Arial" w:cstheme="minorHAnsi"/>
          <w:sz w:val="22"/>
          <w:szCs w:val="22"/>
        </w:rPr>
        <w:t>Se utilizarán uniones Storz de 45mm o 25mm de diámetro según corresponda.</w:t>
      </w:r>
    </w:p>
    <w:p>
      <w:pPr>
        <w:spacing w:before="0" w:after="0" w:line="360" w:lineRule="auto"/>
        <w:contextualSpacing/>
        <w:jc w:val="both"/>
        <w:rPr>
          <w:rFonts w:ascii="Arial" w:hAnsi="Arial" w:cstheme="minorHAnsi"/>
          <w:sz w:val="22"/>
          <w:szCs w:val="22"/>
        </w:rPr>
      </w:pPr>
    </w:p>
    <w:p>
      <w:pPr>
        <w:spacing w:before="0" w:after="0" w:line="360" w:lineRule="auto"/>
        <w:contextualSpacing/>
        <w:jc w:val="both"/>
        <w:rPr>
          <w:rFonts w:ascii="Arial" w:hAnsi="Arial" w:cs="Calibri"/>
          <w:b/>
          <w:sz w:val="22"/>
          <w:szCs w:val="22"/>
        </w:rPr>
      </w:pPr>
      <w:r>
        <w:rPr>
          <w:rFonts w:ascii="Arial" w:hAnsi="Arial" w:cstheme="minorHAnsi"/>
          <w:b/>
          <w:sz w:val="22"/>
          <w:szCs w:val="22"/>
        </w:rPr>
        <w:t>Mangueras</w:t>
      </w:r>
    </w:p>
    <w:p>
      <w:pPr>
        <w:spacing w:before="0" w:after="0" w:line="360" w:lineRule="auto"/>
        <w:contextualSpacing/>
        <w:jc w:val="both"/>
        <w:rPr>
          <w:rFonts w:ascii="Arial" w:hAnsi="Arial"/>
          <w:sz w:val="22"/>
          <w:szCs w:val="22"/>
        </w:rPr>
      </w:pPr>
      <w:r>
        <w:rPr>
          <w:rFonts w:ascii="Arial" w:hAnsi="Arial" w:cstheme="minorHAnsi"/>
          <w:sz w:val="22"/>
          <w:szCs w:val="22"/>
        </w:rPr>
        <w:t>Estarán construidas con material sintético con engomado interior. Tendrán una extensión de 25m cada pieza y un diámetro de 45mm de tela y/o 25mm semirrígida según corresponda. Se colocarán las mismas plegadas en forma de zig-zag o enrolladas en el carrete axial respectivamente, conectadas entre sí, a la válvula de la boca y al puntero dentro del nicho o caja.</w:t>
      </w:r>
    </w:p>
    <w:p>
      <w:pPr>
        <w:spacing w:before="0" w:after="0" w:line="360" w:lineRule="auto"/>
        <w:contextualSpacing/>
        <w:jc w:val="both"/>
        <w:rPr>
          <w:rFonts w:ascii="Arial" w:hAnsi="Arial" w:cstheme="minorHAnsi"/>
          <w:b/>
          <w:sz w:val="22"/>
          <w:szCs w:val="22"/>
        </w:rPr>
      </w:pPr>
    </w:p>
    <w:p>
      <w:pPr>
        <w:spacing w:before="0" w:after="0" w:line="360" w:lineRule="auto"/>
        <w:contextualSpacing/>
        <w:jc w:val="both"/>
        <w:rPr>
          <w:rFonts w:ascii="Arial" w:hAnsi="Arial"/>
          <w:sz w:val="22"/>
          <w:szCs w:val="22"/>
        </w:rPr>
      </w:pPr>
      <w:r>
        <w:rPr>
          <w:rFonts w:ascii="Arial" w:hAnsi="Arial" w:cstheme="minorHAnsi"/>
          <w:b/>
          <w:sz w:val="22"/>
          <w:szCs w:val="22"/>
        </w:rPr>
        <w:t>Punteros</w:t>
      </w:r>
    </w:p>
    <w:p>
      <w:pPr>
        <w:spacing w:before="0" w:after="0" w:line="360" w:lineRule="auto"/>
        <w:contextualSpacing/>
        <w:jc w:val="both"/>
        <w:rPr>
          <w:rFonts w:ascii="Arial" w:hAnsi="Arial"/>
          <w:sz w:val="22"/>
          <w:szCs w:val="22"/>
        </w:rPr>
      </w:pPr>
      <w:r>
        <w:rPr>
          <w:rFonts w:ascii="Arial" w:hAnsi="Arial" w:cstheme="minorHAnsi"/>
          <w:sz w:val="22"/>
          <w:szCs w:val="22"/>
        </w:rPr>
        <w:t>Serán de chorro directo y del tipo multi propósito acorde a lo indicado más arriba para cada tipo.</w:t>
      </w:r>
    </w:p>
    <w:p>
      <w:pPr>
        <w:spacing w:before="0" w:after="0" w:line="360" w:lineRule="auto"/>
        <w:contextualSpacing/>
        <w:jc w:val="both"/>
        <w:rPr>
          <w:rFonts w:ascii="Arial" w:hAnsi="Arial"/>
          <w:sz w:val="22"/>
          <w:szCs w:val="22"/>
        </w:rPr>
      </w:pPr>
      <w:r>
        <w:rPr>
          <w:rFonts w:ascii="Arial" w:hAnsi="Arial" w:cstheme="minorHAnsi"/>
          <w:sz w:val="22"/>
          <w:szCs w:val="22"/>
        </w:rPr>
        <w:t xml:space="preserve">Deben ser construidos en latón C-37700, C-46400 y C-48500 según ASMT B 283 para materiales forjados o C- 83600, C-83800, C-84800 y C-86400 según </w:t>
      </w:r>
    </w:p>
    <w:p>
      <w:pPr>
        <w:spacing w:before="0" w:after="0" w:line="360" w:lineRule="auto"/>
        <w:contextualSpacing/>
        <w:jc w:val="both"/>
        <w:rPr>
          <w:rFonts w:ascii="Arial" w:hAnsi="Arial"/>
          <w:sz w:val="22"/>
          <w:szCs w:val="22"/>
        </w:rPr>
      </w:pPr>
      <w:r>
        <w:rPr>
          <w:rFonts w:ascii="Arial" w:hAnsi="Arial" w:cstheme="minorHAnsi"/>
          <w:sz w:val="22"/>
          <w:szCs w:val="22"/>
        </w:rPr>
        <w:t xml:space="preserve">ASMT B 584, para materiales fundidos, o bronce ASMT B 62, para materiales fundidos. Otros materiales podrán ser utilizados siempre y cuando sea comprobada su adecuación técnica por parte de la Dirección Nacional de Bomberos. </w:t>
      </w:r>
    </w:p>
    <w:p>
      <w:pPr>
        <w:spacing w:before="0" w:after="0" w:line="360" w:lineRule="auto"/>
        <w:contextualSpacing/>
        <w:jc w:val="both"/>
        <w:rPr>
          <w:rFonts w:ascii="Arial" w:hAnsi="Arial"/>
          <w:sz w:val="22"/>
          <w:szCs w:val="22"/>
        </w:rPr>
      </w:pPr>
      <w:r>
        <w:rPr>
          <w:rFonts w:ascii="Arial" w:hAnsi="Arial" w:cstheme="minorHAnsi"/>
          <w:sz w:val="22"/>
          <w:szCs w:val="22"/>
        </w:rPr>
        <w:t>Los componentes de sellado deben ser en goma, conforme ASMT D 2000 o bien pueden ser utilizados otros materiales que cumplan dicho objetivo, previa aprobación de la Dirección Nacional de Bomberos.</w:t>
      </w:r>
    </w:p>
    <w:p>
      <w:pPr>
        <w:spacing w:before="0" w:after="0" w:line="360" w:lineRule="auto"/>
        <w:contextualSpacing/>
        <w:jc w:val="both"/>
        <w:rPr>
          <w:rFonts w:ascii="Arial" w:hAnsi="Arial"/>
          <w:sz w:val="22"/>
          <w:szCs w:val="22"/>
        </w:rPr>
      </w:pPr>
      <w:r>
        <w:rPr>
          <w:rFonts w:ascii="Arial" w:hAnsi="Arial" w:cstheme="minorHAnsi"/>
          <w:sz w:val="22"/>
          <w:szCs w:val="22"/>
        </w:rPr>
        <w:t xml:space="preserve">El alcance del chorro de agua para el puntero multipropósito, producido por cualquier sistema adoptado conforme la Tabla 3, no debe ser inferior a 10 metros, medido desde la salida del puntero hasta tocar el suelo, ubicando el puntero de forma horizontal a 1 m de altura del suelo y en posición de chorro compacto o pleno. </w:t>
      </w:r>
    </w:p>
    <w:p>
      <w:pPr>
        <w:spacing w:before="0" w:after="0" w:line="360" w:lineRule="auto"/>
        <w:contextualSpacing/>
        <w:jc w:val="both"/>
        <w:rPr>
          <w:rFonts w:ascii="Arial" w:hAnsi="Arial"/>
          <w:sz w:val="22"/>
          <w:szCs w:val="22"/>
        </w:rPr>
      </w:pPr>
      <w:r>
        <w:rPr>
          <w:rFonts w:ascii="Arial" w:hAnsi="Arial" w:cstheme="minorHAnsi"/>
          <w:sz w:val="22"/>
          <w:szCs w:val="22"/>
        </w:rPr>
        <w:t xml:space="preserve">Los punteros son dispositivos hidráulicos para lanzamiento de agua a través de mangueras de incendio, siendo regulables, posibilitando la emisión de chorro pleno o niebla. </w:t>
      </w:r>
    </w:p>
    <w:p>
      <w:pPr>
        <w:spacing w:before="0" w:after="0" w:line="360" w:lineRule="auto"/>
        <w:contextualSpacing/>
        <w:jc w:val="both"/>
        <w:rPr>
          <w:rFonts w:ascii="Arial" w:hAnsi="Arial" w:cs="Calibri"/>
          <w:sz w:val="22"/>
          <w:szCs w:val="22"/>
        </w:rPr>
      </w:pPr>
      <w:r>
        <w:rPr>
          <w:rFonts w:ascii="Arial" w:hAnsi="Arial" w:cstheme="minorHAnsi"/>
          <w:sz w:val="22"/>
          <w:szCs w:val="22"/>
        </w:rPr>
        <w:t xml:space="preserve">El accionado del puntero regulable, de palanca o de collar, debe permitir la modulación de la conformación del chorro, así como el cerrado total del flujo. </w:t>
      </w:r>
    </w:p>
    <w:p>
      <w:pPr>
        <w:spacing w:before="0" w:after="0" w:line="360" w:lineRule="auto"/>
        <w:contextualSpacing/>
        <w:jc w:val="both"/>
        <w:rPr>
          <w:rFonts w:ascii="Arial" w:hAnsi="Arial" w:cstheme="minorHAnsi"/>
          <w:b/>
          <w:sz w:val="22"/>
          <w:szCs w:val="22"/>
        </w:rPr>
      </w:pPr>
    </w:p>
    <w:p>
      <w:pPr>
        <w:spacing w:before="0" w:after="0" w:line="360" w:lineRule="auto"/>
        <w:contextualSpacing/>
        <w:jc w:val="both"/>
        <w:rPr>
          <w:rFonts w:ascii="Arial" w:hAnsi="Arial"/>
          <w:sz w:val="22"/>
          <w:szCs w:val="22"/>
        </w:rPr>
      </w:pPr>
      <w:r>
        <w:rPr>
          <w:rFonts w:ascii="Arial" w:hAnsi="Arial" w:cstheme="minorHAnsi"/>
          <w:b/>
          <w:sz w:val="22"/>
          <w:szCs w:val="22"/>
        </w:rPr>
        <w:t>Color</w:t>
      </w:r>
    </w:p>
    <w:p>
      <w:pPr>
        <w:spacing w:before="0" w:after="0" w:line="360" w:lineRule="auto"/>
        <w:contextualSpacing/>
        <w:jc w:val="both"/>
        <w:rPr>
          <w:rFonts w:ascii="Arial" w:hAnsi="Arial"/>
          <w:sz w:val="22"/>
          <w:szCs w:val="22"/>
        </w:rPr>
      </w:pPr>
      <w:r>
        <w:rPr>
          <w:rFonts w:ascii="Arial" w:hAnsi="Arial" w:cstheme="minorHAnsi"/>
          <w:sz w:val="22"/>
          <w:szCs w:val="22"/>
        </w:rPr>
        <w:t>Las cañerías cuando estén expuestas, que pasen por ductos verticales u horizontales y que sean visibles a través de la puerta de inspección y cuyo material será entonces de HG, serán pintadas con dos manos de fondo anti óxido y dos (2) capas de esmalte sintético color rojo.</w:t>
      </w:r>
    </w:p>
    <w:p>
      <w:pPr>
        <w:spacing w:before="0" w:after="0" w:line="360" w:lineRule="auto"/>
        <w:contextualSpacing/>
        <w:jc w:val="both"/>
        <w:rPr>
          <w:rFonts w:ascii="Arial" w:hAnsi="Arial"/>
          <w:sz w:val="22"/>
          <w:szCs w:val="22"/>
        </w:rPr>
      </w:pPr>
      <w:r>
        <w:rPr>
          <w:rFonts w:ascii="Arial" w:hAnsi="Arial" w:cstheme="minorHAnsi"/>
          <w:sz w:val="22"/>
          <w:szCs w:val="22"/>
        </w:rPr>
        <w:t>Los nichos de incendio serán pintados de color rojo.</w:t>
      </w:r>
    </w:p>
    <w:p>
      <w:pPr>
        <w:spacing w:before="0" w:after="0" w:line="360" w:lineRule="auto"/>
        <w:contextualSpacing/>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b/>
          <w:bCs/>
          <w:sz w:val="22"/>
          <w:szCs w:val="22"/>
        </w:rPr>
        <w:t>Si por razones estéticas particulares estuvieran pintadas de otro color, deberán estar perfectamente identificadas en todos los cambios de dirección en ambos lados y en los tramos rectos de tubería a no más de 5 m de distancia, con una franja anillada pintada de color rojo de 3 cm de ancho. VERIFICAR CON LA D.O. EL COLOR DE LA CAÑERIA QUE QUEDA VISTA.</w:t>
      </w:r>
    </w:p>
    <w:p>
      <w:pPr>
        <w:spacing w:before="0" w:after="0" w:line="360" w:lineRule="auto"/>
        <w:rPr>
          <w:rFonts w:ascii="Arial" w:hAnsi="Arial" w:cs="Calibri"/>
          <w:sz w:val="22"/>
          <w:szCs w:val="22"/>
        </w:rPr>
      </w:pPr>
    </w:p>
    <w:p>
      <w:pPr>
        <w:spacing w:before="0" w:after="0" w:line="360" w:lineRule="auto"/>
        <w:contextualSpacing/>
        <w:jc w:val="both"/>
        <w:rPr>
          <w:rFonts w:ascii="Arial" w:hAnsi="Arial" w:cs="Calibri"/>
          <w:b/>
          <w:sz w:val="22"/>
          <w:szCs w:val="22"/>
        </w:rPr>
      </w:pPr>
      <w:r>
        <w:rPr>
          <w:rFonts w:ascii="Arial" w:hAnsi="Arial" w:cstheme="minorHAnsi"/>
          <w:b/>
          <w:sz w:val="22"/>
          <w:szCs w:val="22"/>
        </w:rPr>
        <w:t>Presión</w:t>
      </w:r>
    </w:p>
    <w:p>
      <w:pPr>
        <w:spacing w:before="0" w:after="0" w:line="360" w:lineRule="auto"/>
        <w:contextualSpacing/>
        <w:jc w:val="both"/>
        <w:rPr>
          <w:rFonts w:ascii="Arial" w:hAnsi="Arial"/>
          <w:sz w:val="22"/>
          <w:szCs w:val="22"/>
        </w:rPr>
      </w:pPr>
      <w:r>
        <w:rPr>
          <w:rFonts w:ascii="Arial" w:hAnsi="Arial" w:cstheme="minorHAnsi"/>
          <w:sz w:val="22"/>
          <w:szCs w:val="22"/>
        </w:rPr>
        <w:t>La presurización a efectuar mediante moto bomba o electro bomba, deberá garantizar una presión de 4kg/cm2 en el sector más desfavorable del edificio.</w:t>
      </w:r>
    </w:p>
    <w:p>
      <w:pPr>
        <w:spacing w:before="0" w:after="0" w:line="360" w:lineRule="auto"/>
        <w:ind w:left="360" w:firstLine="0"/>
        <w:contextualSpacing/>
        <w:jc w:val="both"/>
        <w:rPr>
          <w:rFonts w:ascii="Arial" w:hAnsi="Arial" w:cs="Calibri"/>
          <w:sz w:val="22"/>
          <w:szCs w:val="22"/>
        </w:rPr>
      </w:pPr>
    </w:p>
    <w:p>
      <w:pPr>
        <w:spacing w:before="0" w:after="0" w:line="360" w:lineRule="auto"/>
        <w:contextualSpacing/>
        <w:jc w:val="both"/>
        <w:rPr>
          <w:rFonts w:ascii="Arial" w:hAnsi="Arial" w:cs="Calibri"/>
          <w:b/>
          <w:sz w:val="22"/>
          <w:szCs w:val="22"/>
        </w:rPr>
      </w:pPr>
      <w:r>
        <w:rPr>
          <w:rFonts w:ascii="Arial" w:hAnsi="Arial" w:cstheme="minorHAnsi"/>
          <w:b/>
          <w:sz w:val="22"/>
          <w:szCs w:val="22"/>
        </w:rPr>
        <w:t>Válvulas de apertura de Tomas de agua y Bocas de Incendio</w:t>
      </w:r>
    </w:p>
    <w:p>
      <w:pPr>
        <w:spacing w:before="0" w:after="0" w:line="360" w:lineRule="auto"/>
        <w:contextualSpacing/>
        <w:jc w:val="both"/>
        <w:rPr>
          <w:rFonts w:ascii="Arial" w:hAnsi="Arial"/>
          <w:sz w:val="22"/>
          <w:szCs w:val="22"/>
        </w:rPr>
      </w:pPr>
      <w:r>
        <w:rPr>
          <w:rFonts w:ascii="Arial" w:hAnsi="Arial" w:cstheme="minorHAnsi"/>
          <w:sz w:val="22"/>
          <w:szCs w:val="22"/>
        </w:rPr>
        <w:t>Las válvulas de las tomas de agua deben ser del tipo angulares “Globo” de diámetro no inferior a 2 ½ “ (65 mm.).</w:t>
      </w:r>
    </w:p>
    <w:p>
      <w:pPr>
        <w:spacing w:before="0" w:after="0" w:line="360" w:lineRule="auto"/>
        <w:contextualSpacing/>
        <w:jc w:val="both"/>
        <w:rPr>
          <w:rFonts w:ascii="Arial" w:hAnsi="Arial" w:cs="Calibri"/>
          <w:sz w:val="22"/>
          <w:szCs w:val="22"/>
        </w:rPr>
      </w:pPr>
      <w:r>
        <w:rPr>
          <w:rFonts w:ascii="Arial" w:hAnsi="Arial" w:cstheme="minorHAnsi"/>
          <w:sz w:val="22"/>
          <w:szCs w:val="22"/>
        </w:rPr>
        <w:t>Las válvulas para sistemas de bocas de incendio, deben ser del tipo “Globo”, permitiendo un pasaje pleno de un diámetro mínimo de 1” (25 mm).</w:t>
      </w:r>
    </w:p>
    <w:p>
      <w:pPr>
        <w:spacing w:before="0" w:after="0" w:line="360" w:lineRule="auto"/>
        <w:contextualSpacing/>
        <w:jc w:val="both"/>
        <w:rPr>
          <w:rFonts w:ascii="Arial" w:hAnsi="Arial" w:cs="Calibri"/>
          <w:b/>
          <w:sz w:val="22"/>
          <w:szCs w:val="22"/>
        </w:rPr>
      </w:pPr>
      <w:r>
        <w:rPr>
          <w:rFonts w:ascii="Arial" w:hAnsi="Arial" w:cstheme="minorHAnsi"/>
          <w:b/>
          <w:sz w:val="22"/>
          <w:szCs w:val="22"/>
        </w:rPr>
        <w:t>Válvulas</w:t>
      </w:r>
    </w:p>
    <w:p>
      <w:pPr>
        <w:spacing w:before="0" w:after="0" w:line="360" w:lineRule="auto"/>
        <w:contextualSpacing/>
        <w:jc w:val="both"/>
        <w:rPr>
          <w:rFonts w:ascii="Arial" w:hAnsi="Arial"/>
          <w:sz w:val="22"/>
          <w:szCs w:val="22"/>
        </w:rPr>
      </w:pPr>
      <w:r>
        <w:rPr>
          <w:rFonts w:ascii="Arial" w:hAnsi="Arial" w:cstheme="minorHAnsi"/>
          <w:sz w:val="22"/>
          <w:szCs w:val="22"/>
        </w:rPr>
        <w:t xml:space="preserve">Es recomendada la instalación de válvulas de corte o bloqueo adecuadamente posicionadas, con objetivo de proporcionar mantenimiento en partes de la cañería sin la desactivación de todo el sistema. </w:t>
      </w:r>
    </w:p>
    <w:p>
      <w:pPr>
        <w:spacing w:before="0" w:after="0" w:line="360" w:lineRule="auto"/>
        <w:contextualSpacing/>
        <w:jc w:val="both"/>
        <w:rPr>
          <w:rFonts w:ascii="Arial" w:hAnsi="Arial"/>
          <w:sz w:val="22"/>
          <w:szCs w:val="22"/>
        </w:rPr>
      </w:pPr>
      <w:r>
        <w:rPr>
          <w:rFonts w:ascii="Arial" w:hAnsi="Arial" w:cstheme="minorHAnsi"/>
          <w:sz w:val="22"/>
          <w:szCs w:val="22"/>
        </w:rPr>
        <w:t xml:space="preserve">Las válvulas que comprometen el abastecimiento de agua a cualquier punto del sistema, deberán ser supervisadas por alguno de los siguientes métodos: </w:t>
      </w:r>
    </w:p>
    <w:p>
      <w:pPr>
        <w:spacing w:before="0" w:after="0" w:line="360" w:lineRule="auto"/>
        <w:contextualSpacing/>
        <w:jc w:val="both"/>
        <w:rPr>
          <w:rFonts w:ascii="Arial" w:hAnsi="Arial"/>
          <w:sz w:val="22"/>
          <w:szCs w:val="22"/>
        </w:rPr>
      </w:pPr>
      <w:r>
        <w:rPr>
          <w:rFonts w:ascii="Arial" w:hAnsi="Arial" w:cstheme="minorHAnsi"/>
          <w:sz w:val="22"/>
          <w:szCs w:val="22"/>
        </w:rPr>
        <w:t xml:space="preserve">a) Bloqueo de la válvula en posición abierta mediante cadena, candado o elemento mecánico. </w:t>
      </w:r>
    </w:p>
    <w:p>
      <w:pPr>
        <w:spacing w:before="0" w:after="0" w:line="360" w:lineRule="auto"/>
        <w:contextualSpacing/>
        <w:jc w:val="both"/>
        <w:rPr>
          <w:rFonts w:ascii="Arial" w:hAnsi="Arial"/>
          <w:sz w:val="22"/>
          <w:szCs w:val="22"/>
        </w:rPr>
      </w:pPr>
      <w:r>
        <w:rPr>
          <w:rFonts w:ascii="Arial" w:hAnsi="Arial" w:cstheme="minorHAnsi"/>
          <w:sz w:val="22"/>
          <w:szCs w:val="22"/>
        </w:rPr>
        <w:t xml:space="preserve">b) Válvulas ubicadas dentro de un cerramiento cercado bajo el control del propietario selladas en posición abierta, inspeccionadas semanalmente como parte de un procedimiento </w:t>
      </w:r>
    </w:p>
    <w:p>
      <w:pPr>
        <w:spacing w:before="0" w:after="0" w:line="360" w:lineRule="auto"/>
        <w:contextualSpacing/>
        <w:jc w:val="both"/>
        <w:rPr>
          <w:rFonts w:ascii="Arial" w:hAnsi="Arial"/>
          <w:sz w:val="22"/>
          <w:szCs w:val="22"/>
        </w:rPr>
      </w:pPr>
      <w:r>
        <w:rPr>
          <w:rFonts w:ascii="Arial" w:hAnsi="Arial" w:cstheme="minorHAnsi"/>
          <w:sz w:val="22"/>
          <w:szCs w:val="22"/>
        </w:rPr>
        <w:t xml:space="preserve">c) Supervisadas por el sistema de control y alarma centralizado </w:t>
      </w:r>
    </w:p>
    <w:p>
      <w:pPr>
        <w:spacing w:before="0" w:after="0" w:line="360" w:lineRule="auto"/>
        <w:contextualSpacing/>
        <w:jc w:val="both"/>
        <w:rPr>
          <w:rFonts w:ascii="Arial" w:hAnsi="Arial"/>
          <w:sz w:val="22"/>
          <w:szCs w:val="22"/>
        </w:rPr>
      </w:pPr>
      <w:r>
        <w:rPr>
          <w:rFonts w:ascii="Arial" w:hAnsi="Arial" w:cstheme="minorHAnsi"/>
          <w:sz w:val="22"/>
          <w:szCs w:val="22"/>
        </w:rPr>
        <w:t>d) Señalización local con señal audible en un punto constantemente asistido.</w:t>
      </w:r>
    </w:p>
    <w:p>
      <w:pPr>
        <w:spacing w:before="0" w:after="0" w:line="360" w:lineRule="auto"/>
        <w:contextualSpacing/>
        <w:jc w:val="both"/>
        <w:rPr>
          <w:rFonts w:ascii="Arial" w:hAnsi="Arial" w:cs="Calibri"/>
          <w:b/>
          <w:sz w:val="22"/>
          <w:szCs w:val="22"/>
        </w:rPr>
      </w:pPr>
    </w:p>
    <w:p>
      <w:pPr>
        <w:spacing w:before="0" w:after="0" w:line="360" w:lineRule="auto"/>
        <w:contextualSpacing/>
        <w:jc w:val="both"/>
        <w:rPr>
          <w:rFonts w:ascii="Arial" w:hAnsi="Arial" w:cs="Calibri"/>
          <w:b/>
          <w:sz w:val="22"/>
          <w:szCs w:val="22"/>
        </w:rPr>
      </w:pPr>
      <w:r>
        <w:rPr>
          <w:rFonts w:ascii="Arial" w:hAnsi="Arial" w:cstheme="minorHAnsi"/>
          <w:b/>
          <w:sz w:val="22"/>
          <w:szCs w:val="22"/>
        </w:rPr>
        <w:t>Recalque</w:t>
      </w:r>
    </w:p>
    <w:p>
      <w:pPr>
        <w:spacing w:before="0" w:after="0" w:line="360" w:lineRule="auto"/>
        <w:contextualSpacing/>
        <w:jc w:val="both"/>
        <w:rPr>
          <w:rFonts w:ascii="Arial" w:hAnsi="Arial"/>
          <w:sz w:val="22"/>
          <w:szCs w:val="22"/>
        </w:rPr>
      </w:pPr>
      <w:r>
        <w:rPr>
          <w:rFonts w:ascii="Arial" w:hAnsi="Arial" w:cstheme="minorHAnsi"/>
          <w:sz w:val="22"/>
          <w:szCs w:val="22"/>
        </w:rPr>
        <w:t>Todos los sistemas (tomas de agua y bocas de incendio) deben ser dotados de dispositivos de recalque, consistiendo en un prolongamiento de diámetro como mínimo igual al de la tubería principal, cuyos encastres deben ser compatibles con uniones del tipo storz (65 mm.).</w:t>
      </w:r>
    </w:p>
    <w:p>
      <w:pPr>
        <w:spacing w:before="0" w:after="0" w:line="360" w:lineRule="auto"/>
        <w:contextualSpacing/>
        <w:jc w:val="both"/>
        <w:rPr>
          <w:rFonts w:ascii="Arial" w:hAnsi="Arial" w:cs="Calibri"/>
          <w:sz w:val="22"/>
          <w:szCs w:val="22"/>
        </w:rPr>
      </w:pPr>
    </w:p>
    <w:p>
      <w:pPr>
        <w:spacing w:before="0" w:after="0" w:line="360" w:lineRule="auto"/>
        <w:contextualSpacing/>
        <w:jc w:val="both"/>
        <w:rPr>
          <w:rFonts w:ascii="Arial" w:hAnsi="Arial" w:cs="Calibri"/>
          <w:b/>
          <w:sz w:val="22"/>
          <w:szCs w:val="22"/>
        </w:rPr>
      </w:pPr>
      <w:r>
        <w:rPr>
          <w:rFonts w:ascii="Arial" w:hAnsi="Arial" w:cstheme="minorHAnsi"/>
          <w:b/>
          <w:sz w:val="22"/>
          <w:szCs w:val="22"/>
        </w:rPr>
        <w:t>Uniones / Encastres (Tipo Storz).</w:t>
      </w:r>
    </w:p>
    <w:p>
      <w:pPr>
        <w:spacing w:before="0" w:after="0" w:line="360" w:lineRule="auto"/>
        <w:contextualSpacing/>
        <w:jc w:val="both"/>
        <w:rPr>
          <w:rFonts w:ascii="Arial" w:hAnsi="Arial"/>
          <w:sz w:val="22"/>
          <w:szCs w:val="22"/>
        </w:rPr>
      </w:pPr>
      <w:r>
        <w:rPr>
          <w:rFonts w:ascii="Arial" w:hAnsi="Arial" w:cstheme="minorHAnsi"/>
          <w:sz w:val="22"/>
          <w:szCs w:val="22"/>
        </w:rPr>
        <w:t>Las uniones de encastre rápido entre mangueras de incendio deben establecerse conforme a las normas adoptadas por parte de la autoridad competente.</w:t>
      </w:r>
    </w:p>
    <w:p>
      <w:pPr>
        <w:spacing w:before="0" w:after="0" w:line="360" w:lineRule="auto"/>
        <w:contextualSpacing/>
        <w:jc w:val="both"/>
        <w:rPr>
          <w:rFonts w:ascii="Arial" w:hAnsi="Arial"/>
          <w:sz w:val="22"/>
          <w:szCs w:val="22"/>
        </w:rPr>
      </w:pPr>
      <w:r>
        <w:rPr>
          <w:rFonts w:ascii="Arial" w:hAnsi="Arial" w:cstheme="minorHAnsi"/>
          <w:sz w:val="22"/>
          <w:szCs w:val="22"/>
        </w:rPr>
        <w:t>Las dimensiones y los materiales para la confección de las uniones de encastre rápido deben atender a lo dispuesto por la autoridad competente, en base a los documentos técnicos de referencia que éstos empleen, pudiendo utilizarse aleaciones de metales no ferrosos.</w:t>
      </w:r>
    </w:p>
    <w:p>
      <w:pPr>
        <w:spacing w:before="0" w:after="240" w:line="360" w:lineRule="auto"/>
        <w:jc w:val="both"/>
        <w:rPr>
          <w:rFonts w:ascii="Arial" w:hAnsi="Arial"/>
          <w:sz w:val="22"/>
          <w:szCs w:val="22"/>
        </w:rPr>
      </w:pPr>
      <w:r>
        <w:rPr>
          <w:rFonts w:ascii="Arial" w:hAnsi="Arial" w:cstheme="minorHAnsi"/>
          <w:sz w:val="22"/>
          <w:szCs w:val="22"/>
        </w:rPr>
        <w:t>Las uniones de encastre rápido entre mangueras de incendio, deben ser del tipo Storz, homologadas por la Dirección Nacional de Bomberos cuyos diámetros nominales se muestran en la Tabla 2:</w:t>
      </w:r>
    </w:p>
    <w:p>
      <w:pPr>
        <w:spacing w:before="0" w:after="240" w:line="360" w:lineRule="auto"/>
        <w:jc w:val="center"/>
        <w:rPr>
          <w:rFonts w:ascii="Arial" w:hAnsi="Arial"/>
          <w:sz w:val="22"/>
          <w:szCs w:val="22"/>
        </w:rPr>
      </w:pPr>
      <w:r>
        <w:rPr>
          <w:rFonts w:ascii="Arial" w:hAnsi="Arial"/>
          <w:sz w:val="22"/>
          <w:szCs w:val="22"/>
        </w:rPr>
        <w:drawing>
          <wp:inline distT="0" distB="0" distL="0" distR="0">
            <wp:extent cx="3167380" cy="1953260"/>
            <wp:effectExtent l="0" t="0" r="0" b="0"/>
            <wp:docPr id="5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21"/>
                    <pic:cNvPicPr>
                      <a:picLocks noChangeAspect="1" noChangeArrowheads="1"/>
                    </pic:cNvPicPr>
                  </pic:nvPicPr>
                  <pic:blipFill>
                    <a:blip r:embed="rId45"/>
                    <a:srcRect l="42447" t="51489" r="25188" b="13098"/>
                    <a:stretch>
                      <a:fillRect/>
                    </a:stretch>
                  </pic:blipFill>
                  <pic:spPr>
                    <a:xfrm>
                      <a:off x="0" y="0"/>
                      <a:ext cx="3167380" cy="1953260"/>
                    </a:xfrm>
                    <a:prstGeom prst="rect">
                      <a:avLst/>
                    </a:prstGeom>
                  </pic:spPr>
                </pic:pic>
              </a:graphicData>
            </a:graphic>
          </wp:inline>
        </w:drawing>
      </w:r>
    </w:p>
    <w:p>
      <w:pPr>
        <w:spacing w:before="0" w:after="0" w:line="360" w:lineRule="auto"/>
        <w:contextualSpacing/>
        <w:jc w:val="both"/>
        <w:rPr>
          <w:rFonts w:ascii="Arial" w:hAnsi="Arial" w:cs="Calibri"/>
          <w:sz w:val="22"/>
          <w:szCs w:val="22"/>
        </w:rPr>
      </w:pPr>
      <w:r>
        <w:rPr>
          <w:rFonts w:ascii="Arial" w:hAnsi="Arial" w:cstheme="minorHAnsi"/>
          <w:b/>
          <w:sz w:val="22"/>
          <w:szCs w:val="22"/>
        </w:rPr>
        <w:t>TODOS LOS MATERIALES DE LAS MEDIDAS CONTRA INCENDIO DEBERÁN ESTAR HOMOLOGADOS POR BOMBEROS.</w:t>
      </w:r>
    </w:p>
    <w:p>
      <w:pPr>
        <w:spacing w:before="0" w:after="0" w:line="360" w:lineRule="auto"/>
        <w:contextualSpacing/>
        <w:jc w:val="both"/>
        <w:rPr>
          <w:rFonts w:ascii="Arial" w:hAnsi="Arial" w:cs="Calibri"/>
          <w:sz w:val="22"/>
          <w:szCs w:val="22"/>
        </w:rPr>
      </w:pPr>
    </w:p>
    <w:p>
      <w:pPr>
        <w:spacing w:before="0" w:after="0" w:line="360" w:lineRule="auto"/>
        <w:contextualSpacing/>
        <w:jc w:val="left"/>
        <w:rPr>
          <w:rFonts w:ascii="Arial" w:hAnsi="Arial" w:cs="Calibri"/>
          <w:sz w:val="22"/>
          <w:szCs w:val="22"/>
        </w:rPr>
      </w:pPr>
      <w:r>
        <w:rPr>
          <w:rFonts w:ascii="Arial" w:hAnsi="Arial" w:cstheme="minorHAnsi"/>
          <w:b/>
          <w:sz w:val="22"/>
          <w:szCs w:val="22"/>
        </w:rPr>
        <w:t>ANEXO VI:</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RESPONSABLE POR EL USO:</w:t>
      </w:r>
      <w:r>
        <w:rPr>
          <w:rFonts w:ascii="Arial" w:hAnsi="Arial" w:cstheme="minorHAnsi"/>
          <w:b/>
          <w:bCs/>
          <w:color w:val="auto"/>
          <w:sz w:val="22"/>
          <w:szCs w:val="22"/>
          <w:lang w:val="es-UY"/>
        </w:rPr>
        <w:t xml:space="preserve"> INSTITUTO URUGUAYO DE METEOROLOGIA (INUMET)</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DESTINO:</w:t>
      </w:r>
      <w:r>
        <w:rPr>
          <w:rFonts w:ascii="Arial" w:hAnsi="Arial" w:cstheme="minorHAnsi"/>
          <w:b/>
          <w:bCs/>
          <w:color w:val="auto"/>
          <w:sz w:val="22"/>
          <w:szCs w:val="22"/>
          <w:lang w:val="es-UY"/>
        </w:rPr>
        <w:t xml:space="preserve"> ADMINISTRATIVO</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GRUPO/CATEGORIA:</w:t>
      </w:r>
      <w:r>
        <w:rPr>
          <w:rFonts w:ascii="Arial" w:hAnsi="Arial" w:cstheme="minorHAnsi"/>
          <w:b/>
          <w:bCs/>
          <w:color w:val="auto"/>
          <w:sz w:val="22"/>
          <w:szCs w:val="22"/>
          <w:lang w:val="es-UY"/>
        </w:rPr>
        <w:t xml:space="preserve"> D</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CLASIFICACIÓN:</w:t>
      </w:r>
      <w:r>
        <w:rPr>
          <w:rFonts w:ascii="Arial" w:hAnsi="Arial" w:cstheme="minorHAnsi"/>
          <w:b/>
          <w:bCs/>
          <w:color w:val="auto"/>
          <w:sz w:val="22"/>
          <w:szCs w:val="22"/>
          <w:lang w:val="es-UY"/>
        </w:rPr>
        <w:t xml:space="preserve"> D-1 </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 xml:space="preserve">RIESGO: </w:t>
      </w:r>
      <w:r>
        <w:rPr>
          <w:rFonts w:ascii="Arial" w:hAnsi="Arial" w:cstheme="minorHAnsi"/>
          <w:b/>
          <w:bCs/>
          <w:color w:val="auto"/>
          <w:sz w:val="22"/>
          <w:szCs w:val="22"/>
          <w:lang w:val="es-UY"/>
        </w:rPr>
        <w:t>MEDIO</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CARGA DE FUEGO:</w:t>
      </w:r>
      <w:r>
        <w:rPr>
          <w:rFonts w:ascii="Arial" w:hAnsi="Arial" w:cstheme="minorHAnsi"/>
          <w:b/>
          <w:bCs/>
          <w:color w:val="auto"/>
          <w:sz w:val="22"/>
          <w:szCs w:val="22"/>
          <w:lang w:val="es-UY"/>
        </w:rPr>
        <w:t xml:space="preserve"> 700 MJ/m</w:t>
      </w:r>
      <w:r>
        <w:rPr>
          <w:rFonts w:ascii="Arial" w:hAnsi="Arial" w:cstheme="minorHAnsi"/>
          <w:b/>
          <w:bCs/>
          <w:color w:val="auto"/>
          <w:sz w:val="22"/>
          <w:szCs w:val="22"/>
          <w:vertAlign w:val="superscript"/>
          <w:lang w:val="es-UY"/>
        </w:rPr>
        <w:t>2</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DIRECCIÓN:</w:t>
      </w:r>
      <w:r>
        <w:rPr>
          <w:rFonts w:ascii="Arial" w:hAnsi="Arial" w:cstheme="minorHAnsi"/>
          <w:b/>
          <w:bCs/>
          <w:color w:val="auto"/>
          <w:sz w:val="22"/>
          <w:szCs w:val="22"/>
          <w:lang w:val="es-UY"/>
        </w:rPr>
        <w:t xml:space="preserve"> DR. JAVIER BARRIOS AMORÍN 1488 / MONTEVIDEO /URUGUAY</w:t>
      </w:r>
    </w:p>
    <w:p>
      <w:pPr>
        <w:pStyle w:val="57"/>
        <w:spacing w:line="360" w:lineRule="auto"/>
        <w:jc w:val="both"/>
        <w:rPr>
          <w:rFonts w:ascii="Arial" w:hAnsi="Arial"/>
          <w:b/>
          <w:bCs/>
          <w:color w:val="auto"/>
          <w:sz w:val="22"/>
          <w:szCs w:val="22"/>
          <w:lang w:val="es-UY"/>
        </w:rPr>
      </w:pPr>
    </w:p>
    <w:p>
      <w:pPr>
        <w:pStyle w:val="23"/>
        <w:pBdr>
          <w:top w:val="single" w:color="000000" w:sz="4" w:space="1"/>
          <w:left w:val="single" w:color="000000" w:sz="4" w:space="4"/>
          <w:bottom w:val="single" w:color="000000" w:sz="4" w:space="1"/>
          <w:right w:val="single" w:color="000000" w:sz="4" w:space="4"/>
        </w:pBdr>
        <w:spacing w:line="360" w:lineRule="auto"/>
        <w:jc w:val="center"/>
        <w:rPr>
          <w:rFonts w:ascii="Arial" w:hAnsi="Arial"/>
          <w:sz w:val="22"/>
          <w:szCs w:val="22"/>
        </w:rPr>
      </w:pPr>
      <w:r>
        <w:rPr>
          <w:rFonts w:ascii="Arial" w:hAnsi="Arial" w:cstheme="minorHAnsi"/>
          <w:b/>
          <w:sz w:val="22"/>
          <w:szCs w:val="22"/>
        </w:rPr>
        <w:t>ANEXO VI_SEÑALIZACION FOTOLUMINISCENTE</w:t>
      </w:r>
    </w:p>
    <w:p>
      <w:pPr>
        <w:pStyle w:val="57"/>
        <w:pBdr>
          <w:bottom w:val="single" w:color="000000" w:sz="4" w:space="1"/>
        </w:pBdr>
        <w:spacing w:line="360" w:lineRule="auto"/>
        <w:rPr>
          <w:rFonts w:ascii="Arial" w:hAnsi="Arial"/>
          <w:b/>
          <w:color w:val="auto"/>
          <w:sz w:val="22"/>
          <w:szCs w:val="22"/>
          <w:lang w:val="es-UY"/>
        </w:rPr>
      </w:pPr>
    </w:p>
    <w:p>
      <w:pPr>
        <w:pStyle w:val="57"/>
        <w:pBdr>
          <w:bottom w:val="single" w:color="000000" w:sz="4" w:space="1"/>
        </w:pBdr>
        <w:spacing w:line="360" w:lineRule="auto"/>
        <w:rPr>
          <w:rFonts w:ascii="Arial" w:hAnsi="Arial"/>
          <w:sz w:val="22"/>
          <w:szCs w:val="22"/>
        </w:rPr>
      </w:pPr>
      <w:r>
        <w:rPr>
          <w:rFonts w:ascii="Arial" w:hAnsi="Arial" w:cstheme="minorHAnsi"/>
          <w:b/>
          <w:color w:val="auto"/>
          <w:sz w:val="22"/>
          <w:szCs w:val="22"/>
          <w:lang w:val="es-UY"/>
        </w:rPr>
        <w:t>Normativa de Referencia:</w:t>
      </w:r>
    </w:p>
    <w:p>
      <w:pPr>
        <w:pStyle w:val="57"/>
        <w:spacing w:line="360" w:lineRule="auto"/>
        <w:jc w:val="both"/>
        <w:rPr>
          <w:rFonts w:ascii="Arial" w:hAnsi="Arial"/>
          <w:sz w:val="22"/>
          <w:szCs w:val="22"/>
        </w:rPr>
      </w:pPr>
      <w:r>
        <w:rPr>
          <w:rFonts w:ascii="Arial" w:hAnsi="Arial"/>
          <w:sz w:val="22"/>
          <w:szCs w:val="22"/>
          <w:lang w:val="es-UY"/>
        </w:rPr>
        <w:t>Decreto 184/018 _ DNB</w:t>
      </w:r>
    </w:p>
    <w:p>
      <w:pPr>
        <w:pStyle w:val="57"/>
        <w:tabs>
          <w:tab w:val="left" w:pos="720"/>
        </w:tabs>
        <w:spacing w:line="360" w:lineRule="auto"/>
        <w:jc w:val="both"/>
        <w:rPr>
          <w:rFonts w:ascii="Arial" w:hAnsi="Arial"/>
          <w:sz w:val="22"/>
          <w:szCs w:val="22"/>
        </w:rPr>
      </w:pPr>
      <w:r>
        <w:rPr>
          <w:rFonts w:ascii="Arial" w:hAnsi="Arial"/>
          <w:color w:val="auto"/>
          <w:sz w:val="22"/>
          <w:szCs w:val="22"/>
          <w:lang w:val="es-MX"/>
        </w:rPr>
        <w:t>IT01/</w:t>
      </w:r>
      <w:r>
        <w:rPr>
          <w:rFonts w:ascii="Arial" w:hAnsi="Arial"/>
          <w:color w:val="auto"/>
          <w:sz w:val="22"/>
          <w:szCs w:val="22"/>
          <w:lang w:val="es-UY"/>
        </w:rPr>
        <w:t>2020 Requisitos Administrativos _ DNB</w:t>
      </w:r>
    </w:p>
    <w:p>
      <w:pPr>
        <w:pStyle w:val="57"/>
        <w:tabs>
          <w:tab w:val="left" w:pos="720"/>
        </w:tabs>
        <w:spacing w:line="360" w:lineRule="auto"/>
        <w:jc w:val="both"/>
        <w:rPr>
          <w:rFonts w:ascii="Arial" w:hAnsi="Arial"/>
          <w:sz w:val="22"/>
          <w:szCs w:val="22"/>
        </w:rPr>
      </w:pPr>
      <w:r>
        <w:rPr>
          <w:rFonts w:ascii="Arial" w:hAnsi="Arial"/>
          <w:color w:val="auto"/>
          <w:sz w:val="22"/>
          <w:szCs w:val="22"/>
          <w:lang w:val="es-MX"/>
        </w:rPr>
        <w:t>IT03/</w:t>
      </w:r>
      <w:r>
        <w:rPr>
          <w:rFonts w:ascii="Arial" w:hAnsi="Arial"/>
          <w:color w:val="auto"/>
          <w:sz w:val="22"/>
          <w:szCs w:val="22"/>
          <w:lang w:val="es-UY"/>
        </w:rPr>
        <w:t>2010 Terminología de Incendio_ DNB</w:t>
      </w:r>
    </w:p>
    <w:p>
      <w:pPr>
        <w:pStyle w:val="57"/>
        <w:pBdr>
          <w:bottom w:val="single" w:color="000000" w:sz="4" w:space="1"/>
        </w:pBdr>
        <w:spacing w:line="360" w:lineRule="auto"/>
        <w:rPr>
          <w:rFonts w:ascii="Arial" w:hAnsi="Arial"/>
          <w:sz w:val="22"/>
          <w:szCs w:val="22"/>
        </w:rPr>
      </w:pPr>
      <w:r>
        <w:rPr>
          <w:rFonts w:ascii="Arial" w:hAnsi="Arial"/>
          <w:color w:val="auto"/>
          <w:sz w:val="22"/>
          <w:szCs w:val="22"/>
          <w:lang w:val="es-UY"/>
        </w:rPr>
        <w:t>IT10/2011 Señalización de Incendio _ DNB</w:t>
      </w:r>
    </w:p>
    <w:p>
      <w:pPr>
        <w:pStyle w:val="57"/>
        <w:pBdr>
          <w:bottom w:val="single" w:color="000000" w:sz="4" w:space="1"/>
        </w:pBdr>
        <w:spacing w:line="360" w:lineRule="auto"/>
        <w:rPr>
          <w:rFonts w:ascii="Arial" w:hAnsi="Arial"/>
          <w:color w:val="auto"/>
          <w:sz w:val="22"/>
          <w:szCs w:val="22"/>
          <w:lang w:val="es-UY"/>
        </w:rPr>
      </w:pPr>
    </w:p>
    <w:p>
      <w:pPr>
        <w:pStyle w:val="57"/>
        <w:pBdr>
          <w:bottom w:val="single" w:color="000000" w:sz="4" w:space="1"/>
        </w:pBdr>
        <w:spacing w:line="360" w:lineRule="auto"/>
        <w:rPr>
          <w:rFonts w:ascii="Arial" w:hAnsi="Arial"/>
          <w:color w:val="auto"/>
          <w:sz w:val="22"/>
          <w:szCs w:val="22"/>
          <w:lang w:val="es-UY"/>
        </w:rPr>
      </w:pPr>
    </w:p>
    <w:p>
      <w:pPr>
        <w:pStyle w:val="57"/>
        <w:pBdr>
          <w:bottom w:val="single" w:color="000000" w:sz="4" w:space="1"/>
        </w:pBdr>
        <w:spacing w:line="360" w:lineRule="auto"/>
        <w:rPr>
          <w:rFonts w:ascii="Arial" w:hAnsi="Arial"/>
          <w:color w:val="auto"/>
          <w:sz w:val="22"/>
          <w:szCs w:val="22"/>
          <w:lang w:val="es-UY"/>
        </w:rPr>
      </w:pPr>
    </w:p>
    <w:p>
      <w:pPr>
        <w:pStyle w:val="57"/>
        <w:pBdr>
          <w:bottom w:val="single" w:color="000000" w:sz="4" w:space="1"/>
        </w:pBdr>
        <w:spacing w:line="360" w:lineRule="auto"/>
        <w:rPr>
          <w:rFonts w:ascii="Arial" w:hAnsi="Arial"/>
          <w:sz w:val="22"/>
          <w:szCs w:val="22"/>
        </w:rPr>
      </w:pPr>
      <w:r>
        <w:rPr>
          <w:rFonts w:ascii="Arial" w:hAnsi="Arial" w:cstheme="minorHAnsi"/>
          <w:b/>
          <w:color w:val="auto"/>
          <w:sz w:val="22"/>
          <w:szCs w:val="22"/>
          <w:lang w:val="es-UY"/>
        </w:rPr>
        <w:t>OBJETIVO</w:t>
      </w:r>
    </w:p>
    <w:p>
      <w:pPr>
        <w:spacing w:before="0" w:after="0" w:line="360" w:lineRule="auto"/>
        <w:rPr>
          <w:rFonts w:ascii="Arial" w:hAnsi="Arial"/>
          <w:sz w:val="22"/>
          <w:szCs w:val="22"/>
        </w:rPr>
      </w:pPr>
      <w:r>
        <w:rPr>
          <w:rFonts w:ascii="Arial" w:hAnsi="Arial" w:cstheme="minorHAnsi"/>
          <w:sz w:val="22"/>
          <w:szCs w:val="22"/>
        </w:rPr>
        <w:t>Esta Memoria Técnica fija las condiciones exigibles que deben cumplir los sistemas de señalización de emergencia en edificaciones y áreas de riesgo, DEL NIVEL DE SUBSUELO de la presente edificación, atendiendo lo previsto en el Decreto vigente.</w:t>
      </w:r>
    </w:p>
    <w:p>
      <w:pPr>
        <w:spacing w:before="0" w:after="0" w:line="360" w:lineRule="auto"/>
        <w:rPr>
          <w:rFonts w:ascii="Arial" w:hAnsi="Arial" w:cs="Calibri"/>
          <w:sz w:val="22"/>
          <w:szCs w:val="22"/>
        </w:rPr>
      </w:pPr>
    </w:p>
    <w:p>
      <w:pPr>
        <w:spacing w:before="0" w:after="0" w:line="360" w:lineRule="auto"/>
        <w:rPr>
          <w:rFonts w:ascii="Arial" w:hAnsi="Arial"/>
          <w:sz w:val="22"/>
          <w:szCs w:val="22"/>
        </w:rPr>
      </w:pPr>
      <w:r>
        <w:rPr>
          <w:rFonts w:ascii="Arial" w:hAnsi="Arial" w:cstheme="minorHAnsi"/>
          <w:sz w:val="22"/>
          <w:szCs w:val="22"/>
        </w:rPr>
        <w:t>TIPOS DE SEÑALIZACIÓN</w:t>
      </w:r>
    </w:p>
    <w:p>
      <w:pPr>
        <w:spacing w:before="0" w:after="0" w:line="360" w:lineRule="auto"/>
        <w:rPr>
          <w:rFonts w:ascii="Arial" w:hAnsi="Arial"/>
          <w:sz w:val="22"/>
          <w:szCs w:val="22"/>
        </w:rPr>
      </w:pPr>
      <w:r>
        <w:rPr>
          <w:rFonts w:ascii="Arial" w:hAnsi="Arial" w:cstheme="minorHAnsi"/>
          <w:sz w:val="22"/>
          <w:szCs w:val="22"/>
        </w:rPr>
        <w:t>La señalización de emergencia se divide en señalización básica y señalización complementaria:</w:t>
      </w:r>
    </w:p>
    <w:p>
      <w:pPr>
        <w:spacing w:before="0" w:after="0" w:line="360" w:lineRule="auto"/>
        <w:rPr>
          <w:rFonts w:ascii="Arial" w:hAnsi="Arial" w:cs="Calibri"/>
          <w:sz w:val="22"/>
          <w:szCs w:val="22"/>
        </w:rPr>
      </w:pPr>
    </w:p>
    <w:p>
      <w:pPr>
        <w:pStyle w:val="54"/>
        <w:numPr>
          <w:ilvl w:val="0"/>
          <w:numId w:val="13"/>
        </w:numPr>
        <w:spacing w:line="360" w:lineRule="auto"/>
        <w:rPr>
          <w:rFonts w:ascii="Arial" w:hAnsi="Arial"/>
          <w:sz w:val="22"/>
          <w:szCs w:val="22"/>
        </w:rPr>
      </w:pPr>
      <w:r>
        <w:rPr>
          <w:rFonts w:ascii="Arial" w:hAnsi="Arial" w:cstheme="minorHAnsi"/>
          <w:sz w:val="22"/>
          <w:szCs w:val="22"/>
          <w:lang w:val="es-UY"/>
        </w:rPr>
        <w:t>Señalización Básica.</w:t>
      </w:r>
    </w:p>
    <w:p>
      <w:pPr>
        <w:spacing w:before="0" w:after="0" w:line="360" w:lineRule="auto"/>
        <w:rPr>
          <w:rFonts w:ascii="Arial" w:hAnsi="Arial"/>
          <w:sz w:val="22"/>
          <w:szCs w:val="22"/>
        </w:rPr>
      </w:pPr>
      <w:r>
        <w:rPr>
          <w:rFonts w:ascii="Arial" w:hAnsi="Arial" w:cstheme="minorHAnsi"/>
          <w:sz w:val="22"/>
          <w:szCs w:val="22"/>
        </w:rPr>
        <w:t>La señalización básica es un conjunto mínimo de señalización con la que una edificación debe contar, constituido por cuatro categorías, de acuerdo con su función:</w:t>
      </w:r>
    </w:p>
    <w:p>
      <w:pPr>
        <w:pStyle w:val="54"/>
        <w:numPr>
          <w:ilvl w:val="0"/>
          <w:numId w:val="2"/>
        </w:numPr>
        <w:spacing w:line="360" w:lineRule="auto"/>
        <w:ind w:left="1080" w:hanging="360"/>
        <w:rPr>
          <w:rFonts w:ascii="Arial" w:hAnsi="Arial"/>
          <w:sz w:val="22"/>
          <w:szCs w:val="22"/>
        </w:rPr>
      </w:pPr>
      <w:r>
        <w:rPr>
          <w:rFonts w:ascii="Arial" w:hAnsi="Arial" w:cstheme="minorHAnsi"/>
          <w:sz w:val="22"/>
          <w:szCs w:val="22"/>
          <w:lang w:val="es-UY"/>
        </w:rPr>
        <w:t>Prohibición_ Prohíbe acciones capaces de conducir al inicio del incendio o su agravamiento.</w:t>
      </w:r>
    </w:p>
    <w:p>
      <w:pPr>
        <w:pStyle w:val="54"/>
        <w:numPr>
          <w:ilvl w:val="0"/>
          <w:numId w:val="2"/>
        </w:numPr>
        <w:spacing w:line="360" w:lineRule="auto"/>
        <w:ind w:left="1080" w:hanging="360"/>
        <w:rPr>
          <w:rFonts w:ascii="Arial" w:hAnsi="Arial"/>
          <w:sz w:val="22"/>
          <w:szCs w:val="22"/>
        </w:rPr>
      </w:pPr>
      <w:r>
        <w:rPr>
          <w:rFonts w:ascii="Arial" w:hAnsi="Arial" w:cstheme="minorHAnsi"/>
          <w:sz w:val="22"/>
          <w:szCs w:val="22"/>
          <w:lang w:val="es-UY"/>
        </w:rPr>
        <w:t>Advertencia Alerta para áreas y materiales con potencial de riesgo de incendio, explosión, choques eléctricos y contaminación por el uso de productos peligrosos.</w:t>
      </w:r>
    </w:p>
    <w:p>
      <w:pPr>
        <w:pStyle w:val="54"/>
        <w:numPr>
          <w:ilvl w:val="0"/>
          <w:numId w:val="2"/>
        </w:numPr>
        <w:spacing w:line="360" w:lineRule="auto"/>
        <w:ind w:left="1080" w:hanging="360"/>
        <w:rPr>
          <w:rFonts w:ascii="Arial" w:hAnsi="Arial"/>
          <w:sz w:val="22"/>
          <w:szCs w:val="22"/>
        </w:rPr>
      </w:pPr>
      <w:r>
        <w:rPr>
          <w:rFonts w:ascii="Arial" w:hAnsi="Arial" w:cstheme="minorHAnsi"/>
          <w:b/>
          <w:sz w:val="22"/>
          <w:szCs w:val="22"/>
          <w:lang w:val="es-UY"/>
        </w:rPr>
        <w:t xml:space="preserve">Orientación y Salvamento </w:t>
      </w:r>
      <w:r>
        <w:rPr>
          <w:rFonts w:ascii="Arial" w:hAnsi="Arial" w:cstheme="minorHAnsi"/>
          <w:sz w:val="22"/>
          <w:szCs w:val="22"/>
          <w:lang w:val="es-UY"/>
        </w:rPr>
        <w:t>_Indica las rutas de salida y las acciones necesarias para su acceso y uso.</w:t>
      </w:r>
    </w:p>
    <w:p>
      <w:pPr>
        <w:pStyle w:val="54"/>
        <w:numPr>
          <w:ilvl w:val="0"/>
          <w:numId w:val="2"/>
        </w:numPr>
        <w:spacing w:line="360" w:lineRule="auto"/>
        <w:ind w:left="1080" w:hanging="360"/>
        <w:rPr>
          <w:rFonts w:ascii="Arial" w:hAnsi="Arial"/>
          <w:sz w:val="22"/>
          <w:szCs w:val="22"/>
        </w:rPr>
      </w:pPr>
      <w:r>
        <w:rPr>
          <w:rFonts w:ascii="Arial" w:hAnsi="Arial" w:cstheme="minorHAnsi"/>
          <w:b/>
          <w:sz w:val="22"/>
          <w:szCs w:val="22"/>
          <w:lang w:val="es-UY"/>
        </w:rPr>
        <w:t xml:space="preserve">Equipamientos </w:t>
      </w:r>
      <w:r>
        <w:rPr>
          <w:rFonts w:ascii="Arial" w:hAnsi="Arial" w:cstheme="minorHAnsi"/>
          <w:sz w:val="22"/>
          <w:szCs w:val="22"/>
          <w:lang w:val="es-UY"/>
        </w:rPr>
        <w:t>_ Indica la localización de los tipos de equipamientos de combate al fuego y alarma disponibles en el local.</w:t>
      </w:r>
    </w:p>
    <w:p>
      <w:pPr>
        <w:spacing w:before="0" w:after="0" w:line="360" w:lineRule="auto"/>
        <w:rPr>
          <w:rFonts w:ascii="Arial" w:hAnsi="Arial" w:cs="Calibri"/>
          <w:sz w:val="22"/>
          <w:szCs w:val="22"/>
        </w:rPr>
      </w:pPr>
    </w:p>
    <w:p>
      <w:pPr>
        <w:pStyle w:val="54"/>
        <w:numPr>
          <w:ilvl w:val="0"/>
          <w:numId w:val="13"/>
        </w:numPr>
        <w:spacing w:line="360" w:lineRule="auto"/>
        <w:rPr>
          <w:rFonts w:ascii="Arial" w:hAnsi="Arial"/>
          <w:sz w:val="22"/>
          <w:szCs w:val="22"/>
        </w:rPr>
      </w:pPr>
      <w:r>
        <w:rPr>
          <w:rFonts w:ascii="Arial" w:hAnsi="Arial" w:cstheme="minorHAnsi"/>
          <w:sz w:val="22"/>
          <w:szCs w:val="22"/>
          <w:lang w:val="es-UY"/>
        </w:rPr>
        <w:t>Señalización Complementaria</w:t>
      </w:r>
    </w:p>
    <w:p>
      <w:pPr>
        <w:spacing w:before="0" w:after="0" w:line="360" w:lineRule="auto"/>
        <w:ind w:left="360" w:firstLine="0"/>
        <w:rPr>
          <w:rFonts w:ascii="Arial" w:hAnsi="Arial"/>
          <w:sz w:val="22"/>
          <w:szCs w:val="22"/>
        </w:rPr>
      </w:pPr>
      <w:r>
        <w:rPr>
          <w:rFonts w:ascii="Arial" w:hAnsi="Arial" w:cstheme="minorHAnsi"/>
          <w:sz w:val="22"/>
          <w:szCs w:val="22"/>
        </w:rPr>
        <w:t>Es el conjunto complementario de señales compuesto por bandas de color o mensajes que complementan la señalización básica, de la cual depende.</w:t>
      </w:r>
    </w:p>
    <w:p>
      <w:pPr>
        <w:pStyle w:val="54"/>
        <w:numPr>
          <w:ilvl w:val="0"/>
          <w:numId w:val="4"/>
        </w:numPr>
        <w:spacing w:line="360" w:lineRule="auto"/>
        <w:rPr>
          <w:rFonts w:ascii="Arial" w:hAnsi="Arial"/>
          <w:sz w:val="22"/>
          <w:szCs w:val="22"/>
        </w:rPr>
      </w:pPr>
      <w:r>
        <w:rPr>
          <w:rFonts w:ascii="Arial" w:hAnsi="Arial" w:cstheme="minorHAnsi"/>
          <w:b/>
          <w:sz w:val="22"/>
          <w:szCs w:val="22"/>
          <w:lang w:val="es-UY"/>
        </w:rPr>
        <w:t>Rutas de salida</w:t>
      </w:r>
      <w:r>
        <w:rPr>
          <w:rFonts w:ascii="Arial" w:hAnsi="Arial" w:cstheme="minorHAnsi"/>
          <w:sz w:val="22"/>
          <w:szCs w:val="22"/>
          <w:lang w:val="es-UY"/>
        </w:rPr>
        <w:t xml:space="preserve"> _Su objetivo es indicar la ruta completa de las vías de evacuación.</w:t>
      </w:r>
    </w:p>
    <w:p>
      <w:pPr>
        <w:pStyle w:val="54"/>
        <w:numPr>
          <w:ilvl w:val="0"/>
          <w:numId w:val="4"/>
        </w:numPr>
        <w:spacing w:line="360" w:lineRule="auto"/>
        <w:rPr>
          <w:rFonts w:ascii="Arial" w:hAnsi="Arial"/>
          <w:sz w:val="22"/>
          <w:szCs w:val="22"/>
        </w:rPr>
      </w:pPr>
      <w:r>
        <w:rPr>
          <w:rFonts w:ascii="Arial" w:hAnsi="Arial" w:cstheme="minorHAnsi"/>
          <w:sz w:val="22"/>
          <w:szCs w:val="22"/>
          <w:lang w:val="es-UY"/>
        </w:rPr>
        <w:t>Barreras _Su objetivo es indicar la existencia de obstáculos en las vías de evacuación, tales como pilares, los bordes de las paredes y las vigas, cerramientos, aberturas de vidrio u otros materiales translucidos</w:t>
      </w:r>
    </w:p>
    <w:p>
      <w:pPr>
        <w:pStyle w:val="57"/>
        <w:spacing w:line="360" w:lineRule="auto"/>
        <w:jc w:val="both"/>
        <w:rPr>
          <w:rFonts w:ascii="Arial" w:hAnsi="Arial"/>
          <w:b/>
          <w:color w:val="auto"/>
          <w:sz w:val="22"/>
          <w:szCs w:val="22"/>
          <w:lang w:val="es-UY"/>
        </w:rPr>
      </w:pPr>
    </w:p>
    <w:p>
      <w:pPr>
        <w:pStyle w:val="57"/>
        <w:spacing w:line="360" w:lineRule="auto"/>
        <w:jc w:val="both"/>
        <w:rPr>
          <w:rFonts w:ascii="Arial" w:hAnsi="Arial"/>
          <w:b/>
          <w:color w:val="auto"/>
          <w:sz w:val="22"/>
          <w:szCs w:val="22"/>
          <w:lang w:val="es-UY"/>
        </w:rPr>
      </w:pPr>
    </w:p>
    <w:p>
      <w:pPr>
        <w:pStyle w:val="57"/>
        <w:pBdr>
          <w:bottom w:val="single" w:color="000000" w:sz="4" w:space="1"/>
        </w:pBdr>
        <w:spacing w:line="360" w:lineRule="auto"/>
        <w:jc w:val="both"/>
        <w:rPr>
          <w:rFonts w:ascii="Arial" w:hAnsi="Arial"/>
          <w:sz w:val="22"/>
          <w:szCs w:val="22"/>
        </w:rPr>
      </w:pPr>
      <w:r>
        <w:rPr>
          <w:rFonts w:ascii="Arial" w:hAnsi="Arial" w:cstheme="minorHAnsi"/>
          <w:b/>
          <w:color w:val="auto"/>
          <w:sz w:val="22"/>
          <w:szCs w:val="22"/>
          <w:lang w:val="es-UY"/>
        </w:rPr>
        <w:t xml:space="preserve">CARACTERÍSTICAS </w:t>
      </w:r>
    </w:p>
    <w:p>
      <w:pPr>
        <w:spacing w:before="0" w:after="0" w:line="360" w:lineRule="auto"/>
        <w:jc w:val="both"/>
        <w:rPr>
          <w:rFonts w:ascii="Arial" w:hAnsi="Arial"/>
          <w:sz w:val="22"/>
          <w:szCs w:val="22"/>
        </w:rPr>
      </w:pPr>
      <w:r>
        <w:rPr>
          <w:rFonts w:ascii="Arial" w:hAnsi="Arial"/>
          <w:sz w:val="22"/>
          <w:szCs w:val="22"/>
          <w:lang w:val="es-MX"/>
        </w:rPr>
        <w:t>Según IT 10/2011 DNB</w:t>
      </w:r>
      <w:r>
        <w:rPr>
          <w:rFonts w:ascii="Arial" w:hAnsi="Arial" w:cstheme="minorHAnsi"/>
          <w:b/>
          <w:sz w:val="22"/>
          <w:szCs w:val="22"/>
        </w:rPr>
        <w:t xml:space="preserve"> </w:t>
      </w:r>
      <w:r>
        <w:rPr>
          <w:rFonts w:ascii="Arial" w:hAnsi="Arial" w:cstheme="minorHAnsi"/>
          <w:sz w:val="22"/>
          <w:szCs w:val="22"/>
        </w:rPr>
        <w:t xml:space="preserve">corresponde la instalación de las siguientes señalizaciones, con sus correspondientes dimensiones según la distancia al cartel, para poder verlo, </w:t>
      </w:r>
      <w:r>
        <w:rPr>
          <w:rFonts w:ascii="Arial" w:hAnsi="Arial" w:cstheme="minorHAnsi"/>
          <w:b/>
          <w:sz w:val="22"/>
          <w:szCs w:val="22"/>
        </w:rPr>
        <w:t>tanto en el edificio de vivienda como en el SUM:</w:t>
      </w:r>
    </w:p>
    <w:p>
      <w:pPr>
        <w:spacing w:before="0" w:after="0" w:line="360" w:lineRule="auto"/>
        <w:jc w:val="center"/>
        <w:rPr>
          <w:rFonts w:ascii="Arial" w:hAnsi="Arial"/>
          <w:sz w:val="22"/>
          <w:szCs w:val="22"/>
        </w:rPr>
      </w:pPr>
      <w:r>
        <w:rPr>
          <w:rFonts w:ascii="Arial" w:hAnsi="Arial"/>
          <w:sz w:val="22"/>
          <w:szCs w:val="22"/>
        </w:rPr>
        <w:drawing>
          <wp:inline distT="0" distB="0" distL="0" distR="0">
            <wp:extent cx="4537075" cy="3328670"/>
            <wp:effectExtent l="0" t="0" r="0" b="0"/>
            <wp:docPr id="58" name="Image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6"/>
                    <pic:cNvPicPr>
                      <a:picLocks noChangeAspect="1" noChangeArrowheads="1"/>
                    </pic:cNvPicPr>
                  </pic:nvPicPr>
                  <pic:blipFill>
                    <a:blip r:embed="rId46"/>
                    <a:srcRect l="32481" t="24075" r="16647" b="9579"/>
                    <a:stretch>
                      <a:fillRect/>
                    </a:stretch>
                  </pic:blipFill>
                  <pic:spPr>
                    <a:xfrm>
                      <a:off x="0" y="0"/>
                      <a:ext cx="4537075" cy="3328670"/>
                    </a:xfrm>
                    <a:prstGeom prst="rect">
                      <a:avLst/>
                    </a:prstGeom>
                  </pic:spPr>
                </pic:pic>
              </a:graphicData>
            </a:graphic>
          </wp:inline>
        </w:drawing>
      </w:r>
    </w:p>
    <w:p>
      <w:pPr>
        <w:spacing w:before="0" w:after="0" w:line="360" w:lineRule="auto"/>
        <w:jc w:val="both"/>
        <w:rPr>
          <w:rFonts w:ascii="Arial" w:hAnsi="Arial" w:cs="Calibri"/>
          <w:b/>
          <w:sz w:val="22"/>
          <w:szCs w:val="22"/>
        </w:rPr>
      </w:pPr>
    </w:p>
    <w:p>
      <w:pPr>
        <w:spacing w:before="0" w:after="0" w:line="360" w:lineRule="auto"/>
        <w:jc w:val="both"/>
        <w:rPr>
          <w:rFonts w:ascii="Arial" w:hAnsi="Arial"/>
          <w:sz w:val="22"/>
          <w:szCs w:val="22"/>
        </w:rPr>
      </w:pPr>
      <w:r>
        <w:rPr>
          <w:rFonts w:ascii="Arial" w:hAnsi="Arial"/>
          <w:sz w:val="22"/>
          <w:szCs w:val="22"/>
          <w:lang w:val="es-MX"/>
        </w:rPr>
        <w:t>A continuación, se definen la diferente forma de colocar la señalización para una mejor visualización.</w:t>
      </w:r>
    </w:p>
    <w:p>
      <w:pPr>
        <w:spacing w:before="0" w:after="0" w:line="360" w:lineRule="auto"/>
        <w:jc w:val="center"/>
        <w:rPr>
          <w:rFonts w:ascii="Arial" w:hAnsi="Arial"/>
          <w:sz w:val="22"/>
          <w:szCs w:val="22"/>
        </w:rPr>
      </w:pPr>
      <w:r>
        <w:rPr>
          <w:rFonts w:ascii="Arial" w:hAnsi="Arial"/>
          <w:sz w:val="22"/>
          <w:szCs w:val="22"/>
        </w:rPr>
        <w:drawing>
          <wp:inline distT="0" distB="0" distL="0" distR="0">
            <wp:extent cx="4473575" cy="5091430"/>
            <wp:effectExtent l="0" t="0" r="0" b="0"/>
            <wp:docPr id="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 Imagen"/>
                    <pic:cNvPicPr>
                      <a:picLocks noChangeAspect="1" noChangeArrowheads="1"/>
                    </pic:cNvPicPr>
                  </pic:nvPicPr>
                  <pic:blipFill>
                    <a:blip r:embed="rId47"/>
                    <a:srcRect l="19404" t="36027" r="64080" b="37965"/>
                    <a:stretch>
                      <a:fillRect/>
                    </a:stretch>
                  </pic:blipFill>
                  <pic:spPr>
                    <a:xfrm>
                      <a:off x="0" y="0"/>
                      <a:ext cx="4473575" cy="5091430"/>
                    </a:xfrm>
                    <a:prstGeom prst="rect">
                      <a:avLst/>
                    </a:prstGeom>
                  </pic:spPr>
                </pic:pic>
              </a:graphicData>
            </a:graphic>
          </wp:inline>
        </w:drawing>
      </w:r>
      <w:r>
        <w:rPr>
          <w:rFonts w:ascii="Arial" w:hAnsi="Arial"/>
          <w:sz w:val="22"/>
          <w:szCs w:val="22"/>
        </w:rPr>
        <w:drawing>
          <wp:inline distT="0" distB="0" distL="0" distR="0">
            <wp:extent cx="4358005" cy="4169410"/>
            <wp:effectExtent l="0" t="0" r="0" b="0"/>
            <wp:docPr id="60" name="Image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7"/>
                    <pic:cNvPicPr>
                      <a:picLocks noChangeAspect="1" noChangeArrowheads="1"/>
                    </pic:cNvPicPr>
                  </pic:nvPicPr>
                  <pic:blipFill>
                    <a:blip r:embed="rId48"/>
                    <a:srcRect l="48371" t="36025" r="35116" b="37964"/>
                    <a:stretch>
                      <a:fillRect/>
                    </a:stretch>
                  </pic:blipFill>
                  <pic:spPr>
                    <a:xfrm>
                      <a:off x="0" y="0"/>
                      <a:ext cx="4358005" cy="4169410"/>
                    </a:xfrm>
                    <a:prstGeom prst="rect">
                      <a:avLst/>
                    </a:prstGeom>
                  </pic:spPr>
                </pic:pic>
              </a:graphicData>
            </a:graphic>
          </wp:inline>
        </w:drawing>
      </w:r>
    </w:p>
    <w:p>
      <w:pPr>
        <w:pBdr>
          <w:bottom w:val="single" w:color="000000" w:sz="4" w:space="1"/>
        </w:pBdr>
        <w:spacing w:before="0" w:after="0" w:line="360" w:lineRule="auto"/>
        <w:jc w:val="both"/>
        <w:rPr>
          <w:rFonts w:ascii="Arial" w:hAnsi="Arial" w:cs="Calibri"/>
          <w:b/>
          <w:sz w:val="22"/>
          <w:szCs w:val="22"/>
        </w:rPr>
      </w:pPr>
    </w:p>
    <w:p>
      <w:pPr>
        <w:pBdr>
          <w:bottom w:val="single" w:color="000000" w:sz="4" w:space="1"/>
        </w:pBdr>
        <w:spacing w:before="0" w:after="0" w:line="360" w:lineRule="auto"/>
        <w:jc w:val="both"/>
        <w:rPr>
          <w:rFonts w:ascii="Arial" w:hAnsi="Arial"/>
          <w:sz w:val="22"/>
          <w:szCs w:val="22"/>
        </w:rPr>
      </w:pPr>
      <w:r>
        <w:rPr>
          <w:rFonts w:ascii="Arial" w:hAnsi="Arial" w:cstheme="minorHAnsi"/>
          <w:b/>
          <w:sz w:val="22"/>
          <w:szCs w:val="22"/>
        </w:rPr>
        <w:t xml:space="preserve">SEÑALES CONDICIÓN DE SEGURIDAD </w:t>
      </w:r>
    </w:p>
    <w:p>
      <w:pPr>
        <w:spacing w:before="0" w:after="0" w:line="360" w:lineRule="auto"/>
        <w:jc w:val="both"/>
        <w:rPr>
          <w:rFonts w:ascii="Arial" w:hAnsi="Arial" w:cs="Calibri"/>
          <w:sz w:val="22"/>
          <w:szCs w:val="22"/>
        </w:rPr>
      </w:pPr>
      <w:r>
        <w:rPr>
          <w:rFonts w:ascii="Arial" w:hAnsi="Arial" w:cstheme="minorHAnsi"/>
          <w:b/>
          <w:color w:val="000000"/>
          <w:sz w:val="22"/>
          <w:szCs w:val="22"/>
        </w:rPr>
        <w:t>Señalización de rutas de evacuación:</w:t>
      </w:r>
    </w:p>
    <w:p>
      <w:pPr>
        <w:spacing w:before="0" w:after="0" w:line="360" w:lineRule="auto"/>
        <w:jc w:val="both"/>
        <w:rPr>
          <w:rFonts w:ascii="Arial" w:hAnsi="Arial"/>
          <w:sz w:val="22"/>
          <w:szCs w:val="22"/>
        </w:rPr>
      </w:pPr>
      <w:r>
        <w:rPr>
          <w:rFonts w:ascii="Arial" w:hAnsi="Arial" w:cstheme="minorHAnsi"/>
          <w:sz w:val="22"/>
          <w:szCs w:val="22"/>
        </w:rPr>
        <w:t>Es esencial lograr una correcta señalización de todas las vías de evacuación, salidas y salidas de emergencia.</w:t>
      </w:r>
    </w:p>
    <w:p>
      <w:pPr>
        <w:spacing w:before="0" w:after="0" w:line="360" w:lineRule="auto"/>
        <w:jc w:val="both"/>
        <w:rPr>
          <w:rFonts w:ascii="Arial" w:hAnsi="Arial"/>
          <w:sz w:val="22"/>
          <w:szCs w:val="22"/>
        </w:rPr>
      </w:pPr>
      <w:r>
        <w:rPr>
          <w:rFonts w:ascii="Arial" w:hAnsi="Arial" w:cstheme="minorHAnsi"/>
          <w:sz w:val="22"/>
          <w:szCs w:val="22"/>
        </w:rPr>
        <w:t>Se pretende garantizar una rápida evacuación, que desde cualquier punto en el que nos encontremos, sea siempre visible una señal de emergencia.</w:t>
      </w:r>
    </w:p>
    <w:p>
      <w:pPr>
        <w:spacing w:before="0" w:after="0" w:line="360" w:lineRule="auto"/>
        <w:jc w:val="both"/>
        <w:rPr>
          <w:rFonts w:ascii="Arial" w:hAnsi="Arial" w:cs="Calibri"/>
          <w:sz w:val="22"/>
          <w:szCs w:val="22"/>
        </w:rPr>
      </w:pPr>
      <w:r>
        <w:rPr>
          <w:rFonts w:ascii="Arial" w:hAnsi="Arial" w:cstheme="minorHAnsi"/>
          <w:sz w:val="22"/>
          <w:szCs w:val="22"/>
        </w:rPr>
        <w:t>Las señales de salida habitual y salida de emergencia deberán situarse, siempre que sea posible, sobre los dinteles de las puertas o del hueco que señalizan o, en caso contrario, muy próximos a él. Las señales indicativas de tramos de recorrido de evacuación se situarán de modo que, desde cualquier punto susceptible de ser ocupado por personas, sea visible, al menos, una señal, que permita iniciar o continuar la evacuación sin dudas, confusiones o vacilaciones. La altura del borde inferior de estas señales estará, preferentemente, sobre dinteles de puertas, o entre 2m y 2,5m; no colocándose, en caso alguno a menos de 0,30m del techo del local donde se instalen.</w:t>
      </w:r>
    </w:p>
    <w:p>
      <w:pPr>
        <w:spacing w:before="0" w:after="0" w:line="360" w:lineRule="auto"/>
        <w:jc w:val="center"/>
        <w:rPr>
          <w:rFonts w:ascii="Arial" w:hAnsi="Arial" w:cs="Calibri"/>
          <w:b/>
          <w:color w:val="000000"/>
          <w:sz w:val="22"/>
          <w:szCs w:val="22"/>
        </w:rPr>
      </w:pPr>
    </w:p>
    <w:p>
      <w:pPr>
        <w:spacing w:before="0" w:after="0" w:line="360" w:lineRule="auto"/>
        <w:jc w:val="center"/>
        <w:rPr>
          <w:rFonts w:ascii="Arial" w:hAnsi="Arial"/>
          <w:sz w:val="22"/>
          <w:szCs w:val="22"/>
        </w:rPr>
      </w:pPr>
      <w:r>
        <w:rPr>
          <w:rFonts w:ascii="Arial" w:hAnsi="Arial"/>
          <w:sz w:val="22"/>
          <w:szCs w:val="22"/>
        </w:rPr>
        <w:drawing>
          <wp:inline distT="0" distB="0" distL="0" distR="0">
            <wp:extent cx="5732145" cy="795020"/>
            <wp:effectExtent l="0" t="0" r="0" b="0"/>
            <wp:docPr id="61"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7" descr="Tabla&#10;&#10;Descripción generada automáticamente"/>
                    <pic:cNvPicPr>
                      <a:picLocks noChangeAspect="1" noChangeArrowheads="1"/>
                    </pic:cNvPicPr>
                  </pic:nvPicPr>
                  <pic:blipFill>
                    <a:blip r:embed="rId49"/>
                    <a:stretch>
                      <a:fillRect/>
                    </a:stretch>
                  </pic:blipFill>
                  <pic:spPr>
                    <a:xfrm>
                      <a:off x="0" y="0"/>
                      <a:ext cx="5732145" cy="795020"/>
                    </a:xfrm>
                    <a:prstGeom prst="rect">
                      <a:avLst/>
                    </a:prstGeom>
                  </pic:spPr>
                </pic:pic>
              </a:graphicData>
            </a:graphic>
          </wp:inline>
        </w:drawing>
      </w:r>
    </w:p>
    <w:p>
      <w:pPr>
        <w:pBdr>
          <w:bottom w:val="single" w:color="000000" w:sz="4" w:space="1"/>
        </w:pBdr>
        <w:spacing w:before="0" w:after="0" w:line="360" w:lineRule="auto"/>
        <w:jc w:val="both"/>
        <w:rPr>
          <w:rFonts w:ascii="Arial" w:hAnsi="Arial" w:cs="Calibri"/>
          <w:b/>
          <w:color w:val="000000"/>
          <w:sz w:val="22"/>
          <w:szCs w:val="22"/>
        </w:rPr>
      </w:pPr>
    </w:p>
    <w:p>
      <w:pPr>
        <w:pBdr>
          <w:bottom w:val="single" w:color="000000" w:sz="4" w:space="1"/>
        </w:pBdr>
        <w:spacing w:before="0" w:after="0" w:line="360" w:lineRule="auto"/>
        <w:jc w:val="both"/>
        <w:rPr>
          <w:rFonts w:ascii="Arial" w:hAnsi="Arial"/>
          <w:sz w:val="22"/>
          <w:szCs w:val="22"/>
        </w:rPr>
      </w:pPr>
      <w:r>
        <w:rPr>
          <w:rFonts w:ascii="Arial" w:hAnsi="Arial" w:cstheme="minorHAnsi"/>
          <w:b/>
          <w:color w:val="000000"/>
          <w:sz w:val="22"/>
          <w:szCs w:val="22"/>
        </w:rPr>
        <w:t>SEÑALES DE PROTECCIÓN CONTRA INCENDIO</w:t>
      </w:r>
    </w:p>
    <w:p>
      <w:pPr>
        <w:spacing w:before="0" w:after="0" w:line="360" w:lineRule="auto"/>
        <w:jc w:val="both"/>
        <w:rPr>
          <w:rFonts w:ascii="Arial" w:hAnsi="Arial"/>
          <w:sz w:val="22"/>
          <w:szCs w:val="22"/>
        </w:rPr>
      </w:pPr>
      <w:r>
        <w:rPr>
          <w:rFonts w:ascii="Arial" w:hAnsi="Arial" w:cstheme="minorHAnsi"/>
          <w:b/>
          <w:color w:val="000000"/>
          <w:sz w:val="22"/>
          <w:szCs w:val="22"/>
        </w:rPr>
        <w:t>Señalización seguridad contra incendio:</w:t>
      </w:r>
    </w:p>
    <w:p>
      <w:pPr>
        <w:spacing w:before="0" w:after="0" w:line="360" w:lineRule="auto"/>
        <w:rPr>
          <w:rFonts w:ascii="Arial" w:hAnsi="Arial"/>
          <w:sz w:val="22"/>
          <w:szCs w:val="22"/>
        </w:rPr>
      </w:pPr>
      <w:r>
        <w:rPr>
          <w:rFonts w:ascii="Arial" w:hAnsi="Arial" w:cstheme="minorHAnsi"/>
          <w:sz w:val="22"/>
          <w:szCs w:val="22"/>
        </w:rPr>
        <w:t xml:space="preserve">Los medios de extinción, esenciales en una primera intervención en caso de incendio, se deberán señalizar para que desde cualquier punto se vean las señales que indican su exacta localización. </w:t>
      </w:r>
    </w:p>
    <w:p>
      <w:pPr>
        <w:spacing w:before="0" w:after="0" w:line="360" w:lineRule="auto"/>
        <w:rPr>
          <w:rFonts w:ascii="Arial" w:hAnsi="Arial"/>
          <w:sz w:val="22"/>
          <w:szCs w:val="22"/>
        </w:rPr>
      </w:pPr>
      <w:r>
        <w:rPr>
          <w:rFonts w:ascii="Arial" w:hAnsi="Arial" w:cstheme="minorHAnsi"/>
          <w:sz w:val="22"/>
          <w:szCs w:val="22"/>
        </w:rPr>
        <w:t>Deben utilizarse las señales de los equipos de lucha contra incendios, y se situarán encima de dichos equipos.</w:t>
      </w:r>
    </w:p>
    <w:p>
      <w:pPr>
        <w:spacing w:before="0" w:after="0" w:line="360" w:lineRule="auto"/>
        <w:rPr>
          <w:rFonts w:ascii="Arial" w:hAnsi="Arial"/>
          <w:sz w:val="22"/>
          <w:szCs w:val="22"/>
        </w:rPr>
      </w:pPr>
      <w:r>
        <w:rPr>
          <w:rFonts w:ascii="Arial" w:hAnsi="Arial" w:cstheme="minorHAnsi"/>
          <w:sz w:val="22"/>
          <w:szCs w:val="22"/>
        </w:rPr>
        <w:t>En el caso de que un equipo no sea directamente visible, deben utilizarse señales con flechas, que indiquen la dirección a recorrer para llegar a esos equipos de lucha contra incendio.</w:t>
      </w:r>
    </w:p>
    <w:p>
      <w:pPr>
        <w:spacing w:before="0" w:after="0" w:line="360" w:lineRule="auto"/>
        <w:rPr>
          <w:rFonts w:ascii="Arial" w:hAnsi="Arial" w:cs="Calibri"/>
          <w:sz w:val="22"/>
          <w:szCs w:val="22"/>
        </w:rPr>
      </w:pPr>
    </w:p>
    <w:p>
      <w:pPr>
        <w:spacing w:before="0" w:after="0" w:line="360" w:lineRule="auto"/>
        <w:jc w:val="center"/>
        <w:rPr>
          <w:rFonts w:ascii="Arial" w:hAnsi="Arial" w:cs="Calibri"/>
          <w:b/>
          <w:color w:val="000000"/>
          <w:sz w:val="22"/>
          <w:szCs w:val="22"/>
        </w:rPr>
      </w:pPr>
      <w:r>
        <w:rPr>
          <w:rFonts w:ascii="Arial" w:hAnsi="Arial"/>
          <w:sz w:val="22"/>
          <w:szCs w:val="22"/>
        </w:rPr>
        <w:drawing>
          <wp:inline distT="0" distB="0" distL="0" distR="0">
            <wp:extent cx="5732145" cy="2421890"/>
            <wp:effectExtent l="0" t="0" r="0" b="0"/>
            <wp:docPr id="62"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8" descr="Tabla&#10;&#10;Descripción generada automáticamente"/>
                    <pic:cNvPicPr>
                      <a:picLocks noChangeAspect="1" noChangeArrowheads="1"/>
                    </pic:cNvPicPr>
                  </pic:nvPicPr>
                  <pic:blipFill>
                    <a:blip r:embed="rId50"/>
                    <a:stretch>
                      <a:fillRect/>
                    </a:stretch>
                  </pic:blipFill>
                  <pic:spPr>
                    <a:xfrm>
                      <a:off x="0" y="0"/>
                      <a:ext cx="5732145" cy="2421890"/>
                    </a:xfrm>
                    <a:prstGeom prst="rect">
                      <a:avLst/>
                    </a:prstGeom>
                  </pic:spPr>
                </pic:pic>
              </a:graphicData>
            </a:graphic>
          </wp:inline>
        </w:drawing>
      </w:r>
    </w:p>
    <w:p>
      <w:pPr>
        <w:spacing w:before="0" w:after="0" w:line="360" w:lineRule="auto"/>
        <w:rPr>
          <w:rFonts w:ascii="Arial" w:hAnsi="Arial"/>
          <w:sz w:val="22"/>
          <w:szCs w:val="22"/>
        </w:rPr>
      </w:pPr>
      <w:r>
        <w:rPr>
          <w:rFonts w:ascii="Arial" w:hAnsi="Arial" w:cstheme="minorHAnsi"/>
          <w:sz w:val="22"/>
          <w:szCs w:val="22"/>
        </w:rPr>
        <w:t>NOTA IMPORTANTE:</w:t>
      </w:r>
    </w:p>
    <w:p>
      <w:pPr>
        <w:spacing w:before="0" w:after="0" w:line="360" w:lineRule="auto"/>
        <w:rPr>
          <w:rFonts w:ascii="Arial" w:hAnsi="Arial"/>
          <w:sz w:val="22"/>
          <w:szCs w:val="22"/>
        </w:rPr>
      </w:pPr>
      <w:r>
        <w:rPr>
          <w:rFonts w:ascii="Arial" w:hAnsi="Arial" w:cstheme="minorHAnsi"/>
          <w:sz w:val="22"/>
          <w:szCs w:val="22"/>
        </w:rPr>
        <w:t>La empresa puede variar la tipografía de la señal, y el material de lámina, si es fotoluminiscente o luminoso (solo en rutas de salida de locales donde haya personal exclusivo de la empresa), siempre y cuando se mantenga claro las rutas de salida, y en caso de tener carteles luminosos los mismos deberán permanecer encendidos siempre que haya personal en la empresa.</w:t>
      </w:r>
    </w:p>
    <w:p>
      <w:pPr>
        <w:spacing w:before="0" w:after="0" w:line="360" w:lineRule="auto"/>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La ubicación, tipo y cantidad se detallan en planos adjunto.</w:t>
      </w:r>
    </w:p>
    <w:p>
      <w:pPr>
        <w:spacing w:before="0" w:after="0" w:line="360" w:lineRule="auto"/>
        <w:jc w:val="center"/>
        <w:rPr>
          <w:rFonts w:ascii="Arial" w:hAnsi="Arial" w:cs="Calibri"/>
          <w:b/>
          <w:color w:val="000000"/>
          <w:sz w:val="22"/>
          <w:szCs w:val="22"/>
        </w:rPr>
      </w:pPr>
    </w:p>
    <w:p>
      <w:pPr>
        <w:pBdr>
          <w:bottom w:val="single" w:color="000000" w:sz="4" w:space="1"/>
        </w:pBdr>
        <w:spacing w:before="0" w:after="0" w:line="360" w:lineRule="auto"/>
        <w:jc w:val="both"/>
        <w:rPr>
          <w:rFonts w:ascii="Arial" w:hAnsi="Arial"/>
          <w:sz w:val="22"/>
          <w:szCs w:val="22"/>
        </w:rPr>
      </w:pPr>
      <w:r>
        <w:rPr>
          <w:rFonts w:ascii="Arial" w:hAnsi="Arial" w:cstheme="minorHAnsi"/>
          <w:b/>
          <w:sz w:val="22"/>
          <w:szCs w:val="22"/>
        </w:rPr>
        <w:t>CARACTERÍSTICAS.</w:t>
      </w:r>
    </w:p>
    <w:p>
      <w:pPr>
        <w:spacing w:before="0" w:after="0" w:line="360" w:lineRule="auto"/>
        <w:jc w:val="both"/>
        <w:rPr>
          <w:rFonts w:ascii="Arial" w:hAnsi="Arial"/>
          <w:sz w:val="22"/>
          <w:szCs w:val="22"/>
        </w:rPr>
      </w:pPr>
      <w:r>
        <w:rPr>
          <w:rFonts w:ascii="Arial" w:hAnsi="Arial" w:cstheme="minorHAnsi"/>
          <w:sz w:val="22"/>
          <w:szCs w:val="22"/>
        </w:rPr>
        <w:t>Los carteles foto luminiscente serán confeccionados de acuerdo a norma UNIT 776 y 530.</w:t>
      </w:r>
    </w:p>
    <w:p>
      <w:pPr>
        <w:spacing w:before="0" w:after="0" w:line="360" w:lineRule="auto"/>
        <w:jc w:val="both"/>
        <w:rPr>
          <w:rFonts w:ascii="Arial" w:hAnsi="Arial"/>
          <w:sz w:val="22"/>
          <w:szCs w:val="22"/>
        </w:rPr>
      </w:pPr>
      <w:r>
        <w:rPr>
          <w:rFonts w:ascii="Arial" w:hAnsi="Arial" w:cstheme="minorHAnsi"/>
          <w:b/>
          <w:sz w:val="22"/>
          <w:szCs w:val="22"/>
        </w:rPr>
        <w:t>Deberán estar homologados por la D.N.B. los materiales de confección de dichas señalizaciones.</w:t>
      </w:r>
    </w:p>
    <w:p>
      <w:pPr>
        <w:spacing w:before="0" w:after="0" w:line="360" w:lineRule="auto"/>
        <w:jc w:val="both"/>
        <w:rPr>
          <w:rFonts w:ascii="Arial" w:hAnsi="Arial" w:cs="Calibri"/>
          <w:sz w:val="22"/>
          <w:szCs w:val="22"/>
        </w:rPr>
      </w:pPr>
    </w:p>
    <w:p>
      <w:pPr>
        <w:spacing w:before="0" w:after="0" w:line="360" w:lineRule="auto"/>
        <w:rPr>
          <w:rFonts w:ascii="Arial" w:hAnsi="Arial" w:cs="Calibri"/>
          <w:b/>
          <w:bCs/>
          <w:sz w:val="22"/>
          <w:szCs w:val="22"/>
        </w:rPr>
      </w:pPr>
      <w:r>
        <w:rPr>
          <w:rFonts w:ascii="Arial" w:hAnsi="Arial" w:cstheme="minorHAnsi"/>
          <w:b/>
          <w:bCs/>
          <w:sz w:val="22"/>
          <w:szCs w:val="22"/>
        </w:rPr>
        <w:t>TIPO.</w:t>
      </w:r>
    </w:p>
    <w:p>
      <w:pPr>
        <w:spacing w:before="0" w:after="0" w:line="360" w:lineRule="auto"/>
        <w:rPr>
          <w:rFonts w:ascii="Arial" w:hAnsi="Arial"/>
          <w:sz w:val="22"/>
          <w:szCs w:val="22"/>
        </w:rPr>
      </w:pPr>
      <w:r>
        <w:rPr>
          <w:rFonts w:ascii="Arial" w:hAnsi="Arial" w:cstheme="minorHAnsi"/>
          <w:bCs/>
          <w:sz w:val="22"/>
          <w:szCs w:val="22"/>
        </w:rPr>
        <w:t>Las señales podrán ser lumínicas o foto luminiscentes.</w:t>
      </w:r>
    </w:p>
    <w:p>
      <w:pPr>
        <w:spacing w:before="0" w:after="0" w:line="360" w:lineRule="auto"/>
        <w:rPr>
          <w:rFonts w:ascii="Arial" w:hAnsi="Arial" w:cs="Calibri"/>
          <w:bCs/>
          <w:sz w:val="22"/>
          <w:szCs w:val="22"/>
        </w:rPr>
      </w:pPr>
    </w:p>
    <w:p>
      <w:pPr>
        <w:spacing w:before="0" w:after="0" w:line="360" w:lineRule="auto"/>
        <w:rPr>
          <w:rFonts w:ascii="Arial" w:hAnsi="Arial" w:cs="Calibri"/>
          <w:b/>
          <w:bCs/>
          <w:sz w:val="22"/>
          <w:szCs w:val="22"/>
        </w:rPr>
      </w:pPr>
      <w:r>
        <w:rPr>
          <w:rFonts w:ascii="Arial" w:hAnsi="Arial" w:cstheme="minorHAnsi"/>
          <w:b/>
          <w:bCs/>
          <w:sz w:val="22"/>
          <w:szCs w:val="22"/>
        </w:rPr>
        <w:t>MATERIAL.</w:t>
      </w:r>
    </w:p>
    <w:p>
      <w:pPr>
        <w:spacing w:before="0" w:after="0" w:line="360" w:lineRule="auto"/>
        <w:rPr>
          <w:rFonts w:ascii="Arial" w:hAnsi="Arial"/>
          <w:sz w:val="22"/>
          <w:szCs w:val="22"/>
        </w:rPr>
      </w:pPr>
      <w:r>
        <w:rPr>
          <w:rFonts w:ascii="Arial" w:hAnsi="Arial" w:cstheme="minorHAnsi"/>
          <w:bCs/>
          <w:sz w:val="22"/>
          <w:szCs w:val="22"/>
        </w:rPr>
        <w:t>Estarán construidas con material plástico (PVC, metacrìlato, vinilo adhesivo). La Dirección Nacional de Bomberos podrá autorizar la utilización de otro tipo de material, a solicitud del interesado (Esto se refiere a la gestión de la homologación)</w:t>
      </w:r>
    </w:p>
    <w:p>
      <w:pPr>
        <w:spacing w:before="0" w:after="0" w:line="360" w:lineRule="auto"/>
        <w:rPr>
          <w:rFonts w:ascii="Arial" w:hAnsi="Arial"/>
          <w:sz w:val="22"/>
          <w:szCs w:val="22"/>
        </w:rPr>
      </w:pPr>
      <w:r>
        <w:rPr>
          <w:rFonts w:ascii="Arial" w:hAnsi="Arial" w:cstheme="minorHAnsi"/>
          <w:b/>
          <w:bCs/>
          <w:sz w:val="22"/>
          <w:szCs w:val="22"/>
        </w:rPr>
        <w:t>Es decir, el empleo del material deberá basarse en la lista de empresas, con los materiales homologados por bomberos.</w:t>
      </w:r>
    </w:p>
    <w:p>
      <w:pPr>
        <w:spacing w:before="0" w:after="0" w:line="360" w:lineRule="auto"/>
        <w:jc w:val="both"/>
        <w:rPr>
          <w:rFonts w:ascii="Arial" w:hAnsi="Arial"/>
          <w:sz w:val="22"/>
          <w:szCs w:val="22"/>
        </w:rPr>
      </w:pPr>
      <w:r>
        <w:rPr>
          <w:rFonts w:ascii="Arial" w:hAnsi="Arial" w:cstheme="minorHAnsi"/>
          <w:bCs/>
          <w:sz w:val="22"/>
          <w:szCs w:val="22"/>
        </w:rPr>
        <w:t>Los materiales foto luminiscentes tienen la capacidad de absorber la luz ambiente, ya sea natural o artificial; reteniendo esa energía lumínica mientras sigan recibiendo luz y luego cuando dejan de recibirla; ya sea de noche, durante un corte de energía eléctrica o en un incendio (cuando el humo denso cubre las luminarias), van a exteriorizar esa energía en forma de larga luminiscencia, que deberá tener una ALTA INTENSIDAD inicial, la cual irá disminuyendo lentamente en el transcurso de muchas horas, luego de producida la oscuridad en el ambiente donde estén instalados.</w:t>
      </w:r>
    </w:p>
    <w:p>
      <w:pPr>
        <w:spacing w:before="0" w:after="0" w:line="360" w:lineRule="auto"/>
        <w:jc w:val="center"/>
        <w:rPr>
          <w:rFonts w:ascii="Arial" w:hAnsi="Arial" w:cs="Calibri"/>
          <w:bCs/>
          <w:sz w:val="22"/>
          <w:szCs w:val="22"/>
        </w:rPr>
      </w:pPr>
    </w:p>
    <w:p>
      <w:pPr>
        <w:spacing w:before="0" w:after="0" w:line="360" w:lineRule="auto"/>
        <w:jc w:val="center"/>
        <w:rPr>
          <w:rFonts w:ascii="Arial" w:hAnsi="Arial"/>
          <w:sz w:val="22"/>
          <w:szCs w:val="22"/>
        </w:rPr>
      </w:pPr>
      <w:r>
        <w:rPr>
          <w:rFonts w:ascii="Arial" w:hAnsi="Arial"/>
          <w:sz w:val="22"/>
          <w:szCs w:val="22"/>
        </w:rPr>
        <w:drawing>
          <wp:inline distT="0" distB="0" distL="0" distR="0">
            <wp:extent cx="5716905" cy="2545715"/>
            <wp:effectExtent l="0" t="0" r="0" b="0"/>
            <wp:docPr id="63" name="Imagen9" descr="http://www.seguridadencarteles.com.ar/documentos/4/LUZ%20-%20O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9" descr="http://www.seguridadencarteles.com.ar/documentos/4/LUZ%20-%20OSC..jpg"/>
                    <pic:cNvPicPr>
                      <a:picLocks noChangeAspect="1" noChangeArrowheads="1"/>
                    </pic:cNvPicPr>
                  </pic:nvPicPr>
                  <pic:blipFill>
                    <a:blip r:embed="rId51"/>
                    <a:stretch>
                      <a:fillRect/>
                    </a:stretch>
                  </pic:blipFill>
                  <pic:spPr>
                    <a:xfrm>
                      <a:off x="0" y="0"/>
                      <a:ext cx="5716905" cy="2545715"/>
                    </a:xfrm>
                    <a:prstGeom prst="rect">
                      <a:avLst/>
                    </a:prstGeom>
                  </pic:spPr>
                </pic:pic>
              </a:graphicData>
            </a:graphic>
          </wp:inline>
        </w:drawing>
      </w:r>
    </w:p>
    <w:p>
      <w:pPr>
        <w:spacing w:before="0" w:after="0" w:line="360" w:lineRule="auto"/>
        <w:jc w:val="center"/>
        <w:rPr>
          <w:rFonts w:ascii="Arial" w:hAnsi="Arial" w:cs="Calibri"/>
          <w:bCs/>
          <w:sz w:val="22"/>
          <w:szCs w:val="22"/>
        </w:rPr>
      </w:pPr>
    </w:p>
    <w:p>
      <w:pPr>
        <w:spacing w:before="0" w:after="0" w:line="360" w:lineRule="auto"/>
        <w:jc w:val="both"/>
        <w:rPr>
          <w:rFonts w:ascii="Arial" w:hAnsi="Arial" w:cs="Calibri"/>
          <w:b/>
          <w:bCs/>
          <w:sz w:val="22"/>
          <w:szCs w:val="22"/>
        </w:rPr>
      </w:pPr>
      <w:r>
        <w:rPr>
          <w:rFonts w:ascii="Arial" w:hAnsi="Arial" w:cstheme="minorHAnsi"/>
          <w:b/>
          <w:bCs/>
          <w:sz w:val="22"/>
          <w:szCs w:val="22"/>
        </w:rPr>
        <w:t>AUTONOMÍA.</w:t>
      </w:r>
    </w:p>
    <w:p>
      <w:pPr>
        <w:spacing w:before="0" w:after="0" w:line="360" w:lineRule="auto"/>
        <w:jc w:val="both"/>
        <w:rPr>
          <w:rFonts w:ascii="Arial" w:hAnsi="Arial"/>
          <w:sz w:val="22"/>
          <w:szCs w:val="22"/>
        </w:rPr>
      </w:pPr>
      <w:r>
        <w:rPr>
          <w:rFonts w:ascii="Arial" w:hAnsi="Arial" w:cstheme="minorHAnsi"/>
          <w:bCs/>
          <w:sz w:val="22"/>
          <w:szCs w:val="22"/>
        </w:rPr>
        <w:t>La autonomía deberá garantizar un mínimo de 2 horas como la iluminación de emergencia.</w:t>
      </w:r>
    </w:p>
    <w:p>
      <w:pPr>
        <w:spacing w:before="0" w:after="0" w:line="360" w:lineRule="auto"/>
        <w:jc w:val="both"/>
        <w:rPr>
          <w:rFonts w:ascii="Arial" w:hAnsi="Arial"/>
          <w:sz w:val="22"/>
          <w:szCs w:val="22"/>
        </w:rPr>
      </w:pPr>
      <w:r>
        <w:rPr>
          <w:rFonts w:ascii="Arial" w:hAnsi="Arial" w:cstheme="minorHAnsi"/>
          <w:bCs/>
          <w:sz w:val="22"/>
          <w:szCs w:val="22"/>
        </w:rPr>
        <w:t>La misma estará en función del material y el espesor.</w:t>
      </w:r>
    </w:p>
    <w:p>
      <w:pPr>
        <w:spacing w:before="0" w:after="0" w:line="360" w:lineRule="auto"/>
        <w:jc w:val="both"/>
        <w:rPr>
          <w:rFonts w:ascii="Arial" w:hAnsi="Arial" w:cs="Calibri"/>
          <w:bCs/>
          <w:sz w:val="22"/>
          <w:szCs w:val="22"/>
        </w:rPr>
      </w:pPr>
    </w:p>
    <w:p>
      <w:pPr>
        <w:spacing w:before="0" w:after="0" w:line="360" w:lineRule="auto"/>
        <w:rPr>
          <w:rFonts w:ascii="Arial" w:hAnsi="Arial" w:cs="Calibri"/>
          <w:b/>
          <w:bCs/>
          <w:sz w:val="22"/>
          <w:szCs w:val="22"/>
        </w:rPr>
      </w:pPr>
      <w:r>
        <w:rPr>
          <w:rFonts w:ascii="Arial" w:hAnsi="Arial" w:cstheme="minorHAnsi"/>
          <w:b/>
          <w:bCs/>
          <w:sz w:val="22"/>
          <w:szCs w:val="22"/>
        </w:rPr>
        <w:t>ALTURA.</w:t>
      </w:r>
    </w:p>
    <w:p>
      <w:pPr>
        <w:spacing w:before="0" w:after="0" w:line="360" w:lineRule="auto"/>
        <w:rPr>
          <w:rFonts w:ascii="Arial" w:hAnsi="Arial"/>
          <w:sz w:val="22"/>
          <w:szCs w:val="22"/>
        </w:rPr>
      </w:pPr>
      <w:r>
        <w:rPr>
          <w:rFonts w:ascii="Arial" w:hAnsi="Arial" w:cstheme="minorHAnsi"/>
          <w:bCs/>
          <w:sz w:val="22"/>
          <w:szCs w:val="22"/>
        </w:rPr>
        <w:t>Señalización de protección y prohibición se ubicarán a una altura de 1.80m sobre N.P.T. hasta la base de la señalización.</w:t>
      </w:r>
    </w:p>
    <w:p>
      <w:pPr>
        <w:spacing w:before="0" w:after="0" w:line="360" w:lineRule="auto"/>
        <w:jc w:val="both"/>
        <w:rPr>
          <w:rFonts w:ascii="Arial" w:hAnsi="Arial" w:cs="Calibri"/>
          <w:bCs/>
          <w:sz w:val="22"/>
          <w:szCs w:val="22"/>
        </w:rPr>
      </w:pPr>
    </w:p>
    <w:p>
      <w:pPr>
        <w:spacing w:before="0" w:after="0" w:line="360" w:lineRule="auto"/>
        <w:jc w:val="both"/>
        <w:rPr>
          <w:rFonts w:ascii="Arial" w:hAnsi="Arial" w:cs="Calibri"/>
          <w:b/>
          <w:bCs/>
          <w:sz w:val="22"/>
          <w:szCs w:val="22"/>
        </w:rPr>
      </w:pPr>
      <w:r>
        <w:rPr>
          <w:rFonts w:ascii="Arial" w:hAnsi="Arial" w:cstheme="minorHAnsi"/>
          <w:b/>
          <w:bCs/>
          <w:sz w:val="22"/>
          <w:szCs w:val="22"/>
        </w:rPr>
        <w:t>FIJACIÓN.</w:t>
      </w:r>
    </w:p>
    <w:p>
      <w:pPr>
        <w:spacing w:before="0" w:after="0" w:line="360" w:lineRule="auto"/>
        <w:jc w:val="both"/>
        <w:rPr>
          <w:rFonts w:ascii="Arial" w:hAnsi="Arial"/>
          <w:sz w:val="22"/>
          <w:szCs w:val="22"/>
        </w:rPr>
      </w:pPr>
      <w:r>
        <w:rPr>
          <w:rFonts w:ascii="Arial" w:hAnsi="Arial" w:cstheme="minorHAnsi"/>
          <w:bCs/>
          <w:sz w:val="22"/>
          <w:szCs w:val="22"/>
        </w:rPr>
        <w:t>Para la fijación de los carteles se sugiere un adhesivo del tipo 3M ó una fina capa de cemento de contacto sobre la superficie donde deban ser instalados; de esta manera se logra una correcta fijación.</w:t>
      </w:r>
    </w:p>
    <w:p>
      <w:pPr>
        <w:spacing w:before="0" w:after="0" w:line="360" w:lineRule="auto"/>
        <w:jc w:val="both"/>
        <w:rPr>
          <w:rFonts w:ascii="Arial" w:hAnsi="Arial"/>
          <w:sz w:val="22"/>
          <w:szCs w:val="22"/>
        </w:rPr>
      </w:pPr>
      <w:r>
        <w:rPr>
          <w:rFonts w:ascii="Arial" w:hAnsi="Arial" w:cstheme="minorHAnsi"/>
          <w:b/>
          <w:color w:val="000000"/>
          <w:sz w:val="22"/>
          <w:szCs w:val="22"/>
        </w:rPr>
        <w:t>Señalización de protección y prohibición se ubicarán a una altura de 1.80m sobre N.P.T. hasta la base de la señalización. Espaciados un máximo de 15m.</w:t>
      </w:r>
    </w:p>
    <w:p>
      <w:pPr>
        <w:spacing w:before="0" w:after="0" w:line="360" w:lineRule="auto"/>
        <w:jc w:val="both"/>
        <w:rPr>
          <w:rFonts w:ascii="Arial" w:hAnsi="Arial"/>
          <w:sz w:val="22"/>
          <w:szCs w:val="22"/>
        </w:rPr>
      </w:pPr>
      <w:r>
        <w:rPr>
          <w:rFonts w:ascii="Arial" w:hAnsi="Arial" w:cstheme="minorHAnsi"/>
          <w:b/>
          <w:color w:val="000000"/>
          <w:sz w:val="22"/>
          <w:szCs w:val="22"/>
        </w:rPr>
        <w:t>Señalización de seguridad deben ubicarse por encima de las puertas a 0.10m entre el dintel y la base del cartel, o a una altura de 1.80m medida desde N.P.T. a base del cartel. Espaciados un máximo de 15m.</w:t>
      </w:r>
    </w:p>
    <w:p>
      <w:pPr>
        <w:spacing w:before="0" w:after="0" w:line="360" w:lineRule="auto"/>
        <w:jc w:val="both"/>
        <w:rPr>
          <w:rFonts w:ascii="Arial" w:hAnsi="Arial"/>
          <w:sz w:val="22"/>
          <w:szCs w:val="22"/>
        </w:rPr>
      </w:pPr>
      <w:r>
        <w:rPr>
          <w:rFonts w:ascii="Arial" w:hAnsi="Arial" w:cstheme="minorHAnsi"/>
          <w:b/>
          <w:color w:val="000000"/>
          <w:sz w:val="22"/>
          <w:szCs w:val="22"/>
        </w:rPr>
        <w:t>Mantenimiento, deberá someterse a inspecciones periódicas para garantizar que producen el mismo efecto visual para el que fueron confeccionados.</w:t>
      </w:r>
    </w:p>
    <w:p>
      <w:pPr>
        <w:pStyle w:val="57"/>
        <w:spacing w:line="360" w:lineRule="auto"/>
        <w:rPr>
          <w:rFonts w:ascii="Arial" w:hAnsi="Arial"/>
          <w:sz w:val="22"/>
          <w:szCs w:val="22"/>
        </w:rPr>
      </w:pPr>
      <w:r>
        <w:rPr>
          <w:rFonts w:ascii="Arial" w:hAnsi="Arial" w:cstheme="minorHAnsi"/>
          <w:b/>
          <w:sz w:val="22"/>
          <w:szCs w:val="22"/>
          <w:lang w:val="es-UY"/>
        </w:rPr>
        <w:t>Se adjuntan gráficos a modo de ejemplo.</w:t>
      </w:r>
    </w:p>
    <w:p>
      <w:pPr>
        <w:pStyle w:val="57"/>
        <w:spacing w:line="360" w:lineRule="auto"/>
        <w:rPr>
          <w:rFonts w:ascii="Arial" w:hAnsi="Arial"/>
          <w:sz w:val="22"/>
          <w:szCs w:val="22"/>
        </w:rPr>
      </w:pPr>
      <w:r>
        <w:rPr>
          <w:rFonts w:ascii="Arial" w:hAnsi="Arial" w:cstheme="minorHAnsi"/>
          <w:b/>
          <w:sz w:val="22"/>
          <w:szCs w:val="22"/>
          <w:lang w:val="es-UY"/>
        </w:rPr>
        <w:t>Ninguna Señalización deberá ser obstruida visualmente.</w:t>
      </w:r>
    </w:p>
    <w:p>
      <w:pPr>
        <w:pStyle w:val="57"/>
        <w:spacing w:line="360" w:lineRule="auto"/>
        <w:rPr>
          <w:rFonts w:ascii="Arial" w:hAnsi="Arial"/>
          <w:b/>
          <w:sz w:val="22"/>
          <w:szCs w:val="22"/>
          <w:lang w:val="es-UY"/>
        </w:rPr>
      </w:pPr>
    </w:p>
    <w:p>
      <w:pPr>
        <w:pStyle w:val="57"/>
        <w:spacing w:line="360" w:lineRule="auto"/>
        <w:rPr>
          <w:rFonts w:ascii="Arial" w:hAnsi="Arial"/>
          <w:sz w:val="22"/>
          <w:szCs w:val="22"/>
        </w:rPr>
      </w:pPr>
      <w:r>
        <w:rPr>
          <w:rFonts w:ascii="Arial" w:hAnsi="Arial" w:cstheme="minorHAnsi"/>
          <w:b/>
          <w:sz w:val="22"/>
          <w:szCs w:val="22"/>
          <w:lang w:val="es-UY"/>
        </w:rPr>
        <w:t>COLOR DE LA SEÑALIZACIÓN A EMPLEAR.</w:t>
      </w:r>
    </w:p>
    <w:p>
      <w:pPr>
        <w:pStyle w:val="57"/>
        <w:spacing w:line="360" w:lineRule="auto"/>
        <w:rPr>
          <w:rFonts w:ascii="Arial" w:hAnsi="Arial"/>
          <w:sz w:val="22"/>
          <w:szCs w:val="22"/>
        </w:rPr>
      </w:pPr>
      <w:r>
        <w:rPr>
          <w:rFonts w:ascii="Arial" w:hAnsi="Arial"/>
          <w:sz w:val="22"/>
          <w:szCs w:val="22"/>
        </w:rPr>
        <w:drawing>
          <wp:inline distT="0" distB="0" distL="0" distR="0">
            <wp:extent cx="5808345" cy="2426335"/>
            <wp:effectExtent l="0" t="0" r="1905" b="12065"/>
            <wp:docPr id="64" name="Imag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10"/>
                    <pic:cNvPicPr>
                      <a:picLocks noChangeAspect="1" noChangeArrowheads="1"/>
                    </pic:cNvPicPr>
                  </pic:nvPicPr>
                  <pic:blipFill>
                    <a:blip r:embed="rId52"/>
                    <a:srcRect l="21184" t="24268" r="6704" b="22185"/>
                    <a:stretch>
                      <a:fillRect/>
                    </a:stretch>
                  </pic:blipFill>
                  <pic:spPr>
                    <a:xfrm>
                      <a:off x="0" y="0"/>
                      <a:ext cx="5808345" cy="2426335"/>
                    </a:xfrm>
                    <a:prstGeom prst="rect">
                      <a:avLst/>
                    </a:prstGeom>
                  </pic:spPr>
                </pic:pic>
              </a:graphicData>
            </a:graphic>
          </wp:inline>
        </w:drawing>
      </w:r>
    </w:p>
    <w:p>
      <w:pPr>
        <w:pStyle w:val="57"/>
        <w:spacing w:line="360" w:lineRule="auto"/>
        <w:rPr>
          <w:rFonts w:ascii="Arial" w:hAnsi="Arial" w:cstheme="minorHAnsi"/>
          <w:b/>
          <w:sz w:val="22"/>
          <w:szCs w:val="22"/>
          <w:lang w:val="es-UY"/>
        </w:rPr>
      </w:pPr>
    </w:p>
    <w:p>
      <w:pPr>
        <w:pStyle w:val="57"/>
        <w:spacing w:line="360" w:lineRule="auto"/>
        <w:rPr>
          <w:rFonts w:ascii="Arial" w:hAnsi="Arial"/>
          <w:sz w:val="22"/>
          <w:szCs w:val="22"/>
        </w:rPr>
      </w:pPr>
      <w:r>
        <w:rPr>
          <w:rFonts w:ascii="Arial" w:hAnsi="Arial" w:cstheme="minorHAnsi"/>
          <w:b/>
          <w:sz w:val="22"/>
          <w:szCs w:val="22"/>
          <w:lang w:val="es-UY"/>
        </w:rPr>
        <w:t>ALTURA DE FIJACIÓN.</w:t>
      </w:r>
    </w:p>
    <w:p>
      <w:pPr>
        <w:pStyle w:val="57"/>
        <w:spacing w:line="360" w:lineRule="auto"/>
        <w:jc w:val="center"/>
        <w:rPr>
          <w:rFonts w:ascii="Arial" w:hAnsi="Arial"/>
          <w:sz w:val="22"/>
          <w:szCs w:val="22"/>
        </w:rPr>
      </w:pPr>
      <w:r>
        <w:rPr>
          <w:rFonts w:ascii="Arial" w:hAnsi="Arial"/>
          <w:sz w:val="22"/>
          <w:szCs w:val="22"/>
        </w:rPr>
        <w:drawing>
          <wp:inline distT="0" distB="0" distL="0" distR="0">
            <wp:extent cx="5732145" cy="3627755"/>
            <wp:effectExtent l="0" t="0" r="0" b="0"/>
            <wp:docPr id="65" name="Imagen 1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11" descr="Diagrama&#10;&#10;Descripción generada automáticamente"/>
                    <pic:cNvPicPr>
                      <a:picLocks noChangeAspect="1" noChangeArrowheads="1"/>
                    </pic:cNvPicPr>
                  </pic:nvPicPr>
                  <pic:blipFill>
                    <a:blip r:embed="rId53"/>
                    <a:stretch>
                      <a:fillRect/>
                    </a:stretch>
                  </pic:blipFill>
                  <pic:spPr>
                    <a:xfrm>
                      <a:off x="0" y="0"/>
                      <a:ext cx="5732145" cy="3627755"/>
                    </a:xfrm>
                    <a:prstGeom prst="rect">
                      <a:avLst/>
                    </a:prstGeom>
                  </pic:spPr>
                </pic:pic>
              </a:graphicData>
            </a:graphic>
          </wp:inline>
        </w:drawing>
      </w:r>
    </w:p>
    <w:p>
      <w:pPr>
        <w:pStyle w:val="57"/>
        <w:spacing w:line="360" w:lineRule="auto"/>
        <w:jc w:val="center"/>
        <w:rPr>
          <w:rFonts w:ascii="Arial" w:hAnsi="Arial"/>
          <w:b/>
          <w:sz w:val="22"/>
          <w:szCs w:val="22"/>
          <w:lang w:val="es-UY"/>
        </w:rPr>
      </w:pPr>
    </w:p>
    <w:p>
      <w:pPr>
        <w:pStyle w:val="57"/>
        <w:spacing w:line="360" w:lineRule="auto"/>
        <w:jc w:val="center"/>
        <w:rPr>
          <w:rFonts w:ascii="Arial" w:hAnsi="Arial"/>
          <w:b/>
          <w:sz w:val="22"/>
          <w:szCs w:val="22"/>
          <w:lang w:val="es-UY"/>
        </w:rPr>
      </w:pPr>
      <w:r>
        <w:rPr>
          <w:rFonts w:ascii="Arial" w:hAnsi="Arial"/>
          <w:b/>
          <w:sz w:val="22"/>
          <w:szCs w:val="22"/>
          <w:lang w:val="es-UY"/>
        </w:rPr>
        <mc:AlternateContent>
          <mc:Choice Requires="wps">
            <w:drawing>
              <wp:anchor distT="0" distB="2540" distL="0" distR="0" simplePos="0" relativeHeight="251659264" behindDoc="0" locked="0" layoutInCell="0" allowOverlap="1">
                <wp:simplePos x="0" y="0"/>
                <wp:positionH relativeFrom="column">
                  <wp:posOffset>715010</wp:posOffset>
                </wp:positionH>
                <wp:positionV relativeFrom="paragraph">
                  <wp:posOffset>2637790</wp:posOffset>
                </wp:positionV>
                <wp:extent cx="346075" cy="187325"/>
                <wp:effectExtent l="0" t="0" r="0" b="3175"/>
                <wp:wrapNone/>
                <wp:docPr id="66" name="Rectángulo 17"/>
                <wp:cNvGraphicFramePr/>
                <a:graphic xmlns:a="http://schemas.openxmlformats.org/drawingml/2006/main">
                  <a:graphicData uri="http://schemas.microsoft.com/office/word/2010/wordprocessingShape">
                    <wps:wsp>
                      <wps:cNvSpPr/>
                      <wps:spPr>
                        <a:xfrm>
                          <a:off x="0" y="0"/>
                          <a:ext cx="345960" cy="18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ángulo 17" o:spid="_x0000_s1026" o:spt="1" style="position:absolute;left:0pt;margin-left:56.3pt;margin-top:207.7pt;height:14.75pt;width:27.25pt;z-index:251659264;mso-width-relative:page;mso-height-relative:page;" fillcolor="#FFFFFF [3212]" filled="t" stroked="f" coordsize="21600,21600" o:allowincell="f" o:gfxdata="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IxCPTdkAAAALAQAA&#10;DwAAAAAAAAABACAAAAAiAAAAZHJzL2Rvd25yZXYueG1sUEsBAhQAFAAAAAgAh07iQKWqK4ffAQAA&#10;vwMAAA4AAAAAAAAAAQAgAAAAKAEAAGRycy9lMm9Eb2MueG1sUEsFBgAAAAAGAAYAWQEAAHkFAAAA&#10;AA==&#10;">
                <v:fill on="t" focussize="0,0"/>
                <v:stroke on="f" weight="1pt" miterlimit="8" joinstyle="miter"/>
                <v:imagedata o:title=""/>
                <o:lock v:ext="edit" aspectratio="f"/>
                <v:textbox>
                  <w:txbxContent>
                    <w:p>
                      <w:pPr>
                        <w:jc w:val="center"/>
                      </w:pPr>
                    </w:p>
                  </w:txbxContent>
                </v:textbox>
              </v:rect>
            </w:pict>
          </mc:Fallback>
        </mc:AlternateContent>
      </w:r>
      <w:r>
        <w:rPr>
          <w:rFonts w:ascii="Arial" w:hAnsi="Arial"/>
          <w:b/>
          <w:sz w:val="22"/>
          <w:szCs w:val="22"/>
          <w:lang w:val="es-UY"/>
        </w:rPr>
        <mc:AlternateContent>
          <mc:Choice Requires="wps">
            <w:drawing>
              <wp:anchor distT="0" distB="2540" distL="0" distR="0" simplePos="0" relativeHeight="251659264" behindDoc="0" locked="0" layoutInCell="0" allowOverlap="1">
                <wp:simplePos x="0" y="0"/>
                <wp:positionH relativeFrom="column">
                  <wp:posOffset>1336040</wp:posOffset>
                </wp:positionH>
                <wp:positionV relativeFrom="paragraph">
                  <wp:posOffset>2215515</wp:posOffset>
                </wp:positionV>
                <wp:extent cx="346075" cy="187325"/>
                <wp:effectExtent l="0" t="0" r="0" b="3175"/>
                <wp:wrapNone/>
                <wp:docPr id="67" name="Rectángulo 20"/>
                <wp:cNvGraphicFramePr/>
                <a:graphic xmlns:a="http://schemas.openxmlformats.org/drawingml/2006/main">
                  <a:graphicData uri="http://schemas.microsoft.com/office/word/2010/wordprocessingShape">
                    <wps:wsp>
                      <wps:cNvSpPr/>
                      <wps:spPr>
                        <a:xfrm>
                          <a:off x="0" y="0"/>
                          <a:ext cx="345960" cy="18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ángulo 20" o:spid="_x0000_s1026" o:spt="1" style="position:absolute;left:0pt;margin-left:105.2pt;margin-top:174.45pt;height:14.75pt;width:27.25pt;z-index:251659264;mso-width-relative:page;mso-height-relative:page;" fillcolor="#FFFFFF [3212]" filled="t" stroked="f" coordsize="21600,21600" o:allowincell="f" o:gfxdata="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wSufbdkAAAALAQAADwAA&#10;AAAAAAABACAAAAAiAAAAZHJzL2Rvd25yZXYueG1sUEsBAhQAFAAAAAgAh07iQACg4zHcAQAAvwMA&#10;AA4AAAAAAAAAAQAgAAAAKAEAAGRycy9lMm9Eb2MueG1sUEsFBgAAAAAGAAYAWQEAAHYFAAAAAA==&#10;">
                <v:fill on="t" focussize="0,0"/>
                <v:stroke on="f" weight="1pt" miterlimit="8" joinstyle="miter"/>
                <v:imagedata o:title=""/>
                <o:lock v:ext="edit" aspectratio="f"/>
                <v:textbox>
                  <w:txbxContent>
                    <w:p>
                      <w:pPr>
                        <w:jc w:val="center"/>
                      </w:pPr>
                    </w:p>
                  </w:txbxContent>
                </v:textbox>
              </v:rect>
            </w:pict>
          </mc:Fallback>
        </mc:AlternateContent>
      </w:r>
      <w:r>
        <w:rPr>
          <w:rFonts w:ascii="Arial" w:hAnsi="Arial"/>
          <w:b/>
          <w:sz w:val="22"/>
          <w:szCs w:val="22"/>
          <w:lang w:val="es-UY"/>
        </w:rPr>
        <mc:AlternateContent>
          <mc:Choice Requires="wps">
            <w:drawing>
              <wp:anchor distT="0" distB="2540" distL="0" distR="0" simplePos="0" relativeHeight="251659264" behindDoc="0" locked="0" layoutInCell="0" allowOverlap="1">
                <wp:simplePos x="0" y="0"/>
                <wp:positionH relativeFrom="column">
                  <wp:posOffset>2144395</wp:posOffset>
                </wp:positionH>
                <wp:positionV relativeFrom="paragraph">
                  <wp:posOffset>1776095</wp:posOffset>
                </wp:positionV>
                <wp:extent cx="346075" cy="187325"/>
                <wp:effectExtent l="0" t="0" r="0" b="3175"/>
                <wp:wrapNone/>
                <wp:docPr id="68" name="Rectángulo 21"/>
                <wp:cNvGraphicFramePr/>
                <a:graphic xmlns:a="http://schemas.openxmlformats.org/drawingml/2006/main">
                  <a:graphicData uri="http://schemas.microsoft.com/office/word/2010/wordprocessingShape">
                    <wps:wsp>
                      <wps:cNvSpPr/>
                      <wps:spPr>
                        <a:xfrm>
                          <a:off x="0" y="0"/>
                          <a:ext cx="345960" cy="18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ángulo 21" o:spid="_x0000_s1026" o:spt="1" style="position:absolute;left:0pt;margin-left:168.85pt;margin-top:139.85pt;height:14.75pt;width:27.25pt;z-index:251659264;mso-width-relative:page;mso-height-relative:page;" fillcolor="#FFFFFF [3212]" filled="t" stroked="f" coordsize="21600,21600" o:allowincell="f" o:gfxdata="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9jEsydkAAAALAQAA&#10;DwAAAAAAAAABACAAAAAiAAAAZHJzL2Rvd25yZXYueG1sUEsBAhQAFAAAAAgAh07iQLIlGDDfAQAA&#10;vwMAAA4AAAAAAAAAAQAgAAAAKAEAAGRycy9lMm9Eb2MueG1sUEsFBgAAAAAGAAYAWQEAAHkFAAAA&#10;AA==&#10;">
                <v:fill on="t" focussize="0,0"/>
                <v:stroke on="f" weight="1pt" miterlimit="8" joinstyle="miter"/>
                <v:imagedata o:title=""/>
                <o:lock v:ext="edit" aspectratio="f"/>
                <v:textbox>
                  <w:txbxContent>
                    <w:p>
                      <w:pPr>
                        <w:jc w:val="center"/>
                      </w:pPr>
                    </w:p>
                  </w:txbxContent>
                </v:textbox>
              </v:rect>
            </w:pict>
          </mc:Fallback>
        </mc:AlternateContent>
      </w:r>
      <w:r>
        <w:rPr>
          <w:rFonts w:ascii="Arial" w:hAnsi="Arial"/>
          <w:b/>
          <w:sz w:val="22"/>
          <w:szCs w:val="22"/>
          <w:lang w:val="es-UY"/>
        </w:rPr>
        <mc:AlternateContent>
          <mc:Choice Requires="wps">
            <w:drawing>
              <wp:anchor distT="0" distB="2540" distL="0" distR="0" simplePos="0" relativeHeight="251659264" behindDoc="0" locked="0" layoutInCell="0" allowOverlap="1">
                <wp:simplePos x="0" y="0"/>
                <wp:positionH relativeFrom="column">
                  <wp:posOffset>2789555</wp:posOffset>
                </wp:positionH>
                <wp:positionV relativeFrom="paragraph">
                  <wp:posOffset>1711325</wp:posOffset>
                </wp:positionV>
                <wp:extent cx="346075" cy="187325"/>
                <wp:effectExtent l="0" t="0" r="0" b="3175"/>
                <wp:wrapNone/>
                <wp:docPr id="69" name="Rectángulo 23"/>
                <wp:cNvGraphicFramePr/>
                <a:graphic xmlns:a="http://schemas.openxmlformats.org/drawingml/2006/main">
                  <a:graphicData uri="http://schemas.microsoft.com/office/word/2010/wordprocessingShape">
                    <wps:wsp>
                      <wps:cNvSpPr/>
                      <wps:spPr>
                        <a:xfrm>
                          <a:off x="0" y="0"/>
                          <a:ext cx="345960" cy="18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ángulo 23" o:spid="_x0000_s1026" o:spt="1" style="position:absolute;left:0pt;margin-left:219.65pt;margin-top:134.75pt;height:14.75pt;width:27.25pt;z-index:251659264;mso-width-relative:page;mso-height-relative:page;" fillcolor="#FFFFFF [3212]" filled="t" stroked="f" coordsize="21600,21600" o:allowincell="f" o:gfxdata="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HtohK7ZAAAACwEA&#10;AA8AAAAAAAAAAQAgAAAAIgAAAGRycy9kb3ducmV2LnhtbFBLAQIUABQAAAAIAIdO4kCrsfM+4AEA&#10;AL8DAAAOAAAAAAAAAAEAIAAAACgBAABkcnMvZTJvRG9jLnhtbFBLBQYAAAAABgAGAFkBAAB6BQAA&#10;AAA=&#10;">
                <v:fill on="t" focussize="0,0"/>
                <v:stroke on="f" weight="1pt" miterlimit="8" joinstyle="miter"/>
                <v:imagedata o:title=""/>
                <o:lock v:ext="edit" aspectratio="f"/>
                <v:textbox>
                  <w:txbxContent>
                    <w:p>
                      <w:pPr>
                        <w:jc w:val="center"/>
                      </w:pPr>
                    </w:p>
                  </w:txbxContent>
                </v:textbox>
              </v:rect>
            </w:pict>
          </mc:Fallback>
        </mc:AlternateContent>
      </w:r>
      <w:r>
        <w:rPr>
          <w:rFonts w:ascii="Arial" w:hAnsi="Arial"/>
          <w:b/>
          <w:sz w:val="22"/>
          <w:szCs w:val="22"/>
          <w:lang w:val="es-UY"/>
        </w:rPr>
        <mc:AlternateContent>
          <mc:Choice Requires="wps">
            <w:drawing>
              <wp:anchor distT="0" distB="0" distL="0" distR="0" simplePos="0" relativeHeight="251659264" behindDoc="0" locked="0" layoutInCell="0" allowOverlap="1">
                <wp:simplePos x="0" y="0"/>
                <wp:positionH relativeFrom="column">
                  <wp:posOffset>3464560</wp:posOffset>
                </wp:positionH>
                <wp:positionV relativeFrom="paragraph">
                  <wp:posOffset>1711960</wp:posOffset>
                </wp:positionV>
                <wp:extent cx="392430" cy="251460"/>
                <wp:effectExtent l="0" t="0" r="0" b="0"/>
                <wp:wrapNone/>
                <wp:docPr id="70" name="Rectángulo 24"/>
                <wp:cNvGraphicFramePr/>
                <a:graphic xmlns:a="http://schemas.openxmlformats.org/drawingml/2006/main">
                  <a:graphicData uri="http://schemas.microsoft.com/office/word/2010/wordprocessingShape">
                    <wps:wsp>
                      <wps:cNvSpPr/>
                      <wps:spPr>
                        <a:xfrm>
                          <a:off x="0" y="0"/>
                          <a:ext cx="392400" cy="2516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ángulo 24" o:spid="_x0000_s1026" o:spt="1" style="position:absolute;left:0pt;margin-left:272.8pt;margin-top:134.8pt;height:19.8pt;width:30.9pt;z-index:251659264;mso-width-relative:page;mso-height-relative:page;" fillcolor="#FFFFFF [3212]" filled="t" stroked="f" coordsize="21600,21600" o:allowincell="f" o:gfxdata="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MLL8o/aAAAACwEA&#10;AA8AAAAAAAAAAQAgAAAAIgAAAGRycy9kb3ducmV2LnhtbFBLAQIUABQAAAAIAIdO4kBmTSqR3wEA&#10;AL8DAAAOAAAAAAAAAAEAIAAAACkBAABkcnMvZTJvRG9jLnhtbFBLBQYAAAAABgAGAFkBAAB6BQAA&#10;AAA=&#10;">
                <v:fill on="t" focussize="0,0"/>
                <v:stroke on="f" weight="1pt" miterlimit="8" joinstyle="miter"/>
                <v:imagedata o:title=""/>
                <o:lock v:ext="edit" aspectratio="f"/>
                <v:textbox>
                  <w:txbxContent>
                    <w:p>
                      <w:pPr>
                        <w:jc w:val="center"/>
                      </w:pPr>
                    </w:p>
                  </w:txbxContent>
                </v:textbox>
              </v:rect>
            </w:pict>
          </mc:Fallback>
        </mc:AlternateContent>
      </w:r>
      <w:r>
        <w:rPr>
          <w:rFonts w:ascii="Arial" w:hAnsi="Arial"/>
          <w:b/>
          <w:sz w:val="22"/>
          <w:szCs w:val="22"/>
          <w:lang w:val="es-UY"/>
        </w:rPr>
        <mc:AlternateContent>
          <mc:Choice Requires="wps">
            <w:drawing>
              <wp:anchor distT="0" distB="2540" distL="0" distR="0" simplePos="0" relativeHeight="251659264" behindDoc="0" locked="0" layoutInCell="0" allowOverlap="1">
                <wp:simplePos x="0" y="0"/>
                <wp:positionH relativeFrom="column">
                  <wp:posOffset>4284980</wp:posOffset>
                </wp:positionH>
                <wp:positionV relativeFrom="paragraph">
                  <wp:posOffset>1963420</wp:posOffset>
                </wp:positionV>
                <wp:extent cx="346075" cy="187325"/>
                <wp:effectExtent l="0" t="0" r="0" b="3175"/>
                <wp:wrapNone/>
                <wp:docPr id="71" name="Rectángulo 26"/>
                <wp:cNvGraphicFramePr/>
                <a:graphic xmlns:a="http://schemas.openxmlformats.org/drawingml/2006/main">
                  <a:graphicData uri="http://schemas.microsoft.com/office/word/2010/wordprocessingShape">
                    <wps:wsp>
                      <wps:cNvSpPr/>
                      <wps:spPr>
                        <a:xfrm>
                          <a:off x="0" y="0"/>
                          <a:ext cx="345960" cy="18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ángulo 26" o:spid="_x0000_s1026" o:spt="1" style="position:absolute;left:0pt;margin-left:337.4pt;margin-top:154.6pt;height:14.75pt;width:27.25pt;z-index:251659264;mso-width-relative:page;mso-height-relative:page;" fillcolor="#FFFFFF [3212]" filled="t" stroked="f" coordsize="21600,21600" o:allowincell="f" o:gfxdata="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H8Km6naAAAACwEA&#10;AA8AAAAAAAAAAQAgAAAAIgAAAGRycy9kb3ducmV2LnhtbFBLAQIUABQAAAAIAIdO4kDss2yb3wEA&#10;AL8DAAAOAAAAAAAAAAEAIAAAACkBAABkcnMvZTJvRG9jLnhtbFBLBQYAAAAABgAGAFkBAAB6BQAA&#10;AAA=&#10;">
                <v:fill on="t" focussize="0,0"/>
                <v:stroke on="f" weight="1pt" miterlimit="8" joinstyle="miter"/>
                <v:imagedata o:title=""/>
                <o:lock v:ext="edit" aspectratio="f"/>
                <v:textbox>
                  <w:txbxContent>
                    <w:p>
                      <w:pPr>
                        <w:jc w:val="center"/>
                      </w:pPr>
                    </w:p>
                  </w:txbxContent>
                </v:textbox>
              </v:rect>
            </w:pict>
          </mc:Fallback>
        </mc:AlternateContent>
      </w:r>
    </w:p>
    <w:p>
      <w:pPr>
        <w:pStyle w:val="57"/>
        <w:spacing w:line="360" w:lineRule="auto"/>
        <w:jc w:val="center"/>
        <w:rPr>
          <w:rFonts w:ascii="Arial" w:hAnsi="Arial"/>
          <w:b/>
          <w:sz w:val="22"/>
          <w:szCs w:val="22"/>
          <w:lang w:val="es-UY"/>
        </w:rPr>
      </w:pPr>
      <w:r>
        <w:rPr>
          <w:rFonts w:ascii="Arial" w:hAnsi="Arial"/>
          <w:b/>
          <w:sz w:val="22"/>
          <w:szCs w:val="22"/>
          <w:lang w:val="es-UY"/>
        </w:rPr>
        <mc:AlternateContent>
          <mc:Choice Requires="wps">
            <w:drawing>
              <wp:anchor distT="0" distB="0" distL="0" distR="0" simplePos="0" relativeHeight="251659264" behindDoc="0" locked="0" layoutInCell="0" allowOverlap="1">
                <wp:simplePos x="0" y="0"/>
                <wp:positionH relativeFrom="column">
                  <wp:posOffset>2573020</wp:posOffset>
                </wp:positionH>
                <wp:positionV relativeFrom="paragraph">
                  <wp:posOffset>1905635</wp:posOffset>
                </wp:positionV>
                <wp:extent cx="328295" cy="843915"/>
                <wp:effectExtent l="0" t="0" r="0" b="0"/>
                <wp:wrapNone/>
                <wp:docPr id="72" name="Rectángulo 33"/>
                <wp:cNvGraphicFramePr/>
                <a:graphic xmlns:a="http://schemas.openxmlformats.org/drawingml/2006/main">
                  <a:graphicData uri="http://schemas.microsoft.com/office/word/2010/wordprocessingShape">
                    <wps:wsp>
                      <wps:cNvSpPr/>
                      <wps:spPr>
                        <a:xfrm>
                          <a:off x="0" y="0"/>
                          <a:ext cx="328320" cy="8438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ángulo 33" o:spid="_x0000_s1026" o:spt="1" style="position:absolute;left:0pt;margin-left:202.6pt;margin-top:150.05pt;height:66.45pt;width:25.85pt;z-index:251659264;mso-width-relative:page;mso-height-relative:page;" fillcolor="#FFFFFF [3212]" filled="t" stroked="f" coordsize="21600,21600" o:allowincell="f" o:gfxdata="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tGBii9kAAAALAQAA&#10;DwAAAAAAAAABACAAAAAiAAAAZHJzL2Rvd25yZXYueG1sUEsBAhQAFAAAAAgAh07iQKr/hE7fAQAA&#10;vwMAAA4AAAAAAAAAAQAgAAAAKAEAAGRycy9lMm9Eb2MueG1sUEsFBgAAAAAGAAYAWQEAAHkFAAAA&#10;AA==&#10;">
                <v:fill on="t" focussize="0,0"/>
                <v:stroke on="f" weight="1pt" miterlimit="8" joinstyle="miter"/>
                <v:imagedata o:title=""/>
                <o:lock v:ext="edit" aspectratio="f"/>
                <v:textbox>
                  <w:txbxContent>
                    <w:p>
                      <w:pPr>
                        <w:jc w:val="center"/>
                      </w:pPr>
                    </w:p>
                  </w:txbxContent>
                </v:textbox>
              </v:rect>
            </w:pict>
          </mc:Fallback>
        </mc:AlternateContent>
      </w:r>
      <w:r>
        <w:rPr>
          <w:rFonts w:ascii="Arial" w:hAnsi="Arial"/>
          <w:b/>
          <w:sz w:val="22"/>
          <w:szCs w:val="22"/>
          <w:lang w:val="es-UY"/>
        </w:rPr>
        <mc:AlternateContent>
          <mc:Choice Requires="wps">
            <w:drawing>
              <wp:anchor distT="0" distB="0" distL="0" distR="0" simplePos="0" relativeHeight="251659264" behindDoc="0" locked="0" layoutInCell="0" allowOverlap="1">
                <wp:simplePos x="0" y="0"/>
                <wp:positionH relativeFrom="column">
                  <wp:posOffset>644525</wp:posOffset>
                </wp:positionH>
                <wp:positionV relativeFrom="paragraph">
                  <wp:posOffset>996950</wp:posOffset>
                </wp:positionV>
                <wp:extent cx="1037590" cy="2743200"/>
                <wp:effectExtent l="0" t="0" r="0" b="0"/>
                <wp:wrapNone/>
                <wp:docPr id="73" name="Rectángulo 30"/>
                <wp:cNvGraphicFramePr/>
                <a:graphic xmlns:a="http://schemas.openxmlformats.org/drawingml/2006/main">
                  <a:graphicData uri="http://schemas.microsoft.com/office/word/2010/wordprocessingShape">
                    <wps:wsp>
                      <wps:cNvSpPr/>
                      <wps:spPr>
                        <a:xfrm>
                          <a:off x="0" y="0"/>
                          <a:ext cx="1037520" cy="2743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ángulo 30" o:spid="_x0000_s1026" o:spt="1" style="position:absolute;left:0pt;margin-left:50.75pt;margin-top:78.5pt;height:216pt;width:81.7pt;z-index:251659264;mso-width-relative:page;mso-height-relative:page;" fillcolor="#FFFFFF [3212]" filled="t" stroked="f" coordsize="21600,21600" o:allowincell="f" o:gfxdata="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ChX8ojYAAAACwEAAA8A&#10;AAAAAAAAAQAgAAAAIgAAAGRycy9kb3ducmV2LnhtbFBLAQIUABQAAAAIAIdO4kBbDoRE3gEAAMED&#10;AAAOAAAAAAAAAAEAIAAAACcBAABkcnMvZTJvRG9jLnhtbFBLBQYAAAAABgAGAFkBAAB3BQAAAAA=&#10;">
                <v:fill on="t" focussize="0,0"/>
                <v:stroke on="f" weight="1pt" miterlimit="8" joinstyle="miter"/>
                <v:imagedata o:title=""/>
                <o:lock v:ext="edit" aspectratio="f"/>
                <v:textbox>
                  <w:txbxContent>
                    <w:p>
                      <w:pPr>
                        <w:jc w:val="center"/>
                      </w:pPr>
                    </w:p>
                  </w:txbxContent>
                </v:textbox>
              </v:rect>
            </w:pict>
          </mc:Fallback>
        </mc:AlternateContent>
      </w:r>
      <w:r>
        <w:rPr>
          <w:rFonts w:ascii="Arial" w:hAnsi="Arial"/>
          <w:b/>
          <w:sz w:val="22"/>
          <w:szCs w:val="22"/>
          <w:lang w:val="es-UY"/>
        </w:rPr>
        <mc:AlternateContent>
          <mc:Choice Requires="wps">
            <w:drawing>
              <wp:anchor distT="0" distB="0" distL="0" distR="0" simplePos="0" relativeHeight="251659264" behindDoc="0" locked="0" layoutInCell="0" allowOverlap="1">
                <wp:simplePos x="0" y="0"/>
                <wp:positionH relativeFrom="column">
                  <wp:posOffset>4279265</wp:posOffset>
                </wp:positionH>
                <wp:positionV relativeFrom="paragraph">
                  <wp:posOffset>2843530</wp:posOffset>
                </wp:positionV>
                <wp:extent cx="1037590" cy="843915"/>
                <wp:effectExtent l="0" t="0" r="0" b="0"/>
                <wp:wrapNone/>
                <wp:docPr id="74" name="Rectángulo 32"/>
                <wp:cNvGraphicFramePr/>
                <a:graphic xmlns:a="http://schemas.openxmlformats.org/drawingml/2006/main">
                  <a:graphicData uri="http://schemas.microsoft.com/office/word/2010/wordprocessingShape">
                    <wps:wsp>
                      <wps:cNvSpPr/>
                      <wps:spPr>
                        <a:xfrm>
                          <a:off x="0" y="0"/>
                          <a:ext cx="1037520" cy="8438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ángulo 32" o:spid="_x0000_s1026" o:spt="1" style="position:absolute;left:0pt;margin-left:336.95pt;margin-top:223.9pt;height:66.45pt;width:81.7pt;z-index:251659264;mso-width-relative:page;mso-height-relative:page;" fillcolor="#FFFFFF [3212]" filled="t" stroked="f" coordsize="21600,21600" o:allowincell="f" o:gfxdata="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WLjHP2gAAAAsB&#10;AAAPAAAAAAAAAAEAIAAAACIAAABkcnMvZG93bnJldi54bWxQSwECFAAUAAAACACHTuJAEZjpduAB&#10;AADAAwAADgAAAAAAAAABACAAAAApAQAAZHJzL2Uyb0RvYy54bWxQSwUGAAAAAAYABgBZAQAAewUA&#10;AAAA&#10;">
                <v:fill on="t" focussize="0,0"/>
                <v:stroke on="f" weight="1pt" miterlimit="8" joinstyle="miter"/>
                <v:imagedata o:title=""/>
                <o:lock v:ext="edit" aspectratio="f"/>
                <v:textbox>
                  <w:txbxContent>
                    <w:p>
                      <w:pPr>
                        <w:jc w:val="center"/>
                      </w:pPr>
                    </w:p>
                  </w:txbxContent>
                </v:textbox>
              </v:rect>
            </w:pict>
          </mc:Fallback>
        </mc:AlternateContent>
      </w:r>
      <w:r>
        <w:br w:type="page"/>
      </w:r>
    </w:p>
    <w:p>
      <w:pPr>
        <w:pStyle w:val="57"/>
        <w:spacing w:line="360" w:lineRule="auto"/>
        <w:jc w:val="left"/>
        <w:rPr>
          <w:rFonts w:ascii="Arial" w:hAnsi="Arial"/>
          <w:sz w:val="22"/>
          <w:szCs w:val="22"/>
        </w:rPr>
      </w:pPr>
      <w:r>
        <w:rPr>
          <w:rFonts w:ascii="Arial" w:hAnsi="Arial"/>
          <w:b/>
          <w:bCs/>
          <w:sz w:val="22"/>
          <w:szCs w:val="22"/>
          <w:lang w:val="es-ES"/>
        </w:rPr>
        <w:t xml:space="preserve">ANEXO VII: </w:t>
      </w:r>
    </w:p>
    <w:p>
      <w:pPr>
        <w:pStyle w:val="57"/>
        <w:spacing w:before="0" w:after="160" w:line="360" w:lineRule="auto"/>
        <w:contextualSpacing/>
        <w:jc w:val="center"/>
        <w:rPr>
          <w:rFonts w:ascii="Arial" w:hAnsi="Arial"/>
          <w:sz w:val="22"/>
          <w:szCs w:val="22"/>
        </w:rPr>
      </w:pPr>
      <w:r>
        <w:rPr>
          <w:rFonts w:ascii="Arial" w:hAnsi="Arial"/>
          <w:sz w:val="22"/>
          <w:szCs w:val="22"/>
        </w:rPr>
        <w:drawing>
          <wp:inline distT="0" distB="0" distL="0" distR="0">
            <wp:extent cx="4046855" cy="5920105"/>
            <wp:effectExtent l="0" t="0" r="0" b="0"/>
            <wp:docPr id="7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1.jpeg"/>
                    <pic:cNvPicPr>
                      <a:picLocks noChangeAspect="1" noChangeArrowheads="1"/>
                    </pic:cNvPicPr>
                  </pic:nvPicPr>
                  <pic:blipFill>
                    <a:blip r:embed="rId54"/>
                    <a:stretch>
                      <a:fillRect/>
                    </a:stretch>
                  </pic:blipFill>
                  <pic:spPr>
                    <a:xfrm>
                      <a:off x="0" y="0"/>
                      <a:ext cx="4046855" cy="5920105"/>
                    </a:xfrm>
                    <a:prstGeom prst="rect">
                      <a:avLst/>
                    </a:prstGeom>
                  </pic:spPr>
                </pic:pic>
              </a:graphicData>
            </a:graphic>
          </wp:inline>
        </w:drawing>
      </w:r>
      <w:r>
        <w:br w:type="page"/>
      </w:r>
    </w:p>
    <w:p>
      <w:pPr>
        <w:pStyle w:val="57"/>
        <w:spacing w:before="0" w:after="160" w:line="360" w:lineRule="auto"/>
        <w:contextualSpacing/>
        <w:jc w:val="center"/>
        <w:rPr>
          <w:rFonts w:ascii="Arial" w:hAnsi="Arial"/>
          <w:sz w:val="22"/>
          <w:szCs w:val="22"/>
          <w:lang w:val="es-ES"/>
        </w:rPr>
      </w:pPr>
      <w:r>
        <w:rPr>
          <w:rFonts w:ascii="Arial" w:hAnsi="Arial"/>
          <w:sz w:val="22"/>
          <w:szCs w:val="22"/>
          <w:lang w:val="es-ES"/>
        </w:rPr>
        <w:drawing>
          <wp:anchor distT="0" distB="0" distL="0" distR="0" simplePos="0" relativeHeight="251659264" behindDoc="0" locked="0" layoutInCell="0" allowOverlap="1">
            <wp:simplePos x="0" y="0"/>
            <wp:positionH relativeFrom="margin">
              <wp:align>right</wp:align>
            </wp:positionH>
            <wp:positionV relativeFrom="paragraph">
              <wp:posOffset>107950</wp:posOffset>
            </wp:positionV>
            <wp:extent cx="6057265" cy="4243070"/>
            <wp:effectExtent l="0" t="0" r="0" b="0"/>
            <wp:wrapNone/>
            <wp:docPr id="7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2.jpeg"/>
                    <pic:cNvPicPr>
                      <a:picLocks noChangeAspect="1" noChangeArrowheads="1"/>
                    </pic:cNvPicPr>
                  </pic:nvPicPr>
                  <pic:blipFill>
                    <a:blip r:embed="rId55"/>
                    <a:stretch>
                      <a:fillRect/>
                    </a:stretch>
                  </pic:blipFill>
                  <pic:spPr>
                    <a:xfrm>
                      <a:off x="0" y="0"/>
                      <a:ext cx="6057265" cy="4243070"/>
                    </a:xfrm>
                    <a:prstGeom prst="rect">
                      <a:avLst/>
                    </a:prstGeom>
                  </pic:spPr>
                </pic:pic>
              </a:graphicData>
            </a:graphic>
          </wp:anchor>
        </w:drawing>
      </w: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both"/>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r>
        <w:rPr>
          <w:rFonts w:ascii="Arial" w:hAnsi="Arial"/>
          <w:sz w:val="22"/>
          <w:szCs w:val="22"/>
          <w:lang w:val="es-ES"/>
        </w:rPr>
        <w:drawing>
          <wp:anchor distT="0" distB="0" distL="0" distR="0" simplePos="0" relativeHeight="251659264" behindDoc="0" locked="0" layoutInCell="0" allowOverlap="1">
            <wp:simplePos x="0" y="0"/>
            <wp:positionH relativeFrom="column">
              <wp:posOffset>-299085</wp:posOffset>
            </wp:positionH>
            <wp:positionV relativeFrom="paragraph">
              <wp:posOffset>12700</wp:posOffset>
            </wp:positionV>
            <wp:extent cx="5749290" cy="7783195"/>
            <wp:effectExtent l="0" t="0" r="0" b="0"/>
            <wp:wrapNone/>
            <wp:docPr id="7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4.jpeg"/>
                    <pic:cNvPicPr>
                      <a:picLocks noChangeAspect="1" noChangeArrowheads="1"/>
                    </pic:cNvPicPr>
                  </pic:nvPicPr>
                  <pic:blipFill>
                    <a:blip r:embed="rId56"/>
                    <a:stretch>
                      <a:fillRect/>
                    </a:stretch>
                  </pic:blipFill>
                  <pic:spPr>
                    <a:xfrm>
                      <a:off x="0" y="0"/>
                      <a:ext cx="5749290" cy="7783195"/>
                    </a:xfrm>
                    <a:prstGeom prst="rect">
                      <a:avLst/>
                    </a:prstGeom>
                  </pic:spPr>
                </pic:pic>
              </a:graphicData>
            </a:graphic>
          </wp:anchor>
        </w:drawing>
      </w: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both"/>
        <w:rPr>
          <w:rFonts w:ascii="Arial" w:hAnsi="Arial"/>
          <w:sz w:val="22"/>
          <w:szCs w:val="22"/>
          <w:lang w:val="es-ES"/>
        </w:rPr>
      </w:pPr>
    </w:p>
    <w:p>
      <w:pPr>
        <w:pStyle w:val="57"/>
        <w:spacing w:before="0" w:after="160" w:line="360" w:lineRule="auto"/>
        <w:contextualSpacing/>
        <w:jc w:val="left"/>
        <w:rPr>
          <w:rFonts w:ascii="Arial" w:hAnsi="Arial"/>
          <w:sz w:val="22"/>
          <w:szCs w:val="22"/>
          <w:lang w:val="es-ES"/>
        </w:rPr>
      </w:pPr>
      <w:r>
        <w:rPr>
          <w:rFonts w:ascii="Arial" w:hAnsi="Arial"/>
          <w:b/>
          <w:bCs/>
          <w:sz w:val="22"/>
          <w:szCs w:val="22"/>
          <w:lang w:val="es-ES"/>
        </w:rPr>
        <w:t>ANEXO VIII</w:t>
      </w:r>
      <w:r>
        <w:rPr>
          <w:rFonts w:ascii="Arial" w:hAnsi="Arial"/>
          <w:sz w:val="22"/>
          <w:szCs w:val="22"/>
          <w:lang w:val="es-ES"/>
        </w:rPr>
        <w:t>:</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RESPONSABLE POR EL USO:</w:t>
      </w:r>
      <w:r>
        <w:rPr>
          <w:rFonts w:ascii="Arial" w:hAnsi="Arial" w:cstheme="minorHAnsi"/>
          <w:b/>
          <w:bCs/>
          <w:color w:val="auto"/>
          <w:sz w:val="22"/>
          <w:szCs w:val="22"/>
          <w:lang w:val="es-UY"/>
        </w:rPr>
        <w:t xml:space="preserve"> INSTITUTO URUGUAYO DE METEOROLOGÍA (INUMET)</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DESTINO:</w:t>
      </w:r>
      <w:r>
        <w:rPr>
          <w:rFonts w:ascii="Arial" w:hAnsi="Arial" w:cstheme="minorHAnsi"/>
          <w:b/>
          <w:bCs/>
          <w:color w:val="auto"/>
          <w:sz w:val="22"/>
          <w:szCs w:val="22"/>
          <w:lang w:val="es-UY"/>
        </w:rPr>
        <w:t xml:space="preserve"> ADMINISTRATIVO</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GRUPO/CATEGORÍA:</w:t>
      </w:r>
      <w:r>
        <w:rPr>
          <w:rFonts w:ascii="Arial" w:hAnsi="Arial" w:cstheme="minorHAnsi"/>
          <w:b/>
          <w:bCs/>
          <w:color w:val="auto"/>
          <w:sz w:val="22"/>
          <w:szCs w:val="22"/>
          <w:lang w:val="es-UY"/>
        </w:rPr>
        <w:t xml:space="preserve"> D</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CLASIFICACIÓN:</w:t>
      </w:r>
      <w:r>
        <w:rPr>
          <w:rFonts w:ascii="Arial" w:hAnsi="Arial" w:cstheme="minorHAnsi"/>
          <w:b/>
          <w:bCs/>
          <w:color w:val="auto"/>
          <w:sz w:val="22"/>
          <w:szCs w:val="22"/>
          <w:lang w:val="es-UY"/>
        </w:rPr>
        <w:t xml:space="preserve"> D-1 </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 xml:space="preserve">RIESGO: </w:t>
      </w:r>
      <w:r>
        <w:rPr>
          <w:rFonts w:ascii="Arial" w:hAnsi="Arial" w:cstheme="minorHAnsi"/>
          <w:b/>
          <w:bCs/>
          <w:color w:val="auto"/>
          <w:sz w:val="22"/>
          <w:szCs w:val="22"/>
          <w:lang w:val="es-UY"/>
        </w:rPr>
        <w:t>MEDIO</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CARGA DE FUEGO:</w:t>
      </w:r>
      <w:r>
        <w:rPr>
          <w:rFonts w:ascii="Arial" w:hAnsi="Arial" w:cstheme="minorHAnsi"/>
          <w:b/>
          <w:bCs/>
          <w:color w:val="auto"/>
          <w:sz w:val="22"/>
          <w:szCs w:val="22"/>
          <w:lang w:val="es-UY"/>
        </w:rPr>
        <w:t xml:space="preserve"> 700 MJ/m</w:t>
      </w:r>
      <w:r>
        <w:rPr>
          <w:rFonts w:ascii="Arial" w:hAnsi="Arial" w:cstheme="minorHAnsi"/>
          <w:b/>
          <w:bCs/>
          <w:color w:val="auto"/>
          <w:sz w:val="22"/>
          <w:szCs w:val="22"/>
          <w:vertAlign w:val="superscript"/>
          <w:lang w:val="es-UY"/>
        </w:rPr>
        <w:t>2</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DIRECCIÓN:</w:t>
      </w:r>
      <w:r>
        <w:rPr>
          <w:rFonts w:ascii="Arial" w:hAnsi="Arial" w:cstheme="minorHAnsi"/>
          <w:b/>
          <w:bCs/>
          <w:color w:val="auto"/>
          <w:sz w:val="22"/>
          <w:szCs w:val="22"/>
          <w:lang w:val="es-UY"/>
        </w:rPr>
        <w:t xml:space="preserve"> DR. JAVIER BARRIOS AMORÍN 1488 / MONTEVIDEO /URUGUAY</w:t>
      </w:r>
    </w:p>
    <w:p>
      <w:pPr>
        <w:pStyle w:val="57"/>
        <w:spacing w:line="360" w:lineRule="auto"/>
        <w:jc w:val="both"/>
        <w:rPr>
          <w:rFonts w:ascii="Arial" w:hAnsi="Arial"/>
          <w:b/>
          <w:bCs/>
          <w:color w:val="auto"/>
          <w:sz w:val="22"/>
          <w:szCs w:val="22"/>
          <w:lang w:val="es-UY"/>
        </w:rPr>
      </w:pPr>
    </w:p>
    <w:p>
      <w:pPr>
        <w:pStyle w:val="23"/>
        <w:pBdr>
          <w:top w:val="single" w:color="000000" w:sz="4" w:space="1"/>
          <w:left w:val="single" w:color="000000" w:sz="4" w:space="4"/>
          <w:bottom w:val="single" w:color="000000" w:sz="4" w:space="1"/>
          <w:right w:val="single" w:color="000000" w:sz="4" w:space="4"/>
        </w:pBdr>
        <w:spacing w:line="360" w:lineRule="auto"/>
        <w:jc w:val="center"/>
        <w:rPr>
          <w:rFonts w:ascii="Arial" w:hAnsi="Arial"/>
          <w:sz w:val="22"/>
          <w:szCs w:val="22"/>
        </w:rPr>
      </w:pPr>
      <w:r>
        <w:rPr>
          <w:rFonts w:ascii="Arial" w:hAnsi="Arial" w:cstheme="minorHAnsi"/>
          <w:b/>
          <w:sz w:val="22"/>
          <w:szCs w:val="22"/>
        </w:rPr>
        <w:t>ANEXO VII_ILUMINACIÓN DE EMERGENCIA</w:t>
      </w:r>
    </w:p>
    <w:p>
      <w:pPr>
        <w:pStyle w:val="57"/>
        <w:tabs>
          <w:tab w:val="left" w:pos="7062"/>
        </w:tabs>
        <w:spacing w:line="360" w:lineRule="auto"/>
        <w:jc w:val="both"/>
        <w:rPr>
          <w:rFonts w:ascii="Arial" w:hAnsi="Arial"/>
          <w:sz w:val="22"/>
          <w:szCs w:val="22"/>
        </w:rPr>
      </w:pPr>
      <w:r>
        <w:rPr>
          <w:rFonts w:ascii="Arial" w:hAnsi="Arial" w:cstheme="minorHAnsi"/>
          <w:b/>
          <w:color w:val="auto"/>
          <w:sz w:val="22"/>
          <w:szCs w:val="22"/>
          <w:lang w:val="es-UY"/>
        </w:rPr>
        <w:tab/>
      </w:r>
    </w:p>
    <w:p>
      <w:pPr>
        <w:pStyle w:val="57"/>
        <w:pBdr>
          <w:bottom w:val="single" w:color="000000" w:sz="4" w:space="2"/>
        </w:pBdr>
        <w:spacing w:line="360" w:lineRule="auto"/>
        <w:jc w:val="both"/>
        <w:rPr>
          <w:rFonts w:ascii="Arial" w:hAnsi="Arial"/>
          <w:sz w:val="22"/>
          <w:szCs w:val="22"/>
        </w:rPr>
      </w:pPr>
      <w:r>
        <w:rPr>
          <w:rFonts w:ascii="Arial" w:hAnsi="Arial" w:cstheme="minorHAnsi"/>
          <w:b/>
          <w:color w:val="auto"/>
          <w:sz w:val="22"/>
          <w:szCs w:val="22"/>
          <w:lang w:val="es-UY"/>
        </w:rPr>
        <w:t>Normativa de Referencia:</w:t>
      </w:r>
    </w:p>
    <w:p>
      <w:pPr>
        <w:pStyle w:val="57"/>
        <w:spacing w:line="360" w:lineRule="auto"/>
        <w:jc w:val="both"/>
        <w:rPr>
          <w:rFonts w:ascii="Arial" w:hAnsi="Arial"/>
          <w:sz w:val="22"/>
          <w:szCs w:val="22"/>
        </w:rPr>
      </w:pPr>
      <w:r>
        <w:rPr>
          <w:rFonts w:ascii="Arial" w:hAnsi="Arial"/>
          <w:sz w:val="22"/>
          <w:szCs w:val="22"/>
          <w:lang w:val="es-UY"/>
        </w:rPr>
        <w:t>Decreto 184/018 _ DNB</w:t>
      </w:r>
    </w:p>
    <w:p>
      <w:pPr>
        <w:pStyle w:val="57"/>
        <w:tabs>
          <w:tab w:val="left" w:pos="720"/>
        </w:tabs>
        <w:spacing w:line="360" w:lineRule="auto"/>
        <w:jc w:val="both"/>
        <w:rPr>
          <w:rFonts w:ascii="Arial" w:hAnsi="Arial"/>
          <w:sz w:val="22"/>
          <w:szCs w:val="22"/>
        </w:rPr>
      </w:pPr>
      <w:r>
        <w:rPr>
          <w:rFonts w:ascii="Arial" w:hAnsi="Arial"/>
          <w:color w:val="auto"/>
          <w:sz w:val="22"/>
          <w:szCs w:val="22"/>
          <w:lang w:val="es-MX"/>
        </w:rPr>
        <w:t>IT01/</w:t>
      </w:r>
      <w:r>
        <w:rPr>
          <w:rFonts w:ascii="Arial" w:hAnsi="Arial"/>
          <w:color w:val="auto"/>
          <w:sz w:val="22"/>
          <w:szCs w:val="22"/>
          <w:lang w:val="es-UY"/>
        </w:rPr>
        <w:t>2020 Requisitos Administrativos _ DNB</w:t>
      </w:r>
    </w:p>
    <w:p>
      <w:pPr>
        <w:pStyle w:val="57"/>
        <w:tabs>
          <w:tab w:val="left" w:pos="720"/>
        </w:tabs>
        <w:spacing w:line="360" w:lineRule="auto"/>
        <w:jc w:val="both"/>
        <w:rPr>
          <w:rFonts w:ascii="Arial" w:hAnsi="Arial"/>
          <w:sz w:val="22"/>
          <w:szCs w:val="22"/>
        </w:rPr>
      </w:pPr>
      <w:r>
        <w:rPr>
          <w:rFonts w:ascii="Arial" w:hAnsi="Arial"/>
          <w:color w:val="auto"/>
          <w:sz w:val="22"/>
          <w:szCs w:val="22"/>
          <w:lang w:val="es-MX"/>
        </w:rPr>
        <w:t>IT03/</w:t>
      </w:r>
      <w:r>
        <w:rPr>
          <w:rFonts w:ascii="Arial" w:hAnsi="Arial"/>
          <w:color w:val="auto"/>
          <w:sz w:val="22"/>
          <w:szCs w:val="22"/>
          <w:lang w:val="es-UY"/>
        </w:rPr>
        <w:t>2010 Terminología de Incendio_ DNB</w:t>
      </w:r>
    </w:p>
    <w:p>
      <w:pPr>
        <w:pStyle w:val="57"/>
        <w:spacing w:line="360" w:lineRule="auto"/>
        <w:jc w:val="both"/>
        <w:rPr>
          <w:rFonts w:ascii="Arial" w:hAnsi="Arial"/>
          <w:sz w:val="22"/>
          <w:szCs w:val="22"/>
        </w:rPr>
      </w:pPr>
      <w:r>
        <w:rPr>
          <w:rFonts w:ascii="Arial" w:hAnsi="Arial"/>
          <w:color w:val="auto"/>
          <w:sz w:val="22"/>
          <w:szCs w:val="22"/>
          <w:lang w:val="es-UY"/>
        </w:rPr>
        <w:t xml:space="preserve">IT07/2018 Iluminación de emergencia_ DNB </w:t>
      </w:r>
    </w:p>
    <w:p>
      <w:pPr>
        <w:pStyle w:val="57"/>
        <w:spacing w:line="360" w:lineRule="auto"/>
        <w:jc w:val="both"/>
        <w:rPr>
          <w:rFonts w:ascii="Arial" w:hAnsi="Arial"/>
          <w:sz w:val="22"/>
          <w:szCs w:val="22"/>
        </w:rPr>
      </w:pPr>
      <w:r>
        <w:rPr>
          <w:rFonts w:ascii="Arial" w:hAnsi="Arial" w:cs="Arial"/>
          <w:color w:val="auto"/>
          <w:sz w:val="22"/>
          <w:szCs w:val="22"/>
          <w:lang w:val="es-UY"/>
        </w:rPr>
        <w:t>IEC 60529</w:t>
      </w:r>
    </w:p>
    <w:p>
      <w:pPr>
        <w:pStyle w:val="57"/>
        <w:spacing w:line="360" w:lineRule="auto"/>
        <w:jc w:val="both"/>
        <w:rPr>
          <w:rFonts w:ascii="Arial" w:hAnsi="Arial" w:cs="Arial"/>
          <w:color w:val="auto"/>
          <w:sz w:val="22"/>
          <w:szCs w:val="22"/>
          <w:lang w:val="es-UY"/>
        </w:rPr>
      </w:pPr>
    </w:p>
    <w:p>
      <w:pPr>
        <w:pStyle w:val="57"/>
        <w:pBdr>
          <w:bottom w:val="single" w:color="000000" w:sz="4" w:space="1"/>
        </w:pBdr>
        <w:spacing w:line="360" w:lineRule="auto"/>
        <w:rPr>
          <w:rFonts w:ascii="Arial" w:hAnsi="Arial" w:cs="Arial"/>
          <w:sz w:val="22"/>
          <w:szCs w:val="22"/>
        </w:rPr>
      </w:pPr>
      <w:r>
        <w:rPr>
          <w:rFonts w:ascii="Arial" w:hAnsi="Arial" w:cstheme="minorHAnsi"/>
          <w:b/>
          <w:color w:val="auto"/>
          <w:sz w:val="22"/>
          <w:szCs w:val="22"/>
          <w:lang w:val="es-UY"/>
        </w:rPr>
        <w:t>OBJETIVO</w:t>
      </w:r>
    </w:p>
    <w:p>
      <w:pPr>
        <w:spacing w:before="0" w:after="0" w:line="360" w:lineRule="auto"/>
        <w:rPr>
          <w:rFonts w:ascii="Arial" w:hAnsi="Arial"/>
          <w:sz w:val="22"/>
          <w:szCs w:val="22"/>
        </w:rPr>
      </w:pPr>
      <w:r>
        <w:rPr>
          <w:rFonts w:ascii="Arial" w:hAnsi="Arial" w:cs="Arial"/>
          <w:sz w:val="22"/>
          <w:szCs w:val="22"/>
        </w:rPr>
        <w:t>Esta memoria técnica fija las condiciones necesarias exigibles para los sistemas de iluminación de emergencia en las edificaciones y áreas de riesgo, del NIVEL DE SUBSUELO de la presente edificación.</w:t>
      </w:r>
    </w:p>
    <w:p>
      <w:pPr>
        <w:pStyle w:val="57"/>
        <w:pBdr>
          <w:bottom w:val="single" w:color="000000" w:sz="4" w:space="1"/>
        </w:pBdr>
        <w:spacing w:line="360" w:lineRule="auto"/>
        <w:jc w:val="both"/>
        <w:rPr>
          <w:rFonts w:ascii="Arial" w:hAnsi="Arial" w:cstheme="minorHAnsi"/>
          <w:b/>
          <w:color w:val="auto"/>
          <w:sz w:val="22"/>
          <w:szCs w:val="22"/>
          <w:lang w:val="es-UY"/>
        </w:rPr>
      </w:pPr>
    </w:p>
    <w:p>
      <w:pPr>
        <w:pStyle w:val="57"/>
        <w:pBdr>
          <w:bottom w:val="single" w:color="000000" w:sz="4" w:space="1"/>
        </w:pBdr>
        <w:spacing w:line="360" w:lineRule="auto"/>
        <w:jc w:val="both"/>
        <w:rPr>
          <w:rFonts w:ascii="Arial" w:hAnsi="Arial" w:cs="Arial"/>
          <w:sz w:val="22"/>
          <w:szCs w:val="22"/>
        </w:rPr>
      </w:pPr>
      <w:r>
        <w:rPr>
          <w:rFonts w:ascii="Arial" w:hAnsi="Arial" w:cstheme="minorHAnsi"/>
          <w:b/>
          <w:color w:val="auto"/>
          <w:sz w:val="22"/>
          <w:szCs w:val="22"/>
          <w:lang w:val="es-UY"/>
        </w:rPr>
        <w:t xml:space="preserve">ILUMINACIÓN PROPUESTA </w:t>
      </w:r>
    </w:p>
    <w:p>
      <w:pPr>
        <w:spacing w:before="0" w:after="0" w:line="360" w:lineRule="auto"/>
        <w:jc w:val="both"/>
        <w:rPr>
          <w:rFonts w:ascii="Arial" w:hAnsi="Arial"/>
          <w:sz w:val="22"/>
          <w:szCs w:val="22"/>
        </w:rPr>
      </w:pPr>
      <w:r>
        <w:rPr>
          <w:rFonts w:ascii="Arial" w:hAnsi="Arial" w:cs="Arial"/>
          <w:sz w:val="22"/>
          <w:szCs w:val="22"/>
        </w:rPr>
        <w:t>Según se detallará más adelante en esta memoria se instalará:</w:t>
      </w:r>
    </w:p>
    <w:p>
      <w:pPr>
        <w:spacing w:before="0" w:after="0" w:line="360" w:lineRule="auto"/>
        <w:jc w:val="both"/>
        <w:rPr>
          <w:rFonts w:ascii="Arial" w:hAnsi="Arial"/>
          <w:sz w:val="22"/>
          <w:szCs w:val="22"/>
        </w:rPr>
      </w:pPr>
      <w:r>
        <w:rPr>
          <w:rFonts w:ascii="Arial" w:hAnsi="Arial" w:cs="Arial"/>
          <w:b/>
          <w:sz w:val="22"/>
          <w:szCs w:val="22"/>
        </w:rPr>
        <w:t>Luz de emergencia en circulaciones y caja de escalera, deberán estar HOMOLOGADA POR BOMBEROS.</w:t>
      </w:r>
      <w:r>
        <w:rPr>
          <w:rFonts w:ascii="Arial" w:hAnsi="Arial" w:cs="Arial"/>
          <w:sz w:val="22"/>
          <w:szCs w:val="22"/>
        </w:rPr>
        <w:t xml:space="preserve"> </w:t>
      </w:r>
    </w:p>
    <w:p>
      <w:pPr>
        <w:spacing w:before="0" w:after="0" w:line="360" w:lineRule="auto"/>
        <w:jc w:val="both"/>
        <w:rPr>
          <w:rFonts w:ascii="Arial" w:hAnsi="Arial"/>
          <w:sz w:val="22"/>
          <w:szCs w:val="22"/>
        </w:rPr>
      </w:pPr>
      <w:r>
        <w:rPr>
          <w:rFonts w:ascii="Arial" w:hAnsi="Arial" w:cs="Arial"/>
          <w:b/>
          <w:sz w:val="22"/>
          <w:szCs w:val="22"/>
        </w:rPr>
        <w:t>I.E.01 - Iluminación de emergencia en circulaciones</w:t>
      </w:r>
      <w:r>
        <w:rPr>
          <w:rFonts w:ascii="Arial" w:hAnsi="Arial" w:cs="Arial"/>
          <w:sz w:val="22"/>
          <w:szCs w:val="22"/>
        </w:rPr>
        <w:t xml:space="preserve"> en estacionamiento</w:t>
      </w:r>
    </w:p>
    <w:p>
      <w:pPr>
        <w:spacing w:before="0" w:after="0" w:line="360" w:lineRule="auto"/>
        <w:jc w:val="both"/>
        <w:rPr>
          <w:rFonts w:ascii="Arial" w:hAnsi="Arial"/>
          <w:sz w:val="22"/>
          <w:szCs w:val="22"/>
        </w:rPr>
      </w:pPr>
      <w:r>
        <w:rPr>
          <w:rFonts w:ascii="Arial" w:hAnsi="Arial" w:cs="Arial"/>
          <w:sz w:val="22"/>
          <w:szCs w:val="22"/>
        </w:rPr>
        <w:t>MARCA propuesta: MG-6680L de igual o similar calidad HOMOLOGADO POR LA D.N.B</w:t>
      </w:r>
    </w:p>
    <w:p>
      <w:pPr>
        <w:numPr>
          <w:ilvl w:val="0"/>
          <w:numId w:val="6"/>
        </w:numPr>
        <w:spacing w:beforeAutospacing="1" w:after="0" w:line="360" w:lineRule="auto"/>
        <w:rPr>
          <w:rFonts w:ascii="Arial" w:hAnsi="Arial"/>
          <w:sz w:val="22"/>
          <w:szCs w:val="22"/>
        </w:rPr>
      </w:pPr>
      <w:r>
        <w:drawing>
          <wp:anchor distT="0" distB="0" distL="114300" distR="114300" simplePos="0" relativeHeight="251659264" behindDoc="0" locked="0" layoutInCell="0" allowOverlap="1">
            <wp:simplePos x="0" y="0"/>
            <wp:positionH relativeFrom="column">
              <wp:posOffset>3606800</wp:posOffset>
            </wp:positionH>
            <wp:positionV relativeFrom="paragraph">
              <wp:posOffset>112395</wp:posOffset>
            </wp:positionV>
            <wp:extent cx="2203450" cy="1210945"/>
            <wp:effectExtent l="0" t="0" r="0" b="0"/>
            <wp:wrapThrough wrapText="bothSides">
              <wp:wrapPolygon>
                <wp:start x="-76" y="0"/>
                <wp:lineTo x="-76" y="21333"/>
                <wp:lineTo x="21433" y="21333"/>
                <wp:lineTo x="21433" y="0"/>
                <wp:lineTo x="-76" y="0"/>
              </wp:wrapPolygon>
            </wp:wrapThrough>
            <wp:docPr id="78" name="Imagen 3" descr="Un conjunto de letras negras en un fondo blan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3" descr="Un conjunto de letras negras en un fondo blanco&#10;&#10;Descripción generada automáticamente con confianza baja"/>
                    <pic:cNvPicPr>
                      <a:picLocks noChangeAspect="1" noChangeArrowheads="1"/>
                    </pic:cNvPicPr>
                  </pic:nvPicPr>
                  <pic:blipFill>
                    <a:blip r:embed="rId57"/>
                    <a:stretch>
                      <a:fillRect/>
                    </a:stretch>
                  </pic:blipFill>
                  <pic:spPr>
                    <a:xfrm>
                      <a:off x="0" y="0"/>
                      <a:ext cx="2203450" cy="1210945"/>
                    </a:xfrm>
                    <a:prstGeom prst="rect">
                      <a:avLst/>
                    </a:prstGeom>
                  </pic:spPr>
                </pic:pic>
              </a:graphicData>
            </a:graphic>
          </wp:anchor>
        </w:drawing>
      </w:r>
      <w:r>
        <w:rPr>
          <w:rFonts w:ascii="Arial" w:hAnsi="Arial" w:cs="Arial"/>
          <w:sz w:val="22"/>
          <w:szCs w:val="22"/>
        </w:rPr>
        <w:t>Autonomia de 20h</w:t>
      </w:r>
    </w:p>
    <w:p>
      <w:pPr>
        <w:numPr>
          <w:ilvl w:val="0"/>
          <w:numId w:val="6"/>
        </w:numPr>
        <w:spacing w:before="0" w:after="0" w:line="360" w:lineRule="auto"/>
        <w:rPr>
          <w:rFonts w:ascii="Arial" w:hAnsi="Arial"/>
          <w:sz w:val="22"/>
          <w:szCs w:val="22"/>
        </w:rPr>
      </w:pPr>
      <w:r>
        <w:rPr>
          <w:rFonts w:ascii="Arial" w:hAnsi="Arial" w:cs="Arial"/>
          <w:sz w:val="22"/>
          <w:szCs w:val="22"/>
        </w:rPr>
        <w:t>Batería Litio-Ion</w:t>
      </w:r>
    </w:p>
    <w:p>
      <w:pPr>
        <w:numPr>
          <w:ilvl w:val="0"/>
          <w:numId w:val="6"/>
        </w:numPr>
        <w:spacing w:before="0" w:after="0" w:line="360" w:lineRule="auto"/>
        <w:rPr>
          <w:rFonts w:ascii="Arial" w:hAnsi="Arial"/>
          <w:sz w:val="22"/>
          <w:szCs w:val="22"/>
        </w:rPr>
      </w:pPr>
      <w:r>
        <w:rPr>
          <w:rFonts w:ascii="Arial" w:hAnsi="Arial" w:cs="Arial"/>
          <w:sz w:val="22"/>
          <w:szCs w:val="22"/>
        </w:rPr>
        <w:t xml:space="preserve">Leds: 60 led </w:t>
      </w:r>
    </w:p>
    <w:p>
      <w:pPr>
        <w:numPr>
          <w:ilvl w:val="0"/>
          <w:numId w:val="6"/>
        </w:numPr>
        <w:spacing w:before="0" w:after="0" w:line="360" w:lineRule="auto"/>
        <w:rPr>
          <w:rFonts w:ascii="Arial" w:hAnsi="Arial"/>
          <w:sz w:val="22"/>
          <w:szCs w:val="22"/>
        </w:rPr>
      </w:pPr>
      <w:r>
        <w:rPr>
          <w:rFonts w:ascii="Arial" w:hAnsi="Arial" w:cs="Arial"/>
          <w:b/>
          <w:sz w:val="22"/>
          <w:szCs w:val="22"/>
        </w:rPr>
        <w:t>Cantidad que se colocarán  _ DEFINIDA EN PLANOS</w:t>
      </w:r>
    </w:p>
    <w:p>
      <w:pPr>
        <w:numPr>
          <w:ilvl w:val="0"/>
          <w:numId w:val="6"/>
        </w:numPr>
        <w:spacing w:before="0" w:after="0" w:line="360" w:lineRule="auto"/>
        <w:rPr>
          <w:rFonts w:ascii="Arial" w:hAnsi="Arial"/>
          <w:sz w:val="22"/>
          <w:szCs w:val="22"/>
        </w:rPr>
      </w:pPr>
      <w:r>
        <w:rPr>
          <w:rFonts w:ascii="Arial" w:hAnsi="Arial" w:cs="Arial"/>
          <w:sz w:val="22"/>
          <w:szCs w:val="22"/>
        </w:rPr>
        <w:t>Autonomía 2 Hs</w:t>
      </w:r>
    </w:p>
    <w:p>
      <w:pPr>
        <w:numPr>
          <w:ilvl w:val="0"/>
          <w:numId w:val="6"/>
        </w:numPr>
        <w:spacing w:before="0" w:afterAutospacing="1" w:line="360" w:lineRule="auto"/>
        <w:rPr>
          <w:rFonts w:ascii="Arial" w:hAnsi="Arial"/>
          <w:sz w:val="22"/>
          <w:szCs w:val="22"/>
        </w:rPr>
      </w:pPr>
      <w:r>
        <w:rPr>
          <w:rFonts w:ascii="Arial" w:hAnsi="Arial" w:cs="Arial"/>
          <w:b/>
          <w:sz w:val="22"/>
          <w:szCs w:val="22"/>
        </w:rPr>
        <w:t>Cantidad _ DEFINIDA EN PLANOS</w:t>
      </w:r>
      <w:r>
        <w:rPr>
          <w:rFonts w:ascii="Arial" w:hAnsi="Arial" w:cs="Arial"/>
          <w:sz w:val="22"/>
          <w:szCs w:val="22"/>
        </w:rPr>
        <w:t xml:space="preserve"> con pictograma de referencia </w:t>
      </w:r>
    </w:p>
    <w:p>
      <w:pPr>
        <w:spacing w:before="0" w:after="0" w:line="360" w:lineRule="auto"/>
        <w:jc w:val="both"/>
        <w:rPr>
          <w:rFonts w:ascii="Arial" w:hAnsi="Arial"/>
          <w:sz w:val="22"/>
          <w:szCs w:val="22"/>
        </w:rPr>
      </w:pPr>
      <w:r>
        <w:rPr>
          <w:rFonts w:ascii="Arial" w:hAnsi="Arial" w:cs="Arial"/>
          <w:b/>
          <w:sz w:val="22"/>
          <w:szCs w:val="22"/>
        </w:rPr>
        <w:t>CANTIDADES DEFINIDAS EN PLANOS.</w:t>
      </w:r>
    </w:p>
    <w:p>
      <w:pPr>
        <w:spacing w:before="0" w:after="0" w:line="360" w:lineRule="auto"/>
        <w:jc w:val="center"/>
        <w:rPr>
          <w:rFonts w:ascii="Arial" w:hAnsi="Arial"/>
          <w:sz w:val="22"/>
          <w:szCs w:val="22"/>
        </w:rPr>
      </w:pPr>
      <w:r>
        <w:rPr>
          <w:rFonts w:ascii="Arial" w:hAnsi="Arial"/>
          <w:sz w:val="22"/>
          <w:szCs w:val="22"/>
        </w:rPr>
        <w:drawing>
          <wp:inline distT="0" distB="0" distL="0" distR="0">
            <wp:extent cx="3245485" cy="587375"/>
            <wp:effectExtent l="0" t="0" r="0" b="0"/>
            <wp:docPr id="79" name="Imagen 4"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4" descr="Texto&#10;&#10;Descripción generada automáticamente con confianza media"/>
                    <pic:cNvPicPr>
                      <a:picLocks noChangeAspect="1" noChangeArrowheads="1"/>
                    </pic:cNvPicPr>
                  </pic:nvPicPr>
                  <pic:blipFill>
                    <a:blip r:embed="rId58"/>
                    <a:stretch>
                      <a:fillRect/>
                    </a:stretch>
                  </pic:blipFill>
                  <pic:spPr>
                    <a:xfrm>
                      <a:off x="0" y="0"/>
                      <a:ext cx="3245485" cy="587375"/>
                    </a:xfrm>
                    <a:prstGeom prst="rect">
                      <a:avLst/>
                    </a:prstGeom>
                  </pic:spPr>
                </pic:pic>
              </a:graphicData>
            </a:graphic>
          </wp:inline>
        </w:drawing>
      </w:r>
    </w:p>
    <w:p>
      <w:pPr>
        <w:pStyle w:val="57"/>
        <w:pBdr>
          <w:bottom w:val="single" w:color="000000" w:sz="4" w:space="1"/>
        </w:pBdr>
        <w:spacing w:line="360" w:lineRule="auto"/>
        <w:jc w:val="both"/>
        <w:rPr>
          <w:rFonts w:ascii="Arial" w:hAnsi="Arial"/>
          <w:b/>
          <w:color w:val="auto"/>
          <w:sz w:val="22"/>
          <w:szCs w:val="22"/>
          <w:lang w:val="es-UY"/>
        </w:rPr>
      </w:pPr>
    </w:p>
    <w:p>
      <w:pPr>
        <w:pStyle w:val="57"/>
        <w:pBdr>
          <w:bottom w:val="single" w:color="000000" w:sz="4" w:space="1"/>
        </w:pBdr>
        <w:spacing w:line="360" w:lineRule="auto"/>
        <w:jc w:val="both"/>
        <w:rPr>
          <w:rFonts w:ascii="Arial" w:hAnsi="Arial"/>
          <w:sz w:val="22"/>
          <w:szCs w:val="22"/>
        </w:rPr>
      </w:pPr>
      <w:r>
        <w:rPr>
          <w:rFonts w:ascii="Arial" w:hAnsi="Arial" w:cstheme="minorHAnsi"/>
          <w:b/>
          <w:color w:val="auto"/>
          <w:sz w:val="22"/>
          <w:szCs w:val="22"/>
          <w:lang w:val="es-UY"/>
        </w:rPr>
        <w:t xml:space="preserve">CARACTERÍSTICAS </w:t>
      </w:r>
    </w:p>
    <w:p>
      <w:pPr>
        <w:spacing w:beforeAutospacing="1" w:afterAutospacing="1" w:line="360" w:lineRule="auto"/>
        <w:jc w:val="both"/>
        <w:rPr>
          <w:rFonts w:ascii="Arial" w:hAnsi="Arial"/>
          <w:sz w:val="22"/>
          <w:szCs w:val="22"/>
        </w:rPr>
      </w:pPr>
      <w:r>
        <w:rPr>
          <w:rFonts w:ascii="Arial" w:hAnsi="Arial" w:cstheme="minorHAnsi"/>
          <w:b/>
          <w:sz w:val="22"/>
          <w:szCs w:val="22"/>
        </w:rPr>
        <w:t>El edificio dispondrá de un</w:t>
      </w:r>
      <w:r>
        <w:rPr>
          <w:rFonts w:ascii="Arial" w:hAnsi="Arial" w:cstheme="minorHAnsi"/>
          <w:sz w:val="22"/>
          <w:szCs w:val="22"/>
        </w:rPr>
        <w:t xml:space="preserve"> </w:t>
      </w:r>
      <w:r>
        <w:rPr>
          <w:rFonts w:ascii="Arial" w:hAnsi="Arial" w:cstheme="minorHAnsi"/>
          <w:b/>
          <w:sz w:val="22"/>
          <w:szCs w:val="22"/>
        </w:rPr>
        <w:t>alumbrado de emergencia</w:t>
      </w:r>
      <w:r>
        <w:rPr>
          <w:rFonts w:ascii="Arial" w:hAnsi="Arial" w:cstheme="minorHAnsi"/>
          <w:sz w:val="22"/>
          <w:szCs w:val="22"/>
        </w:rPr>
        <w:t xml:space="preserve"> que, en caso de fallo del alumbrado normal, suministre la iluminación necesaria para facilitar la visibilidad a los usuarios de manera que puedan abandonar el edificio, evite las situaciones de pánico y permita la visión de las señales indicativas de las salidas y la situación de los equipos y medios de protección existentes.</w:t>
      </w:r>
    </w:p>
    <w:p>
      <w:pPr>
        <w:spacing w:before="0" w:after="0" w:line="360" w:lineRule="auto"/>
        <w:jc w:val="both"/>
        <w:rPr>
          <w:rFonts w:ascii="Arial" w:hAnsi="Arial"/>
          <w:sz w:val="22"/>
          <w:szCs w:val="22"/>
        </w:rPr>
      </w:pPr>
      <w:r>
        <w:rPr>
          <w:rFonts w:ascii="Arial" w:hAnsi="Arial" w:cstheme="minorHAnsi"/>
          <w:sz w:val="22"/>
          <w:szCs w:val="22"/>
        </w:rPr>
        <w:t>Según Decreto 184/018, IT 07/2018 DNB, dentro de la protección activa de este tipo de edificación encontramos las siguientes medidas a tomar:</w:t>
      </w:r>
    </w:p>
    <w:p>
      <w:pPr>
        <w:spacing w:before="0" w:after="0" w:line="360" w:lineRule="auto"/>
        <w:jc w:val="both"/>
        <w:rPr>
          <w:rFonts w:ascii="Arial" w:hAnsi="Arial" w:cs="Calibri"/>
          <w:sz w:val="22"/>
          <w:szCs w:val="22"/>
        </w:rPr>
      </w:pPr>
    </w:p>
    <w:p>
      <w:pPr>
        <w:pStyle w:val="23"/>
        <w:numPr>
          <w:ilvl w:val="0"/>
          <w:numId w:val="13"/>
        </w:numPr>
        <w:spacing w:line="360" w:lineRule="auto"/>
        <w:jc w:val="both"/>
        <w:rPr>
          <w:rFonts w:ascii="Arial" w:hAnsi="Arial"/>
          <w:sz w:val="22"/>
          <w:szCs w:val="22"/>
        </w:rPr>
      </w:pPr>
      <w:r>
        <w:rPr>
          <w:rFonts w:ascii="Arial" w:hAnsi="Arial" w:cs="Arial"/>
          <w:sz w:val="22"/>
          <w:szCs w:val="22"/>
        </w:rPr>
        <w:t xml:space="preserve">Se instalarán luminarias </w:t>
      </w:r>
      <w:r>
        <w:rPr>
          <w:rFonts w:ascii="Arial" w:hAnsi="Arial" w:cs="Arial"/>
          <w:b/>
          <w:sz w:val="22"/>
          <w:szCs w:val="22"/>
        </w:rPr>
        <w:t>no permanentes</w:t>
      </w:r>
      <w:r>
        <w:rPr>
          <w:rFonts w:ascii="Arial" w:hAnsi="Arial" w:cs="Arial"/>
          <w:sz w:val="22"/>
          <w:szCs w:val="22"/>
        </w:rPr>
        <w:t xml:space="preserve"> (estas son las que solo se activan en caso de que falla la alimentación del alumbrado normal).</w:t>
      </w:r>
    </w:p>
    <w:p>
      <w:pPr>
        <w:pStyle w:val="54"/>
        <w:numPr>
          <w:ilvl w:val="0"/>
          <w:numId w:val="13"/>
        </w:numPr>
        <w:spacing w:line="360" w:lineRule="auto"/>
        <w:jc w:val="both"/>
        <w:rPr>
          <w:rFonts w:ascii="Arial" w:hAnsi="Arial"/>
          <w:sz w:val="22"/>
          <w:szCs w:val="22"/>
        </w:rPr>
      </w:pPr>
      <w:r>
        <w:rPr>
          <w:rFonts w:ascii="Arial" w:hAnsi="Arial" w:cs="Arial"/>
          <w:sz w:val="22"/>
          <w:szCs w:val="22"/>
          <w:lang w:val="es-UY"/>
        </w:rPr>
        <w:t>Se instalarán luces de emergencia en circulaciones, que dan hacia las vías de evacuación principales, cuya intensidad asegure el desplazamiento de las personas sin inconvenientes.</w:t>
      </w:r>
    </w:p>
    <w:p>
      <w:pPr>
        <w:pStyle w:val="54"/>
        <w:numPr>
          <w:ilvl w:val="0"/>
          <w:numId w:val="13"/>
        </w:numPr>
        <w:spacing w:line="360" w:lineRule="auto"/>
        <w:jc w:val="both"/>
        <w:rPr>
          <w:rFonts w:ascii="Arial" w:hAnsi="Arial"/>
          <w:sz w:val="22"/>
          <w:szCs w:val="22"/>
        </w:rPr>
      </w:pPr>
      <w:r>
        <w:rPr>
          <w:rFonts w:ascii="Arial" w:hAnsi="Arial" w:cs="Arial"/>
          <w:sz w:val="22"/>
          <w:szCs w:val="22"/>
          <w:lang w:val="es-UY"/>
        </w:rPr>
        <w:t>Si la distancia a recorrer desde una unidad habitacional y el acceso a la caja de escalera excediera de 10m (diez metros) lineales, se instalará una luz adicional.</w:t>
      </w:r>
    </w:p>
    <w:p>
      <w:pPr>
        <w:pStyle w:val="54"/>
        <w:numPr>
          <w:ilvl w:val="0"/>
          <w:numId w:val="13"/>
        </w:numPr>
        <w:spacing w:line="360" w:lineRule="auto"/>
        <w:jc w:val="both"/>
        <w:rPr>
          <w:rFonts w:ascii="Arial" w:hAnsi="Arial"/>
          <w:sz w:val="22"/>
          <w:szCs w:val="22"/>
        </w:rPr>
      </w:pPr>
      <w:r>
        <w:rPr>
          <w:rFonts w:ascii="Arial" w:hAnsi="Arial" w:cs="Arial"/>
          <w:sz w:val="22"/>
          <w:szCs w:val="22"/>
          <w:lang w:val="es-UY"/>
        </w:rPr>
        <w:t>Se instalarán en los palieres de accesos a las unidades habitacionales.</w:t>
      </w:r>
    </w:p>
    <w:p>
      <w:pPr>
        <w:pStyle w:val="54"/>
        <w:numPr>
          <w:ilvl w:val="0"/>
          <w:numId w:val="13"/>
        </w:numPr>
        <w:spacing w:line="360" w:lineRule="auto"/>
        <w:jc w:val="both"/>
        <w:rPr>
          <w:rFonts w:ascii="Arial" w:hAnsi="Arial"/>
          <w:sz w:val="22"/>
          <w:szCs w:val="22"/>
        </w:rPr>
      </w:pPr>
      <w:r>
        <w:rPr>
          <w:rFonts w:ascii="Arial" w:hAnsi="Arial" w:cs="Arial"/>
          <w:sz w:val="22"/>
          <w:szCs w:val="22"/>
          <w:lang w:val="es-UY"/>
        </w:rPr>
        <w:t>En cada cambio de recorrido de una circulación que lleve a la Salida.</w:t>
      </w:r>
    </w:p>
    <w:p>
      <w:pPr>
        <w:pStyle w:val="54"/>
        <w:numPr>
          <w:ilvl w:val="0"/>
          <w:numId w:val="13"/>
        </w:numPr>
        <w:spacing w:line="360" w:lineRule="auto"/>
        <w:jc w:val="both"/>
        <w:rPr>
          <w:rFonts w:ascii="Arial" w:hAnsi="Arial"/>
          <w:sz w:val="22"/>
          <w:szCs w:val="22"/>
        </w:rPr>
      </w:pPr>
      <w:r>
        <w:rPr>
          <w:rFonts w:ascii="Arial" w:hAnsi="Arial" w:cs="Arial"/>
          <w:sz w:val="22"/>
          <w:szCs w:val="22"/>
          <w:lang w:val="es-UY"/>
        </w:rPr>
        <w:t>Se colocarán luces de emergencia en Sala de tablero, Sala de instalaciones de reserva de incendio con bomba de incendio.</w:t>
      </w:r>
    </w:p>
    <w:p>
      <w:pPr>
        <w:pStyle w:val="54"/>
        <w:numPr>
          <w:ilvl w:val="0"/>
          <w:numId w:val="13"/>
        </w:numPr>
        <w:spacing w:line="360" w:lineRule="auto"/>
        <w:jc w:val="both"/>
        <w:rPr>
          <w:rFonts w:ascii="Arial" w:hAnsi="Arial"/>
          <w:sz w:val="22"/>
          <w:szCs w:val="22"/>
        </w:rPr>
      </w:pPr>
      <w:r>
        <w:rPr>
          <w:rFonts w:ascii="Arial" w:hAnsi="Arial" w:cs="Arial"/>
          <w:sz w:val="22"/>
          <w:szCs w:val="22"/>
          <w:lang w:val="es-UY"/>
        </w:rPr>
        <w:t xml:space="preserve">El suministro de energía de la iluminación de emergencia deberá ser provisto por: </w:t>
      </w:r>
      <w:r>
        <w:rPr>
          <w:rFonts w:ascii="Arial" w:hAnsi="Arial" w:cs="Arial"/>
          <w:b/>
          <w:sz w:val="22"/>
          <w:szCs w:val="22"/>
          <w:lang w:val="es-UY"/>
        </w:rPr>
        <w:t>Luminarias autónomas equipadas con batería.</w:t>
      </w:r>
    </w:p>
    <w:p>
      <w:pPr>
        <w:pStyle w:val="54"/>
        <w:spacing w:line="360" w:lineRule="auto"/>
        <w:jc w:val="both"/>
        <w:rPr>
          <w:rFonts w:ascii="Arial" w:hAnsi="Arial" w:cs="Arial"/>
          <w:sz w:val="22"/>
          <w:szCs w:val="22"/>
          <w:lang w:val="es-UY"/>
        </w:rPr>
      </w:pPr>
    </w:p>
    <w:p>
      <w:pPr>
        <w:pStyle w:val="57"/>
        <w:spacing w:line="360" w:lineRule="auto"/>
        <w:jc w:val="both"/>
        <w:rPr>
          <w:rFonts w:ascii="Arial" w:hAnsi="Arial" w:cs="Arial"/>
          <w:b/>
          <w:color w:val="auto"/>
          <w:sz w:val="22"/>
          <w:szCs w:val="22"/>
          <w:lang w:val="es-UY"/>
        </w:rPr>
      </w:pPr>
      <w:r>
        <w:rPr>
          <w:rFonts w:ascii="Arial" w:hAnsi="Arial" w:cs="Arial"/>
          <w:b/>
          <w:color w:val="auto"/>
          <w:sz w:val="22"/>
          <w:szCs w:val="22"/>
          <w:lang w:val="es-UY"/>
        </w:rPr>
        <w:t>CARACTERÍSTICAS EQUIPOS AUTÓNOMOS.</w:t>
      </w:r>
    </w:p>
    <w:p>
      <w:pPr>
        <w:pStyle w:val="57"/>
        <w:spacing w:line="360" w:lineRule="auto"/>
        <w:jc w:val="both"/>
        <w:rPr>
          <w:rFonts w:ascii="Arial" w:hAnsi="Arial"/>
          <w:sz w:val="22"/>
          <w:szCs w:val="22"/>
        </w:rPr>
      </w:pPr>
      <w:r>
        <w:rPr>
          <w:rFonts w:ascii="Arial" w:hAnsi="Arial" w:cs="Arial"/>
          <w:color w:val="auto"/>
          <w:sz w:val="22"/>
          <w:szCs w:val="22"/>
          <w:lang w:val="es-MX"/>
        </w:rPr>
        <w:t>Los artefactos utilizados en el alumbrado de emergencia deberán ser provistos con su correspondiente información fotométrica que permita desarrollar el proyecto garantizando la uniformidad de la iluminación y la no generación de cambios bruscos en los niveles de alumbrado.</w:t>
      </w:r>
    </w:p>
    <w:p>
      <w:pPr>
        <w:pStyle w:val="57"/>
        <w:spacing w:line="360" w:lineRule="auto"/>
        <w:jc w:val="both"/>
        <w:rPr>
          <w:rFonts w:ascii="Arial" w:hAnsi="Arial"/>
          <w:sz w:val="22"/>
          <w:szCs w:val="22"/>
        </w:rPr>
      </w:pPr>
      <w:r>
        <w:rPr>
          <w:rFonts w:ascii="Arial" w:hAnsi="Arial" w:cs="Arial"/>
          <w:color w:val="auto"/>
          <w:sz w:val="22"/>
          <w:szCs w:val="22"/>
          <w:lang w:val="es-MX"/>
        </w:rPr>
        <w:t>Las luminarias de emergencia cuando estén instaladas a menos de 2,5m de altura, deben tener tensión máxima de alimentación de 24 voltios.</w:t>
      </w:r>
    </w:p>
    <w:p>
      <w:pPr>
        <w:pStyle w:val="57"/>
        <w:spacing w:line="360" w:lineRule="auto"/>
        <w:jc w:val="both"/>
        <w:rPr>
          <w:rFonts w:ascii="Arial" w:hAnsi="Arial"/>
          <w:sz w:val="22"/>
          <w:szCs w:val="22"/>
        </w:rPr>
      </w:pPr>
      <w:r>
        <w:rPr>
          <w:rFonts w:ascii="Arial" w:hAnsi="Arial" w:cs="Arial"/>
          <w:color w:val="auto"/>
          <w:sz w:val="22"/>
          <w:szCs w:val="22"/>
          <w:lang w:val="es-MX"/>
        </w:rPr>
        <w:t xml:space="preserve">En la imposibilidad de reducir la tensión de alimentación de las luminarias, puede ser utilizado un interruptor diferencial de 30mA con disyuntor termo magnético de 10 A. </w:t>
      </w:r>
      <w:r>
        <w:rPr>
          <w:rFonts w:ascii="Arial" w:hAnsi="Arial" w:cs="Arial"/>
          <w:b/>
          <w:color w:val="auto"/>
          <w:sz w:val="22"/>
          <w:szCs w:val="22"/>
          <w:lang w:val="es-MX"/>
        </w:rPr>
        <w:t>El cableado a utilizar en la instalación deber ser de baja emisión de humo y retardantes de la propagación del fuego.</w:t>
      </w:r>
    </w:p>
    <w:p>
      <w:pPr>
        <w:pStyle w:val="57"/>
        <w:spacing w:line="360" w:lineRule="auto"/>
        <w:jc w:val="both"/>
        <w:rPr>
          <w:rFonts w:ascii="Arial" w:hAnsi="Arial" w:cs="Arial"/>
          <w:color w:val="auto"/>
          <w:sz w:val="22"/>
          <w:szCs w:val="22"/>
          <w:lang w:val="es-MX"/>
        </w:rPr>
      </w:pPr>
      <w:r>
        <w:rPr>
          <w:rFonts w:ascii="Arial" w:hAnsi="Arial" w:cs="Arial"/>
          <w:color w:val="auto"/>
          <w:sz w:val="22"/>
          <w:szCs w:val="22"/>
          <w:lang w:val="es-MX"/>
        </w:rPr>
        <w:t>Los artefactos de iluminación de emergencia deberán poseer una autonomía de 2 horas de funcionamiento ininterrumpido como mínimo.</w:t>
      </w:r>
    </w:p>
    <w:p>
      <w:pPr>
        <w:spacing w:before="0" w:after="0" w:line="360" w:lineRule="auto"/>
        <w:jc w:val="both"/>
        <w:rPr>
          <w:rFonts w:ascii="Arial" w:hAnsi="Arial"/>
          <w:sz w:val="22"/>
          <w:szCs w:val="22"/>
        </w:rPr>
      </w:pPr>
      <w:r>
        <w:rPr>
          <w:rFonts w:ascii="Arial" w:hAnsi="Arial" w:cs="Arial"/>
          <w:sz w:val="22"/>
          <w:szCs w:val="22"/>
        </w:rPr>
        <w:t>El nivel de iluminación en el suelo, para el alumbrado en los recorridos de evacuación, medido sobre el eje de pasillos y escaleras y en todos los puntos del recorrido de evacuación no deberá ser inferior a 1 Lux/m2, en el eje de los pasos principales.</w:t>
      </w:r>
    </w:p>
    <w:p>
      <w:pPr>
        <w:spacing w:before="0" w:after="0" w:line="360" w:lineRule="auto"/>
        <w:jc w:val="both"/>
        <w:rPr>
          <w:rFonts w:ascii="Arial" w:hAnsi="Arial"/>
          <w:sz w:val="22"/>
          <w:szCs w:val="22"/>
        </w:rPr>
      </w:pPr>
      <w:r>
        <w:rPr>
          <w:rFonts w:ascii="Arial" w:hAnsi="Arial" w:cs="Arial"/>
          <w:sz w:val="22"/>
          <w:szCs w:val="22"/>
        </w:rPr>
        <w:t>La iluminación de emergencia se debe activar cuando el nivel de alimentación de suministro eléctrico sea inferior al 70% de su valor nominal.</w:t>
      </w:r>
    </w:p>
    <w:p>
      <w:pPr>
        <w:spacing w:before="0" w:after="0" w:line="360" w:lineRule="auto"/>
        <w:jc w:val="both"/>
        <w:rPr>
          <w:rFonts w:ascii="Arial" w:hAnsi="Arial"/>
          <w:sz w:val="22"/>
          <w:szCs w:val="22"/>
        </w:rPr>
      </w:pPr>
      <w:r>
        <w:rPr>
          <w:rFonts w:ascii="Arial" w:hAnsi="Arial" w:cs="Arial"/>
          <w:sz w:val="22"/>
          <w:szCs w:val="22"/>
        </w:rPr>
        <w:t>Los artefactos deberán estar instalados como mínimo a una altura de 2m sobre el nivel del piso terminado cuando se instale en pared o en techo.</w:t>
      </w:r>
    </w:p>
    <w:p>
      <w:pPr>
        <w:spacing w:before="0" w:after="0" w:line="360" w:lineRule="auto"/>
        <w:jc w:val="both"/>
        <w:rPr>
          <w:rFonts w:ascii="Arial" w:hAnsi="Arial"/>
          <w:sz w:val="22"/>
          <w:szCs w:val="22"/>
        </w:rPr>
      </w:pPr>
      <w:r>
        <w:rPr>
          <w:rFonts w:ascii="Arial" w:hAnsi="Arial" w:cs="Arial"/>
          <w:sz w:val="22"/>
          <w:szCs w:val="22"/>
        </w:rPr>
        <w:t>Las señales ubicadas en las salidas y en toda la vía de evacuación deben estar iluminadas para indicar el trayecto de la vía de evacuación hacia un punto de seguridad.</w:t>
      </w:r>
    </w:p>
    <w:p>
      <w:pPr>
        <w:spacing w:before="0" w:after="0" w:line="360" w:lineRule="auto"/>
        <w:jc w:val="both"/>
        <w:rPr>
          <w:rFonts w:ascii="Arial" w:hAnsi="Arial" w:cs="Arial"/>
          <w:sz w:val="22"/>
          <w:szCs w:val="22"/>
        </w:rPr>
      </w:pPr>
    </w:p>
    <w:p>
      <w:pPr>
        <w:pBdr>
          <w:top w:val="single" w:color="000000" w:sz="4" w:space="1"/>
          <w:left w:val="single" w:color="000000" w:sz="4" w:space="4"/>
          <w:bottom w:val="single" w:color="000000" w:sz="4" w:space="1"/>
          <w:right w:val="single" w:color="000000" w:sz="4" w:space="4"/>
        </w:pBdr>
        <w:spacing w:before="0" w:after="0" w:line="360" w:lineRule="auto"/>
        <w:jc w:val="both"/>
        <w:rPr>
          <w:rFonts w:ascii="Arial" w:hAnsi="Arial"/>
          <w:sz w:val="22"/>
          <w:szCs w:val="22"/>
        </w:rPr>
      </w:pPr>
      <w:r>
        <w:rPr>
          <w:rFonts w:ascii="Arial" w:hAnsi="Arial" w:cs="Arial"/>
          <w:b/>
          <w:sz w:val="22"/>
          <w:szCs w:val="22"/>
        </w:rPr>
        <w:t>Las luminarias autónomas y los dispositivos de conversión de luminaria estándar a luminaria de emergencia (incluyendo batería, rectificador, cargador) deberán contar con homologación por parte de la DNB.</w:t>
      </w:r>
    </w:p>
    <w:p>
      <w:pPr>
        <w:pBdr>
          <w:top w:val="single" w:color="000000" w:sz="4" w:space="1"/>
          <w:left w:val="single" w:color="000000" w:sz="4" w:space="4"/>
          <w:bottom w:val="single" w:color="000000" w:sz="4" w:space="1"/>
          <w:right w:val="single" w:color="000000" w:sz="4" w:space="4"/>
        </w:pBdr>
        <w:spacing w:before="0" w:after="0" w:line="360" w:lineRule="auto"/>
        <w:jc w:val="both"/>
        <w:rPr>
          <w:rFonts w:ascii="Arial" w:hAnsi="Arial"/>
          <w:sz w:val="22"/>
          <w:szCs w:val="22"/>
        </w:rPr>
      </w:pPr>
      <w:r>
        <w:rPr>
          <w:rFonts w:ascii="Arial" w:hAnsi="Arial" w:cs="Arial"/>
          <w:b/>
          <w:sz w:val="22"/>
          <w:szCs w:val="22"/>
        </w:rPr>
        <w:t>Esta homologación tendrá una vigencia máxima de 5 años, este requisito es retroactivo para las luminarias que estén homologadas a la fecha de entrada en vigencia de este IT.</w:t>
      </w:r>
    </w:p>
    <w:p>
      <w:pPr>
        <w:pStyle w:val="57"/>
        <w:spacing w:line="360" w:lineRule="auto"/>
        <w:jc w:val="both"/>
        <w:rPr>
          <w:rFonts w:ascii="Arial" w:hAnsi="Arial" w:cs="Arial"/>
          <w:b/>
          <w:color w:val="auto"/>
          <w:sz w:val="22"/>
          <w:szCs w:val="22"/>
          <w:lang w:val="es-UY"/>
        </w:rPr>
      </w:pPr>
    </w:p>
    <w:p>
      <w:pPr>
        <w:pStyle w:val="57"/>
        <w:spacing w:line="360" w:lineRule="auto"/>
        <w:jc w:val="both"/>
        <w:rPr>
          <w:rFonts w:ascii="Arial" w:hAnsi="Arial" w:cs="Arial"/>
          <w:b/>
          <w:color w:val="auto"/>
          <w:sz w:val="22"/>
          <w:szCs w:val="22"/>
          <w:lang w:val="es-UY"/>
        </w:rPr>
      </w:pPr>
      <w:r>
        <w:rPr>
          <w:rFonts w:ascii="Arial" w:hAnsi="Arial" w:cs="Arial"/>
          <w:b/>
          <w:color w:val="auto"/>
          <w:sz w:val="22"/>
          <w:szCs w:val="22"/>
          <w:lang w:val="es-UY"/>
        </w:rPr>
        <w:t>COMPONENTES DE UNA LUMINARIA AUTÓNOMA.</w:t>
      </w:r>
    </w:p>
    <w:p>
      <w:pPr>
        <w:pStyle w:val="57"/>
        <w:spacing w:line="360" w:lineRule="auto"/>
        <w:jc w:val="both"/>
        <w:rPr>
          <w:rFonts w:ascii="Arial" w:hAnsi="Arial"/>
          <w:sz w:val="22"/>
          <w:szCs w:val="22"/>
        </w:rPr>
      </w:pPr>
      <w:r>
        <w:rPr>
          <w:rFonts w:ascii="Arial" w:hAnsi="Arial" w:cs="Arial"/>
          <w:color w:val="auto"/>
          <w:sz w:val="22"/>
          <w:szCs w:val="22"/>
          <w:lang w:val="es-UY"/>
        </w:rPr>
        <w:t>Un conjunto de lámparas incandescentes, fluorescentes o leds, que se activan en el momento de fallo de la red de forma automática.</w:t>
      </w:r>
    </w:p>
    <w:p>
      <w:pPr>
        <w:pStyle w:val="57"/>
        <w:spacing w:line="360" w:lineRule="auto"/>
        <w:jc w:val="both"/>
        <w:rPr>
          <w:rFonts w:ascii="Arial" w:hAnsi="Arial"/>
          <w:sz w:val="22"/>
          <w:szCs w:val="22"/>
        </w:rPr>
      </w:pPr>
      <w:r>
        <w:rPr>
          <w:rFonts w:ascii="Arial" w:hAnsi="Arial" w:cs="Arial"/>
          <w:color w:val="auto"/>
          <w:sz w:val="22"/>
          <w:szCs w:val="22"/>
          <w:lang w:val="es-UY"/>
        </w:rPr>
        <w:t>Un batería de acumuladores estancos de Ni-Cd (Niquel-Cadmio) para la alimentación de dicha lámpara.</w:t>
      </w:r>
    </w:p>
    <w:p>
      <w:pPr>
        <w:pStyle w:val="57"/>
        <w:spacing w:line="360" w:lineRule="auto"/>
        <w:jc w:val="both"/>
        <w:rPr>
          <w:rFonts w:ascii="Arial" w:hAnsi="Arial"/>
          <w:sz w:val="22"/>
          <w:szCs w:val="22"/>
        </w:rPr>
      </w:pPr>
      <w:r>
        <w:rPr>
          <w:rFonts w:ascii="Arial" w:hAnsi="Arial" w:cs="Arial"/>
          <w:color w:val="auto"/>
          <w:sz w:val="22"/>
          <w:szCs w:val="22"/>
          <w:lang w:val="es-UY"/>
        </w:rPr>
        <w:t>Un circuito cargador de batería.</w:t>
      </w:r>
    </w:p>
    <w:p>
      <w:pPr>
        <w:pStyle w:val="57"/>
        <w:spacing w:line="360" w:lineRule="auto"/>
        <w:jc w:val="both"/>
        <w:rPr>
          <w:rFonts w:ascii="Arial" w:hAnsi="Arial"/>
          <w:sz w:val="22"/>
          <w:szCs w:val="22"/>
        </w:rPr>
      </w:pPr>
      <w:r>
        <w:rPr>
          <w:rFonts w:ascii="Arial" w:hAnsi="Arial" w:cs="Arial"/>
          <w:color w:val="auto"/>
          <w:sz w:val="22"/>
          <w:szCs w:val="22"/>
          <w:lang w:val="es-UY"/>
        </w:rPr>
        <w:t>Un circuito que realiza el paso automático de la luminaria a la posición de funcionamiento, cuando la tensión de la red cae por debajo de 70%.</w:t>
      </w:r>
    </w:p>
    <w:p>
      <w:pPr>
        <w:pStyle w:val="57"/>
        <w:spacing w:line="360" w:lineRule="auto"/>
        <w:jc w:val="both"/>
        <w:rPr>
          <w:rFonts w:ascii="Arial" w:hAnsi="Arial"/>
          <w:sz w:val="22"/>
          <w:szCs w:val="22"/>
        </w:rPr>
      </w:pPr>
      <w:r>
        <w:rPr>
          <w:rFonts w:ascii="Arial" w:hAnsi="Arial" w:cs="Arial"/>
          <w:color w:val="auto"/>
          <w:sz w:val="22"/>
          <w:szCs w:val="22"/>
          <w:lang w:val="es-UY"/>
        </w:rPr>
        <w:t>Un circuito para el paso de la luminaria a reposo desde la posición de funcionamiento en emergencia, que realiza la simulación de fallo de red (botón de testeo).</w:t>
      </w:r>
    </w:p>
    <w:p>
      <w:pPr>
        <w:pStyle w:val="57"/>
        <w:spacing w:line="360" w:lineRule="auto"/>
        <w:jc w:val="both"/>
        <w:rPr>
          <w:rFonts w:ascii="Arial" w:hAnsi="Arial"/>
          <w:sz w:val="22"/>
          <w:szCs w:val="22"/>
        </w:rPr>
      </w:pPr>
      <w:r>
        <w:rPr>
          <w:rFonts w:ascii="Arial" w:hAnsi="Arial" w:cs="Arial"/>
          <w:color w:val="auto"/>
          <w:sz w:val="22"/>
          <w:szCs w:val="22"/>
          <w:lang w:val="es-UY"/>
        </w:rPr>
        <w:t>Una envolvente de material resistente al calor y al fuego compuesta normalmente por base o carcasa, reflector y difusor.</w:t>
      </w:r>
    </w:p>
    <w:p>
      <w:pPr>
        <w:pStyle w:val="57"/>
        <w:spacing w:line="360" w:lineRule="auto"/>
        <w:jc w:val="both"/>
        <w:rPr>
          <w:rFonts w:ascii="Arial" w:hAnsi="Arial"/>
          <w:sz w:val="22"/>
          <w:szCs w:val="22"/>
        </w:rPr>
      </w:pPr>
      <w:r>
        <w:rPr>
          <w:rFonts w:ascii="Arial" w:hAnsi="Arial" w:cs="Arial"/>
          <w:color w:val="auto"/>
          <w:sz w:val="22"/>
          <w:szCs w:val="22"/>
          <w:lang w:val="es-UY"/>
        </w:rPr>
        <w:t>La luminaria tendrá un índice de protección (IP), no menor a 23 según IEC 60529.</w:t>
      </w:r>
    </w:p>
    <w:p>
      <w:pPr>
        <w:pStyle w:val="57"/>
        <w:spacing w:line="360" w:lineRule="auto"/>
        <w:jc w:val="both"/>
        <w:rPr>
          <w:rFonts w:ascii="Arial" w:hAnsi="Arial" w:cs="Arial"/>
          <w:color w:val="auto"/>
          <w:sz w:val="22"/>
          <w:szCs w:val="22"/>
          <w:lang w:val="es-UY"/>
        </w:rPr>
      </w:pPr>
    </w:p>
    <w:p>
      <w:pPr>
        <w:pStyle w:val="57"/>
        <w:spacing w:line="360" w:lineRule="auto"/>
        <w:jc w:val="both"/>
        <w:rPr>
          <w:rFonts w:ascii="Arial" w:hAnsi="Arial" w:cs="Arial"/>
          <w:b/>
          <w:color w:val="auto"/>
          <w:sz w:val="22"/>
          <w:szCs w:val="22"/>
          <w:lang w:val="es-UY"/>
        </w:rPr>
      </w:pPr>
      <w:r>
        <w:rPr>
          <w:rFonts w:ascii="Arial" w:hAnsi="Arial" w:cs="Arial"/>
          <w:b/>
          <w:color w:val="auto"/>
          <w:sz w:val="22"/>
          <w:szCs w:val="22"/>
          <w:lang w:val="es-UY"/>
        </w:rPr>
        <w:t>INSTALACIÓN</w:t>
      </w:r>
    </w:p>
    <w:p>
      <w:pPr>
        <w:pStyle w:val="57"/>
        <w:spacing w:line="360" w:lineRule="auto"/>
        <w:jc w:val="both"/>
        <w:rPr>
          <w:rFonts w:ascii="Arial" w:hAnsi="Arial" w:cs="Arial"/>
          <w:color w:val="auto"/>
          <w:sz w:val="22"/>
          <w:szCs w:val="22"/>
          <w:lang w:val="es-UY"/>
        </w:rPr>
      </w:pPr>
      <w:r>
        <w:rPr>
          <w:rFonts w:ascii="Arial" w:hAnsi="Arial" w:cs="Arial"/>
          <w:b/>
          <w:color w:val="auto"/>
          <w:sz w:val="22"/>
          <w:szCs w:val="22"/>
          <w:lang w:val="es-UY"/>
        </w:rPr>
        <w:t>Los cálculos de consumo de energía, así como la configuración de la instalación eléctrica deben realizarse respetando la reglamentación de U.T.E. vigente al respecto.</w:t>
      </w:r>
    </w:p>
    <w:p>
      <w:pPr>
        <w:pStyle w:val="57"/>
        <w:spacing w:line="360" w:lineRule="auto"/>
        <w:jc w:val="both"/>
        <w:rPr>
          <w:rFonts w:ascii="Arial" w:hAnsi="Arial"/>
          <w:sz w:val="22"/>
          <w:szCs w:val="22"/>
        </w:rPr>
      </w:pPr>
      <w:r>
        <w:rPr>
          <w:rFonts w:ascii="Arial" w:hAnsi="Arial" w:cs="Arial"/>
          <w:color w:val="auto"/>
          <w:sz w:val="22"/>
          <w:szCs w:val="22"/>
          <w:lang w:val="es-UY"/>
        </w:rPr>
        <w:t>En el caso de luminarias de emergencia autónomas deben estar conectadas a la fase que alimente la línea de alumbrado normal. Si dicho alumbrado está repartido entre las 3 fases el alumbrado de emergencia también estará conectado a cada una de las fases.</w:t>
      </w:r>
    </w:p>
    <w:p>
      <w:pPr>
        <w:pStyle w:val="57"/>
        <w:spacing w:line="360" w:lineRule="auto"/>
        <w:jc w:val="both"/>
        <w:rPr>
          <w:rFonts w:ascii="Arial" w:hAnsi="Arial"/>
          <w:sz w:val="22"/>
          <w:szCs w:val="22"/>
        </w:rPr>
      </w:pPr>
      <w:r>
        <w:rPr>
          <w:rFonts w:ascii="Arial" w:hAnsi="Arial" w:cs="Arial"/>
          <w:color w:val="auto"/>
          <w:sz w:val="22"/>
          <w:szCs w:val="22"/>
          <w:lang w:val="es-UY"/>
        </w:rPr>
        <w:t>No es válida la instalación de las mismas a través de enchufes, sino que su conexión deberá ser de forma permanente para garantizar que en caso de mantenimiento no se produzca su desconexión y pierda su autonomía por falta de carga de la batería.</w:t>
      </w:r>
    </w:p>
    <w:p>
      <w:pPr>
        <w:spacing w:before="0" w:after="0" w:line="360" w:lineRule="auto"/>
        <w:jc w:val="both"/>
        <w:rPr>
          <w:rFonts w:ascii="Arial" w:hAnsi="Arial"/>
          <w:sz w:val="22"/>
          <w:szCs w:val="22"/>
        </w:rPr>
      </w:pPr>
      <w:r>
        <w:rPr>
          <w:rFonts w:ascii="Arial" w:hAnsi="Arial" w:cs="Arial"/>
          <w:sz w:val="22"/>
          <w:szCs w:val="22"/>
        </w:rPr>
        <w:t xml:space="preserve">Una misma línea no podrá alimentar más de 12 puntos de luz. Si en la dependencia o local considerado, existiesen varios puntos de luz de alumbrado especial, éstos deberán ser repartidos, al menos, entre dos líneas diferentes, aunque su número sea inferior a doce. </w:t>
      </w:r>
    </w:p>
    <w:p>
      <w:pPr>
        <w:spacing w:before="0" w:after="0" w:line="360" w:lineRule="auto"/>
        <w:jc w:val="both"/>
        <w:rPr>
          <w:rFonts w:ascii="Arial" w:hAnsi="Arial"/>
          <w:sz w:val="22"/>
          <w:szCs w:val="22"/>
        </w:rPr>
      </w:pPr>
      <w:r>
        <w:rPr>
          <w:rFonts w:ascii="Arial" w:hAnsi="Arial" w:cs="Arial"/>
          <w:sz w:val="22"/>
          <w:szCs w:val="22"/>
        </w:rPr>
        <w:t xml:space="preserve">Las canalizaciones eléctricas que alimenten los alumbrados especiales, se dispondrán, cuando se instalen sobre paredes, o empotradas en ellas, a 50 mm como mínimo, de otras canalizaciones eléctricas; y cuando se instalen en huecos de la construcción, estarán separadas de ésta por tabiques incombustibles, no metálicos. </w:t>
      </w:r>
    </w:p>
    <w:p>
      <w:pPr>
        <w:pStyle w:val="57"/>
        <w:spacing w:line="360" w:lineRule="auto"/>
        <w:jc w:val="both"/>
        <w:rPr>
          <w:rFonts w:ascii="Arial" w:hAnsi="Arial"/>
          <w:sz w:val="22"/>
          <w:szCs w:val="22"/>
        </w:rPr>
      </w:pPr>
      <w:r>
        <w:rPr>
          <w:rFonts w:ascii="Arial" w:hAnsi="Arial" w:cs="Arial"/>
          <w:color w:val="auto"/>
          <w:sz w:val="22"/>
          <w:szCs w:val="22"/>
          <w:lang w:val="es-UY"/>
        </w:rPr>
        <w:t>Las canalizaciones de los conductores deberán proveer resistencia mecánica a cortes, pinzamientos, etc. y los conductores utilizados serán no propagadores de llama y con una baja emisión de humos.</w:t>
      </w:r>
    </w:p>
    <w:p>
      <w:pPr>
        <w:pStyle w:val="57"/>
        <w:spacing w:line="360" w:lineRule="auto"/>
        <w:jc w:val="both"/>
        <w:rPr>
          <w:rFonts w:ascii="Arial" w:hAnsi="Arial" w:cs="Arial"/>
          <w:color w:val="auto"/>
          <w:sz w:val="22"/>
          <w:szCs w:val="22"/>
          <w:lang w:val="es-UY"/>
        </w:rPr>
      </w:pPr>
    </w:p>
    <w:p>
      <w:pPr>
        <w:pStyle w:val="57"/>
        <w:spacing w:line="360" w:lineRule="auto"/>
        <w:jc w:val="both"/>
        <w:rPr>
          <w:rFonts w:ascii="Arial" w:hAnsi="Arial"/>
          <w:sz w:val="22"/>
          <w:szCs w:val="22"/>
        </w:rPr>
      </w:pPr>
      <w:r>
        <w:rPr>
          <w:rFonts w:ascii="Arial" w:hAnsi="Arial" w:cs="Arial"/>
          <w:b/>
          <w:color w:val="auto"/>
          <w:sz w:val="22"/>
          <w:szCs w:val="22"/>
          <w:lang w:val="es-UY"/>
        </w:rPr>
        <w:t>En el caso de instalaciones exteriores, la canalización y las cajas de pasaje deben ser metálicas o en PVC rígido anti llamas, cumpliendo con la normativa establecida por UTE.</w:t>
      </w:r>
    </w:p>
    <w:p>
      <w:pPr>
        <w:pStyle w:val="57"/>
        <w:spacing w:line="360" w:lineRule="auto"/>
        <w:jc w:val="both"/>
        <w:rPr>
          <w:rFonts w:ascii="Arial" w:hAnsi="Arial"/>
          <w:sz w:val="22"/>
          <w:szCs w:val="22"/>
        </w:rPr>
      </w:pPr>
      <w:r>
        <w:rPr>
          <w:rFonts w:ascii="Arial" w:hAnsi="Arial" w:cs="Arial"/>
          <w:color w:val="auto"/>
          <w:sz w:val="22"/>
          <w:szCs w:val="22"/>
          <w:lang w:val="es-UY"/>
        </w:rPr>
        <w:t>La entrada de los conductores a los equipos debe realizarse por el lugar indicado por el fabricante para no reducir el índice de protección (IP) de los equipos.</w:t>
      </w:r>
    </w:p>
    <w:p>
      <w:pPr>
        <w:spacing w:before="0" w:after="0" w:line="360" w:lineRule="auto"/>
        <w:jc w:val="both"/>
        <w:rPr>
          <w:rFonts w:ascii="Arial" w:hAnsi="Arial"/>
          <w:sz w:val="22"/>
          <w:szCs w:val="22"/>
        </w:rPr>
      </w:pPr>
      <w:r>
        <w:rPr>
          <w:rFonts w:ascii="Arial" w:hAnsi="Arial" w:cs="Arial"/>
          <w:sz w:val="22"/>
          <w:szCs w:val="22"/>
        </w:rPr>
        <w:t>Si la luminaria posee partes constitutivas que deben interconectarse entre sí para su funcionamiento, estas partes deben tener conexiones permanentes, asegurando su operación.</w:t>
      </w:r>
    </w:p>
    <w:p>
      <w:pPr>
        <w:spacing w:before="0" w:after="0" w:line="360" w:lineRule="auto"/>
        <w:jc w:val="both"/>
        <w:rPr>
          <w:rFonts w:ascii="Arial" w:hAnsi="Arial" w:cs="Arial"/>
          <w:sz w:val="22"/>
          <w:szCs w:val="22"/>
        </w:rPr>
      </w:pPr>
    </w:p>
    <w:p>
      <w:pPr>
        <w:spacing w:before="0" w:after="0" w:line="360" w:lineRule="auto"/>
        <w:jc w:val="both"/>
        <w:rPr>
          <w:rFonts w:ascii="Arial" w:hAnsi="Arial"/>
          <w:sz w:val="22"/>
          <w:szCs w:val="22"/>
        </w:rPr>
      </w:pPr>
      <w:r>
        <w:rPr>
          <w:rFonts w:ascii="Arial" w:hAnsi="Arial" w:cs="Arial"/>
          <w:sz w:val="22"/>
          <w:szCs w:val="22"/>
        </w:rPr>
        <w:t xml:space="preserve">Se recomienda la siguiente forma de instalación: </w:t>
      </w:r>
    </w:p>
    <w:p>
      <w:pPr>
        <w:spacing w:before="0" w:after="0" w:line="360" w:lineRule="auto"/>
        <w:jc w:val="center"/>
        <w:rPr>
          <w:rFonts w:ascii="Arial" w:hAnsi="Arial"/>
          <w:sz w:val="22"/>
          <w:szCs w:val="22"/>
        </w:rPr>
      </w:pPr>
      <w:r>
        <w:rPr>
          <w:rFonts w:ascii="Arial" w:hAnsi="Arial"/>
          <w:sz w:val="22"/>
          <w:szCs w:val="22"/>
        </w:rPr>
        <w:drawing>
          <wp:inline distT="0" distB="0" distL="0" distR="0">
            <wp:extent cx="4928235" cy="1835150"/>
            <wp:effectExtent l="0" t="0" r="0" b="0"/>
            <wp:docPr id="80" name="Image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12"/>
                    <pic:cNvPicPr>
                      <a:picLocks noChangeAspect="1" noChangeArrowheads="1"/>
                    </pic:cNvPicPr>
                  </pic:nvPicPr>
                  <pic:blipFill>
                    <a:blip r:embed="rId59"/>
                    <a:srcRect l="22718" t="16533" r="16526" b="43245"/>
                    <a:stretch>
                      <a:fillRect/>
                    </a:stretch>
                  </pic:blipFill>
                  <pic:spPr>
                    <a:xfrm>
                      <a:off x="0" y="0"/>
                      <a:ext cx="4928235" cy="1835150"/>
                    </a:xfrm>
                    <a:prstGeom prst="rect">
                      <a:avLst/>
                    </a:prstGeom>
                  </pic:spPr>
                </pic:pic>
              </a:graphicData>
            </a:graphic>
          </wp:inline>
        </w:drawing>
      </w:r>
    </w:p>
    <w:p>
      <w:pPr>
        <w:spacing w:before="0" w:after="0" w:line="360" w:lineRule="auto"/>
        <w:jc w:val="both"/>
        <w:rPr>
          <w:rFonts w:ascii="Arial" w:hAnsi="Arial" w:cs="Arial"/>
          <w:sz w:val="22"/>
          <w:szCs w:val="22"/>
        </w:rPr>
      </w:pPr>
    </w:p>
    <w:p>
      <w:pPr>
        <w:pStyle w:val="57"/>
        <w:spacing w:line="360" w:lineRule="auto"/>
        <w:jc w:val="center"/>
        <w:rPr>
          <w:rFonts w:ascii="Arial" w:hAnsi="Arial"/>
          <w:sz w:val="22"/>
          <w:szCs w:val="22"/>
        </w:rPr>
      </w:pPr>
      <w:r>
        <w:rPr>
          <w:rFonts w:ascii="Arial" w:hAnsi="Arial"/>
          <w:sz w:val="22"/>
          <w:szCs w:val="22"/>
        </w:rPr>
        <w:drawing>
          <wp:inline distT="0" distB="0" distL="0" distR="0">
            <wp:extent cx="4641215" cy="3594100"/>
            <wp:effectExtent l="0" t="0" r="0" b="0"/>
            <wp:docPr id="81" name="Imagen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14"/>
                    <pic:cNvPicPr>
                      <a:picLocks noChangeAspect="1" noChangeArrowheads="1"/>
                    </pic:cNvPicPr>
                  </pic:nvPicPr>
                  <pic:blipFill>
                    <a:blip r:embed="rId60"/>
                    <a:srcRect l="22614" t="16735" r="33622" b="23038"/>
                    <a:stretch>
                      <a:fillRect/>
                    </a:stretch>
                  </pic:blipFill>
                  <pic:spPr>
                    <a:xfrm>
                      <a:off x="0" y="0"/>
                      <a:ext cx="4641215" cy="3594100"/>
                    </a:xfrm>
                    <a:prstGeom prst="rect">
                      <a:avLst/>
                    </a:prstGeom>
                  </pic:spPr>
                </pic:pic>
              </a:graphicData>
            </a:graphic>
          </wp:inline>
        </w:drawing>
      </w:r>
    </w:p>
    <w:p>
      <w:pPr>
        <w:pStyle w:val="57"/>
        <w:spacing w:line="360" w:lineRule="auto"/>
        <w:jc w:val="both"/>
        <w:rPr>
          <w:rFonts w:ascii="Arial" w:hAnsi="Arial" w:cs="Arial"/>
          <w:b/>
          <w:color w:val="auto"/>
          <w:sz w:val="22"/>
          <w:szCs w:val="22"/>
          <w:lang w:val="es-UY"/>
        </w:rPr>
      </w:pPr>
    </w:p>
    <w:p>
      <w:pPr>
        <w:pStyle w:val="57"/>
        <w:spacing w:line="360" w:lineRule="auto"/>
        <w:jc w:val="both"/>
        <w:rPr>
          <w:rFonts w:ascii="Arial" w:hAnsi="Arial" w:cs="Arial"/>
          <w:sz w:val="22"/>
          <w:szCs w:val="22"/>
        </w:rPr>
      </w:pPr>
      <w:r>
        <w:rPr>
          <w:rFonts w:ascii="Arial" w:hAnsi="Arial" w:cs="Arial"/>
          <w:b/>
          <w:color w:val="auto"/>
          <w:sz w:val="22"/>
          <w:szCs w:val="22"/>
          <w:lang w:val="es-UY"/>
        </w:rPr>
        <w:t>VERIFICACIÓN</w:t>
      </w:r>
    </w:p>
    <w:p>
      <w:pPr>
        <w:spacing w:before="0" w:after="0" w:line="360" w:lineRule="auto"/>
        <w:jc w:val="both"/>
        <w:rPr>
          <w:rFonts w:ascii="Arial" w:hAnsi="Arial"/>
          <w:sz w:val="22"/>
          <w:szCs w:val="22"/>
        </w:rPr>
      </w:pPr>
      <w:r>
        <w:rPr>
          <w:rFonts w:ascii="Arial" w:hAnsi="Arial" w:cs="Arial"/>
          <w:sz w:val="22"/>
          <w:szCs w:val="22"/>
        </w:rPr>
        <w:t>Las lámparas de emergencia, necesitan de un correcto mantenimiento para su funcionamiento a lo largo de su vida útil. Este mantenimiento incluye revisar el estado de las lámparas, así como el estado de las baterías.</w:t>
      </w:r>
    </w:p>
    <w:p>
      <w:pPr>
        <w:pStyle w:val="57"/>
        <w:spacing w:line="360" w:lineRule="auto"/>
        <w:jc w:val="both"/>
        <w:rPr>
          <w:rFonts w:ascii="Arial" w:hAnsi="Arial" w:cs="Arial"/>
          <w:sz w:val="22"/>
          <w:szCs w:val="22"/>
        </w:rPr>
      </w:pPr>
      <w:r>
        <w:rPr>
          <w:rFonts w:ascii="Arial" w:hAnsi="Arial" w:cs="Arial"/>
          <w:color w:val="auto"/>
          <w:sz w:val="22"/>
          <w:szCs w:val="22"/>
          <w:lang w:val="es-UY"/>
        </w:rPr>
        <w:t>Los equipos autónomos de emergencia, deben cargar al menos 24 horas, para proporcionar la autonomía descrita por el fabricante.</w:t>
      </w:r>
    </w:p>
    <w:p>
      <w:pPr>
        <w:spacing w:before="0" w:after="0" w:line="360" w:lineRule="auto"/>
        <w:jc w:val="both"/>
        <w:rPr>
          <w:rFonts w:ascii="Arial" w:hAnsi="Arial" w:cs="Arial"/>
          <w:sz w:val="22"/>
          <w:szCs w:val="22"/>
        </w:rPr>
      </w:pPr>
      <w:r>
        <w:rPr>
          <w:rFonts w:ascii="Arial" w:hAnsi="Arial" w:cs="Arial"/>
          <w:sz w:val="22"/>
          <w:szCs w:val="22"/>
        </w:rPr>
        <w:t>Las luminarias de emergencia deben cumplir con el flujo luminoso nominal que indica su fabricante y están obligadas a otorgar el 50% de ese valor después de 5 segundos de haber empezado a funcionar y el 100% después de 1 minuto transcurrido. Las pruebas se hacen a tensión nominal.</w:t>
      </w:r>
    </w:p>
    <w:p>
      <w:pPr>
        <w:spacing w:before="0" w:after="0" w:line="360" w:lineRule="auto"/>
        <w:jc w:val="both"/>
        <w:rPr>
          <w:rFonts w:ascii="Arial" w:hAnsi="Arial" w:cs="Arial"/>
          <w:sz w:val="22"/>
          <w:szCs w:val="22"/>
          <w:lang w:val="es-UY"/>
        </w:rPr>
      </w:pPr>
    </w:p>
    <w:p>
      <w:pPr>
        <w:spacing w:before="0" w:after="0" w:line="360" w:lineRule="auto"/>
        <w:jc w:val="both"/>
        <w:rPr>
          <w:rFonts w:ascii="Arial" w:hAnsi="Arial"/>
          <w:sz w:val="22"/>
          <w:szCs w:val="22"/>
        </w:rPr>
      </w:pPr>
      <w:r>
        <w:rPr>
          <w:rFonts w:ascii="Arial" w:hAnsi="Arial" w:cs="Arial"/>
          <w:sz w:val="22"/>
          <w:szCs w:val="22"/>
        </w:rPr>
        <w:t xml:space="preserve">Intensidad luminosa admisible de la luminaria de emergencia (E) </w:t>
      </w:r>
    </w:p>
    <w:p>
      <w:pPr>
        <w:spacing w:before="0" w:after="0" w:line="360" w:lineRule="auto"/>
        <w:jc w:val="both"/>
        <w:rPr>
          <w:rFonts w:ascii="Arial" w:hAnsi="Arial"/>
          <w:sz w:val="22"/>
          <w:szCs w:val="22"/>
        </w:rPr>
      </w:pPr>
      <w:r>
        <w:rPr>
          <w:rFonts w:ascii="Arial" w:hAnsi="Arial" w:cs="Arial"/>
          <w:sz w:val="22"/>
          <w:szCs w:val="22"/>
        </w:rPr>
        <w:t>Según IT07 de la DNB, se establece:</w:t>
      </w:r>
    </w:p>
    <w:p>
      <w:pPr>
        <w:spacing w:before="0" w:after="0" w:line="360" w:lineRule="auto"/>
        <w:jc w:val="both"/>
        <w:rPr>
          <w:rFonts w:ascii="Arial" w:hAnsi="Arial" w:cs="Arial"/>
          <w:sz w:val="22"/>
          <w:szCs w:val="22"/>
        </w:rPr>
      </w:pPr>
    </w:p>
    <w:p>
      <w:pPr>
        <w:pStyle w:val="57"/>
        <w:spacing w:line="360" w:lineRule="auto"/>
        <w:jc w:val="both"/>
        <w:rPr>
          <w:rFonts w:ascii="Arial" w:hAnsi="Arial"/>
          <w:sz w:val="22"/>
          <w:szCs w:val="22"/>
        </w:rPr>
      </w:pPr>
      <w:r>
        <w:rPr>
          <w:rFonts w:ascii="Arial" w:hAnsi="Arial"/>
          <w:sz w:val="22"/>
          <w:szCs w:val="22"/>
        </w:rPr>
        <mc:AlternateContent>
          <mc:Choice Requires="wps">
            <w:drawing>
              <wp:anchor distT="15240" distB="13970" distL="15240" distR="13970" simplePos="0" relativeHeight="251659264" behindDoc="0" locked="0" layoutInCell="0" allowOverlap="1">
                <wp:simplePos x="0" y="0"/>
                <wp:positionH relativeFrom="column">
                  <wp:posOffset>1922145</wp:posOffset>
                </wp:positionH>
                <wp:positionV relativeFrom="paragraph">
                  <wp:posOffset>501650</wp:posOffset>
                </wp:positionV>
                <wp:extent cx="391795" cy="673735"/>
                <wp:effectExtent l="15240" t="15240" r="13970" b="13970"/>
                <wp:wrapNone/>
                <wp:docPr id="82" name="Rectangle 6"/>
                <wp:cNvGraphicFramePr/>
                <a:graphic xmlns:a="http://schemas.openxmlformats.org/drawingml/2006/main">
                  <a:graphicData uri="http://schemas.microsoft.com/office/word/2010/wordprocessingShape">
                    <wps:wsp>
                      <wps:cNvSpPr/>
                      <wps:spPr>
                        <a:xfrm>
                          <a:off x="0" y="0"/>
                          <a:ext cx="391680" cy="673560"/>
                        </a:xfrm>
                        <a:prstGeom prst="rect">
                          <a:avLst/>
                        </a:prstGeom>
                        <a:noFill/>
                        <a:ln w="28575">
                          <a:solidFill>
                            <a:srgbClr val="FF0000"/>
                          </a:solidFill>
                          <a:miter/>
                        </a:ln>
                      </wps:spPr>
                      <wps:style>
                        <a:lnRef idx="0">
                          <a:srgbClr val="FFFFFF"/>
                        </a:lnRef>
                        <a:fillRef idx="0">
                          <a:srgbClr val="FFFFFF"/>
                        </a:fillRef>
                        <a:effectRef idx="0">
                          <a:srgbClr val="FFFFFF"/>
                        </a:effectRef>
                        <a:fontRef idx="minor"/>
                      </wps:style>
                      <wps:txbx>
                        <w:txbxContent>
                          <w:p>
                            <w:pPr>
                              <w:jc w:val="center"/>
                            </w:pPr>
                          </w:p>
                        </w:txbxContent>
                      </wps:txbx>
                      <wps:bodyPr/>
                    </wps:wsp>
                  </a:graphicData>
                </a:graphic>
              </wp:anchor>
            </w:drawing>
          </mc:Choice>
          <mc:Fallback>
            <w:pict>
              <v:rect id="Rectangle 6" o:spid="_x0000_s1026" o:spt="1" style="position:absolute;left:0pt;margin-left:151.35pt;margin-top:39.5pt;height:53.05pt;width:30.85pt;z-index:251659264;mso-width-relative:page;mso-height-relative:page;" filled="f" stroked="t" coordsize="21600,21600" o:allowincell="f" o:gfxdata="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h3NhQ9cAAAAKAQAADwAAAAAAAAABACAAAAAiAAAAZHJzL2Rvd25yZXYueG1sUEsBAhQAFAAA&#10;AAgAh07iQGPFtOC3AQAAdQMAAA4AAAAAAAAAAQAgAAAAJgEAAGRycy9lMm9Eb2MueG1sUEsFBgAA&#10;AAAGAAYAWQEAAE8FAAAAAA==&#10;">
                <v:fill on="f" focussize="0,0"/>
                <v:stroke weight="2.25pt" color="#FF0000" joinstyle="miter"/>
                <v:imagedata o:title=""/>
                <o:lock v:ext="edit" aspectratio="f"/>
                <v:textbox>
                  <w:txbxContent>
                    <w:p>
                      <w:pPr>
                        <w:jc w:val="center"/>
                      </w:pPr>
                    </w:p>
                  </w:txbxContent>
                </v:textbox>
              </v:rect>
            </w:pict>
          </mc:Fallback>
        </mc:AlternateContent>
      </w:r>
      <w:r>
        <w:rPr>
          <w:rFonts w:ascii="Arial" w:hAnsi="Arial"/>
          <w:sz w:val="22"/>
          <w:szCs w:val="22"/>
        </w:rPr>
        <w:drawing>
          <wp:inline distT="0" distB="0" distL="0" distR="0">
            <wp:extent cx="4122420" cy="1210310"/>
            <wp:effectExtent l="0" t="0" r="0" b="0"/>
            <wp:docPr id="83" name="Imagen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19"/>
                    <pic:cNvPicPr>
                      <a:picLocks noChangeAspect="1" noChangeArrowheads="1"/>
                    </pic:cNvPicPr>
                  </pic:nvPicPr>
                  <pic:blipFill>
                    <a:blip r:embed="rId61"/>
                    <a:srcRect l="26176" t="32037" r="19859" b="39785"/>
                    <a:stretch>
                      <a:fillRect/>
                    </a:stretch>
                  </pic:blipFill>
                  <pic:spPr>
                    <a:xfrm>
                      <a:off x="0" y="0"/>
                      <a:ext cx="4122420" cy="1210310"/>
                    </a:xfrm>
                    <a:prstGeom prst="rect">
                      <a:avLst/>
                    </a:prstGeom>
                  </pic:spPr>
                </pic:pic>
              </a:graphicData>
            </a:graphic>
          </wp:inline>
        </w:drawing>
      </w:r>
    </w:p>
    <w:p>
      <w:pPr>
        <w:spacing w:before="0" w:after="0" w:line="360" w:lineRule="auto"/>
        <w:jc w:val="both"/>
        <w:rPr>
          <w:rFonts w:ascii="Arial" w:hAnsi="Arial" w:cs="Arial"/>
          <w:b/>
          <w:sz w:val="22"/>
          <w:szCs w:val="22"/>
        </w:rPr>
      </w:pPr>
    </w:p>
    <w:p>
      <w:pPr>
        <w:spacing w:before="0" w:after="0" w:line="360" w:lineRule="auto"/>
        <w:jc w:val="both"/>
        <w:rPr>
          <w:rFonts w:ascii="Arial" w:hAnsi="Arial" w:cs="Arial"/>
          <w:b/>
          <w:sz w:val="22"/>
          <w:szCs w:val="22"/>
        </w:rPr>
      </w:pPr>
      <w:r>
        <w:rPr>
          <w:rFonts w:ascii="Arial" w:hAnsi="Arial" w:cs="Arial"/>
          <w:b/>
          <w:sz w:val="22"/>
          <w:szCs w:val="22"/>
        </w:rPr>
        <w:t>MANTENIMIENTO</w:t>
      </w:r>
    </w:p>
    <w:p>
      <w:pPr>
        <w:spacing w:before="0" w:after="0" w:line="360" w:lineRule="auto"/>
        <w:jc w:val="both"/>
        <w:rPr>
          <w:rFonts w:ascii="Arial" w:hAnsi="Arial"/>
          <w:sz w:val="22"/>
          <w:szCs w:val="22"/>
        </w:rPr>
      </w:pPr>
      <w:r>
        <w:rPr>
          <w:rFonts w:ascii="Arial" w:hAnsi="Arial" w:cs="Arial"/>
          <w:sz w:val="22"/>
          <w:szCs w:val="22"/>
        </w:rPr>
        <w:t>Es necesario revisar el funcionamiento de las lámparas y el correcto estado de las baterías.</w:t>
      </w:r>
    </w:p>
    <w:p>
      <w:pPr>
        <w:spacing w:before="0" w:after="0" w:line="360" w:lineRule="auto"/>
        <w:jc w:val="both"/>
        <w:rPr>
          <w:rFonts w:ascii="Arial" w:hAnsi="Arial"/>
          <w:sz w:val="22"/>
          <w:szCs w:val="22"/>
        </w:rPr>
      </w:pPr>
      <w:r>
        <w:rPr>
          <w:rFonts w:ascii="Arial" w:hAnsi="Arial" w:cs="Arial"/>
          <w:sz w:val="22"/>
          <w:szCs w:val="22"/>
        </w:rPr>
        <w:t>La característica más importante de las baterías es su vida útil, que va a depender mucho de la temperatura, del tiempo de carga/descarga y de que las descargas sean o no totales y a tensión constante (los bloques autónomos de emergencia llevan un limitador de descarga).</w:t>
      </w:r>
    </w:p>
    <w:p>
      <w:pPr>
        <w:spacing w:before="0" w:after="0" w:line="360" w:lineRule="auto"/>
        <w:jc w:val="both"/>
        <w:rPr>
          <w:rFonts w:ascii="Arial" w:hAnsi="Arial"/>
          <w:sz w:val="22"/>
          <w:szCs w:val="22"/>
        </w:rPr>
      </w:pPr>
      <w:r>
        <w:rPr>
          <w:rFonts w:ascii="Arial" w:hAnsi="Arial" w:cs="Arial"/>
          <w:sz w:val="22"/>
          <w:szCs w:val="22"/>
        </w:rPr>
        <w:t xml:space="preserve">La revisión de la instalación debe ser inicial y periódicamente cada 4 años u 800 ciclos de carga y descarga en caso de alumbrado con batería, implicando seguramente el remplazo de la batería y se aconsejan </w:t>
      </w:r>
      <w:r>
        <w:rPr>
          <w:rFonts w:ascii="Arial" w:hAnsi="Arial" w:cs="Arial"/>
          <w:b/>
          <w:sz w:val="22"/>
          <w:szCs w:val="22"/>
        </w:rPr>
        <w:t>revisiones mensuales de mantenimiento</w:t>
      </w:r>
      <w:r>
        <w:rPr>
          <w:rFonts w:ascii="Arial" w:hAnsi="Arial" w:cs="Arial"/>
          <w:sz w:val="22"/>
          <w:szCs w:val="22"/>
        </w:rPr>
        <w:t>, establecidos de la siguiente forma:</w:t>
      </w:r>
    </w:p>
    <w:p>
      <w:pPr>
        <w:spacing w:before="0" w:after="0" w:line="360" w:lineRule="auto"/>
        <w:jc w:val="both"/>
        <w:rPr>
          <w:rFonts w:ascii="Arial" w:hAnsi="Arial" w:cs="Arial"/>
          <w:b/>
          <w:sz w:val="22"/>
          <w:szCs w:val="22"/>
        </w:rPr>
      </w:pPr>
    </w:p>
    <w:p>
      <w:pPr>
        <w:pStyle w:val="54"/>
        <w:numPr>
          <w:ilvl w:val="0"/>
          <w:numId w:val="5"/>
        </w:numPr>
        <w:spacing w:line="360" w:lineRule="auto"/>
        <w:jc w:val="both"/>
        <w:rPr>
          <w:rFonts w:ascii="Arial" w:hAnsi="Arial"/>
          <w:sz w:val="22"/>
          <w:szCs w:val="22"/>
        </w:rPr>
      </w:pPr>
      <w:r>
        <w:rPr>
          <w:rFonts w:ascii="Arial" w:hAnsi="Arial" w:cs="Arial"/>
          <w:b/>
          <w:sz w:val="22"/>
          <w:szCs w:val="22"/>
          <w:lang w:val="es-UY"/>
        </w:rPr>
        <w:t>realizar ensayos cada 30 días durante 30 segundos, originar encendido de las lámparas mediante la desconexión del circuito de 220V, esto para verificar estado de la lámpara.</w:t>
      </w:r>
    </w:p>
    <w:p>
      <w:pPr>
        <w:pStyle w:val="54"/>
        <w:numPr>
          <w:ilvl w:val="0"/>
          <w:numId w:val="5"/>
        </w:numPr>
        <w:spacing w:line="360" w:lineRule="auto"/>
        <w:jc w:val="both"/>
        <w:rPr>
          <w:rFonts w:ascii="Arial" w:hAnsi="Arial"/>
          <w:sz w:val="22"/>
          <w:szCs w:val="22"/>
        </w:rPr>
      </w:pPr>
      <w:r>
        <w:rPr>
          <w:rFonts w:ascii="Arial" w:hAnsi="Arial" w:cs="Arial"/>
          <w:b/>
          <w:sz w:val="22"/>
          <w:szCs w:val="22"/>
          <w:lang w:val="es-UY"/>
        </w:rPr>
        <w:t>anualmente un ensayo funcional de 1 ½ hora porque el sistema es a batería, hay que esperar en este caso el apagado de la luminaria para comprobar el estado de la batería.</w:t>
      </w:r>
    </w:p>
    <w:p>
      <w:pPr>
        <w:spacing w:before="0" w:after="0" w:line="360" w:lineRule="auto"/>
        <w:jc w:val="both"/>
        <w:rPr>
          <w:rFonts w:ascii="Arial" w:hAnsi="Arial" w:cs="Arial"/>
          <w:sz w:val="22"/>
          <w:szCs w:val="22"/>
        </w:rPr>
      </w:pPr>
    </w:p>
    <w:p>
      <w:pPr>
        <w:spacing w:before="0" w:after="0" w:line="360" w:lineRule="auto"/>
        <w:jc w:val="both"/>
        <w:rPr>
          <w:rFonts w:ascii="Arial" w:hAnsi="Arial"/>
          <w:sz w:val="22"/>
          <w:szCs w:val="22"/>
        </w:rPr>
      </w:pPr>
      <w:r>
        <w:rPr>
          <w:rFonts w:ascii="Arial" w:hAnsi="Arial" w:cs="Arial"/>
          <w:sz w:val="22"/>
          <w:szCs w:val="22"/>
        </w:rPr>
        <w:t>Hay que tener en cuenta que al realizar el test de mantenimiento de 1 ½ hora la batería se descargará completamente, hay que considerar que el tiempo de carga luego será de 24 horas.</w:t>
      </w:r>
    </w:p>
    <w:p>
      <w:pPr>
        <w:spacing w:before="0" w:after="0" w:line="360" w:lineRule="auto"/>
        <w:jc w:val="both"/>
        <w:rPr>
          <w:rFonts w:ascii="Arial" w:hAnsi="Arial"/>
          <w:sz w:val="22"/>
          <w:szCs w:val="22"/>
        </w:rPr>
      </w:pPr>
      <w:r>
        <w:rPr>
          <w:rFonts w:ascii="Arial" w:hAnsi="Arial" w:cs="Arial"/>
          <w:sz w:val="22"/>
          <w:szCs w:val="22"/>
        </w:rPr>
        <w:t>Durante la realización de este test se debe garantizar que 2 luminarias vecinas no estén fuera de servicio simultáneamente.</w:t>
      </w:r>
    </w:p>
    <w:p>
      <w:pPr>
        <w:pStyle w:val="57"/>
        <w:spacing w:line="360" w:lineRule="auto"/>
        <w:jc w:val="both"/>
        <w:rPr>
          <w:rFonts w:ascii="Arial" w:hAnsi="Arial"/>
          <w:sz w:val="22"/>
          <w:szCs w:val="22"/>
        </w:rPr>
      </w:pPr>
      <w:r>
        <w:rPr>
          <w:rFonts w:ascii="Arial" w:hAnsi="Arial" w:cs="Arial"/>
          <w:color w:val="auto"/>
          <w:sz w:val="22"/>
          <w:szCs w:val="22"/>
          <w:lang w:val="es-UY"/>
        </w:rPr>
        <w:t>Se deberá realizar un registro de las actividades de mantenimiento.</w:t>
      </w:r>
    </w:p>
    <w:p>
      <w:pPr>
        <w:pBdr>
          <w:bottom w:val="single" w:color="000000" w:sz="4" w:space="1"/>
        </w:pBdr>
        <w:spacing w:before="360" w:after="240" w:line="360" w:lineRule="auto"/>
        <w:jc w:val="both"/>
        <w:rPr>
          <w:rFonts w:ascii="Arial" w:hAnsi="Arial"/>
          <w:sz w:val="22"/>
          <w:szCs w:val="22"/>
        </w:rPr>
      </w:pPr>
      <w:r>
        <w:rPr>
          <w:rFonts w:ascii="Arial" w:hAnsi="Arial" w:cstheme="minorHAnsi"/>
          <w:b/>
          <w:sz w:val="22"/>
          <w:szCs w:val="22"/>
        </w:rPr>
        <w:t xml:space="preserve">ALCANCE DEL SUMINISTRO </w:t>
      </w:r>
    </w:p>
    <w:p>
      <w:pPr>
        <w:spacing w:before="60" w:after="60" w:line="360" w:lineRule="auto"/>
        <w:jc w:val="both"/>
        <w:rPr>
          <w:rFonts w:ascii="Arial" w:hAnsi="Arial"/>
          <w:sz w:val="22"/>
          <w:szCs w:val="22"/>
        </w:rPr>
      </w:pPr>
      <w:r>
        <w:rPr>
          <w:rFonts w:ascii="Arial" w:hAnsi="Arial" w:cs="Arial"/>
          <w:sz w:val="22"/>
          <w:szCs w:val="22"/>
        </w:rPr>
        <w:t xml:space="preserve">Dentro del alcance de las obras para el subcontrato se incluye: </w:t>
      </w:r>
    </w:p>
    <w:p>
      <w:pPr>
        <w:pStyle w:val="54"/>
        <w:numPr>
          <w:ilvl w:val="0"/>
          <w:numId w:val="2"/>
        </w:numPr>
        <w:spacing w:before="60" w:after="60" w:line="360" w:lineRule="auto"/>
        <w:contextualSpacing/>
        <w:jc w:val="both"/>
        <w:rPr>
          <w:rFonts w:ascii="Arial" w:hAnsi="Arial"/>
          <w:sz w:val="22"/>
          <w:szCs w:val="22"/>
        </w:rPr>
      </w:pPr>
      <w:r>
        <w:rPr>
          <w:rFonts w:ascii="Arial" w:hAnsi="Arial" w:cs="Arial"/>
          <w:sz w:val="22"/>
          <w:szCs w:val="22"/>
          <w:lang w:val="es-UY"/>
        </w:rPr>
        <w:t xml:space="preserve">Suministro e instalación de todas las luminarias emergencia. </w:t>
      </w:r>
    </w:p>
    <w:p>
      <w:pPr>
        <w:pStyle w:val="54"/>
        <w:numPr>
          <w:ilvl w:val="0"/>
          <w:numId w:val="2"/>
        </w:numPr>
        <w:spacing w:before="60" w:after="60" w:line="360" w:lineRule="auto"/>
        <w:contextualSpacing/>
        <w:jc w:val="both"/>
        <w:rPr>
          <w:rFonts w:ascii="Arial" w:hAnsi="Arial"/>
          <w:sz w:val="22"/>
          <w:szCs w:val="22"/>
        </w:rPr>
      </w:pPr>
      <w:r>
        <w:rPr>
          <w:rFonts w:ascii="Arial" w:hAnsi="Arial" w:cs="Arial"/>
          <w:sz w:val="22"/>
          <w:szCs w:val="22"/>
          <w:lang w:val="es-UY"/>
        </w:rPr>
        <w:t xml:space="preserve">Ensayos que solicite la dirección de obra, para verificar la correcta instalación del sistema y su funcionamiento. </w:t>
      </w:r>
    </w:p>
    <w:p>
      <w:pPr>
        <w:pStyle w:val="54"/>
        <w:numPr>
          <w:ilvl w:val="0"/>
          <w:numId w:val="2"/>
        </w:numPr>
        <w:spacing w:before="60" w:after="60" w:line="360" w:lineRule="auto"/>
        <w:contextualSpacing/>
        <w:jc w:val="both"/>
        <w:rPr>
          <w:rFonts w:ascii="Arial" w:hAnsi="Arial"/>
          <w:sz w:val="22"/>
          <w:szCs w:val="22"/>
        </w:rPr>
      </w:pPr>
      <w:r>
        <w:rPr>
          <w:rFonts w:ascii="Arial" w:hAnsi="Arial" w:cs="Arial"/>
          <w:sz w:val="22"/>
          <w:szCs w:val="22"/>
          <w:lang w:val="es-UY"/>
        </w:rPr>
        <w:t xml:space="preserve">Todo elemento necesario para terminar en forma correcta la instalación. </w:t>
      </w:r>
    </w:p>
    <w:p>
      <w:pPr>
        <w:pStyle w:val="54"/>
        <w:numPr>
          <w:ilvl w:val="0"/>
          <w:numId w:val="2"/>
        </w:numPr>
        <w:spacing w:before="60" w:after="60" w:line="360" w:lineRule="auto"/>
        <w:contextualSpacing/>
        <w:jc w:val="both"/>
        <w:rPr>
          <w:rFonts w:ascii="Arial" w:hAnsi="Arial"/>
          <w:sz w:val="22"/>
          <w:szCs w:val="22"/>
        </w:rPr>
      </w:pPr>
      <w:r>
        <w:rPr>
          <w:rFonts w:ascii="Arial" w:hAnsi="Arial" w:cs="Arial"/>
          <w:sz w:val="22"/>
          <w:szCs w:val="22"/>
          <w:lang w:val="es-UY"/>
        </w:rPr>
        <w:t>Manuales, y hoja técnica de las luminarias instaladas necesarias para presentar ante la D.N.B.</w:t>
      </w:r>
    </w:p>
    <w:p>
      <w:pPr>
        <w:pStyle w:val="54"/>
        <w:numPr>
          <w:ilvl w:val="0"/>
          <w:numId w:val="2"/>
        </w:numPr>
        <w:spacing w:before="60" w:after="0" w:line="360" w:lineRule="auto"/>
        <w:contextualSpacing/>
        <w:jc w:val="both"/>
        <w:rPr>
          <w:rFonts w:ascii="Arial" w:hAnsi="Arial"/>
          <w:sz w:val="22"/>
          <w:szCs w:val="22"/>
        </w:rPr>
      </w:pPr>
      <w:r>
        <w:rPr>
          <w:rFonts w:ascii="Arial" w:hAnsi="Arial" w:cs="Arial"/>
          <w:sz w:val="22"/>
          <w:szCs w:val="22"/>
          <w:lang w:val="es-UY"/>
        </w:rPr>
        <w:t>Toda documentación requerida para la gestión como comprobante de la instalación: A.R.T. de instalación en caso de corresponder.</w:t>
      </w:r>
    </w:p>
    <w:p>
      <w:pPr>
        <w:pStyle w:val="54"/>
        <w:numPr>
          <w:ilvl w:val="0"/>
          <w:numId w:val="2"/>
        </w:numPr>
        <w:spacing w:before="60" w:after="0" w:line="360" w:lineRule="auto"/>
        <w:contextualSpacing/>
        <w:jc w:val="both"/>
        <w:rPr>
          <w:rFonts w:ascii="Arial" w:hAnsi="Arial"/>
          <w:sz w:val="22"/>
          <w:szCs w:val="22"/>
        </w:rPr>
      </w:pPr>
      <w:r>
        <w:rPr>
          <w:rFonts w:ascii="Arial" w:hAnsi="Arial" w:cs="Arial"/>
          <w:sz w:val="22"/>
          <w:szCs w:val="22"/>
          <w:lang w:val="es-UY"/>
        </w:rPr>
        <w:t xml:space="preserve">Garantía: </w:t>
      </w:r>
      <w:r>
        <w:rPr>
          <w:rFonts w:ascii="Arial" w:hAnsi="Arial" w:cstheme="minorHAnsi"/>
          <w:sz w:val="22"/>
          <w:szCs w:val="22"/>
          <w:lang w:val="es-UY"/>
        </w:rPr>
        <w:t>El oferente deberá indicar el plazo de garantía del sistema.</w:t>
      </w:r>
    </w:p>
    <w:p>
      <w:pPr>
        <w:spacing w:before="0" w:after="0" w:line="360" w:lineRule="auto"/>
        <w:jc w:val="both"/>
        <w:rPr>
          <w:rFonts w:ascii="Arial" w:hAnsi="Arial" w:cs="Calibri"/>
          <w:b/>
          <w:sz w:val="22"/>
          <w:szCs w:val="22"/>
        </w:rPr>
      </w:pPr>
    </w:p>
    <w:p>
      <w:pPr>
        <w:spacing w:before="0" w:after="0" w:line="360" w:lineRule="auto"/>
        <w:jc w:val="both"/>
        <w:rPr>
          <w:rFonts w:ascii="Arial" w:hAnsi="Arial" w:cs="Calibri"/>
          <w:b/>
          <w:sz w:val="22"/>
          <w:szCs w:val="22"/>
        </w:rPr>
      </w:pPr>
      <w:r>
        <w:rPr>
          <w:rFonts w:ascii="Arial" w:hAnsi="Arial" w:cstheme="minorHAnsi"/>
          <w:b/>
          <w:sz w:val="22"/>
          <w:szCs w:val="22"/>
        </w:rPr>
        <w:t>Formulario F2B (de Responsabilidad Técnica)</w:t>
      </w:r>
    </w:p>
    <w:p>
      <w:pPr>
        <w:pStyle w:val="54"/>
        <w:spacing w:line="360" w:lineRule="auto"/>
        <w:jc w:val="both"/>
        <w:rPr>
          <w:rFonts w:ascii="Arial" w:hAnsi="Arial"/>
          <w:sz w:val="22"/>
          <w:szCs w:val="22"/>
        </w:rPr>
      </w:pPr>
      <w:r>
        <w:rPr>
          <w:rFonts w:ascii="Arial" w:hAnsi="Arial" w:cstheme="minorHAnsi"/>
          <w:sz w:val="22"/>
          <w:szCs w:val="22"/>
          <w:lang w:val="es-UY"/>
        </w:rPr>
        <w:t>Acorde a lo establecido por la D.N.B. el técnico instalador o representante de la firma instaladora, una vez realizada la entrega de esta etapa de obra, deberá firmar la declaración jurada a presentar ante la D.N.B. sobre la correcta instalación del sistema acorde a las normativas vigentes. Y presentar los manuales técnicos, donde se indique marca y modelo de la/s luminarias, así como del sistema en su conjunto que abalen las certificaciones correspondientes por la D.N.B.</w:t>
      </w:r>
    </w:p>
    <w:p>
      <w:pPr>
        <w:pStyle w:val="54"/>
        <w:spacing w:line="360" w:lineRule="auto"/>
        <w:jc w:val="both"/>
        <w:rPr>
          <w:rFonts w:ascii="Arial" w:hAnsi="Arial"/>
          <w:sz w:val="22"/>
          <w:szCs w:val="22"/>
        </w:rPr>
      </w:pPr>
      <w:r>
        <w:rPr>
          <w:rFonts w:ascii="Arial" w:hAnsi="Arial" w:cstheme="minorHAnsi"/>
          <w:b/>
          <w:sz w:val="22"/>
          <w:szCs w:val="22"/>
          <w:lang w:val="es-UY"/>
        </w:rPr>
        <w:t>La firma instaladora deberá estar registrada ante la D.N.B. acorde a las exigencias del Dec. 184/018.</w:t>
      </w:r>
    </w:p>
    <w:p>
      <w:pPr>
        <w:spacing w:before="60" w:after="60" w:line="360" w:lineRule="auto"/>
        <w:ind w:left="426" w:firstLine="0"/>
        <w:jc w:val="both"/>
        <w:rPr>
          <w:rFonts w:ascii="Arial" w:hAnsi="Arial" w:cs="Arial"/>
          <w:sz w:val="22"/>
          <w:szCs w:val="22"/>
        </w:rPr>
      </w:pPr>
    </w:p>
    <w:p>
      <w:pPr>
        <w:spacing w:before="60" w:after="60" w:line="360" w:lineRule="auto"/>
        <w:jc w:val="both"/>
        <w:rPr>
          <w:rFonts w:ascii="Arial" w:hAnsi="Arial"/>
          <w:sz w:val="22"/>
          <w:szCs w:val="22"/>
        </w:rPr>
      </w:pPr>
      <w:r>
        <w:rPr>
          <w:rFonts w:ascii="Arial" w:hAnsi="Arial" w:cs="Arial"/>
          <w:sz w:val="22"/>
          <w:szCs w:val="22"/>
        </w:rPr>
        <w:t xml:space="preserve">Dentro del alcance de la empresa constructora se incluye: </w:t>
      </w:r>
    </w:p>
    <w:p>
      <w:pPr>
        <w:pStyle w:val="54"/>
        <w:numPr>
          <w:ilvl w:val="0"/>
          <w:numId w:val="4"/>
        </w:numPr>
        <w:spacing w:before="60" w:after="60" w:line="360" w:lineRule="auto"/>
        <w:contextualSpacing/>
        <w:jc w:val="both"/>
        <w:rPr>
          <w:rFonts w:ascii="Arial" w:hAnsi="Arial"/>
          <w:sz w:val="22"/>
          <w:szCs w:val="22"/>
        </w:rPr>
      </w:pPr>
      <w:r>
        <w:rPr>
          <w:rFonts w:ascii="Arial" w:hAnsi="Arial" w:cs="Arial"/>
          <w:sz w:val="22"/>
          <w:szCs w:val="22"/>
          <w:lang w:val="es-UY"/>
        </w:rPr>
        <w:t>Prever el suministro e instalación de todas las canalizaciones y cajas, embutidas o adosadas necesarias para los sistemas, aunque los pliegos y/o especificaciones no enunciaran todos los elementos precisos al efecto de ejecutar todo el trabajo que para ello sea necesario, sin considerárselo como adicional.</w:t>
      </w:r>
    </w:p>
    <w:p>
      <w:pPr>
        <w:pStyle w:val="54"/>
        <w:numPr>
          <w:ilvl w:val="0"/>
          <w:numId w:val="4"/>
        </w:numPr>
        <w:spacing w:before="60" w:after="60" w:line="360" w:lineRule="auto"/>
        <w:contextualSpacing/>
        <w:jc w:val="both"/>
        <w:rPr>
          <w:rFonts w:ascii="Arial" w:hAnsi="Arial"/>
          <w:sz w:val="22"/>
          <w:szCs w:val="22"/>
        </w:rPr>
      </w:pPr>
      <w:r>
        <w:rPr>
          <w:rFonts w:ascii="Arial" w:hAnsi="Arial" w:cs="Arial"/>
          <w:sz w:val="22"/>
          <w:szCs w:val="22"/>
          <w:lang w:val="es-UY"/>
        </w:rPr>
        <w:t xml:space="preserve">Suministro e instalación de la distribución de potencia normal hasta el tablero. </w:t>
      </w:r>
    </w:p>
    <w:p>
      <w:pPr>
        <w:pStyle w:val="54"/>
        <w:numPr>
          <w:ilvl w:val="0"/>
          <w:numId w:val="4"/>
        </w:numPr>
        <w:spacing w:before="60" w:after="60" w:line="360" w:lineRule="auto"/>
        <w:contextualSpacing/>
        <w:jc w:val="both"/>
        <w:rPr>
          <w:rFonts w:ascii="Arial" w:hAnsi="Arial" w:cs="Calibri"/>
          <w:b/>
          <w:sz w:val="22"/>
          <w:szCs w:val="22"/>
        </w:rPr>
      </w:pPr>
      <w:r>
        <w:rPr>
          <w:rFonts w:ascii="Arial" w:hAnsi="Arial" w:cs="Arial"/>
          <w:sz w:val="22"/>
          <w:szCs w:val="22"/>
          <w:lang w:val="es-UY"/>
        </w:rPr>
        <w:t xml:space="preserve">Suministro de todas las cajas de registro en pared, cielorraso, y piso </w:t>
      </w:r>
    </w:p>
    <w:p>
      <w:pPr>
        <w:spacing w:before="60" w:after="60" w:line="360" w:lineRule="auto"/>
        <w:jc w:val="both"/>
        <w:rPr>
          <w:rFonts w:ascii="Arial" w:hAnsi="Arial"/>
          <w:sz w:val="22"/>
          <w:szCs w:val="22"/>
        </w:rPr>
      </w:pPr>
      <w:r>
        <w:rPr>
          <w:rFonts w:ascii="Arial" w:hAnsi="Arial" w:cstheme="minorHAnsi"/>
          <w:b/>
          <w:sz w:val="22"/>
          <w:szCs w:val="22"/>
        </w:rPr>
        <w:t>Se excluyen los trabajos de albañilería, que correrán por cuenta del Contratista General, consideradas como ayudas al subcontrato.</w:t>
      </w:r>
    </w:p>
    <w:p>
      <w:pPr>
        <w:pBdr>
          <w:bottom w:val="single" w:color="000000" w:sz="4" w:space="1"/>
        </w:pBdr>
        <w:spacing w:before="360" w:after="240" w:line="360" w:lineRule="auto"/>
        <w:jc w:val="both"/>
        <w:rPr>
          <w:rFonts w:ascii="Arial" w:hAnsi="Arial"/>
          <w:sz w:val="22"/>
          <w:szCs w:val="22"/>
        </w:rPr>
      </w:pPr>
      <w:r>
        <w:rPr>
          <w:rFonts w:ascii="Arial" w:hAnsi="Arial" w:cstheme="minorHAnsi"/>
          <w:b/>
          <w:sz w:val="22"/>
          <w:szCs w:val="22"/>
        </w:rPr>
        <w:t xml:space="preserve">PREVISIONES GENERALES. </w:t>
      </w:r>
    </w:p>
    <w:p>
      <w:pPr>
        <w:spacing w:before="120" w:after="120" w:line="360" w:lineRule="auto"/>
        <w:ind w:left="560" w:hanging="560"/>
        <w:jc w:val="both"/>
        <w:rPr>
          <w:rFonts w:ascii="Arial" w:hAnsi="Arial"/>
          <w:sz w:val="22"/>
          <w:szCs w:val="22"/>
        </w:rPr>
      </w:pPr>
      <w:r>
        <w:rPr>
          <w:rFonts w:ascii="Arial" w:hAnsi="Arial" w:cs="Arial"/>
          <w:b/>
          <w:sz w:val="22"/>
          <w:szCs w:val="22"/>
        </w:rPr>
        <w:t xml:space="preserve">General. </w:t>
      </w:r>
    </w:p>
    <w:p>
      <w:pPr>
        <w:spacing w:before="60" w:after="60" w:line="360" w:lineRule="auto"/>
        <w:jc w:val="both"/>
        <w:rPr>
          <w:rFonts w:ascii="Arial" w:hAnsi="Arial"/>
          <w:sz w:val="22"/>
          <w:szCs w:val="22"/>
        </w:rPr>
      </w:pPr>
      <w:r>
        <w:rPr>
          <w:rFonts w:ascii="Arial" w:hAnsi="Arial" w:cs="Arial"/>
          <w:sz w:val="22"/>
          <w:szCs w:val="22"/>
        </w:rPr>
        <w:t>Los materiales deberán ser nuevos, de primera calidad y de acuerdo a los planos y memoria técnicas establecido su ubicación.</w:t>
      </w:r>
    </w:p>
    <w:p>
      <w:pPr>
        <w:spacing w:before="0" w:after="0" w:line="360" w:lineRule="auto"/>
        <w:jc w:val="both"/>
        <w:rPr>
          <w:rFonts w:ascii="Arial" w:hAnsi="Arial"/>
          <w:sz w:val="22"/>
          <w:szCs w:val="22"/>
        </w:rPr>
      </w:pPr>
      <w:r>
        <w:rPr>
          <w:rFonts w:ascii="Arial" w:hAnsi="Arial" w:cstheme="minorHAnsi"/>
          <w:b/>
          <w:sz w:val="22"/>
          <w:szCs w:val="22"/>
        </w:rPr>
        <w:t>Todos los materiales de las medidas contra incendio deberán estar homologados por bomberos.</w:t>
      </w: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left"/>
        <w:rPr>
          <w:rFonts w:ascii="Arial" w:hAnsi="Arial" w:cs="Arial Rounded MT Bold"/>
          <w:color w:val="000000"/>
          <w:sz w:val="22"/>
          <w:szCs w:val="22"/>
          <w:lang w:val="es-ES" w:eastAsia="es-UY"/>
        </w:rPr>
      </w:pPr>
      <w:r>
        <w:rPr>
          <w:rFonts w:ascii="Arial" w:hAnsi="Arial"/>
          <w:b/>
          <w:bCs/>
          <w:sz w:val="22"/>
          <w:szCs w:val="22"/>
        </w:rPr>
        <w:t>ANEXO IX:</w:t>
      </w:r>
    </w:p>
    <w:p>
      <w:pPr>
        <w:spacing w:line="360" w:lineRule="auto"/>
        <w:jc w:val="center"/>
        <w:rPr>
          <w:rFonts w:ascii="Arial" w:hAnsi="Arial" w:cs="Arial Rounded MT Bold"/>
          <w:color w:val="000000"/>
          <w:sz w:val="22"/>
          <w:szCs w:val="22"/>
          <w:lang w:val="es-ES" w:eastAsia="es-UY"/>
        </w:rPr>
      </w:pPr>
      <w:r>
        <w:rPr>
          <w:rFonts w:ascii="Arial" w:hAnsi="Arial" w:cs="Arial Rounded MT Bold"/>
          <w:color w:val="000000"/>
          <w:sz w:val="22"/>
          <w:szCs w:val="22"/>
          <w:lang w:val="es-ES" w:eastAsia="es-UY"/>
        </w:rPr>
        <w:t>PROYECTO DE COMBATE DE INCENDIO</w:t>
      </w:r>
    </w:p>
    <w:p>
      <w:pPr>
        <w:spacing w:line="360" w:lineRule="auto"/>
        <w:jc w:val="center"/>
        <w:rPr>
          <w:rFonts w:ascii="Arial" w:hAnsi="Arial" w:cs="Arial Rounded MT Bold"/>
          <w:sz w:val="22"/>
          <w:szCs w:val="22"/>
        </w:rPr>
      </w:pPr>
      <w:r>
        <w:rPr>
          <w:rFonts w:ascii="Arial" w:hAnsi="Arial" w:cs="Arial Rounded MT Bold"/>
          <w:color w:val="000000"/>
          <w:sz w:val="22"/>
          <w:szCs w:val="22"/>
          <w:lang w:val="es-ES" w:eastAsia="es-UY"/>
        </w:rPr>
        <w:t>MEMORIA DE ESPECIFICACIONES TÉCNICAS</w:t>
      </w:r>
    </w:p>
    <w:p>
      <w:pPr>
        <w:spacing w:line="360" w:lineRule="auto"/>
        <w:jc w:val="center"/>
        <w:rPr>
          <w:rFonts w:ascii="Arial" w:hAnsi="Arial"/>
          <w:sz w:val="22"/>
          <w:szCs w:val="22"/>
        </w:rPr>
      </w:pPr>
      <w:r>
        <w:rPr>
          <w:rFonts w:ascii="Arial" w:hAnsi="Arial" w:cs="Arial Black"/>
          <w:sz w:val="22"/>
          <w:szCs w:val="22"/>
          <w:lang w:val="es-ES"/>
        </w:rPr>
        <w:t>EDIFICIO INUMET</w:t>
      </w:r>
    </w:p>
    <w:p>
      <w:pPr>
        <w:pStyle w:val="25"/>
        <w:numPr>
          <w:ilvl w:val="0"/>
          <w:numId w:val="0"/>
        </w:numPr>
        <w:spacing w:line="360" w:lineRule="auto"/>
        <w:ind w:left="0" w:firstLine="0"/>
        <w:outlineLvl w:val="0"/>
        <w:rPr>
          <w:rFonts w:ascii="Arial" w:hAnsi="Arial"/>
          <w:sz w:val="22"/>
          <w:szCs w:val="22"/>
        </w:rPr>
      </w:pPr>
      <w:r>
        <w:rPr>
          <w:rFonts w:ascii="Arial" w:hAnsi="Arial" w:cs="Arial"/>
          <w:sz w:val="22"/>
          <w:szCs w:val="22"/>
        </w:rPr>
        <w:t>ÍNDICE GENERAL</w:t>
      </w:r>
    </w:p>
    <w:sdt>
      <w:sdtPr>
        <w:id w:val="1"/>
        <w:docPartObj>
          <w:docPartGallery w:val="Table of Contents"/>
          <w:docPartUnique/>
        </w:docPartObj>
      </w:sdtPr>
      <w:sdtContent>
        <w:p>
          <w:pPr>
            <w:pStyle w:val="15"/>
          </w:pPr>
          <w:r>
            <w:fldChar w:fldCharType="begin"/>
          </w:r>
          <w:r>
            <w:rPr>
              <w:rStyle w:val="47"/>
              <w:rFonts w:ascii="Arial" w:hAnsi="Arial" w:eastAsia="Calibri" w:cs="Arial"/>
              <w:b/>
              <w:bCs/>
              <w:vanish w:val="0"/>
              <w:sz w:val="22"/>
              <w:szCs w:val="22"/>
              <w:lang w:val="en-GB"/>
            </w:rPr>
            <w:instrText xml:space="preserve"> TOC \z \o "1-4" \h</w:instrText>
          </w:r>
          <w:r>
            <w:rPr>
              <w:rStyle w:val="47"/>
              <w:rFonts w:ascii="Arial" w:hAnsi="Arial" w:eastAsia="Calibri" w:cs="Arial"/>
              <w:b/>
              <w:bCs/>
              <w:vanish w:val="0"/>
              <w:sz w:val="22"/>
              <w:szCs w:val="22"/>
              <w:lang w:val="en-GB"/>
            </w:rPr>
            <w:fldChar w:fldCharType="separate"/>
          </w:r>
          <w:r>
            <w:fldChar w:fldCharType="begin"/>
          </w:r>
          <w:r>
            <w:instrText xml:space="preserve"> HYPERLINK \l "_Toc141269078" \h </w:instrText>
          </w:r>
          <w:r>
            <w:fldChar w:fldCharType="separate"/>
          </w:r>
          <w:r>
            <w:rPr>
              <w:rStyle w:val="47"/>
              <w:rFonts w:ascii="Arial" w:hAnsi="Arial" w:eastAsia="Calibri" w:cs="Arial"/>
              <w:b/>
              <w:bCs/>
              <w:vanish w:val="0"/>
              <w:sz w:val="22"/>
              <w:szCs w:val="22"/>
              <w:lang w:val="en-GB"/>
            </w:rPr>
            <w:t>1.</w:t>
          </w:r>
          <w:r>
            <w:rPr>
              <w:rStyle w:val="47"/>
              <w:rFonts w:ascii="Arial" w:hAnsi="Arial" w:cs="Arial" w:eastAsiaTheme="minorEastAsia"/>
              <w:caps w:val="0"/>
              <w:smallCaps w:val="0"/>
              <w:sz w:val="22"/>
              <w:szCs w:val="22"/>
              <w:lang w:val="es-ES" w:eastAsia="es-ES"/>
            </w:rPr>
            <w:tab/>
          </w:r>
          <w:r>
            <w:rPr>
              <w:rStyle w:val="47"/>
              <w:rFonts w:ascii="Arial" w:hAnsi="Arial" w:cs="Arial"/>
              <w:b/>
              <w:sz w:val="22"/>
              <w:szCs w:val="22"/>
              <w:lang w:val="en-GB"/>
            </w:rPr>
            <w:t>Glosario</w:t>
          </w:r>
          <w:r>
            <w:fldChar w:fldCharType="begin"/>
          </w:r>
          <w:r>
            <w:instrText xml:space="preserve">PAGEREF _Toc141269078 \h</w:instrText>
          </w:r>
          <w:r>
            <w:fldChar w:fldCharType="separate"/>
          </w:r>
          <w:r>
            <w:rPr>
              <w:rStyle w:val="47"/>
              <w:rFonts w:ascii="Arial" w:hAnsi="Arial" w:cs="Arial"/>
              <w:vanish w:val="0"/>
              <w:sz w:val="22"/>
              <w:szCs w:val="22"/>
            </w:rPr>
            <w:tab/>
          </w:r>
          <w:r>
            <w:rPr>
              <w:rStyle w:val="47"/>
              <w:rFonts w:ascii="Arial" w:hAnsi="Arial" w:cs="Arial"/>
              <w:vanish w:val="0"/>
              <w:sz w:val="22"/>
              <w:szCs w:val="22"/>
            </w:rPr>
            <w:t>1</w:t>
          </w:r>
          <w:r>
            <w:fldChar w:fldCharType="end"/>
          </w:r>
          <w:r>
            <w:fldChar w:fldCharType="end"/>
          </w:r>
        </w:p>
        <w:p>
          <w:pPr>
            <w:pStyle w:val="15"/>
          </w:pPr>
          <w:r>
            <w:fldChar w:fldCharType="begin"/>
          </w:r>
          <w:r>
            <w:instrText xml:space="preserve"> HYPERLINK \l "_Toc141269079" \h </w:instrText>
          </w:r>
          <w:r>
            <w:fldChar w:fldCharType="separate"/>
          </w:r>
          <w:r>
            <w:rPr>
              <w:rStyle w:val="47"/>
              <w:rFonts w:ascii="Arial" w:hAnsi="Arial" w:eastAsia="Calibri" w:cs="Arial"/>
              <w:b/>
              <w:bCs/>
              <w:vanish w:val="0"/>
              <w:sz w:val="22"/>
              <w:szCs w:val="22"/>
              <w:lang w:val="en-GB"/>
            </w:rPr>
            <w:t>2.</w:t>
          </w:r>
          <w:r>
            <w:rPr>
              <w:rStyle w:val="47"/>
              <w:rFonts w:ascii="Arial" w:hAnsi="Arial" w:cs="Arial" w:eastAsiaTheme="minorEastAsia"/>
              <w:caps w:val="0"/>
              <w:smallCaps w:val="0"/>
              <w:sz w:val="22"/>
              <w:szCs w:val="22"/>
              <w:lang w:val="es-ES" w:eastAsia="es-ES"/>
            </w:rPr>
            <w:tab/>
          </w:r>
          <w:r>
            <w:rPr>
              <w:rStyle w:val="47"/>
              <w:rFonts w:ascii="Arial" w:hAnsi="Arial" w:cs="Arial"/>
              <w:b/>
              <w:sz w:val="22"/>
              <w:szCs w:val="22"/>
              <w:lang w:val="en-GB"/>
            </w:rPr>
            <w:t>Disposiciones Generales</w:t>
          </w:r>
          <w:r>
            <w:fldChar w:fldCharType="begin"/>
          </w:r>
          <w:r>
            <w:instrText xml:space="preserve">PAGEREF _Toc141269079 \h</w:instrText>
          </w:r>
          <w:r>
            <w:fldChar w:fldCharType="separate"/>
          </w:r>
          <w:r>
            <w:rPr>
              <w:rStyle w:val="47"/>
              <w:rFonts w:ascii="Arial" w:hAnsi="Arial" w:cs="Arial"/>
              <w:vanish w:val="0"/>
              <w:sz w:val="22"/>
              <w:szCs w:val="22"/>
            </w:rPr>
            <w:tab/>
          </w:r>
          <w:r>
            <w:rPr>
              <w:rStyle w:val="47"/>
              <w:rFonts w:ascii="Arial" w:hAnsi="Arial" w:cs="Arial"/>
              <w:vanish w:val="0"/>
              <w:sz w:val="22"/>
              <w:szCs w:val="22"/>
            </w:rPr>
            <w:t>3</w:t>
          </w:r>
          <w:r>
            <w:fldChar w:fldCharType="end"/>
          </w:r>
          <w:r>
            <w:fldChar w:fldCharType="end"/>
          </w:r>
        </w:p>
        <w:p>
          <w:pPr>
            <w:pStyle w:val="16"/>
            <w:tabs>
              <w:tab w:val="right" w:leader="dot" w:pos="8494"/>
            </w:tabs>
          </w:pPr>
          <w:r>
            <w:fldChar w:fldCharType="begin"/>
          </w:r>
          <w:r>
            <w:instrText xml:space="preserve"> HYPERLINK \l "_Toc141269080" \h </w:instrText>
          </w:r>
          <w:r>
            <w:fldChar w:fldCharType="separate"/>
          </w:r>
          <w:r>
            <w:rPr>
              <w:rStyle w:val="47"/>
              <w:rFonts w:ascii="Arial" w:hAnsi="Arial" w:cs="Arial"/>
              <w:b/>
              <w:bCs/>
              <w:caps/>
              <w:vanish w:val="0"/>
              <w:sz w:val="22"/>
              <w:szCs w:val="22"/>
              <w:lang w:val="en-GB"/>
            </w:rPr>
            <w:t>2.1 Ámbito de Aplicación</w:t>
          </w:r>
          <w:r>
            <w:fldChar w:fldCharType="begin"/>
          </w:r>
          <w:r>
            <w:instrText xml:space="preserve">PAGEREF _Toc141269080 \h</w:instrText>
          </w:r>
          <w:r>
            <w:fldChar w:fldCharType="separate"/>
          </w:r>
          <w:r>
            <w:rPr>
              <w:rStyle w:val="47"/>
              <w:rFonts w:ascii="Arial" w:hAnsi="Arial" w:cs="Arial"/>
              <w:vanish w:val="0"/>
              <w:sz w:val="22"/>
              <w:szCs w:val="22"/>
            </w:rPr>
            <w:tab/>
          </w:r>
          <w:r>
            <w:rPr>
              <w:rStyle w:val="47"/>
              <w:rFonts w:ascii="Arial" w:hAnsi="Arial" w:cs="Arial"/>
              <w:vanish w:val="0"/>
              <w:sz w:val="22"/>
              <w:szCs w:val="22"/>
            </w:rPr>
            <w:t>3</w:t>
          </w:r>
          <w:r>
            <w:fldChar w:fldCharType="end"/>
          </w:r>
          <w:r>
            <w:fldChar w:fldCharType="end"/>
          </w:r>
        </w:p>
        <w:p>
          <w:pPr>
            <w:pStyle w:val="16"/>
            <w:tabs>
              <w:tab w:val="right" w:leader="dot" w:pos="8494"/>
            </w:tabs>
          </w:pPr>
          <w:r>
            <w:fldChar w:fldCharType="begin"/>
          </w:r>
          <w:r>
            <w:instrText xml:space="preserve"> HYPERLINK \l "_Toc141269081" \h </w:instrText>
          </w:r>
          <w:r>
            <w:fldChar w:fldCharType="separate"/>
          </w:r>
          <w:r>
            <w:rPr>
              <w:rStyle w:val="47"/>
              <w:rFonts w:ascii="Arial" w:hAnsi="Arial" w:eastAsia="Calibri" w:cs="Arial"/>
              <w:b/>
              <w:bCs/>
              <w:vanish w:val="0"/>
              <w:sz w:val="22"/>
              <w:szCs w:val="22"/>
              <w:lang w:val="es-ES"/>
            </w:rPr>
            <w:t>2.2</w:t>
          </w:r>
          <w:r>
            <w:rPr>
              <w:rStyle w:val="47"/>
              <w:rFonts w:ascii="Arial" w:hAnsi="Arial" w:eastAsia="Calibri" w:cs="Arial"/>
              <w:sz w:val="22"/>
              <w:szCs w:val="22"/>
              <w:lang w:val="es-ES"/>
            </w:rPr>
            <w:t xml:space="preserve"> </w:t>
          </w:r>
          <w:r>
            <w:rPr>
              <w:rStyle w:val="47"/>
              <w:rFonts w:ascii="Arial" w:hAnsi="Arial" w:eastAsia="Calibri" w:cs="Arial"/>
              <w:b/>
              <w:sz w:val="22"/>
              <w:szCs w:val="22"/>
              <w:lang w:val="es-ES"/>
            </w:rPr>
            <w:t xml:space="preserve">  Jerarquía de las Normas</w:t>
          </w:r>
          <w:r>
            <w:fldChar w:fldCharType="begin"/>
          </w:r>
          <w:r>
            <w:instrText xml:space="preserve">PAGEREF _Toc141269081 \h</w:instrText>
          </w:r>
          <w:r>
            <w:fldChar w:fldCharType="separate"/>
          </w:r>
          <w:r>
            <w:rPr>
              <w:rStyle w:val="47"/>
              <w:rFonts w:ascii="Arial" w:hAnsi="Arial" w:cs="Arial"/>
              <w:vanish w:val="0"/>
              <w:sz w:val="22"/>
              <w:szCs w:val="22"/>
            </w:rPr>
            <w:tab/>
          </w:r>
          <w:r>
            <w:rPr>
              <w:rStyle w:val="47"/>
              <w:rFonts w:ascii="Arial" w:hAnsi="Arial" w:cs="Arial"/>
              <w:vanish w:val="0"/>
              <w:sz w:val="22"/>
              <w:szCs w:val="22"/>
            </w:rPr>
            <w:t>4</w:t>
          </w:r>
          <w:r>
            <w:fldChar w:fldCharType="end"/>
          </w:r>
          <w:r>
            <w:fldChar w:fldCharType="end"/>
          </w:r>
        </w:p>
        <w:p>
          <w:pPr>
            <w:pStyle w:val="16"/>
            <w:tabs>
              <w:tab w:val="right" w:leader="dot" w:pos="8494"/>
            </w:tabs>
          </w:pPr>
          <w:r>
            <w:fldChar w:fldCharType="begin"/>
          </w:r>
          <w:r>
            <w:instrText xml:space="preserve"> HYPERLINK \l "_Toc141269082" \h </w:instrText>
          </w:r>
          <w:r>
            <w:fldChar w:fldCharType="separate"/>
          </w:r>
          <w:r>
            <w:rPr>
              <w:rStyle w:val="47"/>
              <w:rFonts w:ascii="Arial" w:hAnsi="Arial" w:eastAsia="Calibri" w:cs="Arial"/>
              <w:b/>
              <w:bCs/>
              <w:vanish w:val="0"/>
              <w:sz w:val="22"/>
              <w:szCs w:val="22"/>
              <w:lang w:val="es-ES"/>
            </w:rPr>
            <w:t>2.3</w:t>
          </w:r>
          <w:r>
            <w:rPr>
              <w:rStyle w:val="47"/>
              <w:rFonts w:ascii="Arial" w:hAnsi="Arial" w:eastAsia="Calibri" w:cs="Arial"/>
              <w:sz w:val="22"/>
              <w:szCs w:val="22"/>
              <w:lang w:val="es-ES"/>
            </w:rPr>
            <w:t xml:space="preserve"> </w:t>
          </w:r>
          <w:r>
            <w:rPr>
              <w:rStyle w:val="47"/>
              <w:rFonts w:ascii="Arial" w:hAnsi="Arial" w:eastAsia="Calibri" w:cs="Arial"/>
              <w:b/>
              <w:sz w:val="22"/>
              <w:szCs w:val="22"/>
              <w:lang w:val="es-ES"/>
            </w:rPr>
            <w:t>Cómputo de Plazos</w:t>
          </w:r>
          <w:r>
            <w:fldChar w:fldCharType="begin"/>
          </w:r>
          <w:r>
            <w:instrText xml:space="preserve">PAGEREF _Toc141269082 \h</w:instrText>
          </w:r>
          <w:r>
            <w:fldChar w:fldCharType="separate"/>
          </w:r>
          <w:r>
            <w:rPr>
              <w:rStyle w:val="47"/>
              <w:rFonts w:ascii="Arial" w:hAnsi="Arial" w:cs="Arial"/>
              <w:vanish w:val="0"/>
              <w:sz w:val="22"/>
              <w:szCs w:val="22"/>
            </w:rPr>
            <w:tab/>
          </w:r>
          <w:r>
            <w:rPr>
              <w:rStyle w:val="47"/>
              <w:rFonts w:ascii="Arial" w:hAnsi="Arial" w:cs="Arial"/>
              <w:vanish w:val="0"/>
              <w:sz w:val="22"/>
              <w:szCs w:val="22"/>
            </w:rPr>
            <w:t>4</w:t>
          </w:r>
          <w:r>
            <w:fldChar w:fldCharType="end"/>
          </w:r>
          <w:r>
            <w:fldChar w:fldCharType="end"/>
          </w:r>
        </w:p>
        <w:p>
          <w:pPr>
            <w:pStyle w:val="16"/>
            <w:tabs>
              <w:tab w:val="right" w:leader="dot" w:pos="8494"/>
            </w:tabs>
          </w:pPr>
          <w:r>
            <w:fldChar w:fldCharType="begin"/>
          </w:r>
          <w:r>
            <w:instrText xml:space="preserve"> HYPERLINK \l "_Toc141269083" \h </w:instrText>
          </w:r>
          <w:r>
            <w:fldChar w:fldCharType="separate"/>
          </w:r>
          <w:r>
            <w:rPr>
              <w:rStyle w:val="47"/>
              <w:rFonts w:ascii="Arial" w:hAnsi="Arial" w:cs="Arial"/>
              <w:b/>
              <w:bCs/>
              <w:vanish w:val="0"/>
              <w:sz w:val="22"/>
              <w:szCs w:val="22"/>
            </w:rPr>
            <w:t>2.6</w:t>
          </w:r>
          <w:r>
            <w:rPr>
              <w:rStyle w:val="47"/>
              <w:rFonts w:ascii="Arial" w:hAnsi="Arial" w:cs="Arial"/>
              <w:b/>
              <w:sz w:val="22"/>
              <w:szCs w:val="22"/>
            </w:rPr>
            <w:t xml:space="preserve"> Jurisdicción competente</w:t>
          </w:r>
          <w:r>
            <w:fldChar w:fldCharType="begin"/>
          </w:r>
          <w:r>
            <w:instrText xml:space="preserve">PAGEREF _Toc141269083 \h</w:instrText>
          </w:r>
          <w:r>
            <w:fldChar w:fldCharType="separate"/>
          </w:r>
          <w:r>
            <w:rPr>
              <w:rStyle w:val="47"/>
              <w:rFonts w:ascii="Arial" w:hAnsi="Arial" w:cs="Arial"/>
              <w:vanish w:val="0"/>
              <w:sz w:val="22"/>
              <w:szCs w:val="22"/>
            </w:rPr>
            <w:tab/>
          </w:r>
          <w:r>
            <w:rPr>
              <w:rStyle w:val="47"/>
              <w:rFonts w:ascii="Arial" w:hAnsi="Arial" w:cs="Arial"/>
              <w:vanish w:val="0"/>
              <w:sz w:val="22"/>
              <w:szCs w:val="22"/>
            </w:rPr>
            <w:t>5</w:t>
          </w:r>
          <w:r>
            <w:fldChar w:fldCharType="end"/>
          </w:r>
          <w:r>
            <w:fldChar w:fldCharType="end"/>
          </w:r>
        </w:p>
        <w:p>
          <w:pPr>
            <w:pStyle w:val="15"/>
          </w:pPr>
          <w:r>
            <w:fldChar w:fldCharType="begin"/>
          </w:r>
          <w:r>
            <w:instrText xml:space="preserve"> HYPERLINK \l "_Toc141269084" \h </w:instrText>
          </w:r>
          <w:r>
            <w:fldChar w:fldCharType="separate"/>
          </w:r>
          <w:r>
            <w:rPr>
              <w:rStyle w:val="47"/>
              <w:rFonts w:ascii="Arial" w:hAnsi="Arial" w:eastAsia="Calibri" w:cs="Arial"/>
              <w:b/>
              <w:bCs/>
              <w:vanish w:val="0"/>
              <w:sz w:val="22"/>
              <w:szCs w:val="22"/>
              <w:lang w:val="en-GB"/>
            </w:rPr>
            <w:t>3.</w:t>
          </w:r>
          <w:r>
            <w:rPr>
              <w:rStyle w:val="47"/>
              <w:rFonts w:ascii="Arial" w:hAnsi="Arial" w:cs="Arial" w:eastAsiaTheme="minorEastAsia"/>
              <w:caps w:val="0"/>
              <w:smallCaps w:val="0"/>
              <w:sz w:val="22"/>
              <w:szCs w:val="22"/>
              <w:lang w:val="es-ES" w:eastAsia="es-ES"/>
            </w:rPr>
            <w:tab/>
          </w:r>
          <w:r>
            <w:rPr>
              <w:rStyle w:val="47"/>
              <w:rFonts w:ascii="Arial" w:hAnsi="Arial" w:cs="Arial"/>
              <w:b/>
              <w:sz w:val="22"/>
              <w:szCs w:val="22"/>
              <w:lang w:val="en-GB"/>
            </w:rPr>
            <w:t>Publicación del llamado</w:t>
          </w:r>
          <w:r>
            <w:fldChar w:fldCharType="begin"/>
          </w:r>
          <w:r>
            <w:instrText xml:space="preserve">PAGEREF _Toc141269084 \h</w:instrText>
          </w:r>
          <w:r>
            <w:fldChar w:fldCharType="separate"/>
          </w:r>
          <w:r>
            <w:rPr>
              <w:rStyle w:val="47"/>
              <w:rFonts w:ascii="Arial" w:hAnsi="Arial" w:cs="Arial"/>
              <w:vanish w:val="0"/>
              <w:sz w:val="22"/>
              <w:szCs w:val="22"/>
            </w:rPr>
            <w:tab/>
          </w:r>
          <w:r>
            <w:rPr>
              <w:rStyle w:val="47"/>
              <w:rFonts w:ascii="Arial" w:hAnsi="Arial" w:cs="Arial"/>
              <w:vanish w:val="0"/>
              <w:sz w:val="22"/>
              <w:szCs w:val="22"/>
            </w:rPr>
            <w:t>5</w:t>
          </w:r>
          <w:r>
            <w:fldChar w:fldCharType="end"/>
          </w:r>
          <w:r>
            <w:fldChar w:fldCharType="end"/>
          </w:r>
        </w:p>
        <w:p>
          <w:pPr>
            <w:pStyle w:val="15"/>
          </w:pPr>
          <w:r>
            <w:fldChar w:fldCharType="begin"/>
          </w:r>
          <w:r>
            <w:instrText xml:space="preserve"> HYPERLINK \l "_Toc141269085" \h </w:instrText>
          </w:r>
          <w:r>
            <w:fldChar w:fldCharType="separate"/>
          </w:r>
          <w:r>
            <w:rPr>
              <w:rStyle w:val="47"/>
              <w:rFonts w:ascii="Arial" w:hAnsi="Arial" w:eastAsia="Calibri" w:cs="Arial"/>
              <w:b/>
              <w:bCs/>
              <w:vanish w:val="0"/>
              <w:sz w:val="22"/>
              <w:szCs w:val="22"/>
              <w:lang w:val="en-GB"/>
            </w:rPr>
            <w:t>4.</w:t>
          </w:r>
          <w:r>
            <w:rPr>
              <w:rStyle w:val="47"/>
              <w:rFonts w:ascii="Arial" w:hAnsi="Arial" w:cs="Arial" w:eastAsiaTheme="minorEastAsia"/>
              <w:caps w:val="0"/>
              <w:smallCaps w:val="0"/>
              <w:sz w:val="22"/>
              <w:szCs w:val="22"/>
              <w:lang w:val="es-ES" w:eastAsia="es-ES"/>
            </w:rPr>
            <w:tab/>
          </w:r>
          <w:r>
            <w:rPr>
              <w:rStyle w:val="47"/>
              <w:rFonts w:ascii="Arial" w:hAnsi="Arial" w:cs="Arial"/>
              <w:b/>
              <w:sz w:val="22"/>
              <w:szCs w:val="22"/>
              <w:lang w:val="en-GB"/>
            </w:rPr>
            <w:t>Aclaraciones de los Pliegos</w:t>
          </w:r>
          <w:r>
            <w:fldChar w:fldCharType="begin"/>
          </w:r>
          <w:r>
            <w:instrText xml:space="preserve">PAGEREF _Toc141269085 \h</w:instrText>
          </w:r>
          <w:r>
            <w:fldChar w:fldCharType="separate"/>
          </w:r>
          <w:r>
            <w:rPr>
              <w:rStyle w:val="47"/>
              <w:rFonts w:ascii="Arial" w:hAnsi="Arial" w:cs="Arial"/>
              <w:vanish w:val="0"/>
              <w:sz w:val="22"/>
              <w:szCs w:val="22"/>
            </w:rPr>
            <w:tab/>
          </w:r>
          <w:r>
            <w:rPr>
              <w:rStyle w:val="47"/>
              <w:rFonts w:ascii="Arial" w:hAnsi="Arial" w:cs="Arial"/>
              <w:vanish w:val="0"/>
              <w:sz w:val="22"/>
              <w:szCs w:val="22"/>
            </w:rPr>
            <w:t>6</w:t>
          </w:r>
          <w:r>
            <w:fldChar w:fldCharType="end"/>
          </w:r>
          <w:r>
            <w:fldChar w:fldCharType="end"/>
          </w:r>
        </w:p>
        <w:p>
          <w:pPr>
            <w:pStyle w:val="15"/>
          </w:pPr>
          <w:r>
            <w:fldChar w:fldCharType="begin"/>
          </w:r>
          <w:r>
            <w:instrText xml:space="preserve"> HYPERLINK \l "_Toc141269086" \h </w:instrText>
          </w:r>
          <w:r>
            <w:fldChar w:fldCharType="separate"/>
          </w:r>
          <w:r>
            <w:rPr>
              <w:rStyle w:val="47"/>
              <w:rFonts w:ascii="Arial" w:hAnsi="Arial" w:eastAsia="Calibri" w:cs="Arial"/>
              <w:b/>
              <w:bCs/>
              <w:vanish w:val="0"/>
              <w:sz w:val="22"/>
              <w:szCs w:val="22"/>
              <w:lang w:val="en-GB"/>
            </w:rPr>
            <w:t>5.</w:t>
          </w:r>
          <w:r>
            <w:rPr>
              <w:rStyle w:val="47"/>
              <w:rFonts w:ascii="Arial" w:hAnsi="Arial" w:cs="Arial" w:eastAsiaTheme="minorEastAsia"/>
              <w:caps w:val="0"/>
              <w:smallCaps w:val="0"/>
              <w:sz w:val="22"/>
              <w:szCs w:val="22"/>
              <w:lang w:val="es-ES" w:eastAsia="es-ES"/>
            </w:rPr>
            <w:tab/>
          </w:r>
          <w:r>
            <w:rPr>
              <w:rStyle w:val="47"/>
              <w:rFonts w:ascii="Arial" w:hAnsi="Arial" w:cs="Arial"/>
              <w:b/>
              <w:sz w:val="22"/>
              <w:szCs w:val="22"/>
              <w:lang w:val="en-GB"/>
            </w:rPr>
            <w:t>Modificación del Pliego Particular</w:t>
          </w:r>
          <w:r>
            <w:fldChar w:fldCharType="begin"/>
          </w:r>
          <w:r>
            <w:instrText xml:space="preserve">PAGEREF _Toc141269086 \h</w:instrText>
          </w:r>
          <w:r>
            <w:fldChar w:fldCharType="separate"/>
          </w:r>
          <w:r>
            <w:rPr>
              <w:rStyle w:val="47"/>
              <w:rFonts w:ascii="Arial" w:hAnsi="Arial" w:cs="Arial"/>
              <w:vanish w:val="0"/>
              <w:sz w:val="22"/>
              <w:szCs w:val="22"/>
            </w:rPr>
            <w:tab/>
          </w:r>
          <w:r>
            <w:rPr>
              <w:rStyle w:val="47"/>
              <w:rFonts w:ascii="Arial" w:hAnsi="Arial" w:cs="Arial"/>
              <w:vanish w:val="0"/>
              <w:sz w:val="22"/>
              <w:szCs w:val="22"/>
            </w:rPr>
            <w:t>6</w:t>
          </w:r>
          <w:r>
            <w:fldChar w:fldCharType="end"/>
          </w:r>
          <w:r>
            <w:fldChar w:fldCharType="end"/>
          </w:r>
        </w:p>
        <w:p>
          <w:pPr>
            <w:pStyle w:val="15"/>
          </w:pPr>
          <w:r>
            <w:fldChar w:fldCharType="begin"/>
          </w:r>
          <w:r>
            <w:instrText xml:space="preserve"> HYPERLINK \l "_Toc141269087" \h </w:instrText>
          </w:r>
          <w:r>
            <w:fldChar w:fldCharType="separate"/>
          </w:r>
          <w:r>
            <w:rPr>
              <w:rStyle w:val="47"/>
              <w:rFonts w:ascii="Arial" w:hAnsi="Arial" w:eastAsia="Calibri" w:cs="Arial"/>
              <w:b/>
              <w:bCs/>
              <w:vanish w:val="0"/>
              <w:sz w:val="22"/>
              <w:szCs w:val="22"/>
            </w:rPr>
            <w:t>6.</w:t>
          </w:r>
          <w:r>
            <w:rPr>
              <w:rStyle w:val="47"/>
              <w:rFonts w:ascii="Arial" w:hAnsi="Arial" w:cs="Arial" w:eastAsiaTheme="minorEastAsia"/>
              <w:caps w:val="0"/>
              <w:smallCaps w:val="0"/>
              <w:sz w:val="22"/>
              <w:szCs w:val="22"/>
              <w:lang w:val="es-ES" w:eastAsia="es-ES"/>
            </w:rPr>
            <w:tab/>
          </w:r>
          <w:r>
            <w:rPr>
              <w:rStyle w:val="47"/>
              <w:rFonts w:ascii="Arial" w:hAnsi="Arial" w:cs="Arial"/>
              <w:b/>
              <w:sz w:val="22"/>
              <w:szCs w:val="22"/>
            </w:rPr>
            <w:t>Solicitud de prórroga de apertura de ofertas</w:t>
          </w:r>
          <w:r>
            <w:fldChar w:fldCharType="begin"/>
          </w:r>
          <w:r>
            <w:instrText xml:space="preserve">PAGEREF _Toc141269087 \h</w:instrText>
          </w:r>
          <w:r>
            <w:fldChar w:fldCharType="separate"/>
          </w:r>
          <w:r>
            <w:rPr>
              <w:rStyle w:val="47"/>
              <w:rFonts w:ascii="Arial" w:hAnsi="Arial" w:cs="Arial"/>
              <w:vanish w:val="0"/>
              <w:sz w:val="22"/>
              <w:szCs w:val="22"/>
            </w:rPr>
            <w:tab/>
          </w:r>
          <w:r>
            <w:rPr>
              <w:rStyle w:val="47"/>
              <w:rFonts w:ascii="Arial" w:hAnsi="Arial" w:cs="Arial"/>
              <w:vanish w:val="0"/>
              <w:sz w:val="22"/>
              <w:szCs w:val="22"/>
            </w:rPr>
            <w:t>7</w:t>
          </w:r>
          <w:r>
            <w:fldChar w:fldCharType="end"/>
          </w:r>
          <w:r>
            <w:fldChar w:fldCharType="end"/>
          </w:r>
        </w:p>
        <w:p>
          <w:pPr>
            <w:pStyle w:val="15"/>
          </w:pPr>
          <w:r>
            <w:fldChar w:fldCharType="begin"/>
          </w:r>
          <w:r>
            <w:instrText xml:space="preserve"> HYPERLINK \l "_Toc141269088" \h </w:instrText>
          </w:r>
          <w:r>
            <w:fldChar w:fldCharType="separate"/>
          </w:r>
          <w:r>
            <w:rPr>
              <w:rStyle w:val="47"/>
              <w:rFonts w:ascii="Arial" w:hAnsi="Arial" w:eastAsia="Calibri" w:cs="Arial"/>
              <w:b/>
              <w:bCs/>
              <w:vanish w:val="0"/>
              <w:sz w:val="22"/>
              <w:szCs w:val="22"/>
              <w:lang w:val="en-GB"/>
            </w:rPr>
            <w:t>7.</w:t>
          </w:r>
          <w:r>
            <w:rPr>
              <w:rStyle w:val="47"/>
              <w:rFonts w:ascii="Arial" w:hAnsi="Arial" w:cs="Arial" w:eastAsiaTheme="minorEastAsia"/>
              <w:caps w:val="0"/>
              <w:smallCaps w:val="0"/>
              <w:sz w:val="22"/>
              <w:szCs w:val="22"/>
              <w:lang w:val="es-ES" w:eastAsia="es-ES"/>
            </w:rPr>
            <w:tab/>
          </w:r>
          <w:r>
            <w:rPr>
              <w:rStyle w:val="47"/>
              <w:rFonts w:ascii="Arial" w:hAnsi="Arial" w:cs="Arial"/>
              <w:b/>
              <w:sz w:val="22"/>
              <w:szCs w:val="22"/>
              <w:lang w:val="en-GB"/>
            </w:rPr>
            <w:t>Reserva de la Administración</w:t>
          </w:r>
          <w:r>
            <w:fldChar w:fldCharType="begin"/>
          </w:r>
          <w:r>
            <w:instrText xml:space="preserve">PAGEREF _Toc141269088 \h</w:instrText>
          </w:r>
          <w:r>
            <w:fldChar w:fldCharType="separate"/>
          </w:r>
          <w:r>
            <w:rPr>
              <w:rStyle w:val="47"/>
              <w:rFonts w:ascii="Arial" w:hAnsi="Arial" w:cs="Arial"/>
              <w:vanish w:val="0"/>
              <w:sz w:val="22"/>
              <w:szCs w:val="22"/>
            </w:rPr>
            <w:tab/>
          </w:r>
          <w:r>
            <w:rPr>
              <w:rStyle w:val="47"/>
              <w:rFonts w:ascii="Arial" w:hAnsi="Arial" w:cs="Arial"/>
              <w:vanish w:val="0"/>
              <w:sz w:val="22"/>
              <w:szCs w:val="22"/>
            </w:rPr>
            <w:t>7</w:t>
          </w:r>
          <w:r>
            <w:fldChar w:fldCharType="end"/>
          </w:r>
          <w:r>
            <w:fldChar w:fldCharType="end"/>
          </w:r>
        </w:p>
        <w:p>
          <w:pPr>
            <w:pStyle w:val="15"/>
          </w:pPr>
          <w:r>
            <w:fldChar w:fldCharType="begin"/>
          </w:r>
          <w:r>
            <w:instrText xml:space="preserve"> HYPERLINK \l "_Toc141269089" \h </w:instrText>
          </w:r>
          <w:r>
            <w:fldChar w:fldCharType="separate"/>
          </w:r>
          <w:r>
            <w:rPr>
              <w:rStyle w:val="47"/>
              <w:rFonts w:ascii="Arial" w:hAnsi="Arial" w:eastAsia="Calibri" w:cs="Arial"/>
              <w:b/>
              <w:bCs/>
              <w:vanish w:val="0"/>
              <w:sz w:val="22"/>
              <w:szCs w:val="22"/>
              <w:lang w:val="en-GB"/>
            </w:rPr>
            <w:t>8.</w:t>
          </w:r>
          <w:r>
            <w:rPr>
              <w:rStyle w:val="47"/>
              <w:rFonts w:ascii="Arial" w:hAnsi="Arial" w:cs="Arial" w:eastAsiaTheme="minorEastAsia"/>
              <w:caps w:val="0"/>
              <w:smallCaps w:val="0"/>
              <w:sz w:val="22"/>
              <w:szCs w:val="22"/>
              <w:lang w:val="es-ES" w:eastAsia="es-ES"/>
            </w:rPr>
            <w:tab/>
          </w:r>
          <w:r>
            <w:rPr>
              <w:rStyle w:val="47"/>
              <w:rFonts w:ascii="Arial" w:hAnsi="Arial" w:cs="Arial"/>
              <w:b/>
              <w:bCs/>
              <w:sz w:val="22"/>
              <w:szCs w:val="22"/>
              <w:lang w:val="en-GB"/>
            </w:rPr>
            <w:t>Normalización</w:t>
          </w:r>
          <w:r>
            <w:fldChar w:fldCharType="begin"/>
          </w:r>
          <w:r>
            <w:instrText xml:space="preserve">PAGEREF _Toc141269089 \h</w:instrText>
          </w:r>
          <w:r>
            <w:fldChar w:fldCharType="separate"/>
          </w:r>
          <w:r>
            <w:rPr>
              <w:rStyle w:val="47"/>
              <w:rFonts w:ascii="Arial" w:hAnsi="Arial" w:cs="Arial"/>
              <w:vanish w:val="0"/>
              <w:sz w:val="22"/>
              <w:szCs w:val="22"/>
            </w:rPr>
            <w:tab/>
          </w:r>
          <w:r>
            <w:rPr>
              <w:rStyle w:val="47"/>
              <w:rFonts w:ascii="Arial" w:hAnsi="Arial" w:cs="Arial"/>
              <w:vanish w:val="0"/>
              <w:sz w:val="22"/>
              <w:szCs w:val="22"/>
            </w:rPr>
            <w:t>8</w:t>
          </w:r>
          <w:r>
            <w:fldChar w:fldCharType="end"/>
          </w:r>
          <w:r>
            <w:fldChar w:fldCharType="end"/>
          </w:r>
        </w:p>
        <w:p>
          <w:pPr>
            <w:pStyle w:val="15"/>
          </w:pPr>
          <w:r>
            <w:fldChar w:fldCharType="begin"/>
          </w:r>
          <w:r>
            <w:instrText xml:space="preserve"> HYPERLINK \l "_Toc141269090" \h </w:instrText>
          </w:r>
          <w:r>
            <w:fldChar w:fldCharType="separate"/>
          </w:r>
          <w:r>
            <w:rPr>
              <w:rStyle w:val="47"/>
              <w:rFonts w:ascii="Arial" w:hAnsi="Arial" w:eastAsia="Calibri" w:cs="Arial"/>
              <w:b/>
              <w:bCs/>
              <w:vanish w:val="0"/>
              <w:sz w:val="22"/>
              <w:szCs w:val="22"/>
              <w:lang w:val="en-GB"/>
            </w:rPr>
            <w:t>9.</w:t>
          </w:r>
          <w:r>
            <w:rPr>
              <w:rStyle w:val="47"/>
              <w:rFonts w:ascii="Arial" w:hAnsi="Arial" w:cs="Arial" w:eastAsiaTheme="minorEastAsia"/>
              <w:caps w:val="0"/>
              <w:smallCaps w:val="0"/>
              <w:sz w:val="22"/>
              <w:szCs w:val="22"/>
              <w:lang w:val="es-ES" w:eastAsia="es-ES"/>
            </w:rPr>
            <w:tab/>
          </w:r>
          <w:r>
            <w:rPr>
              <w:rStyle w:val="47"/>
              <w:rFonts w:ascii="Arial" w:hAnsi="Arial" w:cs="Arial"/>
              <w:b/>
              <w:sz w:val="22"/>
              <w:szCs w:val="22"/>
              <w:lang w:val="en-GB"/>
            </w:rPr>
            <w:t>Requisitos Formales de las Ofertas</w:t>
          </w:r>
          <w:r>
            <w:fldChar w:fldCharType="begin"/>
          </w:r>
          <w:r>
            <w:instrText xml:space="preserve">PAGEREF _Toc141269090 \h</w:instrText>
          </w:r>
          <w:r>
            <w:fldChar w:fldCharType="separate"/>
          </w:r>
          <w:r>
            <w:rPr>
              <w:rStyle w:val="47"/>
              <w:rFonts w:ascii="Arial" w:hAnsi="Arial" w:cs="Arial"/>
              <w:vanish w:val="0"/>
              <w:sz w:val="22"/>
              <w:szCs w:val="22"/>
            </w:rPr>
            <w:tab/>
          </w:r>
          <w:r>
            <w:rPr>
              <w:rStyle w:val="47"/>
              <w:rFonts w:ascii="Arial" w:hAnsi="Arial" w:cs="Arial"/>
              <w:vanish w:val="0"/>
              <w:sz w:val="22"/>
              <w:szCs w:val="22"/>
            </w:rPr>
            <w:t>8</w:t>
          </w:r>
          <w:r>
            <w:fldChar w:fldCharType="end"/>
          </w:r>
          <w:r>
            <w:fldChar w:fldCharType="end"/>
          </w:r>
        </w:p>
        <w:p>
          <w:pPr>
            <w:pStyle w:val="16"/>
            <w:tabs>
              <w:tab w:val="right" w:leader="dot" w:pos="8494"/>
            </w:tabs>
          </w:pPr>
          <w:r>
            <w:fldChar w:fldCharType="begin"/>
          </w:r>
          <w:r>
            <w:instrText xml:space="preserve"> HYPERLINK \l "_Toc141269091" \h </w:instrText>
          </w:r>
          <w:r>
            <w:fldChar w:fldCharType="separate"/>
          </w:r>
          <w:r>
            <w:rPr>
              <w:rStyle w:val="47"/>
              <w:rFonts w:ascii="Arial" w:hAnsi="Arial" w:cs="Arial"/>
              <w:b/>
              <w:bCs/>
              <w:vanish w:val="0"/>
              <w:sz w:val="22"/>
              <w:szCs w:val="22"/>
              <w:lang w:val="en-GB"/>
            </w:rPr>
            <w:t>9.1 Redacción</w:t>
          </w:r>
          <w:r>
            <w:fldChar w:fldCharType="begin"/>
          </w:r>
          <w:r>
            <w:instrText xml:space="preserve">PAGEREF _Toc141269091 \h</w:instrText>
          </w:r>
          <w:r>
            <w:fldChar w:fldCharType="separate"/>
          </w:r>
          <w:r>
            <w:rPr>
              <w:rStyle w:val="47"/>
              <w:rFonts w:ascii="Arial" w:hAnsi="Arial" w:cs="Arial"/>
              <w:vanish w:val="0"/>
              <w:sz w:val="22"/>
              <w:szCs w:val="22"/>
            </w:rPr>
            <w:tab/>
          </w:r>
          <w:r>
            <w:rPr>
              <w:rStyle w:val="47"/>
              <w:rFonts w:ascii="Arial" w:hAnsi="Arial" w:cs="Arial"/>
              <w:vanish w:val="0"/>
              <w:sz w:val="22"/>
              <w:szCs w:val="22"/>
            </w:rPr>
            <w:t>8</w:t>
          </w:r>
          <w:r>
            <w:fldChar w:fldCharType="end"/>
          </w:r>
          <w:r>
            <w:fldChar w:fldCharType="end"/>
          </w:r>
        </w:p>
        <w:p>
          <w:pPr>
            <w:pStyle w:val="15"/>
          </w:pPr>
          <w:r>
            <w:fldChar w:fldCharType="begin"/>
          </w:r>
          <w:r>
            <w:instrText xml:space="preserve"> HYPERLINK \l "_Toc141269092" \h </w:instrText>
          </w:r>
          <w:r>
            <w:fldChar w:fldCharType="separate"/>
          </w:r>
          <w:r>
            <w:rPr>
              <w:rStyle w:val="47"/>
              <w:rFonts w:ascii="Arial" w:hAnsi="Arial" w:eastAsia="Calibri" w:cs="Arial"/>
              <w:b/>
              <w:bCs/>
              <w:vanish w:val="0"/>
              <w:sz w:val="22"/>
              <w:szCs w:val="22"/>
            </w:rPr>
            <w:t>10.</w:t>
          </w:r>
          <w:r>
            <w:rPr>
              <w:rStyle w:val="47"/>
              <w:rFonts w:ascii="Arial" w:hAnsi="Arial" w:cs="Arial" w:eastAsiaTheme="minorEastAsia"/>
              <w:caps w:val="0"/>
              <w:smallCaps w:val="0"/>
              <w:sz w:val="22"/>
              <w:szCs w:val="22"/>
              <w:lang w:val="es-ES" w:eastAsia="es-ES"/>
            </w:rPr>
            <w:tab/>
          </w:r>
          <w:r>
            <w:rPr>
              <w:rStyle w:val="47"/>
              <w:rFonts w:ascii="Arial" w:hAnsi="Arial" w:cs="Arial"/>
              <w:b/>
              <w:sz w:val="22"/>
              <w:szCs w:val="22"/>
            </w:rPr>
            <w:t>Requisitos para la presentación de las ofertas</w:t>
          </w:r>
          <w:r>
            <w:fldChar w:fldCharType="begin"/>
          </w:r>
          <w:r>
            <w:instrText xml:space="preserve">PAGEREF _Toc141269092 \h</w:instrText>
          </w:r>
          <w:r>
            <w:fldChar w:fldCharType="separate"/>
          </w:r>
          <w:r>
            <w:rPr>
              <w:rStyle w:val="47"/>
              <w:rFonts w:ascii="Arial" w:hAnsi="Arial" w:cs="Arial"/>
              <w:vanish w:val="0"/>
              <w:sz w:val="22"/>
              <w:szCs w:val="22"/>
            </w:rPr>
            <w:tab/>
          </w:r>
          <w:r>
            <w:rPr>
              <w:rStyle w:val="47"/>
              <w:rFonts w:ascii="Arial" w:hAnsi="Arial" w:cs="Arial"/>
              <w:vanish w:val="0"/>
              <w:sz w:val="22"/>
              <w:szCs w:val="22"/>
            </w:rPr>
            <w:t>9</w:t>
          </w:r>
          <w:r>
            <w:fldChar w:fldCharType="end"/>
          </w:r>
          <w:r>
            <w:fldChar w:fldCharType="end"/>
          </w:r>
        </w:p>
        <w:p>
          <w:pPr>
            <w:pStyle w:val="15"/>
          </w:pPr>
          <w:r>
            <w:fldChar w:fldCharType="begin"/>
          </w:r>
          <w:r>
            <w:instrText xml:space="preserve"> HYPERLINK \l "_Toc141269093" \h </w:instrText>
          </w:r>
          <w:r>
            <w:fldChar w:fldCharType="separate"/>
          </w:r>
          <w:r>
            <w:rPr>
              <w:rStyle w:val="47"/>
              <w:rFonts w:ascii="Arial" w:hAnsi="Arial" w:eastAsia="Calibri" w:cs="Arial"/>
              <w:b/>
              <w:bCs/>
              <w:vanish w:val="0"/>
              <w:sz w:val="22"/>
              <w:szCs w:val="22"/>
              <w:lang w:val="en-GB"/>
            </w:rPr>
            <w:t>11.</w:t>
          </w:r>
          <w:r>
            <w:rPr>
              <w:rStyle w:val="47"/>
              <w:rFonts w:ascii="Arial" w:hAnsi="Arial" w:cs="Arial" w:eastAsiaTheme="minorEastAsia"/>
              <w:caps w:val="0"/>
              <w:smallCaps w:val="0"/>
              <w:sz w:val="22"/>
              <w:szCs w:val="22"/>
              <w:lang w:val="es-ES" w:eastAsia="es-ES"/>
            </w:rPr>
            <w:tab/>
          </w:r>
          <w:r>
            <w:rPr>
              <w:rStyle w:val="47"/>
              <w:rFonts w:ascii="Arial" w:hAnsi="Arial" w:cs="Arial"/>
              <w:b/>
              <w:sz w:val="22"/>
              <w:szCs w:val="22"/>
              <w:lang w:val="en-GB"/>
            </w:rPr>
            <w:t>Validez de las ofertas</w:t>
          </w:r>
          <w:r>
            <w:fldChar w:fldCharType="begin"/>
          </w:r>
          <w:r>
            <w:instrText xml:space="preserve">PAGEREF _Toc141269093 \h</w:instrText>
          </w:r>
          <w:r>
            <w:fldChar w:fldCharType="separate"/>
          </w:r>
          <w:r>
            <w:rPr>
              <w:rStyle w:val="47"/>
              <w:rFonts w:ascii="Arial" w:hAnsi="Arial" w:cs="Arial"/>
              <w:vanish w:val="0"/>
              <w:sz w:val="22"/>
              <w:szCs w:val="22"/>
            </w:rPr>
            <w:tab/>
          </w:r>
          <w:r>
            <w:rPr>
              <w:rStyle w:val="47"/>
              <w:rFonts w:ascii="Arial" w:hAnsi="Arial" w:cs="Arial"/>
              <w:vanish w:val="0"/>
              <w:sz w:val="22"/>
              <w:szCs w:val="22"/>
            </w:rPr>
            <w:t>12</w:t>
          </w:r>
          <w:r>
            <w:fldChar w:fldCharType="end"/>
          </w:r>
          <w:r>
            <w:fldChar w:fldCharType="end"/>
          </w:r>
        </w:p>
        <w:p>
          <w:pPr>
            <w:pStyle w:val="15"/>
          </w:pPr>
          <w:r>
            <w:fldChar w:fldCharType="begin"/>
          </w:r>
          <w:r>
            <w:instrText xml:space="preserve"> HYPERLINK \l "_Toc141269094" \h </w:instrText>
          </w:r>
          <w:r>
            <w:fldChar w:fldCharType="separate"/>
          </w:r>
          <w:r>
            <w:rPr>
              <w:rStyle w:val="47"/>
              <w:rFonts w:ascii="Arial" w:hAnsi="Arial" w:cs="Arial"/>
              <w:b/>
              <w:bCs/>
              <w:vanish w:val="0"/>
              <w:sz w:val="22"/>
              <w:szCs w:val="22"/>
            </w:rPr>
            <w:t>1. INTRODUCCIÓN</w:t>
          </w:r>
          <w:r>
            <w:fldChar w:fldCharType="begin"/>
          </w:r>
          <w:r>
            <w:instrText xml:space="preserve">PAGEREF _Toc141269094 \h</w:instrText>
          </w:r>
          <w:r>
            <w:fldChar w:fldCharType="separate"/>
          </w:r>
          <w:r>
            <w:rPr>
              <w:rStyle w:val="47"/>
              <w:rFonts w:ascii="Arial" w:hAnsi="Arial" w:cs="Arial"/>
              <w:vanish w:val="0"/>
              <w:sz w:val="22"/>
              <w:szCs w:val="22"/>
            </w:rPr>
            <w:tab/>
          </w:r>
          <w:r>
            <w:rPr>
              <w:rStyle w:val="47"/>
              <w:rFonts w:ascii="Arial" w:hAnsi="Arial" w:cs="Arial"/>
              <w:vanish w:val="0"/>
              <w:sz w:val="22"/>
              <w:szCs w:val="22"/>
            </w:rPr>
            <w:t>179</w:t>
          </w:r>
          <w:r>
            <w:fldChar w:fldCharType="end"/>
          </w:r>
          <w:r>
            <w:fldChar w:fldCharType="end"/>
          </w:r>
        </w:p>
        <w:p>
          <w:pPr>
            <w:pStyle w:val="16"/>
            <w:tabs>
              <w:tab w:val="right" w:leader="dot" w:pos="8494"/>
            </w:tabs>
          </w:pPr>
          <w:r>
            <w:fldChar w:fldCharType="begin"/>
          </w:r>
          <w:r>
            <w:instrText xml:space="preserve"> HYPERLINK \l "_Toc141269095" \h </w:instrText>
          </w:r>
          <w:r>
            <w:fldChar w:fldCharType="separate"/>
          </w:r>
          <w:r>
            <w:rPr>
              <w:rStyle w:val="47"/>
              <w:rFonts w:ascii="Arial" w:hAnsi="Arial" w:cs="Arial"/>
              <w:b/>
              <w:bCs/>
              <w:vanish w:val="0"/>
              <w:sz w:val="22"/>
              <w:szCs w:val="22"/>
              <w:lang w:val="es-ES"/>
            </w:rPr>
            <w:t>1.1 CONTRA INDICACIONES</w:t>
          </w:r>
          <w:r>
            <w:fldChar w:fldCharType="begin"/>
          </w:r>
          <w:r>
            <w:instrText xml:space="preserve">PAGEREF _Toc141269095 \h</w:instrText>
          </w:r>
          <w:r>
            <w:fldChar w:fldCharType="separate"/>
          </w:r>
          <w:r>
            <w:rPr>
              <w:rStyle w:val="47"/>
              <w:rFonts w:ascii="Arial" w:hAnsi="Arial" w:cs="Arial"/>
              <w:vanish w:val="0"/>
              <w:sz w:val="22"/>
              <w:szCs w:val="22"/>
            </w:rPr>
            <w:tab/>
          </w:r>
          <w:r>
            <w:rPr>
              <w:rStyle w:val="47"/>
              <w:rFonts w:ascii="Arial" w:hAnsi="Arial" w:cs="Arial"/>
              <w:vanish w:val="0"/>
              <w:sz w:val="22"/>
              <w:szCs w:val="22"/>
            </w:rPr>
            <w:t>179</w:t>
          </w:r>
          <w:r>
            <w:fldChar w:fldCharType="end"/>
          </w:r>
          <w:r>
            <w:fldChar w:fldCharType="end"/>
          </w:r>
        </w:p>
        <w:p>
          <w:pPr>
            <w:pStyle w:val="16"/>
            <w:tabs>
              <w:tab w:val="right" w:leader="dot" w:pos="8494"/>
            </w:tabs>
          </w:pPr>
          <w:r>
            <w:fldChar w:fldCharType="begin"/>
          </w:r>
          <w:r>
            <w:instrText xml:space="preserve"> HYPERLINK \l "_Toc141269096" \h </w:instrText>
          </w:r>
          <w:r>
            <w:fldChar w:fldCharType="separate"/>
          </w:r>
          <w:r>
            <w:rPr>
              <w:rStyle w:val="47"/>
              <w:rFonts w:ascii="Arial" w:hAnsi="Arial" w:cs="Arial"/>
              <w:b/>
              <w:bCs/>
              <w:vanish w:val="0"/>
              <w:sz w:val="22"/>
              <w:szCs w:val="22"/>
              <w:lang w:val="es-ES"/>
            </w:rPr>
            <w:t>1.2 MODIFICACIONES DE OBRA.</w:t>
          </w:r>
          <w:r>
            <w:fldChar w:fldCharType="begin"/>
          </w:r>
          <w:r>
            <w:instrText xml:space="preserve">PAGEREF _Toc141269096 \h</w:instrText>
          </w:r>
          <w:r>
            <w:fldChar w:fldCharType="separate"/>
          </w:r>
          <w:r>
            <w:rPr>
              <w:rStyle w:val="47"/>
              <w:rFonts w:ascii="Arial" w:hAnsi="Arial" w:cs="Arial"/>
              <w:vanish w:val="0"/>
              <w:sz w:val="22"/>
              <w:szCs w:val="22"/>
            </w:rPr>
            <w:tab/>
          </w:r>
          <w:r>
            <w:rPr>
              <w:rStyle w:val="47"/>
              <w:rFonts w:ascii="Arial" w:hAnsi="Arial" w:cs="Arial"/>
              <w:vanish w:val="0"/>
              <w:sz w:val="22"/>
              <w:szCs w:val="22"/>
            </w:rPr>
            <w:t>179</w:t>
          </w:r>
          <w:r>
            <w:fldChar w:fldCharType="end"/>
          </w:r>
          <w:r>
            <w:fldChar w:fldCharType="end"/>
          </w:r>
        </w:p>
        <w:p>
          <w:pPr>
            <w:pStyle w:val="16"/>
            <w:tabs>
              <w:tab w:val="right" w:leader="dot" w:pos="8494"/>
            </w:tabs>
          </w:pPr>
          <w:r>
            <w:fldChar w:fldCharType="begin"/>
          </w:r>
          <w:r>
            <w:instrText xml:space="preserve"> HYPERLINK \l "_Toc141269097" \h </w:instrText>
          </w:r>
          <w:r>
            <w:fldChar w:fldCharType="separate"/>
          </w:r>
          <w:r>
            <w:rPr>
              <w:rStyle w:val="47"/>
              <w:rFonts w:ascii="Arial" w:hAnsi="Arial" w:cs="Arial"/>
              <w:b/>
              <w:bCs/>
              <w:vanish w:val="0"/>
              <w:sz w:val="22"/>
              <w:szCs w:val="22"/>
            </w:rPr>
            <w:t>1.3 COMPOSICIÓN DE LAS INSTALACIONES</w:t>
          </w:r>
          <w:r>
            <w:fldChar w:fldCharType="begin"/>
          </w:r>
          <w:r>
            <w:instrText xml:space="preserve">PAGEREF _Toc141269097 \h</w:instrText>
          </w:r>
          <w:r>
            <w:fldChar w:fldCharType="separate"/>
          </w:r>
          <w:r>
            <w:rPr>
              <w:rStyle w:val="47"/>
              <w:rFonts w:ascii="Arial" w:hAnsi="Arial" w:cs="Arial"/>
              <w:vanish w:val="0"/>
              <w:sz w:val="22"/>
              <w:szCs w:val="22"/>
            </w:rPr>
            <w:tab/>
          </w:r>
          <w:r>
            <w:rPr>
              <w:rStyle w:val="47"/>
              <w:rFonts w:ascii="Arial" w:hAnsi="Arial" w:cs="Arial"/>
              <w:vanish w:val="0"/>
              <w:sz w:val="22"/>
              <w:szCs w:val="22"/>
            </w:rPr>
            <w:t>180</w:t>
          </w:r>
          <w:r>
            <w:fldChar w:fldCharType="end"/>
          </w:r>
          <w:r>
            <w:fldChar w:fldCharType="end"/>
          </w:r>
        </w:p>
        <w:p>
          <w:pPr>
            <w:pStyle w:val="16"/>
            <w:tabs>
              <w:tab w:val="right" w:leader="dot" w:pos="8494"/>
            </w:tabs>
          </w:pPr>
          <w:r>
            <w:fldChar w:fldCharType="begin"/>
          </w:r>
          <w:r>
            <w:instrText xml:space="preserve"> HYPERLINK \l "_Toc141269098" \h </w:instrText>
          </w:r>
          <w:r>
            <w:fldChar w:fldCharType="separate"/>
          </w:r>
          <w:r>
            <w:rPr>
              <w:rStyle w:val="47"/>
              <w:rFonts w:ascii="Arial" w:hAnsi="Arial" w:cs="Arial"/>
              <w:b/>
              <w:bCs/>
              <w:vanish w:val="0"/>
              <w:sz w:val="22"/>
              <w:szCs w:val="22"/>
              <w:lang w:val="es-ES"/>
            </w:rPr>
            <w:t>1.4 MATERIALES</w:t>
          </w:r>
          <w:r>
            <w:fldChar w:fldCharType="begin"/>
          </w:r>
          <w:r>
            <w:instrText xml:space="preserve">PAGEREF _Toc141269098 \h</w:instrText>
          </w:r>
          <w:r>
            <w:fldChar w:fldCharType="separate"/>
          </w:r>
          <w:r>
            <w:rPr>
              <w:rStyle w:val="47"/>
              <w:rFonts w:ascii="Arial" w:hAnsi="Arial" w:cs="Arial"/>
              <w:vanish w:val="0"/>
              <w:sz w:val="22"/>
              <w:szCs w:val="22"/>
            </w:rPr>
            <w:tab/>
          </w:r>
          <w:r>
            <w:rPr>
              <w:rStyle w:val="47"/>
              <w:rFonts w:ascii="Arial" w:hAnsi="Arial" w:cs="Arial"/>
              <w:vanish w:val="0"/>
              <w:sz w:val="22"/>
              <w:szCs w:val="22"/>
            </w:rPr>
            <w:t>180</w:t>
          </w:r>
          <w:r>
            <w:fldChar w:fldCharType="end"/>
          </w:r>
          <w:r>
            <w:fldChar w:fldCharType="end"/>
          </w:r>
        </w:p>
        <w:p>
          <w:pPr>
            <w:pStyle w:val="16"/>
            <w:tabs>
              <w:tab w:val="right" w:leader="dot" w:pos="8494"/>
            </w:tabs>
          </w:pPr>
          <w:r>
            <w:fldChar w:fldCharType="begin"/>
          </w:r>
          <w:r>
            <w:instrText xml:space="preserve"> HYPERLINK \l "_Toc141269099" \h </w:instrText>
          </w:r>
          <w:r>
            <w:fldChar w:fldCharType="separate"/>
          </w:r>
          <w:r>
            <w:rPr>
              <w:rStyle w:val="47"/>
              <w:rFonts w:ascii="Arial" w:hAnsi="Arial" w:cs="Arial"/>
              <w:b/>
              <w:bCs/>
              <w:vanish w:val="0"/>
              <w:sz w:val="22"/>
              <w:szCs w:val="22"/>
              <w:lang w:val="es-ES"/>
            </w:rPr>
            <w:t>1.5 INSPECCIONES</w:t>
          </w:r>
          <w:r>
            <w:fldChar w:fldCharType="begin"/>
          </w:r>
          <w:r>
            <w:instrText xml:space="preserve">PAGEREF _Toc141269099 \h</w:instrText>
          </w:r>
          <w:r>
            <w:fldChar w:fldCharType="separate"/>
          </w:r>
          <w:r>
            <w:rPr>
              <w:rStyle w:val="47"/>
              <w:rFonts w:ascii="Arial" w:hAnsi="Arial" w:cs="Arial"/>
              <w:vanish w:val="0"/>
              <w:sz w:val="22"/>
              <w:szCs w:val="22"/>
            </w:rPr>
            <w:tab/>
          </w:r>
          <w:r>
            <w:rPr>
              <w:rStyle w:val="47"/>
              <w:rFonts w:ascii="Arial" w:hAnsi="Arial" w:cs="Arial"/>
              <w:vanish w:val="0"/>
              <w:sz w:val="22"/>
              <w:szCs w:val="22"/>
            </w:rPr>
            <w:t>181</w:t>
          </w:r>
          <w:r>
            <w:fldChar w:fldCharType="end"/>
          </w:r>
          <w:r>
            <w:fldChar w:fldCharType="end"/>
          </w:r>
        </w:p>
        <w:p>
          <w:pPr>
            <w:pStyle w:val="15"/>
          </w:pPr>
          <w:r>
            <w:fldChar w:fldCharType="begin"/>
          </w:r>
          <w:r>
            <w:instrText xml:space="preserve"> HYPERLINK \l "_Toc141269100" \h </w:instrText>
          </w:r>
          <w:r>
            <w:fldChar w:fldCharType="separate"/>
          </w:r>
          <w:r>
            <w:rPr>
              <w:rStyle w:val="47"/>
              <w:rFonts w:ascii="Arial" w:hAnsi="Arial" w:cs="Arial"/>
              <w:b/>
              <w:bCs/>
              <w:vanish w:val="0"/>
              <w:sz w:val="22"/>
              <w:szCs w:val="22"/>
            </w:rPr>
            <w:t>2. INSTALACIÓN</w:t>
          </w:r>
          <w:r>
            <w:fldChar w:fldCharType="begin"/>
          </w:r>
          <w:r>
            <w:instrText xml:space="preserve">PAGEREF _Toc141269100 \h</w:instrText>
          </w:r>
          <w:r>
            <w:fldChar w:fldCharType="separate"/>
          </w:r>
          <w:r>
            <w:rPr>
              <w:rStyle w:val="47"/>
              <w:rFonts w:ascii="Arial" w:hAnsi="Arial" w:cs="Arial"/>
              <w:vanish w:val="0"/>
              <w:sz w:val="22"/>
              <w:szCs w:val="22"/>
            </w:rPr>
            <w:tab/>
          </w:r>
          <w:r>
            <w:rPr>
              <w:rStyle w:val="47"/>
              <w:rFonts w:ascii="Arial" w:hAnsi="Arial" w:cs="Arial"/>
              <w:vanish w:val="0"/>
              <w:sz w:val="22"/>
              <w:szCs w:val="22"/>
            </w:rPr>
            <w:t>181</w:t>
          </w:r>
          <w:r>
            <w:fldChar w:fldCharType="end"/>
          </w:r>
          <w:r>
            <w:fldChar w:fldCharType="end"/>
          </w:r>
        </w:p>
        <w:p>
          <w:pPr>
            <w:pStyle w:val="16"/>
            <w:tabs>
              <w:tab w:val="right" w:leader="dot" w:pos="8494"/>
            </w:tabs>
          </w:pPr>
          <w:r>
            <w:fldChar w:fldCharType="begin"/>
          </w:r>
          <w:r>
            <w:instrText xml:space="preserve"> HYPERLINK \l "_Toc141269101" \h </w:instrText>
          </w:r>
          <w:r>
            <w:fldChar w:fldCharType="separate"/>
          </w:r>
          <w:r>
            <w:rPr>
              <w:rStyle w:val="47"/>
              <w:rFonts w:ascii="Arial" w:hAnsi="Arial" w:cs="Arial"/>
              <w:b/>
              <w:bCs/>
              <w:vanish w:val="0"/>
              <w:sz w:val="22"/>
              <w:szCs w:val="22"/>
            </w:rPr>
            <w:t>2.1 DESCRIPCIÓN DEL SISTEMA</w:t>
          </w:r>
          <w:r>
            <w:fldChar w:fldCharType="begin"/>
          </w:r>
          <w:r>
            <w:instrText xml:space="preserve">PAGEREF _Toc141269101 \h</w:instrText>
          </w:r>
          <w:r>
            <w:fldChar w:fldCharType="separate"/>
          </w:r>
          <w:r>
            <w:rPr>
              <w:rStyle w:val="47"/>
              <w:rFonts w:ascii="Arial" w:hAnsi="Arial" w:cs="Arial"/>
              <w:vanish w:val="0"/>
              <w:sz w:val="22"/>
              <w:szCs w:val="22"/>
            </w:rPr>
            <w:tab/>
          </w:r>
          <w:r>
            <w:rPr>
              <w:rStyle w:val="47"/>
              <w:rFonts w:ascii="Arial" w:hAnsi="Arial" w:cs="Arial"/>
              <w:vanish w:val="0"/>
              <w:sz w:val="22"/>
              <w:szCs w:val="22"/>
            </w:rPr>
            <w:t>181</w:t>
          </w:r>
          <w:r>
            <w:fldChar w:fldCharType="end"/>
          </w:r>
          <w:r>
            <w:fldChar w:fldCharType="end"/>
          </w:r>
        </w:p>
        <w:p>
          <w:pPr>
            <w:pStyle w:val="16"/>
            <w:tabs>
              <w:tab w:val="right" w:leader="dot" w:pos="8494"/>
            </w:tabs>
          </w:pPr>
          <w:r>
            <w:fldChar w:fldCharType="begin"/>
          </w:r>
          <w:r>
            <w:instrText xml:space="preserve"> HYPERLINK \l "_Toc141269102" \h </w:instrText>
          </w:r>
          <w:r>
            <w:fldChar w:fldCharType="separate"/>
          </w:r>
          <w:r>
            <w:rPr>
              <w:rStyle w:val="47"/>
              <w:rFonts w:ascii="Arial" w:hAnsi="Arial" w:cs="Arial"/>
              <w:b/>
              <w:bCs/>
              <w:vanish w:val="0"/>
              <w:sz w:val="22"/>
              <w:szCs w:val="22"/>
            </w:rPr>
            <w:t>2.2 RESERVA DE AGUA</w:t>
          </w:r>
          <w:r>
            <w:fldChar w:fldCharType="begin"/>
          </w:r>
          <w:r>
            <w:instrText xml:space="preserve">PAGEREF _Toc141269102 \h</w:instrText>
          </w:r>
          <w:r>
            <w:fldChar w:fldCharType="separate"/>
          </w:r>
          <w:r>
            <w:rPr>
              <w:rStyle w:val="47"/>
              <w:rFonts w:ascii="Arial" w:hAnsi="Arial" w:cs="Arial"/>
              <w:vanish w:val="0"/>
              <w:sz w:val="22"/>
              <w:szCs w:val="22"/>
            </w:rPr>
            <w:tab/>
          </w:r>
          <w:r>
            <w:rPr>
              <w:rStyle w:val="47"/>
              <w:rFonts w:ascii="Arial" w:hAnsi="Arial" w:cs="Arial"/>
              <w:vanish w:val="0"/>
              <w:sz w:val="22"/>
              <w:szCs w:val="22"/>
            </w:rPr>
            <w:t>181</w:t>
          </w:r>
          <w:r>
            <w:fldChar w:fldCharType="end"/>
          </w:r>
          <w:r>
            <w:fldChar w:fldCharType="end"/>
          </w:r>
        </w:p>
        <w:p>
          <w:pPr>
            <w:pStyle w:val="16"/>
            <w:tabs>
              <w:tab w:val="right" w:leader="dot" w:pos="8494"/>
            </w:tabs>
          </w:pPr>
          <w:r>
            <w:fldChar w:fldCharType="begin"/>
          </w:r>
          <w:r>
            <w:instrText xml:space="preserve"> HYPERLINK \l "_Toc141269103" \h </w:instrText>
          </w:r>
          <w:r>
            <w:fldChar w:fldCharType="separate"/>
          </w:r>
          <w:r>
            <w:rPr>
              <w:rStyle w:val="47"/>
              <w:rFonts w:ascii="Arial" w:hAnsi="Arial" w:cs="Arial"/>
              <w:b/>
              <w:bCs/>
              <w:vanish w:val="0"/>
              <w:sz w:val="22"/>
              <w:szCs w:val="22"/>
            </w:rPr>
            <w:t>3.1 DERIVACIONES</w:t>
          </w:r>
          <w:r>
            <w:fldChar w:fldCharType="begin"/>
          </w:r>
          <w:r>
            <w:instrText xml:space="preserve">PAGEREF _Toc141269103 \h</w:instrText>
          </w:r>
          <w:r>
            <w:fldChar w:fldCharType="separate"/>
          </w:r>
          <w:r>
            <w:rPr>
              <w:rStyle w:val="47"/>
              <w:rFonts w:ascii="Arial" w:hAnsi="Arial" w:cs="Arial"/>
              <w:vanish w:val="0"/>
              <w:sz w:val="22"/>
              <w:szCs w:val="22"/>
            </w:rPr>
            <w:tab/>
          </w:r>
          <w:r>
            <w:rPr>
              <w:rStyle w:val="47"/>
              <w:rFonts w:ascii="Arial" w:hAnsi="Arial" w:cs="Arial"/>
              <w:vanish w:val="0"/>
              <w:sz w:val="22"/>
              <w:szCs w:val="22"/>
            </w:rPr>
            <w:t>182</w:t>
          </w:r>
          <w:r>
            <w:fldChar w:fldCharType="end"/>
          </w:r>
          <w:r>
            <w:fldChar w:fldCharType="end"/>
          </w:r>
        </w:p>
        <w:p>
          <w:pPr>
            <w:pStyle w:val="16"/>
            <w:tabs>
              <w:tab w:val="right" w:leader="dot" w:pos="8494"/>
            </w:tabs>
          </w:pPr>
          <w:r>
            <w:fldChar w:fldCharType="begin"/>
          </w:r>
          <w:r>
            <w:instrText xml:space="preserve"> HYPERLINK \l "_Toc141269104" \h </w:instrText>
          </w:r>
          <w:r>
            <w:fldChar w:fldCharType="separate"/>
          </w:r>
          <w:r>
            <w:rPr>
              <w:rStyle w:val="47"/>
              <w:rFonts w:ascii="Arial" w:hAnsi="Arial" w:cs="Arial"/>
              <w:b/>
              <w:bCs/>
              <w:vanish w:val="0"/>
              <w:sz w:val="22"/>
              <w:szCs w:val="22"/>
            </w:rPr>
            <w:t>3.2 SUSPENSIÓN DE LA CAÑERÍA AÉREAS</w:t>
          </w:r>
          <w:r>
            <w:fldChar w:fldCharType="begin"/>
          </w:r>
          <w:r>
            <w:instrText xml:space="preserve">PAGEREF _Toc141269104 \h</w:instrText>
          </w:r>
          <w:r>
            <w:fldChar w:fldCharType="separate"/>
          </w:r>
          <w:r>
            <w:rPr>
              <w:rStyle w:val="47"/>
              <w:rFonts w:ascii="Arial" w:hAnsi="Arial" w:cs="Arial"/>
              <w:vanish w:val="0"/>
              <w:sz w:val="22"/>
              <w:szCs w:val="22"/>
            </w:rPr>
            <w:tab/>
          </w:r>
          <w:r>
            <w:rPr>
              <w:rStyle w:val="47"/>
              <w:rFonts w:ascii="Arial" w:hAnsi="Arial" w:cs="Arial"/>
              <w:vanish w:val="0"/>
              <w:sz w:val="22"/>
              <w:szCs w:val="22"/>
            </w:rPr>
            <w:t>182</w:t>
          </w:r>
          <w:r>
            <w:fldChar w:fldCharType="end"/>
          </w:r>
          <w:r>
            <w:fldChar w:fldCharType="end"/>
          </w:r>
        </w:p>
        <w:p>
          <w:pPr>
            <w:pStyle w:val="16"/>
            <w:tabs>
              <w:tab w:val="right" w:leader="dot" w:pos="8494"/>
            </w:tabs>
          </w:pPr>
          <w:r>
            <w:fldChar w:fldCharType="begin"/>
          </w:r>
          <w:r>
            <w:instrText xml:space="preserve"> HYPERLINK \l "_Toc141269105" \h </w:instrText>
          </w:r>
          <w:r>
            <w:fldChar w:fldCharType="separate"/>
          </w:r>
          <w:r>
            <w:rPr>
              <w:rStyle w:val="47"/>
              <w:rFonts w:ascii="Arial" w:hAnsi="Arial" w:cs="Arial"/>
              <w:b/>
              <w:bCs/>
              <w:vanish w:val="0"/>
              <w:sz w:val="22"/>
              <w:szCs w:val="22"/>
            </w:rPr>
            <w:t>3.4 ARMADO DE LAS CAÑERÍAS</w:t>
          </w:r>
          <w:r>
            <w:fldChar w:fldCharType="begin"/>
          </w:r>
          <w:r>
            <w:instrText xml:space="preserve">PAGEREF _Toc141269105 \h</w:instrText>
          </w:r>
          <w:r>
            <w:fldChar w:fldCharType="separate"/>
          </w:r>
          <w:r>
            <w:rPr>
              <w:rStyle w:val="47"/>
              <w:rFonts w:ascii="Arial" w:hAnsi="Arial" w:cs="Arial"/>
              <w:vanish w:val="0"/>
              <w:sz w:val="22"/>
              <w:szCs w:val="22"/>
            </w:rPr>
            <w:tab/>
          </w:r>
          <w:r>
            <w:rPr>
              <w:rStyle w:val="47"/>
              <w:rFonts w:ascii="Arial" w:hAnsi="Arial" w:cs="Arial"/>
              <w:vanish w:val="0"/>
              <w:sz w:val="22"/>
              <w:szCs w:val="22"/>
            </w:rPr>
            <w:t>184</w:t>
          </w:r>
          <w:r>
            <w:fldChar w:fldCharType="end"/>
          </w:r>
          <w:r>
            <w:fldChar w:fldCharType="end"/>
          </w:r>
        </w:p>
        <w:p>
          <w:pPr>
            <w:pStyle w:val="16"/>
            <w:tabs>
              <w:tab w:val="right" w:leader="dot" w:pos="8494"/>
            </w:tabs>
          </w:pPr>
          <w:r>
            <w:fldChar w:fldCharType="begin"/>
          </w:r>
          <w:r>
            <w:instrText xml:space="preserve"> HYPERLINK \l "_Toc141269106" \h </w:instrText>
          </w:r>
          <w:r>
            <w:fldChar w:fldCharType="separate"/>
          </w:r>
          <w:r>
            <w:rPr>
              <w:rStyle w:val="47"/>
              <w:rFonts w:ascii="Arial" w:hAnsi="Arial" w:cs="Arial"/>
              <w:b/>
              <w:bCs/>
              <w:vanish w:val="0"/>
              <w:sz w:val="22"/>
              <w:szCs w:val="22"/>
            </w:rPr>
            <w:t>3.5 MATERIALES</w:t>
          </w:r>
          <w:r>
            <w:fldChar w:fldCharType="begin"/>
          </w:r>
          <w:r>
            <w:instrText xml:space="preserve">PAGEREF _Toc141269106 \h</w:instrText>
          </w:r>
          <w:r>
            <w:fldChar w:fldCharType="separate"/>
          </w:r>
          <w:r>
            <w:rPr>
              <w:rStyle w:val="47"/>
              <w:rFonts w:ascii="Arial" w:hAnsi="Arial" w:cs="Arial"/>
              <w:vanish w:val="0"/>
              <w:sz w:val="22"/>
              <w:szCs w:val="22"/>
            </w:rPr>
            <w:tab/>
          </w:r>
          <w:r>
            <w:rPr>
              <w:rStyle w:val="47"/>
              <w:rFonts w:ascii="Arial" w:hAnsi="Arial" w:cs="Arial"/>
              <w:vanish w:val="0"/>
              <w:sz w:val="22"/>
              <w:szCs w:val="22"/>
            </w:rPr>
            <w:t>184</w:t>
          </w:r>
          <w:r>
            <w:fldChar w:fldCharType="end"/>
          </w:r>
          <w:r>
            <w:fldChar w:fldCharType="end"/>
          </w:r>
        </w:p>
        <w:p>
          <w:pPr>
            <w:pStyle w:val="16"/>
            <w:tabs>
              <w:tab w:val="right" w:leader="dot" w:pos="8494"/>
            </w:tabs>
          </w:pPr>
          <w:r>
            <w:fldChar w:fldCharType="begin"/>
          </w:r>
          <w:r>
            <w:instrText xml:space="preserve"> HYPERLINK \l "_Toc141269107" \h </w:instrText>
          </w:r>
          <w:r>
            <w:fldChar w:fldCharType="separate"/>
          </w:r>
          <w:r>
            <w:rPr>
              <w:rStyle w:val="47"/>
              <w:rFonts w:ascii="Arial" w:hAnsi="Arial" w:cs="Arial"/>
              <w:b/>
              <w:bCs/>
              <w:vanish w:val="0"/>
              <w:sz w:val="22"/>
              <w:szCs w:val="22"/>
              <w:lang w:val="es-ES"/>
            </w:rPr>
            <w:t>3.6 EQUIPO DE PRESURIZACIÓN</w:t>
          </w:r>
          <w:r>
            <w:fldChar w:fldCharType="begin"/>
          </w:r>
          <w:r>
            <w:instrText xml:space="preserve">PAGEREF _Toc141269107 \h</w:instrText>
          </w:r>
          <w:r>
            <w:fldChar w:fldCharType="separate"/>
          </w:r>
          <w:r>
            <w:rPr>
              <w:rStyle w:val="47"/>
              <w:rFonts w:ascii="Arial" w:hAnsi="Arial" w:cs="Arial"/>
              <w:vanish w:val="0"/>
              <w:sz w:val="22"/>
              <w:szCs w:val="22"/>
            </w:rPr>
            <w:tab/>
          </w:r>
          <w:r>
            <w:rPr>
              <w:rStyle w:val="47"/>
              <w:rFonts w:ascii="Arial" w:hAnsi="Arial" w:cs="Arial"/>
              <w:vanish w:val="0"/>
              <w:sz w:val="22"/>
              <w:szCs w:val="22"/>
            </w:rPr>
            <w:t>188</w:t>
          </w:r>
          <w:r>
            <w:fldChar w:fldCharType="end"/>
          </w:r>
          <w:r>
            <w:fldChar w:fldCharType="end"/>
          </w:r>
        </w:p>
        <w:p>
          <w:pPr>
            <w:pStyle w:val="16"/>
            <w:tabs>
              <w:tab w:val="right" w:leader="dot" w:pos="8494"/>
            </w:tabs>
          </w:pPr>
          <w:r>
            <w:fldChar w:fldCharType="begin"/>
          </w:r>
          <w:r>
            <w:instrText xml:space="preserve"> HYPERLINK \l "_Toc141269108" \h </w:instrText>
          </w:r>
          <w:r>
            <w:fldChar w:fldCharType="separate"/>
          </w:r>
          <w:r>
            <w:rPr>
              <w:rStyle w:val="47"/>
              <w:rFonts w:ascii="Arial" w:hAnsi="Arial" w:cs="Arial"/>
              <w:b/>
              <w:bCs/>
              <w:vanish w:val="0"/>
              <w:sz w:val="22"/>
              <w:szCs w:val="22"/>
            </w:rPr>
            <w:t>3.7 BOCAS DE INCENDIO EQUIPADAS</w:t>
          </w:r>
          <w:r>
            <w:fldChar w:fldCharType="begin"/>
          </w:r>
          <w:r>
            <w:instrText xml:space="preserve">PAGEREF _Toc141269108 \h</w:instrText>
          </w:r>
          <w:r>
            <w:fldChar w:fldCharType="separate"/>
          </w:r>
          <w:r>
            <w:rPr>
              <w:rStyle w:val="47"/>
              <w:rFonts w:ascii="Arial" w:hAnsi="Arial" w:cs="Arial"/>
              <w:vanish w:val="0"/>
              <w:sz w:val="22"/>
              <w:szCs w:val="22"/>
            </w:rPr>
            <w:tab/>
          </w:r>
          <w:r>
            <w:rPr>
              <w:rStyle w:val="47"/>
              <w:rFonts w:ascii="Arial" w:hAnsi="Arial" w:cs="Arial"/>
              <w:vanish w:val="0"/>
              <w:sz w:val="22"/>
              <w:szCs w:val="22"/>
            </w:rPr>
            <w:t>189</w:t>
          </w:r>
          <w:r>
            <w:fldChar w:fldCharType="end"/>
          </w:r>
          <w:r>
            <w:fldChar w:fldCharType="end"/>
          </w:r>
        </w:p>
        <w:p>
          <w:pPr>
            <w:pStyle w:val="16"/>
            <w:tabs>
              <w:tab w:val="right" w:leader="dot" w:pos="8494"/>
            </w:tabs>
          </w:pPr>
          <w:r>
            <w:fldChar w:fldCharType="begin"/>
          </w:r>
          <w:r>
            <w:instrText xml:space="preserve"> HYPERLINK \l "_Toc141269109" \h </w:instrText>
          </w:r>
          <w:r>
            <w:fldChar w:fldCharType="separate"/>
          </w:r>
          <w:r>
            <w:rPr>
              <w:rStyle w:val="47"/>
              <w:rFonts w:ascii="Arial" w:hAnsi="Arial" w:cs="Arial"/>
              <w:b/>
              <w:bCs/>
              <w:vanish w:val="0"/>
              <w:sz w:val="22"/>
              <w:szCs w:val="22"/>
            </w:rPr>
            <w:t>3.8 BOCAS DE INCENDIO</w:t>
          </w:r>
          <w:r>
            <w:fldChar w:fldCharType="begin"/>
          </w:r>
          <w:r>
            <w:instrText xml:space="preserve">PAGEREF _Toc141269109 \h</w:instrText>
          </w:r>
          <w:r>
            <w:fldChar w:fldCharType="separate"/>
          </w:r>
          <w:r>
            <w:rPr>
              <w:rStyle w:val="47"/>
              <w:rFonts w:ascii="Arial" w:hAnsi="Arial" w:cs="Arial"/>
              <w:vanish w:val="0"/>
              <w:sz w:val="22"/>
              <w:szCs w:val="22"/>
            </w:rPr>
            <w:tab/>
          </w:r>
          <w:r>
            <w:rPr>
              <w:rStyle w:val="47"/>
              <w:rFonts w:ascii="Arial" w:hAnsi="Arial" w:cs="Arial"/>
              <w:vanish w:val="0"/>
              <w:sz w:val="22"/>
              <w:szCs w:val="22"/>
            </w:rPr>
            <w:t>189</w:t>
          </w:r>
          <w:r>
            <w:fldChar w:fldCharType="end"/>
          </w:r>
          <w:r>
            <w:fldChar w:fldCharType="end"/>
          </w:r>
        </w:p>
        <w:p>
          <w:pPr>
            <w:pStyle w:val="16"/>
            <w:tabs>
              <w:tab w:val="right" w:leader="dot" w:pos="8494"/>
            </w:tabs>
          </w:pPr>
          <w:r>
            <w:fldChar w:fldCharType="begin"/>
          </w:r>
          <w:r>
            <w:instrText xml:space="preserve"> HYPERLINK \l "_Toc141269110" \h </w:instrText>
          </w:r>
          <w:r>
            <w:fldChar w:fldCharType="separate"/>
          </w:r>
          <w:r>
            <w:rPr>
              <w:rStyle w:val="47"/>
              <w:rFonts w:ascii="Arial" w:hAnsi="Arial" w:cs="Arial"/>
              <w:b/>
              <w:bCs/>
              <w:vanish w:val="0"/>
              <w:sz w:val="22"/>
              <w:szCs w:val="22"/>
            </w:rPr>
            <w:t xml:space="preserve">3.9 VÁLVULA TIPO TEATRO </w:t>
          </w:r>
          <w:r>
            <w:rPr>
              <w:rStyle w:val="47"/>
              <w:rFonts w:ascii="Arial" w:hAnsi="Arial" w:eastAsia="Symbol" w:cs="Arial"/>
              <w:b/>
              <w:bCs/>
              <w:sz w:val="22"/>
              <w:szCs w:val="22"/>
            </w:rPr>
            <w:t></w:t>
          </w:r>
          <w:r>
            <w:rPr>
              <w:rStyle w:val="47"/>
              <w:rFonts w:ascii="Arial" w:hAnsi="Arial" w:cs="Arial"/>
              <w:b/>
              <w:bCs/>
              <w:sz w:val="22"/>
              <w:szCs w:val="22"/>
            </w:rPr>
            <w:t xml:space="preserve"> 45 mm</w:t>
          </w:r>
          <w:r>
            <w:fldChar w:fldCharType="begin"/>
          </w:r>
          <w:r>
            <w:instrText xml:space="preserve">PAGEREF _Toc141269110 \h</w:instrText>
          </w:r>
          <w:r>
            <w:fldChar w:fldCharType="separate"/>
          </w:r>
          <w:r>
            <w:rPr>
              <w:rStyle w:val="47"/>
              <w:rFonts w:ascii="Arial" w:hAnsi="Arial" w:cs="Arial"/>
              <w:vanish w:val="0"/>
              <w:sz w:val="22"/>
              <w:szCs w:val="22"/>
            </w:rPr>
            <w:tab/>
          </w:r>
          <w:r>
            <w:rPr>
              <w:rStyle w:val="47"/>
              <w:rFonts w:ascii="Arial" w:hAnsi="Arial" w:cs="Arial"/>
              <w:vanish w:val="0"/>
              <w:sz w:val="22"/>
              <w:szCs w:val="22"/>
            </w:rPr>
            <w:t>190</w:t>
          </w:r>
          <w:r>
            <w:fldChar w:fldCharType="end"/>
          </w:r>
          <w:r>
            <w:fldChar w:fldCharType="end"/>
          </w:r>
        </w:p>
        <w:p>
          <w:pPr>
            <w:pStyle w:val="16"/>
            <w:tabs>
              <w:tab w:val="right" w:leader="dot" w:pos="8494"/>
            </w:tabs>
          </w:pPr>
          <w:r>
            <w:fldChar w:fldCharType="begin"/>
          </w:r>
          <w:r>
            <w:instrText xml:space="preserve"> HYPERLINK \l "_Toc141269111" \h </w:instrText>
          </w:r>
          <w:r>
            <w:fldChar w:fldCharType="separate"/>
          </w:r>
          <w:r>
            <w:rPr>
              <w:rStyle w:val="47"/>
              <w:rFonts w:ascii="Arial" w:hAnsi="Arial" w:cs="Arial"/>
              <w:b/>
              <w:bCs/>
              <w:vanish w:val="0"/>
              <w:sz w:val="22"/>
              <w:szCs w:val="22"/>
            </w:rPr>
            <w:t>3.10 MANGUERAS 45 mm</w:t>
          </w:r>
          <w:r>
            <w:fldChar w:fldCharType="begin"/>
          </w:r>
          <w:r>
            <w:instrText xml:space="preserve">PAGEREF _Toc141269111 \h</w:instrText>
          </w:r>
          <w:r>
            <w:fldChar w:fldCharType="separate"/>
          </w:r>
          <w:r>
            <w:rPr>
              <w:rStyle w:val="47"/>
              <w:rFonts w:ascii="Arial" w:hAnsi="Arial" w:cs="Arial"/>
              <w:vanish w:val="0"/>
              <w:sz w:val="22"/>
              <w:szCs w:val="22"/>
            </w:rPr>
            <w:tab/>
          </w:r>
          <w:r>
            <w:rPr>
              <w:rStyle w:val="47"/>
              <w:rFonts w:ascii="Arial" w:hAnsi="Arial" w:cs="Arial"/>
              <w:vanish w:val="0"/>
              <w:sz w:val="22"/>
              <w:szCs w:val="22"/>
            </w:rPr>
            <w:t>190</w:t>
          </w:r>
          <w:r>
            <w:fldChar w:fldCharType="end"/>
          </w:r>
          <w:r>
            <w:fldChar w:fldCharType="end"/>
          </w:r>
        </w:p>
        <w:p>
          <w:pPr>
            <w:pStyle w:val="16"/>
            <w:tabs>
              <w:tab w:val="right" w:leader="dot" w:pos="8494"/>
            </w:tabs>
          </w:pPr>
          <w:r>
            <w:fldChar w:fldCharType="begin"/>
          </w:r>
          <w:r>
            <w:instrText xml:space="preserve"> HYPERLINK \l "_Toc141269112" \h </w:instrText>
          </w:r>
          <w:r>
            <w:fldChar w:fldCharType="separate"/>
          </w:r>
          <w:r>
            <w:rPr>
              <w:rStyle w:val="47"/>
              <w:rFonts w:ascii="Arial" w:hAnsi="Arial" w:cs="Arial"/>
              <w:b/>
              <w:bCs/>
              <w:vanish w:val="0"/>
              <w:sz w:val="22"/>
              <w:szCs w:val="22"/>
            </w:rPr>
            <w:t>3.11 LANZAS</w:t>
          </w:r>
          <w:r>
            <w:fldChar w:fldCharType="begin"/>
          </w:r>
          <w:r>
            <w:instrText xml:space="preserve">PAGEREF _Toc141269112 \h</w:instrText>
          </w:r>
          <w:r>
            <w:fldChar w:fldCharType="separate"/>
          </w:r>
          <w:r>
            <w:rPr>
              <w:rStyle w:val="47"/>
              <w:rFonts w:ascii="Arial" w:hAnsi="Arial" w:cs="Arial"/>
              <w:vanish w:val="0"/>
              <w:sz w:val="22"/>
              <w:szCs w:val="22"/>
            </w:rPr>
            <w:tab/>
          </w:r>
          <w:r>
            <w:rPr>
              <w:rStyle w:val="47"/>
              <w:rFonts w:ascii="Arial" w:hAnsi="Arial" w:cs="Arial"/>
              <w:vanish w:val="0"/>
              <w:sz w:val="22"/>
              <w:szCs w:val="22"/>
            </w:rPr>
            <w:t>190</w:t>
          </w:r>
          <w:r>
            <w:fldChar w:fldCharType="end"/>
          </w:r>
          <w:r>
            <w:fldChar w:fldCharType="end"/>
          </w:r>
        </w:p>
        <w:p>
          <w:pPr>
            <w:pStyle w:val="16"/>
            <w:tabs>
              <w:tab w:val="right" w:leader="dot" w:pos="8494"/>
            </w:tabs>
          </w:pPr>
          <w:r>
            <w:fldChar w:fldCharType="begin"/>
          </w:r>
          <w:r>
            <w:instrText xml:space="preserve"> HYPERLINK \l "_Toc141269113" \h </w:instrText>
          </w:r>
          <w:r>
            <w:fldChar w:fldCharType="separate"/>
          </w:r>
          <w:r>
            <w:rPr>
              <w:rStyle w:val="47"/>
              <w:rFonts w:ascii="Arial" w:hAnsi="Arial" w:cs="Arial"/>
              <w:b/>
              <w:bCs/>
              <w:vanish w:val="0"/>
              <w:sz w:val="22"/>
              <w:szCs w:val="22"/>
            </w:rPr>
            <w:t>3.12 GABINETES</w:t>
          </w:r>
          <w:r>
            <w:fldChar w:fldCharType="begin"/>
          </w:r>
          <w:r>
            <w:instrText xml:space="preserve">PAGEREF _Toc141269113 \h</w:instrText>
          </w:r>
          <w:r>
            <w:fldChar w:fldCharType="separate"/>
          </w:r>
          <w:r>
            <w:rPr>
              <w:rStyle w:val="47"/>
              <w:rFonts w:ascii="Arial" w:hAnsi="Arial" w:cs="Arial"/>
              <w:vanish w:val="0"/>
              <w:sz w:val="22"/>
              <w:szCs w:val="22"/>
            </w:rPr>
            <w:tab/>
          </w:r>
          <w:r>
            <w:rPr>
              <w:rStyle w:val="47"/>
              <w:rFonts w:ascii="Arial" w:hAnsi="Arial" w:cs="Arial"/>
              <w:vanish w:val="0"/>
              <w:sz w:val="22"/>
              <w:szCs w:val="22"/>
            </w:rPr>
            <w:t>191</w:t>
          </w:r>
          <w:r>
            <w:fldChar w:fldCharType="end"/>
          </w:r>
          <w:r>
            <w:fldChar w:fldCharType="end"/>
          </w:r>
        </w:p>
        <w:p>
          <w:pPr>
            <w:pStyle w:val="16"/>
            <w:tabs>
              <w:tab w:val="right" w:leader="dot" w:pos="8494"/>
            </w:tabs>
          </w:pPr>
          <w:r>
            <w:fldChar w:fldCharType="begin"/>
          </w:r>
          <w:r>
            <w:instrText xml:space="preserve"> HYPERLINK \l "_Toc141269114" \h </w:instrText>
          </w:r>
          <w:r>
            <w:fldChar w:fldCharType="separate"/>
          </w:r>
          <w:r>
            <w:rPr>
              <w:rStyle w:val="47"/>
              <w:rFonts w:ascii="Arial" w:hAnsi="Arial" w:cs="Arial"/>
              <w:b/>
              <w:bCs/>
              <w:vanish w:val="0"/>
              <w:sz w:val="22"/>
              <w:szCs w:val="22"/>
            </w:rPr>
            <w:t>3.13 LLAVE DE AJUSTE</w:t>
          </w:r>
          <w:r>
            <w:fldChar w:fldCharType="begin"/>
          </w:r>
          <w:r>
            <w:instrText xml:space="preserve">PAGEREF _Toc141269114 \h</w:instrText>
          </w:r>
          <w:r>
            <w:fldChar w:fldCharType="separate"/>
          </w:r>
          <w:r>
            <w:rPr>
              <w:rStyle w:val="47"/>
              <w:rFonts w:ascii="Arial" w:hAnsi="Arial" w:cs="Arial"/>
              <w:vanish w:val="0"/>
              <w:sz w:val="22"/>
              <w:szCs w:val="22"/>
            </w:rPr>
            <w:tab/>
          </w:r>
          <w:r>
            <w:rPr>
              <w:rStyle w:val="47"/>
              <w:rFonts w:ascii="Arial" w:hAnsi="Arial" w:cs="Arial"/>
              <w:vanish w:val="0"/>
              <w:sz w:val="22"/>
              <w:szCs w:val="22"/>
            </w:rPr>
            <w:t>191</w:t>
          </w:r>
          <w:r>
            <w:fldChar w:fldCharType="end"/>
          </w:r>
          <w:r>
            <w:fldChar w:fldCharType="end"/>
          </w:r>
          <w:r>
            <w:rPr>
              <w:rStyle w:val="47"/>
              <w:rFonts w:ascii="Arial" w:hAnsi="Arial" w:cs="Arial"/>
              <w:vanish w:val="0"/>
              <w:sz w:val="22"/>
              <w:szCs w:val="22"/>
            </w:rPr>
            <w:fldChar w:fldCharType="end"/>
          </w:r>
        </w:p>
      </w:sdtContent>
    </w:sdt>
    <w:p>
      <w:pPr>
        <w:pStyle w:val="13"/>
        <w:spacing w:line="360" w:lineRule="auto"/>
        <w:rPr>
          <w:rFonts w:ascii="Arial" w:hAnsi="Arial"/>
          <w:sz w:val="22"/>
          <w:szCs w:val="22"/>
        </w:rPr>
      </w:pPr>
    </w:p>
    <w:p>
      <w:pPr>
        <w:pStyle w:val="13"/>
        <w:spacing w:line="360" w:lineRule="auto"/>
        <w:ind w:left="0" w:firstLine="0"/>
        <w:rPr>
          <w:rFonts w:ascii="Arial" w:hAnsi="Arial" w:cs="Calibri"/>
          <w:i w:val="0"/>
          <w:sz w:val="22"/>
          <w:szCs w:val="22"/>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pStyle w:val="2"/>
        <w:numPr>
          <w:ilvl w:val="0"/>
          <w:numId w:val="14"/>
        </w:numPr>
        <w:tabs>
          <w:tab w:val="left" w:pos="1134"/>
        </w:tabs>
        <w:spacing w:line="360" w:lineRule="auto"/>
        <w:ind w:left="660" w:leftChars="0" w:firstLineChars="0"/>
        <w:rPr>
          <w:rFonts w:ascii="Arial" w:hAnsi="Arial"/>
          <w:sz w:val="22"/>
          <w:szCs w:val="22"/>
        </w:rPr>
      </w:pPr>
      <w:bookmarkStart w:id="1" w:name="_Toc141269094"/>
      <w:r>
        <w:rPr>
          <w:rFonts w:ascii="Arial" w:hAnsi="Arial"/>
          <w:b/>
          <w:bCs/>
          <w:color w:val="000000"/>
          <w:sz w:val="22"/>
          <w:szCs w:val="22"/>
        </w:rPr>
        <w:t>INTRODUCCIÓN</w:t>
      </w:r>
      <w:bookmarkEnd w:id="1"/>
    </w:p>
    <w:p>
      <w:pPr>
        <w:spacing w:line="360" w:lineRule="auto"/>
        <w:rPr>
          <w:rFonts w:ascii="Arial" w:hAnsi="Arial"/>
          <w:sz w:val="22"/>
          <w:szCs w:val="22"/>
        </w:rPr>
      </w:pPr>
      <w:r>
        <w:rPr>
          <w:rFonts w:ascii="Arial" w:hAnsi="Arial"/>
          <w:sz w:val="22"/>
          <w:szCs w:val="22"/>
        </w:rPr>
        <w:t xml:space="preserve">El presente proyecto consiste en la instalación hidráulica de combate de incendio. Todas las obras a ejecutar referentes a este proyecto deberán ajustarse a las normas constructivas y ordenanzas vigentes en la Intendencia Municipal de Montevideo y la Dirección Nacional de Bomberos, así como a aquellas normas UNIT que correspondan y la norma NFPA 13. </w:t>
      </w:r>
    </w:p>
    <w:p>
      <w:pPr>
        <w:pStyle w:val="3"/>
        <w:numPr>
          <w:ilvl w:val="1"/>
          <w:numId w:val="15"/>
        </w:numPr>
        <w:spacing w:line="360" w:lineRule="auto"/>
        <w:ind w:left="705" w:leftChars="0" w:firstLineChars="0"/>
        <w:rPr>
          <w:rFonts w:ascii="Arial" w:hAnsi="Arial"/>
          <w:sz w:val="22"/>
          <w:szCs w:val="22"/>
          <w:lang w:val="es-ES"/>
        </w:rPr>
      </w:pPr>
      <w:bookmarkStart w:id="2" w:name="_Toc141269095"/>
      <w:r>
        <w:rPr>
          <w:rFonts w:ascii="Arial" w:hAnsi="Arial"/>
          <w:b/>
          <w:bCs/>
          <w:color w:val="000000"/>
          <w:sz w:val="22"/>
          <w:szCs w:val="22"/>
          <w:lang w:val="es-ES"/>
        </w:rPr>
        <w:t>CONTRA INDICACIONES</w:t>
      </w:r>
      <w:bookmarkEnd w:id="2"/>
    </w:p>
    <w:p>
      <w:pPr>
        <w:spacing w:line="360" w:lineRule="auto"/>
        <w:rPr>
          <w:rFonts w:ascii="Arial" w:hAnsi="Arial"/>
          <w:sz w:val="22"/>
          <w:szCs w:val="22"/>
        </w:rPr>
      </w:pPr>
      <w:r>
        <w:rPr>
          <w:rFonts w:ascii="Arial" w:hAnsi="Arial"/>
          <w:sz w:val="22"/>
          <w:szCs w:val="22"/>
        </w:rPr>
        <w:t xml:space="preserve">Si hubiere cualquier contradicción entre las indicaciones de los planos y las especificaciones de la presente MET, prevalecerán las indicaciones de estas últimas, siendo de cargo del Sub Contratista de las instalaciones indicar las mismas, si estas no fueron debidamente aclaradas en el periodo de la </w:t>
      </w:r>
      <w:r>
        <w:rPr>
          <w:rFonts w:hint="default" w:ascii="Arial" w:hAnsi="Arial"/>
          <w:sz w:val="22"/>
          <w:szCs w:val="22"/>
          <w:lang w:val="es-ES"/>
        </w:rPr>
        <w:t>compra</w:t>
      </w:r>
      <w:r>
        <w:rPr>
          <w:rFonts w:ascii="Arial" w:hAnsi="Arial"/>
          <w:sz w:val="22"/>
          <w:szCs w:val="22"/>
        </w:rPr>
        <w:t>, se dan por válidas las especificaciones de los planos y la memoria.</w:t>
      </w:r>
    </w:p>
    <w:p>
      <w:pPr>
        <w:pStyle w:val="3"/>
        <w:numPr>
          <w:ilvl w:val="1"/>
          <w:numId w:val="14"/>
        </w:numPr>
        <w:spacing w:line="360" w:lineRule="auto"/>
        <w:ind w:left="705" w:leftChars="0" w:firstLineChars="0"/>
        <w:jc w:val="left"/>
        <w:rPr>
          <w:rFonts w:ascii="Arial" w:hAnsi="Arial"/>
          <w:sz w:val="22"/>
          <w:szCs w:val="22"/>
          <w:lang w:val="es-ES"/>
        </w:rPr>
      </w:pPr>
      <w:bookmarkStart w:id="3" w:name="_Toc141269096"/>
      <w:r>
        <w:rPr>
          <w:rFonts w:ascii="Arial" w:hAnsi="Arial"/>
          <w:b/>
          <w:bCs/>
          <w:color w:val="000000"/>
          <w:sz w:val="22"/>
          <w:szCs w:val="22"/>
          <w:lang w:val="es-ES"/>
        </w:rPr>
        <w:t>MODIFICACIONES DE OBRA</w:t>
      </w:r>
      <w:r>
        <w:rPr>
          <w:rFonts w:ascii="Arial" w:hAnsi="Arial" w:cs="Arial"/>
          <w:b/>
          <w:bCs/>
          <w:color w:val="000000"/>
          <w:sz w:val="22"/>
          <w:szCs w:val="22"/>
          <w:lang w:val="es-ES"/>
        </w:rPr>
        <w:t>.</w:t>
      </w:r>
      <w:bookmarkEnd w:id="3"/>
      <w:r>
        <w:rPr>
          <w:rFonts w:ascii="Arial" w:hAnsi="Arial" w:cs="Arial"/>
          <w:b/>
          <w:bCs/>
          <w:color w:val="000000"/>
          <w:sz w:val="22"/>
          <w:szCs w:val="22"/>
          <w:lang w:val="es-ES"/>
        </w:rPr>
        <w:t xml:space="preserve"> </w:t>
      </w:r>
    </w:p>
    <w:p>
      <w:pPr>
        <w:spacing w:line="360" w:lineRule="auto"/>
        <w:rPr>
          <w:rFonts w:ascii="Arial" w:hAnsi="Arial"/>
          <w:sz w:val="22"/>
          <w:szCs w:val="22"/>
        </w:rPr>
      </w:pPr>
      <w:r>
        <w:rPr>
          <w:rFonts w:ascii="Arial" w:hAnsi="Arial"/>
          <w:sz w:val="22"/>
          <w:szCs w:val="22"/>
        </w:rPr>
        <w:t>Se respetarán todas las indicaciones de los planos. No se podrán introducir modificaciones en ningún elemento del proyecto sin la orden escrita de la Dirección de la Obra, lo que determinara el no pago de los trabajos realizados y el rechazo de los mismos, obligándose al Sub Contratista a retirar los mismos a su entero costo. Esto vale para todos los sistemas de instalaciones proyectadas, marcas y/o sistemas distintos de materiales, accesorios como llaves de corte, valvuleria y equipos de bombas.</w:t>
      </w:r>
    </w:p>
    <w:p>
      <w:pPr>
        <w:pStyle w:val="3"/>
        <w:numPr>
          <w:ilvl w:val="1"/>
          <w:numId w:val="14"/>
        </w:numPr>
        <w:spacing w:line="360" w:lineRule="auto"/>
        <w:ind w:left="705" w:leftChars="0" w:right="48" w:hanging="405" w:firstLineChars="0"/>
        <w:rPr>
          <w:rFonts w:ascii="Arial" w:hAnsi="Arial"/>
          <w:sz w:val="22"/>
          <w:szCs w:val="22"/>
        </w:rPr>
      </w:pPr>
      <w:bookmarkStart w:id="4" w:name="_Toc141269097"/>
      <w:r>
        <w:rPr>
          <w:rFonts w:ascii="Arial" w:hAnsi="Arial"/>
          <w:b/>
          <w:bCs/>
          <w:color w:val="000000"/>
          <w:sz w:val="22"/>
          <w:szCs w:val="22"/>
        </w:rPr>
        <w:t>COMPOSICIÓN DE LAS INSTALACIONES</w:t>
      </w:r>
      <w:bookmarkEnd w:id="4"/>
      <w:r>
        <w:rPr>
          <w:rFonts w:ascii="Arial" w:hAnsi="Arial"/>
          <w:b/>
          <w:bCs/>
          <w:color w:val="000000"/>
          <w:sz w:val="22"/>
          <w:szCs w:val="22"/>
        </w:rPr>
        <w:t xml:space="preserve"> </w:t>
      </w:r>
    </w:p>
    <w:p>
      <w:pPr>
        <w:spacing w:line="360" w:lineRule="auto"/>
        <w:ind w:right="48" w:firstLine="0"/>
        <w:rPr>
          <w:rFonts w:ascii="Arial" w:hAnsi="Arial"/>
          <w:sz w:val="22"/>
          <w:szCs w:val="22"/>
        </w:rPr>
      </w:pPr>
      <w:r>
        <w:rPr>
          <w:rFonts w:ascii="Arial" w:hAnsi="Arial"/>
          <w:sz w:val="22"/>
          <w:szCs w:val="22"/>
          <w:u w:val="single"/>
        </w:rPr>
        <w:t>Sistema de abastecimiento de agua</w:t>
      </w:r>
    </w:p>
    <w:p>
      <w:pPr>
        <w:numPr>
          <w:ilvl w:val="0"/>
          <w:numId w:val="16"/>
        </w:numPr>
        <w:spacing w:line="360" w:lineRule="auto"/>
        <w:rPr>
          <w:rFonts w:ascii="Arial" w:hAnsi="Arial"/>
          <w:sz w:val="22"/>
          <w:szCs w:val="22"/>
        </w:rPr>
      </w:pPr>
      <w:r>
        <w:rPr>
          <w:rFonts w:ascii="Arial" w:hAnsi="Arial"/>
          <w:sz w:val="22"/>
          <w:szCs w:val="22"/>
        </w:rPr>
        <w:t>Tanque de Agua</w:t>
      </w:r>
    </w:p>
    <w:p>
      <w:pPr>
        <w:numPr>
          <w:ilvl w:val="0"/>
          <w:numId w:val="16"/>
        </w:numPr>
        <w:spacing w:line="360" w:lineRule="auto"/>
        <w:rPr>
          <w:rFonts w:ascii="Arial" w:hAnsi="Arial"/>
          <w:sz w:val="22"/>
          <w:szCs w:val="22"/>
        </w:rPr>
      </w:pPr>
      <w:r>
        <w:rPr>
          <w:rFonts w:ascii="Arial" w:hAnsi="Arial"/>
          <w:sz w:val="22"/>
          <w:szCs w:val="22"/>
        </w:rPr>
        <w:t>Electrobomba Principal</w:t>
      </w:r>
    </w:p>
    <w:p>
      <w:pPr>
        <w:numPr>
          <w:ilvl w:val="0"/>
          <w:numId w:val="16"/>
        </w:numPr>
        <w:spacing w:line="360" w:lineRule="auto"/>
        <w:rPr>
          <w:rFonts w:ascii="Arial" w:hAnsi="Arial"/>
          <w:sz w:val="22"/>
          <w:szCs w:val="22"/>
        </w:rPr>
      </w:pPr>
      <w:r>
        <w:rPr>
          <w:rFonts w:ascii="Arial" w:hAnsi="Arial"/>
          <w:sz w:val="22"/>
          <w:szCs w:val="22"/>
        </w:rPr>
        <w:t>Electrobomba de Presurización “Jockey”</w:t>
      </w:r>
    </w:p>
    <w:p>
      <w:pPr>
        <w:numPr>
          <w:ilvl w:val="0"/>
          <w:numId w:val="16"/>
        </w:numPr>
        <w:spacing w:line="360" w:lineRule="auto"/>
        <w:rPr>
          <w:rFonts w:ascii="Arial" w:hAnsi="Arial"/>
          <w:sz w:val="22"/>
          <w:szCs w:val="22"/>
        </w:rPr>
      </w:pPr>
      <w:r>
        <w:rPr>
          <w:rFonts w:ascii="Arial" w:hAnsi="Arial"/>
          <w:sz w:val="22"/>
          <w:szCs w:val="22"/>
        </w:rPr>
        <w:t>Cañerías, válvulas y accesorios</w:t>
      </w:r>
    </w:p>
    <w:p>
      <w:pPr>
        <w:numPr>
          <w:ilvl w:val="0"/>
          <w:numId w:val="17"/>
        </w:numPr>
        <w:spacing w:line="360" w:lineRule="auto"/>
        <w:rPr>
          <w:rFonts w:ascii="Arial" w:hAnsi="Arial"/>
          <w:sz w:val="22"/>
          <w:szCs w:val="22"/>
        </w:rPr>
      </w:pPr>
      <w:r>
        <w:rPr>
          <w:rFonts w:ascii="Arial" w:hAnsi="Arial"/>
          <w:sz w:val="22"/>
          <w:szCs w:val="22"/>
        </w:rPr>
        <w:t>Tableros de comando - Controlers</w:t>
      </w:r>
    </w:p>
    <w:p>
      <w:pPr>
        <w:spacing w:line="360" w:lineRule="auto"/>
        <w:ind w:right="48" w:firstLine="0"/>
        <w:rPr>
          <w:rFonts w:ascii="Arial" w:hAnsi="Arial"/>
          <w:sz w:val="22"/>
          <w:szCs w:val="22"/>
          <w:u w:val="single"/>
        </w:rPr>
      </w:pPr>
    </w:p>
    <w:p>
      <w:pPr>
        <w:spacing w:line="360" w:lineRule="auto"/>
        <w:ind w:right="48" w:firstLine="0"/>
        <w:rPr>
          <w:rFonts w:ascii="Arial" w:hAnsi="Arial"/>
          <w:sz w:val="22"/>
          <w:szCs w:val="22"/>
        </w:rPr>
      </w:pPr>
      <w:r>
        <w:rPr>
          <w:rFonts w:ascii="Arial" w:hAnsi="Arial"/>
          <w:sz w:val="22"/>
          <w:szCs w:val="22"/>
          <w:u w:val="single"/>
        </w:rPr>
        <w:t>Sistema de Bocas de Incendio</w:t>
      </w:r>
    </w:p>
    <w:p>
      <w:pPr>
        <w:numPr>
          <w:ilvl w:val="0"/>
          <w:numId w:val="16"/>
        </w:numPr>
        <w:spacing w:line="360" w:lineRule="auto"/>
        <w:rPr>
          <w:rFonts w:ascii="Arial" w:hAnsi="Arial"/>
          <w:sz w:val="22"/>
          <w:szCs w:val="22"/>
        </w:rPr>
      </w:pPr>
      <w:r>
        <w:rPr>
          <w:rFonts w:ascii="Arial" w:hAnsi="Arial"/>
          <w:sz w:val="22"/>
          <w:szCs w:val="22"/>
        </w:rPr>
        <w:t>Boca de Incendio completa</w:t>
      </w:r>
    </w:p>
    <w:p>
      <w:pPr>
        <w:numPr>
          <w:ilvl w:val="0"/>
          <w:numId w:val="16"/>
        </w:numPr>
        <w:spacing w:line="360" w:lineRule="auto"/>
        <w:rPr>
          <w:rFonts w:ascii="Arial" w:hAnsi="Arial"/>
          <w:sz w:val="22"/>
          <w:szCs w:val="22"/>
        </w:rPr>
      </w:pPr>
      <w:r>
        <w:rPr>
          <w:rFonts w:ascii="Arial" w:hAnsi="Arial"/>
          <w:sz w:val="22"/>
          <w:szCs w:val="22"/>
        </w:rPr>
        <w:t>Caños, válvulas y accesorios</w:t>
      </w:r>
    </w:p>
    <w:p>
      <w:pPr>
        <w:pStyle w:val="3"/>
        <w:numPr>
          <w:ilvl w:val="1"/>
          <w:numId w:val="14"/>
        </w:numPr>
        <w:spacing w:line="360" w:lineRule="auto"/>
        <w:ind w:left="705" w:leftChars="0" w:firstLineChars="0"/>
        <w:rPr>
          <w:rFonts w:ascii="Arial" w:hAnsi="Arial"/>
          <w:sz w:val="22"/>
          <w:szCs w:val="22"/>
          <w:lang w:val="es-ES"/>
        </w:rPr>
      </w:pPr>
      <w:bookmarkStart w:id="5" w:name="_Toc141269098"/>
      <w:r>
        <w:rPr>
          <w:rFonts w:ascii="Arial" w:hAnsi="Arial"/>
          <w:b/>
          <w:bCs/>
          <w:color w:val="000000"/>
          <w:sz w:val="22"/>
          <w:szCs w:val="22"/>
          <w:lang w:val="es-ES"/>
        </w:rPr>
        <w:t>MATERIALES</w:t>
      </w:r>
      <w:bookmarkEnd w:id="5"/>
    </w:p>
    <w:p>
      <w:pPr>
        <w:spacing w:line="360" w:lineRule="auto"/>
        <w:rPr>
          <w:rFonts w:ascii="Arial" w:hAnsi="Arial"/>
          <w:sz w:val="22"/>
          <w:szCs w:val="22"/>
        </w:rPr>
      </w:pPr>
      <w:r>
        <w:rPr>
          <w:rFonts w:ascii="Arial" w:hAnsi="Arial"/>
          <w:sz w:val="22"/>
          <w:szCs w:val="22"/>
        </w:rPr>
        <w:t>Todos los materiales a ser empleados serán nuevos reglamentarios, de primera calidad en su especie y homologados por la Dirección Nacional de Bomberos. El Sub Contratista deberá suministrar y colocar los materiales que, aunque no estén expresamente detallados en los recaudos y que sean necesarios para el buen funcionamiento, mantenimiento y correctas terminaciones de los trabajos.</w:t>
      </w:r>
    </w:p>
    <w:p>
      <w:pPr>
        <w:pStyle w:val="3"/>
        <w:numPr>
          <w:ilvl w:val="1"/>
          <w:numId w:val="14"/>
        </w:numPr>
        <w:spacing w:line="360" w:lineRule="auto"/>
        <w:ind w:left="705" w:leftChars="0" w:firstLineChars="0"/>
        <w:rPr>
          <w:rFonts w:ascii="Arial" w:hAnsi="Arial"/>
          <w:sz w:val="22"/>
          <w:szCs w:val="22"/>
          <w:lang w:val="es-ES"/>
        </w:rPr>
      </w:pPr>
      <w:bookmarkStart w:id="6" w:name="_Toc141269099"/>
      <w:r>
        <w:rPr>
          <w:rFonts w:ascii="Arial" w:hAnsi="Arial"/>
          <w:b/>
          <w:bCs/>
          <w:color w:val="000000"/>
          <w:sz w:val="22"/>
          <w:szCs w:val="22"/>
          <w:lang w:val="es-ES"/>
        </w:rPr>
        <w:t>INSPECCIONES</w:t>
      </w:r>
      <w:bookmarkEnd w:id="6"/>
    </w:p>
    <w:p>
      <w:pPr>
        <w:spacing w:line="360" w:lineRule="auto"/>
        <w:rPr>
          <w:rFonts w:ascii="Arial" w:hAnsi="Arial"/>
          <w:sz w:val="22"/>
          <w:szCs w:val="22"/>
        </w:rPr>
      </w:pPr>
      <w:r>
        <w:rPr>
          <w:rFonts w:ascii="Arial" w:hAnsi="Arial"/>
          <w:sz w:val="22"/>
          <w:szCs w:val="22"/>
        </w:rPr>
        <w:t>Se realizarán pruebas hidráulicas en todas las cañerías a ser instaladas, sometiéndolas a una presión mínima de 14 Kg/cm</w:t>
      </w:r>
      <w:r>
        <w:rPr>
          <w:rFonts w:ascii="Arial" w:hAnsi="Arial"/>
          <w:sz w:val="22"/>
          <w:szCs w:val="22"/>
          <w:vertAlign w:val="superscript"/>
        </w:rPr>
        <w:t>2</w:t>
      </w:r>
      <w:r>
        <w:rPr>
          <w:rFonts w:ascii="Arial" w:hAnsi="Arial"/>
          <w:sz w:val="22"/>
          <w:szCs w:val="22"/>
        </w:rPr>
        <w:t xml:space="preserve">. </w:t>
      </w:r>
    </w:p>
    <w:p>
      <w:pPr>
        <w:pStyle w:val="2"/>
        <w:numPr>
          <w:ilvl w:val="0"/>
          <w:numId w:val="0"/>
        </w:numPr>
        <w:tabs>
          <w:tab w:val="left" w:pos="432"/>
        </w:tabs>
        <w:spacing w:before="480" w:after="240" w:line="360" w:lineRule="auto"/>
        <w:ind w:left="0" w:firstLine="0"/>
        <w:rPr>
          <w:rFonts w:ascii="Arial" w:hAnsi="Arial"/>
          <w:sz w:val="22"/>
          <w:szCs w:val="22"/>
        </w:rPr>
      </w:pPr>
      <w:bookmarkStart w:id="7" w:name="_Toc141269100"/>
      <w:r>
        <w:rPr>
          <w:rFonts w:ascii="Arial" w:hAnsi="Arial"/>
          <w:b/>
          <w:bCs/>
          <w:color w:val="000000"/>
          <w:sz w:val="22"/>
          <w:szCs w:val="22"/>
        </w:rPr>
        <w:t>2. INSTALACIÓN</w:t>
      </w:r>
      <w:bookmarkEnd w:id="7"/>
    </w:p>
    <w:p>
      <w:pPr>
        <w:pStyle w:val="3"/>
        <w:numPr>
          <w:ilvl w:val="0"/>
          <w:numId w:val="0"/>
        </w:numPr>
        <w:spacing w:line="360" w:lineRule="auto"/>
        <w:ind w:left="0" w:firstLine="0"/>
        <w:rPr>
          <w:rFonts w:ascii="Arial" w:hAnsi="Arial"/>
          <w:sz w:val="22"/>
          <w:szCs w:val="22"/>
        </w:rPr>
      </w:pPr>
      <w:bookmarkStart w:id="8" w:name="_Toc141269101"/>
      <w:r>
        <w:rPr>
          <w:rFonts w:ascii="Arial" w:hAnsi="Arial"/>
          <w:b/>
          <w:bCs/>
          <w:color w:val="000000"/>
          <w:sz w:val="22"/>
          <w:szCs w:val="22"/>
        </w:rPr>
        <w:t>2.1 DESCRIPCIÓN DEL SISTEMA</w:t>
      </w:r>
      <w:bookmarkEnd w:id="8"/>
    </w:p>
    <w:p>
      <w:pPr>
        <w:spacing w:line="360" w:lineRule="auto"/>
        <w:rPr>
          <w:rFonts w:ascii="Arial" w:hAnsi="Arial"/>
          <w:sz w:val="22"/>
          <w:szCs w:val="22"/>
        </w:rPr>
      </w:pPr>
      <w:r>
        <w:rPr>
          <w:rFonts w:ascii="Arial" w:hAnsi="Arial"/>
          <w:sz w:val="22"/>
          <w:szCs w:val="22"/>
        </w:rPr>
        <w:t xml:space="preserve">El Sistema de bocas de incendio protegerá las tres plantas y el subsuelo del edificio. El mismo estará alimentado por tuberías de 2¨. </w:t>
      </w:r>
    </w:p>
    <w:p>
      <w:pPr>
        <w:spacing w:line="360" w:lineRule="auto"/>
        <w:rPr>
          <w:rFonts w:ascii="Arial" w:hAnsi="Arial"/>
          <w:sz w:val="22"/>
          <w:szCs w:val="22"/>
        </w:rPr>
      </w:pPr>
      <w:r>
        <w:rPr>
          <w:rFonts w:ascii="Arial" w:hAnsi="Arial"/>
          <w:sz w:val="22"/>
          <w:szCs w:val="22"/>
        </w:rPr>
        <w:t xml:space="preserve">La totalidad de las cañerías serán montadas en forma aérea distribuyéndose en un todo de acuerdo a los planos respectivos. </w:t>
      </w:r>
    </w:p>
    <w:p>
      <w:pPr>
        <w:pStyle w:val="3"/>
        <w:numPr>
          <w:ilvl w:val="0"/>
          <w:numId w:val="0"/>
        </w:numPr>
        <w:spacing w:line="360" w:lineRule="auto"/>
        <w:ind w:left="0" w:firstLine="0"/>
        <w:rPr>
          <w:rFonts w:ascii="Arial" w:hAnsi="Arial"/>
          <w:sz w:val="22"/>
          <w:szCs w:val="22"/>
        </w:rPr>
      </w:pPr>
      <w:bookmarkStart w:id="9" w:name="_Toc141269102"/>
      <w:r>
        <w:rPr>
          <w:rFonts w:ascii="Arial" w:hAnsi="Arial"/>
          <w:b/>
          <w:bCs/>
          <w:color w:val="000000"/>
          <w:sz w:val="22"/>
          <w:szCs w:val="22"/>
        </w:rPr>
        <w:t>2.2 RESERVA DE AGUA</w:t>
      </w:r>
      <w:bookmarkEnd w:id="9"/>
    </w:p>
    <w:p>
      <w:pPr>
        <w:spacing w:line="360" w:lineRule="auto"/>
        <w:rPr>
          <w:rFonts w:ascii="Arial" w:hAnsi="Arial"/>
          <w:sz w:val="22"/>
          <w:szCs w:val="22"/>
        </w:rPr>
      </w:pPr>
      <w:r>
        <w:rPr>
          <w:rFonts w:ascii="Arial" w:hAnsi="Arial"/>
          <w:sz w:val="22"/>
          <w:szCs w:val="22"/>
        </w:rPr>
        <w:t>La reserva de agua será un tanque ubicado en el subsuelo, éste debe asegurar un volumen mínimo para incendio de 18.000 L. Se presentan los planos de albañilería del tanque.</w:t>
      </w:r>
    </w:p>
    <w:p>
      <w:pPr>
        <w:spacing w:line="360" w:lineRule="auto"/>
        <w:rPr>
          <w:rFonts w:ascii="Arial" w:hAnsi="Arial"/>
          <w:sz w:val="22"/>
          <w:szCs w:val="22"/>
        </w:rPr>
      </w:pPr>
      <w:r>
        <w:rPr>
          <w:rFonts w:ascii="Arial" w:hAnsi="Arial"/>
          <w:sz w:val="22"/>
          <w:szCs w:val="22"/>
        </w:rPr>
        <w:t>La empresa contratista deberá presentar el diseño de estructura de dicho tanque realizado por un ingeniero civil con firma autorizada. El tanque podrá ser construido de bloque armado u hormigón armado. El diseño será tal que asegure su completa estanqueidad.</w:t>
      </w:r>
    </w:p>
    <w:p>
      <w:pPr>
        <w:spacing w:line="360" w:lineRule="auto"/>
        <w:rPr>
          <w:rFonts w:ascii="Arial" w:hAnsi="Arial"/>
          <w:sz w:val="22"/>
          <w:szCs w:val="22"/>
        </w:rPr>
      </w:pPr>
      <w:r>
        <w:rPr>
          <w:rFonts w:ascii="Arial" w:hAnsi="Arial"/>
          <w:sz w:val="22"/>
          <w:szCs w:val="22"/>
        </w:rPr>
        <w:t>El abastecimiento de agua al tanque se realizará mediante conexión a la entrada de OSE, para esto se utilizarán una tubería de PPR 32.</w:t>
      </w:r>
    </w:p>
    <w:p>
      <w:pPr>
        <w:spacing w:line="360" w:lineRule="auto"/>
        <w:rPr>
          <w:rFonts w:ascii="Arial" w:hAnsi="Arial"/>
          <w:sz w:val="22"/>
          <w:szCs w:val="22"/>
        </w:rPr>
      </w:pPr>
      <w:r>
        <w:rPr>
          <w:rFonts w:ascii="Arial" w:hAnsi="Arial"/>
          <w:b/>
          <w:bCs/>
          <w:color w:val="000000"/>
          <w:sz w:val="22"/>
          <w:szCs w:val="22"/>
        </w:rPr>
        <w:t>3. GENERALIDADES</w:t>
      </w:r>
    </w:p>
    <w:p>
      <w:pPr>
        <w:spacing w:line="360" w:lineRule="auto"/>
        <w:rPr>
          <w:rFonts w:ascii="Arial" w:hAnsi="Arial"/>
          <w:sz w:val="22"/>
          <w:szCs w:val="22"/>
        </w:rPr>
      </w:pPr>
      <w:r>
        <w:rPr>
          <w:rFonts w:ascii="Arial" w:hAnsi="Arial"/>
          <w:sz w:val="22"/>
          <w:szCs w:val="22"/>
        </w:rPr>
        <w:t>Salvo expresas indicaciones, los caños se instalarán a la vista en todos los niveles, Cuando la cañería atraviese una pared, se deberá hacer el pase lo mas prolijamente posible y se deberá posteriormente repara la pared dejándola en perfectas condiciones.</w:t>
      </w:r>
    </w:p>
    <w:p>
      <w:pPr>
        <w:spacing w:line="360" w:lineRule="auto"/>
        <w:rPr>
          <w:rFonts w:ascii="Arial" w:hAnsi="Arial"/>
          <w:sz w:val="22"/>
          <w:szCs w:val="22"/>
        </w:rPr>
      </w:pPr>
      <w:r>
        <w:rPr>
          <w:rFonts w:ascii="Arial" w:hAnsi="Arial"/>
          <w:sz w:val="22"/>
          <w:szCs w:val="22"/>
        </w:rPr>
        <w:t>Se evitará dañar o marcar la tubería por el uso de herramientas indebidas o en mal estado de conservación.</w:t>
      </w:r>
    </w:p>
    <w:p>
      <w:pPr>
        <w:spacing w:line="360" w:lineRule="auto"/>
        <w:rPr>
          <w:rFonts w:ascii="Arial" w:hAnsi="Arial"/>
          <w:sz w:val="22"/>
          <w:szCs w:val="22"/>
        </w:rPr>
      </w:pPr>
      <w:r>
        <w:rPr>
          <w:rFonts w:ascii="Arial" w:hAnsi="Arial"/>
          <w:sz w:val="22"/>
          <w:szCs w:val="22"/>
        </w:rPr>
        <w:t>El montaje de la cañería se realizará de forma tal que permita un rápido mantenimiento y reparación.</w:t>
      </w:r>
    </w:p>
    <w:p>
      <w:pPr>
        <w:pStyle w:val="3"/>
        <w:numPr>
          <w:ilvl w:val="0"/>
          <w:numId w:val="0"/>
        </w:numPr>
        <w:spacing w:line="360" w:lineRule="auto"/>
        <w:ind w:left="0" w:firstLine="0"/>
        <w:rPr>
          <w:rFonts w:ascii="Arial" w:hAnsi="Arial"/>
          <w:sz w:val="22"/>
          <w:szCs w:val="22"/>
        </w:rPr>
      </w:pPr>
      <w:bookmarkStart w:id="10" w:name="_Toc141269103"/>
      <w:r>
        <w:rPr>
          <w:rFonts w:ascii="Arial" w:hAnsi="Arial"/>
          <w:b/>
          <w:bCs/>
          <w:color w:val="000000"/>
          <w:sz w:val="22"/>
          <w:szCs w:val="22"/>
        </w:rPr>
        <w:t>3.1 DERIVACIONES</w:t>
      </w:r>
      <w:bookmarkEnd w:id="10"/>
    </w:p>
    <w:p>
      <w:pPr>
        <w:spacing w:line="360" w:lineRule="auto"/>
        <w:jc w:val="both"/>
        <w:rPr>
          <w:rFonts w:ascii="Arial" w:hAnsi="Arial"/>
          <w:sz w:val="22"/>
          <w:szCs w:val="22"/>
        </w:rPr>
      </w:pPr>
      <w:r>
        <w:rPr>
          <w:rFonts w:ascii="Arial" w:hAnsi="Arial"/>
          <w:sz w:val="22"/>
          <w:szCs w:val="22"/>
        </w:rPr>
        <w:t xml:space="preserve">Cuando se efectúen derivaciones en las cañerías las mismas deberán respetar las siguientes condiciones:   </w:t>
      </w:r>
    </w:p>
    <w:p>
      <w:pPr>
        <w:spacing w:line="360" w:lineRule="auto"/>
        <w:jc w:val="both"/>
        <w:rPr>
          <w:rFonts w:ascii="Arial" w:hAnsi="Arial"/>
          <w:sz w:val="22"/>
          <w:szCs w:val="22"/>
        </w:rPr>
      </w:pPr>
      <w:r>
        <w:rPr>
          <w:rFonts w:ascii="Arial" w:hAnsi="Arial"/>
          <w:sz w:val="22"/>
          <w:szCs w:val="22"/>
        </w:rPr>
        <w:t>Las derivaciones del mismo diámetro se deberán efectuar con accesorios o monturas de refuerzo, no estando permitido realizarlas con boca de pescado.</w:t>
      </w:r>
    </w:p>
    <w:p>
      <w:pPr>
        <w:spacing w:line="360" w:lineRule="auto"/>
        <w:jc w:val="both"/>
        <w:rPr>
          <w:rFonts w:ascii="Arial" w:hAnsi="Arial"/>
          <w:sz w:val="22"/>
          <w:szCs w:val="22"/>
        </w:rPr>
      </w:pPr>
      <w:r>
        <w:rPr>
          <w:rFonts w:ascii="Arial" w:hAnsi="Arial"/>
          <w:b/>
          <w:sz w:val="22"/>
          <w:szCs w:val="22"/>
        </w:rPr>
        <w:t>Estará permitido el uso de Tee Mecánicas Victaulic Estilo 920 o 922 para realizar cualquier derivación con disminución de diámetro.</w:t>
      </w:r>
    </w:p>
    <w:p>
      <w:pPr>
        <w:pStyle w:val="3"/>
        <w:numPr>
          <w:ilvl w:val="0"/>
          <w:numId w:val="0"/>
        </w:numPr>
        <w:spacing w:line="360" w:lineRule="auto"/>
        <w:ind w:left="0" w:firstLine="0"/>
        <w:jc w:val="both"/>
        <w:rPr>
          <w:rFonts w:ascii="Arial" w:hAnsi="Arial"/>
          <w:sz w:val="22"/>
          <w:szCs w:val="22"/>
        </w:rPr>
      </w:pPr>
      <w:bookmarkStart w:id="11" w:name="_Toc141269104"/>
      <w:r>
        <w:rPr>
          <w:rFonts w:ascii="Arial" w:hAnsi="Arial"/>
          <w:b/>
          <w:bCs/>
          <w:color w:val="000000"/>
          <w:sz w:val="22"/>
          <w:szCs w:val="22"/>
        </w:rPr>
        <w:t>3.2 SUSPENSIÓN DE LA CAÑERÍA AÉREAS</w:t>
      </w:r>
      <w:bookmarkEnd w:id="11"/>
    </w:p>
    <w:p>
      <w:pPr>
        <w:spacing w:line="360" w:lineRule="auto"/>
        <w:jc w:val="both"/>
        <w:rPr>
          <w:rFonts w:ascii="Arial" w:hAnsi="Arial"/>
          <w:sz w:val="22"/>
          <w:szCs w:val="22"/>
        </w:rPr>
      </w:pPr>
      <w:r>
        <w:rPr>
          <w:rFonts w:ascii="Arial" w:hAnsi="Arial"/>
          <w:sz w:val="22"/>
          <w:szCs w:val="22"/>
        </w:rPr>
        <w:t>Cuando la cañería corra bajo losa, quedará suspendida de soportes sujetos a la misma mediante brocas, según lo indicado en el plano de detalle.</w:t>
      </w:r>
    </w:p>
    <w:p>
      <w:pPr>
        <w:spacing w:line="360" w:lineRule="auto"/>
        <w:jc w:val="both"/>
        <w:rPr>
          <w:rFonts w:ascii="Arial" w:hAnsi="Arial"/>
          <w:sz w:val="22"/>
          <w:szCs w:val="22"/>
        </w:rPr>
      </w:pPr>
      <w:r>
        <w:rPr>
          <w:rFonts w:ascii="Arial" w:hAnsi="Arial"/>
          <w:sz w:val="22"/>
          <w:szCs w:val="22"/>
        </w:rPr>
        <w:t>Cuando se desplace en la pared, la misma se soportará con grampas tipo ménsulas.</w:t>
      </w:r>
    </w:p>
    <w:p>
      <w:pPr>
        <w:spacing w:line="360" w:lineRule="auto"/>
        <w:jc w:val="both"/>
        <w:rPr>
          <w:rFonts w:ascii="Arial" w:hAnsi="Arial"/>
          <w:sz w:val="22"/>
          <w:szCs w:val="22"/>
        </w:rPr>
      </w:pPr>
      <w:r>
        <w:rPr>
          <w:rFonts w:ascii="Arial" w:hAnsi="Arial"/>
          <w:sz w:val="22"/>
          <w:szCs w:val="22"/>
        </w:rPr>
        <w:t>Los soportes permitirán el libre movimiento ocasionado por contracción y dilatación, evitando tensiones en la tubería y serán de hierro con superficie de contacto lisa y plana, según lo indicado en el plano de detalle.</w:t>
      </w:r>
    </w:p>
    <w:p>
      <w:pPr>
        <w:spacing w:line="360" w:lineRule="auto"/>
        <w:jc w:val="both"/>
        <w:rPr>
          <w:rFonts w:ascii="Arial" w:hAnsi="Arial"/>
          <w:sz w:val="22"/>
          <w:szCs w:val="22"/>
        </w:rPr>
      </w:pPr>
      <w:r>
        <w:rPr>
          <w:rFonts w:ascii="Arial" w:hAnsi="Arial"/>
          <w:sz w:val="22"/>
          <w:szCs w:val="22"/>
        </w:rPr>
        <w:t>Los soportes se colocarán en cantidad suficiente para evitar el arqueo, pandeo o vibración de la cañería.</w:t>
      </w:r>
    </w:p>
    <w:p>
      <w:pPr>
        <w:spacing w:line="360" w:lineRule="auto"/>
        <w:jc w:val="both"/>
        <w:rPr>
          <w:rFonts w:ascii="Arial" w:hAnsi="Arial"/>
          <w:sz w:val="22"/>
          <w:szCs w:val="22"/>
        </w:rPr>
      </w:pPr>
      <w:r>
        <w:rPr>
          <w:rFonts w:ascii="Arial" w:hAnsi="Arial"/>
          <w:sz w:val="22"/>
          <w:szCs w:val="22"/>
        </w:rPr>
        <w:t>Las cañerías deberán ser soportadas separadamente, nunca conjuntamente de un mismo pendolón.</w:t>
      </w:r>
    </w:p>
    <w:p>
      <w:pPr>
        <w:spacing w:line="360" w:lineRule="auto"/>
        <w:jc w:val="both"/>
        <w:rPr>
          <w:rFonts w:ascii="Arial" w:hAnsi="Arial"/>
          <w:sz w:val="22"/>
          <w:szCs w:val="22"/>
        </w:rPr>
      </w:pPr>
      <w:r>
        <w:rPr>
          <w:rFonts w:ascii="Arial" w:hAnsi="Arial"/>
          <w:sz w:val="22"/>
          <w:szCs w:val="22"/>
        </w:rPr>
        <w:t>Todos los soportes deberán cumplir la norma NFPA 13.</w:t>
      </w:r>
    </w:p>
    <w:p>
      <w:pPr>
        <w:spacing w:line="360" w:lineRule="auto"/>
        <w:jc w:val="both"/>
        <w:rPr>
          <w:rFonts w:ascii="Arial" w:hAnsi="Arial"/>
          <w:sz w:val="22"/>
          <w:szCs w:val="22"/>
        </w:rPr>
      </w:pPr>
      <w:r>
        <w:rPr>
          <w:rFonts w:ascii="Arial" w:hAnsi="Arial"/>
          <w:sz w:val="22"/>
          <w:szCs w:val="22"/>
        </w:rPr>
        <w:t>Las distancias entre pendolones y/o ménsula máxima será de 4 metros.</w:t>
      </w:r>
    </w:p>
    <w:p>
      <w:pPr>
        <w:spacing w:line="360" w:lineRule="auto"/>
        <w:jc w:val="both"/>
        <w:rPr>
          <w:rFonts w:ascii="Arial" w:hAnsi="Arial"/>
          <w:sz w:val="22"/>
          <w:szCs w:val="22"/>
        </w:rPr>
      </w:pPr>
      <w:r>
        <w:rPr>
          <w:rFonts w:ascii="Arial" w:hAnsi="Arial"/>
          <w:b/>
          <w:bCs/>
          <w:sz w:val="22"/>
          <w:szCs w:val="22"/>
        </w:rPr>
        <w:t>3.3 PROTECCIÓN DE LAS CAÑERÍAS</w:t>
      </w:r>
    </w:p>
    <w:p>
      <w:pPr>
        <w:spacing w:line="360" w:lineRule="auto"/>
        <w:jc w:val="both"/>
        <w:rPr>
          <w:rFonts w:ascii="Arial" w:hAnsi="Arial"/>
          <w:sz w:val="22"/>
          <w:szCs w:val="22"/>
        </w:rPr>
      </w:pPr>
      <w:r>
        <w:rPr>
          <w:rFonts w:ascii="Arial" w:hAnsi="Arial"/>
          <w:sz w:val="22"/>
          <w:szCs w:val="22"/>
        </w:rPr>
        <w:t>Previo desengrasado y limpieza de óxido con desfofatizante, las cañerías serán pintadas con dos (2) capas de anticorrosivo y dos (2) capas de esmalte sintético color bermellón.</w:t>
      </w:r>
    </w:p>
    <w:p>
      <w:pPr>
        <w:pStyle w:val="3"/>
        <w:numPr>
          <w:ilvl w:val="0"/>
          <w:numId w:val="0"/>
        </w:numPr>
        <w:spacing w:line="360" w:lineRule="auto"/>
        <w:ind w:left="0" w:firstLine="0"/>
        <w:jc w:val="both"/>
        <w:rPr>
          <w:rFonts w:ascii="Arial" w:hAnsi="Arial"/>
          <w:sz w:val="22"/>
          <w:szCs w:val="22"/>
        </w:rPr>
      </w:pPr>
      <w:bookmarkStart w:id="12" w:name="_Toc141269105"/>
      <w:r>
        <w:rPr>
          <w:rFonts w:ascii="Arial" w:hAnsi="Arial"/>
          <w:b/>
          <w:bCs/>
          <w:color w:val="000000"/>
          <w:sz w:val="22"/>
          <w:szCs w:val="22"/>
        </w:rPr>
        <w:t>3.4 ARMADO DE LAS CAÑERÍAS</w:t>
      </w:r>
      <w:bookmarkEnd w:id="12"/>
    </w:p>
    <w:p>
      <w:pPr>
        <w:spacing w:line="360" w:lineRule="auto"/>
        <w:jc w:val="both"/>
        <w:rPr>
          <w:rFonts w:ascii="Arial" w:hAnsi="Arial"/>
          <w:sz w:val="22"/>
          <w:szCs w:val="22"/>
        </w:rPr>
      </w:pPr>
      <w:r>
        <w:rPr>
          <w:rFonts w:ascii="Arial" w:hAnsi="Arial"/>
          <w:sz w:val="22"/>
          <w:szCs w:val="22"/>
        </w:rPr>
        <w:t>Toda la tubería deberá ser desarmable en tramos de menos de 6 metros, tanto estos sean unidos por elementos ranurados mediante laminado en frio o mediante soldadura. También se deberá dejar un elemento de desarme entre cada dos accesorios.</w:t>
      </w:r>
    </w:p>
    <w:p>
      <w:pPr>
        <w:pStyle w:val="3"/>
        <w:numPr>
          <w:ilvl w:val="0"/>
          <w:numId w:val="0"/>
        </w:numPr>
        <w:spacing w:line="360" w:lineRule="auto"/>
        <w:ind w:left="0" w:firstLine="0"/>
        <w:jc w:val="both"/>
        <w:rPr>
          <w:rFonts w:ascii="Arial" w:hAnsi="Arial"/>
          <w:sz w:val="22"/>
          <w:szCs w:val="22"/>
        </w:rPr>
      </w:pPr>
      <w:bookmarkStart w:id="13" w:name="_Toc141269106"/>
      <w:r>
        <w:rPr>
          <w:rFonts w:ascii="Arial" w:hAnsi="Arial"/>
          <w:b/>
          <w:bCs/>
          <w:color w:val="000000"/>
          <w:sz w:val="22"/>
          <w:szCs w:val="22"/>
        </w:rPr>
        <w:t>3.5 MATERIALES</w:t>
      </w:r>
      <w:bookmarkEnd w:id="13"/>
    </w:p>
    <w:p>
      <w:pPr>
        <w:spacing w:line="360" w:lineRule="auto"/>
        <w:jc w:val="both"/>
        <w:rPr>
          <w:rFonts w:ascii="Arial" w:hAnsi="Arial"/>
          <w:sz w:val="22"/>
          <w:szCs w:val="22"/>
        </w:rPr>
      </w:pPr>
      <w:r>
        <w:rPr>
          <w:rFonts w:ascii="Arial" w:hAnsi="Arial"/>
          <w:sz w:val="22"/>
          <w:szCs w:val="22"/>
        </w:rPr>
        <w:t>Las tuberías observarán una rigurosa ortogonalidad. Las curvas de 90º se realizarán con fittings, evitando el doblado de la tubería.</w:t>
      </w:r>
    </w:p>
    <w:p>
      <w:pPr>
        <w:spacing w:line="360" w:lineRule="auto"/>
        <w:jc w:val="both"/>
        <w:rPr>
          <w:rFonts w:ascii="Arial" w:hAnsi="Arial"/>
          <w:sz w:val="22"/>
          <w:szCs w:val="22"/>
        </w:rPr>
      </w:pPr>
      <w:r>
        <w:rPr>
          <w:rFonts w:ascii="Arial" w:hAnsi="Arial"/>
          <w:sz w:val="22"/>
          <w:szCs w:val="22"/>
        </w:rPr>
        <w:t>En el tendido de cañerías aéreas se utilizará caño de acero con o sin costura, en hierro negro, ASTM A53 espesor SCH 40 en uniones roscadas, y cañería de espesor mínimo correspondiente a SCH 10 con uniones soldadas o ranuradas por laminado y unidas con uniones ranuradas.</w:t>
      </w:r>
    </w:p>
    <w:p>
      <w:pPr>
        <w:spacing w:line="360" w:lineRule="auto"/>
        <w:jc w:val="both"/>
        <w:rPr>
          <w:rFonts w:ascii="Arial" w:hAnsi="Arial"/>
          <w:sz w:val="22"/>
          <w:szCs w:val="22"/>
        </w:rPr>
      </w:pPr>
      <w:r>
        <w:rPr>
          <w:rFonts w:ascii="Arial" w:hAnsi="Arial"/>
          <w:sz w:val="22"/>
          <w:szCs w:val="22"/>
        </w:rPr>
        <w:t xml:space="preserve">Las tuberías de este material se sujetarán mediante grampas que cumplirán lo indicado en NFPA 13, a modo de ejemplo se indica en los planos un tipo de soporte a utilizar, es por cuenta del instalador verificar su capacidad estructural. Cada soporte debe soportar el peso de la tubería más 114 kilos en cualquier punto. </w:t>
      </w:r>
    </w:p>
    <w:p>
      <w:pPr>
        <w:spacing w:line="360" w:lineRule="auto"/>
        <w:jc w:val="both"/>
        <w:rPr>
          <w:rFonts w:ascii="Arial" w:hAnsi="Arial"/>
          <w:sz w:val="22"/>
          <w:szCs w:val="22"/>
        </w:rPr>
      </w:pPr>
      <w:r>
        <w:rPr>
          <w:rFonts w:ascii="Arial" w:hAnsi="Arial"/>
          <w:sz w:val="22"/>
          <w:szCs w:val="22"/>
        </w:rPr>
        <w:t>No se podrá enterrar ninguna tubería de acero, bajo ninguna condición de protección. Se deberá presentar los certificados de calidad de las cañerías.</w:t>
      </w: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rPr>
          <w:rFonts w:ascii="Arial" w:hAnsi="Arial"/>
          <w:sz w:val="22"/>
          <w:szCs w:val="22"/>
        </w:rPr>
      </w:pPr>
      <w:r>
        <w:rPr>
          <w:rFonts w:ascii="Arial" w:hAnsi="Arial"/>
          <w:b/>
          <w:bCs/>
          <w:color w:val="000000"/>
          <w:sz w:val="22"/>
          <w:szCs w:val="22"/>
        </w:rPr>
        <w:t>3.5.1 Accesorios para caños de acero</w:t>
      </w:r>
    </w:p>
    <w:p>
      <w:pPr>
        <w:spacing w:line="360" w:lineRule="auto"/>
        <w:rPr>
          <w:rFonts w:ascii="Arial" w:hAnsi="Arial"/>
          <w:sz w:val="22"/>
          <w:szCs w:val="22"/>
        </w:rPr>
      </w:pPr>
      <w:r>
        <w:rPr>
          <w:rFonts w:ascii="Arial" w:hAnsi="Arial"/>
          <w:sz w:val="22"/>
          <w:szCs w:val="22"/>
        </w:rPr>
        <w:t>Los codos, tees, reducciones, refuerzos, sellos, casquetes, etc., serán adecuados a las condiciones operativas para las que se destinan, ajustándose a las indicaciones de las normas ANSI B-16-9 y ASTM A-234.</w:t>
      </w:r>
    </w:p>
    <w:p>
      <w:pPr>
        <w:spacing w:line="360" w:lineRule="auto"/>
        <w:rPr>
          <w:rFonts w:ascii="Arial" w:hAnsi="Arial"/>
          <w:sz w:val="22"/>
          <w:szCs w:val="22"/>
        </w:rPr>
      </w:pPr>
      <w:r>
        <w:rPr>
          <w:rFonts w:ascii="Arial" w:hAnsi="Arial"/>
          <w:sz w:val="22"/>
          <w:szCs w:val="22"/>
        </w:rPr>
        <w:t>La unión mediante roscado será para tuberías de hasta 2”. Todas las tuberías y accesorios roscados deberán tener roscas cortadas de acuerdo a ASME B1.20.1</w:t>
      </w:r>
    </w:p>
    <w:p>
      <w:pPr>
        <w:spacing w:line="360" w:lineRule="auto"/>
        <w:rPr>
          <w:rFonts w:ascii="Arial" w:hAnsi="Arial"/>
          <w:sz w:val="22"/>
          <w:szCs w:val="22"/>
        </w:rPr>
      </w:pPr>
      <w:r>
        <w:rPr>
          <w:rFonts w:ascii="Arial" w:hAnsi="Arial"/>
          <w:sz w:val="22"/>
          <w:szCs w:val="22"/>
        </w:rPr>
        <w:t>Los accesorios de diámetro mayor a 2”, serán para soldar a tope, o unidos mediante accesorios específicamente listados para su uso en instalaciones de rociadores.</w:t>
      </w:r>
    </w:p>
    <w:p>
      <w:pPr>
        <w:spacing w:line="360" w:lineRule="auto"/>
        <w:rPr>
          <w:rFonts w:ascii="Arial" w:hAnsi="Arial"/>
          <w:sz w:val="22"/>
          <w:szCs w:val="22"/>
        </w:rPr>
      </w:pPr>
      <w:r>
        <w:rPr>
          <w:rFonts w:ascii="Arial" w:hAnsi="Arial"/>
          <w:sz w:val="22"/>
          <w:szCs w:val="22"/>
        </w:rPr>
        <w:t>En tuberías aéreas se admitirá el empleo de accesorios ranurados los cuales podrán ser de las marcas Victaulic, Reliable o de calidad similar y deberán poseer sello UL/FM. Se aceptará únicamente ranurado mediante laminado.</w:t>
      </w:r>
    </w:p>
    <w:p>
      <w:pPr>
        <w:spacing w:line="360" w:lineRule="auto"/>
        <w:rPr>
          <w:rFonts w:ascii="Arial" w:hAnsi="Arial"/>
          <w:sz w:val="22"/>
          <w:szCs w:val="22"/>
        </w:rPr>
      </w:pPr>
      <w:r>
        <w:rPr>
          <w:rFonts w:ascii="Arial" w:hAnsi="Arial"/>
          <w:sz w:val="22"/>
          <w:szCs w:val="22"/>
        </w:rPr>
        <w:t xml:space="preserve">En el caso de uniones ranuradas, se exigirá la presentación del manual de instalación correspondiente y el cumplimiento de las condiciones allí indicadas por el fabricante. </w:t>
      </w:r>
    </w:p>
    <w:p>
      <w:pPr>
        <w:spacing w:line="360" w:lineRule="auto"/>
        <w:rPr>
          <w:rFonts w:ascii="Arial" w:hAnsi="Arial"/>
          <w:sz w:val="22"/>
          <w:szCs w:val="22"/>
        </w:rPr>
      </w:pPr>
      <w:r>
        <w:rPr>
          <w:rFonts w:ascii="Arial" w:hAnsi="Arial"/>
          <w:sz w:val="22"/>
          <w:szCs w:val="22"/>
        </w:rPr>
        <w:t xml:space="preserve">Para una mayor integridad, se exigirá, en el caso de optar por componentes ranurados, que todos éstos sean provistos por el mismo fabricante, tanto uniones, accesorios y válvulas. </w:t>
      </w:r>
    </w:p>
    <w:p>
      <w:pPr>
        <w:spacing w:line="360" w:lineRule="auto"/>
        <w:rPr>
          <w:rFonts w:ascii="Arial" w:hAnsi="Arial"/>
          <w:sz w:val="22"/>
          <w:szCs w:val="22"/>
        </w:rPr>
      </w:pPr>
      <w:r>
        <w:rPr>
          <w:rFonts w:ascii="Arial" w:hAnsi="Arial"/>
          <w:b/>
          <w:bCs/>
          <w:color w:val="000000"/>
          <w:sz w:val="22"/>
          <w:szCs w:val="22"/>
        </w:rPr>
        <w:t>3.5.2 Válvulas esclusa</w:t>
      </w:r>
    </w:p>
    <w:p>
      <w:pPr>
        <w:spacing w:line="360" w:lineRule="auto"/>
        <w:rPr>
          <w:rFonts w:ascii="Arial" w:hAnsi="Arial"/>
          <w:sz w:val="22"/>
          <w:szCs w:val="22"/>
        </w:rPr>
      </w:pPr>
      <w:r>
        <w:rPr>
          <w:rFonts w:ascii="Arial" w:hAnsi="Arial"/>
          <w:sz w:val="22"/>
          <w:szCs w:val="22"/>
        </w:rPr>
        <w:t>Serán con cuerpo de Hierro fundido, tipo de cuña sólida, ASTM A 216 gr. WCB, extremos bridados, bonete abulonado, vástago ascendente, asiento renovable de acero inoxidable, reempaquetable bajo presión, montaje API 600 n1. Deberán contar con un dispositivo para enviar una señal de cierre de la válvula. Marca Victaulic modelo 771 o de calidad similar.</w:t>
      </w:r>
    </w:p>
    <w:p>
      <w:pPr>
        <w:spacing w:line="360" w:lineRule="auto"/>
        <w:rPr>
          <w:rFonts w:ascii="Arial" w:hAnsi="Arial"/>
          <w:sz w:val="22"/>
          <w:szCs w:val="22"/>
        </w:rPr>
      </w:pPr>
      <w:r>
        <w:rPr>
          <w:rFonts w:ascii="Arial" w:hAnsi="Arial"/>
          <w:b/>
          <w:bCs/>
          <w:color w:val="000000"/>
          <w:sz w:val="22"/>
          <w:szCs w:val="22"/>
        </w:rPr>
        <w:t>3.</w:t>
      </w:r>
      <w:r>
        <w:rPr>
          <w:rFonts w:hint="default" w:ascii="Arial" w:hAnsi="Arial"/>
          <w:b/>
          <w:bCs/>
          <w:color w:val="000000"/>
          <w:sz w:val="22"/>
          <w:szCs w:val="22"/>
          <w:lang w:val="es-ES"/>
        </w:rPr>
        <w:t>5.</w:t>
      </w:r>
      <w:r>
        <w:rPr>
          <w:rFonts w:ascii="Arial" w:hAnsi="Arial"/>
          <w:b/>
          <w:bCs/>
          <w:color w:val="000000"/>
          <w:sz w:val="22"/>
          <w:szCs w:val="22"/>
        </w:rPr>
        <w:t>3 Válvulas mariposa</w:t>
      </w:r>
    </w:p>
    <w:p>
      <w:pPr>
        <w:spacing w:line="360" w:lineRule="auto"/>
        <w:rPr>
          <w:rFonts w:ascii="Arial" w:hAnsi="Arial"/>
          <w:sz w:val="22"/>
          <w:szCs w:val="22"/>
        </w:rPr>
      </w:pPr>
      <w:r>
        <w:rPr>
          <w:rFonts w:ascii="Arial" w:hAnsi="Arial"/>
          <w:sz w:val="22"/>
          <w:szCs w:val="22"/>
        </w:rPr>
        <w:t>Serán con cuerpo de hierro fundido, con disco de acero inoxidable, tipo WAFFER, para montar entre bridas ASA S150 o con acoples del tipo Groove, con una presión de trabajo de 12 kg/cm2. Las mismas deberán poseer caja reductora con indicador de posición visual y Tamper Switch a efectos de enviar una señal de accionamiento al Sistema de Control y Alarma. Las válvulas poseerán listado UL y aprobación FM, marca Victaulic, modelo 705 o de calidad similar.</w:t>
      </w:r>
    </w:p>
    <w:p>
      <w:pPr>
        <w:spacing w:line="360" w:lineRule="auto"/>
        <w:rPr>
          <w:rFonts w:ascii="Arial" w:hAnsi="Arial"/>
          <w:sz w:val="22"/>
          <w:szCs w:val="22"/>
        </w:rPr>
      </w:pPr>
      <w:r>
        <w:rPr>
          <w:rFonts w:ascii="Arial" w:hAnsi="Arial"/>
          <w:b/>
          <w:bCs/>
          <w:color w:val="000000"/>
          <w:sz w:val="22"/>
          <w:szCs w:val="22"/>
        </w:rPr>
        <w:t>3.5.4 Válvula esférica</w:t>
      </w:r>
    </w:p>
    <w:p>
      <w:pPr>
        <w:spacing w:line="360" w:lineRule="auto"/>
        <w:rPr>
          <w:rFonts w:ascii="Arial" w:hAnsi="Arial"/>
          <w:sz w:val="22"/>
          <w:szCs w:val="22"/>
        </w:rPr>
      </w:pPr>
      <w:r>
        <w:rPr>
          <w:rFonts w:ascii="Arial" w:hAnsi="Arial"/>
          <w:sz w:val="22"/>
          <w:szCs w:val="22"/>
        </w:rPr>
        <w:t xml:space="preserve">Esta válvula tendrá el cuerpo integrado por tres piezas a fin de poder desarmar la misma sin desconectarla de la cañería en diámetro 2" o superior, y cuerpo enterizo en 1 1/2" o inferior. Su cuerpo estará construido en acero al carbono con asientos de teflón y esfera de acero inoxidable y extremos roscados. Presión de trabajo 12 kg/cm2. </w:t>
      </w:r>
    </w:p>
    <w:p>
      <w:pPr>
        <w:spacing w:line="360" w:lineRule="auto"/>
        <w:rPr>
          <w:rFonts w:ascii="Arial" w:hAnsi="Arial"/>
          <w:sz w:val="22"/>
          <w:szCs w:val="22"/>
        </w:rPr>
      </w:pPr>
      <w:r>
        <w:rPr>
          <w:rFonts w:ascii="Arial" w:hAnsi="Arial"/>
          <w:b/>
          <w:bCs/>
          <w:color w:val="000000"/>
          <w:sz w:val="22"/>
          <w:szCs w:val="22"/>
        </w:rPr>
        <w:t>3.5.5 Válvulas de retención</w:t>
      </w:r>
    </w:p>
    <w:p>
      <w:pPr>
        <w:spacing w:line="360" w:lineRule="auto"/>
        <w:rPr>
          <w:rFonts w:ascii="Arial" w:hAnsi="Arial"/>
          <w:sz w:val="22"/>
          <w:szCs w:val="22"/>
        </w:rPr>
      </w:pPr>
      <w:r>
        <w:rPr>
          <w:rFonts w:ascii="Arial" w:hAnsi="Arial"/>
          <w:sz w:val="22"/>
          <w:szCs w:val="22"/>
        </w:rPr>
        <w:t>Serán a clapeta, horizontal, de la serie ANSI 150 con superficies de contacto del tipo goma sobre metal, con conexión a bridas y cuerpo de acero fundido, aptas para una presión de trabajo de 12 kg/cm2, o conexión ranurada marca Victaulic, modelo 717.</w:t>
      </w:r>
    </w:p>
    <w:p>
      <w:pPr>
        <w:spacing w:line="360" w:lineRule="auto"/>
        <w:rPr>
          <w:rFonts w:ascii="Arial" w:hAnsi="Arial"/>
          <w:sz w:val="22"/>
          <w:szCs w:val="22"/>
        </w:rPr>
      </w:pPr>
      <w:r>
        <w:rPr>
          <w:rFonts w:ascii="Arial" w:hAnsi="Arial"/>
          <w:b/>
          <w:bCs/>
          <w:color w:val="000000"/>
          <w:sz w:val="22"/>
          <w:szCs w:val="22"/>
        </w:rPr>
        <w:t>3.5.6 Válvulas globo</w:t>
      </w:r>
    </w:p>
    <w:p>
      <w:pPr>
        <w:spacing w:line="360" w:lineRule="auto"/>
        <w:rPr>
          <w:rFonts w:ascii="Arial" w:hAnsi="Arial"/>
          <w:sz w:val="22"/>
          <w:szCs w:val="22"/>
        </w:rPr>
      </w:pPr>
      <w:r>
        <w:rPr>
          <w:rFonts w:ascii="Arial" w:hAnsi="Arial"/>
          <w:sz w:val="22"/>
          <w:szCs w:val="22"/>
        </w:rPr>
        <w:t>Deberán ser construidas en bronce, unión bonete con asiento de fibra, extremos para roscar, serie ANSI 300.</w:t>
      </w:r>
    </w:p>
    <w:p>
      <w:pPr>
        <w:spacing w:line="360" w:lineRule="auto"/>
        <w:rPr>
          <w:rFonts w:ascii="Arial" w:hAnsi="Arial"/>
          <w:sz w:val="22"/>
          <w:szCs w:val="22"/>
        </w:rPr>
      </w:pPr>
      <w:r>
        <w:rPr>
          <w:rFonts w:ascii="Arial" w:hAnsi="Arial"/>
          <w:b/>
          <w:bCs/>
          <w:color w:val="000000"/>
          <w:sz w:val="22"/>
          <w:szCs w:val="22"/>
        </w:rPr>
        <w:t>3.5.7 Accesorios varios</w:t>
      </w:r>
    </w:p>
    <w:p>
      <w:pPr>
        <w:spacing w:line="360" w:lineRule="auto"/>
        <w:ind w:right="48" w:firstLine="0"/>
        <w:rPr>
          <w:rFonts w:ascii="Arial" w:hAnsi="Arial"/>
          <w:sz w:val="22"/>
          <w:szCs w:val="22"/>
        </w:rPr>
      </w:pPr>
      <w:r>
        <w:rPr>
          <w:rFonts w:ascii="Arial" w:hAnsi="Arial"/>
          <w:sz w:val="22"/>
          <w:szCs w:val="22"/>
          <w:u w:val="single"/>
        </w:rPr>
        <w:t>Bridas</w:t>
      </w:r>
      <w:r>
        <w:rPr>
          <w:rFonts w:ascii="Arial" w:hAnsi="Arial"/>
          <w:sz w:val="22"/>
          <w:szCs w:val="22"/>
        </w:rPr>
        <w:t>:</w:t>
      </w:r>
    </w:p>
    <w:p>
      <w:pPr>
        <w:spacing w:line="360" w:lineRule="auto"/>
        <w:ind w:right="48" w:firstLine="0"/>
        <w:rPr>
          <w:rFonts w:ascii="Arial" w:hAnsi="Arial"/>
          <w:sz w:val="22"/>
          <w:szCs w:val="22"/>
        </w:rPr>
      </w:pPr>
      <w:r>
        <w:rPr>
          <w:rFonts w:ascii="Arial" w:hAnsi="Arial"/>
          <w:sz w:val="22"/>
          <w:szCs w:val="22"/>
        </w:rPr>
        <w:t>Serán del tipo slip-on para soldar, serie 150, de acero forjado ASTM A 181-Gr.1 y dimensiones según Norma ANSI B 16.5.</w:t>
      </w:r>
    </w:p>
    <w:p>
      <w:pPr>
        <w:spacing w:line="360" w:lineRule="auto"/>
        <w:ind w:right="48" w:firstLine="0"/>
        <w:rPr>
          <w:rFonts w:ascii="Arial" w:hAnsi="Arial"/>
          <w:sz w:val="22"/>
          <w:szCs w:val="22"/>
        </w:rPr>
      </w:pPr>
      <w:r>
        <w:rPr>
          <w:rFonts w:ascii="Arial" w:hAnsi="Arial"/>
          <w:sz w:val="22"/>
          <w:szCs w:val="22"/>
          <w:u w:val="single"/>
        </w:rPr>
        <w:t>Juntas para bridas</w:t>
      </w:r>
      <w:r>
        <w:rPr>
          <w:rFonts w:ascii="Arial" w:hAnsi="Arial"/>
          <w:sz w:val="22"/>
          <w:szCs w:val="22"/>
        </w:rPr>
        <w:t xml:space="preserve">: </w:t>
      </w:r>
    </w:p>
    <w:p>
      <w:pPr>
        <w:spacing w:line="360" w:lineRule="auto"/>
        <w:ind w:right="48" w:firstLine="0"/>
        <w:rPr>
          <w:rFonts w:ascii="Arial" w:hAnsi="Arial"/>
          <w:sz w:val="22"/>
          <w:szCs w:val="22"/>
        </w:rPr>
      </w:pPr>
      <w:r>
        <w:rPr>
          <w:rFonts w:ascii="Arial" w:hAnsi="Arial"/>
          <w:sz w:val="22"/>
          <w:szCs w:val="22"/>
        </w:rPr>
        <w:t>Se utilizarán juntas para bridas de asbesto cemento comprimido, ambas caras grafitadas, espesor 2,5 mm del tipo Kinglerit o goma con tela.</w:t>
      </w:r>
    </w:p>
    <w:p>
      <w:pPr>
        <w:spacing w:line="360" w:lineRule="auto"/>
        <w:ind w:right="48" w:firstLine="0"/>
        <w:rPr>
          <w:rFonts w:ascii="Arial" w:hAnsi="Arial"/>
          <w:sz w:val="22"/>
          <w:szCs w:val="22"/>
        </w:rPr>
      </w:pPr>
      <w:r>
        <w:rPr>
          <w:rFonts w:ascii="Arial" w:hAnsi="Arial"/>
          <w:sz w:val="22"/>
          <w:szCs w:val="22"/>
          <w:u w:val="single"/>
        </w:rPr>
        <w:t>Manómetros</w:t>
      </w:r>
      <w:r>
        <w:rPr>
          <w:rFonts w:ascii="Arial" w:hAnsi="Arial"/>
          <w:sz w:val="22"/>
          <w:szCs w:val="22"/>
        </w:rPr>
        <w:t xml:space="preserve">: </w:t>
      </w:r>
    </w:p>
    <w:p>
      <w:pPr>
        <w:spacing w:line="360" w:lineRule="auto"/>
        <w:ind w:right="48" w:firstLine="0"/>
        <w:rPr>
          <w:rFonts w:ascii="Arial" w:hAnsi="Arial"/>
          <w:sz w:val="22"/>
          <w:szCs w:val="22"/>
        </w:rPr>
      </w:pPr>
      <w:r>
        <w:rPr>
          <w:rFonts w:ascii="Arial" w:hAnsi="Arial"/>
          <w:sz w:val="22"/>
          <w:szCs w:val="22"/>
        </w:rPr>
        <w:t xml:space="preserve">Serán de bronce, de 0,10 m de diámetro, con rango hasta 20 atmósferas con su correspondiente robinete de bronce constituido por válvula globo de 1/2" de diámetro, serie ANSI 300, </w:t>
      </w:r>
      <w:r>
        <w:rPr>
          <w:rFonts w:ascii="Arial" w:hAnsi="Arial"/>
          <w:b/>
          <w:sz w:val="22"/>
          <w:szCs w:val="22"/>
        </w:rPr>
        <w:t>embebidos en glicerina</w:t>
      </w:r>
      <w:r>
        <w:rPr>
          <w:rFonts w:ascii="Arial" w:hAnsi="Arial"/>
          <w:sz w:val="22"/>
          <w:szCs w:val="22"/>
        </w:rPr>
        <w:t>.</w:t>
      </w:r>
    </w:p>
    <w:p>
      <w:pPr>
        <w:spacing w:line="360" w:lineRule="auto"/>
        <w:ind w:right="48" w:firstLine="0"/>
        <w:rPr>
          <w:rFonts w:ascii="Arial" w:hAnsi="Arial"/>
          <w:sz w:val="22"/>
          <w:szCs w:val="22"/>
        </w:rPr>
      </w:pPr>
    </w:p>
    <w:p>
      <w:pPr>
        <w:pStyle w:val="3"/>
        <w:numPr>
          <w:ilvl w:val="0"/>
          <w:numId w:val="0"/>
        </w:numPr>
        <w:spacing w:line="360" w:lineRule="auto"/>
        <w:ind w:left="0" w:firstLine="0"/>
        <w:rPr>
          <w:rFonts w:ascii="Arial" w:hAnsi="Arial"/>
          <w:sz w:val="22"/>
          <w:szCs w:val="22"/>
          <w:lang w:val="es-ES"/>
        </w:rPr>
      </w:pPr>
      <w:bookmarkStart w:id="14" w:name="_Toc141269107"/>
      <w:r>
        <w:rPr>
          <w:rFonts w:ascii="Arial" w:hAnsi="Arial"/>
          <w:b/>
          <w:bCs/>
          <w:color w:val="000000"/>
          <w:sz w:val="22"/>
          <w:szCs w:val="22"/>
          <w:lang w:val="es-ES"/>
        </w:rPr>
        <w:t>3.6 EQUIPO DE PRESURIZACIÓN</w:t>
      </w:r>
      <w:bookmarkEnd w:id="14"/>
    </w:p>
    <w:p>
      <w:pPr>
        <w:spacing w:line="360" w:lineRule="auto"/>
        <w:rPr>
          <w:rFonts w:ascii="Arial" w:hAnsi="Arial"/>
          <w:sz w:val="22"/>
          <w:szCs w:val="22"/>
        </w:rPr>
      </w:pPr>
      <w:r>
        <w:rPr>
          <w:rFonts w:ascii="Arial" w:hAnsi="Arial"/>
          <w:sz w:val="22"/>
          <w:szCs w:val="22"/>
        </w:rPr>
        <w:t>El sistema anti incendio corresponde a un grupo de presión completo para combate de incendio. Que debe suministrar 400 L/min contra 84 m.c.a. y una bomba Jockey que debe suministrar 30 L/s y 95 m.c.a. El equipo deberá ser un equipo homologado por la DNB para dicho punto de trabajo y de marca reconocida en plaza.</w:t>
      </w:r>
    </w:p>
    <w:p>
      <w:pPr>
        <w:spacing w:line="360" w:lineRule="auto"/>
        <w:rPr>
          <w:rFonts w:ascii="Arial" w:hAnsi="Arial"/>
          <w:sz w:val="22"/>
          <w:szCs w:val="22"/>
        </w:rPr>
      </w:pPr>
      <w:r>
        <w:rPr>
          <w:rFonts w:ascii="Arial" w:hAnsi="Arial"/>
          <w:sz w:val="22"/>
          <w:szCs w:val="22"/>
        </w:rPr>
        <w:t>La instalación hidráulica y eléctrica se deberá ajustar en un todo a lo indicado en el Brochure de dicho equipamiento. Todos los elementos hidráulicos o eléctricos utilizados deben ser aceptados por bomberos.</w:t>
      </w:r>
    </w:p>
    <w:p>
      <w:pPr>
        <w:spacing w:line="360" w:lineRule="auto"/>
        <w:rPr>
          <w:rFonts w:ascii="Arial" w:hAnsi="Arial"/>
          <w:sz w:val="22"/>
          <w:szCs w:val="22"/>
        </w:rPr>
      </w:pPr>
      <w:r>
        <w:rPr>
          <w:rFonts w:ascii="Arial" w:hAnsi="Arial"/>
          <w:sz w:val="22"/>
          <w:szCs w:val="22"/>
        </w:rPr>
        <w:t>El equipo de bombeo se conectará a la red eléctrica en un punto a indicar por la dirección de obra. La conexión prevista es de 230 V trifásic</w:t>
      </w:r>
    </w:p>
    <w:p>
      <w:pPr>
        <w:pStyle w:val="3"/>
        <w:numPr>
          <w:ilvl w:val="0"/>
          <w:numId w:val="0"/>
        </w:numPr>
        <w:spacing w:line="360" w:lineRule="auto"/>
        <w:ind w:left="0" w:firstLine="0"/>
        <w:rPr>
          <w:rFonts w:ascii="Arial" w:hAnsi="Arial"/>
          <w:sz w:val="22"/>
          <w:szCs w:val="22"/>
        </w:rPr>
      </w:pPr>
      <w:bookmarkStart w:id="15" w:name="_Toc141269108"/>
      <w:r>
        <w:rPr>
          <w:rFonts w:ascii="Arial" w:hAnsi="Arial"/>
          <w:b/>
          <w:bCs/>
          <w:color w:val="000000"/>
          <w:sz w:val="22"/>
          <w:szCs w:val="22"/>
        </w:rPr>
        <w:t>3.7 BOCAS DE INCENDIO EQUIPADAS</w:t>
      </w:r>
      <w:bookmarkEnd w:id="15"/>
    </w:p>
    <w:p>
      <w:pPr>
        <w:pStyle w:val="3"/>
        <w:numPr>
          <w:ilvl w:val="0"/>
          <w:numId w:val="0"/>
        </w:numPr>
        <w:spacing w:line="360" w:lineRule="auto"/>
        <w:ind w:left="0" w:firstLine="0"/>
        <w:rPr>
          <w:rFonts w:ascii="Arial" w:hAnsi="Arial"/>
          <w:sz w:val="22"/>
          <w:szCs w:val="22"/>
        </w:rPr>
      </w:pPr>
      <w:bookmarkStart w:id="16" w:name="_Toc141269109"/>
      <w:r>
        <w:rPr>
          <w:rFonts w:ascii="Arial" w:hAnsi="Arial"/>
          <w:b/>
          <w:bCs/>
          <w:color w:val="000000"/>
          <w:sz w:val="22"/>
          <w:szCs w:val="22"/>
        </w:rPr>
        <w:t>3.8 BOCAS DE INCENDIO</w:t>
      </w:r>
      <w:bookmarkEnd w:id="16"/>
      <w:r>
        <w:rPr>
          <w:rFonts w:ascii="Arial" w:hAnsi="Arial"/>
          <w:sz w:val="22"/>
          <w:szCs w:val="22"/>
        </w:rPr>
        <w:t xml:space="preserve"> </w:t>
      </w:r>
    </w:p>
    <w:p>
      <w:pPr>
        <w:spacing w:line="360" w:lineRule="auto"/>
        <w:rPr>
          <w:rFonts w:ascii="Arial" w:hAnsi="Arial"/>
          <w:sz w:val="22"/>
          <w:szCs w:val="22"/>
        </w:rPr>
      </w:pPr>
      <w:r>
        <w:rPr>
          <w:rFonts w:ascii="Arial" w:hAnsi="Arial"/>
          <w:sz w:val="22"/>
          <w:szCs w:val="22"/>
        </w:rPr>
        <w:t xml:space="preserve">En todos los pisos del edificio incluido el subsuelo se colocarán grifos de incendio, constituido por nichos de material incombustible, con puerta de cierre sencillo, la que abrirá hacia abajo o a los costados, la profundidad de los nichos será tal que albergue con holgura las mangueras y punteros. </w:t>
      </w:r>
    </w:p>
    <w:p>
      <w:pPr>
        <w:spacing w:line="360" w:lineRule="auto"/>
        <w:rPr>
          <w:rFonts w:ascii="Arial" w:hAnsi="Arial"/>
          <w:sz w:val="22"/>
          <w:szCs w:val="22"/>
        </w:rPr>
      </w:pPr>
      <w:r>
        <w:rPr>
          <w:rFonts w:ascii="Arial" w:hAnsi="Arial"/>
          <w:sz w:val="22"/>
          <w:szCs w:val="22"/>
        </w:rPr>
        <w:t>En total se colocarán 12 bocas de incendio nuevas. También se removerán las bocas existentes.</w:t>
      </w:r>
    </w:p>
    <w:p>
      <w:pPr>
        <w:spacing w:line="360" w:lineRule="auto"/>
        <w:rPr>
          <w:rFonts w:ascii="Arial" w:hAnsi="Arial"/>
          <w:sz w:val="22"/>
          <w:szCs w:val="22"/>
        </w:rPr>
      </w:pPr>
      <w:r>
        <w:rPr>
          <w:rFonts w:ascii="Arial" w:hAnsi="Arial"/>
          <w:sz w:val="22"/>
          <w:szCs w:val="22"/>
        </w:rPr>
        <w:t>Dichos grifos se instalarán en tomas de 45 mm en PB.</w:t>
      </w:r>
    </w:p>
    <w:p>
      <w:pPr>
        <w:spacing w:line="360" w:lineRule="auto"/>
        <w:rPr>
          <w:rFonts w:ascii="Arial" w:hAnsi="Arial"/>
          <w:sz w:val="22"/>
          <w:szCs w:val="22"/>
        </w:rPr>
      </w:pPr>
      <w:r>
        <w:rPr>
          <w:rFonts w:ascii="Arial" w:hAnsi="Arial"/>
          <w:b/>
          <w:bCs/>
          <w:color w:val="000000"/>
          <w:sz w:val="22"/>
          <w:szCs w:val="22"/>
        </w:rPr>
        <w:t>3.8.1 BOCAS DE 45 mm</w:t>
      </w:r>
    </w:p>
    <w:p>
      <w:pPr>
        <w:spacing w:line="360" w:lineRule="auto"/>
        <w:rPr>
          <w:rFonts w:ascii="Arial" w:hAnsi="Arial"/>
          <w:sz w:val="22"/>
          <w:szCs w:val="22"/>
        </w:rPr>
      </w:pPr>
      <w:r>
        <w:rPr>
          <w:rFonts w:ascii="Arial" w:hAnsi="Arial"/>
          <w:sz w:val="22"/>
          <w:szCs w:val="22"/>
        </w:rPr>
        <w:t>Las BI de 45 mm contarán con los siguientes elementos:</w:t>
      </w:r>
    </w:p>
    <w:p>
      <w:pPr>
        <w:spacing w:line="360" w:lineRule="auto"/>
        <w:rPr>
          <w:rFonts w:ascii="Arial" w:hAnsi="Arial"/>
          <w:sz w:val="22"/>
          <w:szCs w:val="22"/>
        </w:rPr>
      </w:pPr>
      <w:r>
        <w:rPr>
          <w:rFonts w:ascii="Arial" w:hAnsi="Arial"/>
          <w:sz w:val="22"/>
          <w:szCs w:val="22"/>
        </w:rPr>
        <w:t xml:space="preserve">Válvula tipo teatro  </w:t>
      </w:r>
      <w:r>
        <w:rPr>
          <w:rFonts w:ascii="Arial" w:hAnsi="Arial" w:eastAsia="Symbol" w:cs="Symbol"/>
          <w:b/>
          <w:bCs/>
          <w:sz w:val="22"/>
          <w:szCs w:val="22"/>
        </w:rPr>
        <w:t></w:t>
      </w:r>
      <w:r>
        <w:rPr>
          <w:rFonts w:ascii="Arial" w:hAnsi="Arial"/>
          <w:sz w:val="22"/>
          <w:szCs w:val="22"/>
        </w:rPr>
        <w:t xml:space="preserve"> 45 mm con salida a 45 grados.</w:t>
      </w:r>
    </w:p>
    <w:p>
      <w:pPr>
        <w:spacing w:line="360" w:lineRule="auto"/>
        <w:rPr>
          <w:rFonts w:ascii="Arial" w:hAnsi="Arial"/>
          <w:sz w:val="22"/>
          <w:szCs w:val="22"/>
        </w:rPr>
      </w:pPr>
      <w:r>
        <w:rPr>
          <w:rFonts w:ascii="Arial" w:hAnsi="Arial"/>
          <w:sz w:val="22"/>
          <w:szCs w:val="22"/>
        </w:rPr>
        <w:t xml:space="preserve">Manguera tipo marca Armtex  </w:t>
      </w:r>
      <w:r>
        <w:rPr>
          <w:rFonts w:ascii="Arial" w:hAnsi="Arial" w:eastAsia="Symbol" w:cs="Symbol"/>
          <w:b/>
          <w:bCs/>
          <w:sz w:val="22"/>
          <w:szCs w:val="22"/>
        </w:rPr>
        <w:t></w:t>
      </w:r>
      <w:r>
        <w:rPr>
          <w:rFonts w:ascii="Arial" w:hAnsi="Arial"/>
          <w:sz w:val="22"/>
          <w:szCs w:val="22"/>
        </w:rPr>
        <w:t xml:space="preserve"> 45 mm de 25 mts</w:t>
      </w:r>
    </w:p>
    <w:p>
      <w:pPr>
        <w:spacing w:line="360" w:lineRule="auto"/>
        <w:rPr>
          <w:rFonts w:ascii="Arial" w:hAnsi="Arial"/>
          <w:sz w:val="22"/>
          <w:szCs w:val="22"/>
        </w:rPr>
      </w:pPr>
      <w:r>
        <w:rPr>
          <w:rFonts w:ascii="Arial" w:hAnsi="Arial"/>
          <w:sz w:val="22"/>
          <w:szCs w:val="22"/>
        </w:rPr>
        <w:t xml:space="preserve">Lanza con pico chorro niebla </w:t>
      </w:r>
      <w:r>
        <w:rPr>
          <w:rFonts w:ascii="Arial" w:hAnsi="Arial" w:eastAsia="Symbol" w:cs="Symbol"/>
          <w:b/>
          <w:bCs/>
          <w:sz w:val="22"/>
          <w:szCs w:val="22"/>
        </w:rPr>
        <w:t></w:t>
      </w:r>
      <w:r>
        <w:rPr>
          <w:rFonts w:ascii="Arial" w:hAnsi="Arial"/>
          <w:sz w:val="22"/>
          <w:szCs w:val="22"/>
        </w:rPr>
        <w:t xml:space="preserve"> 45 mm</w:t>
      </w:r>
    </w:p>
    <w:p>
      <w:pPr>
        <w:spacing w:line="360" w:lineRule="auto"/>
        <w:rPr>
          <w:rFonts w:ascii="Arial" w:hAnsi="Arial"/>
          <w:sz w:val="22"/>
          <w:szCs w:val="22"/>
        </w:rPr>
      </w:pPr>
      <w:r>
        <w:rPr>
          <w:rFonts w:ascii="Arial" w:hAnsi="Arial"/>
          <w:sz w:val="22"/>
          <w:szCs w:val="22"/>
        </w:rPr>
        <w:t>Gabinete.</w:t>
      </w:r>
    </w:p>
    <w:p>
      <w:pPr>
        <w:spacing w:line="360" w:lineRule="auto"/>
        <w:rPr>
          <w:rFonts w:ascii="Arial" w:hAnsi="Arial"/>
          <w:sz w:val="22"/>
          <w:szCs w:val="22"/>
        </w:rPr>
      </w:pPr>
      <w:r>
        <w:rPr>
          <w:rFonts w:ascii="Arial" w:hAnsi="Arial"/>
          <w:sz w:val="22"/>
          <w:szCs w:val="22"/>
        </w:rPr>
        <w:t>Todos estos elementos deben ser homologados por DNB.</w:t>
      </w:r>
    </w:p>
    <w:p>
      <w:pPr>
        <w:spacing w:line="360" w:lineRule="auto"/>
        <w:rPr>
          <w:rFonts w:ascii="Arial" w:hAnsi="Arial"/>
          <w:sz w:val="22"/>
          <w:szCs w:val="22"/>
        </w:rPr>
      </w:pPr>
    </w:p>
    <w:p>
      <w:pPr>
        <w:pStyle w:val="3"/>
        <w:numPr>
          <w:ilvl w:val="0"/>
          <w:numId w:val="0"/>
        </w:numPr>
        <w:spacing w:line="360" w:lineRule="auto"/>
        <w:ind w:left="0" w:firstLine="0"/>
        <w:rPr>
          <w:rFonts w:ascii="Arial" w:hAnsi="Arial"/>
          <w:sz w:val="22"/>
          <w:szCs w:val="22"/>
        </w:rPr>
      </w:pPr>
      <w:bookmarkStart w:id="17" w:name="_Toc141269110"/>
      <w:r>
        <w:rPr>
          <w:rFonts w:ascii="Arial" w:hAnsi="Arial"/>
          <w:b/>
          <w:bCs/>
          <w:color w:val="000000"/>
          <w:sz w:val="22"/>
          <w:szCs w:val="22"/>
        </w:rPr>
        <w:t xml:space="preserve">3.9 VÁLVULA TIPO TEATRO </w:t>
      </w:r>
      <w:r>
        <w:rPr>
          <w:rFonts w:ascii="Arial" w:hAnsi="Arial" w:eastAsia="Symbol" w:cs="Symbol"/>
          <w:b/>
          <w:bCs/>
          <w:color w:val="000000"/>
          <w:sz w:val="22"/>
          <w:szCs w:val="22"/>
        </w:rPr>
        <w:t></w:t>
      </w:r>
      <w:r>
        <w:rPr>
          <w:rFonts w:ascii="Arial" w:hAnsi="Arial"/>
          <w:b/>
          <w:bCs/>
          <w:color w:val="000000"/>
          <w:sz w:val="22"/>
          <w:szCs w:val="22"/>
        </w:rPr>
        <w:t xml:space="preserve"> 45 mm</w:t>
      </w:r>
      <w:bookmarkEnd w:id="17"/>
    </w:p>
    <w:p>
      <w:pPr>
        <w:spacing w:line="360" w:lineRule="auto"/>
        <w:rPr>
          <w:rFonts w:ascii="Arial" w:hAnsi="Arial"/>
          <w:sz w:val="22"/>
          <w:szCs w:val="22"/>
        </w:rPr>
      </w:pPr>
      <w:r>
        <w:rPr>
          <w:rFonts w:ascii="Arial" w:hAnsi="Arial"/>
          <w:sz w:val="22"/>
          <w:szCs w:val="22"/>
        </w:rPr>
        <w:t>Las bocas de incendio a instalar serán de bronce, de 45 mm de diámetro interno, del tipo teatro, con salida a 45 grados, y se colocarán a 1,2 m del nivel del piso en todos los casos.</w:t>
      </w:r>
    </w:p>
    <w:p>
      <w:pPr>
        <w:spacing w:line="360" w:lineRule="auto"/>
        <w:rPr>
          <w:rFonts w:ascii="Arial" w:hAnsi="Arial"/>
          <w:sz w:val="22"/>
          <w:szCs w:val="22"/>
        </w:rPr>
      </w:pPr>
      <w:r>
        <w:rPr>
          <w:rFonts w:ascii="Arial" w:hAnsi="Arial"/>
          <w:sz w:val="22"/>
          <w:szCs w:val="22"/>
        </w:rPr>
        <w:t>La boca para manguera será con rosca de 5 h/1" y contará con tapa y cadena de seguridad. Las mismas tendrán que ser de primera calidad, marca TGB o similar.</w:t>
      </w:r>
    </w:p>
    <w:p>
      <w:pPr>
        <w:pStyle w:val="3"/>
        <w:numPr>
          <w:ilvl w:val="0"/>
          <w:numId w:val="0"/>
        </w:numPr>
        <w:spacing w:line="360" w:lineRule="auto"/>
        <w:ind w:left="0" w:firstLine="0"/>
        <w:rPr>
          <w:rFonts w:ascii="Arial" w:hAnsi="Arial"/>
          <w:sz w:val="22"/>
          <w:szCs w:val="22"/>
        </w:rPr>
      </w:pPr>
      <w:bookmarkStart w:id="18" w:name="_Toc141269111"/>
      <w:r>
        <w:rPr>
          <w:rFonts w:ascii="Arial" w:hAnsi="Arial"/>
          <w:b/>
          <w:bCs/>
          <w:color w:val="000000"/>
          <w:sz w:val="22"/>
          <w:szCs w:val="22"/>
        </w:rPr>
        <w:t>3.10 MANGUERAS 45 mm</w:t>
      </w:r>
      <w:bookmarkEnd w:id="18"/>
    </w:p>
    <w:p>
      <w:pPr>
        <w:spacing w:line="360" w:lineRule="auto"/>
        <w:rPr>
          <w:rFonts w:ascii="Arial" w:hAnsi="Arial"/>
          <w:sz w:val="22"/>
          <w:szCs w:val="22"/>
        </w:rPr>
      </w:pPr>
      <w:r>
        <w:rPr>
          <w:rFonts w:ascii="Arial" w:hAnsi="Arial"/>
          <w:sz w:val="22"/>
          <w:szCs w:val="22"/>
        </w:rPr>
        <w:t>Serán de 45 mm y tendrán 25 m de longitud. Serán fabricadas totalmente en material sintético con revestimiento interior y exterior de látex  tipo marca ARMTEX o similar, y responderán a las normas IRAM 3548, o contarán con sello UL (Underwriters Laboratories). Todas las mangueras contarán con las uniones storz correspondientes.</w:t>
      </w:r>
    </w:p>
    <w:p>
      <w:pPr>
        <w:pStyle w:val="3"/>
        <w:numPr>
          <w:ilvl w:val="0"/>
          <w:numId w:val="0"/>
        </w:numPr>
        <w:spacing w:line="360" w:lineRule="auto"/>
        <w:ind w:left="0" w:firstLine="0"/>
        <w:rPr>
          <w:rFonts w:ascii="Arial" w:hAnsi="Arial"/>
          <w:sz w:val="22"/>
          <w:szCs w:val="22"/>
        </w:rPr>
      </w:pPr>
      <w:bookmarkStart w:id="19" w:name="_Toc141269112"/>
      <w:r>
        <w:rPr>
          <w:rFonts w:ascii="Arial" w:hAnsi="Arial"/>
          <w:b/>
          <w:bCs/>
          <w:color w:val="000000"/>
          <w:sz w:val="22"/>
          <w:szCs w:val="22"/>
        </w:rPr>
        <w:t>3.11 LANZAS</w:t>
      </w:r>
      <w:bookmarkEnd w:id="19"/>
    </w:p>
    <w:p>
      <w:pPr>
        <w:spacing w:line="360" w:lineRule="auto"/>
        <w:rPr>
          <w:rFonts w:ascii="Arial" w:hAnsi="Arial"/>
          <w:sz w:val="22"/>
          <w:szCs w:val="22"/>
        </w:rPr>
      </w:pPr>
      <w:r>
        <w:rPr>
          <w:rFonts w:ascii="Arial" w:hAnsi="Arial"/>
          <w:sz w:val="22"/>
          <w:szCs w:val="22"/>
        </w:rPr>
        <w:t>Serán de 45 mm de diámetro con boquilla de chorro regulable (chorro pleno-niebla) en todos los casos y aprobadas por DNB.</w:t>
      </w:r>
    </w:p>
    <w:p>
      <w:pPr>
        <w:pStyle w:val="3"/>
        <w:numPr>
          <w:ilvl w:val="0"/>
          <w:numId w:val="0"/>
        </w:numPr>
        <w:spacing w:line="360" w:lineRule="auto"/>
        <w:ind w:left="0" w:firstLine="0"/>
        <w:rPr>
          <w:rFonts w:ascii="Arial" w:hAnsi="Arial"/>
          <w:sz w:val="22"/>
          <w:szCs w:val="22"/>
        </w:rPr>
      </w:pPr>
      <w:bookmarkStart w:id="20" w:name="_Toc141269113"/>
      <w:r>
        <w:rPr>
          <w:rFonts w:ascii="Arial" w:hAnsi="Arial"/>
          <w:b/>
          <w:bCs/>
          <w:color w:val="000000"/>
          <w:sz w:val="22"/>
          <w:szCs w:val="22"/>
        </w:rPr>
        <w:t>3.12 GABINETES</w:t>
      </w:r>
      <w:bookmarkEnd w:id="20"/>
    </w:p>
    <w:p>
      <w:pPr>
        <w:spacing w:line="360" w:lineRule="auto"/>
        <w:rPr>
          <w:rFonts w:ascii="Arial" w:hAnsi="Arial"/>
          <w:sz w:val="22"/>
          <w:szCs w:val="22"/>
        </w:rPr>
      </w:pPr>
      <w:r>
        <w:rPr>
          <w:rFonts w:ascii="Arial" w:hAnsi="Arial"/>
          <w:sz w:val="22"/>
          <w:szCs w:val="22"/>
        </w:rPr>
        <w:t xml:space="preserve">Los mismos serán construidos íntegramente en chapa de hierro negro 18 con puerta de chapa y ventana de acrílico. </w:t>
      </w:r>
    </w:p>
    <w:p>
      <w:pPr>
        <w:spacing w:line="360" w:lineRule="auto"/>
        <w:rPr>
          <w:rFonts w:ascii="Arial" w:hAnsi="Arial"/>
          <w:sz w:val="22"/>
          <w:szCs w:val="22"/>
        </w:rPr>
      </w:pPr>
      <w:r>
        <w:rPr>
          <w:rFonts w:ascii="Arial" w:hAnsi="Arial"/>
          <w:sz w:val="22"/>
          <w:szCs w:val="22"/>
        </w:rPr>
        <w:t>Las dimensiones se ajustarán a lo solicitado por la Dirección Nacional de Bomberos.</w:t>
      </w:r>
    </w:p>
    <w:p>
      <w:pPr>
        <w:spacing w:line="360" w:lineRule="auto"/>
        <w:rPr>
          <w:rFonts w:ascii="Arial" w:hAnsi="Arial"/>
          <w:sz w:val="22"/>
          <w:szCs w:val="22"/>
        </w:rPr>
      </w:pPr>
      <w:r>
        <w:rPr>
          <w:rFonts w:ascii="Arial" w:hAnsi="Arial"/>
          <w:sz w:val="22"/>
          <w:szCs w:val="22"/>
        </w:rPr>
        <w:t>Se efectuarán en un todo de acuerdo a los planos que se acompañan con esta especificación.</w:t>
      </w:r>
    </w:p>
    <w:p>
      <w:pPr>
        <w:spacing w:line="360" w:lineRule="auto"/>
        <w:rPr>
          <w:rFonts w:ascii="Arial" w:hAnsi="Arial"/>
          <w:sz w:val="22"/>
          <w:szCs w:val="22"/>
        </w:rPr>
      </w:pPr>
      <w:r>
        <w:rPr>
          <w:rFonts w:ascii="Arial" w:hAnsi="Arial"/>
          <w:sz w:val="22"/>
          <w:szCs w:val="22"/>
        </w:rPr>
        <w:t>Las superficies metálicas de los gabinetes estarán protegidas de la siguiente manera:</w:t>
      </w:r>
    </w:p>
    <w:p>
      <w:pPr>
        <w:widowControl w:val="0"/>
        <w:numPr>
          <w:ilvl w:val="0"/>
          <w:numId w:val="18"/>
        </w:numPr>
        <w:spacing w:before="0" w:after="0" w:line="360" w:lineRule="auto"/>
        <w:ind w:left="1429" w:right="48" w:hanging="360"/>
        <w:rPr>
          <w:rFonts w:ascii="Arial" w:hAnsi="Arial"/>
          <w:sz w:val="22"/>
          <w:szCs w:val="22"/>
        </w:rPr>
      </w:pPr>
      <w:r>
        <w:rPr>
          <w:rFonts w:ascii="Arial" w:hAnsi="Arial"/>
          <w:sz w:val="22"/>
          <w:szCs w:val="22"/>
        </w:rPr>
        <w:t>Dos manos de anti óxido</w:t>
      </w:r>
    </w:p>
    <w:p>
      <w:pPr>
        <w:widowControl w:val="0"/>
        <w:numPr>
          <w:ilvl w:val="0"/>
          <w:numId w:val="18"/>
        </w:numPr>
        <w:spacing w:before="0" w:after="0" w:line="360" w:lineRule="auto"/>
        <w:ind w:left="1429" w:right="48" w:hanging="360"/>
        <w:rPr>
          <w:rFonts w:ascii="Arial" w:hAnsi="Arial"/>
          <w:sz w:val="22"/>
          <w:szCs w:val="22"/>
        </w:rPr>
      </w:pPr>
      <w:r>
        <w:rPr>
          <w:rFonts w:ascii="Arial" w:hAnsi="Arial"/>
          <w:sz w:val="22"/>
          <w:szCs w:val="22"/>
        </w:rPr>
        <w:t>Dos manos de esmalte sintético bermellón</w:t>
      </w:r>
    </w:p>
    <w:p>
      <w:pPr>
        <w:pStyle w:val="3"/>
        <w:numPr>
          <w:ilvl w:val="0"/>
          <w:numId w:val="0"/>
        </w:numPr>
        <w:spacing w:line="360" w:lineRule="auto"/>
        <w:ind w:left="0" w:firstLine="0"/>
        <w:rPr>
          <w:rFonts w:ascii="Arial" w:hAnsi="Arial"/>
          <w:sz w:val="22"/>
          <w:szCs w:val="22"/>
        </w:rPr>
      </w:pPr>
      <w:bookmarkStart w:id="21" w:name="_Toc141269114"/>
      <w:r>
        <w:rPr>
          <w:rFonts w:ascii="Arial" w:hAnsi="Arial"/>
          <w:b/>
          <w:bCs/>
          <w:color w:val="000000"/>
          <w:sz w:val="22"/>
          <w:szCs w:val="22"/>
        </w:rPr>
        <w:t>3.13 LLAVE DE AJUSTE</w:t>
      </w:r>
      <w:bookmarkEnd w:id="21"/>
    </w:p>
    <w:p>
      <w:pPr>
        <w:spacing w:line="360" w:lineRule="auto"/>
        <w:rPr>
          <w:rFonts w:ascii="Arial" w:hAnsi="Arial"/>
          <w:sz w:val="22"/>
          <w:szCs w:val="22"/>
        </w:rPr>
      </w:pPr>
      <w:r>
        <w:rPr>
          <w:rFonts w:ascii="Arial" w:hAnsi="Arial"/>
          <w:sz w:val="22"/>
          <w:szCs w:val="22"/>
        </w:rPr>
        <w:t>Serán incluidas en cada gabinete, y del tamaño adecuado a la manguera a instalar.</w:t>
      </w:r>
    </w:p>
    <w:p>
      <w:pPr>
        <w:spacing w:line="360" w:lineRule="auto"/>
        <w:rPr>
          <w:rFonts w:ascii="Arial" w:hAnsi="Arial"/>
          <w:sz w:val="22"/>
          <w:szCs w:val="22"/>
        </w:rPr>
      </w:pPr>
      <w:r>
        <w:rPr>
          <w:rFonts w:ascii="Arial" w:hAnsi="Arial"/>
          <w:b/>
          <w:bCs/>
          <w:color w:val="000000"/>
          <w:sz w:val="22"/>
          <w:szCs w:val="22"/>
        </w:rPr>
        <w:t>3.13.1 Mantenimiento del sistema</w:t>
      </w:r>
    </w:p>
    <w:p>
      <w:pPr>
        <w:spacing w:line="360" w:lineRule="auto"/>
        <w:rPr>
          <w:rFonts w:ascii="Arial" w:hAnsi="Arial"/>
          <w:sz w:val="22"/>
          <w:szCs w:val="22"/>
        </w:rPr>
      </w:pPr>
      <w:r>
        <w:rPr>
          <w:rFonts w:ascii="Arial" w:hAnsi="Arial"/>
          <w:sz w:val="22"/>
          <w:szCs w:val="22"/>
        </w:rPr>
        <w:t>El mantenimiento y la buena conservación del sistema es responsabilidad exclusiva del propietario.</w:t>
      </w:r>
    </w:p>
    <w:p>
      <w:pPr>
        <w:spacing w:line="360" w:lineRule="auto"/>
        <w:rPr>
          <w:rFonts w:ascii="Arial" w:hAnsi="Arial"/>
          <w:sz w:val="22"/>
          <w:szCs w:val="22"/>
        </w:rPr>
      </w:pPr>
      <w:r>
        <w:rPr>
          <w:rFonts w:ascii="Arial" w:hAnsi="Arial"/>
          <w:sz w:val="22"/>
          <w:szCs w:val="22"/>
        </w:rPr>
        <w:t xml:space="preserve">A continuación, se presentan a modo indicativo aquellas tareas a realizar en forma periódica. </w:t>
      </w:r>
    </w:p>
    <w:p>
      <w:pPr>
        <w:spacing w:line="360" w:lineRule="auto"/>
        <w:rPr>
          <w:rFonts w:ascii="Arial" w:hAnsi="Arial"/>
          <w:sz w:val="22"/>
          <w:szCs w:val="22"/>
        </w:rPr>
      </w:pPr>
      <w:r>
        <w:rPr>
          <w:rFonts w:ascii="Arial" w:hAnsi="Arial"/>
          <w:sz w:val="22"/>
          <w:szCs w:val="22"/>
        </w:rPr>
        <w:t>Tareas de periodicidad anual:</w:t>
      </w:r>
    </w:p>
    <w:p>
      <w:pPr>
        <w:spacing w:line="360" w:lineRule="auto"/>
        <w:rPr>
          <w:rFonts w:ascii="Arial" w:hAnsi="Arial"/>
          <w:sz w:val="22"/>
          <w:szCs w:val="22"/>
        </w:rPr>
      </w:pPr>
      <w:r>
        <w:rPr>
          <w:rFonts w:ascii="Arial" w:hAnsi="Arial"/>
          <w:sz w:val="22"/>
          <w:szCs w:val="22"/>
        </w:rPr>
        <w:t>A) Estado general, daños mecánicos, perdidas, corrosión y des alineamiento.</w:t>
      </w:r>
    </w:p>
    <w:p>
      <w:pPr>
        <w:spacing w:line="360" w:lineRule="auto"/>
        <w:rPr>
          <w:rFonts w:ascii="Arial" w:hAnsi="Arial"/>
          <w:sz w:val="22"/>
          <w:szCs w:val="22"/>
        </w:rPr>
      </w:pPr>
      <w:r>
        <w:rPr>
          <w:rFonts w:ascii="Arial" w:hAnsi="Arial"/>
          <w:sz w:val="22"/>
          <w:szCs w:val="22"/>
        </w:rPr>
        <w:t>B) Libres de elementos apoyados o colgados.</w:t>
      </w:r>
    </w:p>
    <w:p>
      <w:pPr>
        <w:spacing w:line="360" w:lineRule="auto"/>
        <w:rPr>
          <w:rFonts w:ascii="Arial" w:hAnsi="Arial"/>
          <w:sz w:val="22"/>
          <w:szCs w:val="22"/>
        </w:rPr>
      </w:pPr>
      <w:r>
        <w:rPr>
          <w:rFonts w:ascii="Arial" w:hAnsi="Arial"/>
          <w:sz w:val="22"/>
          <w:szCs w:val="22"/>
        </w:rPr>
        <w:t>C) Tuberías ubicadas en cielorrasos no requieren inspección.</w:t>
      </w:r>
    </w:p>
    <w:p>
      <w:pPr>
        <w:spacing w:line="360" w:lineRule="auto"/>
        <w:rPr>
          <w:rFonts w:ascii="Arial" w:hAnsi="Arial"/>
          <w:sz w:val="22"/>
          <w:szCs w:val="22"/>
        </w:rPr>
      </w:pPr>
      <w:r>
        <w:rPr>
          <w:rFonts w:ascii="Arial" w:hAnsi="Arial"/>
          <w:sz w:val="22"/>
          <w:szCs w:val="22"/>
        </w:rPr>
        <w:t>D) Prueba de la Estaciones de control:</w:t>
      </w:r>
    </w:p>
    <w:p>
      <w:pPr>
        <w:spacing w:line="360" w:lineRule="auto"/>
        <w:rPr>
          <w:rFonts w:ascii="Arial" w:hAnsi="Arial"/>
          <w:sz w:val="22"/>
          <w:szCs w:val="22"/>
        </w:rPr>
      </w:pPr>
      <w:r>
        <w:rPr>
          <w:rFonts w:ascii="Arial" w:hAnsi="Arial"/>
          <w:sz w:val="22"/>
          <w:szCs w:val="22"/>
        </w:rPr>
        <w:t>E) Registro de la presión del manómetro instalado frente a la válvula de drenaje.</w:t>
      </w:r>
    </w:p>
    <w:p>
      <w:pPr>
        <w:spacing w:line="360" w:lineRule="auto"/>
        <w:rPr>
          <w:rFonts w:ascii="Arial" w:hAnsi="Arial"/>
          <w:sz w:val="22"/>
          <w:szCs w:val="22"/>
        </w:rPr>
      </w:pPr>
      <w:r>
        <w:rPr>
          <w:rFonts w:ascii="Arial" w:hAnsi="Arial"/>
          <w:sz w:val="22"/>
          <w:szCs w:val="22"/>
        </w:rPr>
        <w:t>F) Apertura total de la válvula de drenaje de la estación de control (ECA).</w:t>
      </w:r>
    </w:p>
    <w:p>
      <w:pPr>
        <w:spacing w:line="360" w:lineRule="auto"/>
        <w:rPr>
          <w:rFonts w:ascii="Arial" w:hAnsi="Arial"/>
          <w:sz w:val="22"/>
          <w:szCs w:val="22"/>
        </w:rPr>
      </w:pPr>
      <w:r>
        <w:rPr>
          <w:rFonts w:ascii="Arial" w:hAnsi="Arial"/>
          <w:sz w:val="22"/>
          <w:szCs w:val="22"/>
        </w:rPr>
        <w:t>G) Registro de la nueva presión en el manómetro.</w:t>
      </w:r>
    </w:p>
    <w:p>
      <w:pPr>
        <w:spacing w:line="360" w:lineRule="auto"/>
        <w:rPr>
          <w:rFonts w:ascii="Arial" w:hAnsi="Arial"/>
          <w:sz w:val="22"/>
          <w:szCs w:val="22"/>
        </w:rPr>
      </w:pPr>
      <w:r>
        <w:rPr>
          <w:rFonts w:ascii="Arial" w:hAnsi="Arial"/>
          <w:sz w:val="22"/>
          <w:szCs w:val="22"/>
        </w:rPr>
        <w:t>H) Cierre lento de la válvula de drenaje.</w:t>
      </w:r>
    </w:p>
    <w:p>
      <w:pPr>
        <w:spacing w:line="360" w:lineRule="auto"/>
        <w:rPr>
          <w:rFonts w:ascii="Arial" w:hAnsi="Arial"/>
          <w:sz w:val="22"/>
          <w:szCs w:val="22"/>
        </w:rPr>
      </w:pPr>
      <w:r>
        <w:rPr>
          <w:rFonts w:ascii="Arial" w:hAnsi="Arial"/>
          <w:sz w:val="22"/>
          <w:szCs w:val="22"/>
        </w:rPr>
        <w:t>I) Registro del tiempo en llegar a la presión de alimentación original.</w:t>
      </w:r>
    </w:p>
    <w:p>
      <w:pPr>
        <w:spacing w:line="360" w:lineRule="auto"/>
        <w:rPr>
          <w:rFonts w:ascii="Arial" w:hAnsi="Arial"/>
          <w:sz w:val="22"/>
          <w:szCs w:val="22"/>
        </w:rPr>
      </w:pPr>
      <w:r>
        <w:rPr>
          <w:rFonts w:ascii="Arial" w:hAnsi="Arial"/>
          <w:sz w:val="22"/>
          <w:szCs w:val="22"/>
        </w:rPr>
        <w:t>Tareas de periodicidad semanal</w:t>
      </w:r>
    </w:p>
    <w:p>
      <w:pPr>
        <w:spacing w:line="360" w:lineRule="auto"/>
        <w:rPr>
          <w:rFonts w:ascii="Arial" w:hAnsi="Arial"/>
          <w:sz w:val="22"/>
          <w:szCs w:val="22"/>
        </w:rPr>
      </w:pPr>
      <w:r>
        <w:rPr>
          <w:rFonts w:ascii="Arial" w:hAnsi="Arial"/>
          <w:sz w:val="22"/>
          <w:szCs w:val="22"/>
        </w:rPr>
        <w:t>A) Verificar en forma visual las válvulas del sistema.</w:t>
      </w:r>
    </w:p>
    <w:p>
      <w:pPr>
        <w:spacing w:line="360" w:lineRule="auto"/>
        <w:rPr>
          <w:rFonts w:ascii="Arial" w:hAnsi="Arial"/>
          <w:sz w:val="22"/>
          <w:szCs w:val="22"/>
        </w:rPr>
      </w:pPr>
      <w:r>
        <w:rPr>
          <w:rFonts w:ascii="Arial" w:hAnsi="Arial"/>
          <w:sz w:val="22"/>
          <w:szCs w:val="22"/>
        </w:rPr>
        <w:t>B) Verificar que estén abiertas o cerradas según corresponda.</w:t>
      </w:r>
    </w:p>
    <w:p>
      <w:pPr>
        <w:spacing w:line="360" w:lineRule="auto"/>
        <w:rPr>
          <w:rFonts w:ascii="Arial" w:hAnsi="Arial"/>
          <w:sz w:val="22"/>
          <w:szCs w:val="22"/>
        </w:rPr>
      </w:pPr>
      <w:r>
        <w:rPr>
          <w:rFonts w:ascii="Arial" w:hAnsi="Arial"/>
          <w:sz w:val="22"/>
          <w:szCs w:val="22"/>
        </w:rPr>
        <w:t>C) Verificar la accesibilidad.</w:t>
      </w:r>
    </w:p>
    <w:p>
      <w:pPr>
        <w:spacing w:line="360" w:lineRule="auto"/>
        <w:rPr>
          <w:rFonts w:ascii="Arial" w:hAnsi="Arial"/>
          <w:sz w:val="22"/>
          <w:szCs w:val="22"/>
        </w:rPr>
      </w:pPr>
      <w:r>
        <w:rPr>
          <w:rFonts w:ascii="Arial" w:hAnsi="Arial"/>
          <w:sz w:val="22"/>
          <w:szCs w:val="22"/>
        </w:rPr>
        <w:t>D) Llaves de maniobra listas.</w:t>
      </w:r>
    </w:p>
    <w:p>
      <w:pPr>
        <w:spacing w:line="360" w:lineRule="auto"/>
        <w:rPr>
          <w:rFonts w:ascii="Arial" w:hAnsi="Arial"/>
          <w:sz w:val="22"/>
          <w:szCs w:val="22"/>
        </w:rPr>
      </w:pPr>
      <w:r>
        <w:rPr>
          <w:rFonts w:ascii="Arial" w:hAnsi="Arial"/>
          <w:sz w:val="22"/>
          <w:szCs w:val="22"/>
        </w:rPr>
        <w:t>E) Sin perdidas exteriores.</w:t>
      </w:r>
    </w:p>
    <w:p>
      <w:pPr>
        <w:spacing w:line="360" w:lineRule="auto"/>
        <w:rPr>
          <w:rFonts w:ascii="Arial" w:hAnsi="Arial"/>
          <w:sz w:val="22"/>
          <w:szCs w:val="22"/>
        </w:rPr>
      </w:pPr>
      <w:r>
        <w:rPr>
          <w:rFonts w:ascii="Arial" w:hAnsi="Arial" w:cs="Calibri"/>
          <w:sz w:val="22"/>
          <w:szCs w:val="22"/>
          <w:lang w:eastAsia="es-UY"/>
        </w:rPr>
        <w:t>F) Identificación.</w:t>
      </w:r>
    </w:p>
    <w:p>
      <w:pPr>
        <w:spacing w:line="360" w:lineRule="auto"/>
        <w:rPr>
          <w:rFonts w:ascii="Arial" w:hAnsi="Arial"/>
          <w:sz w:val="22"/>
          <w:szCs w:val="22"/>
        </w:rPr>
      </w:pPr>
    </w:p>
    <w:p>
      <w:pPr>
        <w:spacing w:line="360" w:lineRule="auto"/>
        <w:rPr>
          <w:rFonts w:ascii="Arial" w:hAnsi="Arial"/>
          <w:sz w:val="22"/>
          <w:szCs w:val="22"/>
        </w:rPr>
      </w:pPr>
    </w:p>
    <w:p>
      <w:pPr>
        <w:spacing w:line="360" w:lineRule="auto"/>
        <w:rPr>
          <w:rFonts w:ascii="Arial" w:hAnsi="Arial"/>
          <w:sz w:val="22"/>
          <w:szCs w:val="22"/>
        </w:rPr>
      </w:pPr>
    </w:p>
    <w:p>
      <w:pPr>
        <w:spacing w:line="360" w:lineRule="auto"/>
        <w:rPr>
          <w:rFonts w:ascii="Arial" w:hAnsi="Arial"/>
          <w:sz w:val="22"/>
          <w:szCs w:val="22"/>
        </w:rPr>
      </w:pPr>
    </w:p>
    <w:p>
      <w:pPr>
        <w:spacing w:line="360" w:lineRule="auto"/>
        <w:jc w:val="left"/>
        <w:rPr>
          <w:rFonts w:ascii="Arial" w:hAnsi="Arial"/>
          <w:sz w:val="22"/>
          <w:szCs w:val="22"/>
        </w:rPr>
      </w:pPr>
      <w:r>
        <w:rPr>
          <w:rFonts w:ascii="Arial" w:hAnsi="Arial"/>
          <w:b/>
          <w:bCs/>
          <w:sz w:val="22"/>
          <w:szCs w:val="22"/>
        </w:rPr>
        <w:t>ANEXO X:</w:t>
      </w:r>
    </w:p>
    <w:p>
      <w:pPr>
        <w:spacing w:line="360" w:lineRule="auto"/>
        <w:jc w:val="center"/>
        <w:rPr>
          <w:rFonts w:ascii="Arial" w:hAnsi="Arial"/>
          <w:b/>
          <w:bCs/>
          <w:sz w:val="22"/>
          <w:szCs w:val="22"/>
        </w:rPr>
      </w:pPr>
      <w:r>
        <w:rPr>
          <w:rFonts w:ascii="Arial" w:hAnsi="Arial"/>
          <w:b/>
          <w:bCs/>
          <w:sz w:val="22"/>
          <w:szCs w:val="22"/>
        </w:rPr>
        <w:t>PLANOS DEL EDIFICIO:</w:t>
      </w:r>
    </w:p>
    <w:p>
      <w:pPr>
        <w:spacing w:line="360" w:lineRule="auto"/>
        <w:rPr>
          <w:rFonts w:ascii="Arial" w:hAnsi="Arial"/>
          <w:sz w:val="22"/>
          <w:szCs w:val="22"/>
        </w:rPr>
      </w:pPr>
      <w:r>
        <w:rPr>
          <w:rFonts w:ascii="Arial" w:hAnsi="Arial"/>
          <w:sz w:val="22"/>
          <w:szCs w:val="22"/>
        </w:rPr>
        <w:drawing>
          <wp:anchor distT="0" distB="0" distL="0" distR="0" simplePos="0" relativeHeight="251659264" behindDoc="0" locked="0" layoutInCell="0" allowOverlap="1">
            <wp:simplePos x="0" y="0"/>
            <wp:positionH relativeFrom="column">
              <wp:posOffset>-361950</wp:posOffset>
            </wp:positionH>
            <wp:positionV relativeFrom="paragraph">
              <wp:posOffset>-9525</wp:posOffset>
            </wp:positionV>
            <wp:extent cx="6167755" cy="6105525"/>
            <wp:effectExtent l="0" t="0" r="0" b="0"/>
            <wp:wrapSquare wrapText="largest"/>
            <wp:docPr id="84" name="Image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21"/>
                    <pic:cNvPicPr>
                      <a:picLocks noChangeAspect="1" noChangeArrowheads="1"/>
                    </pic:cNvPicPr>
                  </pic:nvPicPr>
                  <pic:blipFill>
                    <a:blip r:embed="rId62"/>
                    <a:srcRect l="20344" t="11048" r="21285" b="15878"/>
                    <a:stretch>
                      <a:fillRect/>
                    </a:stretch>
                  </pic:blipFill>
                  <pic:spPr>
                    <a:xfrm>
                      <a:off x="0" y="0"/>
                      <a:ext cx="6167755" cy="6105525"/>
                    </a:xfrm>
                    <a:prstGeom prst="rect">
                      <a:avLst/>
                    </a:prstGeom>
                  </pic:spPr>
                </pic:pic>
              </a:graphicData>
            </a:graphic>
          </wp:anchor>
        </w:drawing>
      </w:r>
      <w:r>
        <w:rPr>
          <w:rFonts w:ascii="Arial" w:hAnsi="Arial"/>
          <w:sz w:val="22"/>
          <w:szCs w:val="22"/>
        </w:rPr>
        <w:drawing>
          <wp:anchor distT="0" distB="0" distL="0" distR="0" simplePos="0" relativeHeight="251659264" behindDoc="0" locked="0" layoutInCell="0" allowOverlap="1">
            <wp:simplePos x="0" y="0"/>
            <wp:positionH relativeFrom="column">
              <wp:posOffset>-278765</wp:posOffset>
            </wp:positionH>
            <wp:positionV relativeFrom="paragraph">
              <wp:posOffset>981710</wp:posOffset>
            </wp:positionV>
            <wp:extent cx="5868035" cy="4401185"/>
            <wp:effectExtent l="0" t="0" r="0" b="0"/>
            <wp:wrapSquare wrapText="largest"/>
            <wp:docPr id="85" name="Imagen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26"/>
                    <pic:cNvPicPr>
                      <a:picLocks noChangeAspect="1" noChangeArrowheads="1"/>
                    </pic:cNvPicPr>
                  </pic:nvPicPr>
                  <pic:blipFill>
                    <a:blip r:embed="rId63"/>
                    <a:srcRect l="37917" t="29680" r="20844" b="18964"/>
                    <a:stretch>
                      <a:fillRect/>
                    </a:stretch>
                  </pic:blipFill>
                  <pic:spPr>
                    <a:xfrm>
                      <a:off x="0" y="0"/>
                      <a:ext cx="5868035" cy="4401185"/>
                    </a:xfrm>
                    <a:prstGeom prst="rect">
                      <a:avLst/>
                    </a:prstGeom>
                  </pic:spPr>
                </pic:pic>
              </a:graphicData>
            </a:graphic>
          </wp:anchor>
        </w:drawing>
      </w:r>
    </w:p>
    <w:p>
      <w:pPr>
        <w:spacing w:before="0" w:after="160" w:line="360" w:lineRule="auto"/>
        <w:rPr>
          <w:rFonts w:ascii="Arial" w:hAnsi="Arial"/>
          <w:sz w:val="22"/>
          <w:szCs w:val="22"/>
        </w:rPr>
      </w:pPr>
      <w:r>
        <w:rPr>
          <w:rFonts w:ascii="Arial" w:hAnsi="Arial"/>
          <w:sz w:val="22"/>
          <w:szCs w:val="22"/>
        </w:rPr>
        <w:drawing>
          <wp:anchor distT="0" distB="0" distL="0" distR="0" simplePos="0" relativeHeight="251659264" behindDoc="0" locked="0" layoutInCell="0" allowOverlap="1">
            <wp:simplePos x="0" y="0"/>
            <wp:positionH relativeFrom="column">
              <wp:posOffset>-346710</wp:posOffset>
            </wp:positionH>
            <wp:positionV relativeFrom="paragraph">
              <wp:posOffset>635</wp:posOffset>
            </wp:positionV>
            <wp:extent cx="6087110" cy="5734685"/>
            <wp:effectExtent l="0" t="0" r="0" b="0"/>
            <wp:wrapSquare wrapText="largest"/>
            <wp:docPr id="86" name="Imagen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33"/>
                    <pic:cNvPicPr>
                      <a:picLocks noChangeAspect="1" noChangeArrowheads="1"/>
                    </pic:cNvPicPr>
                  </pic:nvPicPr>
                  <pic:blipFill>
                    <a:blip r:embed="rId64"/>
                    <a:srcRect l="29667" t="21396" r="12726" b="5624"/>
                    <a:stretch>
                      <a:fillRect/>
                    </a:stretch>
                  </pic:blipFill>
                  <pic:spPr>
                    <a:xfrm>
                      <a:off x="0" y="0"/>
                      <a:ext cx="6087110" cy="5734685"/>
                    </a:xfrm>
                    <a:prstGeom prst="rect">
                      <a:avLst/>
                    </a:prstGeom>
                  </pic:spPr>
                </pic:pic>
              </a:graphicData>
            </a:graphic>
          </wp:anchor>
        </w:drawing>
      </w:r>
    </w:p>
    <w:sectPr>
      <w:headerReference r:id="rId5" w:type="default"/>
      <w:footerReference r:id="rId6" w:type="default"/>
      <w:pgSz w:w="11906" w:h="16838"/>
      <w:pgMar w:top="765" w:right="1701" w:bottom="1969" w:left="1701" w:header="708" w:footer="1417" w:gutter="0"/>
      <w:pgNumType w:fmt="decimal"/>
      <w:cols w:space="720" w:num="1"/>
      <w:formProt w:val="0"/>
      <w:docGrid w:linePitch="360" w:charSpace="1638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等线">
    <w:altName w:val="Microsoft YaHei"/>
    <w:panose1 w:val="00000000000000000000"/>
    <w:charset w:val="86"/>
    <w:family w:val="auto"/>
    <w:pitch w:val="default"/>
    <w:sig w:usb0="00000000" w:usb1="00000000" w:usb2="00000000" w:usb3="00000000" w:csb0="00000000" w:csb1="00000000"/>
  </w:font>
  <w:font w:name="等线">
    <w:altName w:val="Microsoft YaHei"/>
    <w:panose1 w:val="00000000000000000000"/>
    <w:charset w:val="00"/>
    <w:family w:val="auto"/>
    <w:pitch w:val="default"/>
    <w:sig w:usb0="00000000" w:usb1="00000000" w:usb2="00000000" w:usb3="00000000" w:csb0="00000000" w:csb1="00000000"/>
  </w:font>
  <w:font w:name="等线 Light">
    <w:altName w:val="Liberation Mono"/>
    <w:panose1 w:val="00000000000000000000"/>
    <w:charset w:val="00"/>
    <w:family w:val="auto"/>
    <w:pitch w:val="default"/>
    <w:sig w:usb0="00000000" w:usb1="00000000" w:usb2="00000000" w:usb3="00000000" w:csb0="00000000" w:csb1="00000000"/>
  </w:font>
  <w:font w:name="Arial Unicode MS">
    <w:altName w:val="Arial"/>
    <w:panose1 w:val="00000000000000000000"/>
    <w:charset w:val="00"/>
    <w:family w:val="auto"/>
    <w:pitch w:val="default"/>
    <w:sig w:usb0="00000000" w:usb1="00000000" w:usb2="00000000" w:usb3="00000000" w:csb0="00000000" w:csb1="00000000"/>
  </w:font>
  <w:font w:name="Segoe UI">
    <w:panose1 w:val="020B0502040204020203"/>
    <w:charset w:val="00"/>
    <w:family w:val="roman"/>
    <w:pitch w:val="default"/>
    <w:sig w:usb0="E4002EFF" w:usb1="C000E47F" w:usb2="00000009" w:usb3="00000000" w:csb0="200001FF" w:csb1="00000000"/>
  </w:font>
  <w:font w:name="Liberation Sans">
    <w:panose1 w:val="020B0604020202020204"/>
    <w:charset w:val="00"/>
    <w:family w:val="roman"/>
    <w:pitch w:val="default"/>
    <w:sig w:usb0="E0000AFF" w:usb1="500078FF" w:usb2="00000021" w:usb3="00000000" w:csb0="600001BF" w:csb1="DFF70000"/>
  </w:font>
  <w:font w:name="Microsoft YaHei">
    <w:panose1 w:val="020B0503020204020204"/>
    <w:charset w:val="86"/>
    <w:family w:val="auto"/>
    <w:pitch w:val="default"/>
    <w:sig w:usb0="80000287" w:usb1="2ACF3C50" w:usb2="00000016" w:usb3="00000000" w:csb0="0004001F" w:csb1="00000000"/>
  </w:font>
  <w:font w:name="Symbol">
    <w:panose1 w:val="05050102010706020507"/>
    <w:charset w:val="02"/>
    <w:family w:val="roman"/>
    <w:pitch w:val="default"/>
    <w:sig w:usb0="00000000" w:usb1="00000000" w:usb2="00000000" w:usb3="00000000" w:csb0="80000000" w:csb1="00000000"/>
  </w:font>
  <w:font w:name="OpenSymbol">
    <w:panose1 w:val="05010000000000000000"/>
    <w:charset w:val="00"/>
    <w:family w:val="roman"/>
    <w:pitch w:val="default"/>
    <w:sig w:usb0="800000AF" w:usb1="1001ECEA" w:usb2="00000000" w:usb3="00000000" w:csb0="80000001" w:csb1="00000000"/>
  </w:font>
  <w:font w:name="Tahoma">
    <w:panose1 w:val="020B0604030504040204"/>
    <w:charset w:val="00"/>
    <w:family w:val="auto"/>
    <w:pitch w:val="default"/>
    <w:sig w:usb0="E1002EFF" w:usb1="C000605B" w:usb2="00000029" w:usb3="00000000" w:csb0="200101FF" w:csb1="20280000"/>
  </w:font>
  <w:font w:name="Verdana">
    <w:panose1 w:val="020B0604030504040204"/>
    <w:charset w:val="00"/>
    <w:family w:val="roman"/>
    <w:pitch w:val="default"/>
    <w:sig w:usb0="A00006FF" w:usb1="4000205B" w:usb2="00000010" w:usb3="00000000" w:csb0="2000019F" w:csb1="00000000"/>
  </w:font>
  <w:font w:name="CIDFont+F1">
    <w:altName w:val="Liberation Mono"/>
    <w:panose1 w:val="00000000000000000000"/>
    <w:charset w:val="00"/>
    <w:family w:val="auto"/>
    <w:pitch w:val="default"/>
    <w:sig w:usb0="00000000" w:usb1="00000000" w:usb2="00000000" w:usb3="00000000" w:csb0="00000000" w:csb1="00000000"/>
  </w:font>
  <w:font w:name="Arial Rounded MT Bold">
    <w:altName w:val="Arial"/>
    <w:panose1 w:val="00000000000000000000"/>
    <w:charset w:val="00"/>
    <w:family w:val="auto"/>
    <w:pitch w:val="default"/>
    <w:sig w:usb0="00000000" w:usb1="00000000" w:usb2="00000000" w:usb3="00000000" w:csb0="00000000" w:csb1="00000000"/>
  </w:font>
  <w:font w:name="Arial Black">
    <w:panose1 w:val="020B0A04020102020204"/>
    <w:charset w:val="00"/>
    <w:family w:val="auto"/>
    <w:pitch w:val="default"/>
    <w:sig w:usb0="A00002AF" w:usb1="400078FB" w:usb2="00000000" w:usb3="00000000" w:csb0="6000009F" w:csb1="DFD70000"/>
  </w:font>
  <w:font w:name="Century Gothic">
    <w:altName w:val="Liberation Mono"/>
    <w:panose1 w:val="00000000000000000000"/>
    <w:charset w:val="00"/>
    <w:family w:val="roman"/>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r>
      <w:drawing>
        <wp:anchor distT="0" distB="0" distL="0" distR="0" simplePos="0" relativeHeight="251659264" behindDoc="1" locked="0" layoutInCell="0" allowOverlap="1">
          <wp:simplePos x="0" y="0"/>
          <wp:positionH relativeFrom="column">
            <wp:align>center</wp:align>
          </wp:positionH>
          <wp:positionV relativeFrom="paragraph">
            <wp:posOffset>635</wp:posOffset>
          </wp:positionV>
          <wp:extent cx="5400040" cy="606425"/>
          <wp:effectExtent l="0" t="0" r="0" b="0"/>
          <wp:wrapSquare wrapText="largest"/>
          <wp:docPr id="88" name="Imagen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30"/>
                  <pic:cNvPicPr>
                    <a:picLocks noChangeAspect="1" noChangeArrowheads="1"/>
                  </pic:cNvPicPr>
                </pic:nvPicPr>
                <pic:blipFill>
                  <a:blip r:embed="rId1"/>
                  <a:srcRect b="6884"/>
                  <a:stretch>
                    <a:fillRect/>
                  </a:stretch>
                </pic:blipFill>
                <pic:spPr>
                  <a:xfrm>
                    <a:off x="0" y="0"/>
                    <a:ext cx="5400040" cy="606425"/>
                  </a:xfrm>
                  <a:prstGeom prst="rect">
                    <a:avLst/>
                  </a:prstGeom>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2" w:lineRule="auto"/>
      </w:pPr>
      <w:r>
        <w:separator/>
      </w:r>
    </w:p>
  </w:footnote>
  <w:footnote w:type="continuationSeparator" w:id="1">
    <w:p>
      <w:pPr>
        <w:spacing w:before="0" w:after="0" w:line="252"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rPr>
        <w:i/>
        <w:iCs/>
        <w:lang w:eastAsia="es-UY"/>
      </w:rPr>
    </w:pPr>
    <w:r>
      <w:rPr>
        <w:i/>
        <w:iCs/>
      </w:rPr>
      <w:drawing>
        <wp:anchor distT="0" distB="0" distL="0" distR="0" simplePos="0" relativeHeight="251659264" behindDoc="1" locked="0" layoutInCell="0" allowOverlap="1">
          <wp:simplePos x="0" y="0"/>
          <wp:positionH relativeFrom="column">
            <wp:posOffset>-121285</wp:posOffset>
          </wp:positionH>
          <wp:positionV relativeFrom="paragraph">
            <wp:posOffset>-258445</wp:posOffset>
          </wp:positionV>
          <wp:extent cx="5400040" cy="902970"/>
          <wp:effectExtent l="0" t="0" r="0" b="0"/>
          <wp:wrapSquare wrapText="largest"/>
          <wp:docPr id="87" name="Imagen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29"/>
                  <pic:cNvPicPr>
                    <a:picLocks noChangeAspect="1" noChangeArrowheads="1"/>
                  </pic:cNvPicPr>
                </pic:nvPicPr>
                <pic:blipFill>
                  <a:blip r:embed="rId1"/>
                  <a:srcRect b="4616"/>
                  <a:stretch>
                    <a:fillRect/>
                  </a:stretch>
                </pic:blipFill>
                <pic:spPr>
                  <a:xfrm>
                    <a:off x="0" y="0"/>
                    <a:ext cx="5400040" cy="902970"/>
                  </a:xfrm>
                  <a:prstGeom prst="rect">
                    <a:avLst/>
                  </a:prstGeom>
                </pic:spPr>
              </pic:pic>
            </a:graphicData>
          </a:graphic>
        </wp:anchor>
      </w:drawing>
    </w:r>
    <w:r>
      <w:rPr>
        <w:i/>
        <w:iCs/>
        <w:lang w:eastAsia="es-UY"/>
      </w:rPr>
      <w:tab/>
    </w:r>
    <w:r>
      <w:rPr>
        <w:i/>
        <w:iCs/>
        <w:lang w:eastAsia="es-UY"/>
      </w:rPr>
      <w:t xml:space="preserve">     </w:t>
    </w:r>
  </w:p>
  <w:p>
    <w:pPr>
      <w:pStyle w:val="19"/>
      <w:rPr>
        <w:rFonts w:ascii="Century Gothic" w:hAnsi="Century Gothic"/>
        <w:sz w:val="28"/>
        <w:szCs w:val="28"/>
      </w:rPr>
    </w:pPr>
    <w:r>
      <w:rPr>
        <w:lang w:eastAsia="es-UY"/>
      </w:rPr>
      <w:t xml:space="preserve">                              </w:t>
    </w:r>
  </w:p>
  <w:p>
    <w:pPr>
      <w:pStyle w:val="19"/>
      <w:rPr>
        <w:rFonts w:ascii="Century Gothic" w:hAnsi="Century Gothic"/>
        <w:sz w:val="28"/>
        <w:szCs w:val="28"/>
      </w:rPr>
    </w:pPr>
    <w:r>
      <w:rPr>
        <w:lang w:eastAsia="es-UY"/>
      </w:rPr>
      <w:t xml:space="preserve">                                                              </w:t>
    </w:r>
    <w:r>
      <w:rPr>
        <w:rFonts w:ascii="Century Gothic" w:hAnsi="Century Gothic"/>
        <w:sz w:val="28"/>
        <w:szCs w:val="28"/>
        <w:lang w:eastAsia="es-UY"/>
      </w:rPr>
      <w:t xml:space="preserve"> </w:t>
    </w:r>
  </w:p>
  <w:p>
    <w:pPr>
      <w:pStyle w:val="19"/>
    </w:pPr>
  </w:p>
  <w:p>
    <w:pPr>
      <w:pStyle w:val="1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39341B"/>
    <w:multiLevelType w:val="multilevel"/>
    <w:tmpl w:val="9239341B"/>
    <w:lvl w:ilvl="0" w:tentative="0">
      <w:start w:val="1"/>
      <w:numFmt w:val="bullet"/>
      <w:lvlText w:val=""/>
      <w:lvlJc w:val="left"/>
      <w:pPr>
        <w:tabs>
          <w:tab w:val="left" w:pos="0"/>
        </w:tabs>
        <w:ind w:left="720" w:hanging="360"/>
      </w:pPr>
      <w:rPr>
        <w:rFonts w:hint="default" w:ascii="Symbol" w:hAnsi="Symbol" w:cs="Symbol"/>
      </w:rPr>
    </w:lvl>
    <w:lvl w:ilvl="1" w:tentative="0">
      <w:start w:val="1"/>
      <w:numFmt w:val="bullet"/>
      <w:lvlText w:val="o"/>
      <w:lvlJc w:val="left"/>
      <w:pPr>
        <w:tabs>
          <w:tab w:val="left" w:pos="0"/>
        </w:tabs>
        <w:ind w:left="1440" w:hanging="360"/>
      </w:pPr>
      <w:rPr>
        <w:rFonts w:hint="default" w:ascii="Courier New" w:hAnsi="Courier New" w:cs="Courier New"/>
      </w:rPr>
    </w:lvl>
    <w:lvl w:ilvl="2" w:tentative="0">
      <w:start w:val="1"/>
      <w:numFmt w:val="bullet"/>
      <w:lvlText w:val=""/>
      <w:lvlJc w:val="left"/>
      <w:pPr>
        <w:tabs>
          <w:tab w:val="left" w:pos="0"/>
        </w:tabs>
        <w:ind w:left="2160" w:hanging="360"/>
      </w:pPr>
      <w:rPr>
        <w:rFonts w:hint="default" w:ascii="Wingdings" w:hAnsi="Wingdings" w:cs="Wingdings"/>
      </w:rPr>
    </w:lvl>
    <w:lvl w:ilvl="3" w:tentative="0">
      <w:start w:val="1"/>
      <w:numFmt w:val="bullet"/>
      <w:lvlText w:val=""/>
      <w:lvlJc w:val="left"/>
      <w:pPr>
        <w:tabs>
          <w:tab w:val="left" w:pos="0"/>
        </w:tabs>
        <w:ind w:left="2880" w:hanging="360"/>
      </w:pPr>
      <w:rPr>
        <w:rFonts w:hint="default" w:ascii="Symbol" w:hAnsi="Symbol" w:cs="Symbol"/>
      </w:rPr>
    </w:lvl>
    <w:lvl w:ilvl="4" w:tentative="0">
      <w:start w:val="1"/>
      <w:numFmt w:val="bullet"/>
      <w:lvlText w:val="o"/>
      <w:lvlJc w:val="left"/>
      <w:pPr>
        <w:tabs>
          <w:tab w:val="left" w:pos="0"/>
        </w:tabs>
        <w:ind w:left="3600" w:hanging="360"/>
      </w:pPr>
      <w:rPr>
        <w:rFonts w:hint="default" w:ascii="Courier New" w:hAnsi="Courier New" w:cs="Courier New"/>
      </w:rPr>
    </w:lvl>
    <w:lvl w:ilvl="5" w:tentative="0">
      <w:start w:val="1"/>
      <w:numFmt w:val="bullet"/>
      <w:lvlText w:val=""/>
      <w:lvlJc w:val="left"/>
      <w:pPr>
        <w:tabs>
          <w:tab w:val="left" w:pos="0"/>
        </w:tabs>
        <w:ind w:left="4320" w:hanging="360"/>
      </w:pPr>
      <w:rPr>
        <w:rFonts w:hint="default" w:ascii="Wingdings" w:hAnsi="Wingdings" w:cs="Wingdings"/>
      </w:rPr>
    </w:lvl>
    <w:lvl w:ilvl="6" w:tentative="0">
      <w:start w:val="1"/>
      <w:numFmt w:val="bullet"/>
      <w:lvlText w:val=""/>
      <w:lvlJc w:val="left"/>
      <w:pPr>
        <w:tabs>
          <w:tab w:val="left" w:pos="0"/>
        </w:tabs>
        <w:ind w:left="5040" w:hanging="360"/>
      </w:pPr>
      <w:rPr>
        <w:rFonts w:hint="default" w:ascii="Symbol" w:hAnsi="Symbol" w:cs="Symbol"/>
      </w:rPr>
    </w:lvl>
    <w:lvl w:ilvl="7" w:tentative="0">
      <w:start w:val="1"/>
      <w:numFmt w:val="bullet"/>
      <w:lvlText w:val="o"/>
      <w:lvlJc w:val="left"/>
      <w:pPr>
        <w:tabs>
          <w:tab w:val="left" w:pos="0"/>
        </w:tabs>
        <w:ind w:left="5760" w:hanging="360"/>
      </w:pPr>
      <w:rPr>
        <w:rFonts w:hint="default" w:ascii="Courier New" w:hAnsi="Courier New" w:cs="Courier New"/>
      </w:rPr>
    </w:lvl>
    <w:lvl w:ilvl="8" w:tentative="0">
      <w:start w:val="1"/>
      <w:numFmt w:val="bullet"/>
      <w:lvlText w:val=""/>
      <w:lvlJc w:val="left"/>
      <w:pPr>
        <w:tabs>
          <w:tab w:val="left" w:pos="0"/>
        </w:tabs>
        <w:ind w:left="6480" w:hanging="360"/>
      </w:pPr>
      <w:rPr>
        <w:rFonts w:hint="default" w:ascii="Wingdings" w:hAnsi="Wingdings" w:cs="Wingdings"/>
      </w:rPr>
    </w:lvl>
  </w:abstractNum>
  <w:abstractNum w:abstractNumId="1">
    <w:nsid w:val="B5E306ED"/>
    <w:multiLevelType w:val="multilevel"/>
    <w:tmpl w:val="B5E306ED"/>
    <w:lvl w:ilvl="0" w:tentative="0">
      <w:start w:val="1"/>
      <w:numFmt w:val="bullet"/>
      <w:lvlText w:val=""/>
      <w:lvlJc w:val="left"/>
      <w:pPr>
        <w:tabs>
          <w:tab w:val="left" w:pos="0"/>
        </w:tabs>
        <w:ind w:left="720" w:hanging="360"/>
      </w:pPr>
      <w:rPr>
        <w:rFonts w:hint="default" w:ascii="Symbol" w:hAnsi="Symbol" w:cs="Symbol"/>
      </w:rPr>
    </w:lvl>
    <w:lvl w:ilvl="1" w:tentative="0">
      <w:start w:val="1"/>
      <w:numFmt w:val="bullet"/>
      <w:lvlText w:val="o"/>
      <w:lvlJc w:val="left"/>
      <w:pPr>
        <w:tabs>
          <w:tab w:val="left" w:pos="0"/>
        </w:tabs>
        <w:ind w:left="1440" w:hanging="360"/>
      </w:pPr>
      <w:rPr>
        <w:rFonts w:hint="default" w:ascii="Courier New" w:hAnsi="Courier New" w:cs="Courier New"/>
      </w:rPr>
    </w:lvl>
    <w:lvl w:ilvl="2" w:tentative="0">
      <w:start w:val="1"/>
      <w:numFmt w:val="bullet"/>
      <w:lvlText w:val=""/>
      <w:lvlJc w:val="left"/>
      <w:pPr>
        <w:tabs>
          <w:tab w:val="left" w:pos="0"/>
        </w:tabs>
        <w:ind w:left="2160" w:hanging="360"/>
      </w:pPr>
      <w:rPr>
        <w:rFonts w:hint="default" w:ascii="Wingdings" w:hAnsi="Wingdings" w:cs="Wingdings"/>
      </w:rPr>
    </w:lvl>
    <w:lvl w:ilvl="3" w:tentative="0">
      <w:start w:val="1"/>
      <w:numFmt w:val="bullet"/>
      <w:lvlText w:val=""/>
      <w:lvlJc w:val="left"/>
      <w:pPr>
        <w:tabs>
          <w:tab w:val="left" w:pos="0"/>
        </w:tabs>
        <w:ind w:left="2880" w:hanging="360"/>
      </w:pPr>
      <w:rPr>
        <w:rFonts w:hint="default" w:ascii="Symbol" w:hAnsi="Symbol" w:cs="Symbol"/>
      </w:rPr>
    </w:lvl>
    <w:lvl w:ilvl="4" w:tentative="0">
      <w:start w:val="1"/>
      <w:numFmt w:val="bullet"/>
      <w:lvlText w:val="o"/>
      <w:lvlJc w:val="left"/>
      <w:pPr>
        <w:tabs>
          <w:tab w:val="left" w:pos="0"/>
        </w:tabs>
        <w:ind w:left="3600" w:hanging="360"/>
      </w:pPr>
      <w:rPr>
        <w:rFonts w:hint="default" w:ascii="Courier New" w:hAnsi="Courier New" w:cs="Courier New"/>
      </w:rPr>
    </w:lvl>
    <w:lvl w:ilvl="5" w:tentative="0">
      <w:start w:val="1"/>
      <w:numFmt w:val="bullet"/>
      <w:lvlText w:val=""/>
      <w:lvlJc w:val="left"/>
      <w:pPr>
        <w:tabs>
          <w:tab w:val="left" w:pos="0"/>
        </w:tabs>
        <w:ind w:left="4320" w:hanging="360"/>
      </w:pPr>
      <w:rPr>
        <w:rFonts w:hint="default" w:ascii="Wingdings" w:hAnsi="Wingdings" w:cs="Wingdings"/>
      </w:rPr>
    </w:lvl>
    <w:lvl w:ilvl="6" w:tentative="0">
      <w:start w:val="1"/>
      <w:numFmt w:val="bullet"/>
      <w:lvlText w:val=""/>
      <w:lvlJc w:val="left"/>
      <w:pPr>
        <w:tabs>
          <w:tab w:val="left" w:pos="0"/>
        </w:tabs>
        <w:ind w:left="5040" w:hanging="360"/>
      </w:pPr>
      <w:rPr>
        <w:rFonts w:hint="default" w:ascii="Symbol" w:hAnsi="Symbol" w:cs="Symbol"/>
      </w:rPr>
    </w:lvl>
    <w:lvl w:ilvl="7" w:tentative="0">
      <w:start w:val="1"/>
      <w:numFmt w:val="bullet"/>
      <w:lvlText w:val="o"/>
      <w:lvlJc w:val="left"/>
      <w:pPr>
        <w:tabs>
          <w:tab w:val="left" w:pos="0"/>
        </w:tabs>
        <w:ind w:left="5760" w:hanging="360"/>
      </w:pPr>
      <w:rPr>
        <w:rFonts w:hint="default" w:ascii="Courier New" w:hAnsi="Courier New" w:cs="Courier New"/>
      </w:rPr>
    </w:lvl>
    <w:lvl w:ilvl="8" w:tentative="0">
      <w:start w:val="1"/>
      <w:numFmt w:val="bullet"/>
      <w:lvlText w:val=""/>
      <w:lvlJc w:val="left"/>
      <w:pPr>
        <w:tabs>
          <w:tab w:val="left" w:pos="0"/>
        </w:tabs>
        <w:ind w:left="6480" w:hanging="360"/>
      </w:pPr>
      <w:rPr>
        <w:rFonts w:hint="default" w:ascii="Wingdings" w:hAnsi="Wingdings" w:cs="Wingdings"/>
      </w:rPr>
    </w:lvl>
  </w:abstractNum>
  <w:abstractNum w:abstractNumId="2">
    <w:nsid w:val="BF205925"/>
    <w:multiLevelType w:val="multilevel"/>
    <w:tmpl w:val="BF205925"/>
    <w:lvl w:ilvl="0" w:tentative="0">
      <w:start w:val="1"/>
      <w:numFmt w:val="bullet"/>
      <w:lvlText w:val=""/>
      <w:lvlJc w:val="left"/>
      <w:pPr>
        <w:tabs>
          <w:tab w:val="left" w:pos="0"/>
        </w:tabs>
        <w:ind w:left="720" w:hanging="360"/>
      </w:pPr>
      <w:rPr>
        <w:rFonts w:hint="default" w:ascii="Symbol" w:hAnsi="Symbol" w:cs="Symbol"/>
      </w:rPr>
    </w:lvl>
    <w:lvl w:ilvl="1" w:tentative="0">
      <w:start w:val="1"/>
      <w:numFmt w:val="bullet"/>
      <w:lvlText w:val="o"/>
      <w:lvlJc w:val="left"/>
      <w:pPr>
        <w:tabs>
          <w:tab w:val="left" w:pos="0"/>
        </w:tabs>
        <w:ind w:left="1440" w:hanging="360"/>
      </w:pPr>
      <w:rPr>
        <w:rFonts w:hint="default" w:ascii="Courier New" w:hAnsi="Courier New" w:cs="Courier New"/>
      </w:rPr>
    </w:lvl>
    <w:lvl w:ilvl="2" w:tentative="0">
      <w:start w:val="1"/>
      <w:numFmt w:val="bullet"/>
      <w:lvlText w:val=""/>
      <w:lvlJc w:val="left"/>
      <w:pPr>
        <w:tabs>
          <w:tab w:val="left" w:pos="0"/>
        </w:tabs>
        <w:ind w:left="2160" w:hanging="360"/>
      </w:pPr>
      <w:rPr>
        <w:rFonts w:hint="default" w:ascii="Wingdings" w:hAnsi="Wingdings" w:cs="Wingdings"/>
      </w:rPr>
    </w:lvl>
    <w:lvl w:ilvl="3" w:tentative="0">
      <w:start w:val="1"/>
      <w:numFmt w:val="bullet"/>
      <w:lvlText w:val=""/>
      <w:lvlJc w:val="left"/>
      <w:pPr>
        <w:tabs>
          <w:tab w:val="left" w:pos="0"/>
        </w:tabs>
        <w:ind w:left="2880" w:hanging="360"/>
      </w:pPr>
      <w:rPr>
        <w:rFonts w:hint="default" w:ascii="Symbol" w:hAnsi="Symbol" w:cs="Symbol"/>
      </w:rPr>
    </w:lvl>
    <w:lvl w:ilvl="4" w:tentative="0">
      <w:start w:val="1"/>
      <w:numFmt w:val="bullet"/>
      <w:lvlText w:val="o"/>
      <w:lvlJc w:val="left"/>
      <w:pPr>
        <w:tabs>
          <w:tab w:val="left" w:pos="0"/>
        </w:tabs>
        <w:ind w:left="3600" w:hanging="360"/>
      </w:pPr>
      <w:rPr>
        <w:rFonts w:hint="default" w:ascii="Courier New" w:hAnsi="Courier New" w:cs="Courier New"/>
      </w:rPr>
    </w:lvl>
    <w:lvl w:ilvl="5" w:tentative="0">
      <w:start w:val="1"/>
      <w:numFmt w:val="bullet"/>
      <w:lvlText w:val=""/>
      <w:lvlJc w:val="left"/>
      <w:pPr>
        <w:tabs>
          <w:tab w:val="left" w:pos="0"/>
        </w:tabs>
        <w:ind w:left="4320" w:hanging="360"/>
      </w:pPr>
      <w:rPr>
        <w:rFonts w:hint="default" w:ascii="Wingdings" w:hAnsi="Wingdings" w:cs="Wingdings"/>
      </w:rPr>
    </w:lvl>
    <w:lvl w:ilvl="6" w:tentative="0">
      <w:start w:val="1"/>
      <w:numFmt w:val="bullet"/>
      <w:lvlText w:val=""/>
      <w:lvlJc w:val="left"/>
      <w:pPr>
        <w:tabs>
          <w:tab w:val="left" w:pos="0"/>
        </w:tabs>
        <w:ind w:left="5040" w:hanging="360"/>
      </w:pPr>
      <w:rPr>
        <w:rFonts w:hint="default" w:ascii="Symbol" w:hAnsi="Symbol" w:cs="Symbol"/>
      </w:rPr>
    </w:lvl>
    <w:lvl w:ilvl="7" w:tentative="0">
      <w:start w:val="1"/>
      <w:numFmt w:val="bullet"/>
      <w:lvlText w:val="o"/>
      <w:lvlJc w:val="left"/>
      <w:pPr>
        <w:tabs>
          <w:tab w:val="left" w:pos="0"/>
        </w:tabs>
        <w:ind w:left="5760" w:hanging="360"/>
      </w:pPr>
      <w:rPr>
        <w:rFonts w:hint="default" w:ascii="Courier New" w:hAnsi="Courier New" w:cs="Courier New"/>
      </w:rPr>
    </w:lvl>
    <w:lvl w:ilvl="8" w:tentative="0">
      <w:start w:val="1"/>
      <w:numFmt w:val="bullet"/>
      <w:lvlText w:val=""/>
      <w:lvlJc w:val="left"/>
      <w:pPr>
        <w:tabs>
          <w:tab w:val="left" w:pos="0"/>
        </w:tabs>
        <w:ind w:left="6480" w:hanging="360"/>
      </w:pPr>
      <w:rPr>
        <w:rFonts w:hint="default" w:ascii="Wingdings" w:hAnsi="Wingdings" w:cs="Wingdings"/>
      </w:rPr>
    </w:lvl>
  </w:abstractNum>
  <w:abstractNum w:abstractNumId="3">
    <w:nsid w:val="C8879AEF"/>
    <w:multiLevelType w:val="multilevel"/>
    <w:tmpl w:val="C8879AEF"/>
    <w:lvl w:ilvl="0" w:tentative="0">
      <w:start w:val="1"/>
      <w:numFmt w:val="decimal"/>
      <w:lvlText w:val="%1."/>
      <w:lvlJc w:val="left"/>
      <w:pPr>
        <w:tabs>
          <w:tab w:val="left" w:pos="0"/>
        </w:tabs>
        <w:ind w:left="1440" w:hanging="360"/>
      </w:pPr>
      <w:rPr>
        <w:b/>
        <w:sz w:val="24"/>
      </w:rPr>
    </w:lvl>
    <w:lvl w:ilvl="1" w:tentative="0">
      <w:start w:val="1"/>
      <w:numFmt w:val="bullet"/>
      <w:lvlText w:val="o"/>
      <w:lvlJc w:val="left"/>
      <w:pPr>
        <w:tabs>
          <w:tab w:val="left" w:pos="0"/>
        </w:tabs>
        <w:ind w:left="2160" w:hanging="360"/>
      </w:pPr>
      <w:rPr>
        <w:rFonts w:hint="default" w:ascii="Courier New" w:hAnsi="Courier New" w:cs="Courier New"/>
        <w:b/>
        <w:sz w:val="24"/>
      </w:rPr>
    </w:lvl>
    <w:lvl w:ilvl="2" w:tentative="0">
      <w:start w:val="1"/>
      <w:numFmt w:val="bullet"/>
      <w:lvlText w:val=""/>
      <w:lvlJc w:val="left"/>
      <w:pPr>
        <w:tabs>
          <w:tab w:val="left" w:pos="0"/>
        </w:tabs>
        <w:ind w:left="2880" w:hanging="360"/>
      </w:pPr>
      <w:rPr>
        <w:rFonts w:hint="default" w:ascii="Wingdings" w:hAnsi="Wingdings" w:cs="Wingdings"/>
      </w:rPr>
    </w:lvl>
    <w:lvl w:ilvl="3" w:tentative="0">
      <w:start w:val="1"/>
      <w:numFmt w:val="bullet"/>
      <w:lvlText w:val=""/>
      <w:lvlJc w:val="left"/>
      <w:pPr>
        <w:tabs>
          <w:tab w:val="left" w:pos="0"/>
        </w:tabs>
        <w:ind w:left="3600" w:hanging="360"/>
      </w:pPr>
      <w:rPr>
        <w:rFonts w:hint="default" w:ascii="Symbol" w:hAnsi="Symbol" w:cs="Symbol"/>
      </w:rPr>
    </w:lvl>
    <w:lvl w:ilvl="4" w:tentative="0">
      <w:start w:val="1"/>
      <w:numFmt w:val="bullet"/>
      <w:lvlText w:val="o"/>
      <w:lvlJc w:val="left"/>
      <w:pPr>
        <w:tabs>
          <w:tab w:val="left" w:pos="0"/>
        </w:tabs>
        <w:ind w:left="4320" w:hanging="360"/>
      </w:pPr>
      <w:rPr>
        <w:rFonts w:hint="default" w:ascii="Courier New" w:hAnsi="Courier New" w:cs="Courier New"/>
      </w:rPr>
    </w:lvl>
    <w:lvl w:ilvl="5" w:tentative="0">
      <w:start w:val="1"/>
      <w:numFmt w:val="bullet"/>
      <w:lvlText w:val=""/>
      <w:lvlJc w:val="left"/>
      <w:pPr>
        <w:tabs>
          <w:tab w:val="left" w:pos="0"/>
        </w:tabs>
        <w:ind w:left="5040" w:hanging="360"/>
      </w:pPr>
      <w:rPr>
        <w:rFonts w:hint="default" w:ascii="Wingdings" w:hAnsi="Wingdings" w:cs="Wingdings"/>
        <w:sz w:val="24"/>
      </w:rPr>
    </w:lvl>
    <w:lvl w:ilvl="6" w:tentative="0">
      <w:start w:val="1"/>
      <w:numFmt w:val="bullet"/>
      <w:lvlText w:val=""/>
      <w:lvlJc w:val="left"/>
      <w:pPr>
        <w:tabs>
          <w:tab w:val="left" w:pos="0"/>
        </w:tabs>
        <w:ind w:left="5760" w:hanging="360"/>
      </w:pPr>
      <w:rPr>
        <w:rFonts w:hint="default" w:ascii="Symbol" w:hAnsi="Symbol" w:cs="Symbol"/>
      </w:rPr>
    </w:lvl>
    <w:lvl w:ilvl="7" w:tentative="0">
      <w:start w:val="1"/>
      <w:numFmt w:val="bullet"/>
      <w:lvlText w:val="o"/>
      <w:lvlJc w:val="left"/>
      <w:pPr>
        <w:tabs>
          <w:tab w:val="left" w:pos="0"/>
        </w:tabs>
        <w:ind w:left="6480" w:hanging="360"/>
      </w:pPr>
      <w:rPr>
        <w:rFonts w:hint="default" w:ascii="Courier New" w:hAnsi="Courier New" w:cs="Courier New"/>
      </w:rPr>
    </w:lvl>
    <w:lvl w:ilvl="8" w:tentative="0">
      <w:start w:val="1"/>
      <w:numFmt w:val="bullet"/>
      <w:lvlText w:val=""/>
      <w:lvlJc w:val="left"/>
      <w:pPr>
        <w:tabs>
          <w:tab w:val="left" w:pos="0"/>
        </w:tabs>
        <w:ind w:left="7200" w:hanging="360"/>
      </w:pPr>
      <w:rPr>
        <w:rFonts w:hint="default" w:ascii="Wingdings" w:hAnsi="Wingdings" w:cs="Wingdings"/>
      </w:rPr>
    </w:lvl>
  </w:abstractNum>
  <w:abstractNum w:abstractNumId="4">
    <w:nsid w:val="CF092B84"/>
    <w:multiLevelType w:val="multilevel"/>
    <w:tmpl w:val="CF092B84"/>
    <w:lvl w:ilvl="0" w:tentative="0">
      <w:start w:val="1"/>
      <w:numFmt w:val="decimal"/>
      <w:lvlText w:val="%1."/>
      <w:lvlJc w:val="left"/>
      <w:pPr>
        <w:tabs>
          <w:tab w:val="left" w:pos="0"/>
        </w:tabs>
        <w:ind w:left="720" w:hanging="360"/>
      </w:pPr>
      <w:rPr>
        <w:b/>
        <w:bCs/>
      </w:rPr>
    </w:lvl>
    <w:lvl w:ilvl="1" w:tentative="0">
      <w:start w:val="1"/>
      <w:numFmt w:val="decimal"/>
      <w:lvlText w:val="%1.%2"/>
      <w:lvlJc w:val="left"/>
      <w:pPr>
        <w:tabs>
          <w:tab w:val="left" w:pos="0"/>
        </w:tabs>
        <w:ind w:left="720" w:hanging="360"/>
      </w:pPr>
    </w:lvl>
    <w:lvl w:ilvl="2" w:tentative="0">
      <w:start w:val="1"/>
      <w:numFmt w:val="decimal"/>
      <w:lvlText w:val="%1.%2.%3"/>
      <w:lvlJc w:val="left"/>
      <w:pPr>
        <w:tabs>
          <w:tab w:val="left" w:pos="0"/>
        </w:tabs>
        <w:ind w:left="1080" w:hanging="720"/>
      </w:pPr>
    </w:lvl>
    <w:lvl w:ilvl="3" w:tentative="0">
      <w:start w:val="1"/>
      <w:numFmt w:val="decimal"/>
      <w:lvlText w:val="%1.%2.%3.%4"/>
      <w:lvlJc w:val="left"/>
      <w:pPr>
        <w:tabs>
          <w:tab w:val="left" w:pos="0"/>
        </w:tabs>
        <w:ind w:left="1080" w:hanging="720"/>
      </w:pPr>
    </w:lvl>
    <w:lvl w:ilvl="4" w:tentative="0">
      <w:start w:val="1"/>
      <w:numFmt w:val="decimal"/>
      <w:lvlText w:val="%1.%2.%3.%4.%5"/>
      <w:lvlJc w:val="left"/>
      <w:pPr>
        <w:tabs>
          <w:tab w:val="left" w:pos="0"/>
        </w:tabs>
        <w:ind w:left="1440" w:hanging="1080"/>
      </w:pPr>
    </w:lvl>
    <w:lvl w:ilvl="5" w:tentative="0">
      <w:start w:val="1"/>
      <w:numFmt w:val="decimal"/>
      <w:lvlText w:val="%1.%2.%3.%4.%5.%6"/>
      <w:lvlJc w:val="left"/>
      <w:pPr>
        <w:tabs>
          <w:tab w:val="left" w:pos="0"/>
        </w:tabs>
        <w:ind w:left="1440" w:hanging="1080"/>
      </w:pPr>
    </w:lvl>
    <w:lvl w:ilvl="6" w:tentative="0">
      <w:start w:val="1"/>
      <w:numFmt w:val="decimal"/>
      <w:lvlText w:val="%1.%2.%3.%4.%5.%6.%7"/>
      <w:lvlJc w:val="left"/>
      <w:pPr>
        <w:tabs>
          <w:tab w:val="left" w:pos="0"/>
        </w:tabs>
        <w:ind w:left="1800" w:hanging="1440"/>
      </w:pPr>
    </w:lvl>
    <w:lvl w:ilvl="7" w:tentative="0">
      <w:start w:val="1"/>
      <w:numFmt w:val="decimal"/>
      <w:lvlText w:val="%1.%2.%3.%4.%5.%6.%7.%8"/>
      <w:lvlJc w:val="left"/>
      <w:pPr>
        <w:tabs>
          <w:tab w:val="left" w:pos="0"/>
        </w:tabs>
        <w:ind w:left="1800" w:hanging="1440"/>
      </w:pPr>
    </w:lvl>
    <w:lvl w:ilvl="8" w:tentative="0">
      <w:start w:val="1"/>
      <w:numFmt w:val="decimal"/>
      <w:lvlText w:val="%1.%2.%3.%4.%5.%6.%7.%8.%9"/>
      <w:lvlJc w:val="left"/>
      <w:pPr>
        <w:tabs>
          <w:tab w:val="left" w:pos="0"/>
        </w:tabs>
        <w:ind w:left="2160" w:hanging="1800"/>
      </w:pPr>
    </w:lvl>
  </w:abstractNum>
  <w:abstractNum w:abstractNumId="5">
    <w:nsid w:val="D7F9FE59"/>
    <w:multiLevelType w:val="multilevel"/>
    <w:tmpl w:val="D7F9FE59"/>
    <w:lvl w:ilvl="0" w:tentative="0">
      <w:start w:val="1"/>
      <w:numFmt w:val="bullet"/>
      <w:lvlText w:val=""/>
      <w:lvlJc w:val="left"/>
      <w:pPr>
        <w:tabs>
          <w:tab w:val="left" w:pos="1429"/>
        </w:tabs>
        <w:ind w:left="1429" w:hanging="360"/>
      </w:pPr>
      <w:rPr>
        <w:rFonts w:hint="default" w:ascii="Symbol" w:hAnsi="Symbol" w:cs="Symbol"/>
      </w:r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6">
    <w:nsid w:val="DCBA6B53"/>
    <w:multiLevelType w:val="multilevel"/>
    <w:tmpl w:val="DCBA6B53"/>
    <w:lvl w:ilvl="0" w:tentative="0">
      <w:start w:val="1"/>
      <w:numFmt w:val="bullet"/>
      <w:lvlText w:val=""/>
      <w:lvlJc w:val="left"/>
      <w:pPr>
        <w:tabs>
          <w:tab w:val="left" w:pos="0"/>
        </w:tabs>
        <w:ind w:left="720" w:hanging="360"/>
      </w:pPr>
      <w:rPr>
        <w:rFonts w:hint="default" w:ascii="Symbol" w:hAnsi="Symbol" w:cs="Symbol"/>
      </w:r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7">
    <w:nsid w:val="F4B5D9F5"/>
    <w:multiLevelType w:val="multilevel"/>
    <w:tmpl w:val="F4B5D9F5"/>
    <w:lvl w:ilvl="0" w:tentative="0">
      <w:start w:val="1"/>
      <w:numFmt w:val="decimal"/>
      <w:lvlText w:val="%1"/>
      <w:lvlJc w:val="left"/>
      <w:pPr>
        <w:tabs>
          <w:tab w:val="left" w:pos="0"/>
        </w:tabs>
        <w:ind w:left="405" w:hanging="405"/>
      </w:pPr>
    </w:lvl>
    <w:lvl w:ilvl="1" w:tentative="0">
      <w:start w:val="1"/>
      <w:numFmt w:val="decimal"/>
      <w:lvlText w:val="%1.%2"/>
      <w:lvlJc w:val="left"/>
      <w:pPr>
        <w:tabs>
          <w:tab w:val="left" w:pos="0"/>
        </w:tabs>
        <w:ind w:left="705" w:hanging="405"/>
      </w:pPr>
      <w:rPr>
        <w:rFonts w:hint="default"/>
        <w:b/>
        <w:bCs/>
        <w:color w:val="000000" w:themeColor="text1"/>
        <w14:textFill>
          <w14:solidFill>
            <w14:schemeClr w14:val="tx1"/>
          </w14:solidFill>
        </w14:textFill>
      </w:rPr>
    </w:lvl>
    <w:lvl w:ilvl="2" w:tentative="0">
      <w:start w:val="1"/>
      <w:numFmt w:val="decimal"/>
      <w:lvlText w:val="%1.%2.%3"/>
      <w:lvlJc w:val="left"/>
      <w:pPr>
        <w:tabs>
          <w:tab w:val="left" w:pos="0"/>
        </w:tabs>
        <w:ind w:left="720" w:hanging="720"/>
      </w:pPr>
    </w:lvl>
    <w:lvl w:ilvl="3" w:tentative="0">
      <w:start w:val="1"/>
      <w:numFmt w:val="decimal"/>
      <w:lvlText w:val="%1.%2.%3.%4"/>
      <w:lvlJc w:val="left"/>
      <w:pPr>
        <w:tabs>
          <w:tab w:val="left" w:pos="0"/>
        </w:tabs>
        <w:ind w:left="720" w:hanging="720"/>
      </w:pPr>
    </w:lvl>
    <w:lvl w:ilvl="4" w:tentative="0">
      <w:start w:val="1"/>
      <w:numFmt w:val="decimal"/>
      <w:lvlText w:val="%1.%2.%3.%4.%5"/>
      <w:lvlJc w:val="left"/>
      <w:pPr>
        <w:tabs>
          <w:tab w:val="left" w:pos="0"/>
        </w:tabs>
        <w:ind w:left="1080" w:hanging="1080"/>
      </w:pPr>
    </w:lvl>
    <w:lvl w:ilvl="5" w:tentative="0">
      <w:start w:val="1"/>
      <w:numFmt w:val="decimal"/>
      <w:lvlText w:val="%1.%2.%3.%4.%5.%6"/>
      <w:lvlJc w:val="left"/>
      <w:pPr>
        <w:tabs>
          <w:tab w:val="left" w:pos="0"/>
        </w:tabs>
        <w:ind w:left="1080" w:hanging="1080"/>
      </w:pPr>
    </w:lvl>
    <w:lvl w:ilvl="6" w:tentative="0">
      <w:start w:val="1"/>
      <w:numFmt w:val="decimal"/>
      <w:lvlText w:val="%1.%2.%3.%4.%5.%6.%7"/>
      <w:lvlJc w:val="left"/>
      <w:pPr>
        <w:tabs>
          <w:tab w:val="left" w:pos="0"/>
        </w:tabs>
        <w:ind w:left="1440" w:hanging="1440"/>
      </w:pPr>
    </w:lvl>
    <w:lvl w:ilvl="7" w:tentative="0">
      <w:start w:val="1"/>
      <w:numFmt w:val="decimal"/>
      <w:lvlText w:val="%1.%2.%3.%4.%5.%6.%7.%8"/>
      <w:lvlJc w:val="left"/>
      <w:pPr>
        <w:tabs>
          <w:tab w:val="left" w:pos="0"/>
        </w:tabs>
        <w:ind w:left="1440" w:hanging="1440"/>
      </w:pPr>
    </w:lvl>
    <w:lvl w:ilvl="8" w:tentative="0">
      <w:start w:val="1"/>
      <w:numFmt w:val="decimal"/>
      <w:lvlText w:val="%1.%2.%3.%4.%5.%6.%7.%8.%9"/>
      <w:lvlJc w:val="left"/>
      <w:pPr>
        <w:tabs>
          <w:tab w:val="left" w:pos="0"/>
        </w:tabs>
        <w:ind w:left="1440" w:hanging="1440"/>
      </w:pPr>
    </w:lvl>
  </w:abstractNum>
  <w:abstractNum w:abstractNumId="8">
    <w:nsid w:val="0053208E"/>
    <w:multiLevelType w:val="multilevel"/>
    <w:tmpl w:val="0053208E"/>
    <w:lvl w:ilvl="0" w:tentative="0">
      <w:start w:val="1"/>
      <w:numFmt w:val="decimal"/>
      <w:pStyle w:val="2"/>
      <w:lvlText w:val="%1."/>
      <w:lvlJc w:val="left"/>
      <w:pPr>
        <w:tabs>
          <w:tab w:val="left" w:pos="0"/>
        </w:tabs>
        <w:ind w:left="432" w:hanging="432"/>
      </w:pPr>
      <w:rPr>
        <w:rFonts w:ascii="Arial" w:hAnsi="Arial"/>
        <w:b/>
        <w:bCs/>
        <w:color w:val="000000"/>
        <w:sz w:val="24"/>
        <w:szCs w:val="24"/>
      </w:rPr>
    </w:lvl>
    <w:lvl w:ilvl="1" w:tentative="0">
      <w:start w:val="1"/>
      <w:numFmt w:val="decimal"/>
      <w:pStyle w:val="3"/>
      <w:lvlText w:val="%1.%2"/>
      <w:lvlJc w:val="left"/>
      <w:pPr>
        <w:tabs>
          <w:tab w:val="left" w:pos="0"/>
        </w:tabs>
        <w:ind w:left="3695" w:hanging="576"/>
      </w:pPr>
      <w:rPr>
        <w:rFonts w:ascii="Arial" w:hAnsi="Arial"/>
        <w:b/>
        <w:sz w:val="24"/>
      </w:rPr>
    </w:lvl>
    <w:lvl w:ilvl="2" w:tentative="0">
      <w:start w:val="1"/>
      <w:numFmt w:val="decimal"/>
      <w:pStyle w:val="4"/>
      <w:lvlText w:val="%1.%2.%3"/>
      <w:lvlJc w:val="left"/>
      <w:pPr>
        <w:tabs>
          <w:tab w:val="left" w:pos="0"/>
        </w:tabs>
        <w:ind w:left="720" w:hanging="720"/>
      </w:pPr>
    </w:lvl>
    <w:lvl w:ilvl="3" w:tentative="0">
      <w:start w:val="1"/>
      <w:numFmt w:val="decimal"/>
      <w:pStyle w:val="5"/>
      <w:lvlText w:val="%1.%2.%3.%4"/>
      <w:lvlJc w:val="left"/>
      <w:pPr>
        <w:tabs>
          <w:tab w:val="left" w:pos="0"/>
        </w:tabs>
        <w:ind w:left="864" w:hanging="864"/>
      </w:pPr>
    </w:lvl>
    <w:lvl w:ilvl="4" w:tentative="0">
      <w:start w:val="1"/>
      <w:numFmt w:val="decimal"/>
      <w:pStyle w:val="6"/>
      <w:lvlText w:val="%1.%2.%3.%4.%5"/>
      <w:lvlJc w:val="left"/>
      <w:pPr>
        <w:tabs>
          <w:tab w:val="left" w:pos="0"/>
        </w:tabs>
        <w:ind w:left="1008" w:hanging="1008"/>
      </w:pPr>
    </w:lvl>
    <w:lvl w:ilvl="5" w:tentative="0">
      <w:start w:val="1"/>
      <w:numFmt w:val="decimal"/>
      <w:pStyle w:val="7"/>
      <w:lvlText w:val="%1.%2.%3.%4.%5.%6"/>
      <w:lvlJc w:val="left"/>
      <w:pPr>
        <w:tabs>
          <w:tab w:val="left" w:pos="0"/>
        </w:tabs>
        <w:ind w:left="1152" w:hanging="1152"/>
      </w:pPr>
      <w:rPr>
        <w:sz w:val="24"/>
      </w:rPr>
    </w:lvl>
    <w:lvl w:ilvl="6" w:tentative="0">
      <w:start w:val="1"/>
      <w:numFmt w:val="decimal"/>
      <w:pStyle w:val="8"/>
      <w:lvlText w:val="%1.%2.%3.%4.%5.%6.%7"/>
      <w:lvlJc w:val="left"/>
      <w:pPr>
        <w:tabs>
          <w:tab w:val="left" w:pos="0"/>
        </w:tabs>
        <w:ind w:left="1296" w:hanging="1296"/>
      </w:pPr>
    </w:lvl>
    <w:lvl w:ilvl="7" w:tentative="0">
      <w:start w:val="1"/>
      <w:numFmt w:val="decimal"/>
      <w:pStyle w:val="9"/>
      <w:lvlText w:val="%1.%2.%3.%4.%5.%6.%7.%8"/>
      <w:lvlJc w:val="left"/>
      <w:pPr>
        <w:tabs>
          <w:tab w:val="left" w:pos="0"/>
        </w:tabs>
        <w:ind w:left="1440" w:hanging="1440"/>
      </w:pPr>
    </w:lvl>
    <w:lvl w:ilvl="8" w:tentative="0">
      <w:start w:val="1"/>
      <w:numFmt w:val="decimal"/>
      <w:pStyle w:val="10"/>
      <w:lvlText w:val="%1.%2.%3.%4.%5.%6.%7.%8.%9"/>
      <w:lvlJc w:val="left"/>
      <w:pPr>
        <w:tabs>
          <w:tab w:val="left" w:pos="0"/>
        </w:tabs>
        <w:ind w:left="1584" w:hanging="1584"/>
      </w:pPr>
    </w:lvl>
  </w:abstractNum>
  <w:abstractNum w:abstractNumId="9">
    <w:nsid w:val="0248C179"/>
    <w:multiLevelType w:val="multilevel"/>
    <w:tmpl w:val="0248C179"/>
    <w:lvl w:ilvl="0" w:tentative="0">
      <w:start w:val="1"/>
      <w:numFmt w:val="bullet"/>
      <w:lvlText w:val=""/>
      <w:lvlJc w:val="left"/>
      <w:pPr>
        <w:tabs>
          <w:tab w:val="left" w:pos="0"/>
        </w:tabs>
        <w:ind w:left="720" w:hanging="360"/>
      </w:pPr>
      <w:rPr>
        <w:rFonts w:hint="default" w:ascii="Symbol" w:hAnsi="Symbol" w:cs="Symbol"/>
      </w:rPr>
    </w:lvl>
    <w:lvl w:ilvl="1" w:tentative="0">
      <w:start w:val="1"/>
      <w:numFmt w:val="bullet"/>
      <w:lvlText w:val="o"/>
      <w:lvlJc w:val="left"/>
      <w:pPr>
        <w:tabs>
          <w:tab w:val="left" w:pos="0"/>
        </w:tabs>
        <w:ind w:left="1440" w:hanging="360"/>
      </w:pPr>
      <w:rPr>
        <w:rFonts w:hint="default" w:ascii="Courier New" w:hAnsi="Courier New" w:cs="Courier New"/>
      </w:rPr>
    </w:lvl>
    <w:lvl w:ilvl="2" w:tentative="0">
      <w:start w:val="1"/>
      <w:numFmt w:val="bullet"/>
      <w:lvlText w:val=""/>
      <w:lvlJc w:val="left"/>
      <w:pPr>
        <w:tabs>
          <w:tab w:val="left" w:pos="0"/>
        </w:tabs>
        <w:ind w:left="2160" w:hanging="360"/>
      </w:pPr>
      <w:rPr>
        <w:rFonts w:hint="default" w:ascii="Wingdings" w:hAnsi="Wingdings" w:cs="Wingdings"/>
      </w:rPr>
    </w:lvl>
    <w:lvl w:ilvl="3" w:tentative="0">
      <w:start w:val="1"/>
      <w:numFmt w:val="bullet"/>
      <w:lvlText w:val=""/>
      <w:lvlJc w:val="left"/>
      <w:pPr>
        <w:tabs>
          <w:tab w:val="left" w:pos="0"/>
        </w:tabs>
        <w:ind w:left="2880" w:hanging="360"/>
      </w:pPr>
      <w:rPr>
        <w:rFonts w:hint="default" w:ascii="Symbol" w:hAnsi="Symbol" w:cs="Symbol"/>
      </w:rPr>
    </w:lvl>
    <w:lvl w:ilvl="4" w:tentative="0">
      <w:start w:val="1"/>
      <w:numFmt w:val="bullet"/>
      <w:lvlText w:val="o"/>
      <w:lvlJc w:val="left"/>
      <w:pPr>
        <w:tabs>
          <w:tab w:val="left" w:pos="0"/>
        </w:tabs>
        <w:ind w:left="3600" w:hanging="360"/>
      </w:pPr>
      <w:rPr>
        <w:rFonts w:hint="default" w:ascii="Courier New" w:hAnsi="Courier New" w:cs="Courier New"/>
      </w:rPr>
    </w:lvl>
    <w:lvl w:ilvl="5" w:tentative="0">
      <w:start w:val="1"/>
      <w:numFmt w:val="bullet"/>
      <w:lvlText w:val=""/>
      <w:lvlJc w:val="left"/>
      <w:pPr>
        <w:tabs>
          <w:tab w:val="left" w:pos="0"/>
        </w:tabs>
        <w:ind w:left="4320" w:hanging="360"/>
      </w:pPr>
      <w:rPr>
        <w:rFonts w:hint="default" w:ascii="Wingdings" w:hAnsi="Wingdings" w:cs="Wingdings"/>
      </w:rPr>
    </w:lvl>
    <w:lvl w:ilvl="6" w:tentative="0">
      <w:start w:val="1"/>
      <w:numFmt w:val="bullet"/>
      <w:lvlText w:val=""/>
      <w:lvlJc w:val="left"/>
      <w:pPr>
        <w:tabs>
          <w:tab w:val="left" w:pos="0"/>
        </w:tabs>
        <w:ind w:left="5040" w:hanging="360"/>
      </w:pPr>
      <w:rPr>
        <w:rFonts w:hint="default" w:ascii="Symbol" w:hAnsi="Symbol" w:cs="Symbol"/>
      </w:rPr>
    </w:lvl>
    <w:lvl w:ilvl="7" w:tentative="0">
      <w:start w:val="1"/>
      <w:numFmt w:val="bullet"/>
      <w:lvlText w:val="o"/>
      <w:lvlJc w:val="left"/>
      <w:pPr>
        <w:tabs>
          <w:tab w:val="left" w:pos="0"/>
        </w:tabs>
        <w:ind w:left="5760" w:hanging="360"/>
      </w:pPr>
      <w:rPr>
        <w:rFonts w:hint="default" w:ascii="Courier New" w:hAnsi="Courier New" w:cs="Courier New"/>
      </w:rPr>
    </w:lvl>
    <w:lvl w:ilvl="8" w:tentative="0">
      <w:start w:val="1"/>
      <w:numFmt w:val="bullet"/>
      <w:lvlText w:val=""/>
      <w:lvlJc w:val="left"/>
      <w:pPr>
        <w:tabs>
          <w:tab w:val="left" w:pos="0"/>
        </w:tabs>
        <w:ind w:left="6480" w:hanging="360"/>
      </w:pPr>
      <w:rPr>
        <w:rFonts w:hint="default" w:ascii="Wingdings" w:hAnsi="Wingdings" w:cs="Wingdings"/>
      </w:rPr>
    </w:lvl>
  </w:abstractNum>
  <w:abstractNum w:abstractNumId="10">
    <w:nsid w:val="03D62ECE"/>
    <w:multiLevelType w:val="multilevel"/>
    <w:tmpl w:val="03D62ECE"/>
    <w:lvl w:ilvl="0" w:tentative="0">
      <w:start w:val="1"/>
      <w:numFmt w:val="bullet"/>
      <w:lvlText w:val=""/>
      <w:lvlJc w:val="left"/>
      <w:pPr>
        <w:tabs>
          <w:tab w:val="left" w:pos="0"/>
        </w:tabs>
        <w:ind w:left="720" w:hanging="360"/>
      </w:pPr>
      <w:rPr>
        <w:rFonts w:hint="default" w:ascii="Symbol" w:hAnsi="Symbol" w:cs="Symbol"/>
      </w:rPr>
    </w:lvl>
    <w:lvl w:ilvl="1" w:tentative="0">
      <w:start w:val="1"/>
      <w:numFmt w:val="bullet"/>
      <w:lvlText w:val="o"/>
      <w:lvlJc w:val="left"/>
      <w:pPr>
        <w:tabs>
          <w:tab w:val="left" w:pos="0"/>
        </w:tabs>
        <w:ind w:left="1440" w:hanging="360"/>
      </w:pPr>
      <w:rPr>
        <w:rFonts w:hint="default" w:ascii="Courier New" w:hAnsi="Courier New" w:cs="Courier New"/>
      </w:rPr>
    </w:lvl>
    <w:lvl w:ilvl="2" w:tentative="0">
      <w:start w:val="1"/>
      <w:numFmt w:val="bullet"/>
      <w:lvlText w:val=""/>
      <w:lvlJc w:val="left"/>
      <w:pPr>
        <w:tabs>
          <w:tab w:val="left" w:pos="0"/>
        </w:tabs>
        <w:ind w:left="2160" w:hanging="360"/>
      </w:pPr>
      <w:rPr>
        <w:rFonts w:hint="default" w:ascii="Wingdings" w:hAnsi="Wingdings" w:cs="Wingdings"/>
      </w:rPr>
    </w:lvl>
    <w:lvl w:ilvl="3" w:tentative="0">
      <w:start w:val="1"/>
      <w:numFmt w:val="bullet"/>
      <w:lvlText w:val=""/>
      <w:lvlJc w:val="left"/>
      <w:pPr>
        <w:tabs>
          <w:tab w:val="left" w:pos="0"/>
        </w:tabs>
        <w:ind w:left="2880" w:hanging="360"/>
      </w:pPr>
      <w:rPr>
        <w:rFonts w:hint="default" w:ascii="Symbol" w:hAnsi="Symbol" w:cs="Symbol"/>
      </w:rPr>
    </w:lvl>
    <w:lvl w:ilvl="4" w:tentative="0">
      <w:start w:val="1"/>
      <w:numFmt w:val="bullet"/>
      <w:lvlText w:val="o"/>
      <w:lvlJc w:val="left"/>
      <w:pPr>
        <w:tabs>
          <w:tab w:val="left" w:pos="0"/>
        </w:tabs>
        <w:ind w:left="3600" w:hanging="360"/>
      </w:pPr>
      <w:rPr>
        <w:rFonts w:hint="default" w:ascii="Courier New" w:hAnsi="Courier New" w:cs="Courier New"/>
      </w:rPr>
    </w:lvl>
    <w:lvl w:ilvl="5" w:tentative="0">
      <w:start w:val="1"/>
      <w:numFmt w:val="bullet"/>
      <w:lvlText w:val=""/>
      <w:lvlJc w:val="left"/>
      <w:pPr>
        <w:tabs>
          <w:tab w:val="left" w:pos="0"/>
        </w:tabs>
        <w:ind w:left="4320" w:hanging="360"/>
      </w:pPr>
      <w:rPr>
        <w:rFonts w:hint="default" w:ascii="Wingdings" w:hAnsi="Wingdings" w:cs="Wingdings"/>
      </w:rPr>
    </w:lvl>
    <w:lvl w:ilvl="6" w:tentative="0">
      <w:start w:val="1"/>
      <w:numFmt w:val="bullet"/>
      <w:lvlText w:val=""/>
      <w:lvlJc w:val="left"/>
      <w:pPr>
        <w:tabs>
          <w:tab w:val="left" w:pos="0"/>
        </w:tabs>
        <w:ind w:left="5040" w:hanging="360"/>
      </w:pPr>
      <w:rPr>
        <w:rFonts w:hint="default" w:ascii="Symbol" w:hAnsi="Symbol" w:cs="Symbol"/>
      </w:rPr>
    </w:lvl>
    <w:lvl w:ilvl="7" w:tentative="0">
      <w:start w:val="1"/>
      <w:numFmt w:val="bullet"/>
      <w:lvlText w:val="o"/>
      <w:lvlJc w:val="left"/>
      <w:pPr>
        <w:tabs>
          <w:tab w:val="left" w:pos="0"/>
        </w:tabs>
        <w:ind w:left="5760" w:hanging="360"/>
      </w:pPr>
      <w:rPr>
        <w:rFonts w:hint="default" w:ascii="Courier New" w:hAnsi="Courier New" w:cs="Courier New"/>
      </w:rPr>
    </w:lvl>
    <w:lvl w:ilvl="8" w:tentative="0">
      <w:start w:val="1"/>
      <w:numFmt w:val="bullet"/>
      <w:lvlText w:val=""/>
      <w:lvlJc w:val="left"/>
      <w:pPr>
        <w:tabs>
          <w:tab w:val="left" w:pos="0"/>
        </w:tabs>
        <w:ind w:left="6480" w:hanging="360"/>
      </w:pPr>
      <w:rPr>
        <w:rFonts w:hint="default" w:ascii="Wingdings" w:hAnsi="Wingdings" w:cs="Wingdings"/>
      </w:rPr>
    </w:lvl>
  </w:abstractNum>
  <w:abstractNum w:abstractNumId="11">
    <w:nsid w:val="2470EC97"/>
    <w:multiLevelType w:val="multilevel"/>
    <w:tmpl w:val="2470EC97"/>
    <w:lvl w:ilvl="0" w:tentative="0">
      <w:start w:val="0"/>
      <w:numFmt w:val="bullet"/>
      <w:lvlText w:val=""/>
      <w:lvlJc w:val="left"/>
      <w:pPr>
        <w:tabs>
          <w:tab w:val="left" w:pos="0"/>
        </w:tabs>
        <w:ind w:left="720" w:hanging="360"/>
      </w:pPr>
      <w:rPr>
        <w:rFonts w:hint="default" w:ascii="Symbol" w:hAnsi="Symbol" w:cs="Symbol"/>
        <w:sz w:val="20"/>
      </w:r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12">
    <w:nsid w:val="25B654F3"/>
    <w:multiLevelType w:val="multilevel"/>
    <w:tmpl w:val="25B654F3"/>
    <w:lvl w:ilvl="0" w:tentative="0">
      <w:start w:val="1"/>
      <w:numFmt w:val="bullet"/>
      <w:lvlText w:val=""/>
      <w:lvlJc w:val="left"/>
      <w:pPr>
        <w:tabs>
          <w:tab w:val="left" w:pos="0"/>
        </w:tabs>
        <w:ind w:left="720" w:hanging="360"/>
      </w:pPr>
      <w:rPr>
        <w:rFonts w:hint="default" w:ascii="Symbol" w:hAnsi="Symbol" w:cs="Symbol"/>
      </w:rPr>
    </w:lvl>
    <w:lvl w:ilvl="1" w:tentative="0">
      <w:start w:val="1"/>
      <w:numFmt w:val="bullet"/>
      <w:lvlText w:val="o"/>
      <w:lvlJc w:val="left"/>
      <w:pPr>
        <w:tabs>
          <w:tab w:val="left" w:pos="0"/>
        </w:tabs>
        <w:ind w:left="1440" w:hanging="360"/>
      </w:pPr>
      <w:rPr>
        <w:rFonts w:hint="default" w:ascii="Courier New" w:hAnsi="Courier New" w:cs="Courier New"/>
      </w:rPr>
    </w:lvl>
    <w:lvl w:ilvl="2" w:tentative="0">
      <w:start w:val="1"/>
      <w:numFmt w:val="bullet"/>
      <w:lvlText w:val=""/>
      <w:lvlJc w:val="left"/>
      <w:pPr>
        <w:tabs>
          <w:tab w:val="left" w:pos="0"/>
        </w:tabs>
        <w:ind w:left="2160" w:hanging="360"/>
      </w:pPr>
      <w:rPr>
        <w:rFonts w:hint="default" w:ascii="Wingdings" w:hAnsi="Wingdings" w:cs="Wingdings"/>
      </w:rPr>
    </w:lvl>
    <w:lvl w:ilvl="3" w:tentative="0">
      <w:start w:val="1"/>
      <w:numFmt w:val="bullet"/>
      <w:lvlText w:val=""/>
      <w:lvlJc w:val="left"/>
      <w:pPr>
        <w:tabs>
          <w:tab w:val="left" w:pos="0"/>
        </w:tabs>
        <w:ind w:left="2880" w:hanging="360"/>
      </w:pPr>
      <w:rPr>
        <w:rFonts w:hint="default" w:ascii="Symbol" w:hAnsi="Symbol" w:cs="Symbol"/>
      </w:rPr>
    </w:lvl>
    <w:lvl w:ilvl="4" w:tentative="0">
      <w:start w:val="1"/>
      <w:numFmt w:val="bullet"/>
      <w:lvlText w:val="o"/>
      <w:lvlJc w:val="left"/>
      <w:pPr>
        <w:tabs>
          <w:tab w:val="left" w:pos="0"/>
        </w:tabs>
        <w:ind w:left="3600" w:hanging="360"/>
      </w:pPr>
      <w:rPr>
        <w:rFonts w:hint="default" w:ascii="Courier New" w:hAnsi="Courier New" w:cs="Courier New"/>
      </w:rPr>
    </w:lvl>
    <w:lvl w:ilvl="5" w:tentative="0">
      <w:start w:val="1"/>
      <w:numFmt w:val="bullet"/>
      <w:lvlText w:val=""/>
      <w:lvlJc w:val="left"/>
      <w:pPr>
        <w:tabs>
          <w:tab w:val="left" w:pos="0"/>
        </w:tabs>
        <w:ind w:left="4320" w:hanging="360"/>
      </w:pPr>
      <w:rPr>
        <w:rFonts w:hint="default" w:ascii="Wingdings" w:hAnsi="Wingdings" w:cs="Wingdings"/>
      </w:rPr>
    </w:lvl>
    <w:lvl w:ilvl="6" w:tentative="0">
      <w:start w:val="1"/>
      <w:numFmt w:val="bullet"/>
      <w:lvlText w:val=""/>
      <w:lvlJc w:val="left"/>
      <w:pPr>
        <w:tabs>
          <w:tab w:val="left" w:pos="0"/>
        </w:tabs>
        <w:ind w:left="5040" w:hanging="360"/>
      </w:pPr>
      <w:rPr>
        <w:rFonts w:hint="default" w:ascii="Symbol" w:hAnsi="Symbol" w:cs="Symbol"/>
      </w:rPr>
    </w:lvl>
    <w:lvl w:ilvl="7" w:tentative="0">
      <w:start w:val="1"/>
      <w:numFmt w:val="bullet"/>
      <w:lvlText w:val="o"/>
      <w:lvlJc w:val="left"/>
      <w:pPr>
        <w:tabs>
          <w:tab w:val="left" w:pos="0"/>
        </w:tabs>
        <w:ind w:left="5760" w:hanging="360"/>
      </w:pPr>
      <w:rPr>
        <w:rFonts w:hint="default" w:ascii="Courier New" w:hAnsi="Courier New" w:cs="Courier New"/>
      </w:rPr>
    </w:lvl>
    <w:lvl w:ilvl="8" w:tentative="0">
      <w:start w:val="1"/>
      <w:numFmt w:val="bullet"/>
      <w:lvlText w:val=""/>
      <w:lvlJc w:val="left"/>
      <w:pPr>
        <w:tabs>
          <w:tab w:val="left" w:pos="0"/>
        </w:tabs>
        <w:ind w:left="6480" w:hanging="360"/>
      </w:pPr>
      <w:rPr>
        <w:rFonts w:hint="default" w:ascii="Wingdings" w:hAnsi="Wingdings" w:cs="Wingdings"/>
      </w:rPr>
    </w:lvl>
  </w:abstractNum>
  <w:abstractNum w:abstractNumId="13">
    <w:nsid w:val="2A8F537B"/>
    <w:multiLevelType w:val="multilevel"/>
    <w:tmpl w:val="2A8F537B"/>
    <w:lvl w:ilvl="0" w:tentative="0">
      <w:start w:val="1"/>
      <w:numFmt w:val="bullet"/>
      <w:lvlText w:val=""/>
      <w:lvlJc w:val="left"/>
      <w:pPr>
        <w:tabs>
          <w:tab w:val="left" w:pos="0"/>
        </w:tabs>
        <w:ind w:left="720" w:hanging="360"/>
      </w:pPr>
      <w:rPr>
        <w:rFonts w:hint="default" w:ascii="Symbol" w:hAnsi="Symbol" w:cs="Symbol"/>
      </w:rPr>
    </w:lvl>
    <w:lvl w:ilvl="1" w:tentative="0">
      <w:start w:val="1"/>
      <w:numFmt w:val="bullet"/>
      <w:lvlText w:val="o"/>
      <w:lvlJc w:val="left"/>
      <w:pPr>
        <w:tabs>
          <w:tab w:val="left" w:pos="0"/>
        </w:tabs>
        <w:ind w:left="1440" w:hanging="360"/>
      </w:pPr>
      <w:rPr>
        <w:rFonts w:hint="default" w:ascii="Courier New" w:hAnsi="Courier New" w:cs="Courier New"/>
      </w:rPr>
    </w:lvl>
    <w:lvl w:ilvl="2" w:tentative="0">
      <w:start w:val="1"/>
      <w:numFmt w:val="bullet"/>
      <w:lvlText w:val=""/>
      <w:lvlJc w:val="left"/>
      <w:pPr>
        <w:tabs>
          <w:tab w:val="left" w:pos="0"/>
        </w:tabs>
        <w:ind w:left="2160" w:hanging="360"/>
      </w:pPr>
      <w:rPr>
        <w:rFonts w:hint="default" w:ascii="Wingdings" w:hAnsi="Wingdings" w:cs="Wingdings"/>
      </w:rPr>
    </w:lvl>
    <w:lvl w:ilvl="3" w:tentative="0">
      <w:start w:val="1"/>
      <w:numFmt w:val="bullet"/>
      <w:lvlText w:val=""/>
      <w:lvlJc w:val="left"/>
      <w:pPr>
        <w:tabs>
          <w:tab w:val="left" w:pos="0"/>
        </w:tabs>
        <w:ind w:left="2880" w:hanging="360"/>
      </w:pPr>
      <w:rPr>
        <w:rFonts w:hint="default" w:ascii="Symbol" w:hAnsi="Symbol" w:cs="Symbol"/>
      </w:rPr>
    </w:lvl>
    <w:lvl w:ilvl="4" w:tentative="0">
      <w:start w:val="1"/>
      <w:numFmt w:val="bullet"/>
      <w:lvlText w:val="o"/>
      <w:lvlJc w:val="left"/>
      <w:pPr>
        <w:tabs>
          <w:tab w:val="left" w:pos="0"/>
        </w:tabs>
        <w:ind w:left="3600" w:hanging="360"/>
      </w:pPr>
      <w:rPr>
        <w:rFonts w:hint="default" w:ascii="Courier New" w:hAnsi="Courier New" w:cs="Courier New"/>
      </w:rPr>
    </w:lvl>
    <w:lvl w:ilvl="5" w:tentative="0">
      <w:start w:val="1"/>
      <w:numFmt w:val="bullet"/>
      <w:lvlText w:val=""/>
      <w:lvlJc w:val="left"/>
      <w:pPr>
        <w:tabs>
          <w:tab w:val="left" w:pos="0"/>
        </w:tabs>
        <w:ind w:left="4320" w:hanging="360"/>
      </w:pPr>
      <w:rPr>
        <w:rFonts w:hint="default" w:ascii="Wingdings" w:hAnsi="Wingdings" w:cs="Wingdings"/>
      </w:rPr>
    </w:lvl>
    <w:lvl w:ilvl="6" w:tentative="0">
      <w:start w:val="1"/>
      <w:numFmt w:val="bullet"/>
      <w:lvlText w:val=""/>
      <w:lvlJc w:val="left"/>
      <w:pPr>
        <w:tabs>
          <w:tab w:val="left" w:pos="0"/>
        </w:tabs>
        <w:ind w:left="5040" w:hanging="360"/>
      </w:pPr>
      <w:rPr>
        <w:rFonts w:hint="default" w:ascii="Symbol" w:hAnsi="Symbol" w:cs="Symbol"/>
      </w:rPr>
    </w:lvl>
    <w:lvl w:ilvl="7" w:tentative="0">
      <w:start w:val="1"/>
      <w:numFmt w:val="bullet"/>
      <w:lvlText w:val="o"/>
      <w:lvlJc w:val="left"/>
      <w:pPr>
        <w:tabs>
          <w:tab w:val="left" w:pos="0"/>
        </w:tabs>
        <w:ind w:left="5760" w:hanging="360"/>
      </w:pPr>
      <w:rPr>
        <w:rFonts w:hint="default" w:ascii="Courier New" w:hAnsi="Courier New" w:cs="Courier New"/>
      </w:rPr>
    </w:lvl>
    <w:lvl w:ilvl="8" w:tentative="0">
      <w:start w:val="1"/>
      <w:numFmt w:val="bullet"/>
      <w:lvlText w:val=""/>
      <w:lvlJc w:val="left"/>
      <w:pPr>
        <w:tabs>
          <w:tab w:val="left" w:pos="0"/>
        </w:tabs>
        <w:ind w:left="6480" w:hanging="360"/>
      </w:pPr>
      <w:rPr>
        <w:rFonts w:hint="default" w:ascii="Wingdings" w:hAnsi="Wingdings" w:cs="Wingdings"/>
      </w:rPr>
    </w:lvl>
  </w:abstractNum>
  <w:abstractNum w:abstractNumId="14">
    <w:nsid w:val="4D4DC07F"/>
    <w:multiLevelType w:val="multilevel"/>
    <w:tmpl w:val="4D4DC07F"/>
    <w:lvl w:ilvl="0" w:tentative="0">
      <w:start w:val="1"/>
      <w:numFmt w:val="decimal"/>
      <w:lvlText w:val="%1."/>
      <w:lvlJc w:val="left"/>
      <w:pPr>
        <w:tabs>
          <w:tab w:val="left" w:pos="0"/>
        </w:tabs>
        <w:ind w:left="660" w:hanging="360"/>
      </w:pPr>
      <w:rPr>
        <w:rFonts w:hint="default"/>
        <w:b/>
        <w:bCs/>
        <w:color w:val="000000" w:themeColor="text1"/>
        <w14:textFill>
          <w14:solidFill>
            <w14:schemeClr w14:val="tx1"/>
          </w14:solidFill>
        </w14:textFill>
      </w:rPr>
    </w:lvl>
    <w:lvl w:ilvl="1" w:tentative="0">
      <w:start w:val="2"/>
      <w:numFmt w:val="decimal"/>
      <w:lvlText w:val="%1.%2"/>
      <w:lvlJc w:val="left"/>
      <w:pPr>
        <w:tabs>
          <w:tab w:val="left" w:pos="0"/>
        </w:tabs>
        <w:ind w:left="705" w:hanging="405"/>
      </w:pPr>
      <w:rPr>
        <w:rFonts w:hint="default" w:cstheme="majorBidi"/>
        <w:b/>
        <w:bCs/>
        <w:color w:val="000000" w:themeColor="text1"/>
        <w14:textFill>
          <w14:solidFill>
            <w14:schemeClr w14:val="tx1"/>
          </w14:solidFill>
        </w14:textFill>
      </w:rPr>
    </w:lvl>
    <w:lvl w:ilvl="2" w:tentative="0">
      <w:start w:val="1"/>
      <w:numFmt w:val="decimal"/>
      <w:lvlText w:val="%1.%2.%3"/>
      <w:lvlJc w:val="left"/>
      <w:pPr>
        <w:tabs>
          <w:tab w:val="left" w:pos="0"/>
        </w:tabs>
        <w:ind w:left="1020" w:hanging="720"/>
      </w:pPr>
      <w:rPr>
        <w:rFonts w:cstheme="majorBidi"/>
      </w:rPr>
    </w:lvl>
    <w:lvl w:ilvl="3" w:tentative="0">
      <w:start w:val="1"/>
      <w:numFmt w:val="decimal"/>
      <w:lvlText w:val="%1.%2.%3.%4"/>
      <w:lvlJc w:val="left"/>
      <w:pPr>
        <w:tabs>
          <w:tab w:val="left" w:pos="0"/>
        </w:tabs>
        <w:ind w:left="1020" w:hanging="720"/>
      </w:pPr>
      <w:rPr>
        <w:rFonts w:cstheme="majorBidi"/>
      </w:rPr>
    </w:lvl>
    <w:lvl w:ilvl="4" w:tentative="0">
      <w:start w:val="1"/>
      <w:numFmt w:val="decimal"/>
      <w:lvlText w:val="%1.%2.%3.%4.%5"/>
      <w:lvlJc w:val="left"/>
      <w:pPr>
        <w:tabs>
          <w:tab w:val="left" w:pos="0"/>
        </w:tabs>
        <w:ind w:left="1380" w:hanging="1080"/>
      </w:pPr>
      <w:rPr>
        <w:rFonts w:cstheme="majorBidi"/>
      </w:rPr>
    </w:lvl>
    <w:lvl w:ilvl="5" w:tentative="0">
      <w:start w:val="1"/>
      <w:numFmt w:val="decimal"/>
      <w:lvlText w:val="%1.%2.%3.%4.%5.%6"/>
      <w:lvlJc w:val="left"/>
      <w:pPr>
        <w:tabs>
          <w:tab w:val="left" w:pos="0"/>
        </w:tabs>
        <w:ind w:left="1380" w:hanging="1080"/>
      </w:pPr>
      <w:rPr>
        <w:rFonts w:cstheme="majorBidi"/>
      </w:rPr>
    </w:lvl>
    <w:lvl w:ilvl="6" w:tentative="0">
      <w:start w:val="1"/>
      <w:numFmt w:val="decimal"/>
      <w:lvlText w:val="%1.%2.%3.%4.%5.%6.%7"/>
      <w:lvlJc w:val="left"/>
      <w:pPr>
        <w:tabs>
          <w:tab w:val="left" w:pos="0"/>
        </w:tabs>
        <w:ind w:left="1740" w:hanging="1440"/>
      </w:pPr>
      <w:rPr>
        <w:rFonts w:cstheme="majorBidi"/>
      </w:rPr>
    </w:lvl>
    <w:lvl w:ilvl="7" w:tentative="0">
      <w:start w:val="1"/>
      <w:numFmt w:val="decimal"/>
      <w:lvlText w:val="%1.%2.%3.%4.%5.%6.%7.%8"/>
      <w:lvlJc w:val="left"/>
      <w:pPr>
        <w:tabs>
          <w:tab w:val="left" w:pos="0"/>
        </w:tabs>
        <w:ind w:left="1740" w:hanging="1440"/>
      </w:pPr>
      <w:rPr>
        <w:rFonts w:cstheme="majorBidi"/>
      </w:rPr>
    </w:lvl>
    <w:lvl w:ilvl="8" w:tentative="0">
      <w:start w:val="1"/>
      <w:numFmt w:val="decimal"/>
      <w:lvlText w:val="%1.%2.%3.%4.%5.%6.%7.%8.%9"/>
      <w:lvlJc w:val="left"/>
      <w:pPr>
        <w:tabs>
          <w:tab w:val="left" w:pos="0"/>
        </w:tabs>
        <w:ind w:left="1740" w:hanging="1440"/>
      </w:pPr>
      <w:rPr>
        <w:rFonts w:cstheme="majorBidi"/>
      </w:rPr>
    </w:lvl>
  </w:abstractNum>
  <w:abstractNum w:abstractNumId="15">
    <w:nsid w:val="59ADCABA"/>
    <w:multiLevelType w:val="multilevel"/>
    <w:tmpl w:val="59ADCABA"/>
    <w:lvl w:ilvl="0" w:tentative="0">
      <w:start w:val="1"/>
      <w:numFmt w:val="decimal"/>
      <w:lvlText w:val="%1."/>
      <w:lvlJc w:val="left"/>
      <w:pPr>
        <w:tabs>
          <w:tab w:val="left" w:pos="0"/>
        </w:tabs>
        <w:ind w:left="360" w:hanging="360"/>
      </w:pPr>
      <w:rPr>
        <w:b/>
        <w:bCs/>
      </w:rPr>
    </w:lvl>
    <w:lvl w:ilvl="1" w:tentative="0">
      <w:start w:val="1"/>
      <w:numFmt w:val="decimal"/>
      <w:lvlText w:val="%1.%2."/>
      <w:lvlJc w:val="left"/>
      <w:pPr>
        <w:tabs>
          <w:tab w:val="left" w:pos="0"/>
        </w:tabs>
        <w:ind w:left="1440" w:hanging="720"/>
      </w:pPr>
      <w:rPr>
        <w:b/>
        <w:bCs/>
        <w:sz w:val="20"/>
        <w:szCs w:val="20"/>
      </w:rPr>
    </w:lvl>
    <w:lvl w:ilvl="2" w:tentative="0">
      <w:start w:val="1"/>
      <w:numFmt w:val="decimal"/>
      <w:lvlText w:val="%1.%2.%3."/>
      <w:lvlJc w:val="left"/>
      <w:pPr>
        <w:tabs>
          <w:tab w:val="left" w:pos="0"/>
        </w:tabs>
        <w:ind w:left="2160" w:hanging="720"/>
      </w:pPr>
    </w:lvl>
    <w:lvl w:ilvl="3" w:tentative="0">
      <w:start w:val="1"/>
      <w:numFmt w:val="decimal"/>
      <w:lvlText w:val="%1.%2.%3.%4."/>
      <w:lvlJc w:val="left"/>
      <w:pPr>
        <w:tabs>
          <w:tab w:val="left" w:pos="0"/>
        </w:tabs>
        <w:ind w:left="3240" w:hanging="1080"/>
      </w:pPr>
    </w:lvl>
    <w:lvl w:ilvl="4" w:tentative="0">
      <w:start w:val="1"/>
      <w:numFmt w:val="decimal"/>
      <w:lvlText w:val="%1.%2.%3.%4.%5."/>
      <w:lvlJc w:val="left"/>
      <w:pPr>
        <w:tabs>
          <w:tab w:val="left" w:pos="0"/>
        </w:tabs>
        <w:ind w:left="3960" w:hanging="1080"/>
      </w:pPr>
    </w:lvl>
    <w:lvl w:ilvl="5" w:tentative="0">
      <w:start w:val="1"/>
      <w:numFmt w:val="decimal"/>
      <w:lvlText w:val="%1.%2.%3.%4.%5.%6."/>
      <w:lvlJc w:val="left"/>
      <w:pPr>
        <w:tabs>
          <w:tab w:val="left" w:pos="0"/>
        </w:tabs>
        <w:ind w:left="5040" w:hanging="1440"/>
      </w:pPr>
    </w:lvl>
    <w:lvl w:ilvl="6" w:tentative="0">
      <w:start w:val="1"/>
      <w:numFmt w:val="decimal"/>
      <w:lvlText w:val="%1.%2.%3.%4.%5.%6.%7."/>
      <w:lvlJc w:val="left"/>
      <w:pPr>
        <w:tabs>
          <w:tab w:val="left" w:pos="0"/>
        </w:tabs>
        <w:ind w:left="5760" w:hanging="1440"/>
      </w:pPr>
    </w:lvl>
    <w:lvl w:ilvl="7" w:tentative="0">
      <w:start w:val="1"/>
      <w:numFmt w:val="decimal"/>
      <w:lvlText w:val="%1.%2.%3.%4.%5.%6.%7.%8."/>
      <w:lvlJc w:val="left"/>
      <w:pPr>
        <w:tabs>
          <w:tab w:val="left" w:pos="0"/>
        </w:tabs>
        <w:ind w:left="6840" w:hanging="1800"/>
      </w:pPr>
    </w:lvl>
    <w:lvl w:ilvl="8" w:tentative="0">
      <w:start w:val="1"/>
      <w:numFmt w:val="decimal"/>
      <w:lvlText w:val="%1.%2.%3.%4.%5.%6.%7.%8.%9."/>
      <w:lvlJc w:val="left"/>
      <w:pPr>
        <w:tabs>
          <w:tab w:val="left" w:pos="0"/>
        </w:tabs>
        <w:ind w:left="7560" w:hanging="1800"/>
      </w:pPr>
    </w:lvl>
  </w:abstractNum>
  <w:abstractNum w:abstractNumId="16">
    <w:nsid w:val="5A241D34"/>
    <w:multiLevelType w:val="multilevel"/>
    <w:tmpl w:val="5A241D34"/>
    <w:lvl w:ilvl="0" w:tentative="0">
      <w:start w:val="1"/>
      <w:numFmt w:val="bullet"/>
      <w:lvlText w:val=""/>
      <w:lvlJc w:val="left"/>
      <w:pPr>
        <w:tabs>
          <w:tab w:val="left" w:pos="0"/>
        </w:tabs>
        <w:ind w:left="2484" w:hanging="360"/>
      </w:pPr>
      <w:rPr>
        <w:rFonts w:hint="default" w:ascii="Symbol" w:hAnsi="Symbol" w:cs="Symbol"/>
      </w:rPr>
    </w:lvl>
    <w:lvl w:ilvl="1" w:tentative="0">
      <w:start w:val="1"/>
      <w:numFmt w:val="bullet"/>
      <w:lvlText w:val="o"/>
      <w:lvlJc w:val="left"/>
      <w:pPr>
        <w:tabs>
          <w:tab w:val="left" w:pos="0"/>
        </w:tabs>
        <w:ind w:left="3204" w:hanging="360"/>
      </w:pPr>
      <w:rPr>
        <w:rFonts w:hint="default" w:ascii="Courier New" w:hAnsi="Courier New" w:cs="Courier New"/>
      </w:rPr>
    </w:lvl>
    <w:lvl w:ilvl="2" w:tentative="0">
      <w:start w:val="1"/>
      <w:numFmt w:val="bullet"/>
      <w:lvlText w:val=""/>
      <w:lvlJc w:val="left"/>
      <w:pPr>
        <w:tabs>
          <w:tab w:val="left" w:pos="0"/>
        </w:tabs>
        <w:ind w:left="3924" w:hanging="360"/>
      </w:pPr>
      <w:rPr>
        <w:rFonts w:hint="default" w:ascii="Wingdings" w:hAnsi="Wingdings" w:cs="Wingdings"/>
      </w:rPr>
    </w:lvl>
    <w:lvl w:ilvl="3" w:tentative="0">
      <w:start w:val="1"/>
      <w:numFmt w:val="bullet"/>
      <w:lvlText w:val=""/>
      <w:lvlJc w:val="left"/>
      <w:pPr>
        <w:tabs>
          <w:tab w:val="left" w:pos="0"/>
        </w:tabs>
        <w:ind w:left="4644" w:hanging="360"/>
      </w:pPr>
      <w:rPr>
        <w:rFonts w:hint="default" w:ascii="Symbol" w:hAnsi="Symbol" w:cs="Symbol"/>
      </w:rPr>
    </w:lvl>
    <w:lvl w:ilvl="4" w:tentative="0">
      <w:start w:val="1"/>
      <w:numFmt w:val="bullet"/>
      <w:lvlText w:val="o"/>
      <w:lvlJc w:val="left"/>
      <w:pPr>
        <w:tabs>
          <w:tab w:val="left" w:pos="0"/>
        </w:tabs>
        <w:ind w:left="5364" w:hanging="360"/>
      </w:pPr>
      <w:rPr>
        <w:rFonts w:hint="default" w:ascii="Courier New" w:hAnsi="Courier New" w:cs="Courier New"/>
      </w:rPr>
    </w:lvl>
    <w:lvl w:ilvl="5" w:tentative="0">
      <w:start w:val="1"/>
      <w:numFmt w:val="bullet"/>
      <w:lvlText w:val=""/>
      <w:lvlJc w:val="left"/>
      <w:pPr>
        <w:tabs>
          <w:tab w:val="left" w:pos="0"/>
        </w:tabs>
        <w:ind w:left="6084" w:hanging="360"/>
      </w:pPr>
      <w:rPr>
        <w:rFonts w:hint="default" w:ascii="Wingdings" w:hAnsi="Wingdings" w:cs="Wingdings"/>
      </w:rPr>
    </w:lvl>
    <w:lvl w:ilvl="6" w:tentative="0">
      <w:start w:val="1"/>
      <w:numFmt w:val="bullet"/>
      <w:lvlText w:val=""/>
      <w:lvlJc w:val="left"/>
      <w:pPr>
        <w:tabs>
          <w:tab w:val="left" w:pos="0"/>
        </w:tabs>
        <w:ind w:left="6804" w:hanging="360"/>
      </w:pPr>
      <w:rPr>
        <w:rFonts w:hint="default" w:ascii="Symbol" w:hAnsi="Symbol" w:cs="Symbol"/>
      </w:rPr>
    </w:lvl>
    <w:lvl w:ilvl="7" w:tentative="0">
      <w:start w:val="1"/>
      <w:numFmt w:val="bullet"/>
      <w:lvlText w:val="o"/>
      <w:lvlJc w:val="left"/>
      <w:pPr>
        <w:tabs>
          <w:tab w:val="left" w:pos="0"/>
        </w:tabs>
        <w:ind w:left="7524" w:hanging="360"/>
      </w:pPr>
      <w:rPr>
        <w:rFonts w:hint="default" w:ascii="Courier New" w:hAnsi="Courier New" w:cs="Courier New"/>
      </w:rPr>
    </w:lvl>
    <w:lvl w:ilvl="8" w:tentative="0">
      <w:start w:val="1"/>
      <w:numFmt w:val="bullet"/>
      <w:lvlText w:val=""/>
      <w:lvlJc w:val="left"/>
      <w:pPr>
        <w:tabs>
          <w:tab w:val="left" w:pos="0"/>
        </w:tabs>
        <w:ind w:left="8244" w:hanging="360"/>
      </w:pPr>
      <w:rPr>
        <w:rFonts w:hint="default" w:ascii="Wingdings" w:hAnsi="Wingdings" w:cs="Wingdings"/>
      </w:rPr>
    </w:lvl>
  </w:abstractNum>
  <w:abstractNum w:abstractNumId="17">
    <w:nsid w:val="72183CF9"/>
    <w:multiLevelType w:val="multilevel"/>
    <w:tmpl w:val="72183CF9"/>
    <w:lvl w:ilvl="0" w:tentative="0">
      <w:start w:val="1"/>
      <w:numFmt w:val="bullet"/>
      <w:lvlText w:val=""/>
      <w:lvlJc w:val="left"/>
      <w:pPr>
        <w:tabs>
          <w:tab w:val="left" w:pos="0"/>
        </w:tabs>
        <w:ind w:left="720" w:hanging="360"/>
      </w:pPr>
      <w:rPr>
        <w:rFonts w:hint="default" w:ascii="Symbol" w:hAnsi="Symbol" w:cs="Symbol"/>
      </w:rPr>
    </w:lvl>
    <w:lvl w:ilvl="1" w:tentative="0">
      <w:start w:val="1"/>
      <w:numFmt w:val="bullet"/>
      <w:lvlText w:val="o"/>
      <w:lvlJc w:val="left"/>
      <w:pPr>
        <w:tabs>
          <w:tab w:val="left" w:pos="0"/>
        </w:tabs>
        <w:ind w:left="1440" w:hanging="360"/>
      </w:pPr>
      <w:rPr>
        <w:rFonts w:hint="default" w:ascii="Courier New" w:hAnsi="Courier New" w:cs="Courier New"/>
      </w:rPr>
    </w:lvl>
    <w:lvl w:ilvl="2" w:tentative="0">
      <w:start w:val="1"/>
      <w:numFmt w:val="bullet"/>
      <w:lvlText w:val=""/>
      <w:lvlJc w:val="left"/>
      <w:pPr>
        <w:tabs>
          <w:tab w:val="left" w:pos="0"/>
        </w:tabs>
        <w:ind w:left="2160" w:hanging="360"/>
      </w:pPr>
      <w:rPr>
        <w:rFonts w:hint="default" w:ascii="Wingdings" w:hAnsi="Wingdings" w:cs="Wingdings"/>
      </w:rPr>
    </w:lvl>
    <w:lvl w:ilvl="3" w:tentative="0">
      <w:start w:val="1"/>
      <w:numFmt w:val="bullet"/>
      <w:lvlText w:val=""/>
      <w:lvlJc w:val="left"/>
      <w:pPr>
        <w:tabs>
          <w:tab w:val="left" w:pos="0"/>
        </w:tabs>
        <w:ind w:left="2880" w:hanging="360"/>
      </w:pPr>
      <w:rPr>
        <w:rFonts w:hint="default" w:ascii="Symbol" w:hAnsi="Symbol" w:cs="Symbol"/>
      </w:rPr>
    </w:lvl>
    <w:lvl w:ilvl="4" w:tentative="0">
      <w:start w:val="1"/>
      <w:numFmt w:val="bullet"/>
      <w:lvlText w:val="o"/>
      <w:lvlJc w:val="left"/>
      <w:pPr>
        <w:tabs>
          <w:tab w:val="left" w:pos="0"/>
        </w:tabs>
        <w:ind w:left="3600" w:hanging="360"/>
      </w:pPr>
      <w:rPr>
        <w:rFonts w:hint="default" w:ascii="Courier New" w:hAnsi="Courier New" w:cs="Courier New"/>
      </w:rPr>
    </w:lvl>
    <w:lvl w:ilvl="5" w:tentative="0">
      <w:start w:val="1"/>
      <w:numFmt w:val="bullet"/>
      <w:lvlText w:val=""/>
      <w:lvlJc w:val="left"/>
      <w:pPr>
        <w:tabs>
          <w:tab w:val="left" w:pos="0"/>
        </w:tabs>
        <w:ind w:left="4320" w:hanging="360"/>
      </w:pPr>
      <w:rPr>
        <w:rFonts w:hint="default" w:ascii="Wingdings" w:hAnsi="Wingdings" w:cs="Wingdings"/>
      </w:rPr>
    </w:lvl>
    <w:lvl w:ilvl="6" w:tentative="0">
      <w:start w:val="1"/>
      <w:numFmt w:val="bullet"/>
      <w:lvlText w:val=""/>
      <w:lvlJc w:val="left"/>
      <w:pPr>
        <w:tabs>
          <w:tab w:val="left" w:pos="0"/>
        </w:tabs>
        <w:ind w:left="5040" w:hanging="360"/>
      </w:pPr>
      <w:rPr>
        <w:rFonts w:hint="default" w:ascii="Symbol" w:hAnsi="Symbol" w:cs="Symbol"/>
      </w:rPr>
    </w:lvl>
    <w:lvl w:ilvl="7" w:tentative="0">
      <w:start w:val="1"/>
      <w:numFmt w:val="bullet"/>
      <w:lvlText w:val="o"/>
      <w:lvlJc w:val="left"/>
      <w:pPr>
        <w:tabs>
          <w:tab w:val="left" w:pos="0"/>
        </w:tabs>
        <w:ind w:left="5760" w:hanging="360"/>
      </w:pPr>
      <w:rPr>
        <w:rFonts w:hint="default" w:ascii="Courier New" w:hAnsi="Courier New" w:cs="Courier New"/>
      </w:rPr>
    </w:lvl>
    <w:lvl w:ilvl="8" w:tentative="0">
      <w:start w:val="1"/>
      <w:numFmt w:val="bullet"/>
      <w:lvlText w:val=""/>
      <w:lvlJc w:val="left"/>
      <w:pPr>
        <w:tabs>
          <w:tab w:val="left" w:pos="0"/>
        </w:tabs>
        <w:ind w:left="6480" w:hanging="360"/>
      </w:pPr>
      <w:rPr>
        <w:rFonts w:hint="default" w:ascii="Wingdings" w:hAnsi="Wingdings" w:cs="Wingdings"/>
      </w:rPr>
    </w:lvl>
  </w:abstractNum>
  <w:num w:numId="1">
    <w:abstractNumId w:val="8"/>
  </w:num>
  <w:num w:numId="2">
    <w:abstractNumId w:val="4"/>
  </w:num>
  <w:num w:numId="3">
    <w:abstractNumId w:val="15"/>
  </w:num>
  <w:num w:numId="4">
    <w:abstractNumId w:val="2"/>
  </w:num>
  <w:num w:numId="5">
    <w:abstractNumId w:val="1"/>
  </w:num>
  <w:num w:numId="6">
    <w:abstractNumId w:val="10"/>
  </w:num>
  <w:num w:numId="7">
    <w:abstractNumId w:val="12"/>
  </w:num>
  <w:num w:numId="8">
    <w:abstractNumId w:val="17"/>
  </w:num>
  <w:num w:numId="9">
    <w:abstractNumId w:val="9"/>
  </w:num>
  <w:num w:numId="10">
    <w:abstractNumId w:val="0"/>
  </w:num>
  <w:num w:numId="11">
    <w:abstractNumId w:val="13"/>
  </w:num>
  <w:num w:numId="12">
    <w:abstractNumId w:val="16"/>
  </w:num>
  <w:num w:numId="13">
    <w:abstractNumId w:val="3"/>
  </w:num>
  <w:num w:numId="14">
    <w:abstractNumId w:val="14"/>
  </w:num>
  <w:num w:numId="15">
    <w:abstractNumId w:val="7"/>
  </w:num>
  <w:num w:numId="16">
    <w:abstractNumId w:val="11"/>
  </w:num>
  <w:num w:numId="17">
    <w:abstractNumId w:val="6"/>
  </w:num>
  <w:num w:numId="1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autoHyphenation/>
  <w:hyphenationZone w:val="425"/>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0000"/>
    <w:rsid w:val="002D20E7"/>
    <w:rsid w:val="0FED1AD7"/>
    <w:rsid w:val="11FA0962"/>
    <w:rsid w:val="12A51E62"/>
    <w:rsid w:val="15FE030D"/>
    <w:rsid w:val="1DF125C3"/>
    <w:rsid w:val="24CC191F"/>
    <w:rsid w:val="265D05B2"/>
    <w:rsid w:val="38060DDD"/>
    <w:rsid w:val="392662E1"/>
    <w:rsid w:val="3AF436EE"/>
    <w:rsid w:val="3F181CFB"/>
    <w:rsid w:val="46ED151D"/>
    <w:rsid w:val="473B6D03"/>
    <w:rsid w:val="4B6215E8"/>
    <w:rsid w:val="4CFC11AA"/>
    <w:rsid w:val="527A7618"/>
    <w:rsid w:val="53D8442B"/>
    <w:rsid w:val="57EA774C"/>
    <w:rsid w:val="58AD55EC"/>
    <w:rsid w:val="59A5150B"/>
    <w:rsid w:val="63B336E9"/>
    <w:rsid w:val="641E4D41"/>
    <w:rsid w:val="698061EA"/>
    <w:rsid w:val="69C07F3A"/>
    <w:rsid w:val="6B4B51C1"/>
    <w:rsid w:val="7388471C"/>
    <w:rsid w:val="78530EFA"/>
    <w:rsid w:val="7BDC5643"/>
    <w:rsid w:val="7C1F4891"/>
  </w:rsids>
  <m:mathPr>
    <m:brkBin m:val="before"/>
    <m:brkBinSub m:val="--"/>
    <m:smallFrac m:val="0"/>
    <m:dispDef/>
    <m:lMargin m:val="0"/>
    <m:rMargin m:val="0"/>
    <m:defJc m:val="centerGroup"/>
    <m:wrapIndent m:val="1440"/>
    <m:intLim m:val="subSup"/>
    <m:naryLim m:val="undOvr"/>
  </m:mathPr>
  <w:themeFontLang w:val="zh-CN" w:eastAsia="zh-CN" w:bidi="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0"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1" w:semiHidden="0" w:name="No Spacing"/>
    <w:lsdException w:qFormat="1" w:unhideWhenUsed="0" w:uiPriority="34" w:semiHidden="0" w:name="List Paragraph"/>
  </w:latentStyles>
  <w:style w:type="paragraph" w:default="1" w:styleId="1">
    <w:name w:val="Normal"/>
    <w:qFormat/>
    <w:uiPriority w:val="0"/>
    <w:pPr>
      <w:widowControl/>
      <w:suppressAutoHyphens/>
      <w:bidi w:val="0"/>
      <w:spacing w:before="0" w:after="160" w:line="252" w:lineRule="auto"/>
      <w:jc w:val="left"/>
    </w:pPr>
    <w:rPr>
      <w:rFonts w:asciiTheme="minorHAnsi" w:hAnsiTheme="minorHAnsi" w:eastAsiaTheme="minorHAnsi" w:cstheme="minorBidi"/>
      <w:color w:val="auto"/>
      <w:kern w:val="0"/>
      <w:sz w:val="22"/>
      <w:szCs w:val="22"/>
      <w:lang w:val="es-UY" w:eastAsia="en-US" w:bidi="ar-SA"/>
    </w:rPr>
  </w:style>
  <w:style w:type="paragraph" w:styleId="2">
    <w:name w:val="heading 1"/>
    <w:basedOn w:val="1"/>
    <w:next w:val="1"/>
    <w:qFormat/>
    <w:uiPriority w:val="9"/>
    <w:pPr>
      <w:keepNext/>
      <w:keepLines/>
      <w:numPr>
        <w:ilvl w:val="0"/>
        <w:numId w:val="1"/>
      </w:numPr>
      <w:spacing w:before="240" w:after="0"/>
      <w:outlineLvl w:val="0"/>
    </w:pPr>
    <w:rPr>
      <w:rFonts w:asciiTheme="majorHAnsi" w:hAnsiTheme="majorHAnsi" w:eastAsiaTheme="majorEastAsia" w:cstheme="majorBidi"/>
      <w:color w:val="2E75B6" w:themeColor="accent1" w:themeShade="BF"/>
      <w:sz w:val="32"/>
      <w:szCs w:val="32"/>
    </w:rPr>
  </w:style>
  <w:style w:type="paragraph" w:styleId="3">
    <w:name w:val="heading 2"/>
    <w:basedOn w:val="1"/>
    <w:next w:val="1"/>
    <w:unhideWhenUsed/>
    <w:qFormat/>
    <w:uiPriority w:val="9"/>
    <w:pPr>
      <w:keepNext/>
      <w:keepLines/>
      <w:numPr>
        <w:ilvl w:val="1"/>
        <w:numId w:val="1"/>
      </w:numPr>
      <w:spacing w:before="40" w:after="0"/>
      <w:ind w:left="576" w:firstLine="0"/>
      <w:outlineLvl w:val="1"/>
    </w:pPr>
    <w:rPr>
      <w:rFonts w:asciiTheme="majorHAnsi" w:hAnsiTheme="majorHAnsi" w:eastAsiaTheme="majorEastAsia" w:cstheme="majorBidi"/>
      <w:color w:val="2E75B6" w:themeColor="accent1" w:themeShade="BF"/>
      <w:sz w:val="26"/>
      <w:szCs w:val="26"/>
    </w:rPr>
  </w:style>
  <w:style w:type="paragraph" w:styleId="4">
    <w:name w:val="heading 3"/>
    <w:basedOn w:val="1"/>
    <w:next w:val="1"/>
    <w:semiHidden/>
    <w:unhideWhenUsed/>
    <w:qFormat/>
    <w:uiPriority w:val="9"/>
    <w:pPr>
      <w:keepNext/>
      <w:keepLines/>
      <w:numPr>
        <w:ilvl w:val="2"/>
        <w:numId w:val="1"/>
      </w:numPr>
      <w:spacing w:before="40" w:after="0"/>
      <w:outlineLvl w:val="2"/>
    </w:pPr>
    <w:rPr>
      <w:rFonts w:asciiTheme="majorHAnsi" w:hAnsiTheme="majorHAnsi" w:eastAsiaTheme="majorEastAsia" w:cstheme="majorBidi"/>
      <w:color w:val="1F4E79" w:themeColor="accent1" w:themeShade="80"/>
      <w:sz w:val="24"/>
      <w:szCs w:val="24"/>
    </w:rPr>
  </w:style>
  <w:style w:type="paragraph" w:styleId="5">
    <w:name w:val="heading 4"/>
    <w:basedOn w:val="1"/>
    <w:next w:val="1"/>
    <w:semiHidden/>
    <w:unhideWhenUsed/>
    <w:qFormat/>
    <w:uiPriority w:val="9"/>
    <w:pPr>
      <w:keepNext/>
      <w:keepLines/>
      <w:numPr>
        <w:ilvl w:val="3"/>
        <w:numId w:val="1"/>
      </w:numPr>
      <w:spacing w:before="40" w:after="0"/>
      <w:outlineLvl w:val="3"/>
    </w:pPr>
    <w:rPr>
      <w:rFonts w:asciiTheme="majorHAnsi" w:hAnsiTheme="majorHAnsi" w:eastAsiaTheme="majorEastAsia" w:cstheme="majorBidi"/>
      <w:i/>
      <w:iCs/>
      <w:color w:val="2E75B6" w:themeColor="accent1" w:themeShade="BF"/>
    </w:rPr>
  </w:style>
  <w:style w:type="paragraph" w:styleId="6">
    <w:name w:val="heading 5"/>
    <w:basedOn w:val="1"/>
    <w:next w:val="1"/>
    <w:semiHidden/>
    <w:unhideWhenUsed/>
    <w:qFormat/>
    <w:uiPriority w:val="9"/>
    <w:pPr>
      <w:keepNext/>
      <w:keepLines/>
      <w:numPr>
        <w:ilvl w:val="4"/>
        <w:numId w:val="1"/>
      </w:numPr>
      <w:spacing w:before="40" w:after="0"/>
      <w:outlineLvl w:val="4"/>
    </w:pPr>
    <w:rPr>
      <w:rFonts w:asciiTheme="majorHAnsi" w:hAnsiTheme="majorHAnsi" w:eastAsiaTheme="majorEastAsia" w:cstheme="majorBidi"/>
      <w:color w:val="2E75B6" w:themeColor="accent1" w:themeShade="BF"/>
    </w:rPr>
  </w:style>
  <w:style w:type="paragraph" w:styleId="7">
    <w:name w:val="heading 6"/>
    <w:basedOn w:val="1"/>
    <w:next w:val="1"/>
    <w:semiHidden/>
    <w:unhideWhenUsed/>
    <w:qFormat/>
    <w:uiPriority w:val="9"/>
    <w:pPr>
      <w:keepNext/>
      <w:keepLines/>
      <w:numPr>
        <w:ilvl w:val="5"/>
        <w:numId w:val="1"/>
      </w:numPr>
      <w:spacing w:before="40" w:after="0"/>
      <w:outlineLvl w:val="5"/>
    </w:pPr>
    <w:rPr>
      <w:rFonts w:asciiTheme="majorHAnsi" w:hAnsiTheme="majorHAnsi" w:eastAsiaTheme="majorEastAsia" w:cstheme="majorBidi"/>
      <w:color w:val="1F4E79" w:themeColor="accent1" w:themeShade="80"/>
    </w:rPr>
  </w:style>
  <w:style w:type="paragraph" w:styleId="8">
    <w:name w:val="heading 7"/>
    <w:basedOn w:val="1"/>
    <w:next w:val="1"/>
    <w:semiHidden/>
    <w:unhideWhenUsed/>
    <w:qFormat/>
    <w:uiPriority w:val="9"/>
    <w:pPr>
      <w:keepNext/>
      <w:keepLines/>
      <w:numPr>
        <w:ilvl w:val="6"/>
        <w:numId w:val="1"/>
      </w:numPr>
      <w:spacing w:before="40" w:after="0"/>
      <w:outlineLvl w:val="6"/>
    </w:pPr>
    <w:rPr>
      <w:rFonts w:asciiTheme="majorHAnsi" w:hAnsiTheme="majorHAnsi" w:eastAsiaTheme="majorEastAsia" w:cstheme="majorBidi"/>
      <w:i/>
      <w:iCs/>
      <w:color w:val="1F4E79" w:themeColor="accent1" w:themeShade="80"/>
    </w:rPr>
  </w:style>
  <w:style w:type="paragraph" w:styleId="9">
    <w:name w:val="heading 8"/>
    <w:basedOn w:val="1"/>
    <w:next w:val="1"/>
    <w:semiHidden/>
    <w:unhideWhenUsed/>
    <w:qFormat/>
    <w:uiPriority w:val="9"/>
    <w:pPr>
      <w:keepNext/>
      <w:keepLines/>
      <w:numPr>
        <w:ilvl w:val="7"/>
        <w:numId w:val="1"/>
      </w:numPr>
      <w:spacing w:before="40" w:after="0"/>
      <w:outlineLvl w:val="7"/>
    </w:pPr>
    <w:rPr>
      <w:rFonts w:asciiTheme="majorHAnsi" w:hAnsiTheme="majorHAnsi" w:eastAsiaTheme="majorEastAsia" w:cstheme="majorBidi"/>
      <w:color w:val="262626" w:themeColor="text1" w:themeTint="D9"/>
      <w:sz w:val="21"/>
      <w:szCs w:val="21"/>
      <w14:textFill>
        <w14:solidFill>
          <w14:schemeClr w14:val="tx1">
            <w14:lumMod w14:val="85000"/>
            <w14:lumOff w14:val="15000"/>
          </w14:schemeClr>
        </w14:solidFill>
      </w14:textFill>
    </w:rPr>
  </w:style>
  <w:style w:type="paragraph" w:styleId="10">
    <w:name w:val="heading 9"/>
    <w:basedOn w:val="1"/>
    <w:next w:val="1"/>
    <w:semiHidden/>
    <w:unhideWhenUsed/>
    <w:qFormat/>
    <w:uiPriority w:val="9"/>
    <w:pPr>
      <w:keepNext/>
      <w:keepLines/>
      <w:numPr>
        <w:ilvl w:val="8"/>
        <w:numId w:val="1"/>
      </w:numPr>
      <w:spacing w:before="40" w:after="0"/>
      <w:outlineLvl w:val="8"/>
    </w:pPr>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13">
    <w:name w:val="toc 3"/>
    <w:basedOn w:val="1"/>
    <w:next w:val="1"/>
    <w:qFormat/>
    <w:uiPriority w:val="0"/>
    <w:pPr>
      <w:tabs>
        <w:tab w:val="left" w:pos="1200"/>
        <w:tab w:val="right" w:leader="dot" w:pos="8494"/>
      </w:tabs>
      <w:spacing w:before="0" w:after="0"/>
      <w:ind w:left="482" w:firstLine="0"/>
    </w:pPr>
    <w:rPr>
      <w:rFonts w:ascii="Times New Roman" w:hAnsi="Times New Roman" w:cs="Times New Roman"/>
      <w:i/>
      <w:sz w:val="20"/>
      <w:lang w:eastAsia="es-UY"/>
    </w:rPr>
  </w:style>
  <w:style w:type="paragraph" w:styleId="14">
    <w:name w:val="caption"/>
    <w:basedOn w:val="1"/>
    <w:qFormat/>
    <w:uiPriority w:val="0"/>
    <w:pPr>
      <w:suppressLineNumbers/>
      <w:spacing w:before="120" w:after="120"/>
    </w:pPr>
    <w:rPr>
      <w:rFonts w:cs="Arial Unicode MS"/>
      <w:i/>
      <w:iCs/>
      <w:sz w:val="24"/>
      <w:szCs w:val="24"/>
    </w:rPr>
  </w:style>
  <w:style w:type="paragraph" w:styleId="15">
    <w:name w:val="toc 1"/>
    <w:basedOn w:val="1"/>
    <w:next w:val="1"/>
    <w:qFormat/>
    <w:uiPriority w:val="39"/>
    <w:pPr>
      <w:tabs>
        <w:tab w:val="left" w:pos="482"/>
        <w:tab w:val="right" w:leader="dot" w:pos="8494"/>
      </w:tabs>
      <w:spacing w:before="120" w:after="120"/>
    </w:pPr>
    <w:rPr>
      <w:rFonts w:ascii="Times New Roman" w:hAnsi="Times New Roman" w:cs="Times New Roman"/>
      <w:caps/>
      <w:sz w:val="20"/>
      <w:lang w:eastAsia="es-UY"/>
    </w:rPr>
  </w:style>
  <w:style w:type="paragraph" w:styleId="16">
    <w:name w:val="toc 2"/>
    <w:basedOn w:val="1"/>
    <w:next w:val="1"/>
    <w:qFormat/>
    <w:uiPriority w:val="39"/>
    <w:pPr>
      <w:spacing w:before="0" w:after="0"/>
      <w:ind w:left="238" w:firstLine="0"/>
    </w:pPr>
    <w:rPr>
      <w:rFonts w:ascii="Times New Roman" w:hAnsi="Times New Roman" w:cs="Times New Roman"/>
      <w:smallCaps/>
      <w:sz w:val="20"/>
    </w:rPr>
  </w:style>
  <w:style w:type="paragraph" w:styleId="17">
    <w:name w:val="Balloon Text"/>
    <w:basedOn w:val="1"/>
    <w:link w:val="31"/>
    <w:semiHidden/>
    <w:unhideWhenUsed/>
    <w:qFormat/>
    <w:uiPriority w:val="99"/>
    <w:pPr>
      <w:spacing w:before="0" w:after="0" w:line="240" w:lineRule="auto"/>
    </w:pPr>
    <w:rPr>
      <w:rFonts w:ascii="Segoe UI" w:hAnsi="Segoe UI" w:cs="Segoe UI"/>
      <w:sz w:val="18"/>
      <w:szCs w:val="18"/>
    </w:rPr>
  </w:style>
  <w:style w:type="paragraph" w:styleId="18">
    <w:name w:val="Body Text 2"/>
    <w:basedOn w:val="1"/>
    <w:qFormat/>
    <w:uiPriority w:val="0"/>
    <w:pPr>
      <w:tabs>
        <w:tab w:val="left" w:pos="-1440"/>
      </w:tabs>
      <w:spacing w:before="0" w:after="0" w:line="240" w:lineRule="auto"/>
    </w:pPr>
    <w:rPr>
      <w:rFonts w:ascii="Arial" w:hAnsi="Arial" w:eastAsia="Times New Roman" w:cs="Times New Roman"/>
      <w:bCs/>
      <w:szCs w:val="24"/>
      <w:lang w:eastAsia="es-ES"/>
    </w:rPr>
  </w:style>
  <w:style w:type="paragraph" w:styleId="19">
    <w:name w:val="header"/>
    <w:basedOn w:val="1"/>
    <w:link w:val="27"/>
    <w:unhideWhenUsed/>
    <w:qFormat/>
    <w:uiPriority w:val="99"/>
    <w:pPr>
      <w:tabs>
        <w:tab w:val="center" w:pos="4252"/>
        <w:tab w:val="right" w:pos="8504"/>
      </w:tabs>
      <w:spacing w:before="0" w:after="0" w:line="240" w:lineRule="auto"/>
    </w:pPr>
  </w:style>
  <w:style w:type="paragraph" w:styleId="20">
    <w:name w:val="List"/>
    <w:basedOn w:val="21"/>
    <w:qFormat/>
    <w:uiPriority w:val="0"/>
    <w:rPr>
      <w:rFonts w:cs="Arial Unicode MS"/>
    </w:rPr>
  </w:style>
  <w:style w:type="paragraph" w:styleId="21">
    <w:name w:val="Body Text"/>
    <w:basedOn w:val="1"/>
    <w:qFormat/>
    <w:uiPriority w:val="0"/>
    <w:pPr>
      <w:spacing w:before="0" w:after="140" w:line="276" w:lineRule="auto"/>
    </w:pPr>
  </w:style>
  <w:style w:type="paragraph" w:styleId="22">
    <w:name w:val="Normal (Web)"/>
    <w:basedOn w:val="1"/>
    <w:qFormat/>
    <w:uiPriority w:val="0"/>
    <w:pPr>
      <w:spacing w:beforeAutospacing="1" w:afterAutospacing="1" w:line="240" w:lineRule="auto"/>
    </w:pPr>
    <w:rPr>
      <w:rFonts w:ascii="Times New Roman" w:hAnsi="Times New Roman" w:eastAsia="Times New Roman" w:cs="Times New Roman"/>
      <w:sz w:val="24"/>
      <w:szCs w:val="24"/>
      <w:lang w:val="es-MX" w:eastAsia="es-MX"/>
    </w:rPr>
  </w:style>
  <w:style w:type="paragraph" w:styleId="23">
    <w:name w:val="footer"/>
    <w:basedOn w:val="1"/>
    <w:link w:val="28"/>
    <w:unhideWhenUsed/>
    <w:qFormat/>
    <w:uiPriority w:val="99"/>
    <w:pPr>
      <w:tabs>
        <w:tab w:val="center" w:pos="4252"/>
        <w:tab w:val="right" w:pos="8504"/>
      </w:tabs>
      <w:spacing w:before="0" w:after="0" w:line="240" w:lineRule="auto"/>
    </w:pPr>
  </w:style>
  <w:style w:type="paragraph" w:styleId="24">
    <w:name w:val="Body Text 3"/>
    <w:basedOn w:val="1"/>
    <w:qFormat/>
    <w:uiPriority w:val="0"/>
    <w:pPr>
      <w:spacing w:before="0" w:after="0" w:line="240" w:lineRule="auto"/>
    </w:pPr>
    <w:rPr>
      <w:rFonts w:ascii="Arial" w:hAnsi="Arial" w:eastAsia="Times New Roman" w:cs="Times New Roman"/>
      <w:sz w:val="20"/>
      <w:szCs w:val="24"/>
      <w:lang w:eastAsia="es-ES"/>
    </w:rPr>
  </w:style>
  <w:style w:type="paragraph" w:styleId="25">
    <w:name w:val="Title"/>
    <w:basedOn w:val="1"/>
    <w:next w:val="21"/>
    <w:qFormat/>
    <w:uiPriority w:val="0"/>
    <w:pPr>
      <w:keepNext/>
      <w:spacing w:before="240" w:after="120"/>
    </w:pPr>
    <w:rPr>
      <w:rFonts w:ascii="Liberation Sans" w:hAnsi="Liberation Sans" w:eastAsia="Microsoft YaHei" w:cs="Arial Unicode MS"/>
      <w:sz w:val="28"/>
      <w:szCs w:val="28"/>
    </w:rPr>
  </w:style>
  <w:style w:type="table" w:styleId="26">
    <w:name w:val="Table Grid"/>
    <w:basedOn w:val="12"/>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7">
    <w:name w:val="Encabezado Car"/>
    <w:basedOn w:val="11"/>
    <w:link w:val="19"/>
    <w:qFormat/>
    <w:uiPriority w:val="99"/>
  </w:style>
  <w:style w:type="character" w:customStyle="1" w:styleId="28">
    <w:name w:val="Pie de página Car"/>
    <w:basedOn w:val="11"/>
    <w:link w:val="23"/>
    <w:qFormat/>
    <w:uiPriority w:val="99"/>
  </w:style>
  <w:style w:type="character" w:customStyle="1" w:styleId="29">
    <w:name w:val="Enlace de Internet"/>
    <w:basedOn w:val="11"/>
    <w:unhideWhenUsed/>
    <w:qFormat/>
    <w:uiPriority w:val="99"/>
    <w:rPr>
      <w:color w:val="0563C1" w:themeColor="hyperlink"/>
      <w:u w:val="single"/>
      <w14:textFill>
        <w14:solidFill>
          <w14:schemeClr w14:val="hlink"/>
        </w14:solidFill>
      </w14:textFill>
    </w:rPr>
  </w:style>
  <w:style w:type="character" w:customStyle="1" w:styleId="30">
    <w:name w:val="object"/>
    <w:basedOn w:val="11"/>
    <w:qFormat/>
    <w:uiPriority w:val="0"/>
  </w:style>
  <w:style w:type="character" w:customStyle="1" w:styleId="31">
    <w:name w:val="Texto de globo Car"/>
    <w:basedOn w:val="11"/>
    <w:link w:val="17"/>
    <w:semiHidden/>
    <w:qFormat/>
    <w:uiPriority w:val="99"/>
    <w:rPr>
      <w:rFonts w:ascii="Segoe UI" w:hAnsi="Segoe UI" w:cs="Segoe UI"/>
      <w:sz w:val="18"/>
      <w:szCs w:val="18"/>
    </w:rPr>
  </w:style>
  <w:style w:type="character" w:customStyle="1" w:styleId="32">
    <w:name w:val="Título 2 Car"/>
    <w:basedOn w:val="11"/>
    <w:qFormat/>
    <w:uiPriority w:val="9"/>
    <w:rPr>
      <w:rFonts w:asciiTheme="majorHAnsi" w:hAnsiTheme="majorHAnsi" w:eastAsiaTheme="majorEastAsia" w:cstheme="majorBidi"/>
      <w:color w:val="2E75B6" w:themeColor="accent1" w:themeShade="BF"/>
      <w:sz w:val="26"/>
      <w:szCs w:val="26"/>
    </w:rPr>
  </w:style>
  <w:style w:type="character" w:customStyle="1" w:styleId="33">
    <w:name w:val="Título 1 Car"/>
    <w:basedOn w:val="11"/>
    <w:qFormat/>
    <w:uiPriority w:val="9"/>
    <w:rPr>
      <w:rFonts w:asciiTheme="majorHAnsi" w:hAnsiTheme="majorHAnsi" w:eastAsiaTheme="majorEastAsia" w:cstheme="majorBidi"/>
      <w:color w:val="2E75B6" w:themeColor="accent1" w:themeShade="BF"/>
      <w:sz w:val="32"/>
      <w:szCs w:val="32"/>
    </w:rPr>
  </w:style>
  <w:style w:type="character" w:customStyle="1" w:styleId="34">
    <w:name w:val="Título 3 Car"/>
    <w:basedOn w:val="11"/>
    <w:semiHidden/>
    <w:qFormat/>
    <w:uiPriority w:val="9"/>
    <w:rPr>
      <w:rFonts w:asciiTheme="majorHAnsi" w:hAnsiTheme="majorHAnsi" w:eastAsiaTheme="majorEastAsia" w:cstheme="majorBidi"/>
      <w:color w:val="1F4E79" w:themeColor="accent1" w:themeShade="80"/>
      <w:sz w:val="24"/>
      <w:szCs w:val="24"/>
    </w:rPr>
  </w:style>
  <w:style w:type="character" w:customStyle="1" w:styleId="35">
    <w:name w:val="Título 4 Car"/>
    <w:basedOn w:val="11"/>
    <w:semiHidden/>
    <w:qFormat/>
    <w:uiPriority w:val="9"/>
    <w:rPr>
      <w:rFonts w:asciiTheme="majorHAnsi" w:hAnsiTheme="majorHAnsi" w:eastAsiaTheme="majorEastAsia" w:cstheme="majorBidi"/>
      <w:i/>
      <w:iCs/>
      <w:color w:val="2E75B6" w:themeColor="accent1" w:themeShade="BF"/>
    </w:rPr>
  </w:style>
  <w:style w:type="character" w:customStyle="1" w:styleId="36">
    <w:name w:val="Título 5 Car"/>
    <w:basedOn w:val="11"/>
    <w:semiHidden/>
    <w:qFormat/>
    <w:uiPriority w:val="9"/>
    <w:rPr>
      <w:rFonts w:asciiTheme="majorHAnsi" w:hAnsiTheme="majorHAnsi" w:eastAsiaTheme="majorEastAsia" w:cstheme="majorBidi"/>
      <w:color w:val="2E75B6" w:themeColor="accent1" w:themeShade="BF"/>
    </w:rPr>
  </w:style>
  <w:style w:type="character" w:customStyle="1" w:styleId="37">
    <w:name w:val="Título 6 Car"/>
    <w:basedOn w:val="11"/>
    <w:semiHidden/>
    <w:qFormat/>
    <w:uiPriority w:val="9"/>
    <w:rPr>
      <w:rFonts w:asciiTheme="majorHAnsi" w:hAnsiTheme="majorHAnsi" w:eastAsiaTheme="majorEastAsia" w:cstheme="majorBidi"/>
      <w:color w:val="1F4E79" w:themeColor="accent1" w:themeShade="80"/>
    </w:rPr>
  </w:style>
  <w:style w:type="character" w:customStyle="1" w:styleId="38">
    <w:name w:val="Título 7 Car"/>
    <w:basedOn w:val="11"/>
    <w:semiHidden/>
    <w:qFormat/>
    <w:uiPriority w:val="9"/>
    <w:rPr>
      <w:rFonts w:asciiTheme="majorHAnsi" w:hAnsiTheme="majorHAnsi" w:eastAsiaTheme="majorEastAsia" w:cstheme="majorBidi"/>
      <w:i/>
      <w:iCs/>
      <w:color w:val="1F4E79" w:themeColor="accent1" w:themeShade="80"/>
    </w:rPr>
  </w:style>
  <w:style w:type="character" w:customStyle="1" w:styleId="39">
    <w:name w:val="Título 8 Car"/>
    <w:basedOn w:val="11"/>
    <w:semiHidden/>
    <w:qFormat/>
    <w:uiPriority w:val="9"/>
    <w:rPr>
      <w:rFonts w:asciiTheme="majorHAnsi" w:hAnsiTheme="majorHAnsi" w:eastAsiaTheme="majorEastAsia" w:cstheme="majorBidi"/>
      <w:color w:val="262626" w:themeColor="text1" w:themeTint="D9"/>
      <w:sz w:val="21"/>
      <w:szCs w:val="21"/>
      <w14:textFill>
        <w14:solidFill>
          <w14:schemeClr w14:val="tx1">
            <w14:lumMod w14:val="85000"/>
            <w14:lumOff w14:val="15000"/>
          </w14:schemeClr>
        </w14:solidFill>
      </w14:textFill>
    </w:rPr>
  </w:style>
  <w:style w:type="character" w:customStyle="1" w:styleId="40">
    <w:name w:val="Título 9 Car"/>
    <w:basedOn w:val="11"/>
    <w:semiHidden/>
    <w:qFormat/>
    <w:uiPriority w:val="9"/>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customStyle="1" w:styleId="41">
    <w:name w:val="Símbolos de numeración"/>
    <w:qFormat/>
    <w:uiPriority w:val="0"/>
    <w:rPr>
      <w:rFonts w:ascii="Arial" w:hAnsi="Arial"/>
      <w:b/>
      <w:bCs/>
      <w:color w:val="000000"/>
      <w:sz w:val="24"/>
      <w:szCs w:val="24"/>
    </w:rPr>
  </w:style>
  <w:style w:type="character" w:customStyle="1" w:styleId="42">
    <w:name w:val="WW8Num5z0"/>
    <w:qFormat/>
    <w:uiPriority w:val="0"/>
    <w:rPr>
      <w:rFonts w:ascii="Symbol" w:hAnsi="Symbol" w:cs="Symbol"/>
    </w:rPr>
  </w:style>
  <w:style w:type="character" w:customStyle="1" w:styleId="43">
    <w:name w:val="WW8Num8z0"/>
    <w:qFormat/>
    <w:uiPriority w:val="0"/>
    <w:rPr>
      <w:rFonts w:ascii="Symbol" w:hAnsi="Symbol" w:cs="Times New Roman"/>
      <w:sz w:val="20"/>
    </w:rPr>
  </w:style>
  <w:style w:type="character" w:customStyle="1" w:styleId="44">
    <w:name w:val="WW8Num7z0"/>
    <w:qFormat/>
    <w:uiPriority w:val="0"/>
    <w:rPr>
      <w:rFonts w:ascii="Symbol" w:hAnsi="Symbol" w:cs="Symbol"/>
    </w:rPr>
  </w:style>
  <w:style w:type="character" w:customStyle="1" w:styleId="45">
    <w:name w:val="WW8Num4z0"/>
    <w:qFormat/>
    <w:uiPriority w:val="0"/>
    <w:rPr>
      <w:rFonts w:ascii="Symbol" w:hAnsi="Symbol" w:cs="Symbol"/>
    </w:rPr>
  </w:style>
  <w:style w:type="character" w:customStyle="1" w:styleId="46">
    <w:name w:val="WW8Num9z0"/>
    <w:qFormat/>
    <w:uiPriority w:val="0"/>
    <w:rPr>
      <w:rFonts w:ascii="Symbol" w:hAnsi="Symbol" w:cs="Symbol"/>
    </w:rPr>
  </w:style>
  <w:style w:type="character" w:customStyle="1" w:styleId="47">
    <w:name w:val="Enlace del índice"/>
    <w:qFormat/>
    <w:uiPriority w:val="0"/>
  </w:style>
  <w:style w:type="character" w:customStyle="1" w:styleId="48">
    <w:name w:val="Viñetas"/>
    <w:qFormat/>
    <w:uiPriority w:val="0"/>
    <w:rPr>
      <w:rFonts w:ascii="OpenSymbol" w:hAnsi="OpenSymbol" w:eastAsia="OpenSymbol" w:cs="OpenSymbol"/>
    </w:rPr>
  </w:style>
  <w:style w:type="paragraph" w:customStyle="1" w:styleId="49">
    <w:name w:val="Título11"/>
    <w:basedOn w:val="1"/>
    <w:next w:val="21"/>
    <w:qFormat/>
    <w:uiPriority w:val="0"/>
    <w:pPr>
      <w:keepNext/>
      <w:spacing w:before="240" w:after="120"/>
    </w:pPr>
    <w:rPr>
      <w:rFonts w:ascii="Liberation Sans" w:hAnsi="Liberation Sans" w:eastAsia="Microsoft YaHei" w:cs="Arial"/>
      <w:sz w:val="28"/>
      <w:szCs w:val="28"/>
    </w:rPr>
  </w:style>
  <w:style w:type="paragraph" w:customStyle="1" w:styleId="50">
    <w:name w:val="Índice"/>
    <w:basedOn w:val="1"/>
    <w:qFormat/>
    <w:uiPriority w:val="0"/>
    <w:pPr>
      <w:suppressLineNumbers/>
    </w:pPr>
    <w:rPr>
      <w:rFonts w:cs="Arial Unicode MS"/>
    </w:rPr>
  </w:style>
  <w:style w:type="paragraph" w:customStyle="1" w:styleId="51">
    <w:name w:val="Título1"/>
    <w:basedOn w:val="1"/>
    <w:next w:val="21"/>
    <w:qFormat/>
    <w:uiPriority w:val="0"/>
    <w:pPr>
      <w:keepNext/>
      <w:spacing w:before="240" w:after="120"/>
    </w:pPr>
    <w:rPr>
      <w:rFonts w:ascii="Liberation Sans" w:hAnsi="Liberation Sans" w:eastAsia="Microsoft YaHei" w:cs="Arial"/>
      <w:sz w:val="28"/>
      <w:szCs w:val="28"/>
    </w:rPr>
  </w:style>
  <w:style w:type="paragraph" w:customStyle="1" w:styleId="52">
    <w:name w:val="Cabecera y pie"/>
    <w:basedOn w:val="1"/>
    <w:qFormat/>
    <w:uiPriority w:val="0"/>
  </w:style>
  <w:style w:type="paragraph" w:styleId="53">
    <w:name w:val="No Spacing"/>
    <w:qFormat/>
    <w:uiPriority w:val="1"/>
    <w:pPr>
      <w:widowControl/>
      <w:suppressAutoHyphens/>
      <w:bidi w:val="0"/>
      <w:spacing w:before="0" w:after="0"/>
      <w:jc w:val="left"/>
    </w:pPr>
    <w:rPr>
      <w:rFonts w:asciiTheme="minorHAnsi" w:hAnsiTheme="minorHAnsi" w:eastAsiaTheme="minorHAnsi" w:cstheme="minorBidi"/>
      <w:color w:val="auto"/>
      <w:kern w:val="0"/>
      <w:sz w:val="22"/>
      <w:szCs w:val="22"/>
      <w:lang w:val="es-UY" w:eastAsia="en-US" w:bidi="ar-SA"/>
    </w:rPr>
  </w:style>
  <w:style w:type="paragraph" w:styleId="54">
    <w:name w:val="List Paragraph"/>
    <w:basedOn w:val="1"/>
    <w:qFormat/>
    <w:uiPriority w:val="34"/>
    <w:pPr>
      <w:spacing w:before="0" w:after="0" w:line="240" w:lineRule="auto"/>
      <w:ind w:left="720" w:firstLine="0"/>
      <w:contextualSpacing/>
    </w:pPr>
    <w:rPr>
      <w:rFonts w:ascii="Calibri" w:hAnsi="Calibri" w:eastAsia="Calibri" w:cs="Tahoma"/>
      <w:sz w:val="24"/>
      <w:szCs w:val="24"/>
    </w:rPr>
  </w:style>
  <w:style w:type="paragraph" w:customStyle="1" w:styleId="55">
    <w:name w:val="Indiv_Signature"/>
    <w:basedOn w:val="1"/>
    <w:qFormat/>
    <w:uiPriority w:val="0"/>
    <w:pPr>
      <w:spacing w:before="0" w:after="0" w:line="240" w:lineRule="auto"/>
      <w:ind w:left="4820" w:firstLine="0"/>
      <w:jc w:val="center"/>
    </w:pPr>
    <w:rPr>
      <w:rFonts w:ascii="Verdana" w:hAnsi="Verdana" w:eastAsiaTheme="minorEastAsia"/>
      <w:sz w:val="20"/>
      <w:szCs w:val="20"/>
      <w:lang w:val="fr-CH" w:eastAsia="zh-TW"/>
    </w:rPr>
  </w:style>
  <w:style w:type="paragraph" w:customStyle="1" w:styleId="56">
    <w:name w:val="Indiv_Subject_no_action"/>
    <w:basedOn w:val="1"/>
    <w:qFormat/>
    <w:uiPriority w:val="0"/>
    <w:pPr>
      <w:tabs>
        <w:tab w:val="left" w:pos="6379"/>
      </w:tabs>
      <w:spacing w:before="480" w:after="0" w:line="240" w:lineRule="auto"/>
      <w:ind w:left="1134" w:hanging="1134"/>
    </w:pPr>
    <w:rPr>
      <w:rFonts w:ascii="Verdana" w:hAnsi="Verdana" w:eastAsiaTheme="minorEastAsia"/>
      <w:sz w:val="20"/>
      <w:szCs w:val="20"/>
      <w:lang w:val="fr-FR" w:eastAsia="zh-TW"/>
    </w:rPr>
  </w:style>
  <w:style w:type="paragraph" w:customStyle="1" w:styleId="57">
    <w:name w:val="Default"/>
    <w:qFormat/>
    <w:uiPriority w:val="0"/>
    <w:pPr>
      <w:widowControl/>
      <w:suppressAutoHyphens w:val="0"/>
      <w:bidi w:val="0"/>
      <w:spacing w:before="0" w:after="0"/>
      <w:jc w:val="left"/>
    </w:pPr>
    <w:rPr>
      <w:rFonts w:ascii="Calibri" w:hAnsi="Calibri" w:eastAsia="Calibri" w:cs="Calibri"/>
      <w:color w:val="000000"/>
      <w:kern w:val="0"/>
      <w:sz w:val="24"/>
      <w:szCs w:val="24"/>
      <w:lang w:val="en-US" w:eastAsia="en-US" w:bidi="ar-SA"/>
    </w:rPr>
  </w:style>
  <w:style w:type="paragraph" w:customStyle="1" w:styleId="58">
    <w:name w:val="Título 10"/>
    <w:basedOn w:val="51"/>
    <w:next w:val="21"/>
    <w:qFormat/>
    <w:uiPriority w:val="0"/>
    <w:pPr>
      <w:tabs>
        <w:tab w:val="left" w:pos="0"/>
      </w:tabs>
      <w:spacing w:before="60" w:after="60"/>
      <w:ind w:left="1584" w:hanging="1584"/>
      <w:outlineLvl w:val="8"/>
    </w:pPr>
    <w:rPr>
      <w:b/>
      <w:bCs/>
      <w:sz w:val="21"/>
      <w:szCs w:val="21"/>
    </w:rPr>
  </w:style>
  <w:style w:type="paragraph" w:customStyle="1" w:styleId="59">
    <w:name w:val="Contenido del marco"/>
    <w:basedOn w:val="1"/>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theme" Target="theme/theme1.xml"/><Relationship Id="rId68" Type="http://schemas.openxmlformats.org/officeDocument/2006/relationships/fontTable" Target="fontTable.xml"/><Relationship Id="rId67" Type="http://schemas.openxmlformats.org/officeDocument/2006/relationships/customXml" Target="../customXml/item2.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footer" Target="footer1.xml"/><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jpeg"/><Relationship Id="rId50" Type="http://schemas.openxmlformats.org/officeDocument/2006/relationships/image" Target="media/image45.png"/><Relationship Id="rId5" Type="http://schemas.openxmlformats.org/officeDocument/2006/relationships/header" Target="header1.xml"/><Relationship Id="rId49" Type="http://schemas.openxmlformats.org/officeDocument/2006/relationships/image" Target="media/image44.pn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endnotes" Target="endnotes.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jpeg"/><Relationship Id="rId32" Type="http://schemas.openxmlformats.org/officeDocument/2006/relationships/image" Target="media/image27.png"/><Relationship Id="rId31" Type="http://schemas.openxmlformats.org/officeDocument/2006/relationships/image" Target="media/image26.png"/><Relationship Id="rId30" Type="http://schemas.microsoft.com/office/2007/relationships/hdphoto" Target="media/image25.wdp"/><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jpeg"/><Relationship Id="rId26" Type="http://schemas.openxmlformats.org/officeDocument/2006/relationships/image" Target="media/image21.png"/><Relationship Id="rId25" Type="http://schemas.openxmlformats.org/officeDocument/2006/relationships/image" Target="media/image20.GIF"/><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E4B26F6-12AB-476C-8A88-520E638BEA96}">
  <ds:schemaRefs/>
</ds:datastoreItem>
</file>

<file path=docProps/app.xml><?xml version="1.0" encoding="utf-8"?>
<Properties xmlns="http://schemas.openxmlformats.org/officeDocument/2006/extended-properties" xmlns:vt="http://schemas.openxmlformats.org/officeDocument/2006/docPropsVTypes">
  <Template>Normal</Template>
  <Pages>133</Pages>
  <Words>28009</Words>
  <Characters>149909</Characters>
  <Paragraphs>1458</Paragraphs>
  <TotalTime>42</TotalTime>
  <ScaleCrop>false</ScaleCrop>
  <LinksUpToDate>false</LinksUpToDate>
  <CharactersWithSpaces>177156</CharactersWithSpaces>
  <Application>WPS Office_12.2.0.13266_F1E327BC-269C-435d-A152-05C5408002CA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2023-07-26T14:57:00Z</dcterms:created>
  <dc:creator>Maria Vera</dc:creator>
  <cp:lastModifiedBy>carlos.poloni</cp:lastModifiedBy>
  <cp:lastPrinted>2023-07-26T16:45:00Z</cp:lastPrinted>
  <dcterms:modified xsi:type="dcterms:W3CDTF">2023-10-23T15:04:01Z</dcterms:modified>
  <cp:revision>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3082-12.2.0.13266</vt:lpwstr>
  </property>
  <property fmtid="{D5CDD505-2E9C-101B-9397-08002B2CF9AE}" pid="3" name="ICV">
    <vt:lpwstr>919345B4BCAC4AF9B5D74E1A6B5C1D41_12</vt:lpwstr>
  </property>
</Properties>
</file>