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244" w:rsidRDefault="000F2244"/>
    <w:p w:rsidR="000F2244" w:rsidRDefault="000F2244" w:rsidP="000F2244">
      <w:r>
        <w:t>Se deja sin efecto según art. 3 del decreto 90/2020</w:t>
      </w:r>
    </w:p>
    <w:p w:rsidR="000F2244" w:rsidRDefault="000F2244"/>
    <w:p w:rsidR="000F2244" w:rsidRDefault="000F2244">
      <w:bookmarkStart w:id="0" w:name="_GoBack"/>
      <w:bookmarkEnd w:id="0"/>
    </w:p>
    <w:p w:rsidR="000F2244" w:rsidRDefault="000F2244"/>
    <w:sectPr w:rsidR="000F22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244"/>
    <w:rsid w:val="000F2244"/>
    <w:rsid w:val="004148C2"/>
    <w:rsid w:val="00C24F3A"/>
    <w:rsid w:val="00FD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71A520-5600-4FFC-979C-2AAA5A38F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SCARRONE Lorena</dc:creator>
  <cp:keywords/>
  <dc:description/>
  <cp:lastModifiedBy>SCARRONE Lorena</cp:lastModifiedBy>
  <cp:revision>1</cp:revision>
  <dcterms:created xsi:type="dcterms:W3CDTF">2020-07-13T14:14:00Z</dcterms:created>
  <dcterms:modified xsi:type="dcterms:W3CDTF">2020-07-13T14:57:00Z</dcterms:modified>
</cp:coreProperties>
</file>