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F" w:rsidRDefault="00E0254F" w:rsidP="00B44437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 w:rsidRPr="00E0254F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5080</wp:posOffset>
            </wp:positionV>
            <wp:extent cx="174307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4F" w:rsidRDefault="00E0254F" w:rsidP="00E0254F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S O L U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</w:t>
      </w:r>
      <w:r w:rsidR="00D5104D">
        <w:rPr>
          <w:rFonts w:ascii="Arial" w:hAnsi="Arial" w:cs="Arial"/>
          <w:b/>
        </w:rPr>
        <w:t>8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5104D">
        <w:rPr>
          <w:rFonts w:ascii="Arial" w:hAnsi="Arial" w:cs="Arial"/>
        </w:rPr>
        <w:t>8</w:t>
      </w:r>
      <w:r>
        <w:rPr>
          <w:rFonts w:ascii="Arial" w:hAnsi="Arial" w:cs="Arial"/>
        </w:rPr>
        <w:t>-11-0001-</w:t>
      </w:r>
      <w:r w:rsidR="00D5104D">
        <w:rPr>
          <w:rFonts w:ascii="Arial" w:hAnsi="Arial" w:cs="Arial"/>
        </w:rPr>
        <w:t>0132</w:t>
      </w:r>
      <w:r w:rsidR="00E771A4">
        <w:rPr>
          <w:rFonts w:ascii="Arial" w:hAnsi="Arial" w:cs="Arial"/>
        </w:rPr>
        <w:t xml:space="preserve">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D5104D">
        <w:rPr>
          <w:rFonts w:ascii="Arial" w:hAnsi="Arial" w:cs="Arial"/>
          <w:bCs/>
        </w:rPr>
        <w:t>0277/2018</w:t>
      </w:r>
      <w:r w:rsidR="00A81A49">
        <w:rPr>
          <w:rFonts w:ascii="Arial" w:hAnsi="Arial" w:cs="Arial"/>
          <w:bCs/>
        </w:rPr>
        <w:t xml:space="preserve"> de </w:t>
      </w:r>
      <w:r w:rsidR="00EA6E4B">
        <w:rPr>
          <w:rFonts w:ascii="Arial" w:hAnsi="Arial" w:cs="Arial"/>
          <w:bCs/>
        </w:rPr>
        <w:t xml:space="preserve">fecha </w:t>
      </w:r>
      <w:r w:rsidR="003C5BE1">
        <w:rPr>
          <w:rFonts w:ascii="Arial" w:hAnsi="Arial" w:cs="Arial"/>
          <w:bCs/>
        </w:rPr>
        <w:t>1</w:t>
      </w:r>
      <w:r w:rsidR="00D5104D">
        <w:rPr>
          <w:rFonts w:ascii="Arial" w:hAnsi="Arial" w:cs="Arial"/>
          <w:bCs/>
        </w:rPr>
        <w:t>2</w:t>
      </w:r>
      <w:r w:rsidR="003C5BE1">
        <w:rPr>
          <w:rFonts w:ascii="Arial" w:hAnsi="Arial" w:cs="Arial"/>
          <w:bCs/>
        </w:rPr>
        <w:t xml:space="preserve"> </w:t>
      </w:r>
      <w:r w:rsidR="00A81A49">
        <w:rPr>
          <w:rFonts w:ascii="Arial" w:hAnsi="Arial" w:cs="Arial"/>
          <w:bCs/>
        </w:rPr>
        <w:t>de</w:t>
      </w:r>
      <w:r w:rsidR="003C5BE1">
        <w:rPr>
          <w:rFonts w:ascii="Arial" w:hAnsi="Arial" w:cs="Arial"/>
          <w:bCs/>
        </w:rPr>
        <w:t xml:space="preserve"> </w:t>
      </w:r>
      <w:r w:rsidR="00D5104D">
        <w:rPr>
          <w:rFonts w:ascii="Arial" w:hAnsi="Arial" w:cs="Arial"/>
          <w:bCs/>
        </w:rPr>
        <w:t>abril de 2018</w:t>
      </w:r>
      <w:r w:rsidR="00A81A49">
        <w:rPr>
          <w:rFonts w:ascii="Arial" w:hAnsi="Arial" w:cs="Arial"/>
          <w:bCs/>
        </w:rPr>
        <w:t>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A81A49">
        <w:rPr>
          <w:rFonts w:ascii="Arial" w:hAnsi="Arial" w:cs="Arial"/>
          <w:bCs/>
        </w:rPr>
        <w:t xml:space="preserve">Licitación Abreviada  </w:t>
      </w:r>
      <w:r w:rsidR="00D5104D">
        <w:rPr>
          <w:rFonts w:ascii="Arial" w:hAnsi="Arial" w:cs="Arial"/>
          <w:bCs/>
        </w:rPr>
        <w:t>0</w:t>
      </w:r>
      <w:r w:rsidR="003C5BE1">
        <w:rPr>
          <w:rFonts w:ascii="Arial" w:hAnsi="Arial" w:cs="Arial"/>
          <w:bCs/>
        </w:rPr>
        <w:t>2</w:t>
      </w:r>
      <w:r w:rsidR="00D5104D">
        <w:rPr>
          <w:rFonts w:ascii="Arial" w:hAnsi="Arial" w:cs="Arial"/>
          <w:bCs/>
        </w:rPr>
        <w:t>/2018</w:t>
      </w:r>
      <w:r w:rsidR="00A81A49">
        <w:rPr>
          <w:rFonts w:ascii="Arial" w:hAnsi="Arial" w:cs="Arial"/>
          <w:bCs/>
        </w:rPr>
        <w:t xml:space="preserve"> para </w:t>
      </w:r>
      <w:r w:rsidR="001118C3">
        <w:rPr>
          <w:rFonts w:ascii="Arial" w:hAnsi="Arial" w:cs="Arial"/>
          <w:bCs/>
        </w:rPr>
        <w:t xml:space="preserve">la </w:t>
      </w:r>
      <w:r w:rsidR="003C5BE1">
        <w:rPr>
          <w:rFonts w:ascii="Arial" w:hAnsi="Arial" w:cs="Arial"/>
          <w:bCs/>
        </w:rPr>
        <w:t>contratación de un servicio de vigilancia para Cecap</w:t>
      </w:r>
      <w:r w:rsidR="00D5104D">
        <w:rPr>
          <w:rFonts w:ascii="Arial" w:hAnsi="Arial" w:cs="Arial"/>
          <w:bCs/>
        </w:rPr>
        <w:t xml:space="preserve"> Montevideo</w:t>
      </w:r>
      <w:r w:rsidR="003C5BE1">
        <w:rPr>
          <w:rFonts w:ascii="Arial" w:hAnsi="Arial" w:cs="Arial"/>
          <w:bCs/>
        </w:rPr>
        <w:t>.</w:t>
      </w:r>
      <w:r w:rsidR="00D5104D">
        <w:rPr>
          <w:rFonts w:ascii="Arial" w:hAnsi="Arial" w:cs="Arial"/>
          <w:bCs/>
        </w:rPr>
        <w:t>------------</w:t>
      </w:r>
      <w:r w:rsidR="003C5BE1">
        <w:rPr>
          <w:rFonts w:ascii="Arial" w:hAnsi="Arial" w:cs="Arial"/>
          <w:bCs/>
        </w:rPr>
        <w:t>---</w:t>
      </w:r>
      <w:r w:rsidR="00183DD9" w:rsidRPr="00D8373C">
        <w:rPr>
          <w:rFonts w:ascii="Arial" w:hAnsi="Arial" w:cs="Arial"/>
        </w:rPr>
        <w:t>-</w:t>
      </w:r>
      <w:r w:rsidR="004473C1">
        <w:rPr>
          <w:rFonts w:ascii="Arial" w:hAnsi="Arial" w:cs="Arial"/>
        </w:rPr>
        <w:t>-------</w:t>
      </w:r>
      <w:r w:rsidR="001118C3">
        <w:rPr>
          <w:rFonts w:ascii="Arial" w:hAnsi="Arial" w:cs="Arial"/>
        </w:rPr>
        <w:t>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>se presenta</w:t>
      </w:r>
      <w:r w:rsidR="005926C4">
        <w:rPr>
          <w:rFonts w:ascii="Arial" w:hAnsi="Arial" w:cs="Arial"/>
        </w:rPr>
        <w:t>ro</w:t>
      </w:r>
      <w:r w:rsidR="0055545D">
        <w:rPr>
          <w:rFonts w:ascii="Arial" w:hAnsi="Arial" w:cs="Arial"/>
        </w:rPr>
        <w:t>n</w:t>
      </w:r>
      <w:r w:rsidR="004473C1" w:rsidRPr="004473C1">
        <w:rPr>
          <w:rFonts w:ascii="Arial" w:hAnsi="Arial" w:cs="Arial"/>
        </w:rPr>
        <w:t xml:space="preserve"> </w:t>
      </w:r>
      <w:r w:rsidR="00BC6F22">
        <w:rPr>
          <w:rFonts w:ascii="Arial" w:hAnsi="Arial" w:cs="Arial"/>
        </w:rPr>
        <w:t xml:space="preserve">los siguientes </w:t>
      </w:r>
      <w:r w:rsidR="004473C1" w:rsidRPr="004473C1">
        <w:rPr>
          <w:rFonts w:ascii="Arial" w:hAnsi="Arial" w:cs="Arial"/>
        </w:rPr>
        <w:t>oferente</w:t>
      </w:r>
      <w:r w:rsidR="004473C1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DC4D88">
        <w:rPr>
          <w:rFonts w:ascii="Arial" w:hAnsi="Arial" w:cs="Arial"/>
        </w:rPr>
        <w:t xml:space="preserve">1) </w:t>
      </w:r>
      <w:r w:rsidR="00D5104D">
        <w:rPr>
          <w:rFonts w:ascii="Arial" w:hAnsi="Arial" w:cs="Arial"/>
          <w:bCs/>
        </w:rPr>
        <w:t>GADAFOX S.A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2) </w:t>
      </w:r>
      <w:r w:rsidR="00D5104D">
        <w:rPr>
          <w:rFonts w:ascii="Arial" w:hAnsi="Arial" w:cs="Arial"/>
          <w:bCs/>
        </w:rPr>
        <w:t>MONTOSSI MAYADA Carlos Daniel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>3)</w:t>
      </w:r>
      <w:r w:rsidR="00EA6E4B" w:rsidRPr="00EA6E4B">
        <w:rPr>
          <w:rFonts w:ascii="Arial" w:hAnsi="Arial" w:cs="Arial"/>
          <w:bCs/>
        </w:rPr>
        <w:t xml:space="preserve"> </w:t>
      </w:r>
      <w:r w:rsidR="00D5104D">
        <w:rPr>
          <w:rFonts w:ascii="Arial" w:hAnsi="Arial" w:cs="Arial"/>
          <w:bCs/>
        </w:rPr>
        <w:t xml:space="preserve">REDES SEGURIDAD EMPRESARIAL, </w:t>
      </w:r>
      <w:r w:rsidR="00A15B0F">
        <w:rPr>
          <w:rFonts w:ascii="Arial" w:hAnsi="Arial" w:cs="Arial"/>
          <w:bCs/>
        </w:rPr>
        <w:t xml:space="preserve">4) </w:t>
      </w:r>
      <w:r w:rsidR="00D5104D">
        <w:rPr>
          <w:rFonts w:ascii="Arial" w:hAnsi="Arial" w:cs="Arial"/>
          <w:bCs/>
        </w:rPr>
        <w:t xml:space="preserve">RODRIGUEZ GALLEGO SONIA GLORIA, </w:t>
      </w:r>
      <w:r w:rsidR="00A15B0F">
        <w:rPr>
          <w:rFonts w:ascii="Arial" w:hAnsi="Arial" w:cs="Arial"/>
          <w:bCs/>
        </w:rPr>
        <w:t xml:space="preserve">5) </w:t>
      </w:r>
      <w:r w:rsidR="00D5104D">
        <w:rPr>
          <w:rFonts w:ascii="Arial" w:hAnsi="Arial" w:cs="Arial"/>
          <w:bCs/>
        </w:rPr>
        <w:t xml:space="preserve">SELKESUR S.A, </w:t>
      </w:r>
      <w:r w:rsidR="00A15B0F">
        <w:rPr>
          <w:rFonts w:ascii="Arial" w:hAnsi="Arial" w:cs="Arial"/>
          <w:bCs/>
        </w:rPr>
        <w:t xml:space="preserve">6) </w:t>
      </w:r>
      <w:r w:rsidR="00D5104D">
        <w:rPr>
          <w:rFonts w:ascii="Arial" w:hAnsi="Arial" w:cs="Arial"/>
          <w:bCs/>
        </w:rPr>
        <w:t>SEVITEC LTDA.</w:t>
      </w:r>
      <w:r w:rsidR="00A15B0F">
        <w:rPr>
          <w:rFonts w:ascii="Arial" w:hAnsi="Arial" w:cs="Arial"/>
          <w:bCs/>
        </w:rPr>
        <w:t>7) NUEVA FRONTERA</w:t>
      </w:r>
      <w:r w:rsidR="00D5104D">
        <w:rPr>
          <w:rFonts w:ascii="Arial" w:hAnsi="Arial" w:cs="Arial"/>
          <w:bCs/>
        </w:rPr>
        <w:t xml:space="preserve"> d</w:t>
      </w:r>
      <w:r w:rsidR="003C5BE1">
        <w:rPr>
          <w:rFonts w:ascii="Arial" w:hAnsi="Arial" w:cs="Arial"/>
          <w:bCs/>
        </w:rPr>
        <w:t>e los cuales la</w:t>
      </w:r>
      <w:r w:rsidR="00D5104D">
        <w:rPr>
          <w:rFonts w:ascii="Arial" w:hAnsi="Arial" w:cs="Arial"/>
          <w:bCs/>
        </w:rPr>
        <w:t>s</w:t>
      </w:r>
      <w:r w:rsidR="00D63720">
        <w:rPr>
          <w:rFonts w:ascii="Arial" w:hAnsi="Arial" w:cs="Arial"/>
          <w:bCs/>
        </w:rPr>
        <w:t xml:space="preserve"> empresa</w:t>
      </w:r>
      <w:r w:rsidR="00D5104D">
        <w:rPr>
          <w:rFonts w:ascii="Arial" w:hAnsi="Arial" w:cs="Arial"/>
          <w:bCs/>
        </w:rPr>
        <w:t xml:space="preserve">s </w:t>
      </w:r>
      <w:r w:rsidR="003C5BE1">
        <w:rPr>
          <w:rFonts w:ascii="Arial" w:hAnsi="Arial" w:cs="Arial"/>
          <w:bCs/>
        </w:rPr>
        <w:t xml:space="preserve"> </w:t>
      </w:r>
      <w:r w:rsidR="00D5104D">
        <w:rPr>
          <w:rFonts w:ascii="Arial" w:hAnsi="Arial" w:cs="Arial"/>
          <w:bCs/>
        </w:rPr>
        <w:t xml:space="preserve">RODRIGUEZ GALLEGO SONIA GLORIA, y SELKESUR S.A </w:t>
      </w:r>
      <w:r w:rsidR="00D63720">
        <w:rPr>
          <w:rFonts w:ascii="Arial" w:hAnsi="Arial" w:cs="Arial"/>
          <w:bCs/>
        </w:rPr>
        <w:t>no cumple</w:t>
      </w:r>
      <w:r w:rsidR="00D5104D">
        <w:rPr>
          <w:rFonts w:ascii="Arial" w:hAnsi="Arial" w:cs="Arial"/>
          <w:bCs/>
        </w:rPr>
        <w:t>n</w:t>
      </w:r>
      <w:r w:rsidR="00D63720">
        <w:rPr>
          <w:rFonts w:ascii="Arial" w:hAnsi="Arial" w:cs="Arial"/>
          <w:bCs/>
        </w:rPr>
        <w:t xml:space="preserve"> con los requisitos formales ya que no</w:t>
      </w:r>
      <w:r w:rsidR="00C24F5B" w:rsidRPr="00EA6E4B">
        <w:rPr>
          <w:rFonts w:ascii="Arial" w:hAnsi="Arial" w:cs="Arial"/>
          <w:bCs/>
        </w:rPr>
        <w:t xml:space="preserve"> se ajustan a lo solicitado en el Plie</w:t>
      </w:r>
      <w:r w:rsidR="001118C3" w:rsidRPr="00EA6E4B">
        <w:rPr>
          <w:rFonts w:ascii="Arial" w:hAnsi="Arial" w:cs="Arial"/>
          <w:bCs/>
        </w:rPr>
        <w:t xml:space="preserve">go de Condiciones Particulares. </w:t>
      </w:r>
      <w:r w:rsidR="00DC4D88" w:rsidRPr="00EA6E4B">
        <w:rPr>
          <w:rFonts w:ascii="Arial" w:hAnsi="Arial" w:cs="Arial"/>
          <w:bCs/>
        </w:rPr>
        <w:t>--</w:t>
      </w:r>
      <w:r w:rsidR="003C5BE1">
        <w:rPr>
          <w:rFonts w:ascii="Arial" w:hAnsi="Arial" w:cs="Arial"/>
          <w:bCs/>
        </w:rPr>
        <w:t>---</w:t>
      </w:r>
      <w:r w:rsidR="00A15B0F">
        <w:rPr>
          <w:rFonts w:ascii="Arial" w:hAnsi="Arial" w:cs="Arial"/>
          <w:bCs/>
        </w:rPr>
        <w:t>--------------</w:t>
      </w:r>
      <w:bookmarkStart w:id="0" w:name="_GoBack"/>
      <w:bookmarkEnd w:id="0"/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 xml:space="preserve"> e</w:t>
      </w:r>
      <w:r w:rsidR="00F4495A" w:rsidRPr="00F4495A">
        <w:rPr>
          <w:rFonts w:ascii="Arial" w:hAnsi="Arial" w:cs="Arial"/>
        </w:rPr>
        <w:t>mpresa</w:t>
      </w:r>
      <w:r w:rsidR="003C5BE1">
        <w:rPr>
          <w:rFonts w:ascii="Arial" w:hAnsi="Arial" w:cs="Arial"/>
        </w:rPr>
        <w:t xml:space="preserve"> </w:t>
      </w:r>
      <w:r w:rsidR="00D5104D">
        <w:rPr>
          <w:rFonts w:ascii="Arial" w:hAnsi="Arial" w:cs="Arial"/>
        </w:rPr>
        <w:t>SEVITEC LTDA</w:t>
      </w:r>
      <w:r w:rsidR="006D2F6E">
        <w:rPr>
          <w:rFonts w:ascii="Arial" w:hAnsi="Arial" w:cs="Arial"/>
        </w:rPr>
        <w:t xml:space="preserve">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AD056E">
        <w:rPr>
          <w:rFonts w:ascii="Arial" w:hAnsi="Arial" w:cs="Arial"/>
          <w:lang w:val="es-UY"/>
        </w:rPr>
        <w:t xml:space="preserve"> admisible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además resultar con el puntaje más alto en la evaluación técnica y económica</w:t>
      </w:r>
      <w:r w:rsidR="00FE46E2">
        <w:rPr>
          <w:rFonts w:ascii="Arial" w:hAnsi="Arial" w:cs="Arial"/>
          <w:lang w:val="es-UY"/>
        </w:rPr>
        <w:t xml:space="preserve"> de acuerdo al punto Nº 2</w:t>
      </w:r>
      <w:r w:rsidR="00D5104D">
        <w:rPr>
          <w:rFonts w:ascii="Arial" w:hAnsi="Arial" w:cs="Arial"/>
          <w:lang w:val="es-UY"/>
        </w:rPr>
        <w:t>0</w:t>
      </w:r>
      <w:r w:rsidR="003234B1">
        <w:rPr>
          <w:rFonts w:ascii="Arial" w:hAnsi="Arial" w:cs="Arial"/>
          <w:lang w:val="es-UY"/>
        </w:rPr>
        <w:t xml:space="preserve"> del Pliego de Condiciones Particulares</w:t>
      </w:r>
      <w:r w:rsidR="00AD056E">
        <w:rPr>
          <w:rFonts w:ascii="Arial" w:hAnsi="Arial" w:cs="Arial"/>
          <w:lang w:val="es-UY"/>
        </w:rPr>
        <w:t>, deviniendo en la</w:t>
      </w:r>
      <w:r w:rsidR="001118C3">
        <w:rPr>
          <w:rFonts w:ascii="Arial" w:hAnsi="Arial" w:cs="Arial"/>
          <w:lang w:val="es-UY"/>
        </w:rPr>
        <w:t xml:space="preserve"> propuesta</w:t>
      </w:r>
      <w:r w:rsidR="00AD056E">
        <w:rPr>
          <w:rFonts w:ascii="Arial" w:hAnsi="Arial" w:cs="Arial"/>
          <w:lang w:val="es-UY"/>
        </w:rPr>
        <w:t xml:space="preserve"> más conveniente para los intereses de la Administración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</w:t>
      </w:r>
      <w:r w:rsidR="00D5104D">
        <w:rPr>
          <w:rFonts w:ascii="Arial" w:hAnsi="Arial" w:cs="Arial"/>
        </w:rPr>
        <w:t>--------------</w:t>
      </w:r>
      <w:r w:rsidR="00AD056E">
        <w:rPr>
          <w:rFonts w:ascii="Arial" w:hAnsi="Arial" w:cs="Arial"/>
        </w:rPr>
        <w:t>-----------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 xml:space="preserve"> e</w:t>
      </w:r>
      <w:r w:rsidRPr="00BC24AA">
        <w:rPr>
          <w:rFonts w:ascii="Arial" w:hAnsi="Arial" w:cs="Arial"/>
        </w:rPr>
        <w:t>mpresa.----------------------------------------------------------------------------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>III) que se emitió la afectación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D5104D">
        <w:rPr>
          <w:rFonts w:ascii="Arial" w:hAnsi="Arial" w:cs="Arial"/>
        </w:rPr>
        <w:t>22</w:t>
      </w:r>
      <w:r w:rsidR="00AD056E">
        <w:rPr>
          <w:rFonts w:ascii="Arial" w:hAnsi="Arial" w:cs="Arial"/>
        </w:rPr>
        <w:t>, la cual 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3C5BE1">
        <w:rPr>
          <w:rFonts w:ascii="Arial" w:hAnsi="Arial" w:cs="Arial"/>
        </w:rPr>
        <w:t>2</w:t>
      </w:r>
      <w:r w:rsidR="00D5104D">
        <w:rPr>
          <w:rFonts w:ascii="Arial" w:hAnsi="Arial" w:cs="Arial"/>
        </w:rPr>
        <w:t>1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----------------------------------------------------------------</w:t>
      </w:r>
    </w:p>
    <w:p w:rsidR="003C37CD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D5104D" w:rsidRPr="00D8373C" w:rsidRDefault="00D5104D" w:rsidP="00C827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lastRenderedPageBreak/>
        <w:t xml:space="preserve">1ro.- </w:t>
      </w:r>
      <w:r w:rsidR="00552E16" w:rsidRPr="00BC24AA">
        <w:rPr>
          <w:rFonts w:ascii="Arial" w:hAnsi="Arial" w:cs="Arial"/>
          <w:bCs/>
        </w:rPr>
        <w:t>Adjud</w:t>
      </w:r>
      <w:r w:rsidR="00552E16">
        <w:rPr>
          <w:rFonts w:ascii="Arial" w:hAnsi="Arial" w:cs="Arial"/>
          <w:bCs/>
        </w:rPr>
        <w:t>i</w:t>
      </w:r>
      <w:r w:rsidR="00552E16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 w:rsidR="00D5104D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>/201</w:t>
      </w:r>
      <w:r w:rsidR="00D5104D">
        <w:rPr>
          <w:rFonts w:ascii="Arial" w:hAnsi="Arial" w:cs="Arial"/>
          <w:bCs/>
        </w:rPr>
        <w:t>8</w:t>
      </w:r>
      <w:r w:rsidR="00AD056E">
        <w:rPr>
          <w:rFonts w:ascii="Arial" w:hAnsi="Arial" w:cs="Arial"/>
          <w:bCs/>
        </w:rPr>
        <w:t xml:space="preserve"> a la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>mpresa</w:t>
      </w:r>
      <w:r w:rsidR="003C5BE1">
        <w:rPr>
          <w:rFonts w:ascii="Arial" w:hAnsi="Arial" w:cs="Arial"/>
          <w:bCs/>
        </w:rPr>
        <w:t xml:space="preserve"> </w:t>
      </w:r>
      <w:r w:rsidR="00D5104D">
        <w:rPr>
          <w:rFonts w:ascii="Arial" w:hAnsi="Arial" w:cs="Arial"/>
          <w:bCs/>
        </w:rPr>
        <w:t xml:space="preserve">SEVITEC LTDA </w:t>
      </w:r>
      <w:r w:rsidRPr="00BC24AA">
        <w:rPr>
          <w:rFonts w:ascii="Arial" w:hAnsi="Arial" w:cs="Arial"/>
          <w:bCs/>
        </w:rPr>
        <w:t xml:space="preserve"> </w:t>
      </w:r>
      <w:r w:rsidR="00AD056E">
        <w:rPr>
          <w:rFonts w:ascii="Arial" w:hAnsi="Arial" w:cs="Arial"/>
          <w:bCs/>
        </w:rPr>
        <w:t xml:space="preserve">para </w:t>
      </w:r>
      <w:r w:rsidR="005302A9">
        <w:rPr>
          <w:rFonts w:ascii="Arial" w:hAnsi="Arial" w:cs="Arial"/>
          <w:bCs/>
        </w:rPr>
        <w:t xml:space="preserve">la </w:t>
      </w:r>
      <w:r w:rsidR="003C5BE1">
        <w:rPr>
          <w:rFonts w:ascii="Arial" w:hAnsi="Arial" w:cs="Arial"/>
          <w:bCs/>
        </w:rPr>
        <w:t xml:space="preserve">contratación de un servicio de vigilancia para Cecap </w:t>
      </w:r>
      <w:r w:rsidR="00D5104D">
        <w:rPr>
          <w:rFonts w:ascii="Arial" w:hAnsi="Arial" w:cs="Arial"/>
          <w:bCs/>
        </w:rPr>
        <w:t>Montevideo</w:t>
      </w:r>
      <w:r w:rsidR="0061458D">
        <w:rPr>
          <w:rFonts w:ascii="Arial" w:hAnsi="Arial" w:cs="Arial"/>
          <w:bCs/>
          <w:lang w:val="es-UY"/>
        </w:rPr>
        <w:t xml:space="preserve">, </w:t>
      </w:r>
      <w:r w:rsidRPr="00BC24AA">
        <w:rPr>
          <w:rFonts w:ascii="Arial" w:hAnsi="Arial" w:cs="Arial"/>
          <w:bCs/>
        </w:rPr>
        <w:t>según el siguiente detalle:</w:t>
      </w:r>
    </w:p>
    <w:tbl>
      <w:tblPr>
        <w:tblW w:w="8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008"/>
        <w:gridCol w:w="1536"/>
        <w:gridCol w:w="1701"/>
        <w:gridCol w:w="1211"/>
      </w:tblGrid>
      <w:tr w:rsidR="00D5104D" w:rsidRPr="00D12264" w:rsidTr="00067DE3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ÍTEM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PERÍODO DE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LA </w:t>
            </w: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CONTRATACIÓN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MENSUAL SIN IMP.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MENSUAL IVA.INC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ANUAL SIN IMP.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ANUAL IVA.INC</w:t>
            </w:r>
          </w:p>
        </w:tc>
      </w:tr>
      <w:tr w:rsidR="00D5104D" w:rsidRPr="00D12264" w:rsidTr="00067DE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12 MESES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53.820,00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65.660,40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645.840,00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787.924,80</w:t>
            </w:r>
          </w:p>
        </w:tc>
      </w:tr>
      <w:tr w:rsidR="00D5104D" w:rsidRPr="00D12264" w:rsidTr="00067DE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12 MESES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186.846,00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227.952,12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2.242.152,00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sz w:val="20"/>
                <w:szCs w:val="20"/>
                <w:lang w:eastAsia="es-UY"/>
              </w:rPr>
              <w:t>2.735.425,44</w:t>
            </w:r>
          </w:p>
        </w:tc>
      </w:tr>
      <w:tr w:rsidR="00D5104D" w:rsidRPr="00D12264" w:rsidTr="00067DE3">
        <w:trPr>
          <w:trHeight w:val="255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 ADJUDICACIÓN IMPUESTOS INCLUÍDOS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4D" w:rsidRPr="00D12264" w:rsidRDefault="00D5104D" w:rsidP="00067DE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D12264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3.523.350,24</w:t>
            </w:r>
          </w:p>
        </w:tc>
      </w:tr>
    </w:tbl>
    <w:p w:rsidR="00D5104D" w:rsidRDefault="00D5104D" w:rsidP="00B40696">
      <w:pPr>
        <w:spacing w:line="360" w:lineRule="auto"/>
        <w:jc w:val="both"/>
        <w:rPr>
          <w:rFonts w:ascii="Arial" w:hAnsi="Arial" w:cs="Arial"/>
          <w:bCs/>
        </w:rPr>
      </w:pPr>
    </w:p>
    <w:p w:rsidR="003C5BE1" w:rsidRDefault="003C5BE1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2do.- El precio se ajustará semestralmente según la paramétrica indicada en la oferta del </w:t>
      </w:r>
      <w:r w:rsidR="00D5104D">
        <w:rPr>
          <w:rFonts w:ascii="Arial" w:hAnsi="Arial" w:cs="Arial"/>
          <w:bCs/>
        </w:rPr>
        <w:t>adjudicatario a partir del 01/01</w:t>
      </w:r>
      <w:r>
        <w:rPr>
          <w:rFonts w:ascii="Arial" w:hAnsi="Arial" w:cs="Arial"/>
          <w:bCs/>
        </w:rPr>
        <w:t>/201</w:t>
      </w:r>
      <w:r w:rsidR="00D5104D">
        <w:rPr>
          <w:rFonts w:ascii="Arial" w:hAnsi="Arial" w:cs="Arial"/>
          <w:bCs/>
        </w:rPr>
        <w:t>9 según el 8</w:t>
      </w:r>
      <w:r>
        <w:rPr>
          <w:rFonts w:ascii="Arial" w:hAnsi="Arial" w:cs="Arial"/>
          <w:bCs/>
        </w:rPr>
        <w:t xml:space="preserve">0% de la variación de los incrementos salariales </w:t>
      </w:r>
      <w:r w:rsidR="00E944FD">
        <w:rPr>
          <w:rFonts w:ascii="Arial" w:hAnsi="Arial" w:cs="Arial"/>
          <w:bCs/>
        </w:rPr>
        <w:t>para el Grupo 19, Sub grupo 8 y un 2</w:t>
      </w:r>
      <w:r>
        <w:rPr>
          <w:rFonts w:ascii="Arial" w:hAnsi="Arial" w:cs="Arial"/>
          <w:bCs/>
        </w:rPr>
        <w:t xml:space="preserve">0% de acuerdo a la variación del IPC. </w:t>
      </w:r>
      <w:r w:rsidR="00941EA9">
        <w:rPr>
          <w:rFonts w:ascii="Arial" w:hAnsi="Arial" w:cs="Arial"/>
          <w:bCs/>
        </w:rPr>
        <w:t>----</w:t>
      </w:r>
    </w:p>
    <w:p w:rsidR="003C5BE1" w:rsidRDefault="003C5BE1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3ro.- El plazo de la contratación será de un año con opción a un año más, a criterio del MEC, en función de la evaluación del desempeño de la empresa adjudicataria.-------------</w:t>
      </w:r>
    </w:p>
    <w:p w:rsidR="00B40696" w:rsidRDefault="003C5BE1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3ro.- </w:t>
      </w:r>
      <w:r w:rsidR="00B40696" w:rsidRPr="00BC24AA">
        <w:rPr>
          <w:rFonts w:ascii="Arial" w:hAnsi="Arial" w:cs="Arial"/>
          <w:bCs/>
        </w:rPr>
        <w:t>El total de la erogación asciend</w:t>
      </w:r>
      <w:r w:rsidR="006D2F6E">
        <w:rPr>
          <w:rFonts w:ascii="Arial" w:hAnsi="Arial" w:cs="Arial"/>
          <w:bCs/>
        </w:rPr>
        <w:t xml:space="preserve">e a la suma de $ </w:t>
      </w:r>
      <w:r w:rsidR="00E944FD">
        <w:rPr>
          <w:rFonts w:ascii="Arial" w:hAnsi="Arial" w:cs="Arial"/>
          <w:bCs/>
        </w:rPr>
        <w:t xml:space="preserve">3.523.350,24 </w:t>
      </w:r>
      <w:r w:rsidR="006D2F6E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(pesos uruguayos </w:t>
      </w:r>
      <w:r>
        <w:rPr>
          <w:rFonts w:ascii="Arial" w:hAnsi="Arial" w:cs="Arial"/>
          <w:bCs/>
        </w:rPr>
        <w:t xml:space="preserve">un </w:t>
      </w:r>
      <w:r w:rsidR="00E944FD">
        <w:rPr>
          <w:rFonts w:ascii="Arial" w:hAnsi="Arial" w:cs="Arial"/>
          <w:bCs/>
        </w:rPr>
        <w:t>tres millones quinientos veintitrés mil trescientos cincuenta con 24/100</w:t>
      </w:r>
      <w:r w:rsidR="00B40696" w:rsidRPr="00BC24AA">
        <w:rPr>
          <w:rFonts w:ascii="Arial" w:hAnsi="Arial" w:cs="Arial"/>
          <w:bCs/>
        </w:rPr>
        <w:t xml:space="preserve">) </w:t>
      </w:r>
      <w:r w:rsidR="00B40696">
        <w:rPr>
          <w:rFonts w:ascii="Arial" w:hAnsi="Arial" w:cs="Arial"/>
          <w:bCs/>
        </w:rPr>
        <w:t xml:space="preserve"> impuestos</w:t>
      </w:r>
      <w:r w:rsidR="00650E9F">
        <w:rPr>
          <w:rFonts w:ascii="Arial" w:hAnsi="Arial" w:cs="Arial"/>
          <w:bCs/>
        </w:rPr>
        <w:t xml:space="preserve"> </w:t>
      </w:r>
      <w:r w:rsidR="00552E16">
        <w:rPr>
          <w:rFonts w:ascii="Arial" w:hAnsi="Arial" w:cs="Arial"/>
          <w:bCs/>
        </w:rPr>
        <w:t>incluidos</w:t>
      </w:r>
      <w:r w:rsidR="00B40696" w:rsidRPr="00BC24AA">
        <w:rPr>
          <w:rFonts w:ascii="Arial" w:hAnsi="Arial" w:cs="Arial"/>
          <w:bCs/>
        </w:rPr>
        <w:t>.--</w:t>
      </w:r>
      <w:r w:rsidR="00B40696">
        <w:rPr>
          <w:rFonts w:ascii="Arial" w:hAnsi="Arial" w:cs="Arial"/>
          <w:bCs/>
        </w:rPr>
        <w:t>--</w:t>
      </w:r>
      <w:r>
        <w:rPr>
          <w:rFonts w:ascii="Arial" w:hAnsi="Arial" w:cs="Arial"/>
          <w:bCs/>
        </w:rPr>
        <w:t>-----------------------------------------------------------------------------------------------------</w:t>
      </w:r>
    </w:p>
    <w:p w:rsidR="00B40696" w:rsidRDefault="0095313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3C5BE1">
        <w:rPr>
          <w:rFonts w:ascii="Arial" w:hAnsi="Arial" w:cs="Arial"/>
          <w:bCs/>
        </w:rPr>
        <w:t>291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>340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B12400" w:rsidRPr="0061458D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B40696">
        <w:rPr>
          <w:rFonts w:ascii="Arial" w:hAnsi="Arial" w:cs="Arial"/>
          <w:bCs/>
        </w:rPr>
        <w:t>-------------------------</w:t>
      </w:r>
      <w:r w:rsidR="00DD1873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-----</w:t>
      </w:r>
    </w:p>
    <w:p w:rsidR="00B12400" w:rsidRPr="00B44437" w:rsidRDefault="00B12400" w:rsidP="00BC24AA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  <w:r w:rsidRPr="00B44437">
        <w:rPr>
          <w:sz w:val="22"/>
          <w:szCs w:val="22"/>
        </w:rPr>
        <w:tab/>
        <w:t xml:space="preserve">    </w:t>
      </w: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</w:p>
    <w:p w:rsidR="003C37CD" w:rsidRPr="00B44437" w:rsidRDefault="003C37CD" w:rsidP="00170399">
      <w:pPr>
        <w:tabs>
          <w:tab w:val="left" w:pos="390"/>
          <w:tab w:val="right" w:pos="6096"/>
        </w:tabs>
        <w:spacing w:line="360" w:lineRule="auto"/>
        <w:rPr>
          <w:sz w:val="22"/>
          <w:szCs w:val="22"/>
        </w:rPr>
      </w:pPr>
    </w:p>
    <w:sectPr w:rsidR="003C37CD" w:rsidRPr="00B44437" w:rsidSect="00E0254F">
      <w:headerReference w:type="default" r:id="rId9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23" w:rsidRDefault="00A20123" w:rsidP="006677C2">
      <w:r>
        <w:separator/>
      </w:r>
    </w:p>
  </w:endnote>
  <w:endnote w:type="continuationSeparator" w:id="0">
    <w:p w:rsidR="00A20123" w:rsidRDefault="00A20123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23" w:rsidRDefault="00A20123" w:rsidP="006677C2">
      <w:r>
        <w:separator/>
      </w:r>
    </w:p>
  </w:footnote>
  <w:footnote w:type="continuationSeparator" w:id="0">
    <w:p w:rsidR="00A20123" w:rsidRDefault="00A20123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20" w:rsidRPr="00B44437" w:rsidRDefault="00D63720" w:rsidP="00B44437">
    <w:pPr>
      <w:pStyle w:val="Encabezado"/>
      <w:jc w:val="right"/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32D"/>
    <w:multiLevelType w:val="hybridMultilevel"/>
    <w:tmpl w:val="054A24CA"/>
    <w:lvl w:ilvl="0" w:tplc="BE9CD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21FD"/>
    <w:multiLevelType w:val="hybridMultilevel"/>
    <w:tmpl w:val="9BA45C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0E9C"/>
    <w:multiLevelType w:val="hybridMultilevel"/>
    <w:tmpl w:val="0088A6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2B4"/>
    <w:multiLevelType w:val="hybridMultilevel"/>
    <w:tmpl w:val="AFFA9D66"/>
    <w:lvl w:ilvl="0" w:tplc="53C2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3BF6"/>
    <w:multiLevelType w:val="hybridMultilevel"/>
    <w:tmpl w:val="946EE8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3BB8"/>
    <w:multiLevelType w:val="hybridMultilevel"/>
    <w:tmpl w:val="7DFCBD34"/>
    <w:lvl w:ilvl="0" w:tplc="56568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55C1F"/>
    <w:multiLevelType w:val="hybridMultilevel"/>
    <w:tmpl w:val="42B45A6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A051C"/>
    <w:rsid w:val="000A0742"/>
    <w:rsid w:val="000B12DE"/>
    <w:rsid w:val="000F7595"/>
    <w:rsid w:val="00103C78"/>
    <w:rsid w:val="001118C3"/>
    <w:rsid w:val="00125AE3"/>
    <w:rsid w:val="00145121"/>
    <w:rsid w:val="001615AA"/>
    <w:rsid w:val="00170399"/>
    <w:rsid w:val="00172496"/>
    <w:rsid w:val="00183DD9"/>
    <w:rsid w:val="0019208D"/>
    <w:rsid w:val="001A1A7B"/>
    <w:rsid w:val="001B40C8"/>
    <w:rsid w:val="00201143"/>
    <w:rsid w:val="00274658"/>
    <w:rsid w:val="002C5B8F"/>
    <w:rsid w:val="002D08A7"/>
    <w:rsid w:val="002F265E"/>
    <w:rsid w:val="003234B1"/>
    <w:rsid w:val="00323DC7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BE1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2E16"/>
    <w:rsid w:val="0055545D"/>
    <w:rsid w:val="005926C4"/>
    <w:rsid w:val="005A054F"/>
    <w:rsid w:val="005A571E"/>
    <w:rsid w:val="005A7B0C"/>
    <w:rsid w:val="005C2B2E"/>
    <w:rsid w:val="005E4311"/>
    <w:rsid w:val="005F4980"/>
    <w:rsid w:val="0061083A"/>
    <w:rsid w:val="0061458D"/>
    <w:rsid w:val="00626E18"/>
    <w:rsid w:val="0063139F"/>
    <w:rsid w:val="00634317"/>
    <w:rsid w:val="0064485D"/>
    <w:rsid w:val="00650E9F"/>
    <w:rsid w:val="006677C2"/>
    <w:rsid w:val="00676237"/>
    <w:rsid w:val="006C51CC"/>
    <w:rsid w:val="006D2F6E"/>
    <w:rsid w:val="00704B53"/>
    <w:rsid w:val="00705EBF"/>
    <w:rsid w:val="00713063"/>
    <w:rsid w:val="00720C30"/>
    <w:rsid w:val="00726588"/>
    <w:rsid w:val="00745BB1"/>
    <w:rsid w:val="00785468"/>
    <w:rsid w:val="007A03A3"/>
    <w:rsid w:val="007C4AAF"/>
    <w:rsid w:val="007D5069"/>
    <w:rsid w:val="007E4CFF"/>
    <w:rsid w:val="007F0AC2"/>
    <w:rsid w:val="007F7BCD"/>
    <w:rsid w:val="00815316"/>
    <w:rsid w:val="008208B0"/>
    <w:rsid w:val="008336D7"/>
    <w:rsid w:val="0084505B"/>
    <w:rsid w:val="008516B0"/>
    <w:rsid w:val="008534EF"/>
    <w:rsid w:val="0088412B"/>
    <w:rsid w:val="008B3B41"/>
    <w:rsid w:val="008D7994"/>
    <w:rsid w:val="00931C5C"/>
    <w:rsid w:val="00941EA9"/>
    <w:rsid w:val="0095313B"/>
    <w:rsid w:val="00961203"/>
    <w:rsid w:val="00970FC1"/>
    <w:rsid w:val="0098286F"/>
    <w:rsid w:val="00982886"/>
    <w:rsid w:val="009841B5"/>
    <w:rsid w:val="009855B3"/>
    <w:rsid w:val="00985BBB"/>
    <w:rsid w:val="009A3083"/>
    <w:rsid w:val="009C479C"/>
    <w:rsid w:val="009E781C"/>
    <w:rsid w:val="00A15B0F"/>
    <w:rsid w:val="00A20123"/>
    <w:rsid w:val="00A30471"/>
    <w:rsid w:val="00A52DC8"/>
    <w:rsid w:val="00A564BD"/>
    <w:rsid w:val="00A81A49"/>
    <w:rsid w:val="00AB5D36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5DE"/>
    <w:rsid w:val="00C24F5B"/>
    <w:rsid w:val="00C47CCF"/>
    <w:rsid w:val="00C7371D"/>
    <w:rsid w:val="00C82790"/>
    <w:rsid w:val="00CB687F"/>
    <w:rsid w:val="00CF73DC"/>
    <w:rsid w:val="00D274FB"/>
    <w:rsid w:val="00D5104D"/>
    <w:rsid w:val="00D63720"/>
    <w:rsid w:val="00D81BE8"/>
    <w:rsid w:val="00D8373C"/>
    <w:rsid w:val="00D91A1B"/>
    <w:rsid w:val="00D922F9"/>
    <w:rsid w:val="00D9294A"/>
    <w:rsid w:val="00DC42A8"/>
    <w:rsid w:val="00DC4D88"/>
    <w:rsid w:val="00DC51AC"/>
    <w:rsid w:val="00DD1873"/>
    <w:rsid w:val="00DD5FAC"/>
    <w:rsid w:val="00E0254F"/>
    <w:rsid w:val="00E120F5"/>
    <w:rsid w:val="00E53A38"/>
    <w:rsid w:val="00E771A4"/>
    <w:rsid w:val="00E860B3"/>
    <w:rsid w:val="00E931B4"/>
    <w:rsid w:val="00E944FD"/>
    <w:rsid w:val="00E94F60"/>
    <w:rsid w:val="00E95223"/>
    <w:rsid w:val="00EA6E4B"/>
    <w:rsid w:val="00EC0024"/>
    <w:rsid w:val="00EC7BE4"/>
    <w:rsid w:val="00EE1214"/>
    <w:rsid w:val="00EF512C"/>
    <w:rsid w:val="00F269BE"/>
    <w:rsid w:val="00F429E5"/>
    <w:rsid w:val="00F4495A"/>
    <w:rsid w:val="00F50FE4"/>
    <w:rsid w:val="00F66856"/>
    <w:rsid w:val="00F747A9"/>
    <w:rsid w:val="00F75E0A"/>
    <w:rsid w:val="00F844BD"/>
    <w:rsid w:val="00F92301"/>
    <w:rsid w:val="00FB6530"/>
    <w:rsid w:val="00FC3EB3"/>
    <w:rsid w:val="00FE46E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A5220E93-9246-4B34-A22C-EEE85A08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6D2F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9FA-B08E-484A-B2A0-770166F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7</cp:revision>
  <cp:lastPrinted>2018-05-04T17:37:00Z</cp:lastPrinted>
  <dcterms:created xsi:type="dcterms:W3CDTF">2018-04-27T16:00:00Z</dcterms:created>
  <dcterms:modified xsi:type="dcterms:W3CDTF">2018-05-04T17:38:00Z</dcterms:modified>
</cp:coreProperties>
</file>