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line="276" w:lineRule="auto"/>
        <w:rPr>
          <w:sz w:val="20"/>
          <w:szCs w:val="20"/>
          <w:lang w:val="es-UY"/>
        </w:rPr>
      </w:pPr>
      <w:r>
        <w:rPr>
          <w:sz w:val="20"/>
          <w:szCs w:val="20"/>
          <w:lang w:val="es-UY"/>
        </w:rPr>
        <w:t>PODER JUDICIAL</w:t>
      </w:r>
    </w:p>
    <w:p>
      <w:pPr>
        <w:pStyle w:val="style0"/>
        <w:spacing w:line="276" w:lineRule="auto"/>
        <w:jc w:val="center"/>
        <w:rPr>
          <w:b/>
          <w:bCs/>
          <w:sz w:val="20"/>
          <w:lang w:val="es-UY"/>
        </w:rPr>
      </w:pPr>
      <w:r>
        <w:rPr>
          <w:b/>
          <w:bCs/>
          <w:sz w:val="20"/>
          <w:lang w:val="es-UY"/>
        </w:rPr>
        <w:t>DEPARTAMENTO DE ADQUISICIONES</w:t>
      </w:r>
    </w:p>
    <w:p>
      <w:pPr>
        <w:pStyle w:val="style0"/>
        <w:spacing w:line="276" w:lineRule="auto"/>
        <w:jc w:val="center"/>
        <w:rPr>
          <w:b/>
          <w:bCs/>
          <w:sz w:val="20"/>
          <w:lang w:val="es-UY"/>
        </w:rPr>
      </w:pPr>
      <w:r>
        <w:rPr>
          <w:b/>
          <w:bCs/>
          <w:sz w:val="20"/>
          <w:lang w:val="es-UY"/>
        </w:rPr>
        <w:t xml:space="preserve">LICITACIÓN ABREVIADA N° </w:t>
      </w:r>
      <w:r>
        <w:rPr>
          <w:b/>
          <w:bCs/>
          <w:sz w:val="20"/>
          <w:lang w:val="es-UY"/>
        </w:rPr>
        <w:t>42</w:t>
      </w:r>
      <w:r>
        <w:rPr>
          <w:b/>
          <w:bCs/>
          <w:sz w:val="20"/>
          <w:lang w:val="es-UY"/>
        </w:rPr>
        <w:t>/2019</w:t>
      </w:r>
    </w:p>
    <w:p>
      <w:pPr>
        <w:pStyle w:val="style1"/>
        <w:spacing w:line="276" w:lineRule="auto"/>
        <w:jc w:val="center"/>
        <w:rPr>
          <w:rFonts w:ascii="Bookman Old Style" w:hAnsi="Bookman Old Style"/>
          <w:sz w:val="20"/>
          <w:szCs w:val="20"/>
          <w:lang w:val="es-UY"/>
        </w:rPr>
      </w:pPr>
      <w:r>
        <w:rPr>
          <w:rFonts w:ascii="Bookman Old Style" w:hAnsi="Bookman Old Style"/>
          <w:sz w:val="20"/>
          <w:szCs w:val="20"/>
          <w:lang w:val="es-UY"/>
        </w:rPr>
        <w:t>Inciso 16</w:t>
      </w:r>
    </w:p>
    <w:p>
      <w:pPr>
        <w:pStyle w:val="style0"/>
        <w:spacing w:line="240" w:lineRule="exact"/>
        <w:jc w:val="both"/>
        <w:rPr>
          <w:bCs/>
          <w:sz w:val="20"/>
          <w:u w:val="single"/>
          <w:lang w:val="es-UY"/>
        </w:rPr>
      </w:pPr>
      <w:r>
        <w:rPr>
          <w:bCs/>
          <w:sz w:val="20"/>
          <w:u w:val="single"/>
          <w:lang w:val="es-UY"/>
        </w:rPr>
        <w:t>Pliego sin costo</w:t>
      </w:r>
    </w:p>
    <w:p>
      <w:pPr>
        <w:pStyle w:val="style0"/>
        <w:spacing w:line="240" w:lineRule="exact"/>
        <w:jc w:val="both"/>
        <w:rPr>
          <w:rFonts w:eastAsia="Bookman Old Style"/>
          <w:sz w:val="20"/>
          <w:lang w:val="es-UY"/>
        </w:rPr>
      </w:pPr>
      <w:r>
        <w:rPr>
          <w:rFonts w:eastAsia="Bookman Old Style"/>
          <w:sz w:val="20"/>
          <w:lang w:val="es-UY"/>
        </w:rPr>
      </w:r>
    </w:p>
    <w:p>
      <w:pPr>
        <w:pStyle w:val="style0"/>
        <w:spacing w:line="240" w:lineRule="exact"/>
        <w:jc w:val="both"/>
        <w:rPr>
          <w:rFonts w:eastAsia="Bookman Old Style"/>
          <w:sz w:val="20"/>
          <w:lang w:val="es-UY"/>
        </w:rPr>
      </w:pPr>
      <w:r>
        <w:rPr>
          <w:rFonts w:eastAsia="Bookman Old Style"/>
          <w:sz w:val="20"/>
          <w:lang w:val="es-UY"/>
        </w:rPr>
        <w:t xml:space="preserve">El presente llamado se regirá por lo establecido en  las siguientes disposiciones: </w:t>
      </w:r>
    </w:p>
    <w:p>
      <w:pPr>
        <w:pStyle w:val="style0"/>
        <w:numPr>
          <w:ilvl w:val="0"/>
          <w:numId w:val="1"/>
        </w:numPr>
        <w:spacing w:line="240" w:lineRule="exact"/>
        <w:jc w:val="both"/>
        <w:rPr>
          <w:rFonts w:eastAsia="Bookman Old Style"/>
          <w:sz w:val="20"/>
          <w:lang w:val="es-UY"/>
        </w:rPr>
      </w:pPr>
      <w:r>
        <w:rPr>
          <w:rFonts w:eastAsia="Bookman Old Style"/>
          <w:sz w:val="20"/>
          <w:lang w:val="es-UY"/>
        </w:rPr>
        <w:tab/>
        <w:t>Texto Ordenado de Contabilidad y Administración Financiera del Estado (TOCAF), aprobado por Decreto N° 150/012 de 11 de mayo de 2012.</w:t>
      </w:r>
    </w:p>
    <w:p>
      <w:pPr>
        <w:pStyle w:val="style0"/>
        <w:numPr>
          <w:ilvl w:val="0"/>
          <w:numId w:val="1"/>
        </w:numPr>
        <w:spacing w:line="240" w:lineRule="exact"/>
        <w:jc w:val="both"/>
        <w:rPr>
          <w:rFonts w:eastAsia="Bookman Old Style"/>
          <w:sz w:val="20"/>
          <w:lang w:val="es-UY"/>
        </w:rPr>
      </w:pPr>
      <w:r>
        <w:rPr>
          <w:rFonts w:eastAsia="Bookman Old Style"/>
          <w:sz w:val="20"/>
          <w:lang w:val="es-UY"/>
        </w:rPr>
        <w:tab/>
        <w:t>Decreto Nº 155/013 referente a Registro Unico de Proveedores del Estado (RUPE).</w:t>
      </w:r>
    </w:p>
    <w:p>
      <w:pPr>
        <w:pStyle w:val="style0"/>
        <w:numPr>
          <w:ilvl w:val="0"/>
          <w:numId w:val="1"/>
        </w:numPr>
        <w:spacing w:line="240" w:lineRule="exact"/>
        <w:jc w:val="both"/>
        <w:rPr>
          <w:rFonts w:eastAsia="Bookman Old Style"/>
          <w:sz w:val="20"/>
          <w:lang w:val="es-UY"/>
        </w:rPr>
      </w:pPr>
      <w:r>
        <w:rPr>
          <w:rFonts w:eastAsia="Bookman Old Style"/>
          <w:sz w:val="20"/>
          <w:lang w:val="es-UY"/>
        </w:rPr>
        <w:tab/>
        <w:t>Acordada Nº 7400 de 27 de junio de 2000.</w:t>
      </w:r>
    </w:p>
    <w:p>
      <w:pPr>
        <w:pStyle w:val="style0"/>
        <w:numPr>
          <w:ilvl w:val="0"/>
          <w:numId w:val="1"/>
        </w:numPr>
        <w:spacing w:line="240" w:lineRule="exact"/>
        <w:jc w:val="both"/>
        <w:rPr>
          <w:rFonts w:eastAsia="Bookman Old Style"/>
          <w:sz w:val="20"/>
          <w:lang w:val="es-UY"/>
        </w:rPr>
      </w:pPr>
      <w:r>
        <w:rPr>
          <w:rFonts w:eastAsia="Bookman Old Style"/>
          <w:sz w:val="20"/>
          <w:lang w:val="es-UY"/>
        </w:rPr>
        <w:tab/>
        <w:t>Decreto Nº 131/2014: Pliego Único de Bases y Condiciones  Generales para contratos de Suministros y Servicios No Personales.</w:t>
      </w:r>
    </w:p>
    <w:p>
      <w:pPr>
        <w:pStyle w:val="style0"/>
        <w:numPr>
          <w:ilvl w:val="0"/>
          <w:numId w:val="1"/>
        </w:numPr>
        <w:spacing w:line="240" w:lineRule="exact"/>
        <w:jc w:val="both"/>
        <w:rPr>
          <w:rFonts w:eastAsia="Bookman Old Style"/>
          <w:sz w:val="20"/>
          <w:lang w:val="es-UY"/>
        </w:rPr>
      </w:pPr>
      <w:r>
        <w:rPr>
          <w:rFonts w:eastAsia="Bookman Old Style"/>
          <w:sz w:val="20"/>
          <w:lang w:val="es-UY"/>
        </w:rPr>
        <w:tab/>
        <w:t xml:space="preserve">Leyes, decretos y resoluciones vigentes a la fecha de aperturas de la licitación, en tanto fueren aplicables al objeto de la convocatoria. </w:t>
      </w:r>
    </w:p>
    <w:p>
      <w:pPr>
        <w:pStyle w:val="style0"/>
        <w:tabs>
          <w:tab w:leader="none" w:pos="360" w:val="left"/>
        </w:tabs>
        <w:spacing w:line="240" w:lineRule="exact"/>
        <w:jc w:val="both"/>
        <w:rPr>
          <w:sz w:val="20"/>
          <w:lang w:val="es-UY"/>
        </w:rPr>
      </w:pPr>
      <w:r>
        <w:rPr>
          <w:sz w:val="20"/>
          <w:lang w:val="es-UY"/>
        </w:rPr>
      </w:r>
    </w:p>
    <w:p>
      <w:pPr>
        <w:pStyle w:val="style4"/>
        <w:spacing w:line="276" w:lineRule="auto"/>
        <w:rPr>
          <w:rFonts w:ascii="Times New Roman" w:hAnsi="Times New Roman"/>
          <w:sz w:val="24"/>
          <w:szCs w:val="24"/>
          <w:lang w:val="es-UY"/>
        </w:rPr>
      </w:pPr>
      <w:r>
        <w:rPr>
          <w:rFonts w:ascii="Times New Roman" w:hAnsi="Times New Roman"/>
          <w:sz w:val="24"/>
          <w:szCs w:val="24"/>
          <w:lang w:val="es-UY"/>
        </w:rPr>
        <w:t>Art. 1.- OBJETO DEL CONTRATO Y REQUERIMIENTOS ESPECIALES.</w:t>
      </w:r>
    </w:p>
    <w:p>
      <w:pPr>
        <w:pStyle w:val="style0"/>
        <w:widowControl w:val="false"/>
        <w:spacing w:line="276" w:lineRule="auto"/>
        <w:ind w:hanging="0" w:left="780" w:right="0"/>
        <w:jc w:val="both"/>
        <w:rPr>
          <w:rFonts w:ascii="Times New Roman" w:hAnsi="Times New Roman"/>
          <w:b/>
          <w:bCs/>
          <w:szCs w:val="24"/>
          <w:lang w:val="es-UY"/>
        </w:rPr>
      </w:pPr>
      <w:r>
        <w:rPr>
          <w:rFonts w:ascii="Times New Roman" w:hAnsi="Times New Roman"/>
          <w:b/>
          <w:bCs/>
          <w:szCs w:val="24"/>
          <w:lang w:val="es-UY"/>
        </w:rPr>
      </w:r>
    </w:p>
    <w:p>
      <w:pPr>
        <w:pStyle w:val="style0"/>
        <w:widowControl w:val="false"/>
        <w:spacing w:line="276" w:lineRule="auto"/>
        <w:jc w:val="both"/>
        <w:rPr>
          <w:rFonts w:ascii="Times New Roman" w:hAnsi="Times New Roman"/>
          <w:b/>
          <w:bCs/>
          <w:sz w:val="28"/>
          <w:szCs w:val="28"/>
          <w:lang w:val="es-UY"/>
        </w:rPr>
      </w:pPr>
      <w:bookmarkStart w:id="0" w:name="__DdeLink__441_1775187579"/>
      <w:r>
        <w:rPr>
          <w:rFonts w:ascii="Times New Roman" w:hAnsi="Times New Roman"/>
          <w:b/>
          <w:bCs/>
          <w:sz w:val="28"/>
          <w:szCs w:val="28"/>
          <w:u w:val="single"/>
          <w:lang w:val="es-UY"/>
        </w:rPr>
        <w:t>Servicio de Locomoción para traslado de funcionarios judiciales de las ciudades y sedes que se dirán y con la frecuencia y características que se indican en el presente Pliego</w:t>
      </w:r>
      <w:bookmarkEnd w:id="0"/>
      <w:r>
        <w:rPr>
          <w:rFonts w:ascii="Times New Roman" w:hAnsi="Times New Roman"/>
          <w:b/>
          <w:bCs/>
          <w:sz w:val="28"/>
          <w:szCs w:val="28"/>
          <w:lang w:val="es-UY"/>
        </w:rPr>
        <w:t xml:space="preserve">. </w:t>
      </w:r>
    </w:p>
    <w:p>
      <w:pPr>
        <w:pStyle w:val="style0"/>
        <w:widowControl w:val="false"/>
        <w:spacing w:line="276" w:lineRule="auto"/>
        <w:jc w:val="both"/>
        <w:rPr>
          <w:rFonts w:ascii="Times New Roman" w:hAnsi="Times New Roman"/>
          <w:b/>
          <w:bCs/>
          <w:sz w:val="28"/>
          <w:szCs w:val="28"/>
          <w:lang w:val="es-UY"/>
        </w:rPr>
      </w:pPr>
      <w:r>
        <w:rPr>
          <w:rFonts w:ascii="Times New Roman" w:hAnsi="Times New Roman"/>
          <w:b/>
          <w:bCs/>
          <w:sz w:val="28"/>
          <w:szCs w:val="28"/>
          <w:lang w:val="es-UY"/>
        </w:rPr>
      </w:r>
    </w:p>
    <w:p>
      <w:pPr>
        <w:pStyle w:val="style0"/>
        <w:widowControl w:val="false"/>
        <w:spacing w:line="276" w:lineRule="auto"/>
        <w:jc w:val="both"/>
        <w:rPr>
          <w:rFonts w:ascii="Times New Roman" w:hAnsi="Times New Roman"/>
          <w:b/>
          <w:bCs/>
          <w:szCs w:val="24"/>
          <w:lang w:val="es-UY"/>
        </w:rPr>
      </w:pPr>
      <w:r>
        <w:rPr>
          <w:rFonts w:ascii="Times New Roman" w:hAnsi="Times New Roman"/>
          <w:b/>
          <w:bCs/>
          <w:szCs w:val="24"/>
          <w:u w:val="single"/>
          <w:lang w:val="es-UY"/>
        </w:rPr>
        <w:t>ITEM 1</w:t>
      </w:r>
      <w:r>
        <w:rPr>
          <w:rFonts w:ascii="Times New Roman" w:hAnsi="Times New Roman"/>
          <w:b/>
          <w:bCs/>
          <w:szCs w:val="24"/>
          <w:lang w:val="es-UY"/>
        </w:rPr>
        <w:t xml:space="preserve">.- ciudad de Maldonado, </w:t>
      </w:r>
      <w:r>
        <w:rPr>
          <w:rFonts w:ascii="Times New Roman" w:hAnsi="Times New Roman"/>
          <w:bCs/>
          <w:szCs w:val="24"/>
          <w:lang w:val="es-UY"/>
        </w:rPr>
        <w:t>departamento de Maldonado,</w:t>
      </w:r>
      <w:r>
        <w:rPr>
          <w:rFonts w:ascii="Times New Roman" w:hAnsi="Times New Roman"/>
          <w:b/>
          <w:bCs/>
          <w:szCs w:val="24"/>
          <w:lang w:val="es-UY"/>
        </w:rPr>
        <w:t xml:space="preserve"> traslado de Asistentes Sociales</w:t>
      </w:r>
      <w:r>
        <w:rPr>
          <w:rFonts w:ascii="Times New Roman" w:hAnsi="Times New Roman"/>
          <w:bCs/>
          <w:szCs w:val="24"/>
          <w:lang w:val="es-UY"/>
        </w:rPr>
        <w:t>. Frecuencia:</w:t>
      </w:r>
      <w:r>
        <w:rPr>
          <w:rFonts w:ascii="Times New Roman" w:hAnsi="Times New Roman"/>
          <w:b/>
          <w:bCs/>
          <w:szCs w:val="24"/>
          <w:lang w:val="es-UY"/>
        </w:rPr>
        <w:t xml:space="preserve"> 2 días a la semana durante 6 horas, con kilometraje libre dentro del departamento.</w:t>
      </w:r>
    </w:p>
    <w:p>
      <w:pPr>
        <w:pStyle w:val="style0"/>
        <w:widowControl w:val="false"/>
        <w:spacing w:line="276" w:lineRule="auto"/>
        <w:jc w:val="both"/>
        <w:rPr>
          <w:rFonts w:ascii="Times New Roman" w:hAnsi="Times New Roman"/>
          <w:b/>
          <w:bCs/>
          <w:szCs w:val="24"/>
          <w:lang w:val="es-UY"/>
        </w:rPr>
      </w:pPr>
      <w:r>
        <w:rPr>
          <w:rFonts w:ascii="Times New Roman" w:hAnsi="Times New Roman"/>
          <w:b/>
          <w:bCs/>
          <w:szCs w:val="24"/>
          <w:u w:val="single"/>
          <w:lang w:val="es-UY"/>
        </w:rPr>
        <w:t>ITEM 2</w:t>
      </w:r>
      <w:r>
        <w:rPr>
          <w:rFonts w:ascii="Times New Roman" w:hAnsi="Times New Roman"/>
          <w:b/>
          <w:bCs/>
          <w:szCs w:val="24"/>
          <w:lang w:val="es-UY"/>
        </w:rPr>
        <w:t xml:space="preserve">.- ciudad de Maldonado, </w:t>
      </w:r>
      <w:r>
        <w:rPr>
          <w:rFonts w:ascii="Times New Roman" w:hAnsi="Times New Roman"/>
          <w:bCs/>
          <w:szCs w:val="24"/>
          <w:lang w:val="es-UY"/>
        </w:rPr>
        <w:t>departamento de Maldonado,</w:t>
      </w:r>
      <w:r>
        <w:rPr>
          <w:rFonts w:ascii="Times New Roman" w:hAnsi="Times New Roman"/>
          <w:b/>
          <w:bCs/>
          <w:szCs w:val="24"/>
          <w:lang w:val="es-UY"/>
        </w:rPr>
        <w:t xml:space="preserve"> traslado de funcionarios de la Oficina Central de Notificaciones</w:t>
      </w:r>
      <w:r>
        <w:rPr>
          <w:rFonts w:ascii="Times New Roman" w:hAnsi="Times New Roman"/>
          <w:bCs/>
          <w:szCs w:val="24"/>
          <w:lang w:val="es-UY"/>
        </w:rPr>
        <w:t>. Frecuencia:</w:t>
      </w:r>
      <w:r>
        <w:rPr>
          <w:rFonts w:ascii="Times New Roman" w:hAnsi="Times New Roman"/>
          <w:b/>
          <w:bCs/>
          <w:szCs w:val="24"/>
          <w:lang w:val="es-UY"/>
        </w:rPr>
        <w:t xml:space="preserve"> 2 días a la semana durante 6 horas, con kilometraje libre dentro de la ciudad.</w:t>
      </w:r>
    </w:p>
    <w:p>
      <w:pPr>
        <w:pStyle w:val="style0"/>
        <w:widowControl w:val="false"/>
        <w:spacing w:line="276" w:lineRule="auto"/>
        <w:jc w:val="both"/>
        <w:rPr>
          <w:rFonts w:ascii="Times New Roman" w:hAnsi="Times New Roman"/>
          <w:b/>
          <w:bCs/>
          <w:szCs w:val="24"/>
          <w:lang w:val="es-UY"/>
        </w:rPr>
      </w:pPr>
      <w:r>
        <w:rPr>
          <w:rFonts w:ascii="Times New Roman" w:hAnsi="Times New Roman"/>
          <w:b/>
          <w:bCs/>
          <w:szCs w:val="24"/>
          <w:u w:val="single"/>
          <w:lang w:val="es-UY"/>
        </w:rPr>
        <w:t>ITEM 3</w:t>
      </w:r>
      <w:r>
        <w:rPr>
          <w:rFonts w:ascii="Times New Roman" w:hAnsi="Times New Roman"/>
          <w:b/>
          <w:bCs/>
          <w:szCs w:val="24"/>
          <w:lang w:val="es-UY"/>
        </w:rPr>
        <w:t xml:space="preserve">.- ciudad de Libertad, </w:t>
      </w:r>
      <w:r>
        <w:rPr>
          <w:rFonts w:ascii="Times New Roman" w:hAnsi="Times New Roman"/>
          <w:bCs/>
          <w:szCs w:val="24"/>
          <w:lang w:val="es-UY"/>
        </w:rPr>
        <w:t>departamento de San José,</w:t>
      </w:r>
      <w:r>
        <w:rPr>
          <w:rFonts w:ascii="Times New Roman" w:hAnsi="Times New Roman"/>
          <w:b/>
          <w:bCs/>
          <w:szCs w:val="24"/>
          <w:lang w:val="es-UY"/>
        </w:rPr>
        <w:t xml:space="preserve"> traslado de funcionarios del Juzgado Letrado con competencia penal</w:t>
      </w:r>
      <w:r>
        <w:rPr>
          <w:rFonts w:ascii="Times New Roman" w:hAnsi="Times New Roman"/>
          <w:bCs/>
          <w:szCs w:val="24"/>
          <w:lang w:val="es-UY"/>
        </w:rPr>
        <w:t>. Frecuencia:</w:t>
      </w:r>
      <w:r>
        <w:rPr>
          <w:rFonts w:ascii="Times New Roman" w:hAnsi="Times New Roman"/>
          <w:b/>
          <w:bCs/>
          <w:szCs w:val="24"/>
          <w:lang w:val="es-UY"/>
        </w:rPr>
        <w:t xml:space="preserve"> diaria al Centro Penitenciario y de Reclusión “Penal de Libertad” y viceversa, sin límite de Kilometraje.</w:t>
      </w:r>
    </w:p>
    <w:p>
      <w:pPr>
        <w:pStyle w:val="style0"/>
        <w:widowControl w:val="false"/>
        <w:spacing w:line="276" w:lineRule="auto"/>
        <w:jc w:val="both"/>
        <w:rPr>
          <w:rFonts w:ascii="Times New Roman" w:hAnsi="Times New Roman"/>
          <w:b/>
          <w:bCs/>
          <w:szCs w:val="24"/>
          <w:lang w:val="es-UY"/>
        </w:rPr>
      </w:pPr>
      <w:r>
        <w:rPr>
          <w:rFonts w:ascii="Times New Roman" w:hAnsi="Times New Roman"/>
          <w:b/>
          <w:bCs/>
          <w:szCs w:val="24"/>
          <w:u w:val="single"/>
          <w:lang w:val="es-UY"/>
        </w:rPr>
        <w:t>ITEM 4</w:t>
      </w:r>
      <w:r>
        <w:rPr>
          <w:rFonts w:ascii="Times New Roman" w:hAnsi="Times New Roman"/>
          <w:b/>
          <w:bCs/>
          <w:szCs w:val="24"/>
          <w:lang w:val="es-UY"/>
        </w:rPr>
        <w:t xml:space="preserve">.- ciudad del Plata, </w:t>
      </w:r>
      <w:r>
        <w:rPr>
          <w:rFonts w:ascii="Times New Roman" w:hAnsi="Times New Roman"/>
          <w:bCs/>
          <w:szCs w:val="24"/>
          <w:lang w:val="es-UY"/>
        </w:rPr>
        <w:t>departamento de San José,</w:t>
      </w:r>
      <w:r>
        <w:rPr>
          <w:rFonts w:ascii="Times New Roman" w:hAnsi="Times New Roman"/>
          <w:b/>
          <w:bCs/>
          <w:szCs w:val="24"/>
          <w:lang w:val="es-UY"/>
        </w:rPr>
        <w:t xml:space="preserve"> traslado de funcionarios del Juzgado de Paz</w:t>
      </w:r>
      <w:r>
        <w:rPr>
          <w:rFonts w:ascii="Times New Roman" w:hAnsi="Times New Roman"/>
          <w:bCs/>
          <w:szCs w:val="24"/>
          <w:lang w:val="es-UY"/>
        </w:rPr>
        <w:t xml:space="preserve"> de 3ª. Sección judicial (notificaciones). Frecuencia:</w:t>
      </w:r>
      <w:r>
        <w:rPr>
          <w:rFonts w:ascii="Times New Roman" w:hAnsi="Times New Roman"/>
          <w:b/>
          <w:bCs/>
          <w:szCs w:val="24"/>
          <w:lang w:val="es-UY"/>
        </w:rPr>
        <w:t xml:space="preserve"> 1 día a la semana durante 6 horas, con kilometraje libre dentro de la ciudad.</w:t>
      </w:r>
    </w:p>
    <w:p>
      <w:pPr>
        <w:pStyle w:val="style0"/>
        <w:widowControl w:val="false"/>
        <w:spacing w:line="276" w:lineRule="auto"/>
        <w:jc w:val="both"/>
        <w:rPr>
          <w:rFonts w:ascii="Times New Roman" w:hAnsi="Times New Roman"/>
          <w:bCs/>
          <w:szCs w:val="24"/>
          <w:lang w:val="es-UY"/>
        </w:rPr>
      </w:pPr>
      <w:r>
        <w:rPr>
          <w:rFonts w:ascii="Times New Roman" w:hAnsi="Times New Roman"/>
          <w:bCs/>
          <w:szCs w:val="24"/>
          <w:lang w:val="es-UY"/>
        </w:rPr>
      </w:r>
    </w:p>
    <w:p>
      <w:pPr>
        <w:pStyle w:val="style33"/>
        <w:spacing w:after="0" w:before="0"/>
        <w:contextualSpacing w:val="false"/>
        <w:jc w:val="both"/>
        <w:rPr/>
      </w:pPr>
      <w:r>
        <w:rPr>
          <w:bCs/>
        </w:rPr>
        <w:t>1) L</w:t>
      </w:r>
      <w:r>
        <w:rPr/>
        <w:t xml:space="preserve">os </w:t>
      </w:r>
      <w:r>
        <w:rPr>
          <w:b/>
          <w:u w:val="single"/>
        </w:rPr>
        <w:t>días y hora de la semana</w:t>
      </w:r>
      <w:r>
        <w:rPr>
          <w:u w:val="single"/>
        </w:rPr>
        <w:t xml:space="preserve"> </w:t>
      </w:r>
      <w:r>
        <w:rPr>
          <w:b/>
          <w:u w:val="single"/>
        </w:rPr>
        <w:t>en que se cumplirá el servicio</w:t>
      </w:r>
      <w:r>
        <w:rPr/>
        <w:t xml:space="preserve"> serán determinados por el titular de la oficina para la cual se presta, pudiendo ser variados de acuerdo a la coordinación entre la sede y la empresa contratada. </w:t>
      </w:r>
    </w:p>
    <w:p>
      <w:pPr>
        <w:pStyle w:val="style33"/>
        <w:spacing w:after="0" w:before="0"/>
        <w:contextualSpacing w:val="false"/>
        <w:jc w:val="both"/>
        <w:rPr>
          <w:bCs/>
        </w:rPr>
      </w:pPr>
      <w:r>
        <w:rPr>
          <w:bCs/>
        </w:rPr>
        <w:t xml:space="preserve">2)  Se deberá </w:t>
      </w:r>
      <w:r>
        <w:rPr>
          <w:b/>
          <w:bCs/>
          <w:u w:val="single"/>
        </w:rPr>
        <w:t>cotizar precio mensual por ítem</w:t>
      </w:r>
      <w:r>
        <w:rPr>
          <w:bCs/>
        </w:rPr>
        <w:t xml:space="preserve">. </w:t>
      </w:r>
    </w:p>
    <w:p>
      <w:pPr>
        <w:pStyle w:val="style33"/>
        <w:spacing w:after="0" w:before="0"/>
        <w:contextualSpacing w:val="false"/>
        <w:jc w:val="both"/>
        <w:rPr>
          <w:bCs/>
        </w:rPr>
      </w:pPr>
      <w:r>
        <w:rPr>
          <w:bCs/>
        </w:rPr>
        <w:t xml:space="preserve">3) Se deberá </w:t>
      </w:r>
      <w:r>
        <w:rPr>
          <w:b/>
          <w:bCs/>
          <w:u w:val="single"/>
        </w:rPr>
        <w:t>indicar el vehículo a utilizar</w:t>
      </w:r>
      <w:r>
        <w:rPr>
          <w:bCs/>
        </w:rPr>
        <w:t>, el que no podrá tener más de 10 años de antigüedad.</w:t>
      </w:r>
    </w:p>
    <w:p>
      <w:pPr>
        <w:pStyle w:val="style33"/>
        <w:spacing w:after="0" w:before="0"/>
        <w:contextualSpacing w:val="false"/>
        <w:jc w:val="both"/>
        <w:rPr>
          <w:bCs/>
        </w:rPr>
      </w:pPr>
      <w:r>
        <w:rPr>
          <w:bCs/>
        </w:rPr>
        <w:t xml:space="preserve">4) El </w:t>
      </w:r>
      <w:r>
        <w:rPr>
          <w:b/>
          <w:bCs/>
          <w:u w:val="single"/>
        </w:rPr>
        <w:t>vehículo deberá permanecer en el lugar a la espera</w:t>
      </w:r>
      <w:r>
        <w:rPr>
          <w:bCs/>
        </w:rPr>
        <w:t xml:space="preserve"> del cumplimiento de las diligencias de los funcionarios judiciales durante el horario contractualmente pactado.</w:t>
      </w:r>
    </w:p>
    <w:p>
      <w:pPr>
        <w:pStyle w:val="style33"/>
        <w:spacing w:after="0" w:before="0"/>
        <w:contextualSpacing w:val="false"/>
        <w:jc w:val="both"/>
        <w:rPr>
          <w:bCs/>
        </w:rPr>
      </w:pPr>
      <w:r>
        <w:rPr>
          <w:bCs/>
        </w:rPr>
        <w:t xml:space="preserve">5) El </w:t>
      </w:r>
      <w:r>
        <w:rPr>
          <w:b/>
          <w:bCs/>
          <w:u w:val="single"/>
        </w:rPr>
        <w:t>servicio podrá ser suspendido o disminuida la frecuencia durante las Ferias Judiciales</w:t>
      </w:r>
      <w:r>
        <w:rPr>
          <w:bCs/>
        </w:rPr>
        <w:t xml:space="preserve">, lo que será comunicado por el Jerarca de la oficina y en tales casos el costo será proporcional al precio mensual vigente, lo que será reflejado en la facturación. </w:t>
      </w:r>
    </w:p>
    <w:p>
      <w:pPr>
        <w:pStyle w:val="style33"/>
        <w:spacing w:after="0" w:before="0"/>
        <w:contextualSpacing w:val="false"/>
        <w:jc w:val="both"/>
        <w:rPr>
          <w:bCs/>
        </w:rPr>
      </w:pPr>
      <w:r>
        <w:rPr>
          <w:bCs/>
        </w:rPr>
        <w:t xml:space="preserve">6) Será </w:t>
      </w:r>
      <w:r>
        <w:rPr>
          <w:b/>
          <w:bCs/>
          <w:u w:val="single"/>
        </w:rPr>
        <w:t>de cargo de la empresa adjudicataria</w:t>
      </w:r>
      <w:r>
        <w:rPr>
          <w:bCs/>
        </w:rPr>
        <w:t xml:space="preserve">: </w:t>
      </w:r>
    </w:p>
    <w:p>
      <w:pPr>
        <w:pStyle w:val="style33"/>
        <w:numPr>
          <w:ilvl w:val="0"/>
          <w:numId w:val="3"/>
        </w:numPr>
        <w:spacing w:after="0" w:before="0"/>
        <w:contextualSpacing w:val="false"/>
        <w:jc w:val="both"/>
        <w:rPr>
          <w:bCs/>
        </w:rPr>
      </w:pPr>
      <w:r>
        <w:rPr>
          <w:bCs/>
        </w:rPr>
        <w:t xml:space="preserve">Todos los </w:t>
      </w:r>
      <w:r>
        <w:rPr>
          <w:b/>
          <w:bCs/>
        </w:rPr>
        <w:t xml:space="preserve">costos y gastos, que pueda generar el uso </w:t>
      </w:r>
      <w:r>
        <w:rPr>
          <w:bCs/>
        </w:rPr>
        <w:t xml:space="preserve">(incluido combustible) </w:t>
      </w:r>
      <w:r>
        <w:rPr>
          <w:b/>
          <w:bCs/>
        </w:rPr>
        <w:t>y mantenimiento del vehículo</w:t>
      </w:r>
      <w:r>
        <w:rPr>
          <w:bCs/>
        </w:rPr>
        <w:t xml:space="preserve">, el que deberá estar en perfecto estado de funcionamiento, higiene y apariencia durante toda la vigencia del contrato, </w:t>
      </w:r>
    </w:p>
    <w:p>
      <w:pPr>
        <w:pStyle w:val="style33"/>
        <w:numPr>
          <w:ilvl w:val="0"/>
          <w:numId w:val="3"/>
        </w:numPr>
        <w:spacing w:after="0" w:before="0"/>
        <w:contextualSpacing w:val="false"/>
        <w:jc w:val="both"/>
        <w:rPr>
          <w:bCs/>
        </w:rPr>
      </w:pPr>
      <w:r>
        <w:rPr>
          <w:bCs/>
        </w:rPr>
        <w:t xml:space="preserve">La </w:t>
      </w:r>
      <w:r>
        <w:rPr>
          <w:b/>
          <w:bCs/>
        </w:rPr>
        <w:t>responsabilidad derivada por el uso del vehículo</w:t>
      </w:r>
      <w:r>
        <w:rPr>
          <w:bCs/>
        </w:rPr>
        <w:t xml:space="preserve"> durante el contrato pactado, ya sea por daños causados a terceros, a la Administración o sus empleados o a los efectos transportados, a su propio personal o vehículos propios y/o ajenos, </w:t>
      </w:r>
    </w:p>
    <w:p>
      <w:pPr>
        <w:pStyle w:val="style33"/>
        <w:numPr>
          <w:ilvl w:val="0"/>
          <w:numId w:val="3"/>
        </w:numPr>
        <w:spacing w:after="0" w:before="0"/>
        <w:contextualSpacing w:val="false"/>
        <w:jc w:val="both"/>
        <w:rPr>
          <w:bCs/>
        </w:rPr>
      </w:pPr>
      <w:r>
        <w:rPr>
          <w:bCs/>
        </w:rPr>
        <w:t xml:space="preserve"> </w:t>
      </w:r>
      <w:r>
        <w:rPr>
          <w:bCs/>
        </w:rPr>
        <w:t xml:space="preserve">La </w:t>
      </w:r>
      <w:r>
        <w:rPr>
          <w:b/>
          <w:bCs/>
        </w:rPr>
        <w:t>sustitución del vehículo en caso de desperfecto</w:t>
      </w:r>
      <w:r>
        <w:rPr>
          <w:bCs/>
        </w:rPr>
        <w:t xml:space="preserve">, incluso durante el horario de labor en forma inmediata o a juicio del Poder Judicial si aquel dejare de cumplir con las condiciones necesarias y/o exigidas para el cumplimiento del servicio, por otro vehículo de similares características y prestaciones, </w:t>
      </w:r>
    </w:p>
    <w:p>
      <w:pPr>
        <w:pStyle w:val="style33"/>
        <w:numPr>
          <w:ilvl w:val="0"/>
          <w:numId w:val="3"/>
        </w:numPr>
        <w:spacing w:after="0" w:before="0"/>
        <w:contextualSpacing w:val="false"/>
        <w:jc w:val="both"/>
        <w:rPr>
          <w:bCs/>
        </w:rPr>
      </w:pPr>
      <w:r>
        <w:rPr>
          <w:bCs/>
        </w:rPr>
        <w:t xml:space="preserve">Tener durante la relación contractual el </w:t>
      </w:r>
      <w:r>
        <w:rPr>
          <w:b/>
          <w:bCs/>
        </w:rPr>
        <w:t>vehículo asegurado</w:t>
      </w:r>
      <w:r>
        <w:rPr>
          <w:bCs/>
        </w:rPr>
        <w:t xml:space="preserve"> (por lo menos el SOA) y a presentarlo dentro de las 24 horas de cuando le fuere requerido por la Administración, sin perjuicio de ser requisito para la suscripción del contrato.</w:t>
      </w:r>
    </w:p>
    <w:p>
      <w:pPr>
        <w:pStyle w:val="style33"/>
        <w:numPr>
          <w:ilvl w:val="0"/>
          <w:numId w:val="3"/>
        </w:numPr>
        <w:spacing w:after="0" w:before="0"/>
        <w:contextualSpacing w:val="false"/>
        <w:jc w:val="both"/>
        <w:rPr>
          <w:bCs/>
        </w:rPr>
      </w:pPr>
      <w:r>
        <w:rPr>
          <w:bCs/>
        </w:rPr>
        <w:t xml:space="preserve">El </w:t>
      </w:r>
      <w:r>
        <w:rPr>
          <w:b/>
          <w:bCs/>
        </w:rPr>
        <w:t>personal asignado</w:t>
      </w:r>
      <w:r>
        <w:rPr>
          <w:bCs/>
        </w:rPr>
        <w:t xml:space="preserve">, asumiendo todas las responsabilidades civiles, penales y fiscales por la contratación y su sustitución, de manera tal que el servicio contratado no se vea interrumpido. </w:t>
      </w:r>
    </w:p>
    <w:p>
      <w:pPr>
        <w:pStyle w:val="style33"/>
        <w:numPr>
          <w:ilvl w:val="0"/>
          <w:numId w:val="3"/>
        </w:numPr>
        <w:spacing w:after="0" w:before="0"/>
        <w:contextualSpacing w:val="false"/>
        <w:jc w:val="both"/>
        <w:rPr>
          <w:bCs/>
        </w:rPr>
      </w:pPr>
      <w:r>
        <w:rPr>
          <w:bCs/>
        </w:rPr>
        <w:t xml:space="preserve">Velar que que el </w:t>
      </w:r>
      <w:r>
        <w:rPr>
          <w:b/>
          <w:bCs/>
        </w:rPr>
        <w:t>personal asignado mantenga normas de convivencia, higiene y apariencia</w:t>
      </w:r>
      <w:r>
        <w:rPr>
          <w:bCs/>
        </w:rPr>
        <w:t xml:space="preserve"> acordes a los usos y costumbres derivados de la tarea.</w:t>
      </w:r>
    </w:p>
    <w:p>
      <w:pPr>
        <w:pStyle w:val="style33"/>
        <w:spacing w:after="0" w:before="0"/>
        <w:ind w:hanging="0" w:left="720" w:right="0"/>
        <w:contextualSpacing w:val="false"/>
        <w:jc w:val="both"/>
        <w:rPr>
          <w:bCs/>
        </w:rPr>
      </w:pPr>
      <w:r>
        <w:rPr>
          <w:bCs/>
        </w:rPr>
      </w:r>
    </w:p>
    <w:p>
      <w:pPr>
        <w:pStyle w:val="style33"/>
        <w:spacing w:after="0" w:before="280" w:line="276" w:lineRule="auto"/>
        <w:contextualSpacing w:val="false"/>
        <w:jc w:val="both"/>
        <w:rPr>
          <w:b/>
        </w:rPr>
      </w:pPr>
      <w:r>
        <w:rPr>
          <w:b/>
        </w:rPr>
        <w:t>Art. 2.- COMUNICACIONES.</w:t>
      </w:r>
    </w:p>
    <w:p>
      <w:pPr>
        <w:pStyle w:val="style27"/>
        <w:spacing w:line="100" w:lineRule="atLeast"/>
        <w:rPr>
          <w:rFonts w:ascii="Times New Roman" w:hAnsi="Times New Roman"/>
          <w:lang w:val="es-UY"/>
        </w:rPr>
      </w:pPr>
      <w:r>
        <w:rPr>
          <w:rFonts w:ascii="Times New Roman" w:hAnsi="Times New Roman"/>
          <w:lang w:val="es-UY"/>
        </w:rPr>
        <w:tab/>
        <w:t xml:space="preserve">Todas las comunicaciones referidas al presente llamado </w:t>
      </w:r>
      <w:r>
        <w:rPr>
          <w:rFonts w:ascii="Times New Roman" w:hAnsi="Times New Roman"/>
          <w:b/>
          <w:lang w:val="es-UY"/>
        </w:rPr>
        <w:t>deberán dirigirse al Departamento de Adquisiciones</w:t>
      </w:r>
      <w:r>
        <w:rPr>
          <w:rFonts w:ascii="Times New Roman" w:hAnsi="Times New Roman"/>
          <w:lang w:val="es-UY"/>
        </w:rPr>
        <w:t xml:space="preserve"> del Poder Judicial: </w:t>
      </w:r>
    </w:p>
    <w:p>
      <w:pPr>
        <w:pStyle w:val="style27"/>
        <w:spacing w:line="100" w:lineRule="atLeast"/>
        <w:rPr>
          <w:rFonts w:ascii="Times New Roman" w:hAnsi="Times New Roman"/>
          <w:lang w:val="es-UY"/>
        </w:rPr>
      </w:pPr>
      <w:r>
        <w:rPr>
          <w:rFonts w:ascii="Times New Roman" w:hAnsi="Times New Roman"/>
          <w:lang w:val="es-UY"/>
        </w:rPr>
        <w:t xml:space="preserve">Dirección: calle Soriano 1210, Montevideo. </w:t>
      </w:r>
    </w:p>
    <w:p>
      <w:pPr>
        <w:pStyle w:val="style27"/>
        <w:spacing w:line="100" w:lineRule="atLeast"/>
        <w:rPr>
          <w:rFonts w:ascii="Times New Roman" w:hAnsi="Times New Roman"/>
          <w:lang w:val="es-UY"/>
        </w:rPr>
      </w:pPr>
      <w:r>
        <w:rPr>
          <w:rFonts w:ascii="Times New Roman" w:hAnsi="Times New Roman"/>
          <w:lang w:val="es-UY"/>
        </w:rPr>
        <w:t xml:space="preserve">Tel.: 2 902.13.59 – 2 908.93.97 y 1907 interno 4554. </w:t>
      </w:r>
    </w:p>
    <w:p>
      <w:pPr>
        <w:pStyle w:val="style27"/>
        <w:spacing w:line="100" w:lineRule="atLeast"/>
        <w:rPr>
          <w:rFonts w:ascii="Times New Roman" w:hAnsi="Times New Roman"/>
          <w:lang w:val="es-UY"/>
        </w:rPr>
      </w:pPr>
      <w:r>
        <w:rPr>
          <w:rFonts w:ascii="Times New Roman" w:hAnsi="Times New Roman"/>
          <w:lang w:val="es-UY"/>
        </w:rPr>
        <w:t>Fax: 2902.14.88.</w:t>
      </w:r>
    </w:p>
    <w:p>
      <w:pPr>
        <w:pStyle w:val="style27"/>
        <w:spacing w:line="100" w:lineRule="atLeast"/>
        <w:rPr>
          <w:rFonts w:ascii="Times New Roman" w:hAnsi="Times New Roman"/>
          <w:lang w:val="es-UY"/>
        </w:rPr>
      </w:pPr>
      <w:r>
        <w:rPr>
          <w:rFonts w:ascii="Times New Roman" w:hAnsi="Times New Roman"/>
          <w:lang w:val="es-UY"/>
        </w:rPr>
        <w:t xml:space="preserve">Correo Electrónico: </w:t>
      </w:r>
      <w:hyperlink r:id="rId2">
        <w:r>
          <w:rPr>
            <w:rStyle w:val="style19"/>
            <w:rFonts w:ascii="Times New Roman" w:hAnsi="Times New Roman"/>
          </w:rPr>
          <w:t>adquisiciones@poderjudicial.gub.u</w:t>
        </w:r>
      </w:hyperlink>
      <w:r>
        <w:rPr>
          <w:rFonts w:ascii="Times New Roman" w:hAnsi="Times New Roman"/>
          <w:lang w:val="es-UY"/>
        </w:rPr>
        <w:t>y</w:t>
      </w:r>
    </w:p>
    <w:p>
      <w:pPr>
        <w:pStyle w:val="style0"/>
        <w:jc w:val="both"/>
        <w:rPr>
          <w:rFonts w:ascii="Times New Roman" w:hAnsi="Times New Roman"/>
          <w:szCs w:val="24"/>
        </w:rPr>
      </w:pPr>
      <w:r>
        <w:rPr>
          <w:rFonts w:ascii="Times New Roman" w:hAnsi="Times New Roman"/>
          <w:b/>
          <w:bCs/>
          <w:szCs w:val="24"/>
          <w:lang w:val="es-UY"/>
        </w:rPr>
        <w:tab/>
      </w:r>
      <w:r>
        <w:rPr>
          <w:rFonts w:ascii="Times New Roman" w:hAnsi="Times New Roman"/>
          <w:b/>
          <w:szCs w:val="24"/>
        </w:rPr>
        <w:t>Las consultas</w:t>
      </w:r>
      <w:r>
        <w:rPr>
          <w:rFonts w:ascii="Times New Roman" w:hAnsi="Times New Roman"/>
          <w:szCs w:val="24"/>
        </w:rPr>
        <w:t xml:space="preserve"> de los oferentes podrán realizarse por los siguientes medios: fax o correo electrónico.</w:t>
      </w:r>
    </w:p>
    <w:p>
      <w:pPr>
        <w:pStyle w:val="style35"/>
        <w:ind w:firstLine="709" w:left="0" w:right="0"/>
        <w:jc w:val="both"/>
        <w:rPr>
          <w:rFonts w:ascii="Times New Roman" w:cs="Times New Roman" w:hAnsi="Times New Roman"/>
        </w:rPr>
      </w:pPr>
      <w:r>
        <w:rPr>
          <w:rFonts w:ascii="Times New Roman" w:cs="Times New Roman" w:hAnsi="Times New Roman"/>
          <w:b/>
        </w:rPr>
        <w:t>Las respuestas</w:t>
      </w:r>
      <w:r>
        <w:rPr>
          <w:rFonts w:ascii="Times New Roman" w:cs="Times New Roman" w:hAnsi="Times New Roman"/>
        </w:rPr>
        <w:t xml:space="preserve"> a los oferentes que impliquen aclaraciones y/o modificaciones al pliego, serán evacuadas a través del </w:t>
      </w:r>
      <w:r>
        <w:rPr>
          <w:rFonts w:ascii="Times New Roman" w:cs="Times New Roman" w:hAnsi="Times New Roman"/>
          <w:b/>
        </w:rPr>
        <w:t>Sistema de Compras Estatales</w:t>
      </w:r>
      <w:r>
        <w:rPr>
          <w:rFonts w:ascii="Times New Roman" w:cs="Times New Roman" w:hAnsi="Times New Roman"/>
        </w:rPr>
        <w:t xml:space="preserve"> (SICE-Aclaraciones).</w:t>
      </w:r>
    </w:p>
    <w:p>
      <w:pPr>
        <w:pStyle w:val="style35"/>
        <w:jc w:val="both"/>
        <w:rPr>
          <w:rFonts w:ascii="Times New Roman" w:cs="Times New Roman" w:hAnsi="Times New Roman"/>
        </w:rPr>
      </w:pPr>
      <w:r>
        <w:rPr>
          <w:rFonts w:ascii="Times New Roman" w:cs="Times New Roman" w:hAnsi="Times New Roman"/>
        </w:rPr>
      </w:r>
    </w:p>
    <w:p>
      <w:pPr>
        <w:pStyle w:val="style1"/>
        <w:spacing w:line="100" w:lineRule="atLeast"/>
        <w:rPr>
          <w:rFonts w:ascii="Times New Roman" w:hAnsi="Times New Roman"/>
          <w:lang w:val="es-UY"/>
        </w:rPr>
      </w:pPr>
      <w:r>
        <w:rPr>
          <w:rFonts w:ascii="Times New Roman" w:hAnsi="Times New Roman"/>
          <w:lang w:val="es-UY"/>
        </w:rPr>
        <w:t>Art. 3.- ACLARACIONES Y CONSULTAS.</w:t>
      </w:r>
    </w:p>
    <w:p>
      <w:pPr>
        <w:pStyle w:val="style0"/>
        <w:jc w:val="both"/>
        <w:rPr>
          <w:rFonts w:ascii="Times New Roman" w:hAnsi="Times New Roman"/>
          <w:szCs w:val="24"/>
          <w:lang w:val="es-UY"/>
        </w:rPr>
      </w:pPr>
      <w:r>
        <w:rPr>
          <w:rFonts w:ascii="Times New Roman" w:hAnsi="Times New Roman"/>
          <w:b/>
          <w:bCs/>
          <w:szCs w:val="24"/>
          <w:lang w:val="es-UY"/>
        </w:rPr>
        <w:tab/>
      </w:r>
      <w:r>
        <w:rPr>
          <w:rFonts w:ascii="Times New Roman" w:hAnsi="Times New Roman"/>
          <w:szCs w:val="24"/>
          <w:lang w:val="es-UY"/>
        </w:rPr>
        <w:t xml:space="preserve">Cualquier oferente de pliegos podrá solicitar al Departamento de Adquisiciones, por cualquiera de los medios mencionados en el artículo precedente, </w:t>
      </w:r>
      <w:r>
        <w:rPr>
          <w:rFonts w:ascii="Times New Roman" w:hAnsi="Times New Roman"/>
          <w:b/>
          <w:szCs w:val="24"/>
          <w:lang w:val="es-UY"/>
        </w:rPr>
        <w:t>aclaraciones o consultas específicas</w:t>
      </w:r>
      <w:r>
        <w:rPr>
          <w:rFonts w:ascii="Times New Roman" w:hAnsi="Times New Roman"/>
          <w:szCs w:val="24"/>
          <w:lang w:val="es-UY"/>
        </w:rPr>
        <w:t xml:space="preserve">, dirigida hasta </w:t>
      </w:r>
      <w:r>
        <w:rPr>
          <w:rFonts w:ascii="Times New Roman" w:hAnsi="Times New Roman"/>
          <w:b/>
          <w:szCs w:val="24"/>
          <w:lang w:val="es-UY"/>
        </w:rPr>
        <w:t>3 días</w:t>
      </w:r>
      <w:r>
        <w:rPr>
          <w:rFonts w:ascii="Times New Roman" w:hAnsi="Times New Roman"/>
          <w:szCs w:val="24"/>
          <w:lang w:val="es-UY"/>
        </w:rPr>
        <w:t xml:space="preserve"> </w:t>
      </w:r>
      <w:r>
        <w:rPr>
          <w:rFonts w:ascii="Times New Roman" w:hAnsi="Times New Roman"/>
          <w:b/>
          <w:szCs w:val="24"/>
          <w:lang w:val="es-UY"/>
        </w:rPr>
        <w:t>antes de la fecha establecida para el acto de apertura de las ofertas</w:t>
      </w:r>
      <w:r>
        <w:rPr>
          <w:rFonts w:ascii="Times New Roman" w:hAnsi="Times New Roman"/>
          <w:szCs w:val="24"/>
          <w:lang w:val="es-UY"/>
        </w:rPr>
        <w:t>. Vencido dicho término, la Administración no estará obligada a proporcionar datos aclaratorios. Las consultas serán contestadas por el Departamento de Adquisiciones, en el plazo máximo de 48 horas a partir de su recepción.</w:t>
      </w:r>
    </w:p>
    <w:p>
      <w:pPr>
        <w:pStyle w:val="style0"/>
        <w:jc w:val="both"/>
        <w:rPr>
          <w:rFonts w:ascii="Times New Roman" w:hAnsi="Times New Roman"/>
          <w:szCs w:val="24"/>
          <w:lang w:val="es-UY"/>
        </w:rPr>
      </w:pPr>
      <w:r>
        <w:rPr>
          <w:rFonts w:ascii="Times New Roman" w:hAnsi="Times New Roman"/>
          <w:szCs w:val="24"/>
          <w:lang w:val="es-UY"/>
        </w:rPr>
      </w:r>
    </w:p>
    <w:p>
      <w:pPr>
        <w:pStyle w:val="style0"/>
        <w:jc w:val="both"/>
        <w:rPr>
          <w:rFonts w:ascii="Times New Roman" w:hAnsi="Times New Roman"/>
          <w:szCs w:val="24"/>
          <w:lang w:val="es-UY"/>
        </w:rPr>
      </w:pPr>
      <w:r>
        <w:rPr>
          <w:rFonts w:ascii="Times New Roman" w:hAnsi="Times New Roman"/>
          <w:szCs w:val="24"/>
          <w:lang w:val="es-UY"/>
        </w:rPr>
      </w:r>
    </w:p>
    <w:p>
      <w:pPr>
        <w:pStyle w:val="style0"/>
        <w:jc w:val="both"/>
        <w:rPr>
          <w:rFonts w:ascii="Times New Roman" w:hAnsi="Times New Roman"/>
          <w:szCs w:val="24"/>
          <w:lang w:val="es-UY"/>
        </w:rPr>
      </w:pPr>
      <w:bookmarkStart w:id="1" w:name="_GoBack"/>
      <w:bookmarkStart w:id="2" w:name="_GoBack"/>
      <w:bookmarkEnd w:id="2"/>
      <w:r>
        <w:rPr>
          <w:rFonts w:ascii="Times New Roman" w:hAnsi="Times New Roman"/>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4.- DOCUMENTACION A PRESENTAR POR EL OFERENTE.</w:t>
      </w:r>
    </w:p>
    <w:p>
      <w:pPr>
        <w:pStyle w:val="style32"/>
        <w:spacing w:line="100" w:lineRule="atLeast"/>
        <w:jc w:val="both"/>
        <w:rPr>
          <w:bCs/>
          <w:szCs w:val="24"/>
          <w:lang w:val="es-UY"/>
        </w:rPr>
      </w:pPr>
      <w:r>
        <w:rPr>
          <w:szCs w:val="24"/>
          <w:lang w:val="es-UY"/>
        </w:rPr>
        <w:tab/>
      </w:r>
      <w:r>
        <w:rPr>
          <w:b/>
          <w:bCs/>
          <w:szCs w:val="24"/>
          <w:lang w:val="es-UY"/>
        </w:rPr>
        <w:t>Junto a su cotización</w:t>
      </w:r>
      <w:r>
        <w:rPr>
          <w:bCs/>
          <w:szCs w:val="24"/>
          <w:lang w:val="es-UY"/>
        </w:rPr>
        <w:t>, los oferentes deberán presentar la documentación que sea necesaria para acreditar los extremos exigidos en la presente convocatoria:</w:t>
      </w:r>
    </w:p>
    <w:p>
      <w:pPr>
        <w:pStyle w:val="style32"/>
        <w:spacing w:line="100" w:lineRule="atLeast"/>
        <w:ind w:firstLine="708" w:left="0" w:right="0"/>
        <w:jc w:val="both"/>
        <w:rPr>
          <w:bCs/>
          <w:szCs w:val="24"/>
          <w:lang w:val="es-UY"/>
        </w:rPr>
      </w:pPr>
      <w:r>
        <w:rPr>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pPr>
        <w:pStyle w:val="style0"/>
        <w:jc w:val="both"/>
        <w:rPr>
          <w:rFonts w:ascii="Times New Roman" w:hAnsi="Times New Roman"/>
          <w:szCs w:val="24"/>
          <w:lang w:val="es-UY"/>
        </w:rPr>
      </w:pPr>
      <w:r>
        <w:rPr>
          <w:rFonts w:ascii="Times New Roman" w:hAnsi="Times New Roman"/>
          <w:szCs w:val="24"/>
          <w:lang w:val="es-UY"/>
        </w:rPr>
      </w:r>
    </w:p>
    <w:p>
      <w:pPr>
        <w:pStyle w:val="style0"/>
        <w:jc w:val="both"/>
        <w:rPr>
          <w:rFonts w:ascii="Times New Roman" w:hAnsi="Times New Roman"/>
          <w:szCs w:val="24"/>
          <w:lang w:val="es-UY"/>
        </w:rPr>
      </w:pPr>
      <w:r>
        <w:rPr>
          <w:rFonts w:ascii="Times New Roman" w:hAnsi="Times New Roman"/>
          <w:b/>
          <w:bCs/>
          <w:szCs w:val="24"/>
          <w:lang w:val="es-UY"/>
        </w:rPr>
        <w:t>Art. 5.-</w:t>
      </w:r>
      <w:r>
        <w:rPr>
          <w:rFonts w:ascii="Times New Roman" w:hAnsi="Times New Roman"/>
          <w:szCs w:val="24"/>
          <w:lang w:val="es-UY"/>
        </w:rPr>
        <w:t xml:space="preserve"> </w:t>
      </w:r>
      <w:r>
        <w:rPr>
          <w:rFonts w:ascii="Times New Roman" w:hAnsi="Times New Roman"/>
          <w:b/>
          <w:bCs/>
          <w:szCs w:val="24"/>
          <w:lang w:val="es-UY"/>
        </w:rPr>
        <w:t>FORMA Y MONEDA DE COTIZACION</w:t>
      </w:r>
      <w:r>
        <w:rPr>
          <w:rFonts w:ascii="Times New Roman" w:hAnsi="Times New Roman"/>
          <w:szCs w:val="24"/>
          <w:lang w:val="es-UY"/>
        </w:rPr>
        <w:t>.</w:t>
      </w:r>
    </w:p>
    <w:p>
      <w:pPr>
        <w:pStyle w:val="style0"/>
        <w:ind w:firstLine="708" w:left="0" w:right="0"/>
        <w:jc w:val="both"/>
        <w:rPr>
          <w:rFonts w:ascii="Times New Roman" w:hAnsi="Times New Roman"/>
          <w:szCs w:val="24"/>
          <w:lang w:val="es-UY"/>
        </w:rPr>
      </w:pPr>
      <w:r>
        <w:rPr>
          <w:rFonts w:ascii="Times New Roman" w:hAnsi="Times New Roman"/>
          <w:szCs w:val="24"/>
          <w:lang w:val="es-UY"/>
        </w:rPr>
        <w:t xml:space="preserve">Precio de </w:t>
      </w:r>
      <w:r>
        <w:rPr>
          <w:rFonts w:ascii="Times New Roman" w:hAnsi="Times New Roman"/>
          <w:b/>
          <w:szCs w:val="24"/>
          <w:lang w:val="es-UY"/>
        </w:rPr>
        <w:t xml:space="preserve">plaza </w:t>
      </w:r>
      <w:r>
        <w:rPr>
          <w:rFonts w:ascii="Times New Roman" w:hAnsi="Times New Roman"/>
          <w:szCs w:val="24"/>
          <w:lang w:val="es-UY"/>
        </w:rPr>
        <w:t xml:space="preserve">en </w:t>
      </w:r>
      <w:r>
        <w:rPr>
          <w:rFonts w:ascii="Times New Roman" w:hAnsi="Times New Roman"/>
          <w:b/>
          <w:szCs w:val="24"/>
          <w:lang w:val="es-UY"/>
        </w:rPr>
        <w:t>moneda nacional</w:t>
      </w:r>
      <w:r>
        <w:rPr>
          <w:rFonts w:ascii="Times New Roman" w:hAnsi="Times New Roman"/>
          <w:szCs w:val="24"/>
          <w:lang w:val="es-UY"/>
        </w:rPr>
        <w:t xml:space="preserve"> </w:t>
      </w:r>
    </w:p>
    <w:p>
      <w:pPr>
        <w:pStyle w:val="style0"/>
        <w:jc w:val="both"/>
        <w:rPr>
          <w:rFonts w:ascii="Times New Roman" w:hAnsi="Times New Roman"/>
          <w:szCs w:val="24"/>
          <w:lang w:val="es-UY"/>
        </w:rPr>
      </w:pPr>
      <w:r>
        <w:rPr>
          <w:rFonts w:ascii="Times New Roman" w:hAnsi="Times New Roman"/>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6.- PRESENTACIÓN DE LAS OFERTAS.</w:t>
      </w:r>
    </w:p>
    <w:p>
      <w:pPr>
        <w:pStyle w:val="style0"/>
        <w:jc w:val="both"/>
        <w:rPr>
          <w:rFonts w:ascii="Times New Roman" w:hAnsi="Times New Roman"/>
          <w:szCs w:val="24"/>
          <w:lang w:val="es-UY"/>
        </w:rPr>
      </w:pPr>
      <w:r>
        <w:rPr>
          <w:rFonts w:ascii="Times New Roman" w:hAnsi="Times New Roman"/>
          <w:szCs w:val="24"/>
          <w:lang w:val="es-UY"/>
        </w:rPr>
        <w:tab/>
        <w:t xml:space="preserve">La oferta se presentará en sobre cerrado, firmadas en </w:t>
      </w:r>
      <w:r>
        <w:rPr>
          <w:rFonts w:ascii="Times New Roman" w:hAnsi="Times New Roman"/>
          <w:b/>
          <w:szCs w:val="24"/>
          <w:lang w:val="es-UY"/>
        </w:rPr>
        <w:t>original y una</w:t>
      </w:r>
      <w:r>
        <w:rPr>
          <w:rFonts w:ascii="Times New Roman" w:hAnsi="Times New Roman"/>
          <w:b/>
          <w:bCs/>
          <w:szCs w:val="24"/>
          <w:lang w:val="es-UY"/>
        </w:rPr>
        <w:t xml:space="preserve"> copia</w:t>
      </w:r>
      <w:r>
        <w:rPr>
          <w:rFonts w:ascii="Times New Roman" w:hAnsi="Times New Roman"/>
          <w:szCs w:val="24"/>
          <w:lang w:val="es-UY"/>
        </w:rPr>
        <w:t>, o como lo establece el art. 63  inc. 5 del T.O.C.A.F.</w:t>
      </w:r>
    </w:p>
    <w:p>
      <w:pPr>
        <w:pStyle w:val="style0"/>
        <w:ind w:firstLine="708" w:left="0" w:right="0"/>
        <w:jc w:val="both"/>
        <w:rPr>
          <w:rStyle w:val="style20"/>
          <w:rFonts w:ascii="Times New Roman" w:hAnsi="Times New Roman"/>
          <w:szCs w:val="24"/>
          <w:lang w:val="es-UY"/>
        </w:rPr>
      </w:pPr>
      <w:r>
        <w:rPr>
          <w:rStyle w:val="style20"/>
          <w:rFonts w:ascii="Times New Roman" w:hAnsi="Times New Roman"/>
          <w:szCs w:val="24"/>
          <w:lang w:val="es-UY"/>
        </w:rPr>
        <w:t>En caso de cotizarse por correo electrónico o en línea deberá adjuntarse archivo con la oferta escaneada incluyendo la firma del representante validado en el Registro Único de Proveedores del Estado (RUPE).</w:t>
      </w:r>
    </w:p>
    <w:p>
      <w:pPr>
        <w:pStyle w:val="style0"/>
        <w:jc w:val="both"/>
        <w:rPr>
          <w:rFonts w:ascii="Times New Roman" w:hAnsi="Times New Roman"/>
          <w:b/>
          <w:szCs w:val="24"/>
          <w:lang w:val="es-UY"/>
        </w:rPr>
      </w:pPr>
      <w:r>
        <w:rPr>
          <w:rFonts w:ascii="Times New Roman" w:hAnsi="Times New Roman"/>
          <w:szCs w:val="24"/>
          <w:lang w:val="es-UY"/>
        </w:rPr>
        <w:tab/>
      </w:r>
      <w:r>
        <w:rPr>
          <w:rFonts w:ascii="Times New Roman" w:hAnsi="Times New Roman"/>
          <w:b/>
          <w:szCs w:val="24"/>
          <w:lang w:val="es-UY"/>
        </w:rPr>
        <w:t>La empresa deberá estar en situación de activo en el RUPE y su oferta deberá estar firmada por el representante y/o apoderado que esté registrado (validado) en dicho registro.</w:t>
      </w:r>
    </w:p>
    <w:p>
      <w:pPr>
        <w:pStyle w:val="style0"/>
        <w:ind w:firstLine="709" w:left="0" w:right="0"/>
        <w:jc w:val="both"/>
        <w:rPr>
          <w:rFonts w:ascii="Times New Roman" w:hAnsi="Times New Roman"/>
          <w:szCs w:val="24"/>
          <w:lang w:val="es-UY"/>
        </w:rPr>
      </w:pPr>
      <w:r>
        <w:rPr>
          <w:rFonts w:ascii="Times New Roman" w:hAnsi="Times New Roman"/>
          <w:szCs w:val="24"/>
          <w:lang w:val="es-UY"/>
        </w:rPr>
        <w:t xml:space="preserve">Los precios cotizados deberán indicar todos los tributos que correspondan al oferente y su porcentaje, en cada uno de los items y/o variantes cotizados, </w:t>
      </w:r>
      <w:r>
        <w:rPr>
          <w:rFonts w:ascii="Times New Roman" w:hAnsi="Times New Roman"/>
          <w:b/>
          <w:bCs/>
          <w:szCs w:val="24"/>
          <w:lang w:val="es-UY"/>
        </w:rPr>
        <w:t>especialmente el I.V.A., en forma clara y precisa, manifestando si los referidos tributos están o no incluidos en los precios</w:t>
      </w:r>
      <w:r>
        <w:rPr>
          <w:rFonts w:ascii="Times New Roman" w:hAnsi="Times New Roman"/>
          <w:szCs w:val="24"/>
          <w:lang w:val="es-UY"/>
        </w:rPr>
        <w:t>. En caso de no establecerse esta circunstancia, se considerará que los precios son con todos los tributos incluidos.</w:t>
      </w:r>
    </w:p>
    <w:p>
      <w:pPr>
        <w:pStyle w:val="style0"/>
        <w:jc w:val="both"/>
        <w:rPr>
          <w:rFonts w:ascii="Times New Roman" w:hAnsi="Times New Roman"/>
          <w:szCs w:val="24"/>
          <w:lang w:val="es-UY"/>
        </w:rPr>
      </w:pPr>
      <w:r>
        <w:rPr>
          <w:rFonts w:ascii="Times New Roman" w:hAnsi="Times New Roman"/>
          <w:szCs w:val="24"/>
          <w:lang w:val="es-UY"/>
        </w:rPr>
      </w:r>
    </w:p>
    <w:p>
      <w:pPr>
        <w:pStyle w:val="style32"/>
        <w:spacing w:line="100" w:lineRule="atLeast"/>
        <w:jc w:val="both"/>
        <w:rPr>
          <w:rStyle w:val="style20"/>
          <w:b/>
          <w:szCs w:val="24"/>
          <w:lang w:val="es-UY"/>
        </w:rPr>
      </w:pPr>
      <w:r>
        <w:rPr>
          <w:rStyle w:val="style20"/>
          <w:b/>
          <w:szCs w:val="24"/>
          <w:lang w:val="es-UY"/>
        </w:rPr>
        <w:t>Art. 7.-</w:t>
      </w:r>
      <w:r>
        <w:rPr>
          <w:rStyle w:val="style20"/>
          <w:szCs w:val="24"/>
          <w:lang w:val="es-UY"/>
        </w:rPr>
        <w:t xml:space="preserve"> </w:t>
      </w:r>
      <w:r>
        <w:rPr>
          <w:rStyle w:val="style20"/>
          <w:b/>
          <w:szCs w:val="24"/>
          <w:lang w:val="es-UY"/>
        </w:rPr>
        <w:t>LUGAR  Y FECHA DE APERTURA</w:t>
      </w:r>
    </w:p>
    <w:p>
      <w:pPr>
        <w:pStyle w:val="style32"/>
        <w:spacing w:line="100" w:lineRule="atLeast"/>
        <w:jc w:val="both"/>
        <w:rPr>
          <w:szCs w:val="24"/>
          <w:lang w:val="es-UY"/>
        </w:rPr>
      </w:pPr>
      <w:r>
        <w:rPr>
          <w:szCs w:val="24"/>
          <w:lang w:val="es-UY"/>
        </w:rPr>
      </w:r>
    </w:p>
    <w:p>
      <w:pPr>
        <w:pStyle w:val="style32"/>
        <w:spacing w:line="100" w:lineRule="atLeast"/>
        <w:jc w:val="both"/>
        <w:rPr>
          <w:b/>
          <w:bCs/>
          <w:szCs w:val="24"/>
          <w:lang w:val="es-UY"/>
        </w:rPr>
      </w:pPr>
      <w:r>
        <w:rPr>
          <w:rStyle w:val="style20"/>
          <w:szCs w:val="24"/>
          <w:lang w:val="es-UY"/>
        </w:rPr>
        <w:tab/>
        <w:t xml:space="preserve">a) Fecha: </w:t>
      </w:r>
      <w:r>
        <w:rPr>
          <w:rStyle w:val="style20"/>
          <w:b/>
          <w:bCs/>
          <w:szCs w:val="24"/>
          <w:lang w:val="es-UY"/>
        </w:rPr>
        <w:t>23 de Setiembre</w:t>
      </w:r>
      <w:r>
        <w:rPr>
          <w:rStyle w:val="style20"/>
          <w:b/>
          <w:bCs/>
          <w:szCs w:val="24"/>
          <w:lang w:val="es-UY"/>
        </w:rPr>
        <w:t xml:space="preserve"> </w:t>
      </w:r>
      <w:r>
        <w:rPr>
          <w:b/>
          <w:bCs/>
          <w:szCs w:val="24"/>
          <w:lang w:val="es-UY"/>
        </w:rPr>
        <w:t>de 2019.</w:t>
        <w:tab/>
      </w:r>
    </w:p>
    <w:p>
      <w:pPr>
        <w:pStyle w:val="style32"/>
        <w:spacing w:line="100" w:lineRule="atLeast"/>
        <w:jc w:val="both"/>
        <w:rPr>
          <w:szCs w:val="24"/>
          <w:lang w:val="es-UY"/>
        </w:rPr>
      </w:pPr>
      <w:r>
        <w:rPr>
          <w:szCs w:val="24"/>
          <w:lang w:val="es-UY"/>
        </w:rPr>
        <w:tab/>
        <w:t xml:space="preserve">b) Hora: </w:t>
      </w:r>
      <w:r>
        <w:rPr>
          <w:b/>
          <w:szCs w:val="24"/>
          <w:lang w:val="es-UY"/>
        </w:rPr>
        <w:t>15:00 hs</w:t>
      </w:r>
      <w:r>
        <w:rPr>
          <w:szCs w:val="24"/>
          <w:lang w:val="es-UY"/>
        </w:rPr>
        <w:t>.</w:t>
      </w:r>
    </w:p>
    <w:p>
      <w:pPr>
        <w:pStyle w:val="style32"/>
        <w:spacing w:line="100" w:lineRule="atLeast"/>
        <w:ind w:firstLine="709" w:left="0" w:right="0"/>
        <w:jc w:val="both"/>
        <w:rPr>
          <w:szCs w:val="24"/>
          <w:lang w:val="es-UY"/>
        </w:rPr>
      </w:pPr>
      <w:r>
        <w:rPr>
          <w:szCs w:val="24"/>
          <w:lang w:val="es-UY"/>
        </w:rPr>
        <w:t xml:space="preserve">c) Lugar: </w:t>
      </w:r>
      <w:r>
        <w:rPr>
          <w:b/>
          <w:szCs w:val="24"/>
          <w:lang w:val="es-UY"/>
        </w:rPr>
        <w:t>Departamento de Adquisiciones</w:t>
      </w:r>
      <w:r>
        <w:rPr>
          <w:szCs w:val="24"/>
          <w:lang w:val="es-UY"/>
        </w:rPr>
        <w:t xml:space="preserve"> del Poder Judicial.</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1"/>
        <w:spacing w:line="100" w:lineRule="atLeast"/>
        <w:rPr>
          <w:rFonts w:ascii="Times New Roman" w:hAnsi="Times New Roman"/>
          <w:lang w:val="es-UY"/>
        </w:rPr>
      </w:pPr>
      <w:r>
        <w:rPr>
          <w:rFonts w:ascii="Times New Roman" w:hAnsi="Times New Roman"/>
          <w:lang w:val="es-UY"/>
        </w:rPr>
        <w:t>Art. 8.- APERTURA DE OFERTAS.</w:t>
      </w:r>
    </w:p>
    <w:p>
      <w:pPr>
        <w:pStyle w:val="style0"/>
        <w:jc w:val="both"/>
        <w:rPr>
          <w:rFonts w:ascii="Times New Roman" w:hAnsi="Times New Roman"/>
          <w:szCs w:val="24"/>
          <w:lang w:val="es-UY"/>
        </w:rPr>
      </w:pPr>
      <w:r>
        <w:rPr>
          <w:rFonts w:ascii="Times New Roman" w:hAnsi="Times New Roman"/>
          <w:b/>
          <w:bCs/>
          <w:szCs w:val="24"/>
          <w:lang w:val="es-UY"/>
        </w:rPr>
        <w:tab/>
      </w:r>
      <w:r>
        <w:rPr>
          <w:rFonts w:ascii="Times New Roman" w:hAnsi="Times New Roman"/>
          <w:szCs w:val="24"/>
          <w:lang w:val="es-UY"/>
        </w:rPr>
        <w:t xml:space="preserve">Abiertas </w:t>
      </w:r>
      <w:r>
        <w:rPr>
          <w:rFonts w:ascii="Times New Roman" w:hAnsi="Times New Roman"/>
          <w:b/>
          <w:szCs w:val="24"/>
          <w:lang w:val="es-UY"/>
        </w:rPr>
        <w:t>las ofertas se pondrá a disposición de todos los oferentes una de las vías para que tomen conocimiento de los precios y demás condiciones de todas las presentadas</w:t>
      </w:r>
      <w:r>
        <w:rPr>
          <w:rFonts w:ascii="Times New Roman" w:hAnsi="Times New Roman"/>
          <w:szCs w:val="24"/>
          <w:lang w:val="es-UY"/>
        </w:rPr>
        <w:t xml:space="preserve">. Los oferentes </w:t>
      </w:r>
      <w:r>
        <w:rPr>
          <w:rFonts w:ascii="Times New Roman" w:hAnsi="Times New Roman"/>
          <w:b/>
          <w:szCs w:val="24"/>
          <w:lang w:val="es-UY"/>
        </w:rPr>
        <w:t>pueden formular observaciones</w:t>
      </w:r>
      <w:r>
        <w:rPr>
          <w:rFonts w:ascii="Times New Roman" w:hAnsi="Times New Roman"/>
          <w:szCs w:val="24"/>
          <w:lang w:val="es-UY"/>
        </w:rPr>
        <w:t xml:space="preserve"> a las propuestas presentadas en ese momento, las que quedarán registradas en el Acta de Apertura.</w:t>
      </w:r>
    </w:p>
    <w:p>
      <w:pPr>
        <w:pStyle w:val="style0"/>
        <w:jc w:val="both"/>
        <w:rPr>
          <w:rFonts w:ascii="Times New Roman" w:hAnsi="Times New Roman"/>
          <w:szCs w:val="24"/>
          <w:lang w:val="es-UY"/>
        </w:rPr>
      </w:pPr>
      <w:r>
        <w:rPr>
          <w:rFonts w:ascii="Times New Roman" w:hAnsi="Times New Roman"/>
          <w:szCs w:val="24"/>
          <w:lang w:val="es-UY"/>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szCs w:val="24"/>
          <w:lang w:val="es-UY"/>
        </w:rPr>
      </w:pPr>
      <w:r>
        <w:rPr>
          <w:rFonts w:ascii="Times New Roman" w:hAnsi="Times New Roman"/>
          <w:b/>
          <w:bCs/>
          <w:szCs w:val="24"/>
          <w:lang w:val="es-UY"/>
        </w:rPr>
        <w:t>Art. 9.-</w:t>
      </w:r>
      <w:r>
        <w:rPr>
          <w:rFonts w:ascii="Times New Roman" w:hAnsi="Times New Roman"/>
          <w:szCs w:val="24"/>
          <w:lang w:val="es-UY"/>
        </w:rPr>
        <w:t xml:space="preserve"> </w:t>
      </w:r>
      <w:r>
        <w:rPr>
          <w:rFonts w:ascii="Times New Roman" w:hAnsi="Times New Roman"/>
          <w:b/>
          <w:bCs/>
          <w:szCs w:val="24"/>
          <w:lang w:val="es-UY"/>
        </w:rPr>
        <w:t>PLAZO DE MANTENIMIENTO DE OFERTA</w:t>
      </w:r>
      <w:r>
        <w:rPr>
          <w:rFonts w:ascii="Times New Roman" w:hAnsi="Times New Roman"/>
          <w:szCs w:val="24"/>
          <w:lang w:val="es-UY"/>
        </w:rPr>
        <w:t xml:space="preserve"> </w:t>
      </w:r>
      <w:r>
        <w:rPr>
          <w:rFonts w:ascii="Times New Roman" w:hAnsi="Times New Roman"/>
          <w:b/>
          <w:szCs w:val="24"/>
          <w:lang w:val="es-UY"/>
        </w:rPr>
        <w:t>Y PRECIO.</w:t>
      </w:r>
    </w:p>
    <w:p>
      <w:pPr>
        <w:pStyle w:val="style0"/>
        <w:ind w:firstLine="600" w:left="0" w:right="0"/>
        <w:jc w:val="both"/>
        <w:rPr>
          <w:rFonts w:ascii="Times New Roman" w:hAnsi="Times New Roman"/>
          <w:szCs w:val="24"/>
          <w:lang w:val="es-UY"/>
        </w:rPr>
      </w:pPr>
      <w:r>
        <w:rPr>
          <w:rFonts w:ascii="Times New Roman" w:hAnsi="Times New Roman"/>
          <w:b/>
          <w:szCs w:val="24"/>
          <w:lang w:val="es-UY"/>
        </w:rPr>
        <w:t xml:space="preserve">No inferior a </w:t>
      </w:r>
      <w:r>
        <w:rPr>
          <w:rFonts w:ascii="Times New Roman" w:hAnsi="Times New Roman"/>
          <w:b/>
          <w:bCs/>
          <w:szCs w:val="24"/>
          <w:lang w:val="es-UY"/>
        </w:rPr>
        <w:t>120</w:t>
      </w:r>
      <w:r>
        <w:rPr>
          <w:rFonts w:ascii="Times New Roman" w:hAnsi="Times New Roman"/>
          <w:b/>
          <w:szCs w:val="24"/>
          <w:lang w:val="es-UY"/>
        </w:rPr>
        <w:t xml:space="preserve"> días</w:t>
      </w:r>
      <w:r>
        <w:rPr>
          <w:rFonts w:ascii="Times New Roman" w:hAnsi="Times New Roman"/>
          <w:szCs w:val="24"/>
          <w:lang w:val="es-UY"/>
        </w:rPr>
        <w:t>, salvo que la Administración, se expida con anterioridad al vencimiento de dicho plazo. Se  entiende  por tal el lapso durante el cual la empresa se obliga a mantener las condiciones de su oferta.</w:t>
      </w:r>
    </w:p>
    <w:p>
      <w:pPr>
        <w:pStyle w:val="style0"/>
        <w:jc w:val="both"/>
        <w:rPr>
          <w:rFonts w:ascii="Times New Roman" w:hAnsi="Times New Roman"/>
          <w:szCs w:val="24"/>
          <w:lang w:val="es-UY"/>
        </w:rPr>
      </w:pPr>
      <w:r>
        <w:rPr>
          <w:rFonts w:ascii="Times New Roman" w:hAnsi="Times New Roman"/>
          <w:szCs w:val="24"/>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10.- NOTIFICACIÓN DE RESOLUCIÓN Y SUSCRIPCION DE CONTRATO.</w:t>
      </w:r>
    </w:p>
    <w:p>
      <w:pPr>
        <w:pStyle w:val="style0"/>
        <w:jc w:val="both"/>
        <w:rPr>
          <w:rFonts w:ascii="Times New Roman" w:hAnsi="Times New Roman"/>
          <w:szCs w:val="24"/>
          <w:lang w:val="es-UY"/>
        </w:rPr>
      </w:pPr>
      <w:r>
        <w:rPr>
          <w:rFonts w:ascii="Times New Roman" w:hAnsi="Times New Roman"/>
          <w:bCs/>
          <w:szCs w:val="24"/>
          <w:lang w:val="es-UY"/>
        </w:rPr>
        <w:tab/>
        <w:t xml:space="preserve">Una vez dictada la resolución de adjudicación e intervenida por el Tribunal de Cuentas de la República será notificada a la empresa y transcurrido el plazo legal y estando en condiciones, </w:t>
      </w:r>
      <w:r>
        <w:rPr>
          <w:rFonts w:ascii="Times New Roman" w:hAnsi="Times New Roman"/>
          <w:b/>
          <w:bCs/>
          <w:szCs w:val="24"/>
          <w:lang w:val="es-UY"/>
        </w:rPr>
        <w:t xml:space="preserve">se suscribirá contrato ante los Servicios Notariales de DIJUN, </w:t>
      </w:r>
      <w:r>
        <w:rPr>
          <w:rFonts w:ascii="Times New Roman" w:hAnsi="Times New Roman"/>
          <w:szCs w:val="24"/>
          <w:lang w:val="es-UY"/>
        </w:rPr>
        <w:t>siendo las obligaciones y derechos del contratista las que surgen de las normas jurídicas aplicables, los Pliegos y su oferta.</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11.- CÓMPUTO DE PLAZOS.</w:t>
      </w:r>
    </w:p>
    <w:p>
      <w:pPr>
        <w:pStyle w:val="style0"/>
        <w:ind w:firstLine="708" w:left="0" w:right="0"/>
        <w:jc w:val="both"/>
        <w:rPr>
          <w:rFonts w:ascii="Times New Roman" w:hAnsi="Times New Roman"/>
          <w:szCs w:val="24"/>
          <w:lang w:val="es-UY"/>
        </w:rPr>
      </w:pPr>
      <w:r>
        <w:rPr>
          <w:rFonts w:ascii="Times New Roman" w:hAnsi="Times New Roman"/>
          <w:szCs w:val="24"/>
          <w:lang w:val="es-UY"/>
        </w:rPr>
        <w:t xml:space="preserve">Todos los plazos serán computados en </w:t>
      </w:r>
      <w:r>
        <w:rPr>
          <w:rFonts w:ascii="Times New Roman" w:hAnsi="Times New Roman"/>
          <w:b/>
          <w:szCs w:val="24"/>
          <w:lang w:val="es-UY"/>
        </w:rPr>
        <w:t>días hábiles</w:t>
      </w:r>
      <w:r>
        <w:rPr>
          <w:rFonts w:ascii="Times New Roman" w:hAnsi="Times New Roman"/>
          <w:szCs w:val="24"/>
          <w:lang w:val="es-UY"/>
        </w:rPr>
        <w:t>, salvo especificación en contrario.</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12.- FORMA DE PAGO.</w:t>
      </w:r>
    </w:p>
    <w:p>
      <w:pPr>
        <w:pStyle w:val="style0"/>
        <w:ind w:firstLine="708" w:left="0" w:right="0"/>
        <w:jc w:val="both"/>
        <w:rPr>
          <w:rFonts w:ascii="Times New Roman" w:hAnsi="Times New Roman"/>
          <w:szCs w:val="24"/>
          <w:lang w:val="es-UY"/>
        </w:rPr>
      </w:pPr>
      <w:r>
        <w:rPr>
          <w:rFonts w:ascii="Times New Roman" w:hAnsi="Times New Roman"/>
          <w:szCs w:val="24"/>
          <w:lang w:val="es-UY"/>
        </w:rPr>
        <w:t xml:space="preserve">La propuesta deberá considerar que el </w:t>
      </w:r>
      <w:r>
        <w:rPr>
          <w:rFonts w:ascii="Times New Roman" w:hAnsi="Times New Roman"/>
          <w:b/>
          <w:szCs w:val="24"/>
          <w:lang w:val="es-UY"/>
        </w:rPr>
        <w:t xml:space="preserve">plazo mínimo de crédito es de 60 días </w:t>
      </w:r>
      <w:r>
        <w:rPr>
          <w:rFonts w:ascii="Times New Roman" w:hAnsi="Times New Roman"/>
          <w:szCs w:val="24"/>
          <w:lang w:val="es-UY"/>
        </w:rPr>
        <w:t>contados a partir de la recepción en División Contaduría de la</w:t>
      </w:r>
      <w:r>
        <w:rPr>
          <w:rFonts w:ascii="Times New Roman" w:hAnsi="Times New Roman"/>
          <w:b/>
          <w:szCs w:val="24"/>
          <w:lang w:val="es-UY"/>
        </w:rPr>
        <w:t xml:space="preserve"> factura conformada</w:t>
      </w:r>
      <w:r>
        <w:rPr>
          <w:rFonts w:ascii="Times New Roman" w:hAnsi="Times New Roman"/>
          <w:szCs w:val="24"/>
          <w:lang w:val="es-UY"/>
        </w:rPr>
        <w:t>.</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13.-</w:t>
      </w:r>
      <w:r>
        <w:rPr>
          <w:rFonts w:ascii="Times New Roman" w:hAnsi="Times New Roman"/>
          <w:szCs w:val="24"/>
          <w:lang w:val="es-UY"/>
        </w:rPr>
        <w:t xml:space="preserve"> </w:t>
      </w:r>
      <w:r>
        <w:rPr>
          <w:rFonts w:ascii="Times New Roman" w:hAnsi="Times New Roman"/>
          <w:b/>
          <w:bCs/>
          <w:szCs w:val="24"/>
          <w:lang w:val="es-UY"/>
        </w:rPr>
        <w:t>PLAZO.</w:t>
      </w:r>
    </w:p>
    <w:p>
      <w:pPr>
        <w:pStyle w:val="style0"/>
        <w:jc w:val="both"/>
        <w:rPr>
          <w:rFonts w:ascii="Times New Roman" w:eastAsia="Bookman Old Style" w:hAnsi="Times New Roman"/>
          <w:b/>
          <w:szCs w:val="24"/>
          <w:lang w:bidi="es-ES" w:eastAsia="es-ES" w:val="es-UY"/>
        </w:rPr>
      </w:pPr>
      <w:r>
        <w:rPr>
          <w:rFonts w:ascii="Times New Roman" w:eastAsia="Bookman Old Style" w:hAnsi="Times New Roman"/>
          <w:szCs w:val="24"/>
          <w:lang w:bidi="es-ES" w:eastAsia="es-ES" w:val="es-UY"/>
        </w:rPr>
        <w:tab/>
      </w:r>
      <w:r>
        <w:rPr>
          <w:rFonts w:ascii="Times New Roman" w:eastAsia="Bookman Old Style" w:hAnsi="Times New Roman"/>
          <w:b/>
          <w:szCs w:val="24"/>
          <w:lang w:bidi="es-ES" w:eastAsia="es-ES" w:val="es-UY"/>
        </w:rPr>
        <w:t>El plazo del contrato será desde el 1º de enero o transcurrido este desde su suscripción, hasta el 31 de diciembre de 2020, prorrogable automáticamente por hasta dos periodos anuales y consecutivos.</w:t>
      </w:r>
    </w:p>
    <w:p>
      <w:pPr>
        <w:pStyle w:val="style37"/>
        <w:ind w:firstLine="708" w:left="0" w:right="0"/>
        <w:jc w:val="both"/>
        <w:rPr/>
      </w:pPr>
      <w:r>
        <w:rPr>
          <w:bCs/>
        </w:rPr>
        <w:t>Las prórrogas serán automáticas por hasta el período establecido en el presente artículo, a partir</w:t>
      </w:r>
      <w:r>
        <w:rPr>
          <w:b/>
          <w:bCs/>
        </w:rPr>
        <w:t xml:space="preserve"> </w:t>
      </w:r>
      <w:r>
        <w:rPr/>
        <w:t xml:space="preserve">de su vencimiento inicial o sus prórrogas en su caso, si las partes no lo denuncian mediante telegrama colacionado 60 días antes de la fecha de los vencimientos respectivos. </w:t>
      </w:r>
    </w:p>
    <w:p>
      <w:pPr>
        <w:pStyle w:val="style0"/>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 xml:space="preserve">El Poder Judicial podrá en cualquier momento y sin expresión de causa, rescindir unilateralmente el contrato oportunamente suscrito, en forma total o parcial, con un preaviso no inferior a 15 días, por telegrama colacionado u otro medio auténtico. </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14.- AJUSTE DE PRECIOS.</w:t>
      </w:r>
    </w:p>
    <w:p>
      <w:pPr>
        <w:pStyle w:val="style0"/>
        <w:jc w:val="both"/>
        <w:rPr>
          <w:rFonts w:ascii="Times New Roman" w:hAnsi="Times New Roman"/>
          <w:szCs w:val="24"/>
          <w:lang w:val="es-UY"/>
        </w:rPr>
      </w:pPr>
      <w:r>
        <w:rPr>
          <w:rFonts w:ascii="Times New Roman" w:hAnsi="Times New Roman"/>
          <w:szCs w:val="24"/>
          <w:lang w:val="es-UY"/>
        </w:rPr>
        <w:tab/>
        <w:t xml:space="preserve">El precio del contrato se reajustará </w:t>
      </w:r>
      <w:r>
        <w:rPr>
          <w:rFonts w:ascii="Times New Roman" w:hAnsi="Times New Roman"/>
          <w:b/>
          <w:szCs w:val="24"/>
          <w:lang w:val="es-UY"/>
        </w:rPr>
        <w:t xml:space="preserve">anualmente por el Índice de Precios al Consumos </w:t>
      </w:r>
      <w:r>
        <w:rPr>
          <w:rFonts w:ascii="Times New Roman" w:hAnsi="Times New Roman"/>
          <w:szCs w:val="24"/>
          <w:lang w:val="es-UY"/>
        </w:rPr>
        <w:t>(IPC) el primero de enero de cada año. El primer reajuste operará el 1/1/2021.</w:t>
      </w:r>
    </w:p>
    <w:p>
      <w:pPr>
        <w:pStyle w:val="style0"/>
        <w:jc w:val="both"/>
        <w:rPr>
          <w:rFonts w:ascii="Times New Roman" w:hAnsi="Times New Roman"/>
          <w:b/>
          <w:bCs/>
          <w:szCs w:val="24"/>
          <w:lang w:val="es-UY"/>
        </w:rPr>
      </w:pPr>
      <w:r>
        <w:rPr>
          <w:rFonts w:ascii="Times New Roman" w:hAnsi="Times New Roman"/>
          <w:b/>
          <w:bCs/>
          <w:szCs w:val="24"/>
          <w:lang w:val="es-UY"/>
        </w:rPr>
      </w:r>
    </w:p>
    <w:p>
      <w:pPr>
        <w:pStyle w:val="style0"/>
        <w:jc w:val="both"/>
        <w:rPr>
          <w:rFonts w:ascii="Times New Roman" w:hAnsi="Times New Roman"/>
          <w:b/>
          <w:bCs/>
          <w:szCs w:val="24"/>
          <w:lang w:val="es-UY"/>
        </w:rPr>
      </w:pPr>
      <w:r>
        <w:rPr>
          <w:rFonts w:ascii="Times New Roman" w:hAnsi="Times New Roman"/>
          <w:b/>
          <w:bCs/>
          <w:szCs w:val="24"/>
          <w:lang w:val="es-UY"/>
        </w:rPr>
        <w:t>Art. 15.-</w:t>
      </w:r>
      <w:r>
        <w:rPr>
          <w:rFonts w:ascii="Times New Roman" w:hAnsi="Times New Roman"/>
          <w:szCs w:val="24"/>
          <w:lang w:val="es-UY"/>
        </w:rPr>
        <w:t xml:space="preserve"> </w:t>
      </w:r>
      <w:r>
        <w:rPr>
          <w:rFonts w:ascii="Times New Roman" w:hAnsi="Times New Roman"/>
          <w:b/>
          <w:bCs/>
          <w:szCs w:val="24"/>
          <w:lang w:val="es-UY"/>
        </w:rPr>
        <w:t>ESTUDIO DE LAS OFERTAS.</w:t>
      </w:r>
    </w:p>
    <w:p>
      <w:pPr>
        <w:pStyle w:val="style0"/>
        <w:ind w:firstLine="360" w:left="0" w:right="0"/>
        <w:jc w:val="both"/>
        <w:rPr>
          <w:rFonts w:ascii="Times New Roman" w:hAnsi="Times New Roman"/>
          <w:b/>
          <w:bCs/>
          <w:szCs w:val="24"/>
          <w:lang w:val="es-UY"/>
        </w:rPr>
      </w:pPr>
      <w:r>
        <w:rPr>
          <w:rFonts w:ascii="Times New Roman" w:hAnsi="Times New Roman"/>
          <w:szCs w:val="24"/>
          <w:lang w:val="es-UY"/>
        </w:rPr>
        <w:t xml:space="preserve">La Suprema Corte de Justicia se reserva el derecho de adoptar un </w:t>
      </w:r>
      <w:r>
        <w:rPr>
          <w:rFonts w:ascii="Times New Roman" w:hAnsi="Times New Roman"/>
          <w:b/>
          <w:szCs w:val="24"/>
          <w:lang w:val="es-UY"/>
        </w:rPr>
        <w:t>criterio de evaluación</w:t>
      </w:r>
      <w:r>
        <w:rPr>
          <w:rFonts w:ascii="Times New Roman" w:hAnsi="Times New Roman"/>
          <w:szCs w:val="24"/>
          <w:lang w:val="es-UY"/>
        </w:rPr>
        <w:t xml:space="preserve"> que permita tener en consideración. En tal sentido y para la presente convocatoria</w:t>
      </w:r>
      <w:r>
        <w:rPr>
          <w:rFonts w:ascii="Times New Roman" w:hAnsi="Times New Roman"/>
          <w:b/>
          <w:bCs/>
          <w:szCs w:val="24"/>
          <w:lang w:val="es-UY"/>
        </w:rPr>
        <w:t>, habiendo cumplido con los requisitos exigidos en el  presente pliego, se ponderará de la siguiente manera:</w:t>
      </w:r>
    </w:p>
    <w:p>
      <w:pPr>
        <w:pStyle w:val="style0"/>
        <w:numPr>
          <w:ilvl w:val="0"/>
          <w:numId w:val="2"/>
        </w:numPr>
        <w:jc w:val="both"/>
        <w:rPr>
          <w:rFonts w:ascii="Times New Roman" w:hAnsi="Times New Roman"/>
          <w:b/>
          <w:bCs/>
          <w:sz w:val="28"/>
          <w:szCs w:val="28"/>
          <w:lang w:val="es-UY"/>
        </w:rPr>
      </w:pPr>
      <w:r>
        <w:rPr>
          <w:rFonts w:ascii="Times New Roman" w:hAnsi="Times New Roman"/>
          <w:b/>
          <w:bCs/>
          <w:sz w:val="28"/>
          <w:szCs w:val="28"/>
          <w:lang w:val="es-UY"/>
        </w:rPr>
        <w:t>100 % precio</w:t>
      </w:r>
    </w:p>
    <w:p>
      <w:pPr>
        <w:pStyle w:val="style0"/>
        <w:ind w:firstLine="360" w:left="0" w:right="0"/>
        <w:jc w:val="both"/>
        <w:rPr>
          <w:rFonts w:ascii="Times New Roman" w:hAnsi="Times New Roman"/>
          <w:b/>
          <w:szCs w:val="24"/>
          <w:lang w:val="es-UY"/>
        </w:rPr>
      </w:pPr>
      <w:r>
        <w:rPr>
          <w:rFonts w:ascii="Times New Roman" w:hAnsi="Times New Roman"/>
          <w:szCs w:val="24"/>
          <w:lang w:val="es-UY"/>
        </w:rPr>
        <w:t xml:space="preserve">La Administración podrá </w:t>
      </w:r>
      <w:r>
        <w:rPr>
          <w:rFonts w:ascii="Times New Roman" w:hAnsi="Times New Roman"/>
          <w:b/>
          <w:szCs w:val="24"/>
          <w:lang w:val="es-UY"/>
        </w:rPr>
        <w:t>adjudicar en forma parcial y podrá dividir la presente licitación</w:t>
      </w:r>
      <w:r>
        <w:rPr>
          <w:rFonts w:ascii="Times New Roman" w:hAnsi="Times New Roman"/>
          <w:szCs w:val="24"/>
          <w:lang w:val="es-UY"/>
        </w:rPr>
        <w:t xml:space="preserve"> por ítem, entre distintos oferentes, de acuerdo con el</w:t>
      </w:r>
      <w:r>
        <w:rPr>
          <w:rFonts w:ascii="Times New Roman" w:hAnsi="Times New Roman"/>
          <w:b/>
          <w:szCs w:val="24"/>
          <w:lang w:val="es-UY"/>
        </w:rPr>
        <w:t xml:space="preserve"> artículo 48 del TOCAF.</w:t>
      </w:r>
    </w:p>
    <w:p>
      <w:pPr>
        <w:pStyle w:val="style3"/>
        <w:ind w:hanging="0" w:left="0" w:right="0"/>
        <w:jc w:val="both"/>
        <w:rPr>
          <w:rFonts w:ascii="Times New Roman" w:hAnsi="Times New Roman"/>
          <w:lang w:val="es-UY"/>
        </w:rPr>
      </w:pPr>
      <w:r>
        <w:rPr>
          <w:rFonts w:ascii="Times New Roman" w:hAnsi="Times New Roman"/>
          <w:lang w:val="es-UY"/>
        </w:rPr>
        <w:t>Art. 16.- DECLARACION Y VALOR DE LA INFORMACIÓN TÉCNICA PRESENTADA.</w:t>
      </w:r>
    </w:p>
    <w:p>
      <w:pPr>
        <w:pStyle w:val="style0"/>
        <w:ind w:firstLine="426" w:left="0" w:right="0"/>
        <w:jc w:val="both"/>
        <w:rPr>
          <w:rFonts w:ascii="Times New Roman" w:hAnsi="Times New Roman"/>
          <w:szCs w:val="24"/>
          <w:lang w:eastAsia="es-ES"/>
        </w:rPr>
      </w:pPr>
      <w:r>
        <w:rPr>
          <w:rFonts w:ascii="Times New Roman" w:hAnsi="Times New Roman"/>
          <w:szCs w:val="24"/>
          <w:lang w:eastAsia="es-ES"/>
        </w:rPr>
        <w:t xml:space="preserve">La sola </w:t>
      </w:r>
      <w:r>
        <w:rPr>
          <w:rFonts w:ascii="Times New Roman" w:hAnsi="Times New Roman"/>
          <w:b/>
          <w:szCs w:val="24"/>
          <w:lang w:eastAsia="es-ES"/>
        </w:rPr>
        <w:t>presentación de cotización</w:t>
      </w:r>
      <w:r>
        <w:rPr>
          <w:rFonts w:ascii="Times New Roman" w:hAnsi="Times New Roman"/>
          <w:szCs w:val="24"/>
          <w:lang w:eastAsia="es-ES"/>
        </w:rPr>
        <w:t xml:space="preserve"> se considerará como declaración de la empresa oferente de encontrarse en </w:t>
      </w:r>
      <w:r>
        <w:rPr>
          <w:rFonts w:ascii="Times New Roman" w:hAnsi="Times New Roman"/>
          <w:b/>
          <w:szCs w:val="24"/>
          <w:lang w:eastAsia="es-ES"/>
        </w:rPr>
        <w:t>condiciones legales de contratar con el Estado</w:t>
      </w:r>
      <w:r>
        <w:rPr>
          <w:rFonts w:ascii="Times New Roman" w:hAnsi="Times New Roman"/>
          <w:szCs w:val="24"/>
          <w:lang w:eastAsia="es-ES"/>
        </w:rPr>
        <w:t xml:space="preserve"> (art. 46 del TOCAF) y aceptar todas las condiciones establecidas en la convocatoria</w:t>
      </w:r>
    </w:p>
    <w:p>
      <w:pPr>
        <w:pStyle w:val="style0"/>
        <w:ind w:firstLine="426" w:left="0" w:right="0"/>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 xml:space="preserve">Todos </w:t>
      </w:r>
      <w:r>
        <w:rPr>
          <w:rFonts w:ascii="Times New Roman" w:eastAsia="Bookman Old Style" w:hAnsi="Times New Roman"/>
          <w:b/>
          <w:szCs w:val="24"/>
          <w:lang w:bidi="es-ES" w:eastAsia="es-ES" w:val="es-UY"/>
        </w:rPr>
        <w:t>los datos indicados por el proponente referidos a los elementos contenidos en la oferta tendrán carácter de compromiso</w:t>
      </w:r>
      <w:r>
        <w:rPr>
          <w:rFonts w:ascii="Times New Roman" w:eastAsia="Bookman Old Style" w:hAnsi="Times New Roman"/>
          <w:szCs w:val="24"/>
          <w:lang w:bidi="es-ES" w:eastAsia="es-ES" w:val="es-UY"/>
        </w:rPr>
        <w:t>. Si se verifica que no responden estrictamente a lo establecido en la propuesta, la Administración podrá rechazarlos de plano, rescindiendo el contrato respectivo, sin que ello de lugar a reclamación de clase alguna.</w:t>
      </w:r>
    </w:p>
    <w:p>
      <w:pPr>
        <w:pStyle w:val="style0"/>
        <w:jc w:val="both"/>
        <w:rPr>
          <w:rFonts w:ascii="Times New Roman" w:hAnsi="Times New Roman"/>
          <w:szCs w:val="24"/>
          <w:lang w:val="es-UY"/>
        </w:rPr>
      </w:pPr>
      <w:r>
        <w:rPr>
          <w:rFonts w:ascii="Times New Roman" w:hAnsi="Times New Roman"/>
          <w:szCs w:val="24"/>
          <w:lang w:val="es-UY"/>
        </w:rPr>
      </w:r>
    </w:p>
    <w:p>
      <w:pPr>
        <w:pStyle w:val="style0"/>
        <w:widowControl w:val="false"/>
        <w:jc w:val="both"/>
        <w:rPr>
          <w:rFonts w:ascii="Times New Roman" w:eastAsia="Bookman Old Style" w:hAnsi="Times New Roman"/>
          <w:b/>
          <w:bCs/>
          <w:szCs w:val="24"/>
          <w:lang w:bidi="es-ES" w:eastAsia="es-ES" w:val="es-UY"/>
        </w:rPr>
      </w:pPr>
      <w:r>
        <w:rPr>
          <w:rFonts w:ascii="Times New Roman" w:eastAsia="Bookman Old Style" w:hAnsi="Times New Roman"/>
          <w:b/>
          <w:bCs/>
          <w:szCs w:val="24"/>
          <w:lang w:bidi="es-ES" w:eastAsia="es-ES" w:val="es-UY"/>
        </w:rPr>
        <w:t>Art. 17.- GARANTIA DE FIEL CUMPLIMIENTO DEL CONTRATO.</w:t>
      </w:r>
    </w:p>
    <w:p>
      <w:pPr>
        <w:pStyle w:val="style0"/>
        <w:widowControl w:val="false"/>
        <w:ind w:firstLine="426" w:left="0" w:right="0"/>
        <w:jc w:val="both"/>
        <w:rPr>
          <w:rFonts w:ascii="Times New Roman" w:eastAsia="Bookman Old Style" w:hAnsi="Times New Roman"/>
          <w:b/>
          <w:szCs w:val="24"/>
          <w:lang w:bidi="es-ES" w:eastAsia="es-ES" w:val="es-UY"/>
        </w:rPr>
      </w:pPr>
      <w:r>
        <w:rPr>
          <w:rFonts w:ascii="Times New Roman" w:eastAsia="Bookman Old Style" w:hAnsi="Times New Roman"/>
          <w:szCs w:val="24"/>
          <w:lang w:bidi="es-ES" w:eastAsia="es-ES" w:val="es-UY"/>
        </w:rPr>
        <w:t xml:space="preserve">Si correspondiere, dentro de los </w:t>
      </w:r>
      <w:r>
        <w:rPr>
          <w:rFonts w:ascii="Times New Roman" w:eastAsia="Bookman Old Style" w:hAnsi="Times New Roman"/>
          <w:b/>
          <w:bCs/>
          <w:szCs w:val="24"/>
          <w:lang w:bidi="es-ES" w:eastAsia="es-ES" w:val="es-UY"/>
        </w:rPr>
        <w:t xml:space="preserve">cinco </w:t>
      </w:r>
      <w:r>
        <w:rPr>
          <w:rFonts w:ascii="Times New Roman" w:eastAsia="Bookman Old Style" w:hAnsi="Times New Roman"/>
          <w:b/>
          <w:szCs w:val="24"/>
          <w:lang w:bidi="es-ES" w:eastAsia="es-ES" w:val="es-UY"/>
        </w:rPr>
        <w:t>días siguientes a la notificación de la adjudicación</w:t>
      </w:r>
      <w:r>
        <w:rPr>
          <w:rFonts w:ascii="Times New Roman" w:eastAsia="Bookman Old Style" w:hAnsi="Times New Roman"/>
          <w:szCs w:val="24"/>
          <w:lang w:bidi="es-ES" w:eastAsia="es-ES" w:val="es-UY"/>
        </w:rPr>
        <w:t xml:space="preserve"> o su ampliación, el adjudicatario deberá justificar la constitución de la </w:t>
      </w:r>
      <w:r>
        <w:rPr>
          <w:rFonts w:ascii="Times New Roman" w:eastAsia="Bookman Old Style" w:hAnsi="Times New Roman"/>
          <w:b/>
          <w:szCs w:val="24"/>
          <w:lang w:bidi="es-ES" w:eastAsia="es-ES" w:val="es-UY"/>
        </w:rPr>
        <w:t>garantía de cumplimiento de contrato</w:t>
      </w:r>
      <w:r>
        <w:rPr>
          <w:rFonts w:ascii="Times New Roman" w:eastAsia="Bookman Old Style" w:hAnsi="Times New Roman"/>
          <w:szCs w:val="24"/>
          <w:lang w:bidi="es-ES" w:eastAsia="es-ES" w:val="es-UY"/>
        </w:rPr>
        <w:t>, por un mínimo del</w:t>
      </w:r>
      <w:r>
        <w:rPr>
          <w:rFonts w:ascii="Times New Roman" w:eastAsia="Bookman Old Style" w:hAnsi="Times New Roman"/>
          <w:b/>
          <w:bCs/>
          <w:szCs w:val="24"/>
          <w:lang w:bidi="es-ES" w:eastAsia="es-ES" w:val="es-UY"/>
        </w:rPr>
        <w:t xml:space="preserve"> 5% </w:t>
      </w:r>
      <w:r>
        <w:rPr>
          <w:rFonts w:ascii="Times New Roman" w:eastAsia="Bookman Old Style" w:hAnsi="Times New Roman"/>
          <w:szCs w:val="24"/>
          <w:lang w:bidi="es-ES" w:eastAsia="es-ES" w:val="es-UY"/>
        </w:rPr>
        <w:t xml:space="preserve"> de la contratación, en los términos y condiciones previstos en el </w:t>
      </w:r>
      <w:r>
        <w:rPr>
          <w:rFonts w:ascii="Times New Roman" w:eastAsia="Bookman Old Style" w:hAnsi="Times New Roman"/>
          <w:b/>
          <w:szCs w:val="24"/>
          <w:lang w:bidi="es-ES" w:eastAsia="es-ES" w:val="es-UY"/>
        </w:rPr>
        <w:t>art. 64 del T.O.C.A.F.</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 xml:space="preserve">Todas las garantías se presentarán en el </w:t>
      </w:r>
      <w:r>
        <w:rPr>
          <w:rFonts w:ascii="Times New Roman" w:eastAsia="Bookman Old Style" w:hAnsi="Times New Roman"/>
          <w:b/>
          <w:bCs/>
          <w:szCs w:val="24"/>
          <w:lang w:bidi="es-ES" w:eastAsia="es-ES" w:val="es-UY"/>
        </w:rPr>
        <w:t>Departamento de Tesorería del Poder Judicial sito en la calle Paraguay 1291, 1er. Piso, en el horario de 13 a 17 horas.</w:t>
      </w:r>
      <w:r>
        <w:rPr>
          <w:rFonts w:ascii="Times New Roman" w:eastAsia="Bookman Old Style" w:hAnsi="Times New Roman"/>
          <w:szCs w:val="24"/>
          <w:lang w:bidi="es-ES" w:eastAsia="es-ES" w:val="es-UY"/>
        </w:rPr>
        <w:t xml:space="preserve"> Deberán ser emitidas con cláusulas que contemplen su vigencia hasta el cumplimiento total de las obligaciones contractuales que ampara.</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La Administración se reserva el derecho de aceptar o rechazar, a su exclusivo juicio, los documentos que constituyan garantías.</w:t>
      </w:r>
    </w:p>
    <w:p>
      <w:pPr>
        <w:pStyle w:val="style0"/>
        <w:widowControl w:val="false"/>
        <w:jc w:val="both"/>
        <w:rPr>
          <w:rFonts w:ascii="Times New Roman" w:eastAsia="Bookman Old Style" w:hAnsi="Times New Roman"/>
          <w:b/>
          <w:bCs/>
          <w:szCs w:val="24"/>
          <w:lang w:bidi="es-ES" w:eastAsia="es-ES" w:val="es-UY"/>
        </w:rPr>
      </w:pPr>
      <w:r>
        <w:rPr>
          <w:rFonts w:ascii="Times New Roman" w:eastAsia="Bookman Old Style" w:hAnsi="Times New Roman"/>
          <w:szCs w:val="24"/>
          <w:lang w:bidi="es-ES" w:eastAsia="es-ES" w:val="es-UY"/>
        </w:rPr>
        <w:tab/>
        <w:t xml:space="preserve">Las garantías se constituirán a la orden del Poder Judicial, y podrán consistir en depósito en efectivo, fianza, aval bancario o póliza de seguro de fianza. </w:t>
      </w:r>
      <w:r>
        <w:rPr>
          <w:rFonts w:ascii="Times New Roman" w:eastAsia="Bookman Old Style" w:hAnsi="Times New Roman"/>
          <w:b/>
          <w:bCs/>
          <w:szCs w:val="24"/>
          <w:lang w:bidi="es-ES" w:eastAsia="es-ES" w:val="es-UY"/>
        </w:rPr>
        <w:t xml:space="preserve">No se admitirán garantías personales de especie alguna. </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Se podrá integrar la garantía en más de una de las modalidades indicadas, siempre que todas ellas sean constituidas a nombre del Poder Judicial y que cubran la cantidad exigida en cada relación contractual.</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El documento justificativo de la constitución de garantías deberá contener necesariamente el número de licitación y el organismo que realizó el llamado.</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 xml:space="preserve">Para el caso de corresponder </w:t>
      </w:r>
      <w:r>
        <w:rPr>
          <w:rFonts w:ascii="Times New Roman" w:eastAsia="Bookman Old Style" w:hAnsi="Times New Roman"/>
          <w:b/>
          <w:szCs w:val="24"/>
          <w:lang w:bidi="es-ES" w:eastAsia="es-ES" w:val="es-UY"/>
        </w:rPr>
        <w:t>devolución de garantías</w:t>
      </w:r>
      <w:r>
        <w:rPr>
          <w:rFonts w:ascii="Times New Roman" w:eastAsia="Bookman Old Style" w:hAnsi="Times New Roman"/>
          <w:szCs w:val="24"/>
          <w:lang w:bidi="es-ES" w:eastAsia="es-ES" w:val="es-UY"/>
        </w:rPr>
        <w:t xml:space="preserve"> se procederá de la siguiente manera: </w:t>
      </w:r>
    </w:p>
    <w:p>
      <w:pPr>
        <w:pStyle w:val="style38"/>
        <w:jc w:val="both"/>
        <w:rPr>
          <w:rFonts w:ascii="Times New Roman" w:cs="Times New Roman" w:hAnsi="Times New Roman"/>
          <w:lang w:bidi="es-ES" w:eastAsia="es-ES" w:val="es-UY"/>
        </w:rPr>
      </w:pPr>
      <w:r>
        <w:rPr>
          <w:rFonts w:ascii="Times New Roman" w:cs="Times New Roman" w:hAnsi="Times New Roman"/>
          <w:b/>
          <w:bCs/>
        </w:rPr>
        <w:tab/>
      </w:r>
      <w:r>
        <w:rPr>
          <w:rFonts w:ascii="Times New Roman" w:cs="Times New Roman" w:hAnsi="Times New Roman"/>
          <w:bCs/>
          <w:lang w:bidi="es-ES" w:eastAsia="es-ES" w:val="es-UY"/>
        </w:rPr>
        <w:t>I)</w:t>
      </w:r>
      <w:r>
        <w:rPr>
          <w:rFonts w:ascii="Times New Roman" w:cs="Times New Roman" w:hAnsi="Times New Roman"/>
          <w:b/>
          <w:bCs/>
          <w:lang w:bidi="es-ES" w:eastAsia="es-ES" w:val="es-UY"/>
        </w:rPr>
        <w:t xml:space="preserve"> </w:t>
      </w:r>
      <w:r>
        <w:rPr>
          <w:rFonts w:ascii="Times New Roman" w:cs="Times New Roman" w:hAnsi="Times New Roman"/>
          <w:lang w:bidi="es-ES" w:eastAsia="es-ES" w:val="es-UY"/>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pPr>
        <w:pStyle w:val="style0"/>
        <w:jc w:val="both"/>
        <w:rPr>
          <w:rFonts w:ascii="Times New Roman" w:eastAsia="Bookman Old Style" w:hAnsi="Times New Roman"/>
          <w:bCs/>
          <w:szCs w:val="24"/>
          <w:lang w:bidi="es-ES" w:eastAsia="es-ES" w:val="es-UY"/>
        </w:rPr>
      </w:pPr>
      <w:r>
        <w:rPr>
          <w:rFonts w:ascii="Times New Roman" w:eastAsia="Bookman Old Style" w:hAnsi="Times New Roman"/>
          <w:b/>
          <w:bCs/>
          <w:szCs w:val="24"/>
          <w:lang w:bidi="es-ES" w:eastAsia="es-ES" w:val="es-UY"/>
        </w:rPr>
        <w:tab/>
      </w:r>
      <w:r>
        <w:rPr>
          <w:rFonts w:ascii="Times New Roman" w:eastAsia="Bookman Old Style" w:hAnsi="Times New Roman"/>
          <w:bCs/>
          <w:szCs w:val="24"/>
          <w:lang w:bidi="es-ES" w:eastAsia="es-ES" w:val="es-UY"/>
        </w:rPr>
        <w:t>II)</w:t>
      </w:r>
      <w:r>
        <w:rPr>
          <w:rFonts w:ascii="Times New Roman" w:eastAsia="Bookman Old Style" w:hAnsi="Times New Roman"/>
          <w:b/>
          <w:bCs/>
          <w:szCs w:val="24"/>
          <w:lang w:bidi="es-ES" w:eastAsia="es-ES" w:val="es-UY"/>
        </w:rPr>
        <w:t xml:space="preserve"> </w:t>
      </w:r>
      <w:r>
        <w:rPr>
          <w:rFonts w:ascii="Times New Roman" w:eastAsia="Bookman Old Style" w:hAnsi="Times New Roman"/>
          <w:bCs/>
          <w:szCs w:val="24"/>
          <w:lang w:bidi="es-ES" w:eastAsia="es-ES" w:val="es-UY"/>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r>
    </w:p>
    <w:p>
      <w:pPr>
        <w:pStyle w:val="style0"/>
        <w:keepNext/>
        <w:widowControl w:val="false"/>
        <w:jc w:val="both"/>
        <w:rPr>
          <w:rFonts w:ascii="Times New Roman" w:eastAsia="Bookman Old Style" w:hAnsi="Times New Roman"/>
          <w:b/>
          <w:bCs/>
          <w:szCs w:val="24"/>
          <w:lang w:bidi="es-ES" w:eastAsia="es-ES" w:val="es-UY"/>
        </w:rPr>
      </w:pPr>
      <w:r>
        <w:rPr>
          <w:rFonts w:ascii="Times New Roman" w:eastAsia="Bookman Old Style" w:hAnsi="Times New Roman"/>
          <w:b/>
          <w:bCs/>
          <w:szCs w:val="24"/>
          <w:lang w:bidi="es-ES" w:eastAsia="es-ES" w:val="es-UY"/>
        </w:rPr>
        <w:t xml:space="preserve">Art. 18.- EXENCIÓN DE RESPONSABILIDAD E INTERPRETACION. </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b/>
          <w:bCs/>
          <w:szCs w:val="24"/>
          <w:lang w:bidi="es-ES" w:eastAsia="es-ES" w:val="es-UY"/>
        </w:rPr>
        <w:tab/>
      </w:r>
      <w:r>
        <w:rPr>
          <w:rFonts w:ascii="Times New Roman" w:eastAsia="Bookman Old Style" w:hAnsi="Times New Roman"/>
          <w:b/>
          <w:szCs w:val="24"/>
          <w:lang w:bidi="es-ES" w:eastAsia="es-ES" w:val="es-UY"/>
        </w:rPr>
        <w:t>La Administración podrá desistir del llamado en cualquier etapa de su realización</w:t>
      </w:r>
      <w:r>
        <w:rPr>
          <w:rFonts w:ascii="Times New Roman" w:eastAsia="Bookman Old Style" w:hAnsi="Times New Roman"/>
          <w:szCs w:val="24"/>
          <w:lang w:bidi="es-ES" w:eastAsia="es-ES" w:val="es-UY"/>
        </w:rPr>
        <w:t xml:space="preserve">, o podrá desestimar todas las ofertas. Ninguna de estas decisiones generará derecho alguno de los participantes a reclamar por gastos, honorarios o indemnizaciones por daños y perjuicios. </w:t>
      </w:r>
    </w:p>
    <w:p>
      <w:pPr>
        <w:pStyle w:val="style0"/>
        <w:widowControl w:val="false"/>
        <w:jc w:val="both"/>
        <w:rPr>
          <w:rFonts w:ascii="Times New Roman" w:eastAsia="Bookman Old Style" w:hAnsi="Times New Roman"/>
          <w:szCs w:val="24"/>
          <w:lang w:bidi="es-ES" w:eastAsia="es-ES" w:val="es-UY"/>
        </w:rPr>
      </w:pPr>
      <w:r>
        <w:rPr>
          <w:rFonts w:ascii="Times New Roman" w:eastAsia="Bookman Old Style" w:hAnsi="Times New Roman"/>
          <w:szCs w:val="24"/>
          <w:lang w:bidi="es-ES" w:eastAsia="es-ES" w:val="es-UY"/>
        </w:rPr>
        <w:tab/>
        <w:t>Toda cláusula imprecisa, ambigua, contradictoria u oscura a criterio de la Administración, se interpretará en el sentido más favorable a ésta.</w:t>
      </w:r>
    </w:p>
    <w:p>
      <w:pPr>
        <w:pStyle w:val="style0"/>
        <w:widowControl w:val="false"/>
        <w:jc w:val="both"/>
        <w:rPr/>
      </w:pPr>
      <w:r>
        <w:rPr/>
      </w:r>
    </w:p>
    <w:sectPr>
      <w:type w:val="nextPage"/>
      <w:pgSz w:h="16838" w:w="11906"/>
      <w:pgMar w:bottom="1134" w:footer="0" w:gutter="0" w:header="0" w:left="2381" w:right="907" w:top="238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man Old Style">
    <w:charset w:val="00"/>
    <w:family w:val="roman"/>
    <w:pitch w:val="variable"/>
  </w:font>
  <w:font w:name="Courier">
    <w:altName w:val="Courier New"/>
    <w:charset w:val="00"/>
    <w:family w:val="roman"/>
    <w:pitch w:val="variable"/>
  </w:font>
  <w:font w:name="Cambria">
    <w:charset w:val="00"/>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1423"/>
      </w:pPr>
      <w:rPr>
        <w:rFonts w:ascii="Wingdings" w:cs="Wingdings" w:hAnsi="Wingdings" w:hint="default"/>
      </w:rPr>
    </w:lvl>
    <w:lvl w:ilvl="1">
      <w:start w:val="1"/>
      <w:numFmt w:val="bullet"/>
      <w:lvlText w:val="o"/>
      <w:lvlJc w:val="left"/>
      <w:pPr>
        <w:ind w:hanging="360" w:left="2143"/>
      </w:pPr>
      <w:rPr>
        <w:rFonts w:ascii="Courier New" w:cs="Courier New" w:hAnsi="Courier New" w:hint="default"/>
      </w:rPr>
    </w:lvl>
    <w:lvl w:ilvl="2">
      <w:start w:val="1"/>
      <w:numFmt w:val="bullet"/>
      <w:lvlText w:val=""/>
      <w:lvlJc w:val="left"/>
      <w:pPr>
        <w:ind w:hanging="360" w:left="2863"/>
      </w:pPr>
      <w:rPr>
        <w:rFonts w:ascii="Wingdings" w:cs="Wingdings" w:hAnsi="Wingdings" w:hint="default"/>
      </w:rPr>
    </w:lvl>
    <w:lvl w:ilvl="3">
      <w:start w:val="1"/>
      <w:numFmt w:val="bullet"/>
      <w:lvlText w:val=""/>
      <w:lvlJc w:val="left"/>
      <w:pPr>
        <w:ind w:hanging="360" w:left="3583"/>
      </w:pPr>
      <w:rPr>
        <w:rFonts w:ascii="Symbol" w:cs="Symbol" w:hAnsi="Symbol" w:hint="default"/>
      </w:rPr>
    </w:lvl>
    <w:lvl w:ilvl="4">
      <w:start w:val="1"/>
      <w:numFmt w:val="bullet"/>
      <w:lvlText w:val="o"/>
      <w:lvlJc w:val="left"/>
      <w:pPr>
        <w:ind w:hanging="360" w:left="4303"/>
      </w:pPr>
      <w:rPr>
        <w:rFonts w:ascii="Courier New" w:cs="Courier New" w:hAnsi="Courier New" w:hint="default"/>
      </w:rPr>
    </w:lvl>
    <w:lvl w:ilvl="5">
      <w:start w:val="1"/>
      <w:numFmt w:val="bullet"/>
      <w:lvlText w:val=""/>
      <w:lvlJc w:val="left"/>
      <w:pPr>
        <w:ind w:hanging="360" w:left="5023"/>
      </w:pPr>
      <w:rPr>
        <w:rFonts w:ascii="Wingdings" w:cs="Wingdings" w:hAnsi="Wingdings" w:hint="default"/>
      </w:rPr>
    </w:lvl>
    <w:lvl w:ilvl="6">
      <w:start w:val="1"/>
      <w:numFmt w:val="bullet"/>
      <w:lvlText w:val=""/>
      <w:lvlJc w:val="left"/>
      <w:pPr>
        <w:ind w:hanging="360" w:left="5743"/>
      </w:pPr>
      <w:rPr>
        <w:rFonts w:ascii="Symbol" w:cs="Symbol" w:hAnsi="Symbol" w:hint="default"/>
      </w:rPr>
    </w:lvl>
    <w:lvl w:ilvl="7">
      <w:start w:val="1"/>
      <w:numFmt w:val="bullet"/>
      <w:lvlText w:val="o"/>
      <w:lvlJc w:val="left"/>
      <w:pPr>
        <w:ind w:hanging="360" w:left="6463"/>
      </w:pPr>
      <w:rPr>
        <w:rFonts w:ascii="Courier New" w:cs="Courier New" w:hAnsi="Courier New" w:hint="default"/>
      </w:rPr>
    </w:lvl>
    <w:lvl w:ilvl="8">
      <w:start w:val="1"/>
      <w:numFmt w:val="bullet"/>
      <w:lvlText w:val=""/>
      <w:lvlJc w:val="left"/>
      <w:pPr>
        <w:ind w:hanging="360" w:left="7183"/>
      </w:pPr>
      <w:rPr>
        <w:rFonts w:ascii="Wingdings" w:cs="Wingdings" w:hAnsi="Wingdings" w:hint="default"/>
      </w:rPr>
    </w:lvl>
  </w:abstractNum>
  <w:abstractNum w:abstractNumId="3">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Bookman Old Style" w:cs="Times New Roman" w:eastAsia="Times New Roman" w:hAnsi="Bookman Old Style"/>
      <w:color w:val="auto"/>
      <w:sz w:val="24"/>
      <w:szCs w:val="20"/>
      <w:lang w:bidi="ar-SA" w:eastAsia="ar-SA" w:val="es-ES"/>
    </w:rPr>
  </w:style>
  <w:style w:styleId="style1" w:type="paragraph">
    <w:name w:val="Encabezado 1"/>
    <w:basedOn w:val="style0"/>
    <w:next w:val="style1"/>
    <w:pPr>
      <w:keepNext/>
      <w:tabs>
        <w:tab w:leader="none" w:pos="432" w:val="left"/>
      </w:tabs>
      <w:spacing w:line="240" w:lineRule="exact"/>
      <w:ind w:hanging="432" w:left="432" w:right="0"/>
      <w:jc w:val="both"/>
    </w:pPr>
    <w:rPr>
      <w:rFonts w:ascii="Courier" w:hAnsi="Courier"/>
      <w:b/>
      <w:bCs/>
      <w:szCs w:val="24"/>
    </w:rPr>
  </w:style>
  <w:style w:styleId="style3" w:type="paragraph">
    <w:name w:val="Encabezado 3"/>
    <w:basedOn w:val="style0"/>
    <w:next w:val="style3"/>
    <w:pPr>
      <w:keepNext/>
      <w:tabs>
        <w:tab w:leader="none" w:pos="720" w:val="left"/>
      </w:tabs>
      <w:ind w:hanging="720" w:left="720" w:right="0"/>
    </w:pPr>
    <w:rPr>
      <w:b/>
      <w:bCs/>
      <w:szCs w:val="24"/>
      <w:lang w:val="es-ES"/>
    </w:rPr>
  </w:style>
  <w:style w:styleId="style4" w:type="paragraph">
    <w:name w:val="Encabezado 4"/>
    <w:basedOn w:val="style0"/>
    <w:next w:val="style4"/>
    <w:pPr>
      <w:keepNext/>
      <w:tabs>
        <w:tab w:leader="none" w:pos="864" w:val="left"/>
      </w:tabs>
      <w:spacing w:line="260" w:lineRule="exact"/>
      <w:ind w:hanging="864" w:left="864" w:right="0"/>
      <w:jc w:val="both"/>
    </w:pPr>
    <w:rPr>
      <w:b/>
      <w:bCs/>
      <w:sz w:val="22"/>
      <w:szCs w:val="22"/>
    </w:rPr>
  </w:style>
  <w:style w:styleId="style15" w:type="character">
    <w:name w:val="Default Paragraph Font"/>
    <w:next w:val="style15"/>
    <w:rPr/>
  </w:style>
  <w:style w:styleId="style16" w:type="character">
    <w:name w:val="Título 1 Car"/>
    <w:basedOn w:val="style15"/>
    <w:next w:val="style16"/>
    <w:rPr>
      <w:rFonts w:ascii="Courier" w:cs="Times New Roman" w:eastAsia="Times New Roman" w:hAnsi="Courier"/>
      <w:b/>
      <w:bCs/>
      <w:sz w:val="24"/>
      <w:szCs w:val="24"/>
      <w:lang w:eastAsia="ar-SA" w:val="es-ES"/>
    </w:rPr>
  </w:style>
  <w:style w:styleId="style17" w:type="character">
    <w:name w:val="Título 3 Car"/>
    <w:basedOn w:val="style15"/>
    <w:next w:val="style17"/>
    <w:rPr>
      <w:rFonts w:ascii="Bookman Old Style" w:cs="Times New Roman" w:eastAsia="Times New Roman" w:hAnsi="Bookman Old Style"/>
      <w:b/>
      <w:bCs/>
      <w:sz w:val="24"/>
      <w:szCs w:val="24"/>
      <w:lang w:eastAsia="ar-SA" w:val="es-ES"/>
    </w:rPr>
  </w:style>
  <w:style w:styleId="style18" w:type="character">
    <w:name w:val="Título 4 Car"/>
    <w:basedOn w:val="style15"/>
    <w:next w:val="style18"/>
    <w:rPr>
      <w:rFonts w:ascii="Bookman Old Style" w:cs="Times New Roman" w:eastAsia="Times New Roman" w:hAnsi="Bookman Old Style"/>
      <w:b/>
      <w:bCs/>
      <w:lang w:eastAsia="ar-SA" w:val="es-ES"/>
    </w:rPr>
  </w:style>
  <w:style w:styleId="style19" w:type="character">
    <w:name w:val="Enlace de Internet"/>
    <w:next w:val="style19"/>
    <w:rPr>
      <w:color w:val="0000FF"/>
      <w:u w:val="single"/>
      <w:lang w:bidi="zxx-" w:eastAsia="zxx-" w:val="zxx-"/>
    </w:rPr>
  </w:style>
  <w:style w:styleId="style20" w:type="character">
    <w:name w:val="Fuente de párrafo predeter.2"/>
    <w:next w:val="style20"/>
    <w:rPr/>
  </w:style>
  <w:style w:styleId="style21" w:type="character">
    <w:name w:val="Texto independiente Car"/>
    <w:basedOn w:val="style15"/>
    <w:next w:val="style21"/>
    <w:rPr>
      <w:rFonts w:ascii="Courier" w:cs="Times New Roman" w:eastAsia="Times New Roman" w:hAnsi="Courier"/>
      <w:sz w:val="24"/>
      <w:szCs w:val="24"/>
      <w:lang w:eastAsia="ar-SA" w:val="es-ES"/>
    </w:rPr>
  </w:style>
  <w:style w:styleId="style22" w:type="character">
    <w:name w:val="Título Car"/>
    <w:basedOn w:val="style15"/>
    <w:next w:val="style22"/>
    <w:rPr>
      <w:rFonts w:ascii="Bookman Old Style" w:cs="Times New Roman" w:eastAsia="Times New Roman" w:hAnsi="Bookman Old Style"/>
      <w:b/>
      <w:bCs/>
      <w:lang w:eastAsia="ar-SA" w:val="es-ES"/>
    </w:rPr>
  </w:style>
  <w:style w:styleId="style23" w:type="character">
    <w:name w:val="Subtítulo Car"/>
    <w:basedOn w:val="style15"/>
    <w:next w:val="style23"/>
    <w:rPr>
      <w:rFonts w:ascii="Cambria" w:cs="" w:hAnsi="Cambria"/>
      <w:i/>
      <w:iCs/>
      <w:color w:val="4F81BD"/>
      <w:spacing w:val="15"/>
      <w:sz w:val="24"/>
      <w:szCs w:val="24"/>
      <w:lang w:eastAsia="ar-SA" w:val="es-ES"/>
    </w:rPr>
  </w:style>
  <w:style w:styleId="style24" w:type="character">
    <w:name w:val="ListLabel 1"/>
    <w:next w:val="style24"/>
    <w:rPr>
      <w:b/>
    </w:rPr>
  </w:style>
  <w:style w:styleId="style25" w:type="character">
    <w:name w:val="ListLabel 2"/>
    <w:next w:val="style25"/>
    <w:rPr>
      <w:rFonts w:cs="Courier New"/>
    </w:rPr>
  </w:style>
  <w:style w:styleId="style26" w:type="paragraph">
    <w:name w:val="Encabezado"/>
    <w:basedOn w:val="style0"/>
    <w:next w:val="style27"/>
    <w:pPr>
      <w:keepNext/>
      <w:spacing w:after="120" w:before="240"/>
      <w:contextualSpacing w:val="false"/>
    </w:pPr>
    <w:rPr>
      <w:rFonts w:ascii="Arial" w:cs="Droid Sans Devanagari" w:eastAsia="Droid Sans Fallback" w:hAnsi="Arial"/>
      <w:sz w:val="28"/>
      <w:szCs w:val="28"/>
    </w:rPr>
  </w:style>
  <w:style w:styleId="style27" w:type="paragraph">
    <w:name w:val="Cuerpo de texto"/>
    <w:basedOn w:val="style0"/>
    <w:next w:val="style27"/>
    <w:pPr>
      <w:spacing w:line="240" w:lineRule="exact"/>
      <w:jc w:val="both"/>
    </w:pPr>
    <w:rPr>
      <w:rFonts w:ascii="Courier" w:hAnsi="Courier"/>
      <w:szCs w:val="24"/>
    </w:rPr>
  </w:style>
  <w:style w:styleId="style28" w:type="paragraph">
    <w:name w:val="Lista"/>
    <w:basedOn w:val="style27"/>
    <w:next w:val="style28"/>
    <w:pPr/>
    <w:rPr>
      <w:rFonts w:cs="Droid Sans Devanagari"/>
    </w:rPr>
  </w:style>
  <w:style w:styleId="style29" w:type="paragraph">
    <w:name w:val="Pie"/>
    <w:basedOn w:val="style0"/>
    <w:next w:val="style29"/>
    <w:pPr>
      <w:suppressLineNumbers/>
      <w:spacing w:after="120" w:before="120"/>
      <w:contextualSpacing w:val="false"/>
    </w:pPr>
    <w:rPr>
      <w:rFonts w:cs="Droid Sans Devanagari"/>
      <w:i/>
      <w:iCs/>
      <w:sz w:val="24"/>
      <w:szCs w:val="24"/>
    </w:rPr>
  </w:style>
  <w:style w:styleId="style30" w:type="paragraph">
    <w:name w:val="Índice"/>
    <w:basedOn w:val="style0"/>
    <w:next w:val="style30"/>
    <w:pPr>
      <w:suppressLineNumbers/>
    </w:pPr>
    <w:rPr>
      <w:rFonts w:cs="Droid Sans Devanagari"/>
    </w:rPr>
  </w:style>
  <w:style w:styleId="style31" w:type="paragraph">
    <w:name w:val="Título"/>
    <w:basedOn w:val="style0"/>
    <w:next w:val="style31"/>
    <w:pPr>
      <w:spacing w:line="260" w:lineRule="exact"/>
      <w:jc w:val="center"/>
    </w:pPr>
    <w:rPr>
      <w:b/>
      <w:bCs/>
      <w:sz w:val="22"/>
      <w:szCs w:val="22"/>
    </w:rPr>
  </w:style>
  <w:style w:styleId="style32" w:type="paragraph">
    <w:name w:val="Normal1"/>
    <w:next w:val="style32"/>
    <w:pPr>
      <w:widowControl/>
      <w:suppressAutoHyphens w:val="true"/>
      <w:spacing w:after="0" w:before="0" w:line="100" w:lineRule="atLeast"/>
      <w:contextualSpacing w:val="false"/>
    </w:pPr>
    <w:rPr>
      <w:rFonts w:ascii="Times New Roman" w:cs="Times New Roman" w:eastAsia="Arial" w:hAnsi="Times New Roman"/>
      <w:color w:val="auto"/>
      <w:sz w:val="24"/>
      <w:szCs w:val="20"/>
      <w:lang w:bidi="ar-SA" w:eastAsia="ar-SA" w:val="es-ES"/>
    </w:rPr>
  </w:style>
  <w:style w:styleId="style33" w:type="paragraph">
    <w:name w:val="Normal (Web)"/>
    <w:basedOn w:val="style0"/>
    <w:next w:val="style33"/>
    <w:pPr>
      <w:spacing w:after="119" w:before="280"/>
      <w:contextualSpacing w:val="false"/>
    </w:pPr>
    <w:rPr>
      <w:rFonts w:ascii="Times New Roman" w:hAnsi="Times New Roman"/>
      <w:szCs w:val="24"/>
      <w:lang w:val="es-UY"/>
    </w:rPr>
  </w:style>
  <w:style w:styleId="style34" w:type="paragraph">
    <w:name w:val="List Paragraph"/>
    <w:basedOn w:val="style0"/>
    <w:next w:val="style34"/>
    <w:pPr>
      <w:ind w:hanging="0" w:left="708" w:right="0"/>
    </w:pPr>
    <w:rPr/>
  </w:style>
  <w:style w:styleId="style35" w:type="paragraph">
    <w:name w:val="Standard (user)"/>
    <w:next w:val="style35"/>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 w:styleId="style36" w:type="paragraph">
    <w:name w:val="Subtítulo"/>
    <w:basedOn w:val="style0"/>
    <w:next w:val="style36"/>
    <w:pPr>
      <w:jc w:val="left"/>
    </w:pPr>
    <w:rPr>
      <w:rFonts w:ascii="Cambria" w:cs="" w:hAnsi="Cambria"/>
      <w:i/>
      <w:iCs/>
      <w:color w:val="4F81BD"/>
      <w:spacing w:val="15"/>
      <w:szCs w:val="24"/>
    </w:rPr>
  </w:style>
  <w:style w:styleId="style37" w:type="paragraph">
    <w:name w:val="Default"/>
    <w:next w:val="style37"/>
    <w:pPr>
      <w:widowControl/>
      <w:suppressAutoHyphens w:val="true"/>
      <w:spacing w:after="0" w:before="0" w:line="100" w:lineRule="atLeast"/>
      <w:contextualSpacing w:val="false"/>
    </w:pPr>
    <w:rPr>
      <w:rFonts w:ascii="Times New Roman" w:cs="Times New Roman" w:eastAsia="Calibri" w:hAnsi="Times New Roman"/>
      <w:color w:val="000000"/>
      <w:sz w:val="24"/>
      <w:szCs w:val="24"/>
      <w:lang w:bidi="ar-SA" w:eastAsia="en-US" w:val="es-UY"/>
    </w:rPr>
  </w:style>
  <w:style w:styleId="style38" w:type="paragraph">
    <w:name w:val="Standard"/>
    <w:next w:val="style38"/>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LibreOffice/4.1.5.3$Linux_x86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2019-08-27T18:03:00Z</dcterms:created>
  <dc:creator>BASSO</dc:creator>
  <cp:lastModifiedBy>cqueirolo</cp:lastModifiedBy>
  <cp:lastPrinted>2019-08-22T21:16:00Z</cp:lastPrinted>
  <dcterms:modified xsi:type="dcterms:W3CDTF">2019-08-29T18:47:00Z</dcterms:modified>
  <cp:revision>15</cp:revision>
</cp:coreProperties>
</file>