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spacing w:line="276" w:lineRule="auto"/>
        <w:rPr>
          <w:rFonts w:cs="Times New Roman"/>
          <w:sz w:val="24"/>
          <w:szCs w:val="24"/>
        </w:rPr>
      </w:pPr>
      <w:r>
        <w:rPr>
          <w:rFonts w:cs="Times New Roman"/>
          <w:sz w:val="24"/>
          <w:szCs w:val="24"/>
        </w:rPr>
        <w:t>PODER JUDICIAL</w:t>
      </w:r>
    </w:p>
    <w:p>
      <w:pPr>
        <w:pStyle w:val="style0"/>
        <w:spacing w:line="276" w:lineRule="auto"/>
        <w:jc w:val="center"/>
        <w:rPr>
          <w:rFonts w:cs="Times New Roman"/>
          <w:b/>
          <w:bCs/>
        </w:rPr>
      </w:pPr>
      <w:r>
        <w:rPr>
          <w:rFonts w:cs="Times New Roman"/>
          <w:b/>
          <w:bCs/>
        </w:rPr>
      </w:r>
    </w:p>
    <w:p>
      <w:pPr>
        <w:pStyle w:val="style0"/>
        <w:spacing w:line="276" w:lineRule="auto"/>
        <w:jc w:val="center"/>
        <w:rPr>
          <w:rFonts w:cs="Times New Roman"/>
          <w:b/>
          <w:bCs/>
        </w:rPr>
      </w:pPr>
      <w:r>
        <w:rPr>
          <w:rFonts w:cs="Times New Roman"/>
          <w:b/>
          <w:bCs/>
        </w:rPr>
        <w:t>DEPARTAMENTO DE ADQUISICIONES</w:t>
      </w:r>
    </w:p>
    <w:p>
      <w:pPr>
        <w:pStyle w:val="style0"/>
        <w:spacing w:line="276" w:lineRule="auto"/>
        <w:jc w:val="center"/>
        <w:rPr>
          <w:rFonts w:cs="Times New Roman"/>
          <w:b/>
          <w:bCs/>
        </w:rPr>
      </w:pPr>
      <w:r>
        <w:rPr>
          <w:rFonts w:cs="Times New Roman"/>
          <w:b/>
          <w:bCs/>
        </w:rPr>
      </w:r>
    </w:p>
    <w:p>
      <w:pPr>
        <w:pStyle w:val="style0"/>
        <w:spacing w:line="276" w:lineRule="auto"/>
        <w:jc w:val="center"/>
        <w:rPr>
          <w:rFonts w:cs="Times New Roman"/>
          <w:b/>
          <w:bCs/>
        </w:rPr>
      </w:pPr>
      <w:r>
        <w:rPr>
          <w:rFonts w:cs="Times New Roman"/>
          <w:b/>
          <w:bCs/>
        </w:rPr>
        <w:t>LICITACIÓN ABREVIADA Nº    21</w:t>
      </w:r>
      <w:bookmarkStart w:id="0" w:name="_GoBack"/>
      <w:bookmarkEnd w:id="0"/>
      <w:r>
        <w:rPr>
          <w:rFonts w:cs="Times New Roman"/>
          <w:b/>
          <w:bCs/>
        </w:rPr>
        <w:t>/ 2019</w:t>
      </w:r>
    </w:p>
    <w:p>
      <w:pPr>
        <w:pStyle w:val="style0"/>
        <w:spacing w:line="276" w:lineRule="auto"/>
        <w:jc w:val="both"/>
        <w:rPr>
          <w:rFonts w:cs="Times New Roman"/>
          <w:b/>
          <w:bCs/>
        </w:rPr>
      </w:pPr>
      <w:r>
        <w:rPr>
          <w:rFonts w:cs="Times New Roman"/>
          <w:b/>
          <w:bCs/>
        </w:rPr>
      </w:r>
    </w:p>
    <w:p>
      <w:pPr>
        <w:pStyle w:val="style33"/>
        <w:spacing w:line="276" w:lineRule="auto"/>
        <w:jc w:val="center"/>
        <w:rPr>
          <w:rFonts w:ascii="Bookman Old Style" w:cs="Times New Roman" w:eastAsia="Bookman Old Style" w:hAnsi="Bookman Old Style"/>
        </w:rPr>
      </w:pPr>
      <w:r>
        <w:rPr>
          <w:rFonts w:ascii="Bookman Old Style" w:cs="Times New Roman" w:eastAsia="Bookman Old Style" w:hAnsi="Bookman Old Style"/>
        </w:rPr>
        <w:t>Inciso 16</w:t>
      </w:r>
    </w:p>
    <w:p>
      <w:pPr>
        <w:pStyle w:val="style0"/>
        <w:spacing w:line="276" w:lineRule="auto"/>
        <w:jc w:val="both"/>
        <w:rPr>
          <w:rFonts w:cs="Times New Roman"/>
        </w:rPr>
      </w:pPr>
      <w:r>
        <w:rPr>
          <w:rFonts w:cs="Times New Roman"/>
        </w:rPr>
      </w:r>
    </w:p>
    <w:p>
      <w:pPr>
        <w:pStyle w:val="style0"/>
        <w:widowControl/>
        <w:spacing w:line="276" w:lineRule="auto"/>
        <w:jc w:val="both"/>
        <w:rPr>
          <w:rFonts w:cs="Times New Roman" w:eastAsia="Arial"/>
          <w:lang w:bidi="ar-SA" w:eastAsia="ar-SA"/>
        </w:rPr>
      </w:pPr>
      <w:r>
        <w:rPr>
          <w:rFonts w:cs="Times New Roman" w:eastAsia="Arial"/>
          <w:lang w:bidi="ar-SA" w:eastAsia="ar-SA"/>
        </w:rPr>
        <w:t xml:space="preserve">El presente llamado se regirá por lo establecido en  las siguientes disposiciones: </w:t>
      </w:r>
    </w:p>
    <w:p>
      <w:pPr>
        <w:pStyle w:val="style0"/>
        <w:widowControl/>
        <w:numPr>
          <w:ilvl w:val="0"/>
          <w:numId w:val="1"/>
        </w:numPr>
        <w:tabs>
          <w:tab w:leader="none" w:pos="810" w:val="left"/>
        </w:tabs>
        <w:spacing w:line="276" w:lineRule="auto"/>
        <w:jc w:val="both"/>
        <w:rPr>
          <w:rFonts w:cs="Times New Roman" w:eastAsia="Arial"/>
          <w:lang w:bidi="ar-SA" w:eastAsia="ar-SA"/>
        </w:rPr>
      </w:pPr>
      <w:r>
        <w:rPr>
          <w:rFonts w:cs="Times New Roman" w:eastAsia="Arial"/>
          <w:lang w:bidi="ar-SA" w:eastAsia="ar-SA"/>
        </w:rPr>
        <w:t>T.O.C.A.F. aprobado por Decreto N° 150/012 de 11 de mayo de 2012</w:t>
      </w:r>
    </w:p>
    <w:p>
      <w:pPr>
        <w:pStyle w:val="style0"/>
        <w:widowControl/>
        <w:numPr>
          <w:ilvl w:val="0"/>
          <w:numId w:val="1"/>
        </w:numPr>
        <w:tabs>
          <w:tab w:leader="none" w:pos="810" w:val="left"/>
        </w:tabs>
        <w:spacing w:line="276" w:lineRule="auto"/>
        <w:jc w:val="both"/>
        <w:rPr>
          <w:rFonts w:cs="Times New Roman" w:eastAsia="Arial"/>
          <w:lang w:bidi="ar-SA" w:eastAsia="ar-SA"/>
        </w:rPr>
      </w:pPr>
      <w:r>
        <w:rPr>
          <w:rFonts w:cs="Times New Roman" w:eastAsia="Arial"/>
          <w:lang w:bidi="ar-SA" w:eastAsia="ar-SA"/>
        </w:rPr>
        <w:t>Decreto Nº 155/013</w:t>
      </w:r>
    </w:p>
    <w:p>
      <w:pPr>
        <w:pStyle w:val="style0"/>
        <w:widowControl/>
        <w:numPr>
          <w:ilvl w:val="0"/>
          <w:numId w:val="1"/>
        </w:numPr>
        <w:tabs>
          <w:tab w:leader="none" w:pos="0" w:val="left"/>
          <w:tab w:leader="none" w:pos="810" w:val="left"/>
        </w:tabs>
        <w:spacing w:line="276" w:lineRule="auto"/>
        <w:jc w:val="both"/>
        <w:rPr>
          <w:rFonts w:cs="Times New Roman" w:eastAsia="Arial"/>
          <w:lang w:bidi="ar-SA" w:eastAsia="ar-SA"/>
        </w:rPr>
      </w:pPr>
      <w:r>
        <w:rPr>
          <w:rFonts w:cs="Times New Roman" w:eastAsia="Arial"/>
          <w:lang w:bidi="ar-SA" w:eastAsia="ar-SA"/>
        </w:rPr>
        <w:t>Acordada Nº 7400 de 27 de junio de 2000</w:t>
      </w:r>
    </w:p>
    <w:p>
      <w:pPr>
        <w:pStyle w:val="style0"/>
        <w:widowControl/>
        <w:numPr>
          <w:ilvl w:val="0"/>
          <w:numId w:val="1"/>
        </w:numPr>
        <w:tabs>
          <w:tab w:leader="none" w:pos="810" w:val="left"/>
        </w:tabs>
        <w:spacing w:line="276" w:lineRule="auto"/>
        <w:jc w:val="both"/>
        <w:rPr>
          <w:rFonts w:cs="Times New Roman" w:eastAsia="Arial"/>
        </w:rPr>
      </w:pPr>
      <w:r>
        <w:rPr>
          <w:rFonts w:cs="Times New Roman" w:eastAsia="Arial"/>
        </w:rPr>
        <w:t>Decreto Nº 131/2014: Pliego Único de Bases y Condiciones  Generales para Contratos de Suministros y Servicios No Personales</w:t>
      </w:r>
    </w:p>
    <w:p>
      <w:pPr>
        <w:pStyle w:val="style0"/>
        <w:widowControl/>
        <w:numPr>
          <w:ilvl w:val="0"/>
          <w:numId w:val="1"/>
        </w:numPr>
        <w:tabs>
          <w:tab w:leader="none" w:pos="810" w:val="left"/>
        </w:tabs>
        <w:spacing w:line="276" w:lineRule="auto"/>
        <w:jc w:val="both"/>
        <w:rPr>
          <w:rFonts w:cs="Times New Roman" w:eastAsia="Arial"/>
          <w:lang w:bidi="ar-SA" w:eastAsia="ar-SA"/>
        </w:rPr>
      </w:pPr>
      <w:r>
        <w:rPr>
          <w:rFonts w:cs="Times New Roman" w:eastAsia="Arial"/>
          <w:lang w:bidi="ar-SA" w:eastAsia="ar-SA"/>
        </w:rPr>
        <w:t>Leyes, decretos y resoluciones vigentes a la fecha de aperturas de la licitación, en tanto fueren aplicables</w:t>
      </w:r>
    </w:p>
    <w:p>
      <w:pPr>
        <w:pStyle w:val="style35"/>
        <w:spacing w:line="276" w:lineRule="auto"/>
        <w:rPr>
          <w:rFonts w:cs="Times New Roman"/>
          <w:sz w:val="24"/>
          <w:szCs w:val="24"/>
        </w:rPr>
      </w:pPr>
      <w:r>
        <w:rPr>
          <w:rFonts w:cs="Times New Roman"/>
          <w:sz w:val="24"/>
          <w:szCs w:val="24"/>
        </w:rPr>
      </w:r>
    </w:p>
    <w:p>
      <w:pPr>
        <w:pStyle w:val="style35"/>
        <w:spacing w:line="276" w:lineRule="auto"/>
        <w:rPr>
          <w:rFonts w:cs="Times New Roman"/>
          <w:sz w:val="24"/>
          <w:szCs w:val="24"/>
        </w:rPr>
      </w:pPr>
      <w:r>
        <w:rPr>
          <w:rFonts w:cs="Times New Roman"/>
          <w:sz w:val="24"/>
          <w:szCs w:val="24"/>
        </w:rPr>
        <w:t>Art. 1.- OBJETO DEL CONTRATO Y CARACTERISTICAS ESPECIALES</w:t>
      </w:r>
    </w:p>
    <w:p>
      <w:pPr>
        <w:pStyle w:val="style0"/>
        <w:spacing w:line="276" w:lineRule="auto"/>
        <w:jc w:val="both"/>
        <w:rPr>
          <w:rFonts w:cs="Times New Roman"/>
          <w:b/>
          <w:bCs/>
        </w:rPr>
      </w:pPr>
      <w:r>
        <w:rPr>
          <w:rFonts w:cs="Times New Roman"/>
          <w:b/>
          <w:bCs/>
        </w:rPr>
      </w:r>
    </w:p>
    <w:p>
      <w:pPr>
        <w:pStyle w:val="style0"/>
        <w:spacing w:line="276" w:lineRule="auto"/>
        <w:jc w:val="both"/>
        <w:rPr>
          <w:rFonts w:cs="Times New Roman"/>
          <w:b/>
          <w:bCs/>
          <w:lang w:val="es-UY"/>
        </w:rPr>
      </w:pPr>
      <w:r>
        <w:rPr>
          <w:rFonts w:cs="Times New Roman"/>
          <w:b/>
          <w:bCs/>
          <w:lang w:val="es-UY"/>
        </w:rPr>
        <w:t xml:space="preserve">1.1.- </w:t>
      </w:r>
      <w:bookmarkStart w:id="1" w:name="__DdeLink__483_196625009"/>
      <w:bookmarkEnd w:id="1"/>
      <w:r>
        <w:rPr>
          <w:rFonts w:cs="Times New Roman"/>
          <w:b/>
          <w:bCs/>
          <w:lang w:val="es-UY"/>
        </w:rPr>
        <w:t>Adquisición de hasta 50 SCANNERS LEXMARK MULTIFUNCIÓN MODELO MX622ade, LECTORES RFID, Y LICENCIAMIENTO DE SOFTWARE, E INTEGRACIÓN, con destino a extensión del Piloto de Digitalización.</w:t>
      </w:r>
    </w:p>
    <w:p>
      <w:pPr>
        <w:pStyle w:val="style0"/>
        <w:spacing w:line="276" w:lineRule="auto"/>
        <w:jc w:val="both"/>
        <w:rPr>
          <w:rFonts w:cs="Times New Roman"/>
          <w:b/>
          <w:bCs/>
          <w:lang w:val="es-UY"/>
        </w:rPr>
      </w:pPr>
      <w:r>
        <w:rPr>
          <w:rFonts w:cs="Times New Roman"/>
          <w:b/>
          <w:bCs/>
          <w:lang w:val="es-UY"/>
        </w:rPr>
      </w:r>
    </w:p>
    <w:p>
      <w:pPr>
        <w:pStyle w:val="style44"/>
        <w:numPr>
          <w:ilvl w:val="0"/>
          <w:numId w:val="5"/>
        </w:numPr>
        <w:spacing w:line="276" w:lineRule="auto"/>
        <w:jc w:val="both"/>
        <w:rPr>
          <w:rFonts w:cs="Arial"/>
          <w:lang w:bidi="hi-IN" w:val="es-UY"/>
        </w:rPr>
      </w:pPr>
      <w:r>
        <w:rPr>
          <w:rFonts w:cs="Arial"/>
          <w:b/>
          <w:lang w:bidi="hi-IN" w:val="es-UY"/>
        </w:rPr>
        <w:t xml:space="preserve">De acuerdo con los ítems solicitados y cotizando de acuerdo a cuadro indicado </w:t>
      </w:r>
      <w:r>
        <w:rPr>
          <w:rFonts w:cs="Arial"/>
          <w:lang w:bidi="hi-IN" w:val="es-UY"/>
        </w:rPr>
        <w:t>:</w:t>
      </w:r>
    </w:p>
    <w:p>
      <w:pPr>
        <w:pStyle w:val="style44"/>
        <w:spacing w:line="276" w:lineRule="auto"/>
        <w:jc w:val="both"/>
        <w:rPr>
          <w:rFonts w:cs="Arial"/>
          <w:lang w:bidi="hi-IN" w:val="es-UY"/>
        </w:rPr>
      </w:pPr>
      <w:r>
        <w:rPr>
          <w:rFonts w:cs="Arial"/>
          <w:lang w:bidi="hi-IN" w:val="es-UY"/>
        </w:rPr>
      </w:r>
    </w:p>
    <w:tbl>
      <w:tblPr>
        <w:jc w:val="left"/>
        <w:tblInd w:type="dxa" w:w="496"/>
        <w:tblBorders>
          <w:top w:color="00000A" w:space="0" w:sz="4" w:val="single"/>
          <w:left w:color="00000A" w:space="0" w:sz="4" w:val="single"/>
          <w:bottom w:color="00000A" w:space="0" w:sz="8" w:val="single"/>
          <w:insideH w:color="00000A" w:space="0" w:sz="8" w:val="single"/>
          <w:right w:val="nil"/>
          <w:insideV w:val="nil"/>
        </w:tblBorders>
        <w:tblCellMar>
          <w:top w:type="dxa" w:w="0"/>
          <w:left w:type="dxa" w:w="65"/>
          <w:bottom w:type="dxa" w:w="0"/>
          <w:right w:type="dxa" w:w="70"/>
        </w:tblCellMar>
      </w:tblPr>
      <w:tblGrid>
        <w:gridCol w:w="1274"/>
        <w:gridCol w:w="7655"/>
      </w:tblGrid>
      <w:tr>
        <w:trPr>
          <w:trHeight w:hRule="atLeast" w:val="330"/>
          <w:cantSplit w:val="false"/>
        </w:trPr>
        <w:tc>
          <w:tcPr>
            <w:tcW w:type="dxa" w:w="1274"/>
            <w:tcBorders>
              <w:top w:color="00000A" w:space="0" w:sz="4" w:val="single"/>
              <w:left w:color="00000A" w:space="0" w:sz="4" w:val="single"/>
              <w:bottom w:color="00000A" w:space="0" w:sz="8" w:val="single"/>
              <w:right w:val="nil"/>
            </w:tcBorders>
            <w:shd w:fill="DDEBF7" w:val="clear"/>
            <w:tcMar>
              <w:left w:type="dxa" w:w="65"/>
            </w:tcMar>
            <w:vAlign w:val="center"/>
          </w:tcPr>
          <w:p>
            <w:pPr>
              <w:pStyle w:val="style0"/>
              <w:jc w:val="center"/>
              <w:rPr>
                <w:b/>
                <w:bCs/>
                <w:color w:val="000000"/>
                <w:lang w:eastAsia="es-UY"/>
              </w:rPr>
            </w:pPr>
            <w:r>
              <w:rPr>
                <w:b/>
                <w:bCs/>
                <w:color w:val="000000"/>
                <w:lang w:eastAsia="es-UY"/>
              </w:rPr>
              <w:t>Ítem</w:t>
            </w:r>
          </w:p>
        </w:tc>
        <w:tc>
          <w:tcPr>
            <w:tcW w:type="dxa" w:w="7655"/>
            <w:tcBorders>
              <w:top w:color="00000A" w:space="0" w:sz="4" w:val="single"/>
              <w:left w:color="00000A" w:space="0" w:sz="8" w:val="single"/>
              <w:bottom w:color="00000A" w:space="0" w:sz="8" w:val="single"/>
              <w:right w:color="00000A" w:space="0" w:sz="4" w:val="single"/>
            </w:tcBorders>
            <w:shd w:fill="DDEBF7" w:val="clear"/>
            <w:tcMar>
              <w:left w:type="dxa" w:w="60"/>
            </w:tcMar>
            <w:vAlign w:val="center"/>
          </w:tcPr>
          <w:p>
            <w:pPr>
              <w:pStyle w:val="style0"/>
              <w:jc w:val="center"/>
              <w:rPr>
                <w:b/>
                <w:bCs/>
                <w:color w:val="000000"/>
                <w:lang w:eastAsia="es-UY"/>
              </w:rPr>
            </w:pPr>
            <w:r>
              <w:rPr>
                <w:b/>
                <w:bCs/>
                <w:color w:val="000000"/>
                <w:lang w:eastAsia="es-UY"/>
              </w:rPr>
              <w:t>Detalle</w:t>
            </w:r>
          </w:p>
        </w:tc>
      </w:tr>
      <w:tr>
        <w:trPr>
          <w:trHeight w:hRule="atLeast" w:val="300"/>
          <w:cantSplit w:val="false"/>
        </w:trPr>
        <w:tc>
          <w:tcPr>
            <w:tcW w:type="dxa" w:w="1274"/>
            <w:tcBorders>
              <w:top w:val="nil"/>
              <w:left w:color="00000A" w:space="0" w:sz="4" w:val="single"/>
              <w:bottom w:val="nil"/>
              <w:right w:color="00000A" w:space="0" w:sz="4" w:val="single"/>
            </w:tcBorders>
            <w:shd w:fill="FFFFFF" w:val="clear"/>
            <w:tcMar>
              <w:left w:type="dxa" w:w="65"/>
            </w:tcMar>
            <w:vAlign w:val="center"/>
          </w:tcPr>
          <w:p>
            <w:pPr>
              <w:pStyle w:val="style0"/>
              <w:rPr>
                <w:b/>
                <w:bCs/>
                <w:color w:val="000000"/>
                <w:lang w:eastAsia="es-UY"/>
              </w:rPr>
            </w:pPr>
            <w:r>
              <w:rPr>
                <w:b/>
                <w:bCs/>
                <w:color w:val="000000"/>
                <w:lang w:eastAsia="es-UY"/>
              </w:rPr>
              <w:t>ITEM 1</w:t>
            </w:r>
          </w:p>
        </w:tc>
        <w:tc>
          <w:tcPr>
            <w:tcW w:type="dxa" w:w="7655"/>
            <w:tcBorders>
              <w:top w:val="nil"/>
              <w:left w:val="nil"/>
              <w:bottom w:color="00000A" w:space="0" w:sz="4" w:val="single"/>
              <w:right w:color="00000A" w:space="0" w:sz="4" w:val="single"/>
            </w:tcBorders>
            <w:shd w:fill="FFFFFF" w:val="clear"/>
            <w:vAlign w:val="center"/>
          </w:tcPr>
          <w:p>
            <w:pPr>
              <w:pStyle w:val="style43"/>
              <w:numPr>
                <w:ilvl w:val="0"/>
                <w:numId w:val="6"/>
              </w:numPr>
              <w:suppressAutoHyphens w:val="true"/>
              <w:spacing w:after="200" w:before="0"/>
              <w:contextualSpacing/>
              <w:rPr>
                <w:rFonts w:ascii="Bookman Old Style" w:hAnsi="Bookman Old Style"/>
                <w:b/>
                <w:bCs/>
                <w:sz w:val="24"/>
                <w:szCs w:val="24"/>
              </w:rPr>
            </w:pPr>
            <w:r>
              <w:rPr>
                <w:rFonts w:ascii="Bookman Old Style" w:hAnsi="Bookman Old Style"/>
                <w:b/>
                <w:color w:val="000000"/>
                <w:sz w:val="24"/>
                <w:szCs w:val="24"/>
                <w:lang w:eastAsia="es-UY"/>
              </w:rPr>
              <w:t>Hasta 50</w:t>
            </w:r>
            <w:r>
              <w:rPr>
                <w:rFonts w:ascii="Bookman Old Style" w:hAnsi="Bookman Old Style"/>
                <w:color w:val="000000"/>
                <w:sz w:val="24"/>
                <w:szCs w:val="24"/>
                <w:lang w:eastAsia="es-UY"/>
              </w:rPr>
              <w:t xml:space="preserve"> </w:t>
            </w:r>
            <w:r>
              <w:rPr>
                <w:rFonts w:ascii="Bookman Old Style" w:hAnsi="Bookman Old Style"/>
                <w:b/>
                <w:bCs/>
                <w:sz w:val="24"/>
                <w:szCs w:val="24"/>
              </w:rPr>
              <w:t>SCANNERS LEXMARK MULTIFUNCIÓN MODELO MX622ade, con las características especiales indicadas en el Anexo I.</w:t>
            </w:r>
          </w:p>
        </w:tc>
      </w:tr>
      <w:tr>
        <w:trPr>
          <w:trHeight w:hRule="atLeast" w:val="300"/>
          <w:cantSplit w:val="false"/>
        </w:trPr>
        <w:tc>
          <w:tcPr>
            <w:tcW w:type="dxa" w:w="1274"/>
            <w:tcBorders>
              <w:top w:val="nil"/>
              <w:left w:color="00000A" w:space="0" w:sz="4" w:val="single"/>
              <w:bottom w:val="nil"/>
              <w:right w:color="00000A" w:space="0" w:sz="4" w:val="single"/>
            </w:tcBorders>
            <w:shd w:fill="FFFFFF" w:val="clear"/>
            <w:tcMar>
              <w:left w:type="dxa" w:w="65"/>
            </w:tcMar>
            <w:vAlign w:val="center"/>
          </w:tcPr>
          <w:p>
            <w:pPr>
              <w:pStyle w:val="style0"/>
              <w:rPr>
                <w:b/>
                <w:bCs/>
                <w:color w:val="000000"/>
                <w:lang w:eastAsia="es-UY"/>
              </w:rPr>
            </w:pPr>
            <w:r>
              <w:rPr>
                <w:b/>
                <w:bCs/>
                <w:color w:val="000000"/>
                <w:lang w:eastAsia="es-UY"/>
              </w:rPr>
              <w:t>ITEM 2</w:t>
            </w:r>
          </w:p>
        </w:tc>
        <w:tc>
          <w:tcPr>
            <w:tcW w:type="dxa" w:w="7655"/>
            <w:tcBorders>
              <w:top w:val="nil"/>
              <w:left w:val="nil"/>
              <w:bottom w:color="00000A" w:space="0" w:sz="4" w:val="single"/>
              <w:right w:color="00000A" w:space="0" w:sz="4" w:val="single"/>
            </w:tcBorders>
            <w:shd w:fill="FFFFFF" w:val="clear"/>
            <w:vAlign w:val="center"/>
          </w:tcPr>
          <w:p>
            <w:pPr>
              <w:pStyle w:val="style43"/>
              <w:numPr>
                <w:ilvl w:val="0"/>
                <w:numId w:val="7"/>
              </w:numPr>
              <w:suppressAutoHyphens w:val="true"/>
              <w:spacing w:after="200" w:before="0"/>
              <w:contextualSpacing/>
              <w:rPr>
                <w:rFonts w:ascii="Bookman Old Style" w:hAnsi="Bookman Old Style"/>
                <w:b/>
                <w:bCs/>
                <w:sz w:val="24"/>
                <w:szCs w:val="24"/>
              </w:rPr>
            </w:pPr>
            <w:r>
              <w:rPr>
                <w:rFonts w:ascii="Bookman Old Style" w:hAnsi="Bookman Old Style"/>
                <w:b/>
                <w:color w:val="000000"/>
                <w:sz w:val="24"/>
                <w:szCs w:val="24"/>
                <w:lang w:eastAsia="es-UY"/>
              </w:rPr>
              <w:t>Hasta 50</w:t>
            </w:r>
            <w:r>
              <w:rPr>
                <w:rFonts w:ascii="Bookman Old Style" w:hAnsi="Bookman Old Style"/>
                <w:color w:val="000000"/>
                <w:sz w:val="24"/>
                <w:szCs w:val="24"/>
                <w:lang w:eastAsia="es-UY"/>
              </w:rPr>
              <w:t xml:space="preserve"> </w:t>
            </w:r>
            <w:r>
              <w:rPr>
                <w:rFonts w:ascii="Bookman Old Style" w:hAnsi="Bookman Old Style"/>
                <w:b/>
                <w:bCs/>
                <w:sz w:val="24"/>
                <w:szCs w:val="24"/>
              </w:rPr>
              <w:t>LECTORES RFID, de acuerdo a lo indicado en Anexo I</w:t>
            </w:r>
          </w:p>
        </w:tc>
      </w:tr>
      <w:tr>
        <w:trPr>
          <w:trHeight w:hRule="atLeast" w:val="300"/>
          <w:cantSplit w:val="false"/>
        </w:trPr>
        <w:tc>
          <w:tcPr>
            <w:tcW w:type="dxa" w:w="1274"/>
            <w:tcBorders>
              <w:top w:val="nil"/>
              <w:left w:color="00000A" w:space="0" w:sz="4" w:val="single"/>
              <w:bottom w:color="00000A" w:space="0" w:sz="4" w:val="single"/>
              <w:right w:color="00000A" w:space="0" w:sz="4" w:val="single"/>
            </w:tcBorders>
            <w:shd w:fill="FFFFFF" w:val="clear"/>
            <w:tcMar>
              <w:left w:type="dxa" w:w="65"/>
            </w:tcMar>
            <w:vAlign w:val="center"/>
          </w:tcPr>
          <w:p>
            <w:pPr>
              <w:pStyle w:val="style0"/>
              <w:rPr>
                <w:b/>
                <w:bCs/>
                <w:color w:val="000000"/>
                <w:lang w:eastAsia="es-UY"/>
              </w:rPr>
            </w:pPr>
            <w:r>
              <w:rPr>
                <w:b/>
                <w:bCs/>
                <w:color w:val="000000"/>
                <w:lang w:eastAsia="es-UY"/>
              </w:rPr>
              <w:t>ITEM 3</w:t>
            </w:r>
          </w:p>
        </w:tc>
        <w:tc>
          <w:tcPr>
            <w:tcW w:type="dxa" w:w="7655"/>
            <w:tcBorders>
              <w:top w:val="nil"/>
              <w:left w:val="nil"/>
              <w:bottom w:color="00000A" w:space="0" w:sz="4" w:val="single"/>
              <w:right w:color="00000A" w:space="0" w:sz="4" w:val="single"/>
            </w:tcBorders>
            <w:shd w:fill="FFFFFF" w:val="clear"/>
            <w:vAlign w:val="center"/>
          </w:tcPr>
          <w:p>
            <w:pPr>
              <w:pStyle w:val="style43"/>
              <w:numPr>
                <w:ilvl w:val="0"/>
                <w:numId w:val="8"/>
              </w:numPr>
              <w:suppressAutoHyphens w:val="true"/>
              <w:spacing w:after="200" w:before="0"/>
              <w:contextualSpacing/>
              <w:rPr>
                <w:rFonts w:ascii="Bookman Old Style" w:hAnsi="Bookman Old Style"/>
                <w:color w:val="000000"/>
                <w:sz w:val="24"/>
                <w:szCs w:val="24"/>
                <w:lang w:eastAsia="es-UY"/>
              </w:rPr>
            </w:pPr>
            <w:r>
              <w:rPr>
                <w:rFonts w:ascii="Bookman Old Style" w:hAnsi="Bookman Old Style"/>
                <w:b/>
                <w:bCs/>
                <w:sz w:val="24"/>
                <w:szCs w:val="24"/>
              </w:rPr>
              <w:t>Hasta 50 LICENCIAS DE SOFTWARE</w:t>
            </w:r>
            <w:r>
              <w:rPr>
                <w:rFonts w:ascii="Bookman Old Style" w:hAnsi="Bookman Old Style"/>
                <w:color w:val="000000"/>
                <w:sz w:val="24"/>
                <w:szCs w:val="24"/>
                <w:lang w:eastAsia="es-UY"/>
              </w:rPr>
              <w:t>. Lexmark Print Management, incluyendo mantenimiento de los equipos por dos años, de acuerdo con el Anexo I</w:t>
            </w:r>
          </w:p>
        </w:tc>
      </w:tr>
    </w:tbl>
    <w:p>
      <w:pPr>
        <w:pStyle w:val="style0"/>
        <w:spacing w:line="276" w:lineRule="auto"/>
        <w:jc w:val="both"/>
        <w:rPr>
          <w:rFonts w:cs="Times New Roman"/>
          <w:b/>
          <w:bCs/>
        </w:rPr>
      </w:pPr>
      <w:r>
        <w:rPr>
          <w:rFonts w:cs="Times New Roman"/>
          <w:b/>
          <w:bCs/>
        </w:rPr>
      </w:r>
    </w:p>
    <w:p>
      <w:pPr>
        <w:pStyle w:val="style0"/>
        <w:spacing w:line="276" w:lineRule="auto"/>
        <w:jc w:val="both"/>
        <w:rPr>
          <w:rFonts w:cs="Times New Roman"/>
          <w:b/>
          <w:bCs/>
          <w:lang w:val="es-UY"/>
        </w:rPr>
      </w:pPr>
      <w:r>
        <w:rPr>
          <w:rFonts w:cs="Times New Roman"/>
          <w:b/>
          <w:bCs/>
          <w:lang w:val="es-UY"/>
        </w:rPr>
      </w:r>
    </w:p>
    <w:p>
      <w:pPr>
        <w:pStyle w:val="style0"/>
        <w:spacing w:line="276" w:lineRule="auto"/>
        <w:jc w:val="both"/>
        <w:rPr>
          <w:rFonts w:cs="Times New Roman"/>
          <w:b/>
          <w:bCs/>
        </w:rPr>
      </w:pPr>
      <w:r>
        <w:rPr>
          <w:rFonts w:cs="Times New Roman"/>
          <w:b/>
          <w:bCs/>
          <w:lang w:val="es-UY"/>
        </w:rPr>
        <w:t xml:space="preserve">1.2.-  </w:t>
      </w:r>
      <w:r>
        <w:rPr>
          <w:rFonts w:cs="Times New Roman"/>
          <w:b/>
          <w:bCs/>
        </w:rPr>
        <w:t xml:space="preserve">Se agrega </w:t>
      </w:r>
      <w:r>
        <w:rPr>
          <w:rFonts w:cs="Times New Roman"/>
          <w:b/>
          <w:bCs/>
          <w:u w:val="single"/>
        </w:rPr>
        <w:t>ANEXO I DE CONDICIONES Y REQUERIMIENTOS</w:t>
      </w:r>
      <w:r>
        <w:rPr>
          <w:rFonts w:cs="Times New Roman"/>
          <w:b/>
          <w:bCs/>
        </w:rPr>
        <w:t xml:space="preserve"> formulado por la División Tecnología (DITEC) del Poder Judicial y se considera parte del presente. </w:t>
      </w:r>
    </w:p>
    <w:p>
      <w:pPr>
        <w:pStyle w:val="style0"/>
        <w:spacing w:line="276" w:lineRule="auto"/>
        <w:jc w:val="both"/>
        <w:rPr>
          <w:rFonts w:cs="Arial"/>
          <w:b/>
        </w:rPr>
      </w:pPr>
      <w:r>
        <w:rPr>
          <w:rFonts w:cs="Times New Roman"/>
          <w:b/>
          <w:bCs/>
        </w:rPr>
        <w:t xml:space="preserve">1.3.- </w:t>
      </w:r>
      <w:r>
        <w:rPr>
          <w:rFonts w:cs="Arial"/>
          <w:b/>
        </w:rPr>
        <w:t xml:space="preserve">La empresa deberá de contar con una antigüedad de 10 años o más en el mercado local,  </w:t>
      </w:r>
      <w:r>
        <w:rPr>
          <w:rFonts w:cs="Arial"/>
          <w:b/>
          <w:lang w:bidi="hi-IN"/>
        </w:rPr>
        <w:t>utilizando las plataformas y tecnologías propuestas</w:t>
      </w:r>
      <w:r>
        <w:rPr>
          <w:rFonts w:cs="Arial"/>
          <w:b/>
        </w:rPr>
        <w:t>.</w:t>
      </w:r>
    </w:p>
    <w:p>
      <w:pPr>
        <w:pStyle w:val="style0"/>
        <w:spacing w:line="276" w:lineRule="auto"/>
        <w:jc w:val="both"/>
        <w:rPr>
          <w:rFonts w:cs="Times New Roman"/>
          <w:b/>
          <w:bCs/>
        </w:rPr>
      </w:pPr>
      <w:r>
        <w:rPr>
          <w:rFonts w:cs="Times New Roman"/>
          <w:b/>
          <w:bCs/>
        </w:rPr>
        <w:t>1.4.- Todos los equipos deben de adquirirse con su correspondiente Licencia Lexmark.</w:t>
      </w:r>
    </w:p>
    <w:p>
      <w:pPr>
        <w:pStyle w:val="style0"/>
        <w:spacing w:line="276" w:lineRule="auto"/>
        <w:jc w:val="both"/>
        <w:rPr>
          <w:rFonts w:cs="Times New Roman"/>
          <w:b/>
          <w:bCs/>
        </w:rPr>
      </w:pPr>
      <w:r>
        <w:rPr>
          <w:rFonts w:cs="Times New Roman"/>
          <w:b/>
          <w:bCs/>
        </w:rPr>
        <w:t>1.5.- La garantía será de al menos un año.</w:t>
      </w:r>
    </w:p>
    <w:p>
      <w:pPr>
        <w:pStyle w:val="style0"/>
        <w:spacing w:line="276" w:lineRule="auto"/>
        <w:jc w:val="both"/>
        <w:rPr>
          <w:rFonts w:cs="Times New Roman"/>
          <w:lang w:val="es-UY"/>
        </w:rPr>
      </w:pPr>
      <w:r>
        <w:rPr>
          <w:rFonts w:cs="Times New Roman"/>
          <w:lang w:val="es-UY"/>
        </w:rPr>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rPr>
        <w:t>Art. 2.- COMUNICACIONES</w:t>
      </w:r>
    </w:p>
    <w:p>
      <w:pPr>
        <w:pStyle w:val="style28"/>
        <w:spacing w:line="276" w:lineRule="auto"/>
        <w:rPr>
          <w:rFonts w:ascii="Bookman Old Style" w:cs="Bookman Old Style" w:eastAsia="Bookman Old Style" w:hAnsi="Bookman Old Style"/>
        </w:rPr>
      </w:pPr>
      <w:r>
        <w:rPr>
          <w:rFonts w:ascii="Bookman Old Style" w:cs="Times New Roman" w:eastAsia="Bookman Old Style" w:hAnsi="Bookman Old Style"/>
        </w:rPr>
        <w:tab/>
      </w:r>
      <w:r>
        <w:rPr>
          <w:rFonts w:ascii="Bookman Old Style" w:cs="Bookman Old Style" w:eastAsia="Bookman Old Style" w:hAnsi="Bookman Old Style"/>
        </w:rPr>
        <w:t xml:space="preserve">Todas las comunicaciones referidas al presente llamado deberán dirigirse al Departamento de Adquisiciones del Poder Judicial: </w:t>
      </w:r>
    </w:p>
    <w:p>
      <w:pPr>
        <w:pStyle w:val="style28"/>
        <w:spacing w:line="276" w:lineRule="auto"/>
        <w:rPr>
          <w:rFonts w:ascii="Bookman Old Style" w:cs="Bookman Old Style" w:eastAsia="Bookman Old Style" w:hAnsi="Bookman Old Style"/>
        </w:rPr>
      </w:pPr>
      <w:r>
        <w:rPr>
          <w:rFonts w:ascii="Bookman Old Style" w:cs="Bookman Old Style" w:eastAsia="Bookman Old Style" w:hAnsi="Bookman Old Style"/>
        </w:rPr>
        <w:t xml:space="preserve">Dirección: SORIANO 1210. </w:t>
      </w:r>
    </w:p>
    <w:p>
      <w:pPr>
        <w:pStyle w:val="style28"/>
        <w:spacing w:line="276" w:lineRule="auto"/>
        <w:rPr>
          <w:rFonts w:ascii="Bookman Old Style" w:cs="Bookman Old Style" w:eastAsia="Bookman Old Style" w:hAnsi="Bookman Old Style"/>
        </w:rPr>
      </w:pPr>
      <w:r>
        <w:rPr>
          <w:rFonts w:ascii="Bookman Old Style" w:cs="Bookman Old Style" w:eastAsia="Bookman Old Style" w:hAnsi="Bookman Old Style"/>
        </w:rPr>
        <w:t>Tel.: 2902.13.59 – 2908.93.97. Fax: 2902.14.88.</w:t>
      </w:r>
    </w:p>
    <w:p>
      <w:pPr>
        <w:pStyle w:val="style28"/>
        <w:spacing w:line="276" w:lineRule="auto"/>
        <w:rPr>
          <w:rFonts w:ascii="Bookman Old Style" w:cs="Bookman Old Style" w:eastAsia="Bookman Old Style" w:hAnsi="Bookman Old Style"/>
        </w:rPr>
      </w:pPr>
      <w:r>
        <w:rPr>
          <w:rFonts w:ascii="Bookman Old Style" w:cs="Bookman Old Style" w:eastAsia="Bookman Old Style" w:hAnsi="Bookman Old Style"/>
        </w:rPr>
        <w:t xml:space="preserve">Correo Electrónico: </w:t>
      </w:r>
      <w:hyperlink r:id="rId2">
        <w:r>
          <w:rPr>
            <w:rStyle w:val="style16"/>
            <w:rFonts w:ascii="Bookman Old Style" w:hAnsi="Bookman Old Style"/>
          </w:rPr>
          <w:t>adquisiciones@poderjudicial.gub.u</w:t>
        </w:r>
      </w:hyperlink>
      <w:r>
        <w:rPr>
          <w:rFonts w:ascii="Bookman Old Style" w:cs="Bookman Old Style" w:eastAsia="Bookman Old Style" w:hAnsi="Bookman Old Style"/>
        </w:rPr>
        <w:t>y</w:t>
      </w:r>
    </w:p>
    <w:p>
      <w:pPr>
        <w:pStyle w:val="style0"/>
        <w:spacing w:line="276" w:lineRule="auto"/>
        <w:jc w:val="both"/>
        <w:rPr>
          <w:rFonts w:cs="Times New Roman" w:eastAsia="Times New Roman"/>
        </w:rPr>
      </w:pPr>
      <w:r>
        <w:rPr>
          <w:rFonts w:cs="Times New Roman" w:eastAsia="Times New Roman"/>
        </w:rPr>
      </w:r>
    </w:p>
    <w:p>
      <w:pPr>
        <w:pStyle w:val="style37"/>
        <w:spacing w:line="276" w:lineRule="auto"/>
        <w:jc w:val="both"/>
        <w:rPr>
          <w:rStyle w:val="style17"/>
          <w:rFonts w:ascii="Bookman Old Style" w:cs="Arial" w:hAnsi="Bookman Old Style"/>
          <w:szCs w:val="24"/>
        </w:rPr>
      </w:pPr>
      <w:r>
        <w:rPr>
          <w:rFonts w:ascii="Bookman Old Style" w:hAnsi="Bookman Old Style"/>
          <w:b/>
          <w:bCs/>
          <w:szCs w:val="24"/>
        </w:rPr>
        <w:tab/>
      </w:r>
      <w:r>
        <w:rPr>
          <w:rStyle w:val="style17"/>
          <w:rFonts w:ascii="Bookman Old Style" w:cs="Arial" w:hAnsi="Bookman Old Style"/>
          <w:szCs w:val="24"/>
        </w:rPr>
        <w:t>Las comunicaciones sólo podrán realizarse por los siguientes medios: fax o correo electrónico.</w:t>
      </w:r>
    </w:p>
    <w:p>
      <w:pPr>
        <w:pStyle w:val="style0"/>
        <w:spacing w:line="276" w:lineRule="auto"/>
        <w:ind w:firstLine="709" w:left="0" w:right="0"/>
        <w:jc w:val="both"/>
        <w:rPr>
          <w:rFonts w:eastAsia="Arial"/>
          <w:b/>
        </w:rPr>
      </w:pPr>
      <w:r>
        <w:rPr>
          <w:rFonts w:eastAsia="Arial"/>
          <w:b/>
        </w:rPr>
        <w:t>Las respuestas a las empresas y/o modificaciones y aclaraciones al pliego serán evacuadas a través del Sistema de Compras Estatales (Aclaraciones).</w:t>
      </w:r>
    </w:p>
    <w:p>
      <w:pPr>
        <w:pStyle w:val="style28"/>
        <w:spacing w:line="276" w:lineRule="auto"/>
        <w:rPr>
          <w:rFonts w:ascii="Bookman Old Style" w:cs="Times New Roman" w:eastAsia="Bookman Old Style" w:hAnsi="Bookman Old Style"/>
        </w:rPr>
      </w:pPr>
      <w:r>
        <w:rPr>
          <w:rFonts w:ascii="Bookman Old Style" w:cs="Times New Roman" w:eastAsia="Bookman Old Style" w:hAnsi="Bookman Old Style"/>
        </w:rPr>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rPr>
        <w:t>Art. 3.- ACLARACIONES Y CONSULTAS</w:t>
      </w:r>
    </w:p>
    <w:p>
      <w:pPr>
        <w:pStyle w:val="style0"/>
        <w:rPr/>
      </w:pPr>
      <w:r>
        <w:rPr/>
      </w:r>
    </w:p>
    <w:p>
      <w:pPr>
        <w:pStyle w:val="style37"/>
        <w:spacing w:line="276" w:lineRule="auto"/>
        <w:jc w:val="both"/>
        <w:rPr>
          <w:rStyle w:val="style22"/>
          <w:rFonts w:ascii="Bookman Old Style" w:cs="Bookman Old Style" w:hAnsi="Bookman Old Style"/>
          <w:szCs w:val="24"/>
        </w:rPr>
      </w:pPr>
      <w:r>
        <w:rPr>
          <w:rFonts w:ascii="Bookman Old Style" w:hAnsi="Bookman Old Style"/>
          <w:b/>
          <w:bCs/>
          <w:szCs w:val="24"/>
        </w:rPr>
        <w:tab/>
      </w:r>
      <w:r>
        <w:rPr>
          <w:rStyle w:val="style22"/>
          <w:rFonts w:ascii="Bookman Old Style" w:cs="Bookman Old Style" w:hAnsi="Bookman Old Style"/>
          <w:szCs w:val="24"/>
        </w:rPr>
        <w:t>Cualquier interesado podrá solicitar al Departamento de Adquisiciones, por cualquiera de los medios mencionados en el artículo precedente, aclaraciones o consultas específicas mediante comunicación escrita dirigida hasta 3 días hábiles antes de la fecha establecida para el acto de apertura de las ofertas. Vencido dicho término, la Administración no estará obligada a proporcionar datos aclaratorios. Las consultas serán contestadas por el Departamento de Adquisiciones, en el plazo máximo de 48 horas hábiles a partir de su recepción.</w:t>
      </w:r>
    </w:p>
    <w:p>
      <w:pPr>
        <w:pStyle w:val="style0"/>
        <w:spacing w:line="276" w:lineRule="auto"/>
        <w:ind w:firstLine="709" w:left="0" w:right="0"/>
        <w:jc w:val="both"/>
        <w:rPr>
          <w:rFonts w:cs="Times New Roman" w:eastAsia="Arial"/>
          <w:b/>
        </w:rPr>
      </w:pPr>
      <w:r>
        <w:rPr>
          <w:rFonts w:cs="Times New Roman" w:eastAsia="Arial"/>
          <w:b/>
        </w:rPr>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rPr>
        <w:t>Art. 4.- MONEDA Y FORMA DE COTIZACION.</w:t>
      </w:r>
    </w:p>
    <w:p>
      <w:pPr>
        <w:pStyle w:val="style0"/>
        <w:rPr/>
      </w:pPr>
      <w:r>
        <w:rPr/>
      </w:r>
    </w:p>
    <w:p>
      <w:pPr>
        <w:pStyle w:val="style0"/>
        <w:spacing w:line="276" w:lineRule="auto"/>
        <w:ind w:firstLine="709" w:left="0" w:right="0"/>
        <w:jc w:val="both"/>
        <w:rPr>
          <w:rFonts w:cs="Times New Roman"/>
          <w:b/>
          <w:bCs/>
        </w:rPr>
      </w:pPr>
      <w:r>
        <w:rPr>
          <w:rFonts w:cs="Times New Roman"/>
        </w:rPr>
        <w:t xml:space="preserve">La oferta se presentará en </w:t>
      </w:r>
      <w:r>
        <w:rPr>
          <w:rFonts w:cs="Times New Roman"/>
          <w:b/>
          <w:bCs/>
        </w:rPr>
        <w:t>Moneda Nacional.</w:t>
      </w:r>
    </w:p>
    <w:p>
      <w:pPr>
        <w:pStyle w:val="style0"/>
        <w:spacing w:line="276" w:lineRule="auto"/>
        <w:ind w:firstLine="709" w:left="0" w:right="0"/>
        <w:jc w:val="both"/>
        <w:rPr>
          <w:rFonts w:cs="Times New Roman"/>
          <w:b/>
          <w:bCs/>
        </w:rPr>
      </w:pPr>
      <w:r>
        <w:rPr>
          <w:rFonts w:cs="Times New Roman"/>
          <w:b/>
          <w:bCs/>
        </w:rPr>
      </w:r>
    </w:p>
    <w:p>
      <w:pPr>
        <w:pStyle w:val="style44"/>
        <w:spacing w:line="276" w:lineRule="auto"/>
        <w:ind w:firstLine="708" w:left="0" w:right="0"/>
        <w:jc w:val="both"/>
        <w:rPr>
          <w:rFonts w:cs="Times New Roman"/>
          <w:b/>
          <w:lang w:val="es-UY"/>
        </w:rPr>
      </w:pPr>
      <w:r>
        <w:rPr>
          <w:rFonts w:cs="Times New Roman"/>
          <w:b/>
          <w:lang w:val="es-UY"/>
        </w:rPr>
        <w:t>Se deberá cotizar por ítem e indicando el costo unitario en caso que correspondiere.</w:t>
      </w:r>
    </w:p>
    <w:p>
      <w:pPr>
        <w:pStyle w:val="style0"/>
        <w:spacing w:line="276" w:lineRule="auto"/>
        <w:ind w:firstLine="709" w:left="0" w:right="0"/>
        <w:jc w:val="both"/>
        <w:rPr>
          <w:rFonts w:cs="Times New Roman"/>
          <w:b/>
          <w:bCs/>
          <w:lang w:val="es-UY"/>
        </w:rPr>
      </w:pPr>
      <w:r>
        <w:rPr>
          <w:rFonts w:cs="Times New Roman"/>
          <w:b/>
          <w:bCs/>
          <w:lang w:val="es-UY"/>
        </w:rPr>
      </w:r>
    </w:p>
    <w:p>
      <w:pPr>
        <w:pStyle w:val="style0"/>
        <w:spacing w:line="276" w:lineRule="auto"/>
        <w:jc w:val="both"/>
        <w:rPr>
          <w:rFonts w:cs="Times New Roman"/>
          <w:b/>
          <w:bCs/>
        </w:rPr>
      </w:pPr>
      <w:r>
        <w:rPr>
          <w:rFonts w:cs="Times New Roman"/>
          <w:b/>
          <w:bCs/>
        </w:rPr>
        <w:t>Art. 5.- PRESENTACIÓN DE LAS OFERTAS.</w:t>
      </w:r>
    </w:p>
    <w:p>
      <w:pPr>
        <w:pStyle w:val="style37"/>
        <w:spacing w:line="276" w:lineRule="auto"/>
        <w:ind w:firstLine="708" w:left="0" w:right="0"/>
        <w:jc w:val="both"/>
        <w:rPr>
          <w:rStyle w:val="style17"/>
          <w:rFonts w:ascii="Bookman Old Style" w:hAnsi="Bookman Old Style"/>
          <w:szCs w:val="24"/>
          <w:lang w:val="es-UY"/>
        </w:rPr>
      </w:pPr>
      <w:r>
        <w:rPr>
          <w:rFonts w:ascii="Bookman Old Style" w:eastAsia="Times New Roman" w:hAnsi="Bookman Old Style"/>
          <w:szCs w:val="24"/>
          <w:lang w:eastAsia="ar-SA" w:val="es-UY"/>
        </w:rPr>
        <w:tab/>
      </w:r>
      <w:r>
        <w:rPr>
          <w:rFonts w:ascii="Bookman Old Style" w:hAnsi="Bookman Old Style"/>
          <w:szCs w:val="24"/>
          <w:lang w:eastAsia="es-ES"/>
        </w:rPr>
        <w:t xml:space="preserve">Las ofertas deberán presentarse  en sobre cerrado y del mismo debe surgir el nombre del oferente y su número de RUT, firmadas y con aclaración de firma, en </w:t>
      </w:r>
      <w:r>
        <w:rPr>
          <w:rFonts w:ascii="Bookman Old Style" w:hAnsi="Bookman Old Style"/>
          <w:b/>
          <w:szCs w:val="24"/>
          <w:lang w:eastAsia="es-ES"/>
        </w:rPr>
        <w:t>original y copia</w:t>
      </w:r>
      <w:r>
        <w:rPr>
          <w:rStyle w:val="style17"/>
          <w:rFonts w:ascii="Bookman Old Style" w:hAnsi="Bookman Old Style"/>
          <w:szCs w:val="24"/>
          <w:lang w:val="es-UY"/>
        </w:rPr>
        <w:t xml:space="preserve">, en papel simple, </w:t>
      </w:r>
      <w:r>
        <w:rPr>
          <w:rFonts w:ascii="Bookman Old Style" w:hAnsi="Bookman Old Style"/>
          <w:szCs w:val="24"/>
          <w:lang w:val="es-UY"/>
        </w:rPr>
        <w:t xml:space="preserve">en el lugar indicado, en forma presencial, por correo o fax, </w:t>
      </w:r>
      <w:r>
        <w:rPr>
          <w:rStyle w:val="style17"/>
          <w:rFonts w:ascii="Bookman Old Style" w:hAnsi="Bookman Old Style"/>
          <w:szCs w:val="24"/>
          <w:lang w:val="es-UY"/>
        </w:rPr>
        <w:t>sin perjuicio de lo establecido en el art. 63 inc. 5 del T.O.C.A.F.</w:t>
      </w:r>
    </w:p>
    <w:p>
      <w:pPr>
        <w:pStyle w:val="style37"/>
        <w:spacing w:line="276" w:lineRule="auto"/>
        <w:jc w:val="both"/>
        <w:rPr>
          <w:rFonts w:ascii="Bookman Old Style" w:eastAsia="Times New Roman" w:hAnsi="Bookman Old Style"/>
          <w:szCs w:val="24"/>
          <w:lang w:eastAsia="ar-SA" w:val="es-UY"/>
        </w:rPr>
      </w:pPr>
      <w:r>
        <w:rPr>
          <w:rStyle w:val="style17"/>
          <w:rFonts w:ascii="Bookman Old Style" w:hAnsi="Bookman Old Style"/>
          <w:szCs w:val="24"/>
          <w:lang w:val="es-UY"/>
        </w:rPr>
        <w:tab/>
        <w:t xml:space="preserve">En caso de cotizarse en línea o correo deberá adjuntarse archivo con la oferta escaneada incluyendo la firma del representante validado en </w:t>
      </w:r>
      <w:r>
        <w:rPr>
          <w:rFonts w:ascii="Bookman Old Style" w:eastAsia="Times New Roman" w:hAnsi="Bookman Old Style"/>
          <w:szCs w:val="24"/>
          <w:lang w:eastAsia="ar-SA" w:val="es-UY"/>
        </w:rPr>
        <w:t>Registro Único de Proveedores del Estado (RUPE).</w:t>
      </w:r>
    </w:p>
    <w:p>
      <w:pPr>
        <w:pStyle w:val="style37"/>
        <w:spacing w:line="276" w:lineRule="auto"/>
        <w:jc w:val="both"/>
        <w:rPr>
          <w:rStyle w:val="style17"/>
          <w:rFonts w:ascii="Bookman Old Style" w:hAnsi="Bookman Old Style"/>
          <w:szCs w:val="24"/>
          <w:lang w:val="es-UY"/>
        </w:rPr>
      </w:pPr>
      <w:r>
        <w:rPr>
          <w:rStyle w:val="style17"/>
          <w:rFonts w:ascii="Bookman Old Style" w:hAnsi="Bookman Old Style"/>
          <w:szCs w:val="24"/>
          <w:lang w:val="es-UY"/>
        </w:rPr>
        <w:tab/>
        <w:t xml:space="preserve">Las ofertas deberán estar firmadas por el representante o </w:t>
      </w:r>
      <w:r>
        <w:rPr>
          <w:rStyle w:val="style17"/>
          <w:rFonts w:ascii="Bookman Old Style" w:hAnsi="Bookman Old Style"/>
          <w:b/>
          <w:szCs w:val="24"/>
          <w:lang w:val="es-UY"/>
        </w:rPr>
        <w:t>apoderado registrado y validado en el RUPE</w:t>
      </w:r>
      <w:r>
        <w:rPr>
          <w:rStyle w:val="style17"/>
          <w:rFonts w:ascii="Bookman Old Style" w:hAnsi="Bookman Old Style"/>
          <w:szCs w:val="24"/>
          <w:lang w:val="es-UY"/>
        </w:rPr>
        <w:t xml:space="preserve">. Sólo se admitirán aquellas empresas que se encuentren en estado </w:t>
      </w:r>
      <w:r>
        <w:rPr>
          <w:rStyle w:val="style17"/>
          <w:rFonts w:ascii="Bookman Old Style" w:hAnsi="Bookman Old Style"/>
          <w:b/>
          <w:szCs w:val="24"/>
          <w:lang w:val="es-UY"/>
        </w:rPr>
        <w:t>ACTIVO</w:t>
      </w:r>
      <w:r>
        <w:rPr>
          <w:rStyle w:val="style17"/>
          <w:rFonts w:ascii="Bookman Old Style" w:hAnsi="Bookman Old Style"/>
          <w:szCs w:val="24"/>
          <w:lang w:val="es-UY"/>
        </w:rPr>
        <w:t xml:space="preserve"> en el RUPE.</w:t>
      </w:r>
    </w:p>
    <w:p>
      <w:pPr>
        <w:pStyle w:val="style0"/>
        <w:widowControl/>
        <w:tabs>
          <w:tab w:leader="none" w:pos="600" w:val="left"/>
        </w:tabs>
        <w:spacing w:line="276" w:lineRule="auto"/>
        <w:ind w:hanging="0" w:left="0" w:right="680"/>
        <w:jc w:val="both"/>
        <w:rPr>
          <w:rFonts w:cs="Times New Roman" w:eastAsia="Times New Roman"/>
          <w:lang w:bidi="ar-SA" w:eastAsia="ar-SA" w:val="es-UY"/>
        </w:rPr>
      </w:pPr>
      <w:r>
        <w:rPr>
          <w:rFonts w:cs="Times New Roman" w:eastAsia="Times New Roman"/>
          <w:lang w:bidi="ar-SA" w:eastAsia="ar-SA" w:val="es-UY"/>
        </w:rPr>
        <w:tab/>
        <w:t>La primera hoja de la propuesta deberá contener en forma sucinta el monto total de la oferta.</w:t>
      </w:r>
    </w:p>
    <w:p>
      <w:pPr>
        <w:pStyle w:val="style0"/>
        <w:widowControl/>
        <w:tabs>
          <w:tab w:leader="none" w:pos="600" w:val="left"/>
        </w:tabs>
        <w:spacing w:line="276" w:lineRule="auto"/>
        <w:ind w:hanging="0" w:left="0" w:right="-2"/>
        <w:jc w:val="both"/>
        <w:rPr>
          <w:rFonts w:cs="Times New Roman"/>
        </w:rPr>
      </w:pPr>
      <w:r>
        <w:rPr>
          <w:rFonts w:cs="Times New Roman"/>
        </w:rPr>
        <w:tab/>
        <w:t xml:space="preserve">Los precios cotizados deberán indicar todos los tributos que correspondan al oferente y su porcentaje, </w:t>
      </w:r>
      <w:r>
        <w:rPr>
          <w:rFonts w:cs="Times New Roman"/>
          <w:b/>
          <w:bCs/>
        </w:rPr>
        <w:t>especialmente el I.V.A., en forma clara y precisa, manifestando si los referidos tributos están o no incluidos en los precios</w:t>
      </w:r>
      <w:r>
        <w:rPr>
          <w:rFonts w:cs="Times New Roman"/>
        </w:rPr>
        <w:t>. En caso de no establecerse esta circunstancia, se considerará que los precios son con todos los tributos incluidos.</w:t>
      </w:r>
    </w:p>
    <w:p>
      <w:pPr>
        <w:pStyle w:val="style0"/>
        <w:widowControl/>
        <w:tabs>
          <w:tab w:leader="none" w:pos="600" w:val="left"/>
        </w:tabs>
        <w:spacing w:line="276" w:lineRule="auto"/>
        <w:ind w:hanging="0" w:left="0" w:right="680"/>
        <w:jc w:val="both"/>
        <w:rPr>
          <w:rFonts w:cs="Times New Roman"/>
        </w:rPr>
      </w:pPr>
      <w:r>
        <w:rPr>
          <w:rFonts w:cs="Times New Roman"/>
        </w:rPr>
      </w:r>
    </w:p>
    <w:p>
      <w:pPr>
        <w:pStyle w:val="style0"/>
        <w:widowControl/>
        <w:jc w:val="both"/>
        <w:rPr>
          <w:rFonts w:cs="Times New Roman" w:eastAsia="Calibri"/>
          <w:b/>
          <w:bCs/>
          <w:lang w:bidi="ar-SA" w:val="es-UY"/>
        </w:rPr>
      </w:pPr>
      <w:r>
        <w:rPr>
          <w:rFonts w:cs="Times New Roman" w:eastAsia="Calibri"/>
          <w:b/>
          <w:bCs/>
          <w:lang w:bidi="ar-SA" w:val="es-UY"/>
        </w:rPr>
        <w:t>ART. 6.- DOCUMENTOS A PRESENTAR CON LA OFERTA.</w:t>
      </w:r>
    </w:p>
    <w:p>
      <w:pPr>
        <w:pStyle w:val="style0"/>
        <w:widowControl/>
        <w:jc w:val="both"/>
        <w:rPr>
          <w:rFonts w:cs="Times New Roman" w:eastAsia="Calibri"/>
          <w:b/>
          <w:bCs/>
          <w:lang w:bidi="ar-SA" w:val="es-UY"/>
        </w:rPr>
      </w:pPr>
      <w:r>
        <w:rPr>
          <w:rFonts w:cs="Times New Roman" w:eastAsia="Calibri"/>
          <w:b/>
          <w:bCs/>
          <w:lang w:bidi="ar-SA" w:val="es-UY"/>
        </w:rPr>
      </w:r>
    </w:p>
    <w:p>
      <w:pPr>
        <w:pStyle w:val="style0"/>
        <w:widowControl/>
        <w:jc w:val="both"/>
        <w:rPr>
          <w:rFonts w:cs="Times New Roman" w:eastAsia="Calibri"/>
          <w:bCs/>
          <w:lang w:bidi="ar-SA" w:val="es-UY"/>
        </w:rPr>
      </w:pPr>
      <w:r>
        <w:rPr>
          <w:rFonts w:cs="Times New Roman" w:eastAsia="Calibri"/>
          <w:bCs/>
          <w:lang w:bidi="ar-SA" w:val="es-UY"/>
        </w:rPr>
        <w:t>Junto a su cotización, los oferentes deberán presentar la documentación que a continuación se detalla, la cual será verificada durante el Acto de Apertura:</w:t>
      </w:r>
    </w:p>
    <w:p>
      <w:pPr>
        <w:pStyle w:val="style0"/>
        <w:widowControl/>
        <w:jc w:val="both"/>
        <w:rPr>
          <w:rFonts w:cs="Times New Roman" w:eastAsia="Calibri"/>
          <w:bCs/>
          <w:lang w:bidi="ar-SA" w:val="es-UY"/>
        </w:rPr>
      </w:pPr>
      <w:r>
        <w:rPr>
          <w:rFonts w:cs="Times New Roman" w:eastAsia="Calibri"/>
          <w:bCs/>
          <w:lang w:bidi="ar-SA" w:val="es-UY"/>
        </w:rPr>
      </w:r>
    </w:p>
    <w:p>
      <w:pPr>
        <w:pStyle w:val="style43"/>
        <w:widowControl w:val="false"/>
        <w:numPr>
          <w:ilvl w:val="0"/>
          <w:numId w:val="9"/>
        </w:numPr>
        <w:spacing w:after="0" w:before="0"/>
        <w:contextualSpacing/>
        <w:jc w:val="both"/>
        <w:textAlignment w:val="baseline"/>
        <w:rPr>
          <w:rFonts w:ascii="Bookman Old Style" w:cs="Arial" w:eastAsia="Bookman Old Style" w:hAnsi="Bookman Old Style"/>
          <w:sz w:val="24"/>
          <w:szCs w:val="24"/>
          <w:lang w:bidi="hi-IN" w:val="es-ES"/>
        </w:rPr>
      </w:pPr>
      <w:r>
        <w:rPr>
          <w:rFonts w:ascii="Bookman Old Style" w:cs="Arial" w:eastAsia="Bookman Old Style" w:hAnsi="Bookman Old Style"/>
          <w:sz w:val="24"/>
          <w:szCs w:val="24"/>
          <w:lang w:bidi="hi-IN" w:val="es-ES"/>
        </w:rPr>
        <w:t xml:space="preserve">El oferente deberá presentar </w:t>
      </w:r>
      <w:r>
        <w:rPr>
          <w:rFonts w:ascii="Bookman Old Style" w:cs="Arial" w:eastAsia="Bookman Old Style" w:hAnsi="Bookman Old Style"/>
          <w:b/>
          <w:sz w:val="24"/>
          <w:szCs w:val="24"/>
          <w:lang w:bidi="hi-IN" w:val="es-ES"/>
        </w:rPr>
        <w:t>carta del fabricante</w:t>
      </w:r>
      <w:r>
        <w:rPr>
          <w:rFonts w:ascii="Bookman Old Style" w:cs="Arial" w:eastAsia="Bookman Old Style" w:hAnsi="Bookman Old Style"/>
          <w:sz w:val="24"/>
          <w:szCs w:val="24"/>
          <w:lang w:bidi="hi-IN" w:val="es-ES"/>
        </w:rPr>
        <w:t xml:space="preserve"> de los dispositivos Multifunción y software asociados que certifique su condición de Lexmar Gold Partner   en el marco de Lexmark Connect Partner Program y su condición de Servicio Técnico Autorizado de Lemxmark.</w:t>
      </w:r>
    </w:p>
    <w:p>
      <w:pPr>
        <w:pStyle w:val="style43"/>
        <w:widowControl w:val="false"/>
        <w:numPr>
          <w:ilvl w:val="0"/>
          <w:numId w:val="9"/>
        </w:numPr>
        <w:spacing w:after="0" w:before="0"/>
        <w:contextualSpacing/>
        <w:jc w:val="both"/>
        <w:textAlignment w:val="baseline"/>
        <w:rPr>
          <w:rFonts w:ascii="Bookman Old Style" w:hAnsi="Bookman Old Style"/>
          <w:b/>
          <w:bCs/>
          <w:sz w:val="24"/>
          <w:szCs w:val="24"/>
        </w:rPr>
      </w:pPr>
      <w:r>
        <w:rPr>
          <w:rFonts w:ascii="Bookman Old Style" w:cs="Arial" w:eastAsia="Bookman Old Style" w:hAnsi="Bookman Old Style"/>
          <w:sz w:val="24"/>
          <w:szCs w:val="24"/>
          <w:lang w:bidi="hi-IN" w:val="es-ES"/>
        </w:rPr>
        <w:t xml:space="preserve">Deberá presentar al menos 5 casos proyectos exitosos donde se utilizaron las  tecnologías a adquirir. </w:t>
      </w:r>
      <w:r>
        <w:rPr>
          <w:rFonts w:ascii="Bookman Old Style" w:hAnsi="Bookman Old Style"/>
          <w:b/>
          <w:bCs/>
          <w:sz w:val="24"/>
          <w:szCs w:val="24"/>
        </w:rPr>
        <w:t>Se acreditará mediante documentación firmada por aquellos que hubieren recibido el servicio, indicando la conformidad y el plazo.</w:t>
      </w:r>
    </w:p>
    <w:p>
      <w:pPr>
        <w:pStyle w:val="style43"/>
        <w:widowControl w:val="false"/>
        <w:numPr>
          <w:ilvl w:val="0"/>
          <w:numId w:val="9"/>
        </w:numPr>
        <w:spacing w:after="0" w:before="0"/>
        <w:contextualSpacing/>
        <w:jc w:val="both"/>
        <w:textAlignment w:val="baseline"/>
        <w:rPr>
          <w:rFonts w:ascii="Bookman Old Style" w:cs="Arial" w:hAnsi="Bookman Old Style"/>
          <w:sz w:val="24"/>
          <w:szCs w:val="24"/>
          <w:lang w:val="es-ES"/>
        </w:rPr>
      </w:pPr>
      <w:r>
        <w:rPr>
          <w:rFonts w:ascii="Bookman Old Style" w:cs="Arial" w:hAnsi="Bookman Old Style"/>
          <w:sz w:val="24"/>
          <w:szCs w:val="24"/>
          <w:lang w:val="es-ES"/>
        </w:rPr>
        <w:t>Se deberá de presentar  nómina de 3 instituciones públicas o privadas para las cuales haya realizado trabajos de las mismas características al solicitado, indicando:</w:t>
      </w:r>
    </w:p>
    <w:p>
      <w:pPr>
        <w:pStyle w:val="style0"/>
        <w:numPr>
          <w:ilvl w:val="0"/>
          <w:numId w:val="3"/>
        </w:numPr>
        <w:suppressAutoHyphens w:val="false"/>
        <w:spacing w:line="276" w:lineRule="auto"/>
        <w:jc w:val="both"/>
        <w:textAlignment w:val="baseline"/>
        <w:rPr>
          <w:rFonts w:cs="Arial"/>
        </w:rPr>
      </w:pPr>
      <w:r>
        <w:rPr>
          <w:rFonts w:cs="Arial"/>
        </w:rPr>
        <w:t>breve descripción de la actividad</w:t>
      </w:r>
    </w:p>
    <w:p>
      <w:pPr>
        <w:pStyle w:val="style0"/>
        <w:numPr>
          <w:ilvl w:val="0"/>
          <w:numId w:val="3"/>
        </w:numPr>
        <w:suppressAutoHyphens w:val="false"/>
        <w:spacing w:line="276" w:lineRule="auto"/>
        <w:jc w:val="both"/>
        <w:textAlignment w:val="baseline"/>
        <w:rPr>
          <w:rFonts w:cs="Arial"/>
        </w:rPr>
      </w:pPr>
      <w:r>
        <w:rPr>
          <w:rFonts w:cs="Arial"/>
        </w:rPr>
        <w:t>fecha de realización</w:t>
      </w:r>
    </w:p>
    <w:p>
      <w:pPr>
        <w:pStyle w:val="style0"/>
        <w:numPr>
          <w:ilvl w:val="0"/>
          <w:numId w:val="3"/>
        </w:numPr>
        <w:suppressAutoHyphens w:val="false"/>
        <w:spacing w:line="276" w:lineRule="auto"/>
        <w:jc w:val="both"/>
        <w:textAlignment w:val="baseline"/>
        <w:rPr>
          <w:rFonts w:cs="Arial"/>
        </w:rPr>
      </w:pPr>
      <w:r>
        <w:rPr>
          <w:rFonts w:cs="Arial"/>
        </w:rPr>
        <w:t>nombre de contacto</w:t>
      </w:r>
    </w:p>
    <w:p>
      <w:pPr>
        <w:pStyle w:val="style43"/>
        <w:widowControl w:val="false"/>
        <w:numPr>
          <w:ilvl w:val="0"/>
          <w:numId w:val="3"/>
        </w:numPr>
        <w:spacing w:after="0" w:before="0"/>
        <w:contextualSpacing/>
        <w:jc w:val="both"/>
        <w:textAlignment w:val="baseline"/>
        <w:rPr>
          <w:rFonts w:ascii="Bookman Old Style" w:hAnsi="Bookman Old Style"/>
          <w:b/>
          <w:bCs/>
          <w:sz w:val="24"/>
          <w:szCs w:val="24"/>
        </w:rPr>
      </w:pPr>
      <w:r>
        <w:rPr>
          <w:rFonts w:ascii="Bookman Old Style" w:hAnsi="Bookman Old Style"/>
          <w:b/>
          <w:bCs/>
          <w:sz w:val="24"/>
          <w:szCs w:val="24"/>
        </w:rPr>
        <w:t>Se acreditará mediante documentación firmada por aquellos que hubieren recibido el servicio, indicando la conformidad y el plazo.</w:t>
      </w:r>
    </w:p>
    <w:p>
      <w:pPr>
        <w:pStyle w:val="style43"/>
        <w:numPr>
          <w:ilvl w:val="0"/>
          <w:numId w:val="9"/>
        </w:numPr>
        <w:jc w:val="both"/>
        <w:textAlignment w:val="baseline"/>
        <w:rPr>
          <w:rFonts w:ascii="Bookman Old Style" w:cs="Arial" w:hAnsi="Bookman Old Style"/>
          <w:sz w:val="24"/>
          <w:szCs w:val="24"/>
        </w:rPr>
      </w:pPr>
      <w:r>
        <w:rPr>
          <w:rFonts w:ascii="Bookman Old Style" w:hAnsi="Bookman Old Style"/>
          <w:bCs/>
          <w:sz w:val="24"/>
          <w:szCs w:val="24"/>
        </w:rPr>
        <w:t>Constancia</w:t>
      </w:r>
      <w:r>
        <w:rPr>
          <w:rFonts w:ascii="Bookman Old Style" w:cs="Arial" w:hAnsi="Bookman Old Style"/>
          <w:sz w:val="24"/>
          <w:szCs w:val="24"/>
        </w:rPr>
        <w:t xml:space="preserve"> de contar con una antigüedad de 10 años o más en el mercado local,  </w:t>
      </w:r>
      <w:r>
        <w:rPr>
          <w:rFonts w:ascii="Bookman Old Style" w:cs="Arial" w:eastAsia="Bookman Old Style" w:hAnsi="Bookman Old Style"/>
          <w:sz w:val="24"/>
          <w:szCs w:val="24"/>
          <w:lang w:bidi="hi-IN" w:val="es-ES"/>
        </w:rPr>
        <w:t>utilizando las plataformas y tecnologías propuestas</w:t>
      </w:r>
      <w:r>
        <w:rPr>
          <w:rFonts w:ascii="Bookman Old Style" w:cs="Arial" w:hAnsi="Bookman Old Style"/>
          <w:sz w:val="24"/>
          <w:szCs w:val="24"/>
        </w:rPr>
        <w:t>.</w:t>
      </w:r>
    </w:p>
    <w:p>
      <w:pPr>
        <w:pStyle w:val="style43"/>
        <w:jc w:val="both"/>
        <w:textAlignment w:val="baseline"/>
        <w:rPr>
          <w:rFonts w:ascii="Bookman Old Style" w:hAnsi="Bookman Old Style"/>
          <w:b/>
          <w:bCs/>
          <w:sz w:val="24"/>
          <w:szCs w:val="24"/>
        </w:rPr>
      </w:pPr>
      <w:r>
        <w:rPr>
          <w:rFonts w:ascii="Bookman Old Style" w:hAnsi="Bookman Old Style"/>
          <w:b/>
          <w:bCs/>
          <w:sz w:val="24"/>
          <w:szCs w:val="24"/>
        </w:rPr>
        <w:t>Se acreditará mediante documentación firmada por aquellos que hubieren recibido el servicio, indicando la conformidad y el plazo.</w:t>
      </w:r>
    </w:p>
    <w:p>
      <w:pPr>
        <w:pStyle w:val="style0"/>
        <w:widowControl/>
        <w:jc w:val="both"/>
        <w:rPr>
          <w:rFonts w:cs="Times New Roman" w:eastAsia="Calibri"/>
          <w:bCs/>
          <w:lang w:bidi="ar-SA" w:val="es-UY"/>
        </w:rPr>
      </w:pPr>
      <w:r>
        <w:rPr>
          <w:rFonts w:cs="Times New Roman" w:eastAsia="Calibri"/>
          <w:bCs/>
          <w:lang w:bidi="ar-SA" w:val="es-UY"/>
        </w:rPr>
      </w:r>
    </w:p>
    <w:p>
      <w:pPr>
        <w:pStyle w:val="style0"/>
        <w:widowControl/>
        <w:ind w:firstLine="708" w:left="0" w:right="0"/>
        <w:jc w:val="both"/>
        <w:rPr>
          <w:rFonts w:cs="Times New Roman" w:eastAsia="Calibri"/>
          <w:bCs/>
          <w:lang w:bidi="ar-SA" w:val="es-UY"/>
        </w:rPr>
      </w:pPr>
      <w:r>
        <w:rPr>
          <w:rFonts w:cs="Times New Roman" w:eastAsia="Calibri"/>
          <w:bCs/>
          <w:lang w:bidi="ar-SA"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pPr>
        <w:pStyle w:val="style0"/>
        <w:widowControl/>
        <w:tabs>
          <w:tab w:leader="none" w:pos="600" w:val="left"/>
        </w:tabs>
        <w:spacing w:line="276" w:lineRule="auto"/>
        <w:ind w:hanging="0" w:left="0" w:right="680"/>
        <w:jc w:val="both"/>
        <w:rPr>
          <w:rFonts w:cs="Times New Roman"/>
          <w:lang w:val="es-UY"/>
        </w:rPr>
      </w:pPr>
      <w:r>
        <w:rPr>
          <w:rFonts w:cs="Times New Roman"/>
          <w:lang w:val="es-UY"/>
        </w:rPr>
      </w:r>
    </w:p>
    <w:p>
      <w:pPr>
        <w:pStyle w:val="style0"/>
        <w:spacing w:line="276" w:lineRule="auto"/>
        <w:jc w:val="both"/>
        <w:rPr>
          <w:rFonts w:cs="Times New Roman"/>
          <w:b/>
          <w:bCs/>
        </w:rPr>
      </w:pPr>
      <w:r>
        <w:rPr>
          <w:rFonts w:cs="Times New Roman"/>
          <w:b/>
          <w:bCs/>
        </w:rPr>
        <w:t>Art. 7.-</w:t>
      </w:r>
      <w:r>
        <w:rPr>
          <w:rFonts w:cs="Times New Roman"/>
        </w:rPr>
        <w:t xml:space="preserve"> </w:t>
      </w:r>
      <w:r>
        <w:rPr>
          <w:rFonts w:cs="Times New Roman"/>
          <w:b/>
          <w:bCs/>
        </w:rPr>
        <w:t>LUGAR, FECHA Y HORA DE APERTURA</w:t>
      </w:r>
    </w:p>
    <w:p>
      <w:pPr>
        <w:pStyle w:val="style0"/>
        <w:spacing w:line="276" w:lineRule="auto"/>
        <w:jc w:val="both"/>
        <w:rPr>
          <w:rFonts w:cs="Times New Roman"/>
        </w:rPr>
      </w:pPr>
      <w:r>
        <w:rPr>
          <w:rFonts w:cs="Times New Roman"/>
        </w:rPr>
      </w:r>
    </w:p>
    <w:p>
      <w:pPr>
        <w:pStyle w:val="style0"/>
        <w:spacing w:line="276" w:lineRule="auto"/>
        <w:jc w:val="both"/>
        <w:rPr>
          <w:rFonts w:cs="Times New Roman"/>
          <w:b/>
          <w:bCs/>
        </w:rPr>
      </w:pPr>
      <w:r>
        <w:rPr>
          <w:rFonts w:cs="Times New Roman"/>
        </w:rPr>
        <w:tab/>
        <w:tab/>
      </w:r>
      <w:r>
        <w:rPr>
          <w:rFonts w:cs="Times New Roman"/>
          <w:b/>
          <w:bCs/>
        </w:rPr>
        <w:t>a) Fecha:  27 de Junio de  2019.</w:t>
      </w:r>
    </w:p>
    <w:p>
      <w:pPr>
        <w:pStyle w:val="style0"/>
        <w:spacing w:line="276" w:lineRule="auto"/>
        <w:jc w:val="both"/>
        <w:rPr>
          <w:rFonts w:cs="Times New Roman"/>
          <w:b/>
          <w:bCs/>
        </w:rPr>
      </w:pPr>
      <w:r>
        <w:rPr>
          <w:rFonts w:cs="Times New Roman"/>
          <w:b/>
          <w:bCs/>
        </w:rPr>
      </w:r>
    </w:p>
    <w:p>
      <w:pPr>
        <w:pStyle w:val="style0"/>
        <w:spacing w:line="276" w:lineRule="auto"/>
        <w:jc w:val="both"/>
        <w:rPr>
          <w:rFonts w:cs="Times New Roman"/>
          <w:b/>
          <w:bCs/>
        </w:rPr>
      </w:pPr>
      <w:r>
        <w:rPr>
          <w:rFonts w:cs="Times New Roman"/>
          <w:b/>
          <w:bCs/>
        </w:rPr>
        <w:tab/>
        <w:tab/>
        <w:t>b) Hora: 15:00 hs.</w:t>
      </w:r>
    </w:p>
    <w:p>
      <w:pPr>
        <w:pStyle w:val="style0"/>
        <w:spacing w:line="276" w:lineRule="auto"/>
        <w:jc w:val="both"/>
        <w:rPr>
          <w:rFonts w:cs="Times New Roman"/>
          <w:b/>
          <w:bCs/>
        </w:rPr>
      </w:pPr>
      <w:r>
        <w:rPr>
          <w:rFonts w:cs="Times New Roman"/>
          <w:b/>
          <w:bCs/>
        </w:rPr>
      </w:r>
    </w:p>
    <w:p>
      <w:pPr>
        <w:pStyle w:val="style0"/>
        <w:spacing w:line="276" w:lineRule="auto"/>
        <w:ind w:firstLine="1276" w:left="0" w:right="0"/>
        <w:jc w:val="both"/>
        <w:rPr>
          <w:rFonts w:cs="Times New Roman"/>
          <w:b/>
          <w:bCs/>
        </w:rPr>
      </w:pPr>
      <w:r>
        <w:rPr>
          <w:rFonts w:cs="Times New Roman"/>
          <w:b/>
          <w:bCs/>
        </w:rPr>
        <w:tab/>
        <w:t xml:space="preserve">c) Lugar: </w:t>
      </w:r>
      <w:r>
        <w:rPr>
          <w:rFonts w:cs="Times New Roman"/>
        </w:rPr>
        <w:t xml:space="preserve">Departamento de Adquisiciones del Poder Judicial, sito en la calle </w:t>
      </w:r>
      <w:r>
        <w:rPr>
          <w:rFonts w:cs="Times New Roman"/>
          <w:b/>
          <w:bCs/>
        </w:rPr>
        <w:t>Soriano 1210.</w:t>
      </w:r>
    </w:p>
    <w:p>
      <w:pPr>
        <w:pStyle w:val="style0"/>
        <w:spacing w:line="276" w:lineRule="auto"/>
        <w:jc w:val="both"/>
        <w:rPr>
          <w:rFonts w:cs="Times New Roman"/>
          <w:b/>
          <w:bCs/>
          <w:lang w:val="es-UY"/>
        </w:rPr>
      </w:pPr>
      <w:r>
        <w:rPr>
          <w:rFonts w:cs="Times New Roman"/>
          <w:b/>
          <w:bCs/>
          <w:lang w:val="es-UY"/>
        </w:rPr>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lang w:val="es-UY"/>
        </w:rPr>
        <w:t xml:space="preserve">Art. 8.- </w:t>
      </w:r>
      <w:r>
        <w:rPr>
          <w:rFonts w:ascii="Bookman Old Style" w:cs="Times New Roman" w:eastAsia="Bookman Old Style" w:hAnsi="Bookman Old Style"/>
        </w:rPr>
        <w:t>APERTURA DE OFERTAS</w:t>
      </w:r>
    </w:p>
    <w:p>
      <w:pPr>
        <w:pStyle w:val="style0"/>
        <w:spacing w:line="276" w:lineRule="auto"/>
        <w:jc w:val="both"/>
        <w:rPr>
          <w:rFonts w:cs="Times New Roman"/>
        </w:rPr>
      </w:pPr>
      <w:r>
        <w:rPr>
          <w:rFonts w:cs="Times New Roman"/>
          <w:b/>
          <w:bCs/>
        </w:rPr>
        <w:tab/>
      </w:r>
      <w:r>
        <w:rPr>
          <w:rFonts w:cs="Times New Roman"/>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pPr>
        <w:pStyle w:val="style36"/>
        <w:spacing w:line="276" w:lineRule="auto"/>
        <w:rPr>
          <w:rFonts w:cs="Times New Roman"/>
          <w:b w:val="false"/>
          <w:bCs w:val="false"/>
        </w:rPr>
      </w:pPr>
      <w:r>
        <w:rPr>
          <w:rFonts w:cs="Times New Roman"/>
          <w:b w:val="false"/>
          <w:bCs w:val="false"/>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pPr>
        <w:pStyle w:val="style36"/>
        <w:spacing w:line="276" w:lineRule="auto"/>
        <w:rPr>
          <w:rFonts w:cs="Times New Roman"/>
          <w:b w:val="false"/>
          <w:bCs w:val="false"/>
        </w:rPr>
      </w:pPr>
      <w:r>
        <w:rPr>
          <w:rFonts w:cs="Times New Roman"/>
          <w:b w:val="false"/>
          <w:bCs w:val="false"/>
        </w:rPr>
      </w:r>
    </w:p>
    <w:p>
      <w:pPr>
        <w:pStyle w:val="style0"/>
        <w:spacing w:line="276" w:lineRule="auto"/>
        <w:jc w:val="both"/>
        <w:rPr>
          <w:rFonts w:cs="Times New Roman"/>
          <w:b/>
        </w:rPr>
      </w:pPr>
      <w:r>
        <w:rPr>
          <w:rFonts w:cs="Times New Roman"/>
          <w:b/>
          <w:bCs/>
        </w:rPr>
        <w:t>Art. 9.-</w:t>
      </w:r>
      <w:r>
        <w:rPr>
          <w:rFonts w:cs="Times New Roman"/>
        </w:rPr>
        <w:t xml:space="preserve"> </w:t>
      </w:r>
      <w:r>
        <w:rPr>
          <w:rFonts w:cs="Times New Roman"/>
          <w:b/>
          <w:bCs/>
        </w:rPr>
        <w:t>PLAZO DE MANTENIMIENTO DE OFERTA</w:t>
      </w:r>
      <w:r>
        <w:rPr>
          <w:rFonts w:cs="Times New Roman"/>
        </w:rPr>
        <w:t xml:space="preserve"> </w:t>
      </w:r>
      <w:r>
        <w:rPr>
          <w:rFonts w:cs="Times New Roman"/>
          <w:b/>
        </w:rPr>
        <w:t>Y PRECIO</w:t>
      </w:r>
    </w:p>
    <w:p>
      <w:pPr>
        <w:pStyle w:val="style0"/>
        <w:spacing w:line="276" w:lineRule="auto"/>
        <w:jc w:val="both"/>
        <w:rPr>
          <w:rFonts w:cs="Times New Roman"/>
        </w:rPr>
      </w:pPr>
      <w:r>
        <w:rPr>
          <w:rFonts w:cs="Times New Roman"/>
        </w:rPr>
      </w:r>
    </w:p>
    <w:p>
      <w:pPr>
        <w:pStyle w:val="style0"/>
        <w:spacing w:line="276" w:lineRule="auto"/>
        <w:ind w:firstLine="709" w:left="0" w:right="0"/>
        <w:jc w:val="both"/>
        <w:rPr>
          <w:rFonts w:cs="Times New Roman"/>
        </w:rPr>
      </w:pPr>
      <w:r>
        <w:rPr>
          <w:rFonts w:cs="Times New Roman"/>
          <w:b/>
        </w:rPr>
        <w:t xml:space="preserve">No inferior a </w:t>
      </w:r>
      <w:r>
        <w:rPr>
          <w:rFonts w:cs="Times New Roman"/>
          <w:b/>
          <w:bCs/>
        </w:rPr>
        <w:t>120</w:t>
      </w:r>
      <w:r>
        <w:rPr>
          <w:rFonts w:cs="Times New Roman"/>
          <w:b/>
        </w:rPr>
        <w:t xml:space="preserve"> días</w:t>
      </w:r>
      <w:r>
        <w:rPr>
          <w:rFonts w:cs="Times New Roman"/>
        </w:rPr>
        <w:t>, salvo que la Administración, se expida con anterioridad al vencimiento de dicho plazo. Se  entiende por tal el lapso durante el cual la empresa se obliga a mantener las condiciones de su oferta y precio.</w:t>
      </w:r>
    </w:p>
    <w:p>
      <w:pPr>
        <w:pStyle w:val="style0"/>
        <w:spacing w:line="276" w:lineRule="auto"/>
        <w:jc w:val="both"/>
        <w:rPr>
          <w:rFonts w:cs="Times New Roman"/>
        </w:rPr>
      </w:pPr>
      <w:r>
        <w:rPr>
          <w:rFonts w:cs="Times New Roman"/>
        </w:rPr>
        <w:tab/>
        <w:t>El vencimiento del plazo establecido precedentemente no liberará al oferente, salvo que medie notificación escrita a la Administración, manifestando su decisión de retirar la oferta, antes de la notificación de la adjudicación de la misma.</w:t>
      </w:r>
    </w:p>
    <w:p>
      <w:pPr>
        <w:pStyle w:val="style0"/>
        <w:spacing w:line="276" w:lineRule="auto"/>
        <w:ind w:firstLine="709" w:left="0" w:right="0"/>
        <w:jc w:val="both"/>
        <w:rPr>
          <w:rFonts w:cs="Times New Roman"/>
        </w:rPr>
      </w:pPr>
      <w:r>
        <w:rPr>
          <w:rFonts w:cs="Times New Roman"/>
        </w:rPr>
        <w:t xml:space="preserve">El oferente no podrá establecer cláusulas que condicionen el mantenimiento de la oferta en forma alguna o que indiquen plazos menores. </w:t>
      </w:r>
    </w:p>
    <w:p>
      <w:pPr>
        <w:pStyle w:val="style0"/>
        <w:spacing w:line="276" w:lineRule="auto"/>
        <w:jc w:val="both"/>
        <w:rPr>
          <w:rFonts w:cs="Times New Roman"/>
          <w:b/>
          <w:bCs/>
        </w:rPr>
      </w:pPr>
      <w:r>
        <w:rPr>
          <w:rFonts w:cs="Times New Roman"/>
          <w:b/>
          <w:bCs/>
        </w:rPr>
      </w:r>
    </w:p>
    <w:p>
      <w:pPr>
        <w:pStyle w:val="style37"/>
        <w:spacing w:line="276" w:lineRule="auto"/>
        <w:jc w:val="both"/>
        <w:rPr>
          <w:rFonts w:ascii="Bookman Old Style" w:hAnsi="Bookman Old Style"/>
          <w:b/>
          <w:szCs w:val="24"/>
        </w:rPr>
      </w:pPr>
      <w:r>
        <w:rPr>
          <w:rFonts w:ascii="Bookman Old Style" w:hAnsi="Bookman Old Style"/>
          <w:b/>
          <w:szCs w:val="24"/>
        </w:rPr>
        <w:t>Art. 10.- CÓMPUTO DE PLAZOS</w:t>
      </w:r>
    </w:p>
    <w:p>
      <w:pPr>
        <w:pStyle w:val="style37"/>
        <w:spacing w:line="276" w:lineRule="auto"/>
        <w:ind w:firstLine="709" w:left="0" w:right="0"/>
        <w:jc w:val="both"/>
        <w:rPr>
          <w:rFonts w:ascii="Bookman Old Style" w:hAnsi="Bookman Old Style"/>
          <w:szCs w:val="24"/>
        </w:rPr>
      </w:pPr>
      <w:r>
        <w:rPr>
          <w:rFonts w:ascii="Bookman Old Style" w:hAnsi="Bookman Old Style"/>
          <w:szCs w:val="24"/>
        </w:rPr>
        <w:t xml:space="preserve">Todos los plazos serán computados en </w:t>
      </w:r>
      <w:r>
        <w:rPr>
          <w:rFonts w:ascii="Bookman Old Style" w:hAnsi="Bookman Old Style"/>
          <w:b/>
          <w:szCs w:val="24"/>
        </w:rPr>
        <w:t>días hábiles, salvo especificación en contrario</w:t>
      </w:r>
      <w:r>
        <w:rPr>
          <w:rFonts w:ascii="Bookman Old Style" w:hAnsi="Bookman Old Style"/>
          <w:szCs w:val="24"/>
        </w:rPr>
        <w:t xml:space="preserve"> en el presente Pliego o en las disposiciones legales aplicables.</w:t>
      </w:r>
    </w:p>
    <w:p>
      <w:pPr>
        <w:pStyle w:val="style37"/>
        <w:spacing w:line="276" w:lineRule="auto"/>
        <w:jc w:val="both"/>
        <w:rPr>
          <w:rFonts w:ascii="Bookman Old Style" w:hAnsi="Bookman Old Style"/>
          <w:szCs w:val="24"/>
        </w:rPr>
      </w:pPr>
      <w:r>
        <w:rPr>
          <w:rFonts w:ascii="Bookman Old Style" w:hAnsi="Bookman Old Style"/>
          <w:szCs w:val="24"/>
        </w:rPr>
      </w:r>
    </w:p>
    <w:p>
      <w:pPr>
        <w:pStyle w:val="style0"/>
        <w:spacing w:line="276" w:lineRule="auto"/>
        <w:jc w:val="both"/>
        <w:rPr>
          <w:rFonts w:cs="Times New Roman"/>
          <w:b/>
          <w:lang w:val="es-ES"/>
        </w:rPr>
      </w:pPr>
      <w:r>
        <w:rPr>
          <w:rFonts w:cs="Times New Roman"/>
          <w:b/>
          <w:lang w:val="es-ES"/>
        </w:rPr>
        <w:t>Art. 11.- FORMA DE PAGO.</w:t>
      </w:r>
    </w:p>
    <w:p>
      <w:pPr>
        <w:pStyle w:val="style0"/>
        <w:spacing w:line="276" w:lineRule="auto"/>
        <w:ind w:firstLine="709" w:left="0" w:right="0"/>
        <w:jc w:val="both"/>
        <w:rPr>
          <w:rFonts w:cs="Times New Roman"/>
          <w:lang w:val="es-ES"/>
        </w:rPr>
      </w:pPr>
      <w:r>
        <w:rPr>
          <w:rFonts w:cs="Times New Roman"/>
          <w:lang w:val="es-ES"/>
        </w:rPr>
        <w:t xml:space="preserve">La propuesta deberá considerar que el </w:t>
      </w:r>
      <w:r>
        <w:rPr>
          <w:rFonts w:cs="Times New Roman"/>
          <w:b/>
          <w:lang w:val="es-ES"/>
        </w:rPr>
        <w:t>plazo mínimo de crédito es de 60 días</w:t>
      </w:r>
      <w:r>
        <w:rPr>
          <w:rFonts w:cs="Times New Roman"/>
          <w:lang w:val="es-ES"/>
        </w:rPr>
        <w:t xml:space="preserve"> luego de efectuada, de conformidad la(s) entrega(s).</w:t>
      </w:r>
    </w:p>
    <w:p>
      <w:pPr>
        <w:pStyle w:val="style0"/>
        <w:spacing w:line="276" w:lineRule="auto"/>
        <w:jc w:val="both"/>
        <w:rPr>
          <w:rFonts w:cs="Times New Roman"/>
          <w:b/>
          <w:lang w:val="es-ES"/>
        </w:rPr>
      </w:pPr>
      <w:r>
        <w:rPr>
          <w:rFonts w:cs="Times New Roman"/>
          <w:b/>
          <w:lang w:val="es-ES"/>
        </w:rPr>
      </w:r>
    </w:p>
    <w:p>
      <w:pPr>
        <w:pStyle w:val="style0"/>
        <w:spacing w:line="276" w:lineRule="auto"/>
        <w:jc w:val="both"/>
        <w:rPr>
          <w:rFonts w:cs="Times New Roman"/>
          <w:b/>
          <w:lang w:val="es-ES"/>
        </w:rPr>
      </w:pPr>
      <w:r>
        <w:rPr>
          <w:rFonts w:cs="Times New Roman"/>
          <w:b/>
          <w:lang w:val="es-ES"/>
        </w:rPr>
        <w:t>Art. 12.-</w:t>
      </w:r>
      <w:r>
        <w:rPr>
          <w:rFonts w:cs="Times New Roman"/>
          <w:lang w:val="es-ES"/>
        </w:rPr>
        <w:t xml:space="preserve"> </w:t>
      </w:r>
      <w:r>
        <w:rPr>
          <w:rFonts w:cs="Times New Roman"/>
          <w:b/>
          <w:lang w:val="es-ES"/>
        </w:rPr>
        <w:t>AJUSTE DE PRECIOS.</w:t>
      </w:r>
    </w:p>
    <w:p>
      <w:pPr>
        <w:pStyle w:val="style0"/>
        <w:spacing w:line="276" w:lineRule="auto"/>
        <w:jc w:val="both"/>
        <w:rPr>
          <w:rFonts w:cs="Times New Roman"/>
          <w:lang w:val="es-ES"/>
        </w:rPr>
      </w:pPr>
      <w:r>
        <w:rPr>
          <w:rFonts w:cs="Times New Roman"/>
          <w:lang w:val="es-ES"/>
        </w:rPr>
        <w:tab/>
        <w:t>Sólo se admitirán ajustes de precio que se ciñan a la siguiente fórmula paramétrica:</w:t>
      </w:r>
    </w:p>
    <w:p>
      <w:pPr>
        <w:pStyle w:val="style0"/>
        <w:spacing w:line="276" w:lineRule="auto"/>
        <w:jc w:val="both"/>
        <w:rPr>
          <w:rFonts w:cs="Times New Roman"/>
          <w:lang w:val="es-ES"/>
        </w:rPr>
      </w:pPr>
      <w:r>
        <w:rPr>
          <w:rFonts w:cs="Times New Roman"/>
          <w:lang w:val="es-ES"/>
        </w:rPr>
      </w:r>
    </w:p>
    <w:p>
      <w:pPr>
        <w:pStyle w:val="style0"/>
        <w:spacing w:line="276" w:lineRule="auto"/>
        <w:jc w:val="both"/>
        <w:rPr>
          <w:rFonts w:cs="Times New Roman"/>
          <w:b/>
          <w:lang w:val="es-UY"/>
        </w:rPr>
      </w:pPr>
      <w:r>
        <w:rPr>
          <w:rFonts w:cs="Times New Roman"/>
          <w:b/>
          <w:lang w:val="es-UY"/>
        </w:rPr>
        <w:t>P</w:t>
      </w:r>
      <w:r>
        <w:rPr>
          <w:rFonts w:cs="Times New Roman"/>
          <w:b/>
          <w:vertAlign w:val="subscript"/>
          <w:lang w:val="es-UY"/>
        </w:rPr>
        <w:t>1</w:t>
      </w:r>
      <w:r>
        <w:rPr>
          <w:rFonts w:cs="Times New Roman"/>
          <w:b/>
          <w:lang w:val="es-UY"/>
        </w:rPr>
        <w:t xml:space="preserve"> = P</w:t>
      </w:r>
      <w:r>
        <w:rPr>
          <w:rFonts w:cs="Times New Roman"/>
          <w:b/>
          <w:vertAlign w:val="subscript"/>
          <w:lang w:val="es-UY"/>
        </w:rPr>
        <w:t>0</w:t>
      </w:r>
      <w:r>
        <w:rPr>
          <w:rFonts w:cs="Times New Roman"/>
          <w:b/>
          <w:lang w:val="es-UY"/>
        </w:rPr>
        <w:t xml:space="preserve">  X  </w:t>
      </w:r>
      <w:r>
        <w:rPr>
          <w:rFonts w:cs="Times New Roman"/>
          <w:b/>
          <w:u w:val="single"/>
          <w:lang w:val="es-UY"/>
        </w:rPr>
        <w:t>IPC</w:t>
      </w:r>
      <w:r>
        <w:rPr>
          <w:rFonts w:cs="Times New Roman"/>
          <w:b/>
          <w:u w:val="single"/>
          <w:vertAlign w:val="subscript"/>
          <w:lang w:val="es-UY"/>
        </w:rPr>
        <w:t>1</w:t>
      </w:r>
      <w:r>
        <w:rPr>
          <w:rFonts w:cs="Times New Roman"/>
          <w:b/>
          <w:lang w:val="es-UY"/>
        </w:rPr>
        <w:t xml:space="preserve">    </w:t>
      </w:r>
    </w:p>
    <w:p>
      <w:pPr>
        <w:pStyle w:val="style0"/>
        <w:spacing w:line="276" w:lineRule="auto"/>
        <w:jc w:val="both"/>
        <w:rPr>
          <w:rFonts w:cs="Times New Roman"/>
          <w:b/>
          <w:lang w:val="es-ES"/>
        </w:rPr>
      </w:pPr>
      <w:r>
        <w:rPr>
          <w:rFonts w:cs="Times New Roman"/>
          <w:b/>
          <w:lang w:val="es-UY"/>
        </w:rPr>
        <w:t xml:space="preserve">           </w:t>
      </w:r>
      <w:r>
        <w:rPr>
          <w:rFonts w:cs="Times New Roman"/>
          <w:b/>
          <w:lang w:val="es-ES"/>
        </w:rPr>
        <w:t>IPC</w:t>
      </w:r>
      <w:r>
        <w:rPr>
          <w:rFonts w:cs="Times New Roman"/>
          <w:b/>
          <w:vertAlign w:val="subscript"/>
          <w:lang w:val="es-ES"/>
        </w:rPr>
        <w:t>0</w:t>
      </w:r>
      <w:r>
        <w:rPr>
          <w:rFonts w:cs="Times New Roman"/>
          <w:b/>
          <w:lang w:val="es-ES"/>
        </w:rPr>
        <w:t xml:space="preserve">          </w:t>
      </w:r>
    </w:p>
    <w:p>
      <w:pPr>
        <w:pStyle w:val="style0"/>
        <w:spacing w:line="276" w:lineRule="auto"/>
        <w:jc w:val="both"/>
        <w:rPr>
          <w:rFonts w:cs="Times New Roman"/>
          <w:lang w:val="es-ES"/>
        </w:rPr>
      </w:pPr>
      <w:r>
        <w:rPr>
          <w:rFonts w:cs="Times New Roman"/>
          <w:lang w:val="es-ES"/>
        </w:rPr>
      </w:r>
    </w:p>
    <w:p>
      <w:pPr>
        <w:pStyle w:val="style0"/>
        <w:spacing w:line="276" w:lineRule="auto"/>
        <w:jc w:val="both"/>
        <w:rPr>
          <w:rFonts w:cs="Times New Roman"/>
          <w:lang w:val="es-ES"/>
        </w:rPr>
      </w:pPr>
      <w:r>
        <w:rPr>
          <w:rFonts w:cs="Times New Roman"/>
          <w:lang w:val="es-ES"/>
        </w:rPr>
        <w:t>Dónde:</w:t>
      </w:r>
    </w:p>
    <w:p>
      <w:pPr>
        <w:pStyle w:val="style0"/>
        <w:spacing w:line="276" w:lineRule="auto"/>
        <w:jc w:val="both"/>
        <w:rPr>
          <w:rFonts w:cs="Times New Roman"/>
          <w:lang w:val="es-ES"/>
        </w:rPr>
      </w:pPr>
      <w:r>
        <w:rPr>
          <w:rFonts w:cs="Times New Roman"/>
          <w:b/>
          <w:lang w:val="es-ES"/>
        </w:rPr>
        <w:t>P</w:t>
      </w:r>
      <w:r>
        <w:rPr>
          <w:rFonts w:cs="Times New Roman"/>
          <w:b/>
          <w:vertAlign w:val="subscript"/>
          <w:lang w:val="es-ES"/>
        </w:rPr>
        <w:t>1</w:t>
      </w:r>
      <w:r>
        <w:rPr>
          <w:rFonts w:cs="Times New Roman"/>
          <w:b/>
          <w:lang w:val="es-ES"/>
        </w:rPr>
        <w:t>:</w:t>
      </w:r>
      <w:r>
        <w:rPr>
          <w:rFonts w:cs="Times New Roman"/>
          <w:lang w:val="es-ES"/>
        </w:rPr>
        <w:t xml:space="preserve"> Precio ajustado a la fecha de pago de la factura</w:t>
      </w:r>
    </w:p>
    <w:p>
      <w:pPr>
        <w:pStyle w:val="style0"/>
        <w:spacing w:line="276" w:lineRule="auto"/>
        <w:jc w:val="both"/>
        <w:rPr>
          <w:rFonts w:cs="Times New Roman"/>
          <w:lang w:val="es-ES"/>
        </w:rPr>
      </w:pPr>
      <w:r>
        <w:rPr>
          <w:rFonts w:cs="Times New Roman"/>
          <w:b/>
          <w:lang w:val="es-ES"/>
        </w:rPr>
        <w:t>P</w:t>
      </w:r>
      <w:r>
        <w:rPr>
          <w:rFonts w:cs="Times New Roman"/>
          <w:b/>
          <w:vertAlign w:val="subscript"/>
          <w:lang w:val="es-ES"/>
        </w:rPr>
        <w:t>0</w:t>
      </w:r>
      <w:r>
        <w:rPr>
          <w:rFonts w:cs="Times New Roman"/>
          <w:b/>
          <w:lang w:val="es-ES"/>
        </w:rPr>
        <w:t>:</w:t>
      </w:r>
      <w:r>
        <w:rPr>
          <w:rFonts w:cs="Times New Roman"/>
          <w:lang w:val="es-ES"/>
        </w:rPr>
        <w:t xml:space="preserve"> Precio ofertado en la licitación</w:t>
      </w:r>
    </w:p>
    <w:p>
      <w:pPr>
        <w:pStyle w:val="style0"/>
        <w:spacing w:line="276" w:lineRule="auto"/>
        <w:jc w:val="both"/>
        <w:rPr>
          <w:rFonts w:cs="Times New Roman"/>
          <w:lang w:val="es-ES"/>
        </w:rPr>
      </w:pPr>
      <w:r>
        <w:rPr>
          <w:rFonts w:cs="Times New Roman"/>
          <w:b/>
          <w:lang w:val="es-ES"/>
        </w:rPr>
        <w:t>IPC</w:t>
      </w:r>
      <w:r>
        <w:rPr>
          <w:rFonts w:cs="Times New Roman"/>
          <w:b/>
          <w:vertAlign w:val="subscript"/>
          <w:lang w:val="es-ES"/>
        </w:rPr>
        <w:t>1</w:t>
      </w:r>
      <w:r>
        <w:rPr>
          <w:rFonts w:cs="Times New Roman"/>
          <w:b/>
          <w:lang w:val="es-ES"/>
        </w:rPr>
        <w:t>:</w:t>
      </w:r>
      <w:r>
        <w:rPr>
          <w:rFonts w:cs="Times New Roman"/>
          <w:lang w:val="es-ES"/>
        </w:rPr>
        <w:t xml:space="preserve"> Índice de Precios al Consumo del mes anterior a la fecha de pago de la factura publicado por la Dirección General de Estadística y Censo</w:t>
      </w:r>
    </w:p>
    <w:p>
      <w:pPr>
        <w:pStyle w:val="style0"/>
        <w:spacing w:line="276" w:lineRule="auto"/>
        <w:jc w:val="both"/>
        <w:rPr>
          <w:rFonts w:cs="Times New Roman"/>
          <w:lang w:val="es-ES"/>
        </w:rPr>
      </w:pPr>
      <w:r>
        <w:rPr>
          <w:rFonts w:cs="Times New Roman"/>
          <w:b/>
          <w:lang w:val="es-ES"/>
        </w:rPr>
        <w:t>IPC</w:t>
      </w:r>
      <w:r>
        <w:rPr>
          <w:rFonts w:cs="Times New Roman"/>
          <w:b/>
          <w:vertAlign w:val="subscript"/>
          <w:lang w:val="es-ES"/>
        </w:rPr>
        <w:t>0</w:t>
      </w:r>
      <w:r>
        <w:rPr>
          <w:rFonts w:cs="Times New Roman"/>
          <w:b/>
          <w:lang w:val="es-ES"/>
        </w:rPr>
        <w:t>:</w:t>
      </w:r>
      <w:r>
        <w:rPr>
          <w:rFonts w:cs="Times New Roman"/>
          <w:lang w:val="es-ES"/>
        </w:rPr>
        <w:t xml:space="preserve"> Índice de Precios al Consumo del mes anterior a la fecha de vencimiento de precios.</w:t>
      </w:r>
    </w:p>
    <w:p>
      <w:pPr>
        <w:pStyle w:val="style0"/>
        <w:spacing w:line="276" w:lineRule="auto"/>
        <w:jc w:val="both"/>
        <w:rPr>
          <w:rFonts w:cs="Times New Roman"/>
          <w:lang w:val="es-ES"/>
        </w:rPr>
      </w:pPr>
      <w:r>
        <w:rPr>
          <w:rFonts w:cs="Times New Roman"/>
          <w:lang w:val="es-ES"/>
        </w:rPr>
      </w:r>
    </w:p>
    <w:p>
      <w:pPr>
        <w:pStyle w:val="style0"/>
        <w:spacing w:line="276" w:lineRule="auto"/>
        <w:ind w:firstLine="709" w:left="0" w:right="0"/>
        <w:jc w:val="both"/>
        <w:rPr>
          <w:rFonts w:cs="Times New Roman"/>
          <w:lang w:val="es-ES"/>
        </w:rPr>
      </w:pPr>
      <w:r>
        <w:rPr>
          <w:rFonts w:cs="Times New Roman"/>
          <w:lang w:val="es-ES"/>
        </w:rPr>
        <w:t xml:space="preserve">Los ajustes se aplicarán a partir de la fecha de vencimiento del plazo de mantenimiento de precio y hasta el efectivo cobro de la factura. </w:t>
      </w:r>
    </w:p>
    <w:p>
      <w:pPr>
        <w:pStyle w:val="style38"/>
        <w:spacing w:line="276" w:lineRule="auto"/>
        <w:ind w:firstLine="709" w:left="0" w:right="0"/>
        <w:jc w:val="both"/>
        <w:rPr>
          <w:rFonts w:cs="Times New Roman"/>
          <w:lang w:val="es-ES"/>
        </w:rPr>
      </w:pPr>
      <w:r>
        <w:rPr>
          <w:rFonts w:cs="Times New Roman"/>
          <w:lang w:val="es-ES"/>
        </w:rPr>
        <w:t>Dicho reajuste regirá también, como cláusula penal, para el caso de incumplimiento. El mismo regirá desde el vencimiento del plazo de crédito establecido en la oferta o, en su defecto, el plazo mínimo establecido, hasta el día en que el pago se encuentre a disposición del proveedor a través del SIIF.</w:t>
      </w:r>
    </w:p>
    <w:p>
      <w:pPr>
        <w:pStyle w:val="style0"/>
        <w:spacing w:line="276" w:lineRule="auto"/>
        <w:ind w:firstLine="709" w:left="0" w:right="0"/>
        <w:jc w:val="both"/>
        <w:rPr>
          <w:rFonts w:cs="Times New Roman"/>
          <w:lang w:val="es-ES"/>
        </w:rPr>
      </w:pPr>
      <w:r>
        <w:rPr>
          <w:rFonts w:cs="Times New Roman"/>
          <w:lang w:val="es-ES"/>
        </w:rPr>
        <w:t>No se computará como incumplimiento cuando el pago no se realizare por hechos imputables al adjudicatario (falta de presentación de certificados, factura mal confeccionada, etc.).</w:t>
      </w:r>
    </w:p>
    <w:p>
      <w:pPr>
        <w:pStyle w:val="style0"/>
        <w:spacing w:line="276" w:lineRule="auto"/>
        <w:ind w:firstLine="709" w:left="0" w:right="0"/>
        <w:jc w:val="both"/>
        <w:rPr>
          <w:rFonts w:cs="Times New Roman"/>
          <w:lang w:val="es-ES"/>
        </w:rPr>
      </w:pPr>
      <w:r>
        <w:rPr>
          <w:rFonts w:cs="Times New Roman"/>
          <w:lang w:val="es-ES"/>
        </w:rPr>
        <w:t>El atraso en el pago de la multa no genera nuevos intereses y ajustes.</w:t>
      </w:r>
    </w:p>
    <w:p>
      <w:pPr>
        <w:pStyle w:val="style0"/>
        <w:spacing w:line="276" w:lineRule="auto"/>
        <w:ind w:firstLine="709" w:left="0" w:right="0"/>
        <w:jc w:val="both"/>
        <w:rPr>
          <w:rFonts w:cs="Times New Roman"/>
          <w:lang w:val="es-ES"/>
        </w:rPr>
      </w:pPr>
      <w:r>
        <w:rPr>
          <w:rFonts w:cs="Times New Roman"/>
          <w:lang w:val="es-ES"/>
        </w:rPr>
        <w:t>Los ajustes no se aplicarán:</w:t>
      </w:r>
    </w:p>
    <w:p>
      <w:pPr>
        <w:pStyle w:val="style0"/>
        <w:spacing w:line="276" w:lineRule="auto"/>
        <w:jc w:val="both"/>
        <w:rPr>
          <w:rFonts w:cs="Times New Roman"/>
          <w:lang w:val="es-ES"/>
        </w:rPr>
      </w:pPr>
      <w:r>
        <w:rPr>
          <w:rFonts w:cs="Times New Roman"/>
          <w:lang w:val="es-ES"/>
        </w:rPr>
        <w:t>a) desde la fecha de presentación de la oferta hasta el vencimiento del término de mantenimiento de precio,</w:t>
      </w:r>
    </w:p>
    <w:p>
      <w:pPr>
        <w:pStyle w:val="style0"/>
        <w:spacing w:line="276" w:lineRule="auto"/>
        <w:jc w:val="both"/>
        <w:rPr>
          <w:rFonts w:cs="Times New Roman"/>
          <w:lang w:val="es-ES"/>
        </w:rPr>
      </w:pPr>
      <w:r>
        <w:rPr>
          <w:rFonts w:cs="Times New Roman"/>
          <w:lang w:val="es-ES"/>
        </w:rPr>
        <w:t>b) desde el vencimiento del plazo de entrega hasta la efectiva entrega cuando ésta se realice fuera del plazo. Se considera como entrega efectiva cuando el Poder Judicial reciba de conformidad la totalidad del servicio de que se trate.</w:t>
      </w:r>
    </w:p>
    <w:p>
      <w:pPr>
        <w:pStyle w:val="style0"/>
        <w:spacing w:line="276" w:lineRule="auto"/>
        <w:ind w:firstLine="709" w:left="0" w:right="0"/>
        <w:jc w:val="both"/>
        <w:rPr>
          <w:rFonts w:cs="Times New Roman"/>
        </w:rPr>
      </w:pPr>
      <w:r>
        <w:rPr>
          <w:rFonts w:cs="Times New Roman"/>
        </w:rPr>
        <w:t>Las empresas oferentes no podrán presentar ninguna otra fórmula paramétrica que no sea la establecida precedentemente. En caso de presentar alguna diferente, se entenderá que la empresa ha presentado la fórmula de ajuste de precios prevista en este artículo.</w:t>
      </w:r>
    </w:p>
    <w:p>
      <w:pPr>
        <w:pStyle w:val="style0"/>
        <w:spacing w:line="276" w:lineRule="auto"/>
        <w:jc w:val="both"/>
        <w:rPr>
          <w:rFonts w:cs="Times New Roman"/>
          <w:b/>
          <w:bCs/>
        </w:rPr>
      </w:pPr>
      <w:r>
        <w:rPr>
          <w:rFonts w:cs="Times New Roman"/>
          <w:b/>
          <w:bCs/>
        </w:rPr>
      </w:r>
    </w:p>
    <w:p>
      <w:pPr>
        <w:pStyle w:val="style0"/>
        <w:spacing w:line="276" w:lineRule="auto"/>
        <w:jc w:val="both"/>
        <w:rPr>
          <w:rFonts w:cs="Times New Roman"/>
          <w:b/>
          <w:bCs/>
        </w:rPr>
      </w:pPr>
      <w:r>
        <w:rPr>
          <w:rFonts w:cs="Times New Roman"/>
          <w:b/>
          <w:bCs/>
        </w:rPr>
        <w:t>Art. 13.-</w:t>
      </w:r>
      <w:r>
        <w:rPr>
          <w:rFonts w:cs="Times New Roman"/>
        </w:rPr>
        <w:t xml:space="preserve"> </w:t>
      </w:r>
      <w:r>
        <w:rPr>
          <w:rFonts w:cs="Times New Roman"/>
          <w:b/>
          <w:bCs/>
        </w:rPr>
        <w:t>PLAZO DE ENTREGA.</w:t>
      </w:r>
    </w:p>
    <w:p>
      <w:pPr>
        <w:pStyle w:val="style0"/>
        <w:spacing w:line="276" w:lineRule="auto"/>
        <w:jc w:val="both"/>
        <w:rPr>
          <w:rFonts w:cs="Times New Roman"/>
        </w:rPr>
      </w:pPr>
      <w:r>
        <w:rPr>
          <w:rFonts w:cs="Times New Roman"/>
        </w:rPr>
      </w:r>
    </w:p>
    <w:p>
      <w:pPr>
        <w:pStyle w:val="style0"/>
        <w:spacing w:line="276" w:lineRule="auto"/>
        <w:jc w:val="both"/>
        <w:rPr>
          <w:rFonts w:cs="Times New Roman"/>
        </w:rPr>
      </w:pPr>
      <w:r>
        <w:rPr>
          <w:rFonts w:cs="Times New Roman"/>
        </w:rPr>
        <w:t xml:space="preserve"> </w:t>
      </w:r>
      <w:r>
        <w:rPr>
          <w:rFonts w:cs="Times New Roman"/>
        </w:rPr>
        <w:tab/>
      </w:r>
      <w:r>
        <w:rPr>
          <w:rFonts w:cs="Times New Roman"/>
          <w:b/>
        </w:rPr>
        <w:t xml:space="preserve">El plazo para la entrega del equipamiento será de un máximo de 60 días calendario </w:t>
      </w:r>
      <w:r>
        <w:rPr>
          <w:rFonts w:cs="Times New Roman"/>
        </w:rPr>
        <w:t xml:space="preserve">luego de colocada la orden de compra. </w:t>
      </w:r>
    </w:p>
    <w:p>
      <w:pPr>
        <w:pStyle w:val="style0"/>
        <w:spacing w:line="276" w:lineRule="auto"/>
        <w:jc w:val="both"/>
        <w:rPr>
          <w:rFonts w:cs="Times New Roman"/>
          <w:shd w:fill="FFFF00" w:val="clear"/>
        </w:rPr>
      </w:pPr>
      <w:r>
        <w:rPr>
          <w:rFonts w:cs="Times New Roman"/>
          <w:shd w:fill="FFFF00" w:val="clear"/>
        </w:rPr>
      </w:r>
    </w:p>
    <w:p>
      <w:pPr>
        <w:pStyle w:val="style0"/>
        <w:spacing w:line="276" w:lineRule="auto"/>
        <w:jc w:val="both"/>
        <w:rPr>
          <w:rFonts w:cs="Times New Roman"/>
          <w:b/>
          <w:bCs/>
        </w:rPr>
      </w:pPr>
      <w:r>
        <w:rPr>
          <w:rFonts w:cs="Times New Roman"/>
          <w:b/>
          <w:bCs/>
        </w:rPr>
        <w:t>Art. 14.- ESTUDIO DE LAS OFERTAS Y PONDERACIÓN.</w:t>
      </w:r>
    </w:p>
    <w:p>
      <w:pPr>
        <w:pStyle w:val="style0"/>
        <w:spacing w:line="276" w:lineRule="auto"/>
        <w:jc w:val="both"/>
        <w:rPr/>
      </w:pPr>
      <w:r>
        <w:rPr/>
      </w:r>
    </w:p>
    <w:p>
      <w:pPr>
        <w:pStyle w:val="style0"/>
        <w:spacing w:line="276" w:lineRule="auto"/>
        <w:ind w:firstLine="709" w:left="0" w:right="0"/>
        <w:jc w:val="both"/>
        <w:rPr>
          <w:rFonts w:cs="Times New Roman"/>
          <w:lang w:val="es-ES"/>
        </w:rPr>
      </w:pPr>
      <w:r>
        <w:rPr>
          <w:rFonts w:cs="Times New Roman"/>
          <w:lang w:val="es-ES"/>
        </w:rPr>
        <w:t xml:space="preserve">La adjudicación se realizará teniendo en cuenta el </w:t>
      </w:r>
      <w:r>
        <w:rPr>
          <w:rFonts w:cs="Times New Roman"/>
          <w:b/>
          <w:lang w:val="es-ES"/>
        </w:rPr>
        <w:t>cumplimiento de todos los requisitos solicitados en el presente Pliego y Anexo I, en base a la siguiente ponderación</w:t>
      </w:r>
      <w:r>
        <w:rPr>
          <w:rFonts w:cs="Times New Roman"/>
          <w:lang w:val="es-ES"/>
        </w:rPr>
        <w:t xml:space="preserve">:  </w:t>
      </w:r>
    </w:p>
    <w:p>
      <w:pPr>
        <w:pStyle w:val="style0"/>
        <w:spacing w:line="276" w:lineRule="auto"/>
        <w:ind w:firstLine="709" w:left="0" w:right="0"/>
        <w:jc w:val="both"/>
        <w:rPr>
          <w:rFonts w:cs="Times New Roman"/>
          <w:lang w:val="es-ES"/>
        </w:rPr>
      </w:pPr>
      <w:r>
        <w:rPr>
          <w:rFonts w:cs="Times New Roman"/>
          <w:lang w:val="es-ES"/>
        </w:rPr>
      </w:r>
    </w:p>
    <w:p>
      <w:pPr>
        <w:pStyle w:val="style0"/>
        <w:widowControl/>
        <w:spacing w:line="276" w:lineRule="auto"/>
        <w:ind w:hanging="0" w:left="1069" w:right="0"/>
        <w:jc w:val="both"/>
        <w:rPr>
          <w:rFonts w:cs="Times New Roman"/>
          <w:b/>
          <w:lang w:val="es-ES"/>
        </w:rPr>
      </w:pPr>
      <w:r>
        <w:rPr>
          <w:rFonts w:cs="Times New Roman"/>
          <w:b/>
          <w:lang w:val="es-ES"/>
        </w:rPr>
        <w:t>Precio – 100%</w:t>
      </w:r>
    </w:p>
    <w:p>
      <w:pPr>
        <w:pStyle w:val="style37"/>
        <w:spacing w:line="276" w:lineRule="auto"/>
        <w:jc w:val="both"/>
        <w:rPr>
          <w:rFonts w:ascii="Bookman Old Style" w:hAnsi="Bookman Old Style"/>
          <w:b/>
          <w:szCs w:val="24"/>
        </w:rPr>
      </w:pPr>
      <w:r>
        <w:rPr>
          <w:rFonts w:ascii="Bookman Old Style" w:hAnsi="Bookman Old Style"/>
          <w:b/>
          <w:szCs w:val="24"/>
        </w:rPr>
      </w:r>
    </w:p>
    <w:p>
      <w:pPr>
        <w:pStyle w:val="style37"/>
        <w:spacing w:line="276" w:lineRule="auto"/>
        <w:jc w:val="both"/>
        <w:rPr>
          <w:rFonts w:ascii="Bookman Old Style" w:hAnsi="Bookman Old Style"/>
          <w:b/>
          <w:szCs w:val="24"/>
        </w:rPr>
      </w:pPr>
      <w:r>
        <w:rPr>
          <w:rFonts w:ascii="Bookman Old Style" w:hAnsi="Bookman Old Style"/>
          <w:b/>
          <w:szCs w:val="24"/>
        </w:rPr>
        <w:t>Art. 15.- ADJUDICACION.</w:t>
      </w:r>
    </w:p>
    <w:p>
      <w:pPr>
        <w:pStyle w:val="style0"/>
        <w:widowControl/>
        <w:ind w:firstLine="708" w:left="0" w:right="0"/>
        <w:jc w:val="both"/>
        <w:rPr>
          <w:b/>
          <w:bCs/>
          <w:lang w:eastAsia="es-UY" w:val="es-UY"/>
        </w:rPr>
      </w:pPr>
      <w:r>
        <w:rPr>
          <w:bCs/>
          <w:lang w:eastAsia="es-UY" w:val="es-UY"/>
        </w:rPr>
        <w:t xml:space="preserve">La presente licitación </w:t>
      </w:r>
      <w:r>
        <w:rPr>
          <w:b/>
          <w:bCs/>
          <w:lang w:eastAsia="es-UY" w:val="es-UY"/>
        </w:rPr>
        <w:t xml:space="preserve">se adjudicará a una única empresa. </w:t>
      </w:r>
    </w:p>
    <w:p>
      <w:pPr>
        <w:pStyle w:val="style0"/>
        <w:widowControl/>
        <w:ind w:firstLine="708" w:left="0" w:right="0"/>
        <w:jc w:val="both"/>
        <w:rPr>
          <w:rFonts w:cs="gargi" w:eastAsia="Times New Roman"/>
          <w:b/>
          <w:bCs/>
          <w:color w:val="000000"/>
          <w:szCs w:val="20"/>
          <w:lang w:bidi="ar-SA"/>
        </w:rPr>
      </w:pPr>
      <w:r>
        <w:rPr>
          <w:rFonts w:cs="gargi" w:eastAsia="Times New Roman"/>
          <w:bCs/>
          <w:color w:val="000000"/>
          <w:szCs w:val="20"/>
          <w:lang w:bidi="ar-SA"/>
        </w:rPr>
        <w:t>Se deberá tener en cuenta que el Poder Judicial se reserva el derecho de</w:t>
      </w:r>
      <w:r>
        <w:rPr>
          <w:rFonts w:cs="gargi" w:eastAsia="Times New Roman"/>
          <w:b/>
          <w:bCs/>
          <w:color w:val="000000"/>
          <w:szCs w:val="20"/>
          <w:lang w:bidi="ar-SA"/>
        </w:rPr>
        <w:t xml:space="preserve"> adjudicar parcialmente.</w:t>
      </w:r>
    </w:p>
    <w:p>
      <w:pPr>
        <w:pStyle w:val="style39"/>
        <w:spacing w:line="276" w:lineRule="auto"/>
        <w:rPr>
          <w:rFonts w:ascii="Bookman Old Style" w:hAnsi="Bookman Old Style"/>
          <w:b/>
          <w:bCs/>
        </w:rPr>
      </w:pPr>
      <w:r>
        <w:rPr>
          <w:rFonts w:ascii="Bookman Old Style" w:hAnsi="Bookman Old Style"/>
          <w:b/>
          <w:bCs/>
        </w:rPr>
      </w:r>
    </w:p>
    <w:p>
      <w:pPr>
        <w:pStyle w:val="style34"/>
        <w:spacing w:line="276" w:lineRule="auto"/>
        <w:jc w:val="both"/>
        <w:rPr>
          <w:rFonts w:cs="Times New Roman"/>
        </w:rPr>
      </w:pPr>
      <w:r>
        <w:rPr>
          <w:rFonts w:cs="Times New Roman"/>
        </w:rPr>
        <w:t>Art. 16.- VALOR DE LA INFORMACIÓN TÉCNICA PRESENTADA</w:t>
      </w:r>
    </w:p>
    <w:p>
      <w:pPr>
        <w:pStyle w:val="style0"/>
        <w:rPr/>
      </w:pPr>
      <w:r>
        <w:rPr/>
      </w:r>
    </w:p>
    <w:p>
      <w:pPr>
        <w:pStyle w:val="style0"/>
        <w:spacing w:line="276" w:lineRule="auto"/>
        <w:jc w:val="both"/>
        <w:rPr>
          <w:rFonts w:cs="Times New Roman"/>
        </w:rPr>
      </w:pPr>
      <w:r>
        <w:rPr>
          <w:rFonts w:cs="Times New Roman"/>
          <w:b/>
          <w:bCs/>
        </w:rPr>
        <w:tab/>
      </w:r>
      <w:r>
        <w:rPr>
          <w:rFonts w:cs="Times New Roman"/>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de lugar a reclamación de clase alguna.</w:t>
      </w:r>
    </w:p>
    <w:p>
      <w:pPr>
        <w:pStyle w:val="style0"/>
        <w:spacing w:line="276" w:lineRule="auto"/>
        <w:jc w:val="both"/>
        <w:rPr>
          <w:rFonts w:cs="Times New Roman"/>
        </w:rPr>
      </w:pPr>
      <w:r>
        <w:rPr>
          <w:rFonts w:cs="Times New Roman"/>
        </w:rPr>
      </w:r>
    </w:p>
    <w:p>
      <w:pPr>
        <w:pStyle w:val="style0"/>
        <w:spacing w:line="276" w:lineRule="auto"/>
        <w:jc w:val="both"/>
        <w:rPr>
          <w:rFonts w:cs="Times New Roman"/>
          <w:b/>
          <w:bCs/>
        </w:rPr>
      </w:pPr>
      <w:r>
        <w:rPr>
          <w:rFonts w:cs="Times New Roman"/>
          <w:b/>
          <w:bCs/>
        </w:rPr>
        <w:t>Art. 17.- RECEPCIÓN.</w:t>
      </w:r>
    </w:p>
    <w:p>
      <w:pPr>
        <w:pStyle w:val="style0"/>
        <w:spacing w:line="276" w:lineRule="auto"/>
        <w:jc w:val="both"/>
        <w:rPr>
          <w:rFonts w:cs="Times New Roman"/>
        </w:rPr>
      </w:pPr>
      <w:r>
        <w:rPr>
          <w:rFonts w:cs="Times New Roman"/>
          <w:b/>
          <w:bCs/>
        </w:rPr>
        <w:tab/>
      </w:r>
      <w:r>
        <w:rPr>
          <w:rFonts w:cs="Times New Roman"/>
        </w:rPr>
        <w:t>Los artículos adquiridos se recibirán por personal autorizado, quien procederá a controlar la entrega, pudiendo rechazar el material que a su juicio se estime en mal estado. La recepción se hará en carácter provisorio, hasta tanto se realice el control de calidad, de acuerdo a la normativa vigente.</w:t>
      </w:r>
    </w:p>
    <w:p>
      <w:pPr>
        <w:pStyle w:val="style0"/>
        <w:spacing w:line="276" w:lineRule="auto"/>
        <w:ind w:firstLine="709" w:left="0" w:right="0"/>
        <w:jc w:val="both"/>
        <w:rPr>
          <w:rFonts w:cs="Times New Roman"/>
        </w:rPr>
      </w:pPr>
      <w:r>
        <w:rPr>
          <w:rFonts w:cs="Times New Roman"/>
        </w:rPr>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pPr>
        <w:pStyle w:val="style0"/>
        <w:spacing w:line="276" w:lineRule="auto"/>
        <w:ind w:firstLine="709" w:left="0" w:right="0"/>
        <w:jc w:val="both"/>
        <w:rPr>
          <w:rFonts w:cs="Times New Roman"/>
        </w:rPr>
      </w:pPr>
      <w:r>
        <w:rPr>
          <w:rFonts w:cs="Times New Roman"/>
        </w:rPr>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rPr>
        <w:t>Art. 18.- CESIÓN DE CRÉDITO</w:t>
      </w:r>
    </w:p>
    <w:p>
      <w:pPr>
        <w:pStyle w:val="style0"/>
        <w:spacing w:line="276" w:lineRule="auto"/>
        <w:jc w:val="both"/>
        <w:rPr>
          <w:rFonts w:cs="Times New Roman"/>
        </w:rPr>
      </w:pPr>
      <w:r>
        <w:rPr>
          <w:rFonts w:cs="Times New Roman"/>
          <w:b/>
          <w:bCs/>
        </w:rPr>
        <w:tab/>
      </w:r>
      <w:r>
        <w:rPr>
          <w:rFonts w:cs="Times New Roman"/>
        </w:rPr>
        <w:t>Cuando se configure una cesión de créditos, la existencia y cobro de los créditos dependerá y se podrá hacer efectiva, en la forma y en la medida que sean exigibles según el Pliego y, por el cumplimiento del suministro.</w:t>
      </w:r>
    </w:p>
    <w:p>
      <w:pPr>
        <w:pStyle w:val="style0"/>
        <w:spacing w:line="276" w:lineRule="auto"/>
        <w:jc w:val="both"/>
        <w:rPr>
          <w:rFonts w:cs="Times New Roman"/>
        </w:rPr>
      </w:pPr>
      <w:r>
        <w:rPr>
          <w:rFonts w:cs="Times New Roman"/>
        </w:rPr>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rPr>
        <w:t>Art. 19.- EXENCIÓN DE RESPONSABILIDAD</w:t>
      </w:r>
    </w:p>
    <w:p>
      <w:pPr>
        <w:pStyle w:val="style33"/>
        <w:spacing w:line="276" w:lineRule="auto"/>
        <w:rPr>
          <w:rFonts w:ascii="Bookman Old Style" w:cs="Times New Roman" w:eastAsia="Bookman Old Style" w:hAnsi="Bookman Old Style"/>
          <w:b w:val="false"/>
        </w:rPr>
      </w:pPr>
      <w:r>
        <w:rPr>
          <w:rFonts w:ascii="Bookman Old Style" w:cs="Times New Roman" w:eastAsia="Bookman Old Style" w:hAnsi="Bookman Old Style"/>
        </w:rPr>
        <w:tab/>
      </w:r>
      <w:r>
        <w:rPr>
          <w:rFonts w:ascii="Bookman Old Style" w:cs="Times New Roman" w:eastAsia="Bookman Old Style" w:hAnsi="Bookman Old Style"/>
          <w:b w:val="false"/>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rPr>
      </w:r>
    </w:p>
    <w:p>
      <w:pPr>
        <w:pStyle w:val="style33"/>
        <w:spacing w:line="276" w:lineRule="auto"/>
        <w:rPr>
          <w:rFonts w:ascii="Bookman Old Style" w:cs="Times New Roman" w:eastAsia="Bookman Old Style" w:hAnsi="Bookman Old Style"/>
        </w:rPr>
      </w:pPr>
      <w:r>
        <w:rPr>
          <w:rFonts w:ascii="Bookman Old Style" w:cs="Times New Roman" w:eastAsia="Bookman Old Style" w:hAnsi="Bookman Old Style"/>
        </w:rPr>
        <w:t>Art. 20.- INTERPRETACIÓN</w:t>
      </w:r>
    </w:p>
    <w:p>
      <w:pPr>
        <w:pStyle w:val="style33"/>
        <w:spacing w:line="276" w:lineRule="auto"/>
        <w:rPr>
          <w:rFonts w:ascii="Bookman Old Style" w:cs="Times New Roman" w:eastAsia="Bookman Old Style" w:hAnsi="Bookman Old Style"/>
          <w:b w:val="false"/>
        </w:rPr>
      </w:pPr>
      <w:r>
        <w:rPr>
          <w:rFonts w:ascii="Bookman Old Style" w:cs="Times New Roman" w:eastAsia="Bookman Old Style" w:hAnsi="Bookman Old Style"/>
        </w:rPr>
        <w:tab/>
      </w:r>
      <w:r>
        <w:rPr>
          <w:rFonts w:ascii="Bookman Old Style" w:cs="Times New Roman" w:eastAsia="Bookman Old Style" w:hAnsi="Bookman Old Style"/>
          <w:b w:val="false"/>
        </w:rPr>
        <w:t>Toda cláusula imprecisa, ambigua, contradictoria u oscura a criterio de la Administración, se interpretará en el sentido más favorable a ésta.</w:t>
      </w:r>
    </w:p>
    <w:p>
      <w:pPr>
        <w:pStyle w:val="style0"/>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b/>
        </w:rPr>
      </w:pPr>
      <w:r>
        <w:rPr>
          <w:rFonts w:cs="Times New Roman"/>
          <w:b/>
          <w:lang w:val="es-UY"/>
        </w:rPr>
        <w:t>Art. 21.-</w:t>
      </w:r>
      <w:r>
        <w:rPr>
          <w:rFonts w:cs="Times New Roman"/>
          <w:lang w:val="es-UY"/>
        </w:rPr>
        <w:t xml:space="preserve"> </w:t>
      </w:r>
      <w:r>
        <w:rPr>
          <w:rFonts w:cs="Times New Roman"/>
          <w:b/>
        </w:rPr>
        <w:t>DECLARACIÓN.</w:t>
      </w:r>
    </w:p>
    <w:p>
      <w:pPr>
        <w:pStyle w:val="style0"/>
        <w:tabs>
          <w:tab w:leader="none" w:pos="709" w:val="left"/>
        </w:tabs>
        <w:spacing w:line="276" w:lineRule="auto"/>
        <w:jc w:val="both"/>
        <w:rPr>
          <w:rFonts w:cs="Times New Roman"/>
        </w:rPr>
      </w:pPr>
      <w:r>
        <w:rPr>
          <w:rFonts w:cs="Times New Roman"/>
        </w:rPr>
        <w:tab/>
        <w:t>La sola presentación de cotización se considerará como declaración de la empresa oferente de encontrarse en condiciones legales de contratar con el Estado (art. 46 del TOCAF) y aceptar todas las condiciones establecidas en la convocatoria</w:t>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center"/>
        <w:rPr>
          <w:rFonts w:cs="Times New Roman"/>
          <w:b/>
          <w:u w:val="single"/>
        </w:rPr>
      </w:pPr>
      <w:r>
        <w:rPr>
          <w:rFonts w:cs="Times New Roman"/>
          <w:b/>
          <w:u w:val="single"/>
        </w:rPr>
      </w:r>
    </w:p>
    <w:p>
      <w:pPr>
        <w:pStyle w:val="style0"/>
        <w:tabs>
          <w:tab w:leader="none" w:pos="709" w:val="left"/>
        </w:tabs>
        <w:spacing w:line="276" w:lineRule="auto"/>
        <w:jc w:val="center"/>
        <w:rPr>
          <w:rFonts w:cs="Times New Roman"/>
          <w:b/>
          <w:u w:val="single"/>
        </w:rPr>
      </w:pPr>
      <w:r>
        <w:rPr>
          <w:rFonts w:cs="Times New Roman"/>
          <w:b/>
          <w:u w:val="single"/>
        </w:rPr>
      </w:r>
    </w:p>
    <w:p>
      <w:pPr>
        <w:pStyle w:val="style0"/>
        <w:tabs>
          <w:tab w:leader="none" w:pos="709" w:val="left"/>
        </w:tabs>
        <w:spacing w:line="276" w:lineRule="auto"/>
        <w:jc w:val="center"/>
        <w:rPr>
          <w:rFonts w:cs="Times New Roman"/>
          <w:b/>
          <w:u w:val="single"/>
        </w:rPr>
      </w:pPr>
      <w:r>
        <w:rPr>
          <w:rFonts w:cs="Times New Roman"/>
          <w:b/>
          <w:u w:val="single"/>
        </w:rPr>
      </w:r>
    </w:p>
    <w:p>
      <w:pPr>
        <w:pStyle w:val="style0"/>
        <w:tabs>
          <w:tab w:leader="none" w:pos="709" w:val="left"/>
        </w:tabs>
        <w:spacing w:line="276" w:lineRule="auto"/>
        <w:jc w:val="center"/>
        <w:rPr>
          <w:rFonts w:cs="Times New Roman"/>
          <w:b/>
          <w:u w:val="single"/>
        </w:rPr>
      </w:pPr>
      <w:r>
        <w:rPr>
          <w:rFonts w:cs="Times New Roman"/>
          <w:b/>
          <w:u w:val="single"/>
        </w:rPr>
        <w:t>ANEXO I</w:t>
      </w:r>
    </w:p>
    <w:p>
      <w:pPr>
        <w:pStyle w:val="style0"/>
        <w:tabs>
          <w:tab w:leader="none" w:pos="709" w:val="left"/>
        </w:tabs>
        <w:spacing w:line="276" w:lineRule="auto"/>
        <w:jc w:val="center"/>
        <w:rPr>
          <w:rFonts w:cs="Times New Roman"/>
          <w:b/>
          <w:u w:val="single"/>
        </w:rPr>
      </w:pPr>
      <w:r>
        <w:rPr>
          <w:rFonts w:cs="Times New Roman"/>
          <w:b/>
          <w:u w:val="single"/>
        </w:rPr>
      </w:r>
    </w:p>
    <w:p>
      <w:pPr>
        <w:pStyle w:val="style0"/>
        <w:spacing w:line="276" w:lineRule="auto"/>
        <w:jc w:val="center"/>
        <w:rPr>
          <w:rFonts w:cs="Times New Roman"/>
          <w:b/>
          <w:bCs/>
          <w:u w:val="single"/>
        </w:rPr>
      </w:pPr>
      <w:r>
        <w:rPr>
          <w:rFonts w:cs="Times New Roman"/>
          <w:b/>
          <w:bCs/>
          <w:u w:val="single"/>
        </w:rPr>
        <w:t>CONDICIONES Y REQUERIMIENTOS</w:t>
      </w:r>
    </w:p>
    <w:p>
      <w:pPr>
        <w:pStyle w:val="style0"/>
        <w:spacing w:line="276" w:lineRule="auto"/>
        <w:jc w:val="both"/>
        <w:rPr>
          <w:rFonts w:cs="Arial"/>
          <w:b/>
        </w:rPr>
      </w:pPr>
      <w:r>
        <w:rPr>
          <w:rFonts w:cs="Arial"/>
          <w:b/>
        </w:rPr>
        <w:t>Adquisición de scanner Inteligentes, lectores RFID  y licenciamiento Lexmark.</w:t>
      </w:r>
    </w:p>
    <w:p>
      <w:pPr>
        <w:pStyle w:val="style0"/>
        <w:spacing w:line="276" w:lineRule="auto"/>
        <w:jc w:val="both"/>
        <w:rPr>
          <w:rFonts w:cs="Arial"/>
        </w:rPr>
      </w:pPr>
      <w:r>
        <w:rPr>
          <w:rFonts w:cs="Arial"/>
        </w:rPr>
      </w:r>
    </w:p>
    <w:p>
      <w:pPr>
        <w:pStyle w:val="style0"/>
        <w:spacing w:line="276" w:lineRule="auto"/>
        <w:jc w:val="both"/>
        <w:rPr>
          <w:rFonts w:cs="Arial"/>
        </w:rPr>
      </w:pPr>
      <w:r>
        <w:rPr>
          <w:rFonts w:cs="Arial"/>
        </w:rPr>
        <w:t>Con la finalidad de extender el Piloto de digitalización inteligente en los Juzgados Penales  y Tribunales  de Apelaciones,  es necesario adquirir scanner inteligentes, lectores RFID y licenciamiento Lexmak  para el software desarrollado a medida.</w:t>
      </w:r>
    </w:p>
    <w:p>
      <w:pPr>
        <w:pStyle w:val="style0"/>
        <w:spacing w:line="276" w:lineRule="auto"/>
        <w:jc w:val="both"/>
        <w:rPr>
          <w:rFonts w:cs="Arial"/>
        </w:rPr>
      </w:pPr>
      <w:r>
        <w:rPr>
          <w:rFonts w:cs="Arial"/>
        </w:rPr>
        <w:t>Se realizó una búsqueda de los dispositivos existente en el mercado que permitieran su programación y el desarrollo  de una solución inteligente de digitalización  de documentos. A partir de dicha investigación se realizaron pruebas con un scanner de la marca Lexmark, modelo MX622ade y se desarrolló un software que permite la digitalización de documentos y su incorporación en el SGJM en forma automática.</w:t>
      </w:r>
    </w:p>
    <w:p>
      <w:pPr>
        <w:pStyle w:val="style0"/>
        <w:spacing w:line="276" w:lineRule="auto"/>
        <w:jc w:val="both"/>
        <w:rPr>
          <w:rFonts w:cs="Arial"/>
        </w:rPr>
      </w:pPr>
      <w:r>
        <w:rPr>
          <w:rFonts w:cs="Arial"/>
        </w:rPr>
        <w:t xml:space="preserve"> </w:t>
      </w:r>
      <w:r>
        <w:rPr>
          <w:rFonts w:cs="Arial"/>
        </w:rPr>
        <w:t>Se estableció como Piloto de la solución la Oficina Penal Centralizada,  el Proyecto comenzó a funcionar conjuntamente con la implantación del CPP en el año 2017.</w:t>
      </w:r>
    </w:p>
    <w:p>
      <w:pPr>
        <w:pStyle w:val="style0"/>
        <w:spacing w:line="276" w:lineRule="auto"/>
        <w:jc w:val="both"/>
        <w:rPr>
          <w:rFonts w:cs="Arial"/>
        </w:rPr>
      </w:pPr>
      <w:r>
        <w:rPr>
          <w:rFonts w:cs="Arial"/>
        </w:rPr>
        <w:t>Esta solución se encuentra homologada para los multifunción Lexmark Modelo MX622ade, con las siguientes características:</w:t>
      </w:r>
    </w:p>
    <w:p>
      <w:pPr>
        <w:pStyle w:val="style0"/>
        <w:spacing w:line="276" w:lineRule="auto"/>
        <w:jc w:val="both"/>
        <w:rPr>
          <w:rFonts w:cs="Arial"/>
        </w:rPr>
      </w:pPr>
      <w:r>
        <w:rPr>
          <w:rFonts w:cs="Arial"/>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53"/>
        <w:gridCol w:w="2898"/>
        <w:gridCol w:w="5813"/>
      </w:tblGrid>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Nro.</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Ítem 1</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b/>
                <w:bCs/>
              </w:rPr>
            </w:pPr>
            <w:r>
              <w:rPr>
                <w:rFonts w:cs="Arial"/>
                <w:b/>
                <w:bCs/>
              </w:rPr>
              <w:t>Especificaciones para cada ítem</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1</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 xml:space="preserve">Tipo de escáner </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Escáner de superficie plana con alimentador de documentos, dúplex en una sola pasada</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2</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Función</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Digitalización en color</w:t>
            </w:r>
          </w:p>
          <w:p>
            <w:pPr>
              <w:pStyle w:val="style0"/>
              <w:spacing w:line="276" w:lineRule="auto"/>
              <w:jc w:val="both"/>
              <w:rPr>
                <w:rFonts w:cs="Arial"/>
              </w:rPr>
            </w:pPr>
            <w:r>
              <w:rPr>
                <w:rFonts w:cs="Arial"/>
              </w:rPr>
              <w:t>Digitalización en red</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3</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Área de digitalización</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mm: 215,9 x 355,6 mm (Máxima)</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4</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Pantalla</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Pantalla táctil  color de 7 pulgadas  o superior</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5</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 xml:space="preserve"> </w:t>
            </w:r>
            <w:r>
              <w:rPr>
                <w:rFonts w:cs="Arial"/>
              </w:rPr>
              <w:t>Velocidad de digitalización simplex</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Negro hasta: 47 / 50 Caras por minuto, hoja A4</w:t>
            </w:r>
          </w:p>
          <w:p>
            <w:pPr>
              <w:pStyle w:val="style0"/>
              <w:spacing w:line="276" w:lineRule="auto"/>
              <w:jc w:val="both"/>
              <w:rPr>
                <w:rFonts w:cs="Arial"/>
              </w:rPr>
            </w:pPr>
            <w:r>
              <w:rPr>
                <w:rFonts w:cs="Arial"/>
              </w:rPr>
              <w:t>Color hasta : 30 / 32 Caras por minuto, hoja A4</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6</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Velocidad de digitalización dúplex</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Negro hasta: 94 / 100 Caras por minuto, hoja A4</w:t>
            </w:r>
          </w:p>
          <w:p>
            <w:pPr>
              <w:pStyle w:val="style0"/>
              <w:spacing w:line="276" w:lineRule="auto"/>
              <w:jc w:val="both"/>
              <w:rPr>
                <w:rFonts w:cs="Arial"/>
              </w:rPr>
            </w:pPr>
            <w:r>
              <w:rPr>
                <w:rFonts w:cs="Arial"/>
              </w:rPr>
              <w:t>Color hasta: 60 / 64 Caras por minuto, hoja A4</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7</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Tecnología de digitalización</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CIS</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8</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Resolución óptica de digitalización</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 xml:space="preserve">hasta 1200 X 600 ppp (negro) </w:t>
            </w:r>
          </w:p>
          <w:p>
            <w:pPr>
              <w:pStyle w:val="style0"/>
              <w:spacing w:line="276" w:lineRule="auto"/>
              <w:jc w:val="both"/>
              <w:rPr>
                <w:rFonts w:cs="Arial"/>
              </w:rPr>
            </w:pPr>
            <w:r>
              <w:rPr>
                <w:rFonts w:cs="Arial"/>
              </w:rPr>
              <w:t>hasta 600 X 600 ppp (color)</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9</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Formatos de archivos de digitalización</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al enviar:</w:t>
            </w:r>
          </w:p>
          <w:p>
            <w:pPr>
              <w:pStyle w:val="style0"/>
              <w:spacing w:line="276" w:lineRule="auto"/>
              <w:jc w:val="both"/>
              <w:rPr>
                <w:rFonts w:cs="Arial"/>
              </w:rPr>
            </w:pPr>
            <w:r>
              <w:rPr>
                <w:rFonts w:cs="Arial"/>
              </w:rPr>
              <w:t>XPS, TIFF,  PDF para archivado (A-1a, A-1b),  PDF seguro,  PDF, JPEG, JPG.</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10</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Alimentador  automático de documentos</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eastAsia="Arial Unicode MS"/>
              </w:rPr>
            </w:pPr>
            <w:r>
              <w:rPr>
                <w:rFonts w:cs="Arial" w:eastAsia="Arial Unicode MS"/>
              </w:rPr>
              <w:t>100 hojas o superior</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11</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Memoria</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2048 MB o superior</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12</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Red</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Conexión estándar a la red Ethernet RJ45</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13</w:t>
            </w:r>
          </w:p>
        </w:tc>
        <w:tc>
          <w:tcPr>
            <w:tcW w:type="dxa" w:w="2898"/>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Sistemas operativos Linux soportados</w:t>
            </w:r>
          </w:p>
        </w:tc>
        <w:tc>
          <w:tcPr>
            <w:tcW w:type="dxa" w:w="5813"/>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rFonts w:cs="Arial"/>
              </w:rPr>
            </w:pPr>
            <w:r>
              <w:rPr>
                <w:rFonts w:cs="Arial"/>
              </w:rPr>
              <w:t xml:space="preserve"> </w:t>
            </w:r>
            <w:r>
              <w:rPr>
                <w:rFonts w:cs="Arial"/>
              </w:rPr>
              <w:t>Linux OpenSUSE 13.1, Microsoft Windows 10</w:t>
            </w:r>
          </w:p>
        </w:tc>
      </w:tr>
    </w:tbl>
    <w:p>
      <w:pPr>
        <w:pStyle w:val="style0"/>
        <w:spacing w:line="276" w:lineRule="auto"/>
        <w:jc w:val="both"/>
        <w:rPr/>
      </w:pPr>
      <w:r>
        <w:rPr/>
      </w:r>
    </w:p>
    <w:p>
      <w:pPr>
        <w:pStyle w:val="style0"/>
        <w:spacing w:line="276" w:lineRule="auto"/>
        <w:jc w:val="both"/>
        <w:rPr>
          <w:rFonts w:cs="Arial"/>
          <w:b/>
        </w:rPr>
      </w:pPr>
      <w:r>
        <w:rPr>
          <w:rFonts w:cs="Arial"/>
          <w:b/>
        </w:rPr>
        <w:t>Item 2.-Lectores RFID</w:t>
      </w:r>
    </w:p>
    <w:p>
      <w:pPr>
        <w:pStyle w:val="style0"/>
        <w:spacing w:line="276" w:lineRule="auto"/>
        <w:jc w:val="both"/>
        <w:rPr>
          <w:rFonts w:cs="Arial"/>
        </w:rPr>
      </w:pPr>
      <w:r>
        <w:rPr>
          <w:rFonts w:cs="Arial"/>
        </w:rPr>
        <w:t>Los  lectores RFID deben de ser compatibles con  el scanner cotizado, y con la solución de Digitalización automatizada con  que cuenta el Poder Judicial.</w:t>
      </w:r>
    </w:p>
    <w:p>
      <w:pPr>
        <w:pStyle w:val="style0"/>
        <w:spacing w:line="276" w:lineRule="auto"/>
        <w:jc w:val="both"/>
        <w:rPr/>
      </w:pPr>
      <w:r>
        <w:rPr/>
      </w:r>
    </w:p>
    <w:p>
      <w:pPr>
        <w:pStyle w:val="style0"/>
        <w:spacing w:line="276" w:lineRule="auto"/>
        <w:jc w:val="both"/>
        <w:rPr>
          <w:rFonts w:cs="Arial"/>
          <w:b/>
        </w:rPr>
      </w:pPr>
      <w:r>
        <w:rPr>
          <w:rFonts w:cs="Arial"/>
          <w:b/>
        </w:rPr>
        <w:t>Item 3.- Licencias Software</w:t>
      </w:r>
    </w:p>
    <w:p>
      <w:pPr>
        <w:pStyle w:val="style43"/>
        <w:numPr>
          <w:ilvl w:val="0"/>
          <w:numId w:val="4"/>
        </w:numPr>
        <w:jc w:val="both"/>
        <w:rPr>
          <w:rFonts w:ascii="Bookman Old Style" w:cs="Arial" w:hAnsi="Bookman Old Style"/>
          <w:sz w:val="24"/>
          <w:szCs w:val="24"/>
        </w:rPr>
      </w:pPr>
      <w:r>
        <w:rPr>
          <w:rFonts w:ascii="Bookman Old Style" w:cs="Arial" w:hAnsi="Bookman Old Style"/>
          <w:sz w:val="24"/>
          <w:szCs w:val="24"/>
        </w:rPr>
        <w:t>Licenciamiento Lexmark Print Management, incluyendo manteniendo  de los equipos por 2 años.</w:t>
      </w:r>
    </w:p>
    <w:p>
      <w:pPr>
        <w:pStyle w:val="style43"/>
        <w:jc w:val="both"/>
        <w:rPr>
          <w:rFonts w:ascii="Bookman Old Style" w:cs="Arial" w:hAnsi="Bookman Old Style"/>
          <w:sz w:val="24"/>
          <w:szCs w:val="24"/>
        </w:rPr>
      </w:pPr>
      <w:r>
        <w:rPr>
          <w:rFonts w:ascii="Bookman Old Style" w:cs="Arial" w:hAnsi="Bookman Old Style"/>
          <w:sz w:val="24"/>
          <w:szCs w:val="24"/>
        </w:rPr>
      </w:r>
    </w:p>
    <w:p>
      <w:pPr>
        <w:pStyle w:val="style0"/>
        <w:spacing w:line="276" w:lineRule="auto"/>
        <w:jc w:val="both"/>
        <w:rPr>
          <w:rFonts w:cs="Arial"/>
          <w:b/>
        </w:rPr>
      </w:pPr>
      <w:r>
        <w:rPr>
          <w:rFonts w:cs="Arial"/>
          <w:b/>
        </w:rPr>
        <w:t xml:space="preserve">Integración  </w:t>
      </w:r>
    </w:p>
    <w:p>
      <w:pPr>
        <w:pStyle w:val="style43"/>
        <w:numPr>
          <w:ilvl w:val="0"/>
          <w:numId w:val="2"/>
        </w:numPr>
        <w:jc w:val="both"/>
        <w:rPr>
          <w:rFonts w:ascii="Bookman Old Style" w:cs="Arial" w:hAnsi="Bookman Old Style"/>
          <w:sz w:val="24"/>
          <w:szCs w:val="24"/>
        </w:rPr>
      </w:pPr>
      <w:r>
        <w:rPr>
          <w:rFonts w:ascii="Bookman Old Style" w:cs="Arial" w:hAnsi="Bookman Old Style"/>
          <w:sz w:val="24"/>
          <w:szCs w:val="24"/>
        </w:rPr>
        <w:t xml:space="preserve">El oferente debe asegurar la integración de los scanner y lectores RFID cotizados con el </w:t>
      </w:r>
      <w:r>
        <w:rPr>
          <w:rFonts w:ascii="Bookman Old Style" w:cs="Arial" w:hAnsi="Bookman Old Style"/>
          <w:b/>
          <w:sz w:val="24"/>
          <w:szCs w:val="24"/>
          <w:u w:val="single"/>
        </w:rPr>
        <w:t>Software de Digitalización Inteligente  utilizado por el Poder Judicial</w:t>
      </w:r>
      <w:r>
        <w:rPr>
          <w:rFonts w:ascii="Bookman Old Style" w:cs="Arial" w:hAnsi="Bookman Old Style"/>
          <w:sz w:val="24"/>
          <w:szCs w:val="24"/>
        </w:rPr>
        <w:t>, debiendo contar con personal calificado para realizar dicha integración.</w:t>
      </w:r>
    </w:p>
    <w:p>
      <w:pPr>
        <w:pStyle w:val="style43"/>
        <w:numPr>
          <w:ilvl w:val="0"/>
          <w:numId w:val="2"/>
        </w:numPr>
        <w:jc w:val="both"/>
        <w:rPr>
          <w:rFonts w:ascii="Bookman Old Style" w:cs="Arial" w:hAnsi="Bookman Old Style"/>
          <w:sz w:val="24"/>
          <w:szCs w:val="24"/>
        </w:rPr>
      </w:pPr>
      <w:r>
        <w:rPr>
          <w:rFonts w:ascii="Bookman Old Style" w:cs="Arial" w:hAnsi="Bookman Old Style"/>
          <w:sz w:val="24"/>
          <w:szCs w:val="24"/>
        </w:rPr>
        <w:t>La solución es operada desde el panel de control de los dispositivos multifunción, realizando validaciones de datos, consulta a web Service del Poder Judicial y a su vez permite enviar documentos escaneados con su metadata a través de este último.</w:t>
      </w:r>
    </w:p>
    <w:p>
      <w:pPr>
        <w:pStyle w:val="style43"/>
        <w:jc w:val="both"/>
        <w:rPr>
          <w:rFonts w:ascii="Bookman Old Style" w:hAnsi="Bookman Old Style"/>
          <w:sz w:val="24"/>
          <w:szCs w:val="24"/>
        </w:rPr>
      </w:pPr>
      <w:r>
        <w:rPr>
          <w:rFonts w:ascii="Bookman Old Style" w:hAnsi="Bookman Old Style"/>
          <w:sz w:val="24"/>
          <w:szCs w:val="24"/>
        </w:rPr>
      </w:r>
    </w:p>
    <w:p>
      <w:pPr>
        <w:pStyle w:val="style0"/>
        <w:spacing w:line="276" w:lineRule="auto"/>
        <w:jc w:val="both"/>
        <w:rPr>
          <w:b/>
        </w:rPr>
      </w:pPr>
      <w:r>
        <w:rPr>
          <w:b/>
        </w:rPr>
        <w:t>Cantidad de Equipos</w:t>
      </w:r>
    </w:p>
    <w:p>
      <w:pPr>
        <w:pStyle w:val="style0"/>
        <w:spacing w:line="276" w:lineRule="auto"/>
        <w:jc w:val="both"/>
        <w:rPr>
          <w:rFonts w:cs="Arial"/>
        </w:rPr>
      </w:pPr>
      <w:r>
        <w:rPr>
          <w:rFonts w:cs="Arial"/>
        </w:rPr>
        <w:t>A continuación se detalla la cantidad a adquirir.</w:t>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880"/>
        <w:gridCol w:w="2882"/>
        <w:gridCol w:w="2884"/>
      </w:tblGrid>
      <w:tr>
        <w:trPr>
          <w:cantSplit w:val="false"/>
        </w:trPr>
        <w:tc>
          <w:tcPr>
            <w:tcW w:type="dxa" w:w="288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b/>
              </w:rPr>
            </w:pPr>
            <w:r>
              <w:rPr>
                <w:b/>
              </w:rPr>
              <w:t>Scanner Lexmark</w:t>
            </w:r>
          </w:p>
        </w:tc>
        <w:tc>
          <w:tcPr>
            <w:tcW w:type="dxa" w:w="288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b/>
              </w:rPr>
            </w:pPr>
            <w:r>
              <w:rPr>
                <w:b/>
              </w:rPr>
              <w:t>Lectores RFID</w:t>
            </w:r>
          </w:p>
        </w:tc>
        <w:tc>
          <w:tcPr>
            <w:tcW w:type="dxa" w:w="2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276" w:lineRule="auto"/>
              <w:jc w:val="both"/>
              <w:rPr>
                <w:b/>
              </w:rPr>
            </w:pPr>
            <w:r>
              <w:rPr>
                <w:b/>
              </w:rPr>
              <w:t>Licencias Lexmark Print Management</w:t>
            </w:r>
          </w:p>
        </w:tc>
      </w:tr>
      <w:tr>
        <w:trPr>
          <w:cantSplit w:val="false"/>
        </w:trPr>
        <w:tc>
          <w:tcPr>
            <w:tcW w:type="dxa" w:w="2880"/>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pPr>
            <w:r>
              <w:rPr/>
              <w:t>Hasta 50</w:t>
            </w:r>
          </w:p>
        </w:tc>
        <w:tc>
          <w:tcPr>
            <w:tcW w:type="dxa" w:w="2882"/>
            <w:tcBorders>
              <w:top w:color="00000A" w:space="0" w:sz="4" w:val="single"/>
              <w:left w:color="00000A" w:space="0" w:sz="4" w:val="single"/>
              <w:bottom w:color="00000A" w:space="0" w:sz="4" w:val="single"/>
              <w:right w:color="00000A" w:space="0" w:sz="4" w:val="single"/>
            </w:tcBorders>
            <w:shd w:fill="FFFFFF" w:val="clear"/>
            <w:tcMar>
              <w:left w:type="dxa" w:w="108"/>
            </w:tcMar>
          </w:tcPr>
          <w:p>
            <w:pPr>
              <w:pStyle w:val="style0"/>
              <w:spacing w:line="276" w:lineRule="auto"/>
              <w:jc w:val="both"/>
              <w:rPr/>
            </w:pPr>
            <w:r>
              <w:rPr/>
              <w:t>Hasta 50</w:t>
            </w:r>
          </w:p>
        </w:tc>
        <w:tc>
          <w:tcPr>
            <w:tcW w:type="dxa" w:w="288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line="276" w:lineRule="auto"/>
              <w:jc w:val="both"/>
              <w:rPr/>
            </w:pPr>
            <w:r>
              <w:rPr/>
              <w:t>Hasta 50</w:t>
            </w:r>
          </w:p>
        </w:tc>
      </w:tr>
    </w:tbl>
    <w:p>
      <w:pPr>
        <w:pStyle w:val="style0"/>
        <w:spacing w:line="276" w:lineRule="auto"/>
        <w:jc w:val="both"/>
        <w:rPr/>
      </w:pPr>
      <w:r>
        <w:rPr/>
      </w:r>
    </w:p>
    <w:p>
      <w:pPr>
        <w:pStyle w:val="style0"/>
        <w:spacing w:line="276" w:lineRule="auto"/>
        <w:jc w:val="both"/>
        <w:rPr>
          <w:rFonts w:cs="Arial"/>
        </w:rPr>
      </w:pPr>
      <w:r>
        <w:rPr>
          <w:rFonts w:cs="Arial"/>
        </w:rPr>
        <w:t>Nota: Todos los  equipos deben de adquirirse con su correspondiente Licencia Lexmark.</w:t>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rFonts w:cs="Times New Roman"/>
        </w:rPr>
      </w:pPr>
      <w:r>
        <w:rPr>
          <w:rFonts w:cs="Times New Roman"/>
        </w:rPr>
      </w:r>
    </w:p>
    <w:p>
      <w:pPr>
        <w:pStyle w:val="style0"/>
        <w:tabs>
          <w:tab w:leader="none" w:pos="709" w:val="left"/>
        </w:tabs>
        <w:spacing w:line="276" w:lineRule="auto"/>
        <w:jc w:val="both"/>
        <w:rPr/>
      </w:pPr>
      <w:r>
        <w:rPr/>
      </w:r>
    </w:p>
    <w:sectPr>
      <w:footerReference r:id="rId3" w:type="default"/>
      <w:type w:val="nextPage"/>
      <w:pgSz w:h="16838" w:w="11906"/>
      <w:pgMar w:bottom="1077" w:footer="720" w:gutter="0" w:header="0" w:left="1701" w:right="851" w:top="141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ookman Old Style">
    <w:charset w:val="00"/>
    <w:family w:val="roman"/>
    <w:pitch w:val="variable"/>
  </w:font>
  <w:font w:name="Courier">
    <w:altName w:val="Courier New"/>
    <w:charset w:val="00"/>
    <w:family w:val="roman"/>
    <w:pitch w:val="variable"/>
  </w:font>
  <w:font w:name="Cambria">
    <w:charset w:val="00"/>
    <w:family w:val="roman"/>
    <w:pitch w:val="variable"/>
  </w:font>
  <w:font w:name="Wingdings">
    <w:charset w:val="02"/>
    <w:family w:val="auto"/>
    <w:pitch w:val="default"/>
  </w:font>
  <w:font w:name="Symbol">
    <w:charset w:val="02"/>
    <w:family w:val="auto"/>
    <w:pitch w:val="default"/>
  </w:font>
  <w:font w:name="Courier New">
    <w:charset w:val="01"/>
    <w:family w:val="modern"/>
    <w:pitch w:val="fixed"/>
  </w:font>
  <w:font w:name="Bookman Old Styl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center"/>
      <w:rPr/>
    </w:pPr>
    <w:r>
      <w:rPr/>
      <w:fldChar w:fldCharType="begin"/>
    </w:r>
    <w:r>
      <w:instrText> PAGE </w:instrText>
    </w:r>
    <w:r>
      <w:fldChar w:fldCharType="separate"/>
    </w:r>
    <w:r>
      <w:t>10</w:t>
    </w:r>
    <w:r>
      <w:fldChar w:fldCharType="end"/>
    </w:r>
  </w:p>
  <w:p>
    <w:pPr>
      <w:pStyle w:val="style40"/>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6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1069"/>
      </w:pPr>
      <w:rPr>
        <w:rFonts w:ascii="Bookman Old Style" w:cs="Bookman Old Style" w:hAnsi="Bookman Old Style" w:hint="default"/>
        <w:b/>
      </w:rPr>
    </w:lvl>
    <w:lvl w:ilvl="1">
      <w:start w:val="1"/>
      <w:numFmt w:val="bullet"/>
      <w:lvlText w:val="o"/>
      <w:lvlJc w:val="left"/>
      <w:pPr>
        <w:ind w:hanging="360" w:left="1789"/>
      </w:pPr>
      <w:rPr>
        <w:rFonts w:ascii="Courier New" w:cs="Courier New" w:hAnsi="Courier New" w:hint="default"/>
      </w:rPr>
    </w:lvl>
    <w:lvl w:ilvl="2">
      <w:start w:val="1"/>
      <w:numFmt w:val="bullet"/>
      <w:lvlText w:val=""/>
      <w:lvlJc w:val="left"/>
      <w:pPr>
        <w:ind w:hanging="360" w:left="2509"/>
      </w:pPr>
      <w:rPr>
        <w:rFonts w:ascii="Wingdings" w:cs="Wingdings" w:hAnsi="Wingdings" w:hint="default"/>
      </w:rPr>
    </w:lvl>
    <w:lvl w:ilvl="3">
      <w:start w:val="1"/>
      <w:numFmt w:val="bullet"/>
      <w:lvlText w:val=""/>
      <w:lvlJc w:val="left"/>
      <w:pPr>
        <w:ind w:hanging="360" w:left="3229"/>
      </w:pPr>
      <w:rPr>
        <w:rFonts w:ascii="Symbol" w:cs="Symbol" w:hAnsi="Symbol" w:hint="default"/>
      </w:rPr>
    </w:lvl>
    <w:lvl w:ilvl="4">
      <w:start w:val="1"/>
      <w:numFmt w:val="bullet"/>
      <w:lvlText w:val="o"/>
      <w:lvlJc w:val="left"/>
      <w:pPr>
        <w:ind w:hanging="360" w:left="3949"/>
      </w:pPr>
      <w:rPr>
        <w:rFonts w:ascii="Courier New" w:cs="Courier New" w:hAnsi="Courier New" w:hint="default"/>
      </w:rPr>
    </w:lvl>
    <w:lvl w:ilvl="5">
      <w:start w:val="1"/>
      <w:numFmt w:val="bullet"/>
      <w:lvlText w:val=""/>
      <w:lvlJc w:val="left"/>
      <w:pPr>
        <w:ind w:hanging="360" w:left="4669"/>
      </w:pPr>
      <w:rPr>
        <w:rFonts w:ascii="Wingdings" w:cs="Wingdings" w:hAnsi="Wingdings" w:hint="default"/>
      </w:rPr>
    </w:lvl>
    <w:lvl w:ilvl="6">
      <w:start w:val="1"/>
      <w:numFmt w:val="bullet"/>
      <w:lvlText w:val=""/>
      <w:lvlJc w:val="left"/>
      <w:pPr>
        <w:ind w:hanging="360" w:left="5389"/>
      </w:pPr>
      <w:rPr>
        <w:rFonts w:ascii="Symbol" w:cs="Symbol" w:hAnsi="Symbol" w:hint="default"/>
      </w:rPr>
    </w:lvl>
    <w:lvl w:ilvl="7">
      <w:start w:val="1"/>
      <w:numFmt w:val="bullet"/>
      <w:lvlText w:val="o"/>
      <w:lvlJc w:val="left"/>
      <w:pPr>
        <w:ind w:hanging="360" w:left="6109"/>
      </w:pPr>
      <w:rPr>
        <w:rFonts w:ascii="Courier New" w:cs="Courier New" w:hAnsi="Courier New" w:hint="default"/>
      </w:rPr>
    </w:lvl>
    <w:lvl w:ilvl="8">
      <w:start w:val="1"/>
      <w:numFmt w:val="bullet"/>
      <w:lvlText w:val=""/>
      <w:lvlJc w:val="left"/>
      <w:pPr>
        <w:ind w:hanging="360" w:left="6829"/>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4"/>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Bookman Old Style" w:cs="Bookman Old Style" w:eastAsia="Bookman Old Style" w:hAnsi="Bookman Old Style"/>
      <w:color w:val="auto"/>
      <w:sz w:val="24"/>
      <w:szCs w:val="24"/>
      <w:lang w:bidi="es-ES" w:eastAsia="zh-CN" w:val="es-ES"/>
    </w:rPr>
  </w:style>
  <w:style w:styleId="style15" w:type="character">
    <w:name w:val="Default Paragraph Font"/>
    <w:next w:val="style15"/>
    <w:rPr/>
  </w:style>
  <w:style w:styleId="style16" w:type="character">
    <w:name w:val="Enlace de Internet"/>
    <w:next w:val="style16"/>
    <w:rPr>
      <w:color w:val="0000FF"/>
      <w:u w:val="single"/>
      <w:lang w:bidi="zxx-" w:eastAsia="zxx-" w:val="zxx-"/>
    </w:rPr>
  </w:style>
  <w:style w:styleId="style17" w:type="character">
    <w:name w:val="Fuente de párrafo predeter.2"/>
    <w:next w:val="style17"/>
    <w:rPr/>
  </w:style>
  <w:style w:styleId="style18" w:type="character">
    <w:name w:val="Texto independiente Car"/>
    <w:basedOn w:val="style15"/>
    <w:next w:val="style18"/>
    <w:rPr>
      <w:rFonts w:ascii="Courier" w:cs="Courier" w:eastAsia="Courier" w:hAnsi="Courier"/>
      <w:sz w:val="24"/>
      <w:szCs w:val="24"/>
      <w:lang w:bidi="es-ES" w:eastAsia="zh-CN" w:val="es-ES"/>
    </w:rPr>
  </w:style>
  <w:style w:styleId="style19" w:type="character">
    <w:name w:val="Sangría de texto normal Car"/>
    <w:basedOn w:val="style15"/>
    <w:next w:val="style19"/>
    <w:rPr>
      <w:rFonts w:ascii="Bookman Old Style" w:cs="Bookman Old Style" w:eastAsia="Bookman Old Style" w:hAnsi="Bookman Old Style"/>
      <w:sz w:val="24"/>
      <w:szCs w:val="24"/>
      <w:lang w:bidi="es-ES" w:eastAsia="zh-CN" w:val="es-ES"/>
    </w:rPr>
  </w:style>
  <w:style w:styleId="style20" w:type="character">
    <w:name w:val="Pie de página Car"/>
    <w:basedOn w:val="style15"/>
    <w:next w:val="style20"/>
    <w:rPr>
      <w:rFonts w:ascii="Bookman Old Style" w:cs="Bookman Old Style" w:eastAsia="Bookman Old Style" w:hAnsi="Bookman Old Style"/>
      <w:sz w:val="24"/>
      <w:szCs w:val="24"/>
      <w:lang w:bidi="es-ES" w:eastAsia="zh-CN" w:val="es-ES"/>
    </w:rPr>
  </w:style>
  <w:style w:styleId="style21" w:type="character">
    <w:name w:val="Subtítulo Car"/>
    <w:basedOn w:val="style15"/>
    <w:next w:val="style21"/>
    <w:rPr>
      <w:rFonts w:ascii="Cambria" w:cs="" w:hAnsi="Cambria"/>
      <w:i/>
      <w:iCs/>
      <w:color w:val="4F81BD"/>
      <w:spacing w:val="15"/>
      <w:sz w:val="24"/>
      <w:szCs w:val="24"/>
      <w:lang w:bidi="es-ES" w:eastAsia="zh-CN" w:val="es-ES"/>
    </w:rPr>
  </w:style>
  <w:style w:styleId="style22" w:type="character">
    <w:name w:val="Fuente de p疵rafo predeter.2"/>
    <w:next w:val="style22"/>
    <w:rPr/>
  </w:style>
  <w:style w:styleId="style23" w:type="character">
    <w:name w:val="ListLabel 1"/>
    <w:next w:val="style23"/>
    <w:rPr>
      <w:rFonts w:cs="Wingdings"/>
      <w:lang w:bidi="ar-SA" w:eastAsia="ar-SA"/>
    </w:rPr>
  </w:style>
  <w:style w:styleId="style24" w:type="character">
    <w:name w:val="ListLabel 2"/>
    <w:next w:val="style24"/>
    <w:rPr>
      <w:sz w:val="20"/>
    </w:rPr>
  </w:style>
  <w:style w:styleId="style25" w:type="character">
    <w:name w:val="ListLabel 3"/>
    <w:next w:val="style25"/>
    <w:rPr>
      <w:rFonts w:cs="Courier New"/>
    </w:rPr>
  </w:style>
  <w:style w:styleId="style26" w:type="character">
    <w:name w:val="ListLabel 4"/>
    <w:next w:val="style26"/>
    <w:rPr>
      <w:rFonts w:cs="Arial" w:eastAsia="Times New Roman"/>
      <w:b/>
    </w:rPr>
  </w:style>
  <w:style w:styleId="style27" w:type="paragraph">
    <w:name w:val="Encabezado"/>
    <w:basedOn w:val="style0"/>
    <w:next w:val="style28"/>
    <w:pPr>
      <w:keepNext/>
      <w:spacing w:after="120" w:before="240"/>
      <w:contextualSpacing w:val="false"/>
    </w:pPr>
    <w:rPr>
      <w:rFonts w:ascii="Arial" w:cs="Droid Sans Devanagari" w:eastAsia="Droid Sans Fallback" w:hAnsi="Arial"/>
      <w:sz w:val="28"/>
      <w:szCs w:val="28"/>
    </w:rPr>
  </w:style>
  <w:style w:styleId="style28" w:type="paragraph">
    <w:name w:val="Cuerpo de texto"/>
    <w:basedOn w:val="style0"/>
    <w:next w:val="style28"/>
    <w:pPr>
      <w:spacing w:line="240" w:lineRule="exact"/>
      <w:jc w:val="both"/>
    </w:pPr>
    <w:rPr>
      <w:rFonts w:ascii="Courier" w:cs="Courier" w:eastAsia="Courier" w:hAnsi="Courier"/>
    </w:rPr>
  </w:style>
  <w:style w:styleId="style29" w:type="paragraph">
    <w:name w:val="Lista"/>
    <w:basedOn w:val="style28"/>
    <w:next w:val="style29"/>
    <w:pPr/>
    <w:rPr>
      <w:rFonts w:cs="Droid Sans Devanagari"/>
    </w:rPr>
  </w:style>
  <w:style w:styleId="style30" w:type="paragraph">
    <w:name w:val="Pie"/>
    <w:basedOn w:val="style0"/>
    <w:next w:val="style30"/>
    <w:pPr>
      <w:suppressLineNumbers/>
      <w:spacing w:after="120" w:before="120"/>
      <w:contextualSpacing w:val="false"/>
    </w:pPr>
    <w:rPr>
      <w:rFonts w:cs="Droid Sans Devanagari"/>
      <w:i/>
      <w:iCs/>
      <w:sz w:val="24"/>
      <w:szCs w:val="24"/>
    </w:rPr>
  </w:style>
  <w:style w:styleId="style31" w:type="paragraph">
    <w:name w:val="Índice"/>
    <w:basedOn w:val="style0"/>
    <w:next w:val="style31"/>
    <w:pPr>
      <w:suppressLineNumbers/>
    </w:pPr>
    <w:rPr>
      <w:rFonts w:cs="Droid Sans Devanagari"/>
    </w:rPr>
  </w:style>
  <w:style w:styleId="style32" w:type="paragraph">
    <w:name w:val="Encabezado3"/>
    <w:basedOn w:val="style0"/>
    <w:next w:val="style32"/>
    <w:pPr>
      <w:spacing w:line="260" w:lineRule="exact"/>
      <w:jc w:val="center"/>
    </w:pPr>
    <w:rPr>
      <w:b/>
      <w:bCs/>
      <w:sz w:val="22"/>
      <w:szCs w:val="22"/>
    </w:rPr>
  </w:style>
  <w:style w:styleId="style33" w:type="paragraph">
    <w:name w:val="Título 11"/>
    <w:basedOn w:val="style0"/>
    <w:next w:val="style33"/>
    <w:pPr>
      <w:keepNext/>
      <w:spacing w:line="240" w:lineRule="exact"/>
      <w:jc w:val="both"/>
    </w:pPr>
    <w:rPr>
      <w:rFonts w:ascii="Courier" w:cs="Courier" w:eastAsia="Courier" w:hAnsi="Courier"/>
      <w:b/>
      <w:bCs/>
    </w:rPr>
  </w:style>
  <w:style w:styleId="style34" w:type="paragraph">
    <w:name w:val="Título 31"/>
    <w:basedOn w:val="style0"/>
    <w:next w:val="style34"/>
    <w:pPr>
      <w:keepNext/>
    </w:pPr>
    <w:rPr>
      <w:b/>
      <w:bCs/>
    </w:rPr>
  </w:style>
  <w:style w:styleId="style35" w:type="paragraph">
    <w:name w:val="Título 41"/>
    <w:basedOn w:val="style0"/>
    <w:next w:val="style35"/>
    <w:pPr>
      <w:keepNext/>
      <w:spacing w:line="260" w:lineRule="exact"/>
      <w:jc w:val="both"/>
    </w:pPr>
    <w:rPr>
      <w:b/>
      <w:bCs/>
      <w:sz w:val="22"/>
      <w:szCs w:val="22"/>
    </w:rPr>
  </w:style>
  <w:style w:styleId="style36" w:type="paragraph">
    <w:name w:val="Texto independiente 21"/>
    <w:basedOn w:val="style0"/>
    <w:next w:val="style36"/>
    <w:pPr>
      <w:spacing w:line="240" w:lineRule="exact"/>
      <w:jc w:val="both"/>
    </w:pPr>
    <w:rPr>
      <w:b/>
      <w:bCs/>
    </w:rPr>
  </w:style>
  <w:style w:styleId="style37" w:type="paragraph">
    <w:name w:val="Normal1"/>
    <w:next w:val="style37"/>
    <w:pPr>
      <w:widowControl/>
      <w:suppressAutoHyphens w:val="true"/>
      <w:spacing w:after="0" w:before="0" w:line="100" w:lineRule="atLeast"/>
      <w:contextualSpacing w:val="false"/>
    </w:pPr>
    <w:rPr>
      <w:rFonts w:ascii="Times New Roman" w:cs="Times New Roman" w:eastAsia="Arial" w:hAnsi="Times New Roman"/>
      <w:color w:val="auto"/>
      <w:sz w:val="24"/>
      <w:szCs w:val="20"/>
      <w:lang w:bidi="ar-SA" w:eastAsia="zh-CN" w:val="es-ES"/>
    </w:rPr>
  </w:style>
  <w:style w:styleId="style38" w:type="paragraph">
    <w:name w:val="Cuerpo de texto con sangría"/>
    <w:basedOn w:val="style0"/>
    <w:next w:val="style38"/>
    <w:pPr>
      <w:spacing w:after="120" w:before="0"/>
      <w:ind w:hanging="0" w:left="283" w:right="0"/>
      <w:contextualSpacing w:val="false"/>
    </w:pPr>
    <w:rPr/>
  </w:style>
  <w:style w:styleId="style39" w:type="paragraph">
    <w:name w:val="western"/>
    <w:basedOn w:val="style0"/>
    <w:next w:val="style39"/>
    <w:pPr>
      <w:widowControl/>
      <w:spacing w:after="0" w:before="28" w:line="238" w:lineRule="atLeast"/>
      <w:contextualSpacing w:val="false"/>
      <w:jc w:val="both"/>
    </w:pPr>
    <w:rPr>
      <w:rFonts w:ascii="Courier" w:cs="Times New Roman" w:eastAsia="Times New Roman" w:hAnsi="Courier"/>
      <w:lang w:bidi="hi-IN"/>
    </w:rPr>
  </w:style>
  <w:style w:styleId="style40" w:type="paragraph">
    <w:name w:val="Pie de página"/>
    <w:basedOn w:val="style0"/>
    <w:next w:val="style40"/>
    <w:pPr>
      <w:tabs>
        <w:tab w:leader="none" w:pos="4252" w:val="center"/>
        <w:tab w:leader="none" w:pos="8504" w:val="right"/>
      </w:tabs>
    </w:pPr>
    <w:rPr/>
  </w:style>
  <w:style w:styleId="style41" w:type="paragraph">
    <w:name w:val="Normal (Web)"/>
    <w:basedOn w:val="style0"/>
    <w:next w:val="style41"/>
    <w:pPr>
      <w:widowControl/>
      <w:suppressAutoHyphens w:val="false"/>
      <w:spacing w:after="119" w:before="280"/>
      <w:contextualSpacing w:val="false"/>
    </w:pPr>
    <w:rPr>
      <w:rFonts w:ascii="Times New Roman" w:cs="Times New Roman" w:eastAsia="Times New Roman" w:hAnsi="Times New Roman"/>
      <w:lang w:bidi="ar-SA" w:eastAsia="es-UY" w:val="es-UY"/>
    </w:rPr>
  </w:style>
  <w:style w:styleId="style42" w:type="paragraph">
    <w:name w:val="Subtítulo"/>
    <w:basedOn w:val="style0"/>
    <w:next w:val="style42"/>
    <w:pPr>
      <w:jc w:val="left"/>
    </w:pPr>
    <w:rPr>
      <w:rFonts w:ascii="Cambria" w:cs="" w:hAnsi="Cambria"/>
      <w:i/>
      <w:iCs/>
      <w:color w:val="4F81BD"/>
      <w:spacing w:val="15"/>
    </w:rPr>
  </w:style>
  <w:style w:styleId="style43" w:type="paragraph">
    <w:name w:val="List Paragraph"/>
    <w:basedOn w:val="style0"/>
    <w:next w:val="style43"/>
    <w:pPr>
      <w:widowControl/>
      <w:suppressAutoHyphens w:val="false"/>
      <w:spacing w:after="200" w:before="0" w:line="276" w:lineRule="auto"/>
      <w:ind w:hanging="0" w:left="720" w:right="0"/>
      <w:contextualSpacing/>
    </w:pPr>
    <w:rPr>
      <w:rFonts w:ascii="Calibri" w:cs="Times New Roman" w:eastAsia="Calibri" w:hAnsi="Calibri"/>
      <w:sz w:val="22"/>
      <w:szCs w:val="22"/>
      <w:lang w:bidi="ar-SA" w:eastAsia="en-US" w:val="es-UY"/>
    </w:rPr>
  </w:style>
  <w:style w:styleId="style44" w:type="paragraph">
    <w:name w:val="Predeterminado"/>
    <w:next w:val="style44"/>
    <w:pPr>
      <w:widowControl w:val="false"/>
      <w:suppressAutoHyphens w:val="true"/>
      <w:spacing w:after="0" w:before="0" w:line="100" w:lineRule="atLeast"/>
      <w:contextualSpacing w:val="false"/>
    </w:pPr>
    <w:rPr>
      <w:rFonts w:ascii="Bookman Old Style" w:cs="Bookman Old Style" w:eastAsia="Times New Roman" w:hAnsi="Bookman Old Style"/>
      <w:color w:val="auto"/>
      <w:sz w:val="24"/>
      <w:szCs w:val="24"/>
      <w:lang w:bidi="ar-SA" w:eastAsia="zh-CN"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2019-05-27T20:16:00Z</dcterms:created>
  <dc:creator>BASSO</dc:creator>
  <cp:lastModifiedBy>digepro1</cp:lastModifiedBy>
  <dcterms:modified xsi:type="dcterms:W3CDTF">2019-05-27T20:16:00Z</dcterms:modified>
  <cp:revision>2</cp:revision>
</cp:coreProperties>
</file>