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8A111A">
        <w:rPr>
          <w:sz w:val="32"/>
        </w:rPr>
        <w:t>289</w:t>
      </w:r>
      <w:r w:rsidR="0019129D">
        <w:rPr>
          <w:sz w:val="32"/>
        </w:rPr>
        <w:t xml:space="preserve"> </w:t>
      </w:r>
      <w:r w:rsidR="004E65D9">
        <w:rPr>
          <w:sz w:val="32"/>
        </w:rPr>
        <w:t>/2018</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7A4EF9">
        <w:rPr>
          <w:sz w:val="32"/>
        </w:rPr>
        <w:t xml:space="preserve">Viernes </w:t>
      </w:r>
      <w:r w:rsidR="002D0B83">
        <w:rPr>
          <w:sz w:val="32"/>
        </w:rPr>
        <w:t>24</w:t>
      </w:r>
      <w:r w:rsidR="007A4EF9">
        <w:rPr>
          <w:sz w:val="32"/>
        </w:rPr>
        <w:t xml:space="preserve"> de Agosto,</w:t>
      </w:r>
      <w:r w:rsidR="00B734D3">
        <w:rPr>
          <w:sz w:val="32"/>
        </w:rPr>
        <w:t xml:space="preserve"> a las 14 </w:t>
      </w:r>
      <w:proofErr w:type="spellStart"/>
      <w:r w:rsidR="00B734D3">
        <w:rPr>
          <w:sz w:val="32"/>
        </w:rPr>
        <w:t>hs</w:t>
      </w:r>
      <w:proofErr w:type="spellEnd"/>
      <w:r w:rsidR="00B734D3">
        <w:rPr>
          <w:sz w:val="32"/>
        </w:rPr>
        <w:t>.</w:t>
      </w:r>
    </w:p>
    <w:p w:rsidR="002543B4" w:rsidRDefault="000A18C0">
      <w:pPr>
        <w:spacing w:after="0" w:line="259" w:lineRule="auto"/>
        <w:ind w:left="0" w:firstLine="0"/>
        <w:jc w:val="left"/>
      </w:pPr>
      <w:r>
        <w:rPr>
          <w:sz w:val="16"/>
        </w:rPr>
        <w:lastRenderedPageBreak/>
        <w:t>__________________________________________________________________________</w:t>
      </w:r>
      <w:r w:rsidR="00425C5C">
        <w:rPr>
          <w:sz w:val="16"/>
        </w:rPr>
        <w:t>_____________________</w:t>
      </w:r>
    </w:p>
    <w:p w:rsidR="002543B4" w:rsidRDefault="000A18C0" w:rsidP="00F02CE2">
      <w:pPr>
        <w:spacing w:after="467" w:line="251" w:lineRule="auto"/>
        <w:ind w:left="-5" w:right="28" w:hanging="10"/>
        <w:jc w:val="center"/>
        <w:rPr>
          <w:b/>
          <w:sz w:val="28"/>
        </w:rPr>
      </w:pPr>
      <w:r>
        <w:rPr>
          <w:b/>
          <w:sz w:val="28"/>
        </w:rPr>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ADQUISICIÓN DE UN SISTEMA DE REALIDAD VIRTUAL PA</w:t>
      </w:r>
      <w:r w:rsidR="00233A3A">
        <w:rPr>
          <w:b/>
          <w:sz w:val="24"/>
          <w:szCs w:val="24"/>
        </w:rPr>
        <w:t>R</w:t>
      </w:r>
      <w:r w:rsidR="00AA7159">
        <w:rPr>
          <w:b/>
          <w:sz w:val="24"/>
          <w:szCs w:val="24"/>
        </w:rPr>
        <w:t>A CUATRO CÁMARAS.</w:t>
      </w:r>
    </w:p>
    <w:p w:rsidR="002543B4" w:rsidRDefault="000A18C0">
      <w:pPr>
        <w:pStyle w:val="Ttulo1"/>
        <w:spacing w:after="371"/>
        <w:ind w:left="-5" w:right="38"/>
      </w:pPr>
      <w:r>
        <w:t>CAPITULO I – Del Objeto y de los Requerimientos</w:t>
      </w:r>
    </w:p>
    <w:p w:rsidR="002543B4" w:rsidRDefault="000A18C0" w:rsidP="008A111A">
      <w:pPr>
        <w:pStyle w:val="Ttulo2"/>
        <w:numPr>
          <w:ilvl w:val="0"/>
          <w:numId w:val="42"/>
        </w:numPr>
      </w:pPr>
      <w:r>
        <w:t>Objeto</w:t>
      </w:r>
    </w:p>
    <w:p w:rsidR="008A111A" w:rsidRPr="00F845A8" w:rsidRDefault="008A111A" w:rsidP="008A111A">
      <w:pPr>
        <w:rPr>
          <w:lang w:val="es-ES"/>
        </w:rPr>
      </w:pPr>
    </w:p>
    <w:p w:rsidR="008A111A" w:rsidRPr="008A111A" w:rsidRDefault="008A111A" w:rsidP="008A111A">
      <w:pPr>
        <w:pStyle w:val="Standard"/>
        <w:rPr>
          <w:rFonts w:ascii="Arial" w:hAnsi="Arial" w:cs="Arial"/>
        </w:rPr>
      </w:pPr>
      <w:r w:rsidRPr="008A111A">
        <w:rPr>
          <w:rFonts w:ascii="Arial" w:hAnsi="Arial" w:cs="Arial"/>
        </w:rPr>
        <w:t>Proveer un sistema de realidad virtual para 4 cámaras que cumpla con los siguientes requerimientos:</w:t>
      </w:r>
    </w:p>
    <w:p w:rsidR="008A111A" w:rsidRPr="008A111A" w:rsidRDefault="008A111A" w:rsidP="008A111A">
      <w:pPr>
        <w:pStyle w:val="Standard"/>
        <w:rPr>
          <w:rFonts w:ascii="Arial" w:hAnsi="Arial" w:cs="Arial"/>
        </w:rPr>
      </w:pPr>
    </w:p>
    <w:p w:rsidR="008A111A" w:rsidRPr="008A111A" w:rsidRDefault="008A111A" w:rsidP="008A111A">
      <w:pPr>
        <w:pStyle w:val="Standard"/>
        <w:rPr>
          <w:rFonts w:ascii="Arial" w:hAnsi="Arial" w:cs="Arial"/>
        </w:rPr>
      </w:pPr>
      <w:r w:rsidRPr="008A111A">
        <w:rPr>
          <w:rFonts w:ascii="Arial" w:hAnsi="Arial" w:cs="Arial"/>
        </w:rPr>
        <w:t xml:space="preserve">Debe incluir el sistema de tracking de cámara para 4 cámaras. El tracking debe ser total; desplazamientos de la cámara en el estudio, zoom, pan, </w:t>
      </w:r>
      <w:proofErr w:type="spellStart"/>
      <w:r w:rsidRPr="008A111A">
        <w:rPr>
          <w:rFonts w:ascii="Arial" w:hAnsi="Arial" w:cs="Arial"/>
        </w:rPr>
        <w:t>tilt</w:t>
      </w:r>
      <w:proofErr w:type="spellEnd"/>
      <w:r w:rsidRPr="008A111A">
        <w:rPr>
          <w:rFonts w:ascii="Arial" w:hAnsi="Arial" w:cs="Arial"/>
        </w:rPr>
        <w:t>.</w:t>
      </w:r>
    </w:p>
    <w:p w:rsidR="008A111A" w:rsidRPr="008A111A" w:rsidRDefault="008A111A" w:rsidP="008A111A">
      <w:pPr>
        <w:pStyle w:val="Standard"/>
        <w:rPr>
          <w:rFonts w:ascii="Arial" w:hAnsi="Arial" w:cs="Arial"/>
        </w:rPr>
      </w:pPr>
      <w:r w:rsidRPr="008A111A">
        <w:rPr>
          <w:rFonts w:ascii="Arial" w:hAnsi="Arial" w:cs="Arial"/>
        </w:rPr>
        <w:t>Debe proveer salida de control con los gráficos incrustados. Para el previo de las cámaras que no están al aire se debe presupuestar el costo por cámara como opcional.</w:t>
      </w:r>
    </w:p>
    <w:p w:rsidR="008A111A" w:rsidRPr="008A111A" w:rsidRDefault="008A111A" w:rsidP="008A111A">
      <w:pPr>
        <w:pStyle w:val="Standard"/>
        <w:rPr>
          <w:rFonts w:ascii="Arial" w:hAnsi="Arial" w:cs="Arial"/>
        </w:rPr>
      </w:pPr>
      <w:r w:rsidRPr="008A111A">
        <w:rPr>
          <w:rFonts w:ascii="Arial" w:hAnsi="Arial" w:cs="Arial"/>
        </w:rPr>
        <w:t>Debe trabajar con señales HD 1080i y tener posibilidades de migrar a 4K a futuro.</w:t>
      </w:r>
    </w:p>
    <w:p w:rsidR="008A111A" w:rsidRPr="008A111A" w:rsidRDefault="008A111A" w:rsidP="008A111A">
      <w:pPr>
        <w:pStyle w:val="Standard"/>
        <w:rPr>
          <w:rFonts w:ascii="Arial" w:hAnsi="Arial" w:cs="Arial"/>
        </w:rPr>
      </w:pPr>
      <w:r w:rsidRPr="008A111A">
        <w:rPr>
          <w:rFonts w:ascii="Arial" w:hAnsi="Arial" w:cs="Arial"/>
        </w:rPr>
        <w:t xml:space="preserve">Debe poder integrar el generador </w:t>
      </w:r>
      <w:proofErr w:type="spellStart"/>
      <w:r w:rsidRPr="008A111A">
        <w:rPr>
          <w:rFonts w:ascii="Arial" w:hAnsi="Arial" w:cs="Arial"/>
        </w:rPr>
        <w:t>VizRT</w:t>
      </w:r>
      <w:proofErr w:type="spellEnd"/>
      <w:r w:rsidRPr="008A111A">
        <w:rPr>
          <w:rFonts w:ascii="Arial" w:hAnsi="Arial" w:cs="Arial"/>
        </w:rPr>
        <w:t xml:space="preserve"> Trio con el que cuenta el canal.</w:t>
      </w:r>
    </w:p>
    <w:p w:rsidR="008A111A" w:rsidRPr="008A111A" w:rsidRDefault="008A111A" w:rsidP="008A111A">
      <w:pPr>
        <w:pStyle w:val="Standard"/>
        <w:rPr>
          <w:rFonts w:ascii="Arial" w:hAnsi="Arial" w:cs="Arial"/>
        </w:rPr>
      </w:pPr>
      <w:r w:rsidRPr="008A111A">
        <w:rPr>
          <w:rFonts w:ascii="Arial" w:hAnsi="Arial" w:cs="Arial"/>
        </w:rPr>
        <w:t>Debe poder utilizarse también para generar realidad aumentada al mismo tiempo que el virtual set.</w:t>
      </w:r>
    </w:p>
    <w:p w:rsidR="008A111A" w:rsidRPr="008A111A" w:rsidRDefault="008A111A" w:rsidP="008A111A">
      <w:pPr>
        <w:pStyle w:val="Standard"/>
        <w:rPr>
          <w:rFonts w:ascii="Arial" w:hAnsi="Arial" w:cs="Arial"/>
        </w:rPr>
      </w:pPr>
    </w:p>
    <w:p w:rsidR="008A111A" w:rsidRPr="008A111A" w:rsidRDefault="008A111A" w:rsidP="008A111A">
      <w:pPr>
        <w:pStyle w:val="Standard"/>
        <w:rPr>
          <w:rFonts w:ascii="Arial" w:hAnsi="Arial" w:cs="Arial"/>
        </w:rPr>
      </w:pPr>
      <w:r w:rsidRPr="008A111A">
        <w:rPr>
          <w:rFonts w:ascii="Arial" w:hAnsi="Arial" w:cs="Arial"/>
        </w:rPr>
        <w:t xml:space="preserve">Debe incluirse el entrenamiento para el sistema y la asistencia para el </w:t>
      </w:r>
      <w:proofErr w:type="spellStart"/>
      <w:r w:rsidRPr="008A111A">
        <w:rPr>
          <w:rFonts w:ascii="Arial" w:hAnsi="Arial" w:cs="Arial"/>
        </w:rPr>
        <w:t>setup</w:t>
      </w:r>
      <w:proofErr w:type="spellEnd"/>
      <w:r w:rsidRPr="008A111A">
        <w:rPr>
          <w:rFonts w:ascii="Arial" w:hAnsi="Arial" w:cs="Arial"/>
        </w:rPr>
        <w:t xml:space="preserve"> inicial.</w:t>
      </w:r>
    </w:p>
    <w:p w:rsidR="008A111A" w:rsidRPr="008A111A" w:rsidRDefault="008A111A" w:rsidP="008A111A">
      <w:pPr>
        <w:pStyle w:val="Standard"/>
        <w:rPr>
          <w:rFonts w:ascii="Arial" w:hAnsi="Arial" w:cs="Arial"/>
        </w:rPr>
      </w:pPr>
      <w:r w:rsidRPr="008A111A">
        <w:rPr>
          <w:rFonts w:ascii="Arial" w:hAnsi="Arial" w:cs="Arial"/>
        </w:rPr>
        <w:t xml:space="preserve">También se debe construir el set de sin fin para hacer el </w:t>
      </w:r>
      <w:proofErr w:type="spellStart"/>
      <w:r w:rsidRPr="008A111A">
        <w:rPr>
          <w:rFonts w:ascii="Arial" w:hAnsi="Arial" w:cs="Arial"/>
        </w:rPr>
        <w:t>chroma</w:t>
      </w:r>
      <w:proofErr w:type="spellEnd"/>
      <w:r w:rsidRPr="008A111A">
        <w:rPr>
          <w:rFonts w:ascii="Arial" w:hAnsi="Arial" w:cs="Arial"/>
        </w:rPr>
        <w:t xml:space="preserve"> </w:t>
      </w:r>
      <w:proofErr w:type="spellStart"/>
      <w:r w:rsidRPr="008A111A">
        <w:rPr>
          <w:rFonts w:ascii="Arial" w:hAnsi="Arial" w:cs="Arial"/>
        </w:rPr>
        <w:t>key</w:t>
      </w:r>
      <w:proofErr w:type="spellEnd"/>
      <w:r w:rsidRPr="008A111A">
        <w:rPr>
          <w:rFonts w:ascii="Arial" w:hAnsi="Arial" w:cs="Arial"/>
        </w:rPr>
        <w:t xml:space="preserve"> requerido para el uso del sistema. Para esto se debe incluir los materiales y servicios para construir los paneles laterales, el sin fin y pintar piso y demás partes con pintura para </w:t>
      </w:r>
      <w:proofErr w:type="spellStart"/>
      <w:r w:rsidRPr="008A111A">
        <w:rPr>
          <w:rFonts w:ascii="Arial" w:hAnsi="Arial" w:cs="Arial"/>
        </w:rPr>
        <w:t>chroma</w:t>
      </w:r>
      <w:proofErr w:type="spellEnd"/>
      <w:r w:rsidRPr="008A111A">
        <w:rPr>
          <w:rFonts w:ascii="Arial" w:hAnsi="Arial" w:cs="Arial"/>
        </w:rPr>
        <w:t xml:space="preserve"> </w:t>
      </w:r>
      <w:proofErr w:type="spellStart"/>
      <w:r w:rsidRPr="008A111A">
        <w:rPr>
          <w:rFonts w:ascii="Arial" w:hAnsi="Arial" w:cs="Arial"/>
        </w:rPr>
        <w:t>key</w:t>
      </w:r>
      <w:proofErr w:type="spellEnd"/>
      <w:r w:rsidRPr="008A111A">
        <w:rPr>
          <w:rFonts w:ascii="Arial" w:hAnsi="Arial" w:cs="Arial"/>
        </w:rPr>
        <w:t>.</w:t>
      </w:r>
    </w:p>
    <w:p w:rsidR="008A111A" w:rsidRPr="008A111A" w:rsidRDefault="008A111A" w:rsidP="008A111A">
      <w:pPr>
        <w:pStyle w:val="Standard"/>
        <w:rPr>
          <w:rFonts w:ascii="Arial" w:hAnsi="Arial" w:cs="Arial"/>
        </w:rPr>
      </w:pPr>
      <w:r w:rsidRPr="008A111A">
        <w:rPr>
          <w:rFonts w:ascii="Arial" w:hAnsi="Arial" w:cs="Arial"/>
        </w:rPr>
        <w:t>Se debe además proveer de pintura para reparaciones futuras, siendo la cantidad igual al 25%  de la empleada para el set.</w:t>
      </w:r>
    </w:p>
    <w:p w:rsidR="008A111A" w:rsidRPr="008A111A" w:rsidRDefault="008A111A" w:rsidP="008A111A">
      <w:pPr>
        <w:pStyle w:val="Standard"/>
        <w:rPr>
          <w:rFonts w:ascii="Arial" w:hAnsi="Arial" w:cs="Arial"/>
        </w:rPr>
      </w:pPr>
      <w:r w:rsidRPr="008A111A">
        <w:rPr>
          <w:rFonts w:ascii="Arial" w:hAnsi="Arial" w:cs="Arial"/>
        </w:rPr>
        <w:t>Se adjunta el plano de la planta a cubrir siendo la altura de los laterales de 2,5 metros.</w:t>
      </w:r>
    </w:p>
    <w:p w:rsidR="008A111A" w:rsidRPr="008A111A" w:rsidRDefault="008A111A" w:rsidP="008A111A">
      <w:pPr>
        <w:pStyle w:val="Standard"/>
        <w:rPr>
          <w:rFonts w:ascii="Arial" w:hAnsi="Arial" w:cs="Arial"/>
        </w:rPr>
      </w:pPr>
    </w:p>
    <w:p w:rsidR="008A111A" w:rsidRDefault="008A111A" w:rsidP="008A111A">
      <w:pPr>
        <w:pStyle w:val="Standard"/>
        <w:rPr>
          <w:rFonts w:hint="eastAsia"/>
        </w:rPr>
      </w:pPr>
    </w:p>
    <w:p w:rsidR="008A111A" w:rsidRDefault="008A111A" w:rsidP="008A111A"/>
    <w:p w:rsidR="008A111A" w:rsidRDefault="008A111A" w:rsidP="008A111A"/>
    <w:p w:rsidR="008A111A" w:rsidRDefault="008A111A" w:rsidP="008A111A"/>
    <w:p w:rsidR="008A111A" w:rsidRDefault="008A111A" w:rsidP="008A111A"/>
    <w:p w:rsidR="008A111A" w:rsidRDefault="008A111A" w:rsidP="008A111A"/>
    <w:p w:rsidR="008A111A" w:rsidRDefault="008A111A" w:rsidP="008A111A"/>
    <w:p w:rsidR="008A111A" w:rsidRDefault="008A111A" w:rsidP="008A111A"/>
    <w:p w:rsidR="008A111A" w:rsidRDefault="008A111A" w:rsidP="008A111A"/>
    <w:p w:rsidR="008A111A" w:rsidRDefault="008A111A" w:rsidP="008A111A"/>
    <w:p w:rsidR="008A111A" w:rsidRDefault="008A111A" w:rsidP="008A111A"/>
    <w:p w:rsidR="008A111A" w:rsidRPr="008A111A" w:rsidRDefault="008A111A" w:rsidP="008A111A">
      <w:r w:rsidRPr="008A111A">
        <w:rPr>
          <w:noProof/>
          <w:lang w:val="es-ES" w:eastAsia="es-ES"/>
        </w:rPr>
        <w:drawing>
          <wp:inline distT="0" distB="0" distL="0" distR="0" wp14:anchorId="4703D5F6" wp14:editId="793421F2">
            <wp:extent cx="5224145" cy="731509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4145" cy="7315098"/>
                    </a:xfrm>
                    <a:prstGeom prst="rect">
                      <a:avLst/>
                    </a:prstGeom>
                    <a:noFill/>
                    <a:ln>
                      <a:noFill/>
                    </a:ln>
                  </pic:spPr>
                </pic:pic>
              </a:graphicData>
            </a:graphic>
          </wp:inline>
        </w:drawing>
      </w:r>
    </w:p>
    <w:p w:rsidR="008A111A" w:rsidRDefault="008A111A" w:rsidP="00237D89">
      <w:pPr>
        <w:ind w:left="0" w:firstLine="0"/>
        <w:rPr>
          <w:b/>
          <w:sz w:val="28"/>
          <w:u w:val="single" w:color="000000"/>
        </w:rPr>
      </w:pPr>
    </w:p>
    <w:p w:rsidR="005A5A87" w:rsidRPr="005A5A87" w:rsidRDefault="005A5A87" w:rsidP="005A5A87">
      <w:pPr>
        <w:pStyle w:val="Ttulo2"/>
        <w:numPr>
          <w:ilvl w:val="0"/>
          <w:numId w:val="42"/>
        </w:numPr>
        <w:rPr>
          <w:szCs w:val="24"/>
        </w:rPr>
      </w:pPr>
      <w:r w:rsidRPr="005A5A87">
        <w:rPr>
          <w:szCs w:val="24"/>
        </w:rPr>
        <w:lastRenderedPageBreak/>
        <w:t>Garantía</w:t>
      </w:r>
    </w:p>
    <w:p w:rsidR="005A5A87" w:rsidRP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Se deberá establecer el período de la misma, la cual tendrá vigencia a partir de la instalación y puesta en funcionamiento de cada uno de los ítems que componen el objeto del presente llamado.</w:t>
      </w:r>
    </w:p>
    <w:p w:rsidR="005A5A87" w:rsidRPr="005A5A87" w:rsidRDefault="005A5A87" w:rsidP="00237D89">
      <w:pPr>
        <w:ind w:left="0" w:firstLine="0"/>
        <w:rPr>
          <w:b/>
          <w:sz w:val="28"/>
          <w:u w:val="single" w:color="000000"/>
          <w:lang w:val="es-ES"/>
        </w:rPr>
      </w:pPr>
    </w:p>
    <w:p w:rsidR="002543B4" w:rsidRPr="002023BC" w:rsidRDefault="000A18C0" w:rsidP="00237D89">
      <w:pPr>
        <w:ind w:left="0" w:firstLine="0"/>
        <w:rPr>
          <w:sz w:val="22"/>
        </w:rPr>
      </w:pPr>
      <w:r w:rsidRPr="002023BC">
        <w:rPr>
          <w:b/>
          <w:sz w:val="28"/>
          <w:u w:val="single" w:color="000000"/>
        </w:rPr>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10"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1"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2"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233A3A" w:rsidRDefault="00233A3A" w:rsidP="00D71F1E">
      <w:pPr>
        <w:pStyle w:val="Default"/>
        <w:spacing w:before="100" w:beforeAutospacing="1"/>
        <w:jc w:val="both"/>
        <w:rPr>
          <w:rFonts w:eastAsia="Arial"/>
          <w:b/>
          <w:lang w:val="es-UY" w:eastAsia="es-UY"/>
        </w:rPr>
      </w:pPr>
    </w:p>
    <w:p w:rsidR="00233A3A" w:rsidRDefault="00233A3A" w:rsidP="00D71F1E">
      <w:pPr>
        <w:pStyle w:val="Default"/>
        <w:spacing w:before="100" w:beforeAutospacing="1"/>
        <w:jc w:val="both"/>
        <w:rPr>
          <w:rFonts w:eastAsia="Arial"/>
          <w:b/>
          <w:lang w:val="es-UY" w:eastAsia="es-UY"/>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lastRenderedPageBreak/>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3"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5A5A87" w:rsidRDefault="000A18C0">
      <w:pPr>
        <w:pStyle w:val="Ttulo1"/>
        <w:spacing w:after="371"/>
        <w:ind w:left="-5" w:right="38"/>
        <w:rPr>
          <w:sz w:val="24"/>
          <w:szCs w:val="24"/>
        </w:rPr>
      </w:pPr>
      <w:r w:rsidRPr="005A5A87">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4"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1007BD">
      <w:pPr>
        <w:ind w:left="-7" w:right="6"/>
        <w:rPr>
          <w:sz w:val="24"/>
          <w:szCs w:val="24"/>
        </w:rPr>
      </w:pP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Pr="005A5A87" w:rsidRDefault="00674728" w:rsidP="001007BD">
      <w:pPr>
        <w:spacing w:after="218" w:line="250" w:lineRule="auto"/>
        <w:ind w:left="10" w:hanging="10"/>
        <w:rPr>
          <w:sz w:val="24"/>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2D0B83">
        <w:rPr>
          <w:sz w:val="24"/>
          <w:szCs w:val="24"/>
        </w:rPr>
        <w:t>24</w:t>
      </w:r>
      <w:bookmarkStart w:id="0" w:name="_GoBack"/>
      <w:bookmarkEnd w:id="0"/>
      <w:r w:rsidR="007A4EF9">
        <w:rPr>
          <w:sz w:val="24"/>
          <w:szCs w:val="24"/>
        </w:rPr>
        <w:t xml:space="preserve"> </w:t>
      </w:r>
      <w:r w:rsidR="00B976E0" w:rsidRPr="005A5A87">
        <w:rPr>
          <w:sz w:val="24"/>
          <w:szCs w:val="24"/>
        </w:rPr>
        <w:t xml:space="preserve">de </w:t>
      </w:r>
      <w:r w:rsidR="00707B50" w:rsidRPr="005A5A87">
        <w:rPr>
          <w:sz w:val="24"/>
          <w:szCs w:val="24"/>
        </w:rPr>
        <w:t>agosto</w:t>
      </w:r>
      <w:r w:rsidR="00B976E0" w:rsidRPr="005A5A87">
        <w:rPr>
          <w:sz w:val="24"/>
          <w:szCs w:val="24"/>
        </w:rPr>
        <w:t xml:space="preserve"> de 201</w:t>
      </w:r>
      <w:r w:rsidR="000A6E6D" w:rsidRPr="005A5A87">
        <w:rPr>
          <w:sz w:val="24"/>
          <w:szCs w:val="24"/>
        </w:rPr>
        <w:t>8</w:t>
      </w:r>
      <w:r w:rsidR="00286277" w:rsidRPr="005A5A87">
        <w:rPr>
          <w:sz w:val="24"/>
          <w:szCs w:val="24"/>
        </w:rPr>
        <w:t>, hora 14:00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 xml:space="preserve">A partir de la fecha y hora establecidas, las ofertas quedarán accesibles para la Administración contratante, no pudiendo introducirse modificación alguna en las mismas. Asimismo, las ofertas quedarán visibles para todos los </w:t>
      </w:r>
      <w:r w:rsidRPr="005A5A87">
        <w:rPr>
          <w:sz w:val="24"/>
          <w:szCs w:val="24"/>
        </w:rPr>
        <w:lastRenderedPageBreak/>
        <w:t>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Pr="005A5A87"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2543B4" w:rsidRPr="005A5A87" w:rsidRDefault="00584A3A" w:rsidP="00F8031A">
      <w:pPr>
        <w:spacing w:after="53" w:line="440" w:lineRule="auto"/>
        <w:ind w:left="355" w:right="2281" w:hanging="10"/>
        <w:jc w:val="left"/>
        <w:rPr>
          <w:b/>
          <w:sz w:val="24"/>
          <w:szCs w:val="24"/>
        </w:rPr>
      </w:pPr>
      <w:r w:rsidRPr="005A5A87">
        <w:rPr>
          <w:b/>
          <w:sz w:val="24"/>
          <w:szCs w:val="24"/>
        </w:rPr>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F8031A">
      <w:pPr>
        <w:pStyle w:val="Textoindependiente"/>
        <w:ind w:left="720"/>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373845">
      <w:pPr>
        <w:pStyle w:val="Textoindependiente"/>
        <w:ind w:left="708"/>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373845">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373845">
      <w:pPr>
        <w:pStyle w:val="Prrafodelista"/>
        <w:spacing w:after="181"/>
        <w:ind w:left="742" w:right="6" w:firstLine="0"/>
        <w:rPr>
          <w:sz w:val="24"/>
          <w:szCs w:val="24"/>
          <w:lang w:val="es-ES"/>
        </w:rPr>
      </w:pP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En caso de tratarse de equipamiento a importar, la cotización deberá ser CIF 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t>Para cotización en plaza, se deberá discriminar el costo y el IVA.</w:t>
      </w:r>
    </w:p>
    <w:p w:rsidR="009B6251" w:rsidRPr="005A5A87" w:rsidRDefault="009B6251" w:rsidP="009B6251">
      <w:pPr>
        <w:ind w:left="-15" w:right="6" w:firstLine="0"/>
        <w:rPr>
          <w:b/>
          <w:sz w:val="24"/>
          <w:szCs w:val="24"/>
        </w:rPr>
      </w:pPr>
      <w:r w:rsidRPr="005A5A87">
        <w:rPr>
          <w:sz w:val="24"/>
          <w:szCs w:val="24"/>
        </w:rPr>
        <w:t>En caso de aceptar un porcentaje de canje publicitario como parte de pago, se deberá indicar el mismo en cuadro “</w:t>
      </w:r>
      <w:r w:rsidRPr="005A5A87">
        <w:rPr>
          <w:b/>
          <w:sz w:val="24"/>
          <w:szCs w:val="24"/>
        </w:rPr>
        <w:t>Observaciones</w:t>
      </w:r>
      <w:r w:rsidRPr="005A5A87">
        <w:rPr>
          <w:sz w:val="24"/>
          <w:szCs w:val="24"/>
        </w:rPr>
        <w:t xml:space="preserve">”, cuando sea ingresada la oferta en línea en el </w:t>
      </w:r>
      <w:proofErr w:type="spellStart"/>
      <w:r w:rsidRPr="005A5A87">
        <w:rPr>
          <w:sz w:val="24"/>
          <w:szCs w:val="24"/>
        </w:rPr>
        <w:t>Sice</w:t>
      </w:r>
      <w:proofErr w:type="spellEnd"/>
      <w:r w:rsidRPr="005A5A87">
        <w:rPr>
          <w:sz w:val="24"/>
          <w:szCs w:val="24"/>
        </w:rPr>
        <w:t>.</w:t>
      </w:r>
    </w:p>
    <w:p w:rsidR="005B1081" w:rsidRPr="005A5A87" w:rsidRDefault="005B1081" w:rsidP="005B1081">
      <w:pPr>
        <w:pStyle w:val="Textoindependiente"/>
        <w:jc w:val="both"/>
        <w:rPr>
          <w:rFonts w:ascii="Arial" w:hAnsi="Arial" w:cs="Arial"/>
          <w:b w:val="0"/>
          <w:color w:val="000000"/>
          <w:szCs w:val="24"/>
          <w:lang w:val="es-UY"/>
        </w:rPr>
      </w:pP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8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7 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2641AC" w:rsidRPr="005A5A87">
        <w:rPr>
          <w:rFonts w:eastAsia="DAAAAA+ArialMT"/>
          <w:sz w:val="24"/>
          <w:szCs w:val="24"/>
        </w:rPr>
        <w:t>1</w:t>
      </w:r>
      <w:r w:rsidRPr="005A5A87">
        <w:rPr>
          <w:rFonts w:eastAsia="DAAAAA+ArialMT"/>
          <w:sz w:val="24"/>
          <w:szCs w:val="24"/>
        </w:rPr>
        <w:t>0</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Pr="005A5A87">
        <w:rPr>
          <w:rFonts w:eastAsia="DAAAAA+ArialMT"/>
          <w:sz w:val="24"/>
          <w:szCs w:val="24"/>
        </w:rPr>
        <w:t xml:space="preserve">       10 puntos</w:t>
      </w:r>
    </w:p>
    <w:p w:rsidR="001B225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Canje de Publicidad                                                    15 puntos</w:t>
      </w:r>
    </w:p>
    <w:p w:rsidR="002641AC" w:rsidRDefault="002641AC" w:rsidP="002641AC">
      <w:pPr>
        <w:autoSpaceDE w:val="0"/>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(máximo total por este factor: 8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(máximo total por este factor: 7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6125E6" w:rsidP="00B80192">
      <w:pPr>
        <w:ind w:left="709" w:right="6" w:hanging="349"/>
        <w:rPr>
          <w:sz w:val="24"/>
          <w:szCs w:val="24"/>
        </w:rPr>
      </w:pP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(máximo total por éste factor: 10 </w:t>
      </w:r>
    </w:p>
    <w:p w:rsidR="00B80192" w:rsidRPr="00A80A41" w:rsidRDefault="00B80192" w:rsidP="00B80192">
      <w:pPr>
        <w:pStyle w:val="Prrafodelista"/>
        <w:ind w:left="8" w:firstLine="0"/>
        <w:rPr>
          <w:b/>
          <w:sz w:val="24"/>
          <w:szCs w:val="24"/>
        </w:rPr>
      </w:pPr>
      <w:proofErr w:type="gramStart"/>
      <w:r w:rsidRPr="00A80A41">
        <w:rPr>
          <w:b/>
          <w:sz w:val="24"/>
          <w:szCs w:val="24"/>
        </w:rPr>
        <w:t>puntos</w:t>
      </w:r>
      <w:proofErr w:type="gramEnd"/>
      <w:r w:rsidRPr="00A80A41">
        <w:rPr>
          <w:b/>
          <w:sz w:val="24"/>
          <w:szCs w:val="24"/>
        </w:rPr>
        <w:t>)</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(máximo total por éste factor:10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Canje de publicidad:</w:t>
      </w:r>
      <w:r w:rsidRPr="00A80A41">
        <w:rPr>
          <w:b/>
          <w:sz w:val="24"/>
          <w:szCs w:val="24"/>
        </w:rPr>
        <w:t xml:space="preserve"> (máximo total por este factor: 15 puntos)</w:t>
      </w:r>
    </w:p>
    <w:p w:rsidR="00B80192" w:rsidRPr="00A80A41" w:rsidRDefault="00B80192" w:rsidP="00B80192">
      <w:pPr>
        <w:pStyle w:val="Prrafodelista"/>
        <w:ind w:left="737" w:firstLine="0"/>
        <w:rPr>
          <w:sz w:val="24"/>
          <w:szCs w:val="24"/>
        </w:rPr>
      </w:pPr>
      <w:r w:rsidRPr="00A80A41">
        <w:rPr>
          <w:sz w:val="24"/>
          <w:szCs w:val="24"/>
        </w:rPr>
        <w:t>Se asignarán hasta 15 puntos a aquellos oferentes cuyo precio esté conformado en hasta un 50% del precio en la modalidad de canje publicitario.</w:t>
      </w:r>
    </w:p>
    <w:p w:rsidR="00B80192" w:rsidRPr="00A80A41" w:rsidRDefault="00B80192" w:rsidP="002641AC">
      <w:pPr>
        <w:autoSpaceDE w:val="0"/>
        <w:rPr>
          <w:rFonts w:eastAsia="DAAAAA+ArialMT"/>
          <w:sz w:val="24"/>
          <w:szCs w:val="24"/>
        </w:rPr>
      </w:pPr>
    </w:p>
    <w:p w:rsidR="00C24253" w:rsidRPr="00A80A41" w:rsidRDefault="00C24253" w:rsidP="001274B3">
      <w:pPr>
        <w:ind w:left="368"/>
        <w:rPr>
          <w:b/>
          <w:sz w:val="24"/>
          <w:szCs w:val="24"/>
        </w:rPr>
      </w:pPr>
      <w:r w:rsidRPr="00A80A41">
        <w:rPr>
          <w:b/>
          <w:sz w:val="24"/>
          <w:szCs w:val="24"/>
        </w:rPr>
        <w:t>Es especial interés de la Administración, que las ofertas contengan un porcentaje del costo en forma de Canje Publicitario.</w:t>
      </w:r>
    </w:p>
    <w:p w:rsidR="001274B3" w:rsidRPr="00A80A41" w:rsidRDefault="001274B3" w:rsidP="007E3241">
      <w:pPr>
        <w:pStyle w:val="Prrafodelista"/>
        <w:ind w:firstLine="0"/>
        <w:rPr>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t>2. Adjudicación</w:t>
      </w:r>
    </w:p>
    <w:p w:rsidR="002543B4" w:rsidRPr="00A80A41" w:rsidRDefault="00624003">
      <w:pPr>
        <w:ind w:left="368"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pPr>
        <w:spacing w:after="526"/>
        <w:ind w:left="368"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 xml:space="preserve">se reserva el derecho de </w:t>
      </w:r>
      <w:r w:rsidRPr="00A80A41">
        <w:rPr>
          <w:sz w:val="24"/>
          <w:szCs w:val="24"/>
        </w:rPr>
        <w:lastRenderedPageBreak/>
        <w:t>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Pr="00A80A41" w:rsidRDefault="00910DEC">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lastRenderedPageBreak/>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4C7FE6" w:rsidRPr="00A80A41">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893CD7" w:rsidRPr="00A80A41" w:rsidRDefault="00893CD7" w:rsidP="00B25EC4">
      <w:pPr>
        <w:ind w:left="0" w:firstLine="0"/>
        <w:rPr>
          <w:sz w:val="24"/>
          <w:szCs w:val="24"/>
        </w:rPr>
      </w:pPr>
      <w:r w:rsidRPr="00A80A41">
        <w:rPr>
          <w:sz w:val="24"/>
          <w:szCs w:val="24"/>
        </w:rPr>
        <w:t>Para ambos casos, si un porcentaje del costo cotizado está conformado por canje, la forma de pago será directamente proporcional al mismo, y mediante esa modalidad.</w:t>
      </w:r>
    </w:p>
    <w:p w:rsidR="006D1B9D" w:rsidRPr="00A80A41" w:rsidRDefault="006D1B9D" w:rsidP="006D1B9D">
      <w:pPr>
        <w:rPr>
          <w:b/>
          <w:color w:val="000000" w:themeColor="text1"/>
          <w:sz w:val="24"/>
          <w:szCs w:val="24"/>
        </w:rPr>
      </w:pPr>
      <w:r w:rsidRPr="00A80A41">
        <w:rPr>
          <w:b/>
          <w:color w:val="000000" w:themeColor="text1"/>
          <w:sz w:val="24"/>
          <w:szCs w:val="24"/>
        </w:rPr>
        <w:t>Es de especial interés de la Administración, que las ofertas contengan un porcentaje del costo en forma de canje publicitario por los servicios.</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0A18C0">
      <w:pPr>
        <w:ind w:left="-7" w:right="6"/>
        <w:rPr>
          <w:sz w:val="24"/>
          <w:szCs w:val="24"/>
        </w:rPr>
      </w:pPr>
      <w:r w:rsidRPr="00A80A41">
        <w:rPr>
          <w:sz w:val="24"/>
          <w:szCs w:val="24"/>
        </w:rPr>
        <w:t xml:space="preserve">El oferente podrá depositar </w:t>
      </w:r>
      <w:r w:rsidR="00193157" w:rsidRPr="00A80A41">
        <w:rPr>
          <w:sz w:val="24"/>
          <w:szCs w:val="24"/>
        </w:rPr>
        <w:t>hasta el 5% del monto máximo de su oferta</w:t>
      </w:r>
      <w:r w:rsidRPr="00A80A41">
        <w:rPr>
          <w:b/>
          <w:sz w:val="24"/>
          <w:szCs w:val="24"/>
        </w:rPr>
        <w:t xml:space="preserve"> </w:t>
      </w:r>
      <w:r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proofErr w:type="spellStart"/>
      <w:r w:rsidR="00BD745B" w:rsidRPr="00A80A41">
        <w:rPr>
          <w:sz w:val="24"/>
          <w:szCs w:val="24"/>
        </w:rPr>
        <w:t>B</w:t>
      </w:r>
      <w:r w:rsidR="005C2DC0" w:rsidRPr="00A80A41">
        <w:rPr>
          <w:sz w:val="24"/>
          <w:szCs w:val="24"/>
        </w:rPr>
        <w:t>var</w:t>
      </w:r>
      <w:proofErr w:type="spellEnd"/>
      <w:r w:rsidR="005C2DC0" w:rsidRPr="00A80A41">
        <w:rPr>
          <w:sz w:val="24"/>
          <w:szCs w:val="24"/>
        </w:rPr>
        <w:t xml:space="preserve">. Artigas 2552), los días lunes o jueves en el horario de 11 a 15 </w:t>
      </w:r>
      <w:proofErr w:type="spellStart"/>
      <w:r w:rsidR="005C2DC0" w:rsidRPr="00A80A41">
        <w:rPr>
          <w:sz w:val="24"/>
          <w:szCs w:val="24"/>
        </w:rPr>
        <w:t>hs</w:t>
      </w:r>
      <w:proofErr w:type="spellEnd"/>
      <w:r w:rsidR="005C2DC0" w:rsidRPr="00A80A41">
        <w:rPr>
          <w:sz w:val="24"/>
          <w:szCs w:val="24"/>
        </w:rPr>
        <w:t>.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2D0B83">
          <w:rPr>
            <w:noProof/>
          </w:rPr>
          <w:t>13</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2">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3">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3">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7">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8">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1">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3">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5">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39">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1">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4">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6"/>
  </w:num>
  <w:num w:numId="2">
    <w:abstractNumId w:val="5"/>
  </w:num>
  <w:num w:numId="3">
    <w:abstractNumId w:val="24"/>
  </w:num>
  <w:num w:numId="4">
    <w:abstractNumId w:val="18"/>
  </w:num>
  <w:num w:numId="5">
    <w:abstractNumId w:val="35"/>
  </w:num>
  <w:num w:numId="6">
    <w:abstractNumId w:val="8"/>
  </w:num>
  <w:num w:numId="7">
    <w:abstractNumId w:val="13"/>
  </w:num>
  <w:num w:numId="8">
    <w:abstractNumId w:val="7"/>
  </w:num>
  <w:num w:numId="9">
    <w:abstractNumId w:val="23"/>
  </w:num>
  <w:num w:numId="10">
    <w:abstractNumId w:val="16"/>
  </w:num>
  <w:num w:numId="11">
    <w:abstractNumId w:val="9"/>
  </w:num>
  <w:num w:numId="12">
    <w:abstractNumId w:val="31"/>
  </w:num>
  <w:num w:numId="13">
    <w:abstractNumId w:val="3"/>
  </w:num>
  <w:num w:numId="14">
    <w:abstractNumId w:val="30"/>
  </w:num>
  <w:num w:numId="15">
    <w:abstractNumId w:val="26"/>
  </w:num>
  <w:num w:numId="16">
    <w:abstractNumId w:val="29"/>
  </w:num>
  <w:num w:numId="17">
    <w:abstractNumId w:val="12"/>
  </w:num>
  <w:num w:numId="18">
    <w:abstractNumId w:val="41"/>
  </w:num>
  <w:num w:numId="19">
    <w:abstractNumId w:val="39"/>
  </w:num>
  <w:num w:numId="20">
    <w:abstractNumId w:val="11"/>
  </w:num>
  <w:num w:numId="21">
    <w:abstractNumId w:val="17"/>
  </w:num>
  <w:num w:numId="22">
    <w:abstractNumId w:val="32"/>
  </w:num>
  <w:num w:numId="23">
    <w:abstractNumId w:val="0"/>
  </w:num>
  <w:num w:numId="24">
    <w:abstractNumId w:val="36"/>
  </w:num>
  <w:num w:numId="25">
    <w:abstractNumId w:val="22"/>
  </w:num>
  <w:num w:numId="26">
    <w:abstractNumId w:val="37"/>
  </w:num>
  <w:num w:numId="27">
    <w:abstractNumId w:val="1"/>
  </w:num>
  <w:num w:numId="28">
    <w:abstractNumId w:val="10"/>
  </w:num>
  <w:num w:numId="29">
    <w:abstractNumId w:val="27"/>
  </w:num>
  <w:num w:numId="30">
    <w:abstractNumId w:val="4"/>
  </w:num>
  <w:num w:numId="31">
    <w:abstractNumId w:val="14"/>
  </w:num>
  <w:num w:numId="32">
    <w:abstractNumId w:val="25"/>
  </w:num>
  <w:num w:numId="33">
    <w:abstractNumId w:val="45"/>
  </w:num>
  <w:num w:numId="34">
    <w:abstractNumId w:val="38"/>
  </w:num>
  <w:num w:numId="35">
    <w:abstractNumId w:val="40"/>
  </w:num>
  <w:num w:numId="36">
    <w:abstractNumId w:val="43"/>
  </w:num>
  <w:num w:numId="37">
    <w:abstractNumId w:val="2"/>
  </w:num>
  <w:num w:numId="38">
    <w:abstractNumId w:val="19"/>
  </w:num>
  <w:num w:numId="39">
    <w:abstractNumId w:val="33"/>
  </w:num>
  <w:num w:numId="40">
    <w:abstractNumId w:val="21"/>
  </w:num>
  <w:num w:numId="41">
    <w:abstractNumId w:val="34"/>
  </w:num>
  <w:num w:numId="42">
    <w:abstractNumId w:val="28"/>
  </w:num>
  <w:num w:numId="43">
    <w:abstractNumId w:val="15"/>
  </w:num>
  <w:num w:numId="44">
    <w:abstractNumId w:val="20"/>
  </w:num>
  <w:num w:numId="45">
    <w:abstractNumId w:val="44"/>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225C"/>
    <w:rsid w:val="001B3A55"/>
    <w:rsid w:val="001B6C6A"/>
    <w:rsid w:val="001C44F3"/>
    <w:rsid w:val="001E630C"/>
    <w:rsid w:val="00202094"/>
    <w:rsid w:val="00202140"/>
    <w:rsid w:val="002023BC"/>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43A39"/>
    <w:rsid w:val="00373845"/>
    <w:rsid w:val="003834C2"/>
    <w:rsid w:val="0039748A"/>
    <w:rsid w:val="003A04B5"/>
    <w:rsid w:val="003C3B71"/>
    <w:rsid w:val="003C407C"/>
    <w:rsid w:val="003C4DD2"/>
    <w:rsid w:val="003E7458"/>
    <w:rsid w:val="003F6C01"/>
    <w:rsid w:val="00413FC2"/>
    <w:rsid w:val="0041748E"/>
    <w:rsid w:val="00425C5C"/>
    <w:rsid w:val="00431055"/>
    <w:rsid w:val="00431211"/>
    <w:rsid w:val="00440F12"/>
    <w:rsid w:val="0045099F"/>
    <w:rsid w:val="00452DF0"/>
    <w:rsid w:val="00460CF6"/>
    <w:rsid w:val="0048080E"/>
    <w:rsid w:val="004A2B2C"/>
    <w:rsid w:val="004C7FE6"/>
    <w:rsid w:val="004D3DFA"/>
    <w:rsid w:val="004E65D9"/>
    <w:rsid w:val="004F02FA"/>
    <w:rsid w:val="00505B4A"/>
    <w:rsid w:val="00506F13"/>
    <w:rsid w:val="0052653F"/>
    <w:rsid w:val="00527923"/>
    <w:rsid w:val="00535B86"/>
    <w:rsid w:val="00552370"/>
    <w:rsid w:val="0055531B"/>
    <w:rsid w:val="00582A1D"/>
    <w:rsid w:val="00584A3A"/>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45577"/>
    <w:rsid w:val="0065216D"/>
    <w:rsid w:val="00674728"/>
    <w:rsid w:val="006806CA"/>
    <w:rsid w:val="00681719"/>
    <w:rsid w:val="006929A7"/>
    <w:rsid w:val="00694B67"/>
    <w:rsid w:val="006A3583"/>
    <w:rsid w:val="006A4E17"/>
    <w:rsid w:val="006B20C5"/>
    <w:rsid w:val="006B2F94"/>
    <w:rsid w:val="006C4A1C"/>
    <w:rsid w:val="006C601A"/>
    <w:rsid w:val="006D1B9D"/>
    <w:rsid w:val="006D3ED7"/>
    <w:rsid w:val="006E0D66"/>
    <w:rsid w:val="006F6E34"/>
    <w:rsid w:val="00707A85"/>
    <w:rsid w:val="00707B50"/>
    <w:rsid w:val="00723C95"/>
    <w:rsid w:val="00725B53"/>
    <w:rsid w:val="00741CB7"/>
    <w:rsid w:val="00743A91"/>
    <w:rsid w:val="00763CA2"/>
    <w:rsid w:val="00764D4B"/>
    <w:rsid w:val="00782F4C"/>
    <w:rsid w:val="00791D14"/>
    <w:rsid w:val="007945F1"/>
    <w:rsid w:val="007975CB"/>
    <w:rsid w:val="007A4EF9"/>
    <w:rsid w:val="007A5DB4"/>
    <w:rsid w:val="007C6295"/>
    <w:rsid w:val="007D0021"/>
    <w:rsid w:val="007D0558"/>
    <w:rsid w:val="007D2F3E"/>
    <w:rsid w:val="007D65A6"/>
    <w:rsid w:val="007E3241"/>
    <w:rsid w:val="007F7005"/>
    <w:rsid w:val="00801B6E"/>
    <w:rsid w:val="00825F89"/>
    <w:rsid w:val="0083029B"/>
    <w:rsid w:val="00841E35"/>
    <w:rsid w:val="00845C6B"/>
    <w:rsid w:val="00846F14"/>
    <w:rsid w:val="008474CB"/>
    <w:rsid w:val="00853B4F"/>
    <w:rsid w:val="008550BE"/>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3723"/>
    <w:rsid w:val="00945DA3"/>
    <w:rsid w:val="00963758"/>
    <w:rsid w:val="009B51CE"/>
    <w:rsid w:val="009B6251"/>
    <w:rsid w:val="009C2277"/>
    <w:rsid w:val="009C3387"/>
    <w:rsid w:val="009C6A79"/>
    <w:rsid w:val="00A056A6"/>
    <w:rsid w:val="00A22F34"/>
    <w:rsid w:val="00A54AB7"/>
    <w:rsid w:val="00A57229"/>
    <w:rsid w:val="00A70352"/>
    <w:rsid w:val="00A80A41"/>
    <w:rsid w:val="00A9484F"/>
    <w:rsid w:val="00AA0E8A"/>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D3CB1"/>
    <w:rsid w:val="00D052C5"/>
    <w:rsid w:val="00D1342C"/>
    <w:rsid w:val="00D20F9B"/>
    <w:rsid w:val="00D23FFD"/>
    <w:rsid w:val="00D32A8C"/>
    <w:rsid w:val="00D377EF"/>
    <w:rsid w:val="00D43042"/>
    <w:rsid w:val="00D45962"/>
    <w:rsid w:val="00D52F19"/>
    <w:rsid w:val="00D65241"/>
    <w:rsid w:val="00D71F1E"/>
    <w:rsid w:val="00D73638"/>
    <w:rsid w:val="00D74301"/>
    <w:rsid w:val="00D80EE1"/>
    <w:rsid w:val="00D9251B"/>
    <w:rsid w:val="00DC6507"/>
    <w:rsid w:val="00E16634"/>
    <w:rsid w:val="00E23FF0"/>
    <w:rsid w:val="00E3375D"/>
    <w:rsid w:val="00E452D2"/>
    <w:rsid w:val="00E536D7"/>
    <w:rsid w:val="00E53C68"/>
    <w:rsid w:val="00E547E4"/>
    <w:rsid w:val="00E62616"/>
    <w:rsid w:val="00E800DE"/>
    <w:rsid w:val="00E87662"/>
    <w:rsid w:val="00E92847"/>
    <w:rsid w:val="00E94D79"/>
    <w:rsid w:val="00EC3785"/>
    <w:rsid w:val="00EC55C7"/>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tnu.com.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tnu.com.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plorier@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24E1-444E-470F-9B05-FCF9A898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3484</Words>
  <Characters>19167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4</cp:revision>
  <cp:lastPrinted>2018-07-27T17:36:00Z</cp:lastPrinted>
  <dcterms:created xsi:type="dcterms:W3CDTF">2018-07-27T17:24:00Z</dcterms:created>
  <dcterms:modified xsi:type="dcterms:W3CDTF">2018-08-10T18:20:00Z</dcterms:modified>
</cp:coreProperties>
</file>