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sz w:val="24"/>
          <w:szCs w:val="24"/>
          <w:lang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/>
      </w:r>
      <w:r/>
    </w:p>
    <w:p>
      <w:pPr>
        <w:pStyle w:val="Normal"/>
        <w:jc w:val="center"/>
      </w:pPr>
      <w:r>
        <w:rPr>
          <w:b/>
        </w:rPr>
        <w:t>PLIEGO DE CONDICIONES PARTICULARES CONTRATACIÓN DE SERVICIOS INFORMATICOS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sz w:val="24"/>
          <w:szCs w:val="24"/>
          <w:lang w:eastAsia="zh-CN" w:bidi="hi-IN"/>
        </w:rPr>
      </w:r>
      <w:r/>
    </w:p>
    <w:p>
      <w:pPr>
        <w:pStyle w:val="Normal"/>
        <w:jc w:val="center"/>
      </w:pPr>
      <w:r>
        <w:rPr>
          <w:b/>
          <w:sz w:val="24"/>
        </w:rPr>
        <w:t>MINISTERIO DE ECONOMIA Y FINANZAS</w:t>
      </w:r>
      <w:r/>
    </w:p>
    <w:p>
      <w:pPr>
        <w:pStyle w:val="Normal"/>
        <w:jc w:val="center"/>
      </w:pPr>
      <w:r>
        <w:rPr>
          <w:b/>
          <w:sz w:val="24"/>
        </w:rPr>
        <w:t>DIRECCION NACIONAL DE CATASTRO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Encabezado1"/>
        <w:numPr>
          <w:ilvl w:val="0"/>
          <w:numId w:val="1"/>
        </w:numPr>
        <w:shd w:val="clear" w:color="auto" w:themeColor="" w:themeTint="0" w:themeShade="0" w:fill="FFFFFF" w:themeFill="" w:themeFillTint="0" w:themeFillShade="0"/>
      </w:pPr>
      <w:r>
        <w:rPr>
          <w:color w:val="000000"/>
        </w:rPr>
        <w:t>Licitación Abreviada  Nº  2/2018</w:t>
      </w:r>
      <w:r/>
    </w:p>
    <w:p>
      <w:pPr>
        <w:pStyle w:val="Normal"/>
        <w:rPr>
          <w:sz w:val="24"/>
          <w:shd w:fill="000000" w:val="clear"/>
          <w:sz w:val="24"/>
          <w:szCs w:val="24"/>
          <w:rFonts w:ascii="Arial" w:hAnsi="Arial" w:eastAsia="SimSun" w:cs="Arial"/>
          <w:color w:val="000000"/>
          <w:lang w:val="es-UY" w:eastAsia="zh-CN" w:bidi="hi-IN"/>
        </w:rPr>
      </w:pPr>
      <w:r>
        <w:rPr>
          <w:rFonts w:eastAsia="SimSun" w:cs="Arial"/>
          <w:color w:val="000000"/>
          <w:sz w:val="24"/>
          <w:szCs w:val="24"/>
          <w:shd w:fill="000000" w:val="clear"/>
          <w:lang w:eastAsia="zh-CN" w:bidi="hi-IN"/>
        </w:rPr>
      </w:r>
      <w:r/>
    </w:p>
    <w:p>
      <w:pPr>
        <w:pStyle w:val="Normal"/>
        <w:rPr>
          <w:sz w:val="24"/>
          <w:i/>
          <w:b/>
          <w:shd w:fill="000000" w:val="clear"/>
          <w:sz w:val="24"/>
          <w:i/>
          <w:b/>
          <w:szCs w:val="22"/>
          <w:rFonts w:ascii="Arial" w:hAnsi="Arial" w:eastAsia="SimSun" w:cs="Arial"/>
          <w:color w:val="000000"/>
          <w:lang w:val="es-ES" w:eastAsia="zh-CN" w:bidi="hi-IN"/>
        </w:rPr>
      </w:pPr>
      <w:r>
        <w:rPr>
          <w:rFonts w:eastAsia="SimSun" w:cs="Arial"/>
          <w:b/>
          <w:i/>
          <w:color w:val="000000"/>
          <w:sz w:val="24"/>
          <w:szCs w:val="22"/>
          <w:shd w:fill="000000" w:val="clear"/>
          <w:lang w:val="es-ES" w:eastAsia="zh-CN" w:bidi="hi-IN"/>
        </w:rPr>
      </w:r>
      <w:r/>
    </w:p>
    <w:p>
      <w:pPr>
        <w:pStyle w:val="Normal"/>
        <w:jc w:val="both"/>
      </w:pPr>
      <w:r>
        <w:rPr>
          <w:b/>
          <w:i/>
          <w:szCs w:val="22"/>
          <w:lang w:val="es-ES"/>
        </w:rPr>
        <w:t>1)      RECEPCIÓN DE PROPUESTAS.-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szCs w:val="22"/>
          <w:lang w:val="es-ES"/>
        </w:rPr>
        <w:tab/>
      </w:r>
      <w:r>
        <w:rPr>
          <w:b/>
          <w:sz w:val="24"/>
          <w:lang w:val="es-ES"/>
        </w:rPr>
        <w:t>FECHA: HASTA EL DÍA 20</w:t>
      </w:r>
      <w:r>
        <w:rPr>
          <w:b/>
          <w:color w:val="000000"/>
          <w:sz w:val="24"/>
          <w:lang w:val="es-ES"/>
        </w:rPr>
        <w:t>/6/2018</w:t>
      </w:r>
      <w:r/>
    </w:p>
    <w:p>
      <w:pPr>
        <w:pStyle w:val="Normal"/>
        <w:jc w:val="both"/>
      </w:pPr>
      <w:r>
        <w:rPr>
          <w:b/>
          <w:sz w:val="24"/>
          <w:lang w:val="es-ES"/>
        </w:rPr>
        <w:tab/>
        <w:t>HORA: HASTA LAS 14 HORAS</w:t>
      </w:r>
      <w:r/>
    </w:p>
    <w:p>
      <w:pPr>
        <w:pStyle w:val="Normal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sz w:val="24"/>
          <w:szCs w:val="24"/>
          <w:lang w:val="es-ES" w:eastAsia="zh-CN" w:bidi="hi-IN"/>
        </w:rPr>
      </w:r>
      <w:r/>
    </w:p>
    <w:p>
      <w:pPr>
        <w:pStyle w:val="Normal"/>
        <w:jc w:val="both"/>
        <w:rPr>
          <w:u w:val="single"/>
          <w:b/>
          <w:b/>
          <w:szCs w:val="22"/>
          <w:lang w:val="es-ES"/>
        </w:rPr>
      </w:pPr>
      <w:r>
        <w:rPr>
          <w:b/>
          <w:szCs w:val="22"/>
          <w:lang w:val="es-ES"/>
        </w:rPr>
        <w:tab/>
      </w:r>
      <w:r>
        <w:rPr>
          <w:b/>
          <w:sz w:val="24"/>
          <w:lang w:val="es-ES"/>
        </w:rPr>
        <w:t>LUGAR</w:t>
      </w:r>
      <w:r>
        <w:rPr>
          <w:b/>
          <w:szCs w:val="22"/>
          <w:lang w:val="es-ES"/>
        </w:rPr>
        <w:t xml:space="preserve">: Página web del Sistema de Compras Estatales </w:t>
        <w:tab/>
        <w:tab/>
        <w:tab/>
        <w:tab/>
        <w:t xml:space="preserve"> </w:t>
        <w:tab/>
        <w:t xml:space="preserve">     </w:t>
      </w:r>
      <w:hyperlink r:id="rId2">
        <w:r>
          <w:rPr>
            <w:rStyle w:val="EnlacedeInternet"/>
            <w:b/>
            <w:szCs w:val="22"/>
            <w:lang w:val="es-ES"/>
          </w:rPr>
          <w:t>www.comprasestatales.gub.uy</w:t>
        </w:r>
      </w:hyperlink>
      <w:r/>
    </w:p>
    <w:p>
      <w:pPr>
        <w:pStyle w:val="Normal"/>
        <w:ind w:left="851" w:hanging="851"/>
        <w:jc w:val="both"/>
        <w:rPr>
          <w:sz w:val="24"/>
          <w:u w:val="single"/>
          <w:b/>
          <w:sz w:val="24"/>
          <w:b/>
          <w:szCs w:val="22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sz w:val="24"/>
          <w:szCs w:val="22"/>
          <w:u w:val="single"/>
          <w:lang w:val="es-ES" w:eastAsia="zh-CN" w:bidi="hi-IN"/>
        </w:rPr>
      </w:r>
      <w:r/>
    </w:p>
    <w:p>
      <w:pPr>
        <w:pStyle w:val="Normal"/>
        <w:jc w:val="both"/>
      </w:pPr>
      <w:r>
        <w:rPr>
          <w:b/>
          <w:i/>
          <w:szCs w:val="22"/>
          <w:lang w:val="es-ES"/>
        </w:rPr>
        <w:tab/>
      </w:r>
      <w:r/>
    </w:p>
    <w:p>
      <w:pPr>
        <w:pStyle w:val="Normal"/>
        <w:jc w:val="both"/>
        <w:rPr>
          <w:i/>
          <w:b/>
          <w:i/>
          <w:b/>
          <w:szCs w:val="22"/>
          <w:lang w:val="es-ES"/>
        </w:rPr>
      </w:pPr>
      <w:r>
        <w:rPr/>
      </w:r>
      <w:r/>
    </w:p>
    <w:p>
      <w:pPr>
        <w:pStyle w:val="Normal"/>
        <w:jc w:val="both"/>
      </w:pPr>
      <w:r>
        <w:rPr>
          <w:b/>
          <w:i/>
          <w:szCs w:val="22"/>
          <w:lang w:val="es-ES"/>
        </w:rPr>
        <w:t>NO SE RECIBEN OFERTAS VIA FAX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i/>
          <w:sz w:val="24"/>
          <w:szCs w:val="22"/>
          <w:lang w:val="es-ES"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i/>
          <w:sz w:val="24"/>
          <w:szCs w:val="22"/>
          <w:lang w:val="es-ES"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i/>
          <w:sz w:val="24"/>
          <w:szCs w:val="22"/>
          <w:lang w:val="es-ES"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2)      OBJETO DE LA LICITACION</w:t>
      </w:r>
      <w:r/>
    </w:p>
    <w:p>
      <w:pPr>
        <w:pStyle w:val="Normal"/>
        <w:ind w:left="708" w:hanging="0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Cuerpodetexto"/>
      </w:pPr>
      <w:r>
        <w:rPr>
          <w:szCs w:val="22"/>
        </w:rPr>
        <w:tab/>
        <w:t xml:space="preserve">Llámase a Licitación Abreviada para la contratación de servicio de mantenimiento </w:t>
      </w:r>
      <w:r>
        <w:rPr>
          <w:szCs w:val="22"/>
          <w:lang w:val="es-UY"/>
        </w:rPr>
        <w:t xml:space="preserve">correctivo, evolutivo y adaptativo </w:t>
      </w:r>
      <w:r>
        <w:rPr>
          <w:lang w:val="es-UY"/>
        </w:rPr>
        <w:t>al aplicativo web para la Declaración Jurada de Caracterización Urbana (DJCU) incluido en la Sede Electrónica de la Dirección Nacional de Catastro.</w:t>
      </w:r>
      <w:r/>
    </w:p>
    <w:p>
      <w:pPr>
        <w:pStyle w:val="Cuerpodetexto"/>
        <w:rPr>
          <w:sz w:val="24"/>
          <w:sz w:val="24"/>
          <w:szCs w:val="24"/>
          <w:rFonts w:ascii="Arial" w:hAnsi="Arial" w:eastAsia="SimSun" w:cs="Arial"/>
          <w:color w:val="00000A"/>
          <w:lang w:val="es-ES" w:eastAsia="zh-CN" w:bidi="hi-IN"/>
        </w:rPr>
      </w:pPr>
      <w:r>
        <w:rPr/>
      </w:r>
      <w:r/>
    </w:p>
    <w:p>
      <w:pPr>
        <w:pStyle w:val="Normal"/>
        <w:jc w:val="both"/>
      </w:pPr>
      <w:r>
        <w:rPr>
          <w:b/>
          <w:i/>
        </w:rPr>
        <w:t>3)      CONSULTAS, ACLARACIONES Y PRORROGAS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2"/>
          <w:lang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jc w:val="both"/>
      </w:pPr>
      <w:r>
        <w:rPr>
          <w:rFonts w:eastAsia="Arial"/>
          <w:szCs w:val="22"/>
        </w:rPr>
        <w:tab/>
      </w:r>
      <w:r>
        <w:rPr>
          <w:szCs w:val="22"/>
        </w:rPr>
        <w:t xml:space="preserve">Las consultas y aclaraciones sobre el Pliego podrán efectuarse exclusivamente a la casilla </w:t>
      </w:r>
      <w:r>
        <w:rPr>
          <w:b/>
          <w:bCs/>
          <w:szCs w:val="22"/>
        </w:rPr>
        <w:t>informatica@catastro.gub.uy</w:t>
      </w:r>
      <w:r>
        <w:rPr>
          <w:szCs w:val="22"/>
        </w:rPr>
        <w:t xml:space="preserve">  hasta las 14:00 horas del </w:t>
      </w:r>
      <w:r>
        <w:rPr>
          <w:b/>
          <w:bCs/>
          <w:szCs w:val="22"/>
        </w:rPr>
        <w:t xml:space="preserve">15/6/2018. </w:t>
      </w:r>
      <w:r/>
    </w:p>
    <w:p>
      <w:pPr>
        <w:pStyle w:val="Normal"/>
        <w:jc w:val="both"/>
        <w:rPr>
          <w:sz w:val="24"/>
          <w:sz w:val="24"/>
          <w:szCs w:val="22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2"/>
          <w:lang w:eastAsia="zh-CN" w:bidi="hi-IN"/>
        </w:rPr>
      </w:r>
      <w:r/>
    </w:p>
    <w:p>
      <w:pPr>
        <w:pStyle w:val="Normal"/>
        <w:jc w:val="both"/>
      </w:pPr>
      <w:r>
        <w:rPr>
          <w:szCs w:val="22"/>
        </w:rPr>
        <w:tab/>
        <w:t xml:space="preserve">Cualquier adquirente podrá pedir prórroga para la apertura de las ofertas; la misma se solicitará por escrito ante la Dirección Nacional de Catastro hasta el día </w:t>
      </w:r>
      <w:r>
        <w:rPr>
          <w:b/>
          <w:bCs/>
          <w:szCs w:val="22"/>
        </w:rPr>
        <w:t>15/6/2018</w:t>
      </w:r>
      <w:r>
        <w:rPr>
          <w:szCs w:val="22"/>
        </w:rPr>
        <w:t xml:space="preserve"> a las 14:00 horas.-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>
        <w:br w:type="page"/>
      </w:r>
      <w:r/>
    </w:p>
    <w:p>
      <w:pPr>
        <w:pStyle w:val="Normal"/>
        <w:jc w:val="both"/>
      </w:pPr>
      <w:r>
        <w:rPr>
          <w:b/>
          <w:i/>
        </w:rPr>
        <w:t>4)      PROPUESTA</w:t>
      </w:r>
      <w:r/>
    </w:p>
    <w:p>
      <w:pPr>
        <w:pStyle w:val="Normal"/>
        <w:jc w:val="both"/>
      </w:pPr>
      <w:r>
        <w:rPr>
          <w:rFonts w:eastAsia="Arial"/>
          <w:sz w:val="24"/>
        </w:rPr>
        <w:t xml:space="preserve">  </w:t>
      </w:r>
      <w:r/>
    </w:p>
    <w:p>
      <w:pPr>
        <w:pStyle w:val="Normal"/>
        <w:jc w:val="both"/>
      </w:pPr>
      <w:r>
        <w:rPr>
          <w:rFonts w:eastAsia="Arial"/>
          <w:b/>
          <w:sz w:val="28"/>
          <w:szCs w:val="28"/>
          <w:lang w:val="es-ES"/>
        </w:rPr>
        <w:t xml:space="preserve">    </w:t>
      </w:r>
      <w:r>
        <w:rPr>
          <w:rFonts w:eastAsia="Arial"/>
          <w:b/>
          <w:sz w:val="26"/>
          <w:szCs w:val="26"/>
          <w:lang w:val="es-ES"/>
        </w:rPr>
        <w:t xml:space="preserve">     </w:t>
      </w:r>
      <w:r>
        <w:rPr>
          <w:b/>
          <w:szCs w:val="22"/>
          <w:lang w:val="es-ES"/>
        </w:rPr>
        <w:t xml:space="preserve">Las ofertas deberán presentarse únicamente vía web a través  del Sistema de Compras Estatales: </w:t>
      </w:r>
      <w:hyperlink r:id="rId3">
        <w:r>
          <w:rPr>
            <w:rStyle w:val="EnlacedeInternet"/>
            <w:b/>
            <w:szCs w:val="22"/>
            <w:lang w:val="es-ES"/>
          </w:rPr>
          <w:t>www.comprasestatales.gub.uy</w:t>
        </w:r>
      </w:hyperlink>
      <w:r>
        <w:rPr>
          <w:b/>
          <w:szCs w:val="22"/>
          <w:lang w:val="es-ES"/>
        </w:rPr>
        <w:t xml:space="preserve"> debiendo subir archivo con  información pertinente.</w:t>
      </w:r>
      <w:r/>
    </w:p>
    <w:p>
      <w:pPr>
        <w:pStyle w:val="Normal"/>
        <w:jc w:val="both"/>
        <w:rPr>
          <w:sz w:val="24"/>
          <w:b/>
          <w:sz w:val="24"/>
          <w:b/>
          <w:szCs w:val="22"/>
          <w:rFonts w:ascii="Arial" w:hAnsi="Arial" w:eastAsia="SimSun" w:cs="Arial"/>
          <w:color w:val="00000A"/>
          <w:lang w:val="es-ES" w:eastAsia="zh-CN" w:bidi="hi-IN"/>
        </w:rPr>
      </w:pPr>
      <w:r>
        <w:rPr>
          <w:rFonts w:eastAsia="SimSun" w:cs="Arial"/>
          <w:b/>
          <w:sz w:val="24"/>
          <w:szCs w:val="22"/>
          <w:lang w:val="es-ES" w:eastAsia="zh-CN" w:bidi="hi-IN"/>
        </w:rPr>
      </w:r>
      <w:r/>
    </w:p>
    <w:p>
      <w:pPr>
        <w:pStyle w:val="Normal"/>
        <w:jc w:val="both"/>
      </w:pPr>
      <w:r>
        <w:rPr>
          <w:b/>
          <w:i/>
          <w:szCs w:val="22"/>
          <w:lang w:val="es-ES"/>
        </w:rPr>
        <w:tab/>
        <w:t>A efectos de la adjudicación, el oferente que resulte seleccionado, deberá haber adquirido el estado de “ACTIVO” en el RUPE.-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2"/>
          <w:rFonts w:ascii="Arial" w:hAnsi="Arial" w:eastAsia="SimSun" w:cs="Arial"/>
          <w:color w:val="00000A"/>
          <w:lang w:val="es-MX" w:eastAsia="zh-CN" w:bidi="hi-IN"/>
        </w:rPr>
      </w:pPr>
      <w:r>
        <w:rPr>
          <w:rFonts w:eastAsia="SimSun" w:cs="Arial"/>
          <w:b/>
          <w:i/>
          <w:sz w:val="24"/>
          <w:szCs w:val="22"/>
          <w:lang w:val="es-MX" w:eastAsia="zh-CN" w:bidi="hi-IN"/>
        </w:rPr>
      </w:r>
      <w:r/>
    </w:p>
    <w:p>
      <w:pPr>
        <w:pStyle w:val="Normal"/>
        <w:ind w:left="142" w:hanging="0"/>
        <w:jc w:val="both"/>
      </w:pPr>
      <w:r>
        <w:rPr>
          <w:szCs w:val="22"/>
          <w:lang w:val="es-MX"/>
        </w:rPr>
        <w:tab/>
        <w:t>Toda cláusula imprecisa, ambigua, contradictoria u oscura a criterio de la Administración, se interpretará en el sentido más favorable a ésta.</w:t>
      </w:r>
      <w:r/>
    </w:p>
    <w:p>
      <w:pPr>
        <w:pStyle w:val="Cuerpodetexto"/>
        <w:ind w:firstLine="708"/>
        <w:rPr>
          <w:sz w:val="24"/>
          <w:sz w:val="24"/>
          <w:szCs w:val="22"/>
          <w:rFonts w:ascii="Arial" w:hAnsi="Arial" w:eastAsia="SimSun" w:cs="Arial"/>
          <w:color w:val="00000A"/>
          <w:lang w:val="es-MX" w:eastAsia="zh-CN" w:bidi="hi-IN"/>
        </w:rPr>
      </w:pPr>
      <w:r>
        <w:rPr>
          <w:rFonts w:eastAsia="SimSun" w:cs="Arial"/>
          <w:sz w:val="24"/>
          <w:szCs w:val="22"/>
          <w:lang w:val="es-MX"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5)      CARACTERÍSTICAS TÉCNICAS Y DE  CALIDAD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Los servicios ofrecidos deben cumplir con las características expresadas en los Anexos.-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6)      VALOR DE LA INFORMACIÓN TÉCNICA PRESENTADA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/>
        <w:tab/>
        <w:t>Todos los datos indicados por el proponente referidos a los elementos contenidos en la oferta,</w:t>
      </w:r>
      <w:r>
        <w:rPr>
          <w:b/>
        </w:rPr>
        <w:t xml:space="preserve"> tendrán</w:t>
      </w:r>
      <w:r>
        <w:rPr/>
        <w:t xml:space="preserve"> </w:t>
      </w:r>
      <w:r>
        <w:rPr>
          <w:b/>
        </w:rPr>
        <w:t>carácter de compromiso.</w:t>
      </w:r>
      <w:r>
        <w:rPr/>
        <w:t xml:space="preserve">  Si se verifica</w:t>
      </w:r>
      <w:r>
        <w:rPr>
          <w:b/>
          <w:i/>
        </w:rPr>
        <w:t xml:space="preserve"> </w:t>
      </w:r>
      <w:r>
        <w:rPr/>
        <w:t>que no responden estrictamente a lo establecido en la propuesta, la Administración podrá rechazarlos de plano, rescindiendo el contrato respectivo sin que ello dé lugar a reclamación de clase alguna.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7)      COTIZACIÓN DE LA PROPUESTA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rFonts w:eastAsia="Arial"/>
        </w:rPr>
        <w:t xml:space="preserve"> </w:t>
      </w:r>
      <w:r>
        <w:rPr/>
        <w:tab/>
        <w:t>Los precios cotizados deberán ser referidos a la base de mes de compra y treinta días ( Decreto 342/99, art.11).- y en moneda nacional (pesos uruguayos)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Las ofertas deberán expresar el monto de la oferta y los impuestos correspondientes.  En caso de que esta información no surja de la propuesta, se considerará que el precio cotizado comprende todos los impuestos.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8)      PLAZO DE MANTENIMIENTO DE LAS PROPUESTAS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Las ofertas serán válidas y obligarán al oferente por el término de 45 (cuarenta y cinco)  días, a contar desde el día siguiente al de la apertura de las mismas, a menos que, antes de expirar dicho plazo la Administración ya se hubiera expedido respecto a ellas.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El vencimiento del plazo establecido precedentemente no liberará al oferente, a no ser que medie notificación escrita a la Administración manifestando su decisión de retirar la oferta  y falta de pronunciamiento de esta última en el término de diez días hábiles perentorios.</w:t>
        <w:tab/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 xml:space="preserve">9) </w:t>
        <w:tab/>
        <w:t>COMPARACIÓN DE LAS OFERTAS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color w:val="000000"/>
          <w:shd w:fill="FFFFFF" w:val="clear"/>
        </w:rPr>
        <w:tab/>
        <w:t>Los criterios que utilizará la Administración a efectos de comparar las ofertas serán los siguientes</w:t>
      </w:r>
      <w:r/>
    </w:p>
    <w:p>
      <w:pPr>
        <w:pStyle w:val="Normal"/>
        <w:jc w:val="both"/>
      </w:pPr>
      <w:r>
        <w:rPr>
          <w:color w:val="000000"/>
          <w:shd w:fill="FFFFFF" w:val="clear"/>
        </w:rPr>
        <w:t>:</w:t>
      </w:r>
      <w:r/>
    </w:p>
    <w:p>
      <w:pPr>
        <w:pStyle w:val="Normal"/>
        <w:jc w:val="both"/>
        <w:rPr>
          <w:sz w:val="24"/>
          <w:shd w:fill="FFFFFF" w:val="clear"/>
          <w:sz w:val="24"/>
          <w:szCs w:val="24"/>
          <w:rFonts w:ascii="Arial" w:hAnsi="Arial" w:eastAsia="SimSun" w:cs="Arial"/>
          <w:color w:val="000000"/>
          <w:lang w:val="es-UY" w:eastAsia="zh-CN" w:bidi="hi-IN"/>
        </w:rPr>
      </w:pPr>
      <w:r>
        <w:rPr>
          <w:rFonts w:eastAsia="SimSun" w:cs="Arial"/>
          <w:color w:val="000000"/>
          <w:sz w:val="24"/>
          <w:szCs w:val="24"/>
          <w:shd w:fill="FFFFFF" w:val="clear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Antecedentes de la firma (máximo 10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Antecedentes de la firma por servicios  similares en el Estado (máximo 10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Dotación y calificación del personal asignado (máximo 15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Metodologías aplicadas para llevar adelante el encargo (máximo 15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Conocimiento en materia catastral  (máximo 20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Dominio de la tecnología involucrada  (máximo 15 puntos)</w:t>
      </w:r>
      <w:r/>
    </w:p>
    <w:p>
      <w:pPr>
        <w:pStyle w:val="Normal"/>
        <w:numPr>
          <w:ilvl w:val="0"/>
          <w:numId w:val="4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Precio  (máximo 15 puntos)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shd w:fill="FFFF00" w:val="clear"/>
          <w:lang w:eastAsia="zh-CN" w:bidi="hi-IN"/>
        </w:rPr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shd w:fill="FFFF00" w:val="clear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La información para la evaluación técnica será obtenida de las ofertas, pudiéndose en caso de dudas, solicitar datos accesorios, quedando su costo a cargo del oferente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ab/>
      </w:r>
      <w:r>
        <w:rPr/>
        <w:t>Cuando sea pertinente, la Administración podrá utilizar los mecanismos de Mejora de Ofertas o Negociación, de acuerdo a lo previsto por el art. 66 del TOCAF (Dec 150/012 de 11/5/2012.-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 xml:space="preserve">10)     PLAZO  </w:t>
      </w:r>
      <w:r/>
    </w:p>
    <w:p>
      <w:pPr>
        <w:pStyle w:val="Textoindependiente21"/>
      </w:pPr>
      <w:r>
        <w:rPr>
          <w:rFonts w:eastAsia="Arial"/>
          <w:i w:val="false"/>
        </w:rPr>
        <w:t xml:space="preserve">           </w:t>
      </w:r>
      <w:r>
        <w:rPr>
          <w:i w:val="false"/>
        </w:rPr>
        <w:t>Desde el 1º de julio de 2018 hasta el 30 de abril de 2019.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11)     ADJUDICACIÓN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La Administración se reserva el derecho de adjudicar la licitación a la o las ofertas que considere más convenientes para sus intereses, y también de rechazar a su exclusivo juicio, la totalidad de las ofertas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12)    GARANTIA</w:t>
      </w:r>
      <w:r/>
    </w:p>
    <w:p>
      <w:pPr>
        <w:pStyle w:val="Normal"/>
        <w:ind w:left="360" w:hanging="0"/>
        <w:jc w:val="both"/>
      </w:pPr>
      <w:r>
        <w:rPr>
          <w:rFonts w:eastAsia="Arial"/>
        </w:rPr>
        <w:t xml:space="preserve">  </w:t>
      </w:r>
      <w:r/>
    </w:p>
    <w:p>
      <w:pPr>
        <w:pStyle w:val="Normal"/>
        <w:jc w:val="both"/>
      </w:pPr>
      <w:r>
        <w:rPr>
          <w:szCs w:val="22"/>
        </w:rPr>
        <w:t>No se exigirán garantías de mantenimiento de ofertas por aquellas inferiores al tope de la Licitación Abreviada establecido en el numeral 1 del artículo 33 del T.O.C.A.F.-</w:t>
      </w:r>
      <w:r/>
    </w:p>
    <w:p>
      <w:pPr>
        <w:pStyle w:val="Normal"/>
        <w:jc w:val="both"/>
      </w:pPr>
      <w:r>
        <w:rPr>
          <w:szCs w:val="22"/>
        </w:rPr>
        <w:t>Con relación a garantía de fiel cumplimiento de contrato se estará a lo que surja del artículo 64 del T.O.C.A.F.-.</w:t>
      </w:r>
      <w:r/>
    </w:p>
    <w:p>
      <w:pPr>
        <w:pStyle w:val="Normal"/>
        <w:jc w:val="both"/>
        <w:rPr>
          <w:sz w:val="24"/>
          <w:sz w:val="24"/>
          <w:szCs w:val="22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2"/>
          <w:lang w:eastAsia="zh-CN" w:bidi="hi-IN"/>
        </w:rPr>
      </w:r>
      <w:r/>
    </w:p>
    <w:p>
      <w:pPr>
        <w:pStyle w:val="Normal"/>
        <w:ind w:left="360" w:hanging="0"/>
        <w:jc w:val="both"/>
        <w:rPr>
          <w:sz w:val="24"/>
          <w:sz w:val="24"/>
          <w:szCs w:val="22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2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13)   PLAZO Y CUMPLIMIENTO DEL SERVICIO</w:t>
      </w:r>
      <w:r/>
    </w:p>
    <w:p>
      <w:pPr>
        <w:pStyle w:val="Normal"/>
        <w:ind w:left="360" w:hanging="0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Una vez contratado el servicio, la empresa adjudicataria dispondrá de 30 días hábiles para operar en todos los aspectos que refieren al presente llamado, a entera satisfacción de esta Unidad Ejecutora.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En dicho lapso, la empresa deberá poner todo el personal y medios que garanticen dicho extremo, considerando además que el servicio no puede interrumpirse y por su parte, la Dirección Nacional de Catastro garantiza poner a su disposición todo el asesoramiento requerido a tal fin.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La Empresa adjudicataria deberá firmar un Compromiso de Confidencialidad previo al inicio del Contrato.-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ind w:firstLine="708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14)    AJUSTE DE PRECIOS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Sangra3detindependiente2"/>
      </w:pPr>
      <w:r>
        <w:rPr>
          <w:b w:val="false"/>
        </w:rPr>
        <w:t>Las ofertas pueden incluir un ajuste del precio de los servicios que se contratan por medio de una formula paramétrica de aplicación trimestral, de acuerdo a lo establecido en el Pliego General cuya aplicación no supere la siguiente ecuación:</w:t>
      </w:r>
      <w:r/>
    </w:p>
    <w:p>
      <w:pPr>
        <w:pStyle w:val="Sangra3detindependiente2"/>
        <w:ind w:hanging="0"/>
      </w:pPr>
      <w:r>
        <w:rPr>
          <w:b w:val="false"/>
        </w:rPr>
        <w:t>70 % Variación salarial según Consejo de Salarios del grupo  19 subgrupo 22 y 30% por variación  IPC</w:t>
      </w:r>
      <w:r/>
    </w:p>
    <w:p>
      <w:pPr>
        <w:pStyle w:val="Sangra3detindependiente2"/>
        <w:rPr>
          <w:sz w:val="24"/>
          <w:b w:val="false"/>
          <w:sz w:val="24"/>
          <w:b w:val="false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 w:val="false"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15)    CONFORMIDAD CON EL SERVICIO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ind w:firstLine="708"/>
        <w:jc w:val="both"/>
      </w:pPr>
      <w:r>
        <w:rPr/>
        <w:t xml:space="preserve">Los servicios prestados serán supervisados por el </w:t>
      </w:r>
      <w:r>
        <w:rPr>
          <w:shd w:fill="FFFFFF" w:val="clear"/>
        </w:rPr>
        <w:t>profesional responsable del Departamento de Informática, quien dará mensualmente su conformidad por escrito,</w:t>
      </w:r>
      <w:r>
        <w:rPr/>
        <w:t xml:space="preserve"> pudiendo realizar observaciones a los mismos si a su juicio entiende que no se ajustan a lo pactado.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En caso de que algún aspecto del servicio no se adecue a lo establecido, el proveedor, a su costo y dentro del plazo de 10 días de su notificación deberá corregirlo, no dándose trámite a conformidad alguna hasta que no se haya cumplido la exigencia precedente, sin perjuicio de la aplicación de las multas correspondientes.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Si vencido dicho plazo el proveedor no hubiese dado cumplimiento a lo solicitado, ni justificado a satisfacción de la Administración la demora originada, dará merito para la tipificación de incumplimiento y posibilidad de dejar sin efecto el contrato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16)    MULTAS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>La falta de cumplimiento en los plazos y condiciones estipuladas que obedezcan a causas imputables al adjudicatario, generará una multa de  1% por cada día de retraso, calculado sobre el monto del contrato no cumplido en tiempo y forma. Excedido 30 días, la Administración podrá declarar rescindido el contrato, con la consiguiente pérdida de la garantía.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17)    NORMATIVA APLICABLE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Cuerpodetexto"/>
      </w:pPr>
      <w:r>
        <w:rPr/>
        <w:tab/>
        <w:t>Esta contratación se enmarca, en lo pertinente, en lo dispuesto por las siguientes normas: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El T.O.C.A.F. (Dec. 150 /012 de 12/05/2012).-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</w:pPr>
      <w:r>
        <w:rPr>
          <w:shd w:fill="FFFFFF" w:val="clear"/>
        </w:rPr>
        <w:t>El art 8º. de la Ley 16.134 de 24/9/990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El Decreto 53/993 de 28/1/983</w:t>
      </w:r>
      <w:r/>
    </w:p>
    <w:p>
      <w:pPr>
        <w:pStyle w:val="Cuerpodetexto"/>
      </w:pPr>
      <w:r>
        <w:rPr/>
        <w:t>d)   El Decreto 342/999 de 26/10/999 (Registro Gral. De Proveedores del Estado SIIF)</w:t>
      </w:r>
      <w:r/>
    </w:p>
    <w:p>
      <w:pPr>
        <w:pStyle w:val="Lista"/>
      </w:pPr>
      <w:r>
        <w:rPr>
          <w:lang w:val="es-UY"/>
        </w:rPr>
        <w:t>e)   Normas Concordantes y Modificativas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jc w:val="both"/>
      </w:pPr>
      <w:r>
        <w:rPr>
          <w:b/>
          <w:i/>
        </w:rPr>
        <w:t>18)    EXENCIÓN  DE RESPONSABILIDAD</w:t>
      </w:r>
      <w:r/>
    </w:p>
    <w:p>
      <w:pPr>
        <w:pStyle w:val="Normal"/>
        <w:jc w:val="both"/>
        <w:rPr>
          <w:sz w:val="24"/>
          <w:i/>
          <w:b/>
          <w:sz w:val="24"/>
          <w:i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i/>
          <w:sz w:val="24"/>
          <w:szCs w:val="24"/>
          <w:lang w:eastAsia="zh-CN" w:bidi="hi-IN"/>
        </w:rPr>
      </w:r>
      <w:r/>
    </w:p>
    <w:p>
      <w:pPr>
        <w:pStyle w:val="Normal"/>
        <w:tabs>
          <w:tab w:val="left" w:pos="284" w:leader="none"/>
        </w:tabs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ab/>
        <w:tab/>
        <w:t>La Administración podrá desistir del llamado en cualquier etapa de su realización, o podrá desestimar todas las ofertas. Ninguna de estas decisiones generará derecho alguno de los participantes a reclamar por gastos, honorarios o indemnizaciones por daños y perjuicios.</w:t>
      </w:r>
      <w:r/>
    </w:p>
    <w:p>
      <w:pPr>
        <w:pStyle w:val="Normal"/>
        <w:tabs>
          <w:tab w:val="left" w:pos="284" w:leader="none"/>
        </w:tabs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b/>
          <w:sz w:val="24"/>
        </w:rPr>
        <w:t xml:space="preserve">19)    </w:t>
      </w:r>
      <w:r>
        <w:rPr>
          <w:b/>
          <w:i/>
          <w:iCs/>
        </w:rPr>
        <w:t>COSTO DEL PLIEGO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b/>
          <w:sz w:val="24"/>
          <w:szCs w:val="24"/>
          <w:lang w:eastAsia="zh-CN" w:bidi="hi-IN"/>
        </w:rPr>
      </w:r>
      <w:r/>
    </w:p>
    <w:p>
      <w:pPr>
        <w:pStyle w:val="Normal"/>
      </w:pPr>
      <w:r>
        <w:rPr>
          <w:rFonts w:eastAsia="Arial"/>
        </w:rPr>
        <w:t xml:space="preserve">           </w:t>
      </w:r>
      <w:r>
        <w:rPr/>
        <w:t>El  Pliego Particular y Anexos  no tienen costo.-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Ttulo1"/>
      </w:pPr>
      <w:r>
        <w:rPr/>
      </w:r>
      <w:r>
        <w:br w:type="page"/>
      </w:r>
      <w:r/>
    </w:p>
    <w:p>
      <w:pPr>
        <w:pStyle w:val="Ttulo1"/>
      </w:pPr>
      <w:r>
        <w:rPr>
          <w:rFonts w:eastAsia="Arial"/>
          <w:b w:val="false"/>
          <w:bCs w:val="false"/>
        </w:rPr>
        <w:t xml:space="preserve">    </w:t>
      </w:r>
      <w:r/>
    </w:p>
    <w:p>
      <w:pPr>
        <w:pStyle w:val="Ttulo1"/>
        <w:rPr>
          <w:sz w:val="24"/>
          <w:b/>
          <w:sz w:val="24"/>
          <w:b/>
          <w:szCs w:val="36"/>
          <w:bCs/>
          <w:rFonts w:ascii="Arial" w:hAnsi="Arial" w:eastAsia="SimSun" w:cs="Arial"/>
          <w:color w:val="00000A"/>
          <w:lang w:val="es-UY" w:eastAsia="zh-CN" w:bidi="hi-IN"/>
        </w:rPr>
      </w:pPr>
      <w:r>
        <w:rPr/>
      </w:r>
      <w:r/>
    </w:p>
    <w:p>
      <w:pPr>
        <w:pStyle w:val="Ttulo1"/>
      </w:pPr>
      <w:r>
        <w:rPr>
          <w:rFonts w:eastAsia="Arial"/>
          <w:b w:val="false"/>
          <w:bCs w:val="false"/>
        </w:rPr>
        <w:t xml:space="preserve"> </w:t>
      </w:r>
      <w:r>
        <w:rPr>
          <w:rFonts w:eastAsia="Arial"/>
          <w:b w:val="false"/>
          <w:bCs w:val="false"/>
          <w:sz w:val="22"/>
          <w:szCs w:val="22"/>
        </w:rPr>
        <w:t xml:space="preserve">  </w:t>
      </w:r>
      <w:r>
        <w:rPr>
          <w:rFonts w:eastAsia="Arial"/>
          <w:b w:val="false"/>
          <w:bCs w:val="false"/>
          <w:sz w:val="22"/>
          <w:szCs w:val="22"/>
        </w:rPr>
        <w:t>Licitación Abreviada 2/2018  - Anexo I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/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/>
      </w:r>
      <w:r/>
    </w:p>
    <w:p>
      <w:pPr>
        <w:pStyle w:val="Normal"/>
      </w:pPr>
      <w:r>
        <w:rPr>
          <w:u w:val="single"/>
        </w:rPr>
        <w:t>Antecedentes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u w:val="single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La Sede Electrónica de la Dirección Nacional de Catastro (http://sede.catastro.gub.uy/Sede/) es la herramienta institucional implementada para brindar, en un mismo portal, todos los servicios informáticos provistos por el organismo, de una manera ágil, eficiente, segura y accesible todos los días del año, desde cualquier lugar.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La misma fue desarrollada sobre Apia 3.1.0.4 y se encuentra operativa desde el 23/11/2016. Contempla trámites y consultas de acceso libre, así como otros trámites que requieren registro previo de usuario, abarcando procesos implementados en Apia, así como otros trámites o servicios implementados con otras tecnologías. 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Desde el año en curso se ha incorporado como un componente muy importante de la Sede Electrónica de Catastro, a la Declaración Jurada de Caracterización Urbana (DJCU), cuya tramitación y pago de timbres profesionales es totalmente en línea e incluye el uso de firma electrónica avanzada por parte del profesional actuante. Dicha aplicación, implementada en el marco de un fondo concursable de Agesic, ha sido desarrollada en Genexus Evolution 3 con generador JAVA. A la fecha de este llamado, su uso ya es obligatorio para las declaraciones correspondientes a padrones de régimen común y con destino Otros Fines (compraventas, promesas, hipotecas), exclusivamente para los departamentos de Montevideo y Canelones,  </w:t>
      </w:r>
      <w:r/>
    </w:p>
    <w:p>
      <w:pPr>
        <w:pStyle w:val="Normal"/>
        <w:jc w:val="both"/>
        <w:rPr>
          <w:sz w:val="24"/>
          <w:shd w:fill="FFFF00" w:val="clear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shd w:fill="FFFF00" w:val="clear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Cabe señalar que la  Dirección Nacional de Catastro cuenta para la consecución del encargo: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con la última versión de la KB de la aplicación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con una Mesa de Ayuda para dar un primer nivel de soporte funcional e informático a los usuarios externos, 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con el respaldo de las áreas técnicas correspondientes, que desde hace más de un año vienen llevando a cabo pruebas funcionales así como la capacitación a otros funcionarios </w:t>
      </w:r>
      <w:r/>
    </w:p>
    <w:p>
      <w:pPr>
        <w:pStyle w:val="Normal"/>
        <w:numPr>
          <w:ilvl w:val="0"/>
          <w:numId w:val="3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con el respaldo del Departamento de Informática, que ha asignado personal técnico para la gestión y soporte de este proyecto.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u w:val="single"/>
        </w:rPr>
        <w:t>Objeto del llamado</w:t>
      </w:r>
      <w:r/>
    </w:p>
    <w:p>
      <w:pPr>
        <w:pStyle w:val="Normal"/>
        <w:jc w:val="both"/>
        <w:rPr>
          <w:sz w:val="24"/>
          <w:u w:val="single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u w:val="single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Proveer mantenimiento correctivo, evolutivo y adaptativo al aplicativo web para la Declaración Jurada de Caracterización Urbana (DJCU), asegurando su disponibilidad e integridad en todo momento.</w:t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</w:pPr>
      <w:r>
        <w:rPr/>
        <w:t>Se espera lo siguiente de parte del adjudicatario del llamado: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Atender las consultas que se le formulen en relación a la aplicación, por parte de la contraparte designada por la Dirección Nacional de Catastro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Corregir los defectos de la aplicación reportados por dicha contraparte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Analizar la viabilidad técnica de los cambios funcionales y no funcionales solicitados por la mencionada contraparte, estimando el esfuerzo necesario para su implementación,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Desarrollar los cambios solicitados formalmente por la mencionada contraparte, realizando las pruebas consiguientes, desplegando las versiones correspondientes, todo esto de acuerdo a un marco de trabajo a definir al inicio del proyecto.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Interactuar con el proveedor de Genexus u otros proveedores de software o servicios relacionados a la aplicación, cuando la situación lo amerite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Realizar las actividades de transferencia tecnológicas necesarias para llevar adelante el encargo y garantizar su sustentabilidad.</w:t>
      </w:r>
      <w:r/>
    </w:p>
    <w:p>
      <w:pPr>
        <w:pStyle w:val="Normal"/>
        <w:numPr>
          <w:ilvl w:val="0"/>
          <w:numId w:val="6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Actualizar debidamente la documentación correspondiente</w:t>
      </w:r>
      <w:r/>
    </w:p>
    <w:p>
      <w:pPr>
        <w:pStyle w:val="Normal"/>
        <w:ind w:left="720" w:hanging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es-UY" w:eastAsia="zh-CN" w:bidi="hi-IN"/>
        </w:rPr>
      </w:pPr>
      <w:r>
        <w:rPr>
          <w:rFonts w:eastAsia="SimSun" w:cs="Arial"/>
          <w:sz w:val="24"/>
          <w:szCs w:val="24"/>
          <w:lang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La propuesta a presentar para llevar adelante el encargo debe detallar al menos los siguientes aspectos: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Antecedentes de la firma.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Antecedentes en servicios similares en plaza. 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 xml:space="preserve">Propuesta económica y forma de facturación para un volumen de hasta 120 (ciento veinte) horas mensuales o 1.200 horas por el período julio 2018 – abril 2019. En caso de no haberse consumido íntegramente, el remanente se podrá utilizar a partir del 1º de mayo  hasta el 31 de julio de 2019. 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Dotación de personal con la cual se piensa llevar adelante el encargo, indicando para cada uno de los integrantes, su formación y experiencia profesional.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Metodología de gestión de incidentes sugerida considerando el entorno y el alcance señalado.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Metodología de desarrollo y testing sugeridas, considerando el entorno y el alcance señalado.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Metodología de transferencia tecnológica.</w:t>
      </w:r>
      <w:r/>
    </w:p>
    <w:p>
      <w:pPr>
        <w:pStyle w:val="Normal"/>
        <w:numPr>
          <w:ilvl w:val="0"/>
          <w:numId w:val="5"/>
        </w:numPr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/>
        <w:t>Tiempos de respuesta máximos a los pedidos de soporte efectuados.</w:t>
      </w:r>
      <w:r/>
    </w:p>
    <w:p>
      <w:pPr>
        <w:pStyle w:val="Normal"/>
      </w:pPr>
      <w:r>
        <w:rPr/>
      </w:r>
      <w:r/>
    </w:p>
    <w:sectPr>
      <w:headerReference w:type="default" r:id="rId4"/>
      <w:footerReference w:type="default" r:id="rId5"/>
      <w:type w:val="nextPage"/>
      <w:pgSz w:w="12240" w:h="15840"/>
      <w:pgMar w:left="1701" w:right="1359" w:header="420" w:top="1785" w:footer="397" w:bottom="11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</w:pPr>
    <w:r>
      <w:rPr>
        <w:sz w:val="16"/>
        <w:szCs w:val="16"/>
      </w:rPr>
      <w:t xml:space="preserve">Rondeau 1437 Piso 6                                                                                                                                     </w:t>
    </w:r>
    <w:r/>
  </w:p>
  <w:p>
    <w:pPr>
      <w:pStyle w:val="Normal"/>
      <w:spacing w:lineRule="auto" w:line="360"/>
    </w:pPr>
    <w:r>
      <w:rPr>
        <w:sz w:val="16"/>
        <w:szCs w:val="16"/>
        <w:lang w:val="en-GB"/>
      </w:rPr>
      <w:t>C.P. 11100. Montevideo, URUGUAY                                                                                                          www.catastro.gub.uy</w:t>
    </w:r>
    <w:r/>
  </w:p>
  <w:p>
    <w:pPr>
      <w:pStyle w:val="Piedepgina"/>
      <w:tabs>
        <w:tab w:val="center" w:pos="4252" w:leader="none"/>
        <w:tab w:val="right" w:pos="9072" w:leader="none"/>
      </w:tabs>
    </w:pPr>
    <w:r>
      <w:rPr>
        <w:rStyle w:val="Pagenumber"/>
        <w:color w:val="000000"/>
        <w:sz w:val="16"/>
        <w:lang w:val="en-GB"/>
      </w:rPr>
      <w:tab/>
      <w:tab/>
    </w:r>
    <w:r>
      <mc:AlternateContent>
        <mc:Choice Requires="wps">
          <w:drawing>
            <wp:anchor behindDoc="1" distT="0" distB="0" distL="114935" distR="114935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61925"/>
              <wp:effectExtent l="0" t="0" r="0" b="0"/>
              <wp:wrapSquare wrapText="bothSides"/>
              <wp:docPr id="1" name="Cuadro de texto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619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1.15pt;height:12.75pt;mso-wrap-distance-left:9.05pt;mso-wrap-distance-right:9.05pt;mso-wrap-distance-top:0pt;mso-wrap-distance-bottom:0pt;margin-top:0.05pt;mso-position-vertical-relative:text;margin-left:228.95pt;mso-position-horizontal:center;mso-position-horizontal-relative:margin">
              <v:textbox inset="0in,0in,0in,0in">
                <w:txbxContent>
                  <w:p>
                    <w:pPr>
                      <w:pStyle w:val="Piedepgina"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eastAsia="Arial"/>
      </w:rPr>
    </w:pPr>
    <w:r>
      <w:rPr>
        <w:rFonts w:eastAsia="Arial"/>
      </w:rPr>
      <w:t xml:space="preserve">    </w:t>
    </w:r>
    <w:r>
      <w:rPr>
        <w:rFonts w:eastAsia="Arial"/>
      </w:rPr>
      <w:object>
        <v:shape id="ole_rId1" style="width:51.6pt;height:36.7pt" o:ole="">
          <v:imagedata r:id="rId2" o:title=""/>
        </v:shape>
        <o:OLEObject Type="Embed" ProgID="Word.Picture.8" ShapeID="ole_rId1" DrawAspect="Content" ObjectID="_3734" r:id="rId1"/>
      </w:object>
    </w:r>
    <w:r/>
  </w:p>
  <w:p>
    <w:pPr>
      <w:pStyle w:val="Normal"/>
      <w:pBdr>
        <w:bottom w:val="single" w:sz="6" w:space="1" w:color="000001"/>
      </w:pBdr>
    </w:pPr>
    <w:r>
      <w:rPr>
        <w:rFonts w:eastAsia="Arial"/>
      </w:rPr>
      <w:t xml:space="preserve">                                                                                              </w:t>
    </w:r>
    <w:r>
      <w:rPr>
        <w:sz w:val="16"/>
        <w:szCs w:val="16"/>
      </w:rPr>
      <w:t>DIRECCIÓN NACIONAL DE CATASRO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0"/>
        <w:szCs w:val="22"/>
        <w:lang w:val="es-UY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er"/>
    <w:lsdException w:qFormat="1" w:uiPriority="35" w:name="caption"/>
    <w:lsdException w:uiPriority="0" w:name="page number"/>
    <w:lsdException w:uiPriority="0" w:name="List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b20db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SimSun" w:cs="Arial"/>
      <w:color w:val="00000A"/>
      <w:sz w:val="24"/>
      <w:szCs w:val="24"/>
      <w:lang w:val="es-UY" w:eastAsia="zh-CN" w:bidi="hi-IN"/>
    </w:rPr>
  </w:style>
  <w:style w:type="paragraph" w:styleId="Encabezado1">
    <w:name w:val="Encabezado 1"/>
    <w:basedOn w:val="Normal"/>
    <w:link w:val="Ttulo1Car"/>
    <w:qFormat/>
    <w:rsid w:val="00b20db9"/>
    <w:pPr>
      <w:keepNext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ar" w:customStyle="1">
    <w:name w:val="Título 1 Car"/>
    <w:basedOn w:val="DefaultParagraphFont"/>
    <w:link w:val="Ttulo1"/>
    <w:rsid w:val="00b20db9"/>
    <w:rPr>
      <w:rFonts w:ascii="Arial" w:hAnsi="Arial" w:eastAsia="SimSun" w:cs="Arial"/>
      <w:b/>
      <w:sz w:val="28"/>
      <w:szCs w:val="24"/>
      <w:lang w:eastAsia="zh-CN" w:bidi="hi-IN"/>
    </w:rPr>
  </w:style>
  <w:style w:type="character" w:styleId="EnlacedeInternet" w:customStyle="1">
    <w:name w:val="Enlace de Internet"/>
    <w:rsid w:val="00b20db9"/>
    <w:rPr>
      <w:color w:val="000080"/>
      <w:u w:val="single"/>
      <w:lang w:val="zxx" w:eastAsia="zxx" w:bidi="zxx"/>
    </w:rPr>
  </w:style>
  <w:style w:type="character" w:styleId="Pagenumber">
    <w:name w:val="page number"/>
    <w:basedOn w:val="DefaultParagraphFont"/>
    <w:rsid w:val="00b20db9"/>
    <w:rPr/>
  </w:style>
  <w:style w:type="character" w:styleId="PiedepginaCar" w:customStyle="1">
    <w:name w:val="Pie de página Car"/>
    <w:basedOn w:val="DefaultParagraphFont"/>
    <w:link w:val="Piedepgina"/>
    <w:rsid w:val="00b20db9"/>
    <w:rPr>
      <w:rFonts w:ascii="Arial" w:hAnsi="Arial" w:eastAsia="SimSun" w:cs="Arial"/>
      <w:szCs w:val="24"/>
      <w:lang w:eastAsia="zh-CN" w:bidi="hi-IN"/>
    </w:rPr>
  </w:style>
  <w:style w:type="character" w:styleId="SubttuloCar" w:customStyle="1">
    <w:name w:val="Subtítulo Car"/>
    <w:basedOn w:val="DefaultParagraphFont"/>
    <w:link w:val="Subttulo"/>
    <w:uiPriority w:val="11"/>
    <w:rsid w:val="00b20db9"/>
    <w:rPr>
      <w:rFonts w:ascii="Cambria" w:hAnsi="Cambria" w:eastAsia="" w:cs="Mangal" w:asciiTheme="majorHAnsi" w:eastAsiaTheme="majorEastAsia" w:hAnsiTheme="majorHAnsi"/>
      <w:i/>
      <w:iCs/>
      <w:color w:val="4F81BD" w:themeColor="accent1"/>
      <w:spacing w:val="15"/>
      <w:sz w:val="24"/>
      <w:szCs w:val="21"/>
      <w:lang w:eastAsia="zh-CN" w:bidi="hi-IN"/>
    </w:rPr>
  </w:style>
  <w:style w:type="character" w:styleId="ListLabel1">
    <w:name w:val="ListLabel 1"/>
    <w:rPr>
      <w:rFonts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Cuerpo de texto"/>
    <w:basedOn w:val="Normal"/>
    <w:rsid w:val="00b20db9"/>
    <w:pPr>
      <w:spacing w:lineRule="auto" w:line="288" w:before="0" w:after="140"/>
      <w:jc w:val="both"/>
    </w:pPr>
    <w:rPr>
      <w:lang w:val="es-ES"/>
    </w:rPr>
  </w:style>
  <w:style w:type="paragraph" w:styleId="Lista">
    <w:name w:val="Lista"/>
    <w:basedOn w:val="Cuerpodetexto"/>
    <w:rsid w:val="00b20db9"/>
    <w:pPr/>
    <w:rPr>
      <w:rFonts w:cs="Lucida Sans Unicode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1" w:customStyle="1">
    <w:name w:val="Título1"/>
    <w:basedOn w:val="Normal"/>
    <w:rsid w:val="00b20db9"/>
    <w:pPr>
      <w:jc w:val="center"/>
    </w:pPr>
    <w:rPr>
      <w:b/>
      <w:bCs/>
      <w:sz w:val="24"/>
      <w:szCs w:val="36"/>
    </w:rPr>
  </w:style>
  <w:style w:type="paragraph" w:styleId="Textoindependiente21" w:customStyle="1">
    <w:name w:val="Texto independiente 21"/>
    <w:basedOn w:val="Normal"/>
    <w:rsid w:val="00b20db9"/>
    <w:pPr>
      <w:jc w:val="both"/>
    </w:pPr>
    <w:rPr>
      <w:bCs/>
      <w:i/>
    </w:rPr>
  </w:style>
  <w:style w:type="paragraph" w:styleId="Sangra3detindependiente2" w:customStyle="1">
    <w:name w:val="Sangría 3 de t. independiente2"/>
    <w:basedOn w:val="Normal"/>
    <w:rsid w:val="00b20db9"/>
    <w:pPr>
      <w:ind w:firstLine="510"/>
      <w:jc w:val="both"/>
    </w:pPr>
    <w:rPr>
      <w:b/>
    </w:rPr>
  </w:style>
  <w:style w:type="paragraph" w:styleId="Piedepgina">
    <w:name w:val="Pie de página"/>
    <w:basedOn w:val="Normal"/>
    <w:link w:val="PiedepginaCar"/>
    <w:rsid w:val="00b20db9"/>
    <w:pPr>
      <w:suppressLineNumbers/>
    </w:pPr>
    <w:rPr/>
  </w:style>
  <w:style w:type="paragraph" w:styleId="Subttulo">
    <w:name w:val="Subtítulo"/>
    <w:basedOn w:val="Normal"/>
    <w:next w:val="Normal"/>
    <w:link w:val="SubttuloCar"/>
    <w:uiPriority w:val="11"/>
    <w:qFormat/>
    <w:rsid w:val="00b20db9"/>
    <w:pPr/>
    <w:rPr>
      <w:rFonts w:ascii="Cambria" w:hAnsi="Cambria" w:eastAsia="" w:asciiTheme="majorHAnsi" w:eastAsiaTheme="majorEastAsia" w:hAnsiTheme="majorHAnsi"/>
      <w:i/>
      <w:iCs/>
      <w:color w:val="4F81BD" w:themeColor="accent1"/>
      <w:spacing w:val="15"/>
      <w:szCs w:val="21"/>
    </w:rPr>
  </w:style>
  <w:style w:type="paragraph" w:styleId="Encabezamiento">
    <w:name w:val="Encabezamiento"/>
    <w:basedOn w:val="Normal"/>
    <w:pPr/>
    <w:rPr/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prasestatales.gub.uy/" TargetMode="External"/><Relationship Id="rId3" Type="http://schemas.openxmlformats.org/officeDocument/2006/relationships/hyperlink" Target="http://www.comprasestatales.gub.uy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LibreOffice/4.3.5.2$Windows_x86 LibreOffice_project/3a87456aaa6a95c63eea1c1b3201acedf0751bd5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2018-06-08T15:31:00Z</dcterms:created>
  <dc:creator>Julio Lopez</dc:creator>
  <dc:language>es-UY</dc:language>
  <dcterms:modified xsi:type="dcterms:W3CDTF">2018-06-08T12:44:26Z</dcterms:modified>
  <cp:revision>2</cp:revision>
</cp:coreProperties>
</file>