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48" w:rsidRDefault="003C455E">
      <w:pPr>
        <w:pStyle w:val="Standard"/>
        <w:spacing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PODER   JUDICIAL</w:t>
      </w:r>
    </w:p>
    <w:p w:rsidR="009B4C48" w:rsidRDefault="003C455E">
      <w:pPr>
        <w:pStyle w:val="Standard"/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DEPARTAMENTO DE ADQUISICIONES</w:t>
      </w:r>
    </w:p>
    <w:p w:rsidR="009B4C48" w:rsidRDefault="009B4C48">
      <w:pPr>
        <w:pStyle w:val="Standard"/>
        <w:spacing w:line="240" w:lineRule="auto"/>
        <w:jc w:val="center"/>
        <w:rPr>
          <w:rFonts w:ascii="Bookman Old Style" w:hAnsi="Bookman Old Style"/>
          <w:b/>
        </w:rPr>
      </w:pPr>
    </w:p>
    <w:p w:rsidR="009B4C48" w:rsidRDefault="003C455E">
      <w:pPr>
        <w:pStyle w:val="Standard"/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LICITACIÓN ABREVIADA  N° 10/2017</w:t>
      </w:r>
    </w:p>
    <w:p w:rsidR="009B4C48" w:rsidRDefault="003C455E">
      <w:pPr>
        <w:pStyle w:val="Standard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Inciso 16</w:t>
      </w:r>
    </w:p>
    <w:p w:rsidR="009B4C48" w:rsidRDefault="003C455E">
      <w:pPr>
        <w:pStyle w:val="Standard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PLIEGO SIN COSTO</w:t>
      </w:r>
    </w:p>
    <w:p w:rsidR="009B4C48" w:rsidRDefault="003C455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 presente llamado se regirá por lo establecido en las siguientes </w:t>
      </w:r>
      <w:r>
        <w:rPr>
          <w:rFonts w:ascii="Bookman Old Style" w:hAnsi="Bookman Old Style"/>
        </w:rPr>
        <w:t>disposiciones:</w:t>
      </w:r>
    </w:p>
    <w:p w:rsidR="009B4C48" w:rsidRDefault="003C45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T.O.C.A.F. aprobado por Decreto N° 150/012 de 11 de mayo de 2012,</w:t>
      </w:r>
    </w:p>
    <w:p w:rsidR="009B4C48" w:rsidRDefault="003C45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Decreto Nº 155/013,</w:t>
      </w:r>
    </w:p>
    <w:p w:rsidR="009B4C48" w:rsidRDefault="003C45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Acordada Nº 7400 de 27 de junio de 2000,</w:t>
      </w:r>
    </w:p>
    <w:p w:rsidR="009B4C48" w:rsidRDefault="003C45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Decreto Nº 131/2014: Pliego Único de Bases y Condiciones      Generales para Contratos de Suministros y Servicios </w:t>
      </w:r>
      <w:r>
        <w:rPr>
          <w:rFonts w:ascii="Bookman Old Style" w:hAnsi="Bookman Old Style"/>
        </w:rPr>
        <w:t>No Personales,</w:t>
      </w:r>
    </w:p>
    <w:p w:rsidR="009B4C48" w:rsidRDefault="003C45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Leyes, decretos y resoluciones vigentes a la fecha de aperturas de la licitación, en tanto fueren aplicables.</w:t>
      </w:r>
    </w:p>
    <w:p w:rsidR="009B4C48" w:rsidRDefault="009B4C48">
      <w:pPr>
        <w:pStyle w:val="Prrafodelista"/>
        <w:spacing w:line="240" w:lineRule="auto"/>
        <w:jc w:val="both"/>
        <w:rPr>
          <w:rFonts w:ascii="Bookman Old Style" w:hAnsi="Bookman Old Style"/>
        </w:rPr>
      </w:pPr>
    </w:p>
    <w:p w:rsidR="009B4C48" w:rsidRDefault="003C455E">
      <w:pPr>
        <w:pStyle w:val="Standard"/>
        <w:spacing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1.- OBJETO DEL CONTRATO Y CARACTERISTICAS ESPECIALES</w:t>
      </w:r>
    </w:p>
    <w:p w:rsidR="009B4C48" w:rsidRDefault="003C455E">
      <w:pPr>
        <w:pStyle w:val="Standard"/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Art. 1.1.- OBJETO DEL LLAMADO</w:t>
      </w:r>
    </w:p>
    <w:p w:rsidR="009B4C48" w:rsidRDefault="003C455E">
      <w:pPr>
        <w:pStyle w:val="Prrafodelista"/>
        <w:numPr>
          <w:ilvl w:val="2"/>
          <w:numId w:val="2"/>
        </w:num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Limpieza del Centro de Servicios </w:t>
      </w:r>
      <w:r>
        <w:rPr>
          <w:rFonts w:ascii="Bookman Old Style" w:hAnsi="Bookman Old Style"/>
          <w:b/>
          <w:bCs/>
        </w:rPr>
        <w:t>Periciales (Laboratorios y Morgue del Poder Judicial) sito en Gonzalo Ramírez 1227 Montevideo</w:t>
      </w:r>
    </w:p>
    <w:p w:rsidR="009B4C48" w:rsidRDefault="003C455E">
      <w:pPr>
        <w:pStyle w:val="Prrafodelista"/>
        <w:numPr>
          <w:ilvl w:val="2"/>
          <w:numId w:val="2"/>
        </w:numPr>
        <w:jc w:val="both"/>
      </w:pPr>
      <w:r>
        <w:rPr>
          <w:rFonts w:ascii="Bookman Old Style" w:hAnsi="Bookman Old Style"/>
          <w:b/>
        </w:rPr>
        <w:t>Los oferentes deberán realizar una visita de carácter obligatorio a las instalaciones objeto de este llamado el 3 de mayo de 2017</w:t>
      </w:r>
      <w:r>
        <w:rPr>
          <w:rFonts w:ascii="Bookman Old Style" w:hAnsi="Bookman Old Style"/>
          <w:b/>
          <w:shd w:val="clear" w:color="auto" w:fill="FFFFFF"/>
        </w:rPr>
        <w:t xml:space="preserve"> a las 15 horas</w:t>
      </w:r>
      <w:r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u w:val="single"/>
        </w:rPr>
        <w:t>Por la visita  l</w:t>
      </w:r>
      <w:r>
        <w:rPr>
          <w:rFonts w:ascii="Bookman Old Style" w:hAnsi="Bookman Old Style"/>
          <w:u w:val="single"/>
        </w:rPr>
        <w:t>a empresa solicitará que se le firme la constancia de visita que se anexa en el pliego, por el funcionario o encargado de la misma,</w:t>
      </w:r>
    </w:p>
    <w:p w:rsidR="009B4C48" w:rsidRDefault="003C455E">
      <w:pPr>
        <w:pStyle w:val="Prrafodelista"/>
        <w:numPr>
          <w:ilvl w:val="2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 deberá acreditar experiencia en limpieza de hospitales, morgues y laboratorios.</w:t>
      </w:r>
    </w:p>
    <w:p w:rsidR="009B4C48" w:rsidRDefault="009B4C48">
      <w:pPr>
        <w:pStyle w:val="Standard"/>
        <w:jc w:val="both"/>
        <w:rPr>
          <w:rFonts w:ascii="Bookman Old Style" w:hAnsi="Bookman Old Style"/>
          <w:b/>
          <w:sz w:val="20"/>
          <w:szCs w:val="20"/>
        </w:rPr>
      </w:pPr>
    </w:p>
    <w:p w:rsidR="009B4C48" w:rsidRDefault="003C455E">
      <w:pPr>
        <w:pStyle w:val="Standard"/>
        <w:spacing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1.2.- CARACTERÍSTICAS ESPECIALES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  <w:sz w:val="20"/>
          <w:szCs w:val="20"/>
        </w:rPr>
        <w:t>1.</w:t>
      </w:r>
      <w:r>
        <w:rPr>
          <w:rFonts w:ascii="Bookman Old Style" w:hAnsi="Bookman Old Style"/>
          <w:b/>
          <w:sz w:val="20"/>
          <w:szCs w:val="20"/>
        </w:rPr>
        <w:t>2.1.</w:t>
      </w:r>
      <w:r>
        <w:rPr>
          <w:rFonts w:ascii="Bookman Old Style" w:hAnsi="Bookman Old Style"/>
        </w:rPr>
        <w:t xml:space="preserve"> Será de cargo de la empresa: las cargas sociales, aportes fiscales y de seguridad social, gastos de mano de obra, útiles, materiales, uniformes, etc., </w:t>
      </w:r>
      <w:r>
        <w:rPr>
          <w:rFonts w:ascii="Bookman Old Style" w:hAnsi="Bookman Old Style"/>
        </w:rPr>
        <w:lastRenderedPageBreak/>
        <w:t>siendo asimismo obligación de la misma, contratar seguros por enfermedad y accidentes del personal a</w:t>
      </w:r>
      <w:r>
        <w:rPr>
          <w:rFonts w:ascii="Bookman Old Style" w:hAnsi="Bookman Old Style"/>
        </w:rPr>
        <w:t>fectado.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  <w:sz w:val="20"/>
          <w:szCs w:val="20"/>
        </w:rPr>
        <w:t>1.2.2.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</w:rPr>
        <w:t>En acuerdo a la frecuencia del servicio para las áreas y espacios comunes,</w:t>
      </w:r>
      <w:r>
        <w:rPr>
          <w:rFonts w:ascii="Bookman Old Style" w:hAnsi="Bookman Old Style"/>
        </w:rPr>
        <w:t xml:space="preserve"> cinco días por semana corresponde: a) barrido de pisos lavado de pisos de vinílicos, cerámicas, baldosas o monolíticos con agua y detergente b) barrido y lavado de </w:t>
      </w:r>
      <w:r>
        <w:rPr>
          <w:rFonts w:ascii="Bookman Old Style" w:hAnsi="Bookman Old Style"/>
        </w:rPr>
        <w:t>escaleras y pisos de ascensores con agua y detergente c) lavado de artefactos de baño con hipoclorito de sodio y detergente e) repaso de griferías con agua y detergente; f) repaso de escritorios, mesas mostradores y barandas de madera, vaciado de papeleras</w:t>
      </w:r>
      <w:r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Un día por quincena </w:t>
      </w:r>
      <w:r>
        <w:rPr>
          <w:rFonts w:ascii="Bookman Old Style" w:hAnsi="Bookman Old Style"/>
        </w:rPr>
        <w:t xml:space="preserve">baldeado de veredas. </w:t>
      </w:r>
      <w:r>
        <w:rPr>
          <w:rFonts w:ascii="Bookman Old Style" w:hAnsi="Bookman Old Style"/>
          <w:b/>
        </w:rPr>
        <w:t>Una vez por mes</w:t>
      </w:r>
      <w:r>
        <w:rPr>
          <w:rFonts w:ascii="Bookman Old Style" w:hAnsi="Bookman Old Style"/>
        </w:rPr>
        <w:t xml:space="preserve"> a) barrido y retiro de residuos en pozos de aire, azoteas según se solicita en el listado y pozos de ascensor cuando corresponda; b) la limpieza de vidrios en forma mensual. No se encuentra incluid</w:t>
      </w:r>
      <w:r>
        <w:rPr>
          <w:rFonts w:ascii="Bookman Old Style" w:hAnsi="Bookman Old Style"/>
        </w:rPr>
        <w:t>o en este llamado el encerado de pisos, ni limpieza de vajilla.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  <w:bCs/>
        </w:rPr>
        <w:t>Departamento de Medicina Forense</w:t>
      </w:r>
      <w:r>
        <w:rPr>
          <w:rFonts w:ascii="Bookman Old Style" w:hAnsi="Bookman Old Style"/>
        </w:rPr>
        <w:t xml:space="preserve"> que contempla la planta baja, primer y segundo piso del edificio, </w:t>
      </w:r>
      <w:r>
        <w:rPr>
          <w:rFonts w:ascii="Bookman Old Style" w:hAnsi="Bookman Old Style"/>
          <w:u w:val="single"/>
        </w:rPr>
        <w:t xml:space="preserve">la cobertura del servicio será lunes a viernes el primer turno en el horario de 7 a 13 horas </w:t>
      </w:r>
      <w:r>
        <w:rPr>
          <w:rFonts w:ascii="Bookman Old Style" w:hAnsi="Bookman Old Style"/>
          <w:u w:val="single"/>
        </w:rPr>
        <w:t>y en el segundo turno de  12 a 18 horas, en el horario de superposición de tareas se realizarán las limpiezas de túnicas.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>Los sábados y domingos y feriados s</w:t>
      </w:r>
      <w:r>
        <w:rPr>
          <w:rFonts w:ascii="Bookman Old Style" w:hAnsi="Bookman Old Style"/>
          <w:u w:val="single"/>
        </w:rPr>
        <w:t xml:space="preserve">e realizará </w:t>
      </w:r>
      <w:r>
        <w:rPr>
          <w:rFonts w:ascii="Bookman Old Style" w:hAnsi="Bookman Old Style"/>
          <w:b/>
          <w:bCs/>
          <w:u w:val="single"/>
        </w:rPr>
        <w:t>un</w:t>
      </w:r>
      <w:r>
        <w:rPr>
          <w:rFonts w:ascii="Bookman Old Style" w:hAnsi="Bookman Old Style"/>
          <w:u w:val="single"/>
        </w:rPr>
        <w:t xml:space="preserve"> turno de  6 horas cada día</w:t>
      </w:r>
      <w:r>
        <w:rPr>
          <w:rFonts w:ascii="Bookman Old Style" w:hAnsi="Bookman Old Style"/>
        </w:rPr>
        <w:t>.</w:t>
      </w:r>
    </w:p>
    <w:p w:rsidR="009B4C48" w:rsidRDefault="003C455E">
      <w:pPr>
        <w:pStyle w:val="Standard"/>
        <w:shd w:val="clear" w:color="auto" w:fill="FFFFFF"/>
        <w:jc w:val="both"/>
      </w:pPr>
      <w:r>
        <w:rPr>
          <w:rFonts w:ascii="Bookman Old Style" w:hAnsi="Bookman Old Style"/>
        </w:rPr>
        <w:t>El operario destinado a limpieza de vidrios, cumplirá la</w:t>
      </w:r>
      <w:r>
        <w:rPr>
          <w:rFonts w:ascii="Bookman Old Style" w:hAnsi="Bookman Old Style"/>
        </w:rPr>
        <w:t xml:space="preserve"> tarea en </w:t>
      </w:r>
      <w:r>
        <w:rPr>
          <w:rFonts w:ascii="Bookman Old Style" w:hAnsi="Bookman Old Style"/>
          <w:u w:val="single"/>
        </w:rPr>
        <w:t>un turno de 6 horas una vez al mes.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Cada área sucia o limpia deberá tener su personal específico y equipos de limpieza específicos para el área y no podrán utilizarse en otras  áreas, se deberá de realizar de acuerdo al protocolo del Departamento</w:t>
      </w:r>
      <w:r>
        <w:rPr>
          <w:rFonts w:ascii="Bookman Old Style" w:hAnsi="Bookman Old Style"/>
        </w:rPr>
        <w:t xml:space="preserve"> de Medicina Forense,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Lavado, secado y acondicionamiento (en la sala adecuada para ello)  de  la ropa utilizada por el personal durante las autopsias y del resto del personal relacionado con la tarea, y túnicas del laboratorio.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  <w:bCs/>
        </w:rPr>
        <w:t>Laboratorios  3 y 4 piso,</w:t>
      </w:r>
      <w:r>
        <w:rPr>
          <w:rFonts w:ascii="Bookman Old Style" w:hAnsi="Bookman Old Style"/>
        </w:rPr>
        <w:t xml:space="preserve"> Re</w:t>
      </w:r>
      <w:r>
        <w:rPr>
          <w:rFonts w:ascii="Bookman Old Style" w:hAnsi="Bookman Old Style"/>
        </w:rPr>
        <w:t>cogida y retirada de residuos biológicos en bolsas adecuadas (decreto 586/009). Limpieza del material de vidrio del laboratorio (Volumétrico, tubos, vasos viales etc.) en forma diaria.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Heladeras y Freezer, se realizará solamente con la supervisión de los t</w:t>
      </w:r>
      <w:r>
        <w:rPr>
          <w:rFonts w:ascii="Bookman Old Style" w:hAnsi="Bookman Old Style"/>
        </w:rPr>
        <w:t>écnicos responsables y bajo estrictas condiciones de bioseguridad y confidencialidad, de acuerdo a los protocolos del Laboratorio.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Pisos puertas y paredes de los laboratorios, las paredes y puertas se limpiarán con una frecuencia semanal con productos desi</w:t>
      </w:r>
      <w:r>
        <w:rPr>
          <w:rFonts w:ascii="Bookman Old Style" w:hAnsi="Bookman Old Style"/>
        </w:rPr>
        <w:t>nfectantes y bactericidas. Los pisos en forma diaria.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lastRenderedPageBreak/>
        <w:t xml:space="preserve">El personal afectado para estos pisos serán solamente de </w:t>
      </w:r>
      <w:r>
        <w:rPr>
          <w:rFonts w:ascii="Bookman Old Style" w:hAnsi="Bookman Old Style"/>
          <w:u w:val="single"/>
        </w:rPr>
        <w:t>lunes a viernes  en el primer turno en el horario de 7 a 13 horas y el segundo turno  de  12 a 18 horas</w:t>
      </w:r>
      <w:r>
        <w:rPr>
          <w:rFonts w:ascii="Bookman Old Style" w:hAnsi="Bookman Old Style"/>
        </w:rPr>
        <w:t>, en el horario de superposición de tareas</w:t>
      </w:r>
      <w:r>
        <w:rPr>
          <w:rFonts w:ascii="Bookman Old Style" w:hAnsi="Bookman Old Style"/>
        </w:rPr>
        <w:t xml:space="preserve"> se realizarán las limpiezas de material de vidrio y túnicas.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  <w:sz w:val="20"/>
          <w:szCs w:val="20"/>
        </w:rPr>
        <w:t>1.2.3.</w:t>
      </w:r>
      <w:r>
        <w:rPr>
          <w:rFonts w:ascii="Bookman Old Style" w:hAnsi="Bookman Old Style"/>
        </w:rPr>
        <w:t xml:space="preserve"> La empresa adjudicataria deberá proporcionar a su personal todos los materiales, maquinaria y útiles necesarios para la realización del servicio.</w:t>
      </w:r>
      <w:r>
        <w:rPr>
          <w:rFonts w:ascii="Bookman Old Style" w:hAnsi="Bookman Old Style"/>
          <w:b/>
          <w:bCs/>
        </w:rPr>
        <w:t xml:space="preserve"> Las tareas descriptas deberán de realizar</w:t>
      </w:r>
      <w:r>
        <w:rPr>
          <w:rFonts w:ascii="Bookman Old Style" w:hAnsi="Bookman Old Style"/>
          <w:b/>
          <w:bCs/>
        </w:rPr>
        <w:t xml:space="preserve">se con un </w:t>
      </w:r>
      <w:r>
        <w:rPr>
          <w:rFonts w:ascii="Bookman Old Style" w:hAnsi="Bookman Old Style"/>
          <w:b/>
          <w:bCs/>
          <w:u w:val="single"/>
        </w:rPr>
        <w:t>total de 7 operarios</w:t>
      </w:r>
      <w:r>
        <w:rPr>
          <w:rFonts w:ascii="Bookman Old Style" w:hAnsi="Bookman Old Style"/>
          <w:b/>
          <w:bCs/>
        </w:rPr>
        <w:t xml:space="preserve"> distribuidos en turnos de 6 horas: Tres operarios en la mañana, cuatro operarios en la tarde y 2 operarios sábados, domingos y feriados en un turno de 6 horas y un vidriero una vez al mes en un turno de 6 horas.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  <w:sz w:val="20"/>
          <w:szCs w:val="20"/>
        </w:rPr>
        <w:t>1.2.4.</w:t>
      </w:r>
      <w:r>
        <w:rPr>
          <w:rFonts w:ascii="Bookman Old Style" w:hAnsi="Bookman Old Style"/>
        </w:rPr>
        <w:t xml:space="preserve"> La emp</w:t>
      </w:r>
      <w:r>
        <w:rPr>
          <w:rFonts w:ascii="Bookman Old Style" w:hAnsi="Bookman Old Style"/>
        </w:rPr>
        <w:t xml:space="preserve">resa oferente deberá presentar, junto con su propuesta, documentación que avale años de existencia de la misma cumpliendo servicios análogos al solicitado, los organismos donde ha efectuado y/o efectúa actualmente servicios de limpieza, y periodos durante </w:t>
      </w:r>
      <w:r>
        <w:rPr>
          <w:rFonts w:ascii="Bookman Old Style" w:hAnsi="Bookman Old Style"/>
        </w:rPr>
        <w:t>el cual ha cumplido los mismos. Expresar su capacidad empresarial y referencias comerciales, indicando  el nombre de la persona y teléfono de contacto en cada uno de los casos.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  <w:sz w:val="20"/>
          <w:szCs w:val="20"/>
        </w:rPr>
        <w:t>1.2.5.</w:t>
      </w:r>
      <w:r>
        <w:rPr>
          <w:rFonts w:ascii="Bookman Old Style" w:hAnsi="Bookman Old Style"/>
        </w:rPr>
        <w:t xml:space="preserve"> La empresa adjudicataria suscribirá oportunamente el contrato respectivo</w:t>
      </w:r>
      <w:r>
        <w:rPr>
          <w:rFonts w:ascii="Bookman Old Style" w:hAnsi="Bookman Old Style"/>
        </w:rPr>
        <w:t xml:space="preserve"> ante los Servicios Notariales de la Suprema Corte de Justicia.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  <w:sz w:val="20"/>
          <w:szCs w:val="20"/>
        </w:rPr>
        <w:t>1.2.6.</w:t>
      </w:r>
      <w:r>
        <w:rPr>
          <w:rFonts w:ascii="Bookman Old Style" w:hAnsi="Bookman Old Style"/>
        </w:rPr>
        <w:t xml:space="preserve"> Mensualmente la empresa adjudicataria deberá presentar ante el Departamento de Inventarios del Poder Judicial la información que le será requerida por contrato para el cumplimiento del </w:t>
      </w:r>
      <w:r>
        <w:rPr>
          <w:rFonts w:ascii="Bookman Old Style" w:hAnsi="Bookman Old Style"/>
        </w:rPr>
        <w:t>art 4 de la ley 18251. El incumplimiento de dicha obligación como lo estipula el procedimiento de control será causal de rescisión de contrato.</w:t>
      </w:r>
    </w:p>
    <w:p w:rsidR="009B4C48" w:rsidRDefault="003C455E">
      <w:pPr>
        <w:pStyle w:val="Standard"/>
        <w:shd w:val="clear" w:color="auto" w:fill="FFFFFF"/>
        <w:jc w:val="both"/>
      </w:pPr>
      <w:r>
        <w:rPr>
          <w:rFonts w:ascii="Bookman Old Style" w:hAnsi="Bookman Old Style"/>
          <w:b/>
          <w:sz w:val="20"/>
          <w:szCs w:val="20"/>
        </w:rPr>
        <w:t>1.2.7.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No serán  consideradas en el estudio aquellas empresas que coticen un valor inferior a $ 210 la hora, a l</w:t>
      </w:r>
      <w:r>
        <w:rPr>
          <w:rFonts w:ascii="Bookman Old Style" w:hAnsi="Bookman Old Style"/>
          <w:b/>
        </w:rPr>
        <w:t>os efectos de la comparación se considerará que el monto mensual cotizado corresponde a un mes de treinta días (22 día hábiles y 8 sábados, domingos y feriados)</w:t>
      </w:r>
      <w:r>
        <w:rPr>
          <w:rFonts w:ascii="Bookman Old Style" w:hAnsi="Bookman Old Style"/>
          <w:b/>
          <w:shd w:val="clear" w:color="auto" w:fill="FFFF00"/>
        </w:rPr>
        <w:t>.</w:t>
      </w:r>
    </w:p>
    <w:p w:rsidR="009B4C48" w:rsidRDefault="009B4C48">
      <w:pPr>
        <w:pStyle w:val="Standard"/>
        <w:spacing w:line="240" w:lineRule="auto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spacing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2.- COMUNICACIONES</w:t>
      </w:r>
    </w:p>
    <w:p w:rsidR="009B4C48" w:rsidRDefault="003C455E">
      <w:pPr>
        <w:pStyle w:val="Standard"/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Todas las comunicaciones referidas al presente llamado deberán </w:t>
      </w:r>
      <w:r>
        <w:rPr>
          <w:rFonts w:ascii="Bookman Old Style" w:hAnsi="Bookman Old Style"/>
        </w:rPr>
        <w:t>dirigirse al Departamento de Adquisiciones del Poder Judicial: Dirección: San José 1088. Tel.: 2 902.13.59 –2 908.93.97. Fax: 2902.14.88.Correo Electrónico: adquisiciones@poderjudicial.gub.uy</w:t>
      </w:r>
    </w:p>
    <w:p w:rsidR="009B4C48" w:rsidRDefault="003C455E">
      <w:pPr>
        <w:pStyle w:val="Standard"/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Las comunicaciones podrán realizarse por los siguientes medios:</w:t>
      </w:r>
      <w:r>
        <w:rPr>
          <w:rFonts w:ascii="Bookman Old Style" w:hAnsi="Bookman Old Style"/>
        </w:rPr>
        <w:t xml:space="preserve"> personalmente, carta certificada con aviso de retorno, telegrama colacionado con copia, acta notarial, fax o correo electrónico.</w:t>
      </w:r>
    </w:p>
    <w:p w:rsidR="009B4C48" w:rsidRDefault="009B4C48">
      <w:pPr>
        <w:pStyle w:val="Standard"/>
        <w:spacing w:line="240" w:lineRule="auto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spacing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3.- ACLARACIONES Y CONSULTAS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Cualquier futuro oferente podrá solicitar al Departamento de Adquisiciones, por cualesquie</w:t>
      </w:r>
      <w:r>
        <w:rPr>
          <w:rFonts w:ascii="Bookman Old Style" w:hAnsi="Bookman Old Style"/>
        </w:rPr>
        <w:t>ra de los medios mencionados en el artículo precedente, aclaraciones, solicitudes  o consultas específicas, hasta 3 días antes de la fecha establecida para el acto de apertura de las ofertas. Vencido dicho plazo, la Administración no estará obligada a prop</w:t>
      </w:r>
      <w:r>
        <w:rPr>
          <w:rFonts w:ascii="Bookman Old Style" w:hAnsi="Bookman Old Style"/>
        </w:rPr>
        <w:t>orcionar datos aclaratorios o responder consultas o solicitudes. Las consultas, solicitudes o aclaraciones serán contestadas por el Departamento de Adquisiciones, en el plazo máximo de 48 horas a partir de su recepción.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La Administración comunicará lo res</w:t>
      </w:r>
      <w:r>
        <w:rPr>
          <w:rFonts w:ascii="Bookman Old Style" w:hAnsi="Bookman Old Style"/>
        </w:rPr>
        <w:t>uelto, así como cualquier información ampliatoria o aclaratoria que estime necesario realizar, a su exclusivo criterio y a través de alguno de los medios establecidos.</w:t>
      </w:r>
    </w:p>
    <w:p w:rsidR="009B4C48" w:rsidRDefault="009B4C48">
      <w:pPr>
        <w:pStyle w:val="Standard"/>
        <w:spacing w:line="240" w:lineRule="auto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spacing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4.- FORMA DE COTIZACION.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Precio de plaza, debiendo cotizar el precio mens</w:t>
      </w:r>
      <w:r>
        <w:rPr>
          <w:rFonts w:ascii="Bookman Old Style" w:hAnsi="Bookman Old Style"/>
        </w:rPr>
        <w:t>ual del servicio.-</w:t>
      </w:r>
    </w:p>
    <w:p w:rsidR="009B4C48" w:rsidRDefault="009B4C48">
      <w:pPr>
        <w:pStyle w:val="Standard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</w:rPr>
        <w:t>Art. 5.- MONEDA DE COTIZACION</w:t>
      </w:r>
      <w:r>
        <w:rPr>
          <w:rFonts w:ascii="Bookman Old Style" w:hAnsi="Bookman Old Style"/>
        </w:rPr>
        <w:t>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 xml:space="preserve">         La oferta se presentará en </w:t>
      </w:r>
      <w:r>
        <w:rPr>
          <w:rFonts w:ascii="Bookman Old Style" w:hAnsi="Bookman Old Style"/>
          <w:b/>
        </w:rPr>
        <w:t>Moneda Nacional</w:t>
      </w:r>
      <w:r>
        <w:rPr>
          <w:rFonts w:ascii="Bookman Old Style" w:hAnsi="Bookman Old Style"/>
        </w:rPr>
        <w:t>.</w:t>
      </w:r>
    </w:p>
    <w:p w:rsidR="009B4C48" w:rsidRDefault="009B4C48">
      <w:pPr>
        <w:pStyle w:val="Standard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</w:rPr>
        <w:t>Art. 6.- PRESENTACIÓN DE LAS OFERTAS</w:t>
      </w:r>
      <w:r>
        <w:rPr>
          <w:rFonts w:ascii="Bookman Old Style" w:hAnsi="Bookman Old Style"/>
        </w:rPr>
        <w:t>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a) La oferta se presentará  en sobre cerrado, </w:t>
      </w:r>
      <w:r>
        <w:rPr>
          <w:rFonts w:ascii="Bookman Old Style" w:hAnsi="Bookman Old Style"/>
          <w:b/>
          <w:u w:val="single"/>
        </w:rPr>
        <w:t xml:space="preserve">original y copia </w:t>
      </w:r>
      <w:r>
        <w:rPr>
          <w:rFonts w:ascii="Bookman Old Style" w:hAnsi="Bookman Old Style"/>
        </w:rPr>
        <w:t xml:space="preserve">  en  papel  simple, sin perjuicio de lo estable</w:t>
      </w:r>
      <w:r>
        <w:rPr>
          <w:rFonts w:ascii="Bookman Old Style" w:hAnsi="Bookman Old Style"/>
        </w:rPr>
        <w:t xml:space="preserve">cido en el art.63 inc. 5 del T.O.C.A.F. </w:t>
      </w:r>
      <w:r>
        <w:rPr>
          <w:rFonts w:ascii="Bookman Old Style" w:hAnsi="Bookman Old Style"/>
          <w:b/>
          <w:bCs/>
        </w:rPr>
        <w:t>La misma deberá de estar firmada por representante registrado y validado en el RUPE. La empresa deberá de estar en ACTIVO.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ab/>
        <w:t xml:space="preserve">        b) Los precios cotizados deberán indicar todos los tributos que correspondan al ofer</w:t>
      </w:r>
      <w:r>
        <w:rPr>
          <w:rFonts w:ascii="Bookman Old Style" w:hAnsi="Bookman Old Style"/>
        </w:rPr>
        <w:t xml:space="preserve">ente y su porcentaje, en el total de la oferta, </w:t>
      </w:r>
      <w:r>
        <w:rPr>
          <w:rFonts w:ascii="Bookman Old Style" w:hAnsi="Bookman Old Style"/>
          <w:b/>
        </w:rPr>
        <w:t>especialmente el I.V.A., en forma clara y precisa, manifestando si los referidos tributos están o no incluidos en los precios</w:t>
      </w:r>
      <w:r>
        <w:rPr>
          <w:rFonts w:ascii="Bookman Old Style" w:hAnsi="Bookman Old Style"/>
        </w:rPr>
        <w:t>. En caso de no establecerse esta circunstancia, se considerará que los precios son</w:t>
      </w:r>
      <w:r>
        <w:rPr>
          <w:rFonts w:ascii="Bookman Old Style" w:hAnsi="Bookman Old Style"/>
        </w:rPr>
        <w:t xml:space="preserve"> con todos los tributos incluidos.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</w:rPr>
        <w:t>Art. 7.- DOCUMENTACION A PRESENTAR POR EL OFERENTE</w:t>
      </w:r>
      <w:r>
        <w:rPr>
          <w:rFonts w:ascii="Bookman Old Style" w:hAnsi="Bookman Old Style"/>
        </w:rPr>
        <w:t>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Junto a su cotización los oferentes deberán presentar la documentación que a continuación se detalla, la cual será verificada durante el Acto de Apertura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 xml:space="preserve">            a)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 Constancia de visita a la sede</w:t>
      </w:r>
      <w:r>
        <w:rPr>
          <w:rFonts w:ascii="Bookman Old Style" w:hAnsi="Bookman Old Style"/>
        </w:rPr>
        <w:t>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 xml:space="preserve">   b)  Antecedentes comerciales con organismos públicos y privados en tareas similares (limpiezas hospitalarias, laboratorios, morgues) de los últimos 3 años, acreditados mediante constancias debidamente firmadas por los </w:t>
      </w:r>
      <w:r>
        <w:rPr>
          <w:rFonts w:ascii="Bookman Old Style" w:hAnsi="Bookman Old Style"/>
        </w:rPr>
        <w:t>jerarcas de los organismos o representantes de las empresas, con indicación de teléfonos de contacto.</w:t>
      </w:r>
    </w:p>
    <w:p w:rsidR="009B4C48" w:rsidRDefault="003C455E">
      <w:pPr>
        <w:pStyle w:val="Standard"/>
        <w:ind w:firstLine="709"/>
        <w:jc w:val="both"/>
      </w:pPr>
      <w:r>
        <w:rPr>
          <w:rFonts w:ascii="Bookman Old Style" w:hAnsi="Bookman Old Style"/>
        </w:rPr>
        <w:t xml:space="preserve">Aquellas empresas que no cumplan con la presentación de los documentos solicitados en el momento del Acto de Apertura, dispondrán de un plazo de dos días </w:t>
      </w:r>
      <w:r>
        <w:rPr>
          <w:rFonts w:ascii="Bookman Old Style" w:hAnsi="Bookman Old Style"/>
        </w:rPr>
        <w:t>hábiles para subsanar la omisión. No serán consideradas las propuestas cuyos oferentes no hubieran levantado la observación dentro del plazo establecido</w:t>
      </w: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8.- LUGAR, FECHA Y HORA DE APERTURA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a) Fecha: 12 de mayo de 2017</w:t>
      </w: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b) Hora: 15:00 hs.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c) Lugar</w:t>
      </w:r>
      <w:r>
        <w:rPr>
          <w:rFonts w:ascii="Bookman Old Style" w:hAnsi="Bookman Old Style"/>
        </w:rPr>
        <w:t xml:space="preserve">: Departamento de Adquisiciones del Poder Judicial,  sito  en  la  calle  </w:t>
      </w:r>
      <w:r>
        <w:rPr>
          <w:rFonts w:ascii="Bookman Old Style" w:hAnsi="Bookman Old Style"/>
          <w:b/>
        </w:rPr>
        <w:t>SAN  JOSE 1088</w:t>
      </w:r>
      <w:r>
        <w:rPr>
          <w:rFonts w:ascii="Bookman Old Style" w:hAnsi="Bookman Old Style"/>
        </w:rPr>
        <w:t>. Tel.2 902.13.59, FAX 2 902.14.88.</w:t>
      </w:r>
    </w:p>
    <w:p w:rsidR="009B4C48" w:rsidRDefault="009B4C48">
      <w:pPr>
        <w:pStyle w:val="Standard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9.- APERTURA DE OFERTAS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Abiertas las ofertas se pondrá a disposición de todos los oferentes una de las vías para q</w:t>
      </w:r>
      <w:r>
        <w:rPr>
          <w:rFonts w:ascii="Bookman Old Style" w:hAnsi="Bookman Old Style"/>
        </w:rPr>
        <w:t>ue tomen conocimiento de los precios y demás condiciones de todas las presentadas. Los oferentes pueden formular observaciones a las propuestas presentadas en ese momento, las que quedarán registradas en el Acta de Apertura.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Concluido el acto de apertura </w:t>
      </w:r>
      <w:r>
        <w:rPr>
          <w:rFonts w:ascii="Bookman Old Style" w:hAnsi="Bookman Old Style"/>
        </w:rPr>
        <w:t>y suscrita el Acta correspondiente, no se tomará en cuenta ninguna interpretación, aclaración o ampliación de ellas, salvo aquellas que fueran directa y expresamente solicitadas por escrito por los técnicos o por la Comisión Asesora de Adjudicaciones actua</w:t>
      </w:r>
      <w:r>
        <w:rPr>
          <w:rFonts w:ascii="Bookman Old Style" w:hAnsi="Bookman Old Style"/>
        </w:rPr>
        <w:t>nte. En tal caso, el oferente dispondrá del plazo que se establezca en la solicitud para hacer llegar su respuesta.</w:t>
      </w:r>
    </w:p>
    <w:p w:rsidR="009B4C48" w:rsidRDefault="009B4C48">
      <w:pPr>
        <w:pStyle w:val="Standard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10.- PLAZO DE MANTENIMIENTO DE OFERTA Y DE PRECIO.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ab/>
        <w:t xml:space="preserve">No inferior a </w:t>
      </w:r>
      <w:r>
        <w:rPr>
          <w:rFonts w:ascii="Bookman Old Style" w:hAnsi="Bookman Old Style"/>
          <w:b/>
        </w:rPr>
        <w:t>150 días</w:t>
      </w:r>
      <w:r>
        <w:rPr>
          <w:rFonts w:ascii="Bookman Old Style" w:hAnsi="Bookman Old Style"/>
        </w:rPr>
        <w:t>, salvo que la Administración, se expida con anterioridad al</w:t>
      </w:r>
      <w:r>
        <w:rPr>
          <w:rFonts w:ascii="Bookman Old Style" w:hAnsi="Bookman Old Style"/>
        </w:rPr>
        <w:t xml:space="preserve"> vencimiento de dicho plazo. Se  entiende  por tal el lapso durante el cual la empresa se obliga a mantener las condiciones de su oferta y el precio establecido en la misma, no aplicándose ajuste alguno.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El vencimiento del plazo establecido </w:t>
      </w:r>
      <w:r>
        <w:rPr>
          <w:rFonts w:ascii="Bookman Old Style" w:hAnsi="Bookman Old Style"/>
        </w:rPr>
        <w:t xml:space="preserve">precedentemente no liberará al oferente, salvo que medie notificación escrita a la Administración, </w:t>
      </w:r>
      <w:r>
        <w:rPr>
          <w:rFonts w:ascii="Bookman Old Style" w:hAnsi="Bookman Old Style"/>
        </w:rPr>
        <w:lastRenderedPageBreak/>
        <w:t>manifestando su decisión de retirar la oferta, antes de la notificación de la adjudicación de la misma.</w:t>
      </w:r>
    </w:p>
    <w:p w:rsidR="009B4C48" w:rsidRDefault="009B4C48">
      <w:pPr>
        <w:pStyle w:val="Standard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11.- PLAZO.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El plazo del contrato será a parti</w:t>
      </w:r>
      <w:r>
        <w:rPr>
          <w:rFonts w:ascii="Bookman Old Style" w:hAnsi="Bookman Old Style"/>
          <w:b/>
          <w:bCs/>
        </w:rPr>
        <w:t>r del 01/07/2017 al 31/12/2017.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</w:rPr>
        <w:t>En caso que por las resultancias del procedimiento no pueda suscribirse el contrato al 01/07/2017, la vigencia del mismo será desde la suscripción y hasta el 31/12/2017.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El plazo se prorrogará automáticamente por un períod</w:t>
      </w:r>
      <w:r>
        <w:rPr>
          <w:rFonts w:ascii="Bookman Old Style" w:hAnsi="Bookman Old Style"/>
        </w:rPr>
        <w:t>o anual y consecutivo, siempre y cuando no medie comunicación en contrario con una antelación de 30 días previo al vencimiento del plazo respectivo.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Sin perjuicio de lo establecido en el inciso anterior, el Poder Judicial podrá en cualquier momento y sin </w:t>
      </w:r>
      <w:r>
        <w:rPr>
          <w:rFonts w:ascii="Bookman Old Style" w:hAnsi="Bookman Old Style"/>
        </w:rPr>
        <w:t>expresión de causa, rescindir unilateralmente el contrato oportunamente suscrito, en forma total o parcial, con un preaviso no inferior a 15 días, por telegrama colacionado u otro medio auténtico.</w:t>
      </w: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12.- NOTIFICACIÓN DE RESOLUCIÓN.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El contrato se perfe</w:t>
      </w:r>
      <w:r>
        <w:rPr>
          <w:rFonts w:ascii="Bookman Old Style" w:hAnsi="Bookman Old Style"/>
        </w:rPr>
        <w:t>ccionará desde la suscripción del mismo, de acuerdo con lo dispuesto por el art. 69 in fine del TOCAF.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</w:rPr>
        <w:t>Art. 13.- CÓMPUTO DE PLAZOS</w:t>
      </w:r>
      <w:r>
        <w:rPr>
          <w:rFonts w:ascii="Bookman Old Style" w:hAnsi="Bookman Old Style"/>
        </w:rPr>
        <w:t>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ab/>
        <w:t>Todos los plazos serán computados en días calendario, salvo especificación en contrario.</w:t>
      </w: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14.- FORMA DE PAGO.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    La propuesta deberá considerar que el plazo mínimo de crédito </w:t>
      </w:r>
      <w:r>
        <w:rPr>
          <w:rFonts w:ascii="Bookman Old Style" w:hAnsi="Bookman Old Style"/>
          <w:b/>
        </w:rPr>
        <w:t>es 40 días, luego de presentada la factura debidamente conformada en División Contaduría.</w:t>
      </w: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15.- AJUSTE DE PRECIOS.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ab/>
        <w:t>El precio del contrato se reajustará en las mismas oportunidades y p</w:t>
      </w:r>
      <w:r>
        <w:rPr>
          <w:rFonts w:ascii="Bookman Old Style" w:hAnsi="Bookman Old Style"/>
        </w:rPr>
        <w:t xml:space="preserve">or los mismos porcentajes que los aprobados por el Consejo de Salarios en el Grupo 19 Subgrupo 7. </w:t>
      </w:r>
      <w:r>
        <w:rPr>
          <w:rFonts w:ascii="Bookman Old Style" w:hAnsi="Bookman Old Style"/>
          <w:b/>
          <w:bCs/>
        </w:rPr>
        <w:t>El primer reajuste operará con posterioridad a la fecha de entrada en vigencia del contrato.</w:t>
      </w: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16.- ESTUDIO DE LAS OFERTAS.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Suprema Corte de Justicia se</w:t>
      </w:r>
      <w:r>
        <w:rPr>
          <w:rFonts w:ascii="Bookman Old Style" w:hAnsi="Bookman Old Style"/>
        </w:rPr>
        <w:t xml:space="preserve"> reserva el derecho de adoptar un criterio de evaluación que permita tener en consideración:</w:t>
      </w:r>
    </w:p>
    <w:p w:rsidR="009B4C48" w:rsidRDefault="003C455E">
      <w:pPr>
        <w:pStyle w:val="Prrafodelista"/>
        <w:numPr>
          <w:ilvl w:val="0"/>
          <w:numId w:val="5"/>
        </w:numPr>
        <w:jc w:val="both"/>
      </w:pPr>
      <w:r>
        <w:rPr>
          <w:rFonts w:ascii="Bookman Old Style" w:hAnsi="Bookman Old Style"/>
          <w:b/>
        </w:rPr>
        <w:lastRenderedPageBreak/>
        <w:t>Los precios presentados por el oferente  60  %.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Aplicando al  siguiente formula 60*(precio de la oferta más baja/ precio de la oferta que se está evaluando).</w:t>
      </w:r>
    </w:p>
    <w:p w:rsidR="009B4C48" w:rsidRDefault="003C455E">
      <w:pPr>
        <w:pStyle w:val="Prrafodelista"/>
        <w:numPr>
          <w:ilvl w:val="0"/>
          <w:numId w:val="3"/>
        </w:numPr>
        <w:jc w:val="both"/>
      </w:pPr>
      <w:r>
        <w:rPr>
          <w:rFonts w:ascii="Bookman Old Style" w:hAnsi="Bookman Old Style"/>
          <w:b/>
        </w:rPr>
        <w:t>Antec</w:t>
      </w:r>
      <w:r>
        <w:rPr>
          <w:rFonts w:ascii="Bookman Old Style" w:hAnsi="Bookman Old Style"/>
          <w:b/>
        </w:rPr>
        <w:t xml:space="preserve">edentes comerciales con organismos públicos  y privados en tareas similares (limpiezas hospitalarios, laboratorios, morgues) de los últimos 3 años  (2014-2016), acreditado mediante </w:t>
      </w:r>
      <w:r>
        <w:rPr>
          <w:rFonts w:ascii="Bookman Old Style" w:hAnsi="Bookman Old Style"/>
          <w:b/>
          <w:u w:val="single"/>
        </w:rPr>
        <w:t>constancias debidamente firmadas</w:t>
      </w:r>
      <w:r>
        <w:rPr>
          <w:rFonts w:ascii="Bookman Old Style" w:hAnsi="Bookman Old Style"/>
          <w:b/>
        </w:rPr>
        <w:t xml:space="preserve"> por los jerarcas de los organismos o repre</w:t>
      </w:r>
      <w:r>
        <w:rPr>
          <w:rFonts w:ascii="Bookman Old Style" w:hAnsi="Bookman Old Style"/>
          <w:b/>
        </w:rPr>
        <w:t xml:space="preserve">sentantes de las empresas, con indicación de teléfonos de contacto; con un máximo de      </w:t>
      </w:r>
      <w:r>
        <w:rPr>
          <w:rFonts w:ascii="Bookman Old Style" w:hAnsi="Bookman Old Style"/>
          <w:b/>
          <w:bCs/>
        </w:rPr>
        <w:t>25 %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 asignará  1 punto por organismo, más 1 punto por año completo. Ej Si presenta un certificado (debidamente firmado) de una institución, que dice que prestó ser</w:t>
      </w:r>
      <w:r>
        <w:rPr>
          <w:rFonts w:ascii="Bookman Old Style" w:hAnsi="Bookman Old Style"/>
        </w:rPr>
        <w:t>vicios satisfactoriamente en los años completos 2015 y 2016, corresponden 3 puntos. Se le asignara a la oferta que presente mayor puntuación el 25 % y así a prorrata en forma descendiente en las demás ofertas</w:t>
      </w:r>
    </w:p>
    <w:p w:rsidR="009B4C48" w:rsidRDefault="003C455E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Antigüedad  en el ramo de limpieza. 15 %.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  Computándose  de la siguiente forma.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De 0 a 4 años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0 %</w:t>
      </w:r>
      <w:r>
        <w:rPr>
          <w:rFonts w:ascii="Bookman Old Style" w:hAnsi="Bookman Old Style"/>
        </w:rPr>
        <w:tab/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De 5 a 10 años                   5 %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De 11 a 16 años                 10 %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De más de 16 años            15 %</w:t>
      </w:r>
    </w:p>
    <w:p w:rsidR="009B4C48" w:rsidRDefault="009B4C48">
      <w:pPr>
        <w:pStyle w:val="Prrafodelista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jc w:val="both"/>
      </w:pPr>
      <w:r>
        <w:rPr>
          <w:rFonts w:ascii="Bookman Old Style" w:hAnsi="Bookman Old Style"/>
          <w:b/>
        </w:rPr>
        <w:t xml:space="preserve">Art. 17.- </w:t>
      </w:r>
      <w:r>
        <w:rPr>
          <w:rFonts w:ascii="Bookman Old Style" w:hAnsi="Bookman Old Style"/>
          <w:b/>
        </w:rPr>
        <w:t>ADJUDICACIÓN</w:t>
      </w:r>
      <w:r>
        <w:rPr>
          <w:rFonts w:ascii="Bookman Old Style" w:hAnsi="Bookman Old Style"/>
        </w:rPr>
        <w:t>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La adjudicación se realizará 100% a un sólo oferente.</w:t>
      </w: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18.- VALOR DE LA INFORMACIÓN TÉCNICA PRESENTADA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Todos los datos indicados por el proponente referidos a los elementos contenidos en la oferta tendrán carácter de compromiso. Si se</w:t>
      </w:r>
      <w:r>
        <w:rPr>
          <w:rFonts w:ascii="Bookman Old Style" w:hAnsi="Bookman Old Style"/>
        </w:rPr>
        <w:t xml:space="preserve"> verifica que no responden estrictamente a lo establecido en la propuesta, la Administración podrá rechazarlos de plano, rescindiendo el contrato respectivo, sin que ello de lugar a reclamación de clase alguna.</w:t>
      </w: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19.- RECEPCIÓN.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El cumplimiento del </w:t>
      </w:r>
      <w:r>
        <w:rPr>
          <w:rFonts w:ascii="Bookman Old Style" w:hAnsi="Bookman Old Style"/>
        </w:rPr>
        <w:t>servicio contratado será controlado por personal del Poder Judicial, en caso de incumplimiento del servicio la Administración podrá suspender el pago hasta que se regularice el mismo.</w:t>
      </w:r>
    </w:p>
    <w:p w:rsidR="009B4C48" w:rsidRDefault="009B4C48">
      <w:pPr>
        <w:pStyle w:val="Standard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20.- GARANTÍAS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ab/>
        <w:t xml:space="preserve">Todas las garantías se presentarán en </w:t>
      </w:r>
      <w:r>
        <w:rPr>
          <w:rFonts w:ascii="Bookman Old Style" w:hAnsi="Bookman Old Style"/>
          <w:b/>
        </w:rPr>
        <w:t>el Departame</w:t>
      </w:r>
      <w:r>
        <w:rPr>
          <w:rFonts w:ascii="Bookman Old Style" w:hAnsi="Bookman Old Style"/>
          <w:b/>
        </w:rPr>
        <w:t>nto de Tesorería del Poder Judicial sito en la calle Paraguay 1291 - 1er. Piso, en el horario de 13 a 17 horas.</w:t>
      </w:r>
      <w:r>
        <w:rPr>
          <w:rFonts w:ascii="Bookman Old Style" w:hAnsi="Bookman Old Style"/>
        </w:rPr>
        <w:t xml:space="preserve"> Deberán ser emitidas con cláusulas que contemplen su vigencia hasta el cumplimiento total de las obligaciones contractuales que ampara.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La Admi</w:t>
      </w:r>
      <w:r>
        <w:rPr>
          <w:rFonts w:ascii="Bookman Old Style" w:hAnsi="Bookman Old Style"/>
        </w:rPr>
        <w:t>nistración se reserva el derecho de aceptar o rechazar, a su exclusivo juicio, los documentos que constituyan garantías.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ab/>
        <w:t>Las garantías se constituirán a la orden del Poder Judicial, y podrán consistir en depósito en efectivo, fianza, aval bancario o póliz</w:t>
      </w:r>
      <w:r>
        <w:rPr>
          <w:rFonts w:ascii="Bookman Old Style" w:hAnsi="Bookman Old Style"/>
        </w:rPr>
        <w:t xml:space="preserve">a de seguro de fianza. </w:t>
      </w:r>
      <w:r>
        <w:rPr>
          <w:rFonts w:ascii="Bookman Old Style" w:hAnsi="Bookman Old Style"/>
          <w:b/>
        </w:rPr>
        <w:t>No se admitirán garantías personales de especie alguna</w:t>
      </w:r>
      <w:r>
        <w:rPr>
          <w:rFonts w:ascii="Bookman Old Style" w:hAnsi="Bookman Old Style"/>
        </w:rPr>
        <w:t>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Se podrá integrar la garantía en más de una de las modalidades indicadas, siempre que todas ellas sean constituidas a nombre del Poder Judicial y que cubran la cantidad exigida</w:t>
      </w:r>
      <w:r>
        <w:rPr>
          <w:rFonts w:ascii="Bookman Old Style" w:hAnsi="Bookman Old Style"/>
        </w:rPr>
        <w:t xml:space="preserve"> en cada relación contractual.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El documento justificativo de la constitución de garantías deberá contener necesariamente el número de licitación y el organismo que realizó el llamado.</w:t>
      </w:r>
    </w:p>
    <w:p w:rsidR="009B4C48" w:rsidRDefault="009B4C48">
      <w:pPr>
        <w:pStyle w:val="Standard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21.- DEVOLUCIÓN DE GARANTÍAS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Al disponerse la devolución de las </w:t>
      </w:r>
      <w:r>
        <w:rPr>
          <w:rFonts w:ascii="Bookman Old Style" w:hAnsi="Bookman Old Style"/>
        </w:rPr>
        <w:t>garantías, se deducirán previamente las cantidades a que haya lugar, ya sea por daños y perjuicios o multas, de acuerdo con las responsabilidades en que pudiera haber incurrido el oferente, adjudicatario o contratista, según el caso.</w:t>
      </w:r>
    </w:p>
    <w:p w:rsidR="009B4C48" w:rsidRDefault="009B4C48">
      <w:pPr>
        <w:pStyle w:val="Standard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22.- GARANTIA DE</w:t>
      </w:r>
      <w:r>
        <w:rPr>
          <w:rFonts w:ascii="Bookman Old Style" w:hAnsi="Bookman Old Style"/>
          <w:b/>
        </w:rPr>
        <w:t xml:space="preserve"> FIEL CUMPLIMIENTO DEL CONTRATO.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ab/>
        <w:t xml:space="preserve">Si correspondiere, dentro de los </w:t>
      </w:r>
      <w:r>
        <w:rPr>
          <w:rFonts w:ascii="Bookman Old Style" w:hAnsi="Bookman Old Style"/>
          <w:b/>
        </w:rPr>
        <w:t>diez días</w:t>
      </w:r>
      <w:r>
        <w:rPr>
          <w:rFonts w:ascii="Bookman Old Style" w:hAnsi="Bookman Old Style"/>
        </w:rPr>
        <w:t xml:space="preserve"> siguientes a la notificación de la adjudicación o su ampliación, el adjudicatario deberá justificar la constitución de la garantía de cumplimiento de contrato, por un mínimo de  5</w:t>
      </w:r>
      <w:r>
        <w:rPr>
          <w:rFonts w:ascii="Bookman Old Style" w:hAnsi="Bookman Old Style"/>
        </w:rPr>
        <w:t>% de la contratación, en los términos y condiciones previstos en el Art 64 del T.O.C.A.F.</w:t>
      </w:r>
    </w:p>
    <w:p w:rsidR="009B4C48" w:rsidRDefault="003C455E">
      <w:pPr>
        <w:pStyle w:val="Standard"/>
        <w:jc w:val="both"/>
      </w:pPr>
      <w:r>
        <w:rPr>
          <w:rFonts w:ascii="Bookman Old Style" w:hAnsi="Bookman Old Style"/>
        </w:rPr>
        <w:tab/>
        <w:t>Transcurrido el plazo, a falta de constitución de esta garantía en tiempo y forma, hará caducar los derechos del adjudicatario, pudiendo la Administración ejecutar l</w:t>
      </w:r>
      <w:r>
        <w:rPr>
          <w:rFonts w:ascii="Bookman Old Style" w:hAnsi="Bookman Old Style"/>
        </w:rPr>
        <w:t xml:space="preserve">a garantía de mantenimiento de oferta, si existiere, iniciar las acciones que pudieran corresponder contra el adjudicatario, por los daños y perjuicios que cause su incumplimiento, tomar como antecedente </w:t>
      </w:r>
      <w:r>
        <w:rPr>
          <w:rFonts w:ascii="Bookman Old Style" w:hAnsi="Bookman Old Style"/>
        </w:rPr>
        <w:lastRenderedPageBreak/>
        <w:t>negativo en futuras licitaciones este hecho, y recon</w:t>
      </w:r>
      <w:r>
        <w:rPr>
          <w:rFonts w:ascii="Bookman Old Style" w:hAnsi="Bookman Old Style"/>
        </w:rPr>
        <w:t>siderar el estudio de la licitación con exclusión del oferente adjudicado en primera instancia.</w:t>
      </w:r>
    </w:p>
    <w:p w:rsidR="009B4C48" w:rsidRDefault="009B4C48">
      <w:pPr>
        <w:pStyle w:val="Standard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23.- EXENCIÓN DE RESPONSABILIDAD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La Administración podrá desistir del llamado en cualquier etapa de su realización, o podrá desestimar todas las ofertas.</w:t>
      </w:r>
      <w:r>
        <w:rPr>
          <w:rFonts w:ascii="Bookman Old Style" w:hAnsi="Bookman Old Style"/>
        </w:rPr>
        <w:t xml:space="preserve"> Ninguna de estas decisiones generará derecho alguno de los participantes a reclamar por gastos, honorarios o indemnizaciones por daños y perjuicios.</w:t>
      </w:r>
    </w:p>
    <w:p w:rsidR="009B4C48" w:rsidRDefault="009B4C48">
      <w:pPr>
        <w:pStyle w:val="Standard"/>
        <w:jc w:val="both"/>
        <w:rPr>
          <w:rFonts w:ascii="Bookman Old Style" w:hAnsi="Bookman Old Style"/>
          <w:b/>
        </w:rPr>
      </w:pPr>
    </w:p>
    <w:p w:rsidR="009B4C48" w:rsidRDefault="003C455E">
      <w:pPr>
        <w:pStyle w:val="Standard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24.- INTERPRETACIÓN</w:t>
      </w:r>
    </w:p>
    <w:p w:rsidR="009B4C48" w:rsidRDefault="003C455E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Toda cláusula imprecisa, ambigua, contradictoria u oscura a criterio de la </w:t>
      </w:r>
      <w:r>
        <w:rPr>
          <w:rFonts w:ascii="Bookman Old Style" w:hAnsi="Bookman Old Style"/>
        </w:rPr>
        <w:t>Administración, se interpretará en el sentido más favorable a ésta.</w:t>
      </w:r>
    </w:p>
    <w:p w:rsidR="009B4C48" w:rsidRDefault="009B4C48">
      <w:pPr>
        <w:pStyle w:val="Standard"/>
        <w:rPr>
          <w:rFonts w:ascii="Bookman Old Style" w:hAnsi="Bookman Old Style"/>
          <w:b/>
          <w:sz w:val="32"/>
          <w:szCs w:val="32"/>
          <w:u w:val="single"/>
        </w:rPr>
      </w:pPr>
    </w:p>
    <w:p w:rsidR="009B4C48" w:rsidRDefault="009B4C48">
      <w:pPr>
        <w:pStyle w:val="Standard"/>
        <w:rPr>
          <w:rFonts w:ascii="Bookman Old Style" w:hAnsi="Bookman Old Style"/>
          <w:b/>
          <w:sz w:val="32"/>
          <w:szCs w:val="32"/>
          <w:u w:val="single"/>
        </w:rPr>
      </w:pPr>
    </w:p>
    <w:p w:rsidR="009B4C48" w:rsidRDefault="003C455E">
      <w:pPr>
        <w:pStyle w:val="Standard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</w:p>
    <w:p w:rsidR="009B4C48" w:rsidRDefault="009B4C48">
      <w:pPr>
        <w:pStyle w:val="Standard"/>
        <w:rPr>
          <w:rFonts w:ascii="Bookman Old Style" w:hAnsi="Bookman Old Style"/>
          <w:b/>
          <w:sz w:val="32"/>
          <w:szCs w:val="32"/>
        </w:rPr>
      </w:pPr>
    </w:p>
    <w:p w:rsidR="009B4C48" w:rsidRDefault="009B4C48">
      <w:pPr>
        <w:pStyle w:val="Standard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B4C48" w:rsidRDefault="009B4C48">
      <w:pPr>
        <w:pStyle w:val="Standard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B4C48" w:rsidRDefault="009B4C48">
      <w:pPr>
        <w:pStyle w:val="Standard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B4C48" w:rsidRDefault="009B4C48">
      <w:pPr>
        <w:pStyle w:val="Standard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B4C48" w:rsidRDefault="009B4C48">
      <w:pPr>
        <w:pStyle w:val="Standard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B4C48" w:rsidRDefault="009B4C48">
      <w:pPr>
        <w:pStyle w:val="Standard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B4C48" w:rsidRDefault="009B4C48">
      <w:pPr>
        <w:pStyle w:val="Standard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B4C48" w:rsidRDefault="009B4C48">
      <w:pPr>
        <w:pStyle w:val="Standard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B4C48" w:rsidRDefault="009B4C48">
      <w:pPr>
        <w:pStyle w:val="Standard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B4C48" w:rsidRDefault="009B4C48">
      <w:pPr>
        <w:pStyle w:val="Standard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B4C48" w:rsidRDefault="003C455E">
      <w:pPr>
        <w:pStyle w:val="Standard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Constancia de Visita</w:t>
      </w:r>
    </w:p>
    <w:p w:rsidR="009B4C48" w:rsidRDefault="003C455E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</w:t>
      </w:r>
    </w:p>
    <w:p w:rsidR="009B4C48" w:rsidRDefault="003C455E">
      <w:pPr>
        <w:pStyle w:val="Standard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Montevideo, 3 de mayo de 2017.</w:t>
      </w: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    </w:t>
      </w: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la fecha la empresa……………………………..……. realizó la vista</w:t>
      </w:r>
    </w:p>
    <w:p w:rsidR="009B4C48" w:rsidRDefault="009B4C48">
      <w:pPr>
        <w:pStyle w:val="Standard"/>
        <w:rPr>
          <w:rFonts w:ascii="Bookman Old Style" w:hAnsi="Bookman Old Style"/>
          <w:sz w:val="24"/>
          <w:szCs w:val="24"/>
        </w:rPr>
      </w:pP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Correspondiente de la Licitación Abreviada   Nº 10/2017</w:t>
      </w: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    </w:t>
      </w: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    </w:t>
      </w: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    </w:t>
      </w: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    </w:t>
      </w: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 …………………………………………</w:t>
      </w: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    </w:t>
      </w: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Aclaración …………………………………………</w:t>
      </w: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    </w:t>
      </w: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 …………………………………………</w:t>
      </w: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    </w:t>
      </w:r>
    </w:p>
    <w:p w:rsidR="009B4C48" w:rsidRDefault="009B4C48">
      <w:pPr>
        <w:pStyle w:val="Standard"/>
        <w:rPr>
          <w:rFonts w:ascii="Bookman Old Style" w:hAnsi="Bookman Old Style"/>
          <w:sz w:val="24"/>
          <w:szCs w:val="24"/>
        </w:rPr>
      </w:pPr>
    </w:p>
    <w:p w:rsidR="009B4C48" w:rsidRDefault="009B4C48">
      <w:pPr>
        <w:pStyle w:val="Standard"/>
        <w:rPr>
          <w:rFonts w:ascii="Bookman Old Style" w:hAnsi="Bookman Old Style"/>
          <w:sz w:val="24"/>
          <w:szCs w:val="24"/>
        </w:rPr>
      </w:pP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 del Funcionario del Poder Judicial</w:t>
      </w:r>
    </w:p>
    <w:p w:rsidR="009B4C48" w:rsidRDefault="009B4C48">
      <w:pPr>
        <w:pStyle w:val="Standard"/>
        <w:rPr>
          <w:rFonts w:ascii="Bookman Old Style" w:hAnsi="Bookman Old Style"/>
          <w:sz w:val="24"/>
          <w:szCs w:val="24"/>
        </w:rPr>
      </w:pPr>
    </w:p>
    <w:p w:rsidR="009B4C48" w:rsidRDefault="009B4C48">
      <w:pPr>
        <w:pStyle w:val="Standard"/>
        <w:rPr>
          <w:rFonts w:ascii="Bookman Old Style" w:hAnsi="Bookman Old Style"/>
          <w:sz w:val="24"/>
          <w:szCs w:val="24"/>
        </w:rPr>
      </w:pPr>
    </w:p>
    <w:p w:rsidR="009B4C48" w:rsidRDefault="003C455E">
      <w:pPr>
        <w:pStyle w:val="Standar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Aclaración…………………………</w:t>
      </w:r>
    </w:p>
    <w:p w:rsidR="009B4C48" w:rsidRDefault="009B4C48">
      <w:pPr>
        <w:pStyle w:val="Standard"/>
        <w:rPr>
          <w:rFonts w:ascii="Bookman Old Style" w:hAnsi="Bookman Old Style"/>
        </w:rPr>
      </w:pPr>
    </w:p>
    <w:p w:rsidR="009B4C48" w:rsidRDefault="009B4C48">
      <w:pPr>
        <w:pStyle w:val="Standard"/>
      </w:pPr>
    </w:p>
    <w:sectPr w:rsidR="009B4C48">
      <w:pgSz w:w="11906" w:h="16838"/>
      <w:pgMar w:top="2552" w:right="1247" w:bottom="56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5E" w:rsidRDefault="003C455E">
      <w:pPr>
        <w:spacing w:after="0" w:line="240" w:lineRule="auto"/>
      </w:pPr>
      <w:r>
        <w:separator/>
      </w:r>
    </w:p>
  </w:endnote>
  <w:endnote w:type="continuationSeparator" w:id="0">
    <w:p w:rsidR="003C455E" w:rsidRDefault="003C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5E" w:rsidRDefault="003C45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455E" w:rsidRDefault="003C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3E73"/>
    <w:multiLevelType w:val="multilevel"/>
    <w:tmpl w:val="173C9DD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/>
        <w:sz w:val="20"/>
        <w:szCs w:val="2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5C96C78"/>
    <w:multiLevelType w:val="multilevel"/>
    <w:tmpl w:val="1F78825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E8A5818"/>
    <w:multiLevelType w:val="multilevel"/>
    <w:tmpl w:val="BBB6EA5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4C48"/>
    <w:rsid w:val="0033600B"/>
    <w:rsid w:val="003C455E"/>
    <w:rsid w:val="009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s-UY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s-UY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2617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digepro1</dc:creator>
  <cp:lastModifiedBy>inventario</cp:lastModifiedBy>
  <cp:revision>2</cp:revision>
  <cp:lastPrinted>2017-04-24T19:31:00Z</cp:lastPrinted>
  <dcterms:created xsi:type="dcterms:W3CDTF">2017-04-24T19:58:00Z</dcterms:created>
  <dcterms:modified xsi:type="dcterms:W3CDTF">2017-04-24T19:58:00Z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