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ular"/>
        <w:spacing w:lineRule="auto" w:line="276" w:before="0" w:after="0"/>
        <w:rPr>
          <w:rFonts w:ascii="Bookman Old Style" w:hAnsi="Bookman Old Style"/>
          <w:bCs/>
          <w:sz w:val="22"/>
          <w:szCs w:val="22"/>
          <w:lang w:val="es-UY"/>
        </w:rPr>
      </w:pPr>
      <w:r>
        <w:rPr>
          <w:rFonts w:ascii="Bookman Old Style" w:hAnsi="Bookman Old Style"/>
          <w:bCs/>
          <w:sz w:val="22"/>
          <w:szCs w:val="22"/>
          <w:lang w:val="es-UY"/>
        </w:rPr>
        <w:t>PODER JUDICIAL</w:t>
      </w:r>
    </w:p>
    <w:p>
      <w:pPr>
        <w:pStyle w:val="Normal1"/>
        <w:spacing w:lineRule="auto" w:line="276" w:before="0" w:after="0"/>
        <w:jc w:val="center"/>
        <w:rPr>
          <w:rFonts w:ascii="Bookman Old Style" w:hAnsi="Bookman Old Style"/>
          <w:b/>
          <w:b/>
          <w:bCs/>
          <w:sz w:val="22"/>
          <w:szCs w:val="22"/>
          <w:lang w:val="es-UY"/>
        </w:rPr>
      </w:pPr>
      <w:r>
        <w:rPr>
          <w:rFonts w:ascii="Bookman Old Style" w:hAnsi="Bookman Old Style"/>
          <w:b/>
          <w:bCs/>
          <w:sz w:val="22"/>
          <w:szCs w:val="22"/>
          <w:lang w:val="es-UY"/>
        </w:rPr>
        <w:t>DEPARTAMENTO DE ADQUISICIONES</w:t>
      </w:r>
    </w:p>
    <w:p>
      <w:pPr>
        <w:pStyle w:val="Normal1"/>
        <w:spacing w:lineRule="auto" w:line="276" w:before="0" w:after="0"/>
        <w:jc w:val="center"/>
        <w:rPr>
          <w:rFonts w:ascii="Bookman Old Style" w:hAnsi="Bookman Old Style"/>
          <w:b/>
          <w:b/>
          <w:bCs/>
          <w:sz w:val="22"/>
          <w:szCs w:val="22"/>
          <w:lang w:val="es-UY"/>
        </w:rPr>
      </w:pPr>
      <w:r>
        <w:rPr>
          <w:rFonts w:ascii="Bookman Old Style" w:hAnsi="Bookman Old Style"/>
          <w:b/>
          <w:bCs/>
          <w:sz w:val="22"/>
          <w:szCs w:val="22"/>
          <w:lang w:val="es-UY"/>
        </w:rPr>
        <w:t xml:space="preserve">LICITACIÓN ABREVIADA N° </w:t>
      </w:r>
      <w:r>
        <w:rPr>
          <w:rFonts w:ascii="Bookman Old Style" w:hAnsi="Bookman Old Style"/>
          <w:b/>
          <w:bCs/>
          <w:sz w:val="22"/>
          <w:szCs w:val="22"/>
          <w:lang w:val="es-UY"/>
        </w:rPr>
        <w:t>8</w:t>
      </w:r>
      <w:r>
        <w:rPr>
          <w:rFonts w:ascii="Bookman Old Style" w:hAnsi="Bookman Old Style"/>
          <w:b/>
          <w:bCs/>
          <w:sz w:val="22"/>
          <w:szCs w:val="22"/>
          <w:lang w:val="es-UY"/>
        </w:rPr>
        <w:t>/2023</w:t>
      </w:r>
    </w:p>
    <w:p>
      <w:pPr>
        <w:pStyle w:val="Ttulo12"/>
        <w:spacing w:lineRule="auto" w:line="276" w:before="0" w:after="0"/>
        <w:ind w:left="0" w:hanging="0"/>
        <w:jc w:val="center"/>
        <w:rPr>
          <w:rFonts w:ascii="Bookman Old Style" w:hAnsi="Bookman Old Style"/>
          <w:sz w:val="22"/>
          <w:szCs w:val="22"/>
          <w:lang w:val="es-UY"/>
        </w:rPr>
      </w:pPr>
      <w:r>
        <w:rPr>
          <w:rFonts w:ascii="Bookman Old Style" w:hAnsi="Bookman Old Style"/>
          <w:sz w:val="22"/>
          <w:szCs w:val="22"/>
          <w:lang w:val="es-UY"/>
        </w:rPr>
        <w:t>Inciso 16</w:t>
      </w:r>
    </w:p>
    <w:p>
      <w:pPr>
        <w:pStyle w:val="Ttulo12"/>
        <w:spacing w:lineRule="auto" w:line="276" w:before="0" w:after="0"/>
        <w:ind w:left="0" w:hanging="0"/>
        <w:jc w:val="center"/>
        <w:rPr>
          <w:rFonts w:ascii="Bookman Old Style" w:hAnsi="Bookman Old Style"/>
          <w:sz w:val="22"/>
          <w:szCs w:val="22"/>
          <w:lang w:val="es-UY"/>
        </w:rPr>
      </w:pPr>
      <w:r>
        <w:rPr>
          <w:rFonts w:ascii="Bookman Old Style" w:hAnsi="Bookman Old Style"/>
          <w:sz w:val="22"/>
          <w:szCs w:val="22"/>
          <w:lang w:val="es-UY"/>
        </w:rPr>
      </w:r>
    </w:p>
    <w:p>
      <w:pPr>
        <w:pStyle w:val="Ttulo12"/>
        <w:spacing w:lineRule="auto" w:line="276" w:before="0" w:after="0"/>
        <w:ind w:left="0" w:hanging="0"/>
        <w:jc w:val="both"/>
        <w:rPr>
          <w:rFonts w:ascii="Bookman Old Style" w:hAnsi="Bookman Old Style"/>
          <w:sz w:val="22"/>
          <w:szCs w:val="22"/>
          <w:lang w:val="es-UY"/>
        </w:rPr>
      </w:pPr>
      <w:r>
        <w:rPr>
          <w:rFonts w:ascii="Bookman Old Style" w:hAnsi="Bookman Old Style"/>
          <w:sz w:val="22"/>
          <w:szCs w:val="22"/>
          <w:lang w:val="es-UY"/>
        </w:rPr>
        <w:t>PLIEGO SIN COSTO</w:t>
      </w:r>
    </w:p>
    <w:p>
      <w:pPr>
        <w:pStyle w:val="Cuerpodetexto"/>
        <w:spacing w:before="0" w:after="0"/>
        <w:ind w:left="360" w:hanging="0"/>
        <w:jc w:val="both"/>
        <w:rPr>
          <w:rFonts w:cs="Times New Roman"/>
          <w:sz w:val="22"/>
          <w:szCs w:val="22"/>
        </w:rPr>
      </w:pPr>
      <w:r>
        <w:rPr>
          <w:rFonts w:cs="Times New Roman"/>
          <w:sz w:val="22"/>
          <w:szCs w:val="22"/>
        </w:rPr>
        <w:t xml:space="preserve">El presente llamado se regirá por lo establecido en  las siguientes disposiciones: </w:t>
      </w:r>
    </w:p>
    <w:p>
      <w:pPr>
        <w:pStyle w:val="Normal"/>
        <w:widowControl/>
        <w:numPr>
          <w:ilvl w:val="0"/>
          <w:numId w:val="6"/>
        </w:numPr>
        <w:spacing w:before="0" w:after="0"/>
        <w:ind w:left="567" w:hanging="360"/>
        <w:jc w:val="both"/>
        <w:rPr>
          <w:rFonts w:eastAsia="Arial" w:cs="Times New Roman"/>
          <w:kern w:val="2"/>
          <w:sz w:val="22"/>
          <w:szCs w:val="22"/>
          <w:lang w:eastAsia="ar-SA"/>
        </w:rPr>
      </w:pPr>
      <w:r>
        <w:rPr>
          <w:rFonts w:eastAsia="Arial" w:cs="Times New Roman"/>
          <w:kern w:val="2"/>
          <w:sz w:val="22"/>
          <w:szCs w:val="22"/>
          <w:lang w:eastAsia="ar-SA"/>
        </w:rPr>
        <w:t>T.O.C.A.F. aprobado por Decreto N° 150/012 de 11 de mayo de 2012 y modificativas</w:t>
      </w:r>
    </w:p>
    <w:p>
      <w:pPr>
        <w:pStyle w:val="Normal"/>
        <w:widowControl/>
        <w:numPr>
          <w:ilvl w:val="0"/>
          <w:numId w:val="6"/>
        </w:numPr>
        <w:spacing w:before="0" w:after="0"/>
        <w:ind w:left="567" w:hanging="360"/>
        <w:jc w:val="both"/>
        <w:rPr>
          <w:rFonts w:eastAsia="Arial" w:cs="Times New Roman"/>
          <w:kern w:val="2"/>
          <w:sz w:val="22"/>
          <w:szCs w:val="22"/>
          <w:lang w:eastAsia="ar-SA"/>
        </w:rPr>
      </w:pPr>
      <w:r>
        <w:rPr>
          <w:rFonts w:eastAsia="Arial" w:cs="Times New Roman"/>
          <w:kern w:val="2"/>
          <w:sz w:val="22"/>
          <w:szCs w:val="22"/>
          <w:lang w:eastAsia="ar-SA"/>
        </w:rPr>
        <w:t>Decreto Nº 155/013</w:t>
      </w:r>
    </w:p>
    <w:p>
      <w:pPr>
        <w:pStyle w:val="Normal"/>
        <w:widowControl/>
        <w:numPr>
          <w:ilvl w:val="0"/>
          <w:numId w:val="6"/>
        </w:numPr>
        <w:spacing w:before="0" w:after="0"/>
        <w:ind w:left="567" w:hanging="360"/>
        <w:jc w:val="both"/>
        <w:rPr>
          <w:rFonts w:eastAsia="Arial" w:cs="Times New Roman"/>
          <w:kern w:val="2"/>
          <w:sz w:val="22"/>
          <w:szCs w:val="22"/>
          <w:lang w:eastAsia="ar-SA"/>
        </w:rPr>
      </w:pPr>
      <w:r>
        <w:rPr>
          <w:rFonts w:eastAsia="Arial" w:cs="Times New Roman"/>
          <w:kern w:val="2"/>
          <w:sz w:val="22"/>
          <w:szCs w:val="22"/>
          <w:lang w:eastAsia="ar-SA"/>
        </w:rPr>
        <w:t>Acordada Nº 7400 de 27 de junio de 2000</w:t>
      </w:r>
    </w:p>
    <w:p>
      <w:pPr>
        <w:pStyle w:val="Normal"/>
        <w:widowControl/>
        <w:numPr>
          <w:ilvl w:val="0"/>
          <w:numId w:val="6"/>
        </w:numPr>
        <w:spacing w:before="0" w:after="0"/>
        <w:ind w:left="567" w:hanging="360"/>
        <w:jc w:val="both"/>
        <w:rPr>
          <w:rFonts w:eastAsia="Arial" w:cs="Times New Roman"/>
          <w:kern w:val="2"/>
          <w:sz w:val="22"/>
          <w:szCs w:val="22"/>
          <w:lang w:eastAsia="ar-SA"/>
        </w:rPr>
      </w:pPr>
      <w:r>
        <w:rPr>
          <w:rFonts w:eastAsia="Arial" w:cs="Times New Roman"/>
          <w:kern w:val="2"/>
          <w:sz w:val="22"/>
          <w:szCs w:val="22"/>
          <w:lang w:bidi="es-ES"/>
        </w:rPr>
        <w:t>Decreto Nº 131/2014: Pliego Único de Bases y Condiciones  Generales para Contratos de Suministros y Servicios No Personales</w:t>
      </w:r>
    </w:p>
    <w:p>
      <w:pPr>
        <w:pStyle w:val="Normal"/>
        <w:widowControl/>
        <w:numPr>
          <w:ilvl w:val="0"/>
          <w:numId w:val="6"/>
        </w:numPr>
        <w:suppressAutoHyphens w:val="false"/>
        <w:spacing w:before="0" w:after="0"/>
        <w:ind w:left="567" w:hanging="360"/>
        <w:contextualSpacing/>
        <w:jc w:val="both"/>
        <w:rPr>
          <w:rFonts w:eastAsia="Arial" w:cs="Times New Roman"/>
          <w:kern w:val="2"/>
          <w:sz w:val="22"/>
          <w:szCs w:val="22"/>
          <w:lang w:eastAsia="ar-SA"/>
        </w:rPr>
      </w:pPr>
      <w:r>
        <w:rPr>
          <w:rFonts w:eastAsia="Bookman Old Style" w:cs="Times New Roman"/>
          <w:sz w:val="22"/>
          <w:szCs w:val="22"/>
          <w:lang w:bidi="es-ES"/>
        </w:rPr>
        <w:t>Ley N° 19.889 de 9/7/2020.</w:t>
      </w:r>
    </w:p>
    <w:p>
      <w:pPr>
        <w:pStyle w:val="Normal"/>
        <w:widowControl/>
        <w:numPr>
          <w:ilvl w:val="0"/>
          <w:numId w:val="6"/>
        </w:numPr>
        <w:suppressAutoHyphens w:val="false"/>
        <w:spacing w:before="0" w:after="0"/>
        <w:ind w:left="567" w:hanging="360"/>
        <w:contextualSpacing/>
        <w:jc w:val="both"/>
        <w:rPr>
          <w:rFonts w:eastAsia="Arial" w:cs="Times New Roman"/>
          <w:kern w:val="2"/>
          <w:sz w:val="22"/>
          <w:szCs w:val="22"/>
          <w:lang w:eastAsia="ar-SA"/>
        </w:rPr>
      </w:pPr>
      <w:r>
        <w:rPr>
          <w:rFonts w:eastAsia="Arial" w:cs="Times New Roman"/>
          <w:kern w:val="2"/>
          <w:sz w:val="22"/>
          <w:szCs w:val="22"/>
          <w:lang w:eastAsia="ar-SA"/>
        </w:rPr>
        <w:t>Leyes, decretos y resoluciones vigentes a la fecha de aperturas de la licitación, en tanto fueren aplicables</w:t>
      </w:r>
    </w:p>
    <w:p>
      <w:pPr>
        <w:pStyle w:val="Cuerpodetexto"/>
        <w:spacing w:before="0" w:after="0"/>
        <w:jc w:val="both"/>
        <w:rPr>
          <w:rFonts w:cs="Times New Roman"/>
          <w:bCs/>
          <w:sz w:val="22"/>
          <w:szCs w:val="22"/>
        </w:rPr>
      </w:pPr>
      <w:r>
        <w:rPr>
          <w:rFonts w:cs="Times New Roman"/>
          <w:bCs/>
          <w:sz w:val="22"/>
          <w:szCs w:val="22"/>
        </w:rPr>
      </w:r>
    </w:p>
    <w:p>
      <w:pPr>
        <w:pStyle w:val="Textoindependiente22"/>
        <w:spacing w:lineRule="auto" w:line="276" w:before="0" w:after="0"/>
        <w:jc w:val="both"/>
        <w:rPr>
          <w:rFonts w:ascii="Bookman Old Style" w:hAnsi="Bookman Old Style"/>
          <w:b/>
          <w:b/>
          <w:bCs/>
          <w:sz w:val="22"/>
          <w:szCs w:val="22"/>
          <w:lang w:val="es-UY"/>
        </w:rPr>
      </w:pPr>
      <w:r>
        <w:rPr>
          <w:rFonts w:ascii="Bookman Old Style" w:hAnsi="Bookman Old Style"/>
          <w:b/>
          <w:bCs/>
          <w:sz w:val="22"/>
          <w:szCs w:val="22"/>
          <w:lang w:val="es-UY"/>
        </w:rPr>
        <w:t>Art. 1.- OBJETO DEL CONTRATO Y CARACTERISTICAS ESPECIALES</w:t>
      </w:r>
    </w:p>
    <w:p>
      <w:pPr>
        <w:pStyle w:val="Normal1"/>
        <w:tabs>
          <w:tab w:val="clear" w:pos="708"/>
          <w:tab w:val="left" w:pos="720" w:leader="none"/>
        </w:tabs>
        <w:spacing w:lineRule="auto" w:line="276" w:before="0" w:after="0"/>
        <w:jc w:val="both"/>
        <w:rPr>
          <w:rFonts w:ascii="Bookman Old Style" w:hAnsi="Bookman Old Style"/>
          <w:bCs/>
          <w:sz w:val="22"/>
          <w:szCs w:val="22"/>
          <w:lang w:val="es-UY"/>
        </w:rPr>
      </w:pPr>
      <w:r>
        <w:rPr>
          <w:rFonts w:ascii="Bookman Old Style" w:hAnsi="Bookman Old Style"/>
          <w:bCs/>
          <w:sz w:val="22"/>
          <w:szCs w:val="22"/>
          <w:lang w:val="es-UY"/>
        </w:rPr>
        <w:t xml:space="preserve">Adquisición del siguiente </w:t>
      </w:r>
      <w:r>
        <w:rPr>
          <w:rFonts w:ascii="Bookman Old Style" w:hAnsi="Bookman Old Style"/>
          <w:b/>
          <w:bCs/>
          <w:sz w:val="22"/>
          <w:szCs w:val="22"/>
          <w:u w:val="single"/>
          <w:lang w:val="es-UY"/>
        </w:rPr>
        <w:t xml:space="preserve">equipamiento para el Laboratorio de Química y Toxicología del Poder Judicial </w:t>
      </w:r>
      <w:r>
        <w:rPr>
          <w:rFonts w:ascii="Bookman Old Style" w:hAnsi="Bookman Old Style"/>
          <w:b/>
          <w:bCs/>
          <w:sz w:val="22"/>
          <w:szCs w:val="22"/>
          <w:lang w:val="es-UY"/>
        </w:rPr>
        <w:t xml:space="preserve"> </w:t>
      </w:r>
      <w:r>
        <w:rPr>
          <w:rFonts w:ascii="Bookman Old Style" w:hAnsi="Bookman Old Style"/>
          <w:bCs/>
          <w:sz w:val="22"/>
          <w:szCs w:val="22"/>
          <w:lang w:val="es-UY"/>
        </w:rPr>
        <w:t xml:space="preserve">(hasta la cantidad que se indica) </w:t>
      </w:r>
      <w:r>
        <w:rPr>
          <w:rFonts w:ascii="Bookman Old Style" w:hAnsi="Bookman Old Style"/>
          <w:b/>
          <w:bCs/>
          <w:sz w:val="22"/>
          <w:szCs w:val="22"/>
          <w:u w:val="single"/>
          <w:lang w:val="es-UY"/>
        </w:rPr>
        <w:t>incluyendo instalación y puesta en funcionamiento</w:t>
      </w:r>
      <w:r>
        <w:rPr>
          <w:rFonts w:ascii="Bookman Old Style" w:hAnsi="Bookman Old Style"/>
          <w:bCs/>
          <w:sz w:val="22"/>
          <w:szCs w:val="22"/>
          <w:lang w:val="es-UY"/>
        </w:rPr>
        <w:t>, de acuerdo al siguiente detalle:</w:t>
      </w:r>
    </w:p>
    <w:p>
      <w:pPr>
        <w:pStyle w:val="Normal1"/>
        <w:tabs>
          <w:tab w:val="clear" w:pos="708"/>
          <w:tab w:val="left" w:pos="720" w:leader="none"/>
        </w:tabs>
        <w:spacing w:lineRule="auto" w:line="276" w:before="0" w:after="0"/>
        <w:jc w:val="both"/>
        <w:rPr>
          <w:rFonts w:ascii="Bookman Old Style" w:hAnsi="Bookman Old Style"/>
          <w:b/>
          <w:b/>
          <w:bCs/>
          <w:sz w:val="22"/>
          <w:szCs w:val="22"/>
          <w:u w:val="single"/>
          <w:lang w:val="es-UY"/>
        </w:rPr>
      </w:pPr>
      <w:r>
        <w:rPr>
          <w:rFonts w:ascii="Bookman Old Style" w:hAnsi="Bookman Old Style"/>
          <w:b/>
          <w:bCs/>
          <w:sz w:val="22"/>
          <w:szCs w:val="22"/>
          <w:u w:val="single"/>
          <w:lang w:val="es-UY"/>
        </w:rPr>
      </w:r>
    </w:p>
    <w:p>
      <w:pPr>
        <w:pStyle w:val="Normal1"/>
        <w:tabs>
          <w:tab w:val="clear" w:pos="708"/>
          <w:tab w:val="left" w:pos="720" w:leader="none"/>
        </w:tabs>
        <w:spacing w:lineRule="auto" w:line="276" w:before="0" w:after="0"/>
        <w:jc w:val="both"/>
        <w:rPr>
          <w:rFonts w:ascii="Bookman Old Style" w:hAnsi="Bookman Old Style"/>
          <w:b/>
          <w:b/>
          <w:bCs/>
          <w:sz w:val="22"/>
          <w:szCs w:val="22"/>
          <w:u w:val="single"/>
          <w:lang w:val="es-UY"/>
        </w:rPr>
      </w:pPr>
      <w:r>
        <w:rPr>
          <w:rFonts w:ascii="Bookman Old Style" w:hAnsi="Bookman Old Style"/>
          <w:b/>
          <w:bCs/>
          <w:sz w:val="22"/>
          <w:szCs w:val="22"/>
          <w:u w:val="single"/>
          <w:lang w:val="es-UY"/>
        </w:rPr>
      </w:r>
    </w:p>
    <w:tbl>
      <w:tblPr>
        <w:tblW w:w="8649" w:type="dxa"/>
        <w:jc w:val="left"/>
        <w:tblInd w:w="-175" w:type="dxa"/>
        <w:tblCellMar>
          <w:top w:w="0" w:type="dxa"/>
          <w:left w:w="108" w:type="dxa"/>
          <w:bottom w:w="0" w:type="dxa"/>
          <w:right w:w="108" w:type="dxa"/>
        </w:tblCellMar>
        <w:tblLook w:firstRow="1" w:noVBand="1" w:lastRow="0" w:firstColumn="1" w:lastColumn="0" w:noHBand="0" w:val="04a0"/>
      </w:tblPr>
      <w:tblGrid>
        <w:gridCol w:w="850"/>
        <w:gridCol w:w="1275"/>
        <w:gridCol w:w="6524"/>
      </w:tblGrid>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b/>
                <w:b/>
                <w:bCs/>
                <w:sz w:val="22"/>
                <w:szCs w:val="22"/>
                <w:lang w:val="es-UY"/>
              </w:rPr>
            </w:pPr>
            <w:r>
              <w:rPr>
                <w:rFonts w:ascii="Bookman Old Style" w:hAnsi="Bookman Old Style"/>
                <w:b/>
                <w:bCs/>
                <w:sz w:val="22"/>
                <w:szCs w:val="22"/>
                <w:lang w:val="es-UY"/>
              </w:rPr>
              <w:t>Item</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sz w:val="22"/>
                <w:szCs w:val="22"/>
                <w:lang w:val="es-UY"/>
              </w:rPr>
            </w:pPr>
            <w:r>
              <w:rPr>
                <w:rFonts w:ascii="Bookman Old Style" w:hAnsi="Bookman Old Style"/>
                <w:sz w:val="22"/>
                <w:szCs w:val="22"/>
                <w:lang w:val="es-UY"/>
              </w:rPr>
              <w:t xml:space="preserve">Cantidad </w:t>
            </w:r>
          </w:p>
          <w:p>
            <w:pPr>
              <w:pStyle w:val="Normal1"/>
              <w:tabs>
                <w:tab w:val="clear" w:pos="708"/>
                <w:tab w:val="left" w:pos="720" w:leader="none"/>
              </w:tabs>
              <w:spacing w:lineRule="auto" w:line="276" w:before="0" w:after="0"/>
              <w:jc w:val="center"/>
              <w:rPr>
                <w:rFonts w:ascii="Bookman Old Style" w:hAnsi="Bookman Old Style"/>
                <w:sz w:val="22"/>
                <w:szCs w:val="22"/>
                <w:lang w:val="es-UY"/>
              </w:rPr>
            </w:pPr>
            <w:r>
              <w:rPr>
                <w:rFonts w:ascii="Bookman Old Style" w:hAnsi="Bookman Old Style"/>
                <w:sz w:val="22"/>
                <w:szCs w:val="22"/>
                <w:lang w:val="es-UY"/>
              </w:rPr>
              <w:t>(hasta)</w:t>
            </w:r>
          </w:p>
        </w:tc>
        <w:tc>
          <w:tcPr>
            <w:tcW w:w="6524"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sz w:val="22"/>
                <w:szCs w:val="22"/>
                <w:lang w:val="es-UY"/>
              </w:rPr>
            </w:pPr>
            <w:r>
              <w:rPr>
                <w:rFonts w:ascii="Bookman Old Style" w:hAnsi="Bookman Old Style"/>
                <w:sz w:val="22"/>
                <w:szCs w:val="22"/>
                <w:lang w:val="es-UY"/>
              </w:rPr>
              <w:t>DESCRIPCION</w:t>
            </w:r>
          </w:p>
          <w:p>
            <w:pPr>
              <w:pStyle w:val="Normal1"/>
              <w:tabs>
                <w:tab w:val="clear" w:pos="708"/>
                <w:tab w:val="left" w:pos="720" w:leader="none"/>
              </w:tabs>
              <w:spacing w:lineRule="auto" w:line="276" w:before="0" w:after="0"/>
              <w:jc w:val="center"/>
              <w:rPr>
                <w:rFonts w:ascii="Bookman Old Style" w:hAnsi="Bookman Old Style"/>
                <w:sz w:val="22"/>
                <w:szCs w:val="22"/>
                <w:lang w:val="es-UY"/>
              </w:rPr>
            </w:pPr>
            <w:r>
              <w:rPr>
                <w:rFonts w:ascii="Bookman Old Style" w:hAnsi="Bookman Old Style"/>
                <w:sz w:val="22"/>
                <w:szCs w:val="22"/>
                <w:lang w:val="es-UY"/>
              </w:rPr>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b/>
                <w:b/>
                <w:sz w:val="22"/>
                <w:szCs w:val="22"/>
                <w:highlight w:val="yellow"/>
                <w:lang w:val="es-UY"/>
              </w:rPr>
            </w:pPr>
            <w:r>
              <w:rPr>
                <w:rFonts w:ascii="Bookman Old Style" w:hAnsi="Bookman Old Style"/>
                <w:b/>
                <w:bCs/>
                <w:sz w:val="22"/>
                <w:szCs w:val="22"/>
                <w:lang w:val="es-UY"/>
              </w:rPr>
              <w:t>1</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sz w:val="22"/>
                <w:szCs w:val="22"/>
                <w:lang w:val="es-UY"/>
              </w:rPr>
            </w:pPr>
            <w:r>
              <w:rPr>
                <w:rFonts w:ascii="Bookman Old Style" w:hAnsi="Bookman Old Style"/>
                <w:sz w:val="22"/>
                <w:szCs w:val="22"/>
                <w:lang w:val="es-UY"/>
              </w:rPr>
              <w:t>1</w:t>
            </w:r>
          </w:p>
        </w:tc>
        <w:tc>
          <w:tcPr>
            <w:tcW w:w="6524"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both"/>
              <w:rPr>
                <w:rFonts w:ascii="Bookman Old Style" w:hAnsi="Bookman Old Style"/>
                <w:sz w:val="22"/>
                <w:szCs w:val="22"/>
                <w:lang w:val="es-UY"/>
              </w:rPr>
            </w:pPr>
            <w:r>
              <w:rPr>
                <w:rFonts w:ascii="Bookman Old Style" w:hAnsi="Bookman Old Style"/>
                <w:sz w:val="22"/>
                <w:szCs w:val="22"/>
                <w:lang w:val="es-UY"/>
              </w:rPr>
              <w:t xml:space="preserve">Concentrador de Muestras. -Columna de bandeja y distribuidor de gas. Altura ajustable, control individual de flujo de gas por aguja, capacidad 24 tubos, agujas de acero inoxidable, termobloques con pocillos para tubos de 15-17 mm, termobloque con pocillos para viales de 2mL, calentador de 100ºC o más- </w:t>
            </w:r>
            <w:r>
              <w:rPr>
                <w:rFonts w:ascii="Bookman Old Style" w:hAnsi="Bookman Old Style"/>
                <w:b/>
                <w:sz w:val="22"/>
                <w:szCs w:val="22"/>
                <w:lang w:val="es-UY"/>
              </w:rPr>
              <w:t>(Código SICE 28204)</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b/>
                <w:b/>
                <w:bCs/>
                <w:sz w:val="22"/>
                <w:szCs w:val="22"/>
                <w:lang w:val="es-UY"/>
              </w:rPr>
            </w:pPr>
            <w:r>
              <w:rPr>
                <w:rFonts w:ascii="Bookman Old Style" w:hAnsi="Bookman Old Style"/>
                <w:b/>
                <w:bCs/>
                <w:sz w:val="22"/>
                <w:szCs w:val="22"/>
                <w:lang w:val="es-UY"/>
              </w:rPr>
              <w:t>2</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sz w:val="22"/>
                <w:szCs w:val="22"/>
                <w:lang w:val="es-UY"/>
              </w:rPr>
            </w:pPr>
            <w:r>
              <w:rPr>
                <w:rFonts w:ascii="Bookman Old Style" w:hAnsi="Bookman Old Style"/>
                <w:sz w:val="22"/>
                <w:szCs w:val="22"/>
                <w:lang w:val="es-UY"/>
              </w:rPr>
              <w:t>2</w:t>
            </w:r>
          </w:p>
        </w:tc>
        <w:tc>
          <w:tcPr>
            <w:tcW w:w="6524"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both"/>
              <w:rPr>
                <w:rFonts w:ascii="Bookman Old Style" w:hAnsi="Bookman Old Style"/>
                <w:sz w:val="22"/>
                <w:szCs w:val="22"/>
                <w:lang w:val="es-UY"/>
              </w:rPr>
            </w:pPr>
            <w:r>
              <w:rPr>
                <w:rFonts w:ascii="Bookman Old Style" w:hAnsi="Bookman Old Style"/>
                <w:sz w:val="22"/>
                <w:szCs w:val="22"/>
                <w:lang w:val="es-UY"/>
              </w:rPr>
              <w:t>Agitador VORTEX -Velocidad ajustable abarcando 200-2000rpm, operación modo toque o continua. Diámetro de órbita: 4,2mm -</w:t>
            </w:r>
            <w:r>
              <w:rPr>
                <w:rFonts w:ascii="Bookman Old Style" w:hAnsi="Bookman Old Style"/>
                <w:b/>
                <w:sz w:val="22"/>
                <w:szCs w:val="22"/>
                <w:lang w:val="es-UY"/>
              </w:rPr>
              <w:t>(Código SICE 34084)</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b/>
                <w:b/>
                <w:bCs/>
                <w:sz w:val="22"/>
                <w:szCs w:val="22"/>
                <w:lang w:val="es-UY"/>
              </w:rPr>
            </w:pPr>
            <w:r>
              <w:rPr>
                <w:rFonts w:ascii="Bookman Old Style" w:hAnsi="Bookman Old Style"/>
                <w:b/>
                <w:bCs/>
                <w:sz w:val="22"/>
                <w:szCs w:val="22"/>
                <w:lang w:val="es-UY"/>
              </w:rPr>
              <w:t>3</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sz w:val="22"/>
                <w:szCs w:val="22"/>
                <w:lang w:val="es-UY"/>
              </w:rPr>
            </w:pPr>
            <w:r>
              <w:rPr>
                <w:rFonts w:ascii="Bookman Old Style" w:hAnsi="Bookman Old Style"/>
                <w:sz w:val="22"/>
                <w:szCs w:val="22"/>
                <w:lang w:val="es-UY"/>
              </w:rPr>
              <w:t>2</w:t>
            </w:r>
          </w:p>
        </w:tc>
        <w:tc>
          <w:tcPr>
            <w:tcW w:w="6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false"/>
              <w:spacing w:before="0" w:after="0"/>
              <w:rPr>
                <w:rFonts w:eastAsia="Calibri" w:cs="ArialMT" w:eastAsiaTheme="minorHAnsi"/>
                <w:sz w:val="22"/>
                <w:szCs w:val="22"/>
                <w:lang w:val="es-UY" w:eastAsia="en-US"/>
              </w:rPr>
            </w:pPr>
            <w:r>
              <w:rPr>
                <w:sz w:val="22"/>
                <w:szCs w:val="22"/>
                <w:lang w:val="es-UY"/>
              </w:rPr>
              <w:t>Cámaras Fotográficas Digitales Compactas -</w:t>
            </w:r>
            <w:r>
              <w:rPr>
                <w:rFonts w:eastAsia="Calibri" w:cs="ArialMT" w:eastAsiaTheme="minorHAnsi"/>
                <w:sz w:val="22"/>
                <w:szCs w:val="22"/>
                <w:lang w:val="es-UY" w:eastAsia="en-US"/>
              </w:rPr>
              <w:t>Autofoco y enfoque manual, Zoom óptico 6x; Zoom digital 4x, o mejor</w:t>
            </w:r>
          </w:p>
          <w:p>
            <w:pPr>
              <w:pStyle w:val="Normal"/>
              <w:widowControl/>
              <w:suppressAutoHyphens w:val="false"/>
              <w:spacing w:before="0" w:after="0"/>
              <w:rPr>
                <w:b/>
                <w:b/>
                <w:bCs/>
                <w:sz w:val="22"/>
                <w:szCs w:val="22"/>
                <w:lang w:val="es-UY"/>
              </w:rPr>
            </w:pPr>
            <w:r>
              <w:rPr>
                <w:rFonts w:eastAsia="Calibri" w:cs="ArialMT" w:eastAsiaTheme="minorHAnsi"/>
                <w:sz w:val="22"/>
                <w:szCs w:val="22"/>
                <w:lang w:val="es-UY" w:eastAsia="en-US"/>
              </w:rPr>
              <w:t xml:space="preserve">- Calidad imagen 16 MP o mejor, Pantalla 2.7”, Interfaz USB </w:t>
            </w:r>
            <w:r>
              <w:rPr>
                <w:sz w:val="22"/>
                <w:szCs w:val="22"/>
                <w:lang w:val="es-UY"/>
              </w:rPr>
              <w:t>-</w:t>
            </w:r>
            <w:r>
              <w:rPr>
                <w:b/>
                <w:sz w:val="22"/>
                <w:szCs w:val="22"/>
                <w:lang w:val="es-UY"/>
              </w:rPr>
              <w:t>(Código SICE 9663)</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b/>
                <w:b/>
                <w:bCs/>
                <w:sz w:val="22"/>
                <w:szCs w:val="22"/>
                <w:lang w:val="es-UY"/>
              </w:rPr>
            </w:pPr>
            <w:r>
              <w:rPr>
                <w:rFonts w:ascii="Bookman Old Style" w:hAnsi="Bookman Old Style"/>
                <w:b/>
                <w:bCs/>
                <w:sz w:val="22"/>
                <w:szCs w:val="22"/>
                <w:lang w:val="es-UY"/>
              </w:rPr>
              <w:t>4.1</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sz w:val="22"/>
                <w:szCs w:val="22"/>
                <w:lang w:val="es-UY"/>
              </w:rPr>
            </w:pPr>
            <w:r>
              <w:rPr>
                <w:rFonts w:ascii="Bookman Old Style" w:hAnsi="Bookman Old Style"/>
                <w:sz w:val="22"/>
                <w:szCs w:val="22"/>
                <w:lang w:val="es-UY"/>
              </w:rPr>
              <w:t>1</w:t>
            </w:r>
          </w:p>
        </w:tc>
        <w:tc>
          <w:tcPr>
            <w:tcW w:w="6524"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both"/>
              <w:rPr>
                <w:rFonts w:ascii="Bookman Old Style" w:hAnsi="Bookman Old Style"/>
                <w:sz w:val="22"/>
                <w:szCs w:val="22"/>
                <w:lang w:val="es-UY"/>
              </w:rPr>
            </w:pPr>
            <w:r>
              <w:rPr>
                <w:rFonts w:ascii="Bookman Old Style" w:hAnsi="Bookman Old Style"/>
                <w:sz w:val="22"/>
                <w:szCs w:val="22"/>
                <w:lang w:val="es-UY"/>
              </w:rPr>
              <w:t>Cabina (Gabinete) para almacenamiento de productos inflamables - Capacidad 170 L, con estante, con cumplimiento de los estándares OSHA-</w:t>
            </w:r>
            <w:r>
              <w:rPr>
                <w:rFonts w:ascii="Bookman Old Style" w:hAnsi="Bookman Old Style"/>
                <w:b/>
                <w:sz w:val="22"/>
                <w:szCs w:val="22"/>
                <w:lang w:val="es-UY"/>
              </w:rPr>
              <w:t>(Código SICE 34270)</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b/>
                <w:b/>
                <w:bCs/>
                <w:sz w:val="22"/>
                <w:szCs w:val="22"/>
                <w:lang w:val="es-UY"/>
              </w:rPr>
            </w:pPr>
            <w:r>
              <w:rPr>
                <w:rFonts w:ascii="Bookman Old Style" w:hAnsi="Bookman Old Style"/>
                <w:b/>
                <w:bCs/>
                <w:sz w:val="22"/>
                <w:szCs w:val="22"/>
                <w:lang w:val="es-UY"/>
              </w:rPr>
              <w:t>4.2</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sz w:val="22"/>
                <w:szCs w:val="22"/>
                <w:lang w:val="es-UY"/>
              </w:rPr>
            </w:pPr>
            <w:r>
              <w:rPr>
                <w:rFonts w:ascii="Bookman Old Style" w:hAnsi="Bookman Old Style"/>
                <w:sz w:val="22"/>
                <w:szCs w:val="22"/>
                <w:lang w:val="es-UY"/>
              </w:rPr>
              <w:t>1</w:t>
            </w:r>
          </w:p>
        </w:tc>
        <w:tc>
          <w:tcPr>
            <w:tcW w:w="6524"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both"/>
              <w:rPr>
                <w:rFonts w:ascii="Bookman Old Style" w:hAnsi="Bookman Old Style"/>
                <w:sz w:val="22"/>
                <w:szCs w:val="22"/>
                <w:lang w:val="es-UY"/>
              </w:rPr>
            </w:pPr>
            <w:r>
              <w:rPr>
                <w:rFonts w:ascii="Bookman Old Style" w:hAnsi="Bookman Old Style"/>
                <w:sz w:val="22"/>
                <w:szCs w:val="22"/>
                <w:lang w:val="es-UY"/>
              </w:rPr>
              <w:t>Cabina (Gabinete) para almacenamiento de productos inflamables - Capacidad 45 L, con estante, con cumplimiento de los estándares OSHA-</w:t>
            </w:r>
            <w:r>
              <w:rPr>
                <w:rFonts w:ascii="Bookman Old Style" w:hAnsi="Bookman Old Style"/>
                <w:b/>
                <w:sz w:val="22"/>
                <w:szCs w:val="22"/>
                <w:lang w:val="es-UY"/>
              </w:rPr>
              <w:t>(Código SICE 34270)</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b/>
                <w:b/>
                <w:bCs/>
                <w:sz w:val="22"/>
                <w:szCs w:val="22"/>
                <w:lang w:val="es-UY"/>
              </w:rPr>
            </w:pPr>
            <w:r>
              <w:rPr>
                <w:rFonts w:ascii="Bookman Old Style" w:hAnsi="Bookman Old Style"/>
                <w:b/>
                <w:bCs/>
                <w:sz w:val="22"/>
                <w:szCs w:val="22"/>
                <w:lang w:val="es-UY"/>
              </w:rPr>
              <w:t>5</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sz w:val="22"/>
                <w:szCs w:val="22"/>
                <w:lang w:val="es-UY"/>
              </w:rPr>
            </w:pPr>
            <w:r>
              <w:rPr>
                <w:rFonts w:ascii="Bookman Old Style" w:hAnsi="Bookman Old Style"/>
                <w:sz w:val="22"/>
                <w:szCs w:val="22"/>
                <w:lang w:val="es-UY"/>
              </w:rPr>
              <w:t>1</w:t>
            </w:r>
          </w:p>
        </w:tc>
        <w:tc>
          <w:tcPr>
            <w:tcW w:w="6524"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both"/>
              <w:rPr>
                <w:rFonts w:ascii="Bookman Old Style" w:hAnsi="Bookman Old Style"/>
                <w:sz w:val="22"/>
                <w:szCs w:val="22"/>
                <w:lang w:val="es-UY"/>
              </w:rPr>
            </w:pPr>
            <w:r>
              <w:rPr>
                <w:rFonts w:ascii="Bookman Old Style" w:hAnsi="Bookman Old Style"/>
                <w:sz w:val="22"/>
                <w:szCs w:val="22"/>
                <w:lang w:val="es-UY"/>
              </w:rPr>
              <w:t>Freezer Vertical - Capacidad 280 L mínimo, con cajones de acrílico -</w:t>
            </w:r>
            <w:r>
              <w:rPr>
                <w:rFonts w:ascii="Bookman Old Style" w:hAnsi="Bookman Old Style"/>
                <w:b/>
                <w:sz w:val="22"/>
                <w:szCs w:val="22"/>
                <w:lang w:val="es-UY"/>
              </w:rPr>
              <w:t>(Código SICE 31842)</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b/>
                <w:b/>
                <w:bCs/>
                <w:sz w:val="22"/>
                <w:szCs w:val="22"/>
                <w:lang w:val="es-UY"/>
              </w:rPr>
            </w:pPr>
            <w:r>
              <w:rPr>
                <w:rFonts w:ascii="Bookman Old Style" w:hAnsi="Bookman Old Style"/>
                <w:b/>
                <w:bCs/>
                <w:sz w:val="22"/>
                <w:szCs w:val="22"/>
                <w:lang w:val="es-UY"/>
              </w:rPr>
              <w:t>6</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sz w:val="22"/>
                <w:szCs w:val="22"/>
                <w:lang w:val="es-UY"/>
              </w:rPr>
            </w:pPr>
            <w:r>
              <w:rPr>
                <w:rFonts w:ascii="Bookman Old Style" w:hAnsi="Bookman Old Style"/>
                <w:sz w:val="22"/>
                <w:szCs w:val="22"/>
                <w:lang w:val="es-UY"/>
              </w:rPr>
              <w:t>1</w:t>
            </w:r>
          </w:p>
        </w:tc>
        <w:tc>
          <w:tcPr>
            <w:tcW w:w="6524"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both"/>
              <w:rPr>
                <w:rFonts w:ascii="Bookman Old Style" w:hAnsi="Bookman Old Style"/>
                <w:b/>
                <w:b/>
                <w:sz w:val="22"/>
                <w:szCs w:val="22"/>
                <w:lang w:val="es-UY"/>
              </w:rPr>
            </w:pPr>
            <w:r>
              <w:rPr>
                <w:rFonts w:ascii="Bookman Old Style" w:hAnsi="Bookman Old Style"/>
                <w:sz w:val="22"/>
                <w:szCs w:val="22"/>
                <w:lang w:val="es-UY"/>
              </w:rPr>
              <w:t xml:space="preserve">Baño de Ultrasonido.- Capacidad 10 L, Tanque de acero inoxidable y tapa, dimensiones internas 30x25x15 cm aprox., potencia de ultrasonido: 200W o mejor, con temporizador: 1-99 min, con canilla de desagüe. </w:t>
            </w:r>
            <w:r>
              <w:rPr>
                <w:rFonts w:ascii="Bookman Old Style" w:hAnsi="Bookman Old Style"/>
                <w:b/>
                <w:sz w:val="22"/>
                <w:szCs w:val="22"/>
                <w:lang w:val="es-UY"/>
              </w:rPr>
              <w:t xml:space="preserve">Código SICE 5435)    </w:t>
            </w:r>
          </w:p>
          <w:p>
            <w:pPr>
              <w:pStyle w:val="Normal1"/>
              <w:tabs>
                <w:tab w:val="clear" w:pos="708"/>
                <w:tab w:val="left" w:pos="720" w:leader="none"/>
              </w:tabs>
              <w:spacing w:lineRule="auto" w:line="276" w:before="0" w:after="0"/>
              <w:jc w:val="both"/>
              <w:rPr>
                <w:rFonts w:ascii="Bookman Old Style" w:hAnsi="Bookman Old Style"/>
                <w:sz w:val="22"/>
                <w:szCs w:val="22"/>
                <w:lang w:val="es-UY"/>
              </w:rPr>
            </w:pPr>
            <w:r>
              <w:rPr>
                <w:rFonts w:ascii="Bookman Old Style" w:hAnsi="Bookman Old Style"/>
                <w:sz w:val="22"/>
                <w:szCs w:val="22"/>
                <w:lang w:val="es-UY"/>
              </w:rPr>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b/>
                <w:b/>
                <w:bCs/>
                <w:sz w:val="22"/>
                <w:szCs w:val="22"/>
                <w:lang w:val="es-UY"/>
              </w:rPr>
            </w:pPr>
            <w:r>
              <w:rPr>
                <w:rFonts w:ascii="Bookman Old Style" w:hAnsi="Bookman Old Style"/>
                <w:b/>
                <w:bCs/>
                <w:sz w:val="22"/>
                <w:szCs w:val="22"/>
                <w:lang w:val="es-UY"/>
              </w:rPr>
              <w:t>7</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sz w:val="22"/>
                <w:szCs w:val="22"/>
                <w:lang w:val="es-UY"/>
              </w:rPr>
            </w:pPr>
            <w:r>
              <w:rPr>
                <w:rFonts w:ascii="Bookman Old Style" w:hAnsi="Bookman Old Style"/>
                <w:sz w:val="22"/>
                <w:szCs w:val="22"/>
                <w:lang w:val="es-UY"/>
              </w:rPr>
              <w:t>1</w:t>
            </w:r>
          </w:p>
        </w:tc>
        <w:tc>
          <w:tcPr>
            <w:tcW w:w="6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false"/>
              <w:spacing w:lineRule="auto" w:line="240" w:before="0" w:after="0"/>
              <w:rPr>
                <w:rFonts w:eastAsia="Calibri" w:cs="ArialMT" w:eastAsiaTheme="minorHAnsi"/>
                <w:sz w:val="22"/>
                <w:szCs w:val="22"/>
                <w:lang w:val="es-UY" w:eastAsia="en-US"/>
              </w:rPr>
            </w:pPr>
            <w:r>
              <w:rPr>
                <w:sz w:val="22"/>
                <w:szCs w:val="22"/>
                <w:lang w:val="es-UY"/>
              </w:rPr>
              <w:t xml:space="preserve">Balanza semi-micro analitica - </w:t>
            </w:r>
            <w:r>
              <w:rPr>
                <w:rFonts w:eastAsia="Calibri" w:cs="ArialMT" w:eastAsiaTheme="minorHAnsi"/>
                <w:sz w:val="22"/>
                <w:szCs w:val="22"/>
                <w:lang w:val="es-UY" w:eastAsia="en-US"/>
              </w:rPr>
              <w:t>Capacidad máxima: 52 g o más, Resolución: 0,01 mg, Tamaño de plato: 90 mm aprox., Calibración interna automática, Linealidad: +- 0,1 mg o mejor, Peso mínimo: 20 mg USP, Repetibilidad típica: 0,02 mg o mejor, Alimentación. 220V, 50 Hz.</w:t>
            </w:r>
          </w:p>
          <w:p>
            <w:pPr>
              <w:pStyle w:val="Normal"/>
              <w:widowControl/>
              <w:suppressAutoHyphens w:val="false"/>
              <w:spacing w:lineRule="auto" w:line="240" w:before="0" w:after="0"/>
              <w:rPr>
                <w:sz w:val="22"/>
                <w:szCs w:val="22"/>
                <w:lang w:val="es-UY"/>
              </w:rPr>
            </w:pPr>
            <w:r>
              <w:rPr>
                <w:rFonts w:eastAsia="Calibri" w:cs="ArialMT" w:eastAsiaTheme="minorHAnsi"/>
                <w:sz w:val="22"/>
                <w:szCs w:val="22"/>
                <w:lang w:val="es-UY" w:eastAsia="en-US"/>
              </w:rPr>
              <w:t xml:space="preserve">- Salida de datos USB, RS-232C, </w:t>
            </w:r>
            <w:r>
              <w:rPr>
                <w:b/>
                <w:sz w:val="22"/>
                <w:szCs w:val="22"/>
                <w:lang w:val="es-UY"/>
              </w:rPr>
              <w:t>(Código SICE 6592)</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b/>
                <w:b/>
                <w:bCs/>
                <w:sz w:val="22"/>
                <w:szCs w:val="22"/>
                <w:lang w:val="es-UY"/>
              </w:rPr>
            </w:pPr>
            <w:r>
              <w:rPr>
                <w:rFonts w:ascii="Bookman Old Style" w:hAnsi="Bookman Old Style"/>
                <w:b/>
                <w:bCs/>
                <w:sz w:val="22"/>
                <w:szCs w:val="22"/>
                <w:lang w:val="es-UY"/>
              </w:rPr>
              <w:t>8</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sz w:val="22"/>
                <w:szCs w:val="22"/>
                <w:lang w:val="es-UY"/>
              </w:rPr>
            </w:pPr>
            <w:r>
              <w:rPr>
                <w:rFonts w:ascii="Bookman Old Style" w:hAnsi="Bookman Old Style"/>
                <w:sz w:val="22"/>
                <w:szCs w:val="22"/>
                <w:lang w:val="es-UY"/>
              </w:rPr>
              <w:t>1</w:t>
            </w:r>
          </w:p>
        </w:tc>
        <w:tc>
          <w:tcPr>
            <w:tcW w:w="6524"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both"/>
              <w:rPr>
                <w:rFonts w:ascii="Bookman Old Style" w:hAnsi="Bookman Old Style"/>
                <w:sz w:val="22"/>
                <w:szCs w:val="22"/>
                <w:lang w:val="es-UY"/>
              </w:rPr>
            </w:pPr>
            <w:r>
              <w:rPr>
                <w:rFonts w:ascii="Bookman Old Style" w:hAnsi="Bookman Old Style"/>
                <w:sz w:val="22"/>
                <w:szCs w:val="22"/>
                <w:lang w:val="es-UY"/>
              </w:rPr>
              <w:t xml:space="preserve">Cabina (Gabinete) para almacenamiento de ácidos - Capacidad 45 L, con estante ajustable - </w:t>
            </w:r>
            <w:r>
              <w:rPr>
                <w:rFonts w:ascii="Bookman Old Style" w:hAnsi="Bookman Old Style"/>
                <w:b/>
                <w:sz w:val="22"/>
                <w:szCs w:val="22"/>
                <w:lang w:val="es-UY"/>
              </w:rPr>
              <w:t>(Código SICE 34270)</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b/>
                <w:b/>
                <w:bCs/>
                <w:sz w:val="22"/>
                <w:szCs w:val="22"/>
                <w:lang w:val="es-UY"/>
              </w:rPr>
            </w:pPr>
            <w:r>
              <w:rPr>
                <w:rFonts w:ascii="Bookman Old Style" w:hAnsi="Bookman Old Style"/>
                <w:b/>
                <w:bCs/>
                <w:sz w:val="22"/>
                <w:szCs w:val="22"/>
                <w:lang w:val="es-UY"/>
              </w:rPr>
              <w:t>9</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sz w:val="22"/>
                <w:szCs w:val="22"/>
                <w:lang w:val="es-UY"/>
              </w:rPr>
            </w:pPr>
            <w:r>
              <w:rPr>
                <w:rFonts w:ascii="Bookman Old Style" w:hAnsi="Bookman Old Style"/>
                <w:sz w:val="22"/>
                <w:szCs w:val="22"/>
                <w:lang w:val="es-UY"/>
              </w:rPr>
              <w:t>1</w:t>
            </w:r>
          </w:p>
        </w:tc>
        <w:tc>
          <w:tcPr>
            <w:tcW w:w="6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false"/>
              <w:spacing w:lineRule="auto" w:line="240" w:before="0" w:after="0"/>
              <w:rPr>
                <w:rFonts w:eastAsia="Calibri" w:cs="ArialMT" w:eastAsiaTheme="minorHAnsi"/>
                <w:sz w:val="22"/>
                <w:szCs w:val="22"/>
                <w:lang w:val="es-UY" w:eastAsia="en-US"/>
              </w:rPr>
            </w:pPr>
            <w:r>
              <w:rPr>
                <w:bCs/>
                <w:sz w:val="22"/>
                <w:szCs w:val="22"/>
                <w:lang w:val="es-UY"/>
              </w:rPr>
              <w:t xml:space="preserve">GENERADOR DE HIDROGENO, NITROGENO Y AIRE- </w:t>
            </w:r>
            <w:r>
              <w:rPr>
                <w:rFonts w:eastAsia="Calibri" w:cs="ArialMT" w:eastAsiaTheme="minorHAnsi"/>
                <w:sz w:val="22"/>
                <w:szCs w:val="22"/>
                <w:lang w:val="es-UY" w:eastAsia="en-US"/>
              </w:rPr>
              <w:t>Pureza de Nitrógeno e Hidrógeno: 99,999%</w:t>
            </w:r>
          </w:p>
          <w:p>
            <w:pPr>
              <w:pStyle w:val="Normal"/>
              <w:widowControl/>
              <w:suppressAutoHyphens w:val="false"/>
              <w:spacing w:lineRule="auto" w:line="240" w:before="0" w:after="0"/>
              <w:rPr>
                <w:rFonts w:eastAsia="Calibri" w:cs="ArialMT" w:eastAsiaTheme="minorHAnsi"/>
                <w:sz w:val="22"/>
                <w:szCs w:val="22"/>
                <w:lang w:val="es-UY" w:eastAsia="en-US"/>
              </w:rPr>
            </w:pPr>
            <w:r>
              <w:rPr>
                <w:rFonts w:eastAsia="Calibri" w:cs="ArialMT" w:eastAsiaTheme="minorHAnsi"/>
                <w:sz w:val="22"/>
                <w:szCs w:val="22"/>
                <w:lang w:val="es-UY" w:eastAsia="en-US"/>
              </w:rPr>
              <w:t>- Flujo de salida de Nitrógeno y de Hidrógeno: 0 – 500 mL/min c/u</w:t>
            </w:r>
          </w:p>
          <w:p>
            <w:pPr>
              <w:pStyle w:val="Normal"/>
              <w:widowControl/>
              <w:suppressAutoHyphens w:val="false"/>
              <w:spacing w:lineRule="auto" w:line="240" w:before="0" w:after="0"/>
              <w:rPr>
                <w:rFonts w:eastAsia="Calibri" w:cs="ArialMT" w:eastAsiaTheme="minorHAnsi"/>
                <w:sz w:val="22"/>
                <w:szCs w:val="22"/>
                <w:lang w:val="es-UY" w:eastAsia="en-US"/>
              </w:rPr>
            </w:pPr>
            <w:r>
              <w:rPr>
                <w:rFonts w:eastAsia="Calibri" w:cs="ArialMT" w:eastAsiaTheme="minorHAnsi"/>
                <w:sz w:val="22"/>
                <w:szCs w:val="22"/>
                <w:lang w:val="es-UY" w:eastAsia="en-US"/>
              </w:rPr>
              <w:t>- Presión de salida de Nitrógeno y de Hidrógeno : 0.4 Mpa c/u</w:t>
            </w:r>
          </w:p>
          <w:p>
            <w:pPr>
              <w:pStyle w:val="Normal"/>
              <w:widowControl/>
              <w:suppressAutoHyphens w:val="false"/>
              <w:spacing w:lineRule="auto" w:line="240" w:before="0" w:after="0"/>
              <w:rPr>
                <w:rFonts w:eastAsia="Calibri" w:cs="ArialMT" w:eastAsiaTheme="minorHAnsi"/>
                <w:sz w:val="22"/>
                <w:szCs w:val="22"/>
                <w:lang w:val="es-UY" w:eastAsia="en-US"/>
              </w:rPr>
            </w:pPr>
            <w:r>
              <w:rPr>
                <w:rFonts w:eastAsia="Calibri" w:cs="ArialMT" w:eastAsiaTheme="minorHAnsi"/>
                <w:sz w:val="22"/>
                <w:szCs w:val="22"/>
                <w:lang w:val="es-UY" w:eastAsia="en-US"/>
              </w:rPr>
              <w:t>- Flujo de salida de Aire: 0 – 2000 mL/min</w:t>
            </w:r>
          </w:p>
          <w:p>
            <w:pPr>
              <w:pStyle w:val="Normal"/>
              <w:widowControl/>
              <w:suppressAutoHyphens w:val="false"/>
              <w:spacing w:lineRule="auto" w:line="240" w:before="0" w:after="0"/>
              <w:rPr>
                <w:rFonts w:eastAsia="Calibri" w:cs="ArialMT" w:eastAsiaTheme="minorHAnsi"/>
                <w:sz w:val="22"/>
                <w:szCs w:val="22"/>
                <w:lang w:val="es-UY" w:eastAsia="en-US"/>
              </w:rPr>
            </w:pPr>
            <w:r>
              <w:rPr>
                <w:rFonts w:eastAsia="Calibri" w:cs="ArialMT" w:eastAsiaTheme="minorHAnsi"/>
                <w:sz w:val="22"/>
                <w:szCs w:val="22"/>
                <w:lang w:val="es-UY" w:eastAsia="en-US"/>
              </w:rPr>
              <w:t>- Presión de salida de Aire: 0.4 Mpa</w:t>
            </w:r>
          </w:p>
          <w:p>
            <w:pPr>
              <w:pStyle w:val="Normal"/>
              <w:widowControl/>
              <w:suppressAutoHyphens w:val="false"/>
              <w:spacing w:lineRule="auto" w:line="240" w:before="0" w:after="0"/>
              <w:rPr>
                <w:rFonts w:eastAsia="Calibri" w:cs="ArialMT" w:eastAsiaTheme="minorHAnsi"/>
                <w:sz w:val="22"/>
                <w:szCs w:val="22"/>
                <w:lang w:val="es-UY" w:eastAsia="en-US"/>
              </w:rPr>
            </w:pPr>
            <w:r>
              <w:rPr>
                <w:rFonts w:eastAsia="Calibri" w:cs="ArialMT" w:eastAsiaTheme="minorHAnsi"/>
                <w:sz w:val="22"/>
                <w:szCs w:val="22"/>
                <w:lang w:val="es-UY" w:eastAsia="en-US"/>
              </w:rPr>
              <w:t>- Alimentación. 220V, 50 Hz.</w:t>
            </w:r>
          </w:p>
          <w:p>
            <w:pPr>
              <w:pStyle w:val="Normal"/>
              <w:widowControl/>
              <w:suppressAutoHyphens w:val="false"/>
              <w:spacing w:lineRule="auto" w:line="240" w:before="0" w:after="0"/>
              <w:rPr>
                <w:sz w:val="22"/>
                <w:szCs w:val="22"/>
                <w:lang w:val="es-UY"/>
              </w:rPr>
            </w:pPr>
            <w:r>
              <w:rPr>
                <w:rFonts w:eastAsia="Calibri" w:cs="ArialMT" w:eastAsiaTheme="minorHAnsi"/>
                <w:b/>
                <w:sz w:val="22"/>
                <w:szCs w:val="22"/>
                <w:lang w:val="es-UY" w:eastAsia="en-US"/>
              </w:rPr>
              <w:t>(Código SICE 101296)</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b/>
                <w:b/>
                <w:bCs/>
                <w:sz w:val="22"/>
                <w:szCs w:val="22"/>
                <w:lang w:val="es-UY"/>
              </w:rPr>
            </w:pPr>
            <w:r>
              <w:rPr>
                <w:rFonts w:ascii="Bookman Old Style" w:hAnsi="Bookman Old Style"/>
                <w:b/>
                <w:bCs/>
                <w:sz w:val="22"/>
                <w:szCs w:val="22"/>
                <w:lang w:val="es-UY"/>
              </w:rPr>
              <w:t>10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1"/>
              <w:tabs>
                <w:tab w:val="clear" w:pos="708"/>
                <w:tab w:val="left" w:pos="720" w:leader="none"/>
              </w:tabs>
              <w:spacing w:lineRule="auto" w:line="276" w:before="0" w:after="0"/>
              <w:jc w:val="center"/>
              <w:rPr>
                <w:rFonts w:ascii="Bookman Old Style" w:hAnsi="Bookman Old Style"/>
                <w:sz w:val="22"/>
                <w:szCs w:val="22"/>
                <w:lang w:val="es-UY"/>
              </w:rPr>
            </w:pPr>
            <w:r>
              <w:rPr>
                <w:rFonts w:ascii="Bookman Old Style" w:hAnsi="Bookman Old Style"/>
                <w:sz w:val="22"/>
                <w:szCs w:val="22"/>
                <w:lang w:val="es-UY"/>
              </w:rPr>
              <w:t>1</w:t>
            </w:r>
          </w:p>
        </w:tc>
        <w:tc>
          <w:tcPr>
            <w:tcW w:w="6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false"/>
              <w:spacing w:lineRule="auto" w:line="240" w:before="0" w:after="0"/>
              <w:rPr>
                <w:rFonts w:eastAsia="Calibri" w:cs="ArialMT" w:eastAsiaTheme="minorHAnsi"/>
                <w:sz w:val="22"/>
                <w:szCs w:val="22"/>
                <w:lang w:val="es-UY" w:eastAsia="en-US"/>
              </w:rPr>
            </w:pPr>
            <w:r>
              <w:rPr>
                <w:bCs/>
                <w:sz w:val="22"/>
                <w:szCs w:val="22"/>
                <w:lang w:val="es-UY"/>
              </w:rPr>
              <w:t xml:space="preserve">Balanza de Precisión de Laboratorio.- </w:t>
            </w:r>
            <w:r>
              <w:rPr>
                <w:rFonts w:eastAsia="Calibri" w:cs="ArialMT" w:eastAsiaTheme="minorHAnsi"/>
                <w:sz w:val="22"/>
                <w:szCs w:val="22"/>
                <w:lang w:val="es-UY" w:eastAsia="en-US"/>
              </w:rPr>
              <w:t>Capacidad máxima: 30 kg o más</w:t>
            </w:r>
          </w:p>
          <w:p>
            <w:pPr>
              <w:pStyle w:val="Normal"/>
              <w:widowControl/>
              <w:suppressAutoHyphens w:val="false"/>
              <w:spacing w:lineRule="auto" w:line="240" w:before="0" w:after="0"/>
              <w:rPr>
                <w:rFonts w:eastAsia="Calibri" w:cs="ArialMT" w:eastAsiaTheme="minorHAnsi"/>
                <w:sz w:val="22"/>
                <w:szCs w:val="22"/>
                <w:lang w:val="es-UY" w:eastAsia="en-US"/>
              </w:rPr>
            </w:pPr>
            <w:r>
              <w:rPr>
                <w:rFonts w:eastAsia="Calibri" w:cs="ArialMT" w:eastAsiaTheme="minorHAnsi"/>
                <w:sz w:val="22"/>
                <w:szCs w:val="22"/>
                <w:lang w:val="es-UY" w:eastAsia="en-US"/>
              </w:rPr>
              <w:t>- Resolución: 0,5 g o 0,1 g</w:t>
            </w:r>
          </w:p>
          <w:p>
            <w:pPr>
              <w:pStyle w:val="Normal"/>
              <w:widowControl/>
              <w:suppressAutoHyphens w:val="false"/>
              <w:spacing w:lineRule="auto" w:line="240" w:before="0" w:after="0"/>
              <w:rPr>
                <w:rFonts w:eastAsia="Calibri" w:cs="ArialMT" w:eastAsiaTheme="minorHAnsi"/>
                <w:sz w:val="22"/>
                <w:szCs w:val="22"/>
                <w:lang w:val="es-UY" w:eastAsia="en-US"/>
              </w:rPr>
            </w:pPr>
            <w:r>
              <w:rPr>
                <w:rFonts w:eastAsia="Calibri" w:cs="ArialMT" w:eastAsiaTheme="minorHAnsi"/>
                <w:sz w:val="22"/>
                <w:szCs w:val="22"/>
                <w:lang w:val="es-UY" w:eastAsia="en-US"/>
              </w:rPr>
              <w:t>- Calibración interna automática</w:t>
            </w:r>
          </w:p>
          <w:p>
            <w:pPr>
              <w:pStyle w:val="Normal"/>
              <w:widowControl/>
              <w:suppressAutoHyphens w:val="false"/>
              <w:spacing w:lineRule="auto" w:line="240" w:before="0" w:after="0"/>
              <w:rPr>
                <w:rFonts w:eastAsia="Calibri" w:cs="ArialMT" w:eastAsiaTheme="minorHAnsi"/>
                <w:sz w:val="22"/>
                <w:szCs w:val="22"/>
                <w:lang w:val="es-UY" w:eastAsia="en-US"/>
              </w:rPr>
            </w:pPr>
            <w:r>
              <w:rPr>
                <w:rFonts w:eastAsia="Calibri" w:cs="ArialMT" w:eastAsiaTheme="minorHAnsi"/>
                <w:sz w:val="22"/>
                <w:szCs w:val="22"/>
                <w:lang w:val="es-UY" w:eastAsia="en-US"/>
              </w:rPr>
              <w:t>- Linealidad: +- 1.5 g o mejor</w:t>
            </w:r>
          </w:p>
          <w:p>
            <w:pPr>
              <w:pStyle w:val="Normal"/>
              <w:widowControl/>
              <w:suppressAutoHyphens w:val="false"/>
              <w:spacing w:lineRule="auto" w:line="240" w:before="0" w:after="0"/>
              <w:rPr>
                <w:rFonts w:eastAsia="Calibri" w:cs="ArialMT" w:eastAsiaTheme="minorHAnsi"/>
                <w:sz w:val="22"/>
                <w:szCs w:val="22"/>
                <w:lang w:val="es-UY" w:eastAsia="en-US"/>
              </w:rPr>
            </w:pPr>
            <w:r>
              <w:rPr>
                <w:rFonts w:eastAsia="Calibri" w:cs="ArialMT" w:eastAsiaTheme="minorHAnsi"/>
                <w:sz w:val="22"/>
                <w:szCs w:val="22"/>
                <w:lang w:val="es-UY" w:eastAsia="en-US"/>
              </w:rPr>
              <w:t>- Salida de datos</w:t>
            </w:r>
          </w:p>
          <w:p>
            <w:pPr>
              <w:pStyle w:val="Normal"/>
              <w:widowControl/>
              <w:suppressAutoHyphens w:val="false"/>
              <w:spacing w:lineRule="auto" w:line="240" w:before="0" w:after="0"/>
              <w:rPr>
                <w:rFonts w:eastAsia="Calibri" w:cs="ArialMT" w:eastAsiaTheme="minorHAnsi"/>
                <w:sz w:val="22"/>
                <w:szCs w:val="22"/>
                <w:lang w:val="es-UY" w:eastAsia="en-US"/>
              </w:rPr>
            </w:pPr>
            <w:r>
              <w:rPr>
                <w:rFonts w:eastAsia="Calibri" w:cs="ArialMT" w:eastAsiaTheme="minorHAnsi"/>
                <w:sz w:val="22"/>
                <w:szCs w:val="22"/>
                <w:lang w:val="es-UY" w:eastAsia="en-US"/>
              </w:rPr>
              <w:t>- Alimentación. 220V, 50 Hz.</w:t>
            </w:r>
          </w:p>
          <w:p>
            <w:pPr>
              <w:pStyle w:val="Normal"/>
              <w:widowControl/>
              <w:suppressAutoHyphens w:val="false"/>
              <w:spacing w:lineRule="auto" w:line="240" w:before="0" w:after="0"/>
              <w:rPr>
                <w:bCs/>
                <w:sz w:val="22"/>
                <w:szCs w:val="22"/>
                <w:lang w:val="es-UY"/>
              </w:rPr>
            </w:pPr>
            <w:r>
              <w:rPr>
                <w:rFonts w:eastAsia="Calibri" w:cs="ArialMT" w:eastAsiaTheme="minorHAnsi"/>
                <w:sz w:val="22"/>
                <w:szCs w:val="22"/>
                <w:lang w:val="es-UY" w:eastAsia="en-US"/>
              </w:rPr>
              <w:t>.</w:t>
            </w:r>
            <w:r>
              <w:rPr>
                <w:rFonts w:eastAsia="Calibri" w:cs="ArialMT" w:eastAsiaTheme="minorHAnsi"/>
                <w:b/>
                <w:sz w:val="22"/>
                <w:szCs w:val="22"/>
                <w:lang w:val="es-UY" w:eastAsia="en-US"/>
              </w:rPr>
              <w:t>(Código SICE 101299).</w:t>
            </w:r>
          </w:p>
        </w:tc>
      </w:tr>
    </w:tbl>
    <w:p>
      <w:pPr>
        <w:pStyle w:val="Normal1"/>
        <w:tabs>
          <w:tab w:val="clear" w:pos="708"/>
          <w:tab w:val="left" w:pos="720" w:leader="none"/>
        </w:tabs>
        <w:spacing w:lineRule="auto" w:line="276" w:before="0" w:after="0"/>
        <w:jc w:val="both"/>
        <w:rPr>
          <w:rFonts w:ascii="Bookman Old Style" w:hAnsi="Bookman Old Style"/>
          <w:b/>
          <w:b/>
          <w:bCs/>
          <w:sz w:val="22"/>
          <w:szCs w:val="22"/>
          <w:u w:val="single"/>
          <w:lang w:val="es-UY"/>
        </w:rPr>
      </w:pPr>
      <w:r>
        <w:rPr>
          <w:rFonts w:ascii="Bookman Old Style" w:hAnsi="Bookman Old Style"/>
          <w:b/>
          <w:bCs/>
          <w:sz w:val="22"/>
          <w:szCs w:val="22"/>
          <w:u w:val="single"/>
          <w:lang w:val="es-UY"/>
        </w:rPr>
      </w:r>
    </w:p>
    <w:p>
      <w:pPr>
        <w:pStyle w:val="ListParagraph"/>
        <w:numPr>
          <w:ilvl w:val="0"/>
          <w:numId w:val="3"/>
        </w:numPr>
        <w:spacing w:before="0" w:after="0"/>
        <w:ind w:left="426" w:hanging="426"/>
        <w:jc w:val="both"/>
        <w:rPr>
          <w:rFonts w:cs="Times New Roman"/>
          <w:sz w:val="22"/>
          <w:szCs w:val="22"/>
        </w:rPr>
      </w:pPr>
      <w:r>
        <w:rPr>
          <w:rFonts w:cs="Times New Roman"/>
          <w:sz w:val="22"/>
          <w:szCs w:val="22"/>
        </w:rPr>
        <w:t xml:space="preserve">El oferente deberá </w:t>
      </w:r>
      <w:r>
        <w:rPr>
          <w:rFonts w:cs="Times New Roman"/>
          <w:b/>
          <w:sz w:val="22"/>
          <w:szCs w:val="22"/>
          <w:u w:val="single"/>
        </w:rPr>
        <w:t>presentar y/o indicar</w:t>
      </w:r>
      <w:r>
        <w:rPr>
          <w:rFonts w:cs="Times New Roman"/>
          <w:sz w:val="22"/>
          <w:szCs w:val="22"/>
        </w:rPr>
        <w:t>:</w:t>
      </w:r>
    </w:p>
    <w:p>
      <w:pPr>
        <w:pStyle w:val="ListParagraph"/>
        <w:numPr>
          <w:ilvl w:val="0"/>
          <w:numId w:val="5"/>
        </w:numPr>
        <w:spacing w:before="0" w:after="0"/>
        <w:jc w:val="both"/>
        <w:rPr>
          <w:rFonts w:cs="Times New Roman"/>
          <w:sz w:val="22"/>
          <w:szCs w:val="22"/>
        </w:rPr>
      </w:pPr>
      <w:r>
        <w:rPr>
          <w:rFonts w:cs="Times New Roman"/>
          <w:b/>
          <w:sz w:val="22"/>
          <w:szCs w:val="22"/>
          <w:u w:val="single"/>
        </w:rPr>
        <w:t>folleto, catalogo, ficha técnica y/o similares</w:t>
      </w:r>
      <w:r>
        <w:rPr>
          <w:rFonts w:cs="Times New Roman"/>
          <w:sz w:val="22"/>
          <w:szCs w:val="22"/>
        </w:rPr>
        <w:t xml:space="preserve"> donde se pueda observar con claridad los detalles de las características técnicas del equipo ofertado, para el control del cumplimiento de lo solicitado en el presente Pliego. </w:t>
      </w:r>
    </w:p>
    <w:p>
      <w:pPr>
        <w:pStyle w:val="ListParagraph"/>
        <w:numPr>
          <w:ilvl w:val="0"/>
          <w:numId w:val="5"/>
        </w:numPr>
        <w:spacing w:before="0" w:after="0"/>
        <w:jc w:val="both"/>
        <w:rPr>
          <w:rFonts w:cs="Times New Roman"/>
          <w:bCs/>
          <w:sz w:val="22"/>
          <w:szCs w:val="22"/>
          <w:lang w:val="es-UY"/>
        </w:rPr>
      </w:pPr>
      <w:r>
        <w:rPr>
          <w:rFonts w:cs="Times New Roman"/>
          <w:bCs/>
          <w:sz w:val="22"/>
          <w:szCs w:val="22"/>
          <w:lang w:val="es-UY"/>
        </w:rPr>
        <w:t xml:space="preserve">Se deberá indicar el plazo de garantía de los equipos solicitados, </w:t>
      </w:r>
      <w:r>
        <w:rPr>
          <w:rFonts w:cs="Times New Roman"/>
          <w:b/>
          <w:bCs/>
          <w:sz w:val="22"/>
          <w:szCs w:val="22"/>
          <w:lang w:val="es-UY"/>
        </w:rPr>
        <w:t>que no podrá ser inferior a 1 año,</w:t>
      </w:r>
      <w:r>
        <w:rPr>
          <w:rFonts w:cs="Times New Roman"/>
          <w:bCs/>
          <w:sz w:val="22"/>
          <w:szCs w:val="22"/>
          <w:lang w:val="es-UY"/>
        </w:rPr>
        <w:t xml:space="preserve"> así como su alcance. En caso de no establecerse el plazo ni las condiciones de garantía, se entenderán que la oferta incluye la garantía por un año y con alcance por todo concepto. </w:t>
      </w:r>
    </w:p>
    <w:p>
      <w:pPr>
        <w:pStyle w:val="Normal"/>
        <w:spacing w:before="0" w:after="0"/>
        <w:ind w:left="360" w:hanging="0"/>
        <w:jc w:val="both"/>
        <w:rPr>
          <w:rFonts w:cs="Times New Roman"/>
          <w:sz w:val="22"/>
          <w:szCs w:val="22"/>
        </w:rPr>
      </w:pPr>
      <w:r>
        <w:rPr>
          <w:rFonts w:cs="Times New Roman"/>
          <w:sz w:val="22"/>
          <w:szCs w:val="22"/>
        </w:rPr>
      </w:r>
    </w:p>
    <w:p>
      <w:pPr>
        <w:pStyle w:val="ListParagraph"/>
        <w:numPr>
          <w:ilvl w:val="0"/>
          <w:numId w:val="3"/>
        </w:numPr>
        <w:spacing w:before="0" w:after="0"/>
        <w:jc w:val="both"/>
        <w:rPr>
          <w:rFonts w:cs="Times New Roman"/>
          <w:bCs/>
          <w:sz w:val="22"/>
          <w:szCs w:val="22"/>
          <w:lang w:val="es-UY"/>
        </w:rPr>
      </w:pPr>
      <w:r>
        <w:rPr>
          <w:rFonts w:cs="Times New Roman"/>
          <w:b/>
          <w:sz w:val="22"/>
          <w:szCs w:val="22"/>
        </w:rPr>
        <w:t xml:space="preserve">Los oferentes podrán </w:t>
      </w:r>
      <w:r>
        <w:rPr>
          <w:rFonts w:cs="Times New Roman"/>
          <w:b/>
          <w:sz w:val="22"/>
          <w:szCs w:val="22"/>
          <w:u w:val="single"/>
        </w:rPr>
        <w:t>cotizar uno, algunos o todos los ítems comprendidos en el presente procedimiento</w:t>
      </w:r>
      <w:r>
        <w:rPr>
          <w:rFonts w:cs="Times New Roman"/>
          <w:b/>
          <w:sz w:val="22"/>
          <w:szCs w:val="22"/>
        </w:rPr>
        <w:t>.</w:t>
      </w:r>
    </w:p>
    <w:p>
      <w:pPr>
        <w:pStyle w:val="ListParagraph"/>
        <w:numPr>
          <w:ilvl w:val="0"/>
          <w:numId w:val="3"/>
        </w:numPr>
        <w:spacing w:before="0" w:after="0"/>
        <w:jc w:val="both"/>
        <w:rPr>
          <w:rFonts w:cs="Times New Roman"/>
          <w:bCs/>
          <w:sz w:val="22"/>
          <w:szCs w:val="22"/>
          <w:lang w:val="es-UY"/>
        </w:rPr>
      </w:pPr>
      <w:r>
        <w:rPr>
          <w:rFonts w:cs="Times New Roman"/>
          <w:b/>
          <w:sz w:val="22"/>
          <w:szCs w:val="22"/>
        </w:rPr>
        <w:t xml:space="preserve">La empresa adjudicataria deberá </w:t>
      </w:r>
      <w:r>
        <w:rPr>
          <w:rFonts w:cs="Times New Roman"/>
          <w:b/>
          <w:sz w:val="22"/>
          <w:szCs w:val="22"/>
          <w:u w:val="single"/>
        </w:rPr>
        <w:t>incluir en la cotización</w:t>
      </w:r>
      <w:r>
        <w:rPr>
          <w:rFonts w:cs="Times New Roman"/>
          <w:b/>
          <w:sz w:val="22"/>
          <w:szCs w:val="22"/>
        </w:rPr>
        <w:t xml:space="preserve"> todos los materiales necesarios para la instalación de los equipos, si correspondiese, por ej: tuberías, férulas etc, o Kit de instalación.</w:t>
      </w:r>
    </w:p>
    <w:p>
      <w:pPr>
        <w:pStyle w:val="ListParagraph"/>
        <w:spacing w:before="0" w:after="0"/>
        <w:ind w:left="360" w:hanging="0"/>
        <w:jc w:val="both"/>
        <w:rPr>
          <w:rFonts w:cs="Times New Roman"/>
          <w:bCs/>
          <w:sz w:val="22"/>
          <w:szCs w:val="22"/>
          <w:lang w:val="es-UY"/>
        </w:rPr>
      </w:pPr>
      <w:r>
        <w:rPr>
          <w:rFonts w:cs="Times New Roman"/>
          <w:b/>
          <w:sz w:val="22"/>
          <w:szCs w:val="22"/>
        </w:rPr>
        <w:t xml:space="preserve"> </w:t>
      </w:r>
    </w:p>
    <w:p>
      <w:pPr>
        <w:pStyle w:val="ListParagraph"/>
        <w:numPr>
          <w:ilvl w:val="0"/>
          <w:numId w:val="3"/>
        </w:numPr>
        <w:spacing w:before="0" w:after="0"/>
        <w:jc w:val="both"/>
        <w:rPr>
          <w:rFonts w:cs="Times New Roman"/>
          <w:sz w:val="22"/>
          <w:szCs w:val="22"/>
        </w:rPr>
      </w:pPr>
      <w:r>
        <w:rPr>
          <w:rFonts w:cs="Times New Roman"/>
          <w:b/>
          <w:sz w:val="22"/>
          <w:szCs w:val="22"/>
          <w:u w:val="single"/>
        </w:rPr>
        <w:t>La empresa adjudicataria deberá realizar las indicaciones básicas para el manejo de los equipos una vez instalados, al servicio donde se instalaren.</w:t>
      </w:r>
    </w:p>
    <w:p>
      <w:pPr>
        <w:pStyle w:val="ListParagraph"/>
        <w:spacing w:before="0" w:after="0"/>
        <w:ind w:left="0" w:hanging="0"/>
        <w:jc w:val="both"/>
        <w:rPr>
          <w:rFonts w:cs="Times New Roman"/>
          <w:bCs/>
          <w:sz w:val="22"/>
          <w:szCs w:val="22"/>
          <w:lang w:val="es-UY"/>
        </w:rPr>
      </w:pPr>
      <w:r>
        <w:rPr>
          <w:rFonts w:cs="Times New Roman"/>
          <w:bCs/>
          <w:sz w:val="22"/>
          <w:szCs w:val="22"/>
          <w:lang w:val="es-UY"/>
        </w:rPr>
      </w:r>
    </w:p>
    <w:p>
      <w:pPr>
        <w:pStyle w:val="Ttulo12"/>
        <w:tabs>
          <w:tab w:val="left" w:pos="0" w:leader="none"/>
          <w:tab w:val="left" w:pos="720" w:leader="none"/>
        </w:tabs>
        <w:spacing w:lineRule="auto" w:line="276" w:before="0" w:after="0"/>
        <w:ind w:left="0" w:hanging="0"/>
        <w:rPr>
          <w:rFonts w:ascii="Bookman Old Style" w:hAnsi="Bookman Old Style"/>
          <w:sz w:val="22"/>
          <w:szCs w:val="22"/>
          <w:lang w:val="es-UY"/>
        </w:rPr>
      </w:pPr>
      <w:r>
        <w:rPr>
          <w:rFonts w:ascii="Bookman Old Style" w:hAnsi="Bookman Old Style"/>
          <w:sz w:val="22"/>
          <w:szCs w:val="22"/>
          <w:lang w:val="es-UY"/>
        </w:rPr>
        <w:t>Art. 2.- COMUNICACIONES.</w:t>
      </w:r>
    </w:p>
    <w:p>
      <w:pPr>
        <w:pStyle w:val="Cuerpodetexto"/>
        <w:spacing w:before="0" w:after="0"/>
        <w:ind w:firstLine="708"/>
        <w:jc w:val="both"/>
        <w:rPr/>
      </w:pPr>
      <w:r>
        <w:rPr>
          <w:rFonts w:cs="Times New Roman"/>
          <w:sz w:val="22"/>
          <w:szCs w:val="22"/>
        </w:rPr>
        <w:t>Cualquier comunicación deberá dirigirse al</w:t>
      </w:r>
      <w:r>
        <w:rPr>
          <w:rFonts w:cs="Times New Roman"/>
          <w:b/>
          <w:sz w:val="22"/>
          <w:szCs w:val="22"/>
        </w:rPr>
        <w:t xml:space="preserve"> Departamento de Adquisiciones del Poder Judicial</w:t>
      </w:r>
      <w:r>
        <w:rPr>
          <w:rFonts w:cs="Times New Roman"/>
          <w:sz w:val="22"/>
          <w:szCs w:val="22"/>
        </w:rPr>
        <w:t>, sito en la calle Soriano 1210 de Montevideo, Teléfonos: 2902-1359</w:t>
      </w:r>
      <w:r>
        <w:rPr>
          <w:rFonts w:cs="Times New Roman"/>
          <w:sz w:val="22"/>
          <w:szCs w:val="22"/>
          <w:lang w:val="es-UY"/>
        </w:rPr>
        <w:t xml:space="preserve">; </w:t>
      </w:r>
      <w:r>
        <w:rPr>
          <w:rFonts w:cs="Times New Roman"/>
          <w:sz w:val="22"/>
          <w:szCs w:val="22"/>
        </w:rPr>
        <w:t xml:space="preserve">2908-9397 y 1907 interno 4454 </w:t>
      </w:r>
      <w:r>
        <w:rPr>
          <w:rFonts w:cs="Times New Roman"/>
          <w:b/>
          <w:sz w:val="22"/>
          <w:szCs w:val="22"/>
        </w:rPr>
        <w:t>o Correo Electrónico</w:t>
      </w:r>
      <w:r>
        <w:rPr>
          <w:rFonts w:cs="Times New Roman"/>
          <w:b/>
          <w:bCs/>
          <w:sz w:val="22"/>
          <w:szCs w:val="22"/>
        </w:rPr>
        <w:t xml:space="preserve">: </w:t>
      </w:r>
      <w:hyperlink r:id="rId2">
        <w:r>
          <w:rPr>
            <w:rStyle w:val="EnlacedeInternet"/>
            <w:b/>
            <w:sz w:val="22"/>
            <w:szCs w:val="22"/>
          </w:rPr>
          <w:t>adquisiciones@poderjudicial.gub.uy</w:t>
        </w:r>
      </w:hyperlink>
    </w:p>
    <w:p>
      <w:pPr>
        <w:pStyle w:val="Normal"/>
        <w:spacing w:before="0" w:after="0"/>
        <w:ind w:firstLine="708"/>
        <w:jc w:val="both"/>
        <w:rPr>
          <w:rFonts w:eastAsia="Arial" w:cs="Times New Roman"/>
          <w:b/>
          <w:b/>
          <w:sz w:val="22"/>
          <w:szCs w:val="22"/>
        </w:rPr>
      </w:pPr>
      <w:r>
        <w:rPr>
          <w:rFonts w:eastAsia="Arial" w:cs="Times New Roman"/>
          <w:b/>
          <w:sz w:val="22"/>
          <w:szCs w:val="22"/>
        </w:rPr>
        <w:t xml:space="preserve">Las respuestas,  modificaciones y/o aclaraciones </w:t>
      </w:r>
      <w:r>
        <w:rPr>
          <w:rFonts w:eastAsia="Arial" w:cs="Times New Roman"/>
          <w:sz w:val="22"/>
          <w:szCs w:val="22"/>
        </w:rPr>
        <w:t>al pliego serán evacuadas</w:t>
      </w:r>
      <w:r>
        <w:rPr>
          <w:rFonts w:eastAsia="Arial" w:cs="Times New Roman"/>
          <w:b/>
          <w:sz w:val="22"/>
          <w:szCs w:val="22"/>
        </w:rPr>
        <w:t xml:space="preserve"> a través del Sistema de Compras Estatales </w:t>
      </w:r>
      <w:r>
        <w:rPr>
          <w:rFonts w:eastAsia="Arial" w:cs="Times New Roman"/>
          <w:sz w:val="22"/>
          <w:szCs w:val="22"/>
        </w:rPr>
        <w:t>(SICE/Aclaraciones).</w:t>
      </w:r>
    </w:p>
    <w:p>
      <w:pPr>
        <w:pStyle w:val="Ttulo12"/>
        <w:spacing w:lineRule="auto" w:line="276" w:before="0" w:after="0"/>
        <w:ind w:left="0" w:hanging="0"/>
        <w:rPr>
          <w:rFonts w:ascii="Bookman Old Style" w:hAnsi="Bookman Old Style"/>
          <w:sz w:val="22"/>
          <w:szCs w:val="22"/>
          <w:lang w:val="es-UY"/>
        </w:rPr>
      </w:pPr>
      <w:r>
        <w:rPr>
          <w:rFonts w:ascii="Bookman Old Style" w:hAnsi="Bookman Old Style"/>
          <w:sz w:val="22"/>
          <w:szCs w:val="22"/>
          <w:lang w:val="es-UY"/>
        </w:rPr>
      </w:r>
    </w:p>
    <w:p>
      <w:pPr>
        <w:pStyle w:val="Ttulo12"/>
        <w:spacing w:lineRule="auto" w:line="276" w:before="0" w:after="0"/>
        <w:ind w:left="0" w:hanging="0"/>
        <w:rPr>
          <w:rFonts w:ascii="Bookman Old Style" w:hAnsi="Bookman Old Style"/>
          <w:sz w:val="22"/>
          <w:szCs w:val="22"/>
          <w:lang w:val="es-UY"/>
        </w:rPr>
      </w:pPr>
      <w:r>
        <w:rPr>
          <w:rFonts w:ascii="Bookman Old Style" w:hAnsi="Bookman Old Style"/>
          <w:sz w:val="22"/>
          <w:szCs w:val="22"/>
          <w:lang w:val="es-UY"/>
        </w:rPr>
        <w:t>Art. 3.- ACLARACIONES Y CONSULTAS.</w:t>
      </w:r>
    </w:p>
    <w:p>
      <w:pPr>
        <w:pStyle w:val="Normal1"/>
        <w:spacing w:lineRule="auto" w:line="276" w:before="0" w:after="0"/>
        <w:ind w:firstLine="708"/>
        <w:jc w:val="both"/>
        <w:rPr>
          <w:rStyle w:val="Fuentedeprrafopredeter2"/>
          <w:rFonts w:ascii="Bookman Old Style" w:hAnsi="Bookman Old Style"/>
          <w:sz w:val="22"/>
          <w:szCs w:val="22"/>
          <w:lang w:val="es-UY"/>
        </w:rPr>
      </w:pPr>
      <w:r>
        <w:rPr>
          <w:rStyle w:val="Fuentedeprrafopredeter2"/>
          <w:rFonts w:ascii="Bookman Old Style" w:hAnsi="Bookman Old Style"/>
          <w:sz w:val="22"/>
          <w:szCs w:val="22"/>
          <w:lang w:val="es-UY"/>
        </w:rPr>
        <w:t xml:space="preserve">Cualquier </w:t>
      </w:r>
      <w:r>
        <w:rPr>
          <w:rStyle w:val="Fuentedeprrafopredeter2"/>
          <w:rFonts w:ascii="Bookman Old Style" w:hAnsi="Bookman Old Style"/>
          <w:b/>
          <w:sz w:val="22"/>
          <w:szCs w:val="22"/>
          <w:lang w:val="es-UY"/>
        </w:rPr>
        <w:t>oferente podrá solicitar al Departamento de Adquisiciones</w:t>
      </w:r>
      <w:r>
        <w:rPr>
          <w:rStyle w:val="Fuentedeprrafopredeter2"/>
          <w:rFonts w:ascii="Bookman Old Style" w:hAnsi="Bookman Old Style"/>
          <w:sz w:val="22"/>
          <w:szCs w:val="22"/>
          <w:lang w:val="es-UY"/>
        </w:rPr>
        <w:t xml:space="preserve">, por cualquiera de los medios mencionados en el artículo precedente, </w:t>
      </w:r>
      <w:r>
        <w:rPr>
          <w:rStyle w:val="Fuentedeprrafopredeter2"/>
          <w:rFonts w:ascii="Bookman Old Style" w:hAnsi="Bookman Old Style"/>
          <w:b/>
          <w:sz w:val="22"/>
          <w:szCs w:val="22"/>
          <w:lang w:val="es-UY"/>
        </w:rPr>
        <w:t>aclaraciones o consultas específicas mediante comunicación dirigida hasta 2 días hábiles antes de la fecha establecida para el acto de apertura de las ofertas.</w:t>
      </w:r>
      <w:r>
        <w:rPr>
          <w:rStyle w:val="Fuentedeprrafopredeter2"/>
          <w:rFonts w:ascii="Bookman Old Style" w:hAnsi="Bookman Old Style"/>
          <w:sz w:val="22"/>
          <w:szCs w:val="22"/>
          <w:lang w:val="es-UY"/>
        </w:rPr>
        <w:t xml:space="preserve"> Vencido dicho término, la Administración no estará obligada a proporcionar datos aclaratorios ni aceptar solicitudes de modificaciones a las condiciones establecidas en el Pliego. Las consultas serán contestadas por el Departamento de Adquisiciones, en el plazo máximo de 48 horas hábiles a partir de su recepción.</w:t>
      </w:r>
    </w:p>
    <w:p>
      <w:pPr>
        <w:pStyle w:val="Normal1"/>
        <w:spacing w:lineRule="auto" w:line="276" w:before="0" w:after="0"/>
        <w:jc w:val="both"/>
        <w:rPr>
          <w:rStyle w:val="Fuentedeprrafopredeter2"/>
          <w:rFonts w:ascii="Bookman Old Style" w:hAnsi="Bookman Old Style"/>
          <w:b/>
          <w:b/>
          <w:sz w:val="22"/>
          <w:szCs w:val="22"/>
          <w:lang w:val="es-UY"/>
        </w:rPr>
      </w:pPr>
      <w:r>
        <w:rPr>
          <w:rFonts w:ascii="Bookman Old Style" w:hAnsi="Bookman Old Style"/>
          <w:b/>
          <w:sz w:val="22"/>
          <w:szCs w:val="22"/>
          <w:lang w:val="es-UY"/>
        </w:rPr>
      </w:r>
    </w:p>
    <w:p>
      <w:pPr>
        <w:pStyle w:val="Normal1"/>
        <w:spacing w:lineRule="auto" w:line="276" w:before="0" w:after="0"/>
        <w:jc w:val="both"/>
        <w:rPr>
          <w:rStyle w:val="Fuentedeprrafopredeter2"/>
          <w:rFonts w:ascii="Bookman Old Style" w:hAnsi="Bookman Old Style"/>
          <w:sz w:val="22"/>
          <w:szCs w:val="22"/>
          <w:lang w:val="es-UY"/>
        </w:rPr>
      </w:pPr>
      <w:r>
        <w:rPr>
          <w:rStyle w:val="Fuentedeprrafopredeter2"/>
          <w:rFonts w:ascii="Bookman Old Style" w:hAnsi="Bookman Old Style"/>
          <w:b/>
          <w:sz w:val="22"/>
          <w:szCs w:val="22"/>
          <w:lang w:val="es-UY"/>
        </w:rPr>
        <w:t>Art. 4.- FORMA Y MONEDA DE COTIZACION</w:t>
      </w:r>
      <w:r>
        <w:rPr>
          <w:rStyle w:val="Fuentedeprrafopredeter2"/>
          <w:rFonts w:ascii="Bookman Old Style" w:hAnsi="Bookman Old Style"/>
          <w:sz w:val="22"/>
          <w:szCs w:val="22"/>
          <w:lang w:val="es-UY"/>
        </w:rPr>
        <w:t>.</w:t>
      </w:r>
    </w:p>
    <w:p>
      <w:pPr>
        <w:pStyle w:val="Normal1"/>
        <w:spacing w:lineRule="auto" w:line="276" w:before="0" w:after="0"/>
        <w:ind w:firstLine="708"/>
        <w:jc w:val="both"/>
        <w:rPr>
          <w:rStyle w:val="Fuentedeprrafopredeter2"/>
          <w:rFonts w:ascii="Bookman Old Style" w:hAnsi="Bookman Old Style"/>
          <w:sz w:val="22"/>
          <w:szCs w:val="22"/>
          <w:lang w:val="es-UY"/>
        </w:rPr>
      </w:pPr>
      <w:r>
        <w:rPr>
          <w:rStyle w:val="Fuentedeprrafopredeter2"/>
          <w:rFonts w:ascii="Bookman Old Style" w:hAnsi="Bookman Old Style"/>
          <w:sz w:val="22"/>
          <w:szCs w:val="22"/>
          <w:lang w:val="es-UY"/>
        </w:rPr>
        <w:t xml:space="preserve">La oferta se presentará en </w:t>
      </w:r>
      <w:r>
        <w:rPr>
          <w:rStyle w:val="Fuentedeprrafopredeter2"/>
          <w:rFonts w:ascii="Bookman Old Style" w:hAnsi="Bookman Old Style"/>
          <w:b/>
          <w:sz w:val="22"/>
          <w:szCs w:val="22"/>
          <w:lang w:val="es-UY"/>
        </w:rPr>
        <w:t>moneda nacional y a precio de plaza. Sin perjuicio del precio global a cotizar se debe indicar el precio unitario de cada ítem en caso que corresponda, con el iva incluido como se indica en el art. 5.</w:t>
      </w:r>
      <w:r>
        <w:rPr>
          <w:rStyle w:val="Fuentedeprrafopredeter2"/>
          <w:rFonts w:ascii="Bookman Old Style" w:hAnsi="Bookman Old Style"/>
          <w:sz w:val="22"/>
          <w:szCs w:val="22"/>
          <w:lang w:val="es-UY"/>
        </w:rPr>
        <w:t xml:space="preserve"> </w:t>
      </w:r>
    </w:p>
    <w:p>
      <w:pPr>
        <w:pStyle w:val="Normal1"/>
        <w:spacing w:lineRule="auto" w:line="276" w:before="0" w:after="0"/>
        <w:jc w:val="both"/>
        <w:rPr>
          <w:rFonts w:ascii="Bookman Old Style" w:hAnsi="Bookman Old Style"/>
          <w:b/>
          <w:b/>
          <w:sz w:val="22"/>
          <w:szCs w:val="22"/>
          <w:lang w:val="es-UY"/>
        </w:rPr>
      </w:pPr>
      <w:r>
        <w:rPr>
          <w:rFonts w:ascii="Bookman Old Style" w:hAnsi="Bookman Old Style"/>
          <w:b/>
          <w:sz w:val="22"/>
          <w:szCs w:val="22"/>
          <w:lang w:val="es-UY"/>
        </w:rPr>
      </w:r>
    </w:p>
    <w:p>
      <w:pPr>
        <w:pStyle w:val="Normal1"/>
        <w:spacing w:lineRule="auto" w:line="276" w:before="0" w:after="0"/>
        <w:jc w:val="both"/>
        <w:rPr>
          <w:rFonts w:ascii="Bookman Old Style" w:hAnsi="Bookman Old Style"/>
          <w:b/>
          <w:b/>
          <w:sz w:val="22"/>
          <w:szCs w:val="22"/>
          <w:lang w:val="es-UY"/>
        </w:rPr>
      </w:pPr>
      <w:bookmarkStart w:id="0" w:name="_GoBack"/>
      <w:bookmarkEnd w:id="0"/>
      <w:r>
        <w:rPr>
          <w:rFonts w:ascii="Bookman Old Style" w:hAnsi="Bookman Old Style"/>
          <w:b/>
          <w:sz w:val="22"/>
          <w:szCs w:val="22"/>
          <w:lang w:val="es-UY"/>
        </w:rPr>
        <w:t>Art. 5.- PRESENTACIÓN DE LAS OFERTAS.</w:t>
      </w:r>
    </w:p>
    <w:p>
      <w:pPr>
        <w:pStyle w:val="Normal"/>
        <w:widowControl/>
        <w:spacing w:before="0" w:after="0"/>
        <w:ind w:firstLine="709"/>
        <w:jc w:val="both"/>
        <w:rPr>
          <w:rFonts w:eastAsia="Calibri" w:cs="Times New Roman"/>
          <w:kern w:val="2"/>
          <w:sz w:val="22"/>
          <w:szCs w:val="22"/>
          <w:lang w:eastAsia="zh-CN"/>
        </w:rPr>
      </w:pPr>
      <w:r>
        <w:rPr>
          <w:rFonts w:eastAsia="Arial" w:cs="Times New Roman"/>
          <w:kern w:val="2"/>
          <w:sz w:val="22"/>
          <w:szCs w:val="22"/>
        </w:rPr>
        <w:t xml:space="preserve">Las ofertas deberán presentarse en el </w:t>
      </w:r>
      <w:r>
        <w:rPr>
          <w:rFonts w:eastAsia="Arial" w:cs="Times New Roman"/>
          <w:b/>
          <w:kern w:val="2"/>
          <w:sz w:val="22"/>
          <w:szCs w:val="22"/>
        </w:rPr>
        <w:t>Dpto. de Adquisiciones</w:t>
      </w:r>
      <w:r>
        <w:rPr>
          <w:rFonts w:eastAsia="Arial" w:cs="Times New Roman"/>
          <w:kern w:val="2"/>
          <w:sz w:val="22"/>
          <w:szCs w:val="22"/>
        </w:rPr>
        <w:t xml:space="preserve"> </w:t>
      </w:r>
      <w:r>
        <w:rPr>
          <w:rFonts w:eastAsia="Arial" w:cs="Times New Roman"/>
          <w:b/>
          <w:kern w:val="2"/>
          <w:sz w:val="22"/>
          <w:szCs w:val="22"/>
        </w:rPr>
        <w:t xml:space="preserve">por </w:t>
      </w:r>
      <w:r>
        <w:rPr>
          <w:rFonts w:eastAsia="Arial" w:cs="Times New Roman"/>
          <w:b/>
          <w:kern w:val="2"/>
          <w:sz w:val="22"/>
          <w:szCs w:val="22"/>
          <w:u w:val="single"/>
        </w:rPr>
        <w:t>uno</w:t>
      </w:r>
      <w:r>
        <w:rPr>
          <w:rFonts w:eastAsia="Arial" w:cs="Times New Roman"/>
          <w:b/>
          <w:kern w:val="2"/>
          <w:sz w:val="22"/>
          <w:szCs w:val="22"/>
        </w:rPr>
        <w:t xml:space="preserve"> </w:t>
      </w:r>
      <w:r>
        <w:rPr>
          <w:rFonts w:eastAsia="Arial" w:cs="Times New Roman"/>
          <w:b/>
          <w:kern w:val="2"/>
          <w:sz w:val="22"/>
          <w:szCs w:val="22"/>
          <w:lang w:eastAsia="zh-CN"/>
        </w:rPr>
        <w:t xml:space="preserve">de los siguientes medios </w:t>
      </w:r>
      <w:r>
        <w:rPr>
          <w:rFonts w:eastAsia="Arial" w:cs="Times New Roman"/>
          <w:kern w:val="2"/>
          <w:sz w:val="22"/>
          <w:szCs w:val="22"/>
          <w:lang w:eastAsia="zh-CN"/>
        </w:rPr>
        <w:t xml:space="preserve">(art. 63 inc. 5 del TOCAF): </w:t>
      </w:r>
    </w:p>
    <w:p>
      <w:pPr>
        <w:pStyle w:val="Normal"/>
        <w:widowControl/>
        <w:numPr>
          <w:ilvl w:val="0"/>
          <w:numId w:val="4"/>
        </w:numPr>
        <w:spacing w:before="0" w:after="0"/>
        <w:ind w:firstLine="709"/>
        <w:jc w:val="both"/>
        <w:rPr>
          <w:rFonts w:eastAsia="Arial" w:cs="Times New Roman"/>
          <w:kern w:val="2"/>
          <w:sz w:val="22"/>
          <w:szCs w:val="22"/>
          <w:lang w:eastAsia="zh-CN"/>
        </w:rPr>
      </w:pPr>
      <w:r>
        <w:rPr>
          <w:rFonts w:eastAsia="Arial" w:cs="Times New Roman"/>
          <w:kern w:val="2"/>
          <w:sz w:val="22"/>
          <w:szCs w:val="22"/>
          <w:u w:val="single"/>
          <w:lang w:eastAsia="zh-CN"/>
        </w:rPr>
        <w:t>correo electrónico</w:t>
      </w:r>
      <w:r>
        <w:rPr>
          <w:rFonts w:eastAsia="Arial" w:cs="Times New Roman"/>
          <w:kern w:val="2"/>
          <w:sz w:val="22"/>
          <w:szCs w:val="22"/>
          <w:lang w:eastAsia="zh-CN"/>
        </w:rPr>
        <w:t xml:space="preserve">, </w:t>
      </w:r>
    </w:p>
    <w:p>
      <w:pPr>
        <w:pStyle w:val="Normal"/>
        <w:widowControl/>
        <w:numPr>
          <w:ilvl w:val="0"/>
          <w:numId w:val="4"/>
        </w:numPr>
        <w:spacing w:before="0" w:after="0"/>
        <w:ind w:firstLine="709"/>
        <w:jc w:val="both"/>
        <w:rPr>
          <w:rFonts w:eastAsia="Arial" w:cs="Times New Roman"/>
          <w:kern w:val="2"/>
          <w:sz w:val="22"/>
          <w:szCs w:val="22"/>
          <w:lang w:eastAsia="zh-CN"/>
        </w:rPr>
      </w:pPr>
      <w:r>
        <w:rPr>
          <w:rFonts w:eastAsia="Arial" w:cs="Times New Roman"/>
          <w:kern w:val="2"/>
          <w:sz w:val="22"/>
          <w:szCs w:val="22"/>
          <w:u w:val="single"/>
          <w:lang w:eastAsia="zh-CN"/>
        </w:rPr>
        <w:t>en línea</w:t>
      </w:r>
      <w:r>
        <w:rPr>
          <w:rFonts w:eastAsia="Arial" w:cs="Times New Roman"/>
          <w:kern w:val="2"/>
          <w:sz w:val="22"/>
          <w:szCs w:val="22"/>
          <w:lang w:eastAsia="zh-CN"/>
        </w:rPr>
        <w:t xml:space="preserve"> en el sistema SICE.</w:t>
      </w:r>
    </w:p>
    <w:p>
      <w:pPr>
        <w:pStyle w:val="Normal"/>
        <w:widowControl/>
        <w:spacing w:before="0" w:after="0"/>
        <w:ind w:firstLine="709"/>
        <w:jc w:val="both"/>
        <w:rPr>
          <w:rFonts w:eastAsia="Arial" w:cs="Times New Roman"/>
          <w:kern w:val="2"/>
          <w:sz w:val="22"/>
          <w:szCs w:val="22"/>
          <w:lang w:eastAsia="zh-CN"/>
        </w:rPr>
      </w:pPr>
      <w:r>
        <w:rPr>
          <w:rFonts w:eastAsia="Arial" w:cs="Times New Roman"/>
          <w:kern w:val="2"/>
          <w:sz w:val="22"/>
          <w:szCs w:val="22"/>
          <w:lang w:eastAsia="zh-CN"/>
        </w:rPr>
        <w:t xml:space="preserve">Se </w:t>
      </w:r>
      <w:r>
        <w:rPr>
          <w:rFonts w:eastAsia="Arial" w:cs="Times New Roman"/>
          <w:b/>
          <w:kern w:val="2"/>
          <w:sz w:val="22"/>
          <w:szCs w:val="22"/>
          <w:lang w:eastAsia="zh-CN"/>
        </w:rPr>
        <w:t>deberá</w:t>
      </w:r>
      <w:r>
        <w:rPr>
          <w:rFonts w:eastAsia="Arial" w:cs="Times New Roman"/>
          <w:kern w:val="2"/>
          <w:sz w:val="22"/>
          <w:szCs w:val="22"/>
          <w:lang w:eastAsia="zh-CN"/>
        </w:rPr>
        <w:t xml:space="preserve"> </w:t>
      </w:r>
      <w:r>
        <w:rPr>
          <w:rFonts w:eastAsia="Arial" w:cs="Times New Roman"/>
          <w:b/>
          <w:kern w:val="2"/>
          <w:sz w:val="22"/>
          <w:szCs w:val="22"/>
          <w:lang w:eastAsia="zh-CN"/>
        </w:rPr>
        <w:t>utilizar un único medio</w:t>
      </w:r>
      <w:r>
        <w:rPr>
          <w:rFonts w:eastAsia="Arial" w:cs="Times New Roman"/>
          <w:kern w:val="2"/>
          <w:sz w:val="22"/>
          <w:szCs w:val="22"/>
          <w:lang w:eastAsia="zh-CN"/>
        </w:rPr>
        <w:t xml:space="preserve"> de los ofrecidos. </w:t>
      </w:r>
    </w:p>
    <w:p>
      <w:pPr>
        <w:pStyle w:val="Normal"/>
        <w:widowControl/>
        <w:spacing w:before="0" w:after="0"/>
        <w:ind w:right="680" w:firstLine="567"/>
        <w:jc w:val="both"/>
        <w:rPr>
          <w:rFonts w:cs="Times New Roman"/>
          <w:b/>
          <w:b/>
          <w:sz w:val="22"/>
          <w:szCs w:val="22"/>
          <w:lang w:val="es-UY" w:eastAsia="ar-SA"/>
        </w:rPr>
      </w:pPr>
      <w:r>
        <w:rPr>
          <w:rFonts w:cs="Times New Roman"/>
          <w:sz w:val="22"/>
          <w:szCs w:val="22"/>
          <w:lang w:eastAsia="ar-SA"/>
        </w:rPr>
        <w:t xml:space="preserve">Las </w:t>
      </w:r>
      <w:r>
        <w:rPr>
          <w:rFonts w:cs="Times New Roman"/>
          <w:b/>
          <w:sz w:val="22"/>
          <w:szCs w:val="22"/>
          <w:lang w:eastAsia="ar-SA"/>
        </w:rPr>
        <w:t xml:space="preserve">ofertas deberán estar firmadas (con aclaración) por un representante y/o apoderado cuya firma se encuentre validada en el </w:t>
      </w:r>
      <w:r>
        <w:rPr>
          <w:rFonts w:cs="Times New Roman"/>
          <w:b/>
          <w:sz w:val="22"/>
          <w:szCs w:val="22"/>
          <w:lang w:val="es-UY" w:eastAsia="ar-SA"/>
        </w:rPr>
        <w:t>Registro Único de Proveedores del Estado (RUPE).</w:t>
      </w:r>
    </w:p>
    <w:p>
      <w:pPr>
        <w:pStyle w:val="Normal"/>
        <w:widowControl/>
        <w:spacing w:before="0" w:after="0"/>
        <w:ind w:firstLine="709"/>
        <w:jc w:val="both"/>
        <w:rPr>
          <w:rFonts w:eastAsia="Arial" w:cs="Times New Roman"/>
          <w:strike/>
          <w:kern w:val="2"/>
          <w:sz w:val="22"/>
          <w:szCs w:val="22"/>
          <w:lang w:eastAsia="zh-CN"/>
        </w:rPr>
      </w:pPr>
      <w:r>
        <w:rPr>
          <w:rFonts w:eastAsia="Arial" w:cs="Times New Roman"/>
          <w:kern w:val="2"/>
          <w:sz w:val="22"/>
          <w:szCs w:val="22"/>
          <w:lang w:eastAsia="zh-CN"/>
        </w:rPr>
        <w:t>En caso de que el oferente presente su oferta a través del SICE y no coincidiera el archivo adjunto con la cotización en línea, se le dará validez al archivo adjunto dado que contiene la firma del representante y/o apoderado validado en RUPE</w:t>
      </w:r>
    </w:p>
    <w:p>
      <w:pPr>
        <w:pStyle w:val="Normal"/>
        <w:widowControl/>
        <w:spacing w:before="0" w:after="0"/>
        <w:ind w:firstLine="709"/>
        <w:jc w:val="both"/>
        <w:rPr>
          <w:rFonts w:eastAsia="Calibri" w:cs="Times New Roman"/>
          <w:b/>
          <w:b/>
          <w:sz w:val="22"/>
          <w:szCs w:val="22"/>
          <w:u w:val="single"/>
          <w:lang w:eastAsia="zh-CN"/>
        </w:rPr>
      </w:pPr>
      <w:r>
        <w:rPr>
          <w:rFonts w:eastAsia="Calibri" w:cs="Times New Roman"/>
          <w:sz w:val="22"/>
          <w:szCs w:val="22"/>
          <w:lang w:eastAsia="zh-CN"/>
        </w:rPr>
        <w:t xml:space="preserve">En caso de cotizarse por </w:t>
      </w:r>
      <w:r>
        <w:rPr>
          <w:rFonts w:eastAsia="Calibri" w:cs="Times New Roman"/>
          <w:sz w:val="22"/>
          <w:szCs w:val="22"/>
          <w:u w:val="single"/>
          <w:lang w:eastAsia="zh-CN"/>
        </w:rPr>
        <w:t>correo electrónico</w:t>
      </w:r>
      <w:r>
        <w:rPr>
          <w:rFonts w:eastAsia="Calibri" w:cs="Times New Roman"/>
          <w:sz w:val="22"/>
          <w:szCs w:val="22"/>
          <w:lang w:eastAsia="zh-CN"/>
        </w:rPr>
        <w:t xml:space="preserve"> o </w:t>
      </w:r>
      <w:r>
        <w:rPr>
          <w:rFonts w:eastAsia="Calibri" w:cs="Times New Roman"/>
          <w:sz w:val="22"/>
          <w:szCs w:val="22"/>
          <w:u w:val="single"/>
          <w:lang w:eastAsia="zh-CN"/>
        </w:rPr>
        <w:t>en línea SICE</w:t>
      </w:r>
      <w:r>
        <w:rPr>
          <w:rFonts w:eastAsia="Calibri" w:cs="Times New Roman"/>
          <w:sz w:val="22"/>
          <w:szCs w:val="22"/>
          <w:lang w:eastAsia="zh-CN"/>
        </w:rPr>
        <w:t xml:space="preserve"> deberá </w:t>
      </w:r>
      <w:r>
        <w:rPr>
          <w:rFonts w:eastAsia="Calibri" w:cs="Times New Roman"/>
          <w:b/>
          <w:sz w:val="22"/>
          <w:szCs w:val="22"/>
          <w:u w:val="single"/>
          <w:lang w:eastAsia="zh-CN"/>
        </w:rPr>
        <w:t>adjuntarse archivo con la oferta escaneada, firmada (con aclaración) por representante o apoderado registrado en el Registro Único de Proveedores del Estado (RUPE).</w:t>
      </w:r>
    </w:p>
    <w:p>
      <w:pPr>
        <w:pStyle w:val="Normal"/>
        <w:widowControl/>
        <w:spacing w:before="0" w:after="0"/>
        <w:ind w:firstLine="709"/>
        <w:jc w:val="both"/>
        <w:rPr>
          <w:rFonts w:eastAsia="Calibri" w:cs="Times New Roman"/>
          <w:sz w:val="22"/>
          <w:szCs w:val="22"/>
          <w:u w:val="single"/>
          <w:lang w:eastAsia="zh-CN"/>
        </w:rPr>
      </w:pPr>
      <w:r>
        <w:rPr>
          <w:rFonts w:eastAsia="Calibri" w:cs="Times New Roman"/>
          <w:sz w:val="22"/>
          <w:szCs w:val="22"/>
          <w:lang w:eastAsia="zh-CN"/>
        </w:rPr>
        <w:t xml:space="preserve">Se exhorta a </w:t>
      </w:r>
      <w:r>
        <w:rPr>
          <w:rFonts w:eastAsia="Calibri" w:cs="Times New Roman"/>
          <w:b/>
          <w:sz w:val="22"/>
          <w:szCs w:val="22"/>
          <w:lang w:eastAsia="zh-CN"/>
        </w:rPr>
        <w:t>no incorporar documentación que no fuera solicitada</w:t>
      </w:r>
      <w:r>
        <w:rPr>
          <w:rFonts w:eastAsia="Calibri" w:cs="Times New Roman"/>
          <w:sz w:val="22"/>
          <w:szCs w:val="22"/>
          <w:lang w:eastAsia="zh-CN"/>
        </w:rPr>
        <w:t>. A vía de ejemplo, referencias personales, etc.</w:t>
      </w:r>
    </w:p>
    <w:p>
      <w:pPr>
        <w:pStyle w:val="Normal"/>
        <w:widowControl/>
        <w:spacing w:before="0" w:after="0"/>
        <w:ind w:firstLine="709"/>
        <w:jc w:val="both"/>
        <w:rPr>
          <w:rFonts w:cs="Times New Roman"/>
          <w:sz w:val="22"/>
          <w:szCs w:val="22"/>
          <w:lang w:eastAsia="ar-SA"/>
        </w:rPr>
      </w:pPr>
      <w:r>
        <w:rPr>
          <w:rFonts w:cs="Times New Roman"/>
          <w:sz w:val="22"/>
          <w:szCs w:val="22"/>
          <w:lang w:eastAsia="ar-SA"/>
        </w:rPr>
        <w:t xml:space="preserve">Se admitirán las ofertas de aquellas empresas que se encuentren en </w:t>
      </w:r>
      <w:r>
        <w:rPr>
          <w:rFonts w:cs="Times New Roman"/>
          <w:b/>
          <w:sz w:val="22"/>
          <w:szCs w:val="22"/>
          <w:lang w:eastAsia="ar-SA"/>
        </w:rPr>
        <w:t>estado “ACTIVO” en el RUPE</w:t>
      </w:r>
      <w:r>
        <w:rPr>
          <w:rFonts w:cs="Times New Roman"/>
          <w:sz w:val="22"/>
          <w:szCs w:val="22"/>
          <w:lang w:eastAsia="ar-SA"/>
        </w:rPr>
        <w:t xml:space="preserve">. </w:t>
      </w:r>
    </w:p>
    <w:p>
      <w:pPr>
        <w:pStyle w:val="Normal"/>
        <w:widowControl/>
        <w:spacing w:before="0" w:after="0"/>
        <w:ind w:firstLine="709"/>
        <w:jc w:val="both"/>
        <w:rPr>
          <w:rFonts w:cs="Times New Roman"/>
          <w:sz w:val="22"/>
          <w:szCs w:val="22"/>
          <w:lang w:eastAsia="zh-CN"/>
        </w:rPr>
      </w:pPr>
      <w:r>
        <w:rPr>
          <w:rFonts w:cs="Times New Roman"/>
          <w:sz w:val="22"/>
          <w:szCs w:val="22"/>
          <w:lang w:eastAsia="zh-CN"/>
        </w:rPr>
        <w:t xml:space="preserve">Los precios cotizados deberán </w:t>
      </w:r>
      <w:r>
        <w:rPr>
          <w:rFonts w:cs="Times New Roman"/>
          <w:b/>
          <w:sz w:val="22"/>
          <w:szCs w:val="22"/>
          <w:lang w:eastAsia="zh-CN"/>
        </w:rPr>
        <w:t>indicar todos los tributos</w:t>
      </w:r>
      <w:r>
        <w:rPr>
          <w:rFonts w:cs="Times New Roman"/>
          <w:sz w:val="22"/>
          <w:szCs w:val="22"/>
          <w:lang w:eastAsia="zh-CN"/>
        </w:rPr>
        <w:t xml:space="preserve"> que correspondan al oferente y su porcentaje, </w:t>
      </w:r>
      <w:r>
        <w:rPr>
          <w:rFonts w:cs="Times New Roman"/>
          <w:b/>
          <w:bCs/>
          <w:sz w:val="22"/>
          <w:szCs w:val="22"/>
          <w:lang w:eastAsia="zh-CN"/>
        </w:rPr>
        <w:t>especialmente el I.V.A., en forma clara y precisa, manifestando si los referidos tributos están o no incluidos en los precios</w:t>
      </w:r>
      <w:r>
        <w:rPr>
          <w:rFonts w:cs="Times New Roman"/>
          <w:sz w:val="22"/>
          <w:szCs w:val="22"/>
          <w:lang w:eastAsia="zh-CN"/>
        </w:rPr>
        <w:t>. En caso de no establecerse esta circunstancia, se considerará que los precios son con todos los tributos incluidos.</w:t>
      </w:r>
    </w:p>
    <w:p>
      <w:pPr>
        <w:pStyle w:val="Normal"/>
        <w:widowControl/>
        <w:spacing w:before="0" w:after="0"/>
        <w:jc w:val="both"/>
        <w:rPr>
          <w:rFonts w:cs="Times New Roman"/>
          <w:b/>
          <w:b/>
          <w:bCs/>
          <w:sz w:val="22"/>
          <w:szCs w:val="22"/>
          <w:lang w:eastAsia="zh-CN"/>
        </w:rPr>
      </w:pPr>
      <w:r>
        <w:rPr>
          <w:rFonts w:cs="Times New Roman"/>
          <w:b/>
          <w:bCs/>
          <w:sz w:val="22"/>
          <w:szCs w:val="22"/>
          <w:lang w:eastAsia="zh-CN"/>
        </w:rPr>
      </w:r>
    </w:p>
    <w:p>
      <w:pPr>
        <w:pStyle w:val="Normal"/>
        <w:widowControl/>
        <w:spacing w:before="0" w:after="0"/>
        <w:jc w:val="both"/>
        <w:rPr>
          <w:rStyle w:val="Fuentedeprrafopredeter2"/>
          <w:rFonts w:cs="Times New Roman"/>
          <w:bCs/>
          <w:sz w:val="22"/>
          <w:szCs w:val="22"/>
          <w:lang w:eastAsia="zh-CN"/>
        </w:rPr>
      </w:pPr>
      <w:r>
        <w:rPr>
          <w:rFonts w:cs="Times New Roman"/>
          <w:b/>
          <w:bCs/>
          <w:sz w:val="22"/>
          <w:szCs w:val="22"/>
          <w:lang w:eastAsia="zh-CN"/>
        </w:rPr>
        <w:t xml:space="preserve">Art. 6.- </w:t>
      </w:r>
      <w:r>
        <w:rPr>
          <w:rStyle w:val="Fuentedeprrafopredeter2"/>
          <w:b/>
          <w:sz w:val="22"/>
          <w:szCs w:val="22"/>
          <w:lang w:val="es-UY"/>
        </w:rPr>
        <w:t xml:space="preserve">LUGAR Y FECHA DE APERTURA.  </w:t>
      </w:r>
    </w:p>
    <w:p>
      <w:pPr>
        <w:pStyle w:val="Normal1"/>
        <w:spacing w:lineRule="auto" w:line="276" w:before="0" w:after="0"/>
        <w:jc w:val="both"/>
        <w:rPr>
          <w:rStyle w:val="Fuentedeprrafopredeter2"/>
          <w:rFonts w:ascii="Bookman Old Style" w:hAnsi="Bookman Old Style"/>
          <w:b/>
          <w:b/>
          <w:sz w:val="22"/>
          <w:szCs w:val="22"/>
          <w:lang w:val="es-UY"/>
        </w:rPr>
      </w:pPr>
      <w:r>
        <w:rPr>
          <w:rFonts w:ascii="Bookman Old Style" w:hAnsi="Bookman Old Style"/>
          <w:b/>
          <w:sz w:val="22"/>
          <w:szCs w:val="22"/>
          <w:lang w:val="es-UY"/>
        </w:rPr>
      </w:r>
    </w:p>
    <w:p>
      <w:pPr>
        <w:pStyle w:val="Normal1"/>
        <w:spacing w:lineRule="auto" w:line="276" w:before="0" w:after="0"/>
        <w:jc w:val="both"/>
        <w:rPr/>
      </w:pPr>
      <w:r>
        <w:rPr>
          <w:rStyle w:val="Fuentedeprrafopredeter2"/>
          <w:rFonts w:ascii="Bookman Old Style" w:hAnsi="Bookman Old Style"/>
          <w:sz w:val="22"/>
          <w:szCs w:val="22"/>
          <w:lang w:val="es-UY"/>
        </w:rPr>
        <w:tab/>
        <w:tab/>
      </w:r>
      <w:r>
        <w:rPr>
          <w:rStyle w:val="Fuentedeprrafopredeter2"/>
          <w:rFonts w:ascii="Bookman Old Style" w:hAnsi="Bookman Old Style"/>
          <w:b/>
          <w:sz w:val="22"/>
          <w:szCs w:val="22"/>
          <w:lang w:val="es-UY"/>
        </w:rPr>
        <w:t xml:space="preserve">a) Fecha: </w:t>
      </w:r>
      <w:r>
        <w:rPr>
          <w:rStyle w:val="Fuentedeprrafopredeter2"/>
          <w:rFonts w:ascii="Bookman Old Style" w:hAnsi="Bookman Old Style"/>
          <w:b/>
          <w:sz w:val="22"/>
          <w:szCs w:val="22"/>
          <w:lang w:val="es-UY"/>
        </w:rPr>
        <w:t>20 de Abril de 2023</w:t>
      </w:r>
    </w:p>
    <w:p>
      <w:pPr>
        <w:pStyle w:val="Normal1"/>
        <w:spacing w:lineRule="auto" w:line="276" w:before="0" w:after="0"/>
        <w:jc w:val="both"/>
        <w:rPr>
          <w:rFonts w:ascii="Bookman Old Style" w:hAnsi="Bookman Old Style"/>
          <w:b/>
          <w:b/>
          <w:sz w:val="22"/>
          <w:szCs w:val="22"/>
          <w:lang w:val="es-UY"/>
        </w:rPr>
      </w:pPr>
      <w:r>
        <w:rPr>
          <w:rFonts w:ascii="Bookman Old Style" w:hAnsi="Bookman Old Style"/>
          <w:b/>
          <w:sz w:val="22"/>
          <w:szCs w:val="22"/>
          <w:lang w:val="es-UY"/>
        </w:rPr>
        <w:tab/>
        <w:tab/>
        <w:t>b) Hora: 15:00 hs.</w:t>
      </w:r>
    </w:p>
    <w:p>
      <w:pPr>
        <w:pStyle w:val="Normal1"/>
        <w:spacing w:lineRule="auto" w:line="276" w:before="0" w:after="0"/>
        <w:ind w:left="1416" w:hanging="0"/>
        <w:jc w:val="both"/>
        <w:rPr>
          <w:rFonts w:ascii="Bookman Old Style" w:hAnsi="Bookman Old Style"/>
          <w:b/>
          <w:b/>
          <w:sz w:val="22"/>
          <w:szCs w:val="22"/>
          <w:lang w:val="es-UY"/>
        </w:rPr>
      </w:pPr>
      <w:r>
        <w:rPr>
          <w:rFonts w:ascii="Bookman Old Style" w:hAnsi="Bookman Old Style"/>
          <w:b/>
          <w:sz w:val="22"/>
          <w:szCs w:val="22"/>
          <w:lang w:val="es-UY"/>
        </w:rPr>
        <w:t xml:space="preserve">c) Lugar: Departamento de Adquisiciones. </w:t>
      </w:r>
    </w:p>
    <w:p>
      <w:pPr>
        <w:pStyle w:val="Normal1"/>
        <w:spacing w:lineRule="auto" w:line="276" w:before="0" w:after="0"/>
        <w:jc w:val="both"/>
        <w:rPr>
          <w:rFonts w:ascii="Bookman Old Style" w:hAnsi="Bookman Old Style"/>
          <w:b/>
          <w:b/>
          <w:sz w:val="22"/>
          <w:szCs w:val="22"/>
          <w:lang w:val="es-UY"/>
        </w:rPr>
      </w:pPr>
      <w:r>
        <w:rPr>
          <w:rFonts w:ascii="Bookman Old Style" w:hAnsi="Bookman Old Style"/>
          <w:b/>
          <w:sz w:val="22"/>
          <w:szCs w:val="22"/>
          <w:lang w:val="es-UY"/>
        </w:rPr>
      </w:r>
    </w:p>
    <w:p>
      <w:pPr>
        <w:pStyle w:val="Normal1"/>
        <w:spacing w:lineRule="auto" w:line="276" w:before="0" w:after="0"/>
        <w:jc w:val="both"/>
        <w:rPr>
          <w:rStyle w:val="Fuentedeprrafopredeter2"/>
          <w:rFonts w:ascii="Bookman Old Style" w:hAnsi="Bookman Old Style"/>
          <w:b/>
          <w:b/>
          <w:sz w:val="22"/>
          <w:szCs w:val="22"/>
          <w:lang w:val="es-UY"/>
        </w:rPr>
      </w:pPr>
      <w:r>
        <w:rPr>
          <w:rStyle w:val="Fuentedeprrafopredeter2"/>
          <w:rFonts w:ascii="Bookman Old Style" w:hAnsi="Bookman Old Style"/>
          <w:b/>
          <w:sz w:val="22"/>
          <w:szCs w:val="22"/>
          <w:lang w:val="es-UY"/>
        </w:rPr>
        <w:t>Art.7.- APERTURA DE OFERTAS.</w:t>
      </w:r>
    </w:p>
    <w:p>
      <w:pPr>
        <w:pStyle w:val="Normal"/>
        <w:widowControl/>
        <w:spacing w:before="0" w:after="0"/>
        <w:ind w:firstLine="567"/>
        <w:jc w:val="both"/>
        <w:rPr>
          <w:rFonts w:cs="Times New Roman"/>
          <w:sz w:val="22"/>
          <w:szCs w:val="22"/>
          <w:lang w:eastAsia="zh-CN"/>
        </w:rPr>
      </w:pPr>
      <w:r>
        <w:rPr>
          <w:rFonts w:cs="Times New Roman"/>
          <w:sz w:val="22"/>
          <w:szCs w:val="22"/>
          <w:lang w:eastAsia="zh-CN"/>
        </w:rPr>
        <w:t xml:space="preserve">Abiertas las ofertas por funcionario de la Administración y concluido el acto de apertura, se labrará acta correspondiente, dejando constancia de las observaciones constatadas. La misma será publicada en el sitio web de Compras Estatales (SICE), lo cual supondrá la notificación a los oferentes y correrá el plazo para levantar las observaciones. </w:t>
      </w:r>
    </w:p>
    <w:p>
      <w:pPr>
        <w:pStyle w:val="Normal"/>
        <w:widowControl/>
        <w:spacing w:before="0" w:after="0"/>
        <w:ind w:firstLine="567"/>
        <w:jc w:val="both"/>
        <w:rPr>
          <w:rFonts w:cs="Times New Roman"/>
          <w:sz w:val="22"/>
          <w:szCs w:val="22"/>
          <w:lang w:eastAsia="zh-CN"/>
        </w:rPr>
      </w:pPr>
      <w:r>
        <w:rPr>
          <w:rFonts w:cs="Times New Roman"/>
          <w:sz w:val="22"/>
          <w:szCs w:val="22"/>
          <w:lang w:eastAsia="zh-C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pPr>
        <w:pStyle w:val="Normal"/>
        <w:widowControl/>
        <w:suppressAutoHyphens w:val="false"/>
        <w:spacing w:before="0" w:after="0"/>
        <w:ind w:firstLine="708"/>
        <w:jc w:val="both"/>
        <w:rPr>
          <w:rFonts w:cs="Times New Roman"/>
          <w:sz w:val="22"/>
          <w:szCs w:val="22"/>
          <w:u w:val="single"/>
          <w:lang w:eastAsia="zh-CN"/>
        </w:rPr>
      </w:pPr>
      <w:r>
        <w:rPr>
          <w:rFonts w:cs="Times New Roman"/>
          <w:sz w:val="22"/>
          <w:szCs w:val="22"/>
          <w:lang w:eastAsia="zh-CN"/>
        </w:rPr>
        <w:t xml:space="preserve">Se deja constancia que en el presente procedimiento </w:t>
      </w:r>
      <w:r>
        <w:rPr>
          <w:rFonts w:cs="Times New Roman"/>
          <w:sz w:val="22"/>
          <w:szCs w:val="22"/>
          <w:u w:val="single"/>
          <w:lang w:eastAsia="zh-CN"/>
        </w:rPr>
        <w:t>no se utiliza la modalidad de apertura electrónica</w:t>
      </w:r>
    </w:p>
    <w:p>
      <w:pPr>
        <w:pStyle w:val="Normal1"/>
        <w:spacing w:lineRule="auto" w:line="276" w:before="0" w:after="0"/>
        <w:jc w:val="both"/>
        <w:rPr>
          <w:rStyle w:val="Fuentedeprrafopredeter2"/>
          <w:rFonts w:ascii="Bookman Old Style" w:hAnsi="Bookman Old Style"/>
          <w:sz w:val="22"/>
          <w:szCs w:val="22"/>
          <w:lang w:val="es-UY"/>
        </w:rPr>
      </w:pPr>
      <w:r>
        <w:rPr>
          <w:rFonts w:ascii="Bookman Old Style" w:hAnsi="Bookman Old Style"/>
          <w:sz w:val="22"/>
          <w:szCs w:val="22"/>
          <w:lang w:val="es-UY"/>
        </w:rPr>
      </w:r>
    </w:p>
    <w:p>
      <w:pPr>
        <w:pStyle w:val="Normal1"/>
        <w:spacing w:lineRule="auto" w:line="276" w:before="0" w:after="0"/>
        <w:jc w:val="both"/>
        <w:rPr>
          <w:rStyle w:val="Fuentedeprrafopredeter2"/>
          <w:rFonts w:ascii="Bookman Old Style" w:hAnsi="Bookman Old Style"/>
          <w:b/>
          <w:b/>
          <w:sz w:val="22"/>
          <w:szCs w:val="22"/>
          <w:lang w:val="es-UY"/>
        </w:rPr>
      </w:pPr>
      <w:r>
        <w:rPr>
          <w:rStyle w:val="Fuentedeprrafopredeter2"/>
          <w:rFonts w:ascii="Bookman Old Style" w:hAnsi="Bookman Old Style"/>
          <w:b/>
          <w:sz w:val="22"/>
          <w:szCs w:val="22"/>
          <w:lang w:val="es-UY"/>
        </w:rPr>
        <w:t>Art. 8.- DOCUMENTACION A PRESENTAR POR EL OFERENTE.</w:t>
      </w:r>
    </w:p>
    <w:p>
      <w:pPr>
        <w:pStyle w:val="Normal1"/>
        <w:spacing w:lineRule="auto" w:line="276" w:before="0" w:after="0"/>
        <w:jc w:val="both"/>
        <w:rPr>
          <w:rStyle w:val="Fuentedeprrafopredeter2"/>
          <w:rFonts w:ascii="Bookman Old Style" w:hAnsi="Bookman Old Style"/>
          <w:b/>
          <w:b/>
          <w:sz w:val="22"/>
          <w:szCs w:val="22"/>
          <w:lang w:val="es-UY"/>
        </w:rPr>
      </w:pPr>
      <w:r>
        <w:rPr>
          <w:rFonts w:ascii="Bookman Old Style" w:hAnsi="Bookman Old Style"/>
          <w:b/>
          <w:sz w:val="22"/>
          <w:szCs w:val="22"/>
          <w:lang w:val="es-UY"/>
        </w:rPr>
      </w:r>
    </w:p>
    <w:p>
      <w:pPr>
        <w:pStyle w:val="Normal"/>
        <w:widowControl/>
        <w:spacing w:before="0" w:after="0"/>
        <w:ind w:firstLine="567"/>
        <w:jc w:val="both"/>
        <w:rPr>
          <w:rFonts w:cs="Times New Roman"/>
          <w:sz w:val="22"/>
          <w:szCs w:val="22"/>
          <w:lang w:eastAsia="zh-CN"/>
        </w:rPr>
      </w:pPr>
      <w:r>
        <w:rPr>
          <w:rFonts w:eastAsia="Arial"/>
          <w:bCs/>
          <w:kern w:val="2"/>
          <w:sz w:val="22"/>
          <w:szCs w:val="22"/>
          <w:lang w:val="es-UY" w:eastAsia="zh-CN"/>
        </w:rPr>
        <w:tab/>
      </w:r>
      <w:r>
        <w:rPr>
          <w:rFonts w:cs="Times New Roman"/>
          <w:sz w:val="22"/>
          <w:szCs w:val="22"/>
          <w:lang w:eastAsia="zh-CN"/>
        </w:rPr>
        <w:t>Junto a su cotización, los oferentes deberán presentar la documentación que a continuación se detalla, la cual será verificada durante el Acto de Apertura:</w:t>
      </w:r>
    </w:p>
    <w:p>
      <w:pPr>
        <w:pStyle w:val="Normal"/>
        <w:widowControl/>
        <w:spacing w:before="0" w:after="0"/>
        <w:ind w:firstLine="567"/>
        <w:jc w:val="both"/>
        <w:rPr>
          <w:rFonts w:cs="Times New Roman"/>
          <w:sz w:val="22"/>
          <w:szCs w:val="22"/>
          <w:lang w:eastAsia="zh-CN"/>
        </w:rPr>
      </w:pPr>
      <w:r>
        <w:rPr>
          <w:rFonts w:cs="Times New Roman"/>
          <w:sz w:val="22"/>
          <w:szCs w:val="22"/>
          <w:lang w:eastAsia="zh-CN"/>
        </w:rPr>
      </w:r>
    </w:p>
    <w:p>
      <w:pPr>
        <w:pStyle w:val="ListParagraph"/>
        <w:numPr>
          <w:ilvl w:val="0"/>
          <w:numId w:val="9"/>
        </w:numPr>
        <w:spacing w:before="0" w:after="0"/>
        <w:jc w:val="both"/>
        <w:rPr>
          <w:rFonts w:cs="Times New Roman"/>
          <w:sz w:val="22"/>
          <w:szCs w:val="22"/>
        </w:rPr>
      </w:pPr>
      <w:r>
        <w:rPr>
          <w:rFonts w:cs="Times New Roman"/>
          <w:b/>
          <w:sz w:val="22"/>
          <w:szCs w:val="22"/>
          <w:u w:val="single"/>
        </w:rPr>
        <w:t>folleto, catalogo, ficha técnica y/o similares</w:t>
      </w:r>
      <w:r>
        <w:rPr>
          <w:rFonts w:cs="Times New Roman"/>
          <w:sz w:val="22"/>
          <w:szCs w:val="22"/>
        </w:rPr>
        <w:t xml:space="preserve"> donde se pueda observar con claridad los detalles de las características técnicas del e1quipo ofertado, para el control del cumplimiento de lo solicitado en el presente Pliego. </w:t>
      </w:r>
    </w:p>
    <w:p>
      <w:pPr>
        <w:pStyle w:val="Normal"/>
        <w:widowControl/>
        <w:spacing w:before="0" w:after="0"/>
        <w:ind w:firstLine="567"/>
        <w:jc w:val="both"/>
        <w:rPr>
          <w:rFonts w:cs="Times New Roman"/>
          <w:sz w:val="22"/>
          <w:szCs w:val="22"/>
          <w:lang w:eastAsia="zh-CN"/>
        </w:rPr>
      </w:pPr>
      <w:r>
        <w:rPr>
          <w:rFonts w:cs="Times New Roman"/>
          <w:sz w:val="22"/>
          <w:szCs w:val="22"/>
          <w:lang w:eastAsia="zh-CN"/>
        </w:rPr>
      </w:r>
    </w:p>
    <w:p>
      <w:pPr>
        <w:pStyle w:val="Normal"/>
        <w:widowControl/>
        <w:spacing w:before="0" w:after="0"/>
        <w:ind w:firstLine="567"/>
        <w:jc w:val="both"/>
        <w:rPr>
          <w:rFonts w:cs="Times New Roman"/>
          <w:sz w:val="22"/>
          <w:szCs w:val="22"/>
          <w:lang w:eastAsia="zh-CN"/>
        </w:rPr>
      </w:pPr>
      <w:r>
        <w:rPr>
          <w:rFonts w:cs="Times New Roman"/>
          <w:sz w:val="22"/>
          <w:szCs w:val="22"/>
          <w:lang w:eastAsia="zh-CN"/>
        </w:rPr>
        <w:t xml:space="preserve">Aquellas empresas que no cumplan con la presentación de los documentos solicitados en el momento del Acto de Apertura, dispondrán de un plazo de dos días hábiles para subsanar la omisión. </w:t>
      </w:r>
    </w:p>
    <w:p>
      <w:pPr>
        <w:pStyle w:val="Normal"/>
        <w:widowControl/>
        <w:spacing w:before="0" w:after="0"/>
        <w:ind w:firstLine="567"/>
        <w:jc w:val="both"/>
        <w:rPr>
          <w:rFonts w:cs="Times New Roman"/>
          <w:sz w:val="22"/>
          <w:szCs w:val="22"/>
          <w:lang w:eastAsia="zh-CN"/>
        </w:rPr>
      </w:pPr>
      <w:r>
        <w:rPr>
          <w:rFonts w:cs="Times New Roman"/>
          <w:sz w:val="22"/>
          <w:szCs w:val="22"/>
          <w:lang w:eastAsia="zh-CN"/>
        </w:rPr>
      </w:r>
    </w:p>
    <w:p>
      <w:pPr>
        <w:pStyle w:val="Normal"/>
        <w:widowControl/>
        <w:spacing w:before="0" w:after="0"/>
        <w:ind w:firstLine="567"/>
        <w:jc w:val="both"/>
        <w:rPr>
          <w:rFonts w:cs="Times New Roman"/>
          <w:sz w:val="22"/>
          <w:szCs w:val="22"/>
          <w:lang w:eastAsia="zh-CN"/>
        </w:rPr>
      </w:pPr>
      <w:r>
        <w:rPr>
          <w:rFonts w:cs="Times New Roman"/>
          <w:sz w:val="22"/>
          <w:szCs w:val="22"/>
          <w:lang w:eastAsia="zh-CN"/>
        </w:rPr>
        <w:t>No serán consideradas las propuestas cuyos oferentes no hubieran levantado la observación dentro del plazo establecido.</w:t>
      </w:r>
    </w:p>
    <w:p>
      <w:pPr>
        <w:pStyle w:val="Normal1"/>
        <w:spacing w:lineRule="auto" w:line="276" w:before="0" w:after="0"/>
        <w:jc w:val="both"/>
        <w:rPr>
          <w:rStyle w:val="Fuentedeprrafopredeter2"/>
          <w:rFonts w:ascii="Bookman Old Style" w:hAnsi="Bookman Old Style"/>
          <w:b/>
          <w:b/>
          <w:sz w:val="22"/>
          <w:szCs w:val="22"/>
          <w:lang w:val="es-UY"/>
        </w:rPr>
      </w:pPr>
      <w:r>
        <w:rPr>
          <w:rFonts w:ascii="Bookman Old Style" w:hAnsi="Bookman Old Style"/>
          <w:b/>
          <w:sz w:val="22"/>
          <w:szCs w:val="22"/>
          <w:lang w:val="es-UY"/>
        </w:rPr>
      </w:r>
    </w:p>
    <w:p>
      <w:pPr>
        <w:pStyle w:val="Normal1"/>
        <w:spacing w:lineRule="auto" w:line="276" w:before="0" w:after="0"/>
        <w:jc w:val="both"/>
        <w:rPr>
          <w:rStyle w:val="Fuentedeprrafopredeter2"/>
          <w:rFonts w:ascii="Bookman Old Style" w:hAnsi="Bookman Old Style"/>
          <w:sz w:val="22"/>
          <w:szCs w:val="22"/>
          <w:lang w:val="es-UY"/>
        </w:rPr>
      </w:pPr>
      <w:r>
        <w:rPr>
          <w:rStyle w:val="Fuentedeprrafopredeter2"/>
          <w:rFonts w:ascii="Bookman Old Style" w:hAnsi="Bookman Old Style"/>
          <w:b/>
          <w:sz w:val="22"/>
          <w:szCs w:val="22"/>
          <w:lang w:val="es-UY"/>
        </w:rPr>
        <w:t>Art. 9.- PLAZO DE MANTENIMIENTO DE OFERTA</w:t>
      </w:r>
      <w:r>
        <w:rPr>
          <w:rStyle w:val="Fuentedeprrafopredeter2"/>
          <w:rFonts w:ascii="Bookman Old Style" w:hAnsi="Bookman Old Style"/>
          <w:sz w:val="22"/>
          <w:szCs w:val="22"/>
          <w:lang w:val="es-UY"/>
        </w:rPr>
        <w:t>.</w:t>
      </w:r>
    </w:p>
    <w:p>
      <w:pPr>
        <w:pStyle w:val="Normal"/>
        <w:spacing w:before="0" w:after="0"/>
        <w:ind w:firstLine="709"/>
        <w:jc w:val="both"/>
        <w:rPr>
          <w:rFonts w:cs="Times New Roman"/>
          <w:sz w:val="22"/>
          <w:szCs w:val="22"/>
        </w:rPr>
      </w:pPr>
      <w:r>
        <w:rPr>
          <w:rFonts w:cs="Times New Roman"/>
          <w:b/>
          <w:sz w:val="22"/>
          <w:szCs w:val="22"/>
        </w:rPr>
        <w:t>No inferior a 180 días.</w:t>
      </w:r>
      <w:r>
        <w:rPr>
          <w:rFonts w:cs="Times New Roman"/>
          <w:sz w:val="22"/>
          <w:szCs w:val="22"/>
        </w:rPr>
        <w:t xml:space="preserve"> Se entiende por tal el lapso durante el cual la empresa se obliga a mantener las condiciones de su oferta.</w:t>
      </w:r>
    </w:p>
    <w:p>
      <w:pPr>
        <w:pStyle w:val="Normal"/>
        <w:spacing w:before="0" w:after="0"/>
        <w:jc w:val="both"/>
        <w:rPr>
          <w:rFonts w:cs="Times New Roman"/>
          <w:sz w:val="22"/>
          <w:szCs w:val="22"/>
        </w:rPr>
      </w:pPr>
      <w:r>
        <w:rPr>
          <w:rFonts w:cs="Times New Roman"/>
          <w:sz w:val="22"/>
          <w:szCs w:val="22"/>
        </w:rPr>
        <w:tab/>
        <w:t>El vencimiento del plazo establecido precedentemente no liberará al oferente, salvo que medie notificación escrita a la Administración, manifestando su decisión de retirar la oferta, antes de la notificación de la adjudicación de la misma.</w:t>
      </w:r>
    </w:p>
    <w:p>
      <w:pPr>
        <w:pStyle w:val="Normal"/>
        <w:spacing w:before="0" w:after="0"/>
        <w:ind w:firstLine="709"/>
        <w:jc w:val="both"/>
        <w:rPr>
          <w:rFonts w:cs="Times New Roman"/>
          <w:sz w:val="22"/>
          <w:szCs w:val="22"/>
        </w:rPr>
      </w:pPr>
      <w:r>
        <w:rPr>
          <w:rFonts w:cs="Times New Roman"/>
          <w:sz w:val="22"/>
          <w:szCs w:val="22"/>
        </w:rPr>
        <w:t xml:space="preserve">El oferente no podrá establecer cláusulas que condicionen el mantenimiento de la oferta en forma alguna o que indiquen plazos menores. </w:t>
      </w:r>
    </w:p>
    <w:p>
      <w:pPr>
        <w:pStyle w:val="Normal1"/>
        <w:spacing w:lineRule="auto" w:line="276" w:before="0" w:after="0"/>
        <w:jc w:val="both"/>
        <w:rPr>
          <w:rFonts w:ascii="Bookman Old Style" w:hAnsi="Bookman Old Style"/>
          <w:b/>
          <w:b/>
          <w:sz w:val="22"/>
          <w:szCs w:val="22"/>
          <w:lang w:val="es-UY"/>
        </w:rPr>
      </w:pPr>
      <w:r>
        <w:rPr>
          <w:rFonts w:ascii="Bookman Old Style" w:hAnsi="Bookman Old Style"/>
          <w:b/>
          <w:sz w:val="22"/>
          <w:szCs w:val="22"/>
          <w:lang w:val="es-UY"/>
        </w:rPr>
      </w:r>
    </w:p>
    <w:p>
      <w:pPr>
        <w:pStyle w:val="Normal1"/>
        <w:spacing w:lineRule="auto" w:line="276" w:before="0" w:after="0"/>
        <w:jc w:val="both"/>
        <w:rPr>
          <w:rFonts w:ascii="Bookman Old Style" w:hAnsi="Bookman Old Style"/>
          <w:b/>
          <w:b/>
          <w:sz w:val="22"/>
          <w:szCs w:val="22"/>
          <w:lang w:val="es-UY"/>
        </w:rPr>
      </w:pPr>
      <w:r>
        <w:rPr>
          <w:rFonts w:ascii="Bookman Old Style" w:hAnsi="Bookman Old Style"/>
          <w:b/>
          <w:sz w:val="22"/>
          <w:szCs w:val="22"/>
          <w:lang w:val="es-UY"/>
        </w:rPr>
        <w:t>Art. 10.- CÓMPUTO DE PLAZOS.</w:t>
      </w:r>
    </w:p>
    <w:p>
      <w:pPr>
        <w:pStyle w:val="Normal1"/>
        <w:spacing w:lineRule="auto" w:line="276" w:before="0" w:after="0"/>
        <w:jc w:val="both"/>
        <w:rPr>
          <w:rFonts w:ascii="Bookman Old Style" w:hAnsi="Bookman Old Style"/>
          <w:sz w:val="22"/>
          <w:szCs w:val="22"/>
          <w:lang w:val="es-UY"/>
        </w:rPr>
      </w:pPr>
      <w:r>
        <w:rPr>
          <w:rFonts w:ascii="Bookman Old Style" w:hAnsi="Bookman Old Style"/>
          <w:b/>
          <w:sz w:val="22"/>
          <w:szCs w:val="22"/>
          <w:lang w:val="es-UY"/>
        </w:rPr>
        <w:tab/>
      </w:r>
      <w:r>
        <w:rPr>
          <w:rFonts w:ascii="Bookman Old Style" w:hAnsi="Bookman Old Style"/>
          <w:sz w:val="22"/>
          <w:szCs w:val="22"/>
          <w:lang w:val="es-UY"/>
        </w:rPr>
        <w:t>Todos los plazos serán computados</w:t>
      </w:r>
      <w:r>
        <w:rPr>
          <w:rFonts w:ascii="Bookman Old Style" w:hAnsi="Bookman Old Style"/>
          <w:b/>
          <w:sz w:val="22"/>
          <w:szCs w:val="22"/>
          <w:lang w:val="es-UY"/>
        </w:rPr>
        <w:t xml:space="preserve"> </w:t>
      </w:r>
      <w:r>
        <w:rPr>
          <w:rFonts w:ascii="Bookman Old Style" w:hAnsi="Bookman Old Style"/>
          <w:sz w:val="22"/>
          <w:szCs w:val="22"/>
          <w:lang w:val="es-UY"/>
        </w:rPr>
        <w:t xml:space="preserve">en </w:t>
      </w:r>
      <w:r>
        <w:rPr>
          <w:rFonts w:ascii="Bookman Old Style" w:hAnsi="Bookman Old Style"/>
          <w:b/>
          <w:sz w:val="22"/>
          <w:szCs w:val="22"/>
          <w:lang w:val="es-UY"/>
        </w:rPr>
        <w:t xml:space="preserve">días hábiles, </w:t>
      </w:r>
      <w:r>
        <w:rPr>
          <w:rFonts w:ascii="Bookman Old Style" w:hAnsi="Bookman Old Style"/>
          <w:sz w:val="22"/>
          <w:szCs w:val="22"/>
          <w:lang w:val="es-UY"/>
        </w:rPr>
        <w:t>salvo especificación en contrario en el presente o en la legislación vigente.</w:t>
      </w:r>
    </w:p>
    <w:p>
      <w:pPr>
        <w:pStyle w:val="Normal1"/>
        <w:spacing w:lineRule="auto" w:line="276" w:before="0" w:after="0"/>
        <w:jc w:val="both"/>
        <w:rPr>
          <w:rFonts w:ascii="Bookman Old Style" w:hAnsi="Bookman Old Style"/>
          <w:b/>
          <w:b/>
          <w:sz w:val="22"/>
          <w:szCs w:val="22"/>
          <w:lang w:val="es-UY"/>
        </w:rPr>
      </w:pPr>
      <w:r>
        <w:rPr>
          <w:rFonts w:ascii="Bookman Old Style" w:hAnsi="Bookman Old Style"/>
          <w:b/>
          <w:sz w:val="22"/>
          <w:szCs w:val="22"/>
          <w:lang w:val="es-UY"/>
        </w:rPr>
      </w:r>
    </w:p>
    <w:p>
      <w:pPr>
        <w:pStyle w:val="Normal1"/>
        <w:spacing w:lineRule="auto" w:line="276" w:before="0" w:after="0"/>
        <w:jc w:val="both"/>
        <w:rPr>
          <w:rFonts w:ascii="Bookman Old Style" w:hAnsi="Bookman Old Style"/>
          <w:b/>
          <w:b/>
          <w:sz w:val="22"/>
          <w:szCs w:val="22"/>
          <w:lang w:val="es-UY"/>
        </w:rPr>
      </w:pPr>
      <w:r>
        <w:rPr>
          <w:rFonts w:ascii="Bookman Old Style" w:hAnsi="Bookman Old Style"/>
          <w:b/>
          <w:sz w:val="22"/>
          <w:szCs w:val="22"/>
          <w:lang w:val="es-UY"/>
        </w:rPr>
        <w:t>Art. 11.- FORMA DE PAGO.</w:t>
      </w:r>
    </w:p>
    <w:p>
      <w:pPr>
        <w:pStyle w:val="Normal1"/>
        <w:spacing w:lineRule="auto" w:line="276" w:before="0" w:after="0"/>
        <w:jc w:val="both"/>
        <w:rPr>
          <w:rStyle w:val="Fuentedeprrafopredeter2"/>
          <w:rFonts w:ascii="Bookman Old Style" w:hAnsi="Bookman Old Style"/>
          <w:sz w:val="22"/>
          <w:szCs w:val="22"/>
          <w:lang w:val="es-UY"/>
        </w:rPr>
      </w:pPr>
      <w:r>
        <w:rPr>
          <w:rStyle w:val="Fuentedeprrafopredeter2"/>
          <w:rFonts w:ascii="Bookman Old Style" w:hAnsi="Bookman Old Style"/>
          <w:sz w:val="22"/>
          <w:szCs w:val="22"/>
          <w:lang w:val="es-UY"/>
        </w:rPr>
        <w:tab/>
        <w:t xml:space="preserve">La propuesta deberá considerar que el </w:t>
      </w:r>
      <w:r>
        <w:rPr>
          <w:rStyle w:val="Fuentedeprrafopredeter2"/>
          <w:rFonts w:ascii="Bookman Old Style" w:hAnsi="Bookman Old Style"/>
          <w:b/>
          <w:sz w:val="22"/>
          <w:szCs w:val="22"/>
          <w:lang w:val="es-UY"/>
        </w:rPr>
        <w:t>plazo mínimo de crédito es de 60 días</w:t>
      </w:r>
      <w:r>
        <w:rPr>
          <w:rStyle w:val="Fuentedeprrafopredeter2"/>
          <w:rFonts w:ascii="Bookman Old Style" w:hAnsi="Bookman Old Style"/>
          <w:sz w:val="22"/>
          <w:szCs w:val="22"/>
          <w:lang w:val="es-UY"/>
        </w:rPr>
        <w:t xml:space="preserve"> luego de efectuada de conformidad, la entrega del mobiliario solicitado. </w:t>
      </w:r>
    </w:p>
    <w:p>
      <w:pPr>
        <w:pStyle w:val="Normal1"/>
        <w:spacing w:lineRule="auto" w:line="276" w:before="0" w:after="0"/>
        <w:jc w:val="both"/>
        <w:rPr>
          <w:rFonts w:ascii="Bookman Old Style" w:hAnsi="Bookman Old Style"/>
          <w:b/>
          <w:b/>
          <w:sz w:val="22"/>
          <w:szCs w:val="22"/>
          <w:lang w:val="es-UY"/>
        </w:rPr>
      </w:pPr>
      <w:r>
        <w:rPr>
          <w:rFonts w:ascii="Bookman Old Style" w:hAnsi="Bookman Old Style"/>
          <w:b/>
          <w:sz w:val="22"/>
          <w:szCs w:val="22"/>
          <w:lang w:val="es-UY"/>
        </w:rPr>
      </w:r>
    </w:p>
    <w:p>
      <w:pPr>
        <w:pStyle w:val="Normal1"/>
        <w:spacing w:lineRule="auto" w:line="276" w:before="0" w:after="0"/>
        <w:jc w:val="both"/>
        <w:rPr>
          <w:rFonts w:ascii="Bookman Old Style" w:hAnsi="Bookman Old Style"/>
          <w:b/>
          <w:b/>
          <w:sz w:val="22"/>
          <w:szCs w:val="22"/>
          <w:lang w:val="es-UY"/>
        </w:rPr>
      </w:pPr>
      <w:r>
        <w:rPr>
          <w:rFonts w:ascii="Bookman Old Style" w:hAnsi="Bookman Old Style"/>
          <w:b/>
          <w:sz w:val="22"/>
          <w:szCs w:val="22"/>
          <w:lang w:val="es-UY"/>
        </w:rPr>
        <w:t>Art. 12.- NOTIFICACIÓN DE RESOLUCIÓN.</w:t>
      </w:r>
    </w:p>
    <w:p>
      <w:pPr>
        <w:pStyle w:val="Normal1"/>
        <w:spacing w:lineRule="auto" w:line="276" w:before="0" w:after="0"/>
        <w:jc w:val="both"/>
        <w:rPr>
          <w:rStyle w:val="Fuentedeprrafopredeter2"/>
          <w:rFonts w:ascii="Bookman Old Style" w:hAnsi="Bookman Old Style"/>
          <w:sz w:val="22"/>
          <w:szCs w:val="22"/>
          <w:lang w:val="es-UY"/>
        </w:rPr>
      </w:pPr>
      <w:r>
        <w:rPr>
          <w:rStyle w:val="Fuentedeprrafopredeter2"/>
          <w:rFonts w:ascii="Bookman Old Style" w:hAnsi="Bookman Old Style"/>
          <w:b/>
          <w:sz w:val="22"/>
          <w:szCs w:val="22"/>
          <w:lang w:val="es-UY"/>
        </w:rPr>
        <w:tab/>
      </w:r>
      <w:r>
        <w:rPr>
          <w:rStyle w:val="Fuentedeprrafopredeter2"/>
          <w:rFonts w:ascii="Bookman Old Style" w:hAnsi="Bookman Old Style"/>
          <w:sz w:val="22"/>
          <w:szCs w:val="22"/>
          <w:lang w:val="es-UY"/>
        </w:rPr>
        <w:t xml:space="preserve">La notificación de la </w:t>
      </w:r>
      <w:r>
        <w:rPr>
          <w:rStyle w:val="Fuentedeprrafopredeter2"/>
          <w:rFonts w:ascii="Bookman Old Style" w:hAnsi="Bookman Old Style"/>
          <w:b/>
          <w:sz w:val="22"/>
          <w:szCs w:val="22"/>
          <w:lang w:val="es-UY"/>
        </w:rPr>
        <w:t>resolución de adjudicación</w:t>
      </w:r>
      <w:r>
        <w:rPr>
          <w:rStyle w:val="Fuentedeprrafopredeter2"/>
          <w:rFonts w:ascii="Bookman Old Style" w:hAnsi="Bookman Old Style"/>
          <w:sz w:val="22"/>
          <w:szCs w:val="22"/>
          <w:lang w:val="es-UY"/>
        </w:rPr>
        <w:t xml:space="preserve"> a la firma adjudicataria constituirá, a todos los efectos legales, el </w:t>
      </w:r>
      <w:r>
        <w:rPr>
          <w:rStyle w:val="Fuentedeprrafopredeter2"/>
          <w:rFonts w:ascii="Bookman Old Style" w:hAnsi="Bookman Old Style"/>
          <w:b/>
          <w:sz w:val="22"/>
          <w:szCs w:val="22"/>
          <w:lang w:val="es-UY"/>
        </w:rPr>
        <w:t>perfeccionamiento del contrato</w:t>
      </w:r>
      <w:r>
        <w:rPr>
          <w:rStyle w:val="Fuentedeprrafopredeter2"/>
          <w:rFonts w:ascii="Bookman Old Style" w:hAnsi="Bookman Old Style"/>
          <w:sz w:val="22"/>
          <w:szCs w:val="22"/>
          <w:lang w:val="es-UY"/>
        </w:rPr>
        <w:t xml:space="preserve"> correspondiente a que refieren las disposiciones de este Pliego, siendo las obligaciones y derechos del contratista los que surgen de las normas jurídicas aplicables, los Pliegos y su oferta.</w:t>
      </w:r>
    </w:p>
    <w:p>
      <w:pPr>
        <w:pStyle w:val="Normal1"/>
        <w:spacing w:lineRule="auto" w:line="276" w:before="0" w:after="0"/>
        <w:jc w:val="both"/>
        <w:rPr>
          <w:rStyle w:val="Fuentedeprrafopredeter2"/>
          <w:rFonts w:ascii="Bookman Old Style" w:hAnsi="Bookman Old Style"/>
          <w:sz w:val="22"/>
          <w:szCs w:val="22"/>
          <w:lang w:val="es-UY"/>
        </w:rPr>
      </w:pPr>
      <w:r>
        <w:rPr>
          <w:rFonts w:ascii="Bookman Old Style" w:hAnsi="Bookman Old Style"/>
          <w:sz w:val="22"/>
          <w:szCs w:val="22"/>
          <w:lang w:val="es-UY"/>
        </w:rPr>
      </w:r>
    </w:p>
    <w:p>
      <w:pPr>
        <w:pStyle w:val="Normal1"/>
        <w:spacing w:lineRule="auto" w:line="276" w:before="0" w:after="0"/>
        <w:jc w:val="both"/>
        <w:rPr>
          <w:rStyle w:val="Fuentedeprrafopredeter2"/>
          <w:rFonts w:ascii="Bookman Old Style" w:hAnsi="Bookman Old Style"/>
          <w:b/>
          <w:b/>
          <w:sz w:val="22"/>
          <w:szCs w:val="22"/>
          <w:lang w:val="es-UY"/>
        </w:rPr>
      </w:pPr>
      <w:r>
        <w:rPr>
          <w:rStyle w:val="Fuentedeprrafopredeter2"/>
          <w:rFonts w:ascii="Bookman Old Style" w:hAnsi="Bookman Old Style"/>
          <w:b/>
          <w:sz w:val="22"/>
          <w:szCs w:val="22"/>
          <w:lang w:val="es-UY"/>
        </w:rPr>
        <w:t>Art. 13.- FORMULA DE AJUSTE DE PRECIOS.</w:t>
      </w:r>
    </w:p>
    <w:p>
      <w:pPr>
        <w:pStyle w:val="Normal1"/>
        <w:spacing w:lineRule="auto" w:line="276" w:before="0" w:after="0"/>
        <w:jc w:val="both"/>
        <w:rPr>
          <w:rFonts w:ascii="Bookman Old Style" w:hAnsi="Bookman Old Style"/>
          <w:sz w:val="22"/>
          <w:szCs w:val="22"/>
          <w:lang w:val="es-UY"/>
        </w:rPr>
      </w:pPr>
      <w:r>
        <w:rPr>
          <w:rFonts w:ascii="Bookman Old Style" w:hAnsi="Bookman Old Style"/>
          <w:sz w:val="22"/>
          <w:szCs w:val="22"/>
          <w:lang w:val="es-UY"/>
        </w:rPr>
        <w:tab/>
        <w:t xml:space="preserve">Sólo se admitirán ajustes de precio que se ciñan a la </w:t>
      </w:r>
      <w:r>
        <w:rPr>
          <w:rFonts w:ascii="Bookman Old Style" w:hAnsi="Bookman Old Style"/>
          <w:b/>
          <w:sz w:val="22"/>
          <w:szCs w:val="22"/>
          <w:lang w:val="es-UY"/>
        </w:rPr>
        <w:t>siguiente fórmula paramétrica</w:t>
      </w:r>
      <w:r>
        <w:rPr>
          <w:rFonts w:ascii="Bookman Old Style" w:hAnsi="Bookman Old Style"/>
          <w:sz w:val="22"/>
          <w:szCs w:val="22"/>
          <w:lang w:val="es-UY"/>
        </w:rPr>
        <w:t>:</w:t>
      </w:r>
    </w:p>
    <w:p>
      <w:pPr>
        <w:pStyle w:val="Normal"/>
        <w:spacing w:before="0" w:after="0"/>
        <w:jc w:val="both"/>
        <w:rPr>
          <w:rFonts w:cs="Times New Roman"/>
          <w:b/>
          <w:b/>
          <w:sz w:val="22"/>
          <w:szCs w:val="22"/>
          <w:u w:val="single"/>
          <w:vertAlign w:val="subscript"/>
          <w:lang w:val="es-UY"/>
        </w:rPr>
      </w:pPr>
      <w:r>
        <w:rPr>
          <w:rFonts w:cs="Times New Roman"/>
          <w:b/>
          <w:sz w:val="22"/>
          <w:szCs w:val="22"/>
          <w:lang w:val="es-UY"/>
        </w:rPr>
        <w:t>P</w:t>
      </w:r>
      <w:r>
        <w:rPr>
          <w:rFonts w:cs="Times New Roman"/>
          <w:b/>
          <w:sz w:val="22"/>
          <w:szCs w:val="22"/>
          <w:vertAlign w:val="subscript"/>
          <w:lang w:val="es-UY"/>
        </w:rPr>
        <w:t>1</w:t>
      </w:r>
      <w:r>
        <w:rPr>
          <w:rFonts w:cs="Times New Roman"/>
          <w:b/>
          <w:sz w:val="22"/>
          <w:szCs w:val="22"/>
          <w:lang w:val="es-UY"/>
        </w:rPr>
        <w:t xml:space="preserve"> = P</w:t>
      </w:r>
      <w:r>
        <w:rPr>
          <w:rFonts w:cs="Times New Roman"/>
          <w:b/>
          <w:sz w:val="22"/>
          <w:szCs w:val="22"/>
          <w:vertAlign w:val="subscript"/>
          <w:lang w:val="es-UY"/>
        </w:rPr>
        <w:t>0</w:t>
      </w:r>
      <w:r>
        <w:rPr>
          <w:rFonts w:cs="Times New Roman"/>
          <w:b/>
          <w:sz w:val="22"/>
          <w:szCs w:val="22"/>
          <w:lang w:val="es-UY"/>
        </w:rPr>
        <w:t>x</w:t>
      </w:r>
      <w:r>
        <w:rPr>
          <w:rFonts w:cs="Times New Roman"/>
          <w:b/>
          <w:sz w:val="22"/>
          <w:szCs w:val="22"/>
          <w:u w:val="single"/>
          <w:lang w:val="es-UY"/>
        </w:rPr>
        <w:t>IPC</w:t>
      </w:r>
      <w:r>
        <w:rPr>
          <w:rFonts w:cs="Times New Roman"/>
          <w:b/>
          <w:sz w:val="22"/>
          <w:szCs w:val="22"/>
          <w:u w:val="single"/>
          <w:vertAlign w:val="subscript"/>
          <w:lang w:val="es-UY"/>
        </w:rPr>
        <w:t>1</w:t>
      </w:r>
    </w:p>
    <w:p>
      <w:pPr>
        <w:pStyle w:val="Normal"/>
        <w:spacing w:before="0" w:after="0"/>
        <w:jc w:val="both"/>
        <w:rPr>
          <w:rFonts w:cs="Times New Roman"/>
          <w:b/>
          <w:b/>
          <w:sz w:val="22"/>
          <w:szCs w:val="22"/>
          <w:vertAlign w:val="subscript"/>
          <w:lang w:val="es-UY"/>
        </w:rPr>
      </w:pPr>
      <w:r>
        <w:rPr>
          <w:rFonts w:cs="Times New Roman"/>
          <w:b/>
          <w:sz w:val="22"/>
          <w:szCs w:val="22"/>
          <w:lang w:val="es-UY"/>
        </w:rPr>
        <w:t xml:space="preserve">           </w:t>
      </w:r>
      <w:r>
        <w:rPr>
          <w:rFonts w:cs="Times New Roman"/>
          <w:b/>
          <w:sz w:val="22"/>
          <w:szCs w:val="22"/>
          <w:lang w:val="es-UY"/>
        </w:rPr>
        <w:t>IPC</w:t>
      </w:r>
      <w:r>
        <w:rPr>
          <w:rFonts w:cs="Times New Roman"/>
          <w:b/>
          <w:sz w:val="22"/>
          <w:szCs w:val="22"/>
          <w:vertAlign w:val="subscript"/>
          <w:lang w:val="es-UY"/>
        </w:rPr>
        <w:t>0</w:t>
      </w:r>
    </w:p>
    <w:p>
      <w:pPr>
        <w:pStyle w:val="Normal"/>
        <w:spacing w:before="0" w:after="0"/>
        <w:jc w:val="both"/>
        <w:rPr>
          <w:rFonts w:cs="Times New Roman"/>
          <w:sz w:val="22"/>
          <w:szCs w:val="22"/>
          <w:lang w:val="es-UY"/>
        </w:rPr>
      </w:pPr>
      <w:r>
        <w:rPr>
          <w:rFonts w:cs="Times New Roman"/>
          <w:sz w:val="22"/>
          <w:szCs w:val="22"/>
          <w:lang w:val="es-UY"/>
        </w:rPr>
        <w:t>Dónde:</w:t>
      </w:r>
    </w:p>
    <w:p>
      <w:pPr>
        <w:pStyle w:val="Normal"/>
        <w:spacing w:before="0" w:after="0"/>
        <w:jc w:val="both"/>
        <w:rPr>
          <w:rFonts w:cs="Times New Roman"/>
          <w:sz w:val="22"/>
          <w:szCs w:val="22"/>
          <w:lang w:val="es-UY"/>
        </w:rPr>
      </w:pPr>
      <w:r>
        <w:rPr>
          <w:rFonts w:cs="Times New Roman"/>
          <w:b/>
          <w:sz w:val="22"/>
          <w:szCs w:val="22"/>
          <w:lang w:val="es-UY"/>
        </w:rPr>
        <w:t>P</w:t>
      </w:r>
      <w:r>
        <w:rPr>
          <w:rFonts w:cs="Times New Roman"/>
          <w:b/>
          <w:sz w:val="22"/>
          <w:szCs w:val="22"/>
          <w:vertAlign w:val="subscript"/>
          <w:lang w:val="es-UY"/>
        </w:rPr>
        <w:t>1</w:t>
      </w:r>
      <w:r>
        <w:rPr>
          <w:rFonts w:cs="Times New Roman"/>
          <w:b/>
          <w:sz w:val="22"/>
          <w:szCs w:val="22"/>
          <w:lang w:val="es-UY"/>
        </w:rPr>
        <w:t>:</w:t>
      </w:r>
      <w:r>
        <w:rPr>
          <w:rFonts w:cs="Times New Roman"/>
          <w:sz w:val="22"/>
          <w:szCs w:val="22"/>
          <w:lang w:val="es-UY"/>
        </w:rPr>
        <w:t xml:space="preserve"> Precio ajustado a la fecha de pago de la factura</w:t>
      </w:r>
    </w:p>
    <w:p>
      <w:pPr>
        <w:pStyle w:val="Normal"/>
        <w:spacing w:before="0" w:after="0"/>
        <w:jc w:val="both"/>
        <w:rPr>
          <w:rFonts w:cs="Times New Roman"/>
          <w:sz w:val="22"/>
          <w:szCs w:val="22"/>
          <w:lang w:val="es-UY"/>
        </w:rPr>
      </w:pPr>
      <w:r>
        <w:rPr>
          <w:rFonts w:cs="Times New Roman"/>
          <w:b/>
          <w:sz w:val="22"/>
          <w:szCs w:val="22"/>
          <w:lang w:val="es-UY"/>
        </w:rPr>
        <w:t>P</w:t>
      </w:r>
      <w:r>
        <w:rPr>
          <w:rFonts w:cs="Times New Roman"/>
          <w:b/>
          <w:sz w:val="22"/>
          <w:szCs w:val="22"/>
          <w:vertAlign w:val="subscript"/>
          <w:lang w:val="es-UY"/>
        </w:rPr>
        <w:t>0</w:t>
      </w:r>
      <w:r>
        <w:rPr>
          <w:rFonts w:cs="Times New Roman"/>
          <w:b/>
          <w:sz w:val="22"/>
          <w:szCs w:val="22"/>
          <w:lang w:val="es-UY"/>
        </w:rPr>
        <w:t>:</w:t>
      </w:r>
      <w:r>
        <w:rPr>
          <w:rFonts w:cs="Times New Roman"/>
          <w:sz w:val="22"/>
          <w:szCs w:val="22"/>
          <w:lang w:val="es-UY"/>
        </w:rPr>
        <w:t xml:space="preserve"> Precio ofertado en la licitación</w:t>
      </w:r>
    </w:p>
    <w:p>
      <w:pPr>
        <w:pStyle w:val="Normal"/>
        <w:spacing w:before="0" w:after="0"/>
        <w:jc w:val="both"/>
        <w:rPr>
          <w:rFonts w:cs="Times New Roman"/>
          <w:sz w:val="22"/>
          <w:szCs w:val="22"/>
          <w:lang w:val="es-UY"/>
        </w:rPr>
      </w:pPr>
      <w:r>
        <w:rPr>
          <w:rFonts w:cs="Times New Roman"/>
          <w:b/>
          <w:sz w:val="22"/>
          <w:szCs w:val="22"/>
          <w:lang w:val="es-UY"/>
        </w:rPr>
        <w:t>IPC</w:t>
      </w:r>
      <w:r>
        <w:rPr>
          <w:rFonts w:cs="Times New Roman"/>
          <w:b/>
          <w:sz w:val="22"/>
          <w:szCs w:val="22"/>
          <w:vertAlign w:val="subscript"/>
          <w:lang w:val="es-UY"/>
        </w:rPr>
        <w:t>1</w:t>
      </w:r>
      <w:r>
        <w:rPr>
          <w:rFonts w:cs="Times New Roman"/>
          <w:b/>
          <w:sz w:val="22"/>
          <w:szCs w:val="22"/>
          <w:lang w:val="es-UY"/>
        </w:rPr>
        <w:t>:</w:t>
      </w:r>
      <w:r>
        <w:rPr>
          <w:rFonts w:cs="Times New Roman"/>
          <w:sz w:val="22"/>
          <w:szCs w:val="22"/>
          <w:lang w:val="es-UY"/>
        </w:rPr>
        <w:t xml:space="preserve"> Índice de Precios al Consumo del mes anterior a la fecha de pago de la factura publicado por la Dirección General de Estadística y Censo</w:t>
      </w:r>
    </w:p>
    <w:p>
      <w:pPr>
        <w:pStyle w:val="Normal"/>
        <w:spacing w:before="0" w:after="0"/>
        <w:jc w:val="both"/>
        <w:rPr>
          <w:rFonts w:cs="Times New Roman"/>
          <w:sz w:val="22"/>
          <w:szCs w:val="22"/>
          <w:lang w:val="es-UY"/>
        </w:rPr>
      </w:pPr>
      <w:r>
        <w:rPr>
          <w:rFonts w:cs="Times New Roman"/>
          <w:b/>
          <w:sz w:val="22"/>
          <w:szCs w:val="22"/>
          <w:lang w:val="es-UY"/>
        </w:rPr>
        <w:t>IPC</w:t>
      </w:r>
      <w:r>
        <w:rPr>
          <w:rFonts w:cs="Times New Roman"/>
          <w:b/>
          <w:sz w:val="22"/>
          <w:szCs w:val="22"/>
          <w:vertAlign w:val="subscript"/>
          <w:lang w:val="es-UY"/>
        </w:rPr>
        <w:t>0</w:t>
      </w:r>
      <w:r>
        <w:rPr>
          <w:rFonts w:cs="Times New Roman"/>
          <w:b/>
          <w:sz w:val="22"/>
          <w:szCs w:val="22"/>
          <w:lang w:val="es-UY"/>
        </w:rPr>
        <w:t>:</w:t>
      </w:r>
      <w:r>
        <w:rPr>
          <w:rFonts w:cs="Times New Roman"/>
          <w:sz w:val="22"/>
          <w:szCs w:val="22"/>
          <w:lang w:val="es-UY"/>
        </w:rPr>
        <w:t xml:space="preserve"> Índice de Precios al Consumo del mes anterior a la fecha de vencimiento de precios.</w:t>
      </w:r>
    </w:p>
    <w:p>
      <w:pPr>
        <w:pStyle w:val="Normal"/>
        <w:spacing w:before="0" w:after="0"/>
        <w:ind w:firstLine="709"/>
        <w:jc w:val="both"/>
        <w:rPr>
          <w:rFonts w:cs="Times New Roman"/>
          <w:sz w:val="22"/>
          <w:szCs w:val="22"/>
          <w:lang w:val="es-UY"/>
        </w:rPr>
      </w:pPr>
      <w:r>
        <w:rPr>
          <w:rFonts w:cs="Times New Roman"/>
          <w:sz w:val="22"/>
          <w:szCs w:val="22"/>
          <w:lang w:val="es-UY"/>
        </w:rPr>
      </w:r>
    </w:p>
    <w:p>
      <w:pPr>
        <w:pStyle w:val="Normal"/>
        <w:spacing w:before="0" w:after="0"/>
        <w:ind w:firstLine="709"/>
        <w:jc w:val="both"/>
        <w:rPr>
          <w:rFonts w:cs="Times New Roman"/>
          <w:sz w:val="22"/>
          <w:szCs w:val="22"/>
          <w:lang w:val="es-UY"/>
        </w:rPr>
      </w:pPr>
      <w:r>
        <w:rPr>
          <w:rFonts w:cs="Times New Roman"/>
          <w:sz w:val="22"/>
          <w:szCs w:val="22"/>
          <w:lang w:val="es-UY"/>
        </w:rPr>
        <w:t xml:space="preserve">Los ajustes se aplicarán a partir de la fecha de vencimiento del plazo de mantenimiento de precio y hasta el efectivo cobro de la factura. </w:t>
      </w:r>
    </w:p>
    <w:p>
      <w:pPr>
        <w:pStyle w:val="Cuerpodetextoconsangra"/>
        <w:spacing w:before="0" w:after="0"/>
        <w:ind w:left="0" w:firstLine="709"/>
        <w:jc w:val="both"/>
        <w:rPr>
          <w:rFonts w:cs="Times New Roman"/>
          <w:sz w:val="22"/>
          <w:szCs w:val="22"/>
          <w:lang w:val="es-UY"/>
        </w:rPr>
      </w:pPr>
      <w:r>
        <w:rPr>
          <w:rFonts w:cs="Times New Roman"/>
          <w:sz w:val="22"/>
          <w:szCs w:val="22"/>
          <w:lang w:val="es-UY"/>
        </w:rPr>
        <w:t>Dicho reajuste regirá también, como cláusula penal, para el caso de incumplimiento. El mismo regirá desde el vencimiento del plazo de crédito establecido en el pliego la oferta hasta el día en que el pago se encuentre a disposición del proveedor en el SIIF.</w:t>
      </w:r>
    </w:p>
    <w:p>
      <w:pPr>
        <w:pStyle w:val="Normal"/>
        <w:spacing w:before="0" w:after="0"/>
        <w:ind w:firstLine="708"/>
        <w:jc w:val="both"/>
        <w:rPr>
          <w:rFonts w:cs="Times New Roman"/>
          <w:sz w:val="22"/>
          <w:szCs w:val="22"/>
          <w:lang w:val="es-UY"/>
        </w:rPr>
      </w:pPr>
      <w:r>
        <w:rPr>
          <w:rFonts w:cs="Times New Roman"/>
          <w:sz w:val="22"/>
          <w:szCs w:val="22"/>
          <w:lang w:val="es-UY"/>
        </w:rPr>
        <w:t>No se computará como incumplimiento cuando el pago no se realizare por hechos imputables al adjudicatario (falta de presentación de certificados, factura mal confeccionada, etc.).</w:t>
      </w:r>
    </w:p>
    <w:p>
      <w:pPr>
        <w:pStyle w:val="Normal"/>
        <w:spacing w:before="0" w:after="0"/>
        <w:ind w:firstLine="708"/>
        <w:jc w:val="both"/>
        <w:rPr>
          <w:rFonts w:cs="Times New Roman"/>
          <w:sz w:val="22"/>
          <w:szCs w:val="22"/>
          <w:lang w:val="es-UY"/>
        </w:rPr>
      </w:pPr>
      <w:r>
        <w:rPr>
          <w:rFonts w:cs="Times New Roman"/>
          <w:sz w:val="22"/>
          <w:szCs w:val="22"/>
          <w:lang w:val="es-UY"/>
        </w:rPr>
        <w:t>El atraso en el pago de la multa no genera nuevos intereses y ajustes.</w:t>
      </w:r>
    </w:p>
    <w:p>
      <w:pPr>
        <w:pStyle w:val="Normal"/>
        <w:spacing w:before="0" w:after="0"/>
        <w:ind w:firstLine="708"/>
        <w:jc w:val="both"/>
        <w:rPr>
          <w:rFonts w:cs="Times New Roman"/>
          <w:sz w:val="22"/>
          <w:szCs w:val="22"/>
          <w:lang w:val="es-UY"/>
        </w:rPr>
      </w:pPr>
      <w:r>
        <w:rPr>
          <w:rFonts w:cs="Times New Roman"/>
          <w:sz w:val="22"/>
          <w:szCs w:val="22"/>
          <w:lang w:val="es-UY"/>
        </w:rPr>
        <w:t>Los ajustes no se aplicarán:</w:t>
      </w:r>
    </w:p>
    <w:p>
      <w:pPr>
        <w:pStyle w:val="Normal"/>
        <w:spacing w:before="0" w:after="0"/>
        <w:jc w:val="both"/>
        <w:rPr>
          <w:rFonts w:cs="Times New Roman"/>
          <w:sz w:val="22"/>
          <w:szCs w:val="22"/>
          <w:lang w:val="es-UY"/>
        </w:rPr>
      </w:pPr>
      <w:r>
        <w:rPr>
          <w:rFonts w:cs="Times New Roman"/>
          <w:b/>
          <w:sz w:val="22"/>
          <w:szCs w:val="22"/>
          <w:lang w:val="es-UY"/>
        </w:rPr>
        <w:tab/>
        <w:t>a)</w:t>
      </w:r>
      <w:r>
        <w:rPr>
          <w:rFonts w:cs="Times New Roman"/>
          <w:sz w:val="22"/>
          <w:szCs w:val="22"/>
          <w:lang w:val="es-UY"/>
        </w:rPr>
        <w:t xml:space="preserve"> desde la fecha de presentación de la oferta hasta el vencimiento del término de mantenimiento de precio,</w:t>
      </w:r>
    </w:p>
    <w:p>
      <w:pPr>
        <w:pStyle w:val="Normal"/>
        <w:spacing w:before="0" w:after="0"/>
        <w:jc w:val="both"/>
        <w:rPr>
          <w:rFonts w:cs="Times New Roman"/>
          <w:sz w:val="22"/>
          <w:szCs w:val="22"/>
          <w:lang w:val="es-UY"/>
        </w:rPr>
      </w:pPr>
      <w:r>
        <w:rPr>
          <w:rFonts w:cs="Times New Roman"/>
          <w:b/>
          <w:sz w:val="22"/>
          <w:szCs w:val="22"/>
          <w:lang w:val="es-UY"/>
        </w:rPr>
        <w:tab/>
        <w:t xml:space="preserve">b) </w:t>
      </w:r>
      <w:r>
        <w:rPr>
          <w:rFonts w:cs="Times New Roman"/>
          <w:sz w:val="22"/>
          <w:szCs w:val="22"/>
          <w:lang w:val="es-UY"/>
        </w:rPr>
        <w:t>desde el vencimiento del plazo de entrega hasta la efectiva entrega cuando ésta se realice fuera del plazo. Se considera como entrega efectiva cuando el Poder Judicial reciba de conformidad la totalidad del servicio de que se trate.</w:t>
      </w:r>
    </w:p>
    <w:p>
      <w:pPr>
        <w:pStyle w:val="Ttulo12"/>
        <w:spacing w:lineRule="auto" w:line="276" w:before="0" w:after="0"/>
        <w:ind w:left="0" w:hanging="0"/>
        <w:jc w:val="both"/>
        <w:rPr>
          <w:rFonts w:ascii="Bookman Old Style" w:hAnsi="Bookman Old Style"/>
          <w:b w:val="false"/>
          <w:b w:val="false"/>
          <w:sz w:val="22"/>
          <w:szCs w:val="22"/>
          <w:lang w:val="es-UY"/>
        </w:rPr>
      </w:pPr>
      <w:r>
        <w:rPr>
          <w:rFonts w:ascii="Bookman Old Style" w:hAnsi="Bookman Old Style"/>
          <w:sz w:val="22"/>
          <w:szCs w:val="22"/>
          <w:lang w:val="es-UY"/>
        </w:rPr>
        <w:tab/>
      </w:r>
      <w:r>
        <w:rPr>
          <w:rFonts w:ascii="Bookman Old Style" w:hAnsi="Bookman Old Style"/>
          <w:b w:val="false"/>
          <w:sz w:val="22"/>
          <w:szCs w:val="22"/>
          <w:lang w:val="es-UY"/>
        </w:rPr>
        <w:t xml:space="preserve">Las empresas oferentes </w:t>
      </w:r>
      <w:r>
        <w:rPr>
          <w:rFonts w:ascii="Bookman Old Style" w:hAnsi="Bookman Old Style"/>
          <w:sz w:val="22"/>
          <w:szCs w:val="22"/>
          <w:lang w:val="es-UY"/>
        </w:rPr>
        <w:t>no podrán presentar ninguna otra fórmula paramétrica que no sea la establecida por la Administración</w:t>
      </w:r>
      <w:r>
        <w:rPr>
          <w:rFonts w:ascii="Bookman Old Style" w:hAnsi="Bookman Old Style"/>
          <w:b w:val="false"/>
          <w:sz w:val="22"/>
          <w:szCs w:val="22"/>
          <w:lang w:val="es-UY"/>
        </w:rPr>
        <w:t>. En caso de presentar alguna diferente, se entenderá que la empresa ha presentado la fórmula de ajuste de precios prevista en el artículo anterior.</w:t>
      </w:r>
    </w:p>
    <w:p>
      <w:pPr>
        <w:pStyle w:val="Normal1"/>
        <w:spacing w:lineRule="auto" w:line="276" w:before="0" w:after="0"/>
        <w:jc w:val="both"/>
        <w:rPr>
          <w:rStyle w:val="Fuentedeprrafopredeter2"/>
          <w:rFonts w:ascii="Bookman Old Style" w:hAnsi="Bookman Old Style"/>
          <w:b/>
          <w:b/>
          <w:sz w:val="22"/>
          <w:szCs w:val="22"/>
          <w:lang w:val="es-UY"/>
        </w:rPr>
      </w:pPr>
      <w:r>
        <w:rPr>
          <w:rFonts w:ascii="Bookman Old Style" w:hAnsi="Bookman Old Style"/>
          <w:b/>
          <w:sz w:val="22"/>
          <w:szCs w:val="22"/>
          <w:lang w:val="es-UY"/>
        </w:rPr>
      </w:r>
    </w:p>
    <w:p>
      <w:pPr>
        <w:pStyle w:val="Normal1"/>
        <w:spacing w:lineRule="auto" w:line="276" w:before="0" w:after="0"/>
        <w:jc w:val="both"/>
        <w:rPr>
          <w:rStyle w:val="Fuentedeprrafopredeter2"/>
          <w:rFonts w:ascii="Bookman Old Style" w:hAnsi="Bookman Old Style"/>
          <w:b/>
          <w:b/>
          <w:sz w:val="22"/>
          <w:szCs w:val="22"/>
          <w:lang w:val="es-UY"/>
        </w:rPr>
      </w:pPr>
      <w:r>
        <w:rPr>
          <w:rStyle w:val="Fuentedeprrafopredeter2"/>
          <w:rFonts w:ascii="Bookman Old Style" w:hAnsi="Bookman Old Style"/>
          <w:b/>
          <w:sz w:val="22"/>
          <w:szCs w:val="22"/>
          <w:lang w:val="es-UY"/>
        </w:rPr>
        <w:t>Art. 14.-PLAZO DE ENTREGA.</w:t>
      </w:r>
    </w:p>
    <w:p>
      <w:pPr>
        <w:pStyle w:val="Normal1"/>
        <w:spacing w:lineRule="auto" w:line="276" w:before="0" w:after="0"/>
        <w:ind w:firstLine="708"/>
        <w:jc w:val="both"/>
        <w:rPr>
          <w:rFonts w:ascii="Bookman Old Style" w:hAnsi="Bookman Old Style"/>
          <w:strike/>
          <w:sz w:val="22"/>
          <w:szCs w:val="22"/>
          <w:lang w:val="es-UY"/>
        </w:rPr>
      </w:pPr>
      <w:r>
        <w:rPr>
          <w:rFonts w:ascii="Bookman Old Style" w:hAnsi="Bookman Old Style"/>
          <w:sz w:val="22"/>
          <w:szCs w:val="22"/>
          <w:lang w:val="es-UY"/>
        </w:rPr>
        <w:t xml:space="preserve">El plazo de entrega no podrá ser superior a los </w:t>
      </w:r>
      <w:r>
        <w:rPr>
          <w:rFonts w:ascii="Bookman Old Style" w:hAnsi="Bookman Old Style"/>
          <w:b/>
          <w:sz w:val="22"/>
          <w:szCs w:val="22"/>
          <w:u w:val="single"/>
          <w:lang w:val="es-UY"/>
        </w:rPr>
        <w:t>90 días  corridos</w:t>
      </w:r>
      <w:r>
        <w:rPr>
          <w:rFonts w:ascii="Bookman Old Style" w:hAnsi="Bookman Old Style"/>
          <w:sz w:val="22"/>
          <w:szCs w:val="22"/>
          <w:lang w:val="es-UY"/>
        </w:rPr>
        <w:t xml:space="preserve"> luego de efectuada la solicitud por parte de la Administración.</w:t>
      </w:r>
      <w:r>
        <w:rPr>
          <w:rFonts w:ascii="Bookman Old Style" w:hAnsi="Bookman Old Style"/>
          <w:strike/>
          <w:sz w:val="22"/>
          <w:szCs w:val="22"/>
          <w:lang w:val="es-UY"/>
        </w:rPr>
        <w:t xml:space="preserve"> </w:t>
      </w:r>
    </w:p>
    <w:p>
      <w:pPr>
        <w:pStyle w:val="Normal"/>
        <w:widowControl/>
        <w:spacing w:before="0" w:after="0"/>
        <w:ind w:firstLine="709"/>
        <w:jc w:val="both"/>
        <w:rPr>
          <w:rFonts w:cs="Times New Roman"/>
          <w:sz w:val="22"/>
          <w:szCs w:val="22"/>
          <w:lang w:eastAsia="zh-CN"/>
        </w:rPr>
      </w:pPr>
      <w:r>
        <w:rPr>
          <w:rFonts w:cs="Times New Roman"/>
          <w:sz w:val="22"/>
          <w:szCs w:val="22"/>
          <w:lang w:eastAsia="zh-CN"/>
        </w:rPr>
        <w:t>Será de cargo de la empresa adjudicataria realizar a su costo el transporte y efectuar la entrega en la sede indicada por la Administración en la Orden de Compra.</w:t>
      </w:r>
    </w:p>
    <w:p>
      <w:pPr>
        <w:pStyle w:val="Normal"/>
        <w:widowControl/>
        <w:spacing w:before="0" w:after="0"/>
        <w:jc w:val="both"/>
        <w:rPr>
          <w:rFonts w:cs="Times New Roman"/>
          <w:sz w:val="22"/>
          <w:szCs w:val="22"/>
          <w:lang w:eastAsia="zh-CN"/>
        </w:rPr>
      </w:pPr>
      <w:r>
        <w:rPr>
          <w:rFonts w:cs="Times New Roman"/>
          <w:b/>
          <w:bCs/>
          <w:sz w:val="22"/>
          <w:szCs w:val="22"/>
          <w:lang w:eastAsia="zh-CN"/>
        </w:rPr>
        <w:tab/>
      </w:r>
      <w:r>
        <w:rPr>
          <w:rFonts w:cs="Times New Roman"/>
          <w:bCs/>
          <w:sz w:val="22"/>
          <w:szCs w:val="22"/>
          <w:lang w:eastAsia="zh-CN"/>
        </w:rPr>
        <w:t>El adjudicatario deberá realizar la entrega de los productos adquiridos debidamente acondicionados, con la protección adecuada y en condiciones de higiene, en su caso, siendo de su cargo los riesgos hasta la entrega efectiva.</w:t>
      </w:r>
      <w:r>
        <w:rPr>
          <w:rFonts w:cs="Times New Roman"/>
          <w:sz w:val="22"/>
          <w:szCs w:val="22"/>
          <w:lang w:eastAsia="zh-CN"/>
        </w:rPr>
        <w:t xml:space="preserve"> </w:t>
      </w:r>
    </w:p>
    <w:p>
      <w:pPr>
        <w:pStyle w:val="Normal"/>
        <w:widowControl/>
        <w:spacing w:before="0" w:after="0"/>
        <w:jc w:val="both"/>
        <w:rPr>
          <w:sz w:val="22"/>
          <w:szCs w:val="22"/>
        </w:rPr>
      </w:pPr>
      <w:r>
        <w:rPr>
          <w:sz w:val="22"/>
          <w:szCs w:val="22"/>
        </w:rPr>
      </w:r>
    </w:p>
    <w:p>
      <w:pPr>
        <w:pStyle w:val="Normal1"/>
        <w:spacing w:lineRule="auto" w:line="276" w:before="0" w:after="0"/>
        <w:jc w:val="both"/>
        <w:rPr>
          <w:rFonts w:ascii="Bookman Old Style" w:hAnsi="Bookman Old Style"/>
          <w:b/>
          <w:b/>
          <w:sz w:val="22"/>
          <w:szCs w:val="22"/>
          <w:lang w:val="es-UY"/>
        </w:rPr>
      </w:pPr>
      <w:r>
        <w:rPr>
          <w:rFonts w:ascii="Bookman Old Style" w:hAnsi="Bookman Old Style"/>
          <w:b/>
          <w:sz w:val="22"/>
          <w:szCs w:val="22"/>
          <w:lang w:val="es-UY"/>
        </w:rPr>
        <w:t>Art. 15.- MULTA.</w:t>
      </w:r>
    </w:p>
    <w:p>
      <w:pPr>
        <w:pStyle w:val="Normal"/>
        <w:spacing w:before="0" w:after="0"/>
        <w:ind w:firstLine="708"/>
        <w:jc w:val="both"/>
        <w:rPr>
          <w:rFonts w:cs="Times New Roman"/>
          <w:sz w:val="22"/>
          <w:szCs w:val="22"/>
          <w:lang w:val="es-UY"/>
        </w:rPr>
      </w:pPr>
      <w:r>
        <w:rPr>
          <w:rFonts w:cs="Times New Roman"/>
          <w:b/>
          <w:bCs/>
          <w:sz w:val="22"/>
          <w:szCs w:val="22"/>
          <w:lang w:val="es-UY"/>
        </w:rPr>
        <w:t>a)</w:t>
      </w:r>
      <w:r>
        <w:rPr>
          <w:rFonts w:cs="Times New Roman"/>
          <w:sz w:val="22"/>
          <w:szCs w:val="22"/>
          <w:lang w:val="es-UY"/>
        </w:rPr>
        <w:t xml:space="preserve"> En caso que se verifique </w:t>
      </w:r>
      <w:r>
        <w:rPr>
          <w:rFonts w:cs="Times New Roman"/>
          <w:b/>
          <w:sz w:val="22"/>
          <w:szCs w:val="22"/>
          <w:lang w:val="es-UY"/>
        </w:rPr>
        <w:t>incumplimiento de los plazos</w:t>
      </w:r>
      <w:r>
        <w:rPr>
          <w:rFonts w:cs="Times New Roman"/>
          <w:sz w:val="22"/>
          <w:szCs w:val="22"/>
          <w:lang w:val="es-UY"/>
        </w:rPr>
        <w:t xml:space="preserve"> que regulan  la  entrega de la Mercadería, el/los adjudicatario/s deberá/n abonar el 0,5% (cero con cinco por ciento) diario del precio establecido en la contratación, hasta llegar al máximo legalmente admitido. En caso de incumplimientos parciales dicho porcentaje se fijará tomando en cuenta el precio relativo a los objetos no entregados. Dicha suma se devengará hasta el cumplimiento total de la Licitación y se deducirá del importe a abonar al/los adjudicatario/s.</w:t>
      </w:r>
    </w:p>
    <w:p>
      <w:pPr>
        <w:pStyle w:val="Normal"/>
        <w:spacing w:before="0" w:after="0"/>
        <w:jc w:val="both"/>
        <w:rPr>
          <w:rFonts w:cs="Times New Roman"/>
          <w:sz w:val="22"/>
          <w:szCs w:val="22"/>
          <w:lang w:val="es-UY"/>
        </w:rPr>
      </w:pPr>
      <w:r>
        <w:rPr>
          <w:rFonts w:cs="Times New Roman"/>
          <w:b/>
          <w:bCs/>
          <w:sz w:val="22"/>
          <w:szCs w:val="22"/>
          <w:lang w:val="es-UY"/>
        </w:rPr>
        <w:tab/>
        <w:t xml:space="preserve">b) </w:t>
      </w:r>
      <w:r>
        <w:rPr>
          <w:rFonts w:cs="Times New Roman"/>
          <w:sz w:val="22"/>
          <w:szCs w:val="22"/>
          <w:lang w:val="es-UY"/>
        </w:rPr>
        <w:t xml:space="preserve">El incumplimiento de la empresa adjudicataria acarreará su </w:t>
      </w:r>
      <w:r>
        <w:rPr>
          <w:rFonts w:cs="Times New Roman"/>
          <w:b/>
          <w:sz w:val="22"/>
          <w:szCs w:val="22"/>
          <w:lang w:val="es-UY"/>
        </w:rPr>
        <w:t>responsabilidad por los daños y perjuicios ocasionados</w:t>
      </w:r>
      <w:r>
        <w:rPr>
          <w:rFonts w:cs="Times New Roman"/>
          <w:sz w:val="22"/>
          <w:szCs w:val="22"/>
          <w:lang w:val="es-UY"/>
        </w:rPr>
        <w:t xml:space="preserve"> y determinará la comunicación de tal hecho al Registro Único de Proveedores del Estado (RUPE) oportunamente, lo que será ponderado en sucesivas adjudicaciones</w:t>
      </w:r>
    </w:p>
    <w:p>
      <w:pPr>
        <w:pStyle w:val="Normal1"/>
        <w:spacing w:lineRule="auto" w:line="276" w:before="0" w:after="0"/>
        <w:jc w:val="both"/>
        <w:rPr>
          <w:rFonts w:ascii="Bookman Old Style" w:hAnsi="Bookman Old Style"/>
          <w:b/>
          <w:b/>
          <w:sz w:val="22"/>
          <w:szCs w:val="22"/>
          <w:lang w:val="es-UY"/>
        </w:rPr>
      </w:pPr>
      <w:r>
        <w:rPr>
          <w:rFonts w:ascii="Bookman Old Style" w:hAnsi="Bookman Old Style"/>
          <w:b/>
          <w:sz w:val="22"/>
          <w:szCs w:val="22"/>
          <w:lang w:val="es-UY"/>
        </w:rPr>
      </w:r>
    </w:p>
    <w:p>
      <w:pPr>
        <w:pStyle w:val="Normal1"/>
        <w:spacing w:lineRule="auto" w:line="276" w:before="0" w:after="0"/>
        <w:jc w:val="both"/>
        <w:rPr>
          <w:rFonts w:ascii="Bookman Old Style" w:hAnsi="Bookman Old Style"/>
          <w:b/>
          <w:b/>
          <w:sz w:val="22"/>
          <w:szCs w:val="22"/>
          <w:lang w:val="es-UY"/>
        </w:rPr>
      </w:pPr>
      <w:r>
        <w:rPr>
          <w:rFonts w:ascii="Bookman Old Style" w:hAnsi="Bookman Old Style"/>
          <w:b/>
          <w:sz w:val="22"/>
          <w:szCs w:val="22"/>
          <w:lang w:val="es-UY"/>
        </w:rPr>
        <w:t>Art. 16.- RESCISIÓN POR INCUMPLIMIENTO.</w:t>
      </w:r>
    </w:p>
    <w:p>
      <w:pPr>
        <w:pStyle w:val="Normal1"/>
        <w:spacing w:lineRule="auto" w:line="276" w:before="0" w:after="0"/>
        <w:jc w:val="both"/>
        <w:rPr>
          <w:rStyle w:val="Fuentedeprrafopredeter2"/>
          <w:rFonts w:ascii="Bookman Old Style" w:hAnsi="Bookman Old Style"/>
          <w:sz w:val="22"/>
          <w:szCs w:val="22"/>
          <w:lang w:val="es-UY"/>
        </w:rPr>
      </w:pPr>
      <w:r>
        <w:rPr>
          <w:rStyle w:val="Fuentedeprrafopredeter2"/>
          <w:rFonts w:ascii="Bookman Old Style" w:hAnsi="Bookman Old Style"/>
          <w:b/>
          <w:sz w:val="22"/>
          <w:szCs w:val="22"/>
          <w:lang w:val="es-UY"/>
        </w:rPr>
        <w:tab/>
      </w:r>
      <w:r>
        <w:rPr>
          <w:rStyle w:val="Fuentedeprrafopredeter2"/>
          <w:rFonts w:ascii="Bookman Old Style" w:hAnsi="Bookman Old Style"/>
          <w:sz w:val="22"/>
          <w:szCs w:val="22"/>
          <w:lang w:val="es-UY"/>
        </w:rPr>
        <w:t xml:space="preserve">Sin perjuicio de lo establecido, si </w:t>
      </w:r>
      <w:r>
        <w:rPr>
          <w:rStyle w:val="Fuentedeprrafopredeter2"/>
          <w:rFonts w:ascii="Bookman Old Style" w:hAnsi="Bookman Old Style"/>
          <w:b/>
          <w:sz w:val="22"/>
          <w:szCs w:val="22"/>
          <w:lang w:val="es-UY"/>
        </w:rPr>
        <w:t>el retraso en la entrega de la mercadería</w:t>
      </w:r>
      <w:r>
        <w:rPr>
          <w:rStyle w:val="Fuentedeprrafopredeter2"/>
          <w:rFonts w:ascii="Bookman Old Style" w:hAnsi="Bookman Old Style"/>
          <w:sz w:val="22"/>
          <w:szCs w:val="22"/>
          <w:lang w:val="es-UY"/>
        </w:rPr>
        <w:t xml:space="preserve"> </w:t>
      </w:r>
      <w:r>
        <w:rPr>
          <w:rStyle w:val="Fuentedeprrafopredeter2"/>
          <w:rFonts w:ascii="Bookman Old Style" w:hAnsi="Bookman Old Style"/>
          <w:b/>
          <w:sz w:val="22"/>
          <w:szCs w:val="22"/>
          <w:lang w:val="es-UY"/>
        </w:rPr>
        <w:t>superara los 90 días</w:t>
      </w:r>
      <w:r>
        <w:rPr>
          <w:rStyle w:val="Fuentedeprrafopredeter2"/>
          <w:rFonts w:ascii="Bookman Old Style" w:hAnsi="Bookman Old Style"/>
          <w:sz w:val="22"/>
          <w:szCs w:val="22"/>
          <w:lang w:val="es-UY"/>
        </w:rPr>
        <w:t xml:space="preserve"> por causas imputables al adjudicatario, podrá la Administración considerar incumplido el contrato teniendo la facultad el Poder Judicial de rescindir el contrato. </w:t>
      </w:r>
    </w:p>
    <w:p>
      <w:pPr>
        <w:pStyle w:val="Normal1"/>
        <w:spacing w:lineRule="auto" w:line="276" w:before="0" w:after="0"/>
        <w:jc w:val="both"/>
        <w:rPr>
          <w:rFonts w:ascii="Bookman Old Style" w:hAnsi="Bookman Old Style"/>
          <w:b/>
          <w:b/>
          <w:sz w:val="22"/>
          <w:szCs w:val="22"/>
          <w:lang w:val="es-UY"/>
        </w:rPr>
      </w:pPr>
      <w:r>
        <w:rPr>
          <w:rFonts w:ascii="Bookman Old Style" w:hAnsi="Bookman Old Style"/>
          <w:b/>
          <w:sz w:val="22"/>
          <w:szCs w:val="22"/>
          <w:lang w:val="es-UY"/>
        </w:rPr>
      </w:r>
    </w:p>
    <w:p>
      <w:pPr>
        <w:pStyle w:val="Normal1"/>
        <w:spacing w:lineRule="auto" w:line="276" w:before="0" w:after="0"/>
        <w:jc w:val="both"/>
        <w:rPr>
          <w:rFonts w:ascii="Bookman Old Style" w:hAnsi="Bookman Old Style"/>
          <w:b/>
          <w:b/>
          <w:sz w:val="22"/>
          <w:szCs w:val="22"/>
          <w:lang w:val="es-UY"/>
        </w:rPr>
      </w:pPr>
      <w:r>
        <w:rPr>
          <w:rFonts w:ascii="Bookman Old Style" w:hAnsi="Bookman Old Style"/>
          <w:b/>
          <w:sz w:val="22"/>
          <w:szCs w:val="22"/>
          <w:lang w:val="es-UY"/>
        </w:rPr>
        <w:t>Art. 17.- ESTUDIO DE LAS OFERTAS Y PONDERACIÓN.</w:t>
      </w:r>
    </w:p>
    <w:p>
      <w:pPr>
        <w:pStyle w:val="Normal"/>
        <w:spacing w:before="0" w:after="0"/>
        <w:ind w:firstLine="709"/>
        <w:jc w:val="both"/>
        <w:rPr>
          <w:rFonts w:cs="Times New Roman"/>
          <w:sz w:val="22"/>
          <w:szCs w:val="22"/>
          <w:lang w:val="es-UY"/>
        </w:rPr>
      </w:pPr>
      <w:r>
        <w:rPr>
          <w:rFonts w:cs="Times New Roman"/>
          <w:sz w:val="22"/>
          <w:szCs w:val="22"/>
          <w:lang w:val="es-UY"/>
        </w:rPr>
        <w:t xml:space="preserve">La adjudicación se realizará teniendo en cuenta el cumplimiento de todos los requisitos solicitados en el presente Pliego. </w:t>
      </w:r>
    </w:p>
    <w:p>
      <w:pPr>
        <w:pStyle w:val="Normal"/>
        <w:spacing w:before="0" w:after="0"/>
        <w:ind w:firstLine="709"/>
        <w:jc w:val="both"/>
        <w:rPr>
          <w:rFonts w:cs="Times New Roman"/>
          <w:sz w:val="22"/>
          <w:szCs w:val="22"/>
          <w:lang w:val="es-UY"/>
        </w:rPr>
      </w:pPr>
      <w:r>
        <w:rPr>
          <w:rFonts w:cs="Times New Roman"/>
          <w:sz w:val="22"/>
          <w:szCs w:val="22"/>
          <w:lang w:val="es-UY"/>
        </w:rPr>
      </w:r>
    </w:p>
    <w:p>
      <w:pPr>
        <w:pStyle w:val="Normal"/>
        <w:spacing w:before="0" w:after="0"/>
        <w:ind w:firstLine="709"/>
        <w:jc w:val="both"/>
        <w:rPr>
          <w:rFonts w:cs="Times New Roman"/>
          <w:b/>
          <w:b/>
          <w:sz w:val="22"/>
          <w:szCs w:val="22"/>
          <w:lang w:val="es-UY"/>
        </w:rPr>
      </w:pPr>
      <w:r>
        <w:rPr>
          <w:rFonts w:cs="Times New Roman"/>
          <w:sz w:val="22"/>
          <w:szCs w:val="22"/>
          <w:lang w:val="es-UY"/>
        </w:rPr>
        <w:t xml:space="preserve">El Poder Judicial adopta el siguiente </w:t>
      </w:r>
      <w:r>
        <w:rPr>
          <w:rFonts w:cs="Times New Roman"/>
          <w:b/>
          <w:sz w:val="22"/>
          <w:szCs w:val="22"/>
          <w:lang w:val="es-UY"/>
        </w:rPr>
        <w:t>criterio para ponderación</w:t>
      </w:r>
      <w:r>
        <w:rPr>
          <w:rFonts w:cs="Times New Roman"/>
          <w:sz w:val="22"/>
          <w:szCs w:val="22"/>
          <w:lang w:val="es-UY"/>
        </w:rPr>
        <w:t xml:space="preserve"> y comparación </w:t>
      </w:r>
      <w:r>
        <w:rPr>
          <w:rFonts w:cs="Times New Roman"/>
          <w:b/>
          <w:sz w:val="22"/>
          <w:szCs w:val="22"/>
          <w:lang w:val="es-UY"/>
        </w:rPr>
        <w:t>de las ofertas:</w:t>
      </w:r>
    </w:p>
    <w:p>
      <w:pPr>
        <w:pStyle w:val="Normal"/>
        <w:numPr>
          <w:ilvl w:val="0"/>
          <w:numId w:val="2"/>
        </w:numPr>
        <w:tabs>
          <w:tab w:val="clear" w:pos="708"/>
          <w:tab w:val="left" w:pos="-360" w:leader="none"/>
        </w:tabs>
        <w:spacing w:before="0" w:after="0"/>
        <w:ind w:left="1068" w:hanging="360"/>
        <w:jc w:val="both"/>
        <w:rPr>
          <w:rFonts w:cs="Times New Roman"/>
          <w:b/>
          <w:b/>
          <w:sz w:val="22"/>
          <w:szCs w:val="22"/>
          <w:u w:val="single"/>
          <w:lang w:val="es-UY"/>
        </w:rPr>
      </w:pPr>
      <w:r>
        <w:rPr>
          <w:rFonts w:cs="Times New Roman"/>
          <w:b/>
          <w:sz w:val="22"/>
          <w:szCs w:val="22"/>
          <w:u w:val="single"/>
          <w:lang w:val="es-UY"/>
        </w:rPr>
        <w:t>Precio 80 %-</w:t>
      </w:r>
    </w:p>
    <w:p>
      <w:pPr>
        <w:pStyle w:val="ListParagraph"/>
        <w:spacing w:before="0" w:after="0"/>
        <w:ind w:left="360" w:hanging="0"/>
        <w:jc w:val="both"/>
        <w:rPr>
          <w:rFonts w:cs="Times New Roman"/>
          <w:sz w:val="22"/>
          <w:szCs w:val="22"/>
        </w:rPr>
      </w:pPr>
      <w:r>
        <w:rPr>
          <w:rFonts w:cs="Times New Roman"/>
          <w:sz w:val="22"/>
          <w:szCs w:val="22"/>
        </w:rPr>
        <w:t>Aplicando la  siguiente fórmula: 80*(precio de la oferta más baja/ precio de la oferta que se está evaluando).</w:t>
      </w:r>
    </w:p>
    <w:p>
      <w:pPr>
        <w:pStyle w:val="Normal"/>
        <w:widowControl/>
        <w:numPr>
          <w:ilvl w:val="0"/>
          <w:numId w:val="8"/>
        </w:numPr>
        <w:spacing w:before="0" w:after="0"/>
        <w:ind w:left="426" w:hanging="360"/>
        <w:jc w:val="both"/>
        <w:rPr>
          <w:rFonts w:eastAsia="Bookman Old Style" w:cs="Times New Roman"/>
          <w:sz w:val="22"/>
          <w:szCs w:val="22"/>
          <w:u w:val="single"/>
          <w:lang w:val="es-ES_tradnl" w:eastAsia="zh-CN" w:bidi="es-ES"/>
        </w:rPr>
      </w:pPr>
      <w:r>
        <w:rPr>
          <w:rFonts w:eastAsia="Bookman Old Style" w:cs="Times New Roman"/>
          <w:b/>
          <w:sz w:val="22"/>
          <w:szCs w:val="22"/>
          <w:u w:val="single"/>
          <w:lang w:val="es-ES_tradnl" w:eastAsia="zh-CN" w:bidi="es-ES"/>
        </w:rPr>
        <w:t>Información sobre incumplimientos registradas en el RUPE</w:t>
      </w:r>
      <w:r>
        <w:rPr>
          <w:rFonts w:eastAsia="Bookman Old Style" w:cs="Times New Roman"/>
          <w:sz w:val="22"/>
          <w:szCs w:val="22"/>
          <w:lang w:val="es-ES_tradnl" w:eastAsia="zh-CN" w:bidi="es-ES"/>
        </w:rPr>
        <w:t xml:space="preserve"> por parte de cualquier organismo: </w:t>
      </w:r>
      <w:r>
        <w:rPr>
          <w:rFonts w:eastAsia="Bookman Old Style" w:cs="Times New Roman"/>
          <w:b/>
          <w:sz w:val="22"/>
          <w:szCs w:val="22"/>
          <w:u w:val="single"/>
          <w:lang w:val="es-ES_tradnl" w:eastAsia="zh-CN" w:bidi="es-ES"/>
        </w:rPr>
        <w:t>20%</w:t>
      </w:r>
      <w:r>
        <w:rPr>
          <w:rFonts w:eastAsia="Bookman Old Style" w:cs="Times New Roman"/>
          <w:sz w:val="22"/>
          <w:szCs w:val="22"/>
          <w:lang w:val="es-ES_tradnl" w:eastAsia="zh-CN" w:bidi="es-ES"/>
        </w:rPr>
        <w:t>, de acuerdo a lo siguiente:</w:t>
      </w:r>
      <w:r>
        <w:rPr>
          <w:rFonts w:eastAsia="Bookman Old Style" w:cs="Times New Roman"/>
          <w:sz w:val="22"/>
          <w:szCs w:val="22"/>
          <w:u w:val="single"/>
          <w:lang w:val="es-ES_tradnl" w:eastAsia="zh-CN" w:bidi="es-ES"/>
        </w:rPr>
        <w:t xml:space="preserve"> </w:t>
      </w:r>
    </w:p>
    <w:p>
      <w:pPr>
        <w:pStyle w:val="Normal"/>
        <w:widowControl/>
        <w:numPr>
          <w:ilvl w:val="0"/>
          <w:numId w:val="7"/>
        </w:numPr>
        <w:spacing w:before="0" w:after="0"/>
        <w:ind w:left="426" w:hanging="360"/>
        <w:jc w:val="both"/>
        <w:rPr>
          <w:rFonts w:eastAsia="Bookman Old Style" w:cs="Times New Roman"/>
          <w:sz w:val="22"/>
          <w:szCs w:val="22"/>
          <w:lang w:val="es-ES_tradnl" w:eastAsia="zh-CN" w:bidi="es-ES"/>
        </w:rPr>
      </w:pPr>
      <w:r>
        <w:rPr>
          <w:rFonts w:eastAsia="Bookman Old Style" w:cs="Times New Roman"/>
          <w:sz w:val="22"/>
          <w:szCs w:val="22"/>
          <w:lang w:val="es-ES_tradnl" w:eastAsia="zh-CN" w:bidi="es-ES"/>
        </w:rPr>
        <w:t>Si no existen anotaciones de incumplimientos en el RUPE corresponderá el 20%.</w:t>
      </w:r>
    </w:p>
    <w:p>
      <w:pPr>
        <w:pStyle w:val="Normal"/>
        <w:widowControl/>
        <w:numPr>
          <w:ilvl w:val="0"/>
          <w:numId w:val="7"/>
        </w:numPr>
        <w:spacing w:before="0" w:after="0"/>
        <w:ind w:left="426" w:hanging="360"/>
        <w:jc w:val="both"/>
        <w:rPr>
          <w:rFonts w:eastAsia="Bookman Old Style" w:cs="Times New Roman"/>
          <w:b/>
          <w:b/>
          <w:sz w:val="22"/>
          <w:szCs w:val="22"/>
          <w:lang w:bidi="es-ES"/>
        </w:rPr>
      </w:pPr>
      <w:r>
        <w:rPr>
          <w:rFonts w:eastAsia="Bookman Old Style" w:cs="Times New Roman"/>
          <w:sz w:val="22"/>
          <w:szCs w:val="22"/>
          <w:lang w:val="es-ES_tradnl" w:eastAsia="zh-CN" w:bidi="es-ES"/>
        </w:rPr>
        <w:t xml:space="preserve">Si existieren anotaciones de incumplimientos en el RUPE corresponderá 0% </w:t>
      </w:r>
    </w:p>
    <w:p>
      <w:pPr>
        <w:pStyle w:val="Normal"/>
        <w:widowControl/>
        <w:spacing w:before="0" w:after="0"/>
        <w:jc w:val="both"/>
        <w:rPr>
          <w:rFonts w:eastAsia="Bookman Old Style" w:cs="Times New Roman"/>
          <w:sz w:val="22"/>
          <w:szCs w:val="22"/>
          <w:lang w:val="es-ES_tradnl" w:eastAsia="zh-CN" w:bidi="es-ES"/>
        </w:rPr>
      </w:pPr>
      <w:r>
        <w:rPr>
          <w:rFonts w:eastAsia="Bookman Old Style" w:cs="Times New Roman"/>
          <w:sz w:val="22"/>
          <w:szCs w:val="22"/>
          <w:lang w:val="es-ES_tradnl" w:eastAsia="zh-CN" w:bidi="es-ES"/>
        </w:rPr>
      </w:r>
    </w:p>
    <w:p>
      <w:pPr>
        <w:pStyle w:val="Normal"/>
        <w:widowControl/>
        <w:spacing w:before="0" w:after="0"/>
        <w:jc w:val="both"/>
        <w:rPr>
          <w:rFonts w:eastAsia="Bookman Old Style" w:cs="Times New Roman"/>
          <w:sz w:val="22"/>
          <w:szCs w:val="22"/>
          <w:lang w:val="es-ES_tradnl" w:eastAsia="zh-CN" w:bidi="es-ES"/>
        </w:rPr>
      </w:pPr>
      <w:r>
        <w:rPr>
          <w:rFonts w:eastAsia="Bookman Old Style" w:cs="Times New Roman"/>
          <w:b/>
          <w:sz w:val="22"/>
          <w:szCs w:val="22"/>
          <w:lang w:val="es-UY" w:eastAsia="zh-CN" w:bidi="es-ES"/>
        </w:rPr>
        <w:t>Art. 18.- ADJUDICACIÓN</w:t>
      </w:r>
    </w:p>
    <w:p>
      <w:pPr>
        <w:pStyle w:val="Normal1"/>
        <w:spacing w:lineRule="auto" w:line="276" w:before="0" w:after="0"/>
        <w:ind w:firstLine="708"/>
        <w:jc w:val="both"/>
        <w:rPr>
          <w:rFonts w:ascii="Bookman Old Style" w:hAnsi="Bookman Old Style"/>
          <w:b/>
          <w:b/>
          <w:sz w:val="22"/>
          <w:szCs w:val="22"/>
          <w:lang w:val="es-UY"/>
        </w:rPr>
      </w:pPr>
      <w:r>
        <w:rPr>
          <w:rFonts w:ascii="Bookman Old Style" w:hAnsi="Bookman Old Style"/>
          <w:b/>
          <w:sz w:val="22"/>
          <w:szCs w:val="22"/>
          <w:lang w:val="es-UY"/>
        </w:rPr>
        <w:t>A los efectos de la adjudicación se tomarán en cuenta las condiciones y los criterios establecidos en los Pliegos General y Particular de Condiciones.</w:t>
      </w:r>
    </w:p>
    <w:p>
      <w:pPr>
        <w:pStyle w:val="Normal1"/>
        <w:spacing w:lineRule="auto" w:line="276" w:before="0" w:after="0"/>
        <w:ind w:firstLine="708"/>
        <w:jc w:val="both"/>
        <w:rPr>
          <w:rStyle w:val="Fuentedeprrafopredeter2"/>
          <w:rFonts w:ascii="Bookman Old Style" w:hAnsi="Bookman Old Style"/>
          <w:sz w:val="22"/>
          <w:szCs w:val="22"/>
          <w:lang w:val="es-UY"/>
        </w:rPr>
      </w:pPr>
      <w:r>
        <w:rPr>
          <w:rStyle w:val="Fuentedeprrafopredeter2"/>
          <w:rFonts w:ascii="Bookman Old Style" w:hAnsi="Bookman Old Style"/>
          <w:sz w:val="22"/>
          <w:szCs w:val="22"/>
          <w:lang w:val="es-UY"/>
        </w:rPr>
        <w:t xml:space="preserve">La Administración se reserva el </w:t>
      </w:r>
      <w:r>
        <w:rPr>
          <w:rStyle w:val="Fuentedeprrafopredeter2"/>
          <w:rFonts w:ascii="Bookman Old Style" w:hAnsi="Bookman Old Style"/>
          <w:b/>
          <w:sz w:val="22"/>
          <w:szCs w:val="22"/>
          <w:lang w:val="es-UY"/>
        </w:rPr>
        <w:t>derecho de aceptar parcialmente la licitación, rechazar algún ítem o la totalidad de las ofertas</w:t>
      </w:r>
      <w:r>
        <w:rPr>
          <w:rStyle w:val="Fuentedeprrafopredeter2"/>
          <w:rFonts w:ascii="Bookman Old Style" w:hAnsi="Bookman Old Style"/>
          <w:sz w:val="22"/>
          <w:szCs w:val="22"/>
          <w:lang w:val="es-UY"/>
        </w:rPr>
        <w:t>, declarando frustrada la licitación, sin incurrir en responsabilidad, así como aumentar o disminuir el contrato (art. 68 del TOCAF).</w:t>
      </w:r>
    </w:p>
    <w:p>
      <w:pPr>
        <w:pStyle w:val="Normal1"/>
        <w:spacing w:lineRule="auto" w:line="276" w:before="0" w:after="0"/>
        <w:ind w:firstLine="709"/>
        <w:jc w:val="both"/>
        <w:rPr>
          <w:rFonts w:ascii="Bookman Old Style" w:hAnsi="Bookman Old Style"/>
          <w:sz w:val="22"/>
          <w:szCs w:val="22"/>
          <w:lang w:val="es-UY"/>
        </w:rPr>
      </w:pPr>
      <w:r>
        <w:rPr>
          <w:rFonts w:ascii="Bookman Old Style" w:hAnsi="Bookman Old Style"/>
          <w:sz w:val="22"/>
          <w:szCs w:val="22"/>
          <w:lang w:val="es-UY"/>
        </w:rPr>
        <w:t>La Administración</w:t>
      </w:r>
      <w:r>
        <w:rPr>
          <w:rFonts w:ascii="Bookman Old Style" w:hAnsi="Bookman Old Style"/>
          <w:b/>
          <w:sz w:val="22"/>
          <w:szCs w:val="22"/>
          <w:lang w:val="es-UY"/>
        </w:rPr>
        <w:t xml:space="preserve"> podrá adjudicar en forma parcial así como dividir la adjudicación </w:t>
      </w:r>
      <w:r>
        <w:rPr>
          <w:rFonts w:ascii="Bookman Old Style" w:hAnsi="Bookman Old Style"/>
          <w:sz w:val="22"/>
          <w:szCs w:val="22"/>
          <w:lang w:val="es-UY"/>
        </w:rPr>
        <w:t xml:space="preserve">(art. 48 del TOCAF) </w:t>
      </w:r>
      <w:r>
        <w:rPr>
          <w:rFonts w:ascii="Bookman Old Style" w:hAnsi="Bookman Old Style"/>
          <w:b/>
          <w:sz w:val="22"/>
          <w:szCs w:val="22"/>
          <w:lang w:val="es-UY"/>
        </w:rPr>
        <w:t xml:space="preserve"> entre distintos oferentes</w:t>
      </w:r>
      <w:r>
        <w:rPr>
          <w:rFonts w:ascii="Bookman Old Style" w:hAnsi="Bookman Old Style"/>
          <w:sz w:val="22"/>
          <w:szCs w:val="22"/>
          <w:lang w:val="es-UY"/>
        </w:rPr>
        <w:t>.</w:t>
      </w:r>
    </w:p>
    <w:p>
      <w:pPr>
        <w:pStyle w:val="Normal1"/>
        <w:spacing w:lineRule="auto" w:line="276" w:before="0" w:after="0"/>
        <w:ind w:firstLine="708"/>
        <w:jc w:val="both"/>
        <w:rPr>
          <w:rStyle w:val="Fuentedeprrafopredeter2"/>
          <w:rFonts w:ascii="Bookman Old Style" w:hAnsi="Bookman Old Style"/>
          <w:sz w:val="22"/>
          <w:szCs w:val="22"/>
          <w:lang w:val="es-UY"/>
        </w:rPr>
      </w:pPr>
      <w:r>
        <w:rPr>
          <w:rStyle w:val="Fuentedeprrafopredeter2"/>
          <w:rFonts w:ascii="Bookman Old Style" w:hAnsi="Bookman Old Style"/>
          <w:sz w:val="22"/>
          <w:szCs w:val="22"/>
          <w:lang w:val="es-UY"/>
        </w:rPr>
        <w:t xml:space="preserve">Asimismo, se </w:t>
      </w:r>
      <w:r>
        <w:rPr>
          <w:rStyle w:val="Fuentedeprrafopredeter2"/>
          <w:rFonts w:ascii="Bookman Old Style" w:hAnsi="Bookman Old Style"/>
          <w:b/>
          <w:sz w:val="22"/>
          <w:szCs w:val="22"/>
          <w:lang w:val="es-UY"/>
        </w:rPr>
        <w:t>rechazaran las propuestas</w:t>
      </w:r>
      <w:r>
        <w:rPr>
          <w:rStyle w:val="Fuentedeprrafopredeter2"/>
          <w:rFonts w:ascii="Bookman Old Style" w:hAnsi="Bookman Old Style"/>
          <w:sz w:val="22"/>
          <w:szCs w:val="22"/>
          <w:lang w:val="es-UY"/>
        </w:rPr>
        <w:t xml:space="preserve"> que contengan reservas o formulen objeciones al presente pliego y/o contengan cláusulas abusivas o que no presenten información suficiente. </w:t>
      </w:r>
    </w:p>
    <w:p>
      <w:pPr>
        <w:pStyle w:val="Normal1"/>
        <w:spacing w:lineRule="auto" w:line="276" w:before="0" w:after="0"/>
        <w:jc w:val="both"/>
        <w:rPr>
          <w:rFonts w:ascii="Bookman Old Style" w:hAnsi="Bookman Old Style"/>
          <w:b/>
          <w:b/>
          <w:sz w:val="22"/>
          <w:szCs w:val="22"/>
        </w:rPr>
      </w:pPr>
      <w:r>
        <w:rPr>
          <w:rFonts w:ascii="Bookman Old Style" w:hAnsi="Bookman Old Style"/>
          <w:b/>
          <w:sz w:val="22"/>
          <w:szCs w:val="22"/>
        </w:rPr>
      </w:r>
    </w:p>
    <w:p>
      <w:pPr>
        <w:pStyle w:val="Normal1"/>
        <w:spacing w:lineRule="auto" w:line="276" w:before="0" w:after="0"/>
        <w:jc w:val="both"/>
        <w:rPr>
          <w:rFonts w:ascii="Bookman Old Style" w:hAnsi="Bookman Old Style"/>
          <w:b/>
          <w:b/>
          <w:sz w:val="22"/>
          <w:szCs w:val="22"/>
        </w:rPr>
      </w:pPr>
      <w:r>
        <w:rPr>
          <w:rFonts w:ascii="Bookman Old Style" w:hAnsi="Bookman Old Style"/>
          <w:b/>
          <w:sz w:val="22"/>
          <w:szCs w:val="22"/>
        </w:rPr>
        <w:t>Art. 19.- PREFERENCIA A LOS PRODUCTOS NACIONALES.</w:t>
      </w:r>
    </w:p>
    <w:p>
      <w:pPr>
        <w:pStyle w:val="Normal"/>
        <w:spacing w:before="0" w:after="0"/>
        <w:jc w:val="both"/>
        <w:rPr>
          <w:rStyle w:val="Fuentedeprrafopredeter2"/>
          <w:rFonts w:cs="Times New Roman"/>
          <w:sz w:val="22"/>
          <w:szCs w:val="22"/>
        </w:rPr>
      </w:pPr>
      <w:r>
        <w:rPr>
          <w:rStyle w:val="Fuentedeprrafopredeter2"/>
          <w:rFonts w:cs="Times New Roman"/>
          <w:b/>
          <w:sz w:val="22"/>
          <w:szCs w:val="22"/>
        </w:rPr>
        <w:tab/>
        <w:t xml:space="preserve">La Administración valorará y considerará la preferencia de aquellos productos nacionales, en tanto el oferente cumpla con los requerimientos previstos en la legislación vigente </w:t>
      </w:r>
      <w:r>
        <w:rPr>
          <w:rStyle w:val="Fuentedeprrafopredeter2"/>
          <w:rFonts w:cs="Times New Roman"/>
          <w:sz w:val="22"/>
          <w:szCs w:val="22"/>
        </w:rPr>
        <w:t>(TOCAF, Decreto 131/14, modificativos y concordantes) para su presentación y sustanciación e indicado en el art.8.</w:t>
      </w:r>
    </w:p>
    <w:p>
      <w:pPr>
        <w:pStyle w:val="Normal"/>
        <w:spacing w:before="0" w:after="0"/>
        <w:jc w:val="both"/>
        <w:rPr>
          <w:rFonts w:cs="Times New Roman"/>
          <w:sz w:val="22"/>
          <w:szCs w:val="22"/>
        </w:rPr>
      </w:pPr>
      <w:r>
        <w:rPr>
          <w:rFonts w:cs="Times New Roman"/>
          <w:sz w:val="22"/>
          <w:szCs w:val="22"/>
        </w:rPr>
      </w:r>
    </w:p>
    <w:p>
      <w:pPr>
        <w:pStyle w:val="Ttulo32"/>
        <w:numPr>
          <w:ilvl w:val="2"/>
          <w:numId w:val="1"/>
        </w:numPr>
        <w:tabs>
          <w:tab w:val="left" w:pos="0" w:leader="none"/>
          <w:tab w:val="left" w:pos="720" w:leader="none"/>
        </w:tabs>
        <w:spacing w:lineRule="auto" w:line="276" w:before="0" w:after="0"/>
        <w:ind w:left="0" w:hanging="0"/>
        <w:rPr>
          <w:rFonts w:ascii="Bookman Old Style" w:hAnsi="Bookman Old Style"/>
          <w:i w:val="false"/>
          <w:i w:val="false"/>
          <w:sz w:val="22"/>
          <w:szCs w:val="22"/>
          <w:lang w:val="es-UY"/>
        </w:rPr>
      </w:pPr>
      <w:r>
        <w:rPr>
          <w:rFonts w:ascii="Bookman Old Style" w:hAnsi="Bookman Old Style"/>
          <w:i w:val="false"/>
          <w:sz w:val="22"/>
          <w:szCs w:val="22"/>
          <w:lang w:val="es-UY"/>
        </w:rPr>
        <w:t>Art. 20.- VALOR DE LA INFORMACIÓN TÉCNICA PRESENTADA.</w:t>
      </w:r>
    </w:p>
    <w:p>
      <w:pPr>
        <w:pStyle w:val="Normal1"/>
        <w:spacing w:lineRule="auto" w:line="276" w:before="0" w:after="0"/>
        <w:jc w:val="both"/>
        <w:rPr>
          <w:rStyle w:val="Fuentedeprrafopredeter2"/>
          <w:rFonts w:ascii="Bookman Old Style" w:hAnsi="Bookman Old Style"/>
          <w:sz w:val="22"/>
          <w:szCs w:val="22"/>
          <w:lang w:val="es-UY"/>
        </w:rPr>
      </w:pPr>
      <w:r>
        <w:rPr>
          <w:rStyle w:val="Fuentedeprrafopredeter2"/>
          <w:rFonts w:ascii="Bookman Old Style" w:hAnsi="Bookman Old Style"/>
          <w:b/>
          <w:sz w:val="22"/>
          <w:szCs w:val="22"/>
          <w:lang w:val="es-UY"/>
        </w:rPr>
        <w:tab/>
      </w:r>
      <w:r>
        <w:rPr>
          <w:rStyle w:val="Fuentedeprrafopredeter2"/>
          <w:rFonts w:ascii="Bookman Old Style" w:hAnsi="Bookman Old Style"/>
          <w:sz w:val="22"/>
          <w:szCs w:val="22"/>
          <w:lang w:val="es-UY"/>
        </w:rPr>
        <w:t xml:space="preserve">Todos los datos indicados por el proponente referidos a los elementos contenidos en la oferta tendrán </w:t>
      </w:r>
      <w:r>
        <w:rPr>
          <w:rStyle w:val="Fuentedeprrafopredeter2"/>
          <w:rFonts w:ascii="Bookman Old Style" w:hAnsi="Bookman Old Style"/>
          <w:b/>
          <w:sz w:val="22"/>
          <w:szCs w:val="22"/>
          <w:lang w:val="es-UY"/>
        </w:rPr>
        <w:t>carácter de compromiso</w:t>
      </w:r>
      <w:r>
        <w:rPr>
          <w:rStyle w:val="Fuentedeprrafopredeter2"/>
          <w:rFonts w:ascii="Bookman Old Style" w:hAnsi="Bookman Old Style"/>
          <w:sz w:val="22"/>
          <w:szCs w:val="22"/>
          <w:lang w:val="es-UY"/>
        </w:rPr>
        <w:t>. Si se verifica que no responden estrictamente a lo establecido en la propuesta, la Administración podrá rechazarlos de plano, rescindiendo el contrato respectivo, sin que ello dé lugar a reclamación de clase alguna.</w:t>
      </w:r>
    </w:p>
    <w:p>
      <w:pPr>
        <w:pStyle w:val="Normal1"/>
        <w:spacing w:lineRule="auto" w:line="276" w:before="0" w:after="0"/>
        <w:jc w:val="both"/>
        <w:rPr>
          <w:rFonts w:ascii="Bookman Old Style" w:hAnsi="Bookman Old Style"/>
          <w:b/>
          <w:b/>
          <w:sz w:val="22"/>
          <w:szCs w:val="22"/>
          <w:lang w:val="es-UY"/>
        </w:rPr>
      </w:pPr>
      <w:r>
        <w:rPr>
          <w:rFonts w:ascii="Bookman Old Style" w:hAnsi="Bookman Old Style"/>
          <w:b/>
          <w:sz w:val="22"/>
          <w:szCs w:val="22"/>
          <w:lang w:val="es-UY"/>
        </w:rPr>
      </w:r>
    </w:p>
    <w:p>
      <w:pPr>
        <w:pStyle w:val="Normal1"/>
        <w:spacing w:lineRule="auto" w:line="276" w:before="0" w:after="0"/>
        <w:jc w:val="both"/>
        <w:rPr>
          <w:rFonts w:ascii="Bookman Old Style" w:hAnsi="Bookman Old Style"/>
          <w:b/>
          <w:b/>
          <w:sz w:val="22"/>
          <w:szCs w:val="22"/>
          <w:lang w:val="es-UY"/>
        </w:rPr>
      </w:pPr>
      <w:r>
        <w:rPr>
          <w:rFonts w:ascii="Bookman Old Style" w:hAnsi="Bookman Old Style"/>
          <w:b/>
          <w:sz w:val="22"/>
          <w:szCs w:val="22"/>
          <w:lang w:val="es-UY"/>
        </w:rPr>
        <w:t>Art. 21.- RECEPCIÓN.</w:t>
      </w:r>
    </w:p>
    <w:p>
      <w:pPr>
        <w:pStyle w:val="Normal1"/>
        <w:spacing w:lineRule="auto" w:line="276" w:before="0" w:after="0"/>
        <w:jc w:val="both"/>
        <w:rPr>
          <w:rStyle w:val="Fuentedeprrafopredeter2"/>
          <w:rFonts w:ascii="Bookman Old Style" w:hAnsi="Bookman Old Style"/>
          <w:sz w:val="22"/>
          <w:szCs w:val="22"/>
          <w:lang w:val="es-UY"/>
        </w:rPr>
      </w:pPr>
      <w:r>
        <w:rPr>
          <w:rStyle w:val="Fuentedeprrafopredeter2"/>
          <w:rFonts w:ascii="Bookman Old Style" w:hAnsi="Bookman Old Style"/>
          <w:b/>
          <w:sz w:val="22"/>
          <w:szCs w:val="22"/>
          <w:lang w:val="es-UY"/>
        </w:rPr>
        <w:tab/>
      </w:r>
      <w:r>
        <w:rPr>
          <w:rStyle w:val="Fuentedeprrafopredeter2"/>
          <w:rFonts w:ascii="Bookman Old Style" w:hAnsi="Bookman Old Style"/>
          <w:sz w:val="22"/>
          <w:szCs w:val="22"/>
          <w:lang w:val="es-UY"/>
        </w:rPr>
        <w:t xml:space="preserve">La Administración se reserva el derecho de realizar, a través de sus asesores, las inspecciones que consideren necesarias para </w:t>
      </w:r>
      <w:r>
        <w:rPr>
          <w:rStyle w:val="Fuentedeprrafopredeter2"/>
          <w:rFonts w:ascii="Bookman Old Style" w:hAnsi="Bookman Old Style"/>
          <w:b/>
          <w:sz w:val="22"/>
          <w:szCs w:val="22"/>
          <w:lang w:val="es-UY"/>
        </w:rPr>
        <w:t>verificar en forma integral el material</w:t>
      </w:r>
      <w:r>
        <w:rPr>
          <w:rStyle w:val="Fuentedeprrafopredeter2"/>
          <w:rFonts w:ascii="Bookman Old Style" w:hAnsi="Bookman Old Style"/>
          <w:sz w:val="22"/>
          <w:szCs w:val="22"/>
          <w:lang w:val="es-UY"/>
        </w:rPr>
        <w:t xml:space="preserve"> objeto del presente al momento de la entrega y la exactitud con la propuesta.</w:t>
      </w:r>
    </w:p>
    <w:p>
      <w:pPr>
        <w:pStyle w:val="Normal1"/>
        <w:spacing w:lineRule="auto" w:line="276" w:before="0" w:after="0"/>
        <w:ind w:firstLine="709"/>
        <w:jc w:val="both"/>
        <w:rPr>
          <w:rFonts w:ascii="Bookman Old Style" w:hAnsi="Bookman Old Style"/>
          <w:sz w:val="22"/>
          <w:szCs w:val="22"/>
          <w:lang w:val="es-UY"/>
        </w:rPr>
      </w:pPr>
      <w:r>
        <w:rPr>
          <w:rFonts w:ascii="Bookman Old Style" w:hAnsi="Bookman Old Style"/>
          <w:sz w:val="22"/>
          <w:szCs w:val="22"/>
          <w:lang w:val="es-UY"/>
        </w:rPr>
        <w:t xml:space="preserve">Los artículos y/u obras adquiridos y/o contratados se recibirán por personal autorizado, quien procederá a </w:t>
      </w:r>
      <w:r>
        <w:rPr>
          <w:rFonts w:ascii="Bookman Old Style" w:hAnsi="Bookman Old Style"/>
          <w:b/>
          <w:sz w:val="22"/>
          <w:szCs w:val="22"/>
          <w:lang w:val="es-UY"/>
        </w:rPr>
        <w:t>controlar la entrega</w:t>
      </w:r>
      <w:r>
        <w:rPr>
          <w:rFonts w:ascii="Bookman Old Style" w:hAnsi="Bookman Old Style"/>
          <w:sz w:val="22"/>
          <w:szCs w:val="22"/>
          <w:lang w:val="es-UY"/>
        </w:rPr>
        <w:t>, pudiendo rechazar el material que a su juicio se estime en mal estado y/o no cumpla con los requerimientos solicitados. La recepción se hará en carácter provisorio, hasta tanto se realice el control de calidad, de acuerdo a la normativa vigente.</w:t>
      </w:r>
    </w:p>
    <w:p>
      <w:pPr>
        <w:pStyle w:val="Normal1"/>
        <w:spacing w:lineRule="auto" w:line="276" w:before="0" w:after="0"/>
        <w:ind w:firstLine="709"/>
        <w:jc w:val="both"/>
        <w:rPr>
          <w:rFonts w:ascii="Bookman Old Style" w:hAnsi="Bookman Old Style"/>
          <w:sz w:val="22"/>
          <w:szCs w:val="22"/>
          <w:lang w:val="es-UY"/>
        </w:rPr>
      </w:pPr>
      <w:r>
        <w:rPr>
          <w:rFonts w:ascii="Bookman Old Style" w:hAnsi="Bookman Old Style"/>
          <w:sz w:val="22"/>
          <w:szCs w:val="22"/>
          <w:lang w:val="es-UY"/>
        </w:rPr>
        <w:t xml:space="preserve">En el momento de recibir el material objeto del presente llamado se verificará si cumple con las condiciones y requisitos establecidos en el presente Pliego, y sus anexos, en la oferta y en la adjudicación. </w:t>
      </w:r>
    </w:p>
    <w:p>
      <w:pPr>
        <w:pStyle w:val="Ttulo12"/>
        <w:spacing w:lineRule="auto" w:line="276" w:before="0" w:after="0"/>
        <w:ind w:left="0" w:hanging="0"/>
        <w:rPr>
          <w:rFonts w:ascii="Bookman Old Style" w:hAnsi="Bookman Old Style"/>
          <w:sz w:val="22"/>
          <w:szCs w:val="22"/>
          <w:lang w:val="es-UY"/>
        </w:rPr>
      </w:pPr>
      <w:r>
        <w:rPr>
          <w:rFonts w:ascii="Bookman Old Style" w:hAnsi="Bookman Old Style"/>
          <w:sz w:val="22"/>
          <w:szCs w:val="22"/>
          <w:lang w:val="es-UY"/>
        </w:rPr>
      </w:r>
    </w:p>
    <w:p>
      <w:pPr>
        <w:pStyle w:val="Ttulo12"/>
        <w:spacing w:lineRule="auto" w:line="276" w:before="0" w:after="0"/>
        <w:ind w:left="0" w:hanging="0"/>
        <w:rPr>
          <w:rFonts w:ascii="Bookman Old Style" w:hAnsi="Bookman Old Style"/>
          <w:sz w:val="22"/>
          <w:szCs w:val="22"/>
          <w:lang w:val="es-UY"/>
        </w:rPr>
      </w:pPr>
      <w:r>
        <w:rPr>
          <w:rFonts w:ascii="Bookman Old Style" w:hAnsi="Bookman Old Style"/>
          <w:sz w:val="22"/>
          <w:szCs w:val="22"/>
          <w:lang w:val="es-UY"/>
        </w:rPr>
        <w:t>Art. 24.- CESIÓN DE CRÉDITO.</w:t>
      </w:r>
    </w:p>
    <w:p>
      <w:pPr>
        <w:pStyle w:val="Normal1"/>
        <w:spacing w:lineRule="auto" w:line="276" w:before="0" w:after="0"/>
        <w:jc w:val="both"/>
        <w:rPr>
          <w:rStyle w:val="Fuentedeprrafopredeter2"/>
          <w:rFonts w:ascii="Bookman Old Style" w:hAnsi="Bookman Old Style"/>
          <w:sz w:val="22"/>
          <w:szCs w:val="22"/>
          <w:lang w:val="es-UY"/>
        </w:rPr>
      </w:pPr>
      <w:r>
        <w:rPr>
          <w:rStyle w:val="Fuentedeprrafopredeter2"/>
          <w:rFonts w:ascii="Bookman Old Style" w:hAnsi="Bookman Old Style"/>
          <w:b/>
          <w:sz w:val="22"/>
          <w:szCs w:val="22"/>
          <w:lang w:val="es-UY"/>
        </w:rPr>
        <w:tab/>
      </w:r>
      <w:r>
        <w:rPr>
          <w:rStyle w:val="Fuentedeprrafopredeter2"/>
          <w:rFonts w:ascii="Bookman Old Style" w:hAnsi="Bookman Old Style"/>
          <w:sz w:val="22"/>
          <w:szCs w:val="22"/>
          <w:lang w:val="es-UY"/>
        </w:rPr>
        <w:t xml:space="preserve">Cuando se configure una cesión de créditos, la existencia y cobro de los créditos dependerá y se podrá hacer efectiva, en la forma y en la medida que sean exigibles según el Pliego y por el cumplimiento del suministro. </w:t>
      </w:r>
    </w:p>
    <w:p>
      <w:pPr>
        <w:pStyle w:val="Normal1"/>
        <w:spacing w:lineRule="auto" w:line="276" w:before="0" w:after="0"/>
        <w:jc w:val="both"/>
        <w:rPr>
          <w:rStyle w:val="Fuentedeprrafopredeter2"/>
          <w:rFonts w:ascii="Bookman Old Style" w:hAnsi="Bookman Old Style"/>
          <w:sz w:val="22"/>
          <w:szCs w:val="22"/>
          <w:lang w:val="es-UY"/>
        </w:rPr>
      </w:pPr>
      <w:r>
        <w:rPr>
          <w:rFonts w:ascii="Bookman Old Style" w:hAnsi="Bookman Old Style"/>
          <w:sz w:val="22"/>
          <w:szCs w:val="22"/>
          <w:lang w:val="es-UY"/>
        </w:rPr>
      </w:r>
    </w:p>
    <w:p>
      <w:pPr>
        <w:pStyle w:val="Ttulo12"/>
        <w:spacing w:lineRule="auto" w:line="276" w:before="0" w:after="0"/>
        <w:ind w:left="0" w:hanging="0"/>
        <w:jc w:val="both"/>
        <w:rPr>
          <w:rFonts w:ascii="Bookman Old Style" w:hAnsi="Bookman Old Style"/>
          <w:sz w:val="22"/>
          <w:szCs w:val="22"/>
          <w:lang w:val="es-UY"/>
        </w:rPr>
      </w:pPr>
      <w:r>
        <w:rPr>
          <w:rFonts w:ascii="Bookman Old Style" w:hAnsi="Bookman Old Style"/>
          <w:sz w:val="22"/>
          <w:szCs w:val="22"/>
          <w:lang w:val="es-UY"/>
        </w:rPr>
        <w:t xml:space="preserve">Art. 25.- EXENCIÓN DE RESPONSABILIDAD, DECLARACION E INTERPRETACION. </w:t>
      </w:r>
    </w:p>
    <w:p>
      <w:pPr>
        <w:pStyle w:val="Normal1"/>
        <w:spacing w:lineRule="auto" w:line="276" w:before="0" w:after="0"/>
        <w:jc w:val="both"/>
        <w:rPr>
          <w:rStyle w:val="Fuentedeprrafopredeter2"/>
          <w:rFonts w:ascii="Bookman Old Style" w:hAnsi="Bookman Old Style"/>
          <w:sz w:val="22"/>
          <w:szCs w:val="22"/>
          <w:lang w:val="es-UY"/>
        </w:rPr>
      </w:pPr>
      <w:r>
        <w:rPr>
          <w:rStyle w:val="Fuentedeprrafopredeter2"/>
          <w:rFonts w:ascii="Bookman Old Style" w:hAnsi="Bookman Old Style"/>
          <w:b/>
          <w:sz w:val="22"/>
          <w:szCs w:val="22"/>
          <w:lang w:val="es-UY"/>
        </w:rPr>
        <w:tab/>
      </w:r>
      <w:r>
        <w:rPr>
          <w:rStyle w:val="Fuentedeprrafopredeter2"/>
          <w:rFonts w:ascii="Bookman Old Style" w:hAnsi="Bookman Old Style"/>
          <w:sz w:val="22"/>
          <w:szCs w:val="22"/>
          <w:lang w:val="es-UY"/>
        </w:rPr>
        <w:t xml:space="preserve">La Administración podrá </w:t>
      </w:r>
      <w:r>
        <w:rPr>
          <w:rStyle w:val="Fuentedeprrafopredeter2"/>
          <w:rFonts w:ascii="Bookman Old Style" w:hAnsi="Bookman Old Style"/>
          <w:b/>
          <w:sz w:val="22"/>
          <w:szCs w:val="22"/>
          <w:lang w:val="es-UY"/>
        </w:rPr>
        <w:t>desistir del llamado en cualquier etapa de su realización</w:t>
      </w:r>
      <w:r>
        <w:rPr>
          <w:rStyle w:val="Fuentedeprrafopredeter2"/>
          <w:rFonts w:ascii="Bookman Old Style" w:hAnsi="Bookman Old Style"/>
          <w:sz w:val="22"/>
          <w:szCs w:val="22"/>
          <w:lang w:val="es-UY"/>
        </w:rPr>
        <w:t xml:space="preserve"> o podrá desestimar todas las ofertas si no le resultan convenientes. Ninguna de estas decisiones generará derecho alguno de los participantes a reclamar por gastos, honorarios o indemnizaciones por daños y perjuicios.</w:t>
      </w:r>
    </w:p>
    <w:p>
      <w:pPr>
        <w:pStyle w:val="Normal1"/>
        <w:spacing w:lineRule="auto" w:line="276" w:before="0" w:after="0"/>
        <w:jc w:val="both"/>
        <w:rPr>
          <w:rStyle w:val="Fuentedeprrafopredeter2"/>
          <w:rFonts w:ascii="Bookman Old Style" w:hAnsi="Bookman Old Style"/>
          <w:sz w:val="22"/>
          <w:szCs w:val="22"/>
          <w:lang w:val="es-UY"/>
        </w:rPr>
      </w:pPr>
      <w:r>
        <w:rPr>
          <w:rStyle w:val="Fuentedeprrafopredeter2"/>
          <w:rFonts w:ascii="Bookman Old Style" w:hAnsi="Bookman Old Style"/>
          <w:sz w:val="22"/>
          <w:szCs w:val="22"/>
          <w:lang w:val="es-UY"/>
        </w:rPr>
        <w:tab/>
        <w:t xml:space="preserve">La cantidad solicitada podrá ser disminuida a juicio de la Administración, pero el oferente no podrá ofertar una menor. </w:t>
      </w:r>
    </w:p>
    <w:p>
      <w:pPr>
        <w:pStyle w:val="Normal"/>
        <w:tabs>
          <w:tab w:val="clear" w:pos="708"/>
          <w:tab w:val="left" w:pos="709" w:leader="none"/>
        </w:tabs>
        <w:spacing w:before="0" w:after="0"/>
        <w:jc w:val="both"/>
        <w:rPr>
          <w:rFonts w:cs="Times New Roman"/>
          <w:sz w:val="22"/>
          <w:szCs w:val="22"/>
        </w:rPr>
      </w:pPr>
      <w:r>
        <w:rPr>
          <w:rFonts w:cs="Times New Roman"/>
          <w:sz w:val="22"/>
          <w:szCs w:val="22"/>
        </w:rPr>
        <w:tab/>
        <w:t xml:space="preserve">La sola presentación de cotización se considerará como declaración de la empresa oferente de encontrarse en </w:t>
      </w:r>
      <w:r>
        <w:rPr>
          <w:rFonts w:cs="Times New Roman"/>
          <w:b/>
          <w:sz w:val="22"/>
          <w:szCs w:val="22"/>
        </w:rPr>
        <w:t>condiciones legales de contratar con el Estado</w:t>
      </w:r>
      <w:r>
        <w:rPr>
          <w:rFonts w:cs="Times New Roman"/>
          <w:sz w:val="22"/>
          <w:szCs w:val="22"/>
        </w:rPr>
        <w:t xml:space="preserve"> (art. 46 del TOCAF) y aceptar todas las condiciones establecidas en la convocatoria.</w:t>
      </w:r>
    </w:p>
    <w:p>
      <w:pPr>
        <w:pStyle w:val="Textoindependiente1"/>
        <w:spacing w:lineRule="auto" w:line="276" w:before="0" w:after="0"/>
        <w:rPr>
          <w:rFonts w:ascii="Bookman Old Style" w:hAnsi="Bookman Old Style"/>
          <w:sz w:val="22"/>
          <w:szCs w:val="22"/>
          <w:lang w:val="es-UY"/>
        </w:rPr>
      </w:pPr>
      <w:r>
        <w:rPr>
          <w:rFonts w:ascii="Bookman Old Style" w:hAnsi="Bookman Old Style"/>
          <w:sz w:val="22"/>
          <w:szCs w:val="22"/>
          <w:lang w:val="es-UY"/>
        </w:rPr>
        <w:tab/>
        <w:t>Toda cláusula imprecisa, ambigua, contradictoria u oscura a criterio de la Administración, se interpretará en el sentido más favorable a ésta.</w:t>
      </w:r>
    </w:p>
    <w:p>
      <w:pPr>
        <w:pStyle w:val="Textoindependiente1"/>
        <w:spacing w:lineRule="auto" w:line="276" w:before="0" w:after="0"/>
        <w:rPr>
          <w:rFonts w:ascii="Bookman Old Style" w:hAnsi="Bookman Old Style"/>
          <w:sz w:val="22"/>
          <w:szCs w:val="22"/>
          <w:lang w:val="es-UY"/>
        </w:rPr>
      </w:pPr>
      <w:r>
        <w:rPr>
          <w:rFonts w:ascii="Bookman Old Style" w:hAnsi="Bookman Old Style"/>
          <w:sz w:val="22"/>
          <w:szCs w:val="22"/>
          <w:lang w:val="es-UY"/>
        </w:rPr>
      </w:r>
    </w:p>
    <w:p>
      <w:pPr>
        <w:pStyle w:val="Textoindependiente1"/>
        <w:spacing w:lineRule="auto" w:line="276" w:before="0" w:after="0"/>
        <w:rPr/>
      </w:pPr>
      <w:r>
        <w:rPr/>
      </w:r>
    </w:p>
    <w:sectPr>
      <w:type w:val="nextPage"/>
      <w:pgSz w:w="11906" w:h="16838"/>
      <w:pgMar w:left="1701" w:right="1191" w:header="0" w:top="1440"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man Old Style">
    <w:charset w:val="00"/>
    <w:family w:val="roman"/>
    <w:pitch w:val="variable"/>
  </w:font>
  <w:font w:name="Tahoma">
    <w:charset w:val="00"/>
    <w:family w:val="roman"/>
    <w:pitch w:val="variable"/>
  </w:font>
  <w:font w:name="Liberation Sans">
    <w:altName w:val="Arial"/>
    <w:charset w:val="00"/>
    <w:family w:val="swiss"/>
    <w:pitch w:val="variable"/>
  </w:font>
  <w:font w:name="Bookman Old Style">
    <w:charset w:val="01"/>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32" w:hanging="432"/>
      </w:pPr>
      <w:rPr>
        <w:rFonts w:ascii="Bookman Old Style" w:hAnsi="Bookman Old Style" w:cs="Bookman Old Style" w:hint="default"/>
        <w:sz w:val="22"/>
        <w:b/>
        <w:rFonts w:cs="Bookman Old Style"/>
        <w:color w:val="FF000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360"/>
        </w:tabs>
        <w:ind w:left="360" w:hanging="360"/>
      </w:pPr>
      <w:rPr>
        <w:rFonts w:ascii="Wingdings" w:hAnsi="Wingdings" w:cs="Wingdings" w:hint="default"/>
        <w:sz w:val="22"/>
        <w:b/>
        <w:rFonts w:cs="Wingdings"/>
        <w:color w:val="auto"/>
      </w:rPr>
    </w:lvl>
    <w:lvl w:ilvl="1">
      <w:start w:val="1"/>
      <w:numFmt w:val="decimal"/>
      <w:lvlText w:val="%2."/>
      <w:lvlJc w:val="left"/>
      <w:pPr>
        <w:tabs>
          <w:tab w:val="num" w:pos="720"/>
        </w:tabs>
        <w:ind w:left="720" w:hanging="360"/>
      </w:pPr>
      <w:rPr>
        <w:sz w:val="22"/>
        <w:szCs w:val="22"/>
        <w:color w:val="FF0000"/>
      </w:rPr>
    </w:lvl>
    <w:lvl w:ilvl="2">
      <w:start w:val="1"/>
      <w:numFmt w:val="decimal"/>
      <w:lvlText w:val="%3."/>
      <w:lvlJc w:val="left"/>
      <w:pPr>
        <w:tabs>
          <w:tab w:val="num" w:pos="1080"/>
        </w:tabs>
        <w:ind w:left="1080" w:hanging="360"/>
      </w:pPr>
      <w:rPr>
        <w:sz w:val="22"/>
        <w:szCs w:val="22"/>
        <w:color w:val="FF0000"/>
      </w:rPr>
    </w:lvl>
    <w:lvl w:ilvl="3">
      <w:start w:val="1"/>
      <w:numFmt w:val="decimal"/>
      <w:lvlText w:val="%4."/>
      <w:lvlJc w:val="left"/>
      <w:pPr>
        <w:tabs>
          <w:tab w:val="num" w:pos="1440"/>
        </w:tabs>
        <w:ind w:left="1440" w:hanging="360"/>
      </w:pPr>
      <w:rPr>
        <w:sz w:val="22"/>
        <w:szCs w:val="22"/>
        <w:color w:val="FF0000"/>
      </w:rPr>
    </w:lvl>
    <w:lvl w:ilvl="4">
      <w:start w:val="1"/>
      <w:numFmt w:val="decimal"/>
      <w:lvlText w:val="%5."/>
      <w:lvlJc w:val="left"/>
      <w:pPr>
        <w:tabs>
          <w:tab w:val="num" w:pos="1800"/>
        </w:tabs>
        <w:ind w:left="1800" w:hanging="360"/>
      </w:pPr>
      <w:rPr>
        <w:sz w:val="22"/>
        <w:szCs w:val="22"/>
        <w:color w:val="FF0000"/>
      </w:rPr>
    </w:lvl>
    <w:lvl w:ilvl="5">
      <w:start w:val="1"/>
      <w:numFmt w:val="decimal"/>
      <w:lvlText w:val="%6."/>
      <w:lvlJc w:val="left"/>
      <w:pPr>
        <w:tabs>
          <w:tab w:val="num" w:pos="2160"/>
        </w:tabs>
        <w:ind w:left="2160" w:hanging="360"/>
      </w:pPr>
      <w:rPr>
        <w:sz w:val="22"/>
        <w:szCs w:val="22"/>
        <w:color w:val="FF0000"/>
      </w:rPr>
    </w:lvl>
    <w:lvl w:ilvl="6">
      <w:start w:val="1"/>
      <w:numFmt w:val="decimal"/>
      <w:lvlText w:val="%7."/>
      <w:lvlJc w:val="left"/>
      <w:pPr>
        <w:tabs>
          <w:tab w:val="num" w:pos="2520"/>
        </w:tabs>
        <w:ind w:left="2520" w:hanging="360"/>
      </w:pPr>
      <w:rPr>
        <w:sz w:val="22"/>
        <w:szCs w:val="22"/>
        <w:color w:val="FF0000"/>
      </w:rPr>
    </w:lvl>
    <w:lvl w:ilvl="7">
      <w:start w:val="1"/>
      <w:numFmt w:val="decimal"/>
      <w:lvlText w:val="%8."/>
      <w:lvlJc w:val="left"/>
      <w:pPr>
        <w:tabs>
          <w:tab w:val="num" w:pos="2880"/>
        </w:tabs>
        <w:ind w:left="2880" w:hanging="360"/>
      </w:pPr>
      <w:rPr>
        <w:sz w:val="22"/>
        <w:szCs w:val="22"/>
        <w:color w:val="FF0000"/>
      </w:rPr>
    </w:lvl>
    <w:lvl w:ilvl="8">
      <w:start w:val="1"/>
      <w:numFmt w:val="decimal"/>
      <w:lvlText w:val="%9."/>
      <w:lvlJc w:val="left"/>
      <w:pPr>
        <w:tabs>
          <w:tab w:val="num" w:pos="3240"/>
        </w:tabs>
        <w:ind w:left="3240" w:hanging="360"/>
      </w:pPr>
      <w:rPr>
        <w:sz w:val="22"/>
        <w:szCs w:val="22"/>
        <w:color w:val="FF0000"/>
      </w:rPr>
    </w:lvl>
  </w:abstractNum>
  <w:abstractNum w:abstractNumId="3">
    <w:lvl w:ilvl="0">
      <w:start w:val="1"/>
      <w:numFmt w:val="decimal"/>
      <w:lvlText w:val="%1."/>
      <w:lvlJc w:val="left"/>
      <w:pPr>
        <w:ind w:left="360" w:hanging="360"/>
      </w:pPr>
      <w:rPr>
        <w:sz w:val="22"/>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068" w:hanging="360"/>
      </w:pPr>
      <w:rPr>
        <w:rFonts w:ascii="Times New Roman" w:hAnsi="Times New Roman" w:cs="Times New Roman" w:hint="default"/>
        <w:sz w:val="22"/>
        <w:rFonts w:cs="Times New Roman"/>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5">
    <w:lvl w:ilvl="0">
      <w:start w:val="1"/>
      <w:numFmt w:val="lowerLetter"/>
      <w:lvlText w:val="%1)"/>
      <w:lvlJc w:val="left"/>
      <w:pPr>
        <w:ind w:left="720" w:hanging="360"/>
      </w:pPr>
      <w:rPr>
        <w:sz w:val="22"/>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lowerLetter"/>
      <w:lvlText w:val="%1)"/>
      <w:lvlJc w:val="left"/>
      <w:pPr>
        <w:ind w:left="1080" w:hanging="360"/>
      </w:pPr>
      <w:rPr>
        <w:sz w:val="22"/>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9">
    <w:lvl w:ilvl="0">
      <w:start w:val="1"/>
      <w:numFmt w:val="bullet"/>
      <w:lvlText w:val=""/>
      <w:lvlJc w:val="left"/>
      <w:pPr>
        <w:ind w:left="720" w:hanging="360"/>
      </w:pPr>
      <w:rPr>
        <w:rFonts w:ascii="Wingdings" w:hAnsi="Wingdings" w:cs="Wingdings" w:hint="default"/>
        <w:sz w:val="22"/>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3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UY"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0ad6"/>
    <w:pPr>
      <w:widowControl w:val="false"/>
      <w:suppressAutoHyphens w:val="true"/>
      <w:bidi w:val="0"/>
      <w:spacing w:lineRule="auto" w:line="276" w:before="0" w:after="200"/>
      <w:jc w:val="left"/>
    </w:pPr>
    <w:rPr>
      <w:rFonts w:ascii="Bookman Old Style" w:hAnsi="Bookman Old Style" w:eastAsia="Times New Roman" w:cs="Bookman Old Style"/>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Fuentedeprrafopredeter2" w:customStyle="1">
    <w:name w:val="Fuente de párrafo predeter.2"/>
    <w:qFormat/>
    <w:rsid w:val="00f60ad6"/>
    <w:rPr/>
  </w:style>
  <w:style w:type="character" w:styleId="EnlacedeInternet" w:customStyle="1">
    <w:name w:val="Enlace de Internet"/>
    <w:rsid w:val="00f60ad6"/>
    <w:rPr>
      <w:rFonts w:cs="Times New Roman"/>
      <w:color w:val="000080"/>
      <w:u w:val="single"/>
    </w:rPr>
  </w:style>
  <w:style w:type="character" w:styleId="TtuloCar" w:customStyle="1">
    <w:name w:val="Título Car"/>
    <w:basedOn w:val="DefaultParagraphFont"/>
    <w:link w:val="Ttulo"/>
    <w:qFormat/>
    <w:rsid w:val="00f60ad6"/>
    <w:rPr>
      <w:rFonts w:ascii="Times New Roman" w:hAnsi="Times New Roman" w:eastAsia="Calibri" w:cs="Times New Roman"/>
      <w:b/>
      <w:sz w:val="24"/>
      <w:szCs w:val="20"/>
      <w:lang w:val="es-ES" w:eastAsia="zh-CN"/>
    </w:rPr>
  </w:style>
  <w:style w:type="character" w:styleId="Strong">
    <w:name w:val="Strong"/>
    <w:qFormat/>
    <w:rsid w:val="00f60ad6"/>
    <w:rPr>
      <w:b/>
      <w:bCs/>
    </w:rPr>
  </w:style>
  <w:style w:type="character" w:styleId="TextodegloboCar" w:customStyle="1">
    <w:name w:val="Texto de globo Car"/>
    <w:basedOn w:val="DefaultParagraphFont"/>
    <w:link w:val="Textodeglobo"/>
    <w:uiPriority w:val="99"/>
    <w:semiHidden/>
    <w:qFormat/>
    <w:rsid w:val="004a5433"/>
    <w:rPr>
      <w:rFonts w:ascii="Tahoma" w:hAnsi="Tahoma" w:eastAsia="Times New Roman" w:cs="Tahoma"/>
      <w:sz w:val="16"/>
      <w:szCs w:val="16"/>
      <w:lang w:val="es-ES" w:eastAsia="es-ES"/>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customStyle="1">
    <w:name w:val="Body Text"/>
    <w:basedOn w:val="Normal"/>
    <w:rsid w:val="00f60ad6"/>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uerpodetextoconsangra" w:customStyle="1">
    <w:name w:val="Body Text Indent"/>
    <w:basedOn w:val="Normal"/>
    <w:rsid w:val="00f60ad6"/>
    <w:pPr>
      <w:ind w:left="360" w:hanging="0"/>
    </w:pPr>
    <w:rPr/>
  </w:style>
  <w:style w:type="paragraph" w:styleId="ListParagraph">
    <w:name w:val="List Paragraph"/>
    <w:basedOn w:val="Normal"/>
    <w:qFormat/>
    <w:rsid w:val="00f60ad6"/>
    <w:pPr>
      <w:ind w:left="720" w:hanging="0"/>
    </w:pPr>
    <w:rPr/>
  </w:style>
  <w:style w:type="paragraph" w:styleId="Normal1" w:customStyle="1">
    <w:name w:val="Normal1"/>
    <w:qFormat/>
    <w:rsid w:val="00f60ad6"/>
    <w:pPr>
      <w:widowControl/>
      <w:suppressAutoHyphens w:val="true"/>
      <w:bidi w:val="0"/>
      <w:spacing w:lineRule="atLeast" w:line="100" w:before="0" w:after="200"/>
      <w:jc w:val="left"/>
    </w:pPr>
    <w:rPr>
      <w:rFonts w:ascii="Times New Roman" w:hAnsi="Times New Roman" w:eastAsia="Calibri" w:cs="Times New Roman" w:eastAsiaTheme="minorHAnsi"/>
      <w:color w:val="auto"/>
      <w:kern w:val="0"/>
      <w:sz w:val="24"/>
      <w:szCs w:val="20"/>
      <w:lang w:val="es-ES" w:eastAsia="zh-CN" w:bidi="ar-SA"/>
    </w:rPr>
  </w:style>
  <w:style w:type="paragraph" w:styleId="Titular">
    <w:name w:val="Title"/>
    <w:basedOn w:val="Normal1"/>
    <w:link w:val="TtuloCar"/>
    <w:qFormat/>
    <w:rsid w:val="00f60ad6"/>
    <w:pPr>
      <w:jc w:val="center"/>
    </w:pPr>
    <w:rPr>
      <w:b/>
    </w:rPr>
  </w:style>
  <w:style w:type="paragraph" w:styleId="Textoindependiente1" w:customStyle="1">
    <w:name w:val="Texto independiente1"/>
    <w:basedOn w:val="Normal1"/>
    <w:qFormat/>
    <w:rsid w:val="00f60ad6"/>
    <w:pPr>
      <w:jc w:val="both"/>
    </w:pPr>
    <w:rPr/>
  </w:style>
  <w:style w:type="paragraph" w:styleId="Ttulo12" w:customStyle="1">
    <w:name w:val="Título 12"/>
    <w:basedOn w:val="Normal1"/>
    <w:qFormat/>
    <w:rsid w:val="00f60ad6"/>
    <w:pPr>
      <w:keepNext w:val="true"/>
      <w:tabs>
        <w:tab w:val="clear" w:pos="708"/>
        <w:tab w:val="left" w:pos="720" w:leader="none"/>
      </w:tabs>
      <w:ind w:left="720" w:hanging="360"/>
    </w:pPr>
    <w:rPr>
      <w:b/>
    </w:rPr>
  </w:style>
  <w:style w:type="paragraph" w:styleId="Textoindependiente22" w:customStyle="1">
    <w:name w:val="Texto independiente 22"/>
    <w:basedOn w:val="Normal1"/>
    <w:qFormat/>
    <w:rsid w:val="00f60ad6"/>
    <w:pPr>
      <w:spacing w:lineRule="auto" w:line="480" w:before="0" w:after="120"/>
    </w:pPr>
    <w:rPr/>
  </w:style>
  <w:style w:type="paragraph" w:styleId="Ttulo32" w:customStyle="1">
    <w:name w:val="Título 32"/>
    <w:basedOn w:val="Normal1"/>
    <w:qFormat/>
    <w:rsid w:val="00f60ad6"/>
    <w:pPr>
      <w:keepNext w:val="true"/>
      <w:tabs>
        <w:tab w:val="clear" w:pos="708"/>
        <w:tab w:val="left" w:pos="720" w:leader="none"/>
      </w:tabs>
      <w:ind w:left="720" w:hanging="360"/>
      <w:jc w:val="both"/>
    </w:pPr>
    <w:rPr>
      <w:b/>
      <w:i/>
    </w:rPr>
  </w:style>
  <w:style w:type="paragraph" w:styleId="BalloonText">
    <w:name w:val="Balloon Text"/>
    <w:basedOn w:val="Normal"/>
    <w:link w:val="TextodegloboCar"/>
    <w:uiPriority w:val="99"/>
    <w:semiHidden/>
    <w:unhideWhenUsed/>
    <w:qFormat/>
    <w:rsid w:val="004a543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quisiciones@poderjudicial.gub.uy"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LibreOffice/6.3.0.4$Windows_x86 LibreOffice_project/057fc023c990d676a43019934386b85b21a9ee99</Application>
  <Pages>8</Pages>
  <Words>2763</Words>
  <Characters>14803</Characters>
  <CharactersWithSpaces>17461</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2023-03-24T20:50:00Z</dcterms:created>
  <dc:creator>BASSO</dc:creator>
  <dc:description/>
  <dc:language>es-ES</dc:language>
  <cp:lastModifiedBy/>
  <cp:lastPrinted>2023-03-27T11:17:01Z</cp:lastPrinted>
  <dcterms:modified xsi:type="dcterms:W3CDTF">2023-03-27T11:21:04Z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